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46B74" w:rsidR="007F1DA6" w:rsidP="009A3696" w:rsidRDefault="000701B1" w14:paraId="64F1148C" w14:textId="77777777">
      <w:pPr>
        <w:overflowPunct w:val="0"/>
        <w:adjustRightInd w:val="0"/>
        <w:jc w:val="center"/>
        <w:textAlignment w:val="baseline"/>
        <w:rPr>
          <w:b/>
        </w:rPr>
      </w:pPr>
      <w:bookmarkStart w:name="_GoBack" w:id="0"/>
      <w:bookmarkEnd w:id="0"/>
      <w:r>
        <w:rPr>
          <w:noProof/>
          <w:lang w:val="en-US"/>
        </w:rPr>
        <w:drawing>
          <wp:inline distT="0" distB="0" distL="0" distR="0" wp14:anchorId="1416195F" wp14:editId="2ED81E77">
            <wp:extent cx="5764530" cy="1924050"/>
            <wp:effectExtent l="0" t="0" r="0" b="0"/>
            <wp:docPr id="1" name="Picture 1" descr="F:\REX 368 - EU-Montenegro JCC\14th meeting Brussels\Graphics\21_54-1500x500-Twitt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X 368 - EU-Montenegro JCC\14th meeting Brussels\Graphics\21_54-1500x500-Twitter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4530" cy="1924050"/>
                    </a:xfrm>
                    <a:prstGeom prst="rect">
                      <a:avLst/>
                    </a:prstGeom>
                    <a:noFill/>
                    <a:ln>
                      <a:noFill/>
                    </a:ln>
                  </pic:spPr>
                </pic:pic>
              </a:graphicData>
            </a:graphic>
          </wp:inline>
        </w:drawing>
      </w:r>
    </w:p>
    <w:p w:rsidRPr="00F46B74" w:rsidR="009A3696" w:rsidRDefault="009A3696" w14:paraId="0FAE2AD6" w14:textId="77777777">
      <w:pPr>
        <w:overflowPunct w:val="0"/>
        <w:adjustRightInd w:val="0"/>
        <w:jc w:val="center"/>
        <w:textAlignment w:val="baseline"/>
        <w:rPr>
          <w:b/>
          <w:lang w:val="en-GB"/>
        </w:rPr>
      </w:pPr>
    </w:p>
    <w:p w:rsidRPr="00F46B74" w:rsidR="005E4B42" w:rsidRDefault="00F403A1" w14:paraId="27ADFD67" w14:textId="745ADD5C">
      <w:pPr>
        <w:overflowPunct w:val="0"/>
        <w:adjustRightInd w:val="0"/>
        <w:jc w:val="center"/>
        <w:textAlignment w:val="baseline"/>
        <w:rPr>
          <w:b/>
        </w:rPr>
      </w:pPr>
      <w:r>
        <w:rPr>
          <w:b/>
        </w:rPr>
        <w:t xml:space="preserve">16η συνεδρίαση, </w:t>
      </w:r>
      <w:proofErr w:type="spellStart"/>
      <w:r>
        <w:rPr>
          <w:b/>
        </w:rPr>
        <w:t>Ποντγκόριτσα</w:t>
      </w:r>
      <w:proofErr w:type="spellEnd"/>
      <w:r>
        <w:rPr>
          <w:b/>
        </w:rPr>
        <w:t>, 2 Μαρτίου 2023</w:t>
      </w:r>
    </w:p>
    <w:p w:rsidRPr="00F46B74" w:rsidR="003A06EE" w:rsidRDefault="003A06EE" w14:paraId="58DF31F5" w14:textId="77777777">
      <w:pPr>
        <w:overflowPunct w:val="0"/>
        <w:adjustRightInd w:val="0"/>
        <w:jc w:val="center"/>
        <w:textAlignment w:val="baseline"/>
        <w:rPr>
          <w:b/>
          <w:lang w:val="en-GB"/>
        </w:rPr>
      </w:pPr>
    </w:p>
    <w:p w:rsidRPr="00F46B74" w:rsidR="002A2FE6" w:rsidRDefault="00AC6512" w14:paraId="058C602B" w14:textId="1E3BC419">
      <w:pPr>
        <w:overflowPunct w:val="0"/>
        <w:adjustRightInd w:val="0"/>
        <w:jc w:val="center"/>
        <w:textAlignment w:val="baseline"/>
        <w:rPr>
          <w:b/>
        </w:rPr>
      </w:pPr>
      <w:r>
        <w:rPr>
          <w:b/>
        </w:rPr>
        <w:t>ΚΟΙΝΗ ΔΗΛΩΣΗ</w:t>
      </w:r>
    </w:p>
    <w:p w:rsidRPr="00F46B74" w:rsidR="00041BC8" w:rsidRDefault="003B1647" w14:paraId="75521521" w14:textId="75DEB983">
      <w:pPr>
        <w:overflowPunct w:val="0"/>
        <w:adjustRightInd w:val="0"/>
        <w:textAlignment w:val="baseline"/>
      </w:pPr>
      <w:r>
        <w:rPr>
          <w:noProof/>
          <w:lang w:val="en-US"/>
        </w:rPr>
        <mc:AlternateContent>
          <mc:Choice Requires="wps">
            <w:drawing>
              <wp:anchor distT="0" distB="0" distL="114300" distR="114300" simplePos="0" relativeHeight="251657728" behindDoc="1" locked="0" layoutInCell="0" allowOverlap="1" wp14:editId="6CBBF48F" wp14:anchorId="3415839D">
                <wp:simplePos x="0" y="0"/>
                <wp:positionH relativeFrom="page">
                  <wp:posOffset>6770788</wp:posOffset>
                </wp:positionH>
                <wp:positionV relativeFrom="page">
                  <wp:posOffset>10079542</wp:posOffset>
                </wp:positionV>
                <wp:extent cx="647700" cy="39624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D23EA" w:rsidR="002D3888" w:rsidP="00AD23EA" w:rsidRDefault="002D3888" w14:paraId="06E61A64" w14:textId="77777777">
                            <w:pPr>
                              <w:overflowPunct w:val="0"/>
                              <w:adjustRightInd w:val="0"/>
                              <w:jc w:val="center"/>
                              <w:textAlignment w:val="baseline"/>
                              <w:rPr>
                                <w:rFonts w:ascii="Arial" w:hAnsi="Arial" w:cs="Arial"/>
                                <w:b/>
                                <w:sz w:val="48"/>
                              </w:rPr>
                            </w:pPr>
                            <w:r>
                              <w:rPr>
                                <w:rFonts w:ascii="Arial" w:hAnsi="Arial"/>
                                <w:b/>
                                <w:sz w:val="48"/>
                              </w:rPr>
                              <w: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415839D">
                <v:stroke joinstyle="miter"/>
                <v:path gradientshapeok="t" o:connecttype="rect"/>
              </v:shapetype>
              <v:shape id="Text Box 2" style="position:absolute;left:0;text-align:left;margin-left:533.15pt;margin-top:793.65pt;width:51pt;height:3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4b3tQIAALg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">
                <v:textbox>
                  <w:txbxContent>
                    <w:p w:rsidRPr="00AD23EA" w:rsidR="002D3888" w:rsidP="00AD23EA" w:rsidRDefault="002D3888" w14:paraId="06E61A64" w14:textId="77777777">
                      <w:pPr>
                        <w:overflowPunct w:val="0"/>
                        <w:adjustRightInd w:val="0"/>
                        <w:jc w:val="center"/>
                        <w:textAlignment w:val="baseline"/>
                        <w:rPr>
                          <w:rFonts w:ascii="Arial" w:hAnsi="Arial" w:cs="Arial"/>
                          <w:b/>
                          <w:sz w:val="48"/>
                        </w:rPr>
                      </w:pPr>
                      <w:r>
                        <w:rPr>
                          <w:rFonts w:ascii="Arial" w:hAnsi="Arial"/>
                          <w:b/>
                          <w:sz w:val="48"/>
                        </w:rPr>
                        <w:t>EL</w:t>
                      </w:r>
                    </w:p>
                  </w:txbxContent>
                </v:textbox>
                <w10:wrap anchorx="page" anchory="page"/>
              </v:shape>
            </w:pict>
          </mc:Fallback>
        </mc:AlternateContent>
      </w:r>
    </w:p>
    <w:p w:rsidRPr="00F46B74" w:rsidR="007C780D" w:rsidRDefault="008827CC" w14:paraId="69018613" w14:textId="5E968270">
      <w:pPr>
        <w:pBdr>
          <w:top w:val="single" w:color="auto" w:sz="4" w:space="1"/>
          <w:left w:val="single" w:color="auto" w:sz="4" w:space="4"/>
          <w:bottom w:val="single" w:color="auto" w:sz="4" w:space="1"/>
          <w:right w:val="single" w:color="auto" w:sz="4" w:space="4"/>
        </w:pBdr>
        <w:overflowPunct w:val="0"/>
        <w:adjustRightInd w:val="0"/>
        <w:textAlignment w:val="baseline"/>
      </w:pPr>
      <w:r>
        <w:t>Η Μικτή Συμβουλευτική Επιτροπή (ΜΣΕ) της κοινωνίας των πολιτών «ΕΕ-Μαυροβούνιο» είναι ένα από τα όργανα που έχουν συσταθεί βάσει της συμφωνίας σταθεροποίησης και σύνδεσης μεταξύ της Ευρωπαϊκής Ένωσης και του Μαυροβουνίου. Επιτρέπει στις οργανώσεις της κοινωνίας των πολιτών αμφοτέρων των πλευρών να παρακολουθούν την πορεία του Μαυροβουνίου προς την ένταξη στην Ευρωπαϊκή Ένωση και να υιοθετούν συστάσεις προς την κυβέρνηση του Μαυροβουνίου και τα θεσμικά όργανα της ΕΕ.</w:t>
      </w:r>
    </w:p>
    <w:p w:rsidRPr="00F46B74" w:rsidR="00262400" w:rsidRDefault="00262400" w14:paraId="7A81871A" w14:textId="77777777">
      <w:pPr>
        <w:pBdr>
          <w:top w:val="single" w:color="auto" w:sz="4" w:space="1"/>
          <w:left w:val="single" w:color="auto" w:sz="4" w:space="4"/>
          <w:bottom w:val="single" w:color="auto" w:sz="4" w:space="1"/>
          <w:right w:val="single" w:color="auto" w:sz="4" w:space="4"/>
        </w:pBdr>
        <w:overflowPunct w:val="0"/>
        <w:adjustRightInd w:val="0"/>
        <w:textAlignment w:val="baseline"/>
        <w:rPr>
          <w:lang w:val="en-GB"/>
        </w:rPr>
      </w:pPr>
    </w:p>
    <w:p w:rsidRPr="00F46B74" w:rsidR="00154A4C" w:rsidRDefault="008827CC" w14:paraId="5628E87B" w14:textId="4F16EF09">
      <w:pPr>
        <w:pBdr>
          <w:top w:val="single" w:color="auto" w:sz="4" w:space="1"/>
          <w:left w:val="single" w:color="auto" w:sz="4" w:space="4"/>
          <w:bottom w:val="single" w:color="auto" w:sz="4" w:space="1"/>
          <w:right w:val="single" w:color="auto" w:sz="4" w:space="4"/>
        </w:pBdr>
        <w:overflowPunct w:val="0"/>
        <w:adjustRightInd w:val="0"/>
        <w:textAlignment w:val="baseline"/>
        <w:rPr>
          <w:rFonts w:eastAsia="PMingLiU"/>
        </w:rPr>
      </w:pPr>
      <w:r>
        <w:t xml:space="preserve">Η ΜΣΕ αποτελείται από 12 μέλη, έξι από κάθε πλευρά, που εκπροσωπούν την ΕΟΚΕ και την κοινωνία των πολιτών του Μαυροβουνίου. Κατά τη διάρκεια της τρέχουσας θητείας της (2020-2023), η προεδρία της ασκείται από κοινού από τον </w:t>
      </w:r>
      <w:proofErr w:type="spellStart"/>
      <w:r>
        <w:rPr>
          <w:b/>
        </w:rPr>
        <w:t>Andrej</w:t>
      </w:r>
      <w:proofErr w:type="spellEnd"/>
      <w:r>
        <w:rPr>
          <w:b/>
        </w:rPr>
        <w:t xml:space="preserve"> </w:t>
      </w:r>
      <w:proofErr w:type="spellStart"/>
      <w:r>
        <w:rPr>
          <w:b/>
        </w:rPr>
        <w:t>Zorko</w:t>
      </w:r>
      <w:proofErr w:type="spellEnd"/>
      <w:r>
        <w:t xml:space="preserve">, μέλος της ΕΟΚΕ και εκτελεστικό γραμματέα του διοικητικού συμβουλίου της Σλοβενικής Ένωσης Ελεύθερων Συνδικάτων, και τον </w:t>
      </w:r>
      <w:proofErr w:type="spellStart"/>
      <w:r>
        <w:rPr>
          <w:b/>
        </w:rPr>
        <w:t>Pavle</w:t>
      </w:r>
      <w:proofErr w:type="spellEnd"/>
      <w:r>
        <w:rPr>
          <w:b/>
        </w:rPr>
        <w:t xml:space="preserve"> D. </w:t>
      </w:r>
      <w:proofErr w:type="spellStart"/>
      <w:r>
        <w:rPr>
          <w:b/>
        </w:rPr>
        <w:t>Radovanović</w:t>
      </w:r>
      <w:proofErr w:type="spellEnd"/>
      <w:r>
        <w:t>, αντιπρόεδρο του Οικονομικού Επιμελητηρίου του Μαυροβουνίου.</w:t>
      </w:r>
    </w:p>
    <w:p w:rsidRPr="00F46B74" w:rsidR="00C57021" w:rsidRDefault="00C57021" w14:paraId="7A6B9038" w14:textId="77777777">
      <w:pPr>
        <w:pBdr>
          <w:top w:val="single" w:color="auto" w:sz="4" w:space="1"/>
          <w:left w:val="single" w:color="auto" w:sz="4" w:space="4"/>
          <w:bottom w:val="single" w:color="auto" w:sz="4" w:space="1"/>
          <w:right w:val="single" w:color="auto" w:sz="4" w:space="4"/>
        </w:pBdr>
        <w:overflowPunct w:val="0"/>
        <w:adjustRightInd w:val="0"/>
        <w:textAlignment w:val="baseline"/>
        <w:rPr>
          <w:lang w:val="en-GB"/>
        </w:rPr>
      </w:pPr>
    </w:p>
    <w:p w:rsidRPr="00F46B74" w:rsidR="002F585F" w:rsidRDefault="005936E5" w14:paraId="0B88B6DF" w14:textId="614088DD">
      <w:pPr>
        <w:pBdr>
          <w:top w:val="single" w:color="auto" w:sz="4" w:space="1"/>
          <w:left w:val="single" w:color="auto" w:sz="4" w:space="4"/>
          <w:bottom w:val="single" w:color="auto" w:sz="4" w:space="1"/>
          <w:right w:val="single" w:color="auto" w:sz="4" w:space="4"/>
        </w:pBdr>
        <w:overflowPunct w:val="0"/>
        <w:adjustRightInd w:val="0"/>
        <w:textAlignment w:val="baseline"/>
      </w:pPr>
      <w:r>
        <w:t xml:space="preserve">Η συνεδρίαση πραγματοποιήθηκε στην </w:t>
      </w:r>
      <w:proofErr w:type="spellStart"/>
      <w:r>
        <w:t>Ποντγκόριτσα</w:t>
      </w:r>
      <w:proofErr w:type="spellEnd"/>
      <w:r>
        <w:t>. Η ΜΣΕ συζήτησε την τρέχουσα κατάσταση των σχέσεων ΕΕ-Μαυροβουνίου και των διαπραγματεύσεων προσχώρησης με την ΕΕ, ειδικότερα όσον αφορά την ομάδα κεφαλαίων 1: «Οι θεμελιώδεις αρχές της διαδικασίας προσχώρησης», με ιδιαίτερη έμφαση στα νομικά και θεμελιώδη δικαιώματα, τη δικαιοσύνη, την ελευθερία και την ασφάλεια και τη λειτουργία των δημοκρατικών θεσμών, καθώς και την κατάσταση της κοινωνίας των πολιτών στο Μαυροβούνιο.</w:t>
      </w:r>
    </w:p>
    <w:p w:rsidRPr="00F46B74" w:rsidR="00617A50" w:rsidRDefault="00617A50" w14:paraId="16DC4CAD" w14:textId="77777777">
      <w:pPr>
        <w:overflowPunct w:val="0"/>
        <w:adjustRightInd w:val="0"/>
        <w:textAlignment w:val="baseline"/>
        <w:rPr>
          <w:b/>
          <w:lang w:val="en-GB"/>
        </w:rPr>
      </w:pPr>
    </w:p>
    <w:p w:rsidRPr="00F46B74" w:rsidR="008C4DC3" w:rsidRDefault="008C4DC3" w14:paraId="1C763D26" w14:textId="77777777">
      <w:pPr>
        <w:overflowPunct w:val="0"/>
        <w:adjustRightInd w:val="0"/>
        <w:textAlignment w:val="baseline"/>
        <w:rPr>
          <w:b/>
          <w:lang w:val="en-GB"/>
        </w:rPr>
      </w:pPr>
    </w:p>
    <w:p w:rsidRPr="00F46B74" w:rsidR="00AC401D" w:rsidP="009250FD" w:rsidRDefault="003222FF" w14:paraId="7F14AC66" w14:textId="77777777">
      <w:pPr>
        <w:pStyle w:val="Heading1"/>
        <w:keepNext/>
        <w:numPr>
          <w:ilvl w:val="0"/>
          <w:numId w:val="2"/>
        </w:numPr>
        <w:ind w:left="567" w:hanging="567"/>
        <w:rPr>
          <w:b/>
        </w:rPr>
      </w:pPr>
      <w:r>
        <w:rPr>
          <w:b/>
        </w:rPr>
        <w:t xml:space="preserve">Τρέχουσα κατάσταση των σχέσεων ΕΕ-Μαυροβουνίου και της διαδικασίας προσχώρησης </w:t>
      </w:r>
    </w:p>
    <w:p w:rsidRPr="00F40A38" w:rsidR="00FA7492" w:rsidP="00F40A38" w:rsidRDefault="00FA7492" w14:paraId="5726BDD7" w14:textId="77777777">
      <w:pPr>
        <w:rPr>
          <w:lang w:val="en-GB"/>
        </w:rPr>
      </w:pPr>
    </w:p>
    <w:p w:rsidRPr="00F46B74" w:rsidR="009A38A0" w:rsidP="0025040F" w:rsidRDefault="009A38A0" w14:paraId="65CB4D40" w14:textId="6974FCB2">
      <w:pPr>
        <w:pStyle w:val="Heading2"/>
      </w:pPr>
      <w:r>
        <w:t xml:space="preserve">Η ΜΣΕ εκφράζει τη λύπη της για το γεγονός ότι οι συστάσεις της κοινής δήλωσης που εγκρίθηκε κατά την τελευταία συνεδρίαση της ΜΣΕ που πραγματοποιήθηκε τον Απρίλιο του 2022 στις Βρυξέλλες δεν έχουν ληφθεί υπόψη και ότι η πρόοδος που επετεύχθη όσον αφορά τις διαπραγματεύσεις για την προσχώρηση του Μαυροβουνίου στην ΕΕ το περασμένο έτος ήταν πολύ περιορισμένη. Η ΜΣΕ χαιρετίζει τα πορίσματα της έκθεσης του 2022 της Ευρωπαϊκής </w:t>
      </w:r>
      <w:r>
        <w:lastRenderedPageBreak/>
        <w:t>Επιτροπής για το Μαυροβούνιο</w:t>
      </w:r>
      <w:r w:rsidRPr="00F46B74" w:rsidR="00F61153">
        <w:rPr>
          <w:rStyle w:val="FootnoteReference"/>
          <w:lang w:val="en-GB"/>
        </w:rPr>
        <w:footnoteReference w:id="1"/>
      </w:r>
      <w:r>
        <w:t xml:space="preserve"> που επιβεβαιώνουν την εν λόγω αξιολόγηση. Εκφράζει τη λύπη της για το γεγονός ότι η συνεχής έλλειψη προόδου προς την κατεύθυνση αυτή απομακρύνει το Μαυροβούνιο από το να είναι η χώρα που έχει σημειώσει τη μεγαλύτερη επιτυχία όσον αφορά τη διαδικασία προσχώρησης στην ΕΕ.</w:t>
      </w:r>
    </w:p>
    <w:p w:rsidRPr="00F40A38" w:rsidR="009A38A0" w:rsidP="00F40A38" w:rsidRDefault="009A38A0" w14:paraId="4360CD62" w14:textId="77777777">
      <w:pPr>
        <w:rPr>
          <w:lang w:val="en-GB"/>
        </w:rPr>
      </w:pPr>
    </w:p>
    <w:p w:rsidRPr="00F46B74" w:rsidR="0049776B" w:rsidP="0025040F" w:rsidRDefault="0049776B" w14:paraId="044DB375" w14:textId="41FA9DFB">
      <w:pPr>
        <w:pStyle w:val="Heading2"/>
      </w:pPr>
      <w:r>
        <w:t>Η ΜΣΕ καλεί εκ νέου όλα τα κοινοβουλευτικά κόμματα και όλους τους πολιτικούς παράγοντες στο Μαυροβούνιο να υπερβούν την επίμονη πόλωση του πολιτικού κλίματος και να συμμετάσχουν σε διάλογο προκειμένου να ξεπεραστεί το υφιστάμενο πολιτικό αδιέξοδο. Υπενθυμίζει ότι οι πολίτες αναμένουν από αυτούς να συνεργαστούν και να υπερβούν τις διαφορές τους, ούτως ώστε το Μαυροβούνιο να μπορέσει να εφαρμόσει ζωτικής σημασίας μεταρρυθμίσεις και να κερδίσει τη θέση του στην ΕΕ. Τα μέλη της ΜΣΕ τονίζουν ότι για να προχωρήσει η διαδικασία προσχώρησης του Μαυροβουνίου στην ΕΕ, όλοι οι πολιτικοί παράγοντες πρέπει να στηρίξουν τη σταθερότητα και τη λειτουργικότητα των δημοκρατικών θεσμών και την ορθή λειτουργία του κράτους δικαίου. Είναι αναγκαίο οι φορείς λήψης αποφάσεων όλων των κυβερνητικών επιπέδων να υιοθετήσουν μία σοβαρή και υπεύθυνη προσέγγιση και να επιδείξουν υπευθυνότητα έναντι των πολιτών. Τα θεσμικά όργανα της ΕΕ και οι αρχές του Μαυροβουνίου θα πρέπει να επιδιώξουν την ανοικτή και σαφή επικοινωνία με τους πολίτες του Μαυροβουνίου σε ό,τι αφορά τη διαδικασία προσχώρησης στην ΕΕ.</w:t>
      </w:r>
    </w:p>
    <w:p w:rsidRPr="00F40A38" w:rsidR="0049776B" w:rsidP="00F40A38" w:rsidRDefault="0049776B" w14:paraId="33EA3485" w14:textId="77777777">
      <w:pPr>
        <w:rPr>
          <w:lang w:val="en-GB"/>
        </w:rPr>
      </w:pPr>
    </w:p>
    <w:p w:rsidRPr="00F46B74" w:rsidR="0049776B" w:rsidRDefault="00B316E9" w14:paraId="3AEDA1D1" w14:textId="44BF5035">
      <w:pPr>
        <w:pStyle w:val="Heading2"/>
      </w:pPr>
      <w:r>
        <w:t xml:space="preserve">Τα μέλη της ΜΣΕ εκφράζουν την ικανοποίησή τους για το γεγονός ότι, παρά τις πολιτικές αναταραχές στη χώρα, το ποσοστό των πολιτών του Μαυροβουνίου που στηρίζουν την ένταξη της χώρας στην ΕΕ εξακολουθεί να είναι εξαιρετικά υψηλό (το 75 % είναι υπέρ και εάν </w:t>
      </w:r>
      <w:proofErr w:type="spellStart"/>
      <w:r>
        <w:t>συγκληθεί</w:t>
      </w:r>
      <w:proofErr w:type="spellEnd"/>
      <w:r>
        <w:t xml:space="preserve"> δημοψήφισμα για την προσχώρηση του Μαυροβουνίου, το 85 % των πολιτών θα ψηφίσει «ναι»</w:t>
      </w:r>
      <w:r w:rsidRPr="00F46B74" w:rsidR="007D28A7">
        <w:rPr>
          <w:vertAlign w:val="superscript"/>
          <w:lang w:val="en-GB"/>
        </w:rPr>
        <w:footnoteReference w:id="2"/>
      </w:r>
      <w:r>
        <w:t>). Η ΜΣΕ θα ήθελε να επισημάνει ότι κάθε πολιτικό κόμμα ή παράγοντας σε θέση άσκησης εξουσίας θα πρέπει να λαμβάνει υπόψη αυτή τη συντριπτική στήριξη κατά τη χάραξη εσωτερικών και εξωτερικών πολιτικών.</w:t>
      </w:r>
    </w:p>
    <w:p w:rsidRPr="00F40A38" w:rsidR="00B316E9" w:rsidP="00F40A38" w:rsidRDefault="00B316E9" w14:paraId="49659E0D" w14:textId="77777777">
      <w:pPr>
        <w:rPr>
          <w:lang w:val="en-GB"/>
        </w:rPr>
      </w:pPr>
    </w:p>
    <w:p w:rsidRPr="00F46B74" w:rsidR="008D590B" w:rsidP="001664EC" w:rsidRDefault="0025040F" w14:paraId="22EDDA6F" w14:textId="480F3A37">
      <w:pPr>
        <w:pStyle w:val="Heading2"/>
      </w:pPr>
      <w:r>
        <w:t>Η ΜΣΕ επικροτεί το γεγονός ότι η χώρα, ως υποψήφια προς ένταξη στην ΕΕ, εξακολουθεί να ευθυγραμμίζεται πλήρως με την κοινή εξωτερική πολιτική και πολιτική ασφάλειας (ΚΕΠΠΑ) της ΕΕ, μεταξύ άλλων όσον αφορά τις κυρώσεις της ΕΕ κατά της Ρωσίας λόγω της ρωσικής εισβολής στην Ουκρανία. Η ΜΣΕ ενθαρρύνει το Μαυροβούνιο να προβεί στις αναγκαίες ενέργειες ώστε να εφαρμόσει πλήρως τα περιοριστικά μέτρα που έχει εγκρίνει και να συνεχίσει να ευθυγραμμίζεται στο μέλλον με την ΚΕΠΠΑ της ΕΕ. Συγχαίρει επίσης το Μαυροβούνιο και τους πολίτες του για τη φιλοξενία στο έδαφός του σημαντικού αριθμού Ουκρανών προσφύγων πολέμου που ξεπερνά το 1 % του πληθυσμού του</w:t>
      </w:r>
      <w:r w:rsidRPr="00F46B74" w:rsidR="00024EAB">
        <w:rPr>
          <w:rStyle w:val="FootnoteReference"/>
          <w:rFonts w:eastAsia="Calibri"/>
          <w:bCs/>
          <w:iCs/>
          <w:lang w:val="en-GB" w:eastAsia="fr-BE"/>
        </w:rPr>
        <w:footnoteReference w:id="3"/>
      </w:r>
      <w:r>
        <w:t xml:space="preserve">. </w:t>
      </w:r>
    </w:p>
    <w:p w:rsidRPr="00F46B74" w:rsidR="008D590B" w:rsidRDefault="008D590B" w14:paraId="19E1A4F3" w14:textId="77777777">
      <w:pPr>
        <w:rPr>
          <w:lang w:val="en-GB"/>
        </w:rPr>
      </w:pPr>
    </w:p>
    <w:p w:rsidRPr="00F46B74" w:rsidR="00F116EE" w:rsidP="00925EF7" w:rsidRDefault="00D3310E" w14:paraId="5254208B" w14:textId="00E5257F">
      <w:pPr>
        <w:pStyle w:val="Heading2"/>
      </w:pPr>
      <w:r>
        <w:t xml:space="preserve">Τα μέλη της ΜΣΕ σημειώνουν ότι η οικονομία του Μαυροβουνίου ανακάμπτει σταθερά, με αύξηση του </w:t>
      </w:r>
      <w:proofErr w:type="spellStart"/>
      <w:r>
        <w:t>ΑΕγχΠ</w:t>
      </w:r>
      <w:proofErr w:type="spellEnd"/>
      <w:r>
        <w:t xml:space="preserve"> το 2022 κατά 7,7 %</w:t>
      </w:r>
      <w:r w:rsidRPr="00F46B74" w:rsidR="00024EAB">
        <w:rPr>
          <w:rStyle w:val="FootnoteReference"/>
          <w:lang w:val="en-GB"/>
        </w:rPr>
        <w:footnoteReference w:id="4"/>
      </w:r>
      <w:r>
        <w:t xml:space="preserve"> χάρη κυρίως στην αυξημένη κατανάλωση των </w:t>
      </w:r>
      <w:r>
        <w:lastRenderedPageBreak/>
        <w:t xml:space="preserve">νοικοκυριών και την ανάπτυξη του τουρισμού, ο οποίος επανήλθε σχεδόν στα προ πανδημίας επίπεδα. Ωστόσο, εξέφρασαν σοβαρές ανησυχίες για το γεγονός ότι στο Μαυροβούνιο σημειώνεται ο υψηλότερος πληθωρισμός των τελευταίων 20 ετών, ο οποίος ανήλθε κατά μέσο όρο σε 13 % το 2022 (ετήσιος ρυθμός 17,2 % τον Δεκέμβριο του 2022) και προκλήθηκε από την παγκόσμια αύξηση των τιμών της ενέργειας. Επεσήμαναν εκ νέου το σταθερά υψηλό επίπεδο ανεργίας (σύμφωνα με έρευνα για το εργατικό δυναμικό, ανέρχεται σε 15 %, ενώ το καταγεγραμμένο ποσοστό ανεργίας τον Ιανουάριο 2023 ανερχόταν σε 19,3 %) και τη σημαντική αύξηση των δημοσιονομικών ανισορροπιών στο Μαυροβούνιο το 2022 (δημοσιονομικό έλλειμμα ύψους 5 % του </w:t>
      </w:r>
      <w:proofErr w:type="spellStart"/>
      <w:r>
        <w:t>ΑΕγχΠ</w:t>
      </w:r>
      <w:proofErr w:type="spellEnd"/>
      <w:r>
        <w:t xml:space="preserve">, αποπληρωμή χρέους 5 % του </w:t>
      </w:r>
      <w:proofErr w:type="spellStart"/>
      <w:r>
        <w:t>ΑΕγχΠ</w:t>
      </w:r>
      <w:proofErr w:type="spellEnd"/>
      <w:r>
        <w:t xml:space="preserve"> και δημόσιο χρέος 76,15 % του </w:t>
      </w:r>
      <w:proofErr w:type="spellStart"/>
      <w:r>
        <w:t>ΑΕγχΠ</w:t>
      </w:r>
      <w:proofErr w:type="spellEnd"/>
      <w:r>
        <w:t>). Συμφώνησαν με την εκτίμηση της Παγκόσμιας Τράπεζας ότι η πολυπλοκότητα και η ευπάθεια του πολιτικού τοπίου εντείνουν τις ήδη υψηλές αβεβαιότητες και την αργή μεταρρυθμιστική διαδικασία και συμβάλλουν στην εκτροπή της εστίασης από τις επικείμενες οικονομικές προκλήσεις</w:t>
      </w:r>
      <w:r w:rsidRPr="00F46B74" w:rsidR="002B6554">
        <w:rPr>
          <w:rStyle w:val="FootnoteReference"/>
          <w:lang w:val="en-GB"/>
        </w:rPr>
        <w:footnoteReference w:id="5"/>
      </w:r>
      <w:r>
        <w:t>.</w:t>
      </w:r>
    </w:p>
    <w:p w:rsidRPr="00F46B74" w:rsidR="00F116EE" w:rsidRDefault="00F116EE" w14:paraId="00715592" w14:textId="77777777">
      <w:pPr>
        <w:rPr>
          <w:lang w:val="en-GB"/>
        </w:rPr>
      </w:pPr>
    </w:p>
    <w:p w:rsidRPr="00F46B74" w:rsidR="00D3310E" w:rsidP="00D3310E" w:rsidRDefault="00D3310E" w14:paraId="252A44D4" w14:textId="645FD6A0">
      <w:pPr>
        <w:pStyle w:val="Heading2"/>
      </w:pPr>
      <w:r>
        <w:t>Η ΜΣΕ επανέλαβε το κάλεσμά της προς την Ευρωπαϊκή Επιτροπή και το Συμβούλιο της ΕΕ να συνεχίσουν να επεκτείνουν τα μέτρα και τους μηχανισμούς για την αντιμετώπιση των συνεπειών που έχει η ρωσική επίθεση στην Ουκρανία στα κράτη μέλη της ΕΕ ώστε να συμπεριλάβουν το Μαυροβούνιο και άλλες υποψήφιες προς ένταξη χώρες, καθώς και να παράσχουν επαρκή χρηματοδοτική συνδρομή στο Μαυροβούνιο για να αντιμετωπίσει τις εξαιρετικές οικονομικές και κοινωνικές προκλήσεις που βιώνει.</w:t>
      </w:r>
    </w:p>
    <w:p w:rsidRPr="00F40A38" w:rsidR="00D3310E" w:rsidP="00F40A38" w:rsidRDefault="00D3310E" w14:paraId="3609E673" w14:textId="77777777">
      <w:pPr>
        <w:rPr>
          <w:lang w:val="en-GB"/>
        </w:rPr>
      </w:pPr>
    </w:p>
    <w:p w:rsidRPr="00F46B74" w:rsidR="002661F7" w:rsidP="00D3310E" w:rsidRDefault="00932CBB" w14:paraId="68B9276C" w14:textId="2FB57C2A">
      <w:pPr>
        <w:pStyle w:val="Heading2"/>
      </w:pPr>
      <w:r>
        <w:t xml:space="preserve">Η ΜΣΕ επιβεβαιώνει τον καίριο ρόλο της διαδικασίας του Βερολίνου ως κινητήριας δύναμης της περιφερειακής συνεργασίας και επιταχυντή της διαδικασίας ολοκλήρωσης της ΕΕ. Η σημαντική διευρυμένη μορφή της αντιμετωπίζει όλες τις χώρες των Δυτικών Βαλκανίων ως ισότιμες, γεγονός που λειτουργεί ως καταλύτης για την οικονομική ολοκλήρωση, καθώς και για επενδυτικά έργα και έργα συνδεσιμότητας που αποσκοπούν στην προώθηση της συμφιλίωσης, της ασφάλειας, της ανάπτυξης, της απασχόλησης και της ευημερίας. Καλεί την κυβέρνηση του Μαυροβουνίου να συμμετάσχει πλήρως σε όλους τους τομείς της διαδικασίας του Βερολίνου για τη συνεργασία, συμπεριλαμβανομένων της Πράσινης Ατζέντας για τα Δυτικά Βαλκάνια και έργων στους τομείς των μεταφορών, της στήριξης του ιδιωτικού τομέα, του περιβάλλοντος και των δράσεων για το κλίμα. </w:t>
      </w:r>
    </w:p>
    <w:p w:rsidRPr="00F40A38" w:rsidR="002661F7" w:rsidP="00F40A38" w:rsidRDefault="002661F7" w14:paraId="49D73AA8" w14:textId="77777777">
      <w:pPr>
        <w:rPr>
          <w:lang w:val="en-GB"/>
        </w:rPr>
      </w:pPr>
    </w:p>
    <w:p w:rsidRPr="00F46B74" w:rsidR="00932CBB" w:rsidP="00D3310E" w:rsidRDefault="00932CBB" w14:paraId="2B6FF2C1" w14:textId="2AD9611D">
      <w:pPr>
        <w:pStyle w:val="Heading2"/>
      </w:pPr>
      <w:r>
        <w:t>Η ΜΣΕ χαιρετίζει την υπογραφή τριών συμφωνιών για την κινητικότητα στο πλαίσιο των θεματολογίων κινητικότητας του σχεδίου δράσης για την κοινή περιφερειακή αγορά (CRM) –ελεύθερη κυκλοφορία με ταυτότητες, αναγνώριση των τίτλων τριτοβάθμιας εκπαίδευσης και αναγνώριση των επαγγελματικών προσόντων των ιατρών, των οδοντιάτρων και των αρχιτεκτόνων– στη σύνοδο κορυφής της διαδικασίας του Βερολίνου που πραγματοποιήθηκε στις 3 Νοεμβρίου 2022. Η ΜΣΕ καλεί το κοινοβούλιο του Μαυροβουνίου να εγκρίνει ταχέως τους προτεινόμενους νόμους για την επικύρωση αυτών των συμφωνιών.</w:t>
      </w:r>
    </w:p>
    <w:p w:rsidRPr="00F40A38" w:rsidR="00932CBB" w:rsidP="00F40A38" w:rsidRDefault="00932CBB" w14:paraId="797608F8" w14:textId="77777777">
      <w:pPr>
        <w:rPr>
          <w:lang w:val="en-GB"/>
        </w:rPr>
      </w:pPr>
    </w:p>
    <w:p w:rsidRPr="00F46B74" w:rsidR="00D3310E" w:rsidP="00D3310E" w:rsidRDefault="00D3310E" w14:paraId="77BDB598" w14:textId="00C0A491">
      <w:pPr>
        <w:pStyle w:val="Heading2"/>
      </w:pPr>
      <w:r>
        <w:t>Η ΜΣΕ ζητεί από τις αρχές του Μαυροβουνίου να λάβουν όλα τα αναγκαία μέτρα για την εκπλήρωση των ενδιάμεσων στόχων για τα κεφάλαια 23 και 24, στα οποία καθορίζεται ο γενικός ρυθμός των διαπραγματεύσεων, και την πρόοδο προς την προσωρινή ολοκλήρωση όλων των άλλων κεφαλαίων και ομάδων κεφαλαίων.</w:t>
      </w:r>
    </w:p>
    <w:p w:rsidRPr="00F46B74" w:rsidR="00FB509C" w:rsidRDefault="00FB509C" w14:paraId="7C9A6327" w14:textId="77777777">
      <w:pPr>
        <w:rPr>
          <w:lang w:val="en-GB"/>
        </w:rPr>
      </w:pPr>
    </w:p>
    <w:p w:rsidRPr="00F46B74" w:rsidR="00756FED" w:rsidP="00F633DF" w:rsidRDefault="006746E7" w14:paraId="49DACBA0" w14:textId="4008D6EE">
      <w:pPr>
        <w:pStyle w:val="Heading1"/>
        <w:keepNext/>
        <w:keepLines/>
      </w:pPr>
      <w:r>
        <w:rPr>
          <w:b/>
        </w:rPr>
        <w:t>Ομάδα κεφαλαίων 1: «Οι θεμελιώδεις αρχές της διαδικασίας προσχώρησης», με ιδιαίτερη έμφαση στη δικαστική εξουσία και τα θεμελιώδη δικαιώματα, στη δικαιοσύνη, την ασφάλεια και την ελευθερία, και στη λειτουργία των δημοκρατικών θεσμών</w:t>
      </w:r>
    </w:p>
    <w:p w:rsidRPr="00F40A38" w:rsidR="00756FED" w:rsidP="00F40A38" w:rsidRDefault="00756FED" w14:paraId="69C287B9" w14:textId="77777777">
      <w:pPr>
        <w:rPr>
          <w:lang w:val="en-GB"/>
        </w:rPr>
      </w:pPr>
    </w:p>
    <w:p w:rsidRPr="00F46B74" w:rsidR="00922CC4" w:rsidP="00D74A01" w:rsidRDefault="00D26532" w14:paraId="30A91403" w14:textId="45D599D8">
      <w:pPr>
        <w:pStyle w:val="Heading2"/>
      </w:pPr>
      <w:r>
        <w:t>Η ΜΣΕ επαναλαμβάνει την υποστήριξή της προς τον κεντρικό ρόλο της ομάδας κεφαλαίων «Θεμελιώδεις αρχές»</w:t>
      </w:r>
      <w:r w:rsidRPr="00F46B74" w:rsidR="000C78A0">
        <w:rPr>
          <w:rStyle w:val="FootnoteReference"/>
          <w:sz w:val="22"/>
          <w:lang w:val="en-GB"/>
        </w:rPr>
        <w:footnoteReference w:id="6"/>
      </w:r>
      <w:r>
        <w:t>, η πρόοδος της οποίας επηρεάζει όλα τα άλλα κριτήρια και καθορίζει τη δυναμική των διαπραγματεύσεων για την ένταξη στην ΕΕ. Ωστόσο, είναι σαφές ότι η νέα μεθοδολογία ένταξης θα είναι δύσκολο να επιτύχει πλήρες αποτέλεσμα χωρίς αδιαμφισβήτητη πολιτική αποφασιστικότητα και καλή θέληση από μείζονες πολιτικούς φορείς στο Μαυροβούνιο και στα κράτη μέλη της ΕΕ.</w:t>
      </w:r>
    </w:p>
    <w:p w:rsidRPr="00F40A38" w:rsidR="00922CC4" w:rsidP="00F40A38" w:rsidRDefault="00922CC4" w14:paraId="61717A00" w14:textId="77777777">
      <w:pPr>
        <w:rPr>
          <w:lang w:val="en-GB"/>
        </w:rPr>
      </w:pPr>
    </w:p>
    <w:p w:rsidRPr="00F46B74" w:rsidR="0021079A" w:rsidP="0094277A" w:rsidRDefault="0021079A" w14:paraId="1CF2E02C" w14:textId="4F17010F">
      <w:pPr>
        <w:pStyle w:val="Heading2"/>
      </w:pPr>
      <w:r>
        <w:t>Τα μέλη της ΜΣΕ τονίζουν ότι η εν εξελίξει εκλογική μεταρρύθμιση, καθώς και οι μεταρρυθμίσεις των δικαστικών υπηρεσιών, των αστυνομικών και διωκτικών υπηρεσιών και των υπηρεσιών πληροφοριών, που έχουν ως σκοπό να μπορέσει η χώρα να αντιμετωπίσει τη διαφθορά και το οργανωμένο έγκλημα, πρέπει να ευθυγραμμιστούν με τις δεσμεύσεις που αναλαμβάνονται στο πλαίσιο των διαπραγματεύσεων προσχώρησης στην ΕΕ και με τις συστάσεις διεθνών οργανισμών όπως το Γραφείο Δημοκρατικών Θεσμών και Ανθρωπίνων Δικαιωμάτων (ODIHR) του Οργανισμού για την Ασφάλεια και τη Συνεργασία στην Ευρώπη (ΟΑΣΕ), η Ομάδα Χωρών κατά της Διαφθοράς του Συμβουλίου της Ευρώπης (GRECO)</w:t>
      </w:r>
      <w:r w:rsidRPr="00F46B74">
        <w:rPr>
          <w:rStyle w:val="FootnoteReference"/>
          <w:sz w:val="22"/>
          <w:lang w:val="en-GB"/>
        </w:rPr>
        <w:footnoteReference w:id="7"/>
      </w:r>
      <w:r>
        <w:t xml:space="preserve"> και η Επιτροπή της Βενετίας, καθώς και με τις συστάσεις από διάφορες σχετικές αποστολές αξιολόγησης από </w:t>
      </w:r>
      <w:proofErr w:type="spellStart"/>
      <w:r>
        <w:t>ομοτίμους</w:t>
      </w:r>
      <w:proofErr w:type="spellEnd"/>
      <w:r>
        <w:t xml:space="preserve">. Προτρέπουν επίσης τις αρχές του Μαυροβουνίου να επιδείξουν σαφώς την ισχυρή πολιτική τους βούληση να επιταχύνουν τις μεταρρυθμίσεις και να συμπεριλάβουν τις οργανώσεις της κοινωνίας των πολιτών (ΟΚΠ) σε αυτήν τη διαδικασία. </w:t>
      </w:r>
    </w:p>
    <w:p w:rsidRPr="00F40A38" w:rsidR="0021079A" w:rsidP="00F40A38" w:rsidRDefault="0021079A" w14:paraId="795753E6" w14:textId="77777777">
      <w:pPr>
        <w:rPr>
          <w:lang w:val="en-GB"/>
        </w:rPr>
      </w:pPr>
    </w:p>
    <w:p w:rsidRPr="00F46B74" w:rsidR="00020570" w:rsidP="0094277A" w:rsidRDefault="00D90552" w14:paraId="21912234" w14:textId="70A39555">
      <w:pPr>
        <w:pStyle w:val="Heading2"/>
      </w:pPr>
      <w:r>
        <w:t>Η ΜΣΕ επικροτεί τον πρόσφατο διορισμό τριών δικαστών στο Συνταγματικό Δικαστήριο. Τονίζει ότι ένα πλήρως λειτουργικό Συνταγματικό Δικαστήριο είναι καίριας σημασίας για τη διασφάλιση της πρόσβασης στη δικαιοσύνη και τον σεβασμό των θεμελιωδών δικαιωμάτων όλων των πολιτών. Τα μέλη της ΜΣΕ τονίζουν επίσης τη σημασία της ολοκλήρωσης όλων των εναπομενόντων διορισμών στα βασικά δικαστικά όργανα, ιδίως τη θέση του γενικού εισαγγελέα του κράτους, καθώς και την ανάγκη για επαγγελματισμό και κατάρτιση των νέων και των υφιστάμενων δικαστών. Επισημαίνουν ότι το δικαστικό σώμα του Μαυροβουνίου μπορεί να πάει μπροστά μόνο εάν το δημόσιο συμφέρον υπερισχύσει του πολιτικού και ξεπεραστούν οι πολιτικές διαφορές, εδραιωθεί και ενισχυθεί ο πολιτικός διάλογος και διοριστούν εμπειρογνώμονες σε καίριες θέσεις.</w:t>
      </w:r>
    </w:p>
    <w:p w:rsidRPr="00F40A38" w:rsidR="00020570" w:rsidP="00F40A38" w:rsidRDefault="00020570" w14:paraId="57D9F417" w14:textId="77777777">
      <w:pPr>
        <w:rPr>
          <w:lang w:val="en-GB"/>
        </w:rPr>
      </w:pPr>
    </w:p>
    <w:p w:rsidRPr="00F46B74" w:rsidR="00410FBC" w:rsidP="00802919" w:rsidRDefault="00CD4BA5" w14:paraId="6DD62646" w14:textId="77777777">
      <w:pPr>
        <w:pStyle w:val="Heading2"/>
      </w:pPr>
      <w:r>
        <w:t xml:space="preserve">Οι ΜΣΕ προσδοκά ότι οι επικείμενες προεδρικές εκλογές στις 19 Μαρτίου θα πραγματοποιηθούν με ομαλό τρόπο και ότι η προεκλογική εκστρατεία θα διεξαχθεί σε ένα δημοκρατικό και ανεκτικό κλίμα, απαλλαγμένο από εκφοβισμό, φόβο αντιποίνων και άσκηση πιέσεων στους ψηφοφόρους, συμπεριλαμβανομένων των δημοσίων υπαλλήλων. Τα μέλη της ΜΣΕ επισημαίνουν ότι οι εκλογές από μόνες τους δεν θα λύσουν το πρόβλημα όσο οι διορισμοί εξακολουθούν να γίνονται με κομματικά κριτήρια, αντί να εκπροσωπούν τα συμφέροντα της κοινωνίας και να φέρνουν τα θεσμικά όργανα στην υπηρεσία των πολιτών. </w:t>
      </w:r>
    </w:p>
    <w:p w:rsidRPr="00F40A38" w:rsidR="00410FBC" w:rsidP="00F40A38" w:rsidRDefault="00410FBC" w14:paraId="1C1D8943" w14:textId="77777777">
      <w:pPr>
        <w:rPr>
          <w:lang w:val="en-GB"/>
        </w:rPr>
      </w:pPr>
    </w:p>
    <w:p w:rsidRPr="00F46B74" w:rsidR="00020570" w:rsidP="00802919" w:rsidRDefault="00925EF7" w14:paraId="7CDEC84B" w14:textId="70473C94">
      <w:pPr>
        <w:pStyle w:val="Heading2"/>
      </w:pPr>
      <w:r>
        <w:t xml:space="preserve">Η ΜΣΕ επισημαίνει για άλλη μια φορά ότι η πολιτική δεν πρέπει να υπερισχύει του κράτους δικαίου και ότι όλοι οι διορισμοί στη δημόσια διοίκηση πρέπει να είναι </w:t>
      </w:r>
      <w:proofErr w:type="spellStart"/>
      <w:r>
        <w:t>αποπολιτικοποιημένοι</w:t>
      </w:r>
      <w:proofErr w:type="spellEnd"/>
      <w:r>
        <w:t xml:space="preserve"> και διαφανείς, να πραγματοποιούνται με βάση σαφώς καθορισμένα κριτήρια και να υπόκεινται σε δημόσιο διαγωνισμό. Η συνεχιζόμενη πρακτική της στενής διασύνδεσης των πολιτικών κομμάτων και της διοίκησης, που οδηγεί σε νεποτισμό και πελατειακές σχέσεις, καθώς και στην απώλεια έμπειρου προσωπικού σε θέματα που σχετίζονται με τη διαδικασία προσχώρησης στην ΕΕ, πρέπει να σταματήσουν. </w:t>
      </w:r>
    </w:p>
    <w:p w:rsidRPr="00F40A38" w:rsidR="00020570" w:rsidP="00F40A38" w:rsidRDefault="00020570" w14:paraId="09B6E7A0" w14:textId="77777777">
      <w:pPr>
        <w:rPr>
          <w:lang w:val="en-GB"/>
        </w:rPr>
      </w:pPr>
    </w:p>
    <w:p w:rsidRPr="00F46B74" w:rsidR="00932CBB" w:rsidP="004942B2" w:rsidRDefault="00932CBB" w14:paraId="7F9BA34B" w14:textId="1DE04D77">
      <w:pPr>
        <w:pStyle w:val="Heading2"/>
      </w:pPr>
      <w:r>
        <w:t>Η ΜΣΕ αναγνωρίζει τη σημασία του πυλώνα «λειτουργία των δημοκρατικών θεσμών» της ομάδας κεφαλαίων «Θεμελιώδεις αρχές» ως ενός από τα κύρια νέα χαρακτηριστικά της αναθεωρημένης μεθοδολογίας του 2020. Καλεί το Κοινοβούλιο και την κυβέρνηση του Μαυροβουνίου να αναπτύξουν από κοινού χάρτη πορείας για τη λειτουργία των δημοκρατικών θεσμών, σύμφωνα με το σχέδιο δράσης για την ευρωπαϊκή δημοκρατία που ενδυναμώνει τους πολίτες και την κοινωνία των πολιτών</w:t>
      </w:r>
      <w:r w:rsidRPr="00F46B74" w:rsidR="00201AB9">
        <w:rPr>
          <w:rStyle w:val="FootnoteReference"/>
          <w:lang w:val="en-GB"/>
        </w:rPr>
        <w:footnoteReference w:id="8"/>
      </w:r>
      <w:r>
        <w:t>.</w:t>
      </w:r>
    </w:p>
    <w:p w:rsidRPr="00F40A38" w:rsidR="00932CBB" w:rsidP="00F40A38" w:rsidRDefault="00932CBB" w14:paraId="419E1049" w14:textId="77777777">
      <w:pPr>
        <w:rPr>
          <w:lang w:val="en-GB"/>
        </w:rPr>
      </w:pPr>
    </w:p>
    <w:p w:rsidRPr="00F46B74" w:rsidR="00C33DA0" w:rsidP="004942B2" w:rsidRDefault="00C33DA0" w14:paraId="11ECFC3B" w14:textId="32B15029">
      <w:pPr>
        <w:pStyle w:val="Heading2"/>
      </w:pPr>
      <w:r>
        <w:t>Τα μέλη της ΜΣΕ εκφράζουν τη ικανοποίησή τους για το γεγονός ότι, σύμφωνα με τον Παγκόσμιο Δείκτη Ελευθερίας του Τύπου των Δημοσιογράφων χωρίς Σύνορα (RSF) για το 2022</w:t>
      </w:r>
      <w:r w:rsidRPr="00F46B74">
        <w:rPr>
          <w:vertAlign w:val="superscript"/>
          <w:lang w:val="en-GB"/>
        </w:rPr>
        <w:footnoteReference w:id="9"/>
      </w:r>
      <w:r>
        <w:t>, το Μαυροβούνιο ανέβηκε 41 θέσεις από το 2021, και τώρα κατατάσσεται 63ο παγκοσμίως σε 180 χώρες που ερευνήθηκαν σε σχέση με την ελευθερία του Τύπου. Εκφράζουν την ικανοποίησή τους για τη συνεχιζόμενη ενίσχυση του πλαισίου για την αποτελεσματική προστασία των δημοσιογράφων και άλλων εργαζομένων στα μέσα ενημέρωσης, καθώς και για την επίτευξη προόδου όσον αφορά τη διερεύνηση επιθέσεων κατά δημοσιογράφων, παρότι ορισμένες από τις σημαντικότερες παλαιές υποθέσεις παραμένουν ανεπίλυτες. Ενθαρρύνουν τον δημόσιο ραδιοτηλεοπτικό φορέα RTCG να ακολουθήσει μια πιο πλουραλιστική συντακτική πολιτική και να εφαρμόσει πιο υψηλά πρότυπα όσον αφορά την ανεξαρτησία και τον επαγγελματισμό. Για ακόμη μία φορά, η ΜΣΕ ενθαρρύνει τις αρχές του Μαυροβουνίου να ολοκληρώσουν την αναθεώρηση του νομικού πλαισίου και του πλαισίου πολιτικής στον τομέα των μέσων ενημέρωσης, μεταξύ άλλων με την έγκριση σχεδίων νόμων και στρατηγικής για τα μέσα ενημέρωσης.</w:t>
      </w:r>
    </w:p>
    <w:p w:rsidRPr="00F40A38" w:rsidR="00C33DA0" w:rsidP="00F40A38" w:rsidRDefault="00C33DA0" w14:paraId="33ECDFAD" w14:textId="77777777">
      <w:pPr>
        <w:rPr>
          <w:lang w:val="en-GB"/>
        </w:rPr>
      </w:pPr>
    </w:p>
    <w:p w:rsidRPr="00F46B74" w:rsidR="00C33DA0" w:rsidP="004942B2" w:rsidRDefault="00C33DA0" w14:paraId="709ADC8E" w14:textId="1F71864E">
      <w:pPr>
        <w:pStyle w:val="Heading2"/>
      </w:pPr>
      <w:r>
        <w:t xml:space="preserve">Η ΜΣΕ επικροτεί τις προσπάθειες που καταβάλλουν οι αρχές του Μαυροβουνίου προκειμένου να αναπτύξουν ικανότητες </w:t>
      </w:r>
      <w:proofErr w:type="spellStart"/>
      <w:r>
        <w:t>κυβερνοασφάλειας</w:t>
      </w:r>
      <w:proofErr w:type="spellEnd"/>
      <w:r>
        <w:t xml:space="preserve"> και να καταπολεμήσουν την παραπληροφόρηση και τις παρεμβάσεις τρίτων χωρών στα εθνικά μέσα ενημέρωσης, σε στενή συνεργασία με τους εταίρους από την ΕΕ. Εκφράζει μεγάλη ανησυχία για την </w:t>
      </w:r>
      <w:proofErr w:type="spellStart"/>
      <w:r>
        <w:t>κυβερνοεπίθεση</w:t>
      </w:r>
      <w:proofErr w:type="spellEnd"/>
      <w:r>
        <w:t xml:space="preserve"> κατά των ψηφιακών υποδομών της δημόσιας διοίκησης του Μαυροβουνίου το δεύτερο εξάμηνο του 2022, που είχε ως αποτέλεσμα το μερικό πάγωμα των εργασιών της, και εκφράζει την ελπίδα ότι αυτό το είδος επίθεσης θα προλαμβάνεται επιτυχώς στο μέλλον. Στο πλαίσιο αυτό, ζητεί την ταχεία εφαρμογή της στρατηγικής του Μαυροβουνίου για την </w:t>
      </w:r>
      <w:proofErr w:type="spellStart"/>
      <w:r>
        <w:t>κυβερνοασφάλεια</w:t>
      </w:r>
      <w:proofErr w:type="spellEnd"/>
      <w:r>
        <w:t xml:space="preserve"> για την περίοδο 2022-2026.</w:t>
      </w:r>
    </w:p>
    <w:p w:rsidRPr="00F40A38" w:rsidR="00C33DA0" w:rsidP="00F40A38" w:rsidRDefault="00C33DA0" w14:paraId="6B8B27D3" w14:textId="77777777">
      <w:pPr>
        <w:rPr>
          <w:lang w:val="en-GB"/>
        </w:rPr>
      </w:pPr>
    </w:p>
    <w:p w:rsidRPr="00F46B74" w:rsidR="00A870AA" w:rsidP="004942B2" w:rsidRDefault="00A870AA" w14:paraId="61C75C69" w14:textId="0C8DA172">
      <w:pPr>
        <w:pStyle w:val="Heading2"/>
      </w:pPr>
      <w:r>
        <w:t>Η ΜΣΕ καλεί τις αρχές του Μαυροβουνίου να επιταχύνουν την εκπόνηση νέας νομοθεσίας, καθώς και νέων στρατηγικών και πολιτικών για τα ανθρώπινα δικαιώματα, συμπεριλαμβανομένου του νέου νόμου για την απαγόρευση των διακρίσεων, που θα πληρούν τα ευρωπαϊκά πρότυπα κατά των διακρίσεων και θα παρέχουν ποιοτική προστασία έναντι των διακρίσεων για όλους τους πολίτες, καθώς και θα βελτιώσουν την εφαρμογή και την παρακολούθηση των υφιστάμενων μέσων. Εξαίρει το έργο του γραφείου του Διαμεσολαβητή και ενθαρρύνει τις αρχές του Μαυροβουνίου να συνεχίσουν να ακολουθούν τις συστάσεις του.</w:t>
      </w:r>
    </w:p>
    <w:p w:rsidRPr="00F40A38" w:rsidR="00A870AA" w:rsidP="00F40A38" w:rsidRDefault="00A870AA" w14:paraId="4CD815B1" w14:textId="77777777">
      <w:pPr>
        <w:rPr>
          <w:lang w:val="en-GB"/>
        </w:rPr>
      </w:pPr>
    </w:p>
    <w:p w:rsidRPr="00F46B74" w:rsidR="00383196" w:rsidP="004942B2" w:rsidRDefault="00383196" w14:paraId="48E09AB3" w14:textId="42A0BE9A">
      <w:pPr>
        <w:pStyle w:val="Heading2"/>
      </w:pPr>
      <w:r>
        <w:t xml:space="preserve">Η ΜΣΕ εκφράζει την ικανοποίησή της για το γεγονός ότι η «χορήγηση ιθαγένειας του Μαυροβουνίου μέσω επενδύσεων» σε πολίτες χωρών εκτός ΕΕ τερματίστηκε στις αρχές του 2023, καθώς αποτελεί πιθανή πηγή διαφθοράς, φοροδιαφυγής και νομιμοποίησης εσόδων από παράνομες δραστηριότητες, και καλεί τις αρχές τους Μαυροβουνίου να παρακολουθούν τη διαδικασία σταδιακής κατάργησής της. Η ΜΣΕ καλεί τις αρχές του Μαυροβουνίου να διασφαλίσουν την περαιτέρω ευθυγράμμιση της πολιτικής θεωρήσεων της χώρας με τον κατάλογο της ΕΕ των τρίτων χωρών που υπόκεινται σε υποχρέωση θεώρησης, ιδίως εκείνων που παρουσιάζουν κινδύνους παράτυπης μετανάστευσης ή ασφάλειας για την ΕΕ, και θεωρεί ότι θα πρέπει να αποφευχθεί οποιαδήποτε περαιτέρω απόκλιση από τον εν λόγω κατάλογο. Εξαίρει τη συνεργασία του Μαυροβουνίου με τον Ευρωπαϊκό Οργανισμό </w:t>
      </w:r>
      <w:proofErr w:type="spellStart"/>
      <w:r>
        <w:t>Συνοριοφυλακής</w:t>
      </w:r>
      <w:proofErr w:type="spellEnd"/>
      <w:r>
        <w:t xml:space="preserve"> και Ακτοφυλακής (</w:t>
      </w:r>
      <w:proofErr w:type="spellStart"/>
      <w:r>
        <w:t>Frontex</w:t>
      </w:r>
      <w:proofErr w:type="spellEnd"/>
      <w:r>
        <w:t xml:space="preserve">) στον τομέα της διαχείρισης των συνόρων. </w:t>
      </w:r>
    </w:p>
    <w:p w:rsidRPr="00F40A38" w:rsidR="00383196" w:rsidP="00F40A38" w:rsidRDefault="00383196" w14:paraId="6B9B99FE" w14:textId="77777777">
      <w:pPr>
        <w:rPr>
          <w:lang w:val="en-GB"/>
        </w:rPr>
      </w:pPr>
    </w:p>
    <w:p w:rsidRPr="00F46B74" w:rsidR="00383196" w:rsidP="006F22D4" w:rsidRDefault="00697D0A" w14:paraId="4B6FA4BA" w14:textId="2ADDC28B">
      <w:pPr>
        <w:pStyle w:val="Heading2"/>
      </w:pPr>
      <w:r>
        <w:t xml:space="preserve">Τα μέλη της ΜΣΕ συγχαίρουν τις αρχές του Μαυροβουνίου για την αρχική πρόοδο που επετεύχθη όσον αφορά τις έρευνες και τις διώξεις υποθέσεων διαφθοράς υψηλού επιπέδου, καθώς και για την καταπολέμηση του οργανωμένου εγκλήματος και την κατάσχεση πρωτοφανών ποσοτήτων ναρκωτικών, παρόλο που η κατάσταση στη χώρα όσον αφορά τους εν λόγω τομείς εξακολουθεί να είναι σοβαρή. Ενθαρρύνουν τις αρχές του Μαυροβουνίου να συνεχίσουν την καλή συνεργασία τους με την </w:t>
      </w:r>
      <w:proofErr w:type="spellStart"/>
      <w:r>
        <w:t>Ευρωπόλ</w:t>
      </w:r>
      <w:proofErr w:type="spellEnd"/>
      <w:r>
        <w:t xml:space="preserve"> και τη </w:t>
      </w:r>
      <w:proofErr w:type="spellStart"/>
      <w:r>
        <w:t>Eurojust</w:t>
      </w:r>
      <w:proofErr w:type="spellEnd"/>
      <w:r>
        <w:t xml:space="preserve"> για την καταπολέμηση του οργανωμένου εγκλήματος και της τρομοκρατίας, καθώς και να υιοθετήσουν και να εφαρμόσουν κατάλληλη νομική προσέγγιση όσον αφορά τις χρηματοοικονομικές έρευνες και τη δήμευση περιουσιακών στοιχείων για ποινικά αδικήματα διαφθοράς υψηλού επιπέδου και οργανωμένου εγκλήματος (όπως το λαθρεμπόριο ναρκωτικών και καπνού και η νομιμοποίηση εσόδων από παράνομες δραστηριότητες).</w:t>
      </w:r>
    </w:p>
    <w:p w:rsidRPr="00F40A38" w:rsidR="00FC0CE7" w:rsidP="00F40A38" w:rsidRDefault="00FC0CE7" w14:paraId="150F4C5D" w14:textId="77777777">
      <w:pPr>
        <w:rPr>
          <w:lang w:val="en-GB"/>
        </w:rPr>
      </w:pPr>
    </w:p>
    <w:p w:rsidRPr="00F46B74" w:rsidR="00FC0CE7" w:rsidP="00F633DF" w:rsidRDefault="009A3696" w14:paraId="06F148A1" w14:textId="77777777">
      <w:pPr>
        <w:pStyle w:val="Heading1"/>
        <w:keepNext/>
        <w:keepLines/>
        <w:rPr>
          <w:b/>
        </w:rPr>
      </w:pPr>
      <w:r>
        <w:rPr>
          <w:b/>
        </w:rPr>
        <w:t>Επισκόπηση της κατάστασης της κοινωνίας των πολιτών στο Μαυροβούνιο</w:t>
      </w:r>
    </w:p>
    <w:p w:rsidRPr="00F40A38" w:rsidR="00AD39C9" w:rsidP="00F40A38" w:rsidRDefault="00AD39C9" w14:paraId="717C0ED8" w14:textId="77777777">
      <w:pPr>
        <w:rPr>
          <w:lang w:val="en-GB"/>
        </w:rPr>
      </w:pPr>
    </w:p>
    <w:p w:rsidRPr="00F46B74" w:rsidR="008377F5" w:rsidP="008377F5" w:rsidRDefault="008B17CA" w14:paraId="69E3632B" w14:textId="2BEF56E3">
      <w:pPr>
        <w:pStyle w:val="Heading2"/>
      </w:pPr>
      <w:r>
        <w:t xml:space="preserve">Τα μέλη της ΜΣΕ πιστεύουν ότι ο βαθμός συνεργασίας της κυβέρνησης με τις ΟΚΠ μπορεί να θεωρηθεί ένας από τους δείκτες που υποδεικνύουν τον βαθμό εκδημοκρατισμού της κοινωνίας. Θεωρούν ότι οι ΟΚΠ θα πρέπει να θωρούνται ως πραγματικοί στρατηγικοί εταίροι στην ανάπτυξη μεταρρυθμίσεων και στην εφαρμογή δημόσιων πολιτικών. Στο πλαίσιο αυτό, επικροτούν την έγκριση, τον Ιούλιο του 2022, της </w:t>
      </w:r>
      <w:r>
        <w:rPr>
          <w:i/>
        </w:rPr>
        <w:t>Στρατηγικής για τη συνεργασία των κρατικών διοικητικών φορέων και των μη κυβερνητικών οργανώσεων για την περίοδο 2022-2026</w:t>
      </w:r>
      <w:r>
        <w:t xml:space="preserve"> και καλούν το Συμβούλιο για τη συνεργασία μεταξύ κυβερνητικών θεσμικών οργάνων και ΜΚΟ να διορίσει τα μέλη του και να ξεκινήσει εκ νέου τις εργασίες του που διακόπηκαν τον Οκτώβριο του 2021. Η ΜΣΕ πιστεύει ότι το εν λόγω Συμβούλιο, καθώς και το Κοινωνικό Συμβούλιο, θα πρέπει να συνεδριάζουν σε πιο τακτική και διαρθρωτική βάση και να είναι πιο λειτουργικά και ορατά.</w:t>
      </w:r>
    </w:p>
    <w:p w:rsidRPr="00F46B74" w:rsidR="008377F5" w:rsidP="008377F5" w:rsidRDefault="008377F5" w14:paraId="3366068D" w14:textId="77777777">
      <w:pPr>
        <w:rPr>
          <w:lang w:val="en-GB"/>
        </w:rPr>
      </w:pPr>
    </w:p>
    <w:p w:rsidRPr="00F46B74" w:rsidR="002F1DD1" w:rsidP="008377F5" w:rsidRDefault="001F13E5" w14:paraId="153837F6" w14:textId="1C6D849C">
      <w:pPr>
        <w:pStyle w:val="Heading2"/>
      </w:pPr>
      <w:r>
        <w:t>Τα μέλη της ΜΣΕ καλούν την Ευρωπαϊκή Επιτροπή να παράσχει πιο ουσιαστική χρηματοδοτική στήριξη στις ΟΚΠ και τους κοινωνικούς εταίρους στο Μαυροβούνιο προκειμένου να τους δώσει τη δυνατότητα να είναι ανεξάρτητοι, αποτελεσματικοί και επαγγελματικοί φορείς της κοινωνίας και να εκπροσωπούν με τον καλύτερο τρόπο τα συμφέροντα των πολιτών, να συμμετέχουν στις μεταρρυθμίσεις, να συμβάλλουν στον εξευρωπαϊσμό της κοινωνίας και να επιταχύνουν τη διαδικασία προσχώρησης του Μαυροβουνίου στην ΕΕ. Η ΜΣΕ προτρέπει για ακόμα μια φορά την κυβέρνηση του Μαυροβουνίου να διατηρήσει τις επιχορηγήσεις από τον προϋπολογισμό για τις ΟΚΠ ως χωριστή γραμμή του προϋπολογισμού κα να παράσχει πρόσβαση στη συγχρηματοδότηση όχι μόνο στις ΜΚΟ, αλλά και στους κοινωνικούς εταίρους και σε άλλα είδη ΟΚΠ.</w:t>
      </w:r>
    </w:p>
    <w:p w:rsidRPr="00F46B74" w:rsidR="002F1DD1" w:rsidP="002F1DD1" w:rsidRDefault="002F1DD1" w14:paraId="0CDEF187" w14:textId="77777777">
      <w:pPr>
        <w:rPr>
          <w:lang w:val="en-GB"/>
        </w:rPr>
      </w:pPr>
    </w:p>
    <w:p w:rsidRPr="00F46B74" w:rsidR="001F13E5" w:rsidP="008377F5" w:rsidRDefault="001F13E5" w14:paraId="12BC5110" w14:textId="5B912954">
      <w:pPr>
        <w:pStyle w:val="Heading2"/>
      </w:pPr>
      <w:r>
        <w:t>Η ΜΣΕ τονίζει ότι πρέπει να καταβληθούν πραγματικές προσπάθειες από την κοινωνία των πολιτών και την κυβέρνηση ούτως ώστε να διασφαλιστεί, αφενός, η ουσιαστική συμμετοχή των ΟΚΠ και των κοινωνικών εταίρων στις διαδικασίες λήψης αποφάσεων και, αφετέρου, η συνεργασία μεταξύ των ίδιων των ΟΚΠ και κοινωνικών εταίρων και η ενότητά τους όσον αφορά καίρια ζητήματα για τους πολίτες και την κοινωνία. Η ΜΣΕ υπογραμμίζει για άλλη μια φορά τη σημασία της ουσιαστικής συμμετοχής των ανεξάρτητων ΟΚΠ σε όλες τις πτυχές της χάραξης πολιτικής και στις διαπραγματεύσεις προσχώρησης στην ΕΕ, και υπογραμμίζει επίσης τον ρόλο των ΟΚΠ στη βελτίωση του συνολικού δημοκρατικού περιβάλλοντος στο Μαυροβούνιο μέσω των δραστηριοτήτων επαγρύπνησης και υπεράσπισης στις οποίες επιδίδονται. Υπό την έννοια αυτή, η γνώμη της Υπηρεσίας για την Πρόληψη της Διαφθοράς βάσει της οποίας οι εκπρόσωποι των ΜΚΟ που είναι μέλη των ομάδων εργασίας και των φορέων είναι δημόσιοι υπάλληλοι παραμένει αμφιλεγόμενη και μπορεί να βλάψει τη συνεργασία μεταξύ της κυβέρνησης και των ΜΚΟ, καθώς και να μειώσει την επιρροή των ΜΚΟ. Η ΜΣΕ επισημαίνει ότι εκπρόσωποι της κοινωνίας των πολιτών που είναι μέλη κυβερνητικών οργάνων δεν θα πρέπει να αντιμετωπίζονται ως δημόσιοι υπάλληλοι, δεδομένου ότι αυτό αντιτίθεται στην αποστολή τους ως μη κυβερνητικών και μη κερδοσκοπικών οργανώσεων.</w:t>
      </w:r>
    </w:p>
    <w:p w:rsidRPr="00F40A38" w:rsidR="001F13E5" w:rsidP="00F40A38" w:rsidRDefault="001F13E5" w14:paraId="59B35966" w14:textId="77777777">
      <w:pPr>
        <w:rPr>
          <w:lang w:val="en-GB"/>
        </w:rPr>
      </w:pPr>
    </w:p>
    <w:p w:rsidRPr="00F46B74" w:rsidR="002C61FE" w:rsidP="00C33DA0" w:rsidRDefault="002C61FE" w14:paraId="0EA68007" w14:textId="7DD991BA">
      <w:pPr>
        <w:pStyle w:val="Heading2"/>
      </w:pPr>
      <w:r>
        <w:t>Η ΜΣΕ εκφράζει τη λύπη της για το γεγονός ότι συνεχίζεται η καθυστέρηση όσον αφορά την ανακοίνωση δημόσιων προσκλήσεων για τη χρηματοδότηση έργων ΜΚΟ σε τομείς προτεραιότητας της δημόσιας δραστηριότητας, σύμφωνα με τον νόμο για τις μη κυβερνητικές οργανώσεις, και ότι δεν έχουν κατανεμηθεί περισσότερα από 1,1 εκατομμύρια ευρώ που προβλέπονται για αυτόν τον σκοπό στον προϋπολογισμό του 2022.</w:t>
      </w:r>
    </w:p>
    <w:p w:rsidRPr="00F40A38" w:rsidR="002C61FE" w:rsidP="00F40A38" w:rsidRDefault="002C61FE" w14:paraId="6A4D68E1" w14:textId="77777777">
      <w:pPr>
        <w:rPr>
          <w:lang w:val="en-GB"/>
        </w:rPr>
      </w:pPr>
    </w:p>
    <w:p w:rsidRPr="00F46B74" w:rsidR="00B20C3E" w:rsidP="00C33DA0" w:rsidRDefault="006C57F4" w14:paraId="2E83685C" w14:textId="248A578C">
      <w:pPr>
        <w:pStyle w:val="Heading2"/>
      </w:pPr>
      <w:r>
        <w:t>Η ΜΣΕ εκφράζει τη λύπη της για το γεγονός ότι δεν έχουν ακόμη εγκριθεί σημαντικοί νόμοι για την κοινωνία των πολιτών, όπως το αναθεωρημένο πλαίσιο που επιτρέπει ελεύθερη πρόσβαση στις πληροφορίες χωρίς περιττούς περιορισμούς και η νέα νομοθεσία για τον εθελοντισμό. Τονίζει ότι το πρόβλημα της μη συμμόρφωσης των αρχών του Μαυροβουνίου με σαφείς νομικές υποχρεώσεις που σχετίζονται με τη στήριξη των ΟΚΠ, όπως η υποχρέωση των υπουργείων να δημοσιεύουν προσκλήσεις για τη χορήγηση επιχορηγήσεων σε ΟΚΠ, καθώς και η πρόσβαση σε πληροφορίες, έχει θέσει πολλές ΟΚΠ σε δύσκολη κατάσταση.</w:t>
      </w:r>
    </w:p>
    <w:p w:rsidRPr="00F40A38" w:rsidR="00B20C3E" w:rsidP="00F40A38" w:rsidRDefault="00B20C3E" w14:paraId="02475C94" w14:textId="77777777">
      <w:pPr>
        <w:rPr>
          <w:lang w:val="en-GB"/>
        </w:rPr>
      </w:pPr>
    </w:p>
    <w:p w:rsidRPr="00F46B74" w:rsidR="004308D7" w:rsidP="002F24D9" w:rsidRDefault="00A93BC9" w14:paraId="1925579E" w14:textId="5AF876B2">
      <w:pPr>
        <w:pStyle w:val="Heading2"/>
      </w:pPr>
      <w:r>
        <w:t xml:space="preserve">Η ΜΣΕ χαιρετίζει τις πρόσφατες προσπάθειες των αρχών του Μαυροβουνίου να συμπεριλάβουν με πιο αποτελεσματικό τρόπο τους εκπροσώπους της κοινωνίας των πολιτών στις διαπραγματεύσεις προσχώρησης, αλλά τονίζει για άλλη μια φορά ότι αυτές οι διαβουλεύσεις θα πρέπει να είναι ουσιαστικές και να μην περιορίζονται στην άτυπη συμμετοχή των ΟΚΠ σε ομάδες εργασίας </w:t>
      </w:r>
    </w:p>
    <w:p w:rsidRPr="00F40A38" w:rsidR="00C33DA0" w:rsidP="00F40A38" w:rsidRDefault="00C33DA0" w14:paraId="04AFF3B2" w14:textId="77777777">
      <w:pPr>
        <w:rPr>
          <w:lang w:val="en-GB"/>
        </w:rPr>
      </w:pPr>
    </w:p>
    <w:p w:rsidRPr="00F46B74" w:rsidR="00C33DA0" w:rsidP="00C33DA0" w:rsidRDefault="00C33DA0" w14:paraId="77DE0AE5" w14:textId="359D4F68">
      <w:pPr>
        <w:pStyle w:val="Heading2"/>
      </w:pPr>
      <w:r>
        <w:t>Η ΜΣΕ εκφράζει την ικανοποίησή της για την υπογραφή τον Δεκέμβριο του 2022 της γενικής συλλογικής σύμβασης στο Μαυροβούνιο και καλεί όλα τα μέρη να την εφαρμόσουν δεόντως. Επισημαίνει τη ζωτική σημασία της αναγνώρισης της αρχής της αξιοπρεπούς εργασίας, που βασίζεται σε γραπτές συμβάσεις, την ασφάλεια στην εργασία και την αξιοπρεπή και έγκαιρη αμοιβή, αλλά και της δέουσας αντιμετώπισης ζητημάτων της αγοράς εργασίας, όπως η ρύθμιση της τηλεργασίας και η άτυπη οικονομία.</w:t>
      </w:r>
    </w:p>
    <w:p w:rsidRPr="00F40A38" w:rsidR="00C33DA0" w:rsidP="00F40A38" w:rsidRDefault="00C33DA0" w14:paraId="7E69DC36" w14:textId="77777777">
      <w:pPr>
        <w:rPr>
          <w:lang w:val="en-GB"/>
        </w:rPr>
      </w:pPr>
    </w:p>
    <w:p w:rsidRPr="00F46B74" w:rsidR="005F4ADB" w:rsidP="00C33DA0" w:rsidRDefault="005F4ADB" w14:paraId="27EEBE97" w14:textId="78E456F0">
      <w:pPr>
        <w:pStyle w:val="Heading2"/>
      </w:pPr>
      <w:r>
        <w:t>Η ΜΣΕ τονίζει τη σημασία των νέων για το μέλλον του Μαυροβουνίου και, ως εκ τούτου, τη σημασία λήψης συγκεκριμένων μέτρων για τη δημιουργία προοπτικών και ευκαιριών για τους νέους, που θα τους δίνουν τη δυνατότητα να παραμένουν εκεί και να ευημερούν. Η έγκαιρη συμμετοχή των νέων και των ΟΚΠ για τη νεολαία στον από κοινού σχεδιασμό και την εφαρμογή κοινωνικών και πολιτικών αλλαγών είναι εξέχουσας σημασίας. Σύμφωνα με τη γνωμοδότηση της ΕΟΚΕ με θέμα «Η πολιτική για τη νεολαία στα Δυτικά Βαλκάνια ως μέρος του θεματολογίου καινοτομίας για τα Δυτικά Βαλκάνια»</w:t>
      </w:r>
      <w:r w:rsidRPr="00F46B74">
        <w:rPr>
          <w:rStyle w:val="FootnoteReference"/>
          <w:i/>
          <w:iCs/>
          <w:lang w:val="en-GB"/>
        </w:rPr>
        <w:footnoteReference w:id="10"/>
      </w:r>
      <w:r>
        <w:t xml:space="preserve">, η ΜΣΕ υποστηρίζει πλήρως όλες τις πρωτοβουλίες για τη στήριξη και την εδραίωση των πολιτικών για τη νεολαία σε όλα τα επίπεδα, συμπεριλαμβανομένης της συνεχιζόμενης στήριξης του Μηχανισμού </w:t>
      </w:r>
      <w:proofErr w:type="spellStart"/>
      <w:r>
        <w:t>Προενταξιακής</w:t>
      </w:r>
      <w:proofErr w:type="spellEnd"/>
      <w:r>
        <w:t xml:space="preserve"> Βοήθειας για τη θέσπιση εγγυήσεων για τη νεολαία για τα Δυτικά Βαλκάνια</w:t>
      </w:r>
      <w:r w:rsidRPr="00F46B74">
        <w:rPr>
          <w:rStyle w:val="FootnoteReference"/>
          <w:lang w:val="en-GB"/>
        </w:rPr>
        <w:footnoteReference w:id="11"/>
      </w:r>
      <w:r>
        <w:t>.</w:t>
      </w:r>
    </w:p>
    <w:p w:rsidRPr="00F46B74" w:rsidR="005F4ADB" w:rsidP="005F4ADB" w:rsidRDefault="005F4ADB" w14:paraId="1C9C29CA" w14:textId="77777777">
      <w:pPr>
        <w:rPr>
          <w:lang w:val="en-GB"/>
        </w:rPr>
      </w:pPr>
    </w:p>
    <w:p w:rsidRPr="00F46B74" w:rsidR="00A04BE2" w:rsidRDefault="004A65E5" w14:paraId="1939AF22" w14:textId="6AE83CF5">
      <w:pPr>
        <w:pStyle w:val="Heading2"/>
      </w:pPr>
      <w:r>
        <w:t>Τέλος, η ΜΣΕ εξουσιοδοτεί τους συμπροέδρους της να διαβιβάσουν την παρούσα κοινή δήλωση στο Συμβούλιο Σταθεροποίησης και Σύνδεσης ΕΕ-Μαυροβουνίου, στην Κοινοβουλευτική Επιτροπή Σταθεροποίησης και Σύνδεσης ΕΕ-Μαυροβουνίου (SAPC), στην Ευρωπαϊκή Υπηρεσία Εξωτερικής Δράσης (ΕΥΕΔ), στην Ευρωπαϊκή Επιτροπή και στην κυβέρνηση του Μαυροβουνίου.</w:t>
      </w:r>
    </w:p>
    <w:p w:rsidRPr="00F46B74" w:rsidR="00A04BE2" w:rsidRDefault="00A04BE2" w14:paraId="55005E3A" w14:textId="77777777">
      <w:pPr>
        <w:overflowPunct w:val="0"/>
        <w:adjustRightInd w:val="0"/>
        <w:textAlignment w:val="baseline"/>
        <w:rPr>
          <w:lang w:val="en-GB"/>
        </w:rPr>
      </w:pPr>
    </w:p>
    <w:p w:rsidRPr="00F46B74" w:rsidR="00A04BE2" w:rsidRDefault="00A04BE2" w14:paraId="0A2BBDBA" w14:textId="77777777">
      <w:pPr>
        <w:jc w:val="center"/>
      </w:pPr>
      <w:r>
        <w:t>*</w:t>
      </w:r>
      <w:r>
        <w:tab/>
        <w:t>*</w:t>
      </w:r>
      <w:r>
        <w:tab/>
        <w:t>*</w:t>
      </w:r>
    </w:p>
    <w:p w:rsidRPr="00F46B74" w:rsidR="00A04BE2" w:rsidRDefault="00A04BE2" w14:paraId="4B1A3634" w14:textId="77777777">
      <w:pPr>
        <w:overflowPunct w:val="0"/>
        <w:adjustRightInd w:val="0"/>
        <w:textAlignment w:val="baseline"/>
        <w:rPr>
          <w:lang w:val="en-GB"/>
        </w:rPr>
      </w:pPr>
    </w:p>
    <w:p w:rsidRPr="00F46B74" w:rsidR="00574E4A" w:rsidRDefault="003155AF" w14:paraId="479E341E" w14:textId="77777777">
      <w:pPr>
        <w:overflowPunct w:val="0"/>
        <w:adjustRightInd w:val="0"/>
        <w:textAlignment w:val="baseline"/>
      </w:pPr>
      <w:r>
        <w:t>Αυτή η κοινή δήλωση εγκρίθηκε με συναίνεση.</w:t>
      </w:r>
    </w:p>
    <w:p w:rsidRPr="00F46B74" w:rsidR="00574E4A" w:rsidRDefault="00574E4A" w14:paraId="1B424AD4" w14:textId="77777777">
      <w:pPr>
        <w:overflowPunct w:val="0"/>
        <w:adjustRightInd w:val="0"/>
        <w:textAlignment w:val="baseline"/>
        <w:rPr>
          <w:lang w:val="en-GB"/>
        </w:rPr>
      </w:pPr>
    </w:p>
    <w:p w:rsidRPr="00F46B74" w:rsidR="007F1DA6" w:rsidRDefault="00574E4A" w14:paraId="593D5804" w14:textId="6A72CFFE">
      <w:pPr>
        <w:overflowPunct w:val="0"/>
        <w:adjustRightInd w:val="0"/>
        <w:textAlignment w:val="baseline"/>
      </w:pPr>
      <w:r>
        <w:rPr>
          <w:u w:val="single"/>
        </w:rPr>
        <w:t>Η επόμενη συνεδρίαση της ΜΣΕ θα πραγματοποιηθεί το δεύτερο εξάμηνο του 2023 στις Βρυξέλλες.</w:t>
      </w:r>
      <w:r>
        <w:t xml:space="preserve"> Η αξιολόγηση του ευνοϊκού περιβάλλοντος για την κοινωνία των πολιτών βρίσκεται στην ημερήσια διάταξη κάθε συνεδρίασης της ΜΣΕ.</w:t>
      </w:r>
    </w:p>
    <w:p w:rsidRPr="00F46B74" w:rsidR="0073349D" w:rsidRDefault="00325F74" w14:paraId="75BDF969" w14:textId="77777777">
      <w:pPr>
        <w:overflowPunct w:val="0"/>
        <w:adjustRightInd w:val="0"/>
        <w:jc w:val="center"/>
        <w:textAlignment w:val="baseline"/>
      </w:pPr>
      <w:r>
        <w:t>_____________</w:t>
      </w:r>
    </w:p>
    <w:sectPr w:rsidRPr="00F46B74" w:rsidR="0073349D" w:rsidSect="00F40A38">
      <w:headerReference w:type="even" r:id="rId13"/>
      <w:headerReference w:type="default" r:id="rId14"/>
      <w:footerReference w:type="even" r:id="rId15"/>
      <w:footerReference w:type="default" r:id="rId16"/>
      <w:headerReference w:type="first" r:id="rId17"/>
      <w:footerReference w:type="first" r:id="rId18"/>
      <w:type w:val="continuous"/>
      <w:pgSz w:w="11907" w:h="16839"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A9D75" w14:textId="77777777" w:rsidR="00F55267" w:rsidRDefault="00F55267">
      <w:r>
        <w:separator/>
      </w:r>
    </w:p>
  </w:endnote>
  <w:endnote w:type="continuationSeparator" w:id="0">
    <w:p w14:paraId="323D9044" w14:textId="77777777" w:rsidR="00F55267" w:rsidRDefault="00F55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DBA98" w14:textId="77777777" w:rsidR="00F40A38" w:rsidRPr="00F40A38" w:rsidRDefault="00F40A38" w:rsidP="00F40A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DBCB2" w14:textId="762E8F32" w:rsidR="002D3888" w:rsidRPr="00F40A38" w:rsidRDefault="00F40A38" w:rsidP="00F40A38">
    <w:pPr>
      <w:pStyle w:val="Footer"/>
    </w:pPr>
    <w:r>
      <w:t xml:space="preserve">REX/368 – EESC-2023-00802-00-01-DECL-TRA (EN) </w:t>
    </w:r>
    <w:r>
      <w:fldChar w:fldCharType="begin"/>
    </w:r>
    <w:r>
      <w:instrText xml:space="preserve"> PAGE  \* Arabic  \* MERGEFORMAT </w:instrText>
    </w:r>
    <w:r>
      <w:fldChar w:fldCharType="separate"/>
    </w:r>
    <w:r w:rsidR="001D5CC0">
      <w:rPr>
        <w:noProof/>
      </w:rPr>
      <w:t>1</w:t>
    </w:r>
    <w:r>
      <w:fldChar w:fldCharType="end"/>
    </w:r>
    <w:r>
      <w:t>/</w:t>
    </w:r>
    <w:r>
      <w:fldChar w:fldCharType="begin"/>
    </w:r>
    <w:r>
      <w:instrText xml:space="preserve"> = </w:instrText>
    </w:r>
    <w:fldSimple w:instr=" NUMPAGES ">
      <w:r w:rsidR="001D5CC0">
        <w:rPr>
          <w:noProof/>
        </w:rPr>
        <w:instrText>8</w:instrText>
      </w:r>
    </w:fldSimple>
    <w:r>
      <w:instrText xml:space="preserve"> -0 </w:instrText>
    </w:r>
    <w:r>
      <w:fldChar w:fldCharType="separate"/>
    </w:r>
    <w:r w:rsidR="001D5CC0">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9C8B8" w14:textId="77777777" w:rsidR="00F40A38" w:rsidRPr="00F40A38" w:rsidRDefault="00F40A38" w:rsidP="00F40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7EDFF" w14:textId="77777777" w:rsidR="00F55267" w:rsidRDefault="00F55267">
      <w:r>
        <w:separator/>
      </w:r>
    </w:p>
  </w:footnote>
  <w:footnote w:type="continuationSeparator" w:id="0">
    <w:p w14:paraId="0056A903" w14:textId="77777777" w:rsidR="00F55267" w:rsidRDefault="00F55267">
      <w:r>
        <w:continuationSeparator/>
      </w:r>
    </w:p>
  </w:footnote>
  <w:footnote w:id="1">
    <w:p w14:paraId="4224A13F" w14:textId="1C4B120B" w:rsidR="00F61153" w:rsidRPr="00F46B74" w:rsidRDefault="00F61153">
      <w:pPr>
        <w:pStyle w:val="FootnoteText"/>
      </w:pPr>
      <w:r>
        <w:rPr>
          <w:rStyle w:val="FootnoteReference"/>
          <w:lang w:val="en-GB"/>
        </w:rPr>
        <w:footnoteRef/>
      </w:r>
      <w:r>
        <w:tab/>
        <w:t xml:space="preserve">Ευρωπαϊκή Πολιτική Γειτονίας και Διαπραγματεύσεις για τη Διεύρυνση (ΓΔ NEAR): </w:t>
      </w:r>
      <w:hyperlink r:id="rId1" w:history="1">
        <w:r>
          <w:rPr>
            <w:rStyle w:val="Hyperlink"/>
          </w:rPr>
          <w:t>Έκθεση του 2022 για το Μαυροβούνιο</w:t>
        </w:r>
      </w:hyperlink>
      <w:r>
        <w:t>, εκδόθηκε στις 12 Οκτωβρίου 2022.</w:t>
      </w:r>
    </w:p>
  </w:footnote>
  <w:footnote w:id="2">
    <w:p w14:paraId="41491F28" w14:textId="7757CB02" w:rsidR="007D28A7" w:rsidRPr="00F46B74" w:rsidRDefault="007D28A7" w:rsidP="007D28A7">
      <w:pPr>
        <w:pStyle w:val="FootnoteText"/>
      </w:pPr>
      <w:r>
        <w:rPr>
          <w:rStyle w:val="FootnoteReference"/>
          <w:lang w:val="en-GB"/>
        </w:rPr>
        <w:footnoteRef/>
      </w:r>
      <w:r>
        <w:tab/>
      </w:r>
      <w:hyperlink r:id="rId2" w:history="1">
        <w:r>
          <w:rPr>
            <w:rStyle w:val="Hyperlink"/>
          </w:rPr>
          <w:t>Η δημοσκόπηση διεξήχθη τον Δεκέμβριο του 2022 από το Κέντρο για τη Δημοκρατία και τα Ανθρώπινα Δικαιώματα (CEDEM), μια ΜΚΟ του Μαυροβουνίου</w:t>
        </w:r>
      </w:hyperlink>
      <w:r>
        <w:rPr>
          <w:rStyle w:val="Hyperlink"/>
          <w:b/>
        </w:rPr>
        <w:t>.</w:t>
      </w:r>
    </w:p>
  </w:footnote>
  <w:footnote w:id="3">
    <w:p w14:paraId="0B392BFF" w14:textId="03F7D0C1" w:rsidR="00024EAB" w:rsidRPr="00F46B74" w:rsidRDefault="00024EAB">
      <w:pPr>
        <w:pStyle w:val="FootnoteText"/>
      </w:pPr>
      <w:r>
        <w:rPr>
          <w:rStyle w:val="FootnoteReference"/>
          <w:lang w:val="en-GB"/>
        </w:rPr>
        <w:footnoteRef/>
      </w:r>
      <w:r>
        <w:tab/>
      </w:r>
      <w:hyperlink r:id="rId3" w:history="1">
        <w:r>
          <w:rPr>
            <w:rStyle w:val="Hyperlink"/>
          </w:rPr>
          <w:t>ON 20/02/2023</w:t>
        </w:r>
      </w:hyperlink>
      <w:r>
        <w:t xml:space="preserve"> – 33 954 πρόσφυγες από την Ουκρανία καταγράφηκαν στο Μαυροβούνιο, εκ των οποίων 8 047 έχουν εγγραφεί σε καθεστώς προσωρινής προστασίας.</w:t>
      </w:r>
    </w:p>
  </w:footnote>
  <w:footnote w:id="4">
    <w:p w14:paraId="77F1AE69" w14:textId="615FA3B0" w:rsidR="00024EAB" w:rsidRPr="00F46B74" w:rsidRDefault="00024EAB">
      <w:pPr>
        <w:pStyle w:val="FootnoteText"/>
      </w:pPr>
      <w:r>
        <w:rPr>
          <w:rStyle w:val="FootnoteReference"/>
          <w:lang w:val="en-GB"/>
        </w:rPr>
        <w:footnoteRef/>
      </w:r>
      <w:r>
        <w:tab/>
        <w:t>Πρόγραμμα οικονομικών μεταρρυθμίσεων 2023-2025, 31 Ιανουαρίου 2023.</w:t>
      </w:r>
    </w:p>
  </w:footnote>
  <w:footnote w:id="5">
    <w:p w14:paraId="406D32EB" w14:textId="2D177DAA" w:rsidR="002B6554" w:rsidRPr="00F46B74" w:rsidRDefault="002B6554">
      <w:pPr>
        <w:pStyle w:val="FootnoteText"/>
      </w:pPr>
      <w:r>
        <w:rPr>
          <w:rStyle w:val="FootnoteReference"/>
          <w:lang w:val="en-GB"/>
        </w:rPr>
        <w:footnoteRef/>
      </w:r>
      <w:r>
        <w:tab/>
      </w:r>
      <w:hyperlink r:id="rId4" w:history="1">
        <w:r>
          <w:rPr>
            <w:rStyle w:val="Hyperlink"/>
          </w:rPr>
          <w:t>Έγγραφο της Παγκόσμιας Τράπεζας</w:t>
        </w:r>
      </w:hyperlink>
      <w:r>
        <w:t>, Τακτική οικονομική έκθεση για τα Δυτικά Βαλκάνια, φθινόπωρο 2022.</w:t>
      </w:r>
    </w:p>
  </w:footnote>
  <w:footnote w:id="6">
    <w:p w14:paraId="570E1E68" w14:textId="1BBCE77F" w:rsidR="000C78A0" w:rsidRPr="00F46B74" w:rsidRDefault="000C78A0">
      <w:pPr>
        <w:pStyle w:val="FootnoteText"/>
      </w:pPr>
      <w:r>
        <w:rPr>
          <w:rStyle w:val="FootnoteReference"/>
          <w:lang w:val="en-GB"/>
        </w:rPr>
        <w:footnoteRef/>
      </w:r>
      <w:r>
        <w:t xml:space="preserve"> </w:t>
      </w:r>
      <w:r>
        <w:tab/>
      </w:r>
      <w:hyperlink r:id="rId5" w:history="1">
        <w:r>
          <w:rPr>
            <w:rStyle w:val="Hyperlink"/>
          </w:rPr>
          <w:t>https://neighbourhood-enlargement.ec.europa.eu/system/files/2022-10/eu_accession_process_clusters%20%28oct%202022%29.pdf</w:t>
        </w:r>
      </w:hyperlink>
      <w:r>
        <w:t xml:space="preserve"> </w:t>
      </w:r>
    </w:p>
  </w:footnote>
  <w:footnote w:id="7">
    <w:p w14:paraId="45C948B8" w14:textId="2A472951" w:rsidR="0021079A" w:rsidRPr="00F46B74" w:rsidRDefault="0021079A" w:rsidP="0021079A">
      <w:pPr>
        <w:pStyle w:val="FootnoteText"/>
      </w:pPr>
      <w:r>
        <w:rPr>
          <w:rStyle w:val="FootnoteReference"/>
          <w:lang w:val="en-GB"/>
        </w:rPr>
        <w:footnoteRef/>
      </w:r>
      <w:r>
        <w:t xml:space="preserve"> </w:t>
      </w:r>
      <w:r>
        <w:tab/>
      </w:r>
      <w:hyperlink r:id="rId6" w:history="1">
        <w:r>
          <w:rPr>
            <w:rStyle w:val="Hyperlink"/>
          </w:rPr>
          <w:t>https://www.coe.int/en/web/greco/evaluations/montenegro</w:t>
        </w:r>
      </w:hyperlink>
      <w:r>
        <w:t>.</w:t>
      </w:r>
    </w:p>
  </w:footnote>
  <w:footnote w:id="8">
    <w:p w14:paraId="20BD5BC0" w14:textId="0708CA71" w:rsidR="00201AB9" w:rsidRPr="00F46B74" w:rsidRDefault="00201AB9">
      <w:pPr>
        <w:pStyle w:val="FootnoteText"/>
      </w:pPr>
      <w:r>
        <w:rPr>
          <w:rStyle w:val="FootnoteReference"/>
          <w:lang w:val="en-GB"/>
        </w:rPr>
        <w:footnoteRef/>
      </w:r>
      <w:r>
        <w:tab/>
      </w:r>
      <w:hyperlink r:id="rId7" w:anchor=":~:text=Brussels%2C%203.12.2020%20COM%20%282020%29%20790%20final%20COMMUNICATION%20FROM,and%20politics%2C%20rules%20or%20regulations%2C%20markets%20or%20currencies." w:history="1">
        <w:r>
          <w:rPr>
            <w:rStyle w:val="Hyperlink"/>
          </w:rPr>
          <w:t xml:space="preserve">Ανακοίνωση σχετικά με το ευρωπαϊκό σχέδιο δράσης για τη δημοκρατία, COM(2020) 790 </w:t>
        </w:r>
        <w:proofErr w:type="spellStart"/>
        <w:r>
          <w:rPr>
            <w:rStyle w:val="Hyperlink"/>
          </w:rPr>
          <w:t>final</w:t>
        </w:r>
        <w:proofErr w:type="spellEnd"/>
      </w:hyperlink>
      <w:r>
        <w:t>.</w:t>
      </w:r>
    </w:p>
  </w:footnote>
  <w:footnote w:id="9">
    <w:p w14:paraId="0794CBE0" w14:textId="141EDF09" w:rsidR="00C33DA0" w:rsidRPr="00F46B74" w:rsidRDefault="00C33DA0" w:rsidP="00C33DA0">
      <w:pPr>
        <w:pStyle w:val="FootnoteText"/>
      </w:pPr>
      <w:r>
        <w:rPr>
          <w:rStyle w:val="FootnoteReference"/>
          <w:lang w:val="en-GB"/>
        </w:rPr>
        <w:footnoteRef/>
      </w:r>
      <w:r>
        <w:tab/>
      </w:r>
      <w:hyperlink r:id="rId8" w:history="1">
        <w:r>
          <w:rPr>
            <w:rStyle w:val="Hyperlink"/>
          </w:rPr>
          <w:t>https://rsf.org/en/index?year=2022</w:t>
        </w:r>
      </w:hyperlink>
      <w:r>
        <w:t>.</w:t>
      </w:r>
    </w:p>
  </w:footnote>
  <w:footnote w:id="10">
    <w:p w14:paraId="71C90FD0" w14:textId="77777777" w:rsidR="005F4ADB" w:rsidRPr="00F46B74" w:rsidRDefault="005F4ADB" w:rsidP="005F4ADB">
      <w:pPr>
        <w:pStyle w:val="FootnoteText"/>
      </w:pPr>
      <w:r>
        <w:rPr>
          <w:rStyle w:val="FootnoteReference"/>
          <w:lang w:val="en-GB"/>
        </w:rPr>
        <w:footnoteRef/>
      </w:r>
      <w:r>
        <w:tab/>
      </w:r>
      <w:hyperlink r:id="rId9" w:history="1">
        <w:r>
          <w:rPr>
            <w:rStyle w:val="Hyperlink"/>
          </w:rPr>
          <w:t>Η πολιτική για τη νεολαία στα Δυτικά Βαλκάνια ως μέρος του θεματολογίου καινοτομίας για τα Δυτικά Βαλκάνια | Ευρωπαϊκή Οικονομική και Κοινωνική Επιτροπή (europa.eu)</w:t>
        </w:r>
      </w:hyperlink>
    </w:p>
  </w:footnote>
  <w:footnote w:id="11">
    <w:p w14:paraId="497082E4" w14:textId="08D7C7D6" w:rsidR="005F4ADB" w:rsidRPr="00F46B74" w:rsidRDefault="005F4ADB" w:rsidP="005F4ADB">
      <w:pPr>
        <w:pStyle w:val="FootnoteText"/>
      </w:pPr>
      <w:r>
        <w:rPr>
          <w:rStyle w:val="FootnoteReference"/>
          <w:lang w:val="en-GB"/>
        </w:rPr>
        <w:footnoteRef/>
      </w:r>
      <w:r>
        <w:tab/>
      </w:r>
      <w:hyperlink r:id="rId10" w:history="1">
        <w:r>
          <w:rPr>
            <w:rStyle w:val="Hyperlink"/>
          </w:rPr>
          <w:t>Συμβούλιο Περιφερειακής Συνεργασίας | Φυλλάδιο: Εγγυήσεις για τη νεολαία στα Δυτικά Βαλκάνια (rcc.int)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475B0" w14:textId="77777777" w:rsidR="00F40A38" w:rsidRPr="00F40A38" w:rsidRDefault="00F40A38" w:rsidP="00F40A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FF27D" w14:textId="77777777" w:rsidR="00F40A38" w:rsidRPr="00F40A38" w:rsidRDefault="00F40A38" w:rsidP="00F40A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9B306" w14:textId="77777777" w:rsidR="00F40A38" w:rsidRPr="00F40A38" w:rsidRDefault="00F40A38" w:rsidP="00F40A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A112AED4"/>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3AE3646B"/>
    <w:multiLevelType w:val="multilevel"/>
    <w:tmpl w:val="757EC70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center"/>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7167FF5"/>
    <w:multiLevelType w:val="multilevel"/>
    <w:tmpl w:val="A9EE94F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2A2FE6"/>
    <w:rsid w:val="00002088"/>
    <w:rsid w:val="00002247"/>
    <w:rsid w:val="00003E68"/>
    <w:rsid w:val="00006351"/>
    <w:rsid w:val="00006A9D"/>
    <w:rsid w:val="00007ECB"/>
    <w:rsid w:val="00007EEF"/>
    <w:rsid w:val="000103B1"/>
    <w:rsid w:val="00010607"/>
    <w:rsid w:val="00010B74"/>
    <w:rsid w:val="000121B1"/>
    <w:rsid w:val="00012A7C"/>
    <w:rsid w:val="00014B39"/>
    <w:rsid w:val="0001583E"/>
    <w:rsid w:val="00016687"/>
    <w:rsid w:val="00020418"/>
    <w:rsid w:val="00020570"/>
    <w:rsid w:val="00020C25"/>
    <w:rsid w:val="00020E8D"/>
    <w:rsid w:val="00022841"/>
    <w:rsid w:val="00022B5D"/>
    <w:rsid w:val="0002349D"/>
    <w:rsid w:val="000236EE"/>
    <w:rsid w:val="00023BB7"/>
    <w:rsid w:val="0002418C"/>
    <w:rsid w:val="0002465D"/>
    <w:rsid w:val="00024B45"/>
    <w:rsid w:val="00024EAB"/>
    <w:rsid w:val="00025AEE"/>
    <w:rsid w:val="0002655F"/>
    <w:rsid w:val="00026949"/>
    <w:rsid w:val="00027D95"/>
    <w:rsid w:val="00030521"/>
    <w:rsid w:val="00031999"/>
    <w:rsid w:val="0003218C"/>
    <w:rsid w:val="00033C0E"/>
    <w:rsid w:val="000358FE"/>
    <w:rsid w:val="00035E68"/>
    <w:rsid w:val="00035F8E"/>
    <w:rsid w:val="000370C4"/>
    <w:rsid w:val="000376BB"/>
    <w:rsid w:val="00040410"/>
    <w:rsid w:val="00040522"/>
    <w:rsid w:val="0004111D"/>
    <w:rsid w:val="00041BC8"/>
    <w:rsid w:val="00041C3D"/>
    <w:rsid w:val="00043897"/>
    <w:rsid w:val="0004441A"/>
    <w:rsid w:val="00044585"/>
    <w:rsid w:val="00044ABE"/>
    <w:rsid w:val="00046991"/>
    <w:rsid w:val="00047282"/>
    <w:rsid w:val="00050EAD"/>
    <w:rsid w:val="00050FA8"/>
    <w:rsid w:val="00051047"/>
    <w:rsid w:val="00051C5C"/>
    <w:rsid w:val="000521FC"/>
    <w:rsid w:val="00052682"/>
    <w:rsid w:val="00052BD5"/>
    <w:rsid w:val="0005362C"/>
    <w:rsid w:val="000539B1"/>
    <w:rsid w:val="00054175"/>
    <w:rsid w:val="00054309"/>
    <w:rsid w:val="00054E41"/>
    <w:rsid w:val="00054FE9"/>
    <w:rsid w:val="00055B2C"/>
    <w:rsid w:val="0005669B"/>
    <w:rsid w:val="00056A84"/>
    <w:rsid w:val="000607A2"/>
    <w:rsid w:val="000618F9"/>
    <w:rsid w:val="000621A8"/>
    <w:rsid w:val="00062482"/>
    <w:rsid w:val="0006285F"/>
    <w:rsid w:val="00063E09"/>
    <w:rsid w:val="0006422A"/>
    <w:rsid w:val="000643F6"/>
    <w:rsid w:val="000649F9"/>
    <w:rsid w:val="0006535E"/>
    <w:rsid w:val="0006783F"/>
    <w:rsid w:val="000701B1"/>
    <w:rsid w:val="00070AA3"/>
    <w:rsid w:val="00071814"/>
    <w:rsid w:val="000718F1"/>
    <w:rsid w:val="00074E92"/>
    <w:rsid w:val="00076C4A"/>
    <w:rsid w:val="00077B69"/>
    <w:rsid w:val="0008099A"/>
    <w:rsid w:val="00081767"/>
    <w:rsid w:val="00081D79"/>
    <w:rsid w:val="00083449"/>
    <w:rsid w:val="00083C1E"/>
    <w:rsid w:val="00083C39"/>
    <w:rsid w:val="00083D0A"/>
    <w:rsid w:val="00084281"/>
    <w:rsid w:val="00084C4C"/>
    <w:rsid w:val="0008678B"/>
    <w:rsid w:val="000879C2"/>
    <w:rsid w:val="00090312"/>
    <w:rsid w:val="00091203"/>
    <w:rsid w:val="0009130D"/>
    <w:rsid w:val="000919E0"/>
    <w:rsid w:val="00092746"/>
    <w:rsid w:val="0009470F"/>
    <w:rsid w:val="00095545"/>
    <w:rsid w:val="0009655C"/>
    <w:rsid w:val="00097A4C"/>
    <w:rsid w:val="000A0E12"/>
    <w:rsid w:val="000A1135"/>
    <w:rsid w:val="000A132D"/>
    <w:rsid w:val="000A1A7F"/>
    <w:rsid w:val="000A40BD"/>
    <w:rsid w:val="000A4670"/>
    <w:rsid w:val="000A4987"/>
    <w:rsid w:val="000A586C"/>
    <w:rsid w:val="000A58E0"/>
    <w:rsid w:val="000A58F7"/>
    <w:rsid w:val="000A64D2"/>
    <w:rsid w:val="000B1AD0"/>
    <w:rsid w:val="000B1DAF"/>
    <w:rsid w:val="000B1FBA"/>
    <w:rsid w:val="000B2F1C"/>
    <w:rsid w:val="000B38E9"/>
    <w:rsid w:val="000B535F"/>
    <w:rsid w:val="000B644D"/>
    <w:rsid w:val="000B6B7E"/>
    <w:rsid w:val="000B760E"/>
    <w:rsid w:val="000C0438"/>
    <w:rsid w:val="000C1DDF"/>
    <w:rsid w:val="000C2DE1"/>
    <w:rsid w:val="000C5823"/>
    <w:rsid w:val="000C7796"/>
    <w:rsid w:val="000C77C8"/>
    <w:rsid w:val="000C78A0"/>
    <w:rsid w:val="000D2046"/>
    <w:rsid w:val="000D2445"/>
    <w:rsid w:val="000D3860"/>
    <w:rsid w:val="000D3C03"/>
    <w:rsid w:val="000D4226"/>
    <w:rsid w:val="000D4589"/>
    <w:rsid w:val="000D4F92"/>
    <w:rsid w:val="000D5353"/>
    <w:rsid w:val="000D5B2B"/>
    <w:rsid w:val="000D654A"/>
    <w:rsid w:val="000D7471"/>
    <w:rsid w:val="000E1398"/>
    <w:rsid w:val="000E1594"/>
    <w:rsid w:val="000E161D"/>
    <w:rsid w:val="000E1B31"/>
    <w:rsid w:val="000E224B"/>
    <w:rsid w:val="000F04B1"/>
    <w:rsid w:val="000F0FA7"/>
    <w:rsid w:val="000F14B4"/>
    <w:rsid w:val="000F15A9"/>
    <w:rsid w:val="000F3412"/>
    <w:rsid w:val="000F5FA6"/>
    <w:rsid w:val="000F7B39"/>
    <w:rsid w:val="00101193"/>
    <w:rsid w:val="0010173F"/>
    <w:rsid w:val="001021A3"/>
    <w:rsid w:val="00103820"/>
    <w:rsid w:val="00103EA5"/>
    <w:rsid w:val="00104862"/>
    <w:rsid w:val="0010736F"/>
    <w:rsid w:val="00107A27"/>
    <w:rsid w:val="00107C92"/>
    <w:rsid w:val="0011184E"/>
    <w:rsid w:val="001135EC"/>
    <w:rsid w:val="00113FBD"/>
    <w:rsid w:val="0011415F"/>
    <w:rsid w:val="001143B9"/>
    <w:rsid w:val="001157A3"/>
    <w:rsid w:val="001158F7"/>
    <w:rsid w:val="0011612A"/>
    <w:rsid w:val="00117519"/>
    <w:rsid w:val="00120AFE"/>
    <w:rsid w:val="00121D06"/>
    <w:rsid w:val="00122960"/>
    <w:rsid w:val="00125E17"/>
    <w:rsid w:val="00125FAB"/>
    <w:rsid w:val="00126C96"/>
    <w:rsid w:val="00126D14"/>
    <w:rsid w:val="0012707D"/>
    <w:rsid w:val="00127EB6"/>
    <w:rsid w:val="001304D7"/>
    <w:rsid w:val="00130B0C"/>
    <w:rsid w:val="001326A3"/>
    <w:rsid w:val="00133A4F"/>
    <w:rsid w:val="00133CBF"/>
    <w:rsid w:val="001342A6"/>
    <w:rsid w:val="001343C3"/>
    <w:rsid w:val="00134C3A"/>
    <w:rsid w:val="00134D0E"/>
    <w:rsid w:val="001353D6"/>
    <w:rsid w:val="00141535"/>
    <w:rsid w:val="00141B18"/>
    <w:rsid w:val="00141F99"/>
    <w:rsid w:val="0014283A"/>
    <w:rsid w:val="00142E70"/>
    <w:rsid w:val="0014374E"/>
    <w:rsid w:val="00143905"/>
    <w:rsid w:val="00145D1B"/>
    <w:rsid w:val="00146C77"/>
    <w:rsid w:val="00146E06"/>
    <w:rsid w:val="00147BF7"/>
    <w:rsid w:val="001504C0"/>
    <w:rsid w:val="00150C40"/>
    <w:rsid w:val="00150EAC"/>
    <w:rsid w:val="001515F8"/>
    <w:rsid w:val="00154620"/>
    <w:rsid w:val="00154A4C"/>
    <w:rsid w:val="001550A1"/>
    <w:rsid w:val="00157DC0"/>
    <w:rsid w:val="00157F29"/>
    <w:rsid w:val="00160226"/>
    <w:rsid w:val="00161735"/>
    <w:rsid w:val="001619FD"/>
    <w:rsid w:val="00162734"/>
    <w:rsid w:val="00162B63"/>
    <w:rsid w:val="001636C8"/>
    <w:rsid w:val="0016448F"/>
    <w:rsid w:val="00164C86"/>
    <w:rsid w:val="00166230"/>
    <w:rsid w:val="001664EC"/>
    <w:rsid w:val="0017052E"/>
    <w:rsid w:val="00171CD7"/>
    <w:rsid w:val="00172021"/>
    <w:rsid w:val="001728CD"/>
    <w:rsid w:val="00173D8C"/>
    <w:rsid w:val="00173E7C"/>
    <w:rsid w:val="001747D6"/>
    <w:rsid w:val="00175EBF"/>
    <w:rsid w:val="00176D61"/>
    <w:rsid w:val="001770B4"/>
    <w:rsid w:val="001804BF"/>
    <w:rsid w:val="00180F76"/>
    <w:rsid w:val="00181903"/>
    <w:rsid w:val="00182038"/>
    <w:rsid w:val="0018209E"/>
    <w:rsid w:val="00183CC8"/>
    <w:rsid w:val="00184298"/>
    <w:rsid w:val="001842EE"/>
    <w:rsid w:val="00186BFA"/>
    <w:rsid w:val="001901F6"/>
    <w:rsid w:val="00190753"/>
    <w:rsid w:val="00190914"/>
    <w:rsid w:val="00191AA2"/>
    <w:rsid w:val="00192219"/>
    <w:rsid w:val="00192395"/>
    <w:rsid w:val="001924CE"/>
    <w:rsid w:val="00192A63"/>
    <w:rsid w:val="00192DF0"/>
    <w:rsid w:val="001931FB"/>
    <w:rsid w:val="00195575"/>
    <w:rsid w:val="0019600B"/>
    <w:rsid w:val="00196425"/>
    <w:rsid w:val="00197B9B"/>
    <w:rsid w:val="001A07D0"/>
    <w:rsid w:val="001A1F97"/>
    <w:rsid w:val="001A2F73"/>
    <w:rsid w:val="001A4A2F"/>
    <w:rsid w:val="001A5256"/>
    <w:rsid w:val="001A7DC1"/>
    <w:rsid w:val="001A7EBF"/>
    <w:rsid w:val="001B003B"/>
    <w:rsid w:val="001B1CF7"/>
    <w:rsid w:val="001B75EF"/>
    <w:rsid w:val="001C0010"/>
    <w:rsid w:val="001C07A0"/>
    <w:rsid w:val="001C1913"/>
    <w:rsid w:val="001C1DC6"/>
    <w:rsid w:val="001C2B5C"/>
    <w:rsid w:val="001C42E1"/>
    <w:rsid w:val="001C680F"/>
    <w:rsid w:val="001C76F8"/>
    <w:rsid w:val="001D059F"/>
    <w:rsid w:val="001D43E8"/>
    <w:rsid w:val="001D572B"/>
    <w:rsid w:val="001D5CC0"/>
    <w:rsid w:val="001D5CCE"/>
    <w:rsid w:val="001D5DDF"/>
    <w:rsid w:val="001D5EF1"/>
    <w:rsid w:val="001D71BE"/>
    <w:rsid w:val="001D7F7B"/>
    <w:rsid w:val="001E0328"/>
    <w:rsid w:val="001E0B06"/>
    <w:rsid w:val="001E109E"/>
    <w:rsid w:val="001E1720"/>
    <w:rsid w:val="001E1CBF"/>
    <w:rsid w:val="001E25D0"/>
    <w:rsid w:val="001E2881"/>
    <w:rsid w:val="001E43F3"/>
    <w:rsid w:val="001E4C14"/>
    <w:rsid w:val="001E50A4"/>
    <w:rsid w:val="001E7167"/>
    <w:rsid w:val="001E75A0"/>
    <w:rsid w:val="001F0D28"/>
    <w:rsid w:val="001F13E5"/>
    <w:rsid w:val="001F1DA0"/>
    <w:rsid w:val="001F212F"/>
    <w:rsid w:val="001F30FC"/>
    <w:rsid w:val="001F32F2"/>
    <w:rsid w:val="001F3D50"/>
    <w:rsid w:val="001F48FF"/>
    <w:rsid w:val="001F505E"/>
    <w:rsid w:val="001F5177"/>
    <w:rsid w:val="001F5836"/>
    <w:rsid w:val="001F68F3"/>
    <w:rsid w:val="001F7A6D"/>
    <w:rsid w:val="00200431"/>
    <w:rsid w:val="00201AB9"/>
    <w:rsid w:val="002024B4"/>
    <w:rsid w:val="00206175"/>
    <w:rsid w:val="00206FE7"/>
    <w:rsid w:val="00207624"/>
    <w:rsid w:val="00207B38"/>
    <w:rsid w:val="00207ECE"/>
    <w:rsid w:val="0021079A"/>
    <w:rsid w:val="00210992"/>
    <w:rsid w:val="00210BCD"/>
    <w:rsid w:val="00213081"/>
    <w:rsid w:val="002138FC"/>
    <w:rsid w:val="002147C3"/>
    <w:rsid w:val="0021598E"/>
    <w:rsid w:val="0021647C"/>
    <w:rsid w:val="00217EC0"/>
    <w:rsid w:val="00220A13"/>
    <w:rsid w:val="0022110F"/>
    <w:rsid w:val="00224D18"/>
    <w:rsid w:val="00224FA3"/>
    <w:rsid w:val="0022538A"/>
    <w:rsid w:val="00225687"/>
    <w:rsid w:val="00227FB9"/>
    <w:rsid w:val="002308DF"/>
    <w:rsid w:val="00231B99"/>
    <w:rsid w:val="00232B55"/>
    <w:rsid w:val="00233094"/>
    <w:rsid w:val="00234600"/>
    <w:rsid w:val="00234604"/>
    <w:rsid w:val="00235666"/>
    <w:rsid w:val="00236596"/>
    <w:rsid w:val="00236FEB"/>
    <w:rsid w:val="002371A9"/>
    <w:rsid w:val="0024043A"/>
    <w:rsid w:val="0024044F"/>
    <w:rsid w:val="00240B67"/>
    <w:rsid w:val="00241877"/>
    <w:rsid w:val="00241932"/>
    <w:rsid w:val="00241D13"/>
    <w:rsid w:val="00241D73"/>
    <w:rsid w:val="002447C6"/>
    <w:rsid w:val="00245C61"/>
    <w:rsid w:val="00245EE8"/>
    <w:rsid w:val="002468E1"/>
    <w:rsid w:val="00246A8E"/>
    <w:rsid w:val="0025040F"/>
    <w:rsid w:val="00251BC0"/>
    <w:rsid w:val="00251C39"/>
    <w:rsid w:val="00251DA8"/>
    <w:rsid w:val="00252252"/>
    <w:rsid w:val="00254AF9"/>
    <w:rsid w:val="00255E40"/>
    <w:rsid w:val="0025676B"/>
    <w:rsid w:val="002569B2"/>
    <w:rsid w:val="00256B10"/>
    <w:rsid w:val="002572F1"/>
    <w:rsid w:val="002602E0"/>
    <w:rsid w:val="00260EE6"/>
    <w:rsid w:val="002623B5"/>
    <w:rsid w:val="00262400"/>
    <w:rsid w:val="00264A3A"/>
    <w:rsid w:val="00265518"/>
    <w:rsid w:val="002661F7"/>
    <w:rsid w:val="00267754"/>
    <w:rsid w:val="00270C9B"/>
    <w:rsid w:val="0027133D"/>
    <w:rsid w:val="00272B75"/>
    <w:rsid w:val="00274612"/>
    <w:rsid w:val="00274EF4"/>
    <w:rsid w:val="00275A96"/>
    <w:rsid w:val="002760C5"/>
    <w:rsid w:val="00276261"/>
    <w:rsid w:val="00277BD0"/>
    <w:rsid w:val="0028171E"/>
    <w:rsid w:val="00281B87"/>
    <w:rsid w:val="00281C52"/>
    <w:rsid w:val="00282468"/>
    <w:rsid w:val="002827BE"/>
    <w:rsid w:val="00282D10"/>
    <w:rsid w:val="00283C1A"/>
    <w:rsid w:val="00284306"/>
    <w:rsid w:val="002849ED"/>
    <w:rsid w:val="00286B6C"/>
    <w:rsid w:val="00287C99"/>
    <w:rsid w:val="00287DB1"/>
    <w:rsid w:val="00291552"/>
    <w:rsid w:val="002916C3"/>
    <w:rsid w:val="00293AAE"/>
    <w:rsid w:val="00294912"/>
    <w:rsid w:val="002949FB"/>
    <w:rsid w:val="00295863"/>
    <w:rsid w:val="00295BE7"/>
    <w:rsid w:val="00297384"/>
    <w:rsid w:val="0029791F"/>
    <w:rsid w:val="002A00AB"/>
    <w:rsid w:val="002A0AA3"/>
    <w:rsid w:val="002A2684"/>
    <w:rsid w:val="002A2FE6"/>
    <w:rsid w:val="002A2FEE"/>
    <w:rsid w:val="002A538D"/>
    <w:rsid w:val="002A5526"/>
    <w:rsid w:val="002A56D2"/>
    <w:rsid w:val="002A5ABD"/>
    <w:rsid w:val="002A5B47"/>
    <w:rsid w:val="002A7AC5"/>
    <w:rsid w:val="002B00B0"/>
    <w:rsid w:val="002B02B8"/>
    <w:rsid w:val="002B43AB"/>
    <w:rsid w:val="002B48B4"/>
    <w:rsid w:val="002B4F6C"/>
    <w:rsid w:val="002B60A1"/>
    <w:rsid w:val="002B6554"/>
    <w:rsid w:val="002B6DA1"/>
    <w:rsid w:val="002B7593"/>
    <w:rsid w:val="002B79E6"/>
    <w:rsid w:val="002C0091"/>
    <w:rsid w:val="002C00EF"/>
    <w:rsid w:val="002C150B"/>
    <w:rsid w:val="002C26A1"/>
    <w:rsid w:val="002C2CA2"/>
    <w:rsid w:val="002C3BF0"/>
    <w:rsid w:val="002C4C92"/>
    <w:rsid w:val="002C57E8"/>
    <w:rsid w:val="002C61FE"/>
    <w:rsid w:val="002C622F"/>
    <w:rsid w:val="002C6454"/>
    <w:rsid w:val="002C6E79"/>
    <w:rsid w:val="002D00AD"/>
    <w:rsid w:val="002D04C5"/>
    <w:rsid w:val="002D23E2"/>
    <w:rsid w:val="002D36D5"/>
    <w:rsid w:val="002D3888"/>
    <w:rsid w:val="002D3AA5"/>
    <w:rsid w:val="002D3B55"/>
    <w:rsid w:val="002D457A"/>
    <w:rsid w:val="002D48D3"/>
    <w:rsid w:val="002D578D"/>
    <w:rsid w:val="002D6642"/>
    <w:rsid w:val="002D6F99"/>
    <w:rsid w:val="002D71ED"/>
    <w:rsid w:val="002D731B"/>
    <w:rsid w:val="002D7397"/>
    <w:rsid w:val="002E0376"/>
    <w:rsid w:val="002E0A0A"/>
    <w:rsid w:val="002E196A"/>
    <w:rsid w:val="002E2300"/>
    <w:rsid w:val="002E4234"/>
    <w:rsid w:val="002E558C"/>
    <w:rsid w:val="002E5795"/>
    <w:rsid w:val="002E5A55"/>
    <w:rsid w:val="002E7900"/>
    <w:rsid w:val="002F0C5E"/>
    <w:rsid w:val="002F0E73"/>
    <w:rsid w:val="002F1DD1"/>
    <w:rsid w:val="002F24D9"/>
    <w:rsid w:val="002F3773"/>
    <w:rsid w:val="002F4335"/>
    <w:rsid w:val="002F49A4"/>
    <w:rsid w:val="002F585F"/>
    <w:rsid w:val="002F6F5E"/>
    <w:rsid w:val="002F7933"/>
    <w:rsid w:val="0030036D"/>
    <w:rsid w:val="003003B7"/>
    <w:rsid w:val="00301E6E"/>
    <w:rsid w:val="003042C4"/>
    <w:rsid w:val="003044E2"/>
    <w:rsid w:val="00304EE2"/>
    <w:rsid w:val="003051B5"/>
    <w:rsid w:val="003061E0"/>
    <w:rsid w:val="00306EBA"/>
    <w:rsid w:val="00307262"/>
    <w:rsid w:val="0030787B"/>
    <w:rsid w:val="003109B2"/>
    <w:rsid w:val="00311B4F"/>
    <w:rsid w:val="00313324"/>
    <w:rsid w:val="00313B6B"/>
    <w:rsid w:val="003155AF"/>
    <w:rsid w:val="003163CA"/>
    <w:rsid w:val="00320ACD"/>
    <w:rsid w:val="00320E7B"/>
    <w:rsid w:val="003222FF"/>
    <w:rsid w:val="00324A0B"/>
    <w:rsid w:val="00324A8A"/>
    <w:rsid w:val="00325F74"/>
    <w:rsid w:val="0033133C"/>
    <w:rsid w:val="0033204F"/>
    <w:rsid w:val="003332DF"/>
    <w:rsid w:val="00333B40"/>
    <w:rsid w:val="003347F1"/>
    <w:rsid w:val="003349FA"/>
    <w:rsid w:val="00335B59"/>
    <w:rsid w:val="003361DA"/>
    <w:rsid w:val="003361F7"/>
    <w:rsid w:val="003364FB"/>
    <w:rsid w:val="00340FB1"/>
    <w:rsid w:val="003417D7"/>
    <w:rsid w:val="00342104"/>
    <w:rsid w:val="00347A56"/>
    <w:rsid w:val="00350A5A"/>
    <w:rsid w:val="00352B8F"/>
    <w:rsid w:val="00353685"/>
    <w:rsid w:val="00355549"/>
    <w:rsid w:val="00356487"/>
    <w:rsid w:val="00356688"/>
    <w:rsid w:val="00356A22"/>
    <w:rsid w:val="003578A4"/>
    <w:rsid w:val="00357B2F"/>
    <w:rsid w:val="0036005B"/>
    <w:rsid w:val="0036045D"/>
    <w:rsid w:val="003617CA"/>
    <w:rsid w:val="003620F2"/>
    <w:rsid w:val="003625BF"/>
    <w:rsid w:val="00363B99"/>
    <w:rsid w:val="0036542B"/>
    <w:rsid w:val="00365923"/>
    <w:rsid w:val="00365D92"/>
    <w:rsid w:val="0036637D"/>
    <w:rsid w:val="00367173"/>
    <w:rsid w:val="003734B7"/>
    <w:rsid w:val="00373FE7"/>
    <w:rsid w:val="003747B3"/>
    <w:rsid w:val="00374FFC"/>
    <w:rsid w:val="00375A2F"/>
    <w:rsid w:val="00376BC9"/>
    <w:rsid w:val="00377F15"/>
    <w:rsid w:val="00382EAB"/>
    <w:rsid w:val="00383196"/>
    <w:rsid w:val="003846C1"/>
    <w:rsid w:val="00384EA2"/>
    <w:rsid w:val="00385766"/>
    <w:rsid w:val="003922B3"/>
    <w:rsid w:val="00394A32"/>
    <w:rsid w:val="00395204"/>
    <w:rsid w:val="0039545B"/>
    <w:rsid w:val="003966A3"/>
    <w:rsid w:val="00397C22"/>
    <w:rsid w:val="003A0248"/>
    <w:rsid w:val="003A06EE"/>
    <w:rsid w:val="003A0873"/>
    <w:rsid w:val="003A08EA"/>
    <w:rsid w:val="003A0B86"/>
    <w:rsid w:val="003A1479"/>
    <w:rsid w:val="003A494A"/>
    <w:rsid w:val="003A680E"/>
    <w:rsid w:val="003B036C"/>
    <w:rsid w:val="003B0C2D"/>
    <w:rsid w:val="003B0F84"/>
    <w:rsid w:val="003B1647"/>
    <w:rsid w:val="003B1EF9"/>
    <w:rsid w:val="003B2656"/>
    <w:rsid w:val="003B2766"/>
    <w:rsid w:val="003B2F5E"/>
    <w:rsid w:val="003B2F6E"/>
    <w:rsid w:val="003B5935"/>
    <w:rsid w:val="003B5B99"/>
    <w:rsid w:val="003B60C2"/>
    <w:rsid w:val="003B67B6"/>
    <w:rsid w:val="003C02DD"/>
    <w:rsid w:val="003C2606"/>
    <w:rsid w:val="003C369F"/>
    <w:rsid w:val="003C3C87"/>
    <w:rsid w:val="003C625C"/>
    <w:rsid w:val="003C6C8B"/>
    <w:rsid w:val="003D0753"/>
    <w:rsid w:val="003D08FB"/>
    <w:rsid w:val="003D1E91"/>
    <w:rsid w:val="003D2122"/>
    <w:rsid w:val="003D23ED"/>
    <w:rsid w:val="003D47EB"/>
    <w:rsid w:val="003D56F5"/>
    <w:rsid w:val="003D752B"/>
    <w:rsid w:val="003D7860"/>
    <w:rsid w:val="003E0EDD"/>
    <w:rsid w:val="003E2368"/>
    <w:rsid w:val="003E2C9C"/>
    <w:rsid w:val="003E3AA7"/>
    <w:rsid w:val="003E46B8"/>
    <w:rsid w:val="003E5EF2"/>
    <w:rsid w:val="003E62A3"/>
    <w:rsid w:val="003F0A62"/>
    <w:rsid w:val="003F29E2"/>
    <w:rsid w:val="003F2B0F"/>
    <w:rsid w:val="003F3108"/>
    <w:rsid w:val="003F6740"/>
    <w:rsid w:val="003F7127"/>
    <w:rsid w:val="003F7AEC"/>
    <w:rsid w:val="00400BF3"/>
    <w:rsid w:val="004042D6"/>
    <w:rsid w:val="004052B6"/>
    <w:rsid w:val="0040588E"/>
    <w:rsid w:val="00407BBF"/>
    <w:rsid w:val="004105F1"/>
    <w:rsid w:val="004108CD"/>
    <w:rsid w:val="00410FBC"/>
    <w:rsid w:val="00410FC3"/>
    <w:rsid w:val="00412948"/>
    <w:rsid w:val="00412E4D"/>
    <w:rsid w:val="0041401E"/>
    <w:rsid w:val="00414FC1"/>
    <w:rsid w:val="00416491"/>
    <w:rsid w:val="004212B7"/>
    <w:rsid w:val="0042188D"/>
    <w:rsid w:val="0042238B"/>
    <w:rsid w:val="004229C8"/>
    <w:rsid w:val="00424728"/>
    <w:rsid w:val="004247F0"/>
    <w:rsid w:val="00425F34"/>
    <w:rsid w:val="00426BAE"/>
    <w:rsid w:val="004274A4"/>
    <w:rsid w:val="004276CF"/>
    <w:rsid w:val="00427820"/>
    <w:rsid w:val="004308D7"/>
    <w:rsid w:val="00430C21"/>
    <w:rsid w:val="00432843"/>
    <w:rsid w:val="0043404B"/>
    <w:rsid w:val="0043513C"/>
    <w:rsid w:val="004356EE"/>
    <w:rsid w:val="00435F0F"/>
    <w:rsid w:val="00436185"/>
    <w:rsid w:val="00437546"/>
    <w:rsid w:val="004375AB"/>
    <w:rsid w:val="00437D25"/>
    <w:rsid w:val="00442A87"/>
    <w:rsid w:val="00443437"/>
    <w:rsid w:val="0044348B"/>
    <w:rsid w:val="00445A54"/>
    <w:rsid w:val="00446358"/>
    <w:rsid w:val="00446AC4"/>
    <w:rsid w:val="00450127"/>
    <w:rsid w:val="00450FA8"/>
    <w:rsid w:val="00451D87"/>
    <w:rsid w:val="004520B4"/>
    <w:rsid w:val="0045213C"/>
    <w:rsid w:val="004545AD"/>
    <w:rsid w:val="004545DF"/>
    <w:rsid w:val="00455523"/>
    <w:rsid w:val="00455CE7"/>
    <w:rsid w:val="00461A2D"/>
    <w:rsid w:val="00461FB2"/>
    <w:rsid w:val="00462C6D"/>
    <w:rsid w:val="00463945"/>
    <w:rsid w:val="004653AD"/>
    <w:rsid w:val="004656B9"/>
    <w:rsid w:val="004670DE"/>
    <w:rsid w:val="0047031E"/>
    <w:rsid w:val="00471D60"/>
    <w:rsid w:val="00471D84"/>
    <w:rsid w:val="00472EA4"/>
    <w:rsid w:val="00473BB1"/>
    <w:rsid w:val="004740BA"/>
    <w:rsid w:val="004751E4"/>
    <w:rsid w:val="004759B2"/>
    <w:rsid w:val="00475E69"/>
    <w:rsid w:val="0047633E"/>
    <w:rsid w:val="00477F5D"/>
    <w:rsid w:val="004814FF"/>
    <w:rsid w:val="004847EC"/>
    <w:rsid w:val="00485142"/>
    <w:rsid w:val="004907B9"/>
    <w:rsid w:val="0049083C"/>
    <w:rsid w:val="0049094E"/>
    <w:rsid w:val="0049136F"/>
    <w:rsid w:val="00491A57"/>
    <w:rsid w:val="0049220D"/>
    <w:rsid w:val="00492A3E"/>
    <w:rsid w:val="00492E70"/>
    <w:rsid w:val="004942B2"/>
    <w:rsid w:val="00494A24"/>
    <w:rsid w:val="004960F7"/>
    <w:rsid w:val="00496AFD"/>
    <w:rsid w:val="0049776B"/>
    <w:rsid w:val="004A18D5"/>
    <w:rsid w:val="004A3360"/>
    <w:rsid w:val="004A3BDB"/>
    <w:rsid w:val="004A43F6"/>
    <w:rsid w:val="004A4715"/>
    <w:rsid w:val="004A4B52"/>
    <w:rsid w:val="004A4E42"/>
    <w:rsid w:val="004A65E5"/>
    <w:rsid w:val="004A7829"/>
    <w:rsid w:val="004B02BC"/>
    <w:rsid w:val="004B0B1E"/>
    <w:rsid w:val="004B0F30"/>
    <w:rsid w:val="004B2F85"/>
    <w:rsid w:val="004B3356"/>
    <w:rsid w:val="004B3413"/>
    <w:rsid w:val="004B37E6"/>
    <w:rsid w:val="004B5241"/>
    <w:rsid w:val="004B5705"/>
    <w:rsid w:val="004B5DA6"/>
    <w:rsid w:val="004C0502"/>
    <w:rsid w:val="004C2CF7"/>
    <w:rsid w:val="004C2F0F"/>
    <w:rsid w:val="004C2F6E"/>
    <w:rsid w:val="004C3474"/>
    <w:rsid w:val="004C4167"/>
    <w:rsid w:val="004C4530"/>
    <w:rsid w:val="004C496E"/>
    <w:rsid w:val="004C4F8E"/>
    <w:rsid w:val="004C4FF4"/>
    <w:rsid w:val="004C545E"/>
    <w:rsid w:val="004C61C3"/>
    <w:rsid w:val="004C7BB9"/>
    <w:rsid w:val="004D13BB"/>
    <w:rsid w:val="004D26B3"/>
    <w:rsid w:val="004D2B0E"/>
    <w:rsid w:val="004D2F39"/>
    <w:rsid w:val="004D2F7A"/>
    <w:rsid w:val="004D31F1"/>
    <w:rsid w:val="004D39DF"/>
    <w:rsid w:val="004D480B"/>
    <w:rsid w:val="004D5070"/>
    <w:rsid w:val="004D7E8B"/>
    <w:rsid w:val="004E2ABA"/>
    <w:rsid w:val="004E2C12"/>
    <w:rsid w:val="004E373E"/>
    <w:rsid w:val="004E410D"/>
    <w:rsid w:val="004E6069"/>
    <w:rsid w:val="004E61C0"/>
    <w:rsid w:val="004E77D8"/>
    <w:rsid w:val="004F065B"/>
    <w:rsid w:val="004F0D95"/>
    <w:rsid w:val="004F1495"/>
    <w:rsid w:val="004F1CFC"/>
    <w:rsid w:val="004F368B"/>
    <w:rsid w:val="004F3D92"/>
    <w:rsid w:val="004F4379"/>
    <w:rsid w:val="004F4B6F"/>
    <w:rsid w:val="004F6F10"/>
    <w:rsid w:val="004F741F"/>
    <w:rsid w:val="004F7DF2"/>
    <w:rsid w:val="00501098"/>
    <w:rsid w:val="00501FD3"/>
    <w:rsid w:val="0050219F"/>
    <w:rsid w:val="005033A3"/>
    <w:rsid w:val="00503810"/>
    <w:rsid w:val="00504151"/>
    <w:rsid w:val="00510C9A"/>
    <w:rsid w:val="00510EBC"/>
    <w:rsid w:val="00511F27"/>
    <w:rsid w:val="00512A2A"/>
    <w:rsid w:val="00512E57"/>
    <w:rsid w:val="00513E0A"/>
    <w:rsid w:val="00515E00"/>
    <w:rsid w:val="005166D9"/>
    <w:rsid w:val="00517314"/>
    <w:rsid w:val="00522755"/>
    <w:rsid w:val="005229C6"/>
    <w:rsid w:val="005229FE"/>
    <w:rsid w:val="00523512"/>
    <w:rsid w:val="00523DF0"/>
    <w:rsid w:val="0052617A"/>
    <w:rsid w:val="00527065"/>
    <w:rsid w:val="0053035A"/>
    <w:rsid w:val="00530593"/>
    <w:rsid w:val="0053079D"/>
    <w:rsid w:val="00530945"/>
    <w:rsid w:val="00533434"/>
    <w:rsid w:val="0053549F"/>
    <w:rsid w:val="0053558D"/>
    <w:rsid w:val="00536763"/>
    <w:rsid w:val="005367FD"/>
    <w:rsid w:val="00536CBD"/>
    <w:rsid w:val="00537D3A"/>
    <w:rsid w:val="00540238"/>
    <w:rsid w:val="00540D01"/>
    <w:rsid w:val="005412FB"/>
    <w:rsid w:val="005429F7"/>
    <w:rsid w:val="0054442A"/>
    <w:rsid w:val="00544B14"/>
    <w:rsid w:val="005453AA"/>
    <w:rsid w:val="00547A81"/>
    <w:rsid w:val="00547DCF"/>
    <w:rsid w:val="00547E12"/>
    <w:rsid w:val="00550320"/>
    <w:rsid w:val="0055216C"/>
    <w:rsid w:val="00552956"/>
    <w:rsid w:val="00553872"/>
    <w:rsid w:val="00553D33"/>
    <w:rsid w:val="005547DE"/>
    <w:rsid w:val="00560F5D"/>
    <w:rsid w:val="005646D0"/>
    <w:rsid w:val="00564D2A"/>
    <w:rsid w:val="00565D8C"/>
    <w:rsid w:val="005672FC"/>
    <w:rsid w:val="00567A1E"/>
    <w:rsid w:val="00570715"/>
    <w:rsid w:val="00570D64"/>
    <w:rsid w:val="00573021"/>
    <w:rsid w:val="00573226"/>
    <w:rsid w:val="00573838"/>
    <w:rsid w:val="00574A45"/>
    <w:rsid w:val="00574E4A"/>
    <w:rsid w:val="00575019"/>
    <w:rsid w:val="0057589C"/>
    <w:rsid w:val="00580EA8"/>
    <w:rsid w:val="00581AB3"/>
    <w:rsid w:val="00581E30"/>
    <w:rsid w:val="00581F99"/>
    <w:rsid w:val="00582714"/>
    <w:rsid w:val="005828C4"/>
    <w:rsid w:val="005837DD"/>
    <w:rsid w:val="00586A7B"/>
    <w:rsid w:val="0058712D"/>
    <w:rsid w:val="005871B5"/>
    <w:rsid w:val="005873E2"/>
    <w:rsid w:val="00587CC5"/>
    <w:rsid w:val="00590149"/>
    <w:rsid w:val="00592D06"/>
    <w:rsid w:val="005936E5"/>
    <w:rsid w:val="00593CBC"/>
    <w:rsid w:val="00595D98"/>
    <w:rsid w:val="0059661F"/>
    <w:rsid w:val="00596D05"/>
    <w:rsid w:val="00596EAB"/>
    <w:rsid w:val="00597FA4"/>
    <w:rsid w:val="005A38C7"/>
    <w:rsid w:val="005A38E7"/>
    <w:rsid w:val="005A4858"/>
    <w:rsid w:val="005A5E68"/>
    <w:rsid w:val="005A62D0"/>
    <w:rsid w:val="005B1FF6"/>
    <w:rsid w:val="005B33C1"/>
    <w:rsid w:val="005B3C3D"/>
    <w:rsid w:val="005B3CF0"/>
    <w:rsid w:val="005B4006"/>
    <w:rsid w:val="005B4548"/>
    <w:rsid w:val="005B4DAB"/>
    <w:rsid w:val="005B5A59"/>
    <w:rsid w:val="005B74AC"/>
    <w:rsid w:val="005B78D9"/>
    <w:rsid w:val="005B7CD8"/>
    <w:rsid w:val="005B7F8E"/>
    <w:rsid w:val="005C02C0"/>
    <w:rsid w:val="005C1EF3"/>
    <w:rsid w:val="005C2FDF"/>
    <w:rsid w:val="005C5E81"/>
    <w:rsid w:val="005C6CFB"/>
    <w:rsid w:val="005C6E24"/>
    <w:rsid w:val="005C7220"/>
    <w:rsid w:val="005C7B7E"/>
    <w:rsid w:val="005C7F96"/>
    <w:rsid w:val="005D0274"/>
    <w:rsid w:val="005D0D5A"/>
    <w:rsid w:val="005D119D"/>
    <w:rsid w:val="005D17A3"/>
    <w:rsid w:val="005D719E"/>
    <w:rsid w:val="005E0041"/>
    <w:rsid w:val="005E1077"/>
    <w:rsid w:val="005E1A56"/>
    <w:rsid w:val="005E1BCB"/>
    <w:rsid w:val="005E1ED3"/>
    <w:rsid w:val="005E2C33"/>
    <w:rsid w:val="005E30E7"/>
    <w:rsid w:val="005E3910"/>
    <w:rsid w:val="005E3B52"/>
    <w:rsid w:val="005E3BAA"/>
    <w:rsid w:val="005E4B42"/>
    <w:rsid w:val="005E505C"/>
    <w:rsid w:val="005E51B2"/>
    <w:rsid w:val="005F0561"/>
    <w:rsid w:val="005F1405"/>
    <w:rsid w:val="005F2740"/>
    <w:rsid w:val="005F3588"/>
    <w:rsid w:val="005F4ADB"/>
    <w:rsid w:val="005F4F64"/>
    <w:rsid w:val="005F565A"/>
    <w:rsid w:val="005F5C96"/>
    <w:rsid w:val="005F621E"/>
    <w:rsid w:val="0060220D"/>
    <w:rsid w:val="006029D2"/>
    <w:rsid w:val="0060359E"/>
    <w:rsid w:val="006039B4"/>
    <w:rsid w:val="00603D35"/>
    <w:rsid w:val="00605A97"/>
    <w:rsid w:val="00606B74"/>
    <w:rsid w:val="00610153"/>
    <w:rsid w:val="006106DF"/>
    <w:rsid w:val="00613614"/>
    <w:rsid w:val="006159B1"/>
    <w:rsid w:val="00616473"/>
    <w:rsid w:val="00616E23"/>
    <w:rsid w:val="00617A50"/>
    <w:rsid w:val="00620A49"/>
    <w:rsid w:val="00620AA6"/>
    <w:rsid w:val="00620BB4"/>
    <w:rsid w:val="00620E33"/>
    <w:rsid w:val="00622E85"/>
    <w:rsid w:val="006246F3"/>
    <w:rsid w:val="006250C5"/>
    <w:rsid w:val="00625C4F"/>
    <w:rsid w:val="00625EAF"/>
    <w:rsid w:val="00627412"/>
    <w:rsid w:val="0063109D"/>
    <w:rsid w:val="00631A9A"/>
    <w:rsid w:val="00632E51"/>
    <w:rsid w:val="00632F73"/>
    <w:rsid w:val="00633BB2"/>
    <w:rsid w:val="00633CB4"/>
    <w:rsid w:val="00633ECE"/>
    <w:rsid w:val="006352C8"/>
    <w:rsid w:val="0063562F"/>
    <w:rsid w:val="00635BA7"/>
    <w:rsid w:val="006360BF"/>
    <w:rsid w:val="006400B7"/>
    <w:rsid w:val="00640F72"/>
    <w:rsid w:val="00641A67"/>
    <w:rsid w:val="006424A2"/>
    <w:rsid w:val="006432BC"/>
    <w:rsid w:val="00644D81"/>
    <w:rsid w:val="006470A9"/>
    <w:rsid w:val="006473D6"/>
    <w:rsid w:val="006524D1"/>
    <w:rsid w:val="00652514"/>
    <w:rsid w:val="00652D95"/>
    <w:rsid w:val="00653194"/>
    <w:rsid w:val="006534CC"/>
    <w:rsid w:val="00653BFE"/>
    <w:rsid w:val="00654F77"/>
    <w:rsid w:val="00655915"/>
    <w:rsid w:val="0065790A"/>
    <w:rsid w:val="00657B17"/>
    <w:rsid w:val="0066013C"/>
    <w:rsid w:val="0066284F"/>
    <w:rsid w:val="00662CEB"/>
    <w:rsid w:val="006633E8"/>
    <w:rsid w:val="006640CC"/>
    <w:rsid w:val="006644C0"/>
    <w:rsid w:val="0066532F"/>
    <w:rsid w:val="00667169"/>
    <w:rsid w:val="006700B6"/>
    <w:rsid w:val="00670928"/>
    <w:rsid w:val="00671025"/>
    <w:rsid w:val="00671E3D"/>
    <w:rsid w:val="00671EE7"/>
    <w:rsid w:val="006727F5"/>
    <w:rsid w:val="00672AE1"/>
    <w:rsid w:val="00673D0F"/>
    <w:rsid w:val="006746E7"/>
    <w:rsid w:val="00674B73"/>
    <w:rsid w:val="00675660"/>
    <w:rsid w:val="00677365"/>
    <w:rsid w:val="0067745A"/>
    <w:rsid w:val="006802B0"/>
    <w:rsid w:val="00680A59"/>
    <w:rsid w:val="00680B93"/>
    <w:rsid w:val="00681468"/>
    <w:rsid w:val="00681C2C"/>
    <w:rsid w:val="00683B75"/>
    <w:rsid w:val="006842D7"/>
    <w:rsid w:val="00684351"/>
    <w:rsid w:val="00684CF6"/>
    <w:rsid w:val="00685214"/>
    <w:rsid w:val="0068699C"/>
    <w:rsid w:val="00686A01"/>
    <w:rsid w:val="0069466D"/>
    <w:rsid w:val="006949A6"/>
    <w:rsid w:val="00694E09"/>
    <w:rsid w:val="006953D8"/>
    <w:rsid w:val="00695605"/>
    <w:rsid w:val="006958FA"/>
    <w:rsid w:val="00696370"/>
    <w:rsid w:val="00697370"/>
    <w:rsid w:val="00697D0A"/>
    <w:rsid w:val="00697E75"/>
    <w:rsid w:val="006A07F3"/>
    <w:rsid w:val="006A31B0"/>
    <w:rsid w:val="006A34ED"/>
    <w:rsid w:val="006A3BC9"/>
    <w:rsid w:val="006A434E"/>
    <w:rsid w:val="006A4384"/>
    <w:rsid w:val="006A5958"/>
    <w:rsid w:val="006A618D"/>
    <w:rsid w:val="006A7FCC"/>
    <w:rsid w:val="006B0861"/>
    <w:rsid w:val="006B1C8D"/>
    <w:rsid w:val="006B2514"/>
    <w:rsid w:val="006B2645"/>
    <w:rsid w:val="006B39AE"/>
    <w:rsid w:val="006B3A5F"/>
    <w:rsid w:val="006B6032"/>
    <w:rsid w:val="006B74CB"/>
    <w:rsid w:val="006C196D"/>
    <w:rsid w:val="006C371E"/>
    <w:rsid w:val="006C37A5"/>
    <w:rsid w:val="006C3F9F"/>
    <w:rsid w:val="006C4EBA"/>
    <w:rsid w:val="006C546F"/>
    <w:rsid w:val="006C57F4"/>
    <w:rsid w:val="006C5C78"/>
    <w:rsid w:val="006C6CC8"/>
    <w:rsid w:val="006D1590"/>
    <w:rsid w:val="006D2286"/>
    <w:rsid w:val="006D4470"/>
    <w:rsid w:val="006D47C0"/>
    <w:rsid w:val="006D5479"/>
    <w:rsid w:val="006D5E29"/>
    <w:rsid w:val="006D603E"/>
    <w:rsid w:val="006E2E89"/>
    <w:rsid w:val="006E5236"/>
    <w:rsid w:val="006E7A5E"/>
    <w:rsid w:val="006F038A"/>
    <w:rsid w:val="006F1F05"/>
    <w:rsid w:val="006F22D4"/>
    <w:rsid w:val="006F27A2"/>
    <w:rsid w:val="006F2905"/>
    <w:rsid w:val="006F2BD0"/>
    <w:rsid w:val="006F3E9C"/>
    <w:rsid w:val="006F6F01"/>
    <w:rsid w:val="00700128"/>
    <w:rsid w:val="0070292F"/>
    <w:rsid w:val="00702CEB"/>
    <w:rsid w:val="00703043"/>
    <w:rsid w:val="00705542"/>
    <w:rsid w:val="00705B6D"/>
    <w:rsid w:val="0070624E"/>
    <w:rsid w:val="00706E3A"/>
    <w:rsid w:val="00706FCB"/>
    <w:rsid w:val="00707BB2"/>
    <w:rsid w:val="0071141B"/>
    <w:rsid w:val="00711861"/>
    <w:rsid w:val="00711C9A"/>
    <w:rsid w:val="007127F3"/>
    <w:rsid w:val="00712CA3"/>
    <w:rsid w:val="00712D13"/>
    <w:rsid w:val="007142D8"/>
    <w:rsid w:val="00714E8F"/>
    <w:rsid w:val="00716ED2"/>
    <w:rsid w:val="00717D9C"/>
    <w:rsid w:val="007205FE"/>
    <w:rsid w:val="00721469"/>
    <w:rsid w:val="00721E96"/>
    <w:rsid w:val="00722C1D"/>
    <w:rsid w:val="007232DE"/>
    <w:rsid w:val="00723FD7"/>
    <w:rsid w:val="00726A31"/>
    <w:rsid w:val="007279D8"/>
    <w:rsid w:val="00731A67"/>
    <w:rsid w:val="00732437"/>
    <w:rsid w:val="0073349D"/>
    <w:rsid w:val="0073373C"/>
    <w:rsid w:val="0073394C"/>
    <w:rsid w:val="00734E04"/>
    <w:rsid w:val="00734EDE"/>
    <w:rsid w:val="007351E8"/>
    <w:rsid w:val="00735829"/>
    <w:rsid w:val="0073606C"/>
    <w:rsid w:val="00736FBE"/>
    <w:rsid w:val="00740614"/>
    <w:rsid w:val="007411A5"/>
    <w:rsid w:val="007416A6"/>
    <w:rsid w:val="0074268E"/>
    <w:rsid w:val="00742A21"/>
    <w:rsid w:val="00742B89"/>
    <w:rsid w:val="00742E64"/>
    <w:rsid w:val="00743F53"/>
    <w:rsid w:val="00744464"/>
    <w:rsid w:val="00745528"/>
    <w:rsid w:val="0074642C"/>
    <w:rsid w:val="0075015F"/>
    <w:rsid w:val="0075169E"/>
    <w:rsid w:val="00751727"/>
    <w:rsid w:val="007520E4"/>
    <w:rsid w:val="00753CC8"/>
    <w:rsid w:val="007548BE"/>
    <w:rsid w:val="00754D52"/>
    <w:rsid w:val="00754E58"/>
    <w:rsid w:val="00756A2E"/>
    <w:rsid w:val="00756FED"/>
    <w:rsid w:val="007575EA"/>
    <w:rsid w:val="00760CF0"/>
    <w:rsid w:val="00761A72"/>
    <w:rsid w:val="00764BC0"/>
    <w:rsid w:val="00764C35"/>
    <w:rsid w:val="00764F01"/>
    <w:rsid w:val="007656EC"/>
    <w:rsid w:val="00766B32"/>
    <w:rsid w:val="00766DB4"/>
    <w:rsid w:val="00770B43"/>
    <w:rsid w:val="00771CFE"/>
    <w:rsid w:val="00772460"/>
    <w:rsid w:val="007730DF"/>
    <w:rsid w:val="007737C3"/>
    <w:rsid w:val="00774AD7"/>
    <w:rsid w:val="00776102"/>
    <w:rsid w:val="0077618A"/>
    <w:rsid w:val="00780546"/>
    <w:rsid w:val="007818A6"/>
    <w:rsid w:val="00782155"/>
    <w:rsid w:val="007836F3"/>
    <w:rsid w:val="00783D84"/>
    <w:rsid w:val="00783E63"/>
    <w:rsid w:val="007860C6"/>
    <w:rsid w:val="00786274"/>
    <w:rsid w:val="00786E50"/>
    <w:rsid w:val="0079139A"/>
    <w:rsid w:val="00791629"/>
    <w:rsid w:val="00791A96"/>
    <w:rsid w:val="007924E7"/>
    <w:rsid w:val="00792686"/>
    <w:rsid w:val="00793EED"/>
    <w:rsid w:val="00796510"/>
    <w:rsid w:val="00796942"/>
    <w:rsid w:val="00797322"/>
    <w:rsid w:val="007977CD"/>
    <w:rsid w:val="007A17D6"/>
    <w:rsid w:val="007A19EA"/>
    <w:rsid w:val="007A21D4"/>
    <w:rsid w:val="007A2BEA"/>
    <w:rsid w:val="007A394D"/>
    <w:rsid w:val="007A41A6"/>
    <w:rsid w:val="007A57F7"/>
    <w:rsid w:val="007A6707"/>
    <w:rsid w:val="007A6DDC"/>
    <w:rsid w:val="007A7295"/>
    <w:rsid w:val="007A737E"/>
    <w:rsid w:val="007B0553"/>
    <w:rsid w:val="007B0784"/>
    <w:rsid w:val="007B0ADA"/>
    <w:rsid w:val="007B0BA4"/>
    <w:rsid w:val="007B1658"/>
    <w:rsid w:val="007B5AA5"/>
    <w:rsid w:val="007B6A0C"/>
    <w:rsid w:val="007B7860"/>
    <w:rsid w:val="007B7D4A"/>
    <w:rsid w:val="007C2060"/>
    <w:rsid w:val="007C25EA"/>
    <w:rsid w:val="007C2C78"/>
    <w:rsid w:val="007C3CA6"/>
    <w:rsid w:val="007C46E3"/>
    <w:rsid w:val="007C5ACC"/>
    <w:rsid w:val="007C6E08"/>
    <w:rsid w:val="007C744A"/>
    <w:rsid w:val="007C762B"/>
    <w:rsid w:val="007C780D"/>
    <w:rsid w:val="007C7D97"/>
    <w:rsid w:val="007D04F5"/>
    <w:rsid w:val="007D09F3"/>
    <w:rsid w:val="007D0A9E"/>
    <w:rsid w:val="007D11C0"/>
    <w:rsid w:val="007D14B8"/>
    <w:rsid w:val="007D1FA2"/>
    <w:rsid w:val="007D28A7"/>
    <w:rsid w:val="007D3504"/>
    <w:rsid w:val="007D412C"/>
    <w:rsid w:val="007D59CA"/>
    <w:rsid w:val="007D5F9E"/>
    <w:rsid w:val="007D6D73"/>
    <w:rsid w:val="007D7738"/>
    <w:rsid w:val="007D7CAD"/>
    <w:rsid w:val="007D7E6E"/>
    <w:rsid w:val="007E03BC"/>
    <w:rsid w:val="007E1530"/>
    <w:rsid w:val="007E5388"/>
    <w:rsid w:val="007E5439"/>
    <w:rsid w:val="007E57D3"/>
    <w:rsid w:val="007E789F"/>
    <w:rsid w:val="007F1DA6"/>
    <w:rsid w:val="007F1EA8"/>
    <w:rsid w:val="007F2C1A"/>
    <w:rsid w:val="007F420F"/>
    <w:rsid w:val="007F4783"/>
    <w:rsid w:val="007F4B79"/>
    <w:rsid w:val="007F4E53"/>
    <w:rsid w:val="007F786F"/>
    <w:rsid w:val="0080145A"/>
    <w:rsid w:val="008020B5"/>
    <w:rsid w:val="00802919"/>
    <w:rsid w:val="008048C7"/>
    <w:rsid w:val="008055C0"/>
    <w:rsid w:val="00806F43"/>
    <w:rsid w:val="008073C7"/>
    <w:rsid w:val="008112A6"/>
    <w:rsid w:val="00811C11"/>
    <w:rsid w:val="008122EC"/>
    <w:rsid w:val="00812933"/>
    <w:rsid w:val="00814B0C"/>
    <w:rsid w:val="008160AC"/>
    <w:rsid w:val="00816372"/>
    <w:rsid w:val="00816D37"/>
    <w:rsid w:val="008177B8"/>
    <w:rsid w:val="0082036B"/>
    <w:rsid w:val="00821FB8"/>
    <w:rsid w:val="00822BF2"/>
    <w:rsid w:val="00823B1C"/>
    <w:rsid w:val="00824C07"/>
    <w:rsid w:val="0082523B"/>
    <w:rsid w:val="0082739A"/>
    <w:rsid w:val="00827884"/>
    <w:rsid w:val="00831E95"/>
    <w:rsid w:val="008330A5"/>
    <w:rsid w:val="008334B6"/>
    <w:rsid w:val="00833923"/>
    <w:rsid w:val="00836F86"/>
    <w:rsid w:val="00837038"/>
    <w:rsid w:val="008377F5"/>
    <w:rsid w:val="008379EB"/>
    <w:rsid w:val="00837CDD"/>
    <w:rsid w:val="0084081B"/>
    <w:rsid w:val="00840D40"/>
    <w:rsid w:val="00840D87"/>
    <w:rsid w:val="00840DC4"/>
    <w:rsid w:val="0084156F"/>
    <w:rsid w:val="00842F3C"/>
    <w:rsid w:val="0084333F"/>
    <w:rsid w:val="00843A11"/>
    <w:rsid w:val="00845BB2"/>
    <w:rsid w:val="00846524"/>
    <w:rsid w:val="00846FC8"/>
    <w:rsid w:val="00847187"/>
    <w:rsid w:val="00847C38"/>
    <w:rsid w:val="00851FDB"/>
    <w:rsid w:val="008531EB"/>
    <w:rsid w:val="00853220"/>
    <w:rsid w:val="00854D41"/>
    <w:rsid w:val="00856787"/>
    <w:rsid w:val="008576A0"/>
    <w:rsid w:val="00861BC5"/>
    <w:rsid w:val="0086577C"/>
    <w:rsid w:val="00866275"/>
    <w:rsid w:val="00867877"/>
    <w:rsid w:val="008717A6"/>
    <w:rsid w:val="00871832"/>
    <w:rsid w:val="00871958"/>
    <w:rsid w:val="00871D81"/>
    <w:rsid w:val="00873E95"/>
    <w:rsid w:val="0087447C"/>
    <w:rsid w:val="00874C3C"/>
    <w:rsid w:val="00875B52"/>
    <w:rsid w:val="0087730A"/>
    <w:rsid w:val="0087794B"/>
    <w:rsid w:val="00877A88"/>
    <w:rsid w:val="00880786"/>
    <w:rsid w:val="00880A28"/>
    <w:rsid w:val="008827CC"/>
    <w:rsid w:val="0088403D"/>
    <w:rsid w:val="00884A93"/>
    <w:rsid w:val="00885006"/>
    <w:rsid w:val="00886839"/>
    <w:rsid w:val="0089087C"/>
    <w:rsid w:val="00891424"/>
    <w:rsid w:val="00891C61"/>
    <w:rsid w:val="00892384"/>
    <w:rsid w:val="008925CF"/>
    <w:rsid w:val="00892B32"/>
    <w:rsid w:val="0089581B"/>
    <w:rsid w:val="00895C19"/>
    <w:rsid w:val="008969BE"/>
    <w:rsid w:val="00896AE8"/>
    <w:rsid w:val="008970C6"/>
    <w:rsid w:val="00897D89"/>
    <w:rsid w:val="00897EF9"/>
    <w:rsid w:val="008A1C63"/>
    <w:rsid w:val="008A2251"/>
    <w:rsid w:val="008A24EE"/>
    <w:rsid w:val="008A277F"/>
    <w:rsid w:val="008A2AC2"/>
    <w:rsid w:val="008A2E9B"/>
    <w:rsid w:val="008A3C02"/>
    <w:rsid w:val="008A6A0E"/>
    <w:rsid w:val="008B0A80"/>
    <w:rsid w:val="008B16DA"/>
    <w:rsid w:val="008B17CA"/>
    <w:rsid w:val="008B387D"/>
    <w:rsid w:val="008B501C"/>
    <w:rsid w:val="008B5B8F"/>
    <w:rsid w:val="008B6644"/>
    <w:rsid w:val="008C02A9"/>
    <w:rsid w:val="008C0995"/>
    <w:rsid w:val="008C107C"/>
    <w:rsid w:val="008C2275"/>
    <w:rsid w:val="008C2CE6"/>
    <w:rsid w:val="008C32ED"/>
    <w:rsid w:val="008C3473"/>
    <w:rsid w:val="008C3CEB"/>
    <w:rsid w:val="008C3F38"/>
    <w:rsid w:val="008C45B2"/>
    <w:rsid w:val="008C4DC3"/>
    <w:rsid w:val="008C5437"/>
    <w:rsid w:val="008C564D"/>
    <w:rsid w:val="008D026C"/>
    <w:rsid w:val="008D11D9"/>
    <w:rsid w:val="008D16ED"/>
    <w:rsid w:val="008D23E9"/>
    <w:rsid w:val="008D29B0"/>
    <w:rsid w:val="008D2CCB"/>
    <w:rsid w:val="008D3587"/>
    <w:rsid w:val="008D380C"/>
    <w:rsid w:val="008D3DF2"/>
    <w:rsid w:val="008D3E3A"/>
    <w:rsid w:val="008D47DC"/>
    <w:rsid w:val="008D590B"/>
    <w:rsid w:val="008D5FCC"/>
    <w:rsid w:val="008D610D"/>
    <w:rsid w:val="008D6CFB"/>
    <w:rsid w:val="008D6EDC"/>
    <w:rsid w:val="008D6F1B"/>
    <w:rsid w:val="008E0356"/>
    <w:rsid w:val="008E2039"/>
    <w:rsid w:val="008E236B"/>
    <w:rsid w:val="008E2CD9"/>
    <w:rsid w:val="008E3583"/>
    <w:rsid w:val="008E3EF1"/>
    <w:rsid w:val="008E54EF"/>
    <w:rsid w:val="008E5A9B"/>
    <w:rsid w:val="008E5B2E"/>
    <w:rsid w:val="008E622C"/>
    <w:rsid w:val="008E6435"/>
    <w:rsid w:val="008E6444"/>
    <w:rsid w:val="008E6E7C"/>
    <w:rsid w:val="008E795B"/>
    <w:rsid w:val="008F0B19"/>
    <w:rsid w:val="008F3A9E"/>
    <w:rsid w:val="008F4EA3"/>
    <w:rsid w:val="008F511E"/>
    <w:rsid w:val="008F51D9"/>
    <w:rsid w:val="008F572F"/>
    <w:rsid w:val="008F70C1"/>
    <w:rsid w:val="00900C6B"/>
    <w:rsid w:val="00901E63"/>
    <w:rsid w:val="0090237F"/>
    <w:rsid w:val="00903255"/>
    <w:rsid w:val="00903C87"/>
    <w:rsid w:val="009060F3"/>
    <w:rsid w:val="00906998"/>
    <w:rsid w:val="00907346"/>
    <w:rsid w:val="00910B98"/>
    <w:rsid w:val="009114BF"/>
    <w:rsid w:val="00911C1D"/>
    <w:rsid w:val="00912916"/>
    <w:rsid w:val="00912A2C"/>
    <w:rsid w:val="00913B40"/>
    <w:rsid w:val="009157D0"/>
    <w:rsid w:val="00915E8D"/>
    <w:rsid w:val="00916775"/>
    <w:rsid w:val="00916D7A"/>
    <w:rsid w:val="00917060"/>
    <w:rsid w:val="00920A65"/>
    <w:rsid w:val="00922CC4"/>
    <w:rsid w:val="00923265"/>
    <w:rsid w:val="009250FD"/>
    <w:rsid w:val="00925DCC"/>
    <w:rsid w:val="00925EF7"/>
    <w:rsid w:val="0092606D"/>
    <w:rsid w:val="00930062"/>
    <w:rsid w:val="009313E8"/>
    <w:rsid w:val="00931431"/>
    <w:rsid w:val="00931869"/>
    <w:rsid w:val="00931F93"/>
    <w:rsid w:val="00932CBB"/>
    <w:rsid w:val="00933863"/>
    <w:rsid w:val="00933D76"/>
    <w:rsid w:val="009348ED"/>
    <w:rsid w:val="009362EA"/>
    <w:rsid w:val="00937770"/>
    <w:rsid w:val="00940870"/>
    <w:rsid w:val="009408FD"/>
    <w:rsid w:val="00940FC3"/>
    <w:rsid w:val="009425C9"/>
    <w:rsid w:val="0094275A"/>
    <w:rsid w:val="0094277A"/>
    <w:rsid w:val="009441C7"/>
    <w:rsid w:val="009458C3"/>
    <w:rsid w:val="009467D9"/>
    <w:rsid w:val="00947018"/>
    <w:rsid w:val="009470F3"/>
    <w:rsid w:val="009471B1"/>
    <w:rsid w:val="00947AA2"/>
    <w:rsid w:val="00950553"/>
    <w:rsid w:val="009518FB"/>
    <w:rsid w:val="00957118"/>
    <w:rsid w:val="009571F8"/>
    <w:rsid w:val="009601FA"/>
    <w:rsid w:val="00960BCE"/>
    <w:rsid w:val="00961B09"/>
    <w:rsid w:val="00961B49"/>
    <w:rsid w:val="009625B4"/>
    <w:rsid w:val="00963039"/>
    <w:rsid w:val="00964148"/>
    <w:rsid w:val="00964B95"/>
    <w:rsid w:val="00964CBC"/>
    <w:rsid w:val="009670FD"/>
    <w:rsid w:val="009706FB"/>
    <w:rsid w:val="009710CB"/>
    <w:rsid w:val="00971686"/>
    <w:rsid w:val="00972076"/>
    <w:rsid w:val="0097266B"/>
    <w:rsid w:val="00973D6D"/>
    <w:rsid w:val="00974937"/>
    <w:rsid w:val="00975026"/>
    <w:rsid w:val="009757D1"/>
    <w:rsid w:val="0097589A"/>
    <w:rsid w:val="00976543"/>
    <w:rsid w:val="00977AE6"/>
    <w:rsid w:val="00980983"/>
    <w:rsid w:val="00981D43"/>
    <w:rsid w:val="00984B49"/>
    <w:rsid w:val="00984CC5"/>
    <w:rsid w:val="00987398"/>
    <w:rsid w:val="00991642"/>
    <w:rsid w:val="00991BD2"/>
    <w:rsid w:val="00994349"/>
    <w:rsid w:val="009945A2"/>
    <w:rsid w:val="00994803"/>
    <w:rsid w:val="00994EEA"/>
    <w:rsid w:val="00997457"/>
    <w:rsid w:val="0099761F"/>
    <w:rsid w:val="00997DCE"/>
    <w:rsid w:val="00997E76"/>
    <w:rsid w:val="009A01A9"/>
    <w:rsid w:val="009A0924"/>
    <w:rsid w:val="009A26C7"/>
    <w:rsid w:val="009A2EB4"/>
    <w:rsid w:val="009A3696"/>
    <w:rsid w:val="009A38A0"/>
    <w:rsid w:val="009A3B8C"/>
    <w:rsid w:val="009A56A2"/>
    <w:rsid w:val="009A64F4"/>
    <w:rsid w:val="009A6933"/>
    <w:rsid w:val="009A6A85"/>
    <w:rsid w:val="009B3BC6"/>
    <w:rsid w:val="009B3D1E"/>
    <w:rsid w:val="009B4D0E"/>
    <w:rsid w:val="009B5627"/>
    <w:rsid w:val="009B5AA2"/>
    <w:rsid w:val="009B6C87"/>
    <w:rsid w:val="009B73E2"/>
    <w:rsid w:val="009B73E6"/>
    <w:rsid w:val="009B7F6F"/>
    <w:rsid w:val="009C0607"/>
    <w:rsid w:val="009C0614"/>
    <w:rsid w:val="009C0FD6"/>
    <w:rsid w:val="009C1B3A"/>
    <w:rsid w:val="009C3B87"/>
    <w:rsid w:val="009C4CF5"/>
    <w:rsid w:val="009C5856"/>
    <w:rsid w:val="009C5B68"/>
    <w:rsid w:val="009C7777"/>
    <w:rsid w:val="009C77F8"/>
    <w:rsid w:val="009D0397"/>
    <w:rsid w:val="009D0864"/>
    <w:rsid w:val="009D12BB"/>
    <w:rsid w:val="009D1543"/>
    <w:rsid w:val="009D1ECE"/>
    <w:rsid w:val="009D1FAE"/>
    <w:rsid w:val="009D47F8"/>
    <w:rsid w:val="009D6839"/>
    <w:rsid w:val="009E08DB"/>
    <w:rsid w:val="009E14DD"/>
    <w:rsid w:val="009E1597"/>
    <w:rsid w:val="009E2A2E"/>
    <w:rsid w:val="009E3462"/>
    <w:rsid w:val="009E5217"/>
    <w:rsid w:val="009E71E9"/>
    <w:rsid w:val="009F22C5"/>
    <w:rsid w:val="009F2DC1"/>
    <w:rsid w:val="009F45C1"/>
    <w:rsid w:val="009F6878"/>
    <w:rsid w:val="009F6D28"/>
    <w:rsid w:val="00A009DE"/>
    <w:rsid w:val="00A00B9F"/>
    <w:rsid w:val="00A01C6B"/>
    <w:rsid w:val="00A02A0A"/>
    <w:rsid w:val="00A02E59"/>
    <w:rsid w:val="00A04683"/>
    <w:rsid w:val="00A04BE2"/>
    <w:rsid w:val="00A04DF4"/>
    <w:rsid w:val="00A050C0"/>
    <w:rsid w:val="00A060BD"/>
    <w:rsid w:val="00A106DB"/>
    <w:rsid w:val="00A13257"/>
    <w:rsid w:val="00A13511"/>
    <w:rsid w:val="00A145D8"/>
    <w:rsid w:val="00A1464B"/>
    <w:rsid w:val="00A150C0"/>
    <w:rsid w:val="00A15F00"/>
    <w:rsid w:val="00A1648D"/>
    <w:rsid w:val="00A16579"/>
    <w:rsid w:val="00A179F3"/>
    <w:rsid w:val="00A17CA2"/>
    <w:rsid w:val="00A210AA"/>
    <w:rsid w:val="00A2317A"/>
    <w:rsid w:val="00A234F3"/>
    <w:rsid w:val="00A23690"/>
    <w:rsid w:val="00A23EBB"/>
    <w:rsid w:val="00A24663"/>
    <w:rsid w:val="00A25C18"/>
    <w:rsid w:val="00A2647A"/>
    <w:rsid w:val="00A3070E"/>
    <w:rsid w:val="00A30780"/>
    <w:rsid w:val="00A31B6A"/>
    <w:rsid w:val="00A31E0A"/>
    <w:rsid w:val="00A3267E"/>
    <w:rsid w:val="00A32745"/>
    <w:rsid w:val="00A33B3E"/>
    <w:rsid w:val="00A33E6D"/>
    <w:rsid w:val="00A34D59"/>
    <w:rsid w:val="00A35617"/>
    <w:rsid w:val="00A356C5"/>
    <w:rsid w:val="00A35EDE"/>
    <w:rsid w:val="00A373CA"/>
    <w:rsid w:val="00A42EBF"/>
    <w:rsid w:val="00A44A74"/>
    <w:rsid w:val="00A44F1B"/>
    <w:rsid w:val="00A45195"/>
    <w:rsid w:val="00A45A48"/>
    <w:rsid w:val="00A4642F"/>
    <w:rsid w:val="00A47968"/>
    <w:rsid w:val="00A5009C"/>
    <w:rsid w:val="00A5297C"/>
    <w:rsid w:val="00A5344E"/>
    <w:rsid w:val="00A53759"/>
    <w:rsid w:val="00A5587D"/>
    <w:rsid w:val="00A572CD"/>
    <w:rsid w:val="00A57698"/>
    <w:rsid w:val="00A57AFA"/>
    <w:rsid w:val="00A60250"/>
    <w:rsid w:val="00A605D1"/>
    <w:rsid w:val="00A60AC7"/>
    <w:rsid w:val="00A6121D"/>
    <w:rsid w:val="00A62A67"/>
    <w:rsid w:val="00A6364F"/>
    <w:rsid w:val="00A64426"/>
    <w:rsid w:val="00A651F1"/>
    <w:rsid w:val="00A67258"/>
    <w:rsid w:val="00A706C9"/>
    <w:rsid w:val="00A70ADA"/>
    <w:rsid w:val="00A70AF2"/>
    <w:rsid w:val="00A713AA"/>
    <w:rsid w:val="00A71657"/>
    <w:rsid w:val="00A71857"/>
    <w:rsid w:val="00A732CE"/>
    <w:rsid w:val="00A73980"/>
    <w:rsid w:val="00A740DE"/>
    <w:rsid w:val="00A7422B"/>
    <w:rsid w:val="00A74E16"/>
    <w:rsid w:val="00A76418"/>
    <w:rsid w:val="00A77FE5"/>
    <w:rsid w:val="00A80470"/>
    <w:rsid w:val="00A82370"/>
    <w:rsid w:val="00A85046"/>
    <w:rsid w:val="00A853EF"/>
    <w:rsid w:val="00A870AA"/>
    <w:rsid w:val="00A878F7"/>
    <w:rsid w:val="00A9030C"/>
    <w:rsid w:val="00A91EC9"/>
    <w:rsid w:val="00A923D5"/>
    <w:rsid w:val="00A93BC9"/>
    <w:rsid w:val="00A96ED8"/>
    <w:rsid w:val="00AA0D42"/>
    <w:rsid w:val="00AA21D8"/>
    <w:rsid w:val="00AA337B"/>
    <w:rsid w:val="00AA4FC1"/>
    <w:rsid w:val="00AA5731"/>
    <w:rsid w:val="00AA5B45"/>
    <w:rsid w:val="00AA6344"/>
    <w:rsid w:val="00AA66E6"/>
    <w:rsid w:val="00AA6DD6"/>
    <w:rsid w:val="00AA78A4"/>
    <w:rsid w:val="00AA7A1F"/>
    <w:rsid w:val="00AB03BA"/>
    <w:rsid w:val="00AB0CD8"/>
    <w:rsid w:val="00AB1548"/>
    <w:rsid w:val="00AB3F1F"/>
    <w:rsid w:val="00AB7CF3"/>
    <w:rsid w:val="00AC401D"/>
    <w:rsid w:val="00AC4EED"/>
    <w:rsid w:val="00AC4F94"/>
    <w:rsid w:val="00AC50E6"/>
    <w:rsid w:val="00AC6512"/>
    <w:rsid w:val="00AC6EE2"/>
    <w:rsid w:val="00AC7A7F"/>
    <w:rsid w:val="00AD23EA"/>
    <w:rsid w:val="00AD246E"/>
    <w:rsid w:val="00AD2EDE"/>
    <w:rsid w:val="00AD39C9"/>
    <w:rsid w:val="00AD4D11"/>
    <w:rsid w:val="00AD5162"/>
    <w:rsid w:val="00AD5E98"/>
    <w:rsid w:val="00AE17DB"/>
    <w:rsid w:val="00AE2930"/>
    <w:rsid w:val="00AE39A1"/>
    <w:rsid w:val="00AE4C87"/>
    <w:rsid w:val="00AE7B0C"/>
    <w:rsid w:val="00AE7D37"/>
    <w:rsid w:val="00AF127B"/>
    <w:rsid w:val="00AF16B5"/>
    <w:rsid w:val="00AF3140"/>
    <w:rsid w:val="00AF3BE6"/>
    <w:rsid w:val="00AF440F"/>
    <w:rsid w:val="00AF50E9"/>
    <w:rsid w:val="00AF600B"/>
    <w:rsid w:val="00AF678F"/>
    <w:rsid w:val="00AF6E8B"/>
    <w:rsid w:val="00AF7A64"/>
    <w:rsid w:val="00B01362"/>
    <w:rsid w:val="00B03420"/>
    <w:rsid w:val="00B03423"/>
    <w:rsid w:val="00B039CA"/>
    <w:rsid w:val="00B0487B"/>
    <w:rsid w:val="00B05973"/>
    <w:rsid w:val="00B05B2A"/>
    <w:rsid w:val="00B07AB9"/>
    <w:rsid w:val="00B07E38"/>
    <w:rsid w:val="00B07F1E"/>
    <w:rsid w:val="00B1083F"/>
    <w:rsid w:val="00B131D7"/>
    <w:rsid w:val="00B135FD"/>
    <w:rsid w:val="00B14597"/>
    <w:rsid w:val="00B14F7D"/>
    <w:rsid w:val="00B1577A"/>
    <w:rsid w:val="00B15E92"/>
    <w:rsid w:val="00B172BF"/>
    <w:rsid w:val="00B17977"/>
    <w:rsid w:val="00B20C3E"/>
    <w:rsid w:val="00B210E6"/>
    <w:rsid w:val="00B21D3D"/>
    <w:rsid w:val="00B2284A"/>
    <w:rsid w:val="00B2406D"/>
    <w:rsid w:val="00B245FE"/>
    <w:rsid w:val="00B27FF9"/>
    <w:rsid w:val="00B30457"/>
    <w:rsid w:val="00B316E9"/>
    <w:rsid w:val="00B31CB5"/>
    <w:rsid w:val="00B31F96"/>
    <w:rsid w:val="00B34740"/>
    <w:rsid w:val="00B358DE"/>
    <w:rsid w:val="00B3591D"/>
    <w:rsid w:val="00B35CF0"/>
    <w:rsid w:val="00B36127"/>
    <w:rsid w:val="00B37E57"/>
    <w:rsid w:val="00B40F87"/>
    <w:rsid w:val="00B4336B"/>
    <w:rsid w:val="00B45FD2"/>
    <w:rsid w:val="00B46550"/>
    <w:rsid w:val="00B469B1"/>
    <w:rsid w:val="00B508ED"/>
    <w:rsid w:val="00B50906"/>
    <w:rsid w:val="00B5343B"/>
    <w:rsid w:val="00B5352B"/>
    <w:rsid w:val="00B535FD"/>
    <w:rsid w:val="00B54CEC"/>
    <w:rsid w:val="00B550CD"/>
    <w:rsid w:val="00B555C3"/>
    <w:rsid w:val="00B5585D"/>
    <w:rsid w:val="00B55E3D"/>
    <w:rsid w:val="00B57DEB"/>
    <w:rsid w:val="00B6104B"/>
    <w:rsid w:val="00B62511"/>
    <w:rsid w:val="00B63500"/>
    <w:rsid w:val="00B63E55"/>
    <w:rsid w:val="00B63E73"/>
    <w:rsid w:val="00B644B7"/>
    <w:rsid w:val="00B701CC"/>
    <w:rsid w:val="00B709D9"/>
    <w:rsid w:val="00B7116B"/>
    <w:rsid w:val="00B7178E"/>
    <w:rsid w:val="00B72C05"/>
    <w:rsid w:val="00B7478A"/>
    <w:rsid w:val="00B74CF6"/>
    <w:rsid w:val="00B7614B"/>
    <w:rsid w:val="00B7622F"/>
    <w:rsid w:val="00B771A6"/>
    <w:rsid w:val="00B80D17"/>
    <w:rsid w:val="00B80D80"/>
    <w:rsid w:val="00B81E66"/>
    <w:rsid w:val="00B83206"/>
    <w:rsid w:val="00B835EA"/>
    <w:rsid w:val="00B84BC3"/>
    <w:rsid w:val="00B864BA"/>
    <w:rsid w:val="00B87382"/>
    <w:rsid w:val="00B90149"/>
    <w:rsid w:val="00B91026"/>
    <w:rsid w:val="00B9369D"/>
    <w:rsid w:val="00B9397D"/>
    <w:rsid w:val="00B94557"/>
    <w:rsid w:val="00B94B83"/>
    <w:rsid w:val="00B95E91"/>
    <w:rsid w:val="00B96CD4"/>
    <w:rsid w:val="00B970E3"/>
    <w:rsid w:val="00B97169"/>
    <w:rsid w:val="00BA16DE"/>
    <w:rsid w:val="00BA1E5A"/>
    <w:rsid w:val="00BA2DA6"/>
    <w:rsid w:val="00BA563A"/>
    <w:rsid w:val="00BA58DB"/>
    <w:rsid w:val="00BA5BE2"/>
    <w:rsid w:val="00BA6560"/>
    <w:rsid w:val="00BA6809"/>
    <w:rsid w:val="00BA6F88"/>
    <w:rsid w:val="00BA7473"/>
    <w:rsid w:val="00BB209D"/>
    <w:rsid w:val="00BB27A7"/>
    <w:rsid w:val="00BB44F3"/>
    <w:rsid w:val="00BB52EA"/>
    <w:rsid w:val="00BC05F3"/>
    <w:rsid w:val="00BC1E2B"/>
    <w:rsid w:val="00BC2BA5"/>
    <w:rsid w:val="00BC3410"/>
    <w:rsid w:val="00BC3B99"/>
    <w:rsid w:val="00BC5CD6"/>
    <w:rsid w:val="00BC7043"/>
    <w:rsid w:val="00BC78D4"/>
    <w:rsid w:val="00BD0208"/>
    <w:rsid w:val="00BD09D8"/>
    <w:rsid w:val="00BD2D48"/>
    <w:rsid w:val="00BD359A"/>
    <w:rsid w:val="00BD737D"/>
    <w:rsid w:val="00BD7F70"/>
    <w:rsid w:val="00BE06FA"/>
    <w:rsid w:val="00BE18B9"/>
    <w:rsid w:val="00BE39D5"/>
    <w:rsid w:val="00BE40A9"/>
    <w:rsid w:val="00BE5EC5"/>
    <w:rsid w:val="00BE6498"/>
    <w:rsid w:val="00BE64A4"/>
    <w:rsid w:val="00BE668E"/>
    <w:rsid w:val="00BE6A47"/>
    <w:rsid w:val="00BF0AC5"/>
    <w:rsid w:val="00BF196C"/>
    <w:rsid w:val="00BF2F7D"/>
    <w:rsid w:val="00BF4389"/>
    <w:rsid w:val="00BF4748"/>
    <w:rsid w:val="00BF56BF"/>
    <w:rsid w:val="00BF712D"/>
    <w:rsid w:val="00C00A4C"/>
    <w:rsid w:val="00C01EBD"/>
    <w:rsid w:val="00C025F9"/>
    <w:rsid w:val="00C03771"/>
    <w:rsid w:val="00C03F9C"/>
    <w:rsid w:val="00C03FAF"/>
    <w:rsid w:val="00C0418E"/>
    <w:rsid w:val="00C04EF7"/>
    <w:rsid w:val="00C04FC1"/>
    <w:rsid w:val="00C057B9"/>
    <w:rsid w:val="00C07CF7"/>
    <w:rsid w:val="00C07FD8"/>
    <w:rsid w:val="00C1134F"/>
    <w:rsid w:val="00C130BE"/>
    <w:rsid w:val="00C13978"/>
    <w:rsid w:val="00C16BDC"/>
    <w:rsid w:val="00C17C80"/>
    <w:rsid w:val="00C17EF6"/>
    <w:rsid w:val="00C223A0"/>
    <w:rsid w:val="00C2429A"/>
    <w:rsid w:val="00C26C8A"/>
    <w:rsid w:val="00C27B7C"/>
    <w:rsid w:val="00C30B20"/>
    <w:rsid w:val="00C3254A"/>
    <w:rsid w:val="00C3282B"/>
    <w:rsid w:val="00C33A52"/>
    <w:rsid w:val="00C33DA0"/>
    <w:rsid w:val="00C35B1D"/>
    <w:rsid w:val="00C3657E"/>
    <w:rsid w:val="00C36A52"/>
    <w:rsid w:val="00C4085C"/>
    <w:rsid w:val="00C41A97"/>
    <w:rsid w:val="00C41B56"/>
    <w:rsid w:val="00C43D4B"/>
    <w:rsid w:val="00C449D5"/>
    <w:rsid w:val="00C44B46"/>
    <w:rsid w:val="00C45746"/>
    <w:rsid w:val="00C45AC6"/>
    <w:rsid w:val="00C46197"/>
    <w:rsid w:val="00C46761"/>
    <w:rsid w:val="00C46901"/>
    <w:rsid w:val="00C478A9"/>
    <w:rsid w:val="00C47AB5"/>
    <w:rsid w:val="00C47DC3"/>
    <w:rsid w:val="00C47EC3"/>
    <w:rsid w:val="00C5279E"/>
    <w:rsid w:val="00C52E27"/>
    <w:rsid w:val="00C55975"/>
    <w:rsid w:val="00C55E06"/>
    <w:rsid w:val="00C569F9"/>
    <w:rsid w:val="00C56E1E"/>
    <w:rsid w:val="00C57021"/>
    <w:rsid w:val="00C57267"/>
    <w:rsid w:val="00C60B8C"/>
    <w:rsid w:val="00C610DD"/>
    <w:rsid w:val="00C61246"/>
    <w:rsid w:val="00C620B6"/>
    <w:rsid w:val="00C62CAA"/>
    <w:rsid w:val="00C630F0"/>
    <w:rsid w:val="00C633D6"/>
    <w:rsid w:val="00C63602"/>
    <w:rsid w:val="00C63721"/>
    <w:rsid w:val="00C6537F"/>
    <w:rsid w:val="00C6733F"/>
    <w:rsid w:val="00C70256"/>
    <w:rsid w:val="00C705D8"/>
    <w:rsid w:val="00C71E36"/>
    <w:rsid w:val="00C72B36"/>
    <w:rsid w:val="00C738AF"/>
    <w:rsid w:val="00C75330"/>
    <w:rsid w:val="00C7697D"/>
    <w:rsid w:val="00C77499"/>
    <w:rsid w:val="00C7759B"/>
    <w:rsid w:val="00C7776E"/>
    <w:rsid w:val="00C801EF"/>
    <w:rsid w:val="00C805B7"/>
    <w:rsid w:val="00C80958"/>
    <w:rsid w:val="00C82BA1"/>
    <w:rsid w:val="00C84890"/>
    <w:rsid w:val="00C86328"/>
    <w:rsid w:val="00C867BE"/>
    <w:rsid w:val="00C86B71"/>
    <w:rsid w:val="00C92186"/>
    <w:rsid w:val="00C929BF"/>
    <w:rsid w:val="00C9364E"/>
    <w:rsid w:val="00C93A94"/>
    <w:rsid w:val="00C93F19"/>
    <w:rsid w:val="00C94FD5"/>
    <w:rsid w:val="00CA0D54"/>
    <w:rsid w:val="00CA1052"/>
    <w:rsid w:val="00CA1B73"/>
    <w:rsid w:val="00CA36C7"/>
    <w:rsid w:val="00CA3B8B"/>
    <w:rsid w:val="00CA403D"/>
    <w:rsid w:val="00CA56DA"/>
    <w:rsid w:val="00CA5881"/>
    <w:rsid w:val="00CA6208"/>
    <w:rsid w:val="00CA66B4"/>
    <w:rsid w:val="00CA6AF9"/>
    <w:rsid w:val="00CA6ECE"/>
    <w:rsid w:val="00CA7198"/>
    <w:rsid w:val="00CB027D"/>
    <w:rsid w:val="00CB1703"/>
    <w:rsid w:val="00CB1EBE"/>
    <w:rsid w:val="00CB2645"/>
    <w:rsid w:val="00CB26C6"/>
    <w:rsid w:val="00CB34DC"/>
    <w:rsid w:val="00CB46AD"/>
    <w:rsid w:val="00CB4F11"/>
    <w:rsid w:val="00CB506F"/>
    <w:rsid w:val="00CB52C5"/>
    <w:rsid w:val="00CB742E"/>
    <w:rsid w:val="00CC0400"/>
    <w:rsid w:val="00CC1F0C"/>
    <w:rsid w:val="00CC354F"/>
    <w:rsid w:val="00CC397A"/>
    <w:rsid w:val="00CC4802"/>
    <w:rsid w:val="00CC5D3F"/>
    <w:rsid w:val="00CC6F34"/>
    <w:rsid w:val="00CC77B1"/>
    <w:rsid w:val="00CC7B2C"/>
    <w:rsid w:val="00CC7F27"/>
    <w:rsid w:val="00CC7F9E"/>
    <w:rsid w:val="00CD03EA"/>
    <w:rsid w:val="00CD0E3C"/>
    <w:rsid w:val="00CD0F50"/>
    <w:rsid w:val="00CD12CA"/>
    <w:rsid w:val="00CD1F49"/>
    <w:rsid w:val="00CD2E75"/>
    <w:rsid w:val="00CD329A"/>
    <w:rsid w:val="00CD418B"/>
    <w:rsid w:val="00CD4BA5"/>
    <w:rsid w:val="00CD7C5F"/>
    <w:rsid w:val="00CD7E1A"/>
    <w:rsid w:val="00CE0B7A"/>
    <w:rsid w:val="00CE1F26"/>
    <w:rsid w:val="00CE2464"/>
    <w:rsid w:val="00CE274C"/>
    <w:rsid w:val="00CE3D52"/>
    <w:rsid w:val="00CE408F"/>
    <w:rsid w:val="00CE40B1"/>
    <w:rsid w:val="00CE45F0"/>
    <w:rsid w:val="00CE50A8"/>
    <w:rsid w:val="00CE5715"/>
    <w:rsid w:val="00CE690B"/>
    <w:rsid w:val="00CE6B17"/>
    <w:rsid w:val="00CE7874"/>
    <w:rsid w:val="00CF0D74"/>
    <w:rsid w:val="00CF1745"/>
    <w:rsid w:val="00CF1852"/>
    <w:rsid w:val="00CF27EF"/>
    <w:rsid w:val="00CF3571"/>
    <w:rsid w:val="00CF481C"/>
    <w:rsid w:val="00CF486F"/>
    <w:rsid w:val="00CF5785"/>
    <w:rsid w:val="00CF64F4"/>
    <w:rsid w:val="00D00D2F"/>
    <w:rsid w:val="00D01D81"/>
    <w:rsid w:val="00D03D8A"/>
    <w:rsid w:val="00D04BEF"/>
    <w:rsid w:val="00D051DF"/>
    <w:rsid w:val="00D075F9"/>
    <w:rsid w:val="00D07DFD"/>
    <w:rsid w:val="00D10730"/>
    <w:rsid w:val="00D127E6"/>
    <w:rsid w:val="00D134AE"/>
    <w:rsid w:val="00D14081"/>
    <w:rsid w:val="00D14810"/>
    <w:rsid w:val="00D15BFB"/>
    <w:rsid w:val="00D21A0F"/>
    <w:rsid w:val="00D22B0E"/>
    <w:rsid w:val="00D2345A"/>
    <w:rsid w:val="00D23A5A"/>
    <w:rsid w:val="00D23AD1"/>
    <w:rsid w:val="00D2408D"/>
    <w:rsid w:val="00D24C76"/>
    <w:rsid w:val="00D25B01"/>
    <w:rsid w:val="00D26532"/>
    <w:rsid w:val="00D26775"/>
    <w:rsid w:val="00D26FCD"/>
    <w:rsid w:val="00D26FF3"/>
    <w:rsid w:val="00D27EA8"/>
    <w:rsid w:val="00D30F4D"/>
    <w:rsid w:val="00D31239"/>
    <w:rsid w:val="00D31BAE"/>
    <w:rsid w:val="00D31D28"/>
    <w:rsid w:val="00D3261C"/>
    <w:rsid w:val="00D329CC"/>
    <w:rsid w:val="00D3310E"/>
    <w:rsid w:val="00D33EBE"/>
    <w:rsid w:val="00D35202"/>
    <w:rsid w:val="00D35F8B"/>
    <w:rsid w:val="00D3664D"/>
    <w:rsid w:val="00D36B4B"/>
    <w:rsid w:val="00D4057B"/>
    <w:rsid w:val="00D405A9"/>
    <w:rsid w:val="00D41175"/>
    <w:rsid w:val="00D42B3E"/>
    <w:rsid w:val="00D4322F"/>
    <w:rsid w:val="00D4414D"/>
    <w:rsid w:val="00D446DB"/>
    <w:rsid w:val="00D45F0E"/>
    <w:rsid w:val="00D4612A"/>
    <w:rsid w:val="00D46E27"/>
    <w:rsid w:val="00D47577"/>
    <w:rsid w:val="00D4791C"/>
    <w:rsid w:val="00D47B9E"/>
    <w:rsid w:val="00D508DA"/>
    <w:rsid w:val="00D51D61"/>
    <w:rsid w:val="00D51DF3"/>
    <w:rsid w:val="00D52217"/>
    <w:rsid w:val="00D5255F"/>
    <w:rsid w:val="00D530EF"/>
    <w:rsid w:val="00D57F3A"/>
    <w:rsid w:val="00D6064B"/>
    <w:rsid w:val="00D607F9"/>
    <w:rsid w:val="00D60B28"/>
    <w:rsid w:val="00D6301B"/>
    <w:rsid w:val="00D63F5B"/>
    <w:rsid w:val="00D64BF4"/>
    <w:rsid w:val="00D64C62"/>
    <w:rsid w:val="00D65132"/>
    <w:rsid w:val="00D65777"/>
    <w:rsid w:val="00D65E57"/>
    <w:rsid w:val="00D6600D"/>
    <w:rsid w:val="00D71212"/>
    <w:rsid w:val="00D718EF"/>
    <w:rsid w:val="00D72701"/>
    <w:rsid w:val="00D72B9B"/>
    <w:rsid w:val="00D73097"/>
    <w:rsid w:val="00D74969"/>
    <w:rsid w:val="00D74A01"/>
    <w:rsid w:val="00D75357"/>
    <w:rsid w:val="00D76EB6"/>
    <w:rsid w:val="00D775C8"/>
    <w:rsid w:val="00D779B2"/>
    <w:rsid w:val="00D77C98"/>
    <w:rsid w:val="00D8236C"/>
    <w:rsid w:val="00D85063"/>
    <w:rsid w:val="00D859D1"/>
    <w:rsid w:val="00D86A86"/>
    <w:rsid w:val="00D87FFB"/>
    <w:rsid w:val="00D90552"/>
    <w:rsid w:val="00D92690"/>
    <w:rsid w:val="00D92F9E"/>
    <w:rsid w:val="00D93549"/>
    <w:rsid w:val="00D947C5"/>
    <w:rsid w:val="00D949F8"/>
    <w:rsid w:val="00D9655F"/>
    <w:rsid w:val="00D97B0A"/>
    <w:rsid w:val="00D97CE4"/>
    <w:rsid w:val="00DA085A"/>
    <w:rsid w:val="00DA22B0"/>
    <w:rsid w:val="00DA2ADF"/>
    <w:rsid w:val="00DA3E6A"/>
    <w:rsid w:val="00DA42FC"/>
    <w:rsid w:val="00DA4E43"/>
    <w:rsid w:val="00DA51F3"/>
    <w:rsid w:val="00DA67AB"/>
    <w:rsid w:val="00DA7188"/>
    <w:rsid w:val="00DB121E"/>
    <w:rsid w:val="00DB13A0"/>
    <w:rsid w:val="00DB15E1"/>
    <w:rsid w:val="00DB2D40"/>
    <w:rsid w:val="00DB35B6"/>
    <w:rsid w:val="00DB3894"/>
    <w:rsid w:val="00DB4E39"/>
    <w:rsid w:val="00DB594D"/>
    <w:rsid w:val="00DB6241"/>
    <w:rsid w:val="00DB77EC"/>
    <w:rsid w:val="00DB7A64"/>
    <w:rsid w:val="00DB7DEE"/>
    <w:rsid w:val="00DC1A40"/>
    <w:rsid w:val="00DC2B98"/>
    <w:rsid w:val="00DC2CBE"/>
    <w:rsid w:val="00DC2CE8"/>
    <w:rsid w:val="00DC4687"/>
    <w:rsid w:val="00DC4E35"/>
    <w:rsid w:val="00DC653B"/>
    <w:rsid w:val="00DC65AE"/>
    <w:rsid w:val="00DC681F"/>
    <w:rsid w:val="00DC6DC3"/>
    <w:rsid w:val="00DC71B7"/>
    <w:rsid w:val="00DD2199"/>
    <w:rsid w:val="00DD320A"/>
    <w:rsid w:val="00DD3F45"/>
    <w:rsid w:val="00DD4F54"/>
    <w:rsid w:val="00DD61C8"/>
    <w:rsid w:val="00DD71AF"/>
    <w:rsid w:val="00DE0116"/>
    <w:rsid w:val="00DE1DA6"/>
    <w:rsid w:val="00DE2160"/>
    <w:rsid w:val="00DE2ED2"/>
    <w:rsid w:val="00DE5197"/>
    <w:rsid w:val="00DE5E65"/>
    <w:rsid w:val="00DE6C8D"/>
    <w:rsid w:val="00DF3B92"/>
    <w:rsid w:val="00DF3E2C"/>
    <w:rsid w:val="00DF4A64"/>
    <w:rsid w:val="00DF4AEA"/>
    <w:rsid w:val="00DF5097"/>
    <w:rsid w:val="00DF5743"/>
    <w:rsid w:val="00DF6095"/>
    <w:rsid w:val="00DF658B"/>
    <w:rsid w:val="00DF6B8E"/>
    <w:rsid w:val="00DF76A1"/>
    <w:rsid w:val="00DF7978"/>
    <w:rsid w:val="00DF79D0"/>
    <w:rsid w:val="00E00411"/>
    <w:rsid w:val="00E0172B"/>
    <w:rsid w:val="00E01969"/>
    <w:rsid w:val="00E02782"/>
    <w:rsid w:val="00E03AA2"/>
    <w:rsid w:val="00E04886"/>
    <w:rsid w:val="00E057AE"/>
    <w:rsid w:val="00E05A93"/>
    <w:rsid w:val="00E061AD"/>
    <w:rsid w:val="00E06C34"/>
    <w:rsid w:val="00E101D2"/>
    <w:rsid w:val="00E11E55"/>
    <w:rsid w:val="00E12035"/>
    <w:rsid w:val="00E1244A"/>
    <w:rsid w:val="00E12689"/>
    <w:rsid w:val="00E168E0"/>
    <w:rsid w:val="00E16A0C"/>
    <w:rsid w:val="00E16B77"/>
    <w:rsid w:val="00E20DD3"/>
    <w:rsid w:val="00E210EB"/>
    <w:rsid w:val="00E22557"/>
    <w:rsid w:val="00E22CF9"/>
    <w:rsid w:val="00E22D67"/>
    <w:rsid w:val="00E252D3"/>
    <w:rsid w:val="00E25F45"/>
    <w:rsid w:val="00E2674F"/>
    <w:rsid w:val="00E26D68"/>
    <w:rsid w:val="00E31A75"/>
    <w:rsid w:val="00E32864"/>
    <w:rsid w:val="00E353A6"/>
    <w:rsid w:val="00E35A56"/>
    <w:rsid w:val="00E41B86"/>
    <w:rsid w:val="00E42FB0"/>
    <w:rsid w:val="00E4338B"/>
    <w:rsid w:val="00E44B58"/>
    <w:rsid w:val="00E45341"/>
    <w:rsid w:val="00E45ED7"/>
    <w:rsid w:val="00E46582"/>
    <w:rsid w:val="00E46F7E"/>
    <w:rsid w:val="00E47B6E"/>
    <w:rsid w:val="00E53429"/>
    <w:rsid w:val="00E54934"/>
    <w:rsid w:val="00E554D3"/>
    <w:rsid w:val="00E55DB6"/>
    <w:rsid w:val="00E61907"/>
    <w:rsid w:val="00E61E97"/>
    <w:rsid w:val="00E628D0"/>
    <w:rsid w:val="00E63D88"/>
    <w:rsid w:val="00E6641B"/>
    <w:rsid w:val="00E67975"/>
    <w:rsid w:val="00E7003C"/>
    <w:rsid w:val="00E71841"/>
    <w:rsid w:val="00E71D81"/>
    <w:rsid w:val="00E726F6"/>
    <w:rsid w:val="00E736DD"/>
    <w:rsid w:val="00E746D8"/>
    <w:rsid w:val="00E74927"/>
    <w:rsid w:val="00E74A1C"/>
    <w:rsid w:val="00E75348"/>
    <w:rsid w:val="00E75FBF"/>
    <w:rsid w:val="00E76CDF"/>
    <w:rsid w:val="00E76E52"/>
    <w:rsid w:val="00E77691"/>
    <w:rsid w:val="00E80969"/>
    <w:rsid w:val="00E8152C"/>
    <w:rsid w:val="00E81C80"/>
    <w:rsid w:val="00E836F7"/>
    <w:rsid w:val="00E850BA"/>
    <w:rsid w:val="00E91E55"/>
    <w:rsid w:val="00E93DD8"/>
    <w:rsid w:val="00E94D37"/>
    <w:rsid w:val="00E95E5B"/>
    <w:rsid w:val="00E95F3D"/>
    <w:rsid w:val="00E9606B"/>
    <w:rsid w:val="00EA0446"/>
    <w:rsid w:val="00EA2458"/>
    <w:rsid w:val="00EA39C9"/>
    <w:rsid w:val="00EA54B0"/>
    <w:rsid w:val="00EB0DD1"/>
    <w:rsid w:val="00EB4FB7"/>
    <w:rsid w:val="00EB5846"/>
    <w:rsid w:val="00EB5FF7"/>
    <w:rsid w:val="00EB6046"/>
    <w:rsid w:val="00EB60EF"/>
    <w:rsid w:val="00EB6306"/>
    <w:rsid w:val="00EB676F"/>
    <w:rsid w:val="00EB67A0"/>
    <w:rsid w:val="00EC06C3"/>
    <w:rsid w:val="00EC0C62"/>
    <w:rsid w:val="00EC1180"/>
    <w:rsid w:val="00EC1515"/>
    <w:rsid w:val="00EC1EBF"/>
    <w:rsid w:val="00EC286A"/>
    <w:rsid w:val="00EC2892"/>
    <w:rsid w:val="00EC33F6"/>
    <w:rsid w:val="00EC3F80"/>
    <w:rsid w:val="00EC4F67"/>
    <w:rsid w:val="00EC54DB"/>
    <w:rsid w:val="00EC6AA6"/>
    <w:rsid w:val="00EC6DC3"/>
    <w:rsid w:val="00EC71C2"/>
    <w:rsid w:val="00EC7957"/>
    <w:rsid w:val="00EC7DE5"/>
    <w:rsid w:val="00ED010D"/>
    <w:rsid w:val="00ED1453"/>
    <w:rsid w:val="00ED25AB"/>
    <w:rsid w:val="00ED39F9"/>
    <w:rsid w:val="00ED4080"/>
    <w:rsid w:val="00ED66AD"/>
    <w:rsid w:val="00ED6856"/>
    <w:rsid w:val="00ED6BB9"/>
    <w:rsid w:val="00EE0CF0"/>
    <w:rsid w:val="00EE12D1"/>
    <w:rsid w:val="00EE7B89"/>
    <w:rsid w:val="00EF1AC7"/>
    <w:rsid w:val="00EF1D23"/>
    <w:rsid w:val="00EF1D61"/>
    <w:rsid w:val="00EF2C11"/>
    <w:rsid w:val="00EF331B"/>
    <w:rsid w:val="00EF3B77"/>
    <w:rsid w:val="00EF3F61"/>
    <w:rsid w:val="00EF41E0"/>
    <w:rsid w:val="00EF68A3"/>
    <w:rsid w:val="00F0099A"/>
    <w:rsid w:val="00F01A76"/>
    <w:rsid w:val="00F02B85"/>
    <w:rsid w:val="00F03283"/>
    <w:rsid w:val="00F0636A"/>
    <w:rsid w:val="00F06711"/>
    <w:rsid w:val="00F06CB3"/>
    <w:rsid w:val="00F07FF3"/>
    <w:rsid w:val="00F10886"/>
    <w:rsid w:val="00F10D81"/>
    <w:rsid w:val="00F116EE"/>
    <w:rsid w:val="00F120A6"/>
    <w:rsid w:val="00F12667"/>
    <w:rsid w:val="00F12E22"/>
    <w:rsid w:val="00F13C0F"/>
    <w:rsid w:val="00F140B9"/>
    <w:rsid w:val="00F15044"/>
    <w:rsid w:val="00F1522C"/>
    <w:rsid w:val="00F1530B"/>
    <w:rsid w:val="00F15C96"/>
    <w:rsid w:val="00F239E8"/>
    <w:rsid w:val="00F2417E"/>
    <w:rsid w:val="00F24358"/>
    <w:rsid w:val="00F24E1D"/>
    <w:rsid w:val="00F26981"/>
    <w:rsid w:val="00F306D0"/>
    <w:rsid w:val="00F3173A"/>
    <w:rsid w:val="00F334D1"/>
    <w:rsid w:val="00F34283"/>
    <w:rsid w:val="00F3550E"/>
    <w:rsid w:val="00F36450"/>
    <w:rsid w:val="00F368C2"/>
    <w:rsid w:val="00F369A7"/>
    <w:rsid w:val="00F37AAF"/>
    <w:rsid w:val="00F403A1"/>
    <w:rsid w:val="00F40A38"/>
    <w:rsid w:val="00F411D5"/>
    <w:rsid w:val="00F42544"/>
    <w:rsid w:val="00F42A0A"/>
    <w:rsid w:val="00F42CAE"/>
    <w:rsid w:val="00F443C7"/>
    <w:rsid w:val="00F46B74"/>
    <w:rsid w:val="00F47627"/>
    <w:rsid w:val="00F477AF"/>
    <w:rsid w:val="00F50F37"/>
    <w:rsid w:val="00F510CB"/>
    <w:rsid w:val="00F51501"/>
    <w:rsid w:val="00F519D7"/>
    <w:rsid w:val="00F51CDB"/>
    <w:rsid w:val="00F545DD"/>
    <w:rsid w:val="00F547B3"/>
    <w:rsid w:val="00F547F0"/>
    <w:rsid w:val="00F55267"/>
    <w:rsid w:val="00F55AC2"/>
    <w:rsid w:val="00F55B80"/>
    <w:rsid w:val="00F5657B"/>
    <w:rsid w:val="00F56A0C"/>
    <w:rsid w:val="00F57D58"/>
    <w:rsid w:val="00F60E64"/>
    <w:rsid w:val="00F61153"/>
    <w:rsid w:val="00F6138E"/>
    <w:rsid w:val="00F623C7"/>
    <w:rsid w:val="00F62B62"/>
    <w:rsid w:val="00F62EFC"/>
    <w:rsid w:val="00F631A7"/>
    <w:rsid w:val="00F633DF"/>
    <w:rsid w:val="00F63BB1"/>
    <w:rsid w:val="00F6474F"/>
    <w:rsid w:val="00F651BF"/>
    <w:rsid w:val="00F701E4"/>
    <w:rsid w:val="00F72BE1"/>
    <w:rsid w:val="00F7460B"/>
    <w:rsid w:val="00F76EE5"/>
    <w:rsid w:val="00F77074"/>
    <w:rsid w:val="00F8323B"/>
    <w:rsid w:val="00F83DE5"/>
    <w:rsid w:val="00F8601D"/>
    <w:rsid w:val="00F878C3"/>
    <w:rsid w:val="00F90411"/>
    <w:rsid w:val="00F907C4"/>
    <w:rsid w:val="00F91382"/>
    <w:rsid w:val="00F95601"/>
    <w:rsid w:val="00F964FD"/>
    <w:rsid w:val="00F9684B"/>
    <w:rsid w:val="00F96C02"/>
    <w:rsid w:val="00F96E9A"/>
    <w:rsid w:val="00F96F57"/>
    <w:rsid w:val="00F97775"/>
    <w:rsid w:val="00FA0001"/>
    <w:rsid w:val="00FA288A"/>
    <w:rsid w:val="00FA2DDF"/>
    <w:rsid w:val="00FA40FE"/>
    <w:rsid w:val="00FA4903"/>
    <w:rsid w:val="00FA5953"/>
    <w:rsid w:val="00FA6BD4"/>
    <w:rsid w:val="00FA747B"/>
    <w:rsid w:val="00FA7492"/>
    <w:rsid w:val="00FB0546"/>
    <w:rsid w:val="00FB0C35"/>
    <w:rsid w:val="00FB0EFA"/>
    <w:rsid w:val="00FB179A"/>
    <w:rsid w:val="00FB2347"/>
    <w:rsid w:val="00FB24B4"/>
    <w:rsid w:val="00FB34EE"/>
    <w:rsid w:val="00FB4816"/>
    <w:rsid w:val="00FB4D42"/>
    <w:rsid w:val="00FB509C"/>
    <w:rsid w:val="00FB5F59"/>
    <w:rsid w:val="00FB5F70"/>
    <w:rsid w:val="00FB69EB"/>
    <w:rsid w:val="00FB7BBD"/>
    <w:rsid w:val="00FB7EFD"/>
    <w:rsid w:val="00FC011D"/>
    <w:rsid w:val="00FC0CE7"/>
    <w:rsid w:val="00FC223D"/>
    <w:rsid w:val="00FC3B7B"/>
    <w:rsid w:val="00FC3CA2"/>
    <w:rsid w:val="00FC6177"/>
    <w:rsid w:val="00FC6EF4"/>
    <w:rsid w:val="00FC778C"/>
    <w:rsid w:val="00FC7F36"/>
    <w:rsid w:val="00FD016A"/>
    <w:rsid w:val="00FD2070"/>
    <w:rsid w:val="00FD2984"/>
    <w:rsid w:val="00FD4241"/>
    <w:rsid w:val="00FD4432"/>
    <w:rsid w:val="00FD5005"/>
    <w:rsid w:val="00FD5876"/>
    <w:rsid w:val="00FD68FB"/>
    <w:rsid w:val="00FD7794"/>
    <w:rsid w:val="00FE0B34"/>
    <w:rsid w:val="00FE1707"/>
    <w:rsid w:val="00FE315A"/>
    <w:rsid w:val="00FE40C8"/>
    <w:rsid w:val="00FE46C7"/>
    <w:rsid w:val="00FE56CD"/>
    <w:rsid w:val="00FE5BD7"/>
    <w:rsid w:val="00FE5EB4"/>
    <w:rsid w:val="00FE5FBA"/>
    <w:rsid w:val="00FE7702"/>
    <w:rsid w:val="00FF1CC8"/>
    <w:rsid w:val="00FF2CD3"/>
    <w:rsid w:val="00FF3655"/>
    <w:rsid w:val="00FF3CC3"/>
    <w:rsid w:val="00FF4923"/>
    <w:rsid w:val="00FF4F50"/>
    <w:rsid w:val="00FF536C"/>
    <w:rsid w:val="00FF6900"/>
    <w:rsid w:val="00FF6C1F"/>
    <w:rsid w:val="00FF727E"/>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5F6F6326"/>
  <w15:chartTrackingRefBased/>
  <w15:docId w15:val="{6CF76CA9-D5B4-4652-B4C0-79EEE829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l-GR"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763"/>
    <w:pPr>
      <w:spacing w:line="288" w:lineRule="auto"/>
      <w:jc w:val="both"/>
    </w:pPr>
    <w:rPr>
      <w:rFonts w:eastAsia="Times New Roman"/>
      <w:sz w:val="22"/>
      <w:szCs w:val="22"/>
      <w:lang w:eastAsia="en-US"/>
    </w:rPr>
  </w:style>
  <w:style w:type="paragraph" w:styleId="Heading1">
    <w:name w:val="heading 1"/>
    <w:basedOn w:val="Normal"/>
    <w:next w:val="Normal"/>
    <w:link w:val="Heading1Char"/>
    <w:qFormat/>
    <w:rsid w:val="00536763"/>
    <w:pPr>
      <w:numPr>
        <w:numId w:val="1"/>
      </w:numPr>
      <w:ind w:left="567" w:hanging="567"/>
      <w:outlineLvl w:val="0"/>
    </w:pPr>
    <w:rPr>
      <w:kern w:val="28"/>
    </w:rPr>
  </w:style>
  <w:style w:type="paragraph" w:styleId="Heading2">
    <w:name w:val="heading 2"/>
    <w:basedOn w:val="Normal"/>
    <w:next w:val="Normal"/>
    <w:link w:val="Heading2Char"/>
    <w:qFormat/>
    <w:rsid w:val="00536763"/>
    <w:pPr>
      <w:numPr>
        <w:ilvl w:val="1"/>
        <w:numId w:val="1"/>
      </w:numPr>
      <w:ind w:left="567" w:hanging="567"/>
      <w:outlineLvl w:val="1"/>
    </w:pPr>
  </w:style>
  <w:style w:type="paragraph" w:styleId="Heading3">
    <w:name w:val="heading 3"/>
    <w:basedOn w:val="Normal"/>
    <w:next w:val="Normal"/>
    <w:link w:val="Heading3Char"/>
    <w:qFormat/>
    <w:rsid w:val="00536763"/>
    <w:pPr>
      <w:numPr>
        <w:ilvl w:val="2"/>
        <w:numId w:val="1"/>
      </w:numPr>
      <w:ind w:left="567" w:hanging="567"/>
      <w:outlineLvl w:val="2"/>
    </w:pPr>
  </w:style>
  <w:style w:type="paragraph" w:styleId="Heading4">
    <w:name w:val="heading 4"/>
    <w:basedOn w:val="Normal"/>
    <w:next w:val="Normal"/>
    <w:link w:val="Heading4Char"/>
    <w:qFormat/>
    <w:rsid w:val="00536763"/>
    <w:pPr>
      <w:numPr>
        <w:ilvl w:val="3"/>
        <w:numId w:val="1"/>
      </w:numPr>
      <w:ind w:left="567" w:hanging="567"/>
      <w:outlineLvl w:val="3"/>
    </w:pPr>
  </w:style>
  <w:style w:type="paragraph" w:styleId="Heading5">
    <w:name w:val="heading 5"/>
    <w:basedOn w:val="Normal"/>
    <w:next w:val="Normal"/>
    <w:link w:val="Heading5Char"/>
    <w:qFormat/>
    <w:rsid w:val="00536763"/>
    <w:pPr>
      <w:numPr>
        <w:ilvl w:val="4"/>
        <w:numId w:val="1"/>
      </w:numPr>
      <w:ind w:left="567" w:hanging="567"/>
      <w:outlineLvl w:val="4"/>
    </w:pPr>
  </w:style>
  <w:style w:type="paragraph" w:styleId="Heading6">
    <w:name w:val="heading 6"/>
    <w:basedOn w:val="Normal"/>
    <w:next w:val="Normal"/>
    <w:link w:val="Heading6Char"/>
    <w:qFormat/>
    <w:rsid w:val="00536763"/>
    <w:pPr>
      <w:numPr>
        <w:ilvl w:val="5"/>
        <w:numId w:val="1"/>
      </w:numPr>
      <w:ind w:left="567" w:hanging="567"/>
      <w:outlineLvl w:val="5"/>
    </w:pPr>
  </w:style>
  <w:style w:type="paragraph" w:styleId="Heading7">
    <w:name w:val="heading 7"/>
    <w:basedOn w:val="Normal"/>
    <w:next w:val="Normal"/>
    <w:link w:val="Heading7Char"/>
    <w:qFormat/>
    <w:rsid w:val="00536763"/>
    <w:pPr>
      <w:numPr>
        <w:ilvl w:val="6"/>
        <w:numId w:val="1"/>
      </w:numPr>
      <w:ind w:left="567" w:hanging="567"/>
      <w:outlineLvl w:val="6"/>
    </w:pPr>
  </w:style>
  <w:style w:type="paragraph" w:styleId="Heading8">
    <w:name w:val="heading 8"/>
    <w:basedOn w:val="Normal"/>
    <w:next w:val="Normal"/>
    <w:link w:val="Heading8Char"/>
    <w:qFormat/>
    <w:rsid w:val="00536763"/>
    <w:pPr>
      <w:numPr>
        <w:ilvl w:val="7"/>
        <w:numId w:val="1"/>
      </w:numPr>
      <w:ind w:left="567" w:hanging="567"/>
      <w:outlineLvl w:val="7"/>
    </w:pPr>
  </w:style>
  <w:style w:type="paragraph" w:styleId="Heading9">
    <w:name w:val="heading 9"/>
    <w:basedOn w:val="Normal"/>
    <w:next w:val="Normal"/>
    <w:link w:val="Heading9Char"/>
    <w:qFormat/>
    <w:rsid w:val="00536763"/>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536763"/>
  </w:style>
  <w:style w:type="paragraph" w:styleId="Header">
    <w:name w:val="header"/>
    <w:basedOn w:val="Normal"/>
    <w:qFormat/>
    <w:rsid w:val="00536763"/>
  </w:style>
  <w:style w:type="paragraph" w:styleId="FootnoteText">
    <w:name w:val="footnote text"/>
    <w:basedOn w:val="Normal"/>
    <w:link w:val="FootnoteTextChar"/>
    <w:qFormat/>
    <w:rsid w:val="00536763"/>
    <w:pPr>
      <w:keepLines/>
      <w:spacing w:after="60" w:line="240" w:lineRule="auto"/>
      <w:ind w:left="567" w:hanging="567"/>
    </w:pPr>
    <w:rPr>
      <w:sz w:val="16"/>
    </w:rPr>
  </w:style>
  <w:style w:type="character" w:styleId="FootnoteReference">
    <w:name w:val="footnote reference"/>
    <w:unhideWhenUsed/>
    <w:qFormat/>
    <w:rsid w:val="00536763"/>
    <w:rPr>
      <w:sz w:val="24"/>
      <w:vertAlign w:val="superscript"/>
    </w:rPr>
  </w:style>
  <w:style w:type="character" w:styleId="Hyperlink">
    <w:name w:val="Hyperlink"/>
    <w:uiPriority w:val="99"/>
    <w:rsid w:val="00CB742E"/>
    <w:rPr>
      <w:color w:val="0000FF"/>
      <w:u w:val="single"/>
    </w:rPr>
  </w:style>
  <w:style w:type="character" w:customStyle="1" w:styleId="Heading1Char">
    <w:name w:val="Heading 1 Char"/>
    <w:link w:val="Heading1"/>
    <w:rsid w:val="00186BFA"/>
    <w:rPr>
      <w:rFonts w:eastAsia="Times New Roman"/>
      <w:kern w:val="28"/>
      <w:sz w:val="22"/>
      <w:szCs w:val="22"/>
      <w:lang w:val="el-GR" w:eastAsia="en-US"/>
    </w:rPr>
  </w:style>
  <w:style w:type="character" w:customStyle="1" w:styleId="Heading2Char">
    <w:name w:val="Heading 2 Char"/>
    <w:link w:val="Heading2"/>
    <w:rsid w:val="00186BFA"/>
    <w:rPr>
      <w:rFonts w:eastAsia="Times New Roman"/>
      <w:sz w:val="22"/>
      <w:szCs w:val="22"/>
      <w:lang w:val="el-GR" w:eastAsia="en-US"/>
    </w:rPr>
  </w:style>
  <w:style w:type="character" w:customStyle="1" w:styleId="Heading3Char">
    <w:name w:val="Heading 3 Char"/>
    <w:link w:val="Heading3"/>
    <w:rsid w:val="00186BFA"/>
    <w:rPr>
      <w:rFonts w:eastAsia="Times New Roman"/>
      <w:sz w:val="22"/>
      <w:szCs w:val="22"/>
      <w:lang w:val="el-GR" w:eastAsia="en-US"/>
    </w:rPr>
  </w:style>
  <w:style w:type="character" w:customStyle="1" w:styleId="Heading4Char">
    <w:name w:val="Heading 4 Char"/>
    <w:link w:val="Heading4"/>
    <w:rsid w:val="00186BFA"/>
    <w:rPr>
      <w:rFonts w:eastAsia="Times New Roman"/>
      <w:sz w:val="22"/>
      <w:szCs w:val="22"/>
      <w:lang w:val="el-GR" w:eastAsia="en-US"/>
    </w:rPr>
  </w:style>
  <w:style w:type="character" w:customStyle="1" w:styleId="Heading5Char">
    <w:name w:val="Heading 5 Char"/>
    <w:link w:val="Heading5"/>
    <w:rsid w:val="00186BFA"/>
    <w:rPr>
      <w:rFonts w:eastAsia="Times New Roman"/>
      <w:sz w:val="22"/>
      <w:szCs w:val="22"/>
      <w:lang w:val="el-GR" w:eastAsia="en-US"/>
    </w:rPr>
  </w:style>
  <w:style w:type="character" w:customStyle="1" w:styleId="Heading6Char">
    <w:name w:val="Heading 6 Char"/>
    <w:link w:val="Heading6"/>
    <w:rsid w:val="00186BFA"/>
    <w:rPr>
      <w:rFonts w:eastAsia="Times New Roman"/>
      <w:sz w:val="22"/>
      <w:szCs w:val="22"/>
      <w:lang w:val="el-GR" w:eastAsia="en-US"/>
    </w:rPr>
  </w:style>
  <w:style w:type="character" w:customStyle="1" w:styleId="Heading7Char">
    <w:name w:val="Heading 7 Char"/>
    <w:link w:val="Heading7"/>
    <w:rsid w:val="00186BFA"/>
    <w:rPr>
      <w:rFonts w:eastAsia="Times New Roman"/>
      <w:sz w:val="22"/>
      <w:szCs w:val="22"/>
      <w:lang w:val="el-GR" w:eastAsia="en-US"/>
    </w:rPr>
  </w:style>
  <w:style w:type="character" w:customStyle="1" w:styleId="Heading8Char">
    <w:name w:val="Heading 8 Char"/>
    <w:link w:val="Heading8"/>
    <w:rsid w:val="00186BFA"/>
    <w:rPr>
      <w:rFonts w:eastAsia="Times New Roman"/>
      <w:sz w:val="22"/>
      <w:szCs w:val="22"/>
      <w:lang w:val="el-GR" w:eastAsia="en-US"/>
    </w:rPr>
  </w:style>
  <w:style w:type="character" w:customStyle="1" w:styleId="Heading9Char">
    <w:name w:val="Heading 9 Char"/>
    <w:link w:val="Heading9"/>
    <w:rsid w:val="00186BFA"/>
    <w:rPr>
      <w:rFonts w:eastAsia="Times New Roman"/>
      <w:sz w:val="22"/>
      <w:szCs w:val="22"/>
      <w:lang w:val="el-GR" w:eastAsia="en-US"/>
    </w:rPr>
  </w:style>
  <w:style w:type="character" w:customStyle="1" w:styleId="FooterChar">
    <w:name w:val="Footer Char"/>
    <w:link w:val="Footer"/>
    <w:rsid w:val="006842D7"/>
    <w:rPr>
      <w:rFonts w:eastAsia="Times New Roman"/>
      <w:sz w:val="22"/>
      <w:szCs w:val="22"/>
      <w:lang w:val="el-GR" w:eastAsia="en-US"/>
    </w:rPr>
  </w:style>
  <w:style w:type="paragraph" w:customStyle="1" w:styleId="quotes">
    <w:name w:val="quotes"/>
    <w:basedOn w:val="Normal"/>
    <w:next w:val="Normal"/>
    <w:rsid w:val="00536763"/>
    <w:pPr>
      <w:ind w:left="720"/>
    </w:pPr>
    <w:rPr>
      <w:i/>
    </w:rPr>
  </w:style>
  <w:style w:type="paragraph" w:styleId="BalloonText">
    <w:name w:val="Balloon Text"/>
    <w:basedOn w:val="Normal"/>
    <w:link w:val="BalloonTextChar"/>
    <w:semiHidden/>
    <w:unhideWhenUsed/>
    <w:rsid w:val="00536763"/>
    <w:pPr>
      <w:spacing w:line="240" w:lineRule="auto"/>
    </w:pPr>
    <w:rPr>
      <w:rFonts w:ascii="Segoe UI" w:hAnsi="Segoe UI" w:cs="Segoe UI"/>
      <w:sz w:val="18"/>
      <w:szCs w:val="18"/>
    </w:rPr>
  </w:style>
  <w:style w:type="character" w:customStyle="1" w:styleId="BalloonTextChar">
    <w:name w:val="Balloon Text Char"/>
    <w:link w:val="BalloonText"/>
    <w:semiHidden/>
    <w:rsid w:val="00536763"/>
    <w:rPr>
      <w:rFonts w:ascii="Segoe UI" w:eastAsia="Times New Roman" w:hAnsi="Segoe UI" w:cs="Segoe UI"/>
      <w:sz w:val="18"/>
      <w:szCs w:val="18"/>
      <w:lang w:val="el-GR" w:eastAsia="en-US"/>
    </w:rPr>
  </w:style>
  <w:style w:type="paragraph" w:styleId="ListParagraph">
    <w:name w:val="List Paragraph"/>
    <w:basedOn w:val="Normal"/>
    <w:uiPriority w:val="34"/>
    <w:qFormat/>
    <w:rsid w:val="004E410D"/>
    <w:pPr>
      <w:ind w:left="720"/>
      <w:contextualSpacing/>
    </w:pPr>
  </w:style>
  <w:style w:type="character" w:styleId="FollowedHyperlink">
    <w:name w:val="FollowedHyperlink"/>
    <w:semiHidden/>
    <w:unhideWhenUsed/>
    <w:rsid w:val="00014B39"/>
    <w:rPr>
      <w:color w:val="800080"/>
      <w:u w:val="single"/>
    </w:rPr>
  </w:style>
  <w:style w:type="character" w:customStyle="1" w:styleId="FootnoteTextChar">
    <w:name w:val="Footnote Text Char"/>
    <w:link w:val="FootnoteText"/>
    <w:rsid w:val="006470A9"/>
    <w:rPr>
      <w:rFonts w:eastAsia="Times New Roman"/>
      <w:sz w:val="16"/>
      <w:szCs w:val="22"/>
      <w:lang w:val="el-GR" w:eastAsia="en-US"/>
    </w:rPr>
  </w:style>
  <w:style w:type="paragraph" w:styleId="Revision">
    <w:name w:val="Revision"/>
    <w:hidden/>
    <w:uiPriority w:val="99"/>
    <w:semiHidden/>
    <w:rsid w:val="008160AC"/>
    <w:rPr>
      <w:rFonts w:eastAsia="Times New Roman"/>
      <w:sz w:val="22"/>
      <w:szCs w:val="22"/>
      <w:lang w:eastAsia="en-US"/>
    </w:rPr>
  </w:style>
  <w:style w:type="paragraph" w:styleId="NormalWeb">
    <w:name w:val="Normal (Web)"/>
    <w:basedOn w:val="Normal"/>
    <w:uiPriority w:val="99"/>
    <w:unhideWhenUsed/>
    <w:rsid w:val="00CA56DA"/>
    <w:rPr>
      <w:sz w:val="24"/>
      <w:szCs w:val="24"/>
    </w:rPr>
  </w:style>
  <w:style w:type="character" w:styleId="CommentReference">
    <w:name w:val="annotation reference"/>
    <w:semiHidden/>
    <w:unhideWhenUsed/>
    <w:rsid w:val="00CA56DA"/>
    <w:rPr>
      <w:sz w:val="16"/>
      <w:szCs w:val="16"/>
    </w:rPr>
  </w:style>
  <w:style w:type="paragraph" w:styleId="CommentText">
    <w:name w:val="annotation text"/>
    <w:basedOn w:val="Normal"/>
    <w:link w:val="CommentTextChar"/>
    <w:semiHidden/>
    <w:unhideWhenUsed/>
    <w:rsid w:val="00CA56DA"/>
    <w:pPr>
      <w:spacing w:line="240" w:lineRule="auto"/>
    </w:pPr>
    <w:rPr>
      <w:sz w:val="20"/>
      <w:szCs w:val="20"/>
    </w:rPr>
  </w:style>
  <w:style w:type="character" w:customStyle="1" w:styleId="CommentTextChar">
    <w:name w:val="Comment Text Char"/>
    <w:link w:val="CommentText"/>
    <w:semiHidden/>
    <w:rsid w:val="00CA56DA"/>
    <w:rPr>
      <w:rFonts w:eastAsia="Times New Roman"/>
      <w:lang w:val="el-GR" w:eastAsia="en-US"/>
    </w:rPr>
  </w:style>
  <w:style w:type="paragraph" w:styleId="CommentSubject">
    <w:name w:val="annotation subject"/>
    <w:basedOn w:val="CommentText"/>
    <w:next w:val="CommentText"/>
    <w:link w:val="CommentSubjectChar"/>
    <w:semiHidden/>
    <w:unhideWhenUsed/>
    <w:rsid w:val="00CA56DA"/>
    <w:rPr>
      <w:b/>
      <w:bCs/>
    </w:rPr>
  </w:style>
  <w:style w:type="character" w:customStyle="1" w:styleId="CommentSubjectChar">
    <w:name w:val="Comment Subject Char"/>
    <w:link w:val="CommentSubject"/>
    <w:semiHidden/>
    <w:rsid w:val="00CA56DA"/>
    <w:rPr>
      <w:rFonts w:eastAsia="Times New Roman"/>
      <w:b/>
      <w:bCs/>
      <w:lang w:val="el-GR" w:eastAsia="en-US"/>
    </w:rPr>
  </w:style>
  <w:style w:type="paragraph" w:styleId="PlainText">
    <w:name w:val="Plain Text"/>
    <w:basedOn w:val="Normal"/>
    <w:link w:val="PlainTextChar"/>
    <w:uiPriority w:val="99"/>
    <w:semiHidden/>
    <w:unhideWhenUsed/>
    <w:rsid w:val="00227FB9"/>
    <w:pPr>
      <w:spacing w:line="240" w:lineRule="auto"/>
      <w:jc w:val="left"/>
    </w:pPr>
    <w:rPr>
      <w:rFonts w:ascii="Calibri" w:eastAsia="Calibri" w:hAnsi="Calibri" w:cs="Arial"/>
      <w:szCs w:val="21"/>
    </w:rPr>
  </w:style>
  <w:style w:type="character" w:customStyle="1" w:styleId="PlainTextChar">
    <w:name w:val="Plain Text Char"/>
    <w:link w:val="PlainText"/>
    <w:uiPriority w:val="99"/>
    <w:semiHidden/>
    <w:rsid w:val="00227FB9"/>
    <w:rPr>
      <w:rFonts w:ascii="Calibri" w:eastAsia="Calibri" w:hAnsi="Calibri" w:cs="Arial"/>
      <w:sz w:val="22"/>
      <w:szCs w:val="21"/>
      <w:lang w:eastAsia="en-US"/>
    </w:rPr>
  </w:style>
  <w:style w:type="character" w:customStyle="1" w:styleId="UnresolvedMention">
    <w:name w:val="Unresolved Mention"/>
    <w:basedOn w:val="DefaultParagraphFont"/>
    <w:uiPriority w:val="99"/>
    <w:semiHidden/>
    <w:unhideWhenUsed/>
    <w:rsid w:val="0013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5249">
      <w:bodyDiv w:val="1"/>
      <w:marLeft w:val="0"/>
      <w:marRight w:val="0"/>
      <w:marTop w:val="0"/>
      <w:marBottom w:val="0"/>
      <w:divBdr>
        <w:top w:val="none" w:sz="0" w:space="0" w:color="auto"/>
        <w:left w:val="none" w:sz="0" w:space="0" w:color="auto"/>
        <w:bottom w:val="none" w:sz="0" w:space="0" w:color="auto"/>
        <w:right w:val="none" w:sz="0" w:space="0" w:color="auto"/>
      </w:divBdr>
      <w:divsChild>
        <w:div w:id="329262159">
          <w:blockQuote w:val="1"/>
          <w:marLeft w:val="0"/>
          <w:marRight w:val="0"/>
          <w:marTop w:val="390"/>
          <w:marBottom w:val="495"/>
          <w:divBdr>
            <w:top w:val="none" w:sz="0" w:space="0" w:color="auto"/>
            <w:left w:val="none" w:sz="0" w:space="0" w:color="auto"/>
            <w:bottom w:val="none" w:sz="0" w:space="0" w:color="auto"/>
            <w:right w:val="none" w:sz="0" w:space="0" w:color="auto"/>
          </w:divBdr>
        </w:div>
        <w:div w:id="1458640624">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166599367">
      <w:bodyDiv w:val="1"/>
      <w:marLeft w:val="0"/>
      <w:marRight w:val="0"/>
      <w:marTop w:val="0"/>
      <w:marBottom w:val="0"/>
      <w:divBdr>
        <w:top w:val="none" w:sz="0" w:space="0" w:color="auto"/>
        <w:left w:val="none" w:sz="0" w:space="0" w:color="auto"/>
        <w:bottom w:val="none" w:sz="0" w:space="0" w:color="auto"/>
        <w:right w:val="none" w:sz="0" w:space="0" w:color="auto"/>
      </w:divBdr>
      <w:divsChild>
        <w:div w:id="758211821">
          <w:blockQuote w:val="1"/>
          <w:marLeft w:val="0"/>
          <w:marRight w:val="0"/>
          <w:marTop w:val="390"/>
          <w:marBottom w:val="495"/>
          <w:divBdr>
            <w:top w:val="none" w:sz="0" w:space="0" w:color="auto"/>
            <w:left w:val="none" w:sz="0" w:space="0" w:color="auto"/>
            <w:bottom w:val="none" w:sz="0" w:space="0" w:color="auto"/>
            <w:right w:val="none" w:sz="0" w:space="0" w:color="auto"/>
          </w:divBdr>
        </w:div>
        <w:div w:id="1183469044">
          <w:blockQuote w:val="1"/>
          <w:marLeft w:val="0"/>
          <w:marRight w:val="0"/>
          <w:marTop w:val="390"/>
          <w:marBottom w:val="495"/>
          <w:divBdr>
            <w:top w:val="none" w:sz="0" w:space="0" w:color="auto"/>
            <w:left w:val="none" w:sz="0" w:space="0" w:color="auto"/>
            <w:bottom w:val="none" w:sz="0" w:space="0" w:color="auto"/>
            <w:right w:val="none" w:sz="0" w:space="0" w:color="auto"/>
          </w:divBdr>
        </w:div>
        <w:div w:id="1450396148">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169950516">
      <w:bodyDiv w:val="1"/>
      <w:marLeft w:val="0"/>
      <w:marRight w:val="0"/>
      <w:marTop w:val="0"/>
      <w:marBottom w:val="0"/>
      <w:divBdr>
        <w:top w:val="none" w:sz="0" w:space="0" w:color="auto"/>
        <w:left w:val="none" w:sz="0" w:space="0" w:color="auto"/>
        <w:bottom w:val="none" w:sz="0" w:space="0" w:color="auto"/>
        <w:right w:val="none" w:sz="0" w:space="0" w:color="auto"/>
      </w:divBdr>
    </w:div>
    <w:div w:id="197857996">
      <w:bodyDiv w:val="1"/>
      <w:marLeft w:val="0"/>
      <w:marRight w:val="0"/>
      <w:marTop w:val="0"/>
      <w:marBottom w:val="0"/>
      <w:divBdr>
        <w:top w:val="none" w:sz="0" w:space="0" w:color="auto"/>
        <w:left w:val="none" w:sz="0" w:space="0" w:color="auto"/>
        <w:bottom w:val="none" w:sz="0" w:space="0" w:color="auto"/>
        <w:right w:val="none" w:sz="0" w:space="0" w:color="auto"/>
      </w:divBdr>
      <w:divsChild>
        <w:div w:id="1213469734">
          <w:marLeft w:val="0"/>
          <w:marRight w:val="0"/>
          <w:marTop w:val="0"/>
          <w:marBottom w:val="0"/>
          <w:divBdr>
            <w:top w:val="none" w:sz="0" w:space="0" w:color="auto"/>
            <w:left w:val="none" w:sz="0" w:space="0" w:color="auto"/>
            <w:bottom w:val="none" w:sz="0" w:space="0" w:color="auto"/>
            <w:right w:val="none" w:sz="0" w:space="0" w:color="auto"/>
          </w:divBdr>
          <w:divsChild>
            <w:div w:id="75255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04848">
      <w:bodyDiv w:val="1"/>
      <w:marLeft w:val="0"/>
      <w:marRight w:val="0"/>
      <w:marTop w:val="0"/>
      <w:marBottom w:val="0"/>
      <w:divBdr>
        <w:top w:val="none" w:sz="0" w:space="0" w:color="auto"/>
        <w:left w:val="none" w:sz="0" w:space="0" w:color="auto"/>
        <w:bottom w:val="none" w:sz="0" w:space="0" w:color="auto"/>
        <w:right w:val="none" w:sz="0" w:space="0" w:color="auto"/>
      </w:divBdr>
    </w:div>
    <w:div w:id="336999216">
      <w:bodyDiv w:val="1"/>
      <w:marLeft w:val="0"/>
      <w:marRight w:val="0"/>
      <w:marTop w:val="0"/>
      <w:marBottom w:val="0"/>
      <w:divBdr>
        <w:top w:val="none" w:sz="0" w:space="0" w:color="auto"/>
        <w:left w:val="none" w:sz="0" w:space="0" w:color="auto"/>
        <w:bottom w:val="none" w:sz="0" w:space="0" w:color="auto"/>
        <w:right w:val="none" w:sz="0" w:space="0" w:color="auto"/>
      </w:divBdr>
    </w:div>
    <w:div w:id="360670372">
      <w:bodyDiv w:val="1"/>
      <w:marLeft w:val="0"/>
      <w:marRight w:val="0"/>
      <w:marTop w:val="0"/>
      <w:marBottom w:val="0"/>
      <w:divBdr>
        <w:top w:val="none" w:sz="0" w:space="0" w:color="auto"/>
        <w:left w:val="none" w:sz="0" w:space="0" w:color="auto"/>
        <w:bottom w:val="none" w:sz="0" w:space="0" w:color="auto"/>
        <w:right w:val="none" w:sz="0" w:space="0" w:color="auto"/>
      </w:divBdr>
    </w:div>
    <w:div w:id="656348509">
      <w:bodyDiv w:val="1"/>
      <w:marLeft w:val="0"/>
      <w:marRight w:val="0"/>
      <w:marTop w:val="0"/>
      <w:marBottom w:val="0"/>
      <w:divBdr>
        <w:top w:val="none" w:sz="0" w:space="0" w:color="auto"/>
        <w:left w:val="none" w:sz="0" w:space="0" w:color="auto"/>
        <w:bottom w:val="none" w:sz="0" w:space="0" w:color="auto"/>
        <w:right w:val="none" w:sz="0" w:space="0" w:color="auto"/>
      </w:divBdr>
    </w:div>
    <w:div w:id="760761328">
      <w:bodyDiv w:val="1"/>
      <w:marLeft w:val="0"/>
      <w:marRight w:val="0"/>
      <w:marTop w:val="0"/>
      <w:marBottom w:val="0"/>
      <w:divBdr>
        <w:top w:val="none" w:sz="0" w:space="0" w:color="auto"/>
        <w:left w:val="none" w:sz="0" w:space="0" w:color="auto"/>
        <w:bottom w:val="none" w:sz="0" w:space="0" w:color="auto"/>
        <w:right w:val="none" w:sz="0" w:space="0" w:color="auto"/>
      </w:divBdr>
    </w:div>
    <w:div w:id="874200614">
      <w:bodyDiv w:val="1"/>
      <w:marLeft w:val="0"/>
      <w:marRight w:val="0"/>
      <w:marTop w:val="0"/>
      <w:marBottom w:val="0"/>
      <w:divBdr>
        <w:top w:val="none" w:sz="0" w:space="0" w:color="auto"/>
        <w:left w:val="none" w:sz="0" w:space="0" w:color="auto"/>
        <w:bottom w:val="none" w:sz="0" w:space="0" w:color="auto"/>
        <w:right w:val="none" w:sz="0" w:space="0" w:color="auto"/>
      </w:divBdr>
    </w:div>
    <w:div w:id="888953222">
      <w:bodyDiv w:val="1"/>
      <w:marLeft w:val="0"/>
      <w:marRight w:val="0"/>
      <w:marTop w:val="0"/>
      <w:marBottom w:val="0"/>
      <w:divBdr>
        <w:top w:val="none" w:sz="0" w:space="0" w:color="auto"/>
        <w:left w:val="none" w:sz="0" w:space="0" w:color="auto"/>
        <w:bottom w:val="none" w:sz="0" w:space="0" w:color="auto"/>
        <w:right w:val="none" w:sz="0" w:space="0" w:color="auto"/>
      </w:divBdr>
    </w:div>
    <w:div w:id="906498398">
      <w:bodyDiv w:val="1"/>
      <w:marLeft w:val="0"/>
      <w:marRight w:val="0"/>
      <w:marTop w:val="0"/>
      <w:marBottom w:val="0"/>
      <w:divBdr>
        <w:top w:val="none" w:sz="0" w:space="0" w:color="auto"/>
        <w:left w:val="none" w:sz="0" w:space="0" w:color="auto"/>
        <w:bottom w:val="none" w:sz="0" w:space="0" w:color="auto"/>
        <w:right w:val="none" w:sz="0" w:space="0" w:color="auto"/>
      </w:divBdr>
      <w:divsChild>
        <w:div w:id="788202406">
          <w:blockQuote w:val="1"/>
          <w:marLeft w:val="0"/>
          <w:marRight w:val="0"/>
          <w:marTop w:val="390"/>
          <w:marBottom w:val="495"/>
          <w:divBdr>
            <w:top w:val="none" w:sz="0" w:space="0" w:color="auto"/>
            <w:left w:val="none" w:sz="0" w:space="0" w:color="auto"/>
            <w:bottom w:val="none" w:sz="0" w:space="0" w:color="auto"/>
            <w:right w:val="none" w:sz="0" w:space="0" w:color="auto"/>
          </w:divBdr>
        </w:div>
        <w:div w:id="1577130622">
          <w:blockQuote w:val="1"/>
          <w:marLeft w:val="0"/>
          <w:marRight w:val="0"/>
          <w:marTop w:val="390"/>
          <w:marBottom w:val="495"/>
          <w:divBdr>
            <w:top w:val="none" w:sz="0" w:space="0" w:color="auto"/>
            <w:left w:val="none" w:sz="0" w:space="0" w:color="auto"/>
            <w:bottom w:val="none" w:sz="0" w:space="0" w:color="auto"/>
            <w:right w:val="none" w:sz="0" w:space="0" w:color="auto"/>
          </w:divBdr>
        </w:div>
        <w:div w:id="1887184277">
          <w:blockQuote w:val="1"/>
          <w:marLeft w:val="0"/>
          <w:marRight w:val="0"/>
          <w:marTop w:val="390"/>
          <w:marBottom w:val="495"/>
          <w:divBdr>
            <w:top w:val="none" w:sz="0" w:space="0" w:color="auto"/>
            <w:left w:val="none" w:sz="0" w:space="0" w:color="auto"/>
            <w:bottom w:val="none" w:sz="0" w:space="0" w:color="auto"/>
            <w:right w:val="none" w:sz="0" w:space="0" w:color="auto"/>
          </w:divBdr>
        </w:div>
        <w:div w:id="1890720227">
          <w:blockQuote w:val="1"/>
          <w:marLeft w:val="0"/>
          <w:marRight w:val="0"/>
          <w:marTop w:val="390"/>
          <w:marBottom w:val="495"/>
          <w:divBdr>
            <w:top w:val="none" w:sz="0" w:space="0" w:color="auto"/>
            <w:left w:val="none" w:sz="0" w:space="0" w:color="auto"/>
            <w:bottom w:val="none" w:sz="0" w:space="0" w:color="auto"/>
            <w:right w:val="none" w:sz="0" w:space="0" w:color="auto"/>
          </w:divBdr>
        </w:div>
        <w:div w:id="1984233863">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909968570">
      <w:bodyDiv w:val="1"/>
      <w:marLeft w:val="0"/>
      <w:marRight w:val="0"/>
      <w:marTop w:val="0"/>
      <w:marBottom w:val="0"/>
      <w:divBdr>
        <w:top w:val="none" w:sz="0" w:space="0" w:color="auto"/>
        <w:left w:val="none" w:sz="0" w:space="0" w:color="auto"/>
        <w:bottom w:val="none" w:sz="0" w:space="0" w:color="auto"/>
        <w:right w:val="none" w:sz="0" w:space="0" w:color="auto"/>
      </w:divBdr>
      <w:divsChild>
        <w:div w:id="762148384">
          <w:marLeft w:val="0"/>
          <w:marRight w:val="0"/>
          <w:marTop w:val="0"/>
          <w:marBottom w:val="0"/>
          <w:divBdr>
            <w:top w:val="none" w:sz="0" w:space="0" w:color="auto"/>
            <w:left w:val="none" w:sz="0" w:space="0" w:color="auto"/>
            <w:bottom w:val="none" w:sz="0" w:space="0" w:color="auto"/>
            <w:right w:val="none" w:sz="0" w:space="0" w:color="auto"/>
          </w:divBdr>
          <w:divsChild>
            <w:div w:id="631862388">
              <w:marLeft w:val="0"/>
              <w:marRight w:val="0"/>
              <w:marTop w:val="0"/>
              <w:marBottom w:val="0"/>
              <w:divBdr>
                <w:top w:val="none" w:sz="0" w:space="0" w:color="auto"/>
                <w:left w:val="none" w:sz="0" w:space="0" w:color="auto"/>
                <w:bottom w:val="none" w:sz="0" w:space="0" w:color="auto"/>
                <w:right w:val="none" w:sz="0" w:space="0" w:color="auto"/>
              </w:divBdr>
            </w:div>
          </w:divsChild>
        </w:div>
        <w:div w:id="1143427332">
          <w:marLeft w:val="0"/>
          <w:marRight w:val="0"/>
          <w:marTop w:val="0"/>
          <w:marBottom w:val="120"/>
          <w:divBdr>
            <w:top w:val="none" w:sz="0" w:space="0" w:color="auto"/>
            <w:left w:val="none" w:sz="0" w:space="0" w:color="auto"/>
            <w:bottom w:val="none" w:sz="0" w:space="0" w:color="auto"/>
            <w:right w:val="none" w:sz="0" w:space="0" w:color="auto"/>
          </w:divBdr>
          <w:divsChild>
            <w:div w:id="510873490">
              <w:marLeft w:val="0"/>
              <w:marRight w:val="0"/>
              <w:marTop w:val="0"/>
              <w:marBottom w:val="0"/>
              <w:divBdr>
                <w:top w:val="none" w:sz="0" w:space="0" w:color="auto"/>
                <w:left w:val="none" w:sz="0" w:space="0" w:color="auto"/>
                <w:bottom w:val="none" w:sz="0" w:space="0" w:color="auto"/>
                <w:right w:val="none" w:sz="0" w:space="0" w:color="auto"/>
              </w:divBdr>
              <w:divsChild>
                <w:div w:id="54795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07104">
      <w:bodyDiv w:val="1"/>
      <w:marLeft w:val="0"/>
      <w:marRight w:val="0"/>
      <w:marTop w:val="0"/>
      <w:marBottom w:val="0"/>
      <w:divBdr>
        <w:top w:val="none" w:sz="0" w:space="0" w:color="auto"/>
        <w:left w:val="none" w:sz="0" w:space="0" w:color="auto"/>
        <w:bottom w:val="none" w:sz="0" w:space="0" w:color="auto"/>
        <w:right w:val="none" w:sz="0" w:space="0" w:color="auto"/>
      </w:divBdr>
      <w:divsChild>
        <w:div w:id="1482579076">
          <w:blockQuote w:val="1"/>
          <w:marLeft w:val="0"/>
          <w:marRight w:val="0"/>
          <w:marTop w:val="390"/>
          <w:marBottom w:val="495"/>
          <w:divBdr>
            <w:top w:val="none" w:sz="0" w:space="0" w:color="auto"/>
            <w:left w:val="none" w:sz="0" w:space="0" w:color="auto"/>
            <w:bottom w:val="none" w:sz="0" w:space="0" w:color="auto"/>
            <w:right w:val="none" w:sz="0" w:space="0" w:color="auto"/>
          </w:divBdr>
        </w:div>
        <w:div w:id="1585531707">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1172332114">
      <w:bodyDiv w:val="1"/>
      <w:marLeft w:val="0"/>
      <w:marRight w:val="0"/>
      <w:marTop w:val="0"/>
      <w:marBottom w:val="0"/>
      <w:divBdr>
        <w:top w:val="none" w:sz="0" w:space="0" w:color="auto"/>
        <w:left w:val="none" w:sz="0" w:space="0" w:color="auto"/>
        <w:bottom w:val="none" w:sz="0" w:space="0" w:color="auto"/>
        <w:right w:val="none" w:sz="0" w:space="0" w:color="auto"/>
      </w:divBdr>
    </w:div>
    <w:div w:id="1194730449">
      <w:bodyDiv w:val="1"/>
      <w:marLeft w:val="0"/>
      <w:marRight w:val="0"/>
      <w:marTop w:val="0"/>
      <w:marBottom w:val="0"/>
      <w:divBdr>
        <w:top w:val="none" w:sz="0" w:space="0" w:color="auto"/>
        <w:left w:val="none" w:sz="0" w:space="0" w:color="auto"/>
        <w:bottom w:val="none" w:sz="0" w:space="0" w:color="auto"/>
        <w:right w:val="none" w:sz="0" w:space="0" w:color="auto"/>
      </w:divBdr>
    </w:div>
    <w:div w:id="1198201636">
      <w:bodyDiv w:val="1"/>
      <w:marLeft w:val="0"/>
      <w:marRight w:val="0"/>
      <w:marTop w:val="0"/>
      <w:marBottom w:val="0"/>
      <w:divBdr>
        <w:top w:val="none" w:sz="0" w:space="0" w:color="auto"/>
        <w:left w:val="none" w:sz="0" w:space="0" w:color="auto"/>
        <w:bottom w:val="none" w:sz="0" w:space="0" w:color="auto"/>
        <w:right w:val="none" w:sz="0" w:space="0" w:color="auto"/>
      </w:divBdr>
      <w:divsChild>
        <w:div w:id="2003313172">
          <w:marLeft w:val="0"/>
          <w:marRight w:val="0"/>
          <w:marTop w:val="360"/>
          <w:marBottom w:val="360"/>
          <w:divBdr>
            <w:top w:val="none" w:sz="0" w:space="0" w:color="auto"/>
            <w:left w:val="none" w:sz="0" w:space="0" w:color="auto"/>
            <w:bottom w:val="none" w:sz="0" w:space="0" w:color="auto"/>
            <w:right w:val="none" w:sz="0" w:space="0" w:color="auto"/>
          </w:divBdr>
        </w:div>
      </w:divsChild>
    </w:div>
    <w:div w:id="1224683953">
      <w:bodyDiv w:val="1"/>
      <w:marLeft w:val="0"/>
      <w:marRight w:val="0"/>
      <w:marTop w:val="0"/>
      <w:marBottom w:val="0"/>
      <w:divBdr>
        <w:top w:val="none" w:sz="0" w:space="0" w:color="auto"/>
        <w:left w:val="none" w:sz="0" w:space="0" w:color="auto"/>
        <w:bottom w:val="none" w:sz="0" w:space="0" w:color="auto"/>
        <w:right w:val="none" w:sz="0" w:space="0" w:color="auto"/>
      </w:divBdr>
    </w:div>
    <w:div w:id="1288007585">
      <w:bodyDiv w:val="1"/>
      <w:marLeft w:val="0"/>
      <w:marRight w:val="0"/>
      <w:marTop w:val="0"/>
      <w:marBottom w:val="0"/>
      <w:divBdr>
        <w:top w:val="none" w:sz="0" w:space="0" w:color="auto"/>
        <w:left w:val="none" w:sz="0" w:space="0" w:color="auto"/>
        <w:bottom w:val="none" w:sz="0" w:space="0" w:color="auto"/>
        <w:right w:val="none" w:sz="0" w:space="0" w:color="auto"/>
      </w:divBdr>
    </w:div>
    <w:div w:id="1406296131">
      <w:bodyDiv w:val="1"/>
      <w:marLeft w:val="0"/>
      <w:marRight w:val="0"/>
      <w:marTop w:val="0"/>
      <w:marBottom w:val="0"/>
      <w:divBdr>
        <w:top w:val="none" w:sz="0" w:space="0" w:color="auto"/>
        <w:left w:val="none" w:sz="0" w:space="0" w:color="auto"/>
        <w:bottom w:val="none" w:sz="0" w:space="0" w:color="auto"/>
        <w:right w:val="none" w:sz="0" w:space="0" w:color="auto"/>
      </w:divBdr>
    </w:div>
    <w:div w:id="1453787235">
      <w:bodyDiv w:val="1"/>
      <w:marLeft w:val="0"/>
      <w:marRight w:val="0"/>
      <w:marTop w:val="0"/>
      <w:marBottom w:val="0"/>
      <w:divBdr>
        <w:top w:val="none" w:sz="0" w:space="0" w:color="auto"/>
        <w:left w:val="none" w:sz="0" w:space="0" w:color="auto"/>
        <w:bottom w:val="none" w:sz="0" w:space="0" w:color="auto"/>
        <w:right w:val="none" w:sz="0" w:space="0" w:color="auto"/>
      </w:divBdr>
    </w:div>
    <w:div w:id="1483308129">
      <w:bodyDiv w:val="1"/>
      <w:marLeft w:val="0"/>
      <w:marRight w:val="0"/>
      <w:marTop w:val="0"/>
      <w:marBottom w:val="0"/>
      <w:divBdr>
        <w:top w:val="none" w:sz="0" w:space="0" w:color="auto"/>
        <w:left w:val="none" w:sz="0" w:space="0" w:color="auto"/>
        <w:bottom w:val="none" w:sz="0" w:space="0" w:color="auto"/>
        <w:right w:val="none" w:sz="0" w:space="0" w:color="auto"/>
      </w:divBdr>
    </w:div>
    <w:div w:id="1491022543">
      <w:bodyDiv w:val="1"/>
      <w:marLeft w:val="0"/>
      <w:marRight w:val="0"/>
      <w:marTop w:val="0"/>
      <w:marBottom w:val="0"/>
      <w:divBdr>
        <w:top w:val="none" w:sz="0" w:space="0" w:color="auto"/>
        <w:left w:val="none" w:sz="0" w:space="0" w:color="auto"/>
        <w:bottom w:val="none" w:sz="0" w:space="0" w:color="auto"/>
        <w:right w:val="none" w:sz="0" w:space="0" w:color="auto"/>
      </w:divBdr>
    </w:div>
    <w:div w:id="1496603490">
      <w:bodyDiv w:val="1"/>
      <w:marLeft w:val="0"/>
      <w:marRight w:val="0"/>
      <w:marTop w:val="0"/>
      <w:marBottom w:val="0"/>
      <w:divBdr>
        <w:top w:val="none" w:sz="0" w:space="0" w:color="auto"/>
        <w:left w:val="none" w:sz="0" w:space="0" w:color="auto"/>
        <w:bottom w:val="none" w:sz="0" w:space="0" w:color="auto"/>
        <w:right w:val="none" w:sz="0" w:space="0" w:color="auto"/>
      </w:divBdr>
    </w:div>
    <w:div w:id="1631395340">
      <w:bodyDiv w:val="1"/>
      <w:marLeft w:val="0"/>
      <w:marRight w:val="0"/>
      <w:marTop w:val="0"/>
      <w:marBottom w:val="0"/>
      <w:divBdr>
        <w:top w:val="none" w:sz="0" w:space="0" w:color="auto"/>
        <w:left w:val="none" w:sz="0" w:space="0" w:color="auto"/>
        <w:bottom w:val="none" w:sz="0" w:space="0" w:color="auto"/>
        <w:right w:val="none" w:sz="0" w:space="0" w:color="auto"/>
      </w:divBdr>
    </w:div>
    <w:div w:id="1663772236">
      <w:bodyDiv w:val="1"/>
      <w:marLeft w:val="0"/>
      <w:marRight w:val="0"/>
      <w:marTop w:val="0"/>
      <w:marBottom w:val="0"/>
      <w:divBdr>
        <w:top w:val="none" w:sz="0" w:space="0" w:color="auto"/>
        <w:left w:val="none" w:sz="0" w:space="0" w:color="auto"/>
        <w:bottom w:val="none" w:sz="0" w:space="0" w:color="auto"/>
        <w:right w:val="none" w:sz="0" w:space="0" w:color="auto"/>
      </w:divBdr>
    </w:div>
    <w:div w:id="1977492629">
      <w:bodyDiv w:val="1"/>
      <w:marLeft w:val="0"/>
      <w:marRight w:val="0"/>
      <w:marTop w:val="0"/>
      <w:marBottom w:val="0"/>
      <w:divBdr>
        <w:top w:val="none" w:sz="0" w:space="0" w:color="auto"/>
        <w:left w:val="none" w:sz="0" w:space="0" w:color="auto"/>
        <w:bottom w:val="none" w:sz="0" w:space="0" w:color="auto"/>
        <w:right w:val="none" w:sz="0" w:space="0" w:color="auto"/>
      </w:divBdr>
      <w:divsChild>
        <w:div w:id="1345866029">
          <w:blockQuote w:val="1"/>
          <w:marLeft w:val="0"/>
          <w:marRight w:val="0"/>
          <w:marTop w:val="390"/>
          <w:marBottom w:val="495"/>
          <w:divBdr>
            <w:top w:val="none" w:sz="0" w:space="0" w:color="auto"/>
            <w:left w:val="none" w:sz="0" w:space="0" w:color="auto"/>
            <w:bottom w:val="none" w:sz="0" w:space="0" w:color="auto"/>
            <w:right w:val="none" w:sz="0" w:space="0" w:color="auto"/>
          </w:divBdr>
        </w:div>
        <w:div w:id="1586186174">
          <w:blockQuote w:val="1"/>
          <w:marLeft w:val="0"/>
          <w:marRight w:val="0"/>
          <w:marTop w:val="390"/>
          <w:marBottom w:val="495"/>
          <w:divBdr>
            <w:top w:val="none" w:sz="0" w:space="0" w:color="auto"/>
            <w:left w:val="none" w:sz="0" w:space="0" w:color="auto"/>
            <w:bottom w:val="none" w:sz="0" w:space="0" w:color="auto"/>
            <w:right w:val="none" w:sz="0" w:space="0" w:color="auto"/>
          </w:divBdr>
        </w:div>
        <w:div w:id="1751197428">
          <w:blockQuote w:val="1"/>
          <w:marLeft w:val="0"/>
          <w:marRight w:val="0"/>
          <w:marTop w:val="390"/>
          <w:marBottom w:val="495"/>
          <w:divBdr>
            <w:top w:val="none" w:sz="0" w:space="0" w:color="auto"/>
            <w:left w:val="none" w:sz="0" w:space="0" w:color="auto"/>
            <w:bottom w:val="none" w:sz="0" w:space="0" w:color="auto"/>
            <w:right w:val="none" w:sz="0" w:space="0" w:color="auto"/>
          </w:divBdr>
        </w:div>
        <w:div w:id="2139835187">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2004160853">
      <w:bodyDiv w:val="1"/>
      <w:marLeft w:val="0"/>
      <w:marRight w:val="0"/>
      <w:marTop w:val="0"/>
      <w:marBottom w:val="0"/>
      <w:divBdr>
        <w:top w:val="none" w:sz="0" w:space="0" w:color="auto"/>
        <w:left w:val="none" w:sz="0" w:space="0" w:color="auto"/>
        <w:bottom w:val="none" w:sz="0" w:space="0" w:color="auto"/>
        <w:right w:val="none" w:sz="0" w:space="0" w:color="auto"/>
      </w:divBdr>
    </w:div>
    <w:div w:id="2015643163">
      <w:bodyDiv w:val="1"/>
      <w:marLeft w:val="0"/>
      <w:marRight w:val="0"/>
      <w:marTop w:val="0"/>
      <w:marBottom w:val="0"/>
      <w:divBdr>
        <w:top w:val="none" w:sz="0" w:space="0" w:color="auto"/>
        <w:left w:val="none" w:sz="0" w:space="0" w:color="auto"/>
        <w:bottom w:val="none" w:sz="0" w:space="0" w:color="auto"/>
        <w:right w:val="none" w:sz="0" w:space="0" w:color="auto"/>
      </w:divBdr>
    </w:div>
    <w:div w:id="2040229683">
      <w:bodyDiv w:val="1"/>
      <w:marLeft w:val="0"/>
      <w:marRight w:val="0"/>
      <w:marTop w:val="0"/>
      <w:marBottom w:val="0"/>
      <w:divBdr>
        <w:top w:val="none" w:sz="0" w:space="0" w:color="auto"/>
        <w:left w:val="none" w:sz="0" w:space="0" w:color="auto"/>
        <w:bottom w:val="none" w:sz="0" w:space="0" w:color="auto"/>
        <w:right w:val="none" w:sz="0" w:space="0" w:color="auto"/>
      </w:divBdr>
    </w:div>
    <w:div w:id="211760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s://rsf.org/en/index?year=2022" TargetMode="External"/><Relationship Id="rId3" Type="http://schemas.openxmlformats.org/officeDocument/2006/relationships/hyperlink" Target="https://data.unhcr.org/en/situations/ukraine" TargetMode="External"/><Relationship Id="rId7" Type="http://schemas.openxmlformats.org/officeDocument/2006/relationships/hyperlink" Target="https://eur-lex.europa.eu/legal-content/EL/TXT/?uri=COM%3A2020%3A790%3AFIN" TargetMode="External"/><Relationship Id="rId2" Type="http://schemas.openxmlformats.org/officeDocument/2006/relationships/hyperlink" Target="https://www.cedem.me/wp-content/uploads/2022/12/Prezentacija-DECEMBAR-eng-POSLEDNJA.pdf" TargetMode="External"/><Relationship Id="rId1" Type="http://schemas.openxmlformats.org/officeDocument/2006/relationships/hyperlink" Target="https://neighbourhood-enlargement.ec.europa.eu/montenegro-report-2022_en" TargetMode="External"/><Relationship Id="rId6" Type="http://schemas.openxmlformats.org/officeDocument/2006/relationships/hyperlink" Target="https://www.coe.int/en/web/greco/evaluations/montenegro" TargetMode="External"/><Relationship Id="rId5" Type="http://schemas.openxmlformats.org/officeDocument/2006/relationships/hyperlink" Target="https://neighbourhood-enlargement.ec.europa.eu/system/files/2022-10/eu_accession_process_clusters%20%28oct%202022%29.pdf" TargetMode="External"/><Relationship Id="rId10" Type="http://schemas.openxmlformats.org/officeDocument/2006/relationships/hyperlink" Target="https://www.rcc.int/docs/575/leaflet-youth-guarantee-in-western-balkans" TargetMode="External"/><Relationship Id="rId4" Type="http://schemas.openxmlformats.org/officeDocument/2006/relationships/hyperlink" Target="https://openknowledge.worldbank.org/bitstream/handle/10986/38189/P17947818ec26c8c17fe014901194ac104a1b5d70a2a.pdf?sequence=1&amp;isAllowed=y" TargetMode="External"/><Relationship Id="rId9" Type="http://schemas.openxmlformats.org/officeDocument/2006/relationships/hyperlink" Target="https://www.eesc.europa.eu/el/our-work/opinions-information-reports/opinions/youth-policy-western-balkans-part-innovation-agenda-western-balk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CDB38A89627FC8409102604566BFD4EB" ma:contentTypeVersion="4" ma:contentTypeDescription="Defines the documents for Document Manager V2" ma:contentTypeScope="" ma:versionID="79414e5f06af0fe338c5606b96a21488">
  <xsd:schema xmlns:xsd="http://www.w3.org/2001/XMLSchema" xmlns:xs="http://www.w3.org/2001/XMLSchema" xmlns:p="http://schemas.microsoft.com/office/2006/metadata/properties" xmlns:ns2="56a5413d-c261-4a00-870c-a20d3379ae6d" xmlns:ns3="http://schemas.microsoft.com/sharepoint/v3/fields" xmlns:ns4="8759b006-28ee-44c8-b138-16f6ad18758c" targetNamespace="http://schemas.microsoft.com/office/2006/metadata/properties" ma:root="true" ma:fieldsID="afdf2a387991f46b25d49ecbd90ffb8b" ns2:_="" ns3:_="" ns4:_="">
    <xsd:import namespace="56a5413d-c261-4a00-870c-a20d3379ae6d"/>
    <xsd:import namespace="http://schemas.microsoft.com/sharepoint/v3/fields"/>
    <xsd:import namespace="8759b006-28ee-44c8-b138-16f6ad18758c"/>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59b006-28ee-44c8-b138-16f6ad18758c"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XMKEDVFMMJCW-1266005036-5726</_dlc_DocId>
    <_dlc_DocIdUrl xmlns="56a5413d-c261-4a00-870c-a20d3379ae6d">
      <Url>http://dm2016/eesc/2023/_layouts/15/DocIdRedir.aspx?ID=XMKEDVFMMJCW-1266005036-5726</Url>
      <Description>XMKEDVFMMJCW-1266005036-5726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DECL</TermName>
          <TermId xmlns="http://schemas.microsoft.com/office/infopath/2007/PartnerControls">3e2492ed-4ef9-4eb0-bb74-05f60f74f0a3</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2023-03-10T12:00:00+00:00</ProductionDate>
    <DocumentNumber xmlns="8759b006-28ee-44c8-b138-16f6ad18758c">802</DocumentNumber>
    <FicheYear xmlns="56a5413d-c261-4a00-870c-a20d3379ae6d" xsi:nil="true"/>
    <DocumentVersion xmlns="56a5413d-c261-4a00-870c-a20d3379ae6d">1</DocumentVersion>
    <DossierNumber xmlns="56a5413d-c261-4a00-870c-a20d3379ae6d">368</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56a5413d-c261-4a00-870c-a20d3379ae6d" xsi:nil="true"/>
    <TaxCatchAll xmlns="56a5413d-c261-4a00-870c-a20d3379ae6d">
      <Value>46</Value>
      <Value>7</Value>
      <Value>10</Value>
      <Value>109</Value>
      <Value>6</Value>
      <Value>5</Value>
      <Value>38</Value>
      <Value>3</Value>
      <Value>104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6a5413d-c261-4a00-870c-a20d3379ae6d" xsi:nil="true"/>
    <DocumentYear xmlns="56a5413d-c261-4a00-870c-a20d3379ae6d">2023</DocumentYear>
    <FicheNumber xmlns="56a5413d-c261-4a00-870c-a20d3379ae6d">3225</FicheNumber>
    <OriginalSender xmlns="56a5413d-c261-4a00-870c-a20d3379ae6d">
      <UserInfo>
        <DisplayName>Vassilaki Zoitsa</DisplayName>
        <AccountId>1624</AccountId>
        <AccountType/>
      </UserInfo>
    </OriginalSender>
    <DocumentPart xmlns="56a5413d-c261-4a00-870c-a20d3379ae6d">0</DocumentPart>
    <AdoptionDate xmlns="56a5413d-c261-4a00-870c-a20d3379ae6d" xsi:nil="true"/>
    <RequestingService xmlns="56a5413d-c261-4a00-870c-a20d3379ae6d">Relations extérieures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8759b006-28ee-44c8-b138-16f6ad18758c"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6820eaf5-116e-436b-ad9c-156f8a94c2a1</TermId>
        </TermInfo>
      </Terms>
    </DossierName_0>
  </documentManagement>
</p:properties>
</file>

<file path=customXml/itemProps1.xml><?xml version="1.0" encoding="utf-8"?>
<ds:datastoreItem xmlns:ds="http://schemas.openxmlformats.org/officeDocument/2006/customXml" ds:itemID="{9A9DEE7F-0550-42B6-8694-C1C374CD7448}"/>
</file>

<file path=customXml/itemProps2.xml><?xml version="1.0" encoding="utf-8"?>
<ds:datastoreItem xmlns:ds="http://schemas.openxmlformats.org/officeDocument/2006/customXml" ds:itemID="{62B64369-BC2E-4A93-9B5F-15CD1C10B311}"/>
</file>

<file path=customXml/itemProps3.xml><?xml version="1.0" encoding="utf-8"?>
<ds:datastoreItem xmlns:ds="http://schemas.openxmlformats.org/officeDocument/2006/customXml" ds:itemID="{2F238022-0631-430D-A2F6-838BAD203BBB}"/>
</file>

<file path=customXml/itemProps4.xml><?xml version="1.0" encoding="utf-8"?>
<ds:datastoreItem xmlns:ds="http://schemas.openxmlformats.org/officeDocument/2006/customXml" ds:itemID="{25A44325-45A3-4372-A828-A6F82D022BD8}"/>
</file>

<file path=docProps/app.xml><?xml version="1.0" encoding="utf-8"?>
<Properties xmlns="http://schemas.openxmlformats.org/officeDocument/2006/extended-properties" xmlns:vt="http://schemas.openxmlformats.org/officeDocument/2006/docPropsVTypes">
  <Template>Normal.dotm</Template>
  <TotalTime>6</TotalTime>
  <Pages>8</Pages>
  <Words>3376</Words>
  <Characters>19135</Characters>
  <Application>Microsoft Office Word</Application>
  <DocSecurity>0</DocSecurity>
  <Lines>159</Lines>
  <Paragraphs>44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JCC Montenegro - EESC</vt:lpstr>
      <vt:lpstr>JCC Serbia</vt:lpstr>
    </vt:vector>
  </TitlesOfParts>
  <Company>CESE-CdR</Company>
  <LinksUpToDate>false</LinksUpToDate>
  <CharactersWithSpaces>22467</CharactersWithSpaces>
  <SharedDoc>false</SharedDoc>
  <HLinks>
    <vt:vector size="30" baseType="variant">
      <vt:variant>
        <vt:i4>7143538</vt:i4>
      </vt:variant>
      <vt:variant>
        <vt:i4>12</vt:i4>
      </vt:variant>
      <vt:variant>
        <vt:i4>0</vt:i4>
      </vt:variant>
      <vt:variant>
        <vt:i4>5</vt:i4>
      </vt:variant>
      <vt:variant>
        <vt:lpwstr>https://rsf.org/en/ranking</vt:lpwstr>
      </vt:variant>
      <vt:variant>
        <vt:lpwstr/>
      </vt:variant>
      <vt:variant>
        <vt:i4>3211336</vt:i4>
      </vt:variant>
      <vt:variant>
        <vt:i4>9</vt:i4>
      </vt:variant>
      <vt:variant>
        <vt:i4>0</vt:i4>
      </vt:variant>
      <vt:variant>
        <vt:i4>5</vt:i4>
      </vt:variant>
      <vt:variant>
        <vt:lpwstr>http://poslodavci.org/site/assets/files/2908/upcg_uticaj_covid-19_istrazivanje_maj_2020.pdf</vt:lpwstr>
      </vt:variant>
      <vt:variant>
        <vt:lpwstr/>
      </vt:variant>
      <vt:variant>
        <vt:i4>3538980</vt:i4>
      </vt:variant>
      <vt:variant>
        <vt:i4>6</vt:i4>
      </vt:variant>
      <vt:variant>
        <vt:i4>0</vt:i4>
      </vt:variant>
      <vt:variant>
        <vt:i4>5</vt:i4>
      </vt:variant>
      <vt:variant>
        <vt:lpwstr>https://www.coe.int/en/web/greco/evaluations/montenegro</vt:lpwstr>
      </vt:variant>
      <vt:variant>
        <vt:lpwstr/>
      </vt:variant>
      <vt:variant>
        <vt:i4>4653143</vt:i4>
      </vt:variant>
      <vt:variant>
        <vt:i4>3</vt:i4>
      </vt:variant>
      <vt:variant>
        <vt:i4>0</vt:i4>
      </vt:variant>
      <vt:variant>
        <vt:i4>5</vt:i4>
      </vt:variant>
      <vt:variant>
        <vt:lpwstr>https://www.osce.org/files/f/documents/5/2/473532.pdf</vt:lpwstr>
      </vt:variant>
      <vt:variant>
        <vt:lpwstr/>
      </vt:variant>
      <vt:variant>
        <vt:i4>6291561</vt:i4>
      </vt:variant>
      <vt:variant>
        <vt:i4>0</vt:i4>
      </vt:variant>
      <vt:variant>
        <vt:i4>0</vt:i4>
      </vt:variant>
      <vt:variant>
        <vt:i4>5</vt:i4>
      </vt:variant>
      <vt:variant>
        <vt:lpwstr>https://www.cedem.me/en/programmes/empirical-research/politacal-public-opinion/send/33-political-public-opinion/1976-political-public-opinion-poll-august-2020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Κοινή δήλωση - 16η συνεδρίαση της  Μικτής Συμβουλευτικής Επιτροπής ΕΕ-Μαυροβουνίου</dc:title>
  <dc:subject>DECL</dc:subject>
  <dc:creator>Defaye Loïc</dc:creator>
  <cp:keywords>EESC-2023-00802-00-01-DECL-TRA-EN</cp:keywords>
  <dc:description>Rapporteur:  - Original language: EN - Date of document: 10-03-2023 - Date of meeting:  - External documents:  - Administrator: M. HOIC David</dc:description>
  <cp:lastModifiedBy>Vassilaki Zoitsa</cp:lastModifiedBy>
  <cp:revision>11</cp:revision>
  <cp:lastPrinted>2022-04-11T12:35:00Z</cp:lastPrinted>
  <dcterms:created xsi:type="dcterms:W3CDTF">2023-03-09T12:45:00Z</dcterms:created>
  <dcterms:modified xsi:type="dcterms:W3CDTF">2023-03-10T11:29:00Z</dcterms:modified>
  <cp:category>REX/368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09/03/2023, 03/03/2023, 18/02/2021, 18/02/2021, 28/02/2019, 25/10/2018, 05/10/2017, 05/10/2017, 01/03/2017, 12/10/2016, 12/10/2016, 05/02/2016, 05/02/2016, 05/02/2016, 29/01/2016, 29/01/2016, 29/01/2016</vt:lpwstr>
  </property>
  <property fmtid="{D5CDD505-2E9C-101B-9397-08002B2CF9AE}" pid="4" name="Pref_Time">
    <vt:lpwstr>13:42:32, 11:20:37, 11:08:40, 11:00:57, 19:21:13, 16:48:23, 15:58:01, 14:57:59, 17:11:29, 13:54:36, 12:37:59, 14:50:52, 13:12:22, 11:33:44, 13:10:09, 12:58:06, 12:32:32</vt:lpwstr>
  </property>
  <property fmtid="{D5CDD505-2E9C-101B-9397-08002B2CF9AE}" pid="5" name="Pref_User">
    <vt:lpwstr>amett, enied, hnic, htoo, enied, enied, mkop, nmcg, amett, enied, YMUR, mreg, jhvi, htoo, amett, vvos, hnic</vt:lpwstr>
  </property>
  <property fmtid="{D5CDD505-2E9C-101B-9397-08002B2CF9AE}" pid="6" name="Pref_FileName">
    <vt:lpwstr>EESC-2023-00802-00-01-DECL-ORI.docx, EESC-2023-00802-00-00-DECL-ORI.docx, EESC-2021-00952-00-00-DECL-TRA-EN-CRR.docx, EESC-2021-00952-00-00-DECL-CRR-EN.docx, EESC-2019-01057-00-00-DECL-ORI.docx, EESC-2018-05268-00-00-DECL-ORI.docx, EESC-2017-04604-00-00-T</vt:lpwstr>
  </property>
  <property fmtid="{D5CDD505-2E9C-101B-9397-08002B2CF9AE}" pid="7" name="ContentTypeId">
    <vt:lpwstr>0x010100EA97B91038054C99906057A708A1480A00CDB38A89627FC8409102604566BFD4EB</vt:lpwstr>
  </property>
  <property fmtid="{D5CDD505-2E9C-101B-9397-08002B2CF9AE}" pid="8" name="_dlc_DocIdItemGuid">
    <vt:lpwstr>6aa30a81-6dbd-4d50-bb1f-48816ad6295d</vt:lpwstr>
  </property>
  <property fmtid="{D5CDD505-2E9C-101B-9397-08002B2CF9AE}" pid="9" name="AvailableTranslations">
    <vt:lpwstr>38;#EL|6d4f4d51-af9b-4650-94b4-4276bee85c91;#46;#HR|2f555653-ed1a-4fe6-8362-9082d95989e5;#10;#FR|d2afafd3-4c81-4f60-8f52-ee33f2f54ff3;#5;#EN|f2175f21-25d7-44a3-96da-d6a61b075e1b</vt:lpwstr>
  </property>
  <property fmtid="{D5CDD505-2E9C-101B-9397-08002B2CF9AE}" pid="10" name="DocumentType_0">
    <vt:lpwstr>DECL|3e2492ed-4ef9-4eb0-bb74-05f60f74f0a3</vt:lpwstr>
  </property>
  <property fmtid="{D5CDD505-2E9C-101B-9397-08002B2CF9AE}" pid="11" name="DossierName_0">
    <vt:lpwstr>REX|6820eaf5-116e-436b-ad9c-156f8a94c2a1</vt:lpwstr>
  </property>
  <property fmtid="{D5CDD505-2E9C-101B-9397-08002B2CF9AE}" pid="12" name="DocumentSource_0">
    <vt:lpwstr>EESC|422833ec-8d7e-4e65-8e4e-8bed07ffb729</vt:lpwstr>
  </property>
  <property fmtid="{D5CDD505-2E9C-101B-9397-08002B2CF9AE}" pid="13" name="DocumentNumber">
    <vt:i4>802</vt:i4>
  </property>
  <property fmtid="{D5CDD505-2E9C-101B-9397-08002B2CF9AE}" pid="14" name="DocumentVersion">
    <vt:i4>1</vt:i4>
  </property>
  <property fmtid="{D5CDD505-2E9C-101B-9397-08002B2CF9AE}" pid="15" name="DossierNumber">
    <vt:i4>368</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109;#REX|6820eaf5-116e-436b-ad9c-156f8a94c2a1</vt:lpwstr>
  </property>
  <property fmtid="{D5CDD505-2E9C-101B-9397-08002B2CF9AE}" pid="19" name="DocumentSource">
    <vt:lpwstr>1;#EESC|422833ec-8d7e-4e65-8e4e-8bed07ffb729</vt:lpwstr>
  </property>
  <property fmtid="{D5CDD505-2E9C-101B-9397-08002B2CF9AE}" pid="21" name="DocumentType">
    <vt:lpwstr>104;#DECL|3e2492ed-4ef9-4eb0-bb74-05f60f74f0a3</vt:lpwstr>
  </property>
  <property fmtid="{D5CDD505-2E9C-101B-9397-08002B2CF9AE}" pid="22" name="RequestingService">
    <vt:lpwstr>Relations extérieures</vt:lpwstr>
  </property>
  <property fmtid="{D5CDD505-2E9C-101B-9397-08002B2CF9AE}" pid="23" name="Confidentiality">
    <vt:lpwstr>6;#Internal|2451815e-8241-4bbf-a22e-1ab710712bf2</vt:lpwstr>
  </property>
  <property fmtid="{D5CDD505-2E9C-101B-9397-08002B2CF9AE}" pid="24" name="MeetingName_0">
    <vt:lpwstr/>
  </property>
  <property fmtid="{D5CDD505-2E9C-101B-9397-08002B2CF9AE}" pid="25" name="Confidentiality_0">
    <vt:lpwstr>Internal|2451815e-8241-4bbf-a22e-1ab710712bf2</vt:lpwstr>
  </property>
  <property fmtid="{D5CDD505-2E9C-101B-9397-08002B2CF9AE}" pid="26" name="OriginalLanguage">
    <vt:lpwstr>5;#EN|f2175f21-25d7-44a3-96da-d6a61b075e1b</vt:lpwstr>
  </property>
  <property fmtid="{D5CDD505-2E9C-101B-9397-08002B2CF9AE}" pid="27" name="MeetingName">
    <vt:lpwstr/>
  </property>
  <property fmtid="{D5CDD505-2E9C-101B-9397-08002B2CF9AE}" pid="29" name="AvailableTranslations_0">
    <vt:lpwstr>EN|f2175f21-25d7-44a3-96da-d6a61b075e1b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7;#Final|ea5e6674-7b27-4bac-b091-73adbb394efe;#109;#REX|6820eaf5-116e-436b-ad9c-156f8a94c2a1;#6;#Internal|2451815e-8241-4bbf-a22e-1ab710712bf2;#5;#EN|f2175f21-25d7-44a3-96da-d6a61b075e1b;#3;#TRA|150d2a88-1431-44e6-a8ca-0bb753ab8672;#104;#DECL|3e2492ed-4ef9-4eb0-bb74-05f60f74f0a3;#1;#EESC|422833ec-8d7e-4e65-8e4e-8bed07ffb729</vt:lpwstr>
  </property>
  <property fmtid="{D5CDD505-2E9C-101B-9397-08002B2CF9AE}" pid="33" name="VersionStatus_0">
    <vt:lpwstr>Final|ea5e6674-7b27-4bac-b091-73adbb394efe</vt:lpwstr>
  </property>
  <property fmtid="{D5CDD505-2E9C-101B-9397-08002B2CF9AE}" pid="34" name="VersionStatus">
    <vt:lpwstr>7;#Final|ea5e6674-7b27-4bac-b091-73adbb394efe</vt:lpwstr>
  </property>
  <property fmtid="{D5CDD505-2E9C-101B-9397-08002B2CF9AE}" pid="35" name="DocumentYear">
    <vt:i4>2023</vt:i4>
  </property>
  <property fmtid="{D5CDD505-2E9C-101B-9397-08002B2CF9AE}" pid="36" name="FicheNumber">
    <vt:i4>3225</vt:i4>
  </property>
  <property fmtid="{D5CDD505-2E9C-101B-9397-08002B2CF9AE}" pid="37" name="DocumentLanguage">
    <vt:lpwstr>38;#EL|6d4f4d51-af9b-4650-94b4-4276bee85c91</vt:lpwstr>
  </property>
  <property fmtid="{D5CDD505-2E9C-101B-9397-08002B2CF9AE}" pid="38" name="_docset_NoMedatataSyncRequired">
    <vt:lpwstr>False</vt:lpwstr>
  </property>
</Properties>
</file>