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116A1C" w:rsidRDefault="00EA2684" w14:paraId="785AE44C" w14:textId="6FEF102E">
      <w:pPr>
        <w:jc w:val="center"/>
      </w:pPr>
      <w:bookmarkStart w:name="_GoBack" w:id="0"/>
      <w:bookmarkEnd w:id="0"/>
      <w:r>
        <w:rPr>
          <w:noProof/>
          <w:lang w:val="en-US"/>
        </w:rPr>
        <w:drawing>
          <wp:inline distT="0" distB="0" distL="0" distR="0" wp14:anchorId="03B5B5AC" wp14:editId="54240D48">
            <wp:extent cx="1792605" cy="1239520"/>
            <wp:effectExtent l="0" t="0" r="0" b="0"/>
            <wp:docPr id="2" name="Picture 2" title="EESCLogo_SL"/>
            <wp:cNvGraphicFramePr/>
            <a:graphic xmlns:a="http://schemas.openxmlformats.org/drawingml/2006/main">
              <a:graphicData uri="http://schemas.openxmlformats.org/drawingml/2006/picture">
                <pic:pic xmlns:pic="http://schemas.openxmlformats.org/drawingml/2006/picture">
                  <pic:nvPicPr>
                    <pic:cNvPr id="2" name="Picture 2" title="EESCLogo_SL"/>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57E7DD07"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5C4F" w:rsidP="004D7AC0" w:rsidRDefault="00765C4F" w14:paraId="2AA40ECF" w14:textId="77777777">
                            <w:pPr>
                              <w:jc w:val="center"/>
                              <w:rPr>
                                <w:rFonts w:ascii="Arial" w:hAnsi="Arial" w:cs="Arial"/>
                                <w:b/>
                                <w:bCs/>
                                <w:sz w:val="48"/>
                              </w:rPr>
                            </w:pPr>
                            <w:r>
                              <w:rPr>
                                <w:rFonts w:ascii="Arial" w:hAnsi="Arial"/>
                                <w:b/>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765C4F" w:rsidP="004D7AC0" w:rsidRDefault="00765C4F" w14:paraId="2AA40ECF" w14:textId="77777777">
                      <w:pPr>
                        <w:jc w:val="center"/>
                        <w:rPr>
                          <w:rFonts w:ascii="Arial" w:hAnsi="Arial" w:cs="Arial"/>
                          <w:b/>
                          <w:bCs/>
                          <w:sz w:val="48"/>
                        </w:rPr>
                      </w:pPr>
                      <w:r>
                        <w:rPr>
                          <w:rFonts w:ascii="Arial" w:hAnsi="Arial"/>
                          <w:b/>
                          <w:sz w:val="48"/>
                        </w:rPr>
                        <w:t>SL</w:t>
                      </w:r>
                    </w:p>
                  </w:txbxContent>
                </v:textbox>
                <w10:wrap anchorx="page" anchory="page"/>
              </v:shape>
            </w:pict>
          </mc:Fallback>
        </mc:AlternateContent>
      </w:r>
    </w:p>
    <w:p w:rsidRPr="009B70E7" w:rsidR="004D7AC0" w:rsidP="00116A1C" w:rsidRDefault="004D7AC0" w14:paraId="51F52D79" w14:textId="77777777"/>
    <w:p w:rsidRPr="009B70E7" w:rsidR="004D7AC0" w:rsidP="00116A1C" w:rsidRDefault="00014C93" w14:paraId="45DE4A28" w14:textId="11327C2A">
      <w:pPr>
        <w:jc w:val="right"/>
      </w:pPr>
      <w:r>
        <w:t>Bruselj, 14. marec 2023</w:t>
      </w:r>
    </w:p>
    <w:p w:rsidRPr="009B70E7" w:rsidR="004D7AC0" w:rsidRDefault="004D7AC0" w14:paraId="7BCFBA24" w14:textId="77777777"/>
    <w:p w:rsidRPr="009B70E7" w:rsidR="004D7AC0" w:rsidRDefault="004D7AC0" w14:paraId="6B250092" w14:textId="77777777"/>
    <w:p w:rsidRPr="009B70E7" w:rsidR="004D7AC0" w:rsidRDefault="004D7AC0" w14:paraId="0593C6DF" w14:textId="77777777"/>
    <w:tbl>
      <w:tblPr>
        <w:tblW w:w="0" w:type="auto"/>
        <w:tblLook w:val="04A0" w:firstRow="1" w:lastRow="0" w:firstColumn="1" w:lastColumn="0" w:noHBand="0" w:noVBand="1"/>
      </w:tblPr>
      <w:tblGrid>
        <w:gridCol w:w="9289"/>
      </w:tblGrid>
      <w:tr w:rsidRPr="009B70E7" w:rsidR="004D7AC0" w:rsidTr="00662436" w14:paraId="6D7B3453" w14:textId="77777777">
        <w:tc>
          <w:tcPr>
            <w:tcW w:w="9289" w:type="dxa"/>
            <w:tcBorders>
              <w:bottom w:val="double" w:color="auto" w:sz="4" w:space="0"/>
            </w:tcBorders>
          </w:tcPr>
          <w:p w:rsidR="001760E9" w:rsidRDefault="00DA2D88" w14:paraId="3B286D4E" w14:textId="13F0755B">
            <w:pPr>
              <w:snapToGrid w:val="0"/>
              <w:jc w:val="center"/>
              <w:rPr>
                <w:b/>
                <w:sz w:val="32"/>
              </w:rPr>
            </w:pPr>
            <w:r>
              <w:rPr>
                <w:b/>
                <w:sz w:val="32"/>
              </w:rPr>
              <w:t>576. PLENARNO ZASEDANJE</w:t>
            </w:r>
          </w:p>
          <w:p w:rsidR="001760E9" w:rsidRDefault="001760E9" w14:paraId="6C87A626" w14:textId="0AE2882C">
            <w:pPr>
              <w:snapToGrid w:val="0"/>
              <w:jc w:val="center"/>
              <w:rPr>
                <w:b/>
                <w:sz w:val="32"/>
              </w:rPr>
            </w:pPr>
          </w:p>
          <w:p w:rsidR="001760E9" w:rsidRDefault="00DF3AB4" w14:paraId="6CF7229C" w14:textId="5996F296">
            <w:pPr>
              <w:snapToGrid w:val="0"/>
              <w:jc w:val="center"/>
              <w:rPr>
                <w:b/>
                <w:sz w:val="32"/>
              </w:rPr>
            </w:pPr>
            <w:r>
              <w:rPr>
                <w:b/>
                <w:sz w:val="32"/>
              </w:rPr>
              <w:t>22. in 23. februar 2023</w:t>
            </w:r>
          </w:p>
          <w:p w:rsidR="001760E9" w:rsidRDefault="001760E9" w14:paraId="0C44BD01" w14:textId="2F8EBB07">
            <w:pPr>
              <w:snapToGrid w:val="0"/>
              <w:jc w:val="center"/>
              <w:rPr>
                <w:b/>
                <w:sz w:val="32"/>
              </w:rPr>
            </w:pPr>
          </w:p>
          <w:p w:rsidRPr="009B70E7" w:rsidR="004D7AC0" w:rsidRDefault="00CF2F88" w14:paraId="114106CC" w14:textId="11A9DA7B">
            <w:pPr>
              <w:snapToGrid w:val="0"/>
              <w:jc w:val="center"/>
              <w:rPr>
                <w:rFonts w:eastAsia="MS Mincho"/>
                <w:b/>
                <w:sz w:val="32"/>
                <w:szCs w:val="32"/>
              </w:rPr>
            </w:pPr>
            <w:r>
              <w:rPr>
                <w:b/>
                <w:sz w:val="32"/>
              </w:rPr>
              <w:t>POVZETEK SPREJETIH MNENJ, RESOLUCIJ IN INFORMATIVNIH POROČIL/POROČIL O OCENI</w:t>
            </w:r>
          </w:p>
          <w:p w:rsidRPr="009B70E7" w:rsidR="004D7AC0" w:rsidRDefault="004D7AC0" w14:paraId="06AE72EA" w14:textId="77777777">
            <w:pPr>
              <w:snapToGrid w:val="0"/>
            </w:pPr>
          </w:p>
        </w:tc>
      </w:tr>
      <w:tr w:rsidRPr="009B70E7"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008A2447" w:rsidRDefault="004D7AC0" w14:paraId="6E6BEF95" w14:textId="77777777">
            <w:pPr>
              <w:snapToGrid w:val="0"/>
              <w:jc w:val="center"/>
              <w:rPr>
                <w:rStyle w:val="Hyperlink"/>
              </w:rPr>
            </w:pPr>
            <w:r>
              <w:t>Dokument je v uradnih jezikih na voljo na spletni strani EESO:</w:t>
            </w:r>
            <w:r>
              <w:br/>
            </w:r>
            <w:r>
              <w:br/>
            </w:r>
            <w:hyperlink w:history="1" r:id="rId13">
              <w:r>
                <w:rPr>
                  <w:rStyle w:val="Hyperlink"/>
                  <w:highlight w:val="yellow"/>
                </w:rPr>
                <w:t>https://www.eesc.europa.eu/sl/our-work/opinions-information-reports/plenary-session-summaries</w:t>
              </w:r>
            </w:hyperlink>
          </w:p>
          <w:p w:rsidR="008A2447" w:rsidRDefault="008A2447" w14:paraId="7E046010" w14:textId="77777777">
            <w:pPr>
              <w:snapToGrid w:val="0"/>
              <w:jc w:val="center"/>
              <w:rPr>
                <w:rStyle w:val="Hyperlink"/>
              </w:rPr>
            </w:pPr>
          </w:p>
          <w:p w:rsidR="008A2447" w:rsidRDefault="008A2447" w14:paraId="38774752" w14:textId="77777777">
            <w:pPr>
              <w:snapToGrid w:val="0"/>
              <w:jc w:val="center"/>
              <w:rPr>
                <w:rStyle w:val="Hyperlink"/>
              </w:rPr>
            </w:pPr>
          </w:p>
          <w:p w:rsidRPr="009B70E7" w:rsidR="004D7AC0" w:rsidRDefault="004D7AC0" w14:paraId="441AC4DD" w14:textId="7AAB9C04">
            <w:pPr>
              <w:snapToGrid w:val="0"/>
              <w:jc w:val="center"/>
            </w:pPr>
            <w:r>
              <w:t>Navedena mnenja so na spletu dostopna prek iskalnika Odbora:</w:t>
            </w:r>
            <w:r>
              <w:br/>
            </w:r>
            <w:r>
              <w:br/>
            </w:r>
            <w:hyperlink w:history="1" r:id="rId14">
              <w:r>
                <w:rPr>
                  <w:rStyle w:val="Hyperlink"/>
                </w:rPr>
                <w:t>https://dmsearch.eesc.europa.eu/search/opinion</w:t>
              </w:r>
            </w:hyperlink>
          </w:p>
          <w:p w:rsidRPr="009B70E7" w:rsidR="004D7AC0" w:rsidRDefault="004D7AC0" w14:paraId="51FF303F" w14:textId="77777777">
            <w:pPr>
              <w:snapToGrid w:val="0"/>
              <w:jc w:val="center"/>
            </w:pPr>
          </w:p>
        </w:tc>
      </w:tr>
    </w:tbl>
    <w:p w:rsidRPr="009B70E7" w:rsidR="004D7AC0" w:rsidRDefault="004D7AC0" w14:paraId="57C291FC" w14:textId="77777777"/>
    <w:p w:rsidRPr="009B70E7" w:rsidR="004D7AC0" w:rsidRDefault="004D7AC0" w14:paraId="5E675360" w14:textId="77777777"/>
    <w:p w:rsidR="007B7C40" w:rsidRDefault="007B7C40" w14:paraId="3CF67A1E" w14:textId="77777777">
      <w:pPr>
        <w:sectPr w:rsidR="007B7C40" w:rsidSect="004E0C44">
          <w:headerReference w:type="even" r:id="rId15"/>
          <w:headerReference w:type="default" r:id="rId16"/>
          <w:footerReference w:type="even" r:id="rId17"/>
          <w:footerReference w:type="default" r:id="rId18"/>
          <w:headerReference w:type="first" r:id="rId19"/>
          <w:footerReference w:type="first" r:id="rId20"/>
          <w:pgSz w:w="11907" w:h="16839"/>
          <w:pgMar w:top="1417" w:right="1417" w:bottom="1417" w:left="1417" w:header="709" w:footer="709" w:gutter="0"/>
          <w:pgNumType w:start="1"/>
          <w:cols w:space="708"/>
          <w:docGrid w:linePitch="360"/>
        </w:sectPr>
      </w:pPr>
    </w:p>
    <w:p w:rsidRPr="009B70E7" w:rsidR="004D7AC0" w:rsidRDefault="004D7AC0" w14:paraId="56B7AE7C" w14:textId="77777777">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001E6413" w:rsidRDefault="001E6413" w14:paraId="5FAD9FDD" w14:textId="77777777">
          <w:pPr>
            <w:pStyle w:val="TOCHeading"/>
          </w:pPr>
          <w:r>
            <w:t>Vsebina</w:t>
          </w:r>
        </w:p>
        <w:p w:rsidR="008A2447" w:rsidRDefault="001E6413" w14:paraId="7C71BA60" w14:textId="2B9AD5AC">
          <w:pPr>
            <w:pStyle w:val="TOC1"/>
            <w:rPr>
              <w:rFonts w:asciiTheme="minorHAnsi" w:hAnsiTheme="minorHAnsi" w:eastAsiaTheme="minorEastAsia" w:cstheme="minorBidi"/>
              <w:noProof/>
              <w:lang w:val="en-US"/>
            </w:rPr>
          </w:pPr>
          <w:r>
            <w:fldChar w:fldCharType="begin"/>
          </w:r>
          <w:r>
            <w:instrText xml:space="preserve"> TOC \o "1-3" \h \z \u </w:instrText>
          </w:r>
          <w:r>
            <w:fldChar w:fldCharType="separate"/>
          </w:r>
          <w:hyperlink w:history="1" w:anchor="_Toc129693941">
            <w:r w:rsidRPr="00CD58F5" w:rsidR="008A2447">
              <w:rPr>
                <w:rStyle w:val="Hyperlink"/>
                <w:noProof/>
                <w14:scene3d>
                  <w14:camera w14:prst="orthographicFront"/>
                  <w14:lightRig w14:rig="threePt" w14:dir="t">
                    <w14:rot w14:lat="0" w14:lon="0" w14:rev="0"/>
                  </w14:lightRig>
                </w14:scene3d>
              </w:rPr>
              <w:t>1.</w:t>
            </w:r>
            <w:r w:rsidR="008A2447">
              <w:rPr>
                <w:rFonts w:asciiTheme="minorHAnsi" w:hAnsiTheme="minorHAnsi" w:eastAsiaTheme="minorEastAsia" w:cstheme="minorBidi"/>
                <w:noProof/>
                <w:lang w:val="en-US"/>
              </w:rPr>
              <w:tab/>
            </w:r>
            <w:r w:rsidRPr="00CD58F5" w:rsidR="008A2447">
              <w:rPr>
                <w:rStyle w:val="Hyperlink"/>
                <w:b/>
                <w:noProof/>
              </w:rPr>
              <w:t>RESOLUCIJA</w:t>
            </w:r>
            <w:r w:rsidR="008A2447">
              <w:rPr>
                <w:noProof/>
                <w:webHidden/>
              </w:rPr>
              <w:tab/>
            </w:r>
            <w:r w:rsidR="008A2447">
              <w:rPr>
                <w:noProof/>
                <w:webHidden/>
              </w:rPr>
              <w:fldChar w:fldCharType="begin"/>
            </w:r>
            <w:r w:rsidR="008A2447">
              <w:rPr>
                <w:noProof/>
                <w:webHidden/>
              </w:rPr>
              <w:instrText xml:space="preserve"> PAGEREF _Toc129693941 \h </w:instrText>
            </w:r>
            <w:r w:rsidR="008A2447">
              <w:rPr>
                <w:noProof/>
                <w:webHidden/>
              </w:rPr>
            </w:r>
            <w:r w:rsidR="008A2447">
              <w:rPr>
                <w:noProof/>
                <w:webHidden/>
              </w:rPr>
              <w:fldChar w:fldCharType="separate"/>
            </w:r>
            <w:r w:rsidR="008A2447">
              <w:rPr>
                <w:noProof/>
                <w:webHidden/>
              </w:rPr>
              <w:t>3</w:t>
            </w:r>
            <w:r w:rsidR="008A2447">
              <w:rPr>
                <w:noProof/>
                <w:webHidden/>
              </w:rPr>
              <w:fldChar w:fldCharType="end"/>
            </w:r>
          </w:hyperlink>
        </w:p>
        <w:p w:rsidR="008A2447" w:rsidRDefault="00202D15" w14:paraId="3207FE72" w14:textId="63288B63">
          <w:pPr>
            <w:pStyle w:val="TOC1"/>
            <w:rPr>
              <w:rFonts w:asciiTheme="minorHAnsi" w:hAnsiTheme="minorHAnsi" w:eastAsiaTheme="minorEastAsia" w:cstheme="minorBidi"/>
              <w:noProof/>
              <w:lang w:val="en-US"/>
            </w:rPr>
          </w:pPr>
          <w:hyperlink w:history="1" w:anchor="_Toc129693942">
            <w:r w:rsidRPr="00CD58F5" w:rsidR="008A2447">
              <w:rPr>
                <w:rStyle w:val="Hyperlink"/>
                <w:noProof/>
                <w14:scene3d>
                  <w14:camera w14:prst="orthographicFront"/>
                  <w14:lightRig w14:rig="threePt" w14:dir="t">
                    <w14:rot w14:lat="0" w14:lon="0" w14:rev="0"/>
                  </w14:lightRig>
                </w14:scene3d>
              </w:rPr>
              <w:t>2.</w:t>
            </w:r>
            <w:r w:rsidR="008A2447">
              <w:rPr>
                <w:rFonts w:asciiTheme="minorHAnsi" w:hAnsiTheme="minorHAnsi" w:eastAsiaTheme="minorEastAsia" w:cstheme="minorBidi"/>
                <w:noProof/>
                <w:lang w:val="en-US"/>
              </w:rPr>
              <w:tab/>
            </w:r>
            <w:r w:rsidRPr="00CD58F5" w:rsidR="008A2447">
              <w:rPr>
                <w:rStyle w:val="Hyperlink"/>
                <w:b/>
                <w:noProof/>
              </w:rPr>
              <w:t>EKONOMSKA IN MONETARNA UNIJA TER EKONOMSKA IN SOCIALNA KOHEZIJA</w:t>
            </w:r>
            <w:r w:rsidR="008A2447">
              <w:rPr>
                <w:noProof/>
                <w:webHidden/>
              </w:rPr>
              <w:tab/>
            </w:r>
            <w:r w:rsidR="008A2447">
              <w:rPr>
                <w:noProof/>
                <w:webHidden/>
              </w:rPr>
              <w:fldChar w:fldCharType="begin"/>
            </w:r>
            <w:r w:rsidR="008A2447">
              <w:rPr>
                <w:noProof/>
                <w:webHidden/>
              </w:rPr>
              <w:instrText xml:space="preserve"> PAGEREF _Toc129693942 \h </w:instrText>
            </w:r>
            <w:r w:rsidR="008A2447">
              <w:rPr>
                <w:noProof/>
                <w:webHidden/>
              </w:rPr>
            </w:r>
            <w:r w:rsidR="008A2447">
              <w:rPr>
                <w:noProof/>
                <w:webHidden/>
              </w:rPr>
              <w:fldChar w:fldCharType="separate"/>
            </w:r>
            <w:r w:rsidR="008A2447">
              <w:rPr>
                <w:noProof/>
                <w:webHidden/>
              </w:rPr>
              <w:t>4</w:t>
            </w:r>
            <w:r w:rsidR="008A2447">
              <w:rPr>
                <w:noProof/>
                <w:webHidden/>
              </w:rPr>
              <w:fldChar w:fldCharType="end"/>
            </w:r>
          </w:hyperlink>
        </w:p>
        <w:p w:rsidR="008A2447" w:rsidRDefault="00202D15" w14:paraId="77B921C5" w14:textId="1AEB4BF2">
          <w:pPr>
            <w:pStyle w:val="TOC1"/>
            <w:rPr>
              <w:rFonts w:asciiTheme="minorHAnsi" w:hAnsiTheme="minorHAnsi" w:eastAsiaTheme="minorEastAsia" w:cstheme="minorBidi"/>
              <w:noProof/>
              <w:lang w:val="en-US"/>
            </w:rPr>
          </w:pPr>
          <w:hyperlink w:history="1" w:anchor="_Toc129693943">
            <w:r w:rsidRPr="00CD58F5" w:rsidR="008A2447">
              <w:rPr>
                <w:rStyle w:val="Hyperlink"/>
                <w:noProof/>
                <w14:scene3d>
                  <w14:camera w14:prst="orthographicFront"/>
                  <w14:lightRig w14:rig="threePt" w14:dir="t">
                    <w14:rot w14:lat="0" w14:lon="0" w14:rev="0"/>
                  </w14:lightRig>
                </w14:scene3d>
              </w:rPr>
              <w:t>3.</w:t>
            </w:r>
            <w:r w:rsidR="008A2447">
              <w:rPr>
                <w:rFonts w:asciiTheme="minorHAnsi" w:hAnsiTheme="minorHAnsi" w:eastAsiaTheme="minorEastAsia" w:cstheme="minorBidi"/>
                <w:noProof/>
                <w:lang w:val="en-US"/>
              </w:rPr>
              <w:tab/>
            </w:r>
            <w:r w:rsidRPr="00CD58F5" w:rsidR="008A2447">
              <w:rPr>
                <w:rStyle w:val="Hyperlink"/>
                <w:b/>
                <w:noProof/>
              </w:rPr>
              <w:t>ZAPOSLOVANJE, SOCIALNE ZADEVE IN DRŽAVLJANSTVO</w:t>
            </w:r>
            <w:r w:rsidR="008A2447">
              <w:rPr>
                <w:noProof/>
                <w:webHidden/>
              </w:rPr>
              <w:tab/>
            </w:r>
            <w:r w:rsidR="008A2447">
              <w:rPr>
                <w:noProof/>
                <w:webHidden/>
              </w:rPr>
              <w:fldChar w:fldCharType="begin"/>
            </w:r>
            <w:r w:rsidR="008A2447">
              <w:rPr>
                <w:noProof/>
                <w:webHidden/>
              </w:rPr>
              <w:instrText xml:space="preserve"> PAGEREF _Toc129693943 \h </w:instrText>
            </w:r>
            <w:r w:rsidR="008A2447">
              <w:rPr>
                <w:noProof/>
                <w:webHidden/>
              </w:rPr>
            </w:r>
            <w:r w:rsidR="008A2447">
              <w:rPr>
                <w:noProof/>
                <w:webHidden/>
              </w:rPr>
              <w:fldChar w:fldCharType="separate"/>
            </w:r>
            <w:r w:rsidR="008A2447">
              <w:rPr>
                <w:noProof/>
                <w:webHidden/>
              </w:rPr>
              <w:t>7</w:t>
            </w:r>
            <w:r w:rsidR="008A2447">
              <w:rPr>
                <w:noProof/>
                <w:webHidden/>
              </w:rPr>
              <w:fldChar w:fldCharType="end"/>
            </w:r>
          </w:hyperlink>
        </w:p>
        <w:p w:rsidR="008A2447" w:rsidRDefault="00202D15" w14:paraId="145171EA" w14:textId="3E80024C">
          <w:pPr>
            <w:pStyle w:val="TOC1"/>
            <w:rPr>
              <w:rFonts w:asciiTheme="minorHAnsi" w:hAnsiTheme="minorHAnsi" w:eastAsiaTheme="minorEastAsia" w:cstheme="minorBidi"/>
              <w:noProof/>
              <w:lang w:val="en-US"/>
            </w:rPr>
          </w:pPr>
          <w:hyperlink w:history="1" w:anchor="_Toc129693944">
            <w:r w:rsidRPr="00CD58F5" w:rsidR="008A2447">
              <w:rPr>
                <w:rStyle w:val="Hyperlink"/>
                <w:noProof/>
                <w14:scene3d>
                  <w14:camera w14:prst="orthographicFront"/>
                  <w14:lightRig w14:rig="threePt" w14:dir="t">
                    <w14:rot w14:lat="0" w14:lon="0" w14:rev="0"/>
                  </w14:lightRig>
                </w14:scene3d>
              </w:rPr>
              <w:t>4.</w:t>
            </w:r>
            <w:r w:rsidR="008A2447">
              <w:rPr>
                <w:rFonts w:asciiTheme="minorHAnsi" w:hAnsiTheme="minorHAnsi" w:eastAsiaTheme="minorEastAsia" w:cstheme="minorBidi"/>
                <w:noProof/>
                <w:lang w:val="en-US"/>
              </w:rPr>
              <w:tab/>
            </w:r>
            <w:r w:rsidRPr="00CD58F5" w:rsidR="008A2447">
              <w:rPr>
                <w:rStyle w:val="Hyperlink"/>
                <w:b/>
                <w:noProof/>
              </w:rPr>
              <w:t>ENOTNI TRG, PROIZVODNJA IN POTROŠNJA</w:t>
            </w:r>
            <w:r w:rsidR="008A2447">
              <w:rPr>
                <w:noProof/>
                <w:webHidden/>
              </w:rPr>
              <w:tab/>
            </w:r>
            <w:r w:rsidR="008A2447">
              <w:rPr>
                <w:noProof/>
                <w:webHidden/>
              </w:rPr>
              <w:fldChar w:fldCharType="begin"/>
            </w:r>
            <w:r w:rsidR="008A2447">
              <w:rPr>
                <w:noProof/>
                <w:webHidden/>
              </w:rPr>
              <w:instrText xml:space="preserve"> PAGEREF _Toc129693944 \h </w:instrText>
            </w:r>
            <w:r w:rsidR="008A2447">
              <w:rPr>
                <w:noProof/>
                <w:webHidden/>
              </w:rPr>
            </w:r>
            <w:r w:rsidR="008A2447">
              <w:rPr>
                <w:noProof/>
                <w:webHidden/>
              </w:rPr>
              <w:fldChar w:fldCharType="separate"/>
            </w:r>
            <w:r w:rsidR="008A2447">
              <w:rPr>
                <w:noProof/>
                <w:webHidden/>
              </w:rPr>
              <w:t>10</w:t>
            </w:r>
            <w:r w:rsidR="008A2447">
              <w:rPr>
                <w:noProof/>
                <w:webHidden/>
              </w:rPr>
              <w:fldChar w:fldCharType="end"/>
            </w:r>
          </w:hyperlink>
        </w:p>
        <w:p w:rsidR="008A2447" w:rsidRDefault="00202D15" w14:paraId="138BCE7D" w14:textId="3DA88F60">
          <w:pPr>
            <w:pStyle w:val="TOC1"/>
            <w:rPr>
              <w:rFonts w:asciiTheme="minorHAnsi" w:hAnsiTheme="minorHAnsi" w:eastAsiaTheme="minorEastAsia" w:cstheme="minorBidi"/>
              <w:noProof/>
              <w:lang w:val="en-US"/>
            </w:rPr>
          </w:pPr>
          <w:hyperlink w:history="1" w:anchor="_Toc129693945">
            <w:r w:rsidRPr="00CD58F5" w:rsidR="008A2447">
              <w:rPr>
                <w:rStyle w:val="Hyperlink"/>
                <w:noProof/>
                <w14:scene3d>
                  <w14:camera w14:prst="orthographicFront"/>
                  <w14:lightRig w14:rig="threePt" w14:dir="t">
                    <w14:rot w14:lat="0" w14:lon="0" w14:rev="0"/>
                  </w14:lightRig>
                </w14:scene3d>
              </w:rPr>
              <w:t>5.</w:t>
            </w:r>
            <w:r w:rsidR="008A2447">
              <w:rPr>
                <w:rFonts w:asciiTheme="minorHAnsi" w:hAnsiTheme="minorHAnsi" w:eastAsiaTheme="minorEastAsia" w:cstheme="minorBidi"/>
                <w:noProof/>
                <w:lang w:val="en-US"/>
              </w:rPr>
              <w:tab/>
            </w:r>
            <w:r w:rsidRPr="00CD58F5" w:rsidR="008A2447">
              <w:rPr>
                <w:rStyle w:val="Hyperlink"/>
                <w:b/>
                <w:noProof/>
              </w:rPr>
              <w:t>KMETIJSTVO, RAZVOJ PODEŽELJA IN OKOLJE</w:t>
            </w:r>
            <w:r w:rsidR="008A2447">
              <w:rPr>
                <w:noProof/>
                <w:webHidden/>
              </w:rPr>
              <w:tab/>
            </w:r>
            <w:r w:rsidR="008A2447">
              <w:rPr>
                <w:noProof/>
                <w:webHidden/>
              </w:rPr>
              <w:fldChar w:fldCharType="begin"/>
            </w:r>
            <w:r w:rsidR="008A2447">
              <w:rPr>
                <w:noProof/>
                <w:webHidden/>
              </w:rPr>
              <w:instrText xml:space="preserve"> PAGEREF _Toc129693945 \h </w:instrText>
            </w:r>
            <w:r w:rsidR="008A2447">
              <w:rPr>
                <w:noProof/>
                <w:webHidden/>
              </w:rPr>
            </w:r>
            <w:r w:rsidR="008A2447">
              <w:rPr>
                <w:noProof/>
                <w:webHidden/>
              </w:rPr>
              <w:fldChar w:fldCharType="separate"/>
            </w:r>
            <w:r w:rsidR="008A2447">
              <w:rPr>
                <w:noProof/>
                <w:webHidden/>
              </w:rPr>
              <w:t>12</w:t>
            </w:r>
            <w:r w:rsidR="008A2447">
              <w:rPr>
                <w:noProof/>
                <w:webHidden/>
              </w:rPr>
              <w:fldChar w:fldCharType="end"/>
            </w:r>
          </w:hyperlink>
        </w:p>
        <w:p w:rsidR="001E6413" w:rsidRDefault="001E6413" w14:paraId="684BFB9B" w14:textId="07024084">
          <w:r>
            <w:rPr>
              <w:b/>
            </w:rPr>
            <w:fldChar w:fldCharType="end"/>
          </w:r>
        </w:p>
      </w:sdtContent>
    </w:sdt>
    <w:p w:rsidRPr="009B70E7" w:rsidR="004D7AC0" w:rsidRDefault="004D7AC0" w14:paraId="4600634B" w14:textId="77777777"/>
    <w:p w:rsidRPr="009B70E7" w:rsidR="004D7AC0" w:rsidP="001A7476" w:rsidRDefault="004D7AC0" w14:paraId="68489C47" w14:textId="2FCA526B">
      <w:pPr>
        <w:pStyle w:val="Heading1"/>
        <w:numPr>
          <w:ilvl w:val="0"/>
          <w:numId w:val="0"/>
        </w:numPr>
      </w:pPr>
      <w:r>
        <w:br w:type="page"/>
      </w:r>
    </w:p>
    <w:p w:rsidR="00AF10D4" w:rsidP="00AF10D4" w:rsidRDefault="001865D3" w14:paraId="71FFFFE7" w14:textId="1E1A03F9">
      <w:pPr>
        <w:pStyle w:val="Heading1"/>
        <w:rPr>
          <w:b/>
        </w:rPr>
      </w:pPr>
      <w:bookmarkStart w:name="_Toc129693941" w:id="1"/>
      <w:r>
        <w:rPr>
          <w:b/>
        </w:rPr>
        <w:lastRenderedPageBreak/>
        <w:t>RESOLUCIJA</w:t>
      </w:r>
      <w:bookmarkEnd w:id="1"/>
    </w:p>
    <w:p w:rsidRPr="00AF10D4" w:rsidR="00AF10D4" w:rsidP="00AF10D4" w:rsidRDefault="00AF10D4" w14:paraId="67172785" w14:textId="77777777"/>
    <w:p w:rsidR="00AF10D4" w:rsidP="00AF10D4" w:rsidRDefault="00AF10D4" w14:paraId="4D8765DB" w14:textId="44628838">
      <w:pPr>
        <w:numPr>
          <w:ilvl w:val="0"/>
          <w:numId w:val="5"/>
        </w:numPr>
        <w:overflowPunct w:val="0"/>
        <w:autoSpaceDE w:val="0"/>
        <w:autoSpaceDN w:val="0"/>
        <w:adjustRightInd w:val="0"/>
        <w:ind w:left="567" w:hanging="567"/>
        <w:textAlignment w:val="baseline"/>
        <w:rPr>
          <w:b/>
          <w:bCs/>
          <w:i/>
          <w:iCs/>
          <w:sz w:val="28"/>
          <w:szCs w:val="28"/>
        </w:rPr>
      </w:pPr>
      <w:r>
        <w:rPr>
          <w:b/>
          <w:i/>
          <w:sz w:val="28"/>
        </w:rPr>
        <w:t>Ukrajina: leto dni po ruski invaziji – vidik evropske civilne družbe</w:t>
      </w:r>
    </w:p>
    <w:p w:rsidRPr="00196521" w:rsidR="00066DC7" w:rsidP="00066DC7" w:rsidRDefault="00066DC7" w14:paraId="1310AFED" w14:textId="77777777">
      <w:pPr>
        <w:overflowPunct w:val="0"/>
        <w:autoSpaceDE w:val="0"/>
        <w:autoSpaceDN w:val="0"/>
        <w:adjustRightInd w:val="0"/>
        <w:textAlignment w:val="baseline"/>
        <w:rPr>
          <w:b/>
          <w:bCs/>
          <w:i/>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467"/>
        <w:gridCol w:w="5755"/>
      </w:tblGrid>
      <w:tr w:rsidRPr="00627B8F" w:rsidR="00ED20B6" w:rsidTr="008A2447" w14:paraId="5BF03940" w14:textId="77777777">
        <w:tc>
          <w:tcPr>
            <w:tcW w:w="2467" w:type="dxa"/>
          </w:tcPr>
          <w:p w:rsidR="00ED20B6" w:rsidP="00FB5FFE" w:rsidRDefault="00ED20B6" w14:paraId="0FC25C98" w14:textId="50507553">
            <w:pPr>
              <w:pStyle w:val="ListParagraph"/>
              <w:spacing w:line="240" w:lineRule="auto"/>
              <w:ind w:left="-142" w:firstLine="142"/>
              <w:rPr>
                <w:b/>
              </w:rPr>
            </w:pPr>
            <w:bookmarkStart w:name="_Hlk128565405" w:id="2"/>
            <w:r>
              <w:rPr>
                <w:b/>
              </w:rPr>
              <w:t>Poročevalci</w:t>
            </w:r>
          </w:p>
          <w:p w:rsidRPr="009B70E7" w:rsidR="00ED20B6" w:rsidP="00896F71" w:rsidRDefault="00ED20B6" w14:paraId="2E66DB4F" w14:textId="5E9E1214">
            <w:pPr>
              <w:pStyle w:val="ListParagraph"/>
              <w:ind w:left="0" w:right="-55"/>
              <w:rPr>
                <w:b/>
              </w:rPr>
            </w:pPr>
          </w:p>
        </w:tc>
        <w:tc>
          <w:tcPr>
            <w:tcW w:w="5755" w:type="dxa"/>
          </w:tcPr>
          <w:p w:rsidR="00896F71" w:rsidP="00896F71" w:rsidRDefault="00896F71" w14:paraId="39FCEC1A" w14:textId="084B13FA">
            <w:pPr>
              <w:pStyle w:val="ListParagraph"/>
              <w:ind w:left="-60" w:right="-55"/>
            </w:pPr>
            <w:r>
              <w:t xml:space="preserve">Stefano </w:t>
            </w:r>
            <w:r w:rsidR="008A2447">
              <w:t xml:space="preserve">MALLIA </w:t>
            </w:r>
            <w:r>
              <w:t>(delodajalci – MT)</w:t>
            </w:r>
          </w:p>
          <w:p w:rsidR="00896F71" w:rsidP="00896F71" w:rsidRDefault="00896F71" w14:paraId="39E8F5CB" w14:textId="322D4A40">
            <w:pPr>
              <w:pStyle w:val="ListParagraph"/>
              <w:ind w:left="-60" w:right="-55"/>
            </w:pPr>
            <w:r>
              <w:t>Oliver RÖPKE (delojemalci – AT)</w:t>
            </w:r>
          </w:p>
          <w:p w:rsidRPr="00627B8F" w:rsidR="003D4576" w:rsidRDefault="00896F71" w14:paraId="3AF81FFE" w14:textId="04472BCE">
            <w:pPr>
              <w:pStyle w:val="ListParagraph"/>
              <w:ind w:left="-60" w:right="-55"/>
            </w:pPr>
            <w:r>
              <w:t>Séamus BOLAND (skupina organizacij civilne družbe – IE)</w:t>
            </w:r>
          </w:p>
        </w:tc>
      </w:tr>
      <w:bookmarkEnd w:id="2"/>
      <w:tr w:rsidRPr="00627B8F" w:rsidR="003D4576" w:rsidTr="008A2447" w14:paraId="4A754698" w14:textId="77777777">
        <w:tc>
          <w:tcPr>
            <w:tcW w:w="2467" w:type="dxa"/>
          </w:tcPr>
          <w:p w:rsidRPr="009B70E7" w:rsidR="003D4576" w:rsidP="00533A14" w:rsidRDefault="003D4576" w14:paraId="7EBB8EAC" w14:textId="77777777">
            <w:pPr>
              <w:pStyle w:val="ListParagraph"/>
              <w:spacing w:line="240" w:lineRule="auto"/>
              <w:ind w:left="-142" w:firstLine="142"/>
              <w:rPr>
                <w:b/>
              </w:rPr>
            </w:pPr>
            <w:r>
              <w:rPr>
                <w:b/>
              </w:rPr>
              <w:t xml:space="preserve">Referenčni dokument </w:t>
            </w:r>
          </w:p>
        </w:tc>
        <w:tc>
          <w:tcPr>
            <w:tcW w:w="5755" w:type="dxa"/>
          </w:tcPr>
          <w:p w:rsidRPr="00627B8F" w:rsidR="003D4576" w:rsidRDefault="003D4576" w14:paraId="2637EC69" w14:textId="526AB2FE">
            <w:pPr>
              <w:pStyle w:val="ListParagraph"/>
              <w:ind w:left="-61"/>
            </w:pPr>
            <w:r>
              <w:t>EESC-2023-00911-00-00-RES</w:t>
            </w:r>
          </w:p>
        </w:tc>
      </w:tr>
    </w:tbl>
    <w:p w:rsidR="004E0C44" w:rsidP="00ED20B6" w:rsidRDefault="004E0C44" w14:paraId="13EAC25D" w14:textId="77777777">
      <w:pPr>
        <w:pStyle w:val="ListParagraph"/>
        <w:spacing w:line="240" w:lineRule="auto"/>
        <w:ind w:left="0"/>
        <w:rPr>
          <w:b/>
          <w:lang w:val="en-US"/>
        </w:rPr>
      </w:pPr>
    </w:p>
    <w:p w:rsidR="00ED20B6" w:rsidP="00ED20B6" w:rsidRDefault="00ED20B6" w14:paraId="3A21991A" w14:textId="0CB4ECBD">
      <w:pPr>
        <w:pStyle w:val="ListParagraph"/>
        <w:spacing w:line="240" w:lineRule="auto"/>
        <w:ind w:left="0"/>
        <w:rPr>
          <w:b/>
        </w:rPr>
      </w:pPr>
      <w:r>
        <w:rPr>
          <w:b/>
        </w:rPr>
        <w:t>Glavne točke</w:t>
      </w:r>
    </w:p>
    <w:p w:rsidR="00ED20B6" w:rsidP="00ED20B6" w:rsidRDefault="00ED20B6" w14:paraId="35FB4154" w14:textId="77777777">
      <w:pPr>
        <w:pStyle w:val="ListParagraph"/>
        <w:spacing w:line="240" w:lineRule="auto"/>
        <w:ind w:left="0"/>
        <w:rPr>
          <w:b/>
          <w:lang w:val="en-US"/>
        </w:rPr>
      </w:pPr>
    </w:p>
    <w:p w:rsidRPr="002E62B0" w:rsidR="00ED20B6" w:rsidP="00ED20B6" w:rsidRDefault="00ED20B6" w14:paraId="030606EA" w14:textId="77777777">
      <w:pPr>
        <w:pStyle w:val="ListParagraph"/>
        <w:spacing w:line="240" w:lineRule="auto"/>
        <w:ind w:left="0"/>
        <w:rPr>
          <w:bCs/>
        </w:rPr>
      </w:pPr>
      <w:r>
        <w:t>EESO:</w:t>
      </w:r>
    </w:p>
    <w:p w:rsidRPr="009B70E7" w:rsidR="00ED20B6" w:rsidP="00ED20B6" w:rsidRDefault="00ED20B6" w14:paraId="1943F8DB" w14:textId="77777777">
      <w:pPr>
        <w:pStyle w:val="ListParagraph"/>
        <w:spacing w:line="276" w:lineRule="auto"/>
        <w:ind w:left="0"/>
      </w:pPr>
    </w:p>
    <w:p w:rsidRPr="009B70E7" w:rsidR="00ED20B6" w:rsidP="00ED20B6" w:rsidRDefault="00896F71" w14:paraId="5FAEA5BA" w14:textId="72F4D824">
      <w:pPr>
        <w:pStyle w:val="ListParagraph"/>
        <w:numPr>
          <w:ilvl w:val="0"/>
          <w:numId w:val="3"/>
        </w:numPr>
        <w:spacing w:line="276" w:lineRule="auto"/>
        <w:ind w:left="357" w:hanging="357"/>
      </w:pPr>
      <w:r>
        <w:t>poudarja, da je širitev vzajemno koristen proces, saj prispeva k stabilnosti EU, krepi njen geopolitični položaj, prizadevanja za mir, njene vrednote in blaginjo njenih narodov ter prinaša koristi za vse z razširitvijo enotnega trga, hkrati pa bo proces širitve podpora Ukrajini pri krepitvi demokracije, pravne države in človekovih pravic;</w:t>
      </w:r>
    </w:p>
    <w:p w:rsidR="00ED20B6" w:rsidP="00ED20B6" w:rsidRDefault="00896F71" w14:paraId="31EEF18E" w14:textId="33319058">
      <w:pPr>
        <w:pStyle w:val="ListParagraph"/>
        <w:numPr>
          <w:ilvl w:val="0"/>
          <w:numId w:val="3"/>
        </w:numPr>
        <w:spacing w:line="276" w:lineRule="auto"/>
        <w:ind w:left="357" w:hanging="357"/>
      </w:pPr>
      <w:r>
        <w:t>meni, da je treba proces pristopa k EU sicer spoštovati, vendar je jasno, da mora pristopni proces z Ukrajino (tako kot z vsemi državami kandidatkami z Zahodnega Balkana in iz vzhodnega partnerstva) potekati kar najbolj praktično in z izvajanjem ustreznih reform in pravnega reda EU;</w:t>
      </w:r>
    </w:p>
    <w:p w:rsidRPr="00896F71" w:rsidR="00ED20B6" w:rsidP="00ED20B6" w:rsidRDefault="00896F71" w14:paraId="7216E718" w14:textId="1C6FB83A">
      <w:pPr>
        <w:pStyle w:val="ListParagraph"/>
        <w:numPr>
          <w:ilvl w:val="0"/>
          <w:numId w:val="3"/>
        </w:numPr>
        <w:spacing w:line="276" w:lineRule="auto"/>
        <w:ind w:left="357" w:hanging="357"/>
      </w:pPr>
      <w:r>
        <w:t>v celoti podpira resolucijo Evropskega parlamenta, ki poziva k ustanovitvi posebnega mednarodnega sodišča, pristojnega za kaznivo dejanje agresije v Ukrajini. Takšno sodišče bi bilo treba ustanoviti v tesnem sodelovanju z Mednarodnim kazenskim sodiščem in OZN. Odbor prav tako poziva EU, naj prevzame vodilno vlogo pri mednarodni pomoči pri preiskovanju vojnih zločinov, hudodelstev zoper človečnost in genocida;</w:t>
      </w:r>
    </w:p>
    <w:p w:rsidRPr="004146D0" w:rsidR="00896F71" w:rsidP="00ED20B6" w:rsidRDefault="00896F71" w14:paraId="04FB39C7" w14:textId="6447385D">
      <w:pPr>
        <w:pStyle w:val="ListParagraph"/>
        <w:numPr>
          <w:ilvl w:val="0"/>
          <w:numId w:val="3"/>
        </w:numPr>
        <w:spacing w:line="276" w:lineRule="auto"/>
        <w:ind w:left="357" w:hanging="357"/>
      </w:pPr>
      <w:r>
        <w:t>podpira resolucijo Evropskega parlamenta o uvrstitvi Ruske federacije med države, ki podpirajo terorizem;</w:t>
      </w:r>
    </w:p>
    <w:p w:rsidRPr="00066DC7" w:rsidR="004146D0" w:rsidP="00ED20B6" w:rsidRDefault="00066DC7" w14:paraId="1B4A4358" w14:textId="10418E94">
      <w:pPr>
        <w:pStyle w:val="ListParagraph"/>
        <w:numPr>
          <w:ilvl w:val="0"/>
          <w:numId w:val="3"/>
        </w:numPr>
        <w:spacing w:line="276" w:lineRule="auto"/>
        <w:ind w:left="357" w:hanging="357"/>
      </w:pPr>
      <w:r>
        <w:t>meni, da EU mora storiti vse, kar je v njeni moči, da prepreči zmanjševanje zanimanja za Ukrajino;</w:t>
      </w:r>
    </w:p>
    <w:p w:rsidRPr="00066DC7" w:rsidR="00066DC7" w:rsidP="00ED20B6" w:rsidRDefault="00066DC7" w14:paraId="3E0771EC" w14:textId="7B9E530B">
      <w:pPr>
        <w:pStyle w:val="ListParagraph"/>
        <w:numPr>
          <w:ilvl w:val="0"/>
          <w:numId w:val="3"/>
        </w:numPr>
        <w:spacing w:line="276" w:lineRule="auto"/>
        <w:ind w:left="357" w:hanging="357"/>
      </w:pPr>
      <w:r>
        <w:t>opozarja, da mora EU že zdaj pripraviti načrte in orodja za obnovo Ukrajine. Multilateralna platforma za usklajevanje med donatorji je močan znak, da mednarodna skupnost Ukrajino podpira in jo bo še naprej podpirala, vendar ne sme biti osredotočena samo na kratkoročno pomoč, temveč mora enako pozornost nameniti tudi dolgoročni obnovi Ukrajine;</w:t>
      </w:r>
    </w:p>
    <w:p w:rsidRPr="00066DC7" w:rsidR="00066DC7" w:rsidP="00ED20B6" w:rsidRDefault="00066DC7" w14:paraId="03E4C256" w14:textId="1E9819EF">
      <w:pPr>
        <w:pStyle w:val="ListParagraph"/>
        <w:numPr>
          <w:ilvl w:val="0"/>
          <w:numId w:val="3"/>
        </w:numPr>
        <w:spacing w:line="276" w:lineRule="auto"/>
        <w:ind w:left="357" w:hanging="357"/>
      </w:pPr>
      <w:r>
        <w:t>poudarja, da bi morali načrti za obnovo in okrevanje ukrajinske družbe in ozemlja vključevati poštene delovne pogoje, izvrševanje delovnega prava, spodbujanje dostojnega dela in pravice do varnega in zdravega delovnega okolja ter priložnosti za usposabljanje za vse;</w:t>
      </w:r>
    </w:p>
    <w:p w:rsidR="00066DC7" w:rsidP="00ED20B6" w:rsidRDefault="00066DC7" w14:paraId="4C27AEF4" w14:textId="5BF5512A">
      <w:pPr>
        <w:pStyle w:val="ListParagraph"/>
        <w:numPr>
          <w:ilvl w:val="0"/>
          <w:numId w:val="3"/>
        </w:numPr>
        <w:spacing w:line="276" w:lineRule="auto"/>
        <w:ind w:left="357" w:hanging="357"/>
      </w:pPr>
      <w:r>
        <w:t>poudarja pomen vzpostavitve mehanizma EU za krepitev vloge ukrajinske civilne družbe s financiranjem in lajšanjem njenega sodelovanja v mrežah civilne družbe EU.</w:t>
      </w:r>
    </w:p>
    <w:p w:rsidRPr="009B70E7" w:rsidR="00ED20B6" w:rsidP="00ED20B6" w:rsidRDefault="00ED20B6" w14:paraId="73AC89C3"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1"/>
        <w:gridCol w:w="5196"/>
      </w:tblGrid>
      <w:tr w:rsidRPr="009B70E7" w:rsidR="00ED20B6" w:rsidTr="008A2447" w14:paraId="1AA9E8CA" w14:textId="77777777">
        <w:tc>
          <w:tcPr>
            <w:tcW w:w="1951" w:type="dxa"/>
          </w:tcPr>
          <w:p w:rsidRPr="009B70E7" w:rsidR="00ED20B6" w:rsidP="00FB5FFE" w:rsidRDefault="00ED20B6" w14:paraId="3D2DFC65" w14:textId="77777777">
            <w:pPr>
              <w:pStyle w:val="ListParagraph"/>
              <w:spacing w:line="276" w:lineRule="auto"/>
              <w:ind w:left="0"/>
              <w:rPr>
                <w:i/>
              </w:rPr>
            </w:pPr>
            <w:r>
              <w:rPr>
                <w:b/>
                <w:i/>
              </w:rPr>
              <w:t>Kontaktna oseba</w:t>
            </w:r>
          </w:p>
        </w:tc>
        <w:tc>
          <w:tcPr>
            <w:tcW w:w="5196" w:type="dxa"/>
          </w:tcPr>
          <w:p w:rsidRPr="009B70E7" w:rsidR="00ED20B6" w:rsidP="00FB5FFE" w:rsidRDefault="00BB3AF7" w14:paraId="28388097" w14:textId="61F277B4">
            <w:pPr>
              <w:pStyle w:val="ListParagraph"/>
              <w:spacing w:line="276" w:lineRule="auto"/>
              <w:ind w:left="0"/>
              <w:rPr>
                <w:i/>
              </w:rPr>
            </w:pPr>
            <w:r>
              <w:rPr>
                <w:i/>
              </w:rPr>
              <w:t xml:space="preserve">Katarína </w:t>
            </w:r>
            <w:r w:rsidR="008A2447">
              <w:rPr>
                <w:i/>
              </w:rPr>
              <w:t>GRZESZCZYK ALBRECHTOVÁ</w:t>
            </w:r>
          </w:p>
        </w:tc>
      </w:tr>
      <w:tr w:rsidRPr="009B70E7" w:rsidR="00ED20B6" w:rsidTr="008A2447" w14:paraId="0BD1509F" w14:textId="77777777">
        <w:tc>
          <w:tcPr>
            <w:tcW w:w="1951" w:type="dxa"/>
          </w:tcPr>
          <w:p w:rsidRPr="009B70E7" w:rsidR="00ED20B6" w:rsidP="00FB5FFE" w:rsidRDefault="00ED20B6" w14:paraId="03544F40" w14:textId="77777777">
            <w:pPr>
              <w:pStyle w:val="ListParagraph"/>
              <w:spacing w:line="276" w:lineRule="auto"/>
              <w:ind w:left="601"/>
              <w:rPr>
                <w:i/>
              </w:rPr>
            </w:pPr>
            <w:r>
              <w:rPr>
                <w:i/>
              </w:rPr>
              <w:t>Telefon</w:t>
            </w:r>
          </w:p>
        </w:tc>
        <w:tc>
          <w:tcPr>
            <w:tcW w:w="5196" w:type="dxa"/>
          </w:tcPr>
          <w:p w:rsidRPr="009B70E7" w:rsidR="00ED20B6" w:rsidP="00FB5FFE" w:rsidRDefault="00ED20B6" w14:paraId="5470F0C3" w14:textId="429567BB">
            <w:pPr>
              <w:pStyle w:val="ListParagraph"/>
              <w:spacing w:line="276" w:lineRule="auto"/>
              <w:ind w:left="0"/>
              <w:rPr>
                <w:i/>
              </w:rPr>
            </w:pPr>
            <w:r>
              <w:rPr>
                <w:i/>
              </w:rPr>
              <w:t>00 32 2 546 94 60</w:t>
            </w:r>
          </w:p>
        </w:tc>
      </w:tr>
      <w:tr w:rsidRPr="009B70E7" w:rsidR="00ED20B6" w:rsidTr="008A2447" w14:paraId="4EA8BB4C" w14:textId="77777777">
        <w:tc>
          <w:tcPr>
            <w:tcW w:w="1951" w:type="dxa"/>
          </w:tcPr>
          <w:p w:rsidRPr="009B70E7" w:rsidR="00ED20B6" w:rsidP="00FB5FFE" w:rsidRDefault="00ED20B6" w14:paraId="780E9DD4" w14:textId="77777777">
            <w:pPr>
              <w:pStyle w:val="ListParagraph"/>
              <w:spacing w:line="276" w:lineRule="auto"/>
              <w:ind w:left="601"/>
              <w:rPr>
                <w:i/>
              </w:rPr>
            </w:pPr>
            <w:r>
              <w:rPr>
                <w:i/>
              </w:rPr>
              <w:t>E-naslov</w:t>
            </w:r>
          </w:p>
        </w:tc>
        <w:tc>
          <w:tcPr>
            <w:tcW w:w="5196" w:type="dxa"/>
          </w:tcPr>
          <w:p w:rsidRPr="00DE65D0" w:rsidR="00ED20B6" w:rsidP="00FB5FFE" w:rsidRDefault="00BB3AF7" w14:paraId="63C9C573" w14:textId="3C2F3D01">
            <w:pPr>
              <w:pStyle w:val="ListParagraph"/>
              <w:spacing w:line="276" w:lineRule="auto"/>
              <w:ind w:left="0"/>
              <w:rPr>
                <w:i/>
                <w:iCs/>
              </w:rPr>
            </w:pPr>
            <w:r>
              <w:rPr>
                <w:i/>
                <w:color w:val="0000FF"/>
                <w:u w:val="single"/>
              </w:rPr>
              <w:t>Katarina.Albrechtova@eesc.europa.eu</w:t>
            </w:r>
          </w:p>
        </w:tc>
      </w:tr>
    </w:tbl>
    <w:p w:rsidRPr="00196521" w:rsidR="004E0C44" w:rsidP="00B81D0F" w:rsidRDefault="004E0C44" w14:paraId="76599D2B" w14:textId="64402C20">
      <w:pPr>
        <w:spacing w:after="160" w:line="259" w:lineRule="auto"/>
        <w:jc w:val="left"/>
        <w:rPr>
          <w:b/>
          <w:bCs/>
          <w:i/>
          <w:iCs/>
        </w:rPr>
      </w:pPr>
    </w:p>
    <w:p w:rsidR="004E0C44" w:rsidRDefault="004E0C44" w14:paraId="0CE9AE21" w14:textId="77777777">
      <w:pPr>
        <w:spacing w:after="160" w:line="259" w:lineRule="auto"/>
        <w:jc w:val="left"/>
        <w:rPr>
          <w:b/>
          <w:bCs/>
          <w:i/>
          <w:iCs/>
          <w:sz w:val="28"/>
          <w:szCs w:val="28"/>
        </w:rPr>
      </w:pPr>
      <w:r>
        <w:br w:type="page"/>
      </w:r>
    </w:p>
    <w:p w:rsidRPr="00D13F40" w:rsidR="004D7AC0" w:rsidP="00D13F40" w:rsidRDefault="004D7AC0" w14:paraId="1E329F25" w14:textId="0F2BD6D1">
      <w:pPr>
        <w:pStyle w:val="Heading1"/>
        <w:rPr>
          <w:b/>
        </w:rPr>
      </w:pPr>
      <w:bookmarkStart w:name="_Toc129693942" w:id="3"/>
      <w:r>
        <w:rPr>
          <w:b/>
        </w:rPr>
        <w:t>EKONOMSKA IN MONETARNA UNIJA TER EKONOMSKA IN SOCIALNA KOHEZIJA</w:t>
      </w:r>
      <w:bookmarkEnd w:id="3"/>
    </w:p>
    <w:p w:rsidR="00662436" w:rsidP="0018231C" w:rsidRDefault="00662436" w14:paraId="1710091D" w14:textId="77777777">
      <w:pPr>
        <w:spacing w:line="240" w:lineRule="auto"/>
      </w:pPr>
    </w:p>
    <w:p w:rsidRPr="00017B56" w:rsidR="00640656" w:rsidP="001760E9" w:rsidRDefault="00DE65D0" w14:paraId="228D42E4" w14:textId="4DAC588E">
      <w:pPr>
        <w:numPr>
          <w:ilvl w:val="0"/>
          <w:numId w:val="5"/>
        </w:numPr>
        <w:overflowPunct w:val="0"/>
        <w:autoSpaceDE w:val="0"/>
        <w:autoSpaceDN w:val="0"/>
        <w:adjustRightInd w:val="0"/>
        <w:ind w:left="567" w:hanging="567"/>
        <w:textAlignment w:val="baseline"/>
        <w:rPr>
          <w:rStyle w:val="Hyperlink"/>
          <w:color w:val="auto"/>
          <w:spacing w:val="-2"/>
          <w:u w:val="none"/>
        </w:rPr>
      </w:pPr>
      <w:r>
        <w:rPr>
          <w:b/>
          <w:i/>
          <w:sz w:val="28"/>
        </w:rPr>
        <w:t>Letni pregled trajnostne rasti 2023</w:t>
      </w:r>
    </w:p>
    <w:p w:rsidRPr="00017B56" w:rsidR="00017B56" w:rsidP="001760E9" w:rsidRDefault="00017B56" w14:paraId="6939C94A" w14:textId="77777777">
      <w:pPr>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609"/>
        <w:gridCol w:w="5613"/>
      </w:tblGrid>
      <w:tr w:rsidRPr="00627B8F" w:rsidR="00640656" w:rsidTr="008A2447" w14:paraId="17A96696" w14:textId="77777777">
        <w:tc>
          <w:tcPr>
            <w:tcW w:w="2609" w:type="dxa"/>
          </w:tcPr>
          <w:p w:rsidR="00DE65D0" w:rsidP="001760E9" w:rsidRDefault="00640656" w14:paraId="543A1C55" w14:textId="665F771A">
            <w:pPr>
              <w:pStyle w:val="ListParagraph"/>
              <w:spacing w:line="240" w:lineRule="auto"/>
              <w:ind w:left="-142" w:firstLine="142"/>
              <w:rPr>
                <w:b/>
              </w:rPr>
            </w:pPr>
            <w:r>
              <w:rPr>
                <w:b/>
              </w:rPr>
              <w:t>Glavni poročevalec</w:t>
            </w:r>
          </w:p>
          <w:p w:rsidRPr="009B70E7" w:rsidR="002E62B0" w:rsidP="001760E9" w:rsidRDefault="002E62B0" w14:paraId="204BF0A8" w14:textId="5D609210">
            <w:pPr>
              <w:pStyle w:val="ListParagraph"/>
              <w:spacing w:line="240" w:lineRule="auto"/>
              <w:ind w:left="-142" w:firstLine="142"/>
              <w:rPr>
                <w:b/>
              </w:rPr>
            </w:pPr>
          </w:p>
        </w:tc>
        <w:tc>
          <w:tcPr>
            <w:tcW w:w="5613" w:type="dxa"/>
          </w:tcPr>
          <w:p w:rsidRPr="00627B8F" w:rsidR="004442D3" w:rsidRDefault="00DE65D0" w14:paraId="1C5C2FFB" w14:textId="30852B93">
            <w:pPr>
              <w:pStyle w:val="ListParagraph"/>
              <w:ind w:left="-60" w:right="-55"/>
            </w:pPr>
            <w:r>
              <w:t>Gonçalo LOBO XAVIER (skupina delodajalcev – PT)</w:t>
            </w:r>
          </w:p>
        </w:tc>
      </w:tr>
      <w:tr w:rsidRPr="00627B8F" w:rsidR="00640656" w:rsidTr="008A2447" w14:paraId="3D93C3AA" w14:textId="77777777">
        <w:tc>
          <w:tcPr>
            <w:tcW w:w="2609" w:type="dxa"/>
          </w:tcPr>
          <w:p w:rsidRPr="009B70E7" w:rsidR="00640656" w:rsidP="00804736" w:rsidRDefault="00640656" w14:paraId="33436DCF" w14:textId="78FEC0F2">
            <w:pPr>
              <w:pStyle w:val="ListParagraph"/>
              <w:spacing w:line="240" w:lineRule="auto"/>
              <w:ind w:left="-142" w:firstLine="142"/>
              <w:rPr>
                <w:b/>
              </w:rPr>
            </w:pPr>
            <w:bookmarkStart w:name="_Hlk128728372" w:id="4"/>
            <w:bookmarkStart w:name="_Hlk128728500" w:id="5"/>
            <w:r>
              <w:rPr>
                <w:b/>
              </w:rPr>
              <w:t xml:space="preserve">Referenčna dokumenta </w:t>
            </w:r>
            <w:bookmarkEnd w:id="4"/>
          </w:p>
        </w:tc>
        <w:tc>
          <w:tcPr>
            <w:tcW w:w="5613" w:type="dxa"/>
          </w:tcPr>
          <w:p w:rsidRPr="00627B8F" w:rsidR="00640656" w:rsidP="00B83E7B" w:rsidRDefault="00DF3AB4" w14:paraId="3CD87A23" w14:textId="24CAA41D">
            <w:pPr>
              <w:pStyle w:val="ListParagraph"/>
              <w:ind w:left="-61"/>
              <w:rPr>
                <w:bCs/>
              </w:rPr>
            </w:pPr>
            <w:r>
              <w:t>COM(2022) 780 final</w:t>
            </w:r>
          </w:p>
          <w:p w:rsidRPr="00627B8F" w:rsidR="00640656" w:rsidP="00B83E7B" w:rsidRDefault="00640656" w14:paraId="57D265AF" w14:textId="12C8628E">
            <w:pPr>
              <w:pStyle w:val="ListParagraph"/>
              <w:ind w:left="-61"/>
            </w:pPr>
            <w:r>
              <w:t>EESC-2022-05829-00-00-AC</w:t>
            </w:r>
          </w:p>
        </w:tc>
      </w:tr>
      <w:bookmarkEnd w:id="5"/>
    </w:tbl>
    <w:p w:rsidR="001760E9" w:rsidP="00640656" w:rsidRDefault="001760E9" w14:paraId="61A030AB" w14:textId="77777777">
      <w:pPr>
        <w:pStyle w:val="ListParagraph"/>
        <w:spacing w:line="240" w:lineRule="auto"/>
        <w:ind w:left="0"/>
        <w:rPr>
          <w:b/>
          <w:lang w:val="en-US"/>
        </w:rPr>
      </w:pPr>
    </w:p>
    <w:p w:rsidR="00640656" w:rsidP="00640656" w:rsidRDefault="002E62B0" w14:paraId="68C62979" w14:textId="3949DC96">
      <w:pPr>
        <w:pStyle w:val="ListParagraph"/>
        <w:spacing w:line="240" w:lineRule="auto"/>
        <w:ind w:left="0"/>
        <w:rPr>
          <w:b/>
        </w:rPr>
      </w:pPr>
      <w:r>
        <w:rPr>
          <w:b/>
        </w:rPr>
        <w:t>Glavne točke</w:t>
      </w:r>
    </w:p>
    <w:p w:rsidR="002E62B0" w:rsidP="00640656" w:rsidRDefault="002E62B0" w14:paraId="60FC1B05" w14:textId="42A58BCC">
      <w:pPr>
        <w:pStyle w:val="ListParagraph"/>
        <w:spacing w:line="240" w:lineRule="auto"/>
        <w:ind w:left="0"/>
        <w:rPr>
          <w:b/>
          <w:lang w:val="en-US"/>
        </w:rPr>
      </w:pPr>
    </w:p>
    <w:p w:rsidRPr="002E62B0" w:rsidR="002E62B0" w:rsidP="00640656" w:rsidRDefault="002E62B0" w14:paraId="63F0EA0C" w14:textId="76E1CBA7">
      <w:pPr>
        <w:pStyle w:val="ListParagraph"/>
        <w:spacing w:line="240" w:lineRule="auto"/>
        <w:ind w:left="0"/>
        <w:rPr>
          <w:bCs/>
        </w:rPr>
      </w:pPr>
      <w:r>
        <w:t>EESO:</w:t>
      </w:r>
    </w:p>
    <w:p w:rsidRPr="009B70E7" w:rsidR="00640656" w:rsidP="00640656" w:rsidRDefault="00640656" w14:paraId="79740612" w14:textId="77777777">
      <w:pPr>
        <w:pStyle w:val="ListParagraph"/>
        <w:spacing w:line="276" w:lineRule="auto"/>
        <w:ind w:left="0"/>
      </w:pPr>
    </w:p>
    <w:p w:rsidRPr="009B70E7" w:rsidR="00640656" w:rsidP="00640656" w:rsidRDefault="00DE65D0" w14:paraId="7319D50D" w14:textId="5986D15B">
      <w:pPr>
        <w:pStyle w:val="ListParagraph"/>
        <w:numPr>
          <w:ilvl w:val="0"/>
          <w:numId w:val="3"/>
        </w:numPr>
        <w:spacing w:line="276" w:lineRule="auto"/>
        <w:ind w:left="357" w:hanging="357"/>
      </w:pPr>
      <w:r>
        <w:t>meni, da mora Unija uravnotežiti povpraševanje po oskrbi z energijo, hkrati pa ohraniti zaloge za zimo in se izogniti višjim stroškom. Bistveno je podpreti ukrepe, ki bodo povečali učinkovitost na vseh področjih. To je treba storiti ob ohranjanju celovitosti enotnega trga in zagotavljanju makroekonomske finančne stabilnosti ter skladnih fiskalnih in monetarnih politik;</w:t>
      </w:r>
    </w:p>
    <w:p w:rsidR="00017B56" w:rsidP="00017B56" w:rsidRDefault="00DE65D0" w14:paraId="0D16AC6B" w14:textId="7A128795">
      <w:pPr>
        <w:pStyle w:val="ListParagraph"/>
        <w:numPr>
          <w:ilvl w:val="0"/>
          <w:numId w:val="3"/>
        </w:numPr>
        <w:spacing w:line="276" w:lineRule="auto"/>
        <w:ind w:left="357" w:hanging="357"/>
      </w:pPr>
      <w:r>
        <w:t>se močno zavzema za poštene delovne pogoje, učinkovito konkurenco in večje upoštevanje pomislekov civilne družbe, da bi izboljšali delovanje enotnega trga, ter podpira poziv k ukrepanju za okrepitev enotnega trga;</w:t>
      </w:r>
    </w:p>
    <w:p w:rsidR="00D0461E" w:rsidP="00017B56" w:rsidRDefault="00DE65D0" w14:paraId="6021F3AD" w14:textId="5AB7FA0A">
      <w:pPr>
        <w:pStyle w:val="ListParagraph"/>
        <w:numPr>
          <w:ilvl w:val="0"/>
          <w:numId w:val="3"/>
        </w:numPr>
        <w:spacing w:line="276" w:lineRule="auto"/>
        <w:ind w:left="357" w:hanging="357"/>
      </w:pPr>
      <w:r>
        <w:t>je prepričan, da nedavni pretresi poudarjajo pomen močnega usklajevanja trdnih fiskalnih politik in oblikovanja fiskalnih blažilnikov v času rasti, ki jih je mogoče uporabiti v času gospodarskega upada, hkrati pa je treba odpravljati pomanjkljivosti na socialnem področju, ki bi lahko srednjeročno ogrozile gospodarsko rast. Cilj fiskalnih politik mora biti doseganje preudarnega srednjeročnega fiskalnega položaja in zagotavljanje vzdržnosti javnih financ s postopno konsolidacijo ter naložbami in reformami, ki spodbujajo trajnostno rast;</w:t>
      </w:r>
    </w:p>
    <w:p w:rsidR="00D0461E" w:rsidP="00017B56" w:rsidRDefault="00DE65D0" w14:paraId="25DF518B" w14:textId="0D91A837">
      <w:pPr>
        <w:pStyle w:val="ListParagraph"/>
        <w:numPr>
          <w:ilvl w:val="0"/>
          <w:numId w:val="3"/>
        </w:numPr>
        <w:spacing w:line="276" w:lineRule="auto"/>
        <w:ind w:left="357" w:hanging="357"/>
      </w:pPr>
      <w:r>
        <w:t>poziva k zmernemu, realističnemu in uravnoteženemu pristopu k odpravljanju inflacije, da bi v iskanje rešitve, ki bo koristila celotni Uniji, vključili vse. Organi, pristojni za konkurenco, morajo biti nepopustljivi pri zagotavljanju preglednosti cen in biti pozorni na morebitne tržne nepopolnosti. Vlade morajo biti previdne in poskrbeti, da njihove izjave temeljijo na najboljših empiričnih analizah, ter se izogibati neutemeljenim kritikam gospodarskih akterjev, saj lahko te privedejo do sporov med državljani, podjetji in socialnimi partnerji. EESO meni, da je problem mogoče rešiti le s sodelovanjem vlad, podjetij in organizirane civilne družbe;</w:t>
      </w:r>
    </w:p>
    <w:p w:rsidR="00D0461E" w:rsidP="00DE65D0" w:rsidRDefault="00DE65D0" w14:paraId="64DE50A0" w14:textId="085F45AE">
      <w:pPr>
        <w:pStyle w:val="ListParagraph"/>
        <w:numPr>
          <w:ilvl w:val="0"/>
          <w:numId w:val="3"/>
        </w:numPr>
        <w:spacing w:line="276" w:lineRule="auto"/>
        <w:ind w:left="357" w:hanging="357"/>
      </w:pPr>
      <w:r>
        <w:t>poziva Komisijo, naj bolje komunicira z državljani in pozdravlja njeno pobudo, da letos predstavi sporočilo o krepitvi socialnega dialoga v EU in predlog priporočila Sveta o vlogi socialnega dialoga na nacionalni ravni. Boljše komuniciranje in posvetovanje z organizirano civilno družbo sta bistvena in morata potekati hkrati.</w:t>
      </w:r>
    </w:p>
    <w:p w:rsidRPr="009B70E7" w:rsidR="00577672" w:rsidP="00577672" w:rsidRDefault="00577672" w14:paraId="6AC42931"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1"/>
        <w:gridCol w:w="5196"/>
      </w:tblGrid>
      <w:tr w:rsidRPr="009B70E7" w:rsidR="00640656" w:rsidTr="008A2447" w14:paraId="437B7156" w14:textId="77777777">
        <w:tc>
          <w:tcPr>
            <w:tcW w:w="1951" w:type="dxa"/>
          </w:tcPr>
          <w:p w:rsidRPr="009B70E7" w:rsidR="00640656" w:rsidP="00B83E7B" w:rsidRDefault="00640656" w14:paraId="026D2B53" w14:textId="766A3BDD">
            <w:pPr>
              <w:pStyle w:val="ListParagraph"/>
              <w:spacing w:line="276" w:lineRule="auto"/>
              <w:ind w:left="0"/>
              <w:rPr>
                <w:i/>
              </w:rPr>
            </w:pPr>
            <w:r>
              <w:rPr>
                <w:b/>
                <w:i/>
              </w:rPr>
              <w:t>Kontaktna oseba</w:t>
            </w:r>
          </w:p>
        </w:tc>
        <w:tc>
          <w:tcPr>
            <w:tcW w:w="5196" w:type="dxa"/>
          </w:tcPr>
          <w:p w:rsidRPr="009B70E7" w:rsidR="00640656" w:rsidP="00B83E7B" w:rsidRDefault="00DE65D0" w14:paraId="3123BFA2" w14:textId="3F72C3CD">
            <w:pPr>
              <w:pStyle w:val="ListParagraph"/>
              <w:spacing w:line="276" w:lineRule="auto"/>
              <w:ind w:left="0"/>
              <w:rPr>
                <w:i/>
              </w:rPr>
            </w:pPr>
            <w:r>
              <w:rPr>
                <w:i/>
              </w:rPr>
              <w:t xml:space="preserve">Colombe </w:t>
            </w:r>
            <w:r w:rsidR="008A2447">
              <w:rPr>
                <w:i/>
              </w:rPr>
              <w:t>GRÉGOIRE</w:t>
            </w:r>
          </w:p>
        </w:tc>
      </w:tr>
      <w:tr w:rsidRPr="009B70E7" w:rsidR="00640656" w:rsidTr="008A2447" w14:paraId="13C450E4" w14:textId="77777777">
        <w:tc>
          <w:tcPr>
            <w:tcW w:w="1951" w:type="dxa"/>
          </w:tcPr>
          <w:p w:rsidRPr="009B70E7" w:rsidR="00640656" w:rsidP="00B83E7B" w:rsidRDefault="00640656" w14:paraId="71B7C5A8" w14:textId="64878A30">
            <w:pPr>
              <w:pStyle w:val="ListParagraph"/>
              <w:spacing w:line="276" w:lineRule="auto"/>
              <w:ind w:left="601"/>
              <w:rPr>
                <w:i/>
              </w:rPr>
            </w:pPr>
            <w:r>
              <w:rPr>
                <w:i/>
              </w:rPr>
              <w:t>Telefon</w:t>
            </w:r>
          </w:p>
        </w:tc>
        <w:tc>
          <w:tcPr>
            <w:tcW w:w="5196" w:type="dxa"/>
          </w:tcPr>
          <w:p w:rsidRPr="009B70E7" w:rsidR="00640656" w:rsidP="00B83E7B" w:rsidRDefault="00577672" w14:paraId="3226C0EF" w14:textId="5E823946">
            <w:pPr>
              <w:pStyle w:val="ListParagraph"/>
              <w:spacing w:line="276" w:lineRule="auto"/>
              <w:ind w:left="0"/>
              <w:rPr>
                <w:i/>
              </w:rPr>
            </w:pPr>
            <w:r>
              <w:rPr>
                <w:i/>
              </w:rPr>
              <w:t>00 32 2 546 92 86</w:t>
            </w:r>
          </w:p>
        </w:tc>
      </w:tr>
      <w:tr w:rsidRPr="009B70E7" w:rsidR="00640656" w:rsidTr="008A2447" w14:paraId="1FEA5B3F" w14:textId="77777777">
        <w:tc>
          <w:tcPr>
            <w:tcW w:w="1951" w:type="dxa"/>
          </w:tcPr>
          <w:p w:rsidRPr="009B70E7" w:rsidR="00640656" w:rsidP="00B83E7B" w:rsidRDefault="00640656" w14:paraId="6D5FF9EA" w14:textId="3ECD4BD9">
            <w:pPr>
              <w:pStyle w:val="ListParagraph"/>
              <w:spacing w:line="276" w:lineRule="auto"/>
              <w:ind w:left="601"/>
              <w:rPr>
                <w:i/>
              </w:rPr>
            </w:pPr>
            <w:r>
              <w:rPr>
                <w:i/>
              </w:rPr>
              <w:t>E-naslov</w:t>
            </w:r>
          </w:p>
        </w:tc>
        <w:tc>
          <w:tcPr>
            <w:tcW w:w="5196" w:type="dxa"/>
          </w:tcPr>
          <w:p w:rsidRPr="00DE65D0" w:rsidR="00063F30" w:rsidP="001760E9" w:rsidRDefault="00202D15" w14:paraId="160383F7" w14:textId="0F149CEA">
            <w:pPr>
              <w:pStyle w:val="ListParagraph"/>
              <w:spacing w:line="276" w:lineRule="auto"/>
              <w:ind w:left="0"/>
              <w:rPr>
                <w:i/>
                <w:iCs/>
              </w:rPr>
            </w:pPr>
            <w:hyperlink w:history="1" r:id="rId21">
              <w:r w:rsidR="00EA2684">
                <w:rPr>
                  <w:rStyle w:val="Hyperlink"/>
                  <w:i/>
                </w:rPr>
                <w:t>Colombe.Gregoire@eesc.europa.eu</w:t>
              </w:r>
            </w:hyperlink>
          </w:p>
        </w:tc>
      </w:tr>
    </w:tbl>
    <w:p w:rsidR="00B67EDA" w:rsidRDefault="00B67EDA" w14:paraId="4FFF5C53" w14:textId="455F621A">
      <w:pPr>
        <w:spacing w:after="160" w:line="259" w:lineRule="auto"/>
        <w:jc w:val="left"/>
      </w:pPr>
    </w:p>
    <w:p w:rsidR="00BE40C9" w:rsidRDefault="00BE40C9" w14:paraId="77435EAD" w14:textId="352B45E9">
      <w:pPr>
        <w:spacing w:after="160" w:line="259" w:lineRule="auto"/>
        <w:jc w:val="left"/>
      </w:pPr>
      <w:r>
        <w:br w:type="page"/>
      </w:r>
    </w:p>
    <w:p w:rsidR="004E0C44" w:rsidRDefault="004E0C44" w14:paraId="5825D2C9" w14:textId="77777777">
      <w:pPr>
        <w:spacing w:after="160" w:line="259" w:lineRule="auto"/>
        <w:jc w:val="left"/>
      </w:pPr>
    </w:p>
    <w:p w:rsidRPr="009B70E7" w:rsidR="00126D3E" w:rsidP="00126D3E" w:rsidRDefault="00126D3E" w14:paraId="673A8128" w14:textId="4684BA38">
      <w:pPr>
        <w:pStyle w:val="ListParagraph"/>
        <w:keepNext/>
        <w:numPr>
          <w:ilvl w:val="0"/>
          <w:numId w:val="2"/>
        </w:numPr>
        <w:ind w:left="567" w:hanging="567"/>
        <w:rPr>
          <w:b/>
          <w:i/>
          <w:sz w:val="28"/>
          <w:szCs w:val="28"/>
        </w:rPr>
      </w:pPr>
      <w:r>
        <w:rPr>
          <w:b/>
          <w:i/>
          <w:sz w:val="28"/>
        </w:rPr>
        <w:t>Sporočilo o usmeritvah za reformo okvira ekonomskega upravljanja EU</w:t>
      </w:r>
    </w:p>
    <w:p w:rsidRPr="009B70E7" w:rsidR="00126D3E" w:rsidP="00126D3E" w:rsidRDefault="00126D3E" w14:paraId="4A79BF7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467"/>
        <w:gridCol w:w="5330"/>
      </w:tblGrid>
      <w:tr w:rsidRPr="009B70E7" w:rsidR="00126D3E" w:rsidTr="008A2447" w14:paraId="27DC2D26" w14:textId="77777777">
        <w:trPr>
          <w:cantSplit/>
          <w:trHeight w:val="284" w:hRule="exact"/>
        </w:trPr>
        <w:tc>
          <w:tcPr>
            <w:tcW w:w="2467" w:type="dxa"/>
          </w:tcPr>
          <w:p w:rsidR="00126D3E" w:rsidP="00040ADE" w:rsidRDefault="00126D3E" w14:paraId="3BB3DDBA" w14:textId="77777777">
            <w:pPr>
              <w:pStyle w:val="ListParagraph"/>
              <w:spacing w:line="240" w:lineRule="auto"/>
              <w:ind w:left="-142" w:firstLine="142"/>
              <w:rPr>
                <w:b/>
              </w:rPr>
            </w:pPr>
            <w:r>
              <w:rPr>
                <w:b/>
              </w:rPr>
              <w:t>Poročevalec</w:t>
            </w:r>
          </w:p>
          <w:p w:rsidRPr="009B70E7" w:rsidR="00126D3E" w:rsidP="00040ADE" w:rsidRDefault="00126D3E" w14:paraId="7E4DEEB3" w14:textId="77777777">
            <w:pPr>
              <w:pStyle w:val="ListParagraph"/>
              <w:keepNext/>
              <w:ind w:left="0"/>
              <w:rPr>
                <w:b/>
              </w:rPr>
            </w:pPr>
          </w:p>
        </w:tc>
        <w:tc>
          <w:tcPr>
            <w:tcW w:w="5330" w:type="dxa"/>
          </w:tcPr>
          <w:p w:rsidRPr="009B70E7" w:rsidR="00126D3E" w:rsidP="00040ADE" w:rsidRDefault="00126D3E" w14:paraId="0ECB49D5" w14:textId="2A53B603">
            <w:pPr>
              <w:pStyle w:val="ListParagraph"/>
              <w:ind w:left="-52"/>
            </w:pPr>
            <w:r>
              <w:t>Krister ANDERSSON (skupina delodajalcev – SE)</w:t>
            </w:r>
          </w:p>
        </w:tc>
      </w:tr>
      <w:tr w:rsidRPr="009B70E7" w:rsidR="00126D3E" w:rsidTr="008A2447" w14:paraId="6443033F" w14:textId="77777777">
        <w:trPr>
          <w:cantSplit/>
          <w:trHeight w:val="567" w:hRule="exact"/>
        </w:trPr>
        <w:tc>
          <w:tcPr>
            <w:tcW w:w="2467" w:type="dxa"/>
          </w:tcPr>
          <w:p w:rsidRPr="009B70E7" w:rsidR="00126D3E" w:rsidP="00196521" w:rsidRDefault="00126D3E" w14:paraId="19A5AD45" w14:textId="2E9242A4">
            <w:pPr>
              <w:pStyle w:val="ListParagraph"/>
              <w:ind w:left="0"/>
              <w:rPr>
                <w:b/>
              </w:rPr>
            </w:pPr>
            <w:r>
              <w:rPr>
                <w:b/>
              </w:rPr>
              <w:t>Soporočevalka</w:t>
            </w:r>
          </w:p>
        </w:tc>
        <w:tc>
          <w:tcPr>
            <w:tcW w:w="5330" w:type="dxa"/>
          </w:tcPr>
          <w:p w:rsidRPr="009B70E7" w:rsidR="00126D3E" w:rsidP="00126D3E" w:rsidRDefault="00126D3E" w14:paraId="03F4E006" w14:textId="5AC8A206">
            <w:pPr>
              <w:pStyle w:val="ListParagraph"/>
              <w:ind w:left="-52"/>
            </w:pPr>
            <w:r>
              <w:t>Dominika BIEGON (skupina delojemalcev – DE)</w:t>
            </w:r>
          </w:p>
        </w:tc>
      </w:tr>
      <w:tr w:rsidRPr="00627B8F" w:rsidR="00126D3E" w:rsidTr="008A2447" w14:paraId="06E347F6" w14:textId="77777777">
        <w:tc>
          <w:tcPr>
            <w:tcW w:w="2467" w:type="dxa"/>
          </w:tcPr>
          <w:p w:rsidRPr="009B70E7" w:rsidR="00126D3E" w:rsidP="00126D3E" w:rsidRDefault="00126D3E" w14:paraId="79E06325" w14:textId="77777777">
            <w:pPr>
              <w:pStyle w:val="ListParagraph"/>
              <w:ind w:left="0"/>
              <w:rPr>
                <w:b/>
              </w:rPr>
            </w:pPr>
            <w:r>
              <w:rPr>
                <w:b/>
              </w:rPr>
              <w:t xml:space="preserve">Referenčna dokumenta </w:t>
            </w:r>
          </w:p>
        </w:tc>
        <w:tc>
          <w:tcPr>
            <w:tcW w:w="5330" w:type="dxa"/>
          </w:tcPr>
          <w:p w:rsidRPr="00E119DF" w:rsidR="00126D3E" w:rsidP="00126D3E" w:rsidRDefault="00126D3E" w14:paraId="30488BC9" w14:textId="5DBE9315">
            <w:pPr>
              <w:pStyle w:val="ListParagraph"/>
              <w:ind w:left="-52"/>
            </w:pPr>
            <w:r>
              <w:t>COM(2022) 583 final</w:t>
            </w:r>
          </w:p>
          <w:p w:rsidRPr="00E119DF" w:rsidR="00126D3E" w:rsidP="00126D3E" w:rsidRDefault="00126D3E" w14:paraId="6A2775E8" w14:textId="2791766D">
            <w:pPr>
              <w:pStyle w:val="ListParagraph"/>
              <w:ind w:left="-52"/>
            </w:pPr>
            <w:r>
              <w:t>EESC-2022-05434-00-00-AC</w:t>
            </w:r>
          </w:p>
        </w:tc>
      </w:tr>
    </w:tbl>
    <w:p w:rsidR="00126D3E" w:rsidP="00126D3E" w:rsidRDefault="00126D3E" w14:paraId="584C5373" w14:textId="77777777">
      <w:pPr>
        <w:pStyle w:val="ListParagraph"/>
        <w:spacing w:line="240" w:lineRule="auto"/>
        <w:ind w:left="-142" w:firstLine="284"/>
        <w:rPr>
          <w:b/>
        </w:rPr>
      </w:pPr>
    </w:p>
    <w:p w:rsidRPr="0070677E" w:rsidR="00126D3E" w:rsidP="00126D3E" w:rsidRDefault="00126D3E" w14:paraId="032A4DA1" w14:textId="77777777">
      <w:pPr>
        <w:pStyle w:val="ListParagraph"/>
        <w:spacing w:line="240" w:lineRule="auto"/>
        <w:ind w:left="0"/>
        <w:rPr>
          <w:b/>
        </w:rPr>
      </w:pPr>
      <w:r>
        <w:rPr>
          <w:b/>
        </w:rPr>
        <w:t>Glavne točke</w:t>
      </w:r>
    </w:p>
    <w:p w:rsidRPr="009B70E7" w:rsidR="00126D3E" w:rsidP="00126D3E" w:rsidRDefault="00126D3E" w14:paraId="08F0CDB8" w14:textId="77777777">
      <w:pPr>
        <w:pStyle w:val="ListParagraph"/>
        <w:ind w:left="0"/>
      </w:pPr>
    </w:p>
    <w:p w:rsidRPr="002E62B0" w:rsidR="00126D3E" w:rsidP="00126D3E" w:rsidRDefault="00126D3E" w14:paraId="1910B01D" w14:textId="77777777">
      <w:pPr>
        <w:pStyle w:val="ListParagraph"/>
        <w:spacing w:line="240" w:lineRule="auto"/>
        <w:ind w:left="0"/>
        <w:rPr>
          <w:bCs/>
        </w:rPr>
      </w:pPr>
      <w:r>
        <w:t>EESO:</w:t>
      </w:r>
    </w:p>
    <w:p w:rsidRPr="009B70E7" w:rsidR="00126D3E" w:rsidP="00126D3E" w:rsidRDefault="00126D3E" w14:paraId="30410FB5" w14:textId="77777777">
      <w:pPr>
        <w:pStyle w:val="ListParagraph"/>
        <w:ind w:left="0"/>
      </w:pPr>
    </w:p>
    <w:p w:rsidRPr="009B70E7" w:rsidR="00126D3E" w:rsidP="00126D3E" w:rsidRDefault="00126D3E" w14:paraId="4B0472C6" w14:textId="71030DBC">
      <w:pPr>
        <w:pStyle w:val="ListParagraph"/>
        <w:numPr>
          <w:ilvl w:val="0"/>
          <w:numId w:val="3"/>
        </w:numPr>
        <w:ind w:left="357" w:hanging="357"/>
      </w:pPr>
      <w:r>
        <w:t xml:space="preserve">pozdravlja sporočilo, v katerem Komisija opisuje usmeritve za reformo okvira ekonomskega upravljanja, in se strinja z njo, da je </w:t>
      </w:r>
      <w:r>
        <w:rPr>
          <w:b/>
        </w:rPr>
        <w:t>potreben hiter dogovor</w:t>
      </w:r>
      <w:r>
        <w:t xml:space="preserve"> pred proračunskimi postopki držav članic za leto 2024;</w:t>
      </w:r>
    </w:p>
    <w:p w:rsidRPr="00750BF7" w:rsidR="00126D3E" w:rsidP="00126D3E" w:rsidRDefault="00126D3E" w14:paraId="04B3FA3A" w14:textId="31A21F48">
      <w:pPr>
        <w:pStyle w:val="ListParagraph"/>
        <w:numPr>
          <w:ilvl w:val="0"/>
          <w:numId w:val="3"/>
        </w:numPr>
        <w:ind w:left="357" w:hanging="357"/>
      </w:pPr>
      <w:r>
        <w:t xml:space="preserve">priznava načrt Komisije za ohranitev referenčnih vrednosti, vendar poudarja, da morajo </w:t>
      </w:r>
      <w:r>
        <w:rPr>
          <w:b/>
        </w:rPr>
        <w:t>fiskalno-strukturni načrti</w:t>
      </w:r>
      <w:r>
        <w:t xml:space="preserve"> zagotoviti, da se delež javnega dolga v BDP zmanjša ali ostane na preudarni ravni;</w:t>
      </w:r>
    </w:p>
    <w:p w:rsidR="00126D3E" w:rsidP="00126D3E" w:rsidRDefault="00126D3E" w14:paraId="17C5BE6B" w14:textId="5DE6DB76">
      <w:pPr>
        <w:pStyle w:val="ListParagraph"/>
        <w:numPr>
          <w:ilvl w:val="0"/>
          <w:numId w:val="3"/>
        </w:numPr>
        <w:ind w:left="357" w:hanging="357"/>
      </w:pPr>
      <w:r>
        <w:t xml:space="preserve">podpira predlog Komisije, da se togo pravilo 1/20 ne bi več uporabljalo, saj bi lahko preobremenilo visoko zadolžene države članice, kar bi negativno vplivalo na rast in samo vzdržnost dolga. Tudi vmesno štiriletno ocenjevalno obdobje kot izhodišče za </w:t>
      </w:r>
      <w:r>
        <w:rPr>
          <w:b/>
        </w:rPr>
        <w:t>fiskalne prilagoditve</w:t>
      </w:r>
      <w:r>
        <w:t>, ki se lahko po potrebi podaljša za tri dodatna leta, se zdi sorazmerno;</w:t>
      </w:r>
    </w:p>
    <w:p w:rsidR="00126D3E" w:rsidP="00126D3E" w:rsidRDefault="00126D3E" w14:paraId="7C7E2BDC" w14:textId="5AF79D06">
      <w:pPr>
        <w:pStyle w:val="ListParagraph"/>
        <w:numPr>
          <w:ilvl w:val="0"/>
          <w:numId w:val="3"/>
        </w:numPr>
        <w:ind w:left="357" w:hanging="357"/>
      </w:pPr>
      <w:r>
        <w:t xml:space="preserve">pozdravlja </w:t>
      </w:r>
      <w:r>
        <w:rPr>
          <w:b/>
        </w:rPr>
        <w:t>osredotočenost</w:t>
      </w:r>
      <w:r>
        <w:t xml:space="preserve"> Komisije </w:t>
      </w:r>
      <w:r>
        <w:rPr>
          <w:b/>
        </w:rPr>
        <w:t>na neto primarne odhodke</w:t>
      </w:r>
      <w:r>
        <w:t xml:space="preserve"> kot glavni ocenjevalni parameter novega ekonomskega upravljanja;</w:t>
      </w:r>
    </w:p>
    <w:p w:rsidRPr="00126D3E" w:rsidR="00126D3E" w:rsidP="00126D3E" w:rsidRDefault="00126D3E" w14:paraId="684FE8F0" w14:textId="6B127B88">
      <w:pPr>
        <w:pStyle w:val="ListParagraph"/>
        <w:numPr>
          <w:ilvl w:val="0"/>
          <w:numId w:val="3"/>
        </w:numPr>
        <w:ind w:left="357" w:hanging="357"/>
      </w:pPr>
      <w:r>
        <w:t xml:space="preserve">opozarja, da je pri uspehu reforme okvira ključnega pomena </w:t>
      </w:r>
      <w:r>
        <w:rPr>
          <w:b/>
        </w:rPr>
        <w:t>odgovornost</w:t>
      </w:r>
      <w:r>
        <w:t xml:space="preserve"> za proces. Zato je pomembno razviti nadaljnje ukrepe, ki bi jih lahko sprejeli za povečanje odgovornosti za pravila, s čimer bi zagotovili, da bodo vse vlade zavezane revidiranemu okviru;</w:t>
      </w:r>
    </w:p>
    <w:p w:rsidR="00126D3E" w:rsidP="00126D3E" w:rsidRDefault="00126D3E" w14:paraId="3F19F70F" w14:textId="6588F090">
      <w:pPr>
        <w:pStyle w:val="ListParagraph"/>
        <w:numPr>
          <w:ilvl w:val="0"/>
          <w:numId w:val="3"/>
        </w:numPr>
        <w:ind w:left="357" w:hanging="357"/>
      </w:pPr>
      <w:r>
        <w:t xml:space="preserve">meni, da je najpomembnejše, da prihodnji zakonodajni predlogi </w:t>
      </w:r>
      <w:r>
        <w:rPr>
          <w:b/>
        </w:rPr>
        <w:t>vzpostavijo minimalne standarde nacionalnega parlamentarnega nadzora in vključenosti organizirane civilne družbe</w:t>
      </w:r>
      <w:r>
        <w:t xml:space="preserve"> v zvezi s pripravo nacionalnih srednjeročnih fiskalno-strukturnih načrtov;</w:t>
      </w:r>
    </w:p>
    <w:p w:rsidRPr="00126D3E" w:rsidR="00126D3E" w:rsidP="00126D3E" w:rsidRDefault="00126D3E" w14:paraId="5181A0A0" w14:textId="4EC6C509">
      <w:pPr>
        <w:pStyle w:val="ListParagraph"/>
        <w:numPr>
          <w:ilvl w:val="0"/>
          <w:numId w:val="3"/>
        </w:numPr>
        <w:ind w:left="357" w:hanging="357"/>
      </w:pPr>
      <w:r>
        <w:t xml:space="preserve">poudarja, da so potrebna ustrezna pravila, ki bodo zagotavljala </w:t>
      </w:r>
      <w:r>
        <w:rPr>
          <w:b/>
        </w:rPr>
        <w:t>dosledno izvrševanje</w:t>
      </w:r>
      <w:r>
        <w:t xml:space="preserve">. V izjemnih primerih, ko se razmišlja o sankcijah, morajo biti te učinkovite in se izvajati na pregleden način. Pravila je treba uporabljati enako za vse države članice, da se ohrani </w:t>
      </w:r>
      <w:r>
        <w:rPr>
          <w:b/>
        </w:rPr>
        <w:t>verodostojnost</w:t>
      </w:r>
      <w:r>
        <w:t>;</w:t>
      </w:r>
    </w:p>
    <w:p w:rsidR="00126D3E" w:rsidP="00126D3E" w:rsidRDefault="00126D3E" w14:paraId="3A81D412" w14:textId="083F11ED">
      <w:pPr>
        <w:pStyle w:val="ListParagraph"/>
        <w:numPr>
          <w:ilvl w:val="0"/>
          <w:numId w:val="3"/>
        </w:numPr>
        <w:ind w:left="357" w:hanging="357"/>
      </w:pPr>
      <w:r>
        <w:rPr>
          <w:b/>
        </w:rPr>
        <w:t>pozdravlja dejstvo, da sta večja kakovost in količina javnih naložb</w:t>
      </w:r>
      <w:r>
        <w:t xml:space="preserve"> opredeljeni kot dejavnik, ki ga je treba upoštevati v procesu doseganja vzdržnosti dolga. Pozdravlja tudi podaljšanje prilagoditvene poti, ki se lahko odobri za največ tri leta;</w:t>
      </w:r>
    </w:p>
    <w:p w:rsidR="00D82C3A" w:rsidP="00126D3E" w:rsidRDefault="00D82C3A" w14:paraId="769F68C4" w14:textId="1B177851">
      <w:pPr>
        <w:pStyle w:val="ListParagraph"/>
        <w:numPr>
          <w:ilvl w:val="0"/>
          <w:numId w:val="3"/>
        </w:numPr>
        <w:ind w:left="357" w:hanging="357"/>
      </w:pPr>
      <w:r>
        <w:t xml:space="preserve">poudarja, da bodo morda potrebne nadaljnje pobude za </w:t>
      </w:r>
      <w:r>
        <w:rPr>
          <w:b/>
        </w:rPr>
        <w:t>mobilizacijo zadostnega zasebnega in javnega kapitala za zeleni prehod in socialno kohezijo</w:t>
      </w:r>
      <w:r>
        <w:t>;</w:t>
      </w:r>
    </w:p>
    <w:p w:rsidR="00126D3E" w:rsidP="00126D3E" w:rsidRDefault="00126D3E" w14:paraId="3C908B43" w14:textId="5BC11086">
      <w:pPr>
        <w:pStyle w:val="ListParagraph"/>
        <w:numPr>
          <w:ilvl w:val="0"/>
          <w:numId w:val="3"/>
        </w:numPr>
        <w:ind w:left="357" w:hanging="357"/>
      </w:pPr>
      <w:r>
        <w:t xml:space="preserve">meni, da bi morali biti </w:t>
      </w:r>
      <w:r>
        <w:rPr>
          <w:b/>
        </w:rPr>
        <w:t>letna poročila</w:t>
      </w:r>
      <w:r>
        <w:t xml:space="preserve"> </w:t>
      </w:r>
      <w:r>
        <w:rPr>
          <w:b/>
        </w:rPr>
        <w:t>o napredku in podrobnosti o stanju izvajanja reform in naložb</w:t>
      </w:r>
      <w:r>
        <w:t>, ki jih predložijo države članice, ter tudi ocene Komisije in Sveta, izvedene v okviru letnega nadzora, javno dostopni.</w:t>
      </w:r>
    </w:p>
    <w:p w:rsidRPr="009B70E7" w:rsidR="00126D3E" w:rsidP="00126D3E" w:rsidRDefault="00126D3E" w14:paraId="1826D695"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4912"/>
      </w:tblGrid>
      <w:tr w:rsidRPr="009B70E7" w:rsidR="00126D3E" w:rsidTr="008A2447" w14:paraId="6C9C2615" w14:textId="77777777">
        <w:tc>
          <w:tcPr>
            <w:tcW w:w="2235" w:type="dxa"/>
          </w:tcPr>
          <w:p w:rsidRPr="009B70E7" w:rsidR="00126D3E" w:rsidP="00040ADE" w:rsidRDefault="00126D3E" w14:paraId="2502BF16" w14:textId="77777777">
            <w:pPr>
              <w:pStyle w:val="ListParagraph"/>
              <w:ind w:left="0"/>
              <w:rPr>
                <w:i/>
              </w:rPr>
            </w:pPr>
            <w:r>
              <w:rPr>
                <w:b/>
                <w:i/>
              </w:rPr>
              <w:t>Kontaktna oseba</w:t>
            </w:r>
          </w:p>
        </w:tc>
        <w:tc>
          <w:tcPr>
            <w:tcW w:w="4912" w:type="dxa"/>
          </w:tcPr>
          <w:p w:rsidRPr="009B70E7" w:rsidR="00126D3E" w:rsidP="00040ADE" w:rsidRDefault="00126D3E" w14:paraId="7569883B" w14:textId="362375D4">
            <w:pPr>
              <w:pStyle w:val="ListParagraph"/>
              <w:ind w:left="0"/>
              <w:rPr>
                <w:i/>
              </w:rPr>
            </w:pPr>
            <w:r>
              <w:rPr>
                <w:i/>
              </w:rPr>
              <w:t xml:space="preserve">Krisztina </w:t>
            </w:r>
            <w:r w:rsidR="008A2447">
              <w:rPr>
                <w:i/>
              </w:rPr>
              <w:t>PERLAKY</w:t>
            </w:r>
            <w:r>
              <w:rPr>
                <w:i/>
              </w:rPr>
              <w:t>-</w:t>
            </w:r>
            <w:r w:rsidR="008A2447">
              <w:rPr>
                <w:i/>
              </w:rPr>
              <w:t>TOTH</w:t>
            </w:r>
          </w:p>
        </w:tc>
      </w:tr>
      <w:tr w:rsidRPr="009B70E7" w:rsidR="00126D3E" w:rsidTr="008A2447" w14:paraId="1633B04C" w14:textId="77777777">
        <w:tc>
          <w:tcPr>
            <w:tcW w:w="2235" w:type="dxa"/>
          </w:tcPr>
          <w:p w:rsidRPr="009B70E7" w:rsidR="00126D3E" w:rsidP="00040ADE" w:rsidRDefault="00126D3E" w14:paraId="3D6DEE23" w14:textId="77777777">
            <w:pPr>
              <w:pStyle w:val="ListParagraph"/>
              <w:ind w:left="601"/>
              <w:rPr>
                <w:i/>
              </w:rPr>
            </w:pPr>
            <w:r>
              <w:rPr>
                <w:i/>
              </w:rPr>
              <w:t>Telefon</w:t>
            </w:r>
          </w:p>
        </w:tc>
        <w:tc>
          <w:tcPr>
            <w:tcW w:w="4912" w:type="dxa"/>
          </w:tcPr>
          <w:p w:rsidRPr="009B70E7" w:rsidR="00126D3E" w:rsidP="00040ADE" w:rsidRDefault="00126D3E" w14:paraId="3D558DF4" w14:textId="4888783E">
            <w:pPr>
              <w:pStyle w:val="ListParagraph"/>
              <w:ind w:left="0"/>
              <w:rPr>
                <w:i/>
              </w:rPr>
            </w:pPr>
            <w:r>
              <w:rPr>
                <w:i/>
              </w:rPr>
              <w:t>00 32 2 546 9740</w:t>
            </w:r>
          </w:p>
        </w:tc>
      </w:tr>
      <w:tr w:rsidRPr="001D770D" w:rsidR="00126D3E" w:rsidTr="008A2447" w14:paraId="29931F4A" w14:textId="77777777">
        <w:tc>
          <w:tcPr>
            <w:tcW w:w="2235" w:type="dxa"/>
          </w:tcPr>
          <w:p w:rsidRPr="009B70E7" w:rsidR="00126D3E" w:rsidP="00126D3E" w:rsidRDefault="00126D3E" w14:paraId="57FF013D" w14:textId="77777777">
            <w:pPr>
              <w:pStyle w:val="ListParagraph"/>
              <w:ind w:left="601"/>
              <w:rPr>
                <w:i/>
              </w:rPr>
            </w:pPr>
            <w:r>
              <w:rPr>
                <w:i/>
              </w:rPr>
              <w:t>E-naslov</w:t>
            </w:r>
          </w:p>
        </w:tc>
        <w:tc>
          <w:tcPr>
            <w:tcW w:w="4912" w:type="dxa"/>
          </w:tcPr>
          <w:p w:rsidRPr="008102E2" w:rsidR="00126D3E" w:rsidP="00126D3E" w:rsidRDefault="00202D15" w14:paraId="534217AD" w14:textId="33868D76">
            <w:pPr>
              <w:pStyle w:val="ListParagraph"/>
              <w:ind w:left="0"/>
              <w:rPr>
                <w:iCs/>
                <w:color w:val="0000FF"/>
                <w:u w:val="single"/>
              </w:rPr>
            </w:pPr>
            <w:hyperlink w:history="1" r:id="rId22">
              <w:r w:rsidR="00EA2684">
                <w:rPr>
                  <w:rStyle w:val="Hyperlink"/>
                  <w:i/>
                </w:rPr>
                <w:t>Krisztina.PerlakyToth@eesc.europa.eu</w:t>
              </w:r>
            </w:hyperlink>
          </w:p>
        </w:tc>
      </w:tr>
    </w:tbl>
    <w:p w:rsidR="004E0C44" w:rsidRDefault="004E0C44" w14:paraId="6EFE33A5" w14:textId="77777777">
      <w:pPr>
        <w:spacing w:after="160" w:line="259" w:lineRule="auto"/>
        <w:jc w:val="left"/>
      </w:pPr>
      <w:r>
        <w:br w:type="page"/>
      </w:r>
    </w:p>
    <w:p w:rsidRPr="009B70E7" w:rsidR="004D7AC0" w:rsidRDefault="004D7AC0" w14:paraId="73D829D0" w14:textId="77777777">
      <w:pPr>
        <w:pStyle w:val="Heading1"/>
        <w:rPr>
          <w:b/>
        </w:rPr>
      </w:pPr>
      <w:bookmarkStart w:name="_Toc75527081" w:id="6"/>
      <w:bookmarkStart w:name="_Toc129693943" w:id="7"/>
      <w:r>
        <w:rPr>
          <w:b/>
        </w:rPr>
        <w:t>ZAPOSLOVANJE, SOCIALNE ZADEVE IN DRŽAVLJANSTVO</w:t>
      </w:r>
      <w:bookmarkEnd w:id="6"/>
      <w:bookmarkEnd w:id="7"/>
    </w:p>
    <w:p w:rsidRPr="005D76AC" w:rsidR="00276CC9" w:rsidP="00750BF7" w:rsidRDefault="00276CC9" w14:paraId="187F194C" w14:textId="59504090">
      <w:pPr>
        <w:spacing w:after="160" w:line="259" w:lineRule="auto"/>
        <w:jc w:val="left"/>
      </w:pPr>
    </w:p>
    <w:p w:rsidRPr="009B70E7" w:rsidR="00775FDA" w:rsidP="0018231C" w:rsidRDefault="00847B19" w14:paraId="6004B7F1" w14:textId="1B1D22DD">
      <w:pPr>
        <w:pStyle w:val="ListParagraph"/>
        <w:keepNext/>
        <w:numPr>
          <w:ilvl w:val="0"/>
          <w:numId w:val="2"/>
        </w:numPr>
        <w:ind w:left="567" w:hanging="567"/>
        <w:rPr>
          <w:b/>
          <w:i/>
          <w:sz w:val="28"/>
          <w:szCs w:val="28"/>
        </w:rPr>
      </w:pPr>
      <w:bookmarkStart w:name="_Hlk125475639" w:id="8"/>
      <w:r>
        <w:rPr>
          <w:b/>
          <w:i/>
          <w:sz w:val="28"/>
        </w:rPr>
        <w:t>Energetska politika in trg dela: posledice glede zaposlovanja v regijah v energetskem prehodu</w:t>
      </w:r>
    </w:p>
    <w:p w:rsidRPr="009B70E7" w:rsidR="00775FDA" w:rsidP="0018231C" w:rsidRDefault="00775FDA" w14:paraId="301189D8" w14:textId="77777777">
      <w:pPr>
        <w:pStyle w:val="ListParagraph"/>
        <w:keepNext/>
        <w:ind w:left="0"/>
      </w:pPr>
      <w:bookmarkStart w:name="_Hlk127184014" w:id="9"/>
    </w:p>
    <w:tbl>
      <w:tblPr>
        <w:tblStyle w:val="TableGrid"/>
        <w:tblW w:w="79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325"/>
        <w:gridCol w:w="5670"/>
      </w:tblGrid>
      <w:tr w:rsidRPr="009B70E7" w:rsidR="00B44BB9" w:rsidTr="008A2447" w14:paraId="5CC040D5" w14:textId="77777777">
        <w:trPr>
          <w:cantSplit/>
          <w:trHeight w:val="284" w:hRule="exact"/>
        </w:trPr>
        <w:tc>
          <w:tcPr>
            <w:tcW w:w="2325" w:type="dxa"/>
          </w:tcPr>
          <w:p w:rsidR="00B44BB9" w:rsidP="002E62B0" w:rsidRDefault="00B44BB9" w14:paraId="2BE1EF86" w14:textId="135AB205">
            <w:pPr>
              <w:pStyle w:val="ListParagraph"/>
              <w:spacing w:line="240" w:lineRule="auto"/>
              <w:ind w:left="-142" w:firstLine="142"/>
              <w:rPr>
                <w:b/>
              </w:rPr>
            </w:pPr>
            <w:r>
              <w:rPr>
                <w:b/>
              </w:rPr>
              <w:t>Poročevalka</w:t>
            </w:r>
          </w:p>
          <w:p w:rsidRPr="009B70E7" w:rsidR="00B44BB9" w:rsidP="00B44BB9" w:rsidRDefault="00B44BB9" w14:paraId="15AEA92C" w14:textId="77777777">
            <w:pPr>
              <w:pStyle w:val="ListParagraph"/>
              <w:keepNext/>
              <w:ind w:left="0"/>
              <w:rPr>
                <w:b/>
              </w:rPr>
            </w:pPr>
          </w:p>
        </w:tc>
        <w:tc>
          <w:tcPr>
            <w:tcW w:w="5670" w:type="dxa"/>
          </w:tcPr>
          <w:p w:rsidR="00B44BB9" w:rsidP="00847B19" w:rsidRDefault="00847B19" w14:paraId="4BAF20E0" w14:textId="5FE88B39">
            <w:pPr>
              <w:pStyle w:val="ListParagraph"/>
              <w:ind w:left="-52" w:right="-1618"/>
            </w:pPr>
            <w:r>
              <w:t>Maria del Carmen BARRERA CHAMORRO (delojemalci – ES)</w:t>
            </w:r>
          </w:p>
          <w:p w:rsidR="00847B19" w:rsidP="00E119DF" w:rsidRDefault="00847B19" w14:paraId="757E33F4" w14:textId="77777777">
            <w:pPr>
              <w:pStyle w:val="ListParagraph"/>
              <w:ind w:left="-52"/>
            </w:pPr>
          </w:p>
          <w:p w:rsidRPr="009B70E7" w:rsidR="00847B19" w:rsidP="00E119DF" w:rsidRDefault="00847B19" w14:paraId="689CA704" w14:textId="188D0825">
            <w:pPr>
              <w:pStyle w:val="ListParagraph"/>
              <w:ind w:left="-52"/>
            </w:pPr>
          </w:p>
        </w:tc>
      </w:tr>
      <w:tr w:rsidRPr="00627B8F" w:rsidR="00B44BB9" w:rsidTr="008A2447" w14:paraId="58C9EA77" w14:textId="77777777">
        <w:tc>
          <w:tcPr>
            <w:tcW w:w="2325" w:type="dxa"/>
          </w:tcPr>
          <w:p w:rsidRPr="009B70E7" w:rsidR="00B44BB9" w:rsidP="00120BA5" w:rsidRDefault="00B44BB9" w14:paraId="5397904E" w14:textId="384BB618">
            <w:pPr>
              <w:pStyle w:val="ListParagraph"/>
              <w:ind w:left="0"/>
              <w:rPr>
                <w:b/>
              </w:rPr>
            </w:pPr>
            <w:r>
              <w:rPr>
                <w:b/>
              </w:rPr>
              <w:t>Referenčni dokument</w:t>
            </w:r>
          </w:p>
        </w:tc>
        <w:tc>
          <w:tcPr>
            <w:tcW w:w="5670" w:type="dxa"/>
          </w:tcPr>
          <w:p w:rsidRPr="00E119DF" w:rsidR="00B44BB9" w:rsidP="00E119DF" w:rsidRDefault="00847B19" w14:paraId="7887F4C5" w14:textId="72194518">
            <w:pPr>
              <w:pStyle w:val="ListParagraph"/>
              <w:ind w:left="-52"/>
            </w:pPr>
            <w:r>
              <w:t>mnenje na lastno pobudo</w:t>
            </w:r>
          </w:p>
          <w:p w:rsidRPr="00E119DF" w:rsidR="00B44BB9" w:rsidP="00E119DF" w:rsidRDefault="00B44BB9" w14:paraId="12C6341D" w14:textId="7CF76B40">
            <w:pPr>
              <w:pStyle w:val="ListParagraph"/>
              <w:ind w:left="-52"/>
            </w:pPr>
            <w:r>
              <w:t>EESC-2022-04464-00-00-AC</w:t>
            </w:r>
          </w:p>
        </w:tc>
      </w:tr>
    </w:tbl>
    <w:p w:rsidR="00631509" w:rsidP="00631509" w:rsidRDefault="00631509" w14:paraId="5534BE55" w14:textId="77777777">
      <w:pPr>
        <w:pStyle w:val="ListParagraph"/>
        <w:spacing w:line="240" w:lineRule="auto"/>
        <w:ind w:left="-142" w:firstLine="284"/>
        <w:rPr>
          <w:b/>
        </w:rPr>
      </w:pPr>
    </w:p>
    <w:p w:rsidRPr="0070677E" w:rsidR="00775FDA" w:rsidP="002E62B0" w:rsidRDefault="00C76C46" w14:paraId="63769A52" w14:textId="3A0DA8C9">
      <w:pPr>
        <w:pStyle w:val="ListParagraph"/>
        <w:spacing w:line="240" w:lineRule="auto"/>
        <w:ind w:left="0"/>
        <w:rPr>
          <w:b/>
        </w:rPr>
      </w:pPr>
      <w:r>
        <w:rPr>
          <w:b/>
        </w:rPr>
        <w:t>Glavne točke</w:t>
      </w:r>
    </w:p>
    <w:p w:rsidRPr="009B70E7" w:rsidR="005475DA" w:rsidRDefault="005475DA" w14:paraId="580B14A7" w14:textId="77777777">
      <w:pPr>
        <w:pStyle w:val="ListParagraph"/>
        <w:ind w:left="0"/>
      </w:pPr>
    </w:p>
    <w:p w:rsidRPr="002E62B0" w:rsidR="00775FDA" w:rsidP="002E62B0" w:rsidRDefault="008946BF" w14:paraId="3C2434D8" w14:textId="77777777">
      <w:pPr>
        <w:pStyle w:val="ListParagraph"/>
        <w:spacing w:line="240" w:lineRule="auto"/>
        <w:ind w:left="0"/>
        <w:rPr>
          <w:bCs/>
        </w:rPr>
      </w:pPr>
      <w:r>
        <w:t>EESO:</w:t>
      </w:r>
    </w:p>
    <w:p w:rsidRPr="009B70E7" w:rsidR="00775FDA" w:rsidP="0018231C" w:rsidRDefault="00775FDA" w14:paraId="540C04B4" w14:textId="77777777">
      <w:pPr>
        <w:pStyle w:val="ListParagraph"/>
        <w:ind w:left="0"/>
      </w:pPr>
    </w:p>
    <w:p w:rsidRPr="009B70E7" w:rsidR="00775FDA" w:rsidP="0018231C" w:rsidRDefault="0007015C" w14:paraId="3D89CE58" w14:textId="7DD86F59">
      <w:pPr>
        <w:pStyle w:val="ListParagraph"/>
        <w:numPr>
          <w:ilvl w:val="0"/>
          <w:numId w:val="3"/>
        </w:numPr>
        <w:ind w:left="357" w:hanging="357"/>
      </w:pPr>
      <w:r>
        <w:t>ugotavlja, da mora Evropa zaradi krepitve negativnih učinkov podnebne krize ter negotovosti in kriz, ki izhajajo iz nove geopolitične realnosti in nove realnosti trga energije, bistveno pospešiti prehod na čisto energijo in zmanjšati svojo energetsko odvisnost od nezanesljivih dobaviteljev ter od fosilnih goriv po nestanovitnih cenah. Zato pozdravlja načrte Evropske komisije, ki so namenjeni temu (npr. REPowerEU in njegovo dodatno financiranje prek mehanizma za okrevanje in odpornost);</w:t>
      </w:r>
    </w:p>
    <w:p w:rsidR="00BE40C9" w:rsidP="008C3E09" w:rsidRDefault="0007015C" w14:paraId="244724D4" w14:textId="552D18D3">
      <w:pPr>
        <w:pStyle w:val="ListParagraph"/>
        <w:numPr>
          <w:ilvl w:val="0"/>
          <w:numId w:val="3"/>
        </w:numPr>
        <w:ind w:left="357" w:hanging="357"/>
      </w:pPr>
      <w:r>
        <w:t>poudarja, da okoljska in energetska tveganja vplivajo na gospodarske dejavnosti in vse povezane ukrepe politik, še posebno močno pa na različne načine vplivajo na najranljivejše regije, gospodarske panoge, delavce in skupine prebivalstva. Zato je treba posebno pozornost nameniti regijam pravičnega prehoda, kjer je intenzivnejša povezava med razvojem energetskega sektorja in zahtevami trga dela in kjer bodo potrebni posebni ukrepi politike;</w:t>
      </w:r>
    </w:p>
    <w:p w:rsidR="0007015C" w:rsidP="008C3E09" w:rsidRDefault="0007015C" w14:paraId="3E1E34EA" w14:textId="108D55A1">
      <w:pPr>
        <w:pStyle w:val="ListParagraph"/>
        <w:numPr>
          <w:ilvl w:val="0"/>
          <w:numId w:val="3"/>
        </w:numPr>
        <w:ind w:left="357" w:hanging="357"/>
      </w:pPr>
      <w:r>
        <w:t>predlaga, naj države članice preučijo ustrezne načine za boljše vključevanje politik trga dela v zakonodajne okvire, okoljsko in energetsko politiko ter politike družbene blaginje. To vključevanje v okviru nacionalnih ukrepov za izvajanje akcijskega načrta za evropski steber socialnih pravic mora vedno potekati s socialnim dialogom in kolektivnimi pogajanji ter brez poseganja v neodvisnost in raznolikost različnih sistemov odnosov med delodajalci in delojemalci v državah članicah;</w:t>
      </w:r>
    </w:p>
    <w:p w:rsidR="0007015C" w:rsidP="008C3E09" w:rsidRDefault="0007015C" w14:paraId="191AB604" w14:textId="4C54B397">
      <w:pPr>
        <w:pStyle w:val="ListParagraph"/>
        <w:numPr>
          <w:ilvl w:val="0"/>
          <w:numId w:val="3"/>
        </w:numPr>
        <w:ind w:left="357" w:hanging="357"/>
      </w:pPr>
      <w:r>
        <w:t>ponovno poudarja, da je za učinkovito uresničevanje ciljev podnebne politike in energetskega prehoda potrebna učinkovitejša uporaba mehanizma za pravični prehod ob upoštevanju hitrosti prehoda, ki je združljiva s položajem malih in velikih podjetij;</w:t>
      </w:r>
    </w:p>
    <w:p w:rsidR="0007015C" w:rsidP="008C3E09" w:rsidRDefault="0007015C" w14:paraId="687A8CEE" w14:textId="6BD52B0B">
      <w:pPr>
        <w:pStyle w:val="ListParagraph"/>
        <w:numPr>
          <w:ilvl w:val="0"/>
          <w:numId w:val="3"/>
        </w:numPr>
        <w:ind w:left="357" w:hanging="357"/>
      </w:pPr>
      <w:r>
        <w:t>poziva Komisijo, Parlament, države članice in regije EU, naj socialne partnerje in druge organizacije civilne družbe bolj inovativno in učinkoviteje vključijo v oblikovanje in izvajanje politik energetskega prehoda z visoko dodano vrednostjo v smislu zaposlovanja in socialne zaščite, pa tudi v njihovo spremljanje in ocenjevanje;</w:t>
      </w:r>
    </w:p>
    <w:p w:rsidR="0007015C" w:rsidP="008C3E09" w:rsidRDefault="0007015C" w14:paraId="6BE127E6" w14:textId="5A0716B3">
      <w:pPr>
        <w:pStyle w:val="ListParagraph"/>
        <w:numPr>
          <w:ilvl w:val="0"/>
          <w:numId w:val="3"/>
        </w:numPr>
        <w:ind w:left="357" w:hanging="357"/>
      </w:pPr>
      <w:r>
        <w:t>ocenjuje, da imajo tako velika kot mala in srednja podjetja pomembno vlogo pri uresničevanju cilja energetskega prehoda. Zaradi soočanja malih in srednjih podjetij z večjimi težavami kljub temu poziva k izboljšanju, pospešitvi in poenostavitvi programov za dostop teh podjetij do financiranja s storitvami podpore in stalnega spremljanja.</w:t>
      </w:r>
    </w:p>
    <w:p w:rsidRPr="009B70E7" w:rsidR="008102E2" w:rsidP="008102E2" w:rsidRDefault="008102E2" w14:paraId="0D71A78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1"/>
        <w:gridCol w:w="5196"/>
      </w:tblGrid>
      <w:tr w:rsidRPr="009B70E7" w:rsidR="00B44BB9" w:rsidTr="008A2447" w14:paraId="502899FB" w14:textId="77777777">
        <w:tc>
          <w:tcPr>
            <w:tcW w:w="1951" w:type="dxa"/>
          </w:tcPr>
          <w:p w:rsidRPr="009B70E7" w:rsidR="00B44BB9" w:rsidP="008B66DD" w:rsidRDefault="00B44BB9" w14:paraId="4933D5C0" w14:textId="718809BF">
            <w:pPr>
              <w:pStyle w:val="ListParagraph"/>
              <w:ind w:left="0"/>
              <w:rPr>
                <w:i/>
              </w:rPr>
            </w:pPr>
            <w:r>
              <w:rPr>
                <w:b/>
                <w:i/>
              </w:rPr>
              <w:t>Kontaktna oseba</w:t>
            </w:r>
          </w:p>
        </w:tc>
        <w:tc>
          <w:tcPr>
            <w:tcW w:w="5196" w:type="dxa"/>
          </w:tcPr>
          <w:p w:rsidRPr="009B70E7" w:rsidR="00B44BB9" w:rsidP="008B66DD" w:rsidRDefault="0007015C" w14:paraId="649C02E9" w14:textId="7E747D09">
            <w:pPr>
              <w:pStyle w:val="ListParagraph"/>
              <w:ind w:left="0"/>
              <w:rPr>
                <w:i/>
              </w:rPr>
            </w:pPr>
            <w:r>
              <w:rPr>
                <w:i/>
              </w:rPr>
              <w:t xml:space="preserve">Triin </w:t>
            </w:r>
            <w:r w:rsidR="00E4010A">
              <w:rPr>
                <w:i/>
              </w:rPr>
              <w:t>AASMAA</w:t>
            </w:r>
          </w:p>
        </w:tc>
      </w:tr>
      <w:tr w:rsidRPr="009B70E7" w:rsidR="00B44BB9" w:rsidTr="008A2447" w14:paraId="54638E70" w14:textId="77777777">
        <w:tc>
          <w:tcPr>
            <w:tcW w:w="1951" w:type="dxa"/>
          </w:tcPr>
          <w:p w:rsidRPr="009B70E7" w:rsidR="00B44BB9" w:rsidP="008B66DD" w:rsidRDefault="00B44BB9" w14:paraId="40A81D42" w14:textId="0AEADD1A">
            <w:pPr>
              <w:pStyle w:val="ListParagraph"/>
              <w:ind w:left="601"/>
              <w:rPr>
                <w:i/>
              </w:rPr>
            </w:pPr>
            <w:r>
              <w:rPr>
                <w:i/>
              </w:rPr>
              <w:t>Telefon</w:t>
            </w:r>
          </w:p>
        </w:tc>
        <w:tc>
          <w:tcPr>
            <w:tcW w:w="5196" w:type="dxa"/>
          </w:tcPr>
          <w:p w:rsidRPr="009B70E7" w:rsidR="00B44BB9" w:rsidP="008B66DD" w:rsidRDefault="00B44BB9" w14:paraId="0C77361C" w14:textId="2ACB1AB6">
            <w:pPr>
              <w:pStyle w:val="ListParagraph"/>
              <w:ind w:left="0"/>
              <w:rPr>
                <w:i/>
              </w:rPr>
            </w:pPr>
            <w:r>
              <w:rPr>
                <w:i/>
              </w:rPr>
              <w:t>00 32 2 546 95 24</w:t>
            </w:r>
          </w:p>
        </w:tc>
      </w:tr>
      <w:tr w:rsidRPr="001D770D" w:rsidR="00B44BB9" w:rsidTr="008A2447" w14:paraId="5FB79B0A" w14:textId="77777777">
        <w:tc>
          <w:tcPr>
            <w:tcW w:w="1951" w:type="dxa"/>
          </w:tcPr>
          <w:p w:rsidRPr="009B70E7" w:rsidR="00B44BB9" w:rsidP="008B66DD" w:rsidRDefault="00B44BB9" w14:paraId="0A5C365B" w14:textId="6F30D388">
            <w:pPr>
              <w:pStyle w:val="ListParagraph"/>
              <w:ind w:left="601"/>
              <w:rPr>
                <w:i/>
              </w:rPr>
            </w:pPr>
            <w:r>
              <w:rPr>
                <w:i/>
              </w:rPr>
              <w:t>E-naslov</w:t>
            </w:r>
          </w:p>
        </w:tc>
        <w:tc>
          <w:tcPr>
            <w:tcW w:w="5196" w:type="dxa"/>
          </w:tcPr>
          <w:p w:rsidRPr="00CE7111" w:rsidR="00BE40C9" w:rsidP="008B66DD" w:rsidRDefault="00202D15" w14:paraId="0E9E0878" w14:textId="2BA296F2">
            <w:pPr>
              <w:pStyle w:val="ListParagraph"/>
              <w:ind w:left="0"/>
              <w:rPr>
                <w:i/>
                <w:iCs/>
                <w:color w:val="0000FF"/>
                <w:szCs w:val="20"/>
                <w:u w:val="single"/>
              </w:rPr>
            </w:pPr>
            <w:hyperlink w:history="1" r:id="rId23">
              <w:r w:rsidR="00EA2684">
                <w:rPr>
                  <w:rStyle w:val="Hyperlink"/>
                  <w:i/>
                </w:rPr>
                <w:t>Triin.Aasmaa@eesc.europa.eu</w:t>
              </w:r>
            </w:hyperlink>
          </w:p>
        </w:tc>
      </w:tr>
      <w:bookmarkEnd w:id="8"/>
      <w:bookmarkEnd w:id="9"/>
    </w:tbl>
    <w:p w:rsidR="004E0C44" w:rsidRDefault="004E0C44" w14:paraId="274BEC25" w14:textId="77777777">
      <w:pPr>
        <w:spacing w:after="160" w:line="259" w:lineRule="auto"/>
        <w:jc w:val="left"/>
        <w:rPr>
          <w:b/>
          <w:i/>
          <w:sz w:val="28"/>
          <w:szCs w:val="28"/>
        </w:rPr>
      </w:pPr>
      <w:r>
        <w:br w:type="page"/>
      </w:r>
    </w:p>
    <w:p w:rsidRPr="00196521" w:rsidR="00CE7111" w:rsidP="00196521" w:rsidRDefault="00CE7111" w14:paraId="3F7A4442" w14:textId="77777777">
      <w:pPr>
        <w:pStyle w:val="ListParagraph"/>
        <w:keepNext/>
        <w:ind w:left="0"/>
        <w:rPr>
          <w:b/>
          <w:i/>
        </w:rPr>
      </w:pPr>
    </w:p>
    <w:p w:rsidRPr="009B70E7" w:rsidR="00CE7111" w:rsidP="00CE7111" w:rsidRDefault="00CE7111" w14:paraId="78CF9464" w14:textId="5344A979">
      <w:pPr>
        <w:pStyle w:val="ListParagraph"/>
        <w:keepNext/>
        <w:numPr>
          <w:ilvl w:val="0"/>
          <w:numId w:val="2"/>
        </w:numPr>
        <w:ind w:left="567" w:hanging="567"/>
        <w:rPr>
          <w:b/>
          <w:i/>
          <w:sz w:val="28"/>
          <w:szCs w:val="28"/>
        </w:rPr>
      </w:pPr>
      <w:r>
        <w:rPr>
          <w:b/>
          <w:i/>
          <w:sz w:val="28"/>
        </w:rPr>
        <w:t>Podpiranje sprememb na trgu dela: kako ohraniti zaposljivost, spodbuditi produktivnost in razvijati znanja in spretnosti, zlasti v MSP</w:t>
      </w:r>
    </w:p>
    <w:p w:rsidRPr="009B70E7" w:rsidR="00CE7111" w:rsidP="00CE7111" w:rsidRDefault="00CE7111" w14:paraId="4E7CC8B2" w14:textId="77777777">
      <w:pPr>
        <w:pStyle w:val="ListParagraph"/>
        <w:keepNext/>
        <w:ind w:left="0"/>
      </w:pPr>
    </w:p>
    <w:tbl>
      <w:tblPr>
        <w:tblStyle w:val="TableGrid"/>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325"/>
        <w:gridCol w:w="7314"/>
      </w:tblGrid>
      <w:tr w:rsidRPr="009B70E7" w:rsidR="00CE7111" w:rsidTr="00E4010A" w14:paraId="00EE265E" w14:textId="77777777">
        <w:trPr>
          <w:cantSplit/>
          <w:trHeight w:val="284" w:hRule="exact"/>
        </w:trPr>
        <w:tc>
          <w:tcPr>
            <w:tcW w:w="2325" w:type="dxa"/>
          </w:tcPr>
          <w:p w:rsidR="00CE7111" w:rsidP="00040ADE" w:rsidRDefault="00CE7111" w14:paraId="242C44FC" w14:textId="77777777">
            <w:pPr>
              <w:pStyle w:val="ListParagraph"/>
              <w:spacing w:line="240" w:lineRule="auto"/>
              <w:ind w:left="-142" w:firstLine="142"/>
              <w:rPr>
                <w:b/>
              </w:rPr>
            </w:pPr>
            <w:r>
              <w:rPr>
                <w:b/>
              </w:rPr>
              <w:t>Poročevalka</w:t>
            </w:r>
          </w:p>
          <w:p w:rsidRPr="009B70E7" w:rsidR="00CE7111" w:rsidP="00040ADE" w:rsidRDefault="00CE7111" w14:paraId="515F35BD" w14:textId="77777777">
            <w:pPr>
              <w:pStyle w:val="ListParagraph"/>
              <w:keepNext/>
              <w:ind w:left="0"/>
              <w:rPr>
                <w:b/>
              </w:rPr>
            </w:pPr>
          </w:p>
        </w:tc>
        <w:tc>
          <w:tcPr>
            <w:tcW w:w="7314" w:type="dxa"/>
          </w:tcPr>
          <w:p w:rsidR="00CE7111" w:rsidP="00040ADE" w:rsidRDefault="00CE7111" w14:paraId="4C9D645C" w14:textId="22922EFE">
            <w:pPr>
              <w:pStyle w:val="ListParagraph"/>
              <w:ind w:left="-52" w:right="-1618"/>
            </w:pPr>
            <w:r>
              <w:t>Milena ANGELOVA (delodajalci – BG)</w:t>
            </w:r>
          </w:p>
          <w:p w:rsidR="00CE7111" w:rsidP="00040ADE" w:rsidRDefault="00CE7111" w14:paraId="4D1FE8F3" w14:textId="77777777">
            <w:pPr>
              <w:pStyle w:val="ListParagraph"/>
              <w:ind w:left="-52"/>
            </w:pPr>
          </w:p>
          <w:p w:rsidRPr="009B70E7" w:rsidR="00CE7111" w:rsidP="00040ADE" w:rsidRDefault="00CE7111" w14:paraId="5C388FB6" w14:textId="77777777">
            <w:pPr>
              <w:pStyle w:val="ListParagraph"/>
              <w:ind w:left="-52"/>
            </w:pPr>
          </w:p>
        </w:tc>
      </w:tr>
      <w:tr w:rsidRPr="00627B8F" w:rsidR="00CE7111" w:rsidTr="00E4010A" w14:paraId="03CE010C" w14:textId="77777777">
        <w:tc>
          <w:tcPr>
            <w:tcW w:w="2325" w:type="dxa"/>
          </w:tcPr>
          <w:p w:rsidRPr="009B70E7" w:rsidR="00CE7111" w:rsidP="00040ADE" w:rsidRDefault="00CE7111" w14:paraId="33E40C80" w14:textId="5F94FD65">
            <w:pPr>
              <w:pStyle w:val="ListParagraph"/>
              <w:ind w:left="0"/>
              <w:rPr>
                <w:b/>
              </w:rPr>
            </w:pPr>
            <w:r>
              <w:rPr>
                <w:b/>
              </w:rPr>
              <w:t>Referenčni dokument</w:t>
            </w:r>
          </w:p>
        </w:tc>
        <w:tc>
          <w:tcPr>
            <w:tcW w:w="7314" w:type="dxa"/>
          </w:tcPr>
          <w:p w:rsidRPr="00E119DF" w:rsidR="00CE7111" w:rsidP="00040ADE" w:rsidRDefault="00CE7111" w14:paraId="4EC067DC" w14:textId="77777777">
            <w:pPr>
              <w:pStyle w:val="ListParagraph"/>
              <w:ind w:left="-52"/>
            </w:pPr>
            <w:r>
              <w:t>mnenje na lastno pobudo</w:t>
            </w:r>
          </w:p>
          <w:p w:rsidRPr="00E119DF" w:rsidR="00CE7111" w:rsidP="00040ADE" w:rsidRDefault="00CE7111" w14:paraId="465D4933" w14:textId="6DD29232">
            <w:pPr>
              <w:pStyle w:val="ListParagraph"/>
              <w:ind w:left="-52"/>
            </w:pPr>
            <w:r>
              <w:t>EESC-2022-01031-00-00-AC</w:t>
            </w:r>
          </w:p>
        </w:tc>
      </w:tr>
    </w:tbl>
    <w:p w:rsidR="00CE7111" w:rsidP="00CE7111" w:rsidRDefault="00CE7111" w14:paraId="110AE2D5" w14:textId="77777777">
      <w:pPr>
        <w:pStyle w:val="ListParagraph"/>
        <w:spacing w:line="240" w:lineRule="auto"/>
        <w:ind w:left="-142" w:firstLine="284"/>
        <w:rPr>
          <w:b/>
        </w:rPr>
      </w:pPr>
    </w:p>
    <w:p w:rsidRPr="0070677E" w:rsidR="00CE7111" w:rsidP="00CE7111" w:rsidRDefault="00CE7111" w14:paraId="69ACC511" w14:textId="77777777">
      <w:pPr>
        <w:pStyle w:val="ListParagraph"/>
        <w:spacing w:line="240" w:lineRule="auto"/>
        <w:ind w:left="0"/>
        <w:rPr>
          <w:b/>
        </w:rPr>
      </w:pPr>
      <w:r>
        <w:rPr>
          <w:b/>
        </w:rPr>
        <w:t>Glavne točke</w:t>
      </w:r>
    </w:p>
    <w:p w:rsidRPr="009B70E7" w:rsidR="00CE7111" w:rsidP="00CE7111" w:rsidRDefault="00CE7111" w14:paraId="24110627" w14:textId="77777777">
      <w:pPr>
        <w:pStyle w:val="ListParagraph"/>
        <w:ind w:left="0"/>
      </w:pPr>
    </w:p>
    <w:p w:rsidRPr="002E62B0" w:rsidR="00CE7111" w:rsidP="00CE7111" w:rsidRDefault="00CE7111" w14:paraId="3C25CC00" w14:textId="77777777">
      <w:pPr>
        <w:pStyle w:val="ListParagraph"/>
        <w:spacing w:line="240" w:lineRule="auto"/>
        <w:ind w:left="0"/>
        <w:rPr>
          <w:bCs/>
        </w:rPr>
      </w:pPr>
      <w:r>
        <w:t>EESO:</w:t>
      </w:r>
    </w:p>
    <w:p w:rsidRPr="009B70E7" w:rsidR="00CE7111" w:rsidP="00CE7111" w:rsidRDefault="00CE7111" w14:paraId="111000EE" w14:textId="77777777">
      <w:pPr>
        <w:pStyle w:val="ListParagraph"/>
        <w:ind w:left="0"/>
      </w:pPr>
    </w:p>
    <w:p w:rsidRPr="009B70E7" w:rsidR="00CE7111" w:rsidP="00CE7111" w:rsidRDefault="00CE7111" w14:paraId="2E0077A3" w14:textId="6A240C80">
      <w:pPr>
        <w:pStyle w:val="ListParagraph"/>
        <w:numPr>
          <w:ilvl w:val="0"/>
          <w:numId w:val="3"/>
        </w:numPr>
        <w:ind w:left="357" w:hanging="357"/>
      </w:pPr>
      <w:r>
        <w:t>ugotavlja, da preobrazba evropskega trga dela zahteva dobro razumevanje, katere vrste znanj in spretnosti so potrebne za prihodnje spremembe na trgu dela, tudi v MSP, da bi ohranili trajnostno zaposljivost, prispevali k visoki produktivnosti in zmanjšali pomanjkanje delovne sile;</w:t>
      </w:r>
    </w:p>
    <w:p w:rsidR="00CE7111" w:rsidP="00CE7111" w:rsidRDefault="00CE7111" w14:paraId="62FA8580" w14:textId="3F1B778F">
      <w:pPr>
        <w:pStyle w:val="ListParagraph"/>
        <w:numPr>
          <w:ilvl w:val="0"/>
          <w:numId w:val="3"/>
        </w:numPr>
        <w:ind w:left="357" w:hanging="357"/>
      </w:pPr>
      <w:r>
        <w:t>meni, da morata biti razvoj znanj in spretnosti ter učinkovito izvajanje pravice in dostopa do vseživljenjskega učenja del širših strategij za gospodarsko rast ter načrtov za okrevanje in odpornost;</w:t>
      </w:r>
    </w:p>
    <w:p w:rsidR="00CE7111" w:rsidP="00CE7111" w:rsidRDefault="00CE7111" w14:paraId="02D2D11B" w14:textId="0E3A8661">
      <w:pPr>
        <w:pStyle w:val="ListParagraph"/>
        <w:numPr>
          <w:ilvl w:val="0"/>
          <w:numId w:val="3"/>
        </w:numPr>
        <w:ind w:left="357" w:hanging="357"/>
      </w:pPr>
      <w:r>
        <w:t>poudarja, da je izobraževanje odraslih bistveno za njihovo izpopolnjevanje in lahko prinese vrsto osebnih, družbenih, gospodarskih in socialnih koristi;</w:t>
      </w:r>
    </w:p>
    <w:p w:rsidR="00CE7111" w:rsidP="00CE7111" w:rsidRDefault="00CE7111" w14:paraId="7641F7D3" w14:textId="15AAE0C3">
      <w:pPr>
        <w:pStyle w:val="ListParagraph"/>
        <w:numPr>
          <w:ilvl w:val="0"/>
          <w:numId w:val="3"/>
        </w:numPr>
        <w:ind w:left="357" w:hanging="357"/>
      </w:pPr>
      <w:r>
        <w:t>se strinja, da „EU potrebuje revolucijo na področju znanj in spretnosti, da bi ljudem zagotovili uspeh“, in poziva k mobilizaciji prizadevanj in učinkovitemu skupnemu ukrepanju institucij, podjetij, socialnih partnerjev in deležnikov v okviru pakta za znanja in spretnosti;</w:t>
      </w:r>
    </w:p>
    <w:p w:rsidR="00CE7111" w:rsidP="00CE7111" w:rsidRDefault="00CE7111" w14:paraId="577D68CA" w14:textId="37250CDB">
      <w:pPr>
        <w:pStyle w:val="ListParagraph"/>
        <w:numPr>
          <w:ilvl w:val="0"/>
          <w:numId w:val="3"/>
        </w:numPr>
        <w:ind w:left="357" w:hanging="357"/>
      </w:pPr>
      <w:r>
        <w:t>poudarja, da bosta sposobnost stalnega posodabljanja digitalnih znanj in spretnosti glede na spremembe na trgu dela in uvajanje novih tehnologij nedvomno med najpomembnejšimi izzivi v prihodnosti. V zvezi s tem pozdravlja obsežne naložbe, predvidene v nacionalnih načrtih za okrevanje in odpornost, s katerimi naj bi podprli povečanje digitalnih spretnosti;</w:t>
      </w:r>
    </w:p>
    <w:p w:rsidR="00CE7111" w:rsidP="00CE7111" w:rsidRDefault="00CE7111" w14:paraId="236AEE00" w14:textId="6A68F81A">
      <w:pPr>
        <w:pStyle w:val="ListParagraph"/>
        <w:numPr>
          <w:ilvl w:val="0"/>
          <w:numId w:val="3"/>
        </w:numPr>
        <w:ind w:left="357" w:hanging="357"/>
      </w:pPr>
      <w:r>
        <w:t>meni, da bodo za uspešen zeleni prehod potrebni ljudje s pravimi znanji in spretnostmi ter delovna mesta s pravim delovnim okoljem in zelenimi proizvodnimi sistemi. Socialni partnerji imajo ključno vlogo pri zagotavljanju pravičnega prehoda v več gospodarskih sektorjih;</w:t>
      </w:r>
    </w:p>
    <w:p w:rsidR="00CE7111" w:rsidP="00CE7111" w:rsidRDefault="00CE7111" w14:paraId="6CACA9BC" w14:textId="17251958">
      <w:pPr>
        <w:pStyle w:val="ListParagraph"/>
        <w:numPr>
          <w:ilvl w:val="0"/>
          <w:numId w:val="3"/>
        </w:numPr>
        <w:ind w:left="357" w:hanging="357"/>
      </w:pPr>
      <w:r>
        <w:t>poudarja, da bi bilo treba mala in srednja podjetja (MSP) spodbujati k vključevanju v interaktivne mreže, v katerih lahko sodelujejo pri delitvi stroškov za raziskave o potrebah po znanjih in spretnostih ter združujejo svoje zmogljivosti za odzivanje na izzive dvojnega prehoda ter razvoja znanj in spretnosti. MSP je treba podpreti in jim olajšati pripravo politike usposabljanja in razvoja njihovega človeškega kapitala.</w:t>
      </w:r>
    </w:p>
    <w:p w:rsidRPr="009B70E7" w:rsidR="00CE7111" w:rsidP="00CE7111" w:rsidRDefault="00CE7111" w14:paraId="36F8829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5054"/>
      </w:tblGrid>
      <w:tr w:rsidRPr="009B70E7" w:rsidR="00CE7111" w:rsidTr="00E4010A" w14:paraId="2399213A" w14:textId="77777777">
        <w:tc>
          <w:tcPr>
            <w:tcW w:w="2093" w:type="dxa"/>
          </w:tcPr>
          <w:p w:rsidRPr="009B70E7" w:rsidR="00CE7111" w:rsidP="00040ADE" w:rsidRDefault="00CE7111" w14:paraId="76B6BDFC" w14:textId="77777777">
            <w:pPr>
              <w:pStyle w:val="ListParagraph"/>
              <w:ind w:left="0"/>
              <w:rPr>
                <w:i/>
              </w:rPr>
            </w:pPr>
            <w:r>
              <w:rPr>
                <w:b/>
                <w:i/>
              </w:rPr>
              <w:t>Kontaktna oseba</w:t>
            </w:r>
          </w:p>
        </w:tc>
        <w:tc>
          <w:tcPr>
            <w:tcW w:w="5054" w:type="dxa"/>
          </w:tcPr>
          <w:p w:rsidRPr="009B70E7" w:rsidR="00CE7111" w:rsidP="00040ADE" w:rsidRDefault="00CE7111" w14:paraId="5BA3524C" w14:textId="40C066BE">
            <w:pPr>
              <w:pStyle w:val="ListParagraph"/>
              <w:ind w:left="0"/>
              <w:rPr>
                <w:i/>
              </w:rPr>
            </w:pPr>
            <w:r>
              <w:rPr>
                <w:i/>
              </w:rPr>
              <w:t xml:space="preserve">Sophie </w:t>
            </w:r>
            <w:r w:rsidR="00E4010A">
              <w:rPr>
                <w:i/>
              </w:rPr>
              <w:t xml:space="preserve">ZIMMER </w:t>
            </w:r>
            <w:r>
              <w:rPr>
                <w:i/>
              </w:rPr>
              <w:t xml:space="preserve">/ Valeria </w:t>
            </w:r>
            <w:r w:rsidR="00E4010A">
              <w:rPr>
                <w:i/>
              </w:rPr>
              <w:t>SATTA</w:t>
            </w:r>
          </w:p>
        </w:tc>
      </w:tr>
      <w:tr w:rsidRPr="009B70E7" w:rsidR="00CE7111" w:rsidTr="00E4010A" w14:paraId="0C50FE9A" w14:textId="77777777">
        <w:tc>
          <w:tcPr>
            <w:tcW w:w="2093" w:type="dxa"/>
          </w:tcPr>
          <w:p w:rsidRPr="009B70E7" w:rsidR="00CE7111" w:rsidP="00040ADE" w:rsidRDefault="00CE7111" w14:paraId="449C6BF6" w14:textId="77777777">
            <w:pPr>
              <w:pStyle w:val="ListParagraph"/>
              <w:ind w:left="601"/>
              <w:rPr>
                <w:i/>
              </w:rPr>
            </w:pPr>
            <w:r>
              <w:rPr>
                <w:i/>
              </w:rPr>
              <w:t>Telefon</w:t>
            </w:r>
          </w:p>
        </w:tc>
        <w:tc>
          <w:tcPr>
            <w:tcW w:w="5054" w:type="dxa"/>
          </w:tcPr>
          <w:p w:rsidRPr="009B70E7" w:rsidR="00CE7111" w:rsidP="00040ADE" w:rsidRDefault="00CE7111" w14:paraId="3FE6978E" w14:textId="5C9BBD64">
            <w:pPr>
              <w:pStyle w:val="ListParagraph"/>
              <w:ind w:left="0"/>
              <w:rPr>
                <w:i/>
              </w:rPr>
            </w:pPr>
            <w:r>
              <w:rPr>
                <w:i/>
              </w:rPr>
              <w:t>00 32 2 546 95 64</w:t>
            </w:r>
          </w:p>
        </w:tc>
      </w:tr>
      <w:tr w:rsidRPr="001D770D" w:rsidR="00CE7111" w:rsidTr="00E4010A" w14:paraId="005AA464" w14:textId="77777777">
        <w:tc>
          <w:tcPr>
            <w:tcW w:w="2093" w:type="dxa"/>
          </w:tcPr>
          <w:p w:rsidRPr="009B70E7" w:rsidR="00CE7111" w:rsidP="00040ADE" w:rsidRDefault="00CE7111" w14:paraId="1A440F86" w14:textId="77777777">
            <w:pPr>
              <w:pStyle w:val="ListParagraph"/>
              <w:ind w:left="601"/>
              <w:rPr>
                <w:i/>
              </w:rPr>
            </w:pPr>
            <w:r>
              <w:rPr>
                <w:i/>
              </w:rPr>
              <w:t>E-naslov</w:t>
            </w:r>
          </w:p>
        </w:tc>
        <w:tc>
          <w:tcPr>
            <w:tcW w:w="5054" w:type="dxa"/>
          </w:tcPr>
          <w:p w:rsidRPr="008102E2" w:rsidR="00CE7111" w:rsidRDefault="00202D15" w14:paraId="6273679C" w14:textId="71C9FF9A">
            <w:pPr>
              <w:pStyle w:val="ListParagraph"/>
              <w:ind w:left="0"/>
              <w:rPr>
                <w:iCs/>
                <w:color w:val="0000FF"/>
                <w:u w:val="single"/>
              </w:rPr>
            </w:pPr>
            <w:hyperlink w:history="1" r:id="rId24">
              <w:r w:rsidR="00EA2684">
                <w:rPr>
                  <w:rStyle w:val="Hyperlink"/>
                  <w:i/>
                </w:rPr>
                <w:t>Sophie.Zimmer@eesc.europa.eu</w:t>
              </w:r>
            </w:hyperlink>
          </w:p>
        </w:tc>
      </w:tr>
    </w:tbl>
    <w:p w:rsidR="004E0C44" w:rsidRDefault="004E0C44" w14:paraId="510F214D" w14:textId="77777777">
      <w:pPr>
        <w:spacing w:after="160" w:line="259" w:lineRule="auto"/>
        <w:jc w:val="left"/>
      </w:pPr>
      <w:r>
        <w:br w:type="page"/>
      </w:r>
    </w:p>
    <w:p w:rsidRPr="009B70E7" w:rsidR="004D7AC0" w:rsidRDefault="004D7AC0" w14:paraId="3F8FA026" w14:textId="77777777">
      <w:pPr>
        <w:pStyle w:val="Heading1"/>
        <w:rPr>
          <w:b/>
        </w:rPr>
      </w:pPr>
      <w:bookmarkStart w:name="_Toc75527083" w:id="10"/>
      <w:bookmarkStart w:name="_Toc129693944" w:id="11"/>
      <w:r>
        <w:rPr>
          <w:b/>
        </w:rPr>
        <w:t>ENOTNI TRG, PROIZVODNJA IN POTROŠNJA</w:t>
      </w:r>
      <w:bookmarkEnd w:id="10"/>
      <w:bookmarkEnd w:id="11"/>
    </w:p>
    <w:p w:rsidRPr="009B70E7" w:rsidR="004D7AC0" w:rsidRDefault="004D7AC0" w14:paraId="03FF9505" w14:textId="77777777"/>
    <w:p w:rsidRPr="00D70F4B" w:rsidR="00164813" w:rsidP="00E4355F" w:rsidRDefault="00CE7111" w14:paraId="1DADE393" w14:textId="6957A6DC">
      <w:pPr>
        <w:pStyle w:val="ListParagraph"/>
        <w:keepNext/>
        <w:numPr>
          <w:ilvl w:val="0"/>
          <w:numId w:val="2"/>
        </w:numPr>
        <w:ind w:left="567" w:hanging="567"/>
      </w:pPr>
      <w:bookmarkStart w:name="_Hlk125970424" w:id="12"/>
      <w:r>
        <w:rPr>
          <w:b/>
          <w:i/>
          <w:sz w:val="28"/>
        </w:rPr>
        <w:t>Uredba o takojšnjih plačilih</w:t>
      </w:r>
    </w:p>
    <w:p w:rsidRPr="009B70E7" w:rsidR="00D70F4B" w:rsidP="00D70F4B" w:rsidRDefault="00D70F4B" w14:paraId="6AF37578"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18"/>
        <w:gridCol w:w="5279"/>
      </w:tblGrid>
      <w:tr w:rsidRPr="007E7A4F" w:rsidR="00164813" w:rsidTr="00E4010A" w14:paraId="1383CB57" w14:textId="77777777">
        <w:tc>
          <w:tcPr>
            <w:tcW w:w="2518" w:type="dxa"/>
          </w:tcPr>
          <w:p w:rsidRPr="009B70E7" w:rsidR="00164813" w:rsidP="00B83E7B" w:rsidRDefault="00164813" w14:paraId="33004117" w14:textId="0CA5448D">
            <w:pPr>
              <w:pStyle w:val="ListParagraph"/>
              <w:ind w:left="0"/>
              <w:rPr>
                <w:b/>
              </w:rPr>
            </w:pPr>
            <w:r>
              <w:rPr>
                <w:b/>
              </w:rPr>
              <w:t>Poročevalec</w:t>
            </w:r>
          </w:p>
        </w:tc>
        <w:tc>
          <w:tcPr>
            <w:tcW w:w="5279" w:type="dxa"/>
          </w:tcPr>
          <w:p w:rsidRPr="007E7A4F" w:rsidR="00164813" w:rsidP="00B83E7B" w:rsidRDefault="00CE7111" w14:paraId="2BCDDC29" w14:textId="2BB166B6">
            <w:pPr>
              <w:pStyle w:val="ListParagraph"/>
              <w:ind w:left="-108"/>
            </w:pPr>
            <w:r>
              <w:t>Christophe LEFÈVRE (delojemalci – FR)</w:t>
            </w:r>
          </w:p>
        </w:tc>
      </w:tr>
      <w:tr w:rsidRPr="009B70E7" w:rsidR="00164813" w:rsidTr="00E4010A" w14:paraId="132333E4" w14:textId="77777777">
        <w:tc>
          <w:tcPr>
            <w:tcW w:w="2518" w:type="dxa"/>
          </w:tcPr>
          <w:p w:rsidRPr="009B70E7" w:rsidR="00164813" w:rsidP="00B83E7B" w:rsidRDefault="00164813" w14:paraId="2A306C51" w14:textId="14B20638">
            <w:pPr>
              <w:pStyle w:val="ListParagraph"/>
              <w:ind w:left="0"/>
              <w:rPr>
                <w:b/>
              </w:rPr>
            </w:pPr>
            <w:r>
              <w:rPr>
                <w:b/>
              </w:rPr>
              <w:t xml:space="preserve">Referenčna dokumenta </w:t>
            </w:r>
          </w:p>
        </w:tc>
        <w:tc>
          <w:tcPr>
            <w:tcW w:w="5279" w:type="dxa"/>
          </w:tcPr>
          <w:p w:rsidRPr="009B70E7" w:rsidR="00164813" w:rsidP="00B83E7B" w:rsidRDefault="005C0454" w14:paraId="1EB81693" w14:textId="224D5230">
            <w:pPr>
              <w:tabs>
                <w:tab w:val="center" w:pos="284"/>
              </w:tabs>
              <w:ind w:left="266" w:hanging="374"/>
            </w:pPr>
            <w:r>
              <w:t>COM(2022) 546 final</w:t>
            </w:r>
          </w:p>
          <w:p w:rsidRPr="009B70E7" w:rsidR="00164813" w:rsidP="00B83E7B" w:rsidRDefault="00ED377B" w14:paraId="1746D341" w14:textId="1ADAEABE">
            <w:pPr>
              <w:pStyle w:val="ListParagraph"/>
              <w:ind w:left="-108"/>
            </w:pPr>
            <w:r>
              <w:t>EESC-2022-05312-00-00-AC</w:t>
            </w:r>
          </w:p>
        </w:tc>
      </w:tr>
    </w:tbl>
    <w:p w:rsidRPr="00A00F37" w:rsidR="00164813" w:rsidP="00A00F37" w:rsidRDefault="00164813" w14:paraId="488A6C0C" w14:textId="77777777">
      <w:pPr>
        <w:pStyle w:val="ListParagraph"/>
        <w:spacing w:line="240" w:lineRule="auto"/>
        <w:ind w:left="0" w:firstLine="142"/>
        <w:rPr>
          <w:b/>
        </w:rPr>
      </w:pPr>
    </w:p>
    <w:p w:rsidRPr="0018231C" w:rsidR="00164813" w:rsidP="00E302BC" w:rsidRDefault="00164813" w14:paraId="015FE75F" w14:textId="4469FC57">
      <w:pPr>
        <w:pStyle w:val="ListParagraph"/>
        <w:spacing w:line="240" w:lineRule="auto"/>
        <w:ind w:left="0"/>
        <w:rPr>
          <w:b/>
        </w:rPr>
      </w:pPr>
      <w:r>
        <w:rPr>
          <w:b/>
        </w:rPr>
        <w:t>Glavne točke</w:t>
      </w:r>
    </w:p>
    <w:p w:rsidRPr="0018231C" w:rsidR="00164813" w:rsidP="00164813" w:rsidRDefault="00164813" w14:paraId="573BE746" w14:textId="77777777">
      <w:pPr>
        <w:pStyle w:val="ListParagraph"/>
        <w:ind w:left="0"/>
        <w:rPr>
          <w:lang w:val="fr-FR"/>
        </w:rPr>
      </w:pPr>
    </w:p>
    <w:p w:rsidR="00164813" w:rsidP="00E302BC" w:rsidRDefault="00164813" w14:paraId="30245860" w14:textId="77777777">
      <w:pPr>
        <w:pStyle w:val="ListParagraph"/>
        <w:spacing w:line="240" w:lineRule="auto"/>
        <w:ind w:left="0"/>
      </w:pPr>
      <w:r>
        <w:t>EESO:</w:t>
      </w:r>
    </w:p>
    <w:p w:rsidRPr="0018231C" w:rsidR="00164813" w:rsidP="00164813" w:rsidRDefault="00164813" w14:paraId="7D5F280C" w14:textId="77777777">
      <w:pPr>
        <w:pStyle w:val="ListParagraph"/>
        <w:ind w:left="0"/>
        <w:rPr>
          <w:lang w:val="fr-FR"/>
        </w:rPr>
      </w:pPr>
    </w:p>
    <w:p w:rsidRPr="00A3344B" w:rsidR="00A3344B" w:rsidP="00164813" w:rsidRDefault="004971E8" w14:paraId="5C624B6F" w14:textId="69C45922">
      <w:pPr>
        <w:numPr>
          <w:ilvl w:val="0"/>
          <w:numId w:val="3"/>
        </w:numPr>
        <w:overflowPunct w:val="0"/>
        <w:autoSpaceDE w:val="0"/>
        <w:autoSpaceDN w:val="0"/>
        <w:adjustRightInd w:val="0"/>
        <w:ind w:left="357" w:hanging="357"/>
        <w:textAlignment w:val="baseline"/>
      </w:pPr>
      <w:r>
        <w:t xml:space="preserve">meni, da je za uspeh sistema takojšnjih plačil v EU </w:t>
      </w:r>
      <w:r>
        <w:rPr>
          <w:b/>
        </w:rPr>
        <w:t>ključna dostopnost storitev za evropske potrošnike in podjetja</w:t>
      </w:r>
      <w:r>
        <w:t>;</w:t>
      </w:r>
    </w:p>
    <w:p w:rsidRPr="00CA6928" w:rsidR="00CA6928" w:rsidP="00164813" w:rsidRDefault="004971E8" w14:paraId="36F42D42" w14:textId="77F4F526">
      <w:pPr>
        <w:numPr>
          <w:ilvl w:val="0"/>
          <w:numId w:val="3"/>
        </w:numPr>
        <w:overflowPunct w:val="0"/>
        <w:autoSpaceDE w:val="0"/>
        <w:autoSpaceDN w:val="0"/>
        <w:adjustRightInd w:val="0"/>
        <w:ind w:left="357" w:hanging="357"/>
        <w:textAlignment w:val="baseline"/>
      </w:pPr>
      <w:r>
        <w:t xml:space="preserve">meni, da bi morala Evropska komisija predlagati </w:t>
      </w:r>
      <w:r>
        <w:rPr>
          <w:b/>
        </w:rPr>
        <w:t>ciljno usmerjene ukrepe za izboljšanje boja proti goljufijam</w:t>
      </w:r>
      <w:r>
        <w:t>, saj bo mednarodna številka bančnega računa (IBAN) vplivala le na avtorizirana potisna plačila;</w:t>
      </w:r>
    </w:p>
    <w:p w:rsidR="00E63571" w:rsidP="004429E2" w:rsidRDefault="004971E8" w14:paraId="520A2CDE" w14:textId="22902F70">
      <w:pPr>
        <w:numPr>
          <w:ilvl w:val="0"/>
          <w:numId w:val="3"/>
        </w:numPr>
        <w:overflowPunct w:val="0"/>
        <w:autoSpaceDE w:val="0"/>
        <w:autoSpaceDN w:val="0"/>
        <w:adjustRightInd w:val="0"/>
        <w:ind w:left="357" w:hanging="357"/>
        <w:textAlignment w:val="baseline"/>
      </w:pPr>
      <w:r>
        <w:t xml:space="preserve">priporoča, </w:t>
      </w:r>
      <w:r>
        <w:rPr>
          <w:b/>
        </w:rPr>
        <w:t>naj se v uredbo vključijo določbe za enotno uporabo prava EU in naj se jih pojasni,</w:t>
      </w:r>
      <w:r>
        <w:t xml:space="preserve"> da bi se izognili različnim razlagam uporabe sankcij;</w:t>
      </w:r>
    </w:p>
    <w:p w:rsidR="00E4355F" w:rsidP="004429E2" w:rsidRDefault="004971E8" w14:paraId="15D4AA5E" w14:textId="676CBFF6">
      <w:pPr>
        <w:numPr>
          <w:ilvl w:val="0"/>
          <w:numId w:val="3"/>
        </w:numPr>
        <w:overflowPunct w:val="0"/>
        <w:autoSpaceDE w:val="0"/>
        <w:autoSpaceDN w:val="0"/>
        <w:adjustRightInd w:val="0"/>
        <w:ind w:left="357" w:hanging="357"/>
        <w:textAlignment w:val="baseline"/>
      </w:pPr>
      <w:r>
        <w:t xml:space="preserve">vidi potencial v </w:t>
      </w:r>
      <w:r>
        <w:rPr>
          <w:b/>
        </w:rPr>
        <w:t>razširitvi predloga Evropske komisije o takojšnjih plačilih na osem držav članic EU, ki niso v euroobmočju</w:t>
      </w:r>
      <w:r>
        <w:t>, so pa del evropskega enotnega trga;</w:t>
      </w:r>
    </w:p>
    <w:p w:rsidRPr="004971E8" w:rsidR="004971E8" w:rsidP="004429E2" w:rsidRDefault="004971E8" w14:paraId="520D2299" w14:textId="4676811D">
      <w:pPr>
        <w:numPr>
          <w:ilvl w:val="0"/>
          <w:numId w:val="3"/>
        </w:numPr>
        <w:overflowPunct w:val="0"/>
        <w:autoSpaceDE w:val="0"/>
        <w:autoSpaceDN w:val="0"/>
        <w:adjustRightInd w:val="0"/>
        <w:ind w:left="357" w:hanging="357"/>
        <w:textAlignment w:val="baseline"/>
      </w:pPr>
      <w:r>
        <w:t xml:space="preserve">priporoča, da ponudniki plačilnih storitev </w:t>
      </w:r>
      <w:r>
        <w:rPr>
          <w:b/>
        </w:rPr>
        <w:t>za takojšnja plačila v eurih ne zaračunavajo več kot za standardne kreditne prenose v eurih</w:t>
      </w:r>
      <w:r>
        <w:t>, zlasti če bo sistem preverjanja IBAN razširjen na vsa plačila v enotnem območju plačil v eurih (SEPA);</w:t>
      </w:r>
    </w:p>
    <w:p w:rsidRPr="004971E8" w:rsidR="004971E8" w:rsidP="004429E2" w:rsidRDefault="004971E8" w14:paraId="4B440DCD" w14:textId="15ECE97A">
      <w:pPr>
        <w:numPr>
          <w:ilvl w:val="0"/>
          <w:numId w:val="3"/>
        </w:numPr>
        <w:overflowPunct w:val="0"/>
        <w:autoSpaceDE w:val="0"/>
        <w:autoSpaceDN w:val="0"/>
        <w:adjustRightInd w:val="0"/>
        <w:ind w:left="357" w:hanging="357"/>
        <w:textAlignment w:val="baseline"/>
      </w:pPr>
      <w:r>
        <w:t xml:space="preserve">meni, da banka pošiljateljica ne bi smela zahtevati </w:t>
      </w:r>
      <w:r>
        <w:rPr>
          <w:b/>
        </w:rPr>
        <w:t>provizije za preverjanje ujemanja med številko IBAN in imenom upravičenca</w:t>
      </w:r>
      <w:r>
        <w:t>, temveč bi morala biti provizija vključena v ceno samega takojšnjega plačila;</w:t>
      </w:r>
    </w:p>
    <w:p w:rsidRPr="004971E8" w:rsidR="004971E8" w:rsidP="004429E2" w:rsidRDefault="004971E8" w14:paraId="3CC59A81" w14:textId="05BDEDE9">
      <w:pPr>
        <w:numPr>
          <w:ilvl w:val="0"/>
          <w:numId w:val="3"/>
        </w:numPr>
        <w:overflowPunct w:val="0"/>
        <w:autoSpaceDE w:val="0"/>
        <w:autoSpaceDN w:val="0"/>
        <w:adjustRightInd w:val="0"/>
        <w:ind w:left="357" w:hanging="357"/>
        <w:textAlignment w:val="baseline"/>
      </w:pPr>
      <w:r>
        <w:t xml:space="preserve">meni, da </w:t>
      </w:r>
      <w:r>
        <w:rPr>
          <w:b/>
        </w:rPr>
        <w:t>preverjanje številke IBAN ne bi smelo biti omejeno na takojšnja plačila</w:t>
      </w:r>
      <w:r>
        <w:t>, temveč bi ga bilo treba razširili tudi na klasične kreditne prenose, če jih zagotavljajo ponudniki plačilnih storitev;</w:t>
      </w:r>
    </w:p>
    <w:p w:rsidRPr="004971E8" w:rsidR="004971E8" w:rsidP="004429E2" w:rsidRDefault="004971E8" w14:paraId="625CB7B8" w14:textId="328A454E">
      <w:pPr>
        <w:numPr>
          <w:ilvl w:val="0"/>
          <w:numId w:val="3"/>
        </w:numPr>
        <w:overflowPunct w:val="0"/>
        <w:autoSpaceDE w:val="0"/>
        <w:autoSpaceDN w:val="0"/>
        <w:adjustRightInd w:val="0"/>
        <w:ind w:left="357" w:hanging="357"/>
        <w:textAlignment w:val="baseline"/>
      </w:pPr>
      <w:r>
        <w:t>meni, da mora banka prejemnica, če pri preverjanju številke IBAN</w:t>
      </w:r>
      <w:r>
        <w:rPr>
          <w:b/>
        </w:rPr>
        <w:t xml:space="preserve"> odkrije neskladje, o tem obvestiti banko pošiljateljico</w:t>
      </w:r>
      <w:r>
        <w:t>;</w:t>
      </w:r>
    </w:p>
    <w:p w:rsidRPr="007E7DE3" w:rsidR="004971E8" w:rsidP="004429E2" w:rsidRDefault="00CA1127" w14:paraId="7D918A9D" w14:textId="2D0AB935">
      <w:pPr>
        <w:numPr>
          <w:ilvl w:val="0"/>
          <w:numId w:val="3"/>
        </w:numPr>
        <w:overflowPunct w:val="0"/>
        <w:autoSpaceDE w:val="0"/>
        <w:autoSpaceDN w:val="0"/>
        <w:adjustRightInd w:val="0"/>
        <w:ind w:left="357" w:hanging="357"/>
        <w:textAlignment w:val="baseline"/>
      </w:pPr>
      <w:r>
        <w:t xml:space="preserve">meni, da v primerih, ko se </w:t>
      </w:r>
      <w:r>
        <w:rPr>
          <w:b/>
        </w:rPr>
        <w:t>odkrije neskladje, potrošnik pa se kljub temu odloči za potrditev takojšnjega plačila</w:t>
      </w:r>
      <w:r>
        <w:t xml:space="preserve">, banka pošiljateljica </w:t>
      </w:r>
      <w:r>
        <w:rPr>
          <w:b/>
        </w:rPr>
        <w:t>ni več odgovorna</w:t>
      </w:r>
      <w:r>
        <w:t>, če prejemnik ni pravi.</w:t>
      </w:r>
    </w:p>
    <w:p w:rsidRPr="007E7A4F" w:rsidR="007E7DE3" w:rsidP="00E34279" w:rsidRDefault="007E7DE3" w14:paraId="043E47D4" w14:textId="776D7173">
      <w:pPr>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5054"/>
      </w:tblGrid>
      <w:tr w:rsidRPr="00164813" w:rsidR="00E4355F" w:rsidTr="00E4010A" w14:paraId="3DA9FCD8" w14:textId="77777777">
        <w:tc>
          <w:tcPr>
            <w:tcW w:w="2093" w:type="dxa"/>
          </w:tcPr>
          <w:p w:rsidRPr="00164813" w:rsidR="00E4355F" w:rsidP="008B2E12" w:rsidRDefault="00E4355F" w14:paraId="1C6720FA" w14:textId="77777777">
            <w:pPr>
              <w:contextualSpacing/>
              <w:rPr>
                <w:i/>
              </w:rPr>
            </w:pPr>
            <w:r>
              <w:rPr>
                <w:b/>
                <w:i/>
              </w:rPr>
              <w:t>Kontaktna oseba</w:t>
            </w:r>
          </w:p>
        </w:tc>
        <w:tc>
          <w:tcPr>
            <w:tcW w:w="5054" w:type="dxa"/>
          </w:tcPr>
          <w:p w:rsidRPr="00164813" w:rsidR="00E4355F" w:rsidP="008B2E12" w:rsidRDefault="00CE7111" w14:paraId="3B68C713" w14:textId="1162CD4F">
            <w:pPr>
              <w:contextualSpacing/>
              <w:rPr>
                <w:i/>
              </w:rPr>
            </w:pPr>
            <w:r>
              <w:rPr>
                <w:i/>
              </w:rPr>
              <w:t xml:space="preserve">Marco </w:t>
            </w:r>
            <w:r w:rsidR="00E4010A">
              <w:rPr>
                <w:i/>
              </w:rPr>
              <w:t>MANFRONI</w:t>
            </w:r>
          </w:p>
        </w:tc>
      </w:tr>
      <w:tr w:rsidRPr="00164813" w:rsidR="00E4355F" w:rsidTr="00E4010A" w14:paraId="3CC1DDE1" w14:textId="77777777">
        <w:tc>
          <w:tcPr>
            <w:tcW w:w="2093" w:type="dxa"/>
          </w:tcPr>
          <w:p w:rsidRPr="00164813" w:rsidR="00E4355F" w:rsidP="008B2E12" w:rsidRDefault="00E4355F" w14:paraId="3D55B53F" w14:textId="77777777">
            <w:pPr>
              <w:ind w:left="601"/>
              <w:contextualSpacing/>
              <w:rPr>
                <w:i/>
              </w:rPr>
            </w:pPr>
            <w:r>
              <w:rPr>
                <w:i/>
              </w:rPr>
              <w:t>Telefon</w:t>
            </w:r>
          </w:p>
        </w:tc>
        <w:tc>
          <w:tcPr>
            <w:tcW w:w="5054" w:type="dxa"/>
          </w:tcPr>
          <w:p w:rsidRPr="00164813" w:rsidR="00E4355F" w:rsidP="008B2E12" w:rsidRDefault="00E4355F" w14:paraId="1C17165E" w14:textId="54A8852E">
            <w:pPr>
              <w:contextualSpacing/>
              <w:rPr>
                <w:i/>
              </w:rPr>
            </w:pPr>
            <w:r>
              <w:rPr>
                <w:i/>
              </w:rPr>
              <w:t>00 32 2 546 91 40</w:t>
            </w:r>
          </w:p>
        </w:tc>
      </w:tr>
      <w:tr w:rsidRPr="00164813" w:rsidR="00E4355F" w:rsidTr="00E4010A" w14:paraId="46542E19" w14:textId="77777777">
        <w:tc>
          <w:tcPr>
            <w:tcW w:w="2093" w:type="dxa"/>
          </w:tcPr>
          <w:p w:rsidRPr="00164813" w:rsidR="00E4355F" w:rsidP="008B2E12" w:rsidRDefault="00E4355F" w14:paraId="7469D062" w14:textId="77777777">
            <w:pPr>
              <w:ind w:left="601"/>
              <w:contextualSpacing/>
              <w:rPr>
                <w:i/>
              </w:rPr>
            </w:pPr>
            <w:r>
              <w:rPr>
                <w:i/>
              </w:rPr>
              <w:t>E-naslov</w:t>
            </w:r>
          </w:p>
        </w:tc>
        <w:tc>
          <w:tcPr>
            <w:tcW w:w="5054" w:type="dxa"/>
          </w:tcPr>
          <w:p w:rsidRPr="00CE7111" w:rsidR="00E4355F" w:rsidP="008B2E12" w:rsidRDefault="00202D15" w14:paraId="1A6C4307" w14:textId="24ECDF82">
            <w:pPr>
              <w:contextualSpacing/>
              <w:rPr>
                <w:i/>
                <w:iCs/>
              </w:rPr>
            </w:pPr>
            <w:hyperlink w:history="1" r:id="rId25">
              <w:r w:rsidR="00EA2684">
                <w:rPr>
                  <w:rStyle w:val="Hyperlink"/>
                  <w:i/>
                </w:rPr>
                <w:t>Marco.Manfroni@eesc.europa.eu</w:t>
              </w:r>
            </w:hyperlink>
          </w:p>
        </w:tc>
      </w:tr>
      <w:bookmarkEnd w:id="12"/>
    </w:tbl>
    <w:p w:rsidRPr="009A3E0E" w:rsidR="004429E2" w:rsidP="004429E2" w:rsidRDefault="004429E2" w14:paraId="2469D4FC" w14:textId="77777777">
      <w:pPr>
        <w:pStyle w:val="ListParagraph"/>
        <w:ind w:left="567"/>
        <w:rPr>
          <w:b/>
          <w:bCs/>
          <w:i/>
          <w:iCs/>
        </w:rPr>
      </w:pPr>
    </w:p>
    <w:p w:rsidR="00353D37" w:rsidRDefault="00353D37" w14:paraId="3C139696" w14:textId="624721DC">
      <w:pPr>
        <w:spacing w:after="160" w:line="259" w:lineRule="auto"/>
        <w:jc w:val="left"/>
        <w:rPr>
          <w:b/>
          <w:bCs/>
          <w:i/>
          <w:iCs/>
          <w:sz w:val="28"/>
          <w:szCs w:val="28"/>
        </w:rPr>
      </w:pPr>
      <w:r>
        <w:br w:type="page"/>
      </w:r>
    </w:p>
    <w:p w:rsidRPr="009A3E0E" w:rsidR="00467BE4" w:rsidP="00E302BC" w:rsidRDefault="00467BE4" w14:paraId="5DEAD760" w14:textId="77777777">
      <w:pPr>
        <w:spacing w:after="160" w:line="259" w:lineRule="auto"/>
        <w:jc w:val="left"/>
        <w:rPr>
          <w:b/>
          <w:bCs/>
          <w:i/>
          <w:iCs/>
        </w:rPr>
      </w:pPr>
    </w:p>
    <w:p w:rsidRPr="00AA5C1D" w:rsidR="00AA5C1D" w:rsidP="00AA5C1D" w:rsidRDefault="00CE7111" w14:paraId="2EE2A332" w14:textId="5DEC9A71">
      <w:pPr>
        <w:pStyle w:val="ListParagraph"/>
        <w:numPr>
          <w:ilvl w:val="0"/>
          <w:numId w:val="2"/>
        </w:numPr>
        <w:ind w:left="567" w:hanging="567"/>
        <w:rPr>
          <w:b/>
          <w:bCs/>
          <w:i/>
          <w:iCs/>
          <w:sz w:val="28"/>
          <w:szCs w:val="28"/>
        </w:rPr>
      </w:pPr>
      <w:r>
        <w:rPr>
          <w:b/>
          <w:i/>
          <w:sz w:val="28"/>
        </w:rPr>
        <w:t>Pobuda o kratkoročnem najemu</w:t>
      </w:r>
    </w:p>
    <w:p w:rsidRPr="009B70E7" w:rsidR="00AA5C1D" w:rsidP="00AA5C1D" w:rsidRDefault="00AA5C1D" w14:paraId="02288197"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18"/>
        <w:gridCol w:w="5279"/>
      </w:tblGrid>
      <w:tr w:rsidRPr="007E7A4F" w:rsidR="00AA5C1D" w:rsidTr="00E4010A" w14:paraId="377CFA40" w14:textId="77777777">
        <w:tc>
          <w:tcPr>
            <w:tcW w:w="2518" w:type="dxa"/>
          </w:tcPr>
          <w:p w:rsidRPr="009B70E7" w:rsidR="00E302BC" w:rsidP="00DA68E9" w:rsidRDefault="00AA5C1D" w14:paraId="6700269D" w14:textId="28FEA0F8">
            <w:pPr>
              <w:pStyle w:val="ListParagraph"/>
              <w:ind w:left="0"/>
              <w:rPr>
                <w:b/>
              </w:rPr>
            </w:pPr>
            <w:r>
              <w:rPr>
                <w:b/>
              </w:rPr>
              <w:t>Poročevalec</w:t>
            </w:r>
          </w:p>
        </w:tc>
        <w:tc>
          <w:tcPr>
            <w:tcW w:w="5279" w:type="dxa"/>
          </w:tcPr>
          <w:p w:rsidRPr="00E4010A" w:rsidR="00E302BC" w:rsidP="00DA68E9" w:rsidRDefault="00CE7111" w14:paraId="0BD64E0D" w14:textId="7C27A742">
            <w:pPr>
              <w:pStyle w:val="ListParagraph"/>
              <w:ind w:left="-108"/>
            </w:pPr>
            <w:r>
              <w:t>Marinel Dănuț MURESAN (skupina delodajalcev – RO)</w:t>
            </w:r>
          </w:p>
        </w:tc>
      </w:tr>
      <w:tr w:rsidRPr="009B70E7" w:rsidR="00AA5C1D" w:rsidTr="00E4010A" w14:paraId="4E577528" w14:textId="77777777">
        <w:tc>
          <w:tcPr>
            <w:tcW w:w="2518" w:type="dxa"/>
          </w:tcPr>
          <w:p w:rsidRPr="009B70E7" w:rsidR="00AA5C1D" w:rsidP="00DA68E9" w:rsidRDefault="00AA5C1D" w14:paraId="7CEEDB52" w14:textId="1C12C238">
            <w:pPr>
              <w:pStyle w:val="ListParagraph"/>
              <w:ind w:left="0"/>
              <w:rPr>
                <w:b/>
              </w:rPr>
            </w:pPr>
            <w:r>
              <w:rPr>
                <w:b/>
              </w:rPr>
              <w:t xml:space="preserve">Referenčna dokumenta </w:t>
            </w:r>
          </w:p>
        </w:tc>
        <w:tc>
          <w:tcPr>
            <w:tcW w:w="5279" w:type="dxa"/>
          </w:tcPr>
          <w:p w:rsidRPr="009B70E7" w:rsidR="00AA5C1D" w:rsidP="00DA68E9" w:rsidRDefault="004429E2" w14:paraId="7260D9BD" w14:textId="1B57CCA2">
            <w:pPr>
              <w:tabs>
                <w:tab w:val="center" w:pos="284"/>
              </w:tabs>
              <w:ind w:left="266" w:hanging="374"/>
            </w:pPr>
            <w:r>
              <w:t>COM(2022) 571 final</w:t>
            </w:r>
          </w:p>
          <w:p w:rsidRPr="009B70E7" w:rsidR="00AA5C1D" w:rsidP="00DA68E9" w:rsidRDefault="00AA5C1D" w14:paraId="088E18BB" w14:textId="5F2F4FD6">
            <w:pPr>
              <w:pStyle w:val="ListParagraph"/>
              <w:ind w:left="-108"/>
            </w:pPr>
            <w:r>
              <w:t>EESC-2022-05400-00-00-AC</w:t>
            </w:r>
          </w:p>
        </w:tc>
      </w:tr>
    </w:tbl>
    <w:p w:rsidRPr="009B70E7" w:rsidR="00AA5C1D" w:rsidP="00AA5C1D" w:rsidRDefault="00AA5C1D" w14:paraId="0C36545B" w14:textId="77777777">
      <w:pPr>
        <w:pStyle w:val="ListParagraph"/>
        <w:ind w:left="0"/>
        <w:rPr>
          <w:b/>
        </w:rPr>
      </w:pPr>
    </w:p>
    <w:p w:rsidRPr="00A00F37" w:rsidR="00AA5C1D" w:rsidP="00E302BC" w:rsidRDefault="00AA5C1D" w14:paraId="1B4ECBDA" w14:textId="320EA1A2">
      <w:pPr>
        <w:pStyle w:val="ListParagraph"/>
        <w:spacing w:line="240" w:lineRule="auto"/>
        <w:ind w:left="0"/>
        <w:rPr>
          <w:b/>
        </w:rPr>
      </w:pPr>
      <w:r>
        <w:rPr>
          <w:b/>
        </w:rPr>
        <w:t>Glavne točke</w:t>
      </w:r>
    </w:p>
    <w:p w:rsidRPr="0018231C" w:rsidR="00AA5C1D" w:rsidP="00AA5C1D" w:rsidRDefault="00AA5C1D" w14:paraId="38EF24CA" w14:textId="77777777">
      <w:pPr>
        <w:pStyle w:val="ListParagraph"/>
        <w:ind w:left="0"/>
        <w:rPr>
          <w:lang w:val="fr-FR"/>
        </w:rPr>
      </w:pPr>
    </w:p>
    <w:p w:rsidR="00AA5C1D" w:rsidP="00E302BC" w:rsidRDefault="00AA5C1D" w14:paraId="496334DF" w14:textId="77777777">
      <w:pPr>
        <w:pStyle w:val="ListParagraph"/>
        <w:spacing w:line="240" w:lineRule="auto"/>
        <w:ind w:left="0"/>
      </w:pPr>
      <w:r>
        <w:t>EESO:</w:t>
      </w:r>
    </w:p>
    <w:p w:rsidRPr="0018231C" w:rsidR="00AA5C1D" w:rsidP="00AA5C1D" w:rsidRDefault="00AA5C1D" w14:paraId="7DF02088" w14:textId="77777777">
      <w:pPr>
        <w:pStyle w:val="ListParagraph"/>
        <w:ind w:left="0"/>
        <w:rPr>
          <w:lang w:val="fr-FR"/>
        </w:rPr>
      </w:pPr>
    </w:p>
    <w:p w:rsidRPr="00A3344B" w:rsidR="00AA5C1D" w:rsidP="00AA5C1D" w:rsidRDefault="00CE7111" w14:paraId="001CF33A" w14:textId="7D03E0B9">
      <w:pPr>
        <w:numPr>
          <w:ilvl w:val="0"/>
          <w:numId w:val="3"/>
        </w:numPr>
        <w:overflowPunct w:val="0"/>
        <w:autoSpaceDE w:val="0"/>
        <w:autoSpaceDN w:val="0"/>
        <w:adjustRightInd w:val="0"/>
        <w:ind w:left="357" w:hanging="357"/>
        <w:textAlignment w:val="baseline"/>
      </w:pPr>
      <w:r>
        <w:t xml:space="preserve">priporoča uvedbo mehanizmov, predlaganih v uredbi, ki bi omogočil razvoj lojalnejše konkurence za dejavnosti kratkoročnega najema ter varnejše, preglednejše in ustrezne ponudbe storitev kratkoročnega najema, ter </w:t>
      </w:r>
      <w:r>
        <w:rPr>
          <w:b/>
        </w:rPr>
        <w:t>nacionalnim in lokalnim organom zagotovili učinkovita orodja za prilagoditev dejavnosti kratkoročnega najema nastanitve</w:t>
      </w:r>
      <w:r>
        <w:t xml:space="preserve"> lokalnim okoliščinam in potrebam v različnih delih EU;</w:t>
      </w:r>
    </w:p>
    <w:p w:rsidRPr="00A3344B" w:rsidR="00AA5C1D" w:rsidP="00AA5C1D" w:rsidRDefault="00CE7111" w14:paraId="71ABA83F" w14:textId="3DF12B73">
      <w:pPr>
        <w:numPr>
          <w:ilvl w:val="0"/>
          <w:numId w:val="3"/>
        </w:numPr>
        <w:overflowPunct w:val="0"/>
        <w:autoSpaceDE w:val="0"/>
        <w:autoSpaceDN w:val="0"/>
        <w:adjustRightInd w:val="0"/>
        <w:ind w:left="357" w:hanging="357"/>
        <w:textAlignment w:val="baseline"/>
      </w:pPr>
      <w:r>
        <w:t xml:space="preserve">priporoča Komisiji, naj v uredbi določi, da nacionalni in/ali lokalni organi izvajajo </w:t>
      </w:r>
      <w:r>
        <w:rPr>
          <w:b/>
        </w:rPr>
        <w:t>redne ocene učinka</w:t>
      </w:r>
      <w:r>
        <w:t xml:space="preserve"> dejavnosti kratkoročnega najema nastanitve;</w:t>
      </w:r>
    </w:p>
    <w:p w:rsidR="00E63571" w:rsidP="00AA5C1D" w:rsidRDefault="00CE7111" w14:paraId="4C4CEA31" w14:textId="71D1086F">
      <w:pPr>
        <w:numPr>
          <w:ilvl w:val="0"/>
          <w:numId w:val="3"/>
        </w:numPr>
        <w:overflowPunct w:val="0"/>
        <w:autoSpaceDE w:val="0"/>
        <w:autoSpaceDN w:val="0"/>
        <w:adjustRightInd w:val="0"/>
        <w:ind w:left="357" w:hanging="357"/>
        <w:textAlignment w:val="baseline"/>
      </w:pPr>
      <w:r>
        <w:t xml:space="preserve">meni, da bi lahko namesto zahtev za pridobitev dovoljenja uvedli </w:t>
      </w:r>
      <w:r>
        <w:rPr>
          <w:b/>
        </w:rPr>
        <w:t>sistem zavarovalnih polic, ki jih za svoje enote sklenejo gostitelji</w:t>
      </w:r>
      <w:r>
        <w:t xml:space="preserve"> in krijejo večino tveganj, ki izhajajo iz dejavnosti kratkoročnega najema, saj bi zavarovalnice pri sklepanju polic preverjale, ali gostitelji spoštujejo pravila;</w:t>
      </w:r>
    </w:p>
    <w:p w:rsidR="00CE7111" w:rsidP="00AA5C1D" w:rsidRDefault="00CE7111" w14:paraId="7B3D886D" w14:textId="740E33B6">
      <w:pPr>
        <w:numPr>
          <w:ilvl w:val="0"/>
          <w:numId w:val="3"/>
        </w:numPr>
        <w:overflowPunct w:val="0"/>
        <w:autoSpaceDE w:val="0"/>
        <w:autoSpaceDN w:val="0"/>
        <w:adjustRightInd w:val="0"/>
        <w:ind w:left="357" w:hanging="357"/>
        <w:textAlignment w:val="baseline"/>
      </w:pPr>
      <w:r>
        <w:t xml:space="preserve">predlaga sprejetje </w:t>
      </w:r>
      <w:r>
        <w:rPr>
          <w:b/>
        </w:rPr>
        <w:t>standardiziranega pristopa glede obsega informacij, ki jih je treba sporočiti za vse dejavnosti kratkoročnega najema</w:t>
      </w:r>
      <w:r>
        <w:t>, ki bi ga usmerjale evropske institucije. Tako bi nacionalni in lokalni organi lažje sprejemali odločitve v skladu z interesi ustreznih skupnosti. Olajšala bi se souporaba podatkov med organi in izboljšalo spoštovanje pravil, oblasti pa bi lahko sprejele ustrezne ukrepe na podlagi analiz na ravni EU in lokalni ravni;</w:t>
      </w:r>
    </w:p>
    <w:p w:rsidR="00CE7111" w:rsidP="00AA5C1D" w:rsidRDefault="00CE7111" w14:paraId="5FE2D52F" w14:textId="52E6337E">
      <w:pPr>
        <w:numPr>
          <w:ilvl w:val="0"/>
          <w:numId w:val="3"/>
        </w:numPr>
        <w:overflowPunct w:val="0"/>
        <w:autoSpaceDE w:val="0"/>
        <w:autoSpaceDN w:val="0"/>
        <w:adjustRightInd w:val="0"/>
        <w:ind w:left="357" w:hanging="357"/>
        <w:textAlignment w:val="baseline"/>
      </w:pPr>
      <w:r>
        <w:t xml:space="preserve">priporoča, da se v uredbi določi, da bodo institucije EU neposredno ali prek nacionalnih in lokalnih organov obveščale vse deležnike na področju kratkoročnega najema </w:t>
      </w:r>
      <w:r>
        <w:rPr>
          <w:b/>
        </w:rPr>
        <w:t>o vseh pomembnih tekočih ali predvidenih dogodkih</w:t>
      </w:r>
      <w:r>
        <w:t xml:space="preserve"> v zvezi z dejavnostmi kratkoročnega najema, ki bi lahko vplivali na gospodarstvo, družbo, okolje ali javno varnost na posameznih območjih.</w:t>
      </w:r>
    </w:p>
    <w:p w:rsidRPr="009A3E0E" w:rsidR="00AA5C1D" w:rsidP="00AA5C1D" w:rsidRDefault="00AA5C1D" w14:paraId="11FB1396" w14:textId="77777777">
      <w:pPr>
        <w:spacing w:after="160" w:line="259" w:lineRule="auto"/>
        <w:jc w:val="left"/>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5054"/>
      </w:tblGrid>
      <w:tr w:rsidRPr="00164813" w:rsidR="00AA5C1D" w:rsidTr="00E4010A" w14:paraId="41C508F8" w14:textId="77777777">
        <w:tc>
          <w:tcPr>
            <w:tcW w:w="2093" w:type="dxa"/>
          </w:tcPr>
          <w:p w:rsidRPr="00164813" w:rsidR="00AA5C1D" w:rsidP="00DA68E9" w:rsidRDefault="00AA5C1D" w14:paraId="682B16C4" w14:textId="247691B3">
            <w:pPr>
              <w:contextualSpacing/>
              <w:rPr>
                <w:i/>
              </w:rPr>
            </w:pPr>
            <w:r>
              <w:rPr>
                <w:b/>
                <w:i/>
              </w:rPr>
              <w:t>Kontaktna oseba</w:t>
            </w:r>
          </w:p>
        </w:tc>
        <w:tc>
          <w:tcPr>
            <w:tcW w:w="5054" w:type="dxa"/>
          </w:tcPr>
          <w:p w:rsidRPr="00164813" w:rsidR="00AA5C1D" w:rsidP="00DA68E9" w:rsidRDefault="00CE7111" w14:paraId="58153CA9" w14:textId="21DFF664">
            <w:pPr>
              <w:contextualSpacing/>
              <w:rPr>
                <w:i/>
              </w:rPr>
            </w:pPr>
            <w:r>
              <w:rPr>
                <w:i/>
              </w:rPr>
              <w:t xml:space="preserve">Silvia </w:t>
            </w:r>
            <w:r w:rsidR="00E4010A">
              <w:rPr>
                <w:i/>
              </w:rPr>
              <w:t>STAFFA</w:t>
            </w:r>
          </w:p>
        </w:tc>
      </w:tr>
      <w:tr w:rsidRPr="00164813" w:rsidR="00AA5C1D" w:rsidTr="00E4010A" w14:paraId="72CAC45A" w14:textId="77777777">
        <w:tc>
          <w:tcPr>
            <w:tcW w:w="2093" w:type="dxa"/>
          </w:tcPr>
          <w:p w:rsidRPr="00164813" w:rsidR="00AA5C1D" w:rsidP="00DA68E9" w:rsidRDefault="00AA5C1D" w14:paraId="3EF5E950" w14:textId="73C04D47">
            <w:pPr>
              <w:ind w:left="601"/>
              <w:contextualSpacing/>
              <w:rPr>
                <w:i/>
              </w:rPr>
            </w:pPr>
            <w:r>
              <w:rPr>
                <w:i/>
              </w:rPr>
              <w:t>Telefon</w:t>
            </w:r>
          </w:p>
        </w:tc>
        <w:tc>
          <w:tcPr>
            <w:tcW w:w="5054" w:type="dxa"/>
          </w:tcPr>
          <w:p w:rsidRPr="00164813" w:rsidR="00AA5C1D" w:rsidP="00DA68E9" w:rsidRDefault="00AA5C1D" w14:paraId="7B046605" w14:textId="67695B49">
            <w:pPr>
              <w:contextualSpacing/>
              <w:rPr>
                <w:i/>
              </w:rPr>
            </w:pPr>
            <w:r>
              <w:rPr>
                <w:i/>
              </w:rPr>
              <w:t>00 32 2 546 83 78</w:t>
            </w:r>
          </w:p>
        </w:tc>
      </w:tr>
      <w:tr w:rsidRPr="00164813" w:rsidR="00AA5C1D" w:rsidTr="00E4010A" w14:paraId="73DA6362" w14:textId="77777777">
        <w:tc>
          <w:tcPr>
            <w:tcW w:w="2093" w:type="dxa"/>
          </w:tcPr>
          <w:p w:rsidRPr="00164813" w:rsidR="00AA5C1D" w:rsidP="00DA68E9" w:rsidRDefault="00AA5C1D" w14:paraId="67DB9852" w14:textId="3361810C">
            <w:pPr>
              <w:ind w:left="601"/>
              <w:contextualSpacing/>
              <w:rPr>
                <w:i/>
              </w:rPr>
            </w:pPr>
            <w:r>
              <w:rPr>
                <w:i/>
              </w:rPr>
              <w:t>E-naslov</w:t>
            </w:r>
          </w:p>
        </w:tc>
        <w:tc>
          <w:tcPr>
            <w:tcW w:w="5054" w:type="dxa"/>
          </w:tcPr>
          <w:p w:rsidRPr="00CE7111" w:rsidR="00AA5C1D" w:rsidP="009A3E0E" w:rsidRDefault="00202D15" w14:paraId="49BD07A0" w14:textId="1A85E293">
            <w:pPr>
              <w:contextualSpacing/>
              <w:rPr>
                <w:i/>
                <w:iCs/>
              </w:rPr>
            </w:pPr>
            <w:hyperlink w:history="1" r:id="rId26">
              <w:r w:rsidR="00EA2684">
                <w:rPr>
                  <w:rStyle w:val="Hyperlink"/>
                  <w:i/>
                </w:rPr>
                <w:t>Silvia.Staffa@eesc.europa.eu</w:t>
              </w:r>
            </w:hyperlink>
          </w:p>
        </w:tc>
      </w:tr>
    </w:tbl>
    <w:p w:rsidRPr="00CE7111" w:rsidR="000A558D" w:rsidRDefault="00467BE4" w14:paraId="4E3BBDCF" w14:textId="14AF1643">
      <w:pPr>
        <w:spacing w:after="160" w:line="259" w:lineRule="auto"/>
        <w:jc w:val="left"/>
        <w:rPr>
          <w:sz w:val="28"/>
        </w:rPr>
      </w:pPr>
      <w:r>
        <w:br w:type="page"/>
      </w:r>
    </w:p>
    <w:p w:rsidRPr="009B70E7" w:rsidR="002E01B5" w:rsidP="0018231C" w:rsidRDefault="004D7AC0" w14:paraId="6C52985F" w14:textId="77777777">
      <w:pPr>
        <w:pStyle w:val="Heading1"/>
        <w:keepNext/>
        <w:rPr>
          <w:b/>
        </w:rPr>
      </w:pPr>
      <w:bookmarkStart w:name="_Toc70322234" w:id="13"/>
      <w:bookmarkStart w:name="_Toc75527084" w:id="14"/>
      <w:bookmarkStart w:name="_Toc129693945" w:id="15"/>
      <w:r>
        <w:rPr>
          <w:b/>
        </w:rPr>
        <w:t>KMETIJSTVO, RAZVOJ PODEŽELJA IN OKOLJE</w:t>
      </w:r>
      <w:bookmarkEnd w:id="13"/>
      <w:bookmarkEnd w:id="14"/>
      <w:bookmarkEnd w:id="15"/>
    </w:p>
    <w:p w:rsidRPr="009B70E7" w:rsidR="009173E7" w:rsidP="1EBA916B" w:rsidRDefault="009173E7" w14:paraId="37AC66EE" w14:textId="77777777">
      <w:pPr>
        <w:keepNext/>
      </w:pPr>
    </w:p>
    <w:p w:rsidRPr="009B70E7" w:rsidR="00AC7690" w:rsidP="00E4010A" w:rsidRDefault="00CE7111" w14:paraId="6BF57A05" w14:textId="35CA4AF4">
      <w:pPr>
        <w:pStyle w:val="ListParagraph"/>
        <w:keepNext/>
        <w:numPr>
          <w:ilvl w:val="0"/>
          <w:numId w:val="2"/>
        </w:numPr>
        <w:spacing w:line="240" w:lineRule="auto"/>
        <w:ind w:left="567" w:hanging="567"/>
        <w:rPr>
          <w:b/>
          <w:i/>
          <w:sz w:val="28"/>
          <w:szCs w:val="28"/>
        </w:rPr>
      </w:pPr>
      <w:r>
        <w:rPr>
          <w:b/>
          <w:i/>
          <w:sz w:val="28"/>
        </w:rPr>
        <w:t>Revizija direktive o čiščenju komunalnih odpadnih voda</w:t>
      </w:r>
    </w:p>
    <w:p w:rsidRPr="009B70E7" w:rsidR="004D7AC0" w:rsidP="00E4010A" w:rsidRDefault="004D7AC0" w14:paraId="43570F8C" w14:textId="77777777">
      <w:pPr>
        <w:pStyle w:val="ListParagraph"/>
        <w:keepNext/>
        <w:spacing w:line="240" w:lineRule="auto"/>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18"/>
        <w:gridCol w:w="6237"/>
      </w:tblGrid>
      <w:tr w:rsidRPr="009B70E7" w:rsidR="004D7AC0" w:rsidTr="00E4010A" w14:paraId="32C9FAF0" w14:textId="77777777">
        <w:tc>
          <w:tcPr>
            <w:tcW w:w="2518" w:type="dxa"/>
          </w:tcPr>
          <w:p w:rsidRPr="009B70E7" w:rsidR="004D7AC0" w:rsidP="00E4010A" w:rsidRDefault="004D7AC0" w14:paraId="7DFC3FE7" w14:textId="014FFCAB">
            <w:pPr>
              <w:pStyle w:val="ListParagraph"/>
              <w:keepNext/>
              <w:spacing w:line="240" w:lineRule="auto"/>
              <w:ind w:left="0"/>
              <w:rPr>
                <w:b/>
              </w:rPr>
            </w:pPr>
            <w:r>
              <w:rPr>
                <w:b/>
              </w:rPr>
              <w:t>Poročevalec</w:t>
            </w:r>
          </w:p>
        </w:tc>
        <w:tc>
          <w:tcPr>
            <w:tcW w:w="6237" w:type="dxa"/>
          </w:tcPr>
          <w:p w:rsidRPr="009B70E7" w:rsidR="004D7AC0" w:rsidP="00E4010A" w:rsidRDefault="00CE7111" w14:paraId="512C7D26" w14:textId="2BA3CA38">
            <w:pPr>
              <w:pStyle w:val="ListParagraph"/>
              <w:keepNext/>
              <w:spacing w:line="240" w:lineRule="auto"/>
              <w:ind w:left="-106"/>
            </w:pPr>
            <w:r>
              <w:t>Stoyan TCHOUKANOV (skupina organizacij civilne družbe – BG)</w:t>
            </w:r>
          </w:p>
        </w:tc>
      </w:tr>
    </w:tbl>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18"/>
        <w:gridCol w:w="6237"/>
      </w:tblGrid>
      <w:tr w:rsidRPr="00032038" w:rsidR="0005110E" w:rsidTr="00E4010A" w14:paraId="2F855FDD" w14:textId="77777777">
        <w:tc>
          <w:tcPr>
            <w:tcW w:w="2518" w:type="dxa"/>
          </w:tcPr>
          <w:p w:rsidRPr="00032038" w:rsidR="0005110E" w:rsidP="00E4010A" w:rsidRDefault="0005110E" w14:paraId="6DB55280" w14:textId="41CA7BCA">
            <w:pPr>
              <w:spacing w:line="240" w:lineRule="auto"/>
              <w:contextualSpacing/>
              <w:rPr>
                <w:b/>
              </w:rPr>
            </w:pPr>
            <w:r>
              <w:rPr>
                <w:b/>
              </w:rPr>
              <w:t xml:space="preserve">Referenčna dokumenta </w:t>
            </w:r>
          </w:p>
        </w:tc>
        <w:tc>
          <w:tcPr>
            <w:tcW w:w="6237" w:type="dxa"/>
          </w:tcPr>
          <w:p w:rsidRPr="00032038" w:rsidR="0005110E" w:rsidP="00E4010A" w:rsidRDefault="001140AE" w14:paraId="602AF089" w14:textId="4B5CCB86">
            <w:pPr>
              <w:tabs>
                <w:tab w:val="center" w:pos="284"/>
              </w:tabs>
              <w:spacing w:line="240" w:lineRule="auto"/>
              <w:ind w:left="266" w:right="-534" w:hanging="374"/>
            </w:pPr>
            <w:r>
              <w:t>COM(2022) 541 final</w:t>
            </w:r>
          </w:p>
          <w:p w:rsidRPr="00032038" w:rsidR="0005110E" w:rsidP="00E4010A" w:rsidRDefault="0005110E" w14:paraId="6A5A914E" w14:textId="171B8137">
            <w:pPr>
              <w:spacing w:line="240" w:lineRule="auto"/>
              <w:ind w:left="-108"/>
              <w:contextualSpacing/>
            </w:pPr>
            <w:r>
              <w:t>EESC-2022-05433-00-00-AC</w:t>
            </w:r>
          </w:p>
        </w:tc>
      </w:tr>
    </w:tbl>
    <w:p w:rsidRPr="002C4B6E" w:rsidR="0005110E" w:rsidP="00E4010A" w:rsidRDefault="0005110E" w14:paraId="63F4FD2B" w14:textId="77777777">
      <w:pPr>
        <w:pStyle w:val="ListParagraph"/>
        <w:spacing w:line="240" w:lineRule="auto"/>
        <w:ind w:left="-142" w:firstLine="142"/>
        <w:rPr>
          <w:b/>
        </w:rPr>
      </w:pPr>
    </w:p>
    <w:p w:rsidRPr="00A00F37" w:rsidR="004D7AC0" w:rsidP="00E4010A" w:rsidRDefault="004D7AC0" w14:paraId="63F2D92D" w14:textId="5F76C7A8">
      <w:pPr>
        <w:pStyle w:val="ListParagraph"/>
        <w:spacing w:line="240" w:lineRule="auto"/>
        <w:ind w:left="0"/>
        <w:rPr>
          <w:b/>
        </w:rPr>
      </w:pPr>
      <w:r>
        <w:rPr>
          <w:b/>
        </w:rPr>
        <w:t>Glavne točke</w:t>
      </w:r>
    </w:p>
    <w:p w:rsidR="001513FD" w:rsidP="00E4010A" w:rsidRDefault="001513FD" w14:paraId="76827606" w14:textId="77777777">
      <w:pPr>
        <w:pStyle w:val="ListParagraph"/>
        <w:keepNext/>
        <w:spacing w:line="240" w:lineRule="auto"/>
        <w:ind w:left="0"/>
      </w:pPr>
    </w:p>
    <w:p w:rsidR="00E54548" w:rsidP="00E4010A" w:rsidRDefault="00E54548" w14:paraId="05F6CCDA" w14:textId="77777777">
      <w:pPr>
        <w:pStyle w:val="ListParagraph"/>
        <w:spacing w:line="240" w:lineRule="auto"/>
        <w:ind w:left="0"/>
      </w:pPr>
      <w:r>
        <w:t>EESO:</w:t>
      </w:r>
    </w:p>
    <w:p w:rsidR="00E54548" w:rsidP="00E4010A" w:rsidRDefault="00E54548" w14:paraId="681D86A8" w14:textId="77777777">
      <w:pPr>
        <w:pStyle w:val="ListParagraph"/>
        <w:keepNext/>
        <w:spacing w:line="240" w:lineRule="auto"/>
        <w:ind w:left="0"/>
      </w:pPr>
    </w:p>
    <w:p w:rsidRPr="00D979E8" w:rsidR="00D979E8" w:rsidP="00BE6D5A" w:rsidRDefault="00CE7111" w14:paraId="600005EF" w14:textId="5C5AF22B">
      <w:pPr>
        <w:numPr>
          <w:ilvl w:val="0"/>
          <w:numId w:val="3"/>
        </w:numPr>
        <w:ind w:left="357" w:hanging="357"/>
        <w:contextualSpacing/>
      </w:pPr>
      <w:r>
        <w:t>meni, da je čista voda vir, ki je strateško pomemben za delovanje naše družbe in odporno gospodarstvo EU ter okolje in zdravje ljudi, zato jo je treba obravnavati z ustrezno skrbnostjo. Približno 60 % vodnih območij EU je čezmejnih in zato zahteva čezmejno sodelovanje. Nedavna ekološka katastrofa na Odri bi morala biti svarilo za to, kaj lahko povzroči pomanjkanje sodelovanja in preglednosti;</w:t>
      </w:r>
    </w:p>
    <w:p w:rsidR="00D979E8" w:rsidP="001140AE" w:rsidRDefault="00CE7111" w14:paraId="22353103" w14:textId="273DFF91">
      <w:pPr>
        <w:numPr>
          <w:ilvl w:val="0"/>
          <w:numId w:val="3"/>
        </w:numPr>
        <w:ind w:left="357" w:hanging="357"/>
        <w:contextualSpacing/>
      </w:pPr>
      <w:r>
        <w:t>meni, da je treba onesnaževanje vselej v prvi vrsti obravnavati pri viru, vendar priznava, da je čiščenje komunalnih odpadnih voda pomemben zadnji korak za zaščito sprejemnih voda, ki koristi okolju, človekovemu zdravju in družbi;</w:t>
      </w:r>
    </w:p>
    <w:p w:rsidR="00CE7111" w:rsidP="001140AE" w:rsidRDefault="00CE7111" w14:paraId="108212A7" w14:textId="286DBA1D">
      <w:pPr>
        <w:numPr>
          <w:ilvl w:val="0"/>
          <w:numId w:val="3"/>
        </w:numPr>
        <w:ind w:left="357" w:hanging="357"/>
        <w:contextualSpacing/>
      </w:pPr>
      <w:r>
        <w:t>odločno podpira predlog o razširjeni odgovornosti proizvajalca, ki proizvajalce zavezuje h kritju stroškov odstranjevanja mikroonesnaževal iz odpadnih voda, ki izvirajo iz njihovih izdelkov. Vendar bo to učinkovito le, če bodo izjeme strogo omejene;</w:t>
      </w:r>
    </w:p>
    <w:p w:rsidR="00CE7111" w:rsidP="001140AE" w:rsidRDefault="00CE7111" w14:paraId="1489AD99" w14:textId="3D3224A1">
      <w:pPr>
        <w:numPr>
          <w:ilvl w:val="0"/>
          <w:numId w:val="3"/>
        </w:numPr>
        <w:ind w:left="357" w:hanging="357"/>
        <w:contextualSpacing/>
      </w:pPr>
      <w:r>
        <w:t>pozdravlja predlog, da se izbrane komunalne čistilne naprave opremijo z dodatnimi sistemi čiščenja za odstranjevanje mikroonesnaževal, ter opozarja, da bodo potrebna velika prizadevanja za odpravo starih standardov in uvedbo inovativnih načinov čiščenja. Meni tudi, da je treba omogočiti decentralizirane rešitve z namestitvijo majhnih naprav, pri čemer je treba posebno pozornost nameniti funkcionalnosti, če bo področje uporabe direktive razširjeno na aglomeracije s populacijskim ekvivalentom (PE) večjim od 1000;</w:t>
      </w:r>
    </w:p>
    <w:p w:rsidR="00CE7111" w:rsidP="001140AE" w:rsidRDefault="00895C48" w14:paraId="47B40A35" w14:textId="43FFECED">
      <w:pPr>
        <w:numPr>
          <w:ilvl w:val="0"/>
          <w:numId w:val="3"/>
        </w:numPr>
        <w:ind w:left="357" w:hanging="357"/>
        <w:contextualSpacing/>
      </w:pPr>
      <w:r>
        <w:t>meni, da bi morala biti v direktivi določena zgornja meja koncentracije prelivov kanalizacije, javnosti pa bi bilo treba v celoti poročati o obremenitvi z onesnaževali, ki jo povzročajo prelivi. Odtok urbanih padavinskih voda v obliki onesnažene deževnice (vključno s snegom) z mestnih območij, npr. cest, bi bilo treba zbirati in ustrezno očistiti, preden se ga odvede v sprejemne vode. Preventivni ukrepi, kot so modro-zelene rešitve za zajemanje in zadrževanje deževnice, npr. zelene strehe ali deževni vrtovi, razbremenjujejo kanalizacijo in imajo številne dodatne koristi za mestno krajino;</w:t>
      </w:r>
    </w:p>
    <w:p w:rsidR="00895C48" w:rsidP="001140AE" w:rsidRDefault="00895C48" w14:paraId="4C311F42" w14:textId="5E91D500">
      <w:pPr>
        <w:numPr>
          <w:ilvl w:val="0"/>
          <w:numId w:val="3"/>
        </w:numPr>
        <w:ind w:left="357" w:hanging="357"/>
        <w:contextualSpacing/>
      </w:pPr>
      <w:r>
        <w:t>je zaskrbljen, ker oskrbo z vodo in sanitarno oskrbo, ki sta sicer javni storitvi, včasih izvajajo zasebna podjetja. Sprejeti je treba pravila in predpise, s katerimi se zagotovi, da se javne storitve ne izvajajo zaradi dobička ter da se prihodki vlagajo v vzdrževanje in izboljšanje storitev. Države članice bi morale prednostno poskrbeti za cenovno dostopnost vode;</w:t>
      </w:r>
    </w:p>
    <w:p w:rsidR="00895C48" w:rsidP="001140AE" w:rsidRDefault="00895C48" w14:paraId="1BA54FE5" w14:textId="1E3E62A6">
      <w:pPr>
        <w:numPr>
          <w:ilvl w:val="0"/>
          <w:numId w:val="3"/>
        </w:numPr>
        <w:ind w:left="357" w:hanging="357"/>
        <w:contextualSpacing/>
      </w:pPr>
      <w:r>
        <w:t>poziva evropske institucije, naj začnejo vodo obravnavati kot prednostno nalogo in pripravijo evropski modri dogovor – korenito prizadevanje za predvidevanje potreb, ohranjanje vodnih virov in ustrezno obvladovanje povezanih izzivov s celovitim in usklajenim časovnim načrtom, v katerem so določeni ambiciozni cilji in ukrepi, povezani z opredeljenimi mejniki. EESO bo v letu 2023 pripravil konkretne predloge za evropski modri dogovor.</w:t>
      </w:r>
    </w:p>
    <w:p w:rsidRPr="009B70E7" w:rsidR="005D55F5" w:rsidP="00E4010A" w:rsidRDefault="005D55F5" w14:paraId="7408EE4D" w14:textId="77777777">
      <w:pPr>
        <w:widowControl w:val="0"/>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1"/>
        <w:gridCol w:w="5196"/>
      </w:tblGrid>
      <w:tr w:rsidRPr="009B70E7" w:rsidR="001140AE" w:rsidTr="00E4010A" w14:paraId="0DE8B899" w14:textId="77777777">
        <w:tc>
          <w:tcPr>
            <w:tcW w:w="1951" w:type="dxa"/>
          </w:tcPr>
          <w:p w:rsidRPr="009B70E7" w:rsidR="001140AE" w:rsidP="00E4010A" w:rsidRDefault="001140AE" w14:paraId="0CF7DD61" w14:textId="77777777">
            <w:pPr>
              <w:pStyle w:val="ListParagraph"/>
              <w:spacing w:line="240" w:lineRule="auto"/>
              <w:ind w:left="0"/>
              <w:rPr>
                <w:i/>
              </w:rPr>
            </w:pPr>
            <w:r>
              <w:rPr>
                <w:b/>
                <w:i/>
              </w:rPr>
              <w:t>Kontaktna oseba</w:t>
            </w:r>
          </w:p>
        </w:tc>
        <w:tc>
          <w:tcPr>
            <w:tcW w:w="5196" w:type="dxa"/>
          </w:tcPr>
          <w:p w:rsidRPr="009B70E7" w:rsidR="001140AE" w:rsidP="00E4010A" w:rsidRDefault="00895C48" w14:paraId="1BF4803F" w14:textId="27D4E333">
            <w:pPr>
              <w:pStyle w:val="ListParagraph"/>
              <w:spacing w:line="240" w:lineRule="auto"/>
              <w:ind w:left="0"/>
              <w:rPr>
                <w:i/>
              </w:rPr>
            </w:pPr>
            <w:r>
              <w:rPr>
                <w:i/>
              </w:rPr>
              <w:t xml:space="preserve">Gaia </w:t>
            </w:r>
            <w:r w:rsidR="00E4010A">
              <w:rPr>
                <w:i/>
              </w:rPr>
              <w:t>BOTTONI</w:t>
            </w:r>
          </w:p>
        </w:tc>
      </w:tr>
      <w:tr w:rsidRPr="009B70E7" w:rsidR="001140AE" w:rsidTr="00E4010A" w14:paraId="2B44B02A" w14:textId="77777777">
        <w:tc>
          <w:tcPr>
            <w:tcW w:w="1951" w:type="dxa"/>
          </w:tcPr>
          <w:p w:rsidRPr="009B70E7" w:rsidR="001140AE" w:rsidP="00E4010A" w:rsidRDefault="001140AE" w14:paraId="33FE728A" w14:textId="77777777">
            <w:pPr>
              <w:pStyle w:val="ListParagraph"/>
              <w:spacing w:line="240" w:lineRule="auto"/>
              <w:ind w:left="601"/>
              <w:rPr>
                <w:i/>
              </w:rPr>
            </w:pPr>
            <w:r>
              <w:rPr>
                <w:i/>
              </w:rPr>
              <w:t>Telefon</w:t>
            </w:r>
          </w:p>
        </w:tc>
        <w:tc>
          <w:tcPr>
            <w:tcW w:w="5196" w:type="dxa"/>
          </w:tcPr>
          <w:p w:rsidRPr="009B70E7" w:rsidR="001140AE" w:rsidP="00E4010A" w:rsidRDefault="001140AE" w14:paraId="437CF15F" w14:textId="12B3760F">
            <w:pPr>
              <w:pStyle w:val="ListParagraph"/>
              <w:spacing w:line="240" w:lineRule="auto"/>
              <w:ind w:left="0"/>
              <w:rPr>
                <w:i/>
              </w:rPr>
            </w:pPr>
            <w:r>
              <w:rPr>
                <w:i/>
              </w:rPr>
              <w:t>00 32 2 546 94 47</w:t>
            </w:r>
          </w:p>
        </w:tc>
      </w:tr>
      <w:tr w:rsidRPr="005D55F5" w:rsidR="001140AE" w:rsidTr="00E4010A" w14:paraId="06C6BD47" w14:textId="77777777">
        <w:tc>
          <w:tcPr>
            <w:tcW w:w="1951" w:type="dxa"/>
          </w:tcPr>
          <w:p w:rsidRPr="009B70E7" w:rsidR="001140AE" w:rsidP="00E4010A" w:rsidRDefault="001140AE" w14:paraId="05270F42" w14:textId="77777777">
            <w:pPr>
              <w:pStyle w:val="ListParagraph"/>
              <w:spacing w:line="240" w:lineRule="auto"/>
              <w:ind w:left="601"/>
              <w:rPr>
                <w:i/>
              </w:rPr>
            </w:pPr>
            <w:r>
              <w:rPr>
                <w:i/>
              </w:rPr>
              <w:t>E-naslov</w:t>
            </w:r>
          </w:p>
        </w:tc>
        <w:tc>
          <w:tcPr>
            <w:tcW w:w="5196" w:type="dxa"/>
          </w:tcPr>
          <w:p w:rsidRPr="005D55F5" w:rsidR="001140AE" w:rsidP="00E4010A" w:rsidRDefault="00202D15" w14:paraId="5D4A4F08" w14:textId="38D23787">
            <w:pPr>
              <w:pStyle w:val="ListParagraph"/>
              <w:spacing w:line="240" w:lineRule="auto"/>
              <w:ind w:left="0"/>
              <w:rPr>
                <w:i/>
                <w:iCs/>
              </w:rPr>
            </w:pPr>
            <w:hyperlink w:history="1" r:id="rId27">
              <w:r w:rsidR="00EA2684">
                <w:rPr>
                  <w:rStyle w:val="Hyperlink"/>
                  <w:i/>
                </w:rPr>
                <w:t>Gaia.Bottoni@eesc.europa.eu</w:t>
              </w:r>
            </w:hyperlink>
          </w:p>
        </w:tc>
      </w:tr>
    </w:tbl>
    <w:p w:rsidR="004E0C44" w:rsidRDefault="004E0C44" w14:paraId="39A4AA15" w14:textId="77777777">
      <w:pPr>
        <w:spacing w:after="160" w:line="259" w:lineRule="auto"/>
        <w:jc w:val="left"/>
        <w:rPr>
          <w:sz w:val="28"/>
          <w:szCs w:val="28"/>
        </w:rPr>
      </w:pPr>
      <w:r>
        <w:br w:type="page"/>
      </w:r>
    </w:p>
    <w:p w:rsidRPr="00196521" w:rsidR="009A3E0E" w:rsidP="000247C5" w:rsidRDefault="009A3E0E" w14:paraId="7ED77355" w14:textId="77777777">
      <w:pPr>
        <w:spacing w:after="160" w:line="259" w:lineRule="auto"/>
        <w:jc w:val="left"/>
      </w:pPr>
    </w:p>
    <w:p w:rsidRPr="009A3E0E" w:rsidR="00E54548" w:rsidP="00406DDB" w:rsidRDefault="00895C48" w14:paraId="55FE0C33" w14:textId="3488AA39">
      <w:pPr>
        <w:pStyle w:val="ListParagraph"/>
        <w:keepNext/>
        <w:numPr>
          <w:ilvl w:val="0"/>
          <w:numId w:val="2"/>
        </w:numPr>
        <w:ind w:left="567" w:hanging="567"/>
      </w:pPr>
      <w:bookmarkStart w:name="_Hlk127190412" w:id="16"/>
      <w:r>
        <w:rPr>
          <w:b/>
          <w:i/>
          <w:sz w:val="28"/>
        </w:rPr>
        <w:t>Revizija zakonodaje EU o kakovosti zunanjega zraka</w:t>
      </w:r>
    </w:p>
    <w:p w:rsidRPr="009B70E7" w:rsidR="009A3E0E" w:rsidP="009A3E0E" w:rsidRDefault="009A3E0E" w14:paraId="56595EAE"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18"/>
        <w:gridCol w:w="6095"/>
      </w:tblGrid>
      <w:tr w:rsidRPr="009B70E7" w:rsidR="000C18CA" w:rsidTr="00E4010A" w14:paraId="4E01B598" w14:textId="77777777">
        <w:tc>
          <w:tcPr>
            <w:tcW w:w="2518" w:type="dxa"/>
          </w:tcPr>
          <w:p w:rsidRPr="009B70E7" w:rsidR="000C18CA" w:rsidP="00533C08" w:rsidRDefault="000C18CA" w14:paraId="3EE6EB4F" w14:textId="0FFBCB14">
            <w:pPr>
              <w:pStyle w:val="ListParagraph"/>
              <w:keepNext/>
              <w:ind w:left="0"/>
              <w:rPr>
                <w:b/>
              </w:rPr>
            </w:pPr>
            <w:r>
              <w:rPr>
                <w:b/>
              </w:rPr>
              <w:t>Poročevalec</w:t>
            </w:r>
          </w:p>
        </w:tc>
        <w:tc>
          <w:tcPr>
            <w:tcW w:w="6095" w:type="dxa"/>
          </w:tcPr>
          <w:p w:rsidR="000C18CA" w:rsidP="00533C08" w:rsidRDefault="00895C48" w14:paraId="3B0EEFBE" w14:textId="347E14B4">
            <w:pPr>
              <w:pStyle w:val="ListParagraph"/>
              <w:keepNext/>
              <w:ind w:left="-106"/>
            </w:pPr>
            <w:r>
              <w:t>Kęstutis KUPŠYS (skupina organizacij civilne družbe – LT)</w:t>
            </w:r>
          </w:p>
          <w:p w:rsidRPr="009B70E7" w:rsidR="006A1317" w:rsidP="00533C08" w:rsidRDefault="006A1317" w14:paraId="3BDDFB62" w14:textId="58B88D3B">
            <w:pPr>
              <w:pStyle w:val="ListParagraph"/>
              <w:keepNext/>
              <w:ind w:left="-106"/>
            </w:pPr>
          </w:p>
        </w:tc>
      </w:tr>
      <w:tr w:rsidRPr="009B70E7" w:rsidR="00E54548" w:rsidTr="00E4010A" w14:paraId="7A103358" w14:textId="77777777">
        <w:tc>
          <w:tcPr>
            <w:tcW w:w="2518" w:type="dxa"/>
          </w:tcPr>
          <w:p w:rsidRPr="009B70E7" w:rsidR="00E54548" w:rsidP="008B66DD" w:rsidRDefault="00E54548" w14:paraId="3D88AB9C" w14:textId="2BC32D39">
            <w:pPr>
              <w:pStyle w:val="ListParagraph"/>
              <w:ind w:left="0"/>
              <w:rPr>
                <w:b/>
              </w:rPr>
            </w:pPr>
            <w:r>
              <w:rPr>
                <w:b/>
              </w:rPr>
              <w:t xml:space="preserve">Referenčna dokumenta </w:t>
            </w:r>
          </w:p>
        </w:tc>
        <w:tc>
          <w:tcPr>
            <w:tcW w:w="6095" w:type="dxa"/>
          </w:tcPr>
          <w:p w:rsidRPr="009B70E7" w:rsidR="00E54548" w:rsidP="008B66DD" w:rsidRDefault="00DD2512" w14:paraId="3F2C4954" w14:textId="77F7ABB4">
            <w:pPr>
              <w:tabs>
                <w:tab w:val="center" w:pos="284"/>
              </w:tabs>
              <w:ind w:left="266" w:hanging="374"/>
            </w:pPr>
            <w:r>
              <w:t>COM(2022) 542 final</w:t>
            </w:r>
          </w:p>
          <w:p w:rsidRPr="009B70E7" w:rsidR="00E54548" w:rsidP="008B66DD" w:rsidRDefault="00E54548" w14:paraId="2105E433" w14:textId="634EF330">
            <w:pPr>
              <w:pStyle w:val="ListParagraph"/>
              <w:ind w:left="-108"/>
            </w:pPr>
            <w:r>
              <w:t>EESC-2021-05604-00-00-AC</w:t>
            </w:r>
          </w:p>
        </w:tc>
      </w:tr>
    </w:tbl>
    <w:p w:rsidRPr="009B70E7" w:rsidR="00E54548" w:rsidP="00E54548" w:rsidRDefault="00E54548" w14:paraId="5A8EA75C" w14:textId="77777777">
      <w:pPr>
        <w:pStyle w:val="ListParagraph"/>
        <w:ind w:left="0"/>
        <w:rPr>
          <w:b/>
        </w:rPr>
      </w:pPr>
    </w:p>
    <w:p w:rsidRPr="0018231C" w:rsidR="00E54548" w:rsidP="00FD3EB9" w:rsidRDefault="00E54548" w14:paraId="2DB75FF2" w14:textId="5E95D69C">
      <w:pPr>
        <w:pStyle w:val="ListParagraph"/>
        <w:spacing w:line="240" w:lineRule="auto"/>
        <w:ind w:left="0"/>
        <w:rPr>
          <w:b/>
        </w:rPr>
      </w:pPr>
      <w:r>
        <w:rPr>
          <w:b/>
        </w:rPr>
        <w:t>Glavne točke</w:t>
      </w:r>
    </w:p>
    <w:p w:rsidRPr="0018231C" w:rsidR="00E54548" w:rsidP="00E54548" w:rsidRDefault="00E54548" w14:paraId="6EE8937D" w14:textId="77777777">
      <w:pPr>
        <w:pStyle w:val="ListParagraph"/>
        <w:ind w:left="0"/>
        <w:rPr>
          <w:lang w:val="fr-FR"/>
        </w:rPr>
      </w:pPr>
    </w:p>
    <w:p w:rsidRPr="00A00F37" w:rsidR="00E54548" w:rsidP="00FD3EB9" w:rsidRDefault="00E54548" w14:paraId="6B6F14AC" w14:textId="77777777">
      <w:pPr>
        <w:pStyle w:val="ListParagraph"/>
        <w:ind w:left="0"/>
        <w:rPr>
          <w:bCs/>
        </w:rPr>
      </w:pPr>
      <w:r>
        <w:t>EESO:</w:t>
      </w:r>
    </w:p>
    <w:p w:rsidRPr="0018231C" w:rsidR="00E54548" w:rsidP="00E54548" w:rsidRDefault="00E54548" w14:paraId="1F790AD7" w14:textId="77777777">
      <w:pPr>
        <w:pStyle w:val="ListParagraph"/>
        <w:ind w:left="0"/>
        <w:rPr>
          <w:lang w:val="fr-FR"/>
        </w:rPr>
      </w:pPr>
    </w:p>
    <w:p w:rsidRPr="00836740" w:rsidR="00E54548" w:rsidP="00E54548" w:rsidRDefault="00895C48" w14:paraId="2EA194B7" w14:textId="6247F62A">
      <w:pPr>
        <w:numPr>
          <w:ilvl w:val="0"/>
          <w:numId w:val="3"/>
        </w:numPr>
        <w:overflowPunct w:val="0"/>
        <w:autoSpaceDE w:val="0"/>
        <w:autoSpaceDN w:val="0"/>
        <w:adjustRightInd w:val="0"/>
        <w:ind w:left="357" w:hanging="357"/>
        <w:textAlignment w:val="baseline"/>
      </w:pPr>
      <w:r>
        <w:t>priporoča popolno uskladitev standardov EU glede kakovosti zraka (tudi za ozon v obliki mejnih vrednosti) s posodobljenimi globalnimi smernicami Svetovne zdravstvene organizacije o kakovosti zraka najpozneje do leta 2030 ter opredelitev trdnega podpornega okvira, ki bo temeljil na mejnih vrednostih, mehanizmih izvrševanja in jasnih pravilih upravljanja. Zmanjšanje onesnaženosti zraka v veliki meri pripomore k blaženju podnebnih sprememb, energetski varnosti in biotski raznovrstnosti ter povečuje odpornost prebivalstva na pandemije;</w:t>
      </w:r>
    </w:p>
    <w:p w:rsidR="002049FA" w:rsidP="005D55F5" w:rsidRDefault="00895C48" w14:paraId="4F2B1309" w14:textId="27619B8B">
      <w:pPr>
        <w:numPr>
          <w:ilvl w:val="0"/>
          <w:numId w:val="3"/>
        </w:numPr>
        <w:overflowPunct w:val="0"/>
        <w:autoSpaceDE w:val="0"/>
        <w:autoSpaceDN w:val="0"/>
        <w:adjustRightInd w:val="0"/>
        <w:ind w:left="357" w:hanging="357"/>
        <w:textAlignment w:val="baseline"/>
      </w:pPr>
      <w:r>
        <w:t>pozdravlja pristop, v skladu s katerim se Komisija osredotoča na razmerje med stroški in koristmi, vendar obžaluje, da se namesto kar največje zaščite človeških življenj in zdravja ljudi kot najpomembnejši dejavnik pri tej reviziji upošteva prav to razmerje. Zato je bila med možnostmi politike izbrana „boljša“, in ne „popolna usklajenost“. Razen kar zadeva dušikov dioksid, se zdi, da je namen predloga uskladitev s smernicami Svetovne zdravstvene organizacije za leto 2005 in ne z najnovejšimi, ki so bile objavljene septembra 2021;</w:t>
      </w:r>
    </w:p>
    <w:p w:rsidR="00895C48" w:rsidP="005D55F5" w:rsidRDefault="00895C48" w14:paraId="6698EA27" w14:textId="2A02DB45">
      <w:pPr>
        <w:numPr>
          <w:ilvl w:val="0"/>
          <w:numId w:val="3"/>
        </w:numPr>
        <w:overflowPunct w:val="0"/>
        <w:autoSpaceDE w:val="0"/>
        <w:autoSpaceDN w:val="0"/>
        <w:adjustRightInd w:val="0"/>
        <w:ind w:left="357" w:hanging="357"/>
        <w:textAlignment w:val="baseline"/>
      </w:pPr>
      <w:r>
        <w:t>je prepričan, da bodo ambiciozno določene in pravočasno izvršene omejitve in pravila direktiv o kakovosti zraka skupaj z učinkovitimi sektorskimi ukrepi privedli do odločnih ukrepov na nacionalni in lokalni ravni;</w:t>
      </w:r>
    </w:p>
    <w:p w:rsidR="00895C48" w:rsidP="005D55F5" w:rsidRDefault="00895C48" w14:paraId="4AA29DF6" w14:textId="654E5F20">
      <w:pPr>
        <w:numPr>
          <w:ilvl w:val="0"/>
          <w:numId w:val="3"/>
        </w:numPr>
        <w:overflowPunct w:val="0"/>
        <w:autoSpaceDE w:val="0"/>
        <w:autoSpaceDN w:val="0"/>
        <w:adjustRightInd w:val="0"/>
        <w:ind w:left="357" w:hanging="357"/>
        <w:textAlignment w:val="baseline"/>
      </w:pPr>
      <w:r>
        <w:t>poziva k povečanju sredstev za projekte ljubiteljske znanosti, povezane z onesnaževanjem, v okviru programa Obzorje Evropa. Ukrepati bi morali tudi državljani, ki bi morali spoznati, kako so njihov življenjski slog, dejanja in potrošniški vzorci povezani s stopnjami onesnaženosti. Bolje obveščeni ljudje so bolj motivirani za ukrepanje, zato je lažje doseči dolgoročno spremembo vedenja;</w:t>
      </w:r>
    </w:p>
    <w:p w:rsidRPr="00836740" w:rsidR="00895C48" w:rsidP="005D55F5" w:rsidRDefault="00895C48" w14:paraId="0AA43EF2" w14:textId="1681FAC2">
      <w:pPr>
        <w:numPr>
          <w:ilvl w:val="0"/>
          <w:numId w:val="3"/>
        </w:numPr>
        <w:overflowPunct w:val="0"/>
        <w:autoSpaceDE w:val="0"/>
        <w:autoSpaceDN w:val="0"/>
        <w:adjustRightInd w:val="0"/>
        <w:ind w:left="357" w:hanging="357"/>
        <w:textAlignment w:val="baseline"/>
      </w:pPr>
      <w:r>
        <w:t>odločno podpira pravico do odškodnine za osebe, ki so utrpele zdravstveno škodo zaradi onesnaženosti zraka, ter kazni za fizične in pravne osebe v državi članici, ki je kršila pravila.</w:t>
      </w:r>
    </w:p>
    <w:p w:rsidRPr="007E7A4F" w:rsidR="00E54548" w:rsidP="00E54548" w:rsidRDefault="00E54548" w14:paraId="34228F74" w14:textId="77777777">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5054"/>
      </w:tblGrid>
      <w:tr w:rsidRPr="009B70E7" w:rsidR="00895C48" w:rsidTr="00E4010A" w14:paraId="3AB16363" w14:textId="77777777">
        <w:tc>
          <w:tcPr>
            <w:tcW w:w="2093" w:type="dxa"/>
          </w:tcPr>
          <w:p w:rsidRPr="009B70E7" w:rsidR="00895C48" w:rsidP="00040ADE" w:rsidRDefault="00895C48" w14:paraId="7DFEF1AE" w14:textId="77777777">
            <w:pPr>
              <w:pStyle w:val="ListParagraph"/>
              <w:ind w:left="0"/>
              <w:rPr>
                <w:i/>
              </w:rPr>
            </w:pPr>
            <w:r>
              <w:rPr>
                <w:b/>
                <w:i/>
              </w:rPr>
              <w:t>Kontaktna oseba</w:t>
            </w:r>
          </w:p>
        </w:tc>
        <w:tc>
          <w:tcPr>
            <w:tcW w:w="5054" w:type="dxa"/>
          </w:tcPr>
          <w:p w:rsidRPr="009B70E7" w:rsidR="00895C48" w:rsidP="00040ADE" w:rsidRDefault="00895C48" w14:paraId="388AAA3B" w14:textId="0B3E799B">
            <w:pPr>
              <w:pStyle w:val="ListParagraph"/>
              <w:ind w:left="0"/>
              <w:rPr>
                <w:i/>
              </w:rPr>
            </w:pPr>
            <w:r>
              <w:rPr>
                <w:i/>
              </w:rPr>
              <w:t xml:space="preserve">Gaia </w:t>
            </w:r>
            <w:r w:rsidR="00E4010A">
              <w:rPr>
                <w:i/>
              </w:rPr>
              <w:t>BOTTONI</w:t>
            </w:r>
          </w:p>
        </w:tc>
      </w:tr>
      <w:tr w:rsidRPr="009B70E7" w:rsidR="00895C48" w:rsidTr="00E4010A" w14:paraId="2D32C0FB" w14:textId="77777777">
        <w:tc>
          <w:tcPr>
            <w:tcW w:w="2093" w:type="dxa"/>
          </w:tcPr>
          <w:p w:rsidRPr="009B70E7" w:rsidR="00895C48" w:rsidP="00040ADE" w:rsidRDefault="00895C48" w14:paraId="423EB185" w14:textId="77777777">
            <w:pPr>
              <w:pStyle w:val="ListParagraph"/>
              <w:ind w:left="601"/>
              <w:rPr>
                <w:i/>
              </w:rPr>
            </w:pPr>
            <w:r>
              <w:rPr>
                <w:i/>
              </w:rPr>
              <w:t>Telefon</w:t>
            </w:r>
          </w:p>
        </w:tc>
        <w:tc>
          <w:tcPr>
            <w:tcW w:w="5054" w:type="dxa"/>
          </w:tcPr>
          <w:p w:rsidRPr="009B70E7" w:rsidR="00895C48" w:rsidP="00040ADE" w:rsidRDefault="00895C48" w14:paraId="7A2D0C03" w14:textId="77777777">
            <w:pPr>
              <w:pStyle w:val="ListParagraph"/>
              <w:ind w:left="0"/>
              <w:rPr>
                <w:i/>
              </w:rPr>
            </w:pPr>
            <w:r>
              <w:rPr>
                <w:i/>
              </w:rPr>
              <w:t>00 32 2 546 94 47</w:t>
            </w:r>
          </w:p>
        </w:tc>
      </w:tr>
      <w:tr w:rsidRPr="005D55F5" w:rsidR="00895C48" w:rsidTr="00E4010A" w14:paraId="1D160874" w14:textId="77777777">
        <w:tc>
          <w:tcPr>
            <w:tcW w:w="2093" w:type="dxa"/>
          </w:tcPr>
          <w:p w:rsidRPr="009B70E7" w:rsidR="00895C48" w:rsidP="00040ADE" w:rsidRDefault="00895C48" w14:paraId="0F223A9F" w14:textId="77777777">
            <w:pPr>
              <w:pStyle w:val="ListParagraph"/>
              <w:ind w:left="601"/>
              <w:rPr>
                <w:i/>
              </w:rPr>
            </w:pPr>
            <w:r>
              <w:rPr>
                <w:i/>
              </w:rPr>
              <w:t>E-naslov</w:t>
            </w:r>
          </w:p>
        </w:tc>
        <w:tc>
          <w:tcPr>
            <w:tcW w:w="5054" w:type="dxa"/>
          </w:tcPr>
          <w:p w:rsidRPr="005D55F5" w:rsidR="00895C48" w:rsidRDefault="00202D15" w14:paraId="52FF0956" w14:textId="73A8FE59">
            <w:pPr>
              <w:pStyle w:val="ListParagraph"/>
              <w:ind w:left="0"/>
              <w:rPr>
                <w:i/>
                <w:iCs/>
              </w:rPr>
            </w:pPr>
            <w:hyperlink w:history="1" r:id="rId28">
              <w:r w:rsidR="00EA2684">
                <w:rPr>
                  <w:rStyle w:val="Hyperlink"/>
                  <w:i/>
                </w:rPr>
                <w:t>Gaia.Bottoni@eesc.europa.eu</w:t>
              </w:r>
            </w:hyperlink>
          </w:p>
        </w:tc>
      </w:tr>
      <w:bookmarkEnd w:id="16"/>
    </w:tbl>
    <w:p w:rsidR="00895C48" w:rsidP="0018231C" w:rsidRDefault="00895C48" w14:paraId="3D4A5F95" w14:textId="64E14F65">
      <w:pPr>
        <w:spacing w:after="160" w:line="240" w:lineRule="auto"/>
        <w:jc w:val="left"/>
      </w:pPr>
    </w:p>
    <w:p w:rsidR="00895C48" w:rsidRDefault="00895C48" w14:paraId="32AFB706" w14:textId="77777777">
      <w:pPr>
        <w:spacing w:after="160" w:line="259" w:lineRule="auto"/>
        <w:jc w:val="left"/>
      </w:pPr>
      <w:r>
        <w:br w:type="page"/>
      </w:r>
    </w:p>
    <w:p w:rsidRPr="009A3E0E" w:rsidR="00895C48" w:rsidP="00895C48" w:rsidRDefault="00895C48" w14:paraId="5253243C" w14:textId="3D69A318">
      <w:pPr>
        <w:pStyle w:val="ListParagraph"/>
        <w:keepNext/>
        <w:numPr>
          <w:ilvl w:val="0"/>
          <w:numId w:val="2"/>
        </w:numPr>
        <w:ind w:left="567" w:hanging="567"/>
      </w:pPr>
      <w:r>
        <w:rPr>
          <w:b/>
          <w:i/>
          <w:sz w:val="28"/>
        </w:rPr>
        <w:t>Celostno upravljanje voda – revidiran seznam onesnaževal površinskih in podzemnih voda</w:t>
      </w:r>
    </w:p>
    <w:p w:rsidRPr="009B70E7" w:rsidR="00895C48" w:rsidP="00895C48" w:rsidRDefault="00895C48" w14:paraId="5AA1FC7E"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18"/>
        <w:gridCol w:w="6237"/>
      </w:tblGrid>
      <w:tr w:rsidRPr="009B70E7" w:rsidR="00895C48" w:rsidTr="00E4010A" w14:paraId="25918DDF" w14:textId="77777777">
        <w:tc>
          <w:tcPr>
            <w:tcW w:w="2518" w:type="dxa"/>
          </w:tcPr>
          <w:p w:rsidRPr="009B70E7" w:rsidR="00895C48" w:rsidP="00040ADE" w:rsidRDefault="00895C48" w14:paraId="136060CB" w14:textId="77777777">
            <w:pPr>
              <w:pStyle w:val="ListParagraph"/>
              <w:keepNext/>
              <w:ind w:left="0"/>
              <w:rPr>
                <w:b/>
              </w:rPr>
            </w:pPr>
            <w:r>
              <w:rPr>
                <w:b/>
              </w:rPr>
              <w:t>Poročevalec</w:t>
            </w:r>
          </w:p>
        </w:tc>
        <w:tc>
          <w:tcPr>
            <w:tcW w:w="6237" w:type="dxa"/>
          </w:tcPr>
          <w:p w:rsidR="00895C48" w:rsidP="00040ADE" w:rsidRDefault="00895C48" w14:paraId="736DF840" w14:textId="35EDBF96">
            <w:pPr>
              <w:pStyle w:val="ListParagraph"/>
              <w:keepNext/>
              <w:ind w:left="-106"/>
            </w:pPr>
            <w:r>
              <w:t>Arnaud SCHWARTZ (skupina organizacij civilne družbe – FR)</w:t>
            </w:r>
          </w:p>
          <w:p w:rsidRPr="009B70E7" w:rsidR="00895C48" w:rsidP="00040ADE" w:rsidRDefault="00895C48" w14:paraId="5CD9AB68" w14:textId="77777777">
            <w:pPr>
              <w:pStyle w:val="ListParagraph"/>
              <w:keepNext/>
              <w:ind w:left="-106"/>
            </w:pPr>
          </w:p>
        </w:tc>
      </w:tr>
      <w:tr w:rsidRPr="009B70E7" w:rsidR="00895C48" w:rsidTr="00E4010A" w14:paraId="25A34DD2" w14:textId="77777777">
        <w:tc>
          <w:tcPr>
            <w:tcW w:w="2518" w:type="dxa"/>
          </w:tcPr>
          <w:p w:rsidRPr="009B70E7" w:rsidR="00895C48" w:rsidP="00040ADE" w:rsidRDefault="00895C48" w14:paraId="5BFC7CBA" w14:textId="77777777">
            <w:pPr>
              <w:pStyle w:val="ListParagraph"/>
              <w:ind w:left="0"/>
              <w:rPr>
                <w:b/>
              </w:rPr>
            </w:pPr>
            <w:r>
              <w:rPr>
                <w:b/>
              </w:rPr>
              <w:t xml:space="preserve">Referenčna dokumenta </w:t>
            </w:r>
          </w:p>
        </w:tc>
        <w:tc>
          <w:tcPr>
            <w:tcW w:w="6237" w:type="dxa"/>
          </w:tcPr>
          <w:p w:rsidRPr="009B70E7" w:rsidR="00895C48" w:rsidP="00040ADE" w:rsidRDefault="00895C48" w14:paraId="0049C7D0" w14:textId="77777777">
            <w:pPr>
              <w:tabs>
                <w:tab w:val="center" w:pos="284"/>
              </w:tabs>
              <w:ind w:left="266" w:hanging="374"/>
            </w:pPr>
            <w:r>
              <w:t>COM(2022) 542 final</w:t>
            </w:r>
          </w:p>
          <w:p w:rsidRPr="009B70E7" w:rsidR="00895C48" w:rsidP="00040ADE" w:rsidRDefault="00895C48" w14:paraId="29831AAE" w14:textId="0FD67A70">
            <w:pPr>
              <w:pStyle w:val="ListParagraph"/>
              <w:ind w:left="-108"/>
            </w:pPr>
            <w:r>
              <w:t>EESC-2021-05603-00-00-AC</w:t>
            </w:r>
          </w:p>
        </w:tc>
      </w:tr>
    </w:tbl>
    <w:p w:rsidRPr="009B70E7" w:rsidR="00895C48" w:rsidP="00895C48" w:rsidRDefault="00895C48" w14:paraId="04ED3388" w14:textId="77777777">
      <w:pPr>
        <w:pStyle w:val="ListParagraph"/>
        <w:ind w:left="0"/>
        <w:rPr>
          <w:b/>
        </w:rPr>
      </w:pPr>
    </w:p>
    <w:p w:rsidRPr="0018231C" w:rsidR="00895C48" w:rsidP="00895C48" w:rsidRDefault="00895C48" w14:paraId="1ADE8B66" w14:textId="77777777">
      <w:pPr>
        <w:pStyle w:val="ListParagraph"/>
        <w:spacing w:line="240" w:lineRule="auto"/>
        <w:ind w:left="0"/>
        <w:rPr>
          <w:b/>
        </w:rPr>
      </w:pPr>
      <w:r>
        <w:rPr>
          <w:b/>
        </w:rPr>
        <w:t>Glavne točke</w:t>
      </w:r>
    </w:p>
    <w:p w:rsidRPr="0018231C" w:rsidR="00895C48" w:rsidP="00895C48" w:rsidRDefault="00895C48" w14:paraId="66969B39" w14:textId="77777777">
      <w:pPr>
        <w:pStyle w:val="ListParagraph"/>
        <w:ind w:left="0"/>
        <w:rPr>
          <w:lang w:val="fr-FR"/>
        </w:rPr>
      </w:pPr>
    </w:p>
    <w:p w:rsidRPr="00A00F37" w:rsidR="00895C48" w:rsidP="00895C48" w:rsidRDefault="00895C48" w14:paraId="3ACDCB60" w14:textId="77777777">
      <w:pPr>
        <w:pStyle w:val="ListParagraph"/>
        <w:ind w:left="0"/>
        <w:rPr>
          <w:bCs/>
        </w:rPr>
      </w:pPr>
      <w:r>
        <w:t>EESO:</w:t>
      </w:r>
    </w:p>
    <w:p w:rsidRPr="0018231C" w:rsidR="00895C48" w:rsidP="00895C48" w:rsidRDefault="00895C48" w14:paraId="03FFEA69" w14:textId="77777777">
      <w:pPr>
        <w:pStyle w:val="ListParagraph"/>
        <w:ind w:left="0"/>
        <w:rPr>
          <w:lang w:val="fr-FR"/>
        </w:rPr>
      </w:pPr>
    </w:p>
    <w:p w:rsidRPr="00836740" w:rsidR="00895C48" w:rsidP="00895C48" w:rsidRDefault="00895C48" w14:paraId="0BD06B08" w14:textId="20C2452A">
      <w:pPr>
        <w:numPr>
          <w:ilvl w:val="0"/>
          <w:numId w:val="3"/>
        </w:numPr>
        <w:overflowPunct w:val="0"/>
        <w:autoSpaceDE w:val="0"/>
        <w:autoSpaceDN w:val="0"/>
        <w:adjustRightInd w:val="0"/>
        <w:ind w:left="357" w:hanging="357"/>
        <w:textAlignment w:val="baseline"/>
      </w:pPr>
      <w:r>
        <w:t>močno podpira predlog Evropske komisije, da se več ključnih onesnaževal vode doda na sezname prednostnih snovi, ki se bodo uporabljali za oceno kemijskega stanja v površinski in podzemni vodi v skladu z okvirno direktivo o vodah. Države članice bodo morale spremljati njihovo koncentracijo v vodi in skrbeti za to, da ne presega vrednosti, določenih v standardih kakovosti. Predlog zamuja več let in je dobrodošel poskus posodobitve ocene kemijskega stanja voda;</w:t>
      </w:r>
    </w:p>
    <w:p w:rsidRPr="00895C48" w:rsidR="00895C48" w:rsidP="00895C48" w:rsidRDefault="00895C48" w14:paraId="474E0209" w14:textId="2086933A">
      <w:pPr>
        <w:numPr>
          <w:ilvl w:val="0"/>
          <w:numId w:val="3"/>
        </w:numPr>
        <w:overflowPunct w:val="0"/>
        <w:autoSpaceDE w:val="0"/>
        <w:autoSpaceDN w:val="0"/>
        <w:adjustRightInd w:val="0"/>
        <w:ind w:left="357" w:hanging="357"/>
        <w:textAlignment w:val="baseline"/>
      </w:pPr>
      <w:r>
        <w:t>poudarja, da je čista voda temeljnega pomena za našo družbo in okolje, pa tudi za socialno-ekonomske dejavnosti. Trden okvir za varstvo voda, osredotočen na zmanjšanje onesnaževanja pri viru, bo koristil ekosistemom, ljudem, ki vodo izkoriščajo za rekreativne dejavnosti, in industriji ter zagotovil čisto in cenovno dostopno pitno vodo;</w:t>
      </w:r>
    </w:p>
    <w:p w:rsidRPr="00895C48" w:rsidR="00895C48" w:rsidP="00895C48" w:rsidRDefault="00895C48" w14:paraId="65CADB81" w14:textId="1810531D">
      <w:pPr>
        <w:numPr>
          <w:ilvl w:val="0"/>
          <w:numId w:val="3"/>
        </w:numPr>
        <w:overflowPunct w:val="0"/>
        <w:autoSpaceDE w:val="0"/>
        <w:autoSpaceDN w:val="0"/>
        <w:adjustRightInd w:val="0"/>
        <w:ind w:left="357" w:hanging="357"/>
        <w:textAlignment w:val="baseline"/>
      </w:pPr>
      <w:r>
        <w:t>poudarja, da koristi neonesnažene vode odtehtajo stroške, povezane s pobudo, saj se na primer prepreči izpostavljenost škodljivim kemikalijam in je potrebno manj napora pri doseganju standardov za pitno vodo. Spremenjeni vzorci uporabe škodljivih snovi, s katerimi bi zmanjšali njihovo koncentracijo v vodi, lahko prinesejo še druge koristi, kot je manjša izpostavljenost delavcev v agroživilskem sektorju škodljivim pesticidom;</w:t>
      </w:r>
    </w:p>
    <w:p w:rsidR="00895C48" w:rsidP="00895C48" w:rsidRDefault="00895C48" w14:paraId="45512FA4" w14:textId="66623450">
      <w:pPr>
        <w:numPr>
          <w:ilvl w:val="0"/>
          <w:numId w:val="3"/>
        </w:numPr>
        <w:overflowPunct w:val="0"/>
        <w:autoSpaceDE w:val="0"/>
        <w:autoSpaceDN w:val="0"/>
        <w:adjustRightInd w:val="0"/>
        <w:ind w:left="357" w:hanging="357"/>
        <w:textAlignment w:val="baseline"/>
      </w:pPr>
      <w:r>
        <w:t>poziva k oblikovanju posebnih smernic za industrijske panoge, ki v proizvodnih procesih uporabljajo vodo v povezavi z različnimi snovmi, saj bi bilo treba storiti več za zdravje in varnost na delovnem mestu;</w:t>
      </w:r>
    </w:p>
    <w:p w:rsidRPr="00895C48" w:rsidR="00895C48" w:rsidP="00895C48" w:rsidRDefault="00895C48" w14:paraId="607DD3C7" w14:textId="14DCD71B">
      <w:pPr>
        <w:numPr>
          <w:ilvl w:val="0"/>
          <w:numId w:val="3"/>
        </w:numPr>
        <w:overflowPunct w:val="0"/>
        <w:autoSpaceDE w:val="0"/>
        <w:autoSpaceDN w:val="0"/>
        <w:adjustRightInd w:val="0"/>
        <w:ind w:left="357" w:hanging="357"/>
        <w:textAlignment w:val="baseline"/>
      </w:pPr>
      <w:r>
        <w:t>priporoča državam članicam, naj si bolj prizadevajo za zbiranje, organizacijo in razlago podatkov o vodi ter potrebe po okoljskih podatkih uvrstijo med glavne prednostne naloge. Pomembno je zmanjšati zamude pri podatkih in zagotoviti posebne kazalnike v vseh državah članicah. Zlasti bi bilo treba temeljiteje ocenjevati in spremljati vpliv zmesi na okolje in zdravje ljudi;</w:t>
      </w:r>
    </w:p>
    <w:p w:rsidRPr="00895C48" w:rsidR="00895C48" w:rsidP="00895C48" w:rsidRDefault="00895C48" w14:paraId="7734E286" w14:textId="0C26664C">
      <w:pPr>
        <w:numPr>
          <w:ilvl w:val="0"/>
          <w:numId w:val="3"/>
        </w:numPr>
        <w:overflowPunct w:val="0"/>
        <w:autoSpaceDE w:val="0"/>
        <w:autoSpaceDN w:val="0"/>
        <w:adjustRightInd w:val="0"/>
        <w:ind w:left="357" w:hanging="357"/>
        <w:textAlignment w:val="baseline"/>
      </w:pPr>
      <w:r>
        <w:t>poudarja, da morajo v državah članicah, v katerih so bile ugotovljene presežne količine, ostati v veljavi ukrepi spremljanja, vključno z odpravo nezakonite uporabe in odstopanj, tudi če so bile te snovi umaknjene s seznama prednostnih snovi na ravni EU;</w:t>
      </w:r>
    </w:p>
    <w:p w:rsidRPr="00836740" w:rsidR="00895C48" w:rsidP="00895C48" w:rsidRDefault="00895C48" w14:paraId="382F3A5E" w14:textId="05DD1E9F">
      <w:pPr>
        <w:numPr>
          <w:ilvl w:val="0"/>
          <w:numId w:val="3"/>
        </w:numPr>
        <w:overflowPunct w:val="0"/>
        <w:autoSpaceDE w:val="0"/>
        <w:autoSpaceDN w:val="0"/>
        <w:adjustRightInd w:val="0"/>
        <w:ind w:left="357" w:hanging="357"/>
        <w:textAlignment w:val="baseline"/>
      </w:pPr>
      <w:r>
        <w:t>poziva evropske institucije, naj začnejo prednostno obravnavati vodo in pripravijo evropski modri dogovor – korenito prizadevanje za predvidevanje potreb, ohranjanje vodnih virov in ustrezno obvladovanje povezanih izzivov s celovitim in usklajenim časovnim načrtom, v katerem so določeni ambiciozni cilji in ukrepi, povezani z dogovorjenimi mejniki. EESO bo v letu 2023 pripravil konkretne predloge za evropski modri dogovor.</w:t>
      </w:r>
    </w:p>
    <w:p w:rsidRPr="007E7A4F" w:rsidR="00895C48" w:rsidP="00895C48" w:rsidRDefault="00895C48" w14:paraId="16B0E971" w14:textId="77777777">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5054"/>
      </w:tblGrid>
      <w:tr w:rsidRPr="009B70E7" w:rsidR="00895C48" w:rsidTr="00E4010A" w14:paraId="1D586337" w14:textId="77777777">
        <w:tc>
          <w:tcPr>
            <w:tcW w:w="2093" w:type="dxa"/>
          </w:tcPr>
          <w:p w:rsidRPr="009B70E7" w:rsidR="00895C48" w:rsidP="00040ADE" w:rsidRDefault="00895C48" w14:paraId="1BF8432F" w14:textId="77777777">
            <w:pPr>
              <w:pStyle w:val="ListParagraph"/>
              <w:ind w:left="0"/>
              <w:rPr>
                <w:i/>
              </w:rPr>
            </w:pPr>
            <w:r>
              <w:rPr>
                <w:b/>
                <w:i/>
              </w:rPr>
              <w:t>Kontaktna oseba</w:t>
            </w:r>
          </w:p>
        </w:tc>
        <w:tc>
          <w:tcPr>
            <w:tcW w:w="5054" w:type="dxa"/>
          </w:tcPr>
          <w:p w:rsidRPr="009B70E7" w:rsidR="00895C48" w:rsidP="00040ADE" w:rsidRDefault="00895C48" w14:paraId="1E361F38" w14:textId="1C38D40C">
            <w:pPr>
              <w:pStyle w:val="ListParagraph"/>
              <w:ind w:left="0"/>
              <w:rPr>
                <w:i/>
              </w:rPr>
            </w:pPr>
            <w:r>
              <w:rPr>
                <w:i/>
              </w:rPr>
              <w:t xml:space="preserve">Gaia </w:t>
            </w:r>
            <w:r w:rsidR="00E4010A">
              <w:rPr>
                <w:i/>
              </w:rPr>
              <w:t>BOTTONI</w:t>
            </w:r>
          </w:p>
        </w:tc>
      </w:tr>
      <w:tr w:rsidRPr="009B70E7" w:rsidR="00895C48" w:rsidTr="00E4010A" w14:paraId="1454286A" w14:textId="77777777">
        <w:tc>
          <w:tcPr>
            <w:tcW w:w="2093" w:type="dxa"/>
          </w:tcPr>
          <w:p w:rsidRPr="009B70E7" w:rsidR="00895C48" w:rsidP="00040ADE" w:rsidRDefault="00895C48" w14:paraId="62E2ED79" w14:textId="77777777">
            <w:pPr>
              <w:pStyle w:val="ListParagraph"/>
              <w:ind w:left="601"/>
              <w:rPr>
                <w:i/>
              </w:rPr>
            </w:pPr>
            <w:r>
              <w:rPr>
                <w:i/>
              </w:rPr>
              <w:t>Telefon</w:t>
            </w:r>
          </w:p>
        </w:tc>
        <w:tc>
          <w:tcPr>
            <w:tcW w:w="5054" w:type="dxa"/>
          </w:tcPr>
          <w:p w:rsidRPr="009B70E7" w:rsidR="00895C48" w:rsidP="00040ADE" w:rsidRDefault="00895C48" w14:paraId="36BD3983" w14:textId="77777777">
            <w:pPr>
              <w:pStyle w:val="ListParagraph"/>
              <w:ind w:left="0"/>
              <w:rPr>
                <w:i/>
              </w:rPr>
            </w:pPr>
            <w:r>
              <w:rPr>
                <w:i/>
              </w:rPr>
              <w:t>00 32 2 546 94 47</w:t>
            </w:r>
          </w:p>
        </w:tc>
      </w:tr>
      <w:tr w:rsidRPr="005D55F5" w:rsidR="00895C48" w:rsidTr="00E4010A" w14:paraId="6817D5C2" w14:textId="77777777">
        <w:tc>
          <w:tcPr>
            <w:tcW w:w="2093" w:type="dxa"/>
          </w:tcPr>
          <w:p w:rsidRPr="009B70E7" w:rsidR="00895C48" w:rsidP="00040ADE" w:rsidRDefault="00895C48" w14:paraId="7B9F2B78" w14:textId="77777777">
            <w:pPr>
              <w:pStyle w:val="ListParagraph"/>
              <w:ind w:left="601"/>
              <w:rPr>
                <w:i/>
              </w:rPr>
            </w:pPr>
            <w:r>
              <w:rPr>
                <w:i/>
              </w:rPr>
              <w:t>E-naslov</w:t>
            </w:r>
          </w:p>
        </w:tc>
        <w:tc>
          <w:tcPr>
            <w:tcW w:w="5054" w:type="dxa"/>
          </w:tcPr>
          <w:p w:rsidRPr="005D55F5" w:rsidR="00895C48" w:rsidP="00040ADE" w:rsidRDefault="00202D15" w14:paraId="336C9834" w14:textId="457079AA">
            <w:pPr>
              <w:pStyle w:val="ListParagraph"/>
              <w:ind w:left="0"/>
              <w:rPr>
                <w:i/>
                <w:iCs/>
              </w:rPr>
            </w:pPr>
            <w:hyperlink w:history="1" r:id="rId29">
              <w:r w:rsidR="00EA2684">
                <w:rPr>
                  <w:rStyle w:val="Hyperlink"/>
                  <w:i/>
                </w:rPr>
                <w:t>Gaia.Bottoni@eesc.europa.eu</w:t>
              </w:r>
            </w:hyperlink>
          </w:p>
        </w:tc>
      </w:tr>
    </w:tbl>
    <w:p w:rsidR="00E4010A" w:rsidP="00E4010A" w:rsidRDefault="00E4010A" w14:paraId="7B6E9519" w14:textId="77777777"/>
    <w:p w:rsidRPr="00CE7111" w:rsidR="00D67CAD" w:rsidP="00196521" w:rsidRDefault="009C1329" w14:paraId="5E62A09A" w14:textId="110B5954">
      <w:pPr>
        <w:overflowPunct w:val="0"/>
        <w:autoSpaceDE w:val="0"/>
        <w:autoSpaceDN w:val="0"/>
        <w:adjustRightInd w:val="0"/>
        <w:jc w:val="center"/>
        <w:textAlignment w:val="baseline"/>
      </w:pPr>
      <w:r>
        <w:t>_____________</w:t>
      </w:r>
    </w:p>
    <w:sectPr w:rsidRPr="00CE7111" w:rsidR="00D67CAD" w:rsidSect="004E0C44">
      <w:headerReference w:type="even" r:id="rId30"/>
      <w:headerReference w:type="default" r:id="rId31"/>
      <w:footerReference w:type="even" r:id="rId32"/>
      <w:footerReference w:type="default" r:id="rId33"/>
      <w:headerReference w:type="first" r:id="rId34"/>
      <w:footerReference w:type="first" r:id="rId35"/>
      <w:pgSz w:w="11907" w:h="16839"/>
      <w:pgMar w:top="1134" w:right="1418" w:bottom="68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707EF" w14:textId="77777777" w:rsidR="00765C4F" w:rsidRDefault="00765C4F" w:rsidP="003B0516">
      <w:pPr>
        <w:spacing w:line="240" w:lineRule="auto"/>
      </w:pPr>
      <w:r>
        <w:separator/>
      </w:r>
    </w:p>
  </w:endnote>
  <w:endnote w:type="continuationSeparator" w:id="0">
    <w:p w14:paraId="7657AFA9" w14:textId="77777777" w:rsidR="00765C4F" w:rsidRDefault="00765C4F"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CFC5E" w14:textId="77777777" w:rsidR="000D7878" w:rsidRPr="004E0C44" w:rsidRDefault="000D7878" w:rsidP="004E0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9D38" w14:textId="1CE9E1B4" w:rsidR="00765C4F" w:rsidRPr="004E0C44" w:rsidRDefault="004E0C44" w:rsidP="004E0C44">
    <w:pPr>
      <w:pStyle w:val="Footer"/>
    </w:pPr>
    <w:r>
      <w:t xml:space="preserve">EESC-2023-00570-00-00-TCD-TRA (EN) </w:t>
    </w:r>
    <w:r>
      <w:fldChar w:fldCharType="begin"/>
    </w:r>
    <w:r>
      <w:instrText xml:space="preserve"> PAGE  \* Arabic  \* MERGEFORMAT </w:instrText>
    </w:r>
    <w:r>
      <w:fldChar w:fldCharType="separate"/>
    </w:r>
    <w:r w:rsidR="00146384">
      <w:rPr>
        <w:noProof/>
      </w:rPr>
      <w:t>1</w:t>
    </w:r>
    <w:r>
      <w:fldChar w:fldCharType="end"/>
    </w:r>
    <w:r>
      <w:t>/</w:t>
    </w:r>
    <w:fldSimple w:instr=" NUMPAGES ">
      <w:r w:rsidR="00146384">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B8AB1" w14:textId="77777777" w:rsidR="000D7878" w:rsidRPr="004E0C44" w:rsidRDefault="000D7878" w:rsidP="004E0C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C15F" w14:textId="77777777" w:rsidR="00765C4F" w:rsidRPr="004E0C44" w:rsidRDefault="00765C4F" w:rsidP="004E0C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04860" w14:textId="5FD11F3D" w:rsidR="00765C4F" w:rsidRPr="004E0C44" w:rsidRDefault="004E0C44" w:rsidP="004E0C44">
    <w:pPr>
      <w:pStyle w:val="Footer"/>
    </w:pPr>
    <w:r>
      <w:t xml:space="preserve">EESC-2023-00570-00-00-TCD-TRA (EN) </w:t>
    </w:r>
    <w:r>
      <w:fldChar w:fldCharType="begin"/>
    </w:r>
    <w:r>
      <w:instrText xml:space="preserve"> PAGE  \* Arabic  \* MERGEFORMAT </w:instrText>
    </w:r>
    <w:r>
      <w:fldChar w:fldCharType="separate"/>
    </w:r>
    <w:r w:rsidR="00202D15">
      <w:rPr>
        <w:noProof/>
      </w:rPr>
      <w:t>2</w:t>
    </w:r>
    <w:r>
      <w:fldChar w:fldCharType="end"/>
    </w:r>
    <w:r>
      <w:t>/</w:t>
    </w:r>
    <w:fldSimple w:instr=" NUMPAGES ">
      <w:r w:rsidR="00202D15">
        <w:rPr>
          <w:noProof/>
        </w:rPr>
        <w:t>3</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E62D" w14:textId="77777777" w:rsidR="00765C4F" w:rsidRPr="004E0C44" w:rsidRDefault="00765C4F" w:rsidP="004E0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60787" w14:textId="77777777" w:rsidR="00765C4F" w:rsidRDefault="00765C4F" w:rsidP="003B0516">
      <w:pPr>
        <w:spacing w:line="240" w:lineRule="auto"/>
      </w:pPr>
      <w:r>
        <w:separator/>
      </w:r>
    </w:p>
  </w:footnote>
  <w:footnote w:type="continuationSeparator" w:id="0">
    <w:p w14:paraId="7CEDF243" w14:textId="77777777" w:rsidR="00765C4F" w:rsidRDefault="00765C4F"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1AAFB" w14:textId="77777777" w:rsidR="000D7878" w:rsidRPr="004E0C44" w:rsidRDefault="000D7878" w:rsidP="004E0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0F49C" w14:textId="6731C39A" w:rsidR="000D7878" w:rsidRPr="004E0C44" w:rsidRDefault="000D7878" w:rsidP="004E0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8377" w14:textId="77777777" w:rsidR="000D7878" w:rsidRPr="004E0C44" w:rsidRDefault="000D7878" w:rsidP="004E0C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9DF2" w14:textId="77777777" w:rsidR="00765C4F" w:rsidRPr="004E0C44" w:rsidRDefault="00765C4F" w:rsidP="004E0C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4FBA" w14:textId="11AD884D" w:rsidR="00765C4F" w:rsidRPr="004E0C44" w:rsidRDefault="00765C4F" w:rsidP="004E0C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5E7F" w14:textId="77777777" w:rsidR="00765C4F" w:rsidRPr="004E0C44" w:rsidRDefault="00765C4F" w:rsidP="004E0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C7ACE32"/>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DDE088C8"/>
    <w:lvl w:ilvl="0">
      <w:numFmt w:val="decimal"/>
      <w:lvlText w:val="*"/>
      <w:lvlJc w:val="left"/>
    </w:lvl>
  </w:abstractNum>
  <w:abstractNum w:abstractNumId="2" w15:restartNumberingAfterBreak="0">
    <w:nsid w:val="0C926D86"/>
    <w:multiLevelType w:val="hybridMultilevel"/>
    <w:tmpl w:val="06A09CD0"/>
    <w:lvl w:ilvl="0" w:tplc="FD4027A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9F5812"/>
    <w:multiLevelType w:val="hybridMultilevel"/>
    <w:tmpl w:val="E55474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EA6E5E"/>
    <w:multiLevelType w:val="hybridMultilevel"/>
    <w:tmpl w:val="D58846A4"/>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7"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7074854"/>
    <w:multiLevelType w:val="hybridMultilevel"/>
    <w:tmpl w:val="EAD22CB2"/>
    <w:lvl w:ilvl="0" w:tplc="0809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 w15:restartNumberingAfterBreak="0">
    <w:nsid w:val="3D0F2895"/>
    <w:multiLevelType w:val="hybridMultilevel"/>
    <w:tmpl w:val="1CE028A2"/>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45935A71"/>
    <w:multiLevelType w:val="hybridMultilevel"/>
    <w:tmpl w:val="C9DC9BDC"/>
    <w:lvl w:ilvl="0" w:tplc="0F104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B45E7"/>
    <w:multiLevelType w:val="hybridMultilevel"/>
    <w:tmpl w:val="AE102DF4"/>
    <w:lvl w:ilvl="0" w:tplc="040C0001">
      <w:start w:val="1"/>
      <w:numFmt w:val="bullet"/>
      <w:lvlText w:val=""/>
      <w:lvlJc w:val="left"/>
      <w:pPr>
        <w:ind w:left="715" w:hanging="360"/>
      </w:pPr>
      <w:rPr>
        <w:rFonts w:ascii="Symbol" w:hAnsi="Symbol" w:hint="default"/>
      </w:rPr>
    </w:lvl>
    <w:lvl w:ilvl="1" w:tplc="040C0003">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5" w15:restartNumberingAfterBreak="0">
    <w:nsid w:val="5D5846AD"/>
    <w:multiLevelType w:val="hybridMultilevel"/>
    <w:tmpl w:val="200A6C26"/>
    <w:lvl w:ilvl="0" w:tplc="08090001">
      <w:start w:val="1"/>
      <w:numFmt w:val="bullet"/>
      <w:lvlText w:val=""/>
      <w:lvlJc w:val="left"/>
      <w:pPr>
        <w:ind w:left="720" w:hanging="360"/>
      </w:pPr>
      <w:rPr>
        <w:rFonts w:ascii="Symbol" w:hAnsi="Symbol" w:hint="default"/>
      </w:rPr>
    </w:lvl>
    <w:lvl w:ilvl="1" w:tplc="4572778E">
      <w:start w:val="1"/>
      <w:numFmt w:val="bullet"/>
      <w:lvlText w:val="-"/>
      <w:lvlJc w:val="left"/>
      <w:pPr>
        <w:ind w:left="1440" w:hanging="360"/>
      </w:pPr>
      <w:rPr>
        <w:rFonts w:ascii="Courier New" w:hAnsi="Courier New" w:hint="default"/>
      </w:rPr>
    </w:lvl>
    <w:lvl w:ilvl="2" w:tplc="4572778E">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83186"/>
    <w:multiLevelType w:val="hybridMultilevel"/>
    <w:tmpl w:val="A0243724"/>
    <w:lvl w:ilvl="0" w:tplc="9CD4DE18">
      <w:start w:val="1"/>
      <w:numFmt w:val="bullet"/>
      <w:lvlText w:val=""/>
      <w:lvlJc w:val="left"/>
      <w:pPr>
        <w:ind w:left="644" w:hanging="360"/>
      </w:pPr>
      <w:rPr>
        <w:rFonts w:ascii="Symbol" w:hAnsi="Symbol" w:hint="default"/>
        <w:color w:val="auto"/>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7"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8" w15:restartNumberingAfterBreak="0">
    <w:nsid w:val="61D026E9"/>
    <w:multiLevelType w:val="hybridMultilevel"/>
    <w:tmpl w:val="C2A4AF8C"/>
    <w:lvl w:ilvl="0" w:tplc="08090005">
      <w:start w:val="1"/>
      <w:numFmt w:val="bullet"/>
      <w:lvlText w:val=""/>
      <w:lvlJc w:val="left"/>
      <w:pPr>
        <w:ind w:left="78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F42C0"/>
    <w:multiLevelType w:val="hybridMultilevel"/>
    <w:tmpl w:val="207A7068"/>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0"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15:restartNumberingAfterBreak="0">
    <w:nsid w:val="70967A6A"/>
    <w:multiLevelType w:val="hybridMultilevel"/>
    <w:tmpl w:val="27F2B37A"/>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2"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67D7BDC"/>
    <w:multiLevelType w:val="hybridMultilevel"/>
    <w:tmpl w:val="36A26EFE"/>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1E004B"/>
    <w:multiLevelType w:val="multilevel"/>
    <w:tmpl w:val="6FEE6C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sz w:val="22"/>
        <w:szCs w:val="22"/>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0"/>
  </w:num>
  <w:num w:numId="3">
    <w:abstractNumId w:val="23"/>
  </w:num>
  <w:num w:numId="4">
    <w:abstractNumId w:val="3"/>
  </w:num>
  <w:num w:numId="5">
    <w:abstractNumId w:val="17"/>
  </w:num>
  <w:num w:numId="6">
    <w:abstractNumId w:val="9"/>
  </w:num>
  <w:num w:numId="7">
    <w:abstractNumId w:val="4"/>
  </w:num>
  <w:num w:numId="8">
    <w:abstractNumId w:val="8"/>
  </w:num>
  <w:num w:numId="9">
    <w:abstractNumId w:val="7"/>
  </w:num>
  <w:num w:numId="10">
    <w:abstractNumId w:val="24"/>
  </w:num>
  <w:num w:numId="11">
    <w:abstractNumId w:val="12"/>
  </w:num>
  <w:num w:numId="12">
    <w:abstractNumId w:val="19"/>
  </w:num>
  <w:num w:numId="13">
    <w:abstractNumId w:val="0"/>
  </w:num>
  <w:num w:numId="14">
    <w:abstractNumId w:val="0"/>
  </w:num>
  <w:num w:numId="15">
    <w:abstractNumId w:val="18"/>
  </w:num>
  <w:num w:numId="16">
    <w:abstractNumId w:val="13"/>
  </w:num>
  <w:num w:numId="17">
    <w:abstractNumId w:val="0"/>
  </w:num>
  <w:num w:numId="18">
    <w:abstractNumId w:val="0"/>
  </w:num>
  <w:num w:numId="19">
    <w:abstractNumId w:val="21"/>
  </w:num>
  <w:num w:numId="20">
    <w:abstractNumId w:val="6"/>
  </w:num>
  <w:num w:numId="21">
    <w:abstractNumId w:val="16"/>
  </w:num>
  <w:num w:numId="22">
    <w:abstractNumId w:val="10"/>
  </w:num>
  <w:num w:numId="23">
    <w:abstractNumId w:val="11"/>
  </w:num>
  <w:num w:numId="24">
    <w:abstractNumId w:val="25"/>
  </w:num>
  <w:num w:numId="25">
    <w:abstractNumId w:val="15"/>
  </w:num>
  <w:num w:numId="26">
    <w:abstractNumId w:val="1"/>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27">
    <w:abstractNumId w:val="0"/>
  </w:num>
  <w:num w:numId="28">
    <w:abstractNumId w:val="2"/>
  </w:num>
  <w:num w:numId="29">
    <w:abstractNumId w:val="5"/>
  </w:num>
  <w:num w:numId="30">
    <w:abstractNumId w:val="14"/>
  </w:num>
  <w:num w:numId="3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6" w:nlCheck="1" w:checkStyle="0"/>
  <w:activeWritingStyle w:appName="MSWord" w:lang="en-GB" w:vendorID="64" w:dllVersion="6" w:nlCheck="1" w:checkStyle="0"/>
  <w:activeWritingStyle w:appName="MSWord" w:lang="fr-FR" w:vendorID="64" w:dllVersion="6" w:nlCheck="1" w:checkStyle="0"/>
  <w:activeWritingStyle w:appName="MSWord" w:lang="en-AU" w:vendorID="64" w:dllVersion="6" w:nlCheck="1" w:checkStyle="0"/>
  <w:activeWritingStyle w:appName="MSWord" w:lang="en-US" w:vendorID="64" w:dllVersion="6" w:nlCheck="1" w:checkStyle="0"/>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da-DK" w:vendorID="64" w:dllVersion="4096"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02061"/>
    <w:rsid w:val="000142E0"/>
    <w:rsid w:val="00014C93"/>
    <w:rsid w:val="00015E18"/>
    <w:rsid w:val="00017B56"/>
    <w:rsid w:val="000232FA"/>
    <w:rsid w:val="00023DE9"/>
    <w:rsid w:val="0002450A"/>
    <w:rsid w:val="000247C5"/>
    <w:rsid w:val="00024D79"/>
    <w:rsid w:val="000257FE"/>
    <w:rsid w:val="00027072"/>
    <w:rsid w:val="00027441"/>
    <w:rsid w:val="00031589"/>
    <w:rsid w:val="00032038"/>
    <w:rsid w:val="0003271A"/>
    <w:rsid w:val="00032BAA"/>
    <w:rsid w:val="00034E35"/>
    <w:rsid w:val="00036505"/>
    <w:rsid w:val="00037A85"/>
    <w:rsid w:val="000402AE"/>
    <w:rsid w:val="00041C4A"/>
    <w:rsid w:val="0004205F"/>
    <w:rsid w:val="000421E0"/>
    <w:rsid w:val="00050002"/>
    <w:rsid w:val="0005110E"/>
    <w:rsid w:val="0005170F"/>
    <w:rsid w:val="0005495B"/>
    <w:rsid w:val="00055D63"/>
    <w:rsid w:val="00056079"/>
    <w:rsid w:val="00056B3E"/>
    <w:rsid w:val="00057592"/>
    <w:rsid w:val="00063DFF"/>
    <w:rsid w:val="00063F30"/>
    <w:rsid w:val="00064EDE"/>
    <w:rsid w:val="00066DC7"/>
    <w:rsid w:val="0007015C"/>
    <w:rsid w:val="00070AAE"/>
    <w:rsid w:val="00070FEE"/>
    <w:rsid w:val="0007146F"/>
    <w:rsid w:val="00071F4C"/>
    <w:rsid w:val="00073491"/>
    <w:rsid w:val="000764E8"/>
    <w:rsid w:val="00076BA9"/>
    <w:rsid w:val="00083845"/>
    <w:rsid w:val="000911BF"/>
    <w:rsid w:val="00092425"/>
    <w:rsid w:val="000951A1"/>
    <w:rsid w:val="000956DB"/>
    <w:rsid w:val="00096786"/>
    <w:rsid w:val="000A007B"/>
    <w:rsid w:val="000A03BD"/>
    <w:rsid w:val="000A1218"/>
    <w:rsid w:val="000A558D"/>
    <w:rsid w:val="000A74DC"/>
    <w:rsid w:val="000A7BA8"/>
    <w:rsid w:val="000B01F7"/>
    <w:rsid w:val="000B19C4"/>
    <w:rsid w:val="000B1AE6"/>
    <w:rsid w:val="000B5831"/>
    <w:rsid w:val="000B7D8A"/>
    <w:rsid w:val="000C18CA"/>
    <w:rsid w:val="000C3942"/>
    <w:rsid w:val="000C43E2"/>
    <w:rsid w:val="000C6D0B"/>
    <w:rsid w:val="000D2F8F"/>
    <w:rsid w:val="000D65AC"/>
    <w:rsid w:val="000D7878"/>
    <w:rsid w:val="000E37FD"/>
    <w:rsid w:val="000E447F"/>
    <w:rsid w:val="000E56EA"/>
    <w:rsid w:val="000E5FFD"/>
    <w:rsid w:val="000E6108"/>
    <w:rsid w:val="000F2BDB"/>
    <w:rsid w:val="000F53B7"/>
    <w:rsid w:val="000F679A"/>
    <w:rsid w:val="001000A8"/>
    <w:rsid w:val="001016BE"/>
    <w:rsid w:val="00104B7A"/>
    <w:rsid w:val="00106358"/>
    <w:rsid w:val="001106FB"/>
    <w:rsid w:val="00113B00"/>
    <w:rsid w:val="001140AE"/>
    <w:rsid w:val="001167A1"/>
    <w:rsid w:val="00116A1C"/>
    <w:rsid w:val="001179DB"/>
    <w:rsid w:val="00117AA8"/>
    <w:rsid w:val="00120215"/>
    <w:rsid w:val="00120BA5"/>
    <w:rsid w:val="00124D7C"/>
    <w:rsid w:val="00126D3E"/>
    <w:rsid w:val="001271C3"/>
    <w:rsid w:val="001400C7"/>
    <w:rsid w:val="001445A7"/>
    <w:rsid w:val="001455A1"/>
    <w:rsid w:val="00146384"/>
    <w:rsid w:val="00150AD8"/>
    <w:rsid w:val="001513FD"/>
    <w:rsid w:val="00153032"/>
    <w:rsid w:val="001543FE"/>
    <w:rsid w:val="00155B53"/>
    <w:rsid w:val="00163106"/>
    <w:rsid w:val="00164813"/>
    <w:rsid w:val="001744F9"/>
    <w:rsid w:val="00174763"/>
    <w:rsid w:val="001760E9"/>
    <w:rsid w:val="0018231C"/>
    <w:rsid w:val="00182F92"/>
    <w:rsid w:val="001861B4"/>
    <w:rsid w:val="001865D3"/>
    <w:rsid w:val="00191597"/>
    <w:rsid w:val="001951FD"/>
    <w:rsid w:val="00196521"/>
    <w:rsid w:val="0019715D"/>
    <w:rsid w:val="001A0AD4"/>
    <w:rsid w:val="001A2273"/>
    <w:rsid w:val="001A7476"/>
    <w:rsid w:val="001B10DA"/>
    <w:rsid w:val="001B6460"/>
    <w:rsid w:val="001C226F"/>
    <w:rsid w:val="001C3412"/>
    <w:rsid w:val="001C4EDC"/>
    <w:rsid w:val="001C5D5C"/>
    <w:rsid w:val="001D1F54"/>
    <w:rsid w:val="001D2636"/>
    <w:rsid w:val="001D6FFF"/>
    <w:rsid w:val="001D770D"/>
    <w:rsid w:val="001E0F0C"/>
    <w:rsid w:val="001E2286"/>
    <w:rsid w:val="001E6413"/>
    <w:rsid w:val="001F1433"/>
    <w:rsid w:val="001F1862"/>
    <w:rsid w:val="001F56CE"/>
    <w:rsid w:val="001F6FD5"/>
    <w:rsid w:val="001F773D"/>
    <w:rsid w:val="00200222"/>
    <w:rsid w:val="0020062C"/>
    <w:rsid w:val="00202D15"/>
    <w:rsid w:val="002037FC"/>
    <w:rsid w:val="00203BF4"/>
    <w:rsid w:val="002043D7"/>
    <w:rsid w:val="002049FA"/>
    <w:rsid w:val="00205D0D"/>
    <w:rsid w:val="00215520"/>
    <w:rsid w:val="0021590B"/>
    <w:rsid w:val="00215FAB"/>
    <w:rsid w:val="00221313"/>
    <w:rsid w:val="00224583"/>
    <w:rsid w:val="0022582C"/>
    <w:rsid w:val="00225BCA"/>
    <w:rsid w:val="00225C52"/>
    <w:rsid w:val="00226DC1"/>
    <w:rsid w:val="00227E12"/>
    <w:rsid w:val="00232374"/>
    <w:rsid w:val="002326F4"/>
    <w:rsid w:val="002328D2"/>
    <w:rsid w:val="00237481"/>
    <w:rsid w:val="00242666"/>
    <w:rsid w:val="00245A60"/>
    <w:rsid w:val="00245CD4"/>
    <w:rsid w:val="00247E02"/>
    <w:rsid w:val="00251418"/>
    <w:rsid w:val="00255669"/>
    <w:rsid w:val="00256F0A"/>
    <w:rsid w:val="00261903"/>
    <w:rsid w:val="00261FDB"/>
    <w:rsid w:val="00270828"/>
    <w:rsid w:val="002737D4"/>
    <w:rsid w:val="00274DCF"/>
    <w:rsid w:val="00276CC9"/>
    <w:rsid w:val="002776B9"/>
    <w:rsid w:val="00291154"/>
    <w:rsid w:val="00292D44"/>
    <w:rsid w:val="00293765"/>
    <w:rsid w:val="00293E9C"/>
    <w:rsid w:val="00295B97"/>
    <w:rsid w:val="002962DA"/>
    <w:rsid w:val="002A2F38"/>
    <w:rsid w:val="002A417C"/>
    <w:rsid w:val="002A48BC"/>
    <w:rsid w:val="002A6192"/>
    <w:rsid w:val="002A696A"/>
    <w:rsid w:val="002B09A7"/>
    <w:rsid w:val="002B1961"/>
    <w:rsid w:val="002B2BA3"/>
    <w:rsid w:val="002B5031"/>
    <w:rsid w:val="002B75A5"/>
    <w:rsid w:val="002B7981"/>
    <w:rsid w:val="002C0E2F"/>
    <w:rsid w:val="002C2466"/>
    <w:rsid w:val="002C24B9"/>
    <w:rsid w:val="002C2B80"/>
    <w:rsid w:val="002C4B6E"/>
    <w:rsid w:val="002C5F52"/>
    <w:rsid w:val="002D03B9"/>
    <w:rsid w:val="002D3FFF"/>
    <w:rsid w:val="002D4C38"/>
    <w:rsid w:val="002D5A51"/>
    <w:rsid w:val="002E01B5"/>
    <w:rsid w:val="002E44D6"/>
    <w:rsid w:val="002E459D"/>
    <w:rsid w:val="002E5473"/>
    <w:rsid w:val="002E62B0"/>
    <w:rsid w:val="002F32E6"/>
    <w:rsid w:val="002F63EB"/>
    <w:rsid w:val="00305834"/>
    <w:rsid w:val="00311562"/>
    <w:rsid w:val="003123CB"/>
    <w:rsid w:val="003165A9"/>
    <w:rsid w:val="0032154F"/>
    <w:rsid w:val="0032266E"/>
    <w:rsid w:val="003227CC"/>
    <w:rsid w:val="0032340F"/>
    <w:rsid w:val="00323A05"/>
    <w:rsid w:val="003262D8"/>
    <w:rsid w:val="00326919"/>
    <w:rsid w:val="00331ACB"/>
    <w:rsid w:val="00331C12"/>
    <w:rsid w:val="00333F1A"/>
    <w:rsid w:val="00340F46"/>
    <w:rsid w:val="00342F72"/>
    <w:rsid w:val="003505DD"/>
    <w:rsid w:val="00350A12"/>
    <w:rsid w:val="00350F5C"/>
    <w:rsid w:val="003527B4"/>
    <w:rsid w:val="00353D37"/>
    <w:rsid w:val="00360C81"/>
    <w:rsid w:val="00361E48"/>
    <w:rsid w:val="0036641A"/>
    <w:rsid w:val="00370548"/>
    <w:rsid w:val="00370CCB"/>
    <w:rsid w:val="00376574"/>
    <w:rsid w:val="00394949"/>
    <w:rsid w:val="00396061"/>
    <w:rsid w:val="003965BB"/>
    <w:rsid w:val="003A0DB7"/>
    <w:rsid w:val="003A7071"/>
    <w:rsid w:val="003B0516"/>
    <w:rsid w:val="003B2007"/>
    <w:rsid w:val="003B3C5F"/>
    <w:rsid w:val="003B3D68"/>
    <w:rsid w:val="003B6760"/>
    <w:rsid w:val="003B76D6"/>
    <w:rsid w:val="003C07C5"/>
    <w:rsid w:val="003C0E5B"/>
    <w:rsid w:val="003C0FF2"/>
    <w:rsid w:val="003C2647"/>
    <w:rsid w:val="003C3F66"/>
    <w:rsid w:val="003C4172"/>
    <w:rsid w:val="003C4D5B"/>
    <w:rsid w:val="003C5614"/>
    <w:rsid w:val="003D33F7"/>
    <w:rsid w:val="003D4576"/>
    <w:rsid w:val="003D4F68"/>
    <w:rsid w:val="003D5339"/>
    <w:rsid w:val="003D57BD"/>
    <w:rsid w:val="003D76E2"/>
    <w:rsid w:val="003E2757"/>
    <w:rsid w:val="003E5137"/>
    <w:rsid w:val="003E674F"/>
    <w:rsid w:val="003E692C"/>
    <w:rsid w:val="003F0159"/>
    <w:rsid w:val="003F2D36"/>
    <w:rsid w:val="003F510A"/>
    <w:rsid w:val="003F6382"/>
    <w:rsid w:val="0040019C"/>
    <w:rsid w:val="00400A1F"/>
    <w:rsid w:val="00403406"/>
    <w:rsid w:val="004047A6"/>
    <w:rsid w:val="004047B1"/>
    <w:rsid w:val="00405802"/>
    <w:rsid w:val="00405FD9"/>
    <w:rsid w:val="0040654F"/>
    <w:rsid w:val="00406DDB"/>
    <w:rsid w:val="00407760"/>
    <w:rsid w:val="004109E7"/>
    <w:rsid w:val="00413EA0"/>
    <w:rsid w:val="004146D0"/>
    <w:rsid w:val="00426ECD"/>
    <w:rsid w:val="00427161"/>
    <w:rsid w:val="004331B4"/>
    <w:rsid w:val="004415E2"/>
    <w:rsid w:val="00441E45"/>
    <w:rsid w:val="004429E2"/>
    <w:rsid w:val="004442D3"/>
    <w:rsid w:val="004511AE"/>
    <w:rsid w:val="00456E3C"/>
    <w:rsid w:val="00462B31"/>
    <w:rsid w:val="00463300"/>
    <w:rsid w:val="004646AF"/>
    <w:rsid w:val="0046631E"/>
    <w:rsid w:val="00467BE4"/>
    <w:rsid w:val="00470719"/>
    <w:rsid w:val="00472A79"/>
    <w:rsid w:val="00472E72"/>
    <w:rsid w:val="004734C7"/>
    <w:rsid w:val="004755C3"/>
    <w:rsid w:val="00477361"/>
    <w:rsid w:val="004904F9"/>
    <w:rsid w:val="00492ED3"/>
    <w:rsid w:val="0049347F"/>
    <w:rsid w:val="004971E8"/>
    <w:rsid w:val="004A46D9"/>
    <w:rsid w:val="004A5CD7"/>
    <w:rsid w:val="004B2250"/>
    <w:rsid w:val="004B344F"/>
    <w:rsid w:val="004B7248"/>
    <w:rsid w:val="004B72DD"/>
    <w:rsid w:val="004C1E12"/>
    <w:rsid w:val="004C2872"/>
    <w:rsid w:val="004C40E4"/>
    <w:rsid w:val="004D2E64"/>
    <w:rsid w:val="004D65FF"/>
    <w:rsid w:val="004D7AC0"/>
    <w:rsid w:val="004E0C44"/>
    <w:rsid w:val="004E114D"/>
    <w:rsid w:val="004E3304"/>
    <w:rsid w:val="004F2430"/>
    <w:rsid w:val="004F68A8"/>
    <w:rsid w:val="00502B04"/>
    <w:rsid w:val="00502C82"/>
    <w:rsid w:val="005030F7"/>
    <w:rsid w:val="00510903"/>
    <w:rsid w:val="00516FB9"/>
    <w:rsid w:val="005224FE"/>
    <w:rsid w:val="00530644"/>
    <w:rsid w:val="00531E0B"/>
    <w:rsid w:val="00533AA9"/>
    <w:rsid w:val="00533BF2"/>
    <w:rsid w:val="0053502B"/>
    <w:rsid w:val="0054010D"/>
    <w:rsid w:val="00542C6F"/>
    <w:rsid w:val="005445DD"/>
    <w:rsid w:val="00546842"/>
    <w:rsid w:val="005475DA"/>
    <w:rsid w:val="00550800"/>
    <w:rsid w:val="0055106D"/>
    <w:rsid w:val="00552022"/>
    <w:rsid w:val="00554499"/>
    <w:rsid w:val="00555A39"/>
    <w:rsid w:val="00560174"/>
    <w:rsid w:val="00564924"/>
    <w:rsid w:val="00565C6E"/>
    <w:rsid w:val="00571FEB"/>
    <w:rsid w:val="00577672"/>
    <w:rsid w:val="00582A42"/>
    <w:rsid w:val="00584D91"/>
    <w:rsid w:val="00585857"/>
    <w:rsid w:val="0058593B"/>
    <w:rsid w:val="00586B4B"/>
    <w:rsid w:val="00590BDD"/>
    <w:rsid w:val="00594140"/>
    <w:rsid w:val="0059647B"/>
    <w:rsid w:val="005A3E6D"/>
    <w:rsid w:val="005A6946"/>
    <w:rsid w:val="005A755F"/>
    <w:rsid w:val="005B0E27"/>
    <w:rsid w:val="005B3012"/>
    <w:rsid w:val="005B5038"/>
    <w:rsid w:val="005C0363"/>
    <w:rsid w:val="005C0454"/>
    <w:rsid w:val="005C6297"/>
    <w:rsid w:val="005C7C47"/>
    <w:rsid w:val="005D55F5"/>
    <w:rsid w:val="005D621C"/>
    <w:rsid w:val="005D6E4D"/>
    <w:rsid w:val="005D76AC"/>
    <w:rsid w:val="005D7939"/>
    <w:rsid w:val="005E23CD"/>
    <w:rsid w:val="005E2C02"/>
    <w:rsid w:val="005E3426"/>
    <w:rsid w:val="005E56F3"/>
    <w:rsid w:val="005E682E"/>
    <w:rsid w:val="005E764B"/>
    <w:rsid w:val="005F4FFC"/>
    <w:rsid w:val="005F78D7"/>
    <w:rsid w:val="005F7E48"/>
    <w:rsid w:val="00600A25"/>
    <w:rsid w:val="006025C9"/>
    <w:rsid w:val="00607F17"/>
    <w:rsid w:val="006119BD"/>
    <w:rsid w:val="006125A8"/>
    <w:rsid w:val="00613467"/>
    <w:rsid w:val="0061692F"/>
    <w:rsid w:val="0062138E"/>
    <w:rsid w:val="00622822"/>
    <w:rsid w:val="00624785"/>
    <w:rsid w:val="00627B8F"/>
    <w:rsid w:val="00630047"/>
    <w:rsid w:val="00630928"/>
    <w:rsid w:val="00631509"/>
    <w:rsid w:val="00632139"/>
    <w:rsid w:val="006324DA"/>
    <w:rsid w:val="006334BE"/>
    <w:rsid w:val="00640656"/>
    <w:rsid w:val="00641262"/>
    <w:rsid w:val="00645723"/>
    <w:rsid w:val="00650DB1"/>
    <w:rsid w:val="006568C8"/>
    <w:rsid w:val="006604D8"/>
    <w:rsid w:val="00662436"/>
    <w:rsid w:val="006669FA"/>
    <w:rsid w:val="00666A72"/>
    <w:rsid w:val="00670347"/>
    <w:rsid w:val="00675177"/>
    <w:rsid w:val="00676CBB"/>
    <w:rsid w:val="00677979"/>
    <w:rsid w:val="00681B23"/>
    <w:rsid w:val="0068241A"/>
    <w:rsid w:val="006849A6"/>
    <w:rsid w:val="00687C49"/>
    <w:rsid w:val="0069051C"/>
    <w:rsid w:val="00691356"/>
    <w:rsid w:val="00693DE6"/>
    <w:rsid w:val="006967AE"/>
    <w:rsid w:val="006A1317"/>
    <w:rsid w:val="006A3A88"/>
    <w:rsid w:val="006A42C1"/>
    <w:rsid w:val="006A5AA8"/>
    <w:rsid w:val="006B106B"/>
    <w:rsid w:val="006B265F"/>
    <w:rsid w:val="006C4311"/>
    <w:rsid w:val="006C4ED2"/>
    <w:rsid w:val="006D32E3"/>
    <w:rsid w:val="006D4847"/>
    <w:rsid w:val="006D6086"/>
    <w:rsid w:val="006E0E88"/>
    <w:rsid w:val="006E3078"/>
    <w:rsid w:val="006E3F60"/>
    <w:rsid w:val="006E6434"/>
    <w:rsid w:val="006F1B2E"/>
    <w:rsid w:val="006F2BFD"/>
    <w:rsid w:val="006F3409"/>
    <w:rsid w:val="00700030"/>
    <w:rsid w:val="00701CBA"/>
    <w:rsid w:val="007037CE"/>
    <w:rsid w:val="00704C1E"/>
    <w:rsid w:val="00705674"/>
    <w:rsid w:val="0070677E"/>
    <w:rsid w:val="007105B2"/>
    <w:rsid w:val="007150C5"/>
    <w:rsid w:val="00715A60"/>
    <w:rsid w:val="007179BC"/>
    <w:rsid w:val="00720D22"/>
    <w:rsid w:val="00721342"/>
    <w:rsid w:val="00721386"/>
    <w:rsid w:val="00727B0D"/>
    <w:rsid w:val="007327CD"/>
    <w:rsid w:val="00732CC4"/>
    <w:rsid w:val="00733A55"/>
    <w:rsid w:val="00735256"/>
    <w:rsid w:val="00737766"/>
    <w:rsid w:val="0074379C"/>
    <w:rsid w:val="00745EAA"/>
    <w:rsid w:val="00746B35"/>
    <w:rsid w:val="00750BF7"/>
    <w:rsid w:val="0075250B"/>
    <w:rsid w:val="00753F2A"/>
    <w:rsid w:val="00756F3D"/>
    <w:rsid w:val="00760B02"/>
    <w:rsid w:val="00760C0A"/>
    <w:rsid w:val="0076429F"/>
    <w:rsid w:val="00765C4F"/>
    <w:rsid w:val="00771110"/>
    <w:rsid w:val="00775FDA"/>
    <w:rsid w:val="0077736D"/>
    <w:rsid w:val="0077792F"/>
    <w:rsid w:val="00781B32"/>
    <w:rsid w:val="007830DD"/>
    <w:rsid w:val="00785F4A"/>
    <w:rsid w:val="00797F54"/>
    <w:rsid w:val="007A0970"/>
    <w:rsid w:val="007A1548"/>
    <w:rsid w:val="007B21C5"/>
    <w:rsid w:val="007B231B"/>
    <w:rsid w:val="007B4C34"/>
    <w:rsid w:val="007B4C38"/>
    <w:rsid w:val="007B7C40"/>
    <w:rsid w:val="007C11A7"/>
    <w:rsid w:val="007C58EF"/>
    <w:rsid w:val="007C7CE2"/>
    <w:rsid w:val="007D1564"/>
    <w:rsid w:val="007D42D1"/>
    <w:rsid w:val="007D5174"/>
    <w:rsid w:val="007E0CE8"/>
    <w:rsid w:val="007E3FFA"/>
    <w:rsid w:val="007E70D2"/>
    <w:rsid w:val="007E7A4F"/>
    <w:rsid w:val="007E7DE3"/>
    <w:rsid w:val="007F0BB7"/>
    <w:rsid w:val="007F2119"/>
    <w:rsid w:val="007F292F"/>
    <w:rsid w:val="007F7DBA"/>
    <w:rsid w:val="00804736"/>
    <w:rsid w:val="0080501D"/>
    <w:rsid w:val="008102E2"/>
    <w:rsid w:val="008103DE"/>
    <w:rsid w:val="00812594"/>
    <w:rsid w:val="00813A00"/>
    <w:rsid w:val="00814E33"/>
    <w:rsid w:val="008159E1"/>
    <w:rsid w:val="008172B0"/>
    <w:rsid w:val="00822ED8"/>
    <w:rsid w:val="00824647"/>
    <w:rsid w:val="00824DCF"/>
    <w:rsid w:val="0082509A"/>
    <w:rsid w:val="00827B0E"/>
    <w:rsid w:val="008327B1"/>
    <w:rsid w:val="00833E27"/>
    <w:rsid w:val="00834EFE"/>
    <w:rsid w:val="00835925"/>
    <w:rsid w:val="00836740"/>
    <w:rsid w:val="00841374"/>
    <w:rsid w:val="0084226D"/>
    <w:rsid w:val="00842465"/>
    <w:rsid w:val="00842BDD"/>
    <w:rsid w:val="00842C71"/>
    <w:rsid w:val="00844B87"/>
    <w:rsid w:val="00847288"/>
    <w:rsid w:val="00847B19"/>
    <w:rsid w:val="0085096C"/>
    <w:rsid w:val="00855196"/>
    <w:rsid w:val="00855772"/>
    <w:rsid w:val="0086045C"/>
    <w:rsid w:val="008608BA"/>
    <w:rsid w:val="00861942"/>
    <w:rsid w:val="00862DC9"/>
    <w:rsid w:val="0086458A"/>
    <w:rsid w:val="008737C0"/>
    <w:rsid w:val="008745F7"/>
    <w:rsid w:val="00881E9B"/>
    <w:rsid w:val="0088219D"/>
    <w:rsid w:val="00882D7E"/>
    <w:rsid w:val="00883682"/>
    <w:rsid w:val="0088465F"/>
    <w:rsid w:val="00884879"/>
    <w:rsid w:val="008854AE"/>
    <w:rsid w:val="00886448"/>
    <w:rsid w:val="008927A3"/>
    <w:rsid w:val="008946BF"/>
    <w:rsid w:val="00895C48"/>
    <w:rsid w:val="00896F71"/>
    <w:rsid w:val="008A0B15"/>
    <w:rsid w:val="008A2447"/>
    <w:rsid w:val="008A4C14"/>
    <w:rsid w:val="008A6537"/>
    <w:rsid w:val="008B2544"/>
    <w:rsid w:val="008B26C6"/>
    <w:rsid w:val="008B2708"/>
    <w:rsid w:val="008B47C5"/>
    <w:rsid w:val="008B66DD"/>
    <w:rsid w:val="008B7198"/>
    <w:rsid w:val="008B72DD"/>
    <w:rsid w:val="008C18DE"/>
    <w:rsid w:val="008C3E09"/>
    <w:rsid w:val="008C5DFD"/>
    <w:rsid w:val="008D2131"/>
    <w:rsid w:val="008D5213"/>
    <w:rsid w:val="008E0C2F"/>
    <w:rsid w:val="008E5076"/>
    <w:rsid w:val="008E679C"/>
    <w:rsid w:val="008E7C2A"/>
    <w:rsid w:val="008F1627"/>
    <w:rsid w:val="00900BFC"/>
    <w:rsid w:val="009011ED"/>
    <w:rsid w:val="009049FC"/>
    <w:rsid w:val="009109F5"/>
    <w:rsid w:val="00912E0E"/>
    <w:rsid w:val="00912F6B"/>
    <w:rsid w:val="00914265"/>
    <w:rsid w:val="009150E9"/>
    <w:rsid w:val="009173E7"/>
    <w:rsid w:val="009177FF"/>
    <w:rsid w:val="00931584"/>
    <w:rsid w:val="00934472"/>
    <w:rsid w:val="009357C2"/>
    <w:rsid w:val="00942238"/>
    <w:rsid w:val="0094733C"/>
    <w:rsid w:val="00947E08"/>
    <w:rsid w:val="0095386D"/>
    <w:rsid w:val="0095396D"/>
    <w:rsid w:val="0096099A"/>
    <w:rsid w:val="00961956"/>
    <w:rsid w:val="00961F3C"/>
    <w:rsid w:val="0096721E"/>
    <w:rsid w:val="00967517"/>
    <w:rsid w:val="00970971"/>
    <w:rsid w:val="00971495"/>
    <w:rsid w:val="00974EE4"/>
    <w:rsid w:val="0097659B"/>
    <w:rsid w:val="00986C7F"/>
    <w:rsid w:val="00987507"/>
    <w:rsid w:val="009954A1"/>
    <w:rsid w:val="009A3E0E"/>
    <w:rsid w:val="009B0E36"/>
    <w:rsid w:val="009B2ADD"/>
    <w:rsid w:val="009B37E5"/>
    <w:rsid w:val="009B70E7"/>
    <w:rsid w:val="009B72AB"/>
    <w:rsid w:val="009C1329"/>
    <w:rsid w:val="009C513E"/>
    <w:rsid w:val="009C574C"/>
    <w:rsid w:val="009C75E4"/>
    <w:rsid w:val="009D07F4"/>
    <w:rsid w:val="009D1CA2"/>
    <w:rsid w:val="009D2CD0"/>
    <w:rsid w:val="009D388E"/>
    <w:rsid w:val="009D5CC6"/>
    <w:rsid w:val="009E4E92"/>
    <w:rsid w:val="009E6BA2"/>
    <w:rsid w:val="009E70A3"/>
    <w:rsid w:val="009E7942"/>
    <w:rsid w:val="009F39C6"/>
    <w:rsid w:val="009F3BC5"/>
    <w:rsid w:val="009F4EF7"/>
    <w:rsid w:val="009F5F78"/>
    <w:rsid w:val="009F706B"/>
    <w:rsid w:val="00A00F37"/>
    <w:rsid w:val="00A0410F"/>
    <w:rsid w:val="00A048E9"/>
    <w:rsid w:val="00A049D5"/>
    <w:rsid w:val="00A06E9E"/>
    <w:rsid w:val="00A10A98"/>
    <w:rsid w:val="00A20E9D"/>
    <w:rsid w:val="00A23F52"/>
    <w:rsid w:val="00A26217"/>
    <w:rsid w:val="00A30792"/>
    <w:rsid w:val="00A30B84"/>
    <w:rsid w:val="00A3344B"/>
    <w:rsid w:val="00A367AA"/>
    <w:rsid w:val="00A37880"/>
    <w:rsid w:val="00A45EC3"/>
    <w:rsid w:val="00A46122"/>
    <w:rsid w:val="00A47CF5"/>
    <w:rsid w:val="00A51F03"/>
    <w:rsid w:val="00A51F67"/>
    <w:rsid w:val="00A522D4"/>
    <w:rsid w:val="00A5507B"/>
    <w:rsid w:val="00A60630"/>
    <w:rsid w:val="00A61524"/>
    <w:rsid w:val="00A62F57"/>
    <w:rsid w:val="00A63413"/>
    <w:rsid w:val="00A6556C"/>
    <w:rsid w:val="00A659B5"/>
    <w:rsid w:val="00A661BB"/>
    <w:rsid w:val="00A720CF"/>
    <w:rsid w:val="00A743EB"/>
    <w:rsid w:val="00A74B4C"/>
    <w:rsid w:val="00A763E7"/>
    <w:rsid w:val="00A827D2"/>
    <w:rsid w:val="00A847C3"/>
    <w:rsid w:val="00A86E2C"/>
    <w:rsid w:val="00A9462E"/>
    <w:rsid w:val="00A94E45"/>
    <w:rsid w:val="00AA05F8"/>
    <w:rsid w:val="00AA22BE"/>
    <w:rsid w:val="00AA5C1D"/>
    <w:rsid w:val="00AA5C61"/>
    <w:rsid w:val="00AA69BF"/>
    <w:rsid w:val="00AA7DA3"/>
    <w:rsid w:val="00AB0B62"/>
    <w:rsid w:val="00AB20C0"/>
    <w:rsid w:val="00AB3045"/>
    <w:rsid w:val="00AB4D68"/>
    <w:rsid w:val="00AB5E6A"/>
    <w:rsid w:val="00AB72EB"/>
    <w:rsid w:val="00AC567A"/>
    <w:rsid w:val="00AC7690"/>
    <w:rsid w:val="00AD1524"/>
    <w:rsid w:val="00AD3DB1"/>
    <w:rsid w:val="00AD6708"/>
    <w:rsid w:val="00AD75EB"/>
    <w:rsid w:val="00AE0A52"/>
    <w:rsid w:val="00AE2E3C"/>
    <w:rsid w:val="00AE4F16"/>
    <w:rsid w:val="00AF10D4"/>
    <w:rsid w:val="00AF1233"/>
    <w:rsid w:val="00AF2C37"/>
    <w:rsid w:val="00AF45AD"/>
    <w:rsid w:val="00AF4F10"/>
    <w:rsid w:val="00AF5A72"/>
    <w:rsid w:val="00B00DCF"/>
    <w:rsid w:val="00B0229E"/>
    <w:rsid w:val="00B02467"/>
    <w:rsid w:val="00B0753C"/>
    <w:rsid w:val="00B10934"/>
    <w:rsid w:val="00B11964"/>
    <w:rsid w:val="00B13B9C"/>
    <w:rsid w:val="00B1403C"/>
    <w:rsid w:val="00B24B60"/>
    <w:rsid w:val="00B24C28"/>
    <w:rsid w:val="00B2754C"/>
    <w:rsid w:val="00B30118"/>
    <w:rsid w:val="00B339AC"/>
    <w:rsid w:val="00B33BAC"/>
    <w:rsid w:val="00B34E93"/>
    <w:rsid w:val="00B35908"/>
    <w:rsid w:val="00B40093"/>
    <w:rsid w:val="00B40158"/>
    <w:rsid w:val="00B41E79"/>
    <w:rsid w:val="00B42E2F"/>
    <w:rsid w:val="00B42F7B"/>
    <w:rsid w:val="00B4330A"/>
    <w:rsid w:val="00B44BB9"/>
    <w:rsid w:val="00B44E37"/>
    <w:rsid w:val="00B4522B"/>
    <w:rsid w:val="00B51AF6"/>
    <w:rsid w:val="00B51B20"/>
    <w:rsid w:val="00B51EBC"/>
    <w:rsid w:val="00B5317E"/>
    <w:rsid w:val="00B53791"/>
    <w:rsid w:val="00B539C0"/>
    <w:rsid w:val="00B53E01"/>
    <w:rsid w:val="00B54D49"/>
    <w:rsid w:val="00B56041"/>
    <w:rsid w:val="00B61819"/>
    <w:rsid w:val="00B62D22"/>
    <w:rsid w:val="00B6406F"/>
    <w:rsid w:val="00B656FE"/>
    <w:rsid w:val="00B67EDA"/>
    <w:rsid w:val="00B73746"/>
    <w:rsid w:val="00B7530C"/>
    <w:rsid w:val="00B76922"/>
    <w:rsid w:val="00B77513"/>
    <w:rsid w:val="00B77F1B"/>
    <w:rsid w:val="00B81D0F"/>
    <w:rsid w:val="00B83A51"/>
    <w:rsid w:val="00B83E7B"/>
    <w:rsid w:val="00B85573"/>
    <w:rsid w:val="00B876EC"/>
    <w:rsid w:val="00B90D85"/>
    <w:rsid w:val="00B92B86"/>
    <w:rsid w:val="00B9776A"/>
    <w:rsid w:val="00B97AA6"/>
    <w:rsid w:val="00BA051D"/>
    <w:rsid w:val="00BA494E"/>
    <w:rsid w:val="00BA579D"/>
    <w:rsid w:val="00BB054C"/>
    <w:rsid w:val="00BB1EE2"/>
    <w:rsid w:val="00BB37C1"/>
    <w:rsid w:val="00BB3A55"/>
    <w:rsid w:val="00BB3AF7"/>
    <w:rsid w:val="00BB739D"/>
    <w:rsid w:val="00BC1767"/>
    <w:rsid w:val="00BC29C8"/>
    <w:rsid w:val="00BC3670"/>
    <w:rsid w:val="00BC375B"/>
    <w:rsid w:val="00BC3FCE"/>
    <w:rsid w:val="00BC41D9"/>
    <w:rsid w:val="00BD00EB"/>
    <w:rsid w:val="00BD1E0C"/>
    <w:rsid w:val="00BD436C"/>
    <w:rsid w:val="00BD4DBF"/>
    <w:rsid w:val="00BD6E79"/>
    <w:rsid w:val="00BD7550"/>
    <w:rsid w:val="00BD7A8C"/>
    <w:rsid w:val="00BE12B3"/>
    <w:rsid w:val="00BE40C9"/>
    <w:rsid w:val="00BE5754"/>
    <w:rsid w:val="00BE6D5A"/>
    <w:rsid w:val="00BF27C9"/>
    <w:rsid w:val="00BF6653"/>
    <w:rsid w:val="00C005B2"/>
    <w:rsid w:val="00C00B1F"/>
    <w:rsid w:val="00C0119D"/>
    <w:rsid w:val="00C10C77"/>
    <w:rsid w:val="00C23683"/>
    <w:rsid w:val="00C259DF"/>
    <w:rsid w:val="00C25DB3"/>
    <w:rsid w:val="00C331A1"/>
    <w:rsid w:val="00C34B35"/>
    <w:rsid w:val="00C37AC2"/>
    <w:rsid w:val="00C437AB"/>
    <w:rsid w:val="00C445FE"/>
    <w:rsid w:val="00C44A5C"/>
    <w:rsid w:val="00C46E4F"/>
    <w:rsid w:val="00C508EF"/>
    <w:rsid w:val="00C554BB"/>
    <w:rsid w:val="00C600B5"/>
    <w:rsid w:val="00C60AE2"/>
    <w:rsid w:val="00C61E75"/>
    <w:rsid w:val="00C64EEF"/>
    <w:rsid w:val="00C65A95"/>
    <w:rsid w:val="00C677AD"/>
    <w:rsid w:val="00C70E54"/>
    <w:rsid w:val="00C71AB7"/>
    <w:rsid w:val="00C752C7"/>
    <w:rsid w:val="00C7574C"/>
    <w:rsid w:val="00C76C46"/>
    <w:rsid w:val="00C76D56"/>
    <w:rsid w:val="00C80321"/>
    <w:rsid w:val="00C834A5"/>
    <w:rsid w:val="00C8431E"/>
    <w:rsid w:val="00C86F74"/>
    <w:rsid w:val="00C92102"/>
    <w:rsid w:val="00C95751"/>
    <w:rsid w:val="00C9679B"/>
    <w:rsid w:val="00C96BF2"/>
    <w:rsid w:val="00C97966"/>
    <w:rsid w:val="00CA1127"/>
    <w:rsid w:val="00CA3848"/>
    <w:rsid w:val="00CA684E"/>
    <w:rsid w:val="00CA685D"/>
    <w:rsid w:val="00CA6928"/>
    <w:rsid w:val="00CA7D13"/>
    <w:rsid w:val="00CB0CBA"/>
    <w:rsid w:val="00CB1215"/>
    <w:rsid w:val="00CB1D03"/>
    <w:rsid w:val="00CB2A8A"/>
    <w:rsid w:val="00CB3335"/>
    <w:rsid w:val="00CB3574"/>
    <w:rsid w:val="00CB4448"/>
    <w:rsid w:val="00CB6509"/>
    <w:rsid w:val="00CC25F9"/>
    <w:rsid w:val="00CC521C"/>
    <w:rsid w:val="00CD1982"/>
    <w:rsid w:val="00CD7E1B"/>
    <w:rsid w:val="00CD7F66"/>
    <w:rsid w:val="00CE0EA4"/>
    <w:rsid w:val="00CE23CC"/>
    <w:rsid w:val="00CE48CB"/>
    <w:rsid w:val="00CE7111"/>
    <w:rsid w:val="00CF2F88"/>
    <w:rsid w:val="00CF3D01"/>
    <w:rsid w:val="00CF5AC7"/>
    <w:rsid w:val="00CF7381"/>
    <w:rsid w:val="00CF7F58"/>
    <w:rsid w:val="00D0023B"/>
    <w:rsid w:val="00D007F3"/>
    <w:rsid w:val="00D00BF8"/>
    <w:rsid w:val="00D014A8"/>
    <w:rsid w:val="00D01E10"/>
    <w:rsid w:val="00D0461E"/>
    <w:rsid w:val="00D04678"/>
    <w:rsid w:val="00D13F40"/>
    <w:rsid w:val="00D145C1"/>
    <w:rsid w:val="00D205F2"/>
    <w:rsid w:val="00D20C54"/>
    <w:rsid w:val="00D243A3"/>
    <w:rsid w:val="00D24601"/>
    <w:rsid w:val="00D327F0"/>
    <w:rsid w:val="00D35512"/>
    <w:rsid w:val="00D35C97"/>
    <w:rsid w:val="00D41F72"/>
    <w:rsid w:val="00D423EB"/>
    <w:rsid w:val="00D442EE"/>
    <w:rsid w:val="00D47085"/>
    <w:rsid w:val="00D534BA"/>
    <w:rsid w:val="00D55B4C"/>
    <w:rsid w:val="00D61B08"/>
    <w:rsid w:val="00D630B8"/>
    <w:rsid w:val="00D67CAD"/>
    <w:rsid w:val="00D70F4B"/>
    <w:rsid w:val="00D761CD"/>
    <w:rsid w:val="00D76363"/>
    <w:rsid w:val="00D80558"/>
    <w:rsid w:val="00D80C88"/>
    <w:rsid w:val="00D8145F"/>
    <w:rsid w:val="00D82C3A"/>
    <w:rsid w:val="00D84FBD"/>
    <w:rsid w:val="00D85838"/>
    <w:rsid w:val="00D85D67"/>
    <w:rsid w:val="00D86432"/>
    <w:rsid w:val="00D91EA9"/>
    <w:rsid w:val="00D92EBC"/>
    <w:rsid w:val="00D944B2"/>
    <w:rsid w:val="00D979E8"/>
    <w:rsid w:val="00DA2D88"/>
    <w:rsid w:val="00DA608B"/>
    <w:rsid w:val="00DB2B61"/>
    <w:rsid w:val="00DB34D6"/>
    <w:rsid w:val="00DB5B6E"/>
    <w:rsid w:val="00DB6D98"/>
    <w:rsid w:val="00DC057E"/>
    <w:rsid w:val="00DC097D"/>
    <w:rsid w:val="00DC17CF"/>
    <w:rsid w:val="00DC28F0"/>
    <w:rsid w:val="00DC3563"/>
    <w:rsid w:val="00DC53E9"/>
    <w:rsid w:val="00DD23A2"/>
    <w:rsid w:val="00DD2512"/>
    <w:rsid w:val="00DD289C"/>
    <w:rsid w:val="00DD53BD"/>
    <w:rsid w:val="00DE010C"/>
    <w:rsid w:val="00DE308B"/>
    <w:rsid w:val="00DE3CA7"/>
    <w:rsid w:val="00DE65D0"/>
    <w:rsid w:val="00DE78E2"/>
    <w:rsid w:val="00DF25DF"/>
    <w:rsid w:val="00DF2640"/>
    <w:rsid w:val="00DF2B94"/>
    <w:rsid w:val="00DF349B"/>
    <w:rsid w:val="00DF3AB4"/>
    <w:rsid w:val="00DF3AB5"/>
    <w:rsid w:val="00DF590D"/>
    <w:rsid w:val="00E00CD3"/>
    <w:rsid w:val="00E02E1A"/>
    <w:rsid w:val="00E060CF"/>
    <w:rsid w:val="00E0620E"/>
    <w:rsid w:val="00E06456"/>
    <w:rsid w:val="00E074E2"/>
    <w:rsid w:val="00E119DF"/>
    <w:rsid w:val="00E11C18"/>
    <w:rsid w:val="00E15330"/>
    <w:rsid w:val="00E20579"/>
    <w:rsid w:val="00E207F0"/>
    <w:rsid w:val="00E20FC5"/>
    <w:rsid w:val="00E211D9"/>
    <w:rsid w:val="00E21482"/>
    <w:rsid w:val="00E227B2"/>
    <w:rsid w:val="00E24CDF"/>
    <w:rsid w:val="00E26F29"/>
    <w:rsid w:val="00E302BC"/>
    <w:rsid w:val="00E31954"/>
    <w:rsid w:val="00E33923"/>
    <w:rsid w:val="00E33D03"/>
    <w:rsid w:val="00E34279"/>
    <w:rsid w:val="00E36007"/>
    <w:rsid w:val="00E36EA1"/>
    <w:rsid w:val="00E4010A"/>
    <w:rsid w:val="00E4196E"/>
    <w:rsid w:val="00E4355F"/>
    <w:rsid w:val="00E461E1"/>
    <w:rsid w:val="00E53870"/>
    <w:rsid w:val="00E54548"/>
    <w:rsid w:val="00E568E1"/>
    <w:rsid w:val="00E61540"/>
    <w:rsid w:val="00E63571"/>
    <w:rsid w:val="00E642C0"/>
    <w:rsid w:val="00E64300"/>
    <w:rsid w:val="00E65D01"/>
    <w:rsid w:val="00E66A9B"/>
    <w:rsid w:val="00E72E7D"/>
    <w:rsid w:val="00E7466E"/>
    <w:rsid w:val="00E775D4"/>
    <w:rsid w:val="00E81FDD"/>
    <w:rsid w:val="00E86232"/>
    <w:rsid w:val="00E87122"/>
    <w:rsid w:val="00E9792C"/>
    <w:rsid w:val="00EA1181"/>
    <w:rsid w:val="00EA2684"/>
    <w:rsid w:val="00EA2799"/>
    <w:rsid w:val="00EA2EC0"/>
    <w:rsid w:val="00EA403A"/>
    <w:rsid w:val="00EA74E6"/>
    <w:rsid w:val="00EA76FF"/>
    <w:rsid w:val="00EB051C"/>
    <w:rsid w:val="00EC533C"/>
    <w:rsid w:val="00EC6B43"/>
    <w:rsid w:val="00EC7156"/>
    <w:rsid w:val="00EC78C3"/>
    <w:rsid w:val="00EC79EC"/>
    <w:rsid w:val="00ED20B6"/>
    <w:rsid w:val="00ED2A6A"/>
    <w:rsid w:val="00ED377B"/>
    <w:rsid w:val="00ED441B"/>
    <w:rsid w:val="00ED7BC2"/>
    <w:rsid w:val="00EE1E04"/>
    <w:rsid w:val="00EE7F61"/>
    <w:rsid w:val="00EF0853"/>
    <w:rsid w:val="00EF6631"/>
    <w:rsid w:val="00EF688F"/>
    <w:rsid w:val="00F00603"/>
    <w:rsid w:val="00F0060E"/>
    <w:rsid w:val="00F01CF2"/>
    <w:rsid w:val="00F01E91"/>
    <w:rsid w:val="00F03155"/>
    <w:rsid w:val="00F03950"/>
    <w:rsid w:val="00F049D6"/>
    <w:rsid w:val="00F13607"/>
    <w:rsid w:val="00F161F9"/>
    <w:rsid w:val="00F173C9"/>
    <w:rsid w:val="00F2127E"/>
    <w:rsid w:val="00F25F17"/>
    <w:rsid w:val="00F3200A"/>
    <w:rsid w:val="00F324AC"/>
    <w:rsid w:val="00F32577"/>
    <w:rsid w:val="00F33DD2"/>
    <w:rsid w:val="00F37E4A"/>
    <w:rsid w:val="00F423CE"/>
    <w:rsid w:val="00F443A0"/>
    <w:rsid w:val="00F4549F"/>
    <w:rsid w:val="00F471FB"/>
    <w:rsid w:val="00F47818"/>
    <w:rsid w:val="00F508B3"/>
    <w:rsid w:val="00F512BB"/>
    <w:rsid w:val="00F51327"/>
    <w:rsid w:val="00F545CF"/>
    <w:rsid w:val="00F63F2A"/>
    <w:rsid w:val="00F646EF"/>
    <w:rsid w:val="00F71666"/>
    <w:rsid w:val="00F72D85"/>
    <w:rsid w:val="00F804C6"/>
    <w:rsid w:val="00F80F3B"/>
    <w:rsid w:val="00F841DB"/>
    <w:rsid w:val="00F856AC"/>
    <w:rsid w:val="00F86531"/>
    <w:rsid w:val="00F86EB5"/>
    <w:rsid w:val="00F86F23"/>
    <w:rsid w:val="00F916E1"/>
    <w:rsid w:val="00F929FB"/>
    <w:rsid w:val="00F941D5"/>
    <w:rsid w:val="00F946E1"/>
    <w:rsid w:val="00F94A84"/>
    <w:rsid w:val="00F9553E"/>
    <w:rsid w:val="00F95D18"/>
    <w:rsid w:val="00FA0183"/>
    <w:rsid w:val="00FA0704"/>
    <w:rsid w:val="00FA0D13"/>
    <w:rsid w:val="00FB044B"/>
    <w:rsid w:val="00FB1C7A"/>
    <w:rsid w:val="00FB24BA"/>
    <w:rsid w:val="00FB55E3"/>
    <w:rsid w:val="00FD3685"/>
    <w:rsid w:val="00FD3A69"/>
    <w:rsid w:val="00FD3EB9"/>
    <w:rsid w:val="00FE044C"/>
    <w:rsid w:val="00FE68B2"/>
    <w:rsid w:val="00FE7250"/>
    <w:rsid w:val="00FF16D1"/>
    <w:rsid w:val="00FF24B5"/>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576"/>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sl-SI"/>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sl/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Silvia.Staffa@eesc.europa.eu" TargetMode="External"/><Relationship Id="rId39" Type="http://schemas.openxmlformats.org/officeDocument/2006/relationships/customXml" Target="../customXml/item2.xml"/><Relationship Id="rId21" Type="http://schemas.openxmlformats.org/officeDocument/2006/relationships/hyperlink" Target="mailto:Colombe.Gregoire@eesc.europa.eu" TargetMode="Externa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mailto:Marco.Manfroni@eesc.europa.eu" TargetMode="External"/><Relationship Id="rId33" Type="http://schemas.openxmlformats.org/officeDocument/2006/relationships/footer" Target="footer5.xml"/><Relationship Id="rId38"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Gaia.Bottoni@eesc.europa.eu" TargetMode="External"/><Relationship Id="rId41" Type="http://schemas.openxmlformats.org/officeDocument/2006/relationships/customXml" Target="../customXml/item4.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ophie.Zimmer@eesc.europa.eu" TargetMode="External"/><Relationship Id="rId32" Type="http://schemas.openxmlformats.org/officeDocument/2006/relationships/footer" Target="footer4.xml"/><Relationship Id="rId37" Type="http://schemas.openxmlformats.org/officeDocument/2006/relationships/theme" Target="theme/theme1.xml"/><Relationship Id="rId40" Type="http://schemas.openxmlformats.org/officeDocument/2006/relationships/customXml" Target="../customXml/item3.xml"/><Relationship Id="rId15" Type="http://schemas.openxmlformats.org/officeDocument/2006/relationships/header" Target="header1.xml"/><Relationship Id="rId23" Type="http://schemas.openxmlformats.org/officeDocument/2006/relationships/hyperlink" Target="mailto:Triin.Aasmaa@eesc.europa.eu" TargetMode="External"/><Relationship Id="rId28" Type="http://schemas.openxmlformats.org/officeDocument/2006/relationships/hyperlink" Target="mailto:Gaia.Bottoni@eesc.europa.e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5.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Krisztina.PerlakyToth@eesc.europa.eu" TargetMode="External"/><Relationship Id="rId27" Type="http://schemas.openxmlformats.org/officeDocument/2006/relationships/hyperlink" Target="mailto:Gaia.Bottoni@eesc.europa.eu" TargetMode="Externa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DB38A89627FC8409102604566BFD4EB" ma:contentTypeVersion="4" ma:contentTypeDescription="Defines the documents for Document Manager V2" ma:contentTypeScope="" ma:versionID="79414e5f06af0fe338c5606b96a21488">
  <xsd:schema xmlns:xsd="http://www.w3.org/2001/XMLSchema" xmlns:xs="http://www.w3.org/2001/XMLSchema" xmlns:p="http://schemas.microsoft.com/office/2006/metadata/properties" xmlns:ns2="56a5413d-c261-4a00-870c-a20d3379ae6d" xmlns:ns3="http://schemas.microsoft.com/sharepoint/v3/fields" xmlns:ns4="8759b006-28ee-44c8-b138-16f6ad18758c" targetNamespace="http://schemas.microsoft.com/office/2006/metadata/properties" ma:root="true" ma:fieldsID="afdf2a387991f46b25d49ecbd90ffb8b" ns2:_="" ns3:_="" ns4:_="">
    <xsd:import namespace="56a5413d-c261-4a00-870c-a20d3379ae6d"/>
    <xsd:import namespace="http://schemas.microsoft.com/sharepoint/v3/fields"/>
    <xsd:import namespace="8759b006-28ee-44c8-b138-16f6ad18758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9b006-28ee-44c8-b138-16f6ad18758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XMKEDVFMMJCW-1266005036-5864</_dlc_DocId>
    <_dlc_DocIdUrl xmlns="56a5413d-c261-4a00-870c-a20d3379ae6d">
      <Url>http://dm2016/eesc/2023/_layouts/15/DocIdRedir.aspx?ID=XMKEDVFMMJCW-1266005036-5864</Url>
      <Description>XMKEDVFMMJCW-1266005036-5864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2023-03-14T12:00:00+00:00</ProductionDate>
    <DocumentNumber xmlns="8759b006-28ee-44c8-b138-16f6ad18758c">570</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2023-03-22T12:00:00+00:00</MeetingDate>
    <TaxCatchAll xmlns="56a5413d-c261-4a00-870c-a20d3379ae6d">
      <Value>59</Value>
      <Value>46</Value>
      <Value>45</Value>
      <Value>44</Value>
      <Value>43</Value>
      <Value>42</Value>
      <Value>41</Value>
      <Value>40</Value>
      <Value>39</Value>
      <Value>38</Value>
      <Value>37</Value>
      <Value>35</Value>
      <Value>34</Value>
      <Value>33</Value>
      <Value>32</Value>
      <Value>31</Value>
      <Value>30</Value>
      <Value>25</Value>
      <Value>24</Value>
      <Value>21</Value>
      <Value>16</Value>
      <Value>10</Value>
      <Value>9</Value>
      <Value>8</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2006</FicheNumber>
    <OriginalSender xmlns="56a5413d-c261-4a00-870c-a20d3379ae6d">
      <UserInfo>
        <DisplayName>Logar Tina</DisplayName>
        <AccountId>1620</AccountId>
        <AccountType/>
      </UserInfo>
    </OriginalSender>
    <DocumentPart xmlns="56a5413d-c261-4a00-870c-a20d3379ae6d">0</DocumentPart>
    <AdoptionDate xmlns="56a5413d-c261-4a00-870c-a20d3379ae6d" xsi:nil="true"/>
    <RequestingService xmlns="56a5413d-c261-4a00-870c-a20d3379ae6d">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759b006-28ee-44c8-b138-16f6ad18758c">577</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EBD367FE-480F-44CE-8CC4-99AF0C8F4A8D}"/>
</file>

<file path=customXml/itemProps2.xml><?xml version="1.0" encoding="utf-8"?>
<ds:datastoreItem xmlns:ds="http://schemas.openxmlformats.org/officeDocument/2006/customXml" ds:itemID="{947A2685-DA9B-4A42-969A-C9A6470B2E84}"/>
</file>

<file path=customXml/itemProps3.xml><?xml version="1.0" encoding="utf-8"?>
<ds:datastoreItem xmlns:ds="http://schemas.openxmlformats.org/officeDocument/2006/customXml" ds:itemID="{1FB6A224-7B89-4BB6-BE7D-24BA5FCF6686}"/>
</file>

<file path=customXml/itemProps4.xml><?xml version="1.0" encoding="utf-8"?>
<ds:datastoreItem xmlns:ds="http://schemas.openxmlformats.org/officeDocument/2006/customXml" ds:itemID="{5F307309-A673-48E7-9348-39BA91F18822}"/>
</file>

<file path=docProps/app.xml><?xml version="1.0" encoding="utf-8"?>
<Properties xmlns="http://schemas.openxmlformats.org/officeDocument/2006/extended-properties" xmlns:vt="http://schemas.openxmlformats.org/officeDocument/2006/docPropsVTypes">
  <Template>Normal.dotm</Template>
  <TotalTime>36</TotalTime>
  <Pages>3</Pages>
  <Words>3931</Words>
  <Characters>22410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Summary of opinions December plenary 2022</vt:lpstr>
    </vt:vector>
  </TitlesOfParts>
  <Company>CESE-CdR</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Povzetek sprejetih mnenj na plenarnem zasedanju februarja 2023</dc:title>
  <dc:subject>TCD</dc:subject>
  <dc:creator>Nieddu Emma</dc:creator>
  <cp:keywords>EESC-2023-00570-00-00-TCD-TRA-EN</cp:keywords>
  <dc:description>Rapporteur:  - Original language: EN - Date of document: 14/03/2023 - Date of meeting: 30/22/2023 14:30 - External documents:  - Administrator: Mme DAMYANOVA-KERESTELIEVA Ani Alexieva</dc:description>
  <cp:lastModifiedBy>Logar Tina</cp:lastModifiedBy>
  <cp:revision>6</cp:revision>
  <cp:lastPrinted>2022-12-02T08:55:00Z</cp:lastPrinted>
  <dcterms:created xsi:type="dcterms:W3CDTF">2023-03-14T12:20:00Z</dcterms:created>
  <dcterms:modified xsi:type="dcterms:W3CDTF">2023-03-14T14:20:00Z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07/03/2023, 11/01/2023, 10/01/2023, 29/03/2022, 04/03/2022, 15/12/2021, 13/09/2021, 03/09/2021, 28/06/2021</vt:lpwstr>
  </property>
  <property fmtid="{D5CDD505-2E9C-101B-9397-08002B2CF9AE}" pid="4" name="Pref_Time">
    <vt:lpwstr>10:27:54, 10:12:15, 11:41:25, 14:21:50, 16:54:06, 17:56:36, 14:13:00, 10:08:10, 08:41:48</vt:lpwstr>
  </property>
  <property fmtid="{D5CDD505-2E9C-101B-9397-08002B2CF9AE}" pid="5" name="Pref_User">
    <vt:lpwstr>enied, pacup, enied, jhvi, enied, hnic, amett, enied, enied</vt:lpwstr>
  </property>
  <property fmtid="{D5CDD505-2E9C-101B-9397-08002B2CF9AE}" pid="6" name="Pref_FileName">
    <vt:lpwstr>EESC-2023-00570-00-00-TCD-ORI.docx, EESC-2022-05401-00-01-TCD-TRA.docx, EESC-2022-05401-00-00-TCD-ORI.docx, EESC-2022-01223-00-00-TCD-ORI.docx, EESC-2022-00391-00-00-TCD-ORI.docx, EESC-2021-05445-00-00-TCD-ORI.docx, EESC-2021-03366-00-01-TCD-ORI.docx, EES</vt:lpwstr>
  </property>
  <property fmtid="{D5CDD505-2E9C-101B-9397-08002B2CF9AE}" pid="7" name="ContentTypeId">
    <vt:lpwstr>0x010100EA97B91038054C99906057A708A1480A00CDB38A89627FC8409102604566BFD4EB</vt:lpwstr>
  </property>
  <property fmtid="{D5CDD505-2E9C-101B-9397-08002B2CF9AE}" pid="8" name="_dlc_DocIdItemGuid">
    <vt:lpwstr>1ddd8c9e-d0fd-48d9-a264-9c68a955fb3c</vt:lpwstr>
  </property>
  <property fmtid="{D5CDD505-2E9C-101B-9397-08002B2CF9AE}" pid="9" name="AvailableTranslations">
    <vt:lpwstr>37;#CS|72f9705b-0217-4fd3-bea2-cbc7ed80e26e;#44;#BG|1a1b3951-7821-4e6a-85f5-5673fc08bd2c;#10;#FR|d2afafd3-4c81-4f60-8f52-ee33f2f54ff3;#5;#EN|f2175f21-25d7-44a3-96da-d6a61b075e1b;#16;#DE|f6b31e5a-26fa-4935-b661-318e46daf27e;#30;#IT|0774613c-01ed-4e5d-a25d-11d2388de825;#41;#HU|6b229040-c589-4408-b4c1-4285663d20a8;#46;#HR|2f555653-ed1a-4fe6-8362-9082d95989e5;#38;#EL|6d4f4d51-af9b-4650-94b4-4276bee85c91;#24;#PL|1e03da61-4678-4e07-b136-b5024ca9197b;#40;#RO|feb747a2-64cd-4299-af12-4833ddc30497;#34;#SK|46d9fce0-ef79-4f71-b89b-cd6aa82426b8;#35;#SL|98a412ae-eb01-49e9-ae3d-585a81724cfc;#42;#FI|87606a43-d45f-42d6-b8c9-e1a3457db5b7;#32;#PT|50ccc04a-eadd-42ae-a0cb-acaf45f812ba;#33;#LV|46f7e311-5d9f-4663-b433-18aeccb7ace7;#31;#NL|55c6556c-b4f4-441d-9acf-c498d4f838bd;#21;#SV|c2ed69e7-a339-43d7-8f22-d93680a92aa0;#39;#LT|a7ff5ce7-6123-4f68-865a-a57c31810414;#25;#ES|e7a6b05b-ae16-40c8-add9-68b64b03aeba;#43;#DA|5d49c027-8956-412b-aa16-e85a0f96ad0e;#45;#ET|ff6c3f4c-b02c-4c3c-ab07-2c37995a7a0a</vt:lpwstr>
  </property>
  <property fmtid="{D5CDD505-2E9C-101B-9397-08002B2CF9AE}" pid="10" name="DocumentType_0">
    <vt:lpwstr>TCD|cd9d6eb6-3f4f-424a-b2d1-57c9d450eaaf</vt:lpwstr>
  </property>
  <property fmtid="{D5CDD505-2E9C-101B-9397-08002B2CF9AE}" pid="11" name="MeetingNumber">
    <vt:i4>577</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570</vt:i4>
  </property>
  <property fmtid="{D5CDD505-2E9C-101B-9397-08002B2CF9AE}" pid="15" name="DocumentVersion">
    <vt:i4>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59;#SPL-CES|32d8cb1f-c9ec-4365-95c7-8385a18618ac</vt:lpwstr>
  </property>
  <property fmtid="{D5CDD505-2E9C-101B-9397-08002B2CF9AE}" pid="28" name="MeetingDate">
    <vt:filetime>2023-03-22T12:00:00Z</vt:filetime>
  </property>
  <property fmtid="{D5CDD505-2E9C-101B-9397-08002B2CF9AE}" pid="29" name="AvailableTranslations_0">
    <vt:lpwstr>BG|1a1b3951-7821-4e6a-85f5-5673fc08bd2c;EN|f2175f21-25d7-44a3-96da-d6a61b075e1b;DE|f6b31e5a-26fa-4935-b661-318e46daf27e;IT|0774613c-01ed-4e5d-a25d-11d2388de825;HU|6b229040-c589-4408-b4c1-4285663d20a8;HR|2f555653-ed1a-4fe6-8362-9082d95989e5;SK|46d9fce0-ef79-4f71-b89b-cd6aa82426b8;FI|87606a43-d45f-42d6-b8c9-e1a3457db5b7;PT|50ccc04a-eadd-42ae-a0cb-acaf45f812ba;NL|55c6556c-b4f4-441d-9acf-c498d4f838bd;LT|a7ff5ce7-6123-4f68-865a-a57c31810414;ES|e7a6b05b-ae16-40c8-add9-68b64b03aeba;DA|5d49c027-8956-412b-aa16-e85a0f96ad0e;ET|ff6c3f4c-b02c-4c3c-ab07-2c37995a7a0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42;#FI|87606a43-d45f-42d6-b8c9-e1a3457db5b7;#34;#SK|46d9fce0-ef79-4f71-b89b-cd6aa82426b8;#32;#PT|50ccc04a-eadd-42ae-a0cb-acaf45f812ba;#31;#NL|55c6556c-b4f4-441d-9acf-c498d4f838bd;#30;#IT|0774613c-01ed-4e5d-a25d-11d2388de825;#25;#ES|e7a6b05b-ae16-40c8-add9-68b64b03aeba;#44;#BG|1a1b3951-7821-4e6a-85f5-5673fc08bd2c;#59;#SPL-CES|32d8cb1f-c9ec-4365-95c7-8385a18618ac;#45;#ET|ff6c3f4c-b02c-4c3c-ab07-2c37995a7a0a;#16;#DE|f6b31e5a-26fa-4935-b661-318e46daf27e;#46;#HR|2f555653-ed1a-4fe6-8362-9082d95989e5;#9;#Unrestricted|826e22d7-d029-4ec0-a450-0c28ff673572;#8;#TCD|cd9d6eb6-3f4f-424a-b2d1-57c9d450eaaf;#7;#Final|ea5e6674-7b27-4bac-b091-73adbb394efe;#43;#DA|5d49c027-8956-412b-aa16-e85a0f96ad0e;#5;#EN|f2175f21-25d7-44a3-96da-d6a61b075e1b;#41;#HU|6b229040-c589-4408-b4c1-4285663d20a8;#3;#TRA|150d2a88-1431-44e6-a8ca-0bb753ab8672;#39;#LT|a7ff5ce7-6123-4f68-865a-a57c31810414;#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2006</vt:i4>
  </property>
  <property fmtid="{D5CDD505-2E9C-101B-9397-08002B2CF9AE}" pid="37" name="DocumentLanguage">
    <vt:lpwstr>35;#SL|98a412ae-eb01-49e9-ae3d-585a81724cfc</vt:lpwstr>
  </property>
</Properties>
</file>