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70E7" w:rsidR="004D7AC0" w:rsidP="00116A1C" w:rsidRDefault="005C7858" w14:paraId="785AE44C" w14:textId="15105F17">
      <w:pPr>
        <w:jc w:val="center"/>
      </w:pPr>
      <w:r>
        <w:rPr>
          <w:noProof/>
        </w:rPr>
        <w:drawing>
          <wp:inline distT="0" distB="0" distL="0" distR="0" wp14:anchorId="5C3272BF" wp14:editId="1EBB5DF6">
            <wp:extent cx="1792605" cy="1239520"/>
            <wp:effectExtent l="0" t="0" r="0" b="0"/>
            <wp:docPr id="2" name="Picture 2" title="EESCLogo_LT"/>
            <wp:cNvGraphicFramePr/>
            <a:graphic xmlns:a="http://schemas.openxmlformats.org/drawingml/2006/main">
              <a:graphicData uri="http://schemas.openxmlformats.org/drawingml/2006/picture">
                <pic:pic xmlns:pic="http://schemas.openxmlformats.org/drawingml/2006/picture">
                  <pic:nvPicPr>
                    <pic:cNvPr id="2" name="Picture 2" title="EESCLogo_L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9264" behindDoc="1" locked="0" layoutInCell="0" allowOverlap="1" wp14:editId="301CBC17"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LT</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780EE92C">
      <w:pPr>
        <w:jc w:val="right"/>
      </w:pPr>
      <w:r>
        <w:t>2023 m. kovo 14 d.</w:t>
      </w:r>
      <w:r w:rsidR="00F91827">
        <w:t xml:space="preserve">, </w:t>
      </w:r>
      <w:r w:rsidR="00F91827">
        <w:t>Briuselis</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tbl>
      <w:tblPr>
        <w:tblW w:w="0" w:type="auto"/>
        <w:tblLook w:val="04A0" w:firstRow="1" w:lastRow="0" w:firstColumn="1" w:lastColumn="0" w:noHBand="0" w:noVBand="1"/>
      </w:tblPr>
      <w:tblGrid>
        <w:gridCol w:w="9289"/>
      </w:tblGrid>
      <w:tr w:rsidRPr="009B70E7" w:rsidR="004D7AC0" w:rsidTr="00662436" w14:paraId="6D7B3453" w14:textId="77777777">
        <w:tc>
          <w:tcPr>
            <w:tcW w:w="9289" w:type="dxa"/>
            <w:tcBorders>
              <w:bottom w:val="double" w:color="auto" w:sz="4" w:space="0"/>
            </w:tcBorders>
          </w:tcPr>
          <w:p w:rsidR="001760E9" w:rsidRDefault="00DA2D88" w14:paraId="3B286D4E" w14:textId="13F0755B">
            <w:pPr>
              <w:snapToGrid w:val="0"/>
              <w:jc w:val="center"/>
              <w:rPr>
                <w:b/>
                <w:sz w:val="32"/>
              </w:rPr>
            </w:pPr>
            <w:r>
              <w:rPr>
                <w:b/>
                <w:sz w:val="32"/>
              </w:rPr>
              <w:t>576-oji PLENARINĖ SESIJA</w:t>
            </w:r>
          </w:p>
          <w:p w:rsidR="001760E9" w:rsidRDefault="001760E9" w14:paraId="6C87A626" w14:textId="0AE2882C">
            <w:pPr>
              <w:snapToGrid w:val="0"/>
              <w:jc w:val="center"/>
              <w:rPr>
                <w:b/>
                <w:sz w:val="32"/>
              </w:rPr>
            </w:pPr>
          </w:p>
          <w:p w:rsidR="001760E9" w:rsidRDefault="00DF3AB4" w14:paraId="6CF7229C" w14:textId="5996F296">
            <w:pPr>
              <w:snapToGrid w:val="0"/>
              <w:jc w:val="center"/>
              <w:rPr>
                <w:b/>
                <w:sz w:val="32"/>
              </w:rPr>
            </w:pPr>
            <w:r>
              <w:rPr>
                <w:b/>
                <w:sz w:val="32"/>
              </w:rPr>
              <w:t>2023 m. vasario 22–23 d.</w:t>
            </w:r>
          </w:p>
          <w:p w:rsidR="001760E9" w:rsidRDefault="001760E9" w14:paraId="0C44BD01" w14:textId="2F8EBB07">
            <w:pPr>
              <w:snapToGrid w:val="0"/>
              <w:jc w:val="center"/>
              <w:rPr>
                <w:b/>
                <w:sz w:val="32"/>
              </w:rPr>
            </w:pPr>
          </w:p>
          <w:p w:rsidRPr="009B70E7" w:rsidR="004D7AC0" w:rsidRDefault="00CF2F88" w14:paraId="114106CC" w14:textId="11A9DA7B">
            <w:pPr>
              <w:snapToGrid w:val="0"/>
              <w:jc w:val="center"/>
              <w:rPr>
                <w:rFonts w:eastAsia="MS Mincho"/>
                <w:b/>
                <w:sz w:val="32"/>
                <w:szCs w:val="32"/>
              </w:rPr>
            </w:pPr>
            <w:r>
              <w:rPr>
                <w:b/>
                <w:sz w:val="32"/>
              </w:rPr>
              <w:t>PRIIMTŲ NUOMONIŲ, REZOLIUCIJŲ IR INFORMACINIŲ IR (ARBA) VERTINIMO PRANEŠIMŲ SANTRAUKA</w:t>
            </w:r>
          </w:p>
          <w:p w:rsidRPr="009B70E7" w:rsidR="004D7AC0"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t>Šį dokumentą visomis oficialiosiomis kalbomis rasite EESRK interneto svetainėje:</w:t>
            </w:r>
            <w:r>
              <w:br/>
            </w:r>
            <w:r>
              <w:br/>
            </w:r>
            <w:hyperlink w:history="1" r:id="rId13">
              <w:r>
                <w:rPr>
                  <w:rStyle w:val="Hyperlink"/>
                  <w:highlight w:val="yellow"/>
                </w:rPr>
                <w:t>https://www.eesc.europa.eu/lt/our-work/opinions-information-reports/plenary-session-summaries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Pr="009B70E7" w:rsidR="004D7AC0" w:rsidRDefault="004D7AC0" w14:paraId="441AC4DD" w14:textId="77777777">
            <w:pPr>
              <w:snapToGrid w:val="0"/>
              <w:jc w:val="center"/>
            </w:pPr>
            <w:r>
              <w:t>Visas minimas nuomones rasite EESRK interneto svetainėje:</w:t>
            </w:r>
            <w:r>
              <w:br/>
            </w:r>
            <w:r>
              <w:br/>
            </w:r>
            <w:hyperlink w:history="1" r:id="rId14">
              <w:r>
                <w:rPr>
                  <w:rStyle w:val="Hyperlink"/>
                </w:rPr>
                <w:t>https://</w:t>
              </w:r>
              <w:proofErr w:type="spellStart"/>
              <w:r>
                <w:rPr>
                  <w:rStyle w:val="Hyperlink"/>
                </w:rPr>
                <w:t>dmsearch.eesc.europa.eu</w:t>
              </w:r>
              <w:proofErr w:type="spellEnd"/>
              <w:r>
                <w:rPr>
                  <w:rStyle w:val="Hyperlink"/>
                </w:rPr>
                <w:t>/</w:t>
              </w:r>
              <w:proofErr w:type="spellStart"/>
              <w:r>
                <w:rPr>
                  <w:rStyle w:val="Hyperlink"/>
                </w:rPr>
                <w:t>search</w:t>
              </w:r>
              <w:proofErr w:type="spellEnd"/>
              <w:r>
                <w:rPr>
                  <w:rStyle w:val="Hyperlink"/>
                </w:rPr>
                <w:t>/</w:t>
              </w:r>
              <w:proofErr w:type="spellStart"/>
              <w:r>
                <w:rPr>
                  <w:rStyle w:val="Hyperlink"/>
                </w:rPr>
                <w:t>opinion</w:t>
              </w:r>
              <w:proofErr w:type="spellEnd"/>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4E0C44">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Turinys</w:t>
          </w:r>
        </w:p>
        <w:p w:rsidR="001A267A" w:rsidRDefault="001E6413" w14:paraId="2C66C9D0" w14:textId="397F4C69">
          <w:pPr>
            <w:pStyle w:val="TOC1"/>
            <w:rPr>
              <w:rFonts w:asciiTheme="minorHAnsi" w:hAnsiTheme="minorHAnsi" w:eastAsiaTheme="minorEastAsia" w:cstheme="minorBidi"/>
              <w:noProof/>
              <w:lang w:val="en-GB" w:eastAsia="en-GB"/>
            </w:rPr>
          </w:pPr>
          <w:r>
            <w:fldChar w:fldCharType="begin"/>
          </w:r>
          <w:r>
            <w:instrText xml:space="preserve"> TOC \o "1-3" \h \z \u </w:instrText>
          </w:r>
          <w:r>
            <w:fldChar w:fldCharType="separate"/>
          </w:r>
          <w:hyperlink w:history="1" w:anchor="_Toc129698980">
            <w:r w:rsidRPr="00C01F4D" w:rsidR="001A267A">
              <w:rPr>
                <w:rStyle w:val="Hyperlink"/>
                <w:noProof/>
                <w14:scene3d>
                  <w14:camera w14:prst="orthographicFront"/>
                  <w14:lightRig w14:rig="threePt" w14:dir="t">
                    <w14:rot w14:lat="0" w14:lon="0" w14:rev="0"/>
                  </w14:lightRig>
                </w14:scene3d>
              </w:rPr>
              <w:t>1.</w:t>
            </w:r>
            <w:r w:rsidR="001A267A">
              <w:rPr>
                <w:rFonts w:asciiTheme="minorHAnsi" w:hAnsiTheme="minorHAnsi" w:eastAsiaTheme="minorEastAsia" w:cstheme="minorBidi"/>
                <w:noProof/>
                <w:lang w:val="en-GB" w:eastAsia="en-GB"/>
              </w:rPr>
              <w:tab/>
            </w:r>
            <w:r w:rsidRPr="00C01F4D" w:rsidR="001A267A">
              <w:rPr>
                <w:rStyle w:val="Hyperlink"/>
                <w:b/>
                <w:noProof/>
              </w:rPr>
              <w:t>REZOLIUCIJA</w:t>
            </w:r>
            <w:r w:rsidR="001A267A">
              <w:rPr>
                <w:noProof/>
                <w:webHidden/>
              </w:rPr>
              <w:tab/>
            </w:r>
            <w:r w:rsidR="001A267A">
              <w:rPr>
                <w:noProof/>
                <w:webHidden/>
              </w:rPr>
              <w:fldChar w:fldCharType="begin"/>
            </w:r>
            <w:r w:rsidR="001A267A">
              <w:rPr>
                <w:noProof/>
                <w:webHidden/>
              </w:rPr>
              <w:instrText xml:space="preserve"> PAGEREF _Toc129698980 \h </w:instrText>
            </w:r>
            <w:r w:rsidR="001A267A">
              <w:rPr>
                <w:noProof/>
                <w:webHidden/>
              </w:rPr>
            </w:r>
            <w:r w:rsidR="001A267A">
              <w:rPr>
                <w:noProof/>
                <w:webHidden/>
              </w:rPr>
              <w:fldChar w:fldCharType="separate"/>
            </w:r>
            <w:r w:rsidR="001A267A">
              <w:rPr>
                <w:noProof/>
                <w:webHidden/>
              </w:rPr>
              <w:t>3</w:t>
            </w:r>
            <w:r w:rsidR="001A267A">
              <w:rPr>
                <w:noProof/>
                <w:webHidden/>
              </w:rPr>
              <w:fldChar w:fldCharType="end"/>
            </w:r>
          </w:hyperlink>
        </w:p>
        <w:p w:rsidR="001A267A" w:rsidRDefault="001A267A" w14:paraId="7E58F6C4" w14:textId="1F224918">
          <w:pPr>
            <w:pStyle w:val="TOC1"/>
            <w:rPr>
              <w:rFonts w:asciiTheme="minorHAnsi" w:hAnsiTheme="minorHAnsi" w:eastAsiaTheme="minorEastAsia" w:cstheme="minorBidi"/>
              <w:noProof/>
              <w:lang w:val="en-GB" w:eastAsia="en-GB"/>
            </w:rPr>
          </w:pPr>
          <w:hyperlink w:history="1" w:anchor="_Toc129698981">
            <w:r w:rsidRPr="00C01F4D">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GB" w:eastAsia="en-GB"/>
              </w:rPr>
              <w:tab/>
            </w:r>
            <w:r w:rsidRPr="00C01F4D">
              <w:rPr>
                <w:rStyle w:val="Hyperlink"/>
                <w:b/>
                <w:noProof/>
              </w:rPr>
              <w:t>EKONOMINĖ IR PINIGŲ SĄJUNGA, EKONOMINĖ IR SOCIALINĖ SANGLAUDA</w:t>
            </w:r>
            <w:r>
              <w:rPr>
                <w:noProof/>
                <w:webHidden/>
              </w:rPr>
              <w:tab/>
            </w:r>
            <w:r>
              <w:rPr>
                <w:noProof/>
                <w:webHidden/>
              </w:rPr>
              <w:fldChar w:fldCharType="begin"/>
            </w:r>
            <w:r>
              <w:rPr>
                <w:noProof/>
                <w:webHidden/>
              </w:rPr>
              <w:instrText xml:space="preserve"> PAGEREF _Toc129698981 \h </w:instrText>
            </w:r>
            <w:r>
              <w:rPr>
                <w:noProof/>
                <w:webHidden/>
              </w:rPr>
            </w:r>
            <w:r>
              <w:rPr>
                <w:noProof/>
                <w:webHidden/>
              </w:rPr>
              <w:fldChar w:fldCharType="separate"/>
            </w:r>
            <w:r>
              <w:rPr>
                <w:noProof/>
                <w:webHidden/>
              </w:rPr>
              <w:t>4</w:t>
            </w:r>
            <w:r>
              <w:rPr>
                <w:noProof/>
                <w:webHidden/>
              </w:rPr>
              <w:fldChar w:fldCharType="end"/>
            </w:r>
          </w:hyperlink>
        </w:p>
        <w:p w:rsidR="001A267A" w:rsidRDefault="001A267A" w14:paraId="35FFC4F9" w14:textId="173C6B78">
          <w:pPr>
            <w:pStyle w:val="TOC1"/>
            <w:rPr>
              <w:rFonts w:asciiTheme="minorHAnsi" w:hAnsiTheme="minorHAnsi" w:eastAsiaTheme="minorEastAsia" w:cstheme="minorBidi"/>
              <w:noProof/>
              <w:lang w:val="en-GB" w:eastAsia="en-GB"/>
            </w:rPr>
          </w:pPr>
          <w:hyperlink w:history="1" w:anchor="_Toc129698982">
            <w:r w:rsidRPr="00C01F4D">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GB" w:eastAsia="en-GB"/>
              </w:rPr>
              <w:tab/>
            </w:r>
            <w:r w:rsidRPr="00C01F4D">
              <w:rPr>
                <w:rStyle w:val="Hyperlink"/>
                <w:b/>
                <w:noProof/>
              </w:rPr>
              <w:t>UŽIMTUMO, SOCIALINIŲ REIKALŲ IR PILIETYBĖS SKYRIUS</w:t>
            </w:r>
            <w:r>
              <w:rPr>
                <w:noProof/>
                <w:webHidden/>
              </w:rPr>
              <w:tab/>
            </w:r>
            <w:r>
              <w:rPr>
                <w:noProof/>
                <w:webHidden/>
              </w:rPr>
              <w:fldChar w:fldCharType="begin"/>
            </w:r>
            <w:r>
              <w:rPr>
                <w:noProof/>
                <w:webHidden/>
              </w:rPr>
              <w:instrText xml:space="preserve"> PAGEREF _Toc129698982 \h </w:instrText>
            </w:r>
            <w:r>
              <w:rPr>
                <w:noProof/>
                <w:webHidden/>
              </w:rPr>
            </w:r>
            <w:r>
              <w:rPr>
                <w:noProof/>
                <w:webHidden/>
              </w:rPr>
              <w:fldChar w:fldCharType="separate"/>
            </w:r>
            <w:r>
              <w:rPr>
                <w:noProof/>
                <w:webHidden/>
              </w:rPr>
              <w:t>7</w:t>
            </w:r>
            <w:r>
              <w:rPr>
                <w:noProof/>
                <w:webHidden/>
              </w:rPr>
              <w:fldChar w:fldCharType="end"/>
            </w:r>
          </w:hyperlink>
        </w:p>
        <w:p w:rsidR="001A267A" w:rsidRDefault="001A267A" w14:paraId="30346364" w14:textId="3F9EEA42">
          <w:pPr>
            <w:pStyle w:val="TOC1"/>
            <w:rPr>
              <w:rFonts w:asciiTheme="minorHAnsi" w:hAnsiTheme="minorHAnsi" w:eastAsiaTheme="minorEastAsia" w:cstheme="minorBidi"/>
              <w:noProof/>
              <w:lang w:val="en-GB" w:eastAsia="en-GB"/>
            </w:rPr>
          </w:pPr>
          <w:hyperlink w:history="1" w:anchor="_Toc129698983">
            <w:r w:rsidRPr="00C01F4D">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GB" w:eastAsia="en-GB"/>
              </w:rPr>
              <w:tab/>
            </w:r>
            <w:r w:rsidRPr="00C01F4D">
              <w:rPr>
                <w:rStyle w:val="Hyperlink"/>
                <w:b/>
                <w:noProof/>
              </w:rPr>
              <w:t>BENDROSIOS RINKOS, GAMYBOS IR VARTOJIMO SKYRIUS</w:t>
            </w:r>
            <w:r>
              <w:rPr>
                <w:noProof/>
                <w:webHidden/>
              </w:rPr>
              <w:tab/>
            </w:r>
            <w:r>
              <w:rPr>
                <w:noProof/>
                <w:webHidden/>
              </w:rPr>
              <w:fldChar w:fldCharType="begin"/>
            </w:r>
            <w:r>
              <w:rPr>
                <w:noProof/>
                <w:webHidden/>
              </w:rPr>
              <w:instrText xml:space="preserve"> PAGEREF _Toc129698983 \h </w:instrText>
            </w:r>
            <w:r>
              <w:rPr>
                <w:noProof/>
                <w:webHidden/>
              </w:rPr>
            </w:r>
            <w:r>
              <w:rPr>
                <w:noProof/>
                <w:webHidden/>
              </w:rPr>
              <w:fldChar w:fldCharType="separate"/>
            </w:r>
            <w:r>
              <w:rPr>
                <w:noProof/>
                <w:webHidden/>
              </w:rPr>
              <w:t>9</w:t>
            </w:r>
            <w:r>
              <w:rPr>
                <w:noProof/>
                <w:webHidden/>
              </w:rPr>
              <w:fldChar w:fldCharType="end"/>
            </w:r>
          </w:hyperlink>
        </w:p>
        <w:p w:rsidR="001A267A" w:rsidRDefault="001A267A" w14:paraId="64D5D27C" w14:textId="0B437100">
          <w:pPr>
            <w:pStyle w:val="TOC1"/>
            <w:rPr>
              <w:rFonts w:asciiTheme="minorHAnsi" w:hAnsiTheme="minorHAnsi" w:eastAsiaTheme="minorEastAsia" w:cstheme="minorBidi"/>
              <w:noProof/>
              <w:lang w:val="en-GB" w:eastAsia="en-GB"/>
            </w:rPr>
          </w:pPr>
          <w:hyperlink w:history="1" w:anchor="_Toc129698984">
            <w:r w:rsidRPr="00C01F4D">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GB" w:eastAsia="en-GB"/>
              </w:rPr>
              <w:tab/>
            </w:r>
            <w:r w:rsidRPr="00C01F4D">
              <w:rPr>
                <w:rStyle w:val="Hyperlink"/>
                <w:b/>
                <w:noProof/>
              </w:rPr>
              <w:t>ŽEMĖS ŪKIO, KAIMO PLĖTROS IR APLINKOS SKYRIUS</w:t>
            </w:r>
            <w:r>
              <w:rPr>
                <w:noProof/>
                <w:webHidden/>
              </w:rPr>
              <w:tab/>
            </w:r>
            <w:r>
              <w:rPr>
                <w:noProof/>
                <w:webHidden/>
              </w:rPr>
              <w:fldChar w:fldCharType="begin"/>
            </w:r>
            <w:r>
              <w:rPr>
                <w:noProof/>
                <w:webHidden/>
              </w:rPr>
              <w:instrText xml:space="preserve"> PAGEREF _Toc129698984 \h </w:instrText>
            </w:r>
            <w:r>
              <w:rPr>
                <w:noProof/>
                <w:webHidden/>
              </w:rPr>
            </w:r>
            <w:r>
              <w:rPr>
                <w:noProof/>
                <w:webHidden/>
              </w:rPr>
              <w:fldChar w:fldCharType="separate"/>
            </w:r>
            <w:r>
              <w:rPr>
                <w:noProof/>
                <w:webHidden/>
              </w:rPr>
              <w:t>11</w:t>
            </w:r>
            <w:r>
              <w:rPr>
                <w:noProof/>
                <w:webHidden/>
              </w:rPr>
              <w:fldChar w:fldCharType="end"/>
            </w:r>
          </w:hyperlink>
        </w:p>
        <w:p w:rsidR="001E6413" w:rsidRDefault="001E6413" w14:paraId="684BFB9B" w14:textId="79F8D31C">
          <w:r>
            <w:rPr>
              <w:b/>
            </w:rPr>
            <w:fldChar w:fldCharType="end"/>
          </w:r>
        </w:p>
      </w:sdtContent>
    </w:sdt>
    <w:p w:rsidRPr="009B70E7" w:rsidR="004D7AC0" w:rsidRDefault="004D7AC0" w14:paraId="4600634B" w14:textId="77777777"/>
    <w:p w:rsidRPr="009B70E7" w:rsidR="004D7AC0" w:rsidP="001A7476" w:rsidRDefault="004D7AC0" w14:paraId="68489C47" w14:textId="2FCA526B">
      <w:pPr>
        <w:pStyle w:val="Heading1"/>
        <w:numPr>
          <w:ilvl w:val="0"/>
          <w:numId w:val="0"/>
        </w:numPr>
      </w:pPr>
      <w:r>
        <w:br w:type="page"/>
      </w:r>
    </w:p>
    <w:p w:rsidR="00AF10D4" w:rsidP="00AF10D4" w:rsidRDefault="001865D3" w14:paraId="71FFFFE7" w14:textId="1E1A03F9">
      <w:pPr>
        <w:pStyle w:val="Heading1"/>
        <w:rPr>
          <w:b/>
        </w:rPr>
      </w:pPr>
      <w:bookmarkStart w:name="_Toc129698980" w:id="0"/>
      <w:r>
        <w:rPr>
          <w:b/>
        </w:rPr>
        <w:lastRenderedPageBreak/>
        <w:t>REZOLIUCIJA</w:t>
      </w:r>
      <w:bookmarkEnd w:id="0"/>
    </w:p>
    <w:p w:rsidRPr="00AF10D4" w:rsidR="00AF10D4" w:rsidP="00AF10D4" w:rsidRDefault="00AF10D4" w14:paraId="67172785" w14:textId="77777777"/>
    <w:p w:rsidR="00AF10D4" w:rsidP="00AF10D4" w:rsidRDefault="00AF10D4" w14:paraId="4D8765DB" w14:textId="44628838">
      <w:pPr>
        <w:numPr>
          <w:ilvl w:val="0"/>
          <w:numId w:val="5"/>
        </w:numPr>
        <w:overflowPunct w:val="0"/>
        <w:autoSpaceDE w:val="0"/>
        <w:autoSpaceDN w:val="0"/>
        <w:adjustRightInd w:val="0"/>
        <w:ind w:left="567" w:hanging="567"/>
        <w:textAlignment w:val="baseline"/>
        <w:rPr>
          <w:b/>
          <w:bCs/>
          <w:i/>
          <w:iCs/>
          <w:sz w:val="28"/>
          <w:szCs w:val="28"/>
        </w:rPr>
      </w:pPr>
      <w:r>
        <w:rPr>
          <w:b/>
          <w:i/>
          <w:sz w:val="28"/>
        </w:rPr>
        <w:t>Ukraina. Vieneri metai po Rusijos invazijos – Europos pilietinės visuomenės perspektyva</w:t>
      </w:r>
    </w:p>
    <w:p w:rsidRPr="00196521" w:rsidR="00066DC7" w:rsidP="00066DC7" w:rsidRDefault="00066DC7" w14:paraId="1310AFED" w14:textId="77777777">
      <w:pPr>
        <w:overflowPunct w:val="0"/>
        <w:autoSpaceDE w:val="0"/>
        <w:autoSpaceDN w:val="0"/>
        <w:adjustRightInd w:val="0"/>
        <w:textAlignment w:val="baseline"/>
        <w:rPr>
          <w:b/>
          <w:bCs/>
          <w:i/>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ED20B6" w:rsidTr="00FB5FFE" w14:paraId="5BF03940" w14:textId="77777777">
        <w:tc>
          <w:tcPr>
            <w:tcW w:w="1701" w:type="dxa"/>
          </w:tcPr>
          <w:p w:rsidR="00ED20B6" w:rsidP="00FB5FFE" w:rsidRDefault="00ED20B6" w14:paraId="0FC25C98" w14:textId="50507553">
            <w:pPr>
              <w:pStyle w:val="ListParagraph"/>
              <w:spacing w:line="240" w:lineRule="auto"/>
              <w:ind w:left="-142" w:firstLine="142"/>
              <w:rPr>
                <w:b/>
              </w:rPr>
            </w:pPr>
            <w:bookmarkStart w:name="_Hlk128565405" w:id="1"/>
            <w:r>
              <w:rPr>
                <w:b/>
              </w:rPr>
              <w:t>Pranešėjai:</w:t>
            </w:r>
          </w:p>
          <w:p w:rsidRPr="009B70E7" w:rsidR="00ED20B6" w:rsidP="00896F71" w:rsidRDefault="00ED20B6" w14:paraId="2E66DB4F" w14:textId="5E9E1214">
            <w:pPr>
              <w:pStyle w:val="ListParagraph"/>
              <w:ind w:left="0" w:right="-55"/>
              <w:rPr>
                <w:b/>
              </w:rPr>
            </w:pPr>
          </w:p>
        </w:tc>
        <w:tc>
          <w:tcPr>
            <w:tcW w:w="6521" w:type="dxa"/>
          </w:tcPr>
          <w:p w:rsidR="00896F71" w:rsidP="00896F71" w:rsidRDefault="00896F71" w14:paraId="39FCEC1A" w14:textId="3E3006CE">
            <w:pPr>
              <w:pStyle w:val="ListParagraph"/>
              <w:ind w:left="-60" w:right="-55"/>
            </w:pPr>
            <w:proofErr w:type="spellStart"/>
            <w:r>
              <w:t>Stefano</w:t>
            </w:r>
            <w:proofErr w:type="spellEnd"/>
            <w:r>
              <w:t xml:space="preserve"> </w:t>
            </w:r>
            <w:proofErr w:type="spellStart"/>
            <w:r>
              <w:t>Mallia</w:t>
            </w:r>
            <w:proofErr w:type="spellEnd"/>
            <w:r>
              <w:t xml:space="preserve"> (Darbdavių </w:t>
            </w:r>
            <w:proofErr w:type="spellStart"/>
            <w:r>
              <w:t>gr</w:t>
            </w:r>
            <w:proofErr w:type="spellEnd"/>
            <w:r>
              <w:t>., MT)</w:t>
            </w:r>
          </w:p>
          <w:p w:rsidR="00896F71" w:rsidP="00896F71" w:rsidRDefault="00896F71" w14:paraId="39E8F5CB" w14:textId="322D4A40">
            <w:pPr>
              <w:pStyle w:val="ListParagraph"/>
              <w:ind w:left="-60" w:right="-55"/>
            </w:pPr>
            <w:r>
              <w:t xml:space="preserve">Oliver </w:t>
            </w:r>
            <w:proofErr w:type="spellStart"/>
            <w:r>
              <w:t>Röpke</w:t>
            </w:r>
            <w:proofErr w:type="spellEnd"/>
            <w:r>
              <w:t xml:space="preserve"> (Darbuotojų </w:t>
            </w:r>
            <w:proofErr w:type="spellStart"/>
            <w:r>
              <w:t>gr</w:t>
            </w:r>
            <w:proofErr w:type="spellEnd"/>
            <w:r>
              <w:t>., AT)</w:t>
            </w:r>
          </w:p>
          <w:p w:rsidRPr="00627B8F" w:rsidR="003D4576" w:rsidRDefault="00896F71" w14:paraId="3AF81FFE" w14:textId="04472BCE">
            <w:pPr>
              <w:pStyle w:val="ListParagraph"/>
              <w:ind w:left="-60" w:right="-55"/>
            </w:pPr>
            <w:proofErr w:type="spellStart"/>
            <w:r>
              <w:t>Séamus</w:t>
            </w:r>
            <w:proofErr w:type="spellEnd"/>
            <w:r>
              <w:t xml:space="preserve"> </w:t>
            </w:r>
            <w:proofErr w:type="spellStart"/>
            <w:r>
              <w:t>Boland</w:t>
            </w:r>
            <w:proofErr w:type="spellEnd"/>
            <w:r>
              <w:t xml:space="preserve"> (Pilietinės visuomenės organizacijų grupė, IE)</w:t>
            </w:r>
          </w:p>
        </w:tc>
      </w:tr>
      <w:bookmarkEnd w:id="1"/>
      <w:tr w:rsidRPr="00627B8F" w:rsidR="003D4576" w:rsidTr="00533A14" w14:paraId="4A754698" w14:textId="77777777">
        <w:tc>
          <w:tcPr>
            <w:tcW w:w="1701" w:type="dxa"/>
          </w:tcPr>
          <w:p w:rsidRPr="009B70E7" w:rsidR="003D4576" w:rsidP="00533A14" w:rsidRDefault="003D4576" w14:paraId="7EBB8EAC" w14:textId="77777777">
            <w:pPr>
              <w:pStyle w:val="ListParagraph"/>
              <w:spacing w:line="240" w:lineRule="auto"/>
              <w:ind w:left="-142" w:firstLine="142"/>
              <w:rPr>
                <w:b/>
              </w:rPr>
            </w:pPr>
            <w:r>
              <w:rPr>
                <w:b/>
              </w:rPr>
              <w:t xml:space="preserve">Nuorodos </w:t>
            </w:r>
          </w:p>
        </w:tc>
        <w:tc>
          <w:tcPr>
            <w:tcW w:w="6521" w:type="dxa"/>
          </w:tcPr>
          <w:p w:rsidRPr="00627B8F" w:rsidR="003D4576" w:rsidRDefault="003D4576" w14:paraId="2637EC69" w14:textId="526AB2FE">
            <w:pPr>
              <w:pStyle w:val="ListParagraph"/>
              <w:ind w:left="-61"/>
            </w:pPr>
            <w:r>
              <w:t>EESC-2023-00911-00-00-RES</w:t>
            </w:r>
          </w:p>
        </w:tc>
      </w:tr>
    </w:tbl>
    <w:p w:rsidR="004E0C44" w:rsidP="00ED20B6" w:rsidRDefault="004E0C44" w14:paraId="13EAC25D" w14:textId="77777777">
      <w:pPr>
        <w:pStyle w:val="ListParagraph"/>
        <w:spacing w:line="240" w:lineRule="auto"/>
        <w:ind w:left="0"/>
        <w:rPr>
          <w:b/>
          <w:lang w:val="en-US"/>
        </w:rPr>
      </w:pPr>
    </w:p>
    <w:p w:rsidR="00ED20B6" w:rsidP="00ED20B6" w:rsidRDefault="00ED20B6" w14:paraId="3A21991A" w14:textId="0CB4ECBD">
      <w:pPr>
        <w:pStyle w:val="ListParagraph"/>
        <w:spacing w:line="240" w:lineRule="auto"/>
        <w:ind w:left="0"/>
        <w:rPr>
          <w:b/>
        </w:rPr>
      </w:pPr>
      <w:r>
        <w:rPr>
          <w:b/>
        </w:rPr>
        <w:t>Dokumento esmė</w:t>
      </w:r>
    </w:p>
    <w:p w:rsidR="00ED20B6" w:rsidP="00ED20B6" w:rsidRDefault="00ED20B6" w14:paraId="35FB4154" w14:textId="77777777">
      <w:pPr>
        <w:pStyle w:val="ListParagraph"/>
        <w:spacing w:line="240" w:lineRule="auto"/>
        <w:ind w:left="0"/>
        <w:rPr>
          <w:b/>
          <w:lang w:val="en-US"/>
        </w:rPr>
      </w:pPr>
    </w:p>
    <w:p w:rsidRPr="002E62B0" w:rsidR="00ED20B6" w:rsidP="00ED20B6" w:rsidRDefault="00ED20B6" w14:paraId="030606EA" w14:textId="77777777">
      <w:pPr>
        <w:pStyle w:val="ListParagraph"/>
        <w:spacing w:line="240" w:lineRule="auto"/>
        <w:ind w:left="0"/>
        <w:rPr>
          <w:bCs/>
        </w:rPr>
      </w:pPr>
      <w:r>
        <w:t>EESRK:</w:t>
      </w:r>
    </w:p>
    <w:p w:rsidRPr="009B70E7" w:rsidR="00ED20B6" w:rsidP="00ED20B6" w:rsidRDefault="00ED20B6" w14:paraId="1943F8DB" w14:textId="77777777">
      <w:pPr>
        <w:pStyle w:val="ListParagraph"/>
        <w:spacing w:line="276" w:lineRule="auto"/>
        <w:ind w:left="0"/>
      </w:pPr>
    </w:p>
    <w:p w:rsidRPr="009B70E7" w:rsidR="00ED20B6" w:rsidP="00ED20B6" w:rsidRDefault="00896F71" w14:paraId="5FAEA5BA" w14:textId="72F4D824">
      <w:pPr>
        <w:pStyle w:val="ListParagraph"/>
        <w:numPr>
          <w:ilvl w:val="0"/>
          <w:numId w:val="3"/>
        </w:numPr>
        <w:spacing w:line="276" w:lineRule="auto"/>
        <w:ind w:left="357" w:hanging="357"/>
      </w:pPr>
      <w:r>
        <w:t>pabrėžia, kad plėtra yra abiem pusėms naudingas procesas, nes ji prisideda prie ES stabilumo, stiprina jos geopolitinę padėtį, skatina taiką, puoselėja jos vertybes, užtikrina jos tautų gerovę ir yra naudinga visiems kuriant didesnę bendrąją rinką; be to, plėtros procesas taip pat padės Ukrainai stiprinti demokratiją, teisinę valstybę ir žmogaus teises;</w:t>
      </w:r>
    </w:p>
    <w:p w:rsidR="00ED20B6" w:rsidP="00ED20B6" w:rsidRDefault="00896F71" w14:paraId="31EEF18E" w14:textId="3552B41D">
      <w:pPr>
        <w:pStyle w:val="ListParagraph"/>
        <w:numPr>
          <w:ilvl w:val="0"/>
          <w:numId w:val="3"/>
        </w:numPr>
        <w:spacing w:line="276" w:lineRule="auto"/>
        <w:ind w:left="357" w:hanging="357"/>
      </w:pPr>
      <w:r>
        <w:t>nurodo, kad nors reikia laikytis stojimo į ES proceso taisyklių, akivaizdu, kad Ukrainos (kaip ir visų Vakarų Balkanų ir Rytų partnerystės šalių kandidačių) stojimo procesas turi būti kuo praktiške</w:t>
      </w:r>
      <w:r w:rsidR="001A267A">
        <w:t>s</w:t>
      </w:r>
      <w:r>
        <w:t xml:space="preserve">nis ir grindžiamas atitinkamų reformų įgyvendinimu ir ES </w:t>
      </w:r>
      <w:proofErr w:type="spellStart"/>
      <w:r>
        <w:rPr>
          <w:i/>
          <w:iCs/>
        </w:rPr>
        <w:t>acquis</w:t>
      </w:r>
      <w:proofErr w:type="spellEnd"/>
      <w:r>
        <w:t xml:space="preserve"> įgyvendinimo srityse;</w:t>
      </w:r>
    </w:p>
    <w:p w:rsidRPr="00896F71" w:rsidR="00ED20B6" w:rsidP="00ED20B6" w:rsidRDefault="00896F71" w14:paraId="7216E718" w14:textId="1C6FB83A">
      <w:pPr>
        <w:pStyle w:val="ListParagraph"/>
        <w:numPr>
          <w:ilvl w:val="0"/>
          <w:numId w:val="3"/>
        </w:numPr>
        <w:spacing w:line="276" w:lineRule="auto"/>
        <w:ind w:left="357" w:hanging="357"/>
      </w:pPr>
      <w:r>
        <w:t>visiškai pritaria Europos Parlamento rezoliucijai, kurioje raginama įsteigti specialų tarptautinį tribunolą dėl agresijos nusikaltimų prieš Ukrainą. Toks tribunolas turėtų būti įsteigtas glaudžiai bendradarbiaujant su Tarptautiniu baudžiamuoju teismu ir JT. Komitetas taip pat ragina ES imtis vadovaujamo vaidmens teikiant tarptautinę pagalbą tiriant karo nusikaltimus, nusikaltimus žmoniškumui ir genocidą;</w:t>
      </w:r>
    </w:p>
    <w:p w:rsidRPr="004146D0" w:rsidR="00896F71" w:rsidP="00ED20B6" w:rsidRDefault="00896F71" w14:paraId="04FB39C7" w14:textId="6447385D">
      <w:pPr>
        <w:pStyle w:val="ListParagraph"/>
        <w:numPr>
          <w:ilvl w:val="0"/>
          <w:numId w:val="3"/>
        </w:numPr>
        <w:spacing w:line="276" w:lineRule="auto"/>
        <w:ind w:left="357" w:hanging="357"/>
      </w:pPr>
      <w:r>
        <w:t>pritaria Europos Parlamento rezoliucijai dėl Rusijos Federacijos pripažinimo terorizmą remiančia valstybe';</w:t>
      </w:r>
    </w:p>
    <w:p w:rsidRPr="00066DC7" w:rsidR="004146D0" w:rsidP="00ED20B6" w:rsidRDefault="00066DC7" w14:paraId="1B4A4358" w14:textId="10418E94">
      <w:pPr>
        <w:pStyle w:val="ListParagraph"/>
        <w:numPr>
          <w:ilvl w:val="0"/>
          <w:numId w:val="3"/>
        </w:numPr>
        <w:spacing w:line="276" w:lineRule="auto"/>
        <w:ind w:left="357" w:hanging="357"/>
      </w:pPr>
      <w:r>
        <w:t>ES turi padaryti viską, ką gali, kad užkirstų kelią Ukrainos išsekimui.</w:t>
      </w:r>
    </w:p>
    <w:p w:rsidRPr="00066DC7" w:rsidR="00066DC7" w:rsidP="00ED20B6" w:rsidRDefault="00066DC7" w14:paraId="3E0771EC" w14:textId="7B9E530B">
      <w:pPr>
        <w:pStyle w:val="ListParagraph"/>
        <w:numPr>
          <w:ilvl w:val="0"/>
          <w:numId w:val="3"/>
        </w:numPr>
        <w:spacing w:line="276" w:lineRule="auto"/>
        <w:ind w:left="357" w:hanging="357"/>
      </w:pPr>
      <w:r>
        <w:t>atkreipia dėmesį į tai, kad ES jau dabar turi rengti planus ir priemones, kurių reikia Ukrainai atstatyti. Tarpžinybinė paramos Ukrainai teikėjų koordinavimo platforma yra aiškus ženklas, kad tarptautinė bendruomenė palaiko ir toliau rems Ukrainą, tačiau ji turi ne tik sutelkti dėmesį į trumpalaikę pagalbą, bet ir ne mažiau akcentuoti ilgalaikį Ukrainos atstatymą;</w:t>
      </w:r>
    </w:p>
    <w:p w:rsidRPr="00066DC7" w:rsidR="00066DC7" w:rsidP="00ED20B6" w:rsidRDefault="00066DC7" w14:paraId="03E4C256" w14:textId="1E9819EF">
      <w:pPr>
        <w:pStyle w:val="ListParagraph"/>
        <w:numPr>
          <w:ilvl w:val="0"/>
          <w:numId w:val="3"/>
        </w:numPr>
        <w:spacing w:line="276" w:lineRule="auto"/>
        <w:ind w:left="357" w:hanging="357"/>
      </w:pPr>
      <w:r>
        <w:t>pabrėžia, kad Ukrainos visuomenės ir teritorijos atkūrimo ir atsigavimo planai turėtų apimti sąžiningas darbo sąlygas, darbo teisės vykdymo užtikrinimą, deramo darbo skatinimą ir teisę į saugią ir sveiką darbo aplinką, taip pat mokymo galimybes visiems;</w:t>
      </w:r>
    </w:p>
    <w:p w:rsidR="00066DC7" w:rsidP="00ED20B6" w:rsidRDefault="00066DC7" w14:paraId="4C27AEF4" w14:textId="5BF5512A">
      <w:pPr>
        <w:pStyle w:val="ListParagraph"/>
        <w:numPr>
          <w:ilvl w:val="0"/>
          <w:numId w:val="3"/>
        </w:numPr>
        <w:spacing w:line="276" w:lineRule="auto"/>
        <w:ind w:left="357" w:hanging="357"/>
      </w:pPr>
      <w:r>
        <w:t>pabrėžia, kad svarbu sukurti ES mechanizmą, skirtą įgalėti Ukrainos pilietinę visuomenę, teikiant finansavimą ir sudarant palankesnes sąlygas jai dalyvauti ES pilietinės visuomenės tinkluose.</w:t>
      </w:r>
    </w:p>
    <w:p w:rsidRPr="009B70E7" w:rsidR="00ED20B6" w:rsidP="00ED20B6" w:rsidRDefault="00ED20B6" w14:paraId="73AC89C3"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7"/>
        <w:gridCol w:w="5670"/>
      </w:tblGrid>
      <w:tr w:rsidRPr="009B70E7" w:rsidR="00ED20B6" w:rsidTr="00D00D20" w14:paraId="1AA9E8CA" w14:textId="77777777">
        <w:tc>
          <w:tcPr>
            <w:tcW w:w="3227" w:type="dxa"/>
          </w:tcPr>
          <w:p w:rsidRPr="009B70E7" w:rsidR="00ED20B6" w:rsidP="00FB5FFE" w:rsidRDefault="00ED20B6" w14:paraId="3D2DFC65" w14:textId="77777777">
            <w:pPr>
              <w:pStyle w:val="ListParagraph"/>
              <w:spacing w:line="276" w:lineRule="auto"/>
              <w:ind w:left="0"/>
              <w:rPr>
                <w:i/>
              </w:rPr>
            </w:pPr>
            <w:r>
              <w:rPr>
                <w:b/>
                <w:i/>
              </w:rPr>
              <w:t>Kontaktiniai duomenys:</w:t>
            </w:r>
          </w:p>
        </w:tc>
        <w:tc>
          <w:tcPr>
            <w:tcW w:w="5670" w:type="dxa"/>
          </w:tcPr>
          <w:p w:rsidRPr="009B70E7" w:rsidR="00ED20B6" w:rsidP="00FB5FFE" w:rsidRDefault="00BB3AF7" w14:paraId="28388097" w14:textId="34632F5B">
            <w:pPr>
              <w:pStyle w:val="ListParagraph"/>
              <w:spacing w:line="276" w:lineRule="auto"/>
              <w:ind w:left="0"/>
              <w:rPr>
                <w:i/>
              </w:rPr>
            </w:pPr>
            <w:proofErr w:type="spellStart"/>
            <w:r>
              <w:rPr>
                <w:i/>
              </w:rPr>
              <w:t>Katarína</w:t>
            </w:r>
            <w:proofErr w:type="spellEnd"/>
            <w:r>
              <w:rPr>
                <w:i/>
              </w:rPr>
              <w:t xml:space="preserve"> </w:t>
            </w:r>
            <w:proofErr w:type="spellStart"/>
            <w:r>
              <w:rPr>
                <w:i/>
              </w:rPr>
              <w:t>Grzeszczyk</w:t>
            </w:r>
            <w:proofErr w:type="spellEnd"/>
            <w:r>
              <w:rPr>
                <w:i/>
              </w:rPr>
              <w:t xml:space="preserve"> </w:t>
            </w:r>
            <w:proofErr w:type="spellStart"/>
            <w:r>
              <w:rPr>
                <w:i/>
              </w:rPr>
              <w:t>Albrechtová</w:t>
            </w:r>
            <w:proofErr w:type="spellEnd"/>
          </w:p>
        </w:tc>
      </w:tr>
      <w:tr w:rsidRPr="009B70E7" w:rsidR="00ED20B6" w:rsidTr="00D00D20" w14:paraId="0BD1509F" w14:textId="77777777">
        <w:tc>
          <w:tcPr>
            <w:tcW w:w="3227" w:type="dxa"/>
          </w:tcPr>
          <w:p w:rsidRPr="009B70E7" w:rsidR="00ED20B6" w:rsidP="00FB5FFE" w:rsidRDefault="00ED20B6" w14:paraId="03544F40" w14:textId="77777777">
            <w:pPr>
              <w:pStyle w:val="ListParagraph"/>
              <w:spacing w:line="276" w:lineRule="auto"/>
              <w:ind w:left="601"/>
              <w:rPr>
                <w:i/>
              </w:rPr>
            </w:pPr>
            <w:r>
              <w:rPr>
                <w:i/>
              </w:rPr>
              <w:t>Tel.</w:t>
            </w:r>
          </w:p>
        </w:tc>
        <w:tc>
          <w:tcPr>
            <w:tcW w:w="5670" w:type="dxa"/>
          </w:tcPr>
          <w:p w:rsidRPr="009B70E7" w:rsidR="00ED20B6" w:rsidP="00FB5FFE" w:rsidRDefault="00ED20B6" w14:paraId="5470F0C3" w14:textId="429567BB">
            <w:pPr>
              <w:pStyle w:val="ListParagraph"/>
              <w:spacing w:line="276" w:lineRule="auto"/>
              <w:ind w:left="0"/>
              <w:rPr>
                <w:i/>
              </w:rPr>
            </w:pPr>
            <w:r>
              <w:rPr>
                <w:i/>
              </w:rPr>
              <w:t>00 32 2 546 94 60</w:t>
            </w:r>
          </w:p>
        </w:tc>
      </w:tr>
      <w:tr w:rsidRPr="009B70E7" w:rsidR="00ED20B6" w:rsidTr="00D00D20" w14:paraId="4EA8BB4C" w14:textId="77777777">
        <w:tc>
          <w:tcPr>
            <w:tcW w:w="3227" w:type="dxa"/>
          </w:tcPr>
          <w:p w:rsidRPr="009B70E7" w:rsidR="00ED20B6" w:rsidP="00FB5FFE" w:rsidRDefault="00ED20B6" w14:paraId="780E9DD4" w14:textId="77777777">
            <w:pPr>
              <w:pStyle w:val="ListParagraph"/>
              <w:spacing w:line="276" w:lineRule="auto"/>
              <w:ind w:left="601"/>
              <w:rPr>
                <w:i/>
              </w:rPr>
            </w:pPr>
            <w:r>
              <w:rPr>
                <w:i/>
              </w:rPr>
              <w:t>El. paštas</w:t>
            </w:r>
          </w:p>
        </w:tc>
        <w:tc>
          <w:tcPr>
            <w:tcW w:w="5670" w:type="dxa"/>
          </w:tcPr>
          <w:p w:rsidRPr="00DE65D0" w:rsidR="00ED20B6" w:rsidP="00FB5FFE" w:rsidRDefault="00BB3AF7" w14:paraId="63C9C573" w14:textId="3C2F3D01">
            <w:pPr>
              <w:pStyle w:val="ListParagraph"/>
              <w:spacing w:line="276" w:lineRule="auto"/>
              <w:ind w:left="0"/>
              <w:rPr>
                <w:i/>
                <w:iCs/>
              </w:rPr>
            </w:pPr>
            <w:proofErr w:type="spellStart"/>
            <w:r>
              <w:rPr>
                <w:i/>
                <w:color w:val="0000FF"/>
                <w:u w:val="single"/>
              </w:rPr>
              <w:t>Katarina.Albrechtova@eesc.europa.eu</w:t>
            </w:r>
            <w:proofErr w:type="spellEnd"/>
          </w:p>
        </w:tc>
      </w:tr>
    </w:tbl>
    <w:p w:rsidRPr="00196521" w:rsidR="004E0C44" w:rsidP="00B81D0F" w:rsidRDefault="004E0C44" w14:paraId="76599D2B" w14:textId="64402C20">
      <w:pPr>
        <w:spacing w:after="160" w:line="259" w:lineRule="auto"/>
        <w:jc w:val="left"/>
        <w:rPr>
          <w:b/>
          <w:bCs/>
          <w:i/>
          <w:iCs/>
        </w:rPr>
      </w:pPr>
    </w:p>
    <w:p w:rsidR="004E0C44" w:rsidRDefault="004E0C44" w14:paraId="0CE9AE21" w14:textId="77777777">
      <w:pPr>
        <w:spacing w:after="160" w:line="259" w:lineRule="auto"/>
        <w:jc w:val="left"/>
        <w:rPr>
          <w:b/>
          <w:bCs/>
          <w:i/>
          <w:iCs/>
          <w:sz w:val="28"/>
          <w:szCs w:val="28"/>
        </w:rPr>
      </w:pPr>
      <w:r>
        <w:br w:type="page"/>
      </w:r>
    </w:p>
    <w:p w:rsidRPr="00D13F40" w:rsidR="004D7AC0" w:rsidP="00D13F40" w:rsidRDefault="004D7AC0" w14:paraId="1E329F25" w14:textId="0F2BD6D1">
      <w:pPr>
        <w:pStyle w:val="Heading1"/>
        <w:rPr>
          <w:b/>
        </w:rPr>
      </w:pPr>
      <w:bookmarkStart w:name="_Toc129698981" w:id="2"/>
      <w:r>
        <w:rPr>
          <w:b/>
        </w:rPr>
        <w:lastRenderedPageBreak/>
        <w:t>EKONOMINĖ IR PINIGŲ SĄJUNGA, EKONOMINĖ IR SOCIALINĖ SANGLAUDA</w:t>
      </w:r>
      <w:bookmarkEnd w:id="2"/>
    </w:p>
    <w:p w:rsidR="00662436" w:rsidP="0018231C" w:rsidRDefault="00662436" w14:paraId="1710091D" w14:textId="77777777">
      <w:pPr>
        <w:spacing w:line="240" w:lineRule="auto"/>
      </w:pPr>
    </w:p>
    <w:p w:rsidRPr="00017B56" w:rsidR="00640656" w:rsidP="001760E9" w:rsidRDefault="00DE65D0" w14:paraId="228D42E4" w14:textId="4DAC588E">
      <w:pPr>
        <w:numPr>
          <w:ilvl w:val="0"/>
          <w:numId w:val="5"/>
        </w:numPr>
        <w:overflowPunct w:val="0"/>
        <w:autoSpaceDE w:val="0"/>
        <w:autoSpaceDN w:val="0"/>
        <w:adjustRightInd w:val="0"/>
        <w:ind w:left="567" w:hanging="567"/>
        <w:textAlignment w:val="baseline"/>
        <w:rPr>
          <w:rStyle w:val="Hyperlink"/>
          <w:color w:val="auto"/>
          <w:spacing w:val="-2"/>
          <w:u w:val="none"/>
        </w:rPr>
      </w:pPr>
      <w:r>
        <w:rPr>
          <w:b/>
          <w:i/>
          <w:sz w:val="28"/>
        </w:rPr>
        <w:t>2023 m. metinė tvaraus augimo apžvalga</w:t>
      </w:r>
    </w:p>
    <w:p w:rsidRPr="00017B56" w:rsidR="00017B56" w:rsidP="001760E9" w:rsidRDefault="00017B56" w14:paraId="6939C94A"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268"/>
        <w:gridCol w:w="5954"/>
      </w:tblGrid>
      <w:tr w:rsidRPr="00627B8F" w:rsidR="00640656" w:rsidTr="00196521" w14:paraId="17A96696" w14:textId="77777777">
        <w:tc>
          <w:tcPr>
            <w:tcW w:w="2268" w:type="dxa"/>
          </w:tcPr>
          <w:p w:rsidR="00DE65D0" w:rsidP="001760E9" w:rsidRDefault="00640656" w14:paraId="543A1C55" w14:textId="40D48F55">
            <w:pPr>
              <w:pStyle w:val="ListParagraph"/>
              <w:spacing w:line="240" w:lineRule="auto"/>
              <w:ind w:left="-142" w:firstLine="142"/>
              <w:rPr>
                <w:b/>
              </w:rPr>
            </w:pPr>
            <w:r>
              <w:rPr>
                <w:b/>
              </w:rPr>
              <w:t>Pagrindinis pranešėjas</w:t>
            </w:r>
            <w:r w:rsidR="001A267A">
              <w:rPr>
                <w:b/>
              </w:rPr>
              <w:tab/>
            </w:r>
          </w:p>
          <w:p w:rsidRPr="009B70E7" w:rsidR="002E62B0" w:rsidP="001760E9" w:rsidRDefault="002E62B0" w14:paraId="204BF0A8" w14:textId="5D609210">
            <w:pPr>
              <w:pStyle w:val="ListParagraph"/>
              <w:spacing w:line="240" w:lineRule="auto"/>
              <w:ind w:left="-142" w:firstLine="142"/>
              <w:rPr>
                <w:b/>
              </w:rPr>
            </w:pPr>
          </w:p>
        </w:tc>
        <w:tc>
          <w:tcPr>
            <w:tcW w:w="5954" w:type="dxa"/>
          </w:tcPr>
          <w:p w:rsidRPr="00627B8F" w:rsidR="004442D3" w:rsidRDefault="00DE65D0" w14:paraId="1C5C2FFB" w14:textId="30852B93">
            <w:pPr>
              <w:pStyle w:val="ListParagraph"/>
              <w:ind w:left="-60" w:right="-55"/>
            </w:pPr>
            <w:proofErr w:type="spellStart"/>
            <w:r>
              <w:t>Gonçalo</w:t>
            </w:r>
            <w:proofErr w:type="spellEnd"/>
            <w:r>
              <w:t xml:space="preserve"> Lobo </w:t>
            </w:r>
            <w:proofErr w:type="spellStart"/>
            <w:r>
              <w:t>Xavier</w:t>
            </w:r>
            <w:proofErr w:type="spellEnd"/>
            <w:r>
              <w:t xml:space="preserve"> (Darbdavių </w:t>
            </w:r>
            <w:proofErr w:type="spellStart"/>
            <w:r>
              <w:t>gr</w:t>
            </w:r>
            <w:proofErr w:type="spellEnd"/>
            <w:r>
              <w:t>., PT)</w:t>
            </w:r>
          </w:p>
        </w:tc>
      </w:tr>
      <w:tr w:rsidRPr="00627B8F" w:rsidR="00640656" w:rsidTr="00196521" w14:paraId="3D93C3AA" w14:textId="77777777">
        <w:tc>
          <w:tcPr>
            <w:tcW w:w="2268" w:type="dxa"/>
          </w:tcPr>
          <w:p w:rsidRPr="009B70E7" w:rsidR="00640656" w:rsidP="00804736" w:rsidRDefault="00640656" w14:paraId="33436DCF" w14:textId="78FEC0F2">
            <w:pPr>
              <w:pStyle w:val="ListParagraph"/>
              <w:spacing w:line="240" w:lineRule="auto"/>
              <w:ind w:left="-142" w:firstLine="142"/>
              <w:rPr>
                <w:b/>
              </w:rPr>
            </w:pPr>
            <w:bookmarkStart w:name="_Hlk128728372" w:id="3"/>
            <w:bookmarkStart w:name="_Hlk128728500" w:id="4"/>
            <w:r>
              <w:rPr>
                <w:b/>
              </w:rPr>
              <w:t xml:space="preserve">Nuorodos </w:t>
            </w:r>
            <w:bookmarkEnd w:id="3"/>
          </w:p>
        </w:tc>
        <w:tc>
          <w:tcPr>
            <w:tcW w:w="5954" w:type="dxa"/>
          </w:tcPr>
          <w:p w:rsidRPr="00627B8F" w:rsidR="00640656" w:rsidP="00B83E7B" w:rsidRDefault="00DF3AB4" w14:paraId="3CD87A23" w14:textId="24CAA41D">
            <w:pPr>
              <w:pStyle w:val="ListParagraph"/>
              <w:ind w:left="-61"/>
              <w:rPr>
                <w:bCs/>
              </w:rPr>
            </w:pPr>
            <w:r>
              <w:t>COM(2022) 780 </w:t>
            </w:r>
            <w:proofErr w:type="spellStart"/>
            <w:r>
              <w:t>final</w:t>
            </w:r>
            <w:proofErr w:type="spellEnd"/>
          </w:p>
          <w:p w:rsidRPr="00627B8F" w:rsidR="00640656" w:rsidP="00B83E7B" w:rsidRDefault="00640656" w14:paraId="57D265AF" w14:textId="12C8628E">
            <w:pPr>
              <w:pStyle w:val="ListParagraph"/>
              <w:ind w:left="-61"/>
            </w:pPr>
            <w:r>
              <w:t>EESC-2022-05829-00-00-AC</w:t>
            </w:r>
          </w:p>
        </w:tc>
      </w:tr>
      <w:bookmarkEnd w:id="4"/>
    </w:tbl>
    <w:p w:rsidR="001760E9" w:rsidP="00640656" w:rsidRDefault="001760E9" w14:paraId="61A030AB" w14:textId="77777777">
      <w:pPr>
        <w:pStyle w:val="ListParagraph"/>
        <w:spacing w:line="240" w:lineRule="auto"/>
        <w:ind w:left="0"/>
        <w:rPr>
          <w:b/>
          <w:lang w:val="en-US"/>
        </w:rPr>
      </w:pPr>
    </w:p>
    <w:p w:rsidR="00640656" w:rsidP="00640656" w:rsidRDefault="002E62B0" w14:paraId="68C62979" w14:textId="3949DC96">
      <w:pPr>
        <w:pStyle w:val="ListParagraph"/>
        <w:spacing w:line="240" w:lineRule="auto"/>
        <w:ind w:left="0"/>
        <w:rPr>
          <w:b/>
        </w:rPr>
      </w:pPr>
      <w:r>
        <w:rPr>
          <w:b/>
        </w:rPr>
        <w:t>Dokumento esmė</w:t>
      </w:r>
    </w:p>
    <w:p w:rsidR="002E62B0" w:rsidP="00640656" w:rsidRDefault="002E62B0" w14:paraId="60FC1B05" w14:textId="42A58BCC">
      <w:pPr>
        <w:pStyle w:val="ListParagraph"/>
        <w:spacing w:line="240" w:lineRule="auto"/>
        <w:ind w:left="0"/>
        <w:rPr>
          <w:b/>
          <w:lang w:val="en-US"/>
        </w:rPr>
      </w:pPr>
    </w:p>
    <w:p w:rsidRPr="002E62B0" w:rsidR="002E62B0" w:rsidP="00640656" w:rsidRDefault="002E62B0" w14:paraId="63F0EA0C" w14:textId="76E1CBA7">
      <w:pPr>
        <w:pStyle w:val="ListParagraph"/>
        <w:spacing w:line="240" w:lineRule="auto"/>
        <w:ind w:left="0"/>
        <w:rPr>
          <w:bCs/>
        </w:rPr>
      </w:pPr>
      <w:r>
        <w:t>EESRK</w:t>
      </w:r>
    </w:p>
    <w:p w:rsidRPr="009B70E7" w:rsidR="00640656" w:rsidP="00640656" w:rsidRDefault="00640656" w14:paraId="79740612" w14:textId="77777777">
      <w:pPr>
        <w:pStyle w:val="ListParagraph"/>
        <w:spacing w:line="276" w:lineRule="auto"/>
        <w:ind w:left="0"/>
      </w:pPr>
    </w:p>
    <w:p w:rsidRPr="009B70E7" w:rsidR="00640656" w:rsidP="00640656" w:rsidRDefault="00DE65D0" w14:paraId="7319D50D" w14:textId="5986D15B">
      <w:pPr>
        <w:pStyle w:val="ListParagraph"/>
        <w:numPr>
          <w:ilvl w:val="0"/>
          <w:numId w:val="3"/>
        </w:numPr>
        <w:spacing w:line="276" w:lineRule="auto"/>
        <w:ind w:left="357" w:hanging="357"/>
      </w:pPr>
      <w:r>
        <w:t>mano, kad Sąjunga turi subalansuoti energijos tiekimo paklausą, kartu taupyti energiją žiemai ir vengti didesnių išlaidų. Labai svarbu remti priemones, kurios padidins veiksmingumą visose srityse. Tai turi būti daroma išsaugant bendrosios rinkos vientisumą ir užtikrinant makroekonominį finansinį stabilumą bei nuoseklią fiskalinę ir pinigų politiką;</w:t>
      </w:r>
    </w:p>
    <w:p w:rsidR="00017B56" w:rsidP="00017B56" w:rsidRDefault="00DE65D0" w14:paraId="0D16AC6B" w14:textId="7A128795">
      <w:pPr>
        <w:pStyle w:val="ListParagraph"/>
        <w:numPr>
          <w:ilvl w:val="0"/>
          <w:numId w:val="3"/>
        </w:numPr>
        <w:spacing w:line="276" w:lineRule="auto"/>
        <w:ind w:left="357" w:hanging="357"/>
      </w:pPr>
      <w:r>
        <w:t>primygtinai ragina sudaryti sąžiningas darbo sąlygas, užtikrinti veiksmingą konkurenciją ir geriau atsižvelgti į pilietinei visuomenei susirūpinimą keliančius klausimus, kad būtų pagerintas bendrosios rinkos veikimas ir pritaria raginimui imtis veiksmų bendrajai rinkai stiprinti;</w:t>
      </w:r>
    </w:p>
    <w:p w:rsidR="00D0461E" w:rsidP="00017B56" w:rsidRDefault="00DE65D0" w14:paraId="6021F3AD" w14:textId="5AB7FA0A">
      <w:pPr>
        <w:pStyle w:val="ListParagraph"/>
        <w:numPr>
          <w:ilvl w:val="0"/>
          <w:numId w:val="3"/>
        </w:numPr>
        <w:spacing w:line="276" w:lineRule="auto"/>
        <w:ind w:left="357" w:hanging="357"/>
      </w:pPr>
      <w:r>
        <w:t>mano, kad pastarojo meto sukrėtimai aiškiai parodė, kaip svarbu tvirtai koordinuoti patikimą fiskalinę politiką ir ekonomikos pakilimo laikotarpiu kurti fiskalinius rezervus, kurie būtų naudojami nuosmukių metu, kartu šalinant socialinius trūkumus, nes jie gali pakenkti ekonomikos augimui vidutinės trukmės laikotarpiu. Fiskaline politika turėtų būti siekiama užtikrinti apdairią vidutinio laikotarpio fiskalinę būklę ir fiskalinį tvarumą, vykdant laipsnišką konsolidavimą ir tvarų augimą skatinančius investicinius projektus bei reformas;</w:t>
      </w:r>
    </w:p>
    <w:p w:rsidR="00D0461E" w:rsidP="00017B56" w:rsidRDefault="00DE65D0" w14:paraId="25DF518B" w14:textId="0D91A837">
      <w:pPr>
        <w:pStyle w:val="ListParagraph"/>
        <w:numPr>
          <w:ilvl w:val="0"/>
          <w:numId w:val="3"/>
        </w:numPr>
        <w:spacing w:line="276" w:lineRule="auto"/>
        <w:ind w:left="357" w:hanging="357"/>
      </w:pPr>
      <w:r>
        <w:t>ragina laikytis nuosaikaus, realistiško ir subalansuoto požiūrio sprendžiant infliacijos problemą, kad ieškant sprendimo, kuris būtų naudingas visai Sąjungai, būtų įtraukti visi subjektai. Konkurencijos institucijos turi aktyviai užtikrinti kainų skaidrumą ir stebėti padėti dėl bet kokio galimo rinkos nepakankamumo. Vyriausybės turi veikti atsargiai siekdamos užtikrinti, kad jų sprendimai būtų grindžiami pažangiausiais empiriniais tyrimais, vengiant nepagrįstos komercinių subjektų kritikos, nes dėl to gali kilti piliečių, įmonių ir socialinių partnerių konfliktas. EESRK taip pat mano, kad šią problemą galima išspręsti tik tuo atveju, jei vyriausybės, įmonės ir organizuota pilietinė visuomenė dirbs išvien;</w:t>
      </w:r>
    </w:p>
    <w:p w:rsidR="00D0461E" w:rsidP="00DE65D0" w:rsidRDefault="00DE65D0" w14:paraId="64DE50A0" w14:textId="085F45AE">
      <w:pPr>
        <w:pStyle w:val="ListParagraph"/>
        <w:numPr>
          <w:ilvl w:val="0"/>
          <w:numId w:val="3"/>
        </w:numPr>
        <w:spacing w:line="276" w:lineRule="auto"/>
        <w:ind w:left="357" w:hanging="357"/>
      </w:pPr>
      <w:r>
        <w:t>ragina Komisiją geriau bendrauti su piliečiais ir palankiai vertina Komisijos iniciatyvą šiais metais pateikti komunikatą dėl socialinio dialogo stiprinimo ES ir pasiūlymą dėl Tarybos rekomendacijos dėl socialinio dialogo vaidmens nacionaliniu lygmeniu. Geresnis bendravimas su organizuota pilietine visuomene ir konsultavimasis su ja yra labai svarbūs ir neatsiejami.</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85"/>
        <w:gridCol w:w="5670"/>
      </w:tblGrid>
      <w:tr w:rsidRPr="009B70E7" w:rsidR="00640656" w:rsidTr="00D00D20" w14:paraId="437B7156" w14:textId="77777777">
        <w:tc>
          <w:tcPr>
            <w:tcW w:w="3085" w:type="dxa"/>
          </w:tcPr>
          <w:p w:rsidRPr="009B70E7" w:rsidR="00640656" w:rsidP="00B83E7B" w:rsidRDefault="00640656" w14:paraId="026D2B53" w14:textId="766A3BDD">
            <w:pPr>
              <w:pStyle w:val="ListParagraph"/>
              <w:spacing w:line="276" w:lineRule="auto"/>
              <w:ind w:left="0"/>
              <w:rPr>
                <w:i/>
              </w:rPr>
            </w:pPr>
            <w:r>
              <w:rPr>
                <w:b/>
                <w:i/>
              </w:rPr>
              <w:t>Kontaktiniai duomenys:</w:t>
            </w:r>
          </w:p>
        </w:tc>
        <w:tc>
          <w:tcPr>
            <w:tcW w:w="5670" w:type="dxa"/>
          </w:tcPr>
          <w:p w:rsidRPr="009B70E7" w:rsidR="00640656" w:rsidP="00B83E7B" w:rsidRDefault="00DE65D0" w14:paraId="3123BFA2" w14:textId="10E8FF9A">
            <w:pPr>
              <w:pStyle w:val="ListParagraph"/>
              <w:spacing w:line="276" w:lineRule="auto"/>
              <w:ind w:left="0"/>
              <w:rPr>
                <w:i/>
              </w:rPr>
            </w:pPr>
            <w:proofErr w:type="spellStart"/>
            <w:r>
              <w:rPr>
                <w:i/>
              </w:rPr>
              <w:t>Colombe</w:t>
            </w:r>
            <w:proofErr w:type="spellEnd"/>
            <w:r>
              <w:rPr>
                <w:i/>
              </w:rPr>
              <w:t xml:space="preserve"> </w:t>
            </w:r>
            <w:proofErr w:type="spellStart"/>
            <w:r>
              <w:rPr>
                <w:i/>
              </w:rPr>
              <w:t>Grégoire</w:t>
            </w:r>
            <w:proofErr w:type="spellEnd"/>
          </w:p>
        </w:tc>
      </w:tr>
      <w:tr w:rsidRPr="009B70E7" w:rsidR="00640656" w:rsidTr="00D00D20" w14:paraId="13C450E4" w14:textId="77777777">
        <w:tc>
          <w:tcPr>
            <w:tcW w:w="3085" w:type="dxa"/>
          </w:tcPr>
          <w:p w:rsidRPr="009B70E7" w:rsidR="00640656" w:rsidP="00B83E7B" w:rsidRDefault="00640656" w14:paraId="71B7C5A8" w14:textId="64878A30">
            <w:pPr>
              <w:pStyle w:val="ListParagraph"/>
              <w:spacing w:line="276" w:lineRule="auto"/>
              <w:ind w:left="601"/>
              <w:rPr>
                <w:i/>
              </w:rPr>
            </w:pPr>
            <w:r>
              <w:rPr>
                <w:i/>
              </w:rPr>
              <w:t>Tel.</w:t>
            </w:r>
          </w:p>
        </w:tc>
        <w:tc>
          <w:tcPr>
            <w:tcW w:w="5670" w:type="dxa"/>
          </w:tcPr>
          <w:p w:rsidRPr="009B70E7" w:rsidR="00640656" w:rsidP="00B83E7B" w:rsidRDefault="00577672" w14:paraId="3226C0EF" w14:textId="5E823946">
            <w:pPr>
              <w:pStyle w:val="ListParagraph"/>
              <w:spacing w:line="276" w:lineRule="auto"/>
              <w:ind w:left="0"/>
              <w:rPr>
                <w:i/>
              </w:rPr>
            </w:pPr>
            <w:r>
              <w:rPr>
                <w:i/>
              </w:rPr>
              <w:t>00 32 2 546 92 86</w:t>
            </w:r>
          </w:p>
        </w:tc>
      </w:tr>
      <w:tr w:rsidRPr="009B70E7" w:rsidR="00640656" w:rsidTr="00D00D20" w14:paraId="1FEA5B3F" w14:textId="77777777">
        <w:tc>
          <w:tcPr>
            <w:tcW w:w="3085" w:type="dxa"/>
          </w:tcPr>
          <w:p w:rsidRPr="009B70E7" w:rsidR="00640656" w:rsidP="00B83E7B" w:rsidRDefault="00640656" w14:paraId="6D5FF9EA" w14:textId="3ECD4BD9">
            <w:pPr>
              <w:pStyle w:val="ListParagraph"/>
              <w:spacing w:line="276" w:lineRule="auto"/>
              <w:ind w:left="601"/>
              <w:rPr>
                <w:i/>
              </w:rPr>
            </w:pPr>
            <w:r>
              <w:rPr>
                <w:i/>
              </w:rPr>
              <w:t>El. paštas</w:t>
            </w:r>
          </w:p>
        </w:tc>
        <w:tc>
          <w:tcPr>
            <w:tcW w:w="5670" w:type="dxa"/>
          </w:tcPr>
          <w:p w:rsidRPr="00DE65D0" w:rsidR="00063F30" w:rsidP="001760E9" w:rsidRDefault="00DD735F" w14:paraId="160383F7" w14:textId="0F149CEA">
            <w:pPr>
              <w:pStyle w:val="ListParagraph"/>
              <w:spacing w:line="276" w:lineRule="auto"/>
              <w:ind w:left="0"/>
              <w:rPr>
                <w:i/>
                <w:iCs/>
              </w:rPr>
            </w:pPr>
            <w:hyperlink w:history="1" r:id="rId21">
              <w:proofErr w:type="spellStart"/>
              <w:r w:rsidR="005C7858">
                <w:rPr>
                  <w:rStyle w:val="Hyperlink"/>
                  <w:i/>
                </w:rPr>
                <w:t>Colombe.Gregoire@eesc.europa.eu</w:t>
              </w:r>
              <w:proofErr w:type="spellEnd"/>
            </w:hyperlink>
          </w:p>
        </w:tc>
      </w:tr>
    </w:tbl>
    <w:p w:rsidR="00B67EDA" w:rsidRDefault="00B67EDA" w14:paraId="4FFF5C53" w14:textId="455F621A">
      <w:pPr>
        <w:spacing w:after="160" w:line="259" w:lineRule="auto"/>
        <w:jc w:val="left"/>
      </w:pPr>
    </w:p>
    <w:p w:rsidR="00BE40C9" w:rsidRDefault="00BE40C9" w14:paraId="77435EAD" w14:textId="352B45E9">
      <w:pPr>
        <w:spacing w:after="160" w:line="259" w:lineRule="auto"/>
        <w:jc w:val="left"/>
      </w:pPr>
      <w:r>
        <w:br w:type="page"/>
      </w:r>
    </w:p>
    <w:p w:rsidR="004E0C44" w:rsidRDefault="004E0C44" w14:paraId="5825D2C9" w14:textId="77777777">
      <w:pPr>
        <w:spacing w:after="160" w:line="259" w:lineRule="auto"/>
        <w:jc w:val="left"/>
      </w:pPr>
    </w:p>
    <w:p w:rsidRPr="009B70E7" w:rsidR="00126D3E" w:rsidP="00126D3E" w:rsidRDefault="00126D3E" w14:paraId="673A8128" w14:textId="4684BA38">
      <w:pPr>
        <w:pStyle w:val="ListParagraph"/>
        <w:keepNext/>
        <w:numPr>
          <w:ilvl w:val="0"/>
          <w:numId w:val="2"/>
        </w:numPr>
        <w:ind w:left="567" w:hanging="567"/>
        <w:rPr>
          <w:b/>
          <w:i/>
          <w:sz w:val="28"/>
          <w:szCs w:val="28"/>
        </w:rPr>
      </w:pPr>
      <w:r>
        <w:rPr>
          <w:b/>
          <w:i/>
          <w:sz w:val="28"/>
        </w:rPr>
        <w:t>Komunikatas dėl ES ekonomikos valdymo sistemos reformos gairių</w:t>
      </w:r>
    </w:p>
    <w:p w:rsidRPr="009B70E7" w:rsidR="00126D3E" w:rsidP="00126D3E" w:rsidRDefault="00126D3E" w14:paraId="4A79BF7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15"/>
        <w:gridCol w:w="6096"/>
      </w:tblGrid>
      <w:tr w:rsidRPr="009B70E7" w:rsidR="00126D3E" w:rsidTr="00040ADE" w14:paraId="27DC2D26" w14:textId="77777777">
        <w:trPr>
          <w:cantSplit/>
          <w:trHeight w:val="284" w:hRule="exact"/>
        </w:trPr>
        <w:tc>
          <w:tcPr>
            <w:tcW w:w="1701" w:type="dxa"/>
          </w:tcPr>
          <w:p w:rsidR="00126D3E" w:rsidP="00040ADE" w:rsidRDefault="00126D3E" w14:paraId="3BB3DDBA" w14:textId="6AE9B86A">
            <w:pPr>
              <w:pStyle w:val="ListParagraph"/>
              <w:spacing w:line="240" w:lineRule="auto"/>
              <w:ind w:left="-142" w:firstLine="142"/>
              <w:rPr>
                <w:b/>
              </w:rPr>
            </w:pPr>
            <w:r>
              <w:rPr>
                <w:b/>
              </w:rPr>
              <w:t>Pranešėjas:</w:t>
            </w:r>
            <w:r w:rsidR="001A267A">
              <w:rPr>
                <w:b/>
              </w:rPr>
              <w:tab/>
            </w:r>
            <w:r w:rsidR="001A267A">
              <w:rPr>
                <w:b/>
              </w:rPr>
              <w:tab/>
            </w:r>
          </w:p>
          <w:p w:rsidRPr="009B70E7" w:rsidR="00126D3E" w:rsidP="00040ADE" w:rsidRDefault="00126D3E" w14:paraId="7E4DEEB3" w14:textId="77777777">
            <w:pPr>
              <w:pStyle w:val="ListParagraph"/>
              <w:keepNext/>
              <w:ind w:left="0"/>
              <w:rPr>
                <w:b/>
              </w:rPr>
            </w:pPr>
          </w:p>
        </w:tc>
        <w:tc>
          <w:tcPr>
            <w:tcW w:w="6096" w:type="dxa"/>
          </w:tcPr>
          <w:p w:rsidRPr="009B70E7" w:rsidR="00126D3E" w:rsidP="00040ADE" w:rsidRDefault="00126D3E" w14:paraId="0ECB49D5" w14:textId="2A53B603">
            <w:pPr>
              <w:pStyle w:val="ListParagraph"/>
              <w:ind w:left="-52"/>
            </w:pPr>
            <w:proofErr w:type="spellStart"/>
            <w:r>
              <w:t>Krister</w:t>
            </w:r>
            <w:proofErr w:type="spellEnd"/>
            <w:r>
              <w:t xml:space="preserve"> </w:t>
            </w:r>
            <w:proofErr w:type="spellStart"/>
            <w:r>
              <w:t>Andersson</w:t>
            </w:r>
            <w:proofErr w:type="spellEnd"/>
            <w:r>
              <w:t xml:space="preserve"> (Darbdavių grupė – SE)</w:t>
            </w:r>
          </w:p>
        </w:tc>
      </w:tr>
      <w:tr w:rsidRPr="009B70E7" w:rsidR="00126D3E" w:rsidTr="00040ADE" w14:paraId="6443033F" w14:textId="77777777">
        <w:trPr>
          <w:cantSplit/>
          <w:trHeight w:val="567" w:hRule="exact"/>
        </w:trPr>
        <w:tc>
          <w:tcPr>
            <w:tcW w:w="1701" w:type="dxa"/>
          </w:tcPr>
          <w:p w:rsidRPr="009B70E7" w:rsidR="00126D3E" w:rsidP="00196521" w:rsidRDefault="00126D3E" w14:paraId="19A5AD45" w14:textId="2E9242A4">
            <w:pPr>
              <w:pStyle w:val="ListParagraph"/>
              <w:ind w:left="0"/>
              <w:rPr>
                <w:b/>
              </w:rPr>
            </w:pPr>
            <w:proofErr w:type="spellStart"/>
            <w:r>
              <w:rPr>
                <w:b/>
              </w:rPr>
              <w:t>Bendrapranešėjė</w:t>
            </w:r>
            <w:proofErr w:type="spellEnd"/>
          </w:p>
        </w:tc>
        <w:tc>
          <w:tcPr>
            <w:tcW w:w="6096" w:type="dxa"/>
          </w:tcPr>
          <w:p w:rsidRPr="009B70E7" w:rsidR="00126D3E" w:rsidP="00126D3E" w:rsidRDefault="001A267A" w14:paraId="03F4E006" w14:textId="358B7EB4">
            <w:pPr>
              <w:pStyle w:val="ListParagraph"/>
              <w:ind w:left="-52"/>
            </w:pPr>
            <w:r>
              <w:tab/>
            </w:r>
            <w:r w:rsidR="00126D3E">
              <w:t xml:space="preserve">Dominika </w:t>
            </w:r>
            <w:proofErr w:type="spellStart"/>
            <w:r w:rsidR="00126D3E">
              <w:t>Biegon</w:t>
            </w:r>
            <w:proofErr w:type="spellEnd"/>
            <w:r w:rsidR="00126D3E">
              <w:t xml:space="preserve"> (Darbuotojų </w:t>
            </w:r>
            <w:proofErr w:type="spellStart"/>
            <w:r w:rsidR="00126D3E">
              <w:t>gr</w:t>
            </w:r>
            <w:proofErr w:type="spellEnd"/>
            <w:r w:rsidR="00126D3E">
              <w:t>. – DE)</w:t>
            </w:r>
          </w:p>
        </w:tc>
      </w:tr>
      <w:tr w:rsidRPr="00627B8F" w:rsidR="00126D3E" w:rsidTr="00040ADE" w14:paraId="06E347F6" w14:textId="77777777">
        <w:tc>
          <w:tcPr>
            <w:tcW w:w="1701" w:type="dxa"/>
          </w:tcPr>
          <w:p w:rsidRPr="009B70E7" w:rsidR="00126D3E" w:rsidP="00126D3E" w:rsidRDefault="00126D3E" w14:paraId="79E06325" w14:textId="77777777">
            <w:pPr>
              <w:pStyle w:val="ListParagraph"/>
              <w:ind w:left="0"/>
              <w:rPr>
                <w:b/>
              </w:rPr>
            </w:pPr>
            <w:r>
              <w:rPr>
                <w:b/>
              </w:rPr>
              <w:t xml:space="preserve">Nuorodos </w:t>
            </w:r>
          </w:p>
        </w:tc>
        <w:tc>
          <w:tcPr>
            <w:tcW w:w="6096" w:type="dxa"/>
          </w:tcPr>
          <w:p w:rsidRPr="00E119DF" w:rsidR="00126D3E" w:rsidP="00126D3E" w:rsidRDefault="00126D3E" w14:paraId="30488BC9" w14:textId="5DBE9315">
            <w:pPr>
              <w:pStyle w:val="ListParagraph"/>
              <w:ind w:left="-52"/>
            </w:pPr>
            <w:r>
              <w:t>COM(2022) 583 </w:t>
            </w:r>
            <w:proofErr w:type="spellStart"/>
            <w:r>
              <w:t>final</w:t>
            </w:r>
            <w:proofErr w:type="spellEnd"/>
          </w:p>
          <w:p w:rsidRPr="00E119DF" w:rsidR="00126D3E" w:rsidP="00126D3E" w:rsidRDefault="00126D3E" w14:paraId="6A2775E8" w14:textId="2791766D">
            <w:pPr>
              <w:pStyle w:val="ListParagraph"/>
              <w:ind w:left="-52"/>
            </w:pPr>
            <w:r>
              <w:t>EESC-2022-05434-00-00-AC</w:t>
            </w:r>
          </w:p>
        </w:tc>
      </w:tr>
    </w:tbl>
    <w:p w:rsidR="00126D3E" w:rsidP="00126D3E" w:rsidRDefault="00126D3E" w14:paraId="584C5373" w14:textId="77777777">
      <w:pPr>
        <w:pStyle w:val="ListParagraph"/>
        <w:spacing w:line="240" w:lineRule="auto"/>
        <w:ind w:left="-142" w:firstLine="284"/>
        <w:rPr>
          <w:b/>
        </w:rPr>
      </w:pPr>
    </w:p>
    <w:p w:rsidRPr="0070677E" w:rsidR="00126D3E" w:rsidP="00126D3E" w:rsidRDefault="00126D3E" w14:paraId="032A4DA1" w14:textId="77777777">
      <w:pPr>
        <w:pStyle w:val="ListParagraph"/>
        <w:spacing w:line="240" w:lineRule="auto"/>
        <w:ind w:left="0"/>
        <w:rPr>
          <w:b/>
        </w:rPr>
      </w:pPr>
      <w:r>
        <w:rPr>
          <w:b/>
        </w:rPr>
        <w:t>Dokumento esmė</w:t>
      </w:r>
    </w:p>
    <w:p w:rsidRPr="009B70E7" w:rsidR="00126D3E" w:rsidP="00126D3E" w:rsidRDefault="00126D3E" w14:paraId="08F0CDB8" w14:textId="77777777">
      <w:pPr>
        <w:pStyle w:val="ListParagraph"/>
        <w:ind w:left="0"/>
      </w:pPr>
    </w:p>
    <w:p w:rsidRPr="002E62B0" w:rsidR="00126D3E" w:rsidP="00126D3E" w:rsidRDefault="00126D3E" w14:paraId="1910B01D" w14:textId="77777777">
      <w:pPr>
        <w:pStyle w:val="ListParagraph"/>
        <w:spacing w:line="240" w:lineRule="auto"/>
        <w:ind w:left="0"/>
        <w:rPr>
          <w:bCs/>
        </w:rPr>
      </w:pPr>
      <w:r>
        <w:t>EESRK</w:t>
      </w:r>
    </w:p>
    <w:p w:rsidRPr="009B70E7" w:rsidR="00126D3E" w:rsidP="00126D3E" w:rsidRDefault="00126D3E" w14:paraId="30410FB5" w14:textId="77777777">
      <w:pPr>
        <w:pStyle w:val="ListParagraph"/>
        <w:ind w:left="0"/>
      </w:pPr>
    </w:p>
    <w:p w:rsidRPr="009B70E7" w:rsidR="00126D3E" w:rsidP="00126D3E" w:rsidRDefault="00126D3E" w14:paraId="4B0472C6" w14:textId="71030DBC">
      <w:pPr>
        <w:pStyle w:val="ListParagraph"/>
        <w:numPr>
          <w:ilvl w:val="0"/>
          <w:numId w:val="3"/>
        </w:numPr>
        <w:ind w:left="357" w:hanging="357"/>
      </w:pPr>
      <w:r>
        <w:t>palankiai vertina Komisijos komunikatą, kuriame išdėstytos ekonomikos valdymo sistemos reformos gairės, ir pritaria Komisijai, kad reikia greitai susitarti prieš valstybėms narėms pradedant 2024 m. biudžeto sudarymo procedūras;</w:t>
      </w:r>
    </w:p>
    <w:p w:rsidRPr="00750BF7" w:rsidR="00126D3E" w:rsidP="00126D3E" w:rsidRDefault="00126D3E" w14:paraId="04B3FA3A" w14:textId="31A21F48">
      <w:pPr>
        <w:pStyle w:val="ListParagraph"/>
        <w:numPr>
          <w:ilvl w:val="0"/>
          <w:numId w:val="3"/>
        </w:numPr>
        <w:ind w:left="357" w:hanging="357"/>
      </w:pPr>
      <w:r>
        <w:t xml:space="preserve">pritaria Komisijai, kad </w:t>
      </w:r>
      <w:r>
        <w:rPr>
          <w:b/>
        </w:rPr>
        <w:t>fiskaliniais struktūriniais planais</w:t>
      </w:r>
      <w:r>
        <w:t xml:space="preserve"> reikia užtikrinti, kad skolos santykis su BVP mažėtų arba išliktų </w:t>
      </w:r>
      <w:proofErr w:type="spellStart"/>
      <w:r>
        <w:t>prudencinio</w:t>
      </w:r>
      <w:proofErr w:type="spellEnd"/>
      <w:r>
        <w:t xml:space="preserve"> lygio;</w:t>
      </w:r>
    </w:p>
    <w:p w:rsidR="00126D3E" w:rsidP="00126D3E" w:rsidRDefault="00126D3E" w14:paraId="17C5BE6B" w14:textId="5DE6DB76">
      <w:pPr>
        <w:pStyle w:val="ListParagraph"/>
        <w:numPr>
          <w:ilvl w:val="0"/>
          <w:numId w:val="3"/>
        </w:numPr>
        <w:ind w:left="357" w:hanging="357"/>
      </w:pPr>
      <w:r>
        <w:t xml:space="preserve">pritaria Komisijos pasiūlymui nebetaikyti griežtos 1/20 taisyklės, nes ji galėtų pernelyg apsunkinti didelę skolą turinčias valstybes nares, o tai neigiamai atsilieptų pačiam ekonomikos augimui ir skolos tvarumui. Vidutinis ketverių metų orientacinio </w:t>
      </w:r>
      <w:r>
        <w:rPr>
          <w:b/>
        </w:rPr>
        <w:t>fiskalinio koregavimo</w:t>
      </w:r>
      <w:r>
        <w:t xml:space="preserve"> vertinimo laikotarpis, kuris prireikus gali būti pratęstas dar trejiems metams, taip pat atrodo proporcingas;</w:t>
      </w:r>
    </w:p>
    <w:p w:rsidR="00126D3E" w:rsidP="00126D3E" w:rsidRDefault="00126D3E" w14:paraId="7C7E2BDC" w14:textId="5AF79D06">
      <w:pPr>
        <w:pStyle w:val="ListParagraph"/>
        <w:numPr>
          <w:ilvl w:val="0"/>
          <w:numId w:val="3"/>
        </w:numPr>
        <w:ind w:left="357" w:hanging="357"/>
      </w:pPr>
      <w:r>
        <w:t>palankiai vertina tai, kad Komisija</w:t>
      </w:r>
      <w:r>
        <w:rPr>
          <w:b/>
        </w:rPr>
        <w:t xml:space="preserve"> daugiausia dėmesio skiria grynosioms pirminėms išlaidoms</w:t>
      </w:r>
      <w:r>
        <w:t>, kaip pagrindiniam naujojo ekonomikos valdymo vertinimo parametrui;</w:t>
      </w:r>
    </w:p>
    <w:p w:rsidRPr="00126D3E" w:rsidR="00126D3E" w:rsidP="00126D3E" w:rsidRDefault="00126D3E" w14:paraId="684FE8F0" w14:textId="6B127B88">
      <w:pPr>
        <w:pStyle w:val="ListParagraph"/>
        <w:numPr>
          <w:ilvl w:val="0"/>
          <w:numId w:val="3"/>
        </w:numPr>
        <w:ind w:left="357" w:hanging="357"/>
      </w:pPr>
      <w:r>
        <w:t xml:space="preserve">kad reformuota sistema būtų sėkminga, labai svarbu prisiimti </w:t>
      </w:r>
      <w:r>
        <w:rPr>
          <w:b/>
        </w:rPr>
        <w:t>atsakomybę</w:t>
      </w:r>
      <w:r>
        <w:t xml:space="preserve"> už šį procesą. Todėl svarbu plėtoti tolesnes priemones, kurių būtų galima imtis siekiant padidinti atsakomybę už taisykles, taip užtikrinant, kad visos vyriausybės būtų įsipareigojusios laikytis peržiūrėtos sistemos;</w:t>
      </w:r>
    </w:p>
    <w:p w:rsidR="00126D3E" w:rsidP="00126D3E" w:rsidRDefault="00126D3E" w14:paraId="3F19F70F" w14:textId="6588F090">
      <w:pPr>
        <w:pStyle w:val="ListParagraph"/>
        <w:numPr>
          <w:ilvl w:val="0"/>
          <w:numId w:val="3"/>
        </w:numPr>
        <w:ind w:left="357" w:hanging="357"/>
      </w:pPr>
      <w:r>
        <w:t xml:space="preserve">mano, kad labai svarbu būsimuose pasiūlymuose dėl teisėkūros procedūra priimamų aktų </w:t>
      </w:r>
      <w:r>
        <w:rPr>
          <w:b/>
        </w:rPr>
        <w:t>nustatyti būtiniausius nacionalinės parlamentinės priežiūros ir organizuotos pilietinės visuomenės dalyvavimo</w:t>
      </w:r>
      <w:r>
        <w:t xml:space="preserve"> rengiant nacionalinius vidutinio laikotarpio fiskalinius struktūrinius planus </w:t>
      </w:r>
      <w:r>
        <w:rPr>
          <w:b/>
        </w:rPr>
        <w:t>standartus</w:t>
      </w:r>
      <w:r>
        <w:t>;</w:t>
      </w:r>
    </w:p>
    <w:p w:rsidRPr="00126D3E" w:rsidR="00126D3E" w:rsidP="00126D3E" w:rsidRDefault="00126D3E" w14:paraId="5181A0A0" w14:textId="4EC6C509">
      <w:pPr>
        <w:pStyle w:val="ListParagraph"/>
        <w:numPr>
          <w:ilvl w:val="0"/>
          <w:numId w:val="3"/>
        </w:numPr>
        <w:ind w:left="357" w:hanging="357"/>
      </w:pPr>
      <w:r>
        <w:t xml:space="preserve">pabrėžia, kad reikia tinkamesnių taisyklių, kuriomis būtų užtikrintas </w:t>
      </w:r>
      <w:r>
        <w:rPr>
          <w:b/>
        </w:rPr>
        <w:t>griežtas taisyklių vykdymas</w:t>
      </w:r>
      <w:r>
        <w:t xml:space="preserve">. Išimtiniais atvejais, kai numatomos sankcijos, jos turi būti veiksmingos ir įgyvendinamos skaidriai. Siekiant taisyklių </w:t>
      </w:r>
      <w:r>
        <w:rPr>
          <w:b/>
        </w:rPr>
        <w:t>patikimumo</w:t>
      </w:r>
      <w:r>
        <w:t>, jos turi būti vienodai taikomos visoms valstybėms narėms;</w:t>
      </w:r>
    </w:p>
    <w:p w:rsidR="00126D3E" w:rsidP="00126D3E" w:rsidRDefault="00126D3E" w14:paraId="3A81D412" w14:textId="083F11ED">
      <w:pPr>
        <w:pStyle w:val="ListParagraph"/>
        <w:numPr>
          <w:ilvl w:val="0"/>
          <w:numId w:val="3"/>
        </w:numPr>
        <w:ind w:left="357" w:hanging="357"/>
      </w:pPr>
      <w:r>
        <w:rPr>
          <w:b/>
        </w:rPr>
        <w:t>palankiai vertina tai, kad didesnė viešųjų investicijų kokybė ir kiekybė</w:t>
      </w:r>
      <w:r>
        <w:t xml:space="preserve"> nurodyta kaip veiksnys, į kurį reikia atsižvelgti siekiant skolos tvarumo. Taip pat palankiai vertina tai, kad koregavimo laikotarpis gali būti pratęstas ne daugiau kaip trejiems metams;</w:t>
      </w:r>
    </w:p>
    <w:p w:rsidR="00D82C3A" w:rsidP="00126D3E" w:rsidRDefault="00D82C3A" w14:paraId="769F68C4" w14:textId="1B177851">
      <w:pPr>
        <w:pStyle w:val="ListParagraph"/>
        <w:numPr>
          <w:ilvl w:val="0"/>
          <w:numId w:val="3"/>
        </w:numPr>
        <w:ind w:left="357" w:hanging="357"/>
      </w:pPr>
      <w:r>
        <w:rPr>
          <w:b/>
          <w:bCs/>
        </w:rPr>
        <w:t>pabrėžia, kad gali prireikti tolesnių iniciatyvų siekiant užtikrinti, kad būtų</w:t>
      </w:r>
      <w:r>
        <w:rPr>
          <w:b/>
        </w:rPr>
        <w:t xml:space="preserve"> sutelkta pakankamai privataus ir viešojo kapitalo žaliajai pertvarkai įgyvendinti ir socialinei sanglaudai pasiekti</w:t>
      </w:r>
      <w:r>
        <w:t>;</w:t>
      </w:r>
    </w:p>
    <w:p w:rsidR="00126D3E" w:rsidP="00126D3E" w:rsidRDefault="00126D3E" w14:paraId="3C908B43" w14:textId="5BC11086">
      <w:pPr>
        <w:pStyle w:val="ListParagraph"/>
        <w:numPr>
          <w:ilvl w:val="0"/>
          <w:numId w:val="3"/>
        </w:numPr>
        <w:ind w:left="357" w:hanging="357"/>
      </w:pPr>
      <w:r>
        <w:t xml:space="preserve">mano, kad valstybių narių </w:t>
      </w:r>
      <w:r>
        <w:rPr>
          <w:b/>
        </w:rPr>
        <w:t>metinės pažangos ataskaitos ir išsami informacija apie reformų ir investicijų įgyvendinimo padėtį</w:t>
      </w:r>
      <w:r>
        <w:t xml:space="preserve">, taip pat </w:t>
      </w:r>
      <w:r>
        <w:rPr>
          <w:b/>
        </w:rPr>
        <w:t>Komisijos ir Tarybos vertinimai</w:t>
      </w:r>
      <w:r>
        <w:t>, atlikti vykdant metinę priežiūrą, turėtų būti skelbiami viešai.</w:t>
      </w:r>
    </w:p>
    <w:p w:rsidRPr="00EC05AD" w:rsidR="00126D3E" w:rsidP="00126D3E" w:rsidRDefault="00126D3E" w14:paraId="1826D695"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69"/>
        <w:gridCol w:w="5670"/>
      </w:tblGrid>
      <w:tr w:rsidRPr="009B70E7" w:rsidR="00126D3E" w:rsidTr="00D00D20" w14:paraId="6C9C2615" w14:textId="77777777">
        <w:tc>
          <w:tcPr>
            <w:tcW w:w="3369" w:type="dxa"/>
          </w:tcPr>
          <w:p w:rsidRPr="009B70E7" w:rsidR="00126D3E" w:rsidP="00040ADE" w:rsidRDefault="00126D3E" w14:paraId="2502BF16" w14:textId="77777777">
            <w:pPr>
              <w:pStyle w:val="ListParagraph"/>
              <w:ind w:left="0"/>
              <w:rPr>
                <w:i/>
              </w:rPr>
            </w:pPr>
            <w:r>
              <w:rPr>
                <w:b/>
                <w:i/>
              </w:rPr>
              <w:t>Kontaktiniai duomenys:</w:t>
            </w:r>
          </w:p>
        </w:tc>
        <w:tc>
          <w:tcPr>
            <w:tcW w:w="5670" w:type="dxa"/>
          </w:tcPr>
          <w:p w:rsidRPr="009B70E7" w:rsidR="00126D3E" w:rsidP="00040ADE" w:rsidRDefault="00126D3E" w14:paraId="7569883B" w14:textId="3CFC178C">
            <w:pPr>
              <w:pStyle w:val="ListParagraph"/>
              <w:ind w:left="0"/>
              <w:rPr>
                <w:i/>
              </w:rPr>
            </w:pPr>
            <w:proofErr w:type="spellStart"/>
            <w:r>
              <w:rPr>
                <w:i/>
              </w:rPr>
              <w:t>Krisztina</w:t>
            </w:r>
            <w:proofErr w:type="spellEnd"/>
            <w:r>
              <w:rPr>
                <w:i/>
              </w:rPr>
              <w:t xml:space="preserve"> </w:t>
            </w:r>
            <w:proofErr w:type="spellStart"/>
            <w:r>
              <w:rPr>
                <w:i/>
              </w:rPr>
              <w:t>Perlaky-Tóth</w:t>
            </w:r>
            <w:proofErr w:type="spellEnd"/>
          </w:p>
        </w:tc>
      </w:tr>
      <w:tr w:rsidRPr="009B70E7" w:rsidR="00126D3E" w:rsidTr="00D00D20" w14:paraId="1633B04C" w14:textId="77777777">
        <w:tc>
          <w:tcPr>
            <w:tcW w:w="3369" w:type="dxa"/>
          </w:tcPr>
          <w:p w:rsidRPr="009B70E7" w:rsidR="00126D3E" w:rsidP="00040ADE" w:rsidRDefault="00126D3E" w14:paraId="3D6DEE23" w14:textId="77777777">
            <w:pPr>
              <w:pStyle w:val="ListParagraph"/>
              <w:ind w:left="601"/>
              <w:rPr>
                <w:i/>
              </w:rPr>
            </w:pPr>
            <w:r>
              <w:rPr>
                <w:i/>
              </w:rPr>
              <w:t>Tel.</w:t>
            </w:r>
          </w:p>
        </w:tc>
        <w:tc>
          <w:tcPr>
            <w:tcW w:w="5670" w:type="dxa"/>
          </w:tcPr>
          <w:p w:rsidRPr="009B70E7" w:rsidR="00126D3E" w:rsidP="00040ADE" w:rsidRDefault="00126D3E" w14:paraId="3D558DF4" w14:textId="4888783E">
            <w:pPr>
              <w:pStyle w:val="ListParagraph"/>
              <w:ind w:left="0"/>
              <w:rPr>
                <w:i/>
              </w:rPr>
            </w:pPr>
            <w:r>
              <w:rPr>
                <w:i/>
              </w:rPr>
              <w:t>00 (32) 2 546 9740</w:t>
            </w:r>
          </w:p>
        </w:tc>
      </w:tr>
      <w:tr w:rsidRPr="001D770D" w:rsidR="00126D3E" w:rsidTr="00D00D20" w14:paraId="29931F4A" w14:textId="77777777">
        <w:tc>
          <w:tcPr>
            <w:tcW w:w="3369" w:type="dxa"/>
          </w:tcPr>
          <w:p w:rsidRPr="009B70E7" w:rsidR="00126D3E" w:rsidP="00126D3E" w:rsidRDefault="00126D3E" w14:paraId="57FF013D" w14:textId="77777777">
            <w:pPr>
              <w:pStyle w:val="ListParagraph"/>
              <w:ind w:left="601"/>
              <w:rPr>
                <w:i/>
              </w:rPr>
            </w:pPr>
            <w:r>
              <w:rPr>
                <w:i/>
              </w:rPr>
              <w:t>El. paštas</w:t>
            </w:r>
          </w:p>
        </w:tc>
        <w:tc>
          <w:tcPr>
            <w:tcW w:w="5670" w:type="dxa"/>
          </w:tcPr>
          <w:p w:rsidRPr="008102E2" w:rsidR="00126D3E" w:rsidP="00126D3E" w:rsidRDefault="00DD735F" w14:paraId="534217AD" w14:textId="33868D76">
            <w:pPr>
              <w:pStyle w:val="ListParagraph"/>
              <w:ind w:left="0"/>
              <w:rPr>
                <w:iCs/>
                <w:color w:val="0000FF"/>
                <w:u w:val="single"/>
              </w:rPr>
            </w:pPr>
            <w:hyperlink w:history="1" r:id="rId22">
              <w:proofErr w:type="spellStart"/>
              <w:r w:rsidR="005C7858">
                <w:rPr>
                  <w:rStyle w:val="Hyperlink"/>
                  <w:i/>
                </w:rPr>
                <w:t>Krisztina.PerlakyToth@eesc.europa.eu</w:t>
              </w:r>
              <w:proofErr w:type="spellEnd"/>
            </w:hyperlink>
          </w:p>
        </w:tc>
      </w:tr>
    </w:tbl>
    <w:p w:rsidR="004E0C44" w:rsidRDefault="004E0C44" w14:paraId="6EFE33A5" w14:textId="77777777">
      <w:pPr>
        <w:spacing w:after="160" w:line="259" w:lineRule="auto"/>
        <w:jc w:val="left"/>
      </w:pPr>
      <w:r>
        <w:br w:type="page"/>
      </w:r>
    </w:p>
    <w:p w:rsidRPr="009B70E7" w:rsidR="004D7AC0" w:rsidRDefault="004D7AC0" w14:paraId="73D829D0" w14:textId="77777777">
      <w:pPr>
        <w:pStyle w:val="Heading1"/>
        <w:rPr>
          <w:b/>
        </w:rPr>
      </w:pPr>
      <w:bookmarkStart w:name="_Toc75527081" w:id="5"/>
      <w:bookmarkStart w:name="_Toc129698982" w:id="6"/>
      <w:r>
        <w:rPr>
          <w:b/>
        </w:rPr>
        <w:lastRenderedPageBreak/>
        <w:t>UŽIMTUMO, SOCIALINIŲ REIKALŲ IR PILIETYBĖS SKYRIUS</w:t>
      </w:r>
      <w:bookmarkEnd w:id="5"/>
      <w:bookmarkEnd w:id="6"/>
    </w:p>
    <w:p w:rsidRPr="005D76AC" w:rsidR="00276CC9" w:rsidP="00750BF7" w:rsidRDefault="00276CC9" w14:paraId="187F194C" w14:textId="59504090">
      <w:pPr>
        <w:spacing w:after="160" w:line="259" w:lineRule="auto"/>
        <w:jc w:val="left"/>
      </w:pPr>
    </w:p>
    <w:p w:rsidRPr="009B70E7" w:rsidR="00775FDA" w:rsidP="0018231C" w:rsidRDefault="00847B19" w14:paraId="6004B7F1" w14:textId="1B1D22DD">
      <w:pPr>
        <w:pStyle w:val="ListParagraph"/>
        <w:keepNext/>
        <w:numPr>
          <w:ilvl w:val="0"/>
          <w:numId w:val="2"/>
        </w:numPr>
        <w:ind w:left="567" w:hanging="567"/>
        <w:rPr>
          <w:b/>
          <w:i/>
          <w:sz w:val="28"/>
          <w:szCs w:val="28"/>
        </w:rPr>
      </w:pPr>
      <w:bookmarkStart w:name="_Hlk125475639" w:id="7"/>
      <w:r>
        <w:rPr>
          <w:b/>
          <w:i/>
          <w:sz w:val="28"/>
        </w:rPr>
        <w:t>Energetikos politika ir darbo rinka. Pasekmės užimtumui regionuose, kuriuose vykdoma energetikos pertvarka</w:t>
      </w:r>
    </w:p>
    <w:p w:rsidRPr="009B70E7" w:rsidR="00775FDA" w:rsidP="0018231C" w:rsidRDefault="00775FDA" w14:paraId="301189D8" w14:textId="77777777">
      <w:pPr>
        <w:pStyle w:val="ListParagraph"/>
        <w:keepNext/>
        <w:ind w:left="0"/>
      </w:pPr>
      <w:bookmarkStart w:name="_Hlk127184014" w:id="8"/>
    </w:p>
    <w:tbl>
      <w:tblPr>
        <w:tblStyle w:val="TableGrid"/>
        <w:tblW w:w="79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294"/>
      </w:tblGrid>
      <w:tr w:rsidRPr="009B70E7" w:rsidR="00B44BB9" w:rsidTr="00196521" w14:paraId="5CC040D5" w14:textId="77777777">
        <w:trPr>
          <w:cantSplit/>
          <w:trHeight w:val="284" w:hRule="exact"/>
        </w:trPr>
        <w:tc>
          <w:tcPr>
            <w:tcW w:w="1701" w:type="dxa"/>
          </w:tcPr>
          <w:p w:rsidR="00B44BB9" w:rsidP="002E62B0" w:rsidRDefault="00B44BB9" w14:paraId="2BE1EF86" w14:textId="135AB205">
            <w:pPr>
              <w:pStyle w:val="ListParagraph"/>
              <w:spacing w:line="240" w:lineRule="auto"/>
              <w:ind w:left="-142" w:firstLine="142"/>
              <w:rPr>
                <w:b/>
              </w:rPr>
            </w:pPr>
            <w:r>
              <w:rPr>
                <w:b/>
              </w:rPr>
              <w:t>Pranešėja:</w:t>
            </w:r>
          </w:p>
          <w:p w:rsidRPr="009B70E7" w:rsidR="00B44BB9" w:rsidP="00B44BB9" w:rsidRDefault="00B44BB9" w14:paraId="15AEA92C" w14:textId="77777777">
            <w:pPr>
              <w:pStyle w:val="ListParagraph"/>
              <w:keepNext/>
              <w:ind w:left="0"/>
              <w:rPr>
                <w:b/>
              </w:rPr>
            </w:pPr>
          </w:p>
        </w:tc>
        <w:tc>
          <w:tcPr>
            <w:tcW w:w="6294" w:type="dxa"/>
          </w:tcPr>
          <w:p w:rsidR="00B44BB9" w:rsidP="00847B19" w:rsidRDefault="00847B19" w14:paraId="4BAF20E0" w14:textId="5FE88B39">
            <w:pPr>
              <w:pStyle w:val="ListParagraph"/>
              <w:ind w:left="-52" w:right="-1618"/>
            </w:pPr>
            <w:r>
              <w:t xml:space="preserve">Maria </w:t>
            </w:r>
            <w:proofErr w:type="spellStart"/>
            <w:r>
              <w:t>del</w:t>
            </w:r>
            <w:proofErr w:type="spellEnd"/>
            <w:r>
              <w:t xml:space="preserve"> </w:t>
            </w:r>
            <w:proofErr w:type="spellStart"/>
            <w:r>
              <w:t>Carmen</w:t>
            </w:r>
            <w:proofErr w:type="spellEnd"/>
            <w:r>
              <w:t xml:space="preserve"> </w:t>
            </w:r>
            <w:proofErr w:type="spellStart"/>
            <w:r>
              <w:t>Barrera</w:t>
            </w:r>
            <w:proofErr w:type="spellEnd"/>
            <w:r>
              <w:t xml:space="preserve"> </w:t>
            </w:r>
            <w:proofErr w:type="spellStart"/>
            <w:r>
              <w:t>Chamorro</w:t>
            </w:r>
            <w:proofErr w:type="spellEnd"/>
            <w:r>
              <w:t xml:space="preserve"> (Darbuotojų </w:t>
            </w:r>
            <w:proofErr w:type="spellStart"/>
            <w:r>
              <w:t>gr</w:t>
            </w:r>
            <w:proofErr w:type="spellEnd"/>
            <w:r>
              <w:t>., ES)</w:t>
            </w:r>
          </w:p>
          <w:p w:rsidR="00847B19" w:rsidP="00E119DF" w:rsidRDefault="00847B19" w14:paraId="757E33F4" w14:textId="77777777">
            <w:pPr>
              <w:pStyle w:val="ListParagraph"/>
              <w:ind w:left="-52"/>
            </w:pPr>
          </w:p>
          <w:p w:rsidRPr="009B70E7" w:rsidR="00847B19" w:rsidP="00E119DF" w:rsidRDefault="00847B19" w14:paraId="689CA704" w14:textId="188D0825">
            <w:pPr>
              <w:pStyle w:val="ListParagraph"/>
              <w:ind w:left="-52"/>
            </w:pPr>
          </w:p>
        </w:tc>
      </w:tr>
      <w:tr w:rsidRPr="00627B8F" w:rsidR="00B44BB9" w:rsidTr="00196521" w14:paraId="58C9EA77" w14:textId="77777777">
        <w:tc>
          <w:tcPr>
            <w:tcW w:w="1701" w:type="dxa"/>
          </w:tcPr>
          <w:p w:rsidRPr="009B70E7" w:rsidR="00B44BB9" w:rsidP="00120BA5" w:rsidRDefault="00B44BB9" w14:paraId="5397904E" w14:textId="384BB618">
            <w:pPr>
              <w:pStyle w:val="ListParagraph"/>
              <w:ind w:left="0"/>
              <w:rPr>
                <w:b/>
              </w:rPr>
            </w:pPr>
            <w:r>
              <w:rPr>
                <w:b/>
              </w:rPr>
              <w:t>Nuorodos</w:t>
            </w:r>
          </w:p>
        </w:tc>
        <w:tc>
          <w:tcPr>
            <w:tcW w:w="6294" w:type="dxa"/>
          </w:tcPr>
          <w:p w:rsidRPr="00E119DF" w:rsidR="00B44BB9" w:rsidP="00E119DF" w:rsidRDefault="00847B19" w14:paraId="7887F4C5" w14:textId="72194518">
            <w:pPr>
              <w:pStyle w:val="ListParagraph"/>
              <w:ind w:left="-52"/>
            </w:pPr>
            <w:r>
              <w:t>Nuomonė savo iniciatyva</w:t>
            </w:r>
          </w:p>
          <w:p w:rsidRPr="00E119DF" w:rsidR="00B44BB9" w:rsidP="00E119DF" w:rsidRDefault="00B44BB9" w14:paraId="12C6341D" w14:textId="7CF76B40">
            <w:pPr>
              <w:pStyle w:val="ListParagraph"/>
              <w:ind w:left="-52"/>
            </w:pPr>
            <w:r>
              <w:t>EESC-2022-04464-00-00-AC</w:t>
            </w:r>
          </w:p>
        </w:tc>
      </w:tr>
    </w:tbl>
    <w:p w:rsidR="00631509" w:rsidP="00631509" w:rsidRDefault="00631509" w14:paraId="5534BE55" w14:textId="77777777">
      <w:pPr>
        <w:pStyle w:val="ListParagraph"/>
        <w:spacing w:line="240" w:lineRule="auto"/>
        <w:ind w:left="-142" w:firstLine="284"/>
        <w:rPr>
          <w:b/>
        </w:rPr>
      </w:pPr>
    </w:p>
    <w:p w:rsidRPr="0070677E" w:rsidR="00775FDA" w:rsidP="002E62B0" w:rsidRDefault="00C76C46" w14:paraId="63769A52" w14:textId="3A0DA8C9">
      <w:pPr>
        <w:pStyle w:val="ListParagraph"/>
        <w:spacing w:line="240" w:lineRule="auto"/>
        <w:ind w:left="0"/>
        <w:rPr>
          <w:b/>
        </w:rPr>
      </w:pPr>
      <w:r>
        <w:rPr>
          <w:b/>
        </w:rPr>
        <w:t>Dokumento esmė</w:t>
      </w:r>
    </w:p>
    <w:p w:rsidRPr="009B70E7" w:rsidR="005475DA" w:rsidRDefault="005475DA" w14:paraId="580B14A7" w14:textId="77777777">
      <w:pPr>
        <w:pStyle w:val="ListParagraph"/>
        <w:ind w:left="0"/>
      </w:pPr>
    </w:p>
    <w:p w:rsidRPr="002E62B0" w:rsidR="00775FDA" w:rsidP="002E62B0" w:rsidRDefault="008946BF" w14:paraId="3C2434D8" w14:textId="77777777">
      <w:pPr>
        <w:pStyle w:val="ListParagraph"/>
        <w:spacing w:line="240" w:lineRule="auto"/>
        <w:ind w:left="0"/>
        <w:rPr>
          <w:bCs/>
        </w:rPr>
      </w:pPr>
      <w:r>
        <w:t>EESRK:</w:t>
      </w:r>
    </w:p>
    <w:p w:rsidRPr="009B70E7" w:rsidR="00775FDA" w:rsidP="0018231C" w:rsidRDefault="00775FDA" w14:paraId="540C04B4" w14:textId="77777777">
      <w:pPr>
        <w:pStyle w:val="ListParagraph"/>
        <w:ind w:left="0"/>
      </w:pPr>
    </w:p>
    <w:p w:rsidRPr="009B70E7" w:rsidR="00775FDA" w:rsidP="0018231C" w:rsidRDefault="0007015C" w14:paraId="3D89CE58" w14:textId="7DD86F59">
      <w:pPr>
        <w:pStyle w:val="ListParagraph"/>
        <w:numPr>
          <w:ilvl w:val="0"/>
          <w:numId w:val="3"/>
        </w:numPr>
        <w:ind w:left="357" w:hanging="357"/>
      </w:pPr>
      <w:r>
        <w:t>pažymi, kad dėl didėjančio neigiamo kritinės klimato padėties poveikio, taip pat dėl netikrumo ir krizių, kylančių dėl naujų geopolitinių ir energijos rinkos aktualijų, reikia, kad Europos Sąjunga drastiškai paspartintų perėjimą prie švarios energijos ir sustiprintų Europos energetinę nepriklausomybę nuo nepatikimų tiekėjų ir nepastovaus iškastinio kuro. Todėl jis palankiai vertina Europos Komisijos planus tokiems tikslams įgyvendinti (pvz., planą „</w:t>
      </w:r>
      <w:proofErr w:type="spellStart"/>
      <w:r>
        <w:t>REPowerEU</w:t>
      </w:r>
      <w:proofErr w:type="spellEnd"/>
      <w:r>
        <w:t>“ ir papildomą jo finansavimą pagal Ekonomikos gaivinimo ir atsparumo didinimo priemonę (EGADP));</w:t>
      </w:r>
    </w:p>
    <w:p w:rsidR="00BE40C9" w:rsidP="008C3E09" w:rsidRDefault="0007015C" w14:paraId="244724D4" w14:textId="552D18D3">
      <w:pPr>
        <w:pStyle w:val="ListParagraph"/>
        <w:numPr>
          <w:ilvl w:val="0"/>
          <w:numId w:val="3"/>
        </w:numPr>
        <w:ind w:left="357" w:hanging="357"/>
      </w:pPr>
      <w:r>
        <w:t xml:space="preserve">atkreipia dėmesį į tai, kad rizika aplinkos ir energetikos srityse daro poveikį ekonominei veiklai ir visoms susijusioms politikos priemonėms; ji įvairiais būdais daro didelį poveikį </w:t>
      </w:r>
      <w:proofErr w:type="spellStart"/>
      <w:r>
        <w:t>pažeidžiamiausiems</w:t>
      </w:r>
      <w:proofErr w:type="spellEnd"/>
      <w:r>
        <w:t xml:space="preserve"> regionams, ekonomikos sektoriams, darbuotojams ir gyventojų grupėms. Todėl ypatingą dėmesį reikia skirti teisingą pertvarką vykdantiems regionams, kuriuose energetikos sektoriaus vystymasis ir darbo rinkos reikalavimai yra labiau susiję ir kuriuose reikės imtis konkrečių politikos;</w:t>
      </w:r>
    </w:p>
    <w:p w:rsidR="0007015C" w:rsidP="008C3E09" w:rsidRDefault="0007015C" w14:paraId="3E1E34EA" w14:textId="108D55A1">
      <w:pPr>
        <w:pStyle w:val="ListParagraph"/>
        <w:numPr>
          <w:ilvl w:val="0"/>
          <w:numId w:val="3"/>
        </w:numPr>
        <w:ind w:left="357" w:hanging="357"/>
      </w:pPr>
      <w:r>
        <w:t>siūlo valstybėms narėms apsvarstyti tinkamus būdus, kaip geriau integruoti darbo rinkos politiką į reguliavimo sistemas ir aplinkos bei energetikos politiką, taip pat į socialinės gerovės politiką. Ši integracija, kuri yra nacionalinių priemonių Europos socialinių teisių ramsčio veiksmų planui įgyvendinti dalis, visada turi būti įgyvendinama palaikant socialinį dialogą ir vedant kolektyvines derybas, nedarant poveikio kiekvienos valstybės skirtingų darbo santykių sistemų savarankiškumu ir įvairovei;</w:t>
      </w:r>
    </w:p>
    <w:p w:rsidR="0007015C" w:rsidP="008C3E09" w:rsidRDefault="0007015C" w14:paraId="191AB604" w14:textId="4C54B397">
      <w:pPr>
        <w:pStyle w:val="ListParagraph"/>
        <w:numPr>
          <w:ilvl w:val="0"/>
          <w:numId w:val="3"/>
        </w:numPr>
        <w:ind w:left="357" w:hanging="357"/>
      </w:pPr>
      <w:r>
        <w:t>dar kartą pabrėžia savo tvirtą įsitikinimą, kad, siekiant veiksmingai įgyvendinti klimato politikos ir energetikos pertvarkos tikslus, Teisingos pertvarkos mechanizmas turi būti naudojamas veiksmingiau, atsižvelgiant į tempą, suderinamą su mažų ir didelių įmonių padėtimi;</w:t>
      </w:r>
    </w:p>
    <w:p w:rsidR="0007015C" w:rsidP="008C3E09" w:rsidRDefault="0007015C" w14:paraId="687A8CEE" w14:textId="6BD52B0B">
      <w:pPr>
        <w:pStyle w:val="ListParagraph"/>
        <w:numPr>
          <w:ilvl w:val="0"/>
          <w:numId w:val="3"/>
        </w:numPr>
        <w:ind w:left="357" w:hanging="357"/>
      </w:pPr>
      <w:r>
        <w:t>ragina Komisiją ir Parlamentą, valstybes nares ir ES regionus novatoriškiau ir veiksmingiau įtraukti socialinius partnerius ir kitas pilietinės visuomenės organizacijas į energetikos pertvarkos politikos, turinčios didelę pridėtinę vertę užimtumo ir socialinės apsaugos srityse, kūrimą ir įgyvendinimą, taip pat į jų stebėseną ir vertinimą;</w:t>
      </w:r>
    </w:p>
    <w:p w:rsidR="0007015C" w:rsidP="008C3E09" w:rsidRDefault="0007015C" w14:paraId="6BE127E6" w14:textId="5A0716B3">
      <w:pPr>
        <w:pStyle w:val="ListParagraph"/>
        <w:numPr>
          <w:ilvl w:val="0"/>
          <w:numId w:val="3"/>
        </w:numPr>
        <w:ind w:left="357" w:hanging="357"/>
      </w:pPr>
      <w:r>
        <w:t>mano, kad tiek didelėms įmonėms, tiek MVĮ tenka svarbus vaidmuo siekiant energetikos pertvarkos tikslo. Vis dėlto, siekiant įveikti didžiausius sunkumus, su kuriais susiduria MVĮ, EESRK ragina gerinti MVĮ galimybių gauti finansavimą programas, jas paspartinti ir supaprastinti, teikiant nuolatines paramos ir pagalbos paslaugas.</w:t>
      </w:r>
    </w:p>
    <w:p w:rsidRPr="009B70E7" w:rsidR="008102E2" w:rsidP="008102E2" w:rsidRDefault="008102E2" w14:paraId="0D71A78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85"/>
        <w:gridCol w:w="5670"/>
      </w:tblGrid>
      <w:tr w:rsidRPr="009B70E7" w:rsidR="00B44BB9" w:rsidTr="004B3957" w14:paraId="502899FB" w14:textId="77777777">
        <w:tc>
          <w:tcPr>
            <w:tcW w:w="3085" w:type="dxa"/>
          </w:tcPr>
          <w:p w:rsidRPr="009B70E7" w:rsidR="00B44BB9" w:rsidP="008B66DD" w:rsidRDefault="00B44BB9" w14:paraId="4933D5C0" w14:textId="718809BF">
            <w:pPr>
              <w:pStyle w:val="ListParagraph"/>
              <w:ind w:left="0"/>
              <w:rPr>
                <w:i/>
              </w:rPr>
            </w:pPr>
            <w:r>
              <w:rPr>
                <w:b/>
                <w:i/>
              </w:rPr>
              <w:t>Kontaktiniai duomenys:</w:t>
            </w:r>
          </w:p>
        </w:tc>
        <w:tc>
          <w:tcPr>
            <w:tcW w:w="5670" w:type="dxa"/>
          </w:tcPr>
          <w:p w:rsidRPr="009B70E7" w:rsidR="00B44BB9" w:rsidP="008B66DD" w:rsidRDefault="0007015C" w14:paraId="649C02E9" w14:textId="394E6642">
            <w:pPr>
              <w:pStyle w:val="ListParagraph"/>
              <w:ind w:left="0"/>
              <w:rPr>
                <w:i/>
              </w:rPr>
            </w:pPr>
            <w:proofErr w:type="spellStart"/>
            <w:r>
              <w:rPr>
                <w:i/>
              </w:rPr>
              <w:t>Triin</w:t>
            </w:r>
            <w:proofErr w:type="spellEnd"/>
            <w:r>
              <w:rPr>
                <w:i/>
              </w:rPr>
              <w:t xml:space="preserve"> </w:t>
            </w:r>
            <w:proofErr w:type="spellStart"/>
            <w:r>
              <w:rPr>
                <w:i/>
              </w:rPr>
              <w:t>Aasmaa</w:t>
            </w:r>
            <w:proofErr w:type="spellEnd"/>
          </w:p>
        </w:tc>
      </w:tr>
      <w:tr w:rsidRPr="009B70E7" w:rsidR="00B44BB9" w:rsidTr="004B3957" w14:paraId="54638E70" w14:textId="77777777">
        <w:tc>
          <w:tcPr>
            <w:tcW w:w="3085" w:type="dxa"/>
          </w:tcPr>
          <w:p w:rsidRPr="009B70E7" w:rsidR="00B44BB9" w:rsidP="008B66DD" w:rsidRDefault="00B44BB9" w14:paraId="40A81D42" w14:textId="0AEADD1A">
            <w:pPr>
              <w:pStyle w:val="ListParagraph"/>
              <w:ind w:left="601"/>
              <w:rPr>
                <w:i/>
              </w:rPr>
            </w:pPr>
            <w:r>
              <w:rPr>
                <w:i/>
              </w:rPr>
              <w:t>Tel.</w:t>
            </w:r>
          </w:p>
        </w:tc>
        <w:tc>
          <w:tcPr>
            <w:tcW w:w="5670" w:type="dxa"/>
          </w:tcPr>
          <w:p w:rsidRPr="009B70E7" w:rsidR="00B44BB9" w:rsidP="008B66DD" w:rsidRDefault="00B44BB9" w14:paraId="0C77361C" w14:textId="2ACB1AB6">
            <w:pPr>
              <w:pStyle w:val="ListParagraph"/>
              <w:ind w:left="0"/>
              <w:rPr>
                <w:i/>
              </w:rPr>
            </w:pPr>
            <w:r>
              <w:rPr>
                <w:i/>
              </w:rPr>
              <w:t>00 32 2 546 95 24</w:t>
            </w:r>
          </w:p>
        </w:tc>
      </w:tr>
      <w:tr w:rsidRPr="001D770D" w:rsidR="00B44BB9" w:rsidTr="004B3957" w14:paraId="5FB79B0A" w14:textId="77777777">
        <w:tc>
          <w:tcPr>
            <w:tcW w:w="3085" w:type="dxa"/>
          </w:tcPr>
          <w:p w:rsidRPr="009B70E7" w:rsidR="00B44BB9" w:rsidP="008B66DD" w:rsidRDefault="00B44BB9" w14:paraId="0A5C365B" w14:textId="6F30D388">
            <w:pPr>
              <w:pStyle w:val="ListParagraph"/>
              <w:ind w:left="601"/>
              <w:rPr>
                <w:i/>
              </w:rPr>
            </w:pPr>
            <w:r>
              <w:rPr>
                <w:i/>
              </w:rPr>
              <w:t>El. paštas</w:t>
            </w:r>
          </w:p>
        </w:tc>
        <w:tc>
          <w:tcPr>
            <w:tcW w:w="5670" w:type="dxa"/>
          </w:tcPr>
          <w:p w:rsidRPr="00CE7111" w:rsidR="00BE40C9" w:rsidP="008B66DD" w:rsidRDefault="00DD735F" w14:paraId="0E9E0878" w14:textId="2BA296F2">
            <w:pPr>
              <w:pStyle w:val="ListParagraph"/>
              <w:ind w:left="0"/>
              <w:rPr>
                <w:i/>
                <w:iCs/>
                <w:color w:val="0000FF"/>
                <w:szCs w:val="20"/>
                <w:u w:val="single"/>
              </w:rPr>
            </w:pPr>
            <w:hyperlink w:history="1" r:id="rId23">
              <w:proofErr w:type="spellStart"/>
              <w:r w:rsidR="005C7858">
                <w:rPr>
                  <w:rStyle w:val="Hyperlink"/>
                  <w:i/>
                </w:rPr>
                <w:t>Triin.Aasmaa@eesc.europa.eu</w:t>
              </w:r>
              <w:proofErr w:type="spellEnd"/>
            </w:hyperlink>
          </w:p>
        </w:tc>
      </w:tr>
      <w:bookmarkEnd w:id="7"/>
      <w:bookmarkEnd w:id="8"/>
    </w:tbl>
    <w:p w:rsidR="004E0C44" w:rsidRDefault="004E0C44" w14:paraId="274BEC25" w14:textId="77777777">
      <w:pPr>
        <w:spacing w:after="160" w:line="259" w:lineRule="auto"/>
        <w:jc w:val="left"/>
        <w:rPr>
          <w:b/>
          <w:i/>
          <w:sz w:val="28"/>
          <w:szCs w:val="28"/>
        </w:rPr>
      </w:pPr>
      <w:r>
        <w:br w:type="page"/>
      </w:r>
    </w:p>
    <w:p w:rsidRPr="00196521" w:rsidR="00CE7111" w:rsidP="00196521" w:rsidRDefault="00CE7111" w14:paraId="3F7A4442" w14:textId="77777777">
      <w:pPr>
        <w:pStyle w:val="ListParagraph"/>
        <w:keepNext/>
        <w:ind w:left="0"/>
        <w:rPr>
          <w:b/>
          <w:i/>
        </w:rPr>
      </w:pPr>
    </w:p>
    <w:p w:rsidRPr="009B70E7" w:rsidR="00CE7111" w:rsidP="00CE7111" w:rsidRDefault="00CE7111" w14:paraId="78CF9464" w14:textId="5344A979">
      <w:pPr>
        <w:pStyle w:val="ListParagraph"/>
        <w:keepNext/>
        <w:numPr>
          <w:ilvl w:val="0"/>
          <w:numId w:val="2"/>
        </w:numPr>
        <w:ind w:left="567" w:hanging="567"/>
        <w:rPr>
          <w:b/>
          <w:i/>
          <w:sz w:val="28"/>
          <w:szCs w:val="28"/>
        </w:rPr>
      </w:pPr>
      <w:r>
        <w:rPr>
          <w:b/>
          <w:i/>
          <w:sz w:val="28"/>
        </w:rPr>
        <w:t xml:space="preserve">Darbo rinkos pokyčių rėmimas: kaip išlaikyti </w:t>
      </w:r>
      <w:proofErr w:type="spellStart"/>
      <w:r>
        <w:rPr>
          <w:b/>
          <w:i/>
          <w:sz w:val="28"/>
        </w:rPr>
        <w:t>įsidarbinamumą</w:t>
      </w:r>
      <w:proofErr w:type="spellEnd"/>
      <w:r>
        <w:rPr>
          <w:b/>
          <w:i/>
          <w:sz w:val="28"/>
        </w:rPr>
        <w:t>, didinti našumą ir ugdyti įgūdžius, ypač MVĮ</w:t>
      </w:r>
    </w:p>
    <w:p w:rsidRPr="009B70E7" w:rsidR="00CE7111" w:rsidP="00CE7111" w:rsidRDefault="00CE7111" w14:paraId="4E7CC8B2" w14:textId="77777777">
      <w:pPr>
        <w:pStyle w:val="ListParagraph"/>
        <w:keepNext/>
        <w:ind w:left="0"/>
      </w:pPr>
    </w:p>
    <w:tbl>
      <w:tblPr>
        <w:tblStyle w:val="TableGrid"/>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7938"/>
      </w:tblGrid>
      <w:tr w:rsidRPr="009B70E7" w:rsidR="00CE7111" w:rsidTr="00040ADE" w14:paraId="00EE265E" w14:textId="77777777">
        <w:trPr>
          <w:cantSplit/>
          <w:trHeight w:val="284" w:hRule="exact"/>
        </w:trPr>
        <w:tc>
          <w:tcPr>
            <w:tcW w:w="1701" w:type="dxa"/>
          </w:tcPr>
          <w:p w:rsidR="00CE7111" w:rsidP="00040ADE" w:rsidRDefault="00CE7111" w14:paraId="242C44FC" w14:textId="77777777">
            <w:pPr>
              <w:pStyle w:val="ListParagraph"/>
              <w:spacing w:line="240" w:lineRule="auto"/>
              <w:ind w:left="-142" w:firstLine="142"/>
              <w:rPr>
                <w:b/>
              </w:rPr>
            </w:pPr>
            <w:r>
              <w:rPr>
                <w:b/>
              </w:rPr>
              <w:t>Pranešėja:</w:t>
            </w:r>
          </w:p>
          <w:p w:rsidRPr="009B70E7" w:rsidR="00CE7111" w:rsidP="00040ADE" w:rsidRDefault="00CE7111" w14:paraId="515F35BD" w14:textId="77777777">
            <w:pPr>
              <w:pStyle w:val="ListParagraph"/>
              <w:keepNext/>
              <w:ind w:left="0"/>
              <w:rPr>
                <w:b/>
              </w:rPr>
            </w:pPr>
          </w:p>
        </w:tc>
        <w:tc>
          <w:tcPr>
            <w:tcW w:w="7938" w:type="dxa"/>
          </w:tcPr>
          <w:p w:rsidR="00CE7111" w:rsidP="00040ADE" w:rsidRDefault="00CE7111" w14:paraId="4C9D645C" w14:textId="22922EFE">
            <w:pPr>
              <w:pStyle w:val="ListParagraph"/>
              <w:ind w:left="-52" w:right="-1618"/>
            </w:pPr>
            <w:proofErr w:type="spellStart"/>
            <w:r>
              <w:t>Mariya</w:t>
            </w:r>
            <w:proofErr w:type="spellEnd"/>
            <w:r>
              <w:t xml:space="preserve"> </w:t>
            </w:r>
            <w:proofErr w:type="spellStart"/>
            <w:r>
              <w:t>Mincheva</w:t>
            </w:r>
            <w:proofErr w:type="spellEnd"/>
            <w:r>
              <w:t xml:space="preserve"> (Darbdavių </w:t>
            </w:r>
            <w:proofErr w:type="spellStart"/>
            <w:r>
              <w:t>gr</w:t>
            </w:r>
            <w:proofErr w:type="spellEnd"/>
            <w:r>
              <w:t>., BG)</w:t>
            </w:r>
          </w:p>
          <w:p w:rsidR="00CE7111" w:rsidP="00040ADE" w:rsidRDefault="00CE7111" w14:paraId="4D1FE8F3" w14:textId="77777777">
            <w:pPr>
              <w:pStyle w:val="ListParagraph"/>
              <w:ind w:left="-52"/>
            </w:pPr>
          </w:p>
          <w:p w:rsidRPr="009B70E7" w:rsidR="00CE7111" w:rsidP="00040ADE" w:rsidRDefault="00CE7111" w14:paraId="5C388FB6" w14:textId="77777777">
            <w:pPr>
              <w:pStyle w:val="ListParagraph"/>
              <w:ind w:left="-52"/>
            </w:pPr>
          </w:p>
        </w:tc>
      </w:tr>
      <w:tr w:rsidRPr="00627B8F" w:rsidR="00CE7111" w:rsidTr="00040ADE" w14:paraId="03CE010C" w14:textId="77777777">
        <w:tc>
          <w:tcPr>
            <w:tcW w:w="1701" w:type="dxa"/>
          </w:tcPr>
          <w:p w:rsidRPr="009B70E7" w:rsidR="00CE7111" w:rsidP="00040ADE" w:rsidRDefault="00CE7111" w14:paraId="33E40C80" w14:textId="5F94FD65">
            <w:pPr>
              <w:pStyle w:val="ListParagraph"/>
              <w:ind w:left="0"/>
              <w:rPr>
                <w:b/>
              </w:rPr>
            </w:pPr>
            <w:r>
              <w:rPr>
                <w:b/>
              </w:rPr>
              <w:t>Nuorodos</w:t>
            </w:r>
          </w:p>
        </w:tc>
        <w:tc>
          <w:tcPr>
            <w:tcW w:w="7938" w:type="dxa"/>
          </w:tcPr>
          <w:p w:rsidRPr="00E119DF" w:rsidR="00CE7111" w:rsidP="00040ADE" w:rsidRDefault="00CE7111" w14:paraId="4EC067DC" w14:textId="77777777">
            <w:pPr>
              <w:pStyle w:val="ListParagraph"/>
              <w:ind w:left="-52"/>
            </w:pPr>
            <w:r>
              <w:t>Nuomonė savo iniciatyva</w:t>
            </w:r>
          </w:p>
          <w:p w:rsidRPr="00E119DF" w:rsidR="00CE7111" w:rsidP="00040ADE" w:rsidRDefault="00CE7111" w14:paraId="465D4933" w14:textId="6DD29232">
            <w:pPr>
              <w:pStyle w:val="ListParagraph"/>
              <w:ind w:left="-52"/>
            </w:pPr>
            <w:r>
              <w:t>EESC-2022-01031-00-00-AC</w:t>
            </w:r>
          </w:p>
        </w:tc>
      </w:tr>
    </w:tbl>
    <w:p w:rsidR="00CE7111" w:rsidP="00CE7111" w:rsidRDefault="00CE7111" w14:paraId="110AE2D5" w14:textId="77777777">
      <w:pPr>
        <w:pStyle w:val="ListParagraph"/>
        <w:spacing w:line="240" w:lineRule="auto"/>
        <w:ind w:left="-142" w:firstLine="284"/>
        <w:rPr>
          <w:b/>
        </w:rPr>
      </w:pPr>
    </w:p>
    <w:p w:rsidRPr="0070677E" w:rsidR="00CE7111" w:rsidP="00CE7111" w:rsidRDefault="00CE7111" w14:paraId="69ACC511" w14:textId="77777777">
      <w:pPr>
        <w:pStyle w:val="ListParagraph"/>
        <w:spacing w:line="240" w:lineRule="auto"/>
        <w:ind w:left="0"/>
        <w:rPr>
          <w:b/>
        </w:rPr>
      </w:pPr>
      <w:r>
        <w:rPr>
          <w:b/>
        </w:rPr>
        <w:t>Dokumento esmė</w:t>
      </w:r>
    </w:p>
    <w:p w:rsidRPr="009B70E7" w:rsidR="00CE7111" w:rsidP="00CE7111" w:rsidRDefault="00CE7111" w14:paraId="24110627" w14:textId="77777777">
      <w:pPr>
        <w:pStyle w:val="ListParagraph"/>
        <w:ind w:left="0"/>
      </w:pPr>
    </w:p>
    <w:p w:rsidRPr="002E62B0" w:rsidR="00CE7111" w:rsidP="00CE7111" w:rsidRDefault="00CE7111" w14:paraId="3C25CC00" w14:textId="77777777">
      <w:pPr>
        <w:pStyle w:val="ListParagraph"/>
        <w:spacing w:line="240" w:lineRule="auto"/>
        <w:ind w:left="0"/>
        <w:rPr>
          <w:bCs/>
        </w:rPr>
      </w:pPr>
      <w:r>
        <w:t>EESRK:</w:t>
      </w:r>
    </w:p>
    <w:p w:rsidRPr="009B70E7" w:rsidR="00CE7111" w:rsidP="00CE7111" w:rsidRDefault="00CE7111" w14:paraId="111000EE" w14:textId="77777777">
      <w:pPr>
        <w:pStyle w:val="ListParagraph"/>
        <w:ind w:left="0"/>
      </w:pPr>
    </w:p>
    <w:p w:rsidRPr="009B70E7" w:rsidR="00CE7111" w:rsidP="00CE7111" w:rsidRDefault="00CE7111" w14:paraId="2E0077A3" w14:textId="6A240C80">
      <w:pPr>
        <w:pStyle w:val="ListParagraph"/>
        <w:numPr>
          <w:ilvl w:val="0"/>
          <w:numId w:val="3"/>
        </w:numPr>
        <w:ind w:left="357" w:hanging="357"/>
      </w:pPr>
      <w:r>
        <w:t xml:space="preserve">pabrėžia, kad Europos darbo rinkoje vykstant transformacijai būtina gerai suprasti, kokių rūšių įgūdžių reikės būsimiems darbo rinkos pokyčiams, įskaitant MVĮ, siekiant išlaikyti tvarų </w:t>
      </w:r>
      <w:proofErr w:type="spellStart"/>
      <w:r>
        <w:t>įsidarbinamumą</w:t>
      </w:r>
      <w:proofErr w:type="spellEnd"/>
      <w:r>
        <w:t>, prisidėti prie aukšto našumo lygio ir sumažinti darbo jėgos trūkumą;</w:t>
      </w:r>
    </w:p>
    <w:p w:rsidR="00CE7111" w:rsidP="00CE7111" w:rsidRDefault="00CE7111" w14:paraId="62FA8580" w14:textId="3F1B778F">
      <w:pPr>
        <w:pStyle w:val="ListParagraph"/>
        <w:numPr>
          <w:ilvl w:val="0"/>
          <w:numId w:val="3"/>
        </w:numPr>
        <w:ind w:left="357" w:hanging="357"/>
      </w:pPr>
      <w:r>
        <w:t>mano, kad įgūdžių ugdymas ir veiksmingas teisės į mokymąsi visą gyvenimą ir galimybių mokytis įgyvendinimas turi būti neatsiejama platesnio masto ekonomikos augimo strategijų ir ekonomikos gaivinimo ir atsparumo didinimo planų dalis;</w:t>
      </w:r>
    </w:p>
    <w:p w:rsidR="00CE7111" w:rsidP="00CE7111" w:rsidRDefault="00CE7111" w14:paraId="02D2D11B" w14:textId="0E3A8661">
      <w:pPr>
        <w:pStyle w:val="ListParagraph"/>
        <w:numPr>
          <w:ilvl w:val="0"/>
          <w:numId w:val="3"/>
        </w:numPr>
        <w:ind w:left="357" w:hanging="357"/>
      </w:pPr>
      <w:r>
        <w:t>pabrėžia, kad suaugusiųjų kvalifikacijos kėlimui labai svarbus suaugusiųjų mokymasis, jis gali duoti įvairios asmeninės, visuomeninės, ekonominės ir socialinės naudos;</w:t>
      </w:r>
    </w:p>
    <w:p w:rsidR="00CE7111" w:rsidP="00CE7111" w:rsidRDefault="00CE7111" w14:paraId="7641F7D3" w14:textId="15AAE0C3">
      <w:pPr>
        <w:pStyle w:val="ListParagraph"/>
        <w:numPr>
          <w:ilvl w:val="0"/>
          <w:numId w:val="3"/>
        </w:numPr>
        <w:ind w:left="357" w:hanging="357"/>
      </w:pPr>
      <w:r>
        <w:t>pritaria nuomonei, kad „ES reikia įgūdžių revoliucijos, kad žmonės galėtų klestėti“, ir ragina institucijas, įmones, socialinius partnerius ir suinteresuotuosius subjektus sutelkti pastangas ir imtis veiksmingų bendrų veiksmų pagal Įgūdžių paktą;</w:t>
      </w:r>
    </w:p>
    <w:p w:rsidR="00CE7111" w:rsidP="00CE7111" w:rsidRDefault="00CE7111" w14:paraId="577D68CA" w14:textId="37250CDB">
      <w:pPr>
        <w:pStyle w:val="ListParagraph"/>
        <w:numPr>
          <w:ilvl w:val="0"/>
          <w:numId w:val="3"/>
        </w:numPr>
        <w:ind w:left="357" w:hanging="357"/>
      </w:pPr>
      <w:r>
        <w:t>pabrėžia, kad, be abejonės, vienas svarbiausių uždavinių ateityje bus gebėjimas nuolat atnaujinti skaitmeninius įgūdžius atsižvelgiant į darbo rinkos pokyčius ir naujų technologijų diegimą. Šiuo atžvilgiu EESRK palankiai vertina nacionaliniuose ekonomikos gaivinimo ir atsparumo didinimo planuose numatytas plataus masto investicijas, kuriomis remiamas skaitmeninių įgūdžių ugdymas;</w:t>
      </w:r>
    </w:p>
    <w:p w:rsidR="00CE7111" w:rsidP="00CE7111" w:rsidRDefault="00CE7111" w14:paraId="236AEE00" w14:textId="6A68F81A">
      <w:pPr>
        <w:pStyle w:val="ListParagraph"/>
        <w:numPr>
          <w:ilvl w:val="0"/>
          <w:numId w:val="3"/>
        </w:numPr>
        <w:ind w:left="357" w:hanging="357"/>
      </w:pPr>
      <w:r>
        <w:t>mano, kad žalioji pertvarka būtų sėkminga, reikės tinkamų įgūdžių turinčių žmonių ir darboviečių, kuriose būtų sukurta tinkama darbo aplinka ir įdiegtos žaliosios gamybos sistemos. Svarbus vaidmuo užtikrinant teisingą pertvarką daugelyje ekonomikos sektorių tenka socialiniams partneriams;</w:t>
      </w:r>
    </w:p>
    <w:p w:rsidR="00CE7111" w:rsidP="00CE7111" w:rsidRDefault="00CE7111" w14:paraId="6CACA9BC" w14:textId="17251958">
      <w:pPr>
        <w:pStyle w:val="ListParagraph"/>
        <w:numPr>
          <w:ilvl w:val="0"/>
          <w:numId w:val="3"/>
        </w:numPr>
        <w:ind w:left="357" w:hanging="357"/>
      </w:pPr>
      <w:r>
        <w:t>pabrėžia, kad MVĮ turėtų būti skatinamos dirbti sąveikiuose tinkluose, bendradarbiauti dalijantis mokslinių tyrimų apie įgūdžių poreikius išlaidas ir sutelkti savo pajėgumus reaguodamos į dvejopos pertvarkos ir įgūdžių ugdymo iššūkius. Reikia remti MVĮ siekiant sudaryti palankesnes sąlygas jų žmogiškojo kapitalo profesinio mokymo ir tobulėjimo politikos plėtojimui.</w:t>
      </w:r>
    </w:p>
    <w:p w:rsidRPr="009B70E7" w:rsidR="00CE7111" w:rsidP="00CE7111" w:rsidRDefault="00CE7111" w14:paraId="36F8829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85"/>
        <w:gridCol w:w="5670"/>
      </w:tblGrid>
      <w:tr w:rsidRPr="009B70E7" w:rsidR="00CE7111" w:rsidTr="004B3957" w14:paraId="2399213A" w14:textId="77777777">
        <w:tc>
          <w:tcPr>
            <w:tcW w:w="3085" w:type="dxa"/>
          </w:tcPr>
          <w:p w:rsidRPr="009B70E7" w:rsidR="00CE7111" w:rsidP="00040ADE" w:rsidRDefault="00CE7111" w14:paraId="76B6BDFC" w14:textId="77777777">
            <w:pPr>
              <w:pStyle w:val="ListParagraph"/>
              <w:ind w:left="0"/>
              <w:rPr>
                <w:i/>
              </w:rPr>
            </w:pPr>
            <w:r>
              <w:rPr>
                <w:b/>
                <w:i/>
              </w:rPr>
              <w:t>Kontaktiniai duomenys:</w:t>
            </w:r>
          </w:p>
        </w:tc>
        <w:tc>
          <w:tcPr>
            <w:tcW w:w="5670" w:type="dxa"/>
          </w:tcPr>
          <w:p w:rsidRPr="009B70E7" w:rsidR="00CE7111" w:rsidP="00040ADE" w:rsidRDefault="00CE7111" w14:paraId="5BA3524C" w14:textId="67A9F10F">
            <w:pPr>
              <w:pStyle w:val="ListParagraph"/>
              <w:ind w:left="0"/>
              <w:rPr>
                <w:i/>
              </w:rPr>
            </w:pPr>
            <w:proofErr w:type="spellStart"/>
            <w:r>
              <w:rPr>
                <w:i/>
              </w:rPr>
              <w:t>Sophie</w:t>
            </w:r>
            <w:proofErr w:type="spellEnd"/>
            <w:r>
              <w:rPr>
                <w:i/>
              </w:rPr>
              <w:t xml:space="preserve"> </w:t>
            </w:r>
            <w:proofErr w:type="spellStart"/>
            <w:r>
              <w:rPr>
                <w:i/>
              </w:rPr>
              <w:t>Zimmer</w:t>
            </w:r>
            <w:proofErr w:type="spellEnd"/>
            <w:r>
              <w:rPr>
                <w:i/>
              </w:rPr>
              <w:t xml:space="preserve"> / </w:t>
            </w:r>
            <w:proofErr w:type="spellStart"/>
            <w:r>
              <w:rPr>
                <w:i/>
              </w:rPr>
              <w:t>Valeria</w:t>
            </w:r>
            <w:proofErr w:type="spellEnd"/>
            <w:r>
              <w:rPr>
                <w:i/>
              </w:rPr>
              <w:t xml:space="preserve"> </w:t>
            </w:r>
            <w:proofErr w:type="spellStart"/>
            <w:r>
              <w:rPr>
                <w:i/>
              </w:rPr>
              <w:t>Satta</w:t>
            </w:r>
            <w:proofErr w:type="spellEnd"/>
          </w:p>
        </w:tc>
      </w:tr>
      <w:tr w:rsidRPr="009B70E7" w:rsidR="00CE7111" w:rsidTr="004B3957" w14:paraId="0C50FE9A" w14:textId="77777777">
        <w:tc>
          <w:tcPr>
            <w:tcW w:w="3085" w:type="dxa"/>
          </w:tcPr>
          <w:p w:rsidRPr="009B70E7" w:rsidR="00CE7111" w:rsidP="00040ADE" w:rsidRDefault="00CE7111" w14:paraId="449C6BF6" w14:textId="77777777">
            <w:pPr>
              <w:pStyle w:val="ListParagraph"/>
              <w:ind w:left="601"/>
              <w:rPr>
                <w:i/>
              </w:rPr>
            </w:pPr>
            <w:r>
              <w:rPr>
                <w:i/>
              </w:rPr>
              <w:t>Tel.</w:t>
            </w:r>
          </w:p>
        </w:tc>
        <w:tc>
          <w:tcPr>
            <w:tcW w:w="5670" w:type="dxa"/>
          </w:tcPr>
          <w:p w:rsidRPr="009B70E7" w:rsidR="00CE7111" w:rsidP="00040ADE" w:rsidRDefault="00CE7111" w14:paraId="3FE6978E" w14:textId="5C9BBD64">
            <w:pPr>
              <w:pStyle w:val="ListParagraph"/>
              <w:ind w:left="0"/>
              <w:rPr>
                <w:i/>
              </w:rPr>
            </w:pPr>
            <w:r>
              <w:rPr>
                <w:i/>
              </w:rPr>
              <w:t>00 32 2 546 95 64</w:t>
            </w:r>
          </w:p>
        </w:tc>
      </w:tr>
      <w:tr w:rsidRPr="001D770D" w:rsidR="00CE7111" w:rsidTr="004B3957" w14:paraId="005AA464" w14:textId="77777777">
        <w:tc>
          <w:tcPr>
            <w:tcW w:w="3085" w:type="dxa"/>
          </w:tcPr>
          <w:p w:rsidRPr="009B70E7" w:rsidR="00CE7111" w:rsidP="00040ADE" w:rsidRDefault="00CE7111" w14:paraId="1A440F86" w14:textId="77777777">
            <w:pPr>
              <w:pStyle w:val="ListParagraph"/>
              <w:ind w:left="601"/>
              <w:rPr>
                <w:i/>
              </w:rPr>
            </w:pPr>
            <w:r>
              <w:rPr>
                <w:i/>
              </w:rPr>
              <w:t>E. paštas</w:t>
            </w:r>
          </w:p>
        </w:tc>
        <w:tc>
          <w:tcPr>
            <w:tcW w:w="5670" w:type="dxa"/>
          </w:tcPr>
          <w:p w:rsidRPr="008102E2" w:rsidR="00CE7111" w:rsidRDefault="00DD735F" w14:paraId="6273679C" w14:textId="71C9FF9A">
            <w:pPr>
              <w:pStyle w:val="ListParagraph"/>
              <w:ind w:left="0"/>
              <w:rPr>
                <w:iCs/>
                <w:color w:val="0000FF"/>
                <w:u w:val="single"/>
              </w:rPr>
            </w:pPr>
            <w:hyperlink w:history="1" r:id="rId24">
              <w:proofErr w:type="spellStart"/>
              <w:r w:rsidR="005C7858">
                <w:rPr>
                  <w:rStyle w:val="Hyperlink"/>
                  <w:i/>
                </w:rPr>
                <w:t>Sophie.Zimmer@eesc.europa.eu</w:t>
              </w:r>
              <w:proofErr w:type="spellEnd"/>
            </w:hyperlink>
          </w:p>
        </w:tc>
      </w:tr>
    </w:tbl>
    <w:p w:rsidR="004E0C44" w:rsidRDefault="004E0C44" w14:paraId="510F214D" w14:textId="77777777">
      <w:pPr>
        <w:spacing w:after="160" w:line="259" w:lineRule="auto"/>
        <w:jc w:val="left"/>
      </w:pPr>
      <w:r>
        <w:br w:type="page"/>
      </w:r>
    </w:p>
    <w:p w:rsidRPr="009B70E7" w:rsidR="004D7AC0" w:rsidRDefault="004D7AC0" w14:paraId="3F8FA026" w14:textId="77777777">
      <w:pPr>
        <w:pStyle w:val="Heading1"/>
        <w:rPr>
          <w:b/>
        </w:rPr>
      </w:pPr>
      <w:bookmarkStart w:name="_Toc75527083" w:id="9"/>
      <w:bookmarkStart w:name="_Toc129698983" w:id="10"/>
      <w:r>
        <w:rPr>
          <w:b/>
        </w:rPr>
        <w:lastRenderedPageBreak/>
        <w:t>BENDROSIOS RINKOS, GAMYBOS IR VARTOJIMO SKYRIUS</w:t>
      </w:r>
      <w:bookmarkEnd w:id="9"/>
      <w:bookmarkEnd w:id="10"/>
    </w:p>
    <w:p w:rsidRPr="009B70E7" w:rsidR="004D7AC0" w:rsidRDefault="004D7AC0" w14:paraId="03FF9505" w14:textId="77777777"/>
    <w:p w:rsidRPr="00D70F4B" w:rsidR="00164813" w:rsidP="00E4355F" w:rsidRDefault="00CE7111" w14:paraId="1DADE393" w14:textId="6957A6DC">
      <w:pPr>
        <w:pStyle w:val="ListParagraph"/>
        <w:keepNext/>
        <w:numPr>
          <w:ilvl w:val="0"/>
          <w:numId w:val="2"/>
        </w:numPr>
        <w:ind w:left="567" w:hanging="567"/>
      </w:pPr>
      <w:bookmarkStart w:name="_Hlk125970424" w:id="11"/>
      <w:r>
        <w:rPr>
          <w:b/>
          <w:i/>
          <w:sz w:val="28"/>
        </w:rPr>
        <w:t>Momentinių mokėjimų reglamentas</w:t>
      </w:r>
    </w:p>
    <w:p w:rsidRPr="009B70E7" w:rsidR="00D70F4B" w:rsidP="00D70F4B" w:rsidRDefault="00D70F4B" w14:paraId="6AF37578"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64813" w:rsidTr="00B83E7B" w14:paraId="1383CB57" w14:textId="77777777">
        <w:tc>
          <w:tcPr>
            <w:tcW w:w="1701" w:type="dxa"/>
          </w:tcPr>
          <w:p w:rsidRPr="009B70E7" w:rsidR="00164813" w:rsidP="00B83E7B" w:rsidRDefault="00164813" w14:paraId="33004117" w14:textId="0CA5448D">
            <w:pPr>
              <w:pStyle w:val="ListParagraph"/>
              <w:ind w:left="0"/>
              <w:rPr>
                <w:b/>
              </w:rPr>
            </w:pPr>
            <w:r>
              <w:rPr>
                <w:b/>
              </w:rPr>
              <w:t>Pranešėjas:</w:t>
            </w:r>
          </w:p>
        </w:tc>
        <w:tc>
          <w:tcPr>
            <w:tcW w:w="6096" w:type="dxa"/>
          </w:tcPr>
          <w:p w:rsidRPr="007E7A4F" w:rsidR="00164813" w:rsidP="00B83E7B" w:rsidRDefault="00CE7111" w14:paraId="2BCDDC29" w14:textId="2BB166B6">
            <w:pPr>
              <w:pStyle w:val="ListParagraph"/>
              <w:ind w:left="-108"/>
            </w:pPr>
            <w:proofErr w:type="spellStart"/>
            <w:r>
              <w:t>Christophe</w:t>
            </w:r>
            <w:proofErr w:type="spellEnd"/>
            <w:r>
              <w:t xml:space="preserve"> </w:t>
            </w:r>
            <w:proofErr w:type="spellStart"/>
            <w:r>
              <w:t>Lefèvre</w:t>
            </w:r>
            <w:proofErr w:type="spellEnd"/>
            <w:r>
              <w:t xml:space="preserve"> (Darbuotojų grupė, FR)</w:t>
            </w:r>
          </w:p>
        </w:tc>
      </w:tr>
      <w:tr w:rsidRPr="009B70E7" w:rsidR="00164813" w:rsidTr="00B83E7B" w14:paraId="132333E4" w14:textId="77777777">
        <w:tc>
          <w:tcPr>
            <w:tcW w:w="1701" w:type="dxa"/>
          </w:tcPr>
          <w:p w:rsidRPr="009B70E7" w:rsidR="00164813" w:rsidP="00B83E7B" w:rsidRDefault="00164813" w14:paraId="2A306C51" w14:textId="14B20638">
            <w:pPr>
              <w:pStyle w:val="ListParagraph"/>
              <w:ind w:left="0"/>
              <w:rPr>
                <w:b/>
              </w:rPr>
            </w:pPr>
            <w:r>
              <w:rPr>
                <w:b/>
              </w:rPr>
              <w:t xml:space="preserve">Nuorodos </w:t>
            </w:r>
          </w:p>
        </w:tc>
        <w:tc>
          <w:tcPr>
            <w:tcW w:w="6096" w:type="dxa"/>
          </w:tcPr>
          <w:p w:rsidRPr="009B70E7" w:rsidR="00164813" w:rsidP="00B83E7B" w:rsidRDefault="005C0454" w14:paraId="1EB81693" w14:textId="224D5230">
            <w:pPr>
              <w:tabs>
                <w:tab w:val="center" w:pos="284"/>
              </w:tabs>
              <w:ind w:left="266" w:hanging="374"/>
            </w:pPr>
            <w:r>
              <w:t>COM(2022) 546 </w:t>
            </w:r>
            <w:proofErr w:type="spellStart"/>
            <w:r>
              <w:t>final</w:t>
            </w:r>
            <w:proofErr w:type="spellEnd"/>
          </w:p>
          <w:p w:rsidRPr="009B70E7" w:rsidR="00164813" w:rsidP="00B83E7B" w:rsidRDefault="00ED377B" w14:paraId="1746D341" w14:textId="1ADAEABE">
            <w:pPr>
              <w:pStyle w:val="ListParagraph"/>
              <w:ind w:left="-108"/>
            </w:pPr>
            <w:r>
              <w:t>EESC-2022-05312-00-00-AC</w:t>
            </w:r>
          </w:p>
        </w:tc>
      </w:tr>
    </w:tbl>
    <w:p w:rsidRPr="00A00F37" w:rsidR="00164813" w:rsidP="00A00F37" w:rsidRDefault="00164813" w14:paraId="488A6C0C" w14:textId="77777777">
      <w:pPr>
        <w:pStyle w:val="ListParagraph"/>
        <w:spacing w:line="240" w:lineRule="auto"/>
        <w:ind w:left="0" w:firstLine="142"/>
        <w:rPr>
          <w:b/>
        </w:rPr>
      </w:pPr>
    </w:p>
    <w:p w:rsidRPr="0018231C" w:rsidR="00164813" w:rsidP="00E302BC" w:rsidRDefault="00164813" w14:paraId="015FE75F" w14:textId="4469FC57">
      <w:pPr>
        <w:pStyle w:val="ListParagraph"/>
        <w:spacing w:line="240" w:lineRule="auto"/>
        <w:ind w:left="0"/>
        <w:rPr>
          <w:b/>
        </w:rPr>
      </w:pPr>
      <w:r>
        <w:rPr>
          <w:b/>
        </w:rPr>
        <w:t>Dokumento esmė</w:t>
      </w:r>
    </w:p>
    <w:p w:rsidRPr="0018231C" w:rsidR="00164813" w:rsidP="00164813" w:rsidRDefault="00164813" w14:paraId="573BE746" w14:textId="77777777">
      <w:pPr>
        <w:pStyle w:val="ListParagraph"/>
        <w:ind w:left="0"/>
        <w:rPr>
          <w:lang w:val="fr-FR"/>
        </w:rPr>
      </w:pPr>
    </w:p>
    <w:p w:rsidR="00164813" w:rsidP="00E302BC" w:rsidRDefault="00164813" w14:paraId="30245860" w14:textId="77777777">
      <w:pPr>
        <w:pStyle w:val="ListParagraph"/>
        <w:spacing w:line="240" w:lineRule="auto"/>
        <w:ind w:left="0"/>
      </w:pPr>
      <w:r>
        <w:t>EESRK</w:t>
      </w:r>
    </w:p>
    <w:p w:rsidRPr="0018231C" w:rsidR="00164813" w:rsidP="00164813" w:rsidRDefault="00164813" w14:paraId="7D5F280C" w14:textId="77777777">
      <w:pPr>
        <w:pStyle w:val="ListParagraph"/>
        <w:ind w:left="0"/>
        <w:rPr>
          <w:lang w:val="fr-FR"/>
        </w:rPr>
      </w:pPr>
    </w:p>
    <w:p w:rsidRPr="00A3344B" w:rsidR="00A3344B" w:rsidP="00164813" w:rsidRDefault="004971E8" w14:paraId="5C624B6F" w14:textId="69C45922">
      <w:pPr>
        <w:numPr>
          <w:ilvl w:val="0"/>
          <w:numId w:val="3"/>
        </w:numPr>
        <w:overflowPunct w:val="0"/>
        <w:autoSpaceDE w:val="0"/>
        <w:autoSpaceDN w:val="0"/>
        <w:adjustRightInd w:val="0"/>
        <w:ind w:left="357" w:hanging="357"/>
        <w:textAlignment w:val="baseline"/>
      </w:pPr>
      <w:r>
        <w:t xml:space="preserve">mano, jog, tam, kad momentiniai mokėjimai vyktų sėkmingai, ypač svarbu užtikrinti šios </w:t>
      </w:r>
      <w:r>
        <w:rPr>
          <w:b/>
        </w:rPr>
        <w:t>paslaugos prieinamumą Europos vartotojams ir įmonėms</w:t>
      </w:r>
      <w:r>
        <w:t>;</w:t>
      </w:r>
    </w:p>
    <w:p w:rsidRPr="00CA6928" w:rsidR="00CA6928" w:rsidP="00164813" w:rsidRDefault="004971E8" w14:paraId="36F42D42" w14:textId="77F4F526">
      <w:pPr>
        <w:numPr>
          <w:ilvl w:val="0"/>
          <w:numId w:val="3"/>
        </w:numPr>
        <w:overflowPunct w:val="0"/>
        <w:autoSpaceDE w:val="0"/>
        <w:autoSpaceDN w:val="0"/>
        <w:adjustRightInd w:val="0"/>
        <w:ind w:left="357" w:hanging="357"/>
        <w:textAlignment w:val="baseline"/>
      </w:pPr>
      <w:r>
        <w:t xml:space="preserve">mano, kad Europos Komisija turėtų pasiūlyti </w:t>
      </w:r>
      <w:r>
        <w:rPr>
          <w:b/>
        </w:rPr>
        <w:t>tikslines priemones kovai su sukčiavimu gerinti</w:t>
      </w:r>
      <w:r>
        <w:t>, nes tarptautinio banko sąskaitos numerio (IBAN) tikrinimas turės įtakos tik sukčiavimui spaudžiant pervesti pinigus;</w:t>
      </w:r>
    </w:p>
    <w:p w:rsidR="00E63571" w:rsidP="004429E2" w:rsidRDefault="004971E8" w14:paraId="520A2CDE" w14:textId="22902F70">
      <w:pPr>
        <w:numPr>
          <w:ilvl w:val="0"/>
          <w:numId w:val="3"/>
        </w:numPr>
        <w:overflowPunct w:val="0"/>
        <w:autoSpaceDE w:val="0"/>
        <w:autoSpaceDN w:val="0"/>
        <w:adjustRightInd w:val="0"/>
        <w:ind w:left="357" w:hanging="357"/>
        <w:textAlignment w:val="baseline"/>
      </w:pPr>
      <w:r>
        <w:t xml:space="preserve">rekomenduoja į reglamentą </w:t>
      </w:r>
      <w:r>
        <w:rPr>
          <w:b/>
        </w:rPr>
        <w:t>įtraukti ir paaiškinti nuostatas siekiant užtikrinti vienodą ES teisės taikymą</w:t>
      </w:r>
      <w:r>
        <w:t xml:space="preserve"> ir išvengti skirtingo sankcijų taikymo;</w:t>
      </w:r>
    </w:p>
    <w:p w:rsidR="00E4355F" w:rsidP="004429E2" w:rsidRDefault="004971E8" w14:paraId="15D4AA5E" w14:textId="676CBFF6">
      <w:pPr>
        <w:numPr>
          <w:ilvl w:val="0"/>
          <w:numId w:val="3"/>
        </w:numPr>
        <w:overflowPunct w:val="0"/>
        <w:autoSpaceDE w:val="0"/>
        <w:autoSpaceDN w:val="0"/>
        <w:adjustRightInd w:val="0"/>
        <w:ind w:left="357" w:hanging="357"/>
        <w:textAlignment w:val="baseline"/>
      </w:pPr>
      <w:r>
        <w:t xml:space="preserve">įžvelgia galimybes </w:t>
      </w:r>
      <w:r>
        <w:rPr>
          <w:b/>
        </w:rPr>
        <w:t>išplėsti pasiūlymą dėl teisės akto dėl momentinių mokėjimų apimant septynias euro zonai nepriklausančias ES valstybes nares</w:t>
      </w:r>
      <w:r>
        <w:t>, kurios yra Europos bendrosios rinkos dalis;</w:t>
      </w:r>
    </w:p>
    <w:p w:rsidRPr="004971E8" w:rsidR="004971E8" w:rsidP="004429E2" w:rsidRDefault="004971E8" w14:paraId="520D2299" w14:textId="4676811D">
      <w:pPr>
        <w:numPr>
          <w:ilvl w:val="0"/>
          <w:numId w:val="3"/>
        </w:numPr>
        <w:overflowPunct w:val="0"/>
        <w:autoSpaceDE w:val="0"/>
        <w:autoSpaceDN w:val="0"/>
        <w:adjustRightInd w:val="0"/>
        <w:ind w:left="357" w:hanging="357"/>
        <w:textAlignment w:val="baseline"/>
      </w:pPr>
      <w:r>
        <w:t xml:space="preserve">rekomenduoja nustatyti reikalavimą, kad už momentinį mokėjimą eurais mokėjimo paslaugų teikėjai </w:t>
      </w:r>
      <w:r>
        <w:rPr>
          <w:b/>
        </w:rPr>
        <w:t>neimtų didesnio mokesčio nei už įprastus kredito pervedimus eurais</w:t>
      </w:r>
      <w:r>
        <w:t>, ypač jei IBAN tikrinimo tvarka būtų taikoma visiems bendros mokėjimų eurais erdvės (SEPA) mokėjimams;</w:t>
      </w:r>
    </w:p>
    <w:p w:rsidRPr="004971E8" w:rsidR="004971E8" w:rsidP="004429E2" w:rsidRDefault="004971E8" w14:paraId="4B440DCD" w14:textId="15ECE97A">
      <w:pPr>
        <w:numPr>
          <w:ilvl w:val="0"/>
          <w:numId w:val="3"/>
        </w:numPr>
        <w:overflowPunct w:val="0"/>
        <w:autoSpaceDE w:val="0"/>
        <w:autoSpaceDN w:val="0"/>
        <w:adjustRightInd w:val="0"/>
        <w:ind w:left="357" w:hanging="357"/>
        <w:textAlignment w:val="baseline"/>
      </w:pPr>
      <w:r>
        <w:t xml:space="preserve">mano, kad siuntėjo bankas turėtų ne reikalauti </w:t>
      </w:r>
      <w:r>
        <w:rPr>
          <w:b/>
        </w:rPr>
        <w:t>mokesčio už IBAN gavėjo vardo ir pavardės arba pavadinimo atitikties patikrinimą</w:t>
      </w:r>
      <w:r>
        <w:t>, o jį įtraukti į paties MM kainą;</w:t>
      </w:r>
    </w:p>
    <w:p w:rsidRPr="004971E8" w:rsidR="004971E8" w:rsidP="004429E2" w:rsidRDefault="004971E8" w14:paraId="3CC59A81" w14:textId="05BDEDE9">
      <w:pPr>
        <w:numPr>
          <w:ilvl w:val="0"/>
          <w:numId w:val="3"/>
        </w:numPr>
        <w:overflowPunct w:val="0"/>
        <w:autoSpaceDE w:val="0"/>
        <w:autoSpaceDN w:val="0"/>
        <w:adjustRightInd w:val="0"/>
        <w:ind w:left="357" w:hanging="357"/>
        <w:textAlignment w:val="baseline"/>
      </w:pPr>
      <w:r>
        <w:t>norėtų, kad I</w:t>
      </w:r>
      <w:r>
        <w:rPr>
          <w:b/>
        </w:rPr>
        <w:t>BAN patikrinimas apimtų ne tik momentinius mokėjimus</w:t>
      </w:r>
      <w:r>
        <w:t>, bet ir įprastus kredito pervedimus, kol juos galės siūlyti mokėjimo paslaugų;</w:t>
      </w:r>
    </w:p>
    <w:p w:rsidRPr="004971E8" w:rsidR="004971E8" w:rsidP="004429E2" w:rsidRDefault="004971E8" w14:paraId="625CB7B8" w14:textId="328A454E">
      <w:pPr>
        <w:numPr>
          <w:ilvl w:val="0"/>
          <w:numId w:val="3"/>
        </w:numPr>
        <w:overflowPunct w:val="0"/>
        <w:autoSpaceDE w:val="0"/>
        <w:autoSpaceDN w:val="0"/>
        <w:adjustRightInd w:val="0"/>
        <w:ind w:left="357" w:hanging="357"/>
        <w:textAlignment w:val="baseline"/>
      </w:pPr>
      <w:r>
        <w:t xml:space="preserve">mano, kad tais atvejais, kai gavėjo bankui tikrinant IBAN </w:t>
      </w:r>
      <w:r>
        <w:rPr>
          <w:b/>
        </w:rPr>
        <w:t>nustatomas neatitikimas</w:t>
      </w:r>
      <w:r>
        <w:t xml:space="preserve">, šis bankas </w:t>
      </w:r>
      <w:r>
        <w:rPr>
          <w:b/>
        </w:rPr>
        <w:t>apie padėtį turi informuoti siuntėjo banką</w:t>
      </w:r>
      <w:r>
        <w:t>;</w:t>
      </w:r>
    </w:p>
    <w:p w:rsidRPr="007E7DE3" w:rsidR="004971E8" w:rsidP="004429E2" w:rsidRDefault="00CA1127" w14:paraId="7D918A9D" w14:textId="2D0AB935">
      <w:pPr>
        <w:numPr>
          <w:ilvl w:val="0"/>
          <w:numId w:val="3"/>
        </w:numPr>
        <w:overflowPunct w:val="0"/>
        <w:autoSpaceDE w:val="0"/>
        <w:autoSpaceDN w:val="0"/>
        <w:adjustRightInd w:val="0"/>
        <w:ind w:left="357" w:hanging="357"/>
        <w:textAlignment w:val="baseline"/>
      </w:pPr>
      <w:r>
        <w:t xml:space="preserve">laikosi nuomonės, kad </w:t>
      </w:r>
      <w:r>
        <w:rPr>
          <w:b/>
        </w:rPr>
        <w:t>nustačius neatitikimą ir klientui visgi nusprendus patvirtinti momentinį mokėjimą</w:t>
      </w:r>
      <w:r>
        <w:t xml:space="preserve">, siuntėjo bankas </w:t>
      </w:r>
      <w:r>
        <w:rPr>
          <w:b/>
        </w:rPr>
        <w:t>nebėra atsakingas</w:t>
      </w:r>
      <w:r>
        <w:t>, jei naudos gavėjas.</w:t>
      </w:r>
    </w:p>
    <w:p w:rsidRPr="007E7A4F" w:rsidR="007E7DE3" w:rsidP="00E34279"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0"/>
        <w:gridCol w:w="5670"/>
      </w:tblGrid>
      <w:tr w:rsidRPr="00164813" w:rsidR="00E4355F" w:rsidTr="004B3957" w14:paraId="3DA9FCD8" w14:textId="77777777">
        <w:tc>
          <w:tcPr>
            <w:tcW w:w="3510" w:type="dxa"/>
          </w:tcPr>
          <w:p w:rsidRPr="00164813" w:rsidR="00E4355F" w:rsidP="008B2E12" w:rsidRDefault="00E4355F" w14:paraId="1C6720FA" w14:textId="77777777">
            <w:pPr>
              <w:contextualSpacing/>
              <w:rPr>
                <w:i/>
              </w:rPr>
            </w:pPr>
            <w:r>
              <w:rPr>
                <w:b/>
                <w:i/>
              </w:rPr>
              <w:t>Kontaktinis asmuo</w:t>
            </w:r>
          </w:p>
        </w:tc>
        <w:tc>
          <w:tcPr>
            <w:tcW w:w="5670" w:type="dxa"/>
          </w:tcPr>
          <w:p w:rsidRPr="00164813" w:rsidR="00E4355F" w:rsidP="008B2E12" w:rsidRDefault="00CE7111" w14:paraId="3B68C713" w14:textId="76CE67A8">
            <w:pPr>
              <w:contextualSpacing/>
              <w:rPr>
                <w:i/>
              </w:rPr>
            </w:pPr>
            <w:r>
              <w:rPr>
                <w:i/>
              </w:rPr>
              <w:t xml:space="preserve">Marco </w:t>
            </w:r>
            <w:proofErr w:type="spellStart"/>
            <w:r>
              <w:rPr>
                <w:i/>
              </w:rPr>
              <w:t>Manfroni</w:t>
            </w:r>
            <w:proofErr w:type="spellEnd"/>
          </w:p>
        </w:tc>
      </w:tr>
      <w:tr w:rsidRPr="00164813" w:rsidR="00E4355F" w:rsidTr="004B3957" w14:paraId="3CC1DDE1" w14:textId="77777777">
        <w:tc>
          <w:tcPr>
            <w:tcW w:w="3510" w:type="dxa"/>
          </w:tcPr>
          <w:p w:rsidRPr="00164813" w:rsidR="00E4355F" w:rsidP="008B2E12" w:rsidRDefault="00E4355F" w14:paraId="3D55B53F" w14:textId="77777777">
            <w:pPr>
              <w:ind w:left="601"/>
              <w:contextualSpacing/>
              <w:rPr>
                <w:i/>
              </w:rPr>
            </w:pPr>
            <w:r>
              <w:rPr>
                <w:i/>
              </w:rPr>
              <w:t>Tel.</w:t>
            </w:r>
          </w:p>
        </w:tc>
        <w:tc>
          <w:tcPr>
            <w:tcW w:w="5670" w:type="dxa"/>
          </w:tcPr>
          <w:p w:rsidRPr="00164813" w:rsidR="00E4355F" w:rsidP="008B2E12" w:rsidRDefault="00E4355F" w14:paraId="1C17165E" w14:textId="54A8852E">
            <w:pPr>
              <w:contextualSpacing/>
              <w:rPr>
                <w:i/>
              </w:rPr>
            </w:pPr>
            <w:r>
              <w:rPr>
                <w:i/>
              </w:rPr>
              <w:t>00 32 2 546 91 40</w:t>
            </w:r>
          </w:p>
        </w:tc>
      </w:tr>
      <w:tr w:rsidRPr="00164813" w:rsidR="00E4355F" w:rsidTr="004B3957" w14:paraId="46542E19" w14:textId="77777777">
        <w:tc>
          <w:tcPr>
            <w:tcW w:w="3510" w:type="dxa"/>
          </w:tcPr>
          <w:p w:rsidRPr="00164813" w:rsidR="00E4355F" w:rsidP="008B2E12" w:rsidRDefault="00E4355F" w14:paraId="7469D062" w14:textId="77777777">
            <w:pPr>
              <w:ind w:left="601"/>
              <w:contextualSpacing/>
              <w:rPr>
                <w:i/>
              </w:rPr>
            </w:pPr>
            <w:r>
              <w:rPr>
                <w:i/>
              </w:rPr>
              <w:t>E. paštas</w:t>
            </w:r>
          </w:p>
        </w:tc>
        <w:tc>
          <w:tcPr>
            <w:tcW w:w="5670" w:type="dxa"/>
          </w:tcPr>
          <w:p w:rsidRPr="00CE7111" w:rsidR="00E4355F" w:rsidP="008B2E12" w:rsidRDefault="00DD735F" w14:paraId="1A6C4307" w14:textId="24ECDF82">
            <w:pPr>
              <w:contextualSpacing/>
              <w:rPr>
                <w:i/>
                <w:iCs/>
              </w:rPr>
            </w:pPr>
            <w:hyperlink w:history="1" r:id="rId25">
              <w:proofErr w:type="spellStart"/>
              <w:r w:rsidR="005C7858">
                <w:rPr>
                  <w:rStyle w:val="Hyperlink"/>
                  <w:i/>
                </w:rPr>
                <w:t>Marco.Manfroni@eesc.europa.eu</w:t>
              </w:r>
              <w:proofErr w:type="spellEnd"/>
            </w:hyperlink>
          </w:p>
        </w:tc>
      </w:tr>
      <w:bookmarkEnd w:id="11"/>
    </w:tbl>
    <w:p w:rsidRPr="009A3E0E" w:rsidR="004429E2" w:rsidP="004429E2" w:rsidRDefault="004429E2" w14:paraId="2469D4FC" w14:textId="77777777">
      <w:pPr>
        <w:pStyle w:val="ListParagraph"/>
        <w:ind w:left="567"/>
        <w:rPr>
          <w:b/>
          <w:bCs/>
          <w:i/>
          <w:iCs/>
        </w:rPr>
      </w:pPr>
    </w:p>
    <w:p w:rsidR="00353D37" w:rsidRDefault="00353D37" w14:paraId="3C139696" w14:textId="624721DC">
      <w:pPr>
        <w:spacing w:after="160" w:line="259" w:lineRule="auto"/>
        <w:jc w:val="left"/>
        <w:rPr>
          <w:b/>
          <w:bCs/>
          <w:i/>
          <w:iCs/>
          <w:sz w:val="28"/>
          <w:szCs w:val="28"/>
        </w:rPr>
      </w:pPr>
      <w:r>
        <w:br w:type="page"/>
      </w:r>
    </w:p>
    <w:p w:rsidRPr="009A3E0E" w:rsidR="00467BE4" w:rsidP="00E302BC" w:rsidRDefault="00467BE4" w14:paraId="5DEAD760" w14:textId="77777777">
      <w:pPr>
        <w:spacing w:after="160" w:line="259" w:lineRule="auto"/>
        <w:jc w:val="left"/>
        <w:rPr>
          <w:b/>
          <w:bCs/>
          <w:i/>
          <w:iCs/>
        </w:rPr>
      </w:pPr>
    </w:p>
    <w:p w:rsidRPr="00AA5C1D" w:rsidR="00AA5C1D" w:rsidP="00AA5C1D" w:rsidRDefault="00CE7111" w14:paraId="2EE2A332" w14:textId="5DEC9A71">
      <w:pPr>
        <w:pStyle w:val="ListParagraph"/>
        <w:numPr>
          <w:ilvl w:val="0"/>
          <w:numId w:val="2"/>
        </w:numPr>
        <w:ind w:left="567" w:hanging="567"/>
        <w:rPr>
          <w:b/>
          <w:bCs/>
          <w:i/>
          <w:iCs/>
          <w:sz w:val="28"/>
          <w:szCs w:val="28"/>
        </w:rPr>
      </w:pPr>
      <w:r>
        <w:rPr>
          <w:b/>
          <w:i/>
          <w:sz w:val="28"/>
        </w:rPr>
        <w:t>Trumpalaikės nuomos iniciatyva</w:t>
      </w:r>
    </w:p>
    <w:p w:rsidRPr="009B70E7" w:rsidR="00AA5C1D" w:rsidP="00AA5C1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AA5C1D" w:rsidTr="00DA68E9" w14:paraId="377CFA40" w14:textId="77777777">
        <w:tc>
          <w:tcPr>
            <w:tcW w:w="1701" w:type="dxa"/>
          </w:tcPr>
          <w:p w:rsidR="00AA5C1D" w:rsidP="00DA68E9" w:rsidRDefault="00AA5C1D" w14:paraId="5C15ED0E" w14:textId="77777777">
            <w:pPr>
              <w:pStyle w:val="ListParagraph"/>
              <w:ind w:left="0"/>
              <w:rPr>
                <w:b/>
              </w:rPr>
            </w:pPr>
            <w:r>
              <w:rPr>
                <w:b/>
              </w:rPr>
              <w:t>Pranešėjas:</w:t>
            </w:r>
          </w:p>
          <w:p w:rsidRPr="009B70E7" w:rsidR="00E302BC" w:rsidP="00DA68E9" w:rsidRDefault="00E302BC" w14:paraId="6700269D" w14:textId="4C78E621">
            <w:pPr>
              <w:pStyle w:val="ListParagraph"/>
              <w:ind w:left="0"/>
              <w:rPr>
                <w:b/>
              </w:rPr>
            </w:pPr>
          </w:p>
        </w:tc>
        <w:tc>
          <w:tcPr>
            <w:tcW w:w="6096" w:type="dxa"/>
          </w:tcPr>
          <w:p w:rsidR="00AA5C1D" w:rsidP="00DA68E9" w:rsidRDefault="00CE7111" w14:paraId="283EF046" w14:textId="2701634C">
            <w:pPr>
              <w:pStyle w:val="ListParagraph"/>
              <w:ind w:left="-108"/>
            </w:pPr>
            <w:proofErr w:type="spellStart"/>
            <w:r>
              <w:t>Marinel</w:t>
            </w:r>
            <w:proofErr w:type="spellEnd"/>
            <w:r>
              <w:t xml:space="preserve"> </w:t>
            </w:r>
            <w:proofErr w:type="spellStart"/>
            <w:r>
              <w:t>Dănuț</w:t>
            </w:r>
            <w:proofErr w:type="spellEnd"/>
            <w:r>
              <w:t xml:space="preserve"> </w:t>
            </w:r>
            <w:proofErr w:type="spellStart"/>
            <w:r>
              <w:t>Mureşan</w:t>
            </w:r>
            <w:proofErr w:type="spellEnd"/>
            <w:r>
              <w:t xml:space="preserve"> (Darbdavių </w:t>
            </w:r>
            <w:proofErr w:type="spellStart"/>
            <w:r>
              <w:t>gr</w:t>
            </w:r>
            <w:proofErr w:type="spellEnd"/>
            <w:r>
              <w:t>., RO)</w:t>
            </w:r>
          </w:p>
          <w:p w:rsidRPr="007E7A4F" w:rsidR="00E302BC" w:rsidP="00DA68E9" w:rsidRDefault="00E302BC" w14:paraId="0BD64E0D" w14:textId="678F2318">
            <w:pPr>
              <w:pStyle w:val="ListParagraph"/>
              <w:ind w:left="-108"/>
              <w:rPr>
                <w:lang w:val="fr-BE"/>
              </w:rPr>
            </w:pPr>
          </w:p>
        </w:tc>
      </w:tr>
      <w:tr w:rsidRPr="009B70E7" w:rsidR="00AA5C1D" w:rsidTr="00DA68E9" w14:paraId="4E577528" w14:textId="77777777">
        <w:tc>
          <w:tcPr>
            <w:tcW w:w="1701" w:type="dxa"/>
          </w:tcPr>
          <w:p w:rsidRPr="009B70E7" w:rsidR="00AA5C1D" w:rsidP="00DA68E9" w:rsidRDefault="00AA5C1D" w14:paraId="7CEEDB52" w14:textId="1C12C238">
            <w:pPr>
              <w:pStyle w:val="ListParagraph"/>
              <w:ind w:left="0"/>
              <w:rPr>
                <w:b/>
              </w:rPr>
            </w:pPr>
            <w:r>
              <w:rPr>
                <w:b/>
              </w:rPr>
              <w:t xml:space="preserve">Nuorodos </w:t>
            </w:r>
          </w:p>
        </w:tc>
        <w:tc>
          <w:tcPr>
            <w:tcW w:w="6096" w:type="dxa"/>
          </w:tcPr>
          <w:p w:rsidRPr="009B70E7" w:rsidR="00AA5C1D" w:rsidP="00DA68E9" w:rsidRDefault="004429E2" w14:paraId="7260D9BD" w14:textId="1B57CCA2">
            <w:pPr>
              <w:tabs>
                <w:tab w:val="center" w:pos="284"/>
              </w:tabs>
              <w:ind w:left="266" w:hanging="374"/>
            </w:pPr>
            <w:r>
              <w:t>COM(2022) 571 </w:t>
            </w:r>
            <w:proofErr w:type="spellStart"/>
            <w:r>
              <w:t>final</w:t>
            </w:r>
            <w:proofErr w:type="spellEnd"/>
          </w:p>
          <w:p w:rsidRPr="009B70E7" w:rsidR="00AA5C1D" w:rsidP="00DA68E9" w:rsidRDefault="00AA5C1D" w14:paraId="088E18BB" w14:textId="5F2F4FD6">
            <w:pPr>
              <w:pStyle w:val="ListParagraph"/>
              <w:ind w:left="-108"/>
            </w:pPr>
            <w:r>
              <w:t>EESC-2022-05400-00-00-AC</w:t>
            </w:r>
          </w:p>
        </w:tc>
      </w:tr>
    </w:tbl>
    <w:p w:rsidRPr="009B70E7" w:rsidR="00AA5C1D" w:rsidP="00AA5C1D" w:rsidRDefault="00AA5C1D" w14:paraId="0C36545B" w14:textId="77777777">
      <w:pPr>
        <w:pStyle w:val="ListParagraph"/>
        <w:ind w:left="0"/>
        <w:rPr>
          <w:b/>
        </w:rPr>
      </w:pPr>
    </w:p>
    <w:p w:rsidRPr="00A00F37" w:rsidR="00AA5C1D" w:rsidP="00E302BC" w:rsidRDefault="00AA5C1D" w14:paraId="1B4ECBDA" w14:textId="320EA1A2">
      <w:pPr>
        <w:pStyle w:val="ListParagraph"/>
        <w:spacing w:line="240" w:lineRule="auto"/>
        <w:ind w:left="0"/>
        <w:rPr>
          <w:b/>
        </w:rPr>
      </w:pPr>
      <w:r>
        <w:rPr>
          <w:b/>
        </w:rPr>
        <w:t>Dokumento esmė</w:t>
      </w:r>
    </w:p>
    <w:p w:rsidRPr="0018231C" w:rsidR="00AA5C1D" w:rsidP="00AA5C1D" w:rsidRDefault="00AA5C1D" w14:paraId="38EF24CA" w14:textId="77777777">
      <w:pPr>
        <w:pStyle w:val="ListParagraph"/>
        <w:ind w:left="0"/>
        <w:rPr>
          <w:lang w:val="fr-FR"/>
        </w:rPr>
      </w:pPr>
    </w:p>
    <w:p w:rsidR="00AA5C1D" w:rsidP="00E302BC" w:rsidRDefault="00AA5C1D" w14:paraId="496334DF" w14:textId="77777777">
      <w:pPr>
        <w:pStyle w:val="ListParagraph"/>
        <w:spacing w:line="240" w:lineRule="auto"/>
        <w:ind w:left="0"/>
      </w:pPr>
      <w:r>
        <w:t>EESRK:</w:t>
      </w:r>
    </w:p>
    <w:p w:rsidRPr="0018231C" w:rsidR="00AA5C1D" w:rsidP="00AA5C1D" w:rsidRDefault="00AA5C1D" w14:paraId="7DF02088" w14:textId="77777777">
      <w:pPr>
        <w:pStyle w:val="ListParagraph"/>
        <w:ind w:left="0"/>
        <w:rPr>
          <w:lang w:val="fr-FR"/>
        </w:rPr>
      </w:pPr>
    </w:p>
    <w:p w:rsidRPr="00A3344B" w:rsidR="00AA5C1D" w:rsidP="00AA5C1D" w:rsidRDefault="00CE7111" w14:paraId="001CF33A" w14:textId="7D03E0B9">
      <w:pPr>
        <w:numPr>
          <w:ilvl w:val="0"/>
          <w:numId w:val="3"/>
        </w:numPr>
        <w:overflowPunct w:val="0"/>
        <w:autoSpaceDE w:val="0"/>
        <w:autoSpaceDN w:val="0"/>
        <w:adjustRightInd w:val="0"/>
        <w:ind w:left="357" w:hanging="357"/>
        <w:textAlignment w:val="baseline"/>
      </w:pPr>
      <w:r>
        <w:t xml:space="preserve">rekomenduoja įdiegti reglamente siūlomus mechanizmus, kad būtų plėtojama sąžiningesnė konkurencija TBN veiklos srityje ir saugesnis bei skaidresnis TBN paslaugų, kurios atitiktų paskirtį, teikimas, taip pat kad </w:t>
      </w:r>
      <w:r>
        <w:rPr>
          <w:b/>
        </w:rPr>
        <w:t>nacionalinės ir vietos valdžios institucijos turėtų veiksmingų priemonių TBN veiklai pritaikyti</w:t>
      </w:r>
      <w:r>
        <w:t xml:space="preserve"> prie vietos aplinkybių ir poreikių įvairiose ES;</w:t>
      </w:r>
    </w:p>
    <w:p w:rsidRPr="00A3344B" w:rsidR="00AA5C1D" w:rsidP="00AA5C1D" w:rsidRDefault="00CE7111" w14:paraId="71ABA83F" w14:textId="3DF12B73">
      <w:pPr>
        <w:numPr>
          <w:ilvl w:val="0"/>
          <w:numId w:val="3"/>
        </w:numPr>
        <w:overflowPunct w:val="0"/>
        <w:autoSpaceDE w:val="0"/>
        <w:autoSpaceDN w:val="0"/>
        <w:adjustRightInd w:val="0"/>
        <w:ind w:left="357" w:hanging="357"/>
        <w:textAlignment w:val="baseline"/>
      </w:pPr>
      <w:r>
        <w:t xml:space="preserve">rekomenduoja, kad Komisija reglamente nustatytų nacionalinėms ir (arba) vietos valdžios institucijoms prievolę </w:t>
      </w:r>
      <w:r>
        <w:rPr>
          <w:b/>
        </w:rPr>
        <w:t xml:space="preserve">periodiškai atlikti </w:t>
      </w:r>
      <w:r>
        <w:t>TBN veiklos</w:t>
      </w:r>
      <w:r>
        <w:rPr>
          <w:b/>
        </w:rPr>
        <w:t xml:space="preserve"> poveikio vertinimus</w:t>
      </w:r>
      <w:r>
        <w:t>;</w:t>
      </w:r>
    </w:p>
    <w:p w:rsidR="00E63571" w:rsidP="00AA5C1D" w:rsidRDefault="00CE7111" w14:paraId="4C4CEA31" w14:textId="71D1086F">
      <w:pPr>
        <w:numPr>
          <w:ilvl w:val="0"/>
          <w:numId w:val="3"/>
        </w:numPr>
        <w:overflowPunct w:val="0"/>
        <w:autoSpaceDE w:val="0"/>
        <w:autoSpaceDN w:val="0"/>
        <w:adjustRightInd w:val="0"/>
        <w:ind w:left="357" w:hanging="357"/>
        <w:textAlignment w:val="baseline"/>
      </w:pPr>
      <w:r>
        <w:t xml:space="preserve">mano, kad reikalavimai gauti leidimą galėtų būti pakeisti </w:t>
      </w:r>
      <w:r>
        <w:rPr>
          <w:b/>
        </w:rPr>
        <w:t>draudimo liudijimų, kuriuos šeimininkai turėtų</w:t>
      </w:r>
      <w:r>
        <w:t xml:space="preserve"> savo vienetams ir kurie apimtų didžiąją dalį rizikos, kylančios dėl TBN veiklos, </w:t>
      </w:r>
      <w:r>
        <w:rPr>
          <w:b/>
        </w:rPr>
        <w:t>sistema</w:t>
      </w:r>
      <w:r>
        <w:t>, nes draudimo bendrovės, vertindamos liudijimą, tikrintų, ar šeimininkai laikosi taisyklių;</w:t>
      </w:r>
    </w:p>
    <w:p w:rsidR="00CE7111" w:rsidP="00AA5C1D" w:rsidRDefault="00CE7111" w14:paraId="7B3D886D" w14:textId="740E33B6">
      <w:pPr>
        <w:numPr>
          <w:ilvl w:val="0"/>
          <w:numId w:val="3"/>
        </w:numPr>
        <w:overflowPunct w:val="0"/>
        <w:autoSpaceDE w:val="0"/>
        <w:autoSpaceDN w:val="0"/>
        <w:adjustRightInd w:val="0"/>
        <w:ind w:left="357" w:hanging="357"/>
        <w:textAlignment w:val="baseline"/>
      </w:pPr>
      <w:r>
        <w:t xml:space="preserve">siūlo, kad būtų priimtas </w:t>
      </w:r>
      <w:r>
        <w:rPr>
          <w:b/>
        </w:rPr>
        <w:t>Europos institucijų formuojamas standartizuotas požiūris, susijęs su informacijos, kurią reikia teikti apie visą TBN veiklą, lygiu.</w:t>
      </w:r>
      <w:r>
        <w:t xml:space="preserve"> Tai padėtų nacionalinėms ir vietos valdžios institucijoms priimti sprendimus, atitinkančius bendruomenių interesus, palengvintų institucijų dalijimąsi duomenimis, padidintų taisyklių laikymosi lygį ir suteiktų galimybę valdžios institucijoms imtis tinkamų veiksmų, pagrįstų ES ir vietos lygmens;</w:t>
      </w:r>
    </w:p>
    <w:p w:rsidR="00CE7111" w:rsidP="00AA5C1D" w:rsidRDefault="00CE7111" w14:paraId="5FE2D52F" w14:textId="52E6337E">
      <w:pPr>
        <w:numPr>
          <w:ilvl w:val="0"/>
          <w:numId w:val="3"/>
        </w:numPr>
        <w:overflowPunct w:val="0"/>
        <w:autoSpaceDE w:val="0"/>
        <w:autoSpaceDN w:val="0"/>
        <w:adjustRightInd w:val="0"/>
        <w:ind w:left="357" w:hanging="357"/>
        <w:textAlignment w:val="baseline"/>
      </w:pPr>
      <w:r>
        <w:t xml:space="preserve">rekomenduoja reglamente nustatyti, kad ES institucijos tiesiogiai arba per nacionalines ir vietos valdžios institucijas visus TBN srities suinteresuotuosius subjektus informuotų apie </w:t>
      </w:r>
      <w:r>
        <w:rPr>
          <w:b/>
        </w:rPr>
        <w:t>visus svarbius vykstančius arba numatomus</w:t>
      </w:r>
      <w:r>
        <w:t xml:space="preserve"> su TBN veikla </w:t>
      </w:r>
      <w:r>
        <w:rPr>
          <w:b/>
        </w:rPr>
        <w:t>susijusius įvykius</w:t>
      </w:r>
      <w:r>
        <w:t>, kurie gali turėti įtakos konkrečių teritorijų ekonomikai, visuomenei, aplinkai ar viešajam saugumui.</w:t>
      </w:r>
    </w:p>
    <w:p w:rsidRPr="009A3E0E" w:rsidR="00AA5C1D" w:rsidP="00AA5C1D" w:rsidRDefault="00AA5C1D" w14:paraId="11FB139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2"/>
        <w:gridCol w:w="5670"/>
      </w:tblGrid>
      <w:tr w:rsidRPr="00164813" w:rsidR="00AA5C1D" w:rsidTr="00295BCB" w14:paraId="41C508F8" w14:textId="77777777">
        <w:tc>
          <w:tcPr>
            <w:tcW w:w="2802" w:type="dxa"/>
          </w:tcPr>
          <w:p w:rsidRPr="00164813" w:rsidR="00AA5C1D" w:rsidP="00DA68E9" w:rsidRDefault="00AA5C1D" w14:paraId="682B16C4" w14:textId="247691B3">
            <w:pPr>
              <w:contextualSpacing/>
              <w:rPr>
                <w:i/>
              </w:rPr>
            </w:pPr>
            <w:r>
              <w:rPr>
                <w:b/>
                <w:i/>
              </w:rPr>
              <w:t>Kontaktinis asmuo</w:t>
            </w:r>
          </w:p>
        </w:tc>
        <w:tc>
          <w:tcPr>
            <w:tcW w:w="5670" w:type="dxa"/>
          </w:tcPr>
          <w:p w:rsidRPr="00164813" w:rsidR="00AA5C1D" w:rsidP="00DA68E9" w:rsidRDefault="00CE7111" w14:paraId="58153CA9" w14:textId="188BEFA9">
            <w:pPr>
              <w:contextualSpacing/>
              <w:rPr>
                <w:i/>
              </w:rPr>
            </w:pPr>
            <w:proofErr w:type="spellStart"/>
            <w:r>
              <w:rPr>
                <w:i/>
              </w:rPr>
              <w:t>Silvia</w:t>
            </w:r>
            <w:proofErr w:type="spellEnd"/>
            <w:r>
              <w:rPr>
                <w:i/>
              </w:rPr>
              <w:t xml:space="preserve"> </w:t>
            </w:r>
            <w:proofErr w:type="spellStart"/>
            <w:r>
              <w:rPr>
                <w:i/>
              </w:rPr>
              <w:t>Staffa</w:t>
            </w:r>
            <w:proofErr w:type="spellEnd"/>
          </w:p>
        </w:tc>
      </w:tr>
      <w:tr w:rsidRPr="00164813" w:rsidR="00AA5C1D" w:rsidTr="00295BCB" w14:paraId="72CAC45A" w14:textId="77777777">
        <w:tc>
          <w:tcPr>
            <w:tcW w:w="2802" w:type="dxa"/>
          </w:tcPr>
          <w:p w:rsidRPr="00164813" w:rsidR="00AA5C1D" w:rsidP="00DA68E9" w:rsidRDefault="00AA5C1D" w14:paraId="3EF5E950" w14:textId="73C04D47">
            <w:pPr>
              <w:ind w:left="601"/>
              <w:contextualSpacing/>
              <w:rPr>
                <w:i/>
              </w:rPr>
            </w:pPr>
            <w:r>
              <w:rPr>
                <w:i/>
              </w:rPr>
              <w:t>Tel.</w:t>
            </w:r>
          </w:p>
        </w:tc>
        <w:tc>
          <w:tcPr>
            <w:tcW w:w="5670" w:type="dxa"/>
          </w:tcPr>
          <w:p w:rsidRPr="00164813" w:rsidR="00AA5C1D" w:rsidP="00DA68E9" w:rsidRDefault="00AA5C1D" w14:paraId="7B046605" w14:textId="67695B49">
            <w:pPr>
              <w:contextualSpacing/>
              <w:rPr>
                <w:i/>
              </w:rPr>
            </w:pPr>
            <w:r>
              <w:rPr>
                <w:i/>
              </w:rPr>
              <w:t>00 32 2 546 83 78</w:t>
            </w:r>
          </w:p>
        </w:tc>
      </w:tr>
      <w:tr w:rsidRPr="00164813" w:rsidR="00AA5C1D" w:rsidTr="00295BCB" w14:paraId="73DA6362" w14:textId="77777777">
        <w:tc>
          <w:tcPr>
            <w:tcW w:w="2802" w:type="dxa"/>
          </w:tcPr>
          <w:p w:rsidRPr="00164813" w:rsidR="00AA5C1D" w:rsidP="00DA68E9" w:rsidRDefault="00AA5C1D" w14:paraId="67DB9852" w14:textId="3361810C">
            <w:pPr>
              <w:ind w:left="601"/>
              <w:contextualSpacing/>
              <w:rPr>
                <w:i/>
              </w:rPr>
            </w:pPr>
            <w:r>
              <w:rPr>
                <w:i/>
              </w:rPr>
              <w:t>E. paštas</w:t>
            </w:r>
          </w:p>
        </w:tc>
        <w:tc>
          <w:tcPr>
            <w:tcW w:w="5670" w:type="dxa"/>
          </w:tcPr>
          <w:p w:rsidRPr="00CE7111" w:rsidR="00AA5C1D" w:rsidP="009A3E0E" w:rsidRDefault="00DD735F" w14:paraId="49BD07A0" w14:textId="1A85E293">
            <w:pPr>
              <w:contextualSpacing/>
              <w:rPr>
                <w:i/>
                <w:iCs/>
              </w:rPr>
            </w:pPr>
            <w:hyperlink w:history="1" r:id="rId26">
              <w:proofErr w:type="spellStart"/>
              <w:r w:rsidR="005C7858">
                <w:rPr>
                  <w:rStyle w:val="Hyperlink"/>
                  <w:i/>
                </w:rPr>
                <w:t>Silvia.Staffa@eesc.europa.eu</w:t>
              </w:r>
              <w:proofErr w:type="spellEnd"/>
            </w:hyperlink>
          </w:p>
        </w:tc>
      </w:tr>
    </w:tbl>
    <w:p w:rsidRPr="00CE7111" w:rsidR="000A558D" w:rsidRDefault="00467BE4" w14:paraId="4E3BBDCF" w14:textId="14AF1643">
      <w:pPr>
        <w:spacing w:after="160" w:line="259" w:lineRule="auto"/>
        <w:jc w:val="left"/>
        <w:rPr>
          <w:sz w:val="28"/>
        </w:rPr>
      </w:pPr>
      <w:r>
        <w:br w:type="page"/>
      </w:r>
    </w:p>
    <w:p w:rsidRPr="009B70E7" w:rsidR="002E01B5" w:rsidP="0018231C" w:rsidRDefault="004D7AC0" w14:paraId="6C52985F" w14:textId="77777777">
      <w:pPr>
        <w:pStyle w:val="Heading1"/>
        <w:keepNext/>
        <w:rPr>
          <w:b/>
        </w:rPr>
      </w:pPr>
      <w:bookmarkStart w:name="_Toc70322234" w:id="12"/>
      <w:bookmarkStart w:name="_Toc75527084" w:id="13"/>
      <w:bookmarkStart w:name="_Toc129698984" w:id="14"/>
      <w:r>
        <w:rPr>
          <w:b/>
        </w:rPr>
        <w:lastRenderedPageBreak/>
        <w:t>ŽEMĖS ŪKIO, KAIMO PLĖTROS IR APLINKOS SKYRIUS</w:t>
      </w:r>
      <w:bookmarkEnd w:id="12"/>
      <w:bookmarkEnd w:id="13"/>
      <w:bookmarkEnd w:id="14"/>
    </w:p>
    <w:p w:rsidRPr="00EC05AD" w:rsidR="009173E7" w:rsidP="1EBA916B" w:rsidRDefault="009173E7" w14:paraId="37AC66EE" w14:textId="77777777">
      <w:pPr>
        <w:keepNext/>
        <w:rPr>
          <w:sz w:val="16"/>
          <w:szCs w:val="16"/>
        </w:rPr>
      </w:pPr>
    </w:p>
    <w:p w:rsidRPr="009B70E7" w:rsidR="00AC7690" w:rsidP="0018231C" w:rsidRDefault="00CE7111" w14:paraId="6BF57A05" w14:textId="35CA4AF4">
      <w:pPr>
        <w:pStyle w:val="ListParagraph"/>
        <w:keepNext/>
        <w:numPr>
          <w:ilvl w:val="0"/>
          <w:numId w:val="2"/>
        </w:numPr>
        <w:ind w:left="567" w:hanging="567"/>
        <w:rPr>
          <w:b/>
          <w:i/>
          <w:sz w:val="28"/>
          <w:szCs w:val="28"/>
        </w:rPr>
      </w:pPr>
      <w:r>
        <w:rPr>
          <w:b/>
          <w:i/>
          <w:sz w:val="28"/>
        </w:rPr>
        <w:t>Miesto nuotekų valymo direktyvos peržiūra</w:t>
      </w:r>
    </w:p>
    <w:p w:rsidRPr="00EC05AD" w:rsidR="004D7AC0" w:rsidP="0018231C" w:rsidRDefault="004D7AC0" w14:paraId="43570F8C" w14:textId="77777777">
      <w:pPr>
        <w:pStyle w:val="ListParagraph"/>
        <w:keepNext/>
        <w:ind w:left="0"/>
        <w:rPr>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9B70E7" w:rsidR="004D7AC0" w:rsidTr="00CE7111" w14:paraId="32C9FAF0" w14:textId="77777777">
        <w:tc>
          <w:tcPr>
            <w:tcW w:w="1701" w:type="dxa"/>
          </w:tcPr>
          <w:p w:rsidRPr="009B70E7" w:rsidR="004D7AC0" w:rsidP="0018231C" w:rsidRDefault="004D7AC0" w14:paraId="7DFC3FE7" w14:textId="014FFCAB">
            <w:pPr>
              <w:pStyle w:val="ListParagraph"/>
              <w:keepNext/>
              <w:ind w:left="0"/>
              <w:rPr>
                <w:b/>
              </w:rPr>
            </w:pPr>
            <w:r>
              <w:rPr>
                <w:b/>
              </w:rPr>
              <w:t>Pranešėjas:</w:t>
            </w:r>
          </w:p>
        </w:tc>
        <w:tc>
          <w:tcPr>
            <w:tcW w:w="6237" w:type="dxa"/>
          </w:tcPr>
          <w:p w:rsidRPr="009B70E7" w:rsidR="004D7AC0" w:rsidP="001C4EDC" w:rsidRDefault="00CE7111" w14:paraId="512C7D26" w14:textId="2BA3CA38">
            <w:pPr>
              <w:pStyle w:val="ListParagraph"/>
              <w:keepNext/>
              <w:ind w:left="-106"/>
            </w:pPr>
            <w:proofErr w:type="spellStart"/>
            <w:r>
              <w:t>Stoyan</w:t>
            </w:r>
            <w:proofErr w:type="spellEnd"/>
            <w:r>
              <w:t xml:space="preserve"> </w:t>
            </w:r>
            <w:proofErr w:type="spellStart"/>
            <w:r>
              <w:t>Tchoukanov</w:t>
            </w:r>
            <w:proofErr w:type="spellEnd"/>
            <w:r>
              <w:t xml:space="preserve"> (Pilietinės visuomenės organizacijų grupė, BG)</w:t>
            </w: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032038" w:rsidR="0005110E" w:rsidTr="00196521" w14:paraId="2F855FDD" w14:textId="77777777">
        <w:tc>
          <w:tcPr>
            <w:tcW w:w="1701" w:type="dxa"/>
          </w:tcPr>
          <w:p w:rsidRPr="00032038" w:rsidR="0005110E" w:rsidP="00533C08" w:rsidRDefault="0005110E" w14:paraId="6DB55280" w14:textId="41CA7BCA">
            <w:pPr>
              <w:contextualSpacing/>
              <w:rPr>
                <w:b/>
              </w:rPr>
            </w:pPr>
            <w:r>
              <w:rPr>
                <w:b/>
              </w:rPr>
              <w:t xml:space="preserve">Nuorodos </w:t>
            </w:r>
          </w:p>
        </w:tc>
        <w:tc>
          <w:tcPr>
            <w:tcW w:w="6237" w:type="dxa"/>
          </w:tcPr>
          <w:p w:rsidRPr="00032038" w:rsidR="0005110E" w:rsidP="00533C08" w:rsidRDefault="001140AE" w14:paraId="602AF089" w14:textId="4B5CCB86">
            <w:pPr>
              <w:tabs>
                <w:tab w:val="center" w:pos="284"/>
              </w:tabs>
              <w:ind w:left="266" w:right="-534" w:hanging="374"/>
            </w:pPr>
            <w:r>
              <w:t>COM(2022) 541 </w:t>
            </w:r>
            <w:proofErr w:type="spellStart"/>
            <w:r>
              <w:t>final</w:t>
            </w:r>
            <w:proofErr w:type="spellEnd"/>
          </w:p>
          <w:p w:rsidRPr="00032038" w:rsidR="0005110E" w:rsidP="00533C08" w:rsidRDefault="0005110E" w14:paraId="6A5A914E" w14:textId="171B8137">
            <w:pPr>
              <w:ind w:left="-108"/>
              <w:contextualSpacing/>
            </w:pPr>
            <w:r>
              <w:t>EESC-2022-05433-00-00-AC</w:t>
            </w:r>
          </w:p>
        </w:tc>
      </w:tr>
    </w:tbl>
    <w:p w:rsidRPr="00EC05AD" w:rsidR="0005110E" w:rsidP="002C4B6E" w:rsidRDefault="0005110E" w14:paraId="63F4FD2B" w14:textId="77777777">
      <w:pPr>
        <w:pStyle w:val="ListParagraph"/>
        <w:spacing w:line="240" w:lineRule="auto"/>
        <w:ind w:left="-142" w:firstLine="142"/>
        <w:rPr>
          <w:b/>
          <w:sz w:val="10"/>
          <w:szCs w:val="10"/>
        </w:rPr>
      </w:pPr>
    </w:p>
    <w:p w:rsidRPr="00A00F37" w:rsidR="004D7AC0" w:rsidP="00FD3EB9" w:rsidRDefault="004D7AC0" w14:paraId="63F2D92D" w14:textId="5F76C7A8">
      <w:pPr>
        <w:pStyle w:val="ListParagraph"/>
        <w:spacing w:line="240" w:lineRule="auto"/>
        <w:ind w:left="0"/>
        <w:rPr>
          <w:b/>
        </w:rPr>
      </w:pPr>
      <w:r>
        <w:rPr>
          <w:b/>
        </w:rPr>
        <w:t>Dokumento esmė</w:t>
      </w:r>
    </w:p>
    <w:p w:rsidRPr="00EC05AD" w:rsidR="001513FD" w:rsidP="0018231C" w:rsidRDefault="001513FD" w14:paraId="76827606" w14:textId="77777777">
      <w:pPr>
        <w:pStyle w:val="ListParagraph"/>
        <w:keepNext/>
        <w:ind w:left="0"/>
        <w:rPr>
          <w:sz w:val="16"/>
          <w:szCs w:val="16"/>
        </w:rPr>
      </w:pPr>
    </w:p>
    <w:p w:rsidR="00E54548" w:rsidP="00FD3EB9" w:rsidRDefault="00E54548" w14:paraId="05F6CCDA" w14:textId="77777777">
      <w:pPr>
        <w:pStyle w:val="ListParagraph"/>
        <w:ind w:left="0"/>
      </w:pPr>
      <w:r>
        <w:t>EESRK:</w:t>
      </w:r>
    </w:p>
    <w:p w:rsidRPr="00EC05AD" w:rsidR="00E54548" w:rsidP="0018231C" w:rsidRDefault="00E54548" w14:paraId="681D86A8" w14:textId="77777777">
      <w:pPr>
        <w:pStyle w:val="ListParagraph"/>
        <w:keepNext/>
        <w:ind w:left="0"/>
        <w:rPr>
          <w:sz w:val="16"/>
          <w:szCs w:val="16"/>
        </w:rPr>
      </w:pPr>
    </w:p>
    <w:p w:rsidRPr="00D979E8" w:rsidR="00D979E8" w:rsidP="00BE6D5A" w:rsidRDefault="00CE7111" w14:paraId="600005EF" w14:textId="5C5AF22B">
      <w:pPr>
        <w:numPr>
          <w:ilvl w:val="0"/>
          <w:numId w:val="3"/>
        </w:numPr>
        <w:ind w:left="357" w:hanging="357"/>
        <w:contextualSpacing/>
      </w:pPr>
      <w:r>
        <w:t>pripažįsta, kad švarus vanduo yra strateginis išteklius, užtikrinantis mūsų visuomenės funkcionavimą ir ES ekonomikos atsparumą, taip pat aplinkos ir žmonių sveikatą, todėl mano, kad su juo reikia atitinkamai elgtis. Apie 60 proc. ES upių baseinų rajonų yra tarpvalstybiniai ir ten reikalingas tarpvalstybinis bendradarbiavimas. Neseniai įvykusią ekologinę nelaimę Oderio upėje reikėtų laikyti nesėkmingo bendradarbiavimo ir skaidrumo;</w:t>
      </w:r>
    </w:p>
    <w:p w:rsidR="00D979E8" w:rsidP="001140AE" w:rsidRDefault="00CE7111" w14:paraId="22353103" w14:textId="273DFF91">
      <w:pPr>
        <w:numPr>
          <w:ilvl w:val="0"/>
          <w:numId w:val="3"/>
        </w:numPr>
        <w:ind w:left="357" w:hanging="357"/>
        <w:contextualSpacing/>
      </w:pPr>
      <w:r>
        <w:t>tvirtina, kad taršos problema visada pirmiausia turi būti sprendžiama jos susidarymo vietoje, tačiau pripažįsta, kad komunalinių nuotekų valymas yra svarbus paskutinis etapas siekiant apsaugoti nuotekų priimtuvus aplinkos, žmonių sveikatos ir visuomenės;</w:t>
      </w:r>
    </w:p>
    <w:p w:rsidR="00CE7111" w:rsidP="001140AE" w:rsidRDefault="00CE7111" w14:paraId="108212A7" w14:textId="286DBA1D">
      <w:pPr>
        <w:numPr>
          <w:ilvl w:val="0"/>
          <w:numId w:val="3"/>
        </w:numPr>
        <w:ind w:left="357" w:hanging="357"/>
        <w:contextualSpacing/>
      </w:pPr>
      <w:r>
        <w:t xml:space="preserve">tvirtai remia pasiūlymą dėl didesnės gamintojo atsakomybės, pagal kurį gamintojai turėtų padengti išlaidas, susijusias su </w:t>
      </w:r>
      <w:proofErr w:type="spellStart"/>
      <w:r>
        <w:t>mikroteršalų</w:t>
      </w:r>
      <w:proofErr w:type="spellEnd"/>
      <w:r>
        <w:t>, susidarančių dėl jų produktų, pašalinimu iš nuotekų, tačiau išimtys turi būti griežtai ribojamos;</w:t>
      </w:r>
    </w:p>
    <w:p w:rsidR="00CE7111" w:rsidP="001140AE" w:rsidRDefault="00CE7111" w14:paraId="1489AD99" w14:textId="3D3224A1">
      <w:pPr>
        <w:numPr>
          <w:ilvl w:val="0"/>
          <w:numId w:val="3"/>
        </w:numPr>
        <w:ind w:left="357" w:hanging="357"/>
        <w:contextualSpacing/>
      </w:pPr>
      <w:r>
        <w:t>palankiai vertina pasiūlymą, kad atrinktuose komunalinių nuotekų valymo įrenginiuose būtų įrengtas papildomas valymas šiems teršalams pašalinti, ir pabrėžia, kad reikės dėti nemažai pastangų siekiant „sulaužyti“ senus standartus taikant naujoviškus valymo metodus. Jei direktyva būtų išplėsta, kad apimtų aglomeracijas, turinčias ne mažiau kaip 1 000 gyventojo ekvivalentų (GE), turi būti palikta erdvės decentralizuotiems sprendimams mažuose nuotekų valymo įrenginiuose, ypatingą dėmesį skiriant funkcionalumui;</w:t>
      </w:r>
    </w:p>
    <w:p w:rsidR="00CE7111" w:rsidP="001140AE" w:rsidRDefault="00895C48" w14:paraId="47B40A35" w14:textId="43FFECED">
      <w:pPr>
        <w:numPr>
          <w:ilvl w:val="0"/>
          <w:numId w:val="3"/>
        </w:numPr>
        <w:ind w:left="357" w:hanging="357"/>
        <w:contextualSpacing/>
      </w:pPr>
      <w:r>
        <w:t>mano, kad direktyvoje turėtų būti nustatyta viršutinė riba tokių nutekėjimų atvejams, o informuojant visuomenę turėtų būti pateikiamas išsamus vaizdas apie teršalų kiekį persipildymo metu. Komunalinės paviršinės nuotekos – užterštas lietaus vanduo (įskaitant sniegą) miesto infrastruktūroje, pvz., keliuose – turėtų būti surenkamos ir tinkamai išvalomos prieš jas išleidžiant į nuotekų priimtuvus. Prevencinės priemonės, pvz., mėlynieji ir žalieji sprendimai, pagal kuriuos lietaus vanduo yra surenkamas ir sulaikomas, pvz., įrengiant žaliuosius stogus ar lietaus sodus, sumažina kanalizacijos apkrovą ir suteikia daug papildomos naudos miesto;</w:t>
      </w:r>
    </w:p>
    <w:p w:rsidR="00895C48" w:rsidP="001140AE" w:rsidRDefault="00895C48" w14:paraId="4C311F42" w14:textId="5E91D500">
      <w:pPr>
        <w:numPr>
          <w:ilvl w:val="0"/>
          <w:numId w:val="3"/>
        </w:numPr>
        <w:ind w:left="357" w:hanging="357"/>
        <w:contextualSpacing/>
      </w:pPr>
      <w:r>
        <w:t xml:space="preserve">yra susirūpinęs, kad vanduo ir nuotekų tvarkymas yra viešosios paslaugos, tačiau kartais jas teikia privačios įmonės. Siekiant užtikrinti, kad viešosios paslaugos nebūtų teikiamos siekiant pelno ir kad pajamos būtų investuojamos į paslaugų priežiūrą ir tobulinimą, turi būti nustatytos taisyklės ir reglamentai. Vandens </w:t>
      </w:r>
      <w:proofErr w:type="spellStart"/>
      <w:r>
        <w:t>įperkamumo</w:t>
      </w:r>
      <w:proofErr w:type="spellEnd"/>
      <w:r>
        <w:t xml:space="preserve"> užtikrinimas turėtų būti visų valstybių narių prioritetas;</w:t>
      </w:r>
    </w:p>
    <w:p w:rsidR="00895C48" w:rsidP="001140AE" w:rsidRDefault="00895C48" w14:paraId="1BA54FE5" w14:textId="1E3E62A6">
      <w:pPr>
        <w:numPr>
          <w:ilvl w:val="0"/>
          <w:numId w:val="3"/>
        </w:numPr>
        <w:ind w:left="357" w:hanging="357"/>
        <w:contextualSpacing/>
      </w:pPr>
      <w:r>
        <w:t>ragina Europos institucijas pradėti teikti pirmenybę vandens klausimui ir parengti ES mėlynąjį kursą – esmines pastangas numatyti poreikius, išsaugoti vandens išteklius ir tinkamai valdyti su vandeniu susijusius iššūkius, pasitelkiant išsamų ir koordinuotą veiksmų planą ir nustatant plataus užmojo tikslus ir veiksmus, susijusius su sutartomis tarpinėmis reikšmėmis. 2023 m. EESRK pateiks konkrečių pasiūlymų dėl ES mėlynojo kurso.</w:t>
      </w:r>
    </w:p>
    <w:p w:rsidRPr="00EC05AD" w:rsidR="005D55F5" w:rsidP="005D55F5" w:rsidRDefault="005D55F5" w14:paraId="7408EE4D" w14:textId="77777777">
      <w:pPr>
        <w:widowControl w:val="0"/>
        <w:spacing w:line="240" w:lineRule="auto"/>
        <w:rPr>
          <w:sz w:val="16"/>
          <w:szCs w:val="16"/>
          <w:vertAlign w:val="superscript"/>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2"/>
        <w:gridCol w:w="5670"/>
      </w:tblGrid>
      <w:tr w:rsidRPr="009B70E7" w:rsidR="001140AE" w:rsidTr="00EC05AD" w14:paraId="0DE8B899" w14:textId="77777777">
        <w:tc>
          <w:tcPr>
            <w:tcW w:w="2802" w:type="dxa"/>
          </w:tcPr>
          <w:p w:rsidRPr="009B70E7" w:rsidR="001140AE" w:rsidP="008B2E12" w:rsidRDefault="001140AE" w14:paraId="0CF7DD61" w14:textId="77777777">
            <w:pPr>
              <w:pStyle w:val="ListParagraph"/>
              <w:ind w:left="0"/>
              <w:rPr>
                <w:i/>
              </w:rPr>
            </w:pPr>
            <w:r>
              <w:rPr>
                <w:b/>
                <w:i/>
              </w:rPr>
              <w:t>Kontaktinis asmuo</w:t>
            </w:r>
          </w:p>
        </w:tc>
        <w:tc>
          <w:tcPr>
            <w:tcW w:w="5670" w:type="dxa"/>
          </w:tcPr>
          <w:p w:rsidRPr="009B70E7" w:rsidR="001140AE" w:rsidP="008B2E12" w:rsidRDefault="00895C48" w14:paraId="1BF4803F" w14:textId="1BABF534">
            <w:pPr>
              <w:pStyle w:val="ListParagraph"/>
              <w:ind w:left="0"/>
              <w:rPr>
                <w:i/>
              </w:rPr>
            </w:pPr>
            <w:proofErr w:type="spellStart"/>
            <w:r>
              <w:rPr>
                <w:i/>
              </w:rPr>
              <w:t>Gaia</w:t>
            </w:r>
            <w:proofErr w:type="spellEnd"/>
            <w:r>
              <w:rPr>
                <w:i/>
              </w:rPr>
              <w:t xml:space="preserve"> </w:t>
            </w:r>
            <w:proofErr w:type="spellStart"/>
            <w:r>
              <w:rPr>
                <w:i/>
              </w:rPr>
              <w:t>Bottoni</w:t>
            </w:r>
            <w:proofErr w:type="spellEnd"/>
          </w:p>
        </w:tc>
      </w:tr>
      <w:tr w:rsidRPr="009B70E7" w:rsidR="001140AE" w:rsidTr="00EC05AD" w14:paraId="2B44B02A" w14:textId="77777777">
        <w:tc>
          <w:tcPr>
            <w:tcW w:w="2802" w:type="dxa"/>
          </w:tcPr>
          <w:p w:rsidRPr="009B70E7" w:rsidR="001140AE" w:rsidP="008B2E12" w:rsidRDefault="001140AE" w14:paraId="33FE728A" w14:textId="77777777">
            <w:pPr>
              <w:pStyle w:val="ListParagraph"/>
              <w:ind w:left="601"/>
              <w:rPr>
                <w:i/>
              </w:rPr>
            </w:pPr>
            <w:r>
              <w:rPr>
                <w:i/>
              </w:rPr>
              <w:t>Tel.:</w:t>
            </w:r>
          </w:p>
        </w:tc>
        <w:tc>
          <w:tcPr>
            <w:tcW w:w="5670" w:type="dxa"/>
          </w:tcPr>
          <w:p w:rsidRPr="009B70E7" w:rsidR="001140AE" w:rsidP="008B2E12" w:rsidRDefault="001140AE" w14:paraId="437CF15F" w14:textId="12B3760F">
            <w:pPr>
              <w:pStyle w:val="ListParagraph"/>
              <w:ind w:left="0"/>
              <w:rPr>
                <w:i/>
              </w:rPr>
            </w:pPr>
            <w:r>
              <w:rPr>
                <w:i/>
              </w:rPr>
              <w:t>00 32 2 546 94 47</w:t>
            </w:r>
          </w:p>
        </w:tc>
      </w:tr>
      <w:tr w:rsidRPr="005D55F5" w:rsidR="001140AE" w:rsidTr="00EC05AD" w14:paraId="06C6BD47" w14:textId="77777777">
        <w:tc>
          <w:tcPr>
            <w:tcW w:w="2802" w:type="dxa"/>
          </w:tcPr>
          <w:p w:rsidRPr="009B70E7" w:rsidR="001140AE" w:rsidP="008B2E12" w:rsidRDefault="001140AE" w14:paraId="05270F42" w14:textId="77777777">
            <w:pPr>
              <w:pStyle w:val="ListParagraph"/>
              <w:ind w:left="601"/>
              <w:rPr>
                <w:i/>
              </w:rPr>
            </w:pPr>
            <w:r>
              <w:rPr>
                <w:i/>
              </w:rPr>
              <w:t>E. paštas</w:t>
            </w:r>
          </w:p>
        </w:tc>
        <w:tc>
          <w:tcPr>
            <w:tcW w:w="5670" w:type="dxa"/>
          </w:tcPr>
          <w:p w:rsidRPr="005D55F5" w:rsidR="001140AE" w:rsidRDefault="00DD735F" w14:paraId="5D4A4F08" w14:textId="38D23787">
            <w:pPr>
              <w:pStyle w:val="ListParagraph"/>
              <w:ind w:left="0"/>
              <w:rPr>
                <w:i/>
                <w:iCs/>
              </w:rPr>
            </w:pPr>
            <w:hyperlink w:history="1" r:id="rId27">
              <w:proofErr w:type="spellStart"/>
              <w:r w:rsidR="005C7858">
                <w:rPr>
                  <w:rStyle w:val="Hyperlink"/>
                  <w:i/>
                </w:rPr>
                <w:t>Gaia.Bottoni@eesc.europa.eu</w:t>
              </w:r>
              <w:proofErr w:type="spellEnd"/>
            </w:hyperlink>
          </w:p>
        </w:tc>
      </w:tr>
    </w:tbl>
    <w:p w:rsidR="004E0C44" w:rsidRDefault="004E0C44" w14:paraId="39A4AA15" w14:textId="77777777">
      <w:pPr>
        <w:spacing w:after="160" w:line="259" w:lineRule="auto"/>
        <w:jc w:val="left"/>
        <w:rPr>
          <w:sz w:val="28"/>
          <w:szCs w:val="28"/>
        </w:rPr>
      </w:pPr>
      <w:r>
        <w:br w:type="page"/>
      </w:r>
    </w:p>
    <w:p w:rsidRPr="00196521" w:rsidR="009A3E0E" w:rsidP="000247C5" w:rsidRDefault="009A3E0E" w14:paraId="7ED77355" w14:textId="77777777">
      <w:pPr>
        <w:spacing w:after="160" w:line="259" w:lineRule="auto"/>
        <w:jc w:val="left"/>
      </w:pPr>
    </w:p>
    <w:p w:rsidRPr="009A3E0E" w:rsidR="00E54548" w:rsidP="00406DDB" w:rsidRDefault="00895C48" w14:paraId="55FE0C33" w14:textId="3488AA39">
      <w:pPr>
        <w:pStyle w:val="ListParagraph"/>
        <w:keepNext/>
        <w:numPr>
          <w:ilvl w:val="0"/>
          <w:numId w:val="2"/>
        </w:numPr>
        <w:ind w:left="567" w:hanging="567"/>
      </w:pPr>
      <w:bookmarkStart w:name="_Hlk127190412" w:id="15"/>
      <w:r>
        <w:rPr>
          <w:b/>
          <w:i/>
          <w:sz w:val="28"/>
        </w:rPr>
        <w:t>ES aplinkos oro kokybės teisės aktų peržiūra</w:t>
      </w:r>
    </w:p>
    <w:p w:rsidRPr="009B70E7" w:rsidR="009A3E0E" w:rsidP="009A3E0E" w:rsidRDefault="009A3E0E" w14:paraId="56595EA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0C18CA" w:rsidTr="000C18CA" w14:paraId="4E01B598" w14:textId="77777777">
        <w:tc>
          <w:tcPr>
            <w:tcW w:w="1701" w:type="dxa"/>
          </w:tcPr>
          <w:p w:rsidRPr="009B70E7" w:rsidR="000C18CA" w:rsidP="00533C08" w:rsidRDefault="000C18CA" w14:paraId="3EE6EB4F" w14:textId="0FFBCB14">
            <w:pPr>
              <w:pStyle w:val="ListParagraph"/>
              <w:keepNext/>
              <w:ind w:left="0"/>
              <w:rPr>
                <w:b/>
              </w:rPr>
            </w:pPr>
            <w:r>
              <w:rPr>
                <w:b/>
              </w:rPr>
              <w:t>Pranešėjas:</w:t>
            </w:r>
          </w:p>
        </w:tc>
        <w:tc>
          <w:tcPr>
            <w:tcW w:w="5954" w:type="dxa"/>
          </w:tcPr>
          <w:p w:rsidR="000C18CA" w:rsidP="00533C08" w:rsidRDefault="00895C48" w14:paraId="3B0EEFBE" w14:textId="347E14B4">
            <w:pPr>
              <w:pStyle w:val="ListParagraph"/>
              <w:keepNext/>
              <w:ind w:left="-106"/>
            </w:pPr>
            <w:r>
              <w:t>Kęstutis Kupšys (Pilietinės visuomenės organizacijų grupė, LT)</w:t>
            </w:r>
          </w:p>
          <w:p w:rsidRPr="009B70E7" w:rsidR="006A1317" w:rsidP="00533C08" w:rsidRDefault="006A1317" w14:paraId="3BDDFB62" w14:textId="58B88D3B">
            <w:pPr>
              <w:pStyle w:val="ListParagraph"/>
              <w:keepNext/>
              <w:ind w:left="-106"/>
            </w:pPr>
          </w:p>
        </w:tc>
      </w:tr>
      <w:tr w:rsidRPr="009B70E7" w:rsidR="00E54548" w:rsidTr="009A3E0E" w14:paraId="7A103358" w14:textId="77777777">
        <w:tc>
          <w:tcPr>
            <w:tcW w:w="1701" w:type="dxa"/>
          </w:tcPr>
          <w:p w:rsidRPr="009B70E7" w:rsidR="00E54548" w:rsidP="008B66DD" w:rsidRDefault="00E54548" w14:paraId="3D88AB9C" w14:textId="2BC32D39">
            <w:pPr>
              <w:pStyle w:val="ListParagraph"/>
              <w:ind w:left="0"/>
              <w:rPr>
                <w:b/>
              </w:rPr>
            </w:pPr>
            <w:r>
              <w:rPr>
                <w:b/>
              </w:rPr>
              <w:t xml:space="preserve">Nuorodos </w:t>
            </w:r>
          </w:p>
        </w:tc>
        <w:tc>
          <w:tcPr>
            <w:tcW w:w="5954" w:type="dxa"/>
          </w:tcPr>
          <w:p w:rsidRPr="009B70E7" w:rsidR="00E54548" w:rsidP="008B66DD" w:rsidRDefault="00DD2512" w14:paraId="3F2C4954" w14:textId="77F7ABB4">
            <w:pPr>
              <w:tabs>
                <w:tab w:val="center" w:pos="284"/>
              </w:tabs>
              <w:ind w:left="266" w:hanging="374"/>
            </w:pPr>
            <w:r>
              <w:t>COM(2022) 542 </w:t>
            </w:r>
            <w:proofErr w:type="spellStart"/>
            <w:r>
              <w:t>final</w:t>
            </w:r>
            <w:proofErr w:type="spellEnd"/>
          </w:p>
          <w:p w:rsidRPr="009B70E7" w:rsidR="00E54548" w:rsidP="008B66DD" w:rsidRDefault="00E54548" w14:paraId="2105E433" w14:textId="634EF330">
            <w:pPr>
              <w:pStyle w:val="ListParagraph"/>
              <w:ind w:left="-108"/>
            </w:pPr>
            <w:r>
              <w:t>EESC-2021-05604-00-00-AC</w:t>
            </w:r>
          </w:p>
        </w:tc>
      </w:tr>
    </w:tbl>
    <w:p w:rsidRPr="009B70E7" w:rsidR="00E54548" w:rsidP="00E54548" w:rsidRDefault="00E54548" w14:paraId="5A8EA75C" w14:textId="77777777">
      <w:pPr>
        <w:pStyle w:val="ListParagraph"/>
        <w:ind w:left="0"/>
        <w:rPr>
          <w:b/>
        </w:rPr>
      </w:pPr>
    </w:p>
    <w:p w:rsidRPr="0018231C" w:rsidR="00E54548" w:rsidP="00FD3EB9" w:rsidRDefault="00E54548" w14:paraId="2DB75FF2" w14:textId="5E95D69C">
      <w:pPr>
        <w:pStyle w:val="ListParagraph"/>
        <w:spacing w:line="240" w:lineRule="auto"/>
        <w:ind w:left="0"/>
        <w:rPr>
          <w:b/>
        </w:rPr>
      </w:pPr>
      <w:r>
        <w:rPr>
          <w:b/>
        </w:rPr>
        <w:t>Dokumento esmė</w:t>
      </w:r>
    </w:p>
    <w:p w:rsidRPr="0018231C" w:rsidR="00E54548" w:rsidP="00E54548" w:rsidRDefault="00E54548" w14:paraId="6EE8937D" w14:textId="77777777">
      <w:pPr>
        <w:pStyle w:val="ListParagraph"/>
        <w:ind w:left="0"/>
        <w:rPr>
          <w:lang w:val="fr-FR"/>
        </w:rPr>
      </w:pPr>
    </w:p>
    <w:p w:rsidRPr="00A00F37" w:rsidR="00E54548" w:rsidP="00FD3EB9" w:rsidRDefault="00E54548" w14:paraId="6B6F14AC" w14:textId="77777777">
      <w:pPr>
        <w:pStyle w:val="ListParagraph"/>
        <w:ind w:left="0"/>
        <w:rPr>
          <w:bCs/>
        </w:rPr>
      </w:pPr>
      <w:r>
        <w:t>EESRK:</w:t>
      </w:r>
    </w:p>
    <w:p w:rsidRPr="0018231C" w:rsidR="00E54548" w:rsidP="00E54548" w:rsidRDefault="00E54548" w14:paraId="1F790AD7" w14:textId="77777777">
      <w:pPr>
        <w:pStyle w:val="ListParagraph"/>
        <w:ind w:left="0"/>
        <w:rPr>
          <w:lang w:val="fr-FR"/>
        </w:rPr>
      </w:pPr>
    </w:p>
    <w:p w:rsidRPr="00836740" w:rsidR="00E54548" w:rsidP="00E54548" w:rsidRDefault="00895C48" w14:paraId="2EA194B7" w14:textId="6247F62A">
      <w:pPr>
        <w:numPr>
          <w:ilvl w:val="0"/>
          <w:numId w:val="3"/>
        </w:numPr>
        <w:overflowPunct w:val="0"/>
        <w:autoSpaceDE w:val="0"/>
        <w:autoSpaceDN w:val="0"/>
        <w:adjustRightInd w:val="0"/>
        <w:ind w:left="357" w:hanging="357"/>
        <w:textAlignment w:val="baseline"/>
      </w:pPr>
      <w:r>
        <w:t xml:space="preserve">rekomenduoja ne vėliau kaip iki 2030 m. ES oro kokybės standartus (įskaitant ozono standartus, nustatant ribines vertes) visiškai suderinti su atnaujintomis Pasaulio sveikatos organizacijos (PSO) pasaulinėmis oro kokybės gairėmis ir nustatyti tvirtą įgalinančią sistemą, pagrįstą ribinėmis vertėmis, vykdymo užtikrinimo mechanizmais ir aiškiomis valdymo taisyklėmis. Oro taršos mažinimas duoda didelių papildomų privalumų klimato kaitos švelninimo, energetinio saugumo ir biologinės įvairovės požiūriu, taip pat didina gyventojų atsparumą </w:t>
      </w:r>
      <w:proofErr w:type="spellStart"/>
      <w:r>
        <w:t>pandemijoms</w:t>
      </w:r>
      <w:proofErr w:type="spellEnd"/>
      <w:r>
        <w:t>;</w:t>
      </w:r>
    </w:p>
    <w:p w:rsidR="002049FA" w:rsidP="005D55F5" w:rsidRDefault="00895C48" w14:paraId="4F2B1309" w14:textId="27619B8B">
      <w:pPr>
        <w:numPr>
          <w:ilvl w:val="0"/>
          <w:numId w:val="3"/>
        </w:numPr>
        <w:overflowPunct w:val="0"/>
        <w:autoSpaceDE w:val="0"/>
        <w:autoSpaceDN w:val="0"/>
        <w:adjustRightInd w:val="0"/>
        <w:ind w:left="357" w:hanging="357"/>
        <w:textAlignment w:val="baseline"/>
      </w:pPr>
      <w:r>
        <w:t>palankiai vertina Komisijos pasirinktą požiūrį sutelkti dėmesį į „sąnaudų ir naudos“ santykį, tačiau apgailestauja, kad būtent šis santykis, o ne maksimali žmonių gyvybės ir sveikatos apsauga, laikomas svarbiausiu rodikliu, į kurį reikia atsižvelgti atliekant šią peržiūrą. Todėl kaip tinkamiausia politikos galimybė buvo pasirinktas „glaudesnis suderinimas“, o ne „visiškas suderinimas“. Išskyrus azoto dioksidą, pasiūlymu, kaip atrodo, siekiama suderinimo su 2005 m. PSO gairėmis, o ne su 2021 m. rugsėjo mėn. paskelbtomis naujausiomis gairėmis;</w:t>
      </w:r>
    </w:p>
    <w:p w:rsidR="00895C48" w:rsidP="005D55F5" w:rsidRDefault="00895C48" w14:paraId="6698EA27" w14:textId="2A02DB45">
      <w:pPr>
        <w:numPr>
          <w:ilvl w:val="0"/>
          <w:numId w:val="3"/>
        </w:numPr>
        <w:overflowPunct w:val="0"/>
        <w:autoSpaceDE w:val="0"/>
        <w:autoSpaceDN w:val="0"/>
        <w:adjustRightInd w:val="0"/>
        <w:ind w:left="357" w:hanging="357"/>
        <w:textAlignment w:val="baseline"/>
      </w:pPr>
      <w:r>
        <w:t>yra įsitikinęs, kad plataus užmojo ir laiku įgyvendinamos Aplinkos oro kokybės direktyvų ribinės vertės ir taisyklės, kartu su veiksmingomis sektorių priemonėmis, paskatins imtis ryžtingų veiksmų nacionaliniu ir vietos lygmenimis;</w:t>
      </w:r>
    </w:p>
    <w:p w:rsidR="00895C48" w:rsidP="005D55F5" w:rsidRDefault="00895C48" w14:paraId="4AA29DF6" w14:textId="654E5F20">
      <w:pPr>
        <w:numPr>
          <w:ilvl w:val="0"/>
          <w:numId w:val="3"/>
        </w:numPr>
        <w:overflowPunct w:val="0"/>
        <w:autoSpaceDE w:val="0"/>
        <w:autoSpaceDN w:val="0"/>
        <w:adjustRightInd w:val="0"/>
        <w:ind w:left="357" w:hanging="357"/>
        <w:textAlignment w:val="baseline"/>
      </w:pPr>
      <w:r>
        <w:t>ragina padidinti finansavimą taršos srityje vykdomiems piliečių mokslo projektams pagal programą „Europos horizontas“. Piliečiai taip pat turėtų veikti ir sužinoti apie savo gyvenimo būdo, veiksmų, vartojimo modelių ir taršos lygio ryšį. Geriau informuoti žmonės yra daug labiau motyvuoti imtis veiksmų ir taip lengviau pasiekti ilgalaikius elgsenos pokyčius;</w:t>
      </w:r>
    </w:p>
    <w:p w:rsidRPr="00836740" w:rsidR="00895C48" w:rsidP="005D55F5" w:rsidRDefault="00895C48" w14:paraId="0AA43EF2" w14:textId="1681FAC2">
      <w:pPr>
        <w:numPr>
          <w:ilvl w:val="0"/>
          <w:numId w:val="3"/>
        </w:numPr>
        <w:overflowPunct w:val="0"/>
        <w:autoSpaceDE w:val="0"/>
        <w:autoSpaceDN w:val="0"/>
        <w:adjustRightInd w:val="0"/>
        <w:ind w:left="357" w:hanging="357"/>
        <w:textAlignment w:val="baseline"/>
      </w:pPr>
      <w:r>
        <w:t>tvirtai remia teisę į žalos atlyginimą, mokamą asmenims, kuriems dėl oro taršos buvo padaryta žala sveikatai, ir sankcijas fiziniams ir juridiniams asmenims valstybėje narėje, kuri pažeidė taisykles.</w:t>
      </w:r>
    </w:p>
    <w:p w:rsidRPr="007E7A4F" w:rsidR="00E54548" w:rsidP="00E54548" w:rsidRDefault="00E54548" w14:paraId="34228F74"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670"/>
      </w:tblGrid>
      <w:tr w:rsidRPr="009B70E7" w:rsidR="00895C48" w:rsidTr="00295BCB" w14:paraId="3AB16363" w14:textId="77777777">
        <w:tc>
          <w:tcPr>
            <w:tcW w:w="2093" w:type="dxa"/>
          </w:tcPr>
          <w:p w:rsidRPr="009B70E7" w:rsidR="00895C48" w:rsidP="00040ADE" w:rsidRDefault="00895C48" w14:paraId="7DFEF1AE" w14:textId="77777777">
            <w:pPr>
              <w:pStyle w:val="ListParagraph"/>
              <w:ind w:left="0"/>
              <w:rPr>
                <w:i/>
              </w:rPr>
            </w:pPr>
            <w:r>
              <w:rPr>
                <w:b/>
                <w:i/>
              </w:rPr>
              <w:t>Kontaktiniai duomenys:</w:t>
            </w:r>
          </w:p>
        </w:tc>
        <w:tc>
          <w:tcPr>
            <w:tcW w:w="5670" w:type="dxa"/>
          </w:tcPr>
          <w:p w:rsidRPr="009B70E7" w:rsidR="00895C48" w:rsidP="00040ADE" w:rsidRDefault="00895C48" w14:paraId="388AAA3B" w14:textId="77777777">
            <w:pPr>
              <w:pStyle w:val="ListParagraph"/>
              <w:ind w:left="0"/>
              <w:rPr>
                <w:i/>
              </w:rPr>
            </w:pPr>
            <w:proofErr w:type="spellStart"/>
            <w:r>
              <w:rPr>
                <w:i/>
              </w:rPr>
              <w:t>Gaia</w:t>
            </w:r>
            <w:proofErr w:type="spellEnd"/>
            <w:r>
              <w:rPr>
                <w:i/>
              </w:rPr>
              <w:t xml:space="preserve"> </w:t>
            </w:r>
            <w:proofErr w:type="spellStart"/>
            <w:r>
              <w:rPr>
                <w:i/>
              </w:rPr>
              <w:t>Bottoni</w:t>
            </w:r>
            <w:proofErr w:type="spellEnd"/>
          </w:p>
        </w:tc>
      </w:tr>
      <w:tr w:rsidRPr="009B70E7" w:rsidR="00895C48" w:rsidTr="00295BCB" w14:paraId="2D32C0FB" w14:textId="77777777">
        <w:tc>
          <w:tcPr>
            <w:tcW w:w="2093" w:type="dxa"/>
          </w:tcPr>
          <w:p w:rsidRPr="009B70E7" w:rsidR="00895C48" w:rsidP="00040ADE" w:rsidRDefault="00895C48" w14:paraId="423EB185" w14:textId="77777777">
            <w:pPr>
              <w:pStyle w:val="ListParagraph"/>
              <w:ind w:left="601"/>
              <w:rPr>
                <w:i/>
              </w:rPr>
            </w:pPr>
            <w:r>
              <w:rPr>
                <w:i/>
              </w:rPr>
              <w:t>Tel.:</w:t>
            </w:r>
          </w:p>
        </w:tc>
        <w:tc>
          <w:tcPr>
            <w:tcW w:w="5670" w:type="dxa"/>
          </w:tcPr>
          <w:p w:rsidRPr="009B70E7" w:rsidR="00895C48" w:rsidP="00040ADE" w:rsidRDefault="00895C48" w14:paraId="7A2D0C03" w14:textId="77777777">
            <w:pPr>
              <w:pStyle w:val="ListParagraph"/>
              <w:ind w:left="0"/>
              <w:rPr>
                <w:i/>
              </w:rPr>
            </w:pPr>
            <w:r>
              <w:rPr>
                <w:i/>
              </w:rPr>
              <w:t>00 32 2 546 94 47</w:t>
            </w:r>
          </w:p>
        </w:tc>
      </w:tr>
      <w:tr w:rsidRPr="005D55F5" w:rsidR="00895C48" w:rsidTr="00295BCB" w14:paraId="1D160874" w14:textId="77777777">
        <w:tc>
          <w:tcPr>
            <w:tcW w:w="2093" w:type="dxa"/>
          </w:tcPr>
          <w:p w:rsidRPr="009B70E7" w:rsidR="00895C48" w:rsidP="00040ADE" w:rsidRDefault="00895C48" w14:paraId="0F223A9F" w14:textId="77777777">
            <w:pPr>
              <w:pStyle w:val="ListParagraph"/>
              <w:ind w:left="601"/>
              <w:rPr>
                <w:i/>
              </w:rPr>
            </w:pPr>
            <w:r>
              <w:rPr>
                <w:i/>
              </w:rPr>
              <w:t>E. paštas</w:t>
            </w:r>
          </w:p>
        </w:tc>
        <w:tc>
          <w:tcPr>
            <w:tcW w:w="5670" w:type="dxa"/>
          </w:tcPr>
          <w:p w:rsidRPr="005D55F5" w:rsidR="00895C48" w:rsidRDefault="00DD735F" w14:paraId="52FF0956" w14:textId="73A8FE59">
            <w:pPr>
              <w:pStyle w:val="ListParagraph"/>
              <w:ind w:left="0"/>
              <w:rPr>
                <w:i/>
                <w:iCs/>
              </w:rPr>
            </w:pPr>
            <w:hyperlink w:history="1" r:id="rId28">
              <w:proofErr w:type="spellStart"/>
              <w:r w:rsidR="005C7858">
                <w:rPr>
                  <w:rStyle w:val="Hyperlink"/>
                  <w:i/>
                </w:rPr>
                <w:t>Gaia.Bottoni@eesc.europa.eu</w:t>
              </w:r>
              <w:proofErr w:type="spellEnd"/>
            </w:hyperlink>
          </w:p>
        </w:tc>
      </w:tr>
      <w:bookmarkEnd w:id="15"/>
    </w:tbl>
    <w:p w:rsidR="00895C48" w:rsidP="0018231C" w:rsidRDefault="00895C48" w14:paraId="3D4A5F95" w14:textId="64E14F65">
      <w:pPr>
        <w:spacing w:after="160" w:line="240" w:lineRule="auto"/>
        <w:jc w:val="left"/>
      </w:pPr>
    </w:p>
    <w:p w:rsidR="00895C48" w:rsidRDefault="00895C48" w14:paraId="32AFB706" w14:textId="77777777">
      <w:pPr>
        <w:spacing w:after="160" w:line="259" w:lineRule="auto"/>
        <w:jc w:val="left"/>
      </w:pPr>
      <w:r>
        <w:br w:type="page"/>
      </w:r>
    </w:p>
    <w:p w:rsidRPr="009A3E0E" w:rsidR="00895C48" w:rsidP="00895C48" w:rsidRDefault="00895C48" w14:paraId="5253243C" w14:textId="3D69A318">
      <w:pPr>
        <w:pStyle w:val="ListParagraph"/>
        <w:keepNext/>
        <w:numPr>
          <w:ilvl w:val="0"/>
          <w:numId w:val="2"/>
        </w:numPr>
        <w:ind w:left="567" w:hanging="567"/>
      </w:pPr>
      <w:r>
        <w:rPr>
          <w:b/>
          <w:i/>
          <w:sz w:val="28"/>
        </w:rPr>
        <w:lastRenderedPageBreak/>
        <w:t>Integruotas vandens išteklių valdymas. Peržiūrėti paviršinio ir požeminio vandens teršalų sąrašai</w:t>
      </w:r>
    </w:p>
    <w:p w:rsidRPr="009B70E7" w:rsidR="00895C48" w:rsidP="00895C48" w:rsidRDefault="00895C48" w14:paraId="5AA1FC7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895C48" w:rsidTr="00040ADE" w14:paraId="25918DDF" w14:textId="77777777">
        <w:tc>
          <w:tcPr>
            <w:tcW w:w="1701" w:type="dxa"/>
          </w:tcPr>
          <w:p w:rsidRPr="009B70E7" w:rsidR="00895C48" w:rsidP="00040ADE" w:rsidRDefault="00895C48" w14:paraId="136060CB" w14:textId="77777777">
            <w:pPr>
              <w:pStyle w:val="ListParagraph"/>
              <w:keepNext/>
              <w:ind w:left="0"/>
              <w:rPr>
                <w:b/>
              </w:rPr>
            </w:pPr>
            <w:r>
              <w:rPr>
                <w:b/>
              </w:rPr>
              <w:t>Pranešėjas</w:t>
            </w:r>
          </w:p>
        </w:tc>
        <w:tc>
          <w:tcPr>
            <w:tcW w:w="5954" w:type="dxa"/>
          </w:tcPr>
          <w:p w:rsidR="00895C48" w:rsidP="00040ADE" w:rsidRDefault="00895C48" w14:paraId="736DF840" w14:textId="35EDBF96">
            <w:pPr>
              <w:pStyle w:val="ListParagraph"/>
              <w:keepNext/>
              <w:ind w:left="-106"/>
            </w:pPr>
            <w:r>
              <w:t xml:space="preserve">Arnaud </w:t>
            </w:r>
            <w:proofErr w:type="spellStart"/>
            <w:r>
              <w:t>Schwartz</w:t>
            </w:r>
            <w:proofErr w:type="spellEnd"/>
            <w:r>
              <w:t xml:space="preserve"> (Pilietinės visuomenės organizacijų grupė, FR)</w:t>
            </w:r>
          </w:p>
          <w:p w:rsidRPr="009B70E7" w:rsidR="00895C48" w:rsidP="00040ADE" w:rsidRDefault="00895C48" w14:paraId="5CD9AB68" w14:textId="77777777">
            <w:pPr>
              <w:pStyle w:val="ListParagraph"/>
              <w:keepNext/>
              <w:ind w:left="-106"/>
            </w:pPr>
          </w:p>
        </w:tc>
      </w:tr>
      <w:tr w:rsidRPr="009B70E7" w:rsidR="00895C48" w:rsidTr="00040ADE" w14:paraId="25A34DD2" w14:textId="77777777">
        <w:tc>
          <w:tcPr>
            <w:tcW w:w="1701" w:type="dxa"/>
          </w:tcPr>
          <w:p w:rsidRPr="009B70E7" w:rsidR="00895C48" w:rsidP="00040ADE" w:rsidRDefault="00895C48" w14:paraId="5BFC7CBA" w14:textId="77777777">
            <w:pPr>
              <w:pStyle w:val="ListParagraph"/>
              <w:ind w:left="0"/>
              <w:rPr>
                <w:b/>
              </w:rPr>
            </w:pPr>
            <w:r>
              <w:rPr>
                <w:b/>
              </w:rPr>
              <w:t xml:space="preserve">Nuorodos </w:t>
            </w:r>
          </w:p>
        </w:tc>
        <w:tc>
          <w:tcPr>
            <w:tcW w:w="5954" w:type="dxa"/>
          </w:tcPr>
          <w:p w:rsidRPr="009B70E7" w:rsidR="00895C48" w:rsidP="00040ADE" w:rsidRDefault="00895C48" w14:paraId="0049C7D0" w14:textId="77777777">
            <w:pPr>
              <w:tabs>
                <w:tab w:val="center" w:pos="284"/>
              </w:tabs>
              <w:ind w:left="266" w:hanging="374"/>
            </w:pPr>
            <w:r>
              <w:t>COM(2022) 542 </w:t>
            </w:r>
            <w:proofErr w:type="spellStart"/>
            <w:r>
              <w:t>final</w:t>
            </w:r>
            <w:proofErr w:type="spellEnd"/>
          </w:p>
          <w:p w:rsidRPr="009B70E7" w:rsidR="00895C48" w:rsidP="00040ADE" w:rsidRDefault="00895C48" w14:paraId="29831AAE" w14:textId="0FD67A70">
            <w:pPr>
              <w:pStyle w:val="ListParagraph"/>
              <w:ind w:left="-108"/>
            </w:pPr>
            <w:r>
              <w:t>EESC-2021-05603-00-00-AC</w:t>
            </w:r>
          </w:p>
        </w:tc>
      </w:tr>
    </w:tbl>
    <w:p w:rsidRPr="009B70E7" w:rsidR="00895C48" w:rsidP="00895C48" w:rsidRDefault="00895C48" w14:paraId="04ED3388" w14:textId="77777777">
      <w:pPr>
        <w:pStyle w:val="ListParagraph"/>
        <w:ind w:left="0"/>
        <w:rPr>
          <w:b/>
        </w:rPr>
      </w:pPr>
    </w:p>
    <w:p w:rsidRPr="0018231C" w:rsidR="00895C48" w:rsidP="00895C48" w:rsidRDefault="00895C48" w14:paraId="1ADE8B66" w14:textId="77777777">
      <w:pPr>
        <w:pStyle w:val="ListParagraph"/>
        <w:spacing w:line="240" w:lineRule="auto"/>
        <w:ind w:left="0"/>
        <w:rPr>
          <w:b/>
        </w:rPr>
      </w:pPr>
      <w:r>
        <w:rPr>
          <w:b/>
        </w:rPr>
        <w:t>Dokumento esmė</w:t>
      </w:r>
    </w:p>
    <w:p w:rsidRPr="0018231C" w:rsidR="00895C48" w:rsidP="00895C48" w:rsidRDefault="00895C48" w14:paraId="66969B39" w14:textId="77777777">
      <w:pPr>
        <w:pStyle w:val="ListParagraph"/>
        <w:ind w:left="0"/>
        <w:rPr>
          <w:lang w:val="fr-FR"/>
        </w:rPr>
      </w:pPr>
    </w:p>
    <w:p w:rsidRPr="00A00F37" w:rsidR="00895C48" w:rsidP="00895C48" w:rsidRDefault="00895C48" w14:paraId="3ACDCB60" w14:textId="77777777">
      <w:pPr>
        <w:pStyle w:val="ListParagraph"/>
        <w:ind w:left="0"/>
        <w:rPr>
          <w:bCs/>
        </w:rPr>
      </w:pPr>
      <w:r>
        <w:t>EESRK:</w:t>
      </w:r>
    </w:p>
    <w:p w:rsidRPr="0018231C" w:rsidR="00895C48" w:rsidP="00895C48" w:rsidRDefault="00895C48" w14:paraId="03FFEA69" w14:textId="77777777">
      <w:pPr>
        <w:pStyle w:val="ListParagraph"/>
        <w:ind w:left="0"/>
        <w:rPr>
          <w:lang w:val="fr-FR"/>
        </w:rPr>
      </w:pPr>
    </w:p>
    <w:p w:rsidRPr="00836740" w:rsidR="00895C48" w:rsidP="00895C48" w:rsidRDefault="00895C48" w14:paraId="0BD06B08" w14:textId="20C2452A">
      <w:pPr>
        <w:numPr>
          <w:ilvl w:val="0"/>
          <w:numId w:val="3"/>
        </w:numPr>
        <w:overflowPunct w:val="0"/>
        <w:autoSpaceDE w:val="0"/>
        <w:autoSpaceDN w:val="0"/>
        <w:adjustRightInd w:val="0"/>
        <w:ind w:left="357" w:hanging="357"/>
        <w:textAlignment w:val="baseline"/>
      </w:pPr>
      <w:r>
        <w:t>tvirtai remia Europos Komisijos pasiūlymą į paviršinio ir požeminio vandens prioritetinių medžiagų sąrašus įtraukti tam tikrus svarbiausius vandens teršalus, kurie bus naudojami vertinant cheminę būklę pagal Vandens pagrindų direktyvą. Valstybės narės turės stebėti jų buvimą vandenyje ir užtikrinti, kad nebūtų viršyti kokybės standartai. Pasiūlymas pateiktas vėluojant keletą metų ir yra sveikintinas bandymas atnaujinti vandens cheminės būklės;</w:t>
      </w:r>
    </w:p>
    <w:p w:rsidRPr="00895C48" w:rsidR="00895C48" w:rsidP="00895C48" w:rsidRDefault="00895C48" w14:paraId="474E0209" w14:textId="2086933A">
      <w:pPr>
        <w:numPr>
          <w:ilvl w:val="0"/>
          <w:numId w:val="3"/>
        </w:numPr>
        <w:overflowPunct w:val="0"/>
        <w:autoSpaceDE w:val="0"/>
        <w:autoSpaceDN w:val="0"/>
        <w:adjustRightInd w:val="0"/>
        <w:ind w:left="357" w:hanging="357"/>
        <w:textAlignment w:val="baseline"/>
      </w:pPr>
      <w:r>
        <w:t>atkreipia dėmesį į tai, kad švarus vanduo yra labai svarbus mūsų visuomenei ir aplinkai, taip pat socialinei ir ekonominei veiklai. Tvirta vandens apsaugos sistema, kurioje daugiausia dėmesio skiriama taršos mažinimui jos susidarymo vietoje, bus naudinga ekosistemoms, vandens naudotojams rekreaciniais tikslais ir pramonei, taip pat užtikrins švarų ir įperkamą geriamąjį vandenį;</w:t>
      </w:r>
    </w:p>
    <w:p w:rsidRPr="00895C48" w:rsidR="00895C48" w:rsidP="00895C48" w:rsidRDefault="00895C48" w14:paraId="65CADB81" w14:textId="1810531D">
      <w:pPr>
        <w:numPr>
          <w:ilvl w:val="0"/>
          <w:numId w:val="3"/>
        </w:numPr>
        <w:overflowPunct w:val="0"/>
        <w:autoSpaceDE w:val="0"/>
        <w:autoSpaceDN w:val="0"/>
        <w:adjustRightInd w:val="0"/>
        <w:ind w:left="357" w:hanging="357"/>
        <w:textAlignment w:val="baseline"/>
      </w:pPr>
      <w:r>
        <w:t>pabrėžia, kad, nors ši iniciatyva susijusi su išlaidomis, su neužterštu vandeniu susijusi nauda yra didesnė, nes, pavyzdžiui, išvengiama kenksmingų cheminių medžiagų poveikio ir mažiau reikia valyti vandenį, kad būtų pasiekti geriamojo vandens standartai. Keičiant kenksmingų medžiagų naudojimo būdus, taip siekiant sumažinti jų kiekį vandenyje, galima gauti ir papildomos naudos, pavyzdžiui, sumažinti kenksmingų pesticidų poveikį žemės ūkio maisto produktų sektoriaus;</w:t>
      </w:r>
    </w:p>
    <w:p w:rsidR="00895C48" w:rsidP="00895C48" w:rsidRDefault="00895C48" w14:paraId="45512FA4" w14:textId="66623450">
      <w:pPr>
        <w:numPr>
          <w:ilvl w:val="0"/>
          <w:numId w:val="3"/>
        </w:numPr>
        <w:overflowPunct w:val="0"/>
        <w:autoSpaceDE w:val="0"/>
        <w:autoSpaceDN w:val="0"/>
        <w:adjustRightInd w:val="0"/>
        <w:ind w:left="357" w:hanging="357"/>
        <w:textAlignment w:val="baseline"/>
      </w:pPr>
      <w:r>
        <w:t>prašo parengti konkrečias gaires pramonės šakoms, kurios gamybos procesuose naudoja vandenį su skirtingomis medžiagomis, ir reikėtų daugiau nuveikti sveikatos ir saugos darbo vietoje srityje;</w:t>
      </w:r>
    </w:p>
    <w:p w:rsidRPr="00895C48" w:rsidR="00895C48" w:rsidP="00895C48" w:rsidRDefault="00895C48" w14:paraId="607DD3C7" w14:textId="14DCD71B">
      <w:pPr>
        <w:numPr>
          <w:ilvl w:val="0"/>
          <w:numId w:val="3"/>
        </w:numPr>
        <w:overflowPunct w:val="0"/>
        <w:autoSpaceDE w:val="0"/>
        <w:autoSpaceDN w:val="0"/>
        <w:adjustRightInd w:val="0"/>
        <w:ind w:left="357" w:hanging="357"/>
        <w:textAlignment w:val="baseline"/>
      </w:pPr>
      <w:r>
        <w:t>rekomenduoja valstybėms narėms dėti daugiau pastangų renkant, sisteminant ir aiškinant vandens duomenis, o aplinkos duomenų poreikį laikyti vienu iš svarbiausių prioritetų. Svarbu mažinti duomenų vėlavimą ir užtikrinti konkrečius rodiklius visose valstybėse narėse. Visų pirma reikėtų dėti daugiau pastangų siekiant įvertinti ir stebėti kartu naudojamų medžiagų poveikį aplinkai ir žmonių;</w:t>
      </w:r>
    </w:p>
    <w:p w:rsidRPr="00895C48" w:rsidR="00895C48" w:rsidP="00895C48" w:rsidRDefault="00895C48" w14:paraId="7734E286" w14:textId="0C26664C">
      <w:pPr>
        <w:numPr>
          <w:ilvl w:val="0"/>
          <w:numId w:val="3"/>
        </w:numPr>
        <w:overflowPunct w:val="0"/>
        <w:autoSpaceDE w:val="0"/>
        <w:autoSpaceDN w:val="0"/>
        <w:adjustRightInd w:val="0"/>
        <w:ind w:left="357" w:hanging="357"/>
        <w:textAlignment w:val="baseline"/>
      </w:pPr>
      <w:r>
        <w:t>pabrėžia, kad stebėsenos priemonės, įskaitant neteisėto naudojimo nutraukimą ir nukrypti leidžiančias nuostatas, turi būti toliau taikomos valstybėse narėse, kuriose aptinkami per dideli kiekiai, net jei tos medžiagos ES lygmeniu buvo išbrauktos iš prioritetinių medžiagų;</w:t>
      </w:r>
    </w:p>
    <w:p w:rsidRPr="00836740" w:rsidR="00895C48" w:rsidP="00895C48" w:rsidRDefault="00895C48" w14:paraId="382F3A5E" w14:textId="05DD1E9F">
      <w:pPr>
        <w:numPr>
          <w:ilvl w:val="0"/>
          <w:numId w:val="3"/>
        </w:numPr>
        <w:overflowPunct w:val="0"/>
        <w:autoSpaceDE w:val="0"/>
        <w:autoSpaceDN w:val="0"/>
        <w:adjustRightInd w:val="0"/>
        <w:ind w:left="357" w:hanging="357"/>
        <w:textAlignment w:val="baseline"/>
      </w:pPr>
      <w:r>
        <w:t>ragina Europos institucijas pradėti spręsti vandens klausimą ir parengti ES mėlynąjį kursą – esmines pastangas numatyti poreikius, išsaugoti vandens išteklius ir tinkamai valdyti su vandeniu susijusius iššūkius, pasitelkiant išsamų ir koordinuotą veiksmų planą ir nustatant plataus užmojo tikslus ir veiksmus, susijusius su sutartomis tarpinėmis reikšmėmis. 2023 m. EESRK pateiks konkrečių pasiūlymų dėl ES mėlynojo kurso.</w:t>
      </w:r>
    </w:p>
    <w:p w:rsidRPr="007E7A4F" w:rsidR="00895C48" w:rsidP="00895C48" w:rsidRDefault="00895C48" w14:paraId="16B0E971"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5670"/>
      </w:tblGrid>
      <w:tr w:rsidRPr="009B70E7" w:rsidR="00895C48" w:rsidTr="00EC05AD" w14:paraId="1D586337" w14:textId="77777777">
        <w:tc>
          <w:tcPr>
            <w:tcW w:w="2660" w:type="dxa"/>
          </w:tcPr>
          <w:p w:rsidRPr="009B70E7" w:rsidR="00895C48" w:rsidP="00040ADE" w:rsidRDefault="00895C48" w14:paraId="1BF8432F" w14:textId="77777777">
            <w:pPr>
              <w:pStyle w:val="ListParagraph"/>
              <w:ind w:left="0"/>
              <w:rPr>
                <w:i/>
              </w:rPr>
            </w:pPr>
            <w:r>
              <w:rPr>
                <w:b/>
                <w:i/>
              </w:rPr>
              <w:t>Kontaktinis asmuo</w:t>
            </w:r>
          </w:p>
        </w:tc>
        <w:tc>
          <w:tcPr>
            <w:tcW w:w="5670" w:type="dxa"/>
          </w:tcPr>
          <w:p w:rsidRPr="009B70E7" w:rsidR="00895C48" w:rsidP="00040ADE" w:rsidRDefault="00895C48" w14:paraId="1E361F38" w14:textId="77777777">
            <w:pPr>
              <w:pStyle w:val="ListParagraph"/>
              <w:ind w:left="0"/>
              <w:rPr>
                <w:i/>
              </w:rPr>
            </w:pPr>
            <w:proofErr w:type="spellStart"/>
            <w:r>
              <w:rPr>
                <w:i/>
              </w:rPr>
              <w:t>Gaia</w:t>
            </w:r>
            <w:proofErr w:type="spellEnd"/>
            <w:r>
              <w:rPr>
                <w:i/>
              </w:rPr>
              <w:t xml:space="preserve"> </w:t>
            </w:r>
            <w:proofErr w:type="spellStart"/>
            <w:r>
              <w:rPr>
                <w:i/>
              </w:rPr>
              <w:t>Bottoni</w:t>
            </w:r>
            <w:proofErr w:type="spellEnd"/>
          </w:p>
        </w:tc>
      </w:tr>
      <w:tr w:rsidRPr="009B70E7" w:rsidR="00895C48" w:rsidTr="00EC05AD" w14:paraId="1454286A" w14:textId="77777777">
        <w:tc>
          <w:tcPr>
            <w:tcW w:w="2660" w:type="dxa"/>
          </w:tcPr>
          <w:p w:rsidRPr="009B70E7" w:rsidR="00895C48" w:rsidP="00040ADE" w:rsidRDefault="00895C48" w14:paraId="62E2ED79" w14:textId="77777777">
            <w:pPr>
              <w:pStyle w:val="ListParagraph"/>
              <w:ind w:left="601"/>
              <w:rPr>
                <w:i/>
              </w:rPr>
            </w:pPr>
            <w:r>
              <w:rPr>
                <w:i/>
              </w:rPr>
              <w:t>Tel.:</w:t>
            </w:r>
          </w:p>
        </w:tc>
        <w:tc>
          <w:tcPr>
            <w:tcW w:w="5670" w:type="dxa"/>
          </w:tcPr>
          <w:p w:rsidRPr="009B70E7" w:rsidR="00895C48" w:rsidP="00040ADE" w:rsidRDefault="00895C48" w14:paraId="36BD3983" w14:textId="77777777">
            <w:pPr>
              <w:pStyle w:val="ListParagraph"/>
              <w:ind w:left="0"/>
              <w:rPr>
                <w:i/>
              </w:rPr>
            </w:pPr>
            <w:r>
              <w:rPr>
                <w:i/>
              </w:rPr>
              <w:t>00 32 2 546 94 47</w:t>
            </w:r>
          </w:p>
        </w:tc>
      </w:tr>
      <w:tr w:rsidRPr="005D55F5" w:rsidR="00895C48" w:rsidTr="00EC05AD" w14:paraId="6817D5C2" w14:textId="77777777">
        <w:tc>
          <w:tcPr>
            <w:tcW w:w="2660" w:type="dxa"/>
          </w:tcPr>
          <w:p w:rsidRPr="009B70E7" w:rsidR="00895C48" w:rsidP="00040ADE" w:rsidRDefault="00895C48" w14:paraId="7B9F2B78" w14:textId="77777777">
            <w:pPr>
              <w:pStyle w:val="ListParagraph"/>
              <w:ind w:left="601"/>
              <w:rPr>
                <w:i/>
              </w:rPr>
            </w:pPr>
            <w:r>
              <w:rPr>
                <w:i/>
              </w:rPr>
              <w:t>E. paštas</w:t>
            </w:r>
          </w:p>
        </w:tc>
        <w:tc>
          <w:tcPr>
            <w:tcW w:w="5670" w:type="dxa"/>
          </w:tcPr>
          <w:p w:rsidRPr="005D55F5" w:rsidR="00895C48" w:rsidP="00040ADE" w:rsidRDefault="00DD735F" w14:paraId="336C9834" w14:textId="457079AA">
            <w:pPr>
              <w:pStyle w:val="ListParagraph"/>
              <w:ind w:left="0"/>
              <w:rPr>
                <w:i/>
                <w:iCs/>
              </w:rPr>
            </w:pPr>
            <w:hyperlink w:history="1" r:id="rId29">
              <w:proofErr w:type="spellStart"/>
              <w:r w:rsidR="005C7858">
                <w:rPr>
                  <w:rStyle w:val="Hyperlink"/>
                  <w:i/>
                </w:rPr>
                <w:t>Gaia.Bottoni@eesc.europa.eu</w:t>
              </w:r>
              <w:proofErr w:type="spellEnd"/>
            </w:hyperlink>
          </w:p>
        </w:tc>
      </w:tr>
    </w:tbl>
    <w:p w:rsidRPr="00CE7111" w:rsidR="00D67CAD" w:rsidP="00196521" w:rsidRDefault="009C1329" w14:paraId="5E62A09A" w14:textId="60CBED8F">
      <w:pPr>
        <w:overflowPunct w:val="0"/>
        <w:autoSpaceDE w:val="0"/>
        <w:autoSpaceDN w:val="0"/>
        <w:adjustRightInd w:val="0"/>
        <w:jc w:val="center"/>
        <w:textAlignment w:val="baseline"/>
      </w:pPr>
      <w:r>
        <w:t>_____________</w:t>
      </w:r>
    </w:p>
    <w:sectPr w:rsidRPr="00CE7111" w:rsidR="00D67CAD" w:rsidSect="004E0C44">
      <w:headerReference w:type="even" r:id="rId30"/>
      <w:headerReference w:type="default" r:id="rId31"/>
      <w:footerReference w:type="even" r:id="rId32"/>
      <w:footerReference w:type="default" r:id="rId33"/>
      <w:headerReference w:type="first" r:id="rId34"/>
      <w:footerReference w:type="first" r:id="rId35"/>
      <w:pgSz w:w="11907" w:h="16839"/>
      <w:pgMar w:top="1134" w:right="1418"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07EF" w14:textId="77777777" w:rsidR="00765C4F" w:rsidRDefault="00765C4F" w:rsidP="003B0516">
      <w:pPr>
        <w:spacing w:line="240" w:lineRule="auto"/>
      </w:pPr>
      <w:r>
        <w:separator/>
      </w:r>
    </w:p>
  </w:endnote>
  <w:endnote w:type="continuationSeparator" w:id="0">
    <w:p w14:paraId="7657AFA9" w14:textId="77777777" w:rsidR="00765C4F" w:rsidRDefault="00765C4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FC5E" w14:textId="77777777" w:rsidR="000D7878" w:rsidRPr="004E0C44" w:rsidRDefault="000D7878" w:rsidP="004E0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54D49C81" w:rsidR="00765C4F" w:rsidRPr="004E0C44" w:rsidRDefault="004E0C44" w:rsidP="004E0C44">
    <w:pPr>
      <w:pStyle w:val="Footer"/>
    </w:pPr>
    <w:r>
      <w:t xml:space="preserve">EESC-2023-00570-00-00-TCD-TRA (EN) </w:t>
    </w:r>
    <w:r>
      <w:fldChar w:fldCharType="begin"/>
    </w:r>
    <w:r>
      <w:instrText xml:space="preserve"> PAGE  \* Arabic  \* MERGEFORMAT </w:instrText>
    </w:r>
    <w:r>
      <w:fldChar w:fldCharType="separate"/>
    </w:r>
    <w:r w:rsidR="00196521">
      <w:t>1</w:t>
    </w:r>
    <w:r>
      <w:fldChar w:fldCharType="end"/>
    </w:r>
    <w:r>
      <w:t>/</w:t>
    </w:r>
    <w:fldSimple w:instr=" NUMPAGES ">
      <w:r w:rsidR="00196521">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8AB1" w14:textId="77777777" w:rsidR="000D7878" w:rsidRPr="004E0C44" w:rsidRDefault="000D7878" w:rsidP="004E0C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65C4F" w:rsidRPr="004E0C44" w:rsidRDefault="00765C4F" w:rsidP="004E0C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00A1506A" w:rsidR="00765C4F" w:rsidRPr="004E0C44" w:rsidRDefault="004E0C44" w:rsidP="004E0C44">
    <w:pPr>
      <w:pStyle w:val="Footer"/>
    </w:pPr>
    <w:r>
      <w:t xml:space="preserve">EESC-2023-00570-00-00-TCD-TRA (EN) </w:t>
    </w:r>
    <w:r>
      <w:fldChar w:fldCharType="begin"/>
    </w:r>
    <w:r>
      <w:instrText xml:space="preserve"> PAGE  \* Arabic  \* MERGEFORMAT </w:instrText>
    </w:r>
    <w:r>
      <w:fldChar w:fldCharType="separate"/>
    </w:r>
    <w:r>
      <w:t>2</w:t>
    </w:r>
    <w:r>
      <w:fldChar w:fldCharType="end"/>
    </w:r>
    <w:r>
      <w:t>/</w:t>
    </w:r>
    <w:fldSimple w:instr=" NUMPAGES ">
      <w:r>
        <w:t>12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65C4F" w:rsidRPr="004E0C44" w:rsidRDefault="00765C4F" w:rsidP="004E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0787" w14:textId="77777777" w:rsidR="00765C4F" w:rsidRDefault="00765C4F" w:rsidP="003B0516">
      <w:pPr>
        <w:spacing w:line="240" w:lineRule="auto"/>
      </w:pPr>
      <w:r>
        <w:separator/>
      </w:r>
    </w:p>
  </w:footnote>
  <w:footnote w:type="continuationSeparator" w:id="0">
    <w:p w14:paraId="7CEDF243" w14:textId="77777777" w:rsidR="00765C4F" w:rsidRDefault="00765C4F"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AAFB" w14:textId="77777777" w:rsidR="000D7878" w:rsidRPr="004E0C44" w:rsidRDefault="000D7878" w:rsidP="004E0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F49C" w14:textId="6731C39A" w:rsidR="000D7878" w:rsidRPr="004E0C44" w:rsidRDefault="000D7878" w:rsidP="004E0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8377" w14:textId="77777777" w:rsidR="000D7878" w:rsidRPr="004E0C44" w:rsidRDefault="000D7878" w:rsidP="004E0C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65C4F" w:rsidRPr="004E0C44" w:rsidRDefault="00765C4F" w:rsidP="004E0C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11AD884D" w:rsidR="00765C4F" w:rsidRPr="004E0C44" w:rsidRDefault="00765C4F" w:rsidP="004E0C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65C4F" w:rsidRPr="004E0C44" w:rsidRDefault="00765C4F" w:rsidP="004E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9F5812"/>
    <w:multiLevelType w:val="hybridMultilevel"/>
    <w:tmpl w:val="E554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B45E7"/>
    <w:multiLevelType w:val="hybridMultilevel"/>
    <w:tmpl w:val="AE102DF4"/>
    <w:lvl w:ilvl="0" w:tplc="040C0001">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5"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8"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0"/>
  </w:num>
  <w:num w:numId="3">
    <w:abstractNumId w:val="23"/>
  </w:num>
  <w:num w:numId="4">
    <w:abstractNumId w:val="3"/>
  </w:num>
  <w:num w:numId="5">
    <w:abstractNumId w:val="17"/>
  </w:num>
  <w:num w:numId="6">
    <w:abstractNumId w:val="9"/>
  </w:num>
  <w:num w:numId="7">
    <w:abstractNumId w:val="4"/>
  </w:num>
  <w:num w:numId="8">
    <w:abstractNumId w:val="8"/>
  </w:num>
  <w:num w:numId="9">
    <w:abstractNumId w:val="7"/>
  </w:num>
  <w:num w:numId="10">
    <w:abstractNumId w:val="24"/>
  </w:num>
  <w:num w:numId="11">
    <w:abstractNumId w:val="12"/>
  </w:num>
  <w:num w:numId="12">
    <w:abstractNumId w:val="19"/>
  </w:num>
  <w:num w:numId="13">
    <w:abstractNumId w:val="0"/>
  </w:num>
  <w:num w:numId="14">
    <w:abstractNumId w:val="0"/>
  </w:num>
  <w:num w:numId="15">
    <w:abstractNumId w:val="18"/>
  </w:num>
  <w:num w:numId="16">
    <w:abstractNumId w:val="13"/>
  </w:num>
  <w:num w:numId="17">
    <w:abstractNumId w:val="0"/>
  </w:num>
  <w:num w:numId="18">
    <w:abstractNumId w:val="0"/>
  </w:num>
  <w:num w:numId="19">
    <w:abstractNumId w:val="21"/>
  </w:num>
  <w:num w:numId="20">
    <w:abstractNumId w:val="6"/>
  </w:num>
  <w:num w:numId="21">
    <w:abstractNumId w:val="16"/>
  </w:num>
  <w:num w:numId="22">
    <w:abstractNumId w:val="10"/>
  </w:num>
  <w:num w:numId="23">
    <w:abstractNumId w:val="11"/>
  </w:num>
  <w:num w:numId="24">
    <w:abstractNumId w:val="25"/>
  </w:num>
  <w:num w:numId="25">
    <w:abstractNumId w:val="15"/>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 w:numId="28">
    <w:abstractNumId w:val="2"/>
  </w:num>
  <w:num w:numId="29">
    <w:abstractNumId w:val="5"/>
  </w:num>
  <w:num w:numId="30">
    <w:abstractNumId w:val="14"/>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2061"/>
    <w:rsid w:val="000142E0"/>
    <w:rsid w:val="00014C93"/>
    <w:rsid w:val="00015E18"/>
    <w:rsid w:val="00017B56"/>
    <w:rsid w:val="000232FA"/>
    <w:rsid w:val="00023DE9"/>
    <w:rsid w:val="0002450A"/>
    <w:rsid w:val="000247C5"/>
    <w:rsid w:val="00024D79"/>
    <w:rsid w:val="000257FE"/>
    <w:rsid w:val="00027072"/>
    <w:rsid w:val="00027441"/>
    <w:rsid w:val="00031589"/>
    <w:rsid w:val="00032038"/>
    <w:rsid w:val="0003271A"/>
    <w:rsid w:val="00032BAA"/>
    <w:rsid w:val="00034E35"/>
    <w:rsid w:val="00036505"/>
    <w:rsid w:val="00037A85"/>
    <w:rsid w:val="000402AE"/>
    <w:rsid w:val="00041C4A"/>
    <w:rsid w:val="0004205F"/>
    <w:rsid w:val="000421E0"/>
    <w:rsid w:val="00050002"/>
    <w:rsid w:val="0005110E"/>
    <w:rsid w:val="0005170F"/>
    <w:rsid w:val="0005495B"/>
    <w:rsid w:val="00055D63"/>
    <w:rsid w:val="00056079"/>
    <w:rsid w:val="00056B3E"/>
    <w:rsid w:val="00057592"/>
    <w:rsid w:val="00063DFF"/>
    <w:rsid w:val="00063F30"/>
    <w:rsid w:val="00064EDE"/>
    <w:rsid w:val="00066DC7"/>
    <w:rsid w:val="0007015C"/>
    <w:rsid w:val="00070AAE"/>
    <w:rsid w:val="00070FEE"/>
    <w:rsid w:val="0007146F"/>
    <w:rsid w:val="00071F4C"/>
    <w:rsid w:val="00073491"/>
    <w:rsid w:val="000764E8"/>
    <w:rsid w:val="00076BA9"/>
    <w:rsid w:val="0008102A"/>
    <w:rsid w:val="00083845"/>
    <w:rsid w:val="000911BF"/>
    <w:rsid w:val="00092425"/>
    <w:rsid w:val="000951A1"/>
    <w:rsid w:val="000956DB"/>
    <w:rsid w:val="00096786"/>
    <w:rsid w:val="000A007B"/>
    <w:rsid w:val="000A03BD"/>
    <w:rsid w:val="000A1218"/>
    <w:rsid w:val="000A558D"/>
    <w:rsid w:val="000A74DC"/>
    <w:rsid w:val="000A7BA8"/>
    <w:rsid w:val="000B01F7"/>
    <w:rsid w:val="000B19C4"/>
    <w:rsid w:val="000B1AE6"/>
    <w:rsid w:val="000B5831"/>
    <w:rsid w:val="000B7D8A"/>
    <w:rsid w:val="000C18CA"/>
    <w:rsid w:val="000C3942"/>
    <w:rsid w:val="000C43E2"/>
    <w:rsid w:val="000C6D0B"/>
    <w:rsid w:val="000D2F8F"/>
    <w:rsid w:val="000D65AC"/>
    <w:rsid w:val="000D7878"/>
    <w:rsid w:val="000E37FD"/>
    <w:rsid w:val="000E447F"/>
    <w:rsid w:val="000E56EA"/>
    <w:rsid w:val="000E5FFD"/>
    <w:rsid w:val="000E6108"/>
    <w:rsid w:val="000F2BDB"/>
    <w:rsid w:val="000F53B7"/>
    <w:rsid w:val="000F679A"/>
    <w:rsid w:val="001000A8"/>
    <w:rsid w:val="001016BE"/>
    <w:rsid w:val="00104B7A"/>
    <w:rsid w:val="00106358"/>
    <w:rsid w:val="001106FB"/>
    <w:rsid w:val="00113B00"/>
    <w:rsid w:val="001140AE"/>
    <w:rsid w:val="001167A1"/>
    <w:rsid w:val="00116A1C"/>
    <w:rsid w:val="001179DB"/>
    <w:rsid w:val="00117AA8"/>
    <w:rsid w:val="00120215"/>
    <w:rsid w:val="00120BA5"/>
    <w:rsid w:val="00124D7C"/>
    <w:rsid w:val="00126D3E"/>
    <w:rsid w:val="001271C3"/>
    <w:rsid w:val="001400C7"/>
    <w:rsid w:val="001445A7"/>
    <w:rsid w:val="001455A1"/>
    <w:rsid w:val="00150AD8"/>
    <w:rsid w:val="001513FD"/>
    <w:rsid w:val="00153032"/>
    <w:rsid w:val="001543FE"/>
    <w:rsid w:val="00155B53"/>
    <w:rsid w:val="00163106"/>
    <w:rsid w:val="00164813"/>
    <w:rsid w:val="001744F9"/>
    <w:rsid w:val="00174763"/>
    <w:rsid w:val="001760E9"/>
    <w:rsid w:val="0018231C"/>
    <w:rsid w:val="00182F92"/>
    <w:rsid w:val="001861B4"/>
    <w:rsid w:val="001865D3"/>
    <w:rsid w:val="00191597"/>
    <w:rsid w:val="001951FD"/>
    <w:rsid w:val="00196521"/>
    <w:rsid w:val="0019715D"/>
    <w:rsid w:val="001A0AD4"/>
    <w:rsid w:val="001A2273"/>
    <w:rsid w:val="001A267A"/>
    <w:rsid w:val="001A7476"/>
    <w:rsid w:val="001B10DA"/>
    <w:rsid w:val="001B6460"/>
    <w:rsid w:val="001C226F"/>
    <w:rsid w:val="001C3412"/>
    <w:rsid w:val="001C4EDC"/>
    <w:rsid w:val="001C5D5C"/>
    <w:rsid w:val="001D1F54"/>
    <w:rsid w:val="001D2636"/>
    <w:rsid w:val="001D6FFF"/>
    <w:rsid w:val="001D770D"/>
    <w:rsid w:val="001E0F0C"/>
    <w:rsid w:val="001E2286"/>
    <w:rsid w:val="001E6413"/>
    <w:rsid w:val="001F1433"/>
    <w:rsid w:val="001F1862"/>
    <w:rsid w:val="001F56CE"/>
    <w:rsid w:val="001F6FD5"/>
    <w:rsid w:val="001F773D"/>
    <w:rsid w:val="00200222"/>
    <w:rsid w:val="0020062C"/>
    <w:rsid w:val="002037FC"/>
    <w:rsid w:val="00203BF4"/>
    <w:rsid w:val="002043D7"/>
    <w:rsid w:val="002049FA"/>
    <w:rsid w:val="00205D0D"/>
    <w:rsid w:val="00215520"/>
    <w:rsid w:val="0021590B"/>
    <w:rsid w:val="00215FAB"/>
    <w:rsid w:val="00221313"/>
    <w:rsid w:val="00224583"/>
    <w:rsid w:val="0022582C"/>
    <w:rsid w:val="00225BCA"/>
    <w:rsid w:val="00225C52"/>
    <w:rsid w:val="00226DC1"/>
    <w:rsid w:val="00227E12"/>
    <w:rsid w:val="00232374"/>
    <w:rsid w:val="002326F4"/>
    <w:rsid w:val="002328D2"/>
    <w:rsid w:val="00237481"/>
    <w:rsid w:val="00242666"/>
    <w:rsid w:val="00245A60"/>
    <w:rsid w:val="00245CD4"/>
    <w:rsid w:val="00247E02"/>
    <w:rsid w:val="00251418"/>
    <w:rsid w:val="00255669"/>
    <w:rsid w:val="00256F0A"/>
    <w:rsid w:val="00261903"/>
    <w:rsid w:val="00261FDB"/>
    <w:rsid w:val="00270828"/>
    <w:rsid w:val="002737D4"/>
    <w:rsid w:val="00274DCF"/>
    <w:rsid w:val="00276CC9"/>
    <w:rsid w:val="002776B9"/>
    <w:rsid w:val="00291154"/>
    <w:rsid w:val="00292D44"/>
    <w:rsid w:val="00293765"/>
    <w:rsid w:val="00293E9C"/>
    <w:rsid w:val="00295B97"/>
    <w:rsid w:val="00295BCB"/>
    <w:rsid w:val="002962DA"/>
    <w:rsid w:val="002A2F38"/>
    <w:rsid w:val="002A417C"/>
    <w:rsid w:val="002A48B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03B9"/>
    <w:rsid w:val="002D3FFF"/>
    <w:rsid w:val="002D4C38"/>
    <w:rsid w:val="002D5A51"/>
    <w:rsid w:val="002E01B5"/>
    <w:rsid w:val="002E44D6"/>
    <w:rsid w:val="002E459D"/>
    <w:rsid w:val="002E5473"/>
    <w:rsid w:val="002E62B0"/>
    <w:rsid w:val="002F32E6"/>
    <w:rsid w:val="002F63EB"/>
    <w:rsid w:val="00305834"/>
    <w:rsid w:val="00311562"/>
    <w:rsid w:val="003123CB"/>
    <w:rsid w:val="003165A9"/>
    <w:rsid w:val="0032154F"/>
    <w:rsid w:val="0032266E"/>
    <w:rsid w:val="003227CC"/>
    <w:rsid w:val="0032340F"/>
    <w:rsid w:val="00323A05"/>
    <w:rsid w:val="003262D8"/>
    <w:rsid w:val="00326919"/>
    <w:rsid w:val="00331ACB"/>
    <w:rsid w:val="00331C12"/>
    <w:rsid w:val="00333F1A"/>
    <w:rsid w:val="00340F46"/>
    <w:rsid w:val="00342F72"/>
    <w:rsid w:val="003505DD"/>
    <w:rsid w:val="00350A12"/>
    <w:rsid w:val="00350F5C"/>
    <w:rsid w:val="003527B4"/>
    <w:rsid w:val="00353D37"/>
    <w:rsid w:val="00360C81"/>
    <w:rsid w:val="00361E48"/>
    <w:rsid w:val="0036641A"/>
    <w:rsid w:val="00370548"/>
    <w:rsid w:val="00370CCB"/>
    <w:rsid w:val="00376574"/>
    <w:rsid w:val="00394949"/>
    <w:rsid w:val="00396061"/>
    <w:rsid w:val="003965BB"/>
    <w:rsid w:val="003A0DB7"/>
    <w:rsid w:val="003A7071"/>
    <w:rsid w:val="003B0516"/>
    <w:rsid w:val="003B2007"/>
    <w:rsid w:val="003B3C5F"/>
    <w:rsid w:val="003B3D68"/>
    <w:rsid w:val="003B6760"/>
    <w:rsid w:val="003C07C5"/>
    <w:rsid w:val="003C0E5B"/>
    <w:rsid w:val="003C0FF2"/>
    <w:rsid w:val="003C2647"/>
    <w:rsid w:val="003C3F66"/>
    <w:rsid w:val="003C4172"/>
    <w:rsid w:val="003C4D5B"/>
    <w:rsid w:val="003C5614"/>
    <w:rsid w:val="003D33F7"/>
    <w:rsid w:val="003D4576"/>
    <w:rsid w:val="003D4F68"/>
    <w:rsid w:val="003D5339"/>
    <w:rsid w:val="003D57BD"/>
    <w:rsid w:val="003D76E2"/>
    <w:rsid w:val="003E2757"/>
    <w:rsid w:val="003E5137"/>
    <w:rsid w:val="003E674F"/>
    <w:rsid w:val="003E692C"/>
    <w:rsid w:val="003F0159"/>
    <w:rsid w:val="003F2D36"/>
    <w:rsid w:val="003F510A"/>
    <w:rsid w:val="003F6382"/>
    <w:rsid w:val="0040019C"/>
    <w:rsid w:val="00400A1F"/>
    <w:rsid w:val="00403406"/>
    <w:rsid w:val="004047A6"/>
    <w:rsid w:val="004047B1"/>
    <w:rsid w:val="00405802"/>
    <w:rsid w:val="00405FD9"/>
    <w:rsid w:val="0040654F"/>
    <w:rsid w:val="00406DDB"/>
    <w:rsid w:val="00407760"/>
    <w:rsid w:val="004109E7"/>
    <w:rsid w:val="00413EA0"/>
    <w:rsid w:val="004146D0"/>
    <w:rsid w:val="00426ECD"/>
    <w:rsid w:val="00427161"/>
    <w:rsid w:val="004331B4"/>
    <w:rsid w:val="004415E2"/>
    <w:rsid w:val="00441E45"/>
    <w:rsid w:val="004429E2"/>
    <w:rsid w:val="004442D3"/>
    <w:rsid w:val="004511AE"/>
    <w:rsid w:val="00456E3C"/>
    <w:rsid w:val="00462B31"/>
    <w:rsid w:val="00463300"/>
    <w:rsid w:val="004646AF"/>
    <w:rsid w:val="0046631E"/>
    <w:rsid w:val="00467BE4"/>
    <w:rsid w:val="00470719"/>
    <w:rsid w:val="00472A79"/>
    <w:rsid w:val="00472E72"/>
    <w:rsid w:val="004734C7"/>
    <w:rsid w:val="004755C3"/>
    <w:rsid w:val="00477361"/>
    <w:rsid w:val="004904F9"/>
    <w:rsid w:val="00492ED3"/>
    <w:rsid w:val="0049347F"/>
    <w:rsid w:val="004971E8"/>
    <w:rsid w:val="004A46D9"/>
    <w:rsid w:val="004A5CD7"/>
    <w:rsid w:val="004B2250"/>
    <w:rsid w:val="004B344F"/>
    <w:rsid w:val="004B3957"/>
    <w:rsid w:val="004B7248"/>
    <w:rsid w:val="004B72DD"/>
    <w:rsid w:val="004C1E12"/>
    <w:rsid w:val="004C2872"/>
    <w:rsid w:val="004C40E4"/>
    <w:rsid w:val="004D2E64"/>
    <w:rsid w:val="004D65FF"/>
    <w:rsid w:val="004D7AC0"/>
    <w:rsid w:val="004E0C44"/>
    <w:rsid w:val="004E114D"/>
    <w:rsid w:val="004E3304"/>
    <w:rsid w:val="004F2430"/>
    <w:rsid w:val="004F68A8"/>
    <w:rsid w:val="00502B04"/>
    <w:rsid w:val="00502C82"/>
    <w:rsid w:val="005030F7"/>
    <w:rsid w:val="00510903"/>
    <w:rsid w:val="00516FB9"/>
    <w:rsid w:val="005224FE"/>
    <w:rsid w:val="00530644"/>
    <w:rsid w:val="00531E0B"/>
    <w:rsid w:val="00533AA9"/>
    <w:rsid w:val="00533BF2"/>
    <w:rsid w:val="0053502B"/>
    <w:rsid w:val="0054010D"/>
    <w:rsid w:val="00542C6F"/>
    <w:rsid w:val="005445DD"/>
    <w:rsid w:val="00546842"/>
    <w:rsid w:val="005475DA"/>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946"/>
    <w:rsid w:val="005A755F"/>
    <w:rsid w:val="005B0E27"/>
    <w:rsid w:val="005B3012"/>
    <w:rsid w:val="005B5038"/>
    <w:rsid w:val="005C0363"/>
    <w:rsid w:val="005C0454"/>
    <w:rsid w:val="005C6297"/>
    <w:rsid w:val="005C7858"/>
    <w:rsid w:val="005C7C47"/>
    <w:rsid w:val="005D55F5"/>
    <w:rsid w:val="005D621C"/>
    <w:rsid w:val="005D6E4D"/>
    <w:rsid w:val="005D76AC"/>
    <w:rsid w:val="005D7939"/>
    <w:rsid w:val="005E23CD"/>
    <w:rsid w:val="005E2C02"/>
    <w:rsid w:val="005E3426"/>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50DB1"/>
    <w:rsid w:val="006568C8"/>
    <w:rsid w:val="006604D8"/>
    <w:rsid w:val="00662436"/>
    <w:rsid w:val="006669FA"/>
    <w:rsid w:val="00666A72"/>
    <w:rsid w:val="00670347"/>
    <w:rsid w:val="00675177"/>
    <w:rsid w:val="00676CBB"/>
    <w:rsid w:val="00677979"/>
    <w:rsid w:val="00681B23"/>
    <w:rsid w:val="0068241A"/>
    <w:rsid w:val="006849A6"/>
    <w:rsid w:val="00687C49"/>
    <w:rsid w:val="0069051C"/>
    <w:rsid w:val="00691356"/>
    <w:rsid w:val="00693DE6"/>
    <w:rsid w:val="006967AE"/>
    <w:rsid w:val="006A1317"/>
    <w:rsid w:val="006A3A88"/>
    <w:rsid w:val="006A42C1"/>
    <w:rsid w:val="006A5AA8"/>
    <w:rsid w:val="006B106B"/>
    <w:rsid w:val="006B265F"/>
    <w:rsid w:val="006C4311"/>
    <w:rsid w:val="006C4ED2"/>
    <w:rsid w:val="006D32E3"/>
    <w:rsid w:val="006D4847"/>
    <w:rsid w:val="006D6086"/>
    <w:rsid w:val="006E0E88"/>
    <w:rsid w:val="006E3078"/>
    <w:rsid w:val="006E3F60"/>
    <w:rsid w:val="006E6434"/>
    <w:rsid w:val="006F1B2E"/>
    <w:rsid w:val="006F2BFD"/>
    <w:rsid w:val="006F3409"/>
    <w:rsid w:val="00700030"/>
    <w:rsid w:val="00701CBA"/>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02E2"/>
    <w:rsid w:val="008103DE"/>
    <w:rsid w:val="00812594"/>
    <w:rsid w:val="00813A00"/>
    <w:rsid w:val="00814E33"/>
    <w:rsid w:val="008159E1"/>
    <w:rsid w:val="008172B0"/>
    <w:rsid w:val="00822ED8"/>
    <w:rsid w:val="00824647"/>
    <w:rsid w:val="00824DCF"/>
    <w:rsid w:val="0082509A"/>
    <w:rsid w:val="00827B0E"/>
    <w:rsid w:val="008327B1"/>
    <w:rsid w:val="00833E27"/>
    <w:rsid w:val="00835925"/>
    <w:rsid w:val="00836740"/>
    <w:rsid w:val="00841374"/>
    <w:rsid w:val="0084226D"/>
    <w:rsid w:val="00842465"/>
    <w:rsid w:val="00842BDD"/>
    <w:rsid w:val="00842C71"/>
    <w:rsid w:val="00844B87"/>
    <w:rsid w:val="00847288"/>
    <w:rsid w:val="00847B19"/>
    <w:rsid w:val="0085096C"/>
    <w:rsid w:val="00855196"/>
    <w:rsid w:val="00855772"/>
    <w:rsid w:val="0086045C"/>
    <w:rsid w:val="008608BA"/>
    <w:rsid w:val="00861942"/>
    <w:rsid w:val="00862DC9"/>
    <w:rsid w:val="0086458A"/>
    <w:rsid w:val="008737C0"/>
    <w:rsid w:val="008745F7"/>
    <w:rsid w:val="00881E9B"/>
    <w:rsid w:val="0088219D"/>
    <w:rsid w:val="00882D7E"/>
    <w:rsid w:val="00883682"/>
    <w:rsid w:val="0088465F"/>
    <w:rsid w:val="00884879"/>
    <w:rsid w:val="008854AE"/>
    <w:rsid w:val="00886448"/>
    <w:rsid w:val="008927A3"/>
    <w:rsid w:val="008946BF"/>
    <w:rsid w:val="00895C48"/>
    <w:rsid w:val="00896F71"/>
    <w:rsid w:val="008A0B15"/>
    <w:rsid w:val="008A4C14"/>
    <w:rsid w:val="008A6537"/>
    <w:rsid w:val="008B2544"/>
    <w:rsid w:val="008B26C6"/>
    <w:rsid w:val="008B2708"/>
    <w:rsid w:val="008B47C5"/>
    <w:rsid w:val="008B66DD"/>
    <w:rsid w:val="008B7198"/>
    <w:rsid w:val="008B72DD"/>
    <w:rsid w:val="008C18DE"/>
    <w:rsid w:val="008C3E09"/>
    <w:rsid w:val="008C5DFD"/>
    <w:rsid w:val="008D2131"/>
    <w:rsid w:val="008D5213"/>
    <w:rsid w:val="008E0C2F"/>
    <w:rsid w:val="008E5076"/>
    <w:rsid w:val="008E679C"/>
    <w:rsid w:val="008E7C2A"/>
    <w:rsid w:val="008F1627"/>
    <w:rsid w:val="00900BFC"/>
    <w:rsid w:val="009011ED"/>
    <w:rsid w:val="009049FC"/>
    <w:rsid w:val="009109F5"/>
    <w:rsid w:val="00912E0E"/>
    <w:rsid w:val="00912F6B"/>
    <w:rsid w:val="00914265"/>
    <w:rsid w:val="009150E9"/>
    <w:rsid w:val="009173E7"/>
    <w:rsid w:val="009177FF"/>
    <w:rsid w:val="00931584"/>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659B"/>
    <w:rsid w:val="00986C7F"/>
    <w:rsid w:val="00987507"/>
    <w:rsid w:val="009954A1"/>
    <w:rsid w:val="009A3E0E"/>
    <w:rsid w:val="009B0E36"/>
    <w:rsid w:val="009B2ADD"/>
    <w:rsid w:val="009B37E5"/>
    <w:rsid w:val="009B70E7"/>
    <w:rsid w:val="009B72AB"/>
    <w:rsid w:val="009C1329"/>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4EF7"/>
    <w:rsid w:val="009F5F78"/>
    <w:rsid w:val="009F706B"/>
    <w:rsid w:val="00A00F37"/>
    <w:rsid w:val="00A0410F"/>
    <w:rsid w:val="00A048E9"/>
    <w:rsid w:val="00A049D5"/>
    <w:rsid w:val="00A06E9E"/>
    <w:rsid w:val="00A10A98"/>
    <w:rsid w:val="00A20E9D"/>
    <w:rsid w:val="00A23F52"/>
    <w:rsid w:val="00A26217"/>
    <w:rsid w:val="00A30792"/>
    <w:rsid w:val="00A30B84"/>
    <w:rsid w:val="00A3344B"/>
    <w:rsid w:val="00A367AA"/>
    <w:rsid w:val="00A37880"/>
    <w:rsid w:val="00A45EC3"/>
    <w:rsid w:val="00A46122"/>
    <w:rsid w:val="00A47CF5"/>
    <w:rsid w:val="00A51F03"/>
    <w:rsid w:val="00A51F67"/>
    <w:rsid w:val="00A522D4"/>
    <w:rsid w:val="00A5507B"/>
    <w:rsid w:val="00A61524"/>
    <w:rsid w:val="00A62F57"/>
    <w:rsid w:val="00A63413"/>
    <w:rsid w:val="00A6556C"/>
    <w:rsid w:val="00A659B5"/>
    <w:rsid w:val="00A661BB"/>
    <w:rsid w:val="00A720CF"/>
    <w:rsid w:val="00A743EB"/>
    <w:rsid w:val="00A74B4C"/>
    <w:rsid w:val="00A763E7"/>
    <w:rsid w:val="00A827D2"/>
    <w:rsid w:val="00A847C3"/>
    <w:rsid w:val="00A86E2C"/>
    <w:rsid w:val="00A9462E"/>
    <w:rsid w:val="00A94E45"/>
    <w:rsid w:val="00AA05F8"/>
    <w:rsid w:val="00AA22BE"/>
    <w:rsid w:val="00AA5C1D"/>
    <w:rsid w:val="00AA5C61"/>
    <w:rsid w:val="00AA69BF"/>
    <w:rsid w:val="00AA7DA3"/>
    <w:rsid w:val="00AB0B62"/>
    <w:rsid w:val="00AB20C0"/>
    <w:rsid w:val="00AB3045"/>
    <w:rsid w:val="00AB4D68"/>
    <w:rsid w:val="00AB5E6A"/>
    <w:rsid w:val="00AB72EB"/>
    <w:rsid w:val="00AC567A"/>
    <w:rsid w:val="00AC7690"/>
    <w:rsid w:val="00AD1524"/>
    <w:rsid w:val="00AD3DB1"/>
    <w:rsid w:val="00AD6708"/>
    <w:rsid w:val="00AD75EB"/>
    <w:rsid w:val="00AE0A52"/>
    <w:rsid w:val="00AE2E3C"/>
    <w:rsid w:val="00AE4F16"/>
    <w:rsid w:val="00AF10D4"/>
    <w:rsid w:val="00AF1233"/>
    <w:rsid w:val="00AF2C37"/>
    <w:rsid w:val="00AF45AD"/>
    <w:rsid w:val="00AF4F10"/>
    <w:rsid w:val="00AF5A72"/>
    <w:rsid w:val="00B00DCF"/>
    <w:rsid w:val="00B0229E"/>
    <w:rsid w:val="00B02467"/>
    <w:rsid w:val="00B0753C"/>
    <w:rsid w:val="00B10934"/>
    <w:rsid w:val="00B11964"/>
    <w:rsid w:val="00B13B9C"/>
    <w:rsid w:val="00B1403C"/>
    <w:rsid w:val="00B24B60"/>
    <w:rsid w:val="00B24C28"/>
    <w:rsid w:val="00B2754C"/>
    <w:rsid w:val="00B30118"/>
    <w:rsid w:val="00B339AC"/>
    <w:rsid w:val="00B34E93"/>
    <w:rsid w:val="00B35908"/>
    <w:rsid w:val="00B40093"/>
    <w:rsid w:val="00B40158"/>
    <w:rsid w:val="00B41E79"/>
    <w:rsid w:val="00B42E2F"/>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406F"/>
    <w:rsid w:val="00B656FE"/>
    <w:rsid w:val="00B67EDA"/>
    <w:rsid w:val="00B73746"/>
    <w:rsid w:val="00B7530C"/>
    <w:rsid w:val="00B76922"/>
    <w:rsid w:val="00B77513"/>
    <w:rsid w:val="00B77F1B"/>
    <w:rsid w:val="00B81D0F"/>
    <w:rsid w:val="00B83A51"/>
    <w:rsid w:val="00B83E7B"/>
    <w:rsid w:val="00B85573"/>
    <w:rsid w:val="00B876EC"/>
    <w:rsid w:val="00B90D85"/>
    <w:rsid w:val="00B92B86"/>
    <w:rsid w:val="00B9776A"/>
    <w:rsid w:val="00B97AA6"/>
    <w:rsid w:val="00BA051D"/>
    <w:rsid w:val="00BA494E"/>
    <w:rsid w:val="00BA579D"/>
    <w:rsid w:val="00BB054C"/>
    <w:rsid w:val="00BB1EE2"/>
    <w:rsid w:val="00BB37C1"/>
    <w:rsid w:val="00BB3A55"/>
    <w:rsid w:val="00BB3AF7"/>
    <w:rsid w:val="00BB739D"/>
    <w:rsid w:val="00BC1767"/>
    <w:rsid w:val="00BC29C8"/>
    <w:rsid w:val="00BC3670"/>
    <w:rsid w:val="00BC375B"/>
    <w:rsid w:val="00BC3FCE"/>
    <w:rsid w:val="00BC41D9"/>
    <w:rsid w:val="00BD00EB"/>
    <w:rsid w:val="00BD1E0C"/>
    <w:rsid w:val="00BD436C"/>
    <w:rsid w:val="00BD4DBF"/>
    <w:rsid w:val="00BD6E79"/>
    <w:rsid w:val="00BD7550"/>
    <w:rsid w:val="00BD7A8C"/>
    <w:rsid w:val="00BE12B3"/>
    <w:rsid w:val="00BE40C9"/>
    <w:rsid w:val="00BE5754"/>
    <w:rsid w:val="00BE6D5A"/>
    <w:rsid w:val="00BF27C9"/>
    <w:rsid w:val="00BF6653"/>
    <w:rsid w:val="00C005B2"/>
    <w:rsid w:val="00C00B1F"/>
    <w:rsid w:val="00C0119D"/>
    <w:rsid w:val="00C10C77"/>
    <w:rsid w:val="00C23683"/>
    <w:rsid w:val="00C259DF"/>
    <w:rsid w:val="00C25DB3"/>
    <w:rsid w:val="00C331A1"/>
    <w:rsid w:val="00C34B35"/>
    <w:rsid w:val="00C37AC2"/>
    <w:rsid w:val="00C437AB"/>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1127"/>
    <w:rsid w:val="00CA3848"/>
    <w:rsid w:val="00CA684E"/>
    <w:rsid w:val="00CA685D"/>
    <w:rsid w:val="00CA6928"/>
    <w:rsid w:val="00CA7D13"/>
    <w:rsid w:val="00CB0CBA"/>
    <w:rsid w:val="00CB1215"/>
    <w:rsid w:val="00CB1D03"/>
    <w:rsid w:val="00CB2A8A"/>
    <w:rsid w:val="00CB3335"/>
    <w:rsid w:val="00CB3574"/>
    <w:rsid w:val="00CB4448"/>
    <w:rsid w:val="00CB6509"/>
    <w:rsid w:val="00CC25F9"/>
    <w:rsid w:val="00CC521C"/>
    <w:rsid w:val="00CD1982"/>
    <w:rsid w:val="00CD7E1B"/>
    <w:rsid w:val="00CD7F66"/>
    <w:rsid w:val="00CE0EA4"/>
    <w:rsid w:val="00CE23CC"/>
    <w:rsid w:val="00CE48CB"/>
    <w:rsid w:val="00CE7111"/>
    <w:rsid w:val="00CF2F88"/>
    <w:rsid w:val="00CF3D01"/>
    <w:rsid w:val="00CF5AC7"/>
    <w:rsid w:val="00CF7381"/>
    <w:rsid w:val="00CF7F58"/>
    <w:rsid w:val="00D0023B"/>
    <w:rsid w:val="00D007F3"/>
    <w:rsid w:val="00D00BF8"/>
    <w:rsid w:val="00D00D20"/>
    <w:rsid w:val="00D014A8"/>
    <w:rsid w:val="00D01E10"/>
    <w:rsid w:val="00D0461E"/>
    <w:rsid w:val="00D04678"/>
    <w:rsid w:val="00D13F40"/>
    <w:rsid w:val="00D145C1"/>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0F4B"/>
    <w:rsid w:val="00D761CD"/>
    <w:rsid w:val="00D76363"/>
    <w:rsid w:val="00D80558"/>
    <w:rsid w:val="00D80C88"/>
    <w:rsid w:val="00D8145F"/>
    <w:rsid w:val="00D82C3A"/>
    <w:rsid w:val="00D84FBD"/>
    <w:rsid w:val="00D85838"/>
    <w:rsid w:val="00D85D67"/>
    <w:rsid w:val="00D86432"/>
    <w:rsid w:val="00D91EA9"/>
    <w:rsid w:val="00D92EBC"/>
    <w:rsid w:val="00D944B2"/>
    <w:rsid w:val="00D979E8"/>
    <w:rsid w:val="00DA2D88"/>
    <w:rsid w:val="00DA608B"/>
    <w:rsid w:val="00DB2B61"/>
    <w:rsid w:val="00DB34D6"/>
    <w:rsid w:val="00DB5B6E"/>
    <w:rsid w:val="00DB6D98"/>
    <w:rsid w:val="00DC057E"/>
    <w:rsid w:val="00DC097D"/>
    <w:rsid w:val="00DC17CF"/>
    <w:rsid w:val="00DC28F0"/>
    <w:rsid w:val="00DC3563"/>
    <w:rsid w:val="00DC53E9"/>
    <w:rsid w:val="00DD23A2"/>
    <w:rsid w:val="00DD2512"/>
    <w:rsid w:val="00DD289C"/>
    <w:rsid w:val="00DD53BD"/>
    <w:rsid w:val="00DD735F"/>
    <w:rsid w:val="00DE010C"/>
    <w:rsid w:val="00DE308B"/>
    <w:rsid w:val="00DE3CA7"/>
    <w:rsid w:val="00DE65D0"/>
    <w:rsid w:val="00DE78E2"/>
    <w:rsid w:val="00DF25DF"/>
    <w:rsid w:val="00DF2640"/>
    <w:rsid w:val="00DF2B94"/>
    <w:rsid w:val="00DF349B"/>
    <w:rsid w:val="00DF3AB4"/>
    <w:rsid w:val="00DF3AB5"/>
    <w:rsid w:val="00DF590D"/>
    <w:rsid w:val="00E00CD3"/>
    <w:rsid w:val="00E02E1A"/>
    <w:rsid w:val="00E060CF"/>
    <w:rsid w:val="00E0620E"/>
    <w:rsid w:val="00E06456"/>
    <w:rsid w:val="00E074E2"/>
    <w:rsid w:val="00E119DF"/>
    <w:rsid w:val="00E11C18"/>
    <w:rsid w:val="00E15330"/>
    <w:rsid w:val="00E20579"/>
    <w:rsid w:val="00E207F0"/>
    <w:rsid w:val="00E20FC5"/>
    <w:rsid w:val="00E211D9"/>
    <w:rsid w:val="00E21482"/>
    <w:rsid w:val="00E227B2"/>
    <w:rsid w:val="00E24CDF"/>
    <w:rsid w:val="00E26F29"/>
    <w:rsid w:val="00E302BC"/>
    <w:rsid w:val="00E31954"/>
    <w:rsid w:val="00E33923"/>
    <w:rsid w:val="00E33D03"/>
    <w:rsid w:val="00E34279"/>
    <w:rsid w:val="00E36007"/>
    <w:rsid w:val="00E36EA1"/>
    <w:rsid w:val="00E4196E"/>
    <w:rsid w:val="00E4355F"/>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6232"/>
    <w:rsid w:val="00E87122"/>
    <w:rsid w:val="00E9792C"/>
    <w:rsid w:val="00EA1181"/>
    <w:rsid w:val="00EA2799"/>
    <w:rsid w:val="00EA2EC0"/>
    <w:rsid w:val="00EA403A"/>
    <w:rsid w:val="00EA74E6"/>
    <w:rsid w:val="00EA76FF"/>
    <w:rsid w:val="00EB051C"/>
    <w:rsid w:val="00EB3324"/>
    <w:rsid w:val="00EC05AD"/>
    <w:rsid w:val="00EC533C"/>
    <w:rsid w:val="00EC6B43"/>
    <w:rsid w:val="00EC7156"/>
    <w:rsid w:val="00EC78C3"/>
    <w:rsid w:val="00EC79EC"/>
    <w:rsid w:val="00ED20B6"/>
    <w:rsid w:val="00ED2A6A"/>
    <w:rsid w:val="00ED377B"/>
    <w:rsid w:val="00ED441B"/>
    <w:rsid w:val="00ED7BC2"/>
    <w:rsid w:val="00EE1E04"/>
    <w:rsid w:val="00EE7F61"/>
    <w:rsid w:val="00EF0853"/>
    <w:rsid w:val="00EF6631"/>
    <w:rsid w:val="00EF688F"/>
    <w:rsid w:val="00F00603"/>
    <w:rsid w:val="00F0060E"/>
    <w:rsid w:val="00F01CF2"/>
    <w:rsid w:val="00F01E91"/>
    <w:rsid w:val="00F03155"/>
    <w:rsid w:val="00F03950"/>
    <w:rsid w:val="00F049D6"/>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1327"/>
    <w:rsid w:val="00F545CF"/>
    <w:rsid w:val="00F63F2A"/>
    <w:rsid w:val="00F646EF"/>
    <w:rsid w:val="00F71666"/>
    <w:rsid w:val="00F72D85"/>
    <w:rsid w:val="00F804C6"/>
    <w:rsid w:val="00F80F3B"/>
    <w:rsid w:val="00F841DB"/>
    <w:rsid w:val="00F856AC"/>
    <w:rsid w:val="00F86531"/>
    <w:rsid w:val="00F86EB5"/>
    <w:rsid w:val="00F86F23"/>
    <w:rsid w:val="00F916E1"/>
    <w:rsid w:val="00F91827"/>
    <w:rsid w:val="00F929FB"/>
    <w:rsid w:val="00F941D5"/>
    <w:rsid w:val="00F946E1"/>
    <w:rsid w:val="00F94A84"/>
    <w:rsid w:val="00F9553E"/>
    <w:rsid w:val="00F95D18"/>
    <w:rsid w:val="00FA0183"/>
    <w:rsid w:val="00FA0704"/>
    <w:rsid w:val="00FA0D13"/>
    <w:rsid w:val="00FB044B"/>
    <w:rsid w:val="00FB1C7A"/>
    <w:rsid w:val="00FB24BA"/>
    <w:rsid w:val="00FB55E3"/>
    <w:rsid w:val="00FD3685"/>
    <w:rsid w:val="00FD3A69"/>
    <w:rsid w:val="00FD3EB9"/>
    <w:rsid w:val="00FE044C"/>
    <w:rsid w:val="00FE68B2"/>
    <w:rsid w:val="00FE7250"/>
    <w:rsid w:val="00FF16D1"/>
    <w:rsid w:val="00FF24B5"/>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576"/>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lt-LT"/>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lt/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Silvia.Staffa@eesc.europa.eu" TargetMode="External"/><Relationship Id="rId39" Type="http://schemas.openxmlformats.org/officeDocument/2006/relationships/customXml" Target="../customXml/item2.xml"/><Relationship Id="rId21" Type="http://schemas.openxmlformats.org/officeDocument/2006/relationships/hyperlink" Target="mailto:Colombe.Gregoire@eesc.europa.eu"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Marco.Manfroni@eesc.europa.eu" TargetMode="External"/><Relationship Id="rId33" Type="http://schemas.openxmlformats.org/officeDocument/2006/relationships/footer" Target="footer5.xml"/><Relationship Id="rId38"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Gaia.Bottoni@eesc.europa.eu" TargetMode="External"/><Relationship Id="rId41" Type="http://schemas.openxmlformats.org/officeDocument/2006/relationships/customXml" Target="../customXml/item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3.xml"/><Relationship Id="rId15" Type="http://schemas.openxmlformats.org/officeDocument/2006/relationships/header" Target="header1.xml"/><Relationship Id="rId23" Type="http://schemas.openxmlformats.org/officeDocument/2006/relationships/hyperlink" Target="mailto:Triin.Aasmaa@eesc.europa.eu" TargetMode="External"/><Relationship Id="rId28" Type="http://schemas.openxmlformats.org/officeDocument/2006/relationships/hyperlink" Target="mailto:Gaia.Bottoni@eesc.europa.e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Gaia.Bottoni@eesc.europa.eu"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XMKEDVFMMJCW-1266005036-5858</_dlc_DocId>
    <_dlc_DocIdUrl xmlns="56a5413d-c261-4a00-870c-a20d3379ae6d">
      <Url>http://dm2016/eesc/2023/_layouts/15/DocIdRedir.aspx?ID=XMKEDVFMMJCW-1266005036-5858</Url>
      <Description>XMKEDVFMMJCW-1266005036-5858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2023-03-14T12:00:00+00:00</ProductionDate>
    <DocumentNumber xmlns="8759b006-28ee-44c8-b138-16f6ad18758c">570</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2023-03-22T12:00:00+00:00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2006</FicheNumber>
    <OriginalSender xmlns="56a5413d-c261-4a00-870c-a20d3379ae6d">
      <UserInfo>
        <DisplayName>Siugzdinyte Ruta</DisplayName>
        <AccountId>1631</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577</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5745064-4DF3-457F-AD34-641F58634A86}"/>
</file>

<file path=customXml/itemProps2.xml><?xml version="1.0" encoding="utf-8"?>
<ds:datastoreItem xmlns:ds="http://schemas.openxmlformats.org/officeDocument/2006/customXml" ds:itemID="{24B4B841-25A9-4BDB-9CD2-418DB1067209}"/>
</file>

<file path=customXml/itemProps3.xml><?xml version="1.0" encoding="utf-8"?>
<ds:datastoreItem xmlns:ds="http://schemas.openxmlformats.org/officeDocument/2006/customXml" ds:itemID="{83CCC542-9A79-48CE-876E-0E2ACA9622AB}"/>
</file>

<file path=customXml/itemProps4.xml><?xml version="1.0" encoding="utf-8"?>
<ds:datastoreItem xmlns:ds="http://schemas.openxmlformats.org/officeDocument/2006/customXml" ds:itemID="{E88ABFEB-738C-4A42-A8A5-DE581303FCAD}"/>
</file>

<file path=docProps/app.xml><?xml version="1.0" encoding="utf-8"?>
<Properties xmlns="http://schemas.openxmlformats.org/officeDocument/2006/extended-properties" xmlns:vt="http://schemas.openxmlformats.org/officeDocument/2006/docPropsVTypes">
  <Template>Normal.dotm</Template>
  <TotalTime>5</TotalTime>
  <Pages>12</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Summary of opinions December plenary 2022</vt:lpstr>
    </vt:vector>
  </TitlesOfParts>
  <Company>CESE-CdR</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Nuomonių santrauka - 2023 m. vasario mėn. plenarinė sesija</dc:title>
  <dc:subject>TCD</dc:subject>
  <dc:creator>Nieddu Emma</dc:creator>
  <cp:keywords>EESC-2023-00570-00-00-TCD-TRA-EN</cp:keywords>
  <dc:description>Rapporteur:  - Original language: EN - Date of document: 14/03/2023 - Date of meeting: 30/22/2023 14:30 - External documents:  - Administrator: Mme DAMYANOVA-KERESTELIEVA Ani Alexieva</dc:description>
  <cp:lastModifiedBy>Siugzdinyte Ruta</cp:lastModifiedBy>
  <cp:revision>14</cp:revision>
  <cp:lastPrinted>2022-12-02T08:55:00Z</cp:lastPrinted>
  <dcterms:created xsi:type="dcterms:W3CDTF">2023-03-07T09:37:00Z</dcterms:created>
  <dcterms:modified xsi:type="dcterms:W3CDTF">2023-03-14T14:13:00Z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07/03/2023, 11/01/2023, 10/01/2023, 29/03/2022, 04/03/2022, 15/12/2021, 13/09/2021, 03/09/2021, 28/06/2021</vt:lpwstr>
  </property>
  <property fmtid="{D5CDD505-2E9C-101B-9397-08002B2CF9AE}" pid="4" name="Pref_Time">
    <vt:lpwstr>10:27:54, 10:12:15, 11:41:25, 14:21:50, 16:54:06, 17:56:36, 14:13:00, 10:08:10, 08:41:48</vt:lpwstr>
  </property>
  <property fmtid="{D5CDD505-2E9C-101B-9397-08002B2CF9AE}" pid="5" name="Pref_User">
    <vt:lpwstr>enied, pacup, enied, jhvi, enied, hnic, amett, enied, enied</vt:lpwstr>
  </property>
  <property fmtid="{D5CDD505-2E9C-101B-9397-08002B2CF9AE}" pid="6" name="Pref_FileName">
    <vt:lpwstr>EESC-2023-00570-00-00-TCD-ORI.docx, EESC-2022-05401-00-01-TCD-TRA.docx, EESC-2022-05401-00-00-TCD-ORI.docx, EESC-2022-01223-00-00-TCD-ORI.docx, EESC-2022-00391-00-00-TCD-ORI.docx, EESC-2021-05445-00-00-TCD-ORI.docx, EESC-2021-03366-00-01-TCD-ORI.docx, EES</vt:lpwstr>
  </property>
  <property fmtid="{D5CDD505-2E9C-101B-9397-08002B2CF9AE}" pid="7" name="ContentTypeId">
    <vt:lpwstr>0x010100EA97B91038054C99906057A708A1480A00CDB38A89627FC8409102604566BFD4EB</vt:lpwstr>
  </property>
  <property fmtid="{D5CDD505-2E9C-101B-9397-08002B2CF9AE}" pid="8" name="_dlc_DocIdItemGuid">
    <vt:lpwstr>80f5947a-4151-46a0-ac19-d19721c2eebe</vt:lpwstr>
  </property>
  <property fmtid="{D5CDD505-2E9C-101B-9397-08002B2CF9AE}" pid="9" name="AvailableTranslations">
    <vt:lpwstr>37;#CS|72f9705b-0217-4fd3-bea2-cbc7ed80e26e;#44;#BG|1a1b3951-7821-4e6a-85f5-5673fc08bd2c;#10;#FR|d2afafd3-4c81-4f60-8f52-ee33f2f54ff3;#5;#EN|f2175f21-25d7-44a3-96da-d6a61b075e1b;#16;#DE|f6b31e5a-26fa-4935-b661-318e46daf27e;#30;#IT|0774613c-01ed-4e5d-a25d-11d2388de825;#41;#HU|6b229040-c589-4408-b4c1-4285663d20a8;#46;#HR|2f555653-ed1a-4fe6-8362-9082d95989e5;#38;#EL|6d4f4d51-af9b-4650-94b4-4276bee85c91;#24;#PL|1e03da61-4678-4e07-b136-b5024ca9197b;#40;#RO|feb747a2-64cd-4299-af12-4833ddc30497;#34;#SK|46d9fce0-ef79-4f71-b89b-cd6aa82426b8;#35;#SL|98a412ae-eb01-49e9-ae3d-585a81724cfc;#42;#FI|87606a43-d45f-42d6-b8c9-e1a3457db5b7;#32;#PT|50ccc04a-eadd-42ae-a0cb-acaf45f812ba;#33;#LV|46f7e311-5d9f-4663-b433-18aeccb7ace7;#31;#NL|55c6556c-b4f4-441d-9acf-c498d4f838bd;#21;#SV|c2ed69e7-a339-43d7-8f22-d93680a92aa0;#39;#LT|a7ff5ce7-6123-4f68-865a-a57c31810414;#25;#ES|e7a6b05b-ae16-40c8-add9-68b64b03aeba;#43;#DA|5d49c027-8956-412b-aa16-e85a0f96ad0e;#45;#ET|ff6c3f4c-b02c-4c3c-ab07-2c37995a7a0a</vt:lpwstr>
  </property>
  <property fmtid="{D5CDD505-2E9C-101B-9397-08002B2CF9AE}" pid="10" name="DocumentType_0">
    <vt:lpwstr>TCD|cd9d6eb6-3f4f-424a-b2d1-57c9d450eaaf</vt:lpwstr>
  </property>
  <property fmtid="{D5CDD505-2E9C-101B-9397-08002B2CF9AE}" pid="11" name="MeetingNumber">
    <vt:i4>577</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570</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2023-03-22T12:00:00Z</vt:filetime>
  </property>
  <property fmtid="{D5CDD505-2E9C-101B-9397-08002B2CF9AE}" pid="29" name="AvailableTranslations_0">
    <vt:lpwstr>BG|1a1b3951-7821-4e6a-85f5-5673fc08bd2c;EN|f2175f21-25d7-44a3-96da-d6a61b075e1b;DE|f6b31e5a-26fa-4935-b661-318e46daf27e;IT|0774613c-01ed-4e5d-a25d-11d2388de825;HU|6b229040-c589-4408-b4c1-4285663d20a8;HR|2f555653-ed1a-4fe6-8362-9082d95989e5;FI|87606a43-d45f-42d6-b8c9-e1a3457db5b7;PT|50ccc04a-eadd-42ae-a0cb-acaf45f812ba;NL|55c6556c-b4f4-441d-9acf-c498d4f838bd;ES|e7a6b05b-ae16-40c8-add9-68b64b03aeba;DA|5d49c027-8956-412b-aa16-e85a0f96ad0e;ET|ff6c3f4c-b02c-4c3c-ab07-2c37995a7a0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32;#PT|50ccc04a-eadd-42ae-a0cb-acaf45f812ba;#31;#NL|55c6556c-b4f4-441d-9acf-c498d4f838bd;#30;#IT|0774613c-01ed-4e5d-a25d-11d2388de825;#25;#ES|e7a6b05b-ae16-40c8-add9-68b64b03aeba;#44;#BG|1a1b3951-7821-4e6a-85f5-5673fc08bd2c;#59;#SPL-CES|32d8cb1f-c9ec-4365-95c7-8385a18618ac;#45;#ET|ff6c3f4c-b02c-4c3c-ab07-2c37995a7a0a;#16;#DE|f6b31e5a-26fa-4935-b661-318e46daf27e;#46;#HR|2f555653-ed1a-4fe6-8362-9082d95989e5;#9;#Unrestricted|826e22d7-d029-4ec0-a450-0c28ff673572;#8;#TCD|cd9d6eb6-3f4f-424a-b2d1-57c9d450eaaf;#7;#Final|ea5e6674-7b27-4bac-b091-73adbb394efe;#43;#DA|5d49c027-8956-412b-aa16-e85a0f96ad0e;#5;#EN|f2175f21-25d7-44a3-96da-d6a61b075e1b;#41;#HU|6b229040-c589-4408-b4c1-4285663d20a8;#3;#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2006</vt:i4>
  </property>
  <property fmtid="{D5CDD505-2E9C-101B-9397-08002B2CF9AE}" pid="37" name="DocumentLanguage">
    <vt:lpwstr>39;#LT|a7ff5ce7-6123-4f68-865a-a57c31810414</vt:lpwstr>
  </property>
</Properties>
</file>