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70E7" w:rsidR="004D7AC0" w:rsidP="00116A1C" w:rsidRDefault="009E30B4" w14:paraId="785AE44C" w14:textId="41A98C3C">
      <w:pPr>
        <w:jc w:val="center"/>
      </w:pPr>
      <w:r>
        <w:rPr>
          <w:noProof/>
        </w:rPr>
        <w:drawing>
          <wp:inline distT="0" distB="0" distL="0" distR="0" wp14:anchorId="23BDBC6F" wp14:editId="09CABC61">
            <wp:extent cx="1792605" cy="1239520"/>
            <wp:effectExtent l="0" t="0" r="0" b="0"/>
            <wp:docPr id="2" name="Picture 2" title="EESCLogo_HR"/>
            <wp:cNvGraphicFramePr/>
            <a:graphic xmlns:a="http://schemas.openxmlformats.org/drawingml/2006/main">
              <a:graphicData uri="http://schemas.openxmlformats.org/drawingml/2006/picture">
                <pic:pic xmlns:pic="http://schemas.openxmlformats.org/drawingml/2006/picture">
                  <pic:nvPicPr>
                    <pic:cNvPr id="2" name="Picture 2" title="EESCLogo_H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9264" behindDoc="1" locked="0" layoutInCell="0" allowOverlap="1" wp14:editId="2075C014"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HR</w:t>
                      </w:r>
                    </w:p>
                  </w:txbxContent>
                </v:textbox>
                <w10:wrap anchorx="page" anchory="page"/>
              </v:shape>
            </w:pict>
          </mc:Fallback>
        </mc:AlternateContent>
      </w:r>
    </w:p>
    <w:p w:rsidRPr="009B70E7" w:rsidR="004D7AC0" w:rsidP="00CE5EA1" w:rsidRDefault="00CE5EA1" w14:paraId="51F52D79" w14:textId="7DD69155">
      <w:pPr>
        <w:tabs>
          <w:tab w:val="left" w:pos="7551"/>
        </w:tabs>
      </w:pPr>
      <w:r>
        <w:tab/>
      </w:r>
    </w:p>
    <w:p w:rsidRPr="009B70E7" w:rsidR="004D7AC0" w:rsidP="00116A1C" w:rsidRDefault="00014C93" w14:paraId="45DE4A28" w14:textId="11327C2A">
      <w:pPr>
        <w:jc w:val="right"/>
      </w:pPr>
      <w:r>
        <w:t>Bruxelles, 14. ožujka 2023.</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tbl>
      <w:tblPr>
        <w:tblW w:w="0" w:type="auto"/>
        <w:tblLook w:val="04A0" w:firstRow="1" w:lastRow="0" w:firstColumn="1" w:lastColumn="0" w:noHBand="0" w:noVBand="1"/>
      </w:tblPr>
      <w:tblGrid>
        <w:gridCol w:w="9073"/>
      </w:tblGrid>
      <w:tr w:rsidRPr="009B70E7" w:rsidR="004D7AC0" w:rsidTr="00662436" w14:paraId="6D7B3453" w14:textId="77777777">
        <w:tc>
          <w:tcPr>
            <w:tcW w:w="9289" w:type="dxa"/>
            <w:tcBorders>
              <w:bottom w:val="double" w:color="auto" w:sz="4" w:space="0"/>
            </w:tcBorders>
          </w:tcPr>
          <w:p w:rsidR="001760E9" w:rsidRDefault="00DA2D88" w14:paraId="3B286D4E" w14:textId="13F0755B">
            <w:pPr>
              <w:snapToGrid w:val="0"/>
              <w:jc w:val="center"/>
              <w:rPr>
                <w:b/>
                <w:sz w:val="32"/>
              </w:rPr>
            </w:pPr>
            <w:r>
              <w:rPr>
                <w:b/>
                <w:sz w:val="32"/>
              </w:rPr>
              <w:t>576. PLENARNO ZASJEDANJE</w:t>
            </w:r>
          </w:p>
          <w:p w:rsidR="001760E9" w:rsidRDefault="001760E9" w14:paraId="6C87A626" w14:textId="0AE2882C">
            <w:pPr>
              <w:snapToGrid w:val="0"/>
              <w:jc w:val="center"/>
              <w:rPr>
                <w:b/>
                <w:sz w:val="32"/>
              </w:rPr>
            </w:pPr>
          </w:p>
          <w:p w:rsidR="001760E9" w:rsidRDefault="00DF3AB4" w14:paraId="6CF7229C" w14:textId="5996F296">
            <w:pPr>
              <w:snapToGrid w:val="0"/>
              <w:jc w:val="center"/>
              <w:rPr>
                <w:b/>
                <w:sz w:val="32"/>
              </w:rPr>
            </w:pPr>
            <w:r>
              <w:rPr>
                <w:b/>
                <w:sz w:val="32"/>
              </w:rPr>
              <w:t>22. i 23. veljače 2023.</w:t>
            </w:r>
          </w:p>
          <w:p w:rsidR="001760E9" w:rsidRDefault="001760E9" w14:paraId="0C44BD01" w14:textId="2F8EBB07">
            <w:pPr>
              <w:snapToGrid w:val="0"/>
              <w:jc w:val="center"/>
              <w:rPr>
                <w:b/>
                <w:sz w:val="32"/>
              </w:rPr>
            </w:pPr>
          </w:p>
          <w:p w:rsidRPr="009B70E7" w:rsidR="004D7AC0" w:rsidRDefault="00CF2F88" w14:paraId="114106CC" w14:textId="11A9DA7B">
            <w:pPr>
              <w:snapToGrid w:val="0"/>
              <w:jc w:val="center"/>
              <w:rPr>
                <w:rFonts w:eastAsia="MS Mincho"/>
                <w:b/>
                <w:sz w:val="32"/>
                <w:szCs w:val="32"/>
              </w:rPr>
            </w:pPr>
            <w:r>
              <w:rPr>
                <w:b/>
                <w:sz w:val="32"/>
              </w:rPr>
              <w:t>SAŽETAK USVOJENIH MIŠLJENJA, REZOLUCIJA I INFORMATIVNIH/EVALUACIJSKIH IZVJEŠĆA</w:t>
            </w:r>
          </w:p>
          <w:p w:rsidRPr="009B70E7" w:rsidR="004D7AC0"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t>Ovaj dokument dostupan je na svim službenim jezicima Europske unije na internetskim stranicama EGSO-a:</w:t>
            </w:r>
            <w:r>
              <w:br/>
            </w:r>
            <w:r>
              <w:br/>
            </w:r>
            <w:hyperlink w:history="1" r:id="rId13">
              <w:r>
                <w:rPr>
                  <w:rStyle w:val="Hyperlink"/>
                  <w:highlight w:val="yellow"/>
                </w:rPr>
                <w:t>https://www.eesc.europa.eu/hr/our-work/opinions-information-reports/plenary-session-summaries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Pr="009B70E7" w:rsidR="004D7AC0" w:rsidRDefault="004D7AC0" w14:paraId="441AC4DD" w14:textId="77777777">
            <w:pPr>
              <w:snapToGrid w:val="0"/>
              <w:jc w:val="center"/>
            </w:pPr>
            <w:r>
              <w:t>Navedenim mišljenjima možete pristupiti na internetu putem tražilice EGSO-a:</w:t>
            </w:r>
            <w:r>
              <w:br/>
            </w:r>
            <w:r>
              <w:br/>
            </w:r>
            <w:hyperlink w:history="1" r:id="rId14">
              <w:r>
                <w:rPr>
                  <w:rStyle w:val="Hyperlink"/>
                </w:rPr>
                <w:t>https://dmsearch.eesc.europa.eu/search/opinion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4E0C44">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Sadržaj</w:t>
          </w:r>
        </w:p>
        <w:p w:rsidR="00EA144E" w:rsidRDefault="001E6413" w14:paraId="4CFB7CCB" w14:textId="1011298E">
          <w:pPr>
            <w:pStyle w:val="TOC1"/>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29684709">
            <w:r w:rsidRPr="008F5DF4" w:rsidR="00EA144E">
              <w:rPr>
                <w:rStyle w:val="Hyperlink"/>
                <w:noProof/>
                <w14:scene3d>
                  <w14:camera w14:prst="orthographicFront"/>
                  <w14:lightRig w14:rig="threePt" w14:dir="t">
                    <w14:rot w14:lat="0" w14:lon="0" w14:rev="0"/>
                  </w14:lightRig>
                </w14:scene3d>
              </w:rPr>
              <w:t>1.</w:t>
            </w:r>
            <w:r w:rsidR="00EA144E">
              <w:rPr>
                <w:rFonts w:asciiTheme="minorHAnsi" w:hAnsiTheme="minorHAnsi" w:eastAsiaTheme="minorEastAsia" w:cstheme="minorBidi"/>
                <w:noProof/>
                <w:lang w:val="en-US"/>
              </w:rPr>
              <w:tab/>
            </w:r>
            <w:r w:rsidRPr="008F5DF4" w:rsidR="00EA144E">
              <w:rPr>
                <w:rStyle w:val="Hyperlink"/>
                <w:b/>
                <w:noProof/>
              </w:rPr>
              <w:t>REZOLUCIJA</w:t>
            </w:r>
            <w:r w:rsidR="00EA144E">
              <w:rPr>
                <w:noProof/>
                <w:webHidden/>
              </w:rPr>
              <w:tab/>
            </w:r>
            <w:r w:rsidR="00EA144E">
              <w:rPr>
                <w:noProof/>
                <w:webHidden/>
              </w:rPr>
              <w:fldChar w:fldCharType="begin"/>
            </w:r>
            <w:r w:rsidR="00EA144E">
              <w:rPr>
                <w:noProof/>
                <w:webHidden/>
              </w:rPr>
              <w:instrText xml:space="preserve"> PAGEREF _Toc129684709 \h </w:instrText>
            </w:r>
            <w:r w:rsidR="00EA144E">
              <w:rPr>
                <w:noProof/>
                <w:webHidden/>
              </w:rPr>
            </w:r>
            <w:r w:rsidR="00EA144E">
              <w:rPr>
                <w:noProof/>
                <w:webHidden/>
              </w:rPr>
              <w:fldChar w:fldCharType="separate"/>
            </w:r>
            <w:r w:rsidR="00EA144E">
              <w:rPr>
                <w:noProof/>
                <w:webHidden/>
              </w:rPr>
              <w:t>3</w:t>
            </w:r>
            <w:r w:rsidR="00EA144E">
              <w:rPr>
                <w:noProof/>
                <w:webHidden/>
              </w:rPr>
              <w:fldChar w:fldCharType="end"/>
            </w:r>
          </w:hyperlink>
        </w:p>
        <w:p w:rsidR="00EA144E" w:rsidRDefault="0078088B" w14:paraId="66EF49CA" w14:textId="3F7DABB7">
          <w:pPr>
            <w:pStyle w:val="TOC1"/>
            <w:rPr>
              <w:rFonts w:asciiTheme="minorHAnsi" w:hAnsiTheme="minorHAnsi" w:eastAsiaTheme="minorEastAsia" w:cstheme="minorBidi"/>
              <w:noProof/>
              <w:lang w:val="en-US"/>
            </w:rPr>
          </w:pPr>
          <w:hyperlink w:history="1" w:anchor="_Toc129684710">
            <w:r w:rsidRPr="008F5DF4" w:rsidR="00EA144E">
              <w:rPr>
                <w:rStyle w:val="Hyperlink"/>
                <w:noProof/>
                <w14:scene3d>
                  <w14:camera w14:prst="orthographicFront"/>
                  <w14:lightRig w14:rig="threePt" w14:dir="t">
                    <w14:rot w14:lat="0" w14:lon="0" w14:rev="0"/>
                  </w14:lightRig>
                </w14:scene3d>
              </w:rPr>
              <w:t>2.</w:t>
            </w:r>
            <w:r w:rsidR="00EA144E">
              <w:rPr>
                <w:rFonts w:asciiTheme="minorHAnsi" w:hAnsiTheme="minorHAnsi" w:eastAsiaTheme="minorEastAsia" w:cstheme="minorBidi"/>
                <w:noProof/>
                <w:lang w:val="en-US"/>
              </w:rPr>
              <w:tab/>
            </w:r>
            <w:r w:rsidRPr="008F5DF4" w:rsidR="00EA144E">
              <w:rPr>
                <w:rStyle w:val="Hyperlink"/>
                <w:b/>
                <w:noProof/>
              </w:rPr>
              <w:t>STRUČNA SKUPINA ZA EKONOMSKU I MONETARNU UNIJU TE EKONOMSKU I SOCIJALNU KOHEZIJU</w:t>
            </w:r>
            <w:r w:rsidR="00EA144E">
              <w:rPr>
                <w:noProof/>
                <w:webHidden/>
              </w:rPr>
              <w:tab/>
            </w:r>
            <w:r w:rsidR="00EA144E">
              <w:rPr>
                <w:noProof/>
                <w:webHidden/>
              </w:rPr>
              <w:fldChar w:fldCharType="begin"/>
            </w:r>
            <w:r w:rsidR="00EA144E">
              <w:rPr>
                <w:noProof/>
                <w:webHidden/>
              </w:rPr>
              <w:instrText xml:space="preserve"> PAGEREF _Toc129684710 \h </w:instrText>
            </w:r>
            <w:r w:rsidR="00EA144E">
              <w:rPr>
                <w:noProof/>
                <w:webHidden/>
              </w:rPr>
            </w:r>
            <w:r w:rsidR="00EA144E">
              <w:rPr>
                <w:noProof/>
                <w:webHidden/>
              </w:rPr>
              <w:fldChar w:fldCharType="separate"/>
            </w:r>
            <w:r w:rsidR="00EA144E">
              <w:rPr>
                <w:noProof/>
                <w:webHidden/>
              </w:rPr>
              <w:t>4</w:t>
            </w:r>
            <w:r w:rsidR="00EA144E">
              <w:rPr>
                <w:noProof/>
                <w:webHidden/>
              </w:rPr>
              <w:fldChar w:fldCharType="end"/>
            </w:r>
          </w:hyperlink>
        </w:p>
        <w:p w:rsidR="00EA144E" w:rsidRDefault="0078088B" w14:paraId="04EEC69E" w14:textId="0ACE9AB6">
          <w:pPr>
            <w:pStyle w:val="TOC1"/>
            <w:rPr>
              <w:rFonts w:asciiTheme="minorHAnsi" w:hAnsiTheme="minorHAnsi" w:eastAsiaTheme="minorEastAsia" w:cstheme="minorBidi"/>
              <w:noProof/>
              <w:lang w:val="en-US"/>
            </w:rPr>
          </w:pPr>
          <w:hyperlink w:history="1" w:anchor="_Toc129684711">
            <w:r w:rsidRPr="008F5DF4" w:rsidR="00EA144E">
              <w:rPr>
                <w:rStyle w:val="Hyperlink"/>
                <w:noProof/>
                <w14:scene3d>
                  <w14:camera w14:prst="orthographicFront"/>
                  <w14:lightRig w14:rig="threePt" w14:dir="t">
                    <w14:rot w14:lat="0" w14:lon="0" w14:rev="0"/>
                  </w14:lightRig>
                </w14:scene3d>
              </w:rPr>
              <w:t>3.</w:t>
            </w:r>
            <w:r w:rsidR="00EA144E">
              <w:rPr>
                <w:rFonts w:asciiTheme="minorHAnsi" w:hAnsiTheme="minorHAnsi" w:eastAsiaTheme="minorEastAsia" w:cstheme="minorBidi"/>
                <w:noProof/>
                <w:lang w:val="en-US"/>
              </w:rPr>
              <w:tab/>
            </w:r>
            <w:r w:rsidRPr="008F5DF4" w:rsidR="00EA144E">
              <w:rPr>
                <w:rStyle w:val="Hyperlink"/>
                <w:b/>
                <w:noProof/>
              </w:rPr>
              <w:t>STRUČNA SKUPINA ZA ZAPOŠLJAVANJE, SOCIJALNA PITANJA I GRAĐANSTVO</w:t>
            </w:r>
            <w:r w:rsidR="00EA144E">
              <w:rPr>
                <w:noProof/>
                <w:webHidden/>
              </w:rPr>
              <w:tab/>
            </w:r>
            <w:r w:rsidR="00EA144E">
              <w:rPr>
                <w:noProof/>
                <w:webHidden/>
              </w:rPr>
              <w:fldChar w:fldCharType="begin"/>
            </w:r>
            <w:r w:rsidR="00EA144E">
              <w:rPr>
                <w:noProof/>
                <w:webHidden/>
              </w:rPr>
              <w:instrText xml:space="preserve"> PAGEREF _Toc129684711 \h </w:instrText>
            </w:r>
            <w:r w:rsidR="00EA144E">
              <w:rPr>
                <w:noProof/>
                <w:webHidden/>
              </w:rPr>
            </w:r>
            <w:r w:rsidR="00EA144E">
              <w:rPr>
                <w:noProof/>
                <w:webHidden/>
              </w:rPr>
              <w:fldChar w:fldCharType="separate"/>
            </w:r>
            <w:r w:rsidR="00EA144E">
              <w:rPr>
                <w:noProof/>
                <w:webHidden/>
              </w:rPr>
              <w:t>7</w:t>
            </w:r>
            <w:r w:rsidR="00EA144E">
              <w:rPr>
                <w:noProof/>
                <w:webHidden/>
              </w:rPr>
              <w:fldChar w:fldCharType="end"/>
            </w:r>
          </w:hyperlink>
        </w:p>
        <w:p w:rsidR="00EA144E" w:rsidRDefault="0078088B" w14:paraId="57465504" w14:textId="0EFFDDC0">
          <w:pPr>
            <w:pStyle w:val="TOC1"/>
            <w:rPr>
              <w:rFonts w:asciiTheme="minorHAnsi" w:hAnsiTheme="minorHAnsi" w:eastAsiaTheme="minorEastAsia" w:cstheme="minorBidi"/>
              <w:noProof/>
              <w:lang w:val="en-US"/>
            </w:rPr>
          </w:pPr>
          <w:hyperlink w:history="1" w:anchor="_Toc129684712">
            <w:r w:rsidRPr="008F5DF4" w:rsidR="00EA144E">
              <w:rPr>
                <w:rStyle w:val="Hyperlink"/>
                <w:noProof/>
                <w14:scene3d>
                  <w14:camera w14:prst="orthographicFront"/>
                  <w14:lightRig w14:rig="threePt" w14:dir="t">
                    <w14:rot w14:lat="0" w14:lon="0" w14:rev="0"/>
                  </w14:lightRig>
                </w14:scene3d>
              </w:rPr>
              <w:t>4.</w:t>
            </w:r>
            <w:r w:rsidR="00EA144E">
              <w:rPr>
                <w:rFonts w:asciiTheme="minorHAnsi" w:hAnsiTheme="minorHAnsi" w:eastAsiaTheme="minorEastAsia" w:cstheme="minorBidi"/>
                <w:noProof/>
                <w:lang w:val="en-US"/>
              </w:rPr>
              <w:tab/>
            </w:r>
            <w:r w:rsidRPr="008F5DF4" w:rsidR="00EA144E">
              <w:rPr>
                <w:rStyle w:val="Hyperlink"/>
                <w:b/>
                <w:noProof/>
              </w:rPr>
              <w:t>JEDINSTVENO TRŽIŠTE, PROIZVODNJA I POTROŠNJA</w:t>
            </w:r>
            <w:r w:rsidR="00EA144E">
              <w:rPr>
                <w:noProof/>
                <w:webHidden/>
              </w:rPr>
              <w:tab/>
            </w:r>
            <w:r w:rsidR="00EA144E">
              <w:rPr>
                <w:noProof/>
                <w:webHidden/>
              </w:rPr>
              <w:fldChar w:fldCharType="begin"/>
            </w:r>
            <w:r w:rsidR="00EA144E">
              <w:rPr>
                <w:noProof/>
                <w:webHidden/>
              </w:rPr>
              <w:instrText xml:space="preserve"> PAGEREF _Toc129684712 \h </w:instrText>
            </w:r>
            <w:r w:rsidR="00EA144E">
              <w:rPr>
                <w:noProof/>
                <w:webHidden/>
              </w:rPr>
            </w:r>
            <w:r w:rsidR="00EA144E">
              <w:rPr>
                <w:noProof/>
                <w:webHidden/>
              </w:rPr>
              <w:fldChar w:fldCharType="separate"/>
            </w:r>
            <w:r w:rsidR="00EA144E">
              <w:rPr>
                <w:noProof/>
                <w:webHidden/>
              </w:rPr>
              <w:t>9</w:t>
            </w:r>
            <w:r w:rsidR="00EA144E">
              <w:rPr>
                <w:noProof/>
                <w:webHidden/>
              </w:rPr>
              <w:fldChar w:fldCharType="end"/>
            </w:r>
          </w:hyperlink>
        </w:p>
        <w:p w:rsidR="00EA144E" w:rsidRDefault="0078088B" w14:paraId="40386E71" w14:textId="4607E9D7">
          <w:pPr>
            <w:pStyle w:val="TOC1"/>
            <w:rPr>
              <w:rFonts w:asciiTheme="minorHAnsi" w:hAnsiTheme="minorHAnsi" w:eastAsiaTheme="minorEastAsia" w:cstheme="minorBidi"/>
              <w:noProof/>
              <w:lang w:val="en-US"/>
            </w:rPr>
          </w:pPr>
          <w:hyperlink w:history="1" w:anchor="_Toc129684713">
            <w:r w:rsidRPr="008F5DF4" w:rsidR="00EA144E">
              <w:rPr>
                <w:rStyle w:val="Hyperlink"/>
                <w:noProof/>
                <w14:scene3d>
                  <w14:camera w14:prst="orthographicFront"/>
                  <w14:lightRig w14:rig="threePt" w14:dir="t">
                    <w14:rot w14:lat="0" w14:lon="0" w14:rev="0"/>
                  </w14:lightRig>
                </w14:scene3d>
              </w:rPr>
              <w:t>5.</w:t>
            </w:r>
            <w:r w:rsidR="00EA144E">
              <w:rPr>
                <w:rFonts w:asciiTheme="minorHAnsi" w:hAnsiTheme="minorHAnsi" w:eastAsiaTheme="minorEastAsia" w:cstheme="minorBidi"/>
                <w:noProof/>
                <w:lang w:val="en-US"/>
              </w:rPr>
              <w:tab/>
            </w:r>
            <w:r w:rsidRPr="008F5DF4" w:rsidR="00EA144E">
              <w:rPr>
                <w:rStyle w:val="Hyperlink"/>
                <w:b/>
                <w:noProof/>
              </w:rPr>
              <w:t>STRUČNA SKUPINA ZA POLJOPRIVREDU, RURALNI RAZVOJ I OKOLIŠ</w:t>
            </w:r>
            <w:r w:rsidR="00EA144E">
              <w:rPr>
                <w:noProof/>
                <w:webHidden/>
              </w:rPr>
              <w:tab/>
            </w:r>
            <w:r w:rsidR="00EA144E">
              <w:rPr>
                <w:noProof/>
                <w:webHidden/>
              </w:rPr>
              <w:fldChar w:fldCharType="begin"/>
            </w:r>
            <w:r w:rsidR="00EA144E">
              <w:rPr>
                <w:noProof/>
                <w:webHidden/>
              </w:rPr>
              <w:instrText xml:space="preserve"> PAGEREF _Toc129684713 \h </w:instrText>
            </w:r>
            <w:r w:rsidR="00EA144E">
              <w:rPr>
                <w:noProof/>
                <w:webHidden/>
              </w:rPr>
            </w:r>
            <w:r w:rsidR="00EA144E">
              <w:rPr>
                <w:noProof/>
                <w:webHidden/>
              </w:rPr>
              <w:fldChar w:fldCharType="separate"/>
            </w:r>
            <w:r w:rsidR="00EA144E">
              <w:rPr>
                <w:noProof/>
                <w:webHidden/>
              </w:rPr>
              <w:t>11</w:t>
            </w:r>
            <w:r w:rsidR="00EA144E">
              <w:rPr>
                <w:noProof/>
                <w:webHidden/>
              </w:rPr>
              <w:fldChar w:fldCharType="end"/>
            </w:r>
          </w:hyperlink>
        </w:p>
        <w:p w:rsidR="001E6413" w:rsidRDefault="001E6413" w14:paraId="684BFB9B" w14:textId="4FF1C5C8">
          <w:r>
            <w:rPr>
              <w:b/>
            </w:rPr>
            <w:fldChar w:fldCharType="end"/>
          </w:r>
        </w:p>
      </w:sdtContent>
    </w:sdt>
    <w:p w:rsidRPr="009B70E7" w:rsidR="004D7AC0" w:rsidRDefault="004D7AC0" w14:paraId="4600634B" w14:textId="77777777"/>
    <w:p w:rsidRPr="009B70E7" w:rsidR="004D7AC0" w:rsidP="001A7476" w:rsidRDefault="004D7AC0" w14:paraId="68489C47" w14:textId="2FCA526B">
      <w:pPr>
        <w:pStyle w:val="Heading1"/>
        <w:numPr>
          <w:ilvl w:val="0"/>
          <w:numId w:val="0"/>
        </w:numPr>
      </w:pPr>
      <w:r>
        <w:br w:type="page"/>
      </w:r>
    </w:p>
    <w:p w:rsidR="00AF10D4" w:rsidP="00AF10D4" w:rsidRDefault="001865D3" w14:paraId="71FFFFE7" w14:textId="1E1A03F9">
      <w:pPr>
        <w:pStyle w:val="Heading1"/>
        <w:rPr>
          <w:b/>
        </w:rPr>
      </w:pPr>
      <w:bookmarkStart w:name="_Toc129684709" w:id="0"/>
      <w:r>
        <w:rPr>
          <w:b/>
        </w:rPr>
        <w:lastRenderedPageBreak/>
        <w:t>REZOLUCIJA</w:t>
      </w:r>
      <w:bookmarkEnd w:id="0"/>
    </w:p>
    <w:p w:rsidRPr="00AF10D4" w:rsidR="00AF10D4" w:rsidP="00AF10D4" w:rsidRDefault="00AF10D4" w14:paraId="67172785" w14:textId="77777777"/>
    <w:p w:rsidR="00AF10D4" w:rsidP="00AF10D4" w:rsidRDefault="00AF10D4" w14:paraId="4D8765DB" w14:textId="44628838">
      <w:pPr>
        <w:numPr>
          <w:ilvl w:val="0"/>
          <w:numId w:val="5"/>
        </w:numPr>
        <w:overflowPunct w:val="0"/>
        <w:autoSpaceDE w:val="0"/>
        <w:autoSpaceDN w:val="0"/>
        <w:adjustRightInd w:val="0"/>
        <w:ind w:left="567" w:hanging="567"/>
        <w:textAlignment w:val="baseline"/>
        <w:rPr>
          <w:b/>
          <w:bCs/>
          <w:i/>
          <w:iCs/>
          <w:sz w:val="28"/>
          <w:szCs w:val="28"/>
        </w:rPr>
      </w:pPr>
      <w:r>
        <w:rPr>
          <w:b/>
          <w:i/>
          <w:sz w:val="28"/>
        </w:rPr>
        <w:t>Ukrajina godinu dana nakon ruske invazije – perspektiva europskog civilnog društva</w:t>
      </w:r>
    </w:p>
    <w:p w:rsidRPr="00196521" w:rsidR="00066DC7" w:rsidP="00066DC7" w:rsidRDefault="00066DC7" w14:paraId="1310AFED" w14:textId="77777777">
      <w:pPr>
        <w:overflowPunct w:val="0"/>
        <w:autoSpaceDE w:val="0"/>
        <w:autoSpaceDN w:val="0"/>
        <w:adjustRightInd w:val="0"/>
        <w:textAlignment w:val="baseline"/>
        <w:rPr>
          <w:b/>
          <w:bCs/>
          <w:i/>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ED20B6" w:rsidTr="00FB5FFE" w14:paraId="5BF03940" w14:textId="77777777">
        <w:tc>
          <w:tcPr>
            <w:tcW w:w="1701" w:type="dxa"/>
          </w:tcPr>
          <w:p w:rsidR="00ED20B6" w:rsidP="00FB5FFE" w:rsidRDefault="00ED20B6" w14:paraId="0FC25C98" w14:textId="54AA2711">
            <w:pPr>
              <w:pStyle w:val="ListParagraph"/>
              <w:spacing w:line="240" w:lineRule="auto"/>
              <w:ind w:left="-142" w:firstLine="142"/>
              <w:rPr>
                <w:b/>
              </w:rPr>
            </w:pPr>
            <w:bookmarkStart w:name="_Hlk128565405" w:id="1"/>
            <w:r>
              <w:rPr>
                <w:b/>
              </w:rPr>
              <w:t>Izvjestitelj/</w:t>
            </w:r>
            <w:proofErr w:type="spellStart"/>
            <w:r>
              <w:rPr>
                <w:b/>
              </w:rPr>
              <w:t>ic</w:t>
            </w:r>
            <w:r w:rsidR="00EA144E">
              <w:rPr>
                <w:b/>
              </w:rPr>
              <w:t>a</w:t>
            </w:r>
            <w:proofErr w:type="spellEnd"/>
            <w:r>
              <w:rPr>
                <w:b/>
              </w:rPr>
              <w:t>:</w:t>
            </w:r>
          </w:p>
          <w:p w:rsidRPr="009B70E7" w:rsidR="00ED20B6" w:rsidP="00896F71" w:rsidRDefault="00ED20B6" w14:paraId="2E66DB4F" w14:textId="5E9E1214">
            <w:pPr>
              <w:pStyle w:val="ListParagraph"/>
              <w:ind w:left="0" w:right="-55"/>
              <w:rPr>
                <w:b/>
              </w:rPr>
            </w:pPr>
          </w:p>
        </w:tc>
        <w:tc>
          <w:tcPr>
            <w:tcW w:w="6521" w:type="dxa"/>
          </w:tcPr>
          <w:p w:rsidR="00896F71" w:rsidP="00896F71" w:rsidRDefault="00896F71" w14:paraId="39FCEC1A" w14:textId="3E3006CE">
            <w:pPr>
              <w:pStyle w:val="ListParagraph"/>
              <w:ind w:left="-60" w:right="-55"/>
            </w:pPr>
            <w:r>
              <w:t>Stefano MALLIA (Skupina poslodavaca – MT)</w:t>
            </w:r>
          </w:p>
          <w:p w:rsidR="00896F71" w:rsidP="00896F71" w:rsidRDefault="00896F71" w14:paraId="39E8F5CB" w14:textId="322D4A40">
            <w:pPr>
              <w:pStyle w:val="ListParagraph"/>
              <w:ind w:left="-60" w:right="-55"/>
            </w:pPr>
            <w:r>
              <w:t>Oliver RÖPKE (Skupina radnika – AT)</w:t>
            </w:r>
          </w:p>
          <w:p w:rsidRPr="00627B8F" w:rsidR="003D4576" w:rsidRDefault="00896F71" w14:paraId="3AF81FFE" w14:textId="04472BCE">
            <w:pPr>
              <w:pStyle w:val="ListParagraph"/>
              <w:ind w:left="-60" w:right="-55"/>
            </w:pPr>
            <w:proofErr w:type="spellStart"/>
            <w:r>
              <w:t>Séamus</w:t>
            </w:r>
            <w:proofErr w:type="spellEnd"/>
            <w:r>
              <w:t xml:space="preserve"> BOLAND (Skupina organizacija civilnog društva – IE)</w:t>
            </w:r>
          </w:p>
        </w:tc>
      </w:tr>
      <w:bookmarkEnd w:id="1"/>
      <w:tr w:rsidRPr="00627B8F" w:rsidR="003D4576" w:rsidTr="00533A14" w14:paraId="4A754698" w14:textId="77777777">
        <w:tc>
          <w:tcPr>
            <w:tcW w:w="1701" w:type="dxa"/>
          </w:tcPr>
          <w:p w:rsidRPr="009B70E7" w:rsidR="003D4576" w:rsidP="00EA144E" w:rsidRDefault="003D4576" w14:paraId="7EBB8EAC" w14:textId="77777777">
            <w:pPr>
              <w:pStyle w:val="ListParagraph"/>
              <w:spacing w:line="240" w:lineRule="auto"/>
              <w:ind w:left="-63"/>
              <w:rPr>
                <w:b/>
              </w:rPr>
            </w:pPr>
            <w:r>
              <w:rPr>
                <w:b/>
              </w:rPr>
              <w:t xml:space="preserve">Referentni dokument/i: </w:t>
            </w:r>
          </w:p>
        </w:tc>
        <w:tc>
          <w:tcPr>
            <w:tcW w:w="6521" w:type="dxa"/>
          </w:tcPr>
          <w:p w:rsidR="00EA144E" w:rsidRDefault="00EA144E" w14:paraId="2F149B62" w14:textId="77777777">
            <w:pPr>
              <w:pStyle w:val="ListParagraph"/>
              <w:ind w:left="-61"/>
            </w:pPr>
          </w:p>
          <w:p w:rsidRPr="00627B8F" w:rsidR="003D4576" w:rsidRDefault="003D4576" w14:paraId="2637EC69" w14:textId="3C79FE11">
            <w:pPr>
              <w:pStyle w:val="ListParagraph"/>
              <w:ind w:left="-61"/>
            </w:pPr>
            <w:r>
              <w:t>EESC-2023-00911-00-00-RES</w:t>
            </w:r>
          </w:p>
        </w:tc>
      </w:tr>
    </w:tbl>
    <w:p w:rsidR="004E0C44" w:rsidP="00ED20B6" w:rsidRDefault="004E0C44" w14:paraId="13EAC25D" w14:textId="77777777">
      <w:pPr>
        <w:pStyle w:val="ListParagraph"/>
        <w:spacing w:line="240" w:lineRule="auto"/>
        <w:ind w:left="0"/>
        <w:rPr>
          <w:b/>
          <w:lang w:val="en-US"/>
        </w:rPr>
      </w:pPr>
    </w:p>
    <w:p w:rsidR="00ED20B6" w:rsidP="00ED20B6" w:rsidRDefault="00ED20B6" w14:paraId="3A21991A" w14:textId="0CB4ECBD">
      <w:pPr>
        <w:pStyle w:val="ListParagraph"/>
        <w:spacing w:line="240" w:lineRule="auto"/>
        <w:ind w:left="0"/>
        <w:rPr>
          <w:b/>
        </w:rPr>
      </w:pPr>
      <w:r>
        <w:rPr>
          <w:b/>
        </w:rPr>
        <w:t>Ključne točke</w:t>
      </w:r>
    </w:p>
    <w:p w:rsidR="00ED20B6" w:rsidP="00ED20B6" w:rsidRDefault="00ED20B6" w14:paraId="35FB4154" w14:textId="77777777">
      <w:pPr>
        <w:pStyle w:val="ListParagraph"/>
        <w:spacing w:line="240" w:lineRule="auto"/>
        <w:ind w:left="0"/>
        <w:rPr>
          <w:b/>
          <w:lang w:val="en-US"/>
        </w:rPr>
      </w:pPr>
    </w:p>
    <w:p w:rsidRPr="002E62B0" w:rsidR="00ED20B6" w:rsidP="00ED20B6" w:rsidRDefault="00ED20B6" w14:paraId="030606EA" w14:textId="77777777">
      <w:pPr>
        <w:pStyle w:val="ListParagraph"/>
        <w:spacing w:line="240" w:lineRule="auto"/>
        <w:ind w:left="0"/>
        <w:rPr>
          <w:bCs/>
        </w:rPr>
      </w:pPr>
      <w:r>
        <w:t>EGSO:</w:t>
      </w:r>
    </w:p>
    <w:p w:rsidRPr="009B70E7" w:rsidR="00ED20B6" w:rsidP="00ED20B6" w:rsidRDefault="00ED20B6" w14:paraId="1943F8DB" w14:textId="77777777">
      <w:pPr>
        <w:pStyle w:val="ListParagraph"/>
        <w:spacing w:line="276" w:lineRule="auto"/>
        <w:ind w:left="0"/>
      </w:pPr>
    </w:p>
    <w:p w:rsidRPr="009B70E7" w:rsidR="00ED20B6" w:rsidP="00ED20B6" w:rsidRDefault="00896F71" w14:paraId="5FAEA5BA" w14:textId="72F4D824">
      <w:pPr>
        <w:pStyle w:val="ListParagraph"/>
        <w:numPr>
          <w:ilvl w:val="0"/>
          <w:numId w:val="3"/>
        </w:numPr>
        <w:spacing w:line="276" w:lineRule="auto"/>
        <w:ind w:left="357" w:hanging="357"/>
      </w:pPr>
      <w:r>
        <w:t>naglašava da je proširenje uzajamno koristan proces jer doprinosi stabilnosti Europske unije, jača njezin geopolitički položaj, promiče mir, njezine vrijednosti i dobrobit njezinih naroda te donosi koristi za sve putem većeg jedinstvenog tržišta, a da će se procesom proširenja istodobno dati potpora Ukrajini u jačanju demokracije, vladavine prava i ljudskih prava;</w:t>
      </w:r>
    </w:p>
    <w:p w:rsidR="00ED20B6" w:rsidP="00ED20B6" w:rsidRDefault="00896F71" w14:paraId="31EEF18E" w14:textId="33319058">
      <w:pPr>
        <w:pStyle w:val="ListParagraph"/>
        <w:numPr>
          <w:ilvl w:val="0"/>
          <w:numId w:val="3"/>
        </w:numPr>
        <w:spacing w:line="276" w:lineRule="auto"/>
        <w:ind w:left="357" w:hanging="357"/>
      </w:pPr>
      <w:r>
        <w:t>napominje da je, iako se proces pristupanja EU-u mora poštovati, jasno da se pristupni proces s Ukrajinom (kao i sa svim zemljama kandidatkinjama zapadnog Balkana i Istočnog partnerstva) mora provoditi na najpraktičniji način i na temelju provedbe relevantnih reformi i provedbe pravne stečevine EU-a;</w:t>
      </w:r>
    </w:p>
    <w:p w:rsidRPr="00896F71" w:rsidR="00ED20B6" w:rsidP="00ED20B6" w:rsidRDefault="00896F71" w14:paraId="7216E718" w14:textId="1C6FB83A">
      <w:pPr>
        <w:pStyle w:val="ListParagraph"/>
        <w:numPr>
          <w:ilvl w:val="0"/>
          <w:numId w:val="3"/>
        </w:numPr>
        <w:spacing w:line="276" w:lineRule="auto"/>
        <w:ind w:left="357" w:hanging="357"/>
      </w:pPr>
      <w:r>
        <w:t>u potpunosti podržava rezoluciju Europskog parlamenta u kojoj se poziva na uspostavu posebnog međunarodnog suda za zločin agresije nad Ukrajinom. Taj bi sud trebalo uspostaviti u bliskoj suradnji s Međunarodnim kaznenim sudom i UN-om. Odbor također potiče EU da preuzme vodeću ulogu u međunarodnoj pomoći u istrazi ratnih zločina, zločina protiv čovječnosti i genocida;</w:t>
      </w:r>
    </w:p>
    <w:p w:rsidRPr="004146D0" w:rsidR="00896F71" w:rsidP="00ED20B6" w:rsidRDefault="00896F71" w14:paraId="04FB39C7" w14:textId="6447385D">
      <w:pPr>
        <w:pStyle w:val="ListParagraph"/>
        <w:numPr>
          <w:ilvl w:val="0"/>
          <w:numId w:val="3"/>
        </w:numPr>
        <w:spacing w:line="276" w:lineRule="auto"/>
        <w:ind w:left="357" w:hanging="357"/>
      </w:pPr>
      <w:r>
        <w:t>podržava Rezoluciju Europskog parlamenta o proglašenju Ruske Federacije državom pokroviteljicom terorizma;</w:t>
      </w:r>
    </w:p>
    <w:p w:rsidRPr="00066DC7" w:rsidR="004146D0" w:rsidP="00ED20B6" w:rsidRDefault="00066DC7" w14:paraId="1B4A4358" w14:textId="10418E94">
      <w:pPr>
        <w:pStyle w:val="ListParagraph"/>
        <w:numPr>
          <w:ilvl w:val="0"/>
          <w:numId w:val="3"/>
        </w:numPr>
        <w:spacing w:line="276" w:lineRule="auto"/>
        <w:ind w:left="357" w:hanging="357"/>
      </w:pPr>
      <w:r>
        <w:t>smatra da EU mora učiniti sve što je u njegovoj moći kako bi spriječio „zamor ukrajinskim pitanjem”;</w:t>
      </w:r>
    </w:p>
    <w:p w:rsidRPr="00066DC7" w:rsidR="00066DC7" w:rsidP="00ED20B6" w:rsidRDefault="00066DC7" w14:paraId="3E0771EC" w14:textId="7B9E530B">
      <w:pPr>
        <w:pStyle w:val="ListParagraph"/>
        <w:numPr>
          <w:ilvl w:val="0"/>
          <w:numId w:val="3"/>
        </w:numPr>
        <w:spacing w:line="276" w:lineRule="auto"/>
        <w:ind w:left="357" w:hanging="357"/>
      </w:pPr>
      <w:r>
        <w:t>ističe da EU već sada treba osmisliti planove i instrumente potrebne za obnovu Ukrajine. Multilateralna platforma za koordinaciju donatora odašilje snažnu poruku da međunarodna zajednica stoji uz Ukrajinu i da će i dalje biti uz nju, no osim usmjerenosti na kratkoročnu pomoć, jednaku pozornost treba posvetiti i dugoročnoj obnovi Ukrajine;</w:t>
      </w:r>
    </w:p>
    <w:p w:rsidRPr="00066DC7" w:rsidR="00066DC7" w:rsidP="00ED20B6" w:rsidRDefault="00066DC7" w14:paraId="03E4C256" w14:textId="1E9819EF">
      <w:pPr>
        <w:pStyle w:val="ListParagraph"/>
        <w:numPr>
          <w:ilvl w:val="0"/>
          <w:numId w:val="3"/>
        </w:numPr>
        <w:spacing w:line="276" w:lineRule="auto"/>
        <w:ind w:left="357" w:hanging="357"/>
      </w:pPr>
      <w:r>
        <w:t>naglašava da bi planovi obnove i oporavka ukrajinskog društva i teritorija trebali uključivati pravedne radne uvjete, poštovanje radnog prava, promicanje dostojanstvenog rada i prava na sigurno i zdravo radno okruženje, kao i mogućnosti osposobljavanja za sve;</w:t>
      </w:r>
    </w:p>
    <w:p w:rsidR="00066DC7" w:rsidP="00ED20B6" w:rsidRDefault="00066DC7" w14:paraId="4C27AEF4" w14:textId="5BF5512A">
      <w:pPr>
        <w:pStyle w:val="ListParagraph"/>
        <w:numPr>
          <w:ilvl w:val="0"/>
          <w:numId w:val="3"/>
        </w:numPr>
        <w:spacing w:line="276" w:lineRule="auto"/>
        <w:ind w:left="357" w:hanging="357"/>
      </w:pPr>
      <w:r>
        <w:t>ističe važnost uspostave mehanizma EU-a za jačanje ukrajinskog civilnog društva osiguravanjem financijskih sredstava i olakšavanjem njegova sudjelovanja u mrežama civilnog društva EU-a.</w:t>
      </w:r>
    </w:p>
    <w:p w:rsidRPr="009B70E7" w:rsidR="00ED20B6" w:rsidP="00ED20B6" w:rsidRDefault="00ED20B6" w14:paraId="73AC89C3"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9B70E7" w:rsidR="00ED20B6" w:rsidTr="00EA144E" w14:paraId="1AA9E8CA" w14:textId="77777777">
        <w:tc>
          <w:tcPr>
            <w:tcW w:w="1701" w:type="dxa"/>
          </w:tcPr>
          <w:p w:rsidRPr="009B70E7" w:rsidR="00ED20B6" w:rsidP="00FB5FFE" w:rsidRDefault="00ED20B6" w14:paraId="3D2DFC65" w14:textId="77777777">
            <w:pPr>
              <w:pStyle w:val="ListParagraph"/>
              <w:spacing w:line="276" w:lineRule="auto"/>
              <w:ind w:left="0"/>
              <w:rPr>
                <w:i/>
              </w:rPr>
            </w:pPr>
            <w:r>
              <w:rPr>
                <w:b/>
                <w:i/>
              </w:rPr>
              <w:t>Kontakt:</w:t>
            </w:r>
          </w:p>
        </w:tc>
        <w:tc>
          <w:tcPr>
            <w:tcW w:w="5670" w:type="dxa"/>
          </w:tcPr>
          <w:p w:rsidRPr="009B70E7" w:rsidR="00ED20B6" w:rsidP="00FB5FFE" w:rsidRDefault="00BB3AF7" w14:paraId="28388097" w14:textId="34632F5B">
            <w:pPr>
              <w:pStyle w:val="ListParagraph"/>
              <w:spacing w:line="276" w:lineRule="auto"/>
              <w:ind w:left="0"/>
              <w:rPr>
                <w:i/>
              </w:rPr>
            </w:pPr>
            <w:r>
              <w:rPr>
                <w:i/>
              </w:rPr>
              <w:t xml:space="preserve">Katarína </w:t>
            </w:r>
            <w:proofErr w:type="spellStart"/>
            <w:r>
              <w:rPr>
                <w:i/>
              </w:rPr>
              <w:t>Grzeszczyk</w:t>
            </w:r>
            <w:proofErr w:type="spellEnd"/>
            <w:r>
              <w:rPr>
                <w:i/>
              </w:rPr>
              <w:t xml:space="preserve"> </w:t>
            </w:r>
            <w:proofErr w:type="spellStart"/>
            <w:r>
              <w:rPr>
                <w:i/>
              </w:rPr>
              <w:t>Albrechtová</w:t>
            </w:r>
            <w:proofErr w:type="spellEnd"/>
          </w:p>
        </w:tc>
      </w:tr>
      <w:tr w:rsidRPr="009B70E7" w:rsidR="00ED20B6" w:rsidTr="00EA144E" w14:paraId="0BD1509F" w14:textId="77777777">
        <w:tc>
          <w:tcPr>
            <w:tcW w:w="1701" w:type="dxa"/>
          </w:tcPr>
          <w:p w:rsidRPr="009B70E7" w:rsidR="00ED20B6" w:rsidP="00EA144E" w:rsidRDefault="00ED20B6" w14:paraId="03544F40" w14:textId="77777777">
            <w:pPr>
              <w:pStyle w:val="ListParagraph"/>
              <w:spacing w:line="276" w:lineRule="auto"/>
              <w:ind w:left="596" w:hanging="572"/>
              <w:rPr>
                <w:i/>
              </w:rPr>
            </w:pPr>
            <w:r>
              <w:rPr>
                <w:i/>
              </w:rPr>
              <w:t>Tel.:</w:t>
            </w:r>
          </w:p>
        </w:tc>
        <w:tc>
          <w:tcPr>
            <w:tcW w:w="5670" w:type="dxa"/>
          </w:tcPr>
          <w:p w:rsidRPr="009B70E7" w:rsidR="00ED20B6" w:rsidP="00FB5FFE" w:rsidRDefault="00ED20B6" w14:paraId="5470F0C3" w14:textId="429567BB">
            <w:pPr>
              <w:pStyle w:val="ListParagraph"/>
              <w:spacing w:line="276" w:lineRule="auto"/>
              <w:ind w:left="0"/>
              <w:rPr>
                <w:i/>
              </w:rPr>
            </w:pPr>
            <w:r>
              <w:rPr>
                <w:i/>
              </w:rPr>
              <w:t>00 32 2 546 94 60</w:t>
            </w:r>
          </w:p>
        </w:tc>
      </w:tr>
      <w:tr w:rsidRPr="009B70E7" w:rsidR="00ED20B6" w:rsidTr="00EA144E" w14:paraId="4EA8BB4C" w14:textId="77777777">
        <w:tc>
          <w:tcPr>
            <w:tcW w:w="1701" w:type="dxa"/>
          </w:tcPr>
          <w:p w:rsidRPr="009B70E7" w:rsidR="00ED20B6" w:rsidP="00EA144E" w:rsidRDefault="00ED20B6" w14:paraId="780E9DD4" w14:textId="77777777">
            <w:pPr>
              <w:pStyle w:val="ListParagraph"/>
              <w:spacing w:line="276" w:lineRule="auto"/>
              <w:ind w:left="596" w:hanging="572"/>
              <w:rPr>
                <w:i/>
              </w:rPr>
            </w:pPr>
            <w:r>
              <w:rPr>
                <w:i/>
              </w:rPr>
              <w:t>E-pošta:</w:t>
            </w:r>
          </w:p>
        </w:tc>
        <w:tc>
          <w:tcPr>
            <w:tcW w:w="5670" w:type="dxa"/>
          </w:tcPr>
          <w:p w:rsidRPr="00DE65D0" w:rsidR="00ED20B6" w:rsidP="00FB5FFE" w:rsidRDefault="00BB3AF7" w14:paraId="63C9C573" w14:textId="3C2F3D01">
            <w:pPr>
              <w:pStyle w:val="ListParagraph"/>
              <w:spacing w:line="276" w:lineRule="auto"/>
              <w:ind w:left="0"/>
              <w:rPr>
                <w:i/>
                <w:iCs/>
              </w:rPr>
            </w:pPr>
            <w:r>
              <w:rPr>
                <w:i/>
                <w:color w:val="0000FF"/>
                <w:u w:val="single"/>
              </w:rPr>
              <w:t>Katarina.Albrechtova@eesc.europa.eu</w:t>
            </w:r>
          </w:p>
        </w:tc>
      </w:tr>
    </w:tbl>
    <w:p w:rsidRPr="00196521" w:rsidR="004E0C44" w:rsidP="00B81D0F" w:rsidRDefault="004E0C44" w14:paraId="76599D2B" w14:textId="64402C20">
      <w:pPr>
        <w:spacing w:after="160" w:line="259" w:lineRule="auto"/>
        <w:jc w:val="left"/>
        <w:rPr>
          <w:b/>
          <w:bCs/>
          <w:i/>
          <w:iCs/>
        </w:rPr>
      </w:pPr>
    </w:p>
    <w:p w:rsidR="004E0C44" w:rsidRDefault="004E0C44" w14:paraId="0CE9AE21" w14:textId="77777777">
      <w:pPr>
        <w:spacing w:after="160" w:line="259" w:lineRule="auto"/>
        <w:jc w:val="left"/>
        <w:rPr>
          <w:b/>
          <w:bCs/>
          <w:i/>
          <w:iCs/>
          <w:sz w:val="28"/>
          <w:szCs w:val="28"/>
        </w:rPr>
      </w:pPr>
      <w:r>
        <w:br w:type="page"/>
      </w:r>
    </w:p>
    <w:p w:rsidRPr="00D13F40" w:rsidR="004D7AC0" w:rsidP="00D13F40" w:rsidRDefault="004D7AC0" w14:paraId="1E329F25" w14:textId="0F2BD6D1">
      <w:pPr>
        <w:pStyle w:val="Heading1"/>
        <w:rPr>
          <w:b/>
        </w:rPr>
      </w:pPr>
      <w:bookmarkStart w:name="_Toc129684710" w:id="2"/>
      <w:r>
        <w:rPr>
          <w:b/>
        </w:rPr>
        <w:lastRenderedPageBreak/>
        <w:t>STRUČNA SKUPINA ZA EKONOMSKU I MONETARNU UNIJU TE EKONOMSKU I SOCIJALNU KOHEZIJU</w:t>
      </w:r>
      <w:bookmarkEnd w:id="2"/>
    </w:p>
    <w:p w:rsidR="00662436" w:rsidP="0018231C" w:rsidRDefault="00662436" w14:paraId="1710091D" w14:textId="77777777">
      <w:pPr>
        <w:spacing w:line="240" w:lineRule="auto"/>
      </w:pPr>
    </w:p>
    <w:p w:rsidRPr="00017B56" w:rsidR="00640656" w:rsidP="001760E9" w:rsidRDefault="00DE65D0" w14:paraId="228D42E4" w14:textId="4DAC588E">
      <w:pPr>
        <w:numPr>
          <w:ilvl w:val="0"/>
          <w:numId w:val="5"/>
        </w:numPr>
        <w:overflowPunct w:val="0"/>
        <w:autoSpaceDE w:val="0"/>
        <w:autoSpaceDN w:val="0"/>
        <w:adjustRightInd w:val="0"/>
        <w:ind w:left="567" w:hanging="567"/>
        <w:textAlignment w:val="baseline"/>
        <w:rPr>
          <w:rStyle w:val="Hyperlink"/>
          <w:color w:val="auto"/>
          <w:spacing w:val="-2"/>
          <w:u w:val="none"/>
        </w:rPr>
      </w:pPr>
      <w:r>
        <w:rPr>
          <w:b/>
          <w:i/>
          <w:sz w:val="28"/>
        </w:rPr>
        <w:t>Godišnja strategija održivog rasta 2023.</w:t>
      </w:r>
    </w:p>
    <w:p w:rsidRPr="00017B56" w:rsidR="00017B56" w:rsidP="001760E9" w:rsidRDefault="00017B56" w14:paraId="6939C94A"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268"/>
        <w:gridCol w:w="5954"/>
      </w:tblGrid>
      <w:tr w:rsidRPr="00627B8F" w:rsidR="00640656" w:rsidTr="00196521" w14:paraId="17A96696" w14:textId="77777777">
        <w:tc>
          <w:tcPr>
            <w:tcW w:w="2268" w:type="dxa"/>
          </w:tcPr>
          <w:p w:rsidR="00DE65D0" w:rsidP="00EA144E" w:rsidRDefault="00640656" w14:paraId="543A1C55" w14:textId="665F771A">
            <w:pPr>
              <w:pStyle w:val="ListParagraph"/>
              <w:spacing w:line="240" w:lineRule="auto"/>
              <w:ind w:left="0"/>
              <w:rPr>
                <w:b/>
              </w:rPr>
            </w:pPr>
            <w:r>
              <w:rPr>
                <w:b/>
              </w:rPr>
              <w:t>Glavni/a izvjestitelj/</w:t>
            </w:r>
            <w:proofErr w:type="spellStart"/>
            <w:r>
              <w:rPr>
                <w:b/>
              </w:rPr>
              <w:t>ica</w:t>
            </w:r>
            <w:proofErr w:type="spellEnd"/>
            <w:r>
              <w:rPr>
                <w:b/>
              </w:rPr>
              <w:t>:</w:t>
            </w:r>
          </w:p>
          <w:p w:rsidRPr="009B70E7" w:rsidR="002E62B0" w:rsidP="00EA144E" w:rsidRDefault="002E62B0" w14:paraId="204BF0A8" w14:textId="5D609210">
            <w:pPr>
              <w:pStyle w:val="ListParagraph"/>
              <w:spacing w:line="240" w:lineRule="auto"/>
              <w:ind w:left="0"/>
              <w:rPr>
                <w:b/>
              </w:rPr>
            </w:pPr>
          </w:p>
        </w:tc>
        <w:tc>
          <w:tcPr>
            <w:tcW w:w="5954" w:type="dxa"/>
          </w:tcPr>
          <w:p w:rsidR="00EA144E" w:rsidRDefault="00EA144E" w14:paraId="6F21288F" w14:textId="77777777">
            <w:pPr>
              <w:pStyle w:val="ListParagraph"/>
              <w:ind w:left="-60" w:right="-55"/>
            </w:pPr>
          </w:p>
          <w:p w:rsidRPr="00627B8F" w:rsidR="004442D3" w:rsidRDefault="00DE65D0" w14:paraId="1C5C2FFB" w14:textId="7436A33C">
            <w:pPr>
              <w:pStyle w:val="ListParagraph"/>
              <w:ind w:left="-60" w:right="-55"/>
            </w:pPr>
            <w:proofErr w:type="spellStart"/>
            <w:r>
              <w:t>Gonçalo</w:t>
            </w:r>
            <w:proofErr w:type="spellEnd"/>
            <w:r>
              <w:t xml:space="preserve"> LOBO XAVIER (Skupina poslodavaca – PT)</w:t>
            </w:r>
          </w:p>
        </w:tc>
      </w:tr>
      <w:tr w:rsidRPr="00627B8F" w:rsidR="00640656" w:rsidTr="00196521" w14:paraId="3D93C3AA" w14:textId="77777777">
        <w:tc>
          <w:tcPr>
            <w:tcW w:w="2268" w:type="dxa"/>
          </w:tcPr>
          <w:p w:rsidRPr="009B70E7" w:rsidR="00640656" w:rsidP="00EA144E" w:rsidRDefault="00640656" w14:paraId="33436DCF" w14:textId="78FEC0F2">
            <w:pPr>
              <w:pStyle w:val="ListParagraph"/>
              <w:spacing w:line="240" w:lineRule="auto"/>
              <w:ind w:left="0"/>
              <w:rPr>
                <w:b/>
              </w:rPr>
            </w:pPr>
            <w:bookmarkStart w:name="_Hlk128728372" w:id="3"/>
            <w:bookmarkStart w:name="_Hlk128728500" w:id="4"/>
            <w:r>
              <w:rPr>
                <w:b/>
              </w:rPr>
              <w:t xml:space="preserve">Referentni dokument/i: </w:t>
            </w:r>
            <w:bookmarkEnd w:id="3"/>
          </w:p>
        </w:tc>
        <w:tc>
          <w:tcPr>
            <w:tcW w:w="5954" w:type="dxa"/>
          </w:tcPr>
          <w:p w:rsidRPr="00627B8F" w:rsidR="00640656" w:rsidP="00B83E7B" w:rsidRDefault="00DF3AB4" w14:paraId="3CD87A23" w14:textId="24CAA41D">
            <w:pPr>
              <w:pStyle w:val="ListParagraph"/>
              <w:ind w:left="-61"/>
              <w:rPr>
                <w:bCs/>
              </w:rPr>
            </w:pPr>
            <w:r>
              <w:t xml:space="preserve">COM(2022) 780 </w:t>
            </w:r>
            <w:proofErr w:type="spellStart"/>
            <w:r>
              <w:t>final</w:t>
            </w:r>
            <w:proofErr w:type="spellEnd"/>
          </w:p>
          <w:p w:rsidRPr="00627B8F" w:rsidR="00640656" w:rsidP="00B83E7B" w:rsidRDefault="00640656" w14:paraId="57D265AF" w14:textId="12C8628E">
            <w:pPr>
              <w:pStyle w:val="ListParagraph"/>
              <w:ind w:left="-61"/>
            </w:pPr>
            <w:r>
              <w:t>EESC-2022-05829-00-00-AC</w:t>
            </w:r>
          </w:p>
        </w:tc>
      </w:tr>
      <w:bookmarkEnd w:id="4"/>
    </w:tbl>
    <w:p w:rsidR="001760E9" w:rsidP="00640656" w:rsidRDefault="001760E9" w14:paraId="61A030AB" w14:textId="77777777">
      <w:pPr>
        <w:pStyle w:val="ListParagraph"/>
        <w:spacing w:line="240" w:lineRule="auto"/>
        <w:ind w:left="0"/>
        <w:rPr>
          <w:b/>
          <w:lang w:val="en-US"/>
        </w:rPr>
      </w:pPr>
    </w:p>
    <w:p w:rsidR="00640656" w:rsidP="00640656" w:rsidRDefault="002E62B0" w14:paraId="68C62979" w14:textId="3949DC96">
      <w:pPr>
        <w:pStyle w:val="ListParagraph"/>
        <w:spacing w:line="240" w:lineRule="auto"/>
        <w:ind w:left="0"/>
        <w:rPr>
          <w:b/>
        </w:rPr>
      </w:pPr>
      <w:r>
        <w:rPr>
          <w:b/>
        </w:rPr>
        <w:t>Ključne točke</w:t>
      </w:r>
    </w:p>
    <w:p w:rsidR="002E62B0" w:rsidP="00640656" w:rsidRDefault="002E62B0" w14:paraId="60FC1B05" w14:textId="42A58BCC">
      <w:pPr>
        <w:pStyle w:val="ListParagraph"/>
        <w:spacing w:line="240" w:lineRule="auto"/>
        <w:ind w:left="0"/>
        <w:rPr>
          <w:b/>
          <w:lang w:val="en-US"/>
        </w:rPr>
      </w:pPr>
    </w:p>
    <w:p w:rsidRPr="002E62B0" w:rsidR="002E62B0" w:rsidP="00640656" w:rsidRDefault="002E62B0" w14:paraId="63F0EA0C" w14:textId="76E1CBA7">
      <w:pPr>
        <w:pStyle w:val="ListParagraph"/>
        <w:spacing w:line="240" w:lineRule="auto"/>
        <w:ind w:left="0"/>
        <w:rPr>
          <w:bCs/>
        </w:rPr>
      </w:pPr>
      <w:r>
        <w:t>EGSO:</w:t>
      </w:r>
    </w:p>
    <w:p w:rsidRPr="009B70E7" w:rsidR="00640656" w:rsidP="00640656" w:rsidRDefault="00640656" w14:paraId="79740612" w14:textId="77777777">
      <w:pPr>
        <w:pStyle w:val="ListParagraph"/>
        <w:spacing w:line="276" w:lineRule="auto"/>
        <w:ind w:left="0"/>
      </w:pPr>
    </w:p>
    <w:p w:rsidRPr="009B70E7" w:rsidR="00640656" w:rsidP="00640656" w:rsidRDefault="00DE65D0" w14:paraId="7319D50D" w14:textId="5986D15B">
      <w:pPr>
        <w:pStyle w:val="ListParagraph"/>
        <w:numPr>
          <w:ilvl w:val="0"/>
          <w:numId w:val="3"/>
        </w:numPr>
        <w:spacing w:line="276" w:lineRule="auto"/>
        <w:ind w:left="357" w:hanging="357"/>
      </w:pPr>
      <w:r>
        <w:t>smatra da Unija treba uravnotežiti potražnju za opskrbom energijom, istodobno čuvajući energiju za zimu i izbjegavajući veće troškove. Ključno je podržati mjere kojima će se povećati učinkovitost u svim područjima. To se mora učiniti uz očuvanje cjelovitosti jedinstvenog tržišta i osiguravanje makroekonomske financijske stabilnosti te dosljednih fiskalnih i monetarnih politika;</w:t>
      </w:r>
    </w:p>
    <w:p w:rsidR="00017B56" w:rsidP="00017B56" w:rsidRDefault="00DE65D0" w14:paraId="0D16AC6B" w14:textId="7A128795">
      <w:pPr>
        <w:pStyle w:val="ListParagraph"/>
        <w:numPr>
          <w:ilvl w:val="0"/>
          <w:numId w:val="3"/>
        </w:numPr>
        <w:spacing w:line="276" w:lineRule="auto"/>
        <w:ind w:left="357" w:hanging="357"/>
      </w:pPr>
      <w:r>
        <w:t>poziva na pravedne radne uvjete, učinkovito tržišno natjecanje i bolje uzimanje u obzir zabrinutosti civilnog društva kako bi se poboljšalo funkcioniranje jedinstvenog tržišta te podržava poziv na poduzimanje mjera za jačanje jedinstvenog tržišta;</w:t>
      </w:r>
    </w:p>
    <w:p w:rsidR="00D0461E" w:rsidP="00017B56" w:rsidRDefault="00DE65D0" w14:paraId="6021F3AD" w14:textId="5AB7FA0A">
      <w:pPr>
        <w:pStyle w:val="ListParagraph"/>
        <w:numPr>
          <w:ilvl w:val="0"/>
          <w:numId w:val="3"/>
        </w:numPr>
        <w:spacing w:line="276" w:lineRule="auto"/>
        <w:ind w:left="357" w:hanging="357"/>
      </w:pPr>
      <w:r>
        <w:t>smatra da šokovi kojima smo nedavno bili izloženi naglašavaju važnost snažne koordinacije zdravih fiskalnih politika i stvaranja fiskalnih rezervi u dobrim vremenima koje bi se upotrebljavale u razdoblju gospodarskog pada, ali istodobno treba rješavati socijalne probleme jer mogu ugroziti gospodarski rast u srednjoročnom razdoblju. Cilj fiskalnih politika trebao bi biti postizanje razboritih srednjoročnih fiskalnih pozicija i osiguravanje fiskalne održivosti postupnom konsolidacijom te održivim ulaganjima i reformama kojima se potiče rast;</w:t>
      </w:r>
    </w:p>
    <w:p w:rsidR="00D0461E" w:rsidP="00017B56" w:rsidRDefault="00DE65D0" w14:paraId="25DF518B" w14:textId="0D91A837">
      <w:pPr>
        <w:pStyle w:val="ListParagraph"/>
        <w:numPr>
          <w:ilvl w:val="0"/>
          <w:numId w:val="3"/>
        </w:numPr>
        <w:spacing w:line="276" w:lineRule="auto"/>
        <w:ind w:left="357" w:hanging="357"/>
      </w:pPr>
      <w:r>
        <w:t>poziva na umjeren, realističan i uravnotežen pristup rješavanju problema inflacije kako bi se svi uključili u traženje rješenja koje će koristiti cijeloj Uniji. Tijela nadležna za tržišno natjecanje moraju strogo paziti na to da osiguraju transparentnost cijena i upozoravati na svako moguće nefunkcioniranje tržišta. Vlade moraju biti oprezne kako bi osigurale da se njihove izjave temelje na najboljoj empirijskoj analizi, izbjegavajući nepotkrijepljene kritike komercijalnih aktera jer to može dovesti do sukoba između građana, poduzeća i socijalnih partnera. EGSO također smatra da se problem može riješiti samo ako vlade, poduzeća i organizirano civilno društvo surađuju;</w:t>
      </w:r>
    </w:p>
    <w:p w:rsidR="00D0461E" w:rsidP="00DE65D0" w:rsidRDefault="00DE65D0" w14:paraId="64DE50A0" w14:textId="085F45AE">
      <w:pPr>
        <w:pStyle w:val="ListParagraph"/>
        <w:numPr>
          <w:ilvl w:val="0"/>
          <w:numId w:val="3"/>
        </w:numPr>
        <w:spacing w:line="276" w:lineRule="auto"/>
        <w:ind w:left="357" w:hanging="357"/>
      </w:pPr>
      <w:r>
        <w:t>potiče Komisiju da bolje komunicira s građanima i pozdravlja inicijativu Komisije da ove godine predstavi Komunikaciju o jačanju socijalnog dijaloga u EU-u i Prijedlog preporuke Vijeća o ulozi socijalnog dijaloga na nacionalnoj razini. Bolja komunikacija s organiziranim civilnim društvom i savjetovanje s njime ključni su i usko povezani.</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640656" w:rsidTr="00EA144E" w14:paraId="437B7156" w14:textId="77777777">
        <w:tc>
          <w:tcPr>
            <w:tcW w:w="1418" w:type="dxa"/>
          </w:tcPr>
          <w:p w:rsidRPr="009B70E7" w:rsidR="00640656" w:rsidP="00B83E7B" w:rsidRDefault="00640656" w14:paraId="026D2B53" w14:textId="766A3BDD">
            <w:pPr>
              <w:pStyle w:val="ListParagraph"/>
              <w:spacing w:line="276" w:lineRule="auto"/>
              <w:ind w:left="0"/>
              <w:rPr>
                <w:i/>
              </w:rPr>
            </w:pPr>
            <w:r>
              <w:rPr>
                <w:b/>
                <w:i/>
              </w:rPr>
              <w:t>Kontakt:</w:t>
            </w:r>
          </w:p>
        </w:tc>
        <w:tc>
          <w:tcPr>
            <w:tcW w:w="5670" w:type="dxa"/>
          </w:tcPr>
          <w:p w:rsidRPr="009B70E7" w:rsidR="00640656" w:rsidP="00B83E7B" w:rsidRDefault="00DE65D0" w14:paraId="3123BFA2" w14:textId="10E8FF9A">
            <w:pPr>
              <w:pStyle w:val="ListParagraph"/>
              <w:spacing w:line="276" w:lineRule="auto"/>
              <w:ind w:left="0"/>
              <w:rPr>
                <w:i/>
              </w:rPr>
            </w:pPr>
            <w:proofErr w:type="spellStart"/>
            <w:r>
              <w:rPr>
                <w:i/>
              </w:rPr>
              <w:t>Colombe</w:t>
            </w:r>
            <w:proofErr w:type="spellEnd"/>
            <w:r>
              <w:rPr>
                <w:i/>
              </w:rPr>
              <w:t xml:space="preserve"> </w:t>
            </w:r>
            <w:proofErr w:type="spellStart"/>
            <w:r>
              <w:rPr>
                <w:i/>
              </w:rPr>
              <w:t>Grégoire</w:t>
            </w:r>
            <w:proofErr w:type="spellEnd"/>
          </w:p>
        </w:tc>
      </w:tr>
      <w:tr w:rsidRPr="009B70E7" w:rsidR="00640656" w:rsidTr="00EA144E" w14:paraId="13C450E4" w14:textId="77777777">
        <w:tc>
          <w:tcPr>
            <w:tcW w:w="1418" w:type="dxa"/>
          </w:tcPr>
          <w:p w:rsidRPr="009B70E7" w:rsidR="00640656" w:rsidP="00EA144E" w:rsidRDefault="00640656" w14:paraId="71B7C5A8" w14:textId="64878A30">
            <w:pPr>
              <w:pStyle w:val="ListParagraph"/>
              <w:spacing w:line="276" w:lineRule="auto"/>
              <w:ind w:left="601" w:hanging="572"/>
              <w:rPr>
                <w:i/>
              </w:rPr>
            </w:pPr>
            <w:r>
              <w:rPr>
                <w:i/>
              </w:rPr>
              <w:t>Tel.:</w:t>
            </w:r>
          </w:p>
        </w:tc>
        <w:tc>
          <w:tcPr>
            <w:tcW w:w="5670" w:type="dxa"/>
          </w:tcPr>
          <w:p w:rsidRPr="009B70E7" w:rsidR="00640656" w:rsidP="00B83E7B" w:rsidRDefault="00577672" w14:paraId="3226C0EF" w14:textId="5E823946">
            <w:pPr>
              <w:pStyle w:val="ListParagraph"/>
              <w:spacing w:line="276" w:lineRule="auto"/>
              <w:ind w:left="0"/>
              <w:rPr>
                <w:i/>
              </w:rPr>
            </w:pPr>
            <w:r>
              <w:rPr>
                <w:i/>
              </w:rPr>
              <w:t>00 32 2 546 92 86</w:t>
            </w:r>
          </w:p>
        </w:tc>
      </w:tr>
      <w:tr w:rsidRPr="009B70E7" w:rsidR="00640656" w:rsidTr="00EA144E" w14:paraId="1FEA5B3F" w14:textId="77777777">
        <w:tc>
          <w:tcPr>
            <w:tcW w:w="1418" w:type="dxa"/>
          </w:tcPr>
          <w:p w:rsidRPr="009B70E7" w:rsidR="00640656" w:rsidP="00EA144E" w:rsidRDefault="00640656" w14:paraId="6D5FF9EA" w14:textId="3ECD4BD9">
            <w:pPr>
              <w:pStyle w:val="ListParagraph"/>
              <w:spacing w:line="276" w:lineRule="auto"/>
              <w:ind w:left="0" w:right="322" w:firstLine="29"/>
              <w:rPr>
                <w:i/>
              </w:rPr>
            </w:pPr>
            <w:r>
              <w:rPr>
                <w:i/>
              </w:rPr>
              <w:t>E-pošta:</w:t>
            </w:r>
          </w:p>
        </w:tc>
        <w:tc>
          <w:tcPr>
            <w:tcW w:w="5670" w:type="dxa"/>
          </w:tcPr>
          <w:p w:rsidRPr="00DE65D0" w:rsidR="00063F30" w:rsidP="001760E9" w:rsidRDefault="0078088B" w14:paraId="160383F7" w14:textId="0F149CEA">
            <w:pPr>
              <w:pStyle w:val="ListParagraph"/>
              <w:spacing w:line="276" w:lineRule="auto"/>
              <w:ind w:left="0"/>
              <w:rPr>
                <w:i/>
                <w:iCs/>
              </w:rPr>
            </w:pPr>
            <w:hyperlink w:history="1" r:id="rId21">
              <w:r w:rsidR="009E30B4">
                <w:rPr>
                  <w:rStyle w:val="Hyperlink"/>
                  <w:i/>
                </w:rPr>
                <w:t>Colombe.Gregoire@eesc.europa.eu</w:t>
              </w:r>
            </w:hyperlink>
          </w:p>
        </w:tc>
      </w:tr>
    </w:tbl>
    <w:p w:rsidR="00B67EDA" w:rsidRDefault="00B67EDA" w14:paraId="4FFF5C53" w14:textId="455F621A">
      <w:pPr>
        <w:spacing w:after="160" w:line="259" w:lineRule="auto"/>
        <w:jc w:val="left"/>
      </w:pPr>
    </w:p>
    <w:p w:rsidR="00BE40C9" w:rsidRDefault="00BE40C9" w14:paraId="77435EAD" w14:textId="352B45E9">
      <w:pPr>
        <w:spacing w:after="160" w:line="259" w:lineRule="auto"/>
        <w:jc w:val="left"/>
      </w:pPr>
      <w:r>
        <w:br w:type="page"/>
      </w:r>
    </w:p>
    <w:p w:rsidRPr="009B70E7" w:rsidR="00126D3E" w:rsidP="00126D3E" w:rsidRDefault="00126D3E" w14:paraId="673A8128" w14:textId="4684BA38">
      <w:pPr>
        <w:pStyle w:val="ListParagraph"/>
        <w:keepNext/>
        <w:numPr>
          <w:ilvl w:val="0"/>
          <w:numId w:val="2"/>
        </w:numPr>
        <w:ind w:left="567" w:hanging="567"/>
        <w:rPr>
          <w:b/>
          <w:i/>
          <w:sz w:val="28"/>
          <w:szCs w:val="28"/>
        </w:rPr>
      </w:pPr>
      <w:r>
        <w:rPr>
          <w:b/>
          <w:i/>
          <w:sz w:val="28"/>
        </w:rPr>
        <w:lastRenderedPageBreak/>
        <w:t>Komunikacija o smjernicama za reformu okvira gospodarskog upravljanja EU-a</w:t>
      </w:r>
    </w:p>
    <w:p w:rsidRPr="009B70E7" w:rsidR="00126D3E" w:rsidP="00126D3E" w:rsidRDefault="00126D3E" w14:paraId="4A79BF7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27"/>
        <w:gridCol w:w="6096"/>
      </w:tblGrid>
      <w:tr w:rsidRPr="009B70E7" w:rsidR="00126D3E" w:rsidTr="00040ADE" w14:paraId="27DC2D26" w14:textId="77777777">
        <w:trPr>
          <w:cantSplit/>
          <w:trHeight w:val="284" w:hRule="exact"/>
        </w:trPr>
        <w:tc>
          <w:tcPr>
            <w:tcW w:w="1701" w:type="dxa"/>
          </w:tcPr>
          <w:p w:rsidR="00126D3E" w:rsidP="00040ADE" w:rsidRDefault="00126D3E" w14:paraId="3BB3DDBA" w14:textId="77777777">
            <w:pPr>
              <w:pStyle w:val="ListParagraph"/>
              <w:spacing w:line="240" w:lineRule="auto"/>
              <w:ind w:left="-142" w:firstLine="142"/>
              <w:rPr>
                <w:b/>
              </w:rPr>
            </w:pPr>
            <w:r>
              <w:rPr>
                <w:b/>
              </w:rPr>
              <w:t>Izvjestitelj/</w:t>
            </w:r>
            <w:proofErr w:type="spellStart"/>
            <w:r>
              <w:rPr>
                <w:b/>
              </w:rPr>
              <w:t>ica</w:t>
            </w:r>
            <w:proofErr w:type="spellEnd"/>
            <w:r>
              <w:rPr>
                <w:b/>
              </w:rPr>
              <w:t>:</w:t>
            </w:r>
          </w:p>
          <w:p w:rsidRPr="009B70E7" w:rsidR="00126D3E" w:rsidP="00040ADE" w:rsidRDefault="00126D3E" w14:paraId="7E4DEEB3" w14:textId="77777777">
            <w:pPr>
              <w:pStyle w:val="ListParagraph"/>
              <w:keepNext/>
              <w:ind w:left="0"/>
              <w:rPr>
                <w:b/>
              </w:rPr>
            </w:pPr>
          </w:p>
        </w:tc>
        <w:tc>
          <w:tcPr>
            <w:tcW w:w="6096" w:type="dxa"/>
          </w:tcPr>
          <w:p w:rsidRPr="009B70E7" w:rsidR="00126D3E" w:rsidP="00040ADE" w:rsidRDefault="00126D3E" w14:paraId="0ECB49D5" w14:textId="2A53B603">
            <w:pPr>
              <w:pStyle w:val="ListParagraph"/>
              <w:ind w:left="-52"/>
            </w:pPr>
            <w:proofErr w:type="spellStart"/>
            <w:r>
              <w:t>Krister</w:t>
            </w:r>
            <w:proofErr w:type="spellEnd"/>
            <w:r>
              <w:t xml:space="preserve"> ANDERSSON (Skupina poslodavaca – SE)</w:t>
            </w:r>
          </w:p>
        </w:tc>
      </w:tr>
      <w:tr w:rsidRPr="009B70E7" w:rsidR="00126D3E" w:rsidTr="00040ADE" w14:paraId="6443033F" w14:textId="77777777">
        <w:trPr>
          <w:cantSplit/>
          <w:trHeight w:val="567" w:hRule="exact"/>
        </w:trPr>
        <w:tc>
          <w:tcPr>
            <w:tcW w:w="1701" w:type="dxa"/>
          </w:tcPr>
          <w:p w:rsidRPr="009B70E7" w:rsidR="00126D3E" w:rsidP="00196521" w:rsidRDefault="00126D3E" w14:paraId="19A5AD45" w14:textId="2E9242A4">
            <w:pPr>
              <w:pStyle w:val="ListParagraph"/>
              <w:ind w:left="0"/>
              <w:rPr>
                <w:b/>
              </w:rPr>
            </w:pPr>
            <w:r>
              <w:rPr>
                <w:b/>
              </w:rPr>
              <w:t>Suizvjestitelj/</w:t>
            </w:r>
            <w:proofErr w:type="spellStart"/>
            <w:r>
              <w:rPr>
                <w:b/>
              </w:rPr>
              <w:t>ica</w:t>
            </w:r>
            <w:proofErr w:type="spellEnd"/>
            <w:r>
              <w:rPr>
                <w:b/>
              </w:rPr>
              <w:t>:</w:t>
            </w:r>
          </w:p>
        </w:tc>
        <w:tc>
          <w:tcPr>
            <w:tcW w:w="6096" w:type="dxa"/>
          </w:tcPr>
          <w:p w:rsidRPr="009B70E7" w:rsidR="00126D3E" w:rsidP="00126D3E" w:rsidRDefault="00126D3E" w14:paraId="03F4E006" w14:textId="5AC8A206">
            <w:pPr>
              <w:pStyle w:val="ListParagraph"/>
              <w:ind w:left="-52"/>
            </w:pPr>
            <w:r>
              <w:t>Dominika BIEGON (Skupina radnika – DE)</w:t>
            </w:r>
          </w:p>
        </w:tc>
      </w:tr>
      <w:tr w:rsidRPr="00627B8F" w:rsidR="00126D3E" w:rsidTr="00040ADE" w14:paraId="06E347F6" w14:textId="77777777">
        <w:tc>
          <w:tcPr>
            <w:tcW w:w="1701" w:type="dxa"/>
          </w:tcPr>
          <w:p w:rsidRPr="009B70E7" w:rsidR="00126D3E" w:rsidP="00126D3E" w:rsidRDefault="00126D3E" w14:paraId="79E06325" w14:textId="77777777">
            <w:pPr>
              <w:pStyle w:val="ListParagraph"/>
              <w:ind w:left="0"/>
              <w:rPr>
                <w:b/>
              </w:rPr>
            </w:pPr>
            <w:r>
              <w:rPr>
                <w:b/>
              </w:rPr>
              <w:t xml:space="preserve">Referentni dokument/i: </w:t>
            </w:r>
          </w:p>
        </w:tc>
        <w:tc>
          <w:tcPr>
            <w:tcW w:w="6096" w:type="dxa"/>
          </w:tcPr>
          <w:p w:rsidRPr="00E119DF" w:rsidR="00126D3E" w:rsidP="00126D3E" w:rsidRDefault="00126D3E" w14:paraId="30488BC9" w14:textId="5DBE9315">
            <w:pPr>
              <w:pStyle w:val="ListParagraph"/>
              <w:ind w:left="-52"/>
            </w:pPr>
            <w:r>
              <w:t xml:space="preserve">COM(2022) 583 </w:t>
            </w:r>
            <w:proofErr w:type="spellStart"/>
            <w:r>
              <w:t>final</w:t>
            </w:r>
            <w:proofErr w:type="spellEnd"/>
          </w:p>
          <w:p w:rsidRPr="00E119DF" w:rsidR="00126D3E" w:rsidP="00126D3E" w:rsidRDefault="00126D3E" w14:paraId="6A2775E8" w14:textId="2791766D">
            <w:pPr>
              <w:pStyle w:val="ListParagraph"/>
              <w:ind w:left="-52"/>
            </w:pPr>
            <w:r>
              <w:t>EESC-2022-05434-00-00-AC</w:t>
            </w:r>
          </w:p>
        </w:tc>
      </w:tr>
    </w:tbl>
    <w:p w:rsidRPr="00EA144E" w:rsidR="00126D3E" w:rsidP="00126D3E" w:rsidRDefault="00126D3E" w14:paraId="584C5373" w14:textId="77777777">
      <w:pPr>
        <w:pStyle w:val="ListParagraph"/>
        <w:spacing w:line="240" w:lineRule="auto"/>
        <w:ind w:left="-142" w:firstLine="284"/>
        <w:rPr>
          <w:b/>
          <w:sz w:val="20"/>
          <w:szCs w:val="20"/>
        </w:rPr>
      </w:pPr>
    </w:p>
    <w:p w:rsidRPr="0070677E" w:rsidR="00126D3E" w:rsidP="00126D3E" w:rsidRDefault="00126D3E" w14:paraId="032A4DA1" w14:textId="77777777">
      <w:pPr>
        <w:pStyle w:val="ListParagraph"/>
        <w:spacing w:line="240" w:lineRule="auto"/>
        <w:ind w:left="0"/>
        <w:rPr>
          <w:b/>
        </w:rPr>
      </w:pPr>
      <w:r>
        <w:rPr>
          <w:b/>
        </w:rPr>
        <w:t>Ključne točke</w:t>
      </w:r>
    </w:p>
    <w:p w:rsidRPr="00EA144E" w:rsidR="00126D3E" w:rsidP="00126D3E" w:rsidRDefault="00126D3E" w14:paraId="08F0CDB8" w14:textId="77777777">
      <w:pPr>
        <w:pStyle w:val="ListParagraph"/>
        <w:ind w:left="0"/>
        <w:rPr>
          <w:sz w:val="20"/>
          <w:szCs w:val="20"/>
        </w:rPr>
      </w:pPr>
    </w:p>
    <w:p w:rsidRPr="002E62B0" w:rsidR="00126D3E" w:rsidP="00126D3E" w:rsidRDefault="00126D3E" w14:paraId="1910B01D" w14:textId="77777777">
      <w:pPr>
        <w:pStyle w:val="ListParagraph"/>
        <w:spacing w:line="240" w:lineRule="auto"/>
        <w:ind w:left="0"/>
        <w:rPr>
          <w:bCs/>
        </w:rPr>
      </w:pPr>
      <w:r>
        <w:t>EGSO:</w:t>
      </w:r>
    </w:p>
    <w:p w:rsidRPr="00EA144E" w:rsidR="00126D3E" w:rsidP="00126D3E" w:rsidRDefault="00126D3E" w14:paraId="30410FB5" w14:textId="77777777">
      <w:pPr>
        <w:pStyle w:val="ListParagraph"/>
        <w:ind w:left="0"/>
        <w:rPr>
          <w:sz w:val="20"/>
          <w:szCs w:val="20"/>
        </w:rPr>
      </w:pPr>
    </w:p>
    <w:p w:rsidRPr="009B70E7" w:rsidR="00126D3E" w:rsidP="00126D3E" w:rsidRDefault="00126D3E" w14:paraId="4B0472C6" w14:textId="71030DBC">
      <w:pPr>
        <w:pStyle w:val="ListParagraph"/>
        <w:numPr>
          <w:ilvl w:val="0"/>
          <w:numId w:val="3"/>
        </w:numPr>
        <w:ind w:left="357" w:hanging="357"/>
      </w:pPr>
      <w:r>
        <w:t xml:space="preserve">pozdravlja Komunikaciju Komisije u kojoj se iznose smjernice za reformu okvira gospodarskog upravljanja i slaže se s Komisijom da je prije proračunskih postupaka država članica za 2024. </w:t>
      </w:r>
      <w:r>
        <w:rPr>
          <w:b/>
        </w:rPr>
        <w:t>potreban brz dogovor</w:t>
      </w:r>
      <w:r>
        <w:t>;</w:t>
      </w:r>
    </w:p>
    <w:p w:rsidRPr="00750BF7" w:rsidR="00126D3E" w:rsidP="00126D3E" w:rsidRDefault="00126D3E" w14:paraId="04B3FA3A" w14:textId="31A21F48">
      <w:pPr>
        <w:pStyle w:val="ListParagraph"/>
        <w:numPr>
          <w:ilvl w:val="0"/>
          <w:numId w:val="3"/>
        </w:numPr>
        <w:ind w:left="357" w:hanging="357"/>
      </w:pPr>
      <w:r>
        <w:t xml:space="preserve">prima na znanje plan Komisije da se zadrže referentne vrijednosti, ali naglašava da se </w:t>
      </w:r>
      <w:r>
        <w:rPr>
          <w:b/>
        </w:rPr>
        <w:t>fiskalno-strukturnim planovima</w:t>
      </w:r>
      <w:r>
        <w:t xml:space="preserve"> mora osigurati da se udjeli duga u BDP-u smanje ili da ostanu na razboritim razinama;</w:t>
      </w:r>
    </w:p>
    <w:p w:rsidR="00126D3E" w:rsidP="00126D3E" w:rsidRDefault="00126D3E" w14:paraId="17C5BE6B" w14:textId="5DE6DB76">
      <w:pPr>
        <w:pStyle w:val="ListParagraph"/>
        <w:numPr>
          <w:ilvl w:val="0"/>
          <w:numId w:val="3"/>
        </w:numPr>
        <w:ind w:left="357" w:hanging="357"/>
      </w:pPr>
      <w:r>
        <w:t xml:space="preserve">podržava prijedlog Komisije da se više ne primjenjuje strogo pravilo 1/20 jer bi ono moglo pretjerano opteretiti države članice s visokim dugom, što bi negativno utjecalo na rast i samu održivost duga. Čini se da je razmjerno i četverogodišnje razdoblje evaluacije u sredini programskog razdoblja za referentne </w:t>
      </w:r>
      <w:r>
        <w:rPr>
          <w:b/>
        </w:rPr>
        <w:t>fiskalne prilagodbe</w:t>
      </w:r>
      <w:r>
        <w:t>, koje se prema potrebi može produljiti za dodatne tri godine;</w:t>
      </w:r>
    </w:p>
    <w:p w:rsidR="00126D3E" w:rsidP="00126D3E" w:rsidRDefault="00126D3E" w14:paraId="7C7E2BDC" w14:textId="5AF79D06">
      <w:pPr>
        <w:pStyle w:val="ListParagraph"/>
        <w:numPr>
          <w:ilvl w:val="0"/>
          <w:numId w:val="3"/>
        </w:numPr>
        <w:ind w:left="357" w:hanging="357"/>
      </w:pPr>
      <w:r>
        <w:t xml:space="preserve">pozdravlja </w:t>
      </w:r>
      <w:r>
        <w:rPr>
          <w:b/>
          <w:bCs/>
        </w:rPr>
        <w:t>usredotočenost</w:t>
      </w:r>
      <w:r>
        <w:t xml:space="preserve"> Komisije </w:t>
      </w:r>
      <w:r>
        <w:rPr>
          <w:b/>
          <w:bCs/>
        </w:rPr>
        <w:t>na neto primarne rashode</w:t>
      </w:r>
      <w:r>
        <w:t xml:space="preserve"> kao glavni evaluacijski parametar novog gospodarskog upravljanja;</w:t>
      </w:r>
    </w:p>
    <w:p w:rsidRPr="00126D3E" w:rsidR="00126D3E" w:rsidP="00126D3E" w:rsidRDefault="00126D3E" w14:paraId="684FE8F0" w14:textId="6B127B88">
      <w:pPr>
        <w:pStyle w:val="ListParagraph"/>
        <w:numPr>
          <w:ilvl w:val="0"/>
          <w:numId w:val="3"/>
        </w:numPr>
        <w:ind w:left="357" w:hanging="357"/>
      </w:pPr>
      <w:r>
        <w:t xml:space="preserve">ističe da je za uspjeh reformiranog okvira ključno </w:t>
      </w:r>
      <w:r>
        <w:rPr>
          <w:b/>
          <w:bCs/>
        </w:rPr>
        <w:t>preuzimanje odgovornosti</w:t>
      </w:r>
      <w:r>
        <w:t xml:space="preserve"> za taj proces. Stoga je važno razviti daljnje mjere koje bi se mogle poduzeti kako bi se povećala odgovornost za pravila, čime bi se osiguralo da se sve vlade obvežu na revidirani okvir;</w:t>
      </w:r>
    </w:p>
    <w:p w:rsidR="00126D3E" w:rsidP="00126D3E" w:rsidRDefault="00126D3E" w14:paraId="3F19F70F" w14:textId="6588F090">
      <w:pPr>
        <w:pStyle w:val="ListParagraph"/>
        <w:numPr>
          <w:ilvl w:val="0"/>
          <w:numId w:val="3"/>
        </w:numPr>
        <w:ind w:left="357" w:hanging="357"/>
      </w:pPr>
      <w:r>
        <w:t xml:space="preserve">smatra da je ključno da se budućim zakonodavnim prijedlozima </w:t>
      </w:r>
      <w:r>
        <w:rPr>
          <w:b/>
        </w:rPr>
        <w:t>uspostave minimalni standardi nacionalnog parlamentarnog nadzora i sudjelovanja organiziranog civilnog društva</w:t>
      </w:r>
      <w:r>
        <w:t xml:space="preserve"> u izradi nacrta nacionalnih srednjoročnih fiskalnih strukturnih planova;</w:t>
      </w:r>
    </w:p>
    <w:p w:rsidRPr="00126D3E" w:rsidR="00126D3E" w:rsidP="00126D3E" w:rsidRDefault="00126D3E" w14:paraId="5181A0A0" w14:textId="4EC6C509">
      <w:pPr>
        <w:pStyle w:val="ListParagraph"/>
        <w:numPr>
          <w:ilvl w:val="0"/>
          <w:numId w:val="3"/>
        </w:numPr>
        <w:ind w:left="357" w:hanging="357"/>
      </w:pPr>
      <w:r>
        <w:t xml:space="preserve">naglašava potrebu za odgovarajućim pravilima kojima se osigurava </w:t>
      </w:r>
      <w:r>
        <w:rPr>
          <w:b/>
        </w:rPr>
        <w:t>stroga provedba</w:t>
      </w:r>
      <w:r>
        <w:t xml:space="preserve">. U iznimnim slučajevima u kojima se razmatraju sankcije, one moraju biti djelotvorne i provedene na transparentan način. Pravila se moraju jednako primjenjivati na sve države članice kako bi se zadržala </w:t>
      </w:r>
      <w:r>
        <w:rPr>
          <w:b/>
        </w:rPr>
        <w:t>vjerodostojnost</w:t>
      </w:r>
      <w:r>
        <w:t>;</w:t>
      </w:r>
    </w:p>
    <w:p w:rsidR="00126D3E" w:rsidP="00126D3E" w:rsidRDefault="00126D3E" w14:paraId="3A81D412" w14:textId="083F11ED">
      <w:pPr>
        <w:pStyle w:val="ListParagraph"/>
        <w:numPr>
          <w:ilvl w:val="0"/>
          <w:numId w:val="3"/>
        </w:numPr>
        <w:ind w:left="357" w:hanging="357"/>
      </w:pPr>
      <w:r>
        <w:rPr>
          <w:b/>
        </w:rPr>
        <w:t>pozdravlja činjenicu da su povećana kvaliteta i količina javnih ulaganja</w:t>
      </w:r>
      <w:r>
        <w:t xml:space="preserve"> istaknuti kao čimbenik koji treba uzeti u obzir u procesu postizanja održivosti duga. također pozdravlja produljenje kretanja prilagodbe koje se može odobriti za najviše tri godine;</w:t>
      </w:r>
    </w:p>
    <w:p w:rsidR="00D82C3A" w:rsidP="00126D3E" w:rsidRDefault="00D82C3A" w14:paraId="769F68C4" w14:textId="1B177851">
      <w:pPr>
        <w:pStyle w:val="ListParagraph"/>
        <w:numPr>
          <w:ilvl w:val="0"/>
          <w:numId w:val="3"/>
        </w:numPr>
        <w:ind w:left="357" w:hanging="357"/>
      </w:pPr>
      <w:r w:rsidRPr="006C6D04">
        <w:rPr>
          <w:b/>
        </w:rPr>
        <w:t>naglašava da bi mogle biti potrebne daljnje inicijative kako bi se osigurala</w:t>
      </w:r>
      <w:r>
        <w:rPr>
          <w:b/>
        </w:rPr>
        <w:t xml:space="preserve"> </w:t>
      </w:r>
      <w:r>
        <w:rPr>
          <w:b/>
          <w:bCs/>
        </w:rPr>
        <w:t>mobilizacija dostatnog privatnog i javnog kapitala za zelenu tranziciju i socijalnu koheziju</w:t>
      </w:r>
      <w:r>
        <w:t>;</w:t>
      </w:r>
    </w:p>
    <w:p w:rsidR="00126D3E" w:rsidP="00126D3E" w:rsidRDefault="00126D3E" w14:paraId="3C908B43" w14:textId="5BC11086">
      <w:pPr>
        <w:pStyle w:val="ListParagraph"/>
        <w:numPr>
          <w:ilvl w:val="0"/>
          <w:numId w:val="3"/>
        </w:numPr>
        <w:ind w:left="357" w:hanging="357"/>
      </w:pPr>
      <w:r>
        <w:t xml:space="preserve">smatra da bi </w:t>
      </w:r>
      <w:r>
        <w:rPr>
          <w:b/>
          <w:bCs/>
        </w:rPr>
        <w:t>godišnja izvješća o napretku</w:t>
      </w:r>
      <w:r>
        <w:t xml:space="preserve"> država članica, </w:t>
      </w:r>
      <w:r>
        <w:rPr>
          <w:b/>
          <w:bCs/>
        </w:rPr>
        <w:t>pojedinosti o statusu provedbe reformi i ulaganja</w:t>
      </w:r>
      <w:r>
        <w:t xml:space="preserve"> te </w:t>
      </w:r>
      <w:r>
        <w:rPr>
          <w:b/>
          <w:bCs/>
        </w:rPr>
        <w:t>evaluacije Komisije i Vijeća</w:t>
      </w:r>
      <w:r>
        <w:t xml:space="preserve"> provedene u kontekstu godišnjeg nadzora trebali biti javno dostupni.</w:t>
      </w:r>
    </w:p>
    <w:p w:rsidRPr="00EA144E" w:rsidR="00126D3E" w:rsidP="00126D3E" w:rsidRDefault="00126D3E" w14:paraId="1826D695" w14:textId="77777777">
      <w:pPr>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9B70E7" w:rsidR="00126D3E" w:rsidTr="00EA144E" w14:paraId="6C9C2615" w14:textId="77777777">
        <w:tc>
          <w:tcPr>
            <w:tcW w:w="1701" w:type="dxa"/>
          </w:tcPr>
          <w:p w:rsidRPr="009B70E7" w:rsidR="00126D3E" w:rsidP="00EA144E" w:rsidRDefault="00126D3E" w14:paraId="2502BF16" w14:textId="77777777">
            <w:pPr>
              <w:pStyle w:val="ListParagraph"/>
              <w:keepNext/>
              <w:keepLines/>
              <w:ind w:left="0"/>
              <w:rPr>
                <w:i/>
              </w:rPr>
            </w:pPr>
            <w:r>
              <w:rPr>
                <w:b/>
                <w:i/>
              </w:rPr>
              <w:t>Kontakt:</w:t>
            </w:r>
          </w:p>
        </w:tc>
        <w:tc>
          <w:tcPr>
            <w:tcW w:w="5670" w:type="dxa"/>
          </w:tcPr>
          <w:p w:rsidRPr="009B70E7" w:rsidR="00126D3E" w:rsidP="00EA144E" w:rsidRDefault="00126D3E" w14:paraId="7569883B" w14:textId="3CFC178C">
            <w:pPr>
              <w:pStyle w:val="ListParagraph"/>
              <w:keepNext/>
              <w:keepLines/>
              <w:ind w:left="0"/>
              <w:rPr>
                <w:i/>
              </w:rPr>
            </w:pPr>
            <w:proofErr w:type="spellStart"/>
            <w:r>
              <w:rPr>
                <w:i/>
              </w:rPr>
              <w:t>Krisztina</w:t>
            </w:r>
            <w:proofErr w:type="spellEnd"/>
            <w:r>
              <w:rPr>
                <w:i/>
              </w:rPr>
              <w:t xml:space="preserve"> </w:t>
            </w:r>
            <w:proofErr w:type="spellStart"/>
            <w:r>
              <w:rPr>
                <w:i/>
              </w:rPr>
              <w:t>Perlaky</w:t>
            </w:r>
            <w:proofErr w:type="spellEnd"/>
            <w:r>
              <w:rPr>
                <w:i/>
              </w:rPr>
              <w:t>-Toth</w:t>
            </w:r>
          </w:p>
        </w:tc>
      </w:tr>
      <w:tr w:rsidRPr="009B70E7" w:rsidR="00126D3E" w:rsidTr="00EA144E" w14:paraId="1633B04C" w14:textId="77777777">
        <w:tc>
          <w:tcPr>
            <w:tcW w:w="1701" w:type="dxa"/>
          </w:tcPr>
          <w:p w:rsidRPr="009B70E7" w:rsidR="00126D3E" w:rsidP="00EA144E" w:rsidRDefault="00126D3E" w14:paraId="3D6DEE23" w14:textId="77777777">
            <w:pPr>
              <w:pStyle w:val="ListParagraph"/>
              <w:keepNext/>
              <w:keepLines/>
              <w:ind w:left="601" w:hanging="601"/>
              <w:rPr>
                <w:i/>
              </w:rPr>
            </w:pPr>
            <w:r>
              <w:rPr>
                <w:i/>
              </w:rPr>
              <w:t>Tel.:</w:t>
            </w:r>
          </w:p>
        </w:tc>
        <w:tc>
          <w:tcPr>
            <w:tcW w:w="5670" w:type="dxa"/>
          </w:tcPr>
          <w:p w:rsidRPr="009B70E7" w:rsidR="00126D3E" w:rsidP="00EA144E" w:rsidRDefault="00126D3E" w14:paraId="3D558DF4" w14:textId="4888783E">
            <w:pPr>
              <w:pStyle w:val="ListParagraph"/>
              <w:keepNext/>
              <w:keepLines/>
              <w:ind w:left="0"/>
              <w:rPr>
                <w:i/>
              </w:rPr>
            </w:pPr>
            <w:r>
              <w:rPr>
                <w:i/>
              </w:rPr>
              <w:t>00 32 2 546 9740</w:t>
            </w:r>
          </w:p>
        </w:tc>
      </w:tr>
      <w:tr w:rsidRPr="001D770D" w:rsidR="00126D3E" w:rsidTr="00EA144E" w14:paraId="29931F4A" w14:textId="77777777">
        <w:tc>
          <w:tcPr>
            <w:tcW w:w="1701" w:type="dxa"/>
          </w:tcPr>
          <w:p w:rsidRPr="00EA144E" w:rsidR="00126D3E" w:rsidP="00EA144E" w:rsidRDefault="00126D3E" w14:paraId="57FF013D" w14:textId="77777777">
            <w:pPr>
              <w:pStyle w:val="ListParagraph"/>
              <w:keepNext/>
              <w:keepLines/>
              <w:ind w:left="601" w:hanging="601"/>
              <w:rPr>
                <w:i/>
                <w:sz w:val="20"/>
                <w:szCs w:val="20"/>
              </w:rPr>
            </w:pPr>
            <w:r w:rsidRPr="00EA144E">
              <w:rPr>
                <w:i/>
                <w:sz w:val="20"/>
                <w:szCs w:val="20"/>
              </w:rPr>
              <w:t>E-pošta:</w:t>
            </w:r>
          </w:p>
        </w:tc>
        <w:tc>
          <w:tcPr>
            <w:tcW w:w="5670" w:type="dxa"/>
          </w:tcPr>
          <w:p w:rsidRPr="008102E2" w:rsidR="00126D3E" w:rsidP="00EA144E" w:rsidRDefault="0078088B" w14:paraId="534217AD" w14:textId="33868D76">
            <w:pPr>
              <w:pStyle w:val="ListParagraph"/>
              <w:keepNext/>
              <w:keepLines/>
              <w:ind w:left="0"/>
              <w:rPr>
                <w:iCs/>
                <w:color w:val="0000FF"/>
                <w:u w:val="single"/>
              </w:rPr>
            </w:pPr>
            <w:hyperlink w:history="1" r:id="rId22">
              <w:r w:rsidR="009E30B4">
                <w:rPr>
                  <w:rStyle w:val="Hyperlink"/>
                  <w:i/>
                </w:rPr>
                <w:t>Krisztina.PerlakyToth@eesc.europa.eu</w:t>
              </w:r>
            </w:hyperlink>
          </w:p>
        </w:tc>
      </w:tr>
    </w:tbl>
    <w:p w:rsidR="004E0C44" w:rsidRDefault="004E0C44" w14:paraId="6EFE33A5" w14:textId="77777777">
      <w:pPr>
        <w:spacing w:after="160" w:line="259" w:lineRule="auto"/>
        <w:jc w:val="left"/>
      </w:pPr>
      <w:r>
        <w:br w:type="page"/>
      </w:r>
    </w:p>
    <w:p w:rsidRPr="009B70E7" w:rsidR="004D7AC0" w:rsidRDefault="004D7AC0" w14:paraId="73D829D0" w14:textId="77777777">
      <w:pPr>
        <w:pStyle w:val="Heading1"/>
        <w:rPr>
          <w:b/>
        </w:rPr>
      </w:pPr>
      <w:bookmarkStart w:name="_Toc75527081" w:id="5"/>
      <w:bookmarkStart w:name="_Toc129684711" w:id="6"/>
      <w:r>
        <w:rPr>
          <w:b/>
        </w:rPr>
        <w:lastRenderedPageBreak/>
        <w:t>STRUČNA SKUPINA ZA ZAPOŠLJAVANJE, SOCIJALNA PITANJA I GRAĐANSTVO</w:t>
      </w:r>
      <w:bookmarkEnd w:id="5"/>
      <w:bookmarkEnd w:id="6"/>
    </w:p>
    <w:p w:rsidRPr="005D76AC" w:rsidR="00276CC9" w:rsidP="00750BF7" w:rsidRDefault="00276CC9" w14:paraId="187F194C" w14:textId="59504090">
      <w:pPr>
        <w:spacing w:after="160" w:line="259" w:lineRule="auto"/>
        <w:jc w:val="left"/>
      </w:pPr>
    </w:p>
    <w:p w:rsidRPr="009B70E7" w:rsidR="00775FDA" w:rsidP="0018231C" w:rsidRDefault="00847B19" w14:paraId="6004B7F1" w14:textId="1B1D22DD">
      <w:pPr>
        <w:pStyle w:val="ListParagraph"/>
        <w:keepNext/>
        <w:numPr>
          <w:ilvl w:val="0"/>
          <w:numId w:val="2"/>
        </w:numPr>
        <w:ind w:left="567" w:hanging="567"/>
        <w:rPr>
          <w:b/>
          <w:i/>
          <w:sz w:val="28"/>
          <w:szCs w:val="28"/>
        </w:rPr>
      </w:pPr>
      <w:bookmarkStart w:name="_Hlk125475639" w:id="7"/>
      <w:r>
        <w:rPr>
          <w:b/>
          <w:i/>
          <w:sz w:val="28"/>
        </w:rPr>
        <w:t>Energetska politika i tržište rada: posljedice za zapošljavanje u regijama koje prolaze kroz energetsku tranziciju</w:t>
      </w:r>
    </w:p>
    <w:p w:rsidRPr="009B70E7" w:rsidR="00775FDA" w:rsidP="0018231C" w:rsidRDefault="00775FDA" w14:paraId="301189D8" w14:textId="77777777">
      <w:pPr>
        <w:pStyle w:val="ListParagraph"/>
        <w:keepNext/>
        <w:ind w:left="0"/>
      </w:pPr>
      <w:bookmarkStart w:name="_Hlk127184014" w:id="8"/>
    </w:p>
    <w:tbl>
      <w:tblPr>
        <w:tblStyle w:val="TableGrid"/>
        <w:tblW w:w="79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294"/>
      </w:tblGrid>
      <w:tr w:rsidRPr="009B70E7" w:rsidR="00B44BB9" w:rsidTr="00196521" w14:paraId="5CC040D5" w14:textId="77777777">
        <w:trPr>
          <w:cantSplit/>
          <w:trHeight w:val="284" w:hRule="exact"/>
        </w:trPr>
        <w:tc>
          <w:tcPr>
            <w:tcW w:w="1701" w:type="dxa"/>
          </w:tcPr>
          <w:p w:rsidR="00B44BB9" w:rsidP="002E62B0" w:rsidRDefault="00B44BB9" w14:paraId="2BE1EF86" w14:textId="135AB205">
            <w:pPr>
              <w:pStyle w:val="ListParagraph"/>
              <w:spacing w:line="240" w:lineRule="auto"/>
              <w:ind w:left="-142" w:firstLine="142"/>
              <w:rPr>
                <w:b/>
              </w:rPr>
            </w:pPr>
            <w:r>
              <w:rPr>
                <w:b/>
              </w:rPr>
              <w:t>Izvjestitelj/</w:t>
            </w:r>
            <w:proofErr w:type="spellStart"/>
            <w:r>
              <w:rPr>
                <w:b/>
              </w:rPr>
              <w:t>ica</w:t>
            </w:r>
            <w:proofErr w:type="spellEnd"/>
            <w:r>
              <w:rPr>
                <w:b/>
              </w:rPr>
              <w:t>:</w:t>
            </w:r>
          </w:p>
          <w:p w:rsidRPr="009B70E7" w:rsidR="00B44BB9" w:rsidP="00B44BB9" w:rsidRDefault="00B44BB9" w14:paraId="15AEA92C" w14:textId="77777777">
            <w:pPr>
              <w:pStyle w:val="ListParagraph"/>
              <w:keepNext/>
              <w:ind w:left="0"/>
              <w:rPr>
                <w:b/>
              </w:rPr>
            </w:pPr>
          </w:p>
        </w:tc>
        <w:tc>
          <w:tcPr>
            <w:tcW w:w="6294" w:type="dxa"/>
          </w:tcPr>
          <w:p w:rsidR="00B44BB9" w:rsidP="00847B19" w:rsidRDefault="00847B19" w14:paraId="4BAF20E0" w14:textId="5FE88B39">
            <w:pPr>
              <w:pStyle w:val="ListParagraph"/>
              <w:ind w:left="-52" w:right="-1618"/>
            </w:pPr>
            <w:r>
              <w:t>Maria del Carmen BARRERA CHAMORRO (Skupina radnika – ES)</w:t>
            </w:r>
          </w:p>
          <w:p w:rsidR="00847B19" w:rsidP="00E119DF" w:rsidRDefault="00847B19" w14:paraId="757E33F4" w14:textId="77777777">
            <w:pPr>
              <w:pStyle w:val="ListParagraph"/>
              <w:ind w:left="-52"/>
            </w:pPr>
          </w:p>
          <w:p w:rsidRPr="009B70E7" w:rsidR="00847B19" w:rsidP="00E119DF" w:rsidRDefault="00847B19" w14:paraId="689CA704" w14:textId="188D0825">
            <w:pPr>
              <w:pStyle w:val="ListParagraph"/>
              <w:ind w:left="-52"/>
            </w:pPr>
          </w:p>
        </w:tc>
      </w:tr>
      <w:tr w:rsidRPr="00627B8F" w:rsidR="00B44BB9" w:rsidTr="00196521" w14:paraId="58C9EA77" w14:textId="77777777">
        <w:tc>
          <w:tcPr>
            <w:tcW w:w="1701" w:type="dxa"/>
          </w:tcPr>
          <w:p w:rsidRPr="009B70E7" w:rsidR="00B44BB9" w:rsidP="00120BA5" w:rsidRDefault="00B44BB9" w14:paraId="5397904E" w14:textId="384BB618">
            <w:pPr>
              <w:pStyle w:val="ListParagraph"/>
              <w:ind w:left="0"/>
              <w:rPr>
                <w:b/>
              </w:rPr>
            </w:pPr>
            <w:r>
              <w:rPr>
                <w:b/>
              </w:rPr>
              <w:t>Referentni dokument/i:</w:t>
            </w:r>
          </w:p>
        </w:tc>
        <w:tc>
          <w:tcPr>
            <w:tcW w:w="6294" w:type="dxa"/>
          </w:tcPr>
          <w:p w:rsidRPr="00E119DF" w:rsidR="00B44BB9" w:rsidP="00E119DF" w:rsidRDefault="00847B19" w14:paraId="7887F4C5" w14:textId="72194518">
            <w:pPr>
              <w:pStyle w:val="ListParagraph"/>
              <w:ind w:left="-52"/>
            </w:pPr>
            <w:r>
              <w:t>(samoinicijativno mišljenje)</w:t>
            </w:r>
          </w:p>
          <w:p w:rsidRPr="00E119DF" w:rsidR="00B44BB9" w:rsidP="00E119DF" w:rsidRDefault="00B44BB9" w14:paraId="12C6341D" w14:textId="7CF76B40">
            <w:pPr>
              <w:pStyle w:val="ListParagraph"/>
              <w:ind w:left="-52"/>
            </w:pPr>
            <w:r>
              <w:t>EESC-2022-04464-00-00-AC</w:t>
            </w:r>
          </w:p>
        </w:tc>
      </w:tr>
    </w:tbl>
    <w:p w:rsidR="00631509" w:rsidP="00631509" w:rsidRDefault="00631509" w14:paraId="5534BE55" w14:textId="77777777">
      <w:pPr>
        <w:pStyle w:val="ListParagraph"/>
        <w:spacing w:line="240" w:lineRule="auto"/>
        <w:ind w:left="-142" w:firstLine="284"/>
        <w:rPr>
          <w:b/>
        </w:rPr>
      </w:pPr>
    </w:p>
    <w:p w:rsidRPr="0070677E" w:rsidR="00775FDA" w:rsidP="002E62B0" w:rsidRDefault="00C76C46" w14:paraId="63769A52" w14:textId="3A0DA8C9">
      <w:pPr>
        <w:pStyle w:val="ListParagraph"/>
        <w:spacing w:line="240" w:lineRule="auto"/>
        <w:ind w:left="0"/>
        <w:rPr>
          <w:b/>
        </w:rPr>
      </w:pPr>
      <w:r>
        <w:rPr>
          <w:b/>
        </w:rPr>
        <w:t>Ključne točke</w:t>
      </w:r>
    </w:p>
    <w:p w:rsidRPr="009B70E7" w:rsidR="005475DA" w:rsidRDefault="005475DA" w14:paraId="580B14A7" w14:textId="77777777">
      <w:pPr>
        <w:pStyle w:val="ListParagraph"/>
        <w:ind w:left="0"/>
      </w:pPr>
    </w:p>
    <w:p w:rsidRPr="002E62B0" w:rsidR="00775FDA" w:rsidP="002E62B0" w:rsidRDefault="008946BF" w14:paraId="3C2434D8" w14:textId="77777777">
      <w:pPr>
        <w:pStyle w:val="ListParagraph"/>
        <w:spacing w:line="240" w:lineRule="auto"/>
        <w:ind w:left="0"/>
        <w:rPr>
          <w:bCs/>
        </w:rPr>
      </w:pPr>
      <w:r>
        <w:t>EGSO:</w:t>
      </w:r>
    </w:p>
    <w:p w:rsidRPr="009B70E7" w:rsidR="00775FDA" w:rsidP="0018231C" w:rsidRDefault="00775FDA" w14:paraId="540C04B4" w14:textId="77777777">
      <w:pPr>
        <w:pStyle w:val="ListParagraph"/>
        <w:ind w:left="0"/>
      </w:pPr>
    </w:p>
    <w:p w:rsidRPr="009B70E7" w:rsidR="00775FDA" w:rsidP="0018231C" w:rsidRDefault="0007015C" w14:paraId="3D89CE58" w14:textId="7DD86F59">
      <w:pPr>
        <w:pStyle w:val="ListParagraph"/>
        <w:numPr>
          <w:ilvl w:val="0"/>
          <w:numId w:val="3"/>
        </w:numPr>
        <w:ind w:left="357" w:hanging="357"/>
      </w:pPr>
      <w:r>
        <w:t xml:space="preserve">napominje da pogoršanje negativnih učinaka klimatske krize te nesigurnosti i krize povezane s novim geopolitičkim okolnostima i okolnostima na energetskom tržištu obvezuju Europsku uniju na snažno ubrzanje prelaska na čistu energiju i smanjenje energetske ovisnosti Europe o nepouzdanim dobavljačima i nestabilnim fosilnim gorivima. Stoga pozitivno ocjenjuje planove Europske komisije za postizanje tih ciljeva (na primjer </w:t>
      </w:r>
      <w:proofErr w:type="spellStart"/>
      <w:r>
        <w:t>REPowerEU</w:t>
      </w:r>
      <w:proofErr w:type="spellEnd"/>
      <w:r>
        <w:t xml:space="preserve"> i njegovo dodatno financiranje iz Mehanizma za oporavak i otpornost;</w:t>
      </w:r>
    </w:p>
    <w:p w:rsidR="00BE40C9" w:rsidP="008C3E09" w:rsidRDefault="0007015C" w14:paraId="244724D4" w14:textId="552D18D3">
      <w:pPr>
        <w:pStyle w:val="ListParagraph"/>
        <w:numPr>
          <w:ilvl w:val="0"/>
          <w:numId w:val="3"/>
        </w:numPr>
        <w:ind w:left="357" w:hanging="357"/>
      </w:pPr>
      <w:r>
        <w:t>naglašava da okolišni i energetski rizici utječu na gospodarske djelatnosti i sve povezane mjere politike, koje na razne načine pogađaju najranjivije regije, gospodarske sektore, radnike i skupine stanovništva. Stoga se posebna pozornost treba usmjeriti na regije u kojima je potrebno osigurati pravednu tranziciju, u kojima postoji intenzivnija veza između razvoja energetskog sektora i zahtjeva tržišta rada i u kojima će biti potrebne posebne mjere;</w:t>
      </w:r>
    </w:p>
    <w:p w:rsidR="0007015C" w:rsidP="008C3E09" w:rsidRDefault="0007015C" w14:paraId="3E1E34EA" w14:textId="108D55A1">
      <w:pPr>
        <w:pStyle w:val="ListParagraph"/>
        <w:numPr>
          <w:ilvl w:val="0"/>
          <w:numId w:val="3"/>
        </w:numPr>
        <w:ind w:left="357" w:hanging="357"/>
      </w:pPr>
      <w:r>
        <w:t>predlaže da države članice razmotre odgovarajuće načine za veću integraciju politika tržišta rada u regulatorni okvir, okolišne i energetske politike i politike socijalne skrbi. Integraciju u okviru nacionalnih mjera kojima se provodi Akcijski plan za provedbu europskog stupa socijalnih prava uvijek treba ostvarivati kroz socijalni dijalog i kolektivno pregovaranje, ne dovodeći u pitanje autonomiju i raznolikost sustava radnih odnosa svake države;</w:t>
      </w:r>
    </w:p>
    <w:p w:rsidR="0007015C" w:rsidP="008C3E09" w:rsidRDefault="0007015C" w14:paraId="191AB604" w14:textId="4C54B397">
      <w:pPr>
        <w:pStyle w:val="ListParagraph"/>
        <w:numPr>
          <w:ilvl w:val="0"/>
          <w:numId w:val="3"/>
        </w:numPr>
        <w:ind w:left="357" w:hanging="357"/>
      </w:pPr>
      <w:r>
        <w:t>potvrđuje svoje uvjerenje da je za ostvarenje ciljeva klimatske politike i energetske tranzicije nužna učinkovitija primjena mehanizma za pravednu tranziciju, pri čemu treba voditi računa o tome da brzina bude kompatibilna sa stanjem u malim i velikim poduzećima;</w:t>
      </w:r>
    </w:p>
    <w:p w:rsidR="0007015C" w:rsidP="008C3E09" w:rsidRDefault="0007015C" w14:paraId="687A8CEE" w14:textId="6BD52B0B">
      <w:pPr>
        <w:pStyle w:val="ListParagraph"/>
        <w:numPr>
          <w:ilvl w:val="0"/>
          <w:numId w:val="3"/>
        </w:numPr>
        <w:ind w:left="357" w:hanging="357"/>
      </w:pPr>
      <w:r>
        <w:t>poziva Komisiju i Parlament, države članice i regije EU-a da na inovativniji i učinkovitiji način uključe socijalne partnere i druge organizacije civilnog društva u osmišljavanje i provedbu politika energetske tranzicije s visokom dodanom vrijednošću u području zapošljavanja i socijalne zaštite, kao i u njihovo praćenje i ocjenjivanje;</w:t>
      </w:r>
    </w:p>
    <w:p w:rsidR="0007015C" w:rsidP="008C3E09" w:rsidRDefault="0007015C" w14:paraId="6BE127E6" w14:textId="5A0716B3">
      <w:pPr>
        <w:pStyle w:val="ListParagraph"/>
        <w:numPr>
          <w:ilvl w:val="0"/>
          <w:numId w:val="3"/>
        </w:numPr>
        <w:ind w:left="357" w:hanging="357"/>
      </w:pPr>
      <w:r>
        <w:t>smatra da i velika poduzeća i MSP-ovi imaju važnu ulogu u postizanju cilja energetske tranzicije. Međutim, kako bi se suzbile najveće poteškoće s kojima se susreću mala i srednja poduzeća, EGSO poziva na to da se programi za pristup tih poduzeća financiranju poboljšaju tako da se ubrzaju i pojednostave, uz pružanje usluga podrške i trajnog praćenja.</w:t>
      </w:r>
    </w:p>
    <w:p w:rsidRPr="009B70E7" w:rsidR="008102E2" w:rsidP="008102E2" w:rsidRDefault="008102E2" w14:paraId="0D71A78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B44BB9" w:rsidTr="008B66DD" w14:paraId="502899FB" w14:textId="77777777">
        <w:tc>
          <w:tcPr>
            <w:tcW w:w="1418" w:type="dxa"/>
          </w:tcPr>
          <w:p w:rsidRPr="009B70E7" w:rsidR="00B44BB9" w:rsidP="008B66DD" w:rsidRDefault="00B44BB9" w14:paraId="4933D5C0" w14:textId="718809BF">
            <w:pPr>
              <w:pStyle w:val="ListParagraph"/>
              <w:ind w:left="0"/>
              <w:rPr>
                <w:i/>
              </w:rPr>
            </w:pPr>
            <w:r>
              <w:rPr>
                <w:b/>
                <w:i/>
              </w:rPr>
              <w:t>Kontakt:</w:t>
            </w:r>
          </w:p>
        </w:tc>
        <w:tc>
          <w:tcPr>
            <w:tcW w:w="5670" w:type="dxa"/>
          </w:tcPr>
          <w:p w:rsidRPr="009B70E7" w:rsidR="00B44BB9" w:rsidP="008B66DD" w:rsidRDefault="0007015C" w14:paraId="649C02E9" w14:textId="394E6642">
            <w:pPr>
              <w:pStyle w:val="ListParagraph"/>
              <w:ind w:left="0"/>
              <w:rPr>
                <w:i/>
              </w:rPr>
            </w:pPr>
            <w:proofErr w:type="spellStart"/>
            <w:r>
              <w:rPr>
                <w:i/>
              </w:rPr>
              <w:t>Triin</w:t>
            </w:r>
            <w:proofErr w:type="spellEnd"/>
            <w:r>
              <w:rPr>
                <w:i/>
              </w:rPr>
              <w:t xml:space="preserve"> </w:t>
            </w:r>
            <w:proofErr w:type="spellStart"/>
            <w:r>
              <w:rPr>
                <w:i/>
              </w:rPr>
              <w:t>Aasmaa</w:t>
            </w:r>
            <w:proofErr w:type="spellEnd"/>
          </w:p>
        </w:tc>
      </w:tr>
      <w:tr w:rsidRPr="009B70E7" w:rsidR="00B44BB9" w:rsidTr="008B66DD" w14:paraId="54638E70" w14:textId="77777777">
        <w:tc>
          <w:tcPr>
            <w:tcW w:w="1418" w:type="dxa"/>
          </w:tcPr>
          <w:p w:rsidRPr="009B70E7" w:rsidR="00B44BB9" w:rsidP="008B66DD" w:rsidRDefault="00B44BB9" w14:paraId="40A81D42" w14:textId="0AEADD1A">
            <w:pPr>
              <w:pStyle w:val="ListParagraph"/>
              <w:ind w:left="601"/>
              <w:rPr>
                <w:i/>
              </w:rPr>
            </w:pPr>
            <w:r>
              <w:rPr>
                <w:i/>
              </w:rPr>
              <w:t>Tel.:</w:t>
            </w:r>
          </w:p>
        </w:tc>
        <w:tc>
          <w:tcPr>
            <w:tcW w:w="5670" w:type="dxa"/>
          </w:tcPr>
          <w:p w:rsidRPr="009B70E7" w:rsidR="00B44BB9" w:rsidP="008B66DD" w:rsidRDefault="00B44BB9" w14:paraId="0C77361C" w14:textId="2ACB1AB6">
            <w:pPr>
              <w:pStyle w:val="ListParagraph"/>
              <w:ind w:left="0"/>
              <w:rPr>
                <w:i/>
              </w:rPr>
            </w:pPr>
            <w:r>
              <w:rPr>
                <w:i/>
              </w:rPr>
              <w:t>00 32 2 546 95 24</w:t>
            </w:r>
          </w:p>
        </w:tc>
      </w:tr>
      <w:tr w:rsidRPr="001D770D" w:rsidR="00B44BB9" w:rsidTr="008B66DD" w14:paraId="5FB79B0A" w14:textId="77777777">
        <w:tc>
          <w:tcPr>
            <w:tcW w:w="1418" w:type="dxa"/>
          </w:tcPr>
          <w:p w:rsidRPr="009B70E7" w:rsidR="00B44BB9" w:rsidP="00EA144E" w:rsidRDefault="00B44BB9" w14:paraId="0A5C365B" w14:textId="6F30D388">
            <w:pPr>
              <w:pStyle w:val="ListParagraph"/>
              <w:ind w:left="601" w:hanging="601"/>
              <w:rPr>
                <w:i/>
              </w:rPr>
            </w:pPr>
            <w:r>
              <w:rPr>
                <w:i/>
              </w:rPr>
              <w:t>E-pošta:</w:t>
            </w:r>
          </w:p>
        </w:tc>
        <w:tc>
          <w:tcPr>
            <w:tcW w:w="5670" w:type="dxa"/>
          </w:tcPr>
          <w:p w:rsidRPr="00CE7111" w:rsidR="00BE40C9" w:rsidP="008B66DD" w:rsidRDefault="0078088B" w14:paraId="0E9E0878" w14:textId="2BA296F2">
            <w:pPr>
              <w:pStyle w:val="ListParagraph"/>
              <w:ind w:left="0"/>
              <w:rPr>
                <w:i/>
                <w:iCs/>
                <w:color w:val="0000FF"/>
                <w:szCs w:val="20"/>
                <w:u w:val="single"/>
              </w:rPr>
            </w:pPr>
            <w:hyperlink w:history="1" r:id="rId23">
              <w:r w:rsidR="009E30B4">
                <w:rPr>
                  <w:rStyle w:val="Hyperlink"/>
                  <w:i/>
                </w:rPr>
                <w:t>Triin.Aasmaa@eesc.europa.eu</w:t>
              </w:r>
            </w:hyperlink>
          </w:p>
        </w:tc>
      </w:tr>
      <w:bookmarkEnd w:id="7"/>
      <w:bookmarkEnd w:id="8"/>
    </w:tbl>
    <w:p w:rsidR="004E0C44" w:rsidRDefault="004E0C44" w14:paraId="274BEC25" w14:textId="77777777">
      <w:pPr>
        <w:spacing w:after="160" w:line="259" w:lineRule="auto"/>
        <w:jc w:val="left"/>
        <w:rPr>
          <w:b/>
          <w:i/>
          <w:sz w:val="28"/>
          <w:szCs w:val="28"/>
        </w:rPr>
      </w:pPr>
      <w:r>
        <w:br w:type="page"/>
      </w:r>
    </w:p>
    <w:p w:rsidRPr="009B70E7" w:rsidR="00CE7111" w:rsidP="00CE7111" w:rsidRDefault="00CE7111" w14:paraId="78CF9464" w14:textId="5344A979">
      <w:pPr>
        <w:pStyle w:val="ListParagraph"/>
        <w:keepNext/>
        <w:numPr>
          <w:ilvl w:val="0"/>
          <w:numId w:val="2"/>
        </w:numPr>
        <w:ind w:left="567" w:hanging="567"/>
        <w:rPr>
          <w:b/>
          <w:i/>
          <w:sz w:val="28"/>
          <w:szCs w:val="28"/>
        </w:rPr>
      </w:pPr>
      <w:r>
        <w:rPr>
          <w:b/>
          <w:i/>
          <w:sz w:val="28"/>
        </w:rPr>
        <w:lastRenderedPageBreak/>
        <w:t xml:space="preserve">Podupiranje kretanja na tržištu rada: kako održati </w:t>
      </w:r>
      <w:proofErr w:type="spellStart"/>
      <w:r>
        <w:rPr>
          <w:b/>
          <w:i/>
          <w:sz w:val="28"/>
        </w:rPr>
        <w:t>zapošljivost</w:t>
      </w:r>
      <w:proofErr w:type="spellEnd"/>
      <w:r>
        <w:rPr>
          <w:b/>
          <w:i/>
          <w:sz w:val="28"/>
        </w:rPr>
        <w:t>, poticati produktivnost i razvijati vještine, osobito u MSP-ovima</w:t>
      </w:r>
    </w:p>
    <w:p w:rsidRPr="009B70E7" w:rsidR="00CE7111" w:rsidP="00CE7111" w:rsidRDefault="00CE7111" w14:paraId="4E7CC8B2" w14:textId="77777777">
      <w:pPr>
        <w:pStyle w:val="ListParagraph"/>
        <w:keepNext/>
        <w:ind w:left="0"/>
      </w:pPr>
    </w:p>
    <w:tbl>
      <w:tblPr>
        <w:tblStyle w:val="TableGrid"/>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7938"/>
      </w:tblGrid>
      <w:tr w:rsidRPr="009B70E7" w:rsidR="00CE7111" w:rsidTr="00040ADE" w14:paraId="00EE265E" w14:textId="77777777">
        <w:trPr>
          <w:cantSplit/>
          <w:trHeight w:val="284" w:hRule="exact"/>
        </w:trPr>
        <w:tc>
          <w:tcPr>
            <w:tcW w:w="1701" w:type="dxa"/>
          </w:tcPr>
          <w:p w:rsidR="00CE7111" w:rsidP="00040ADE" w:rsidRDefault="00CE7111" w14:paraId="242C44FC" w14:textId="77777777">
            <w:pPr>
              <w:pStyle w:val="ListParagraph"/>
              <w:spacing w:line="240" w:lineRule="auto"/>
              <w:ind w:left="-142" w:firstLine="142"/>
              <w:rPr>
                <w:b/>
              </w:rPr>
            </w:pPr>
            <w:r>
              <w:rPr>
                <w:b/>
              </w:rPr>
              <w:t>Izvjestitelj/</w:t>
            </w:r>
            <w:proofErr w:type="spellStart"/>
            <w:r>
              <w:rPr>
                <w:b/>
              </w:rPr>
              <w:t>ica</w:t>
            </w:r>
            <w:proofErr w:type="spellEnd"/>
            <w:r>
              <w:rPr>
                <w:b/>
              </w:rPr>
              <w:t>:</w:t>
            </w:r>
          </w:p>
          <w:p w:rsidRPr="009B70E7" w:rsidR="00CE7111" w:rsidP="00040ADE" w:rsidRDefault="00CE7111" w14:paraId="515F35BD" w14:textId="77777777">
            <w:pPr>
              <w:pStyle w:val="ListParagraph"/>
              <w:keepNext/>
              <w:ind w:left="0"/>
              <w:rPr>
                <w:b/>
              </w:rPr>
            </w:pPr>
          </w:p>
        </w:tc>
        <w:tc>
          <w:tcPr>
            <w:tcW w:w="7938" w:type="dxa"/>
          </w:tcPr>
          <w:p w:rsidR="00CE7111" w:rsidP="00040ADE" w:rsidRDefault="00CE7111" w14:paraId="4C9D645C" w14:textId="22922EFE">
            <w:pPr>
              <w:pStyle w:val="ListParagraph"/>
              <w:ind w:left="-52" w:right="-1618"/>
            </w:pPr>
            <w:proofErr w:type="spellStart"/>
            <w:r>
              <w:t>Mariya</w:t>
            </w:r>
            <w:proofErr w:type="spellEnd"/>
            <w:r>
              <w:t xml:space="preserve"> MINCHEVA (Skupina poslodavaca – BG)</w:t>
            </w:r>
          </w:p>
          <w:p w:rsidR="00CE7111" w:rsidP="00040ADE" w:rsidRDefault="00CE7111" w14:paraId="4D1FE8F3" w14:textId="77777777">
            <w:pPr>
              <w:pStyle w:val="ListParagraph"/>
              <w:ind w:left="-52"/>
            </w:pPr>
          </w:p>
          <w:p w:rsidRPr="009B70E7" w:rsidR="00CE7111" w:rsidP="00040ADE" w:rsidRDefault="00CE7111" w14:paraId="5C388FB6" w14:textId="77777777">
            <w:pPr>
              <w:pStyle w:val="ListParagraph"/>
              <w:ind w:left="-52"/>
            </w:pPr>
          </w:p>
        </w:tc>
      </w:tr>
      <w:tr w:rsidRPr="00627B8F" w:rsidR="00CE7111" w:rsidTr="00040ADE" w14:paraId="03CE010C" w14:textId="77777777">
        <w:tc>
          <w:tcPr>
            <w:tcW w:w="1701" w:type="dxa"/>
          </w:tcPr>
          <w:p w:rsidRPr="009B70E7" w:rsidR="00CE7111" w:rsidP="00040ADE" w:rsidRDefault="00CE7111" w14:paraId="33E40C80" w14:textId="5F94FD65">
            <w:pPr>
              <w:pStyle w:val="ListParagraph"/>
              <w:ind w:left="0"/>
              <w:rPr>
                <w:b/>
              </w:rPr>
            </w:pPr>
            <w:r>
              <w:rPr>
                <w:b/>
              </w:rPr>
              <w:t>Referentni dokument/i:</w:t>
            </w:r>
          </w:p>
        </w:tc>
        <w:tc>
          <w:tcPr>
            <w:tcW w:w="7938" w:type="dxa"/>
          </w:tcPr>
          <w:p w:rsidRPr="00E119DF" w:rsidR="00CE7111" w:rsidP="00040ADE" w:rsidRDefault="00CE7111" w14:paraId="4EC067DC" w14:textId="77777777">
            <w:pPr>
              <w:pStyle w:val="ListParagraph"/>
              <w:ind w:left="-52"/>
            </w:pPr>
            <w:r>
              <w:t>(samoinicijativno mišljenje)</w:t>
            </w:r>
          </w:p>
          <w:p w:rsidRPr="00E119DF" w:rsidR="00CE7111" w:rsidP="00040ADE" w:rsidRDefault="00CE7111" w14:paraId="465D4933" w14:textId="6DD29232">
            <w:pPr>
              <w:pStyle w:val="ListParagraph"/>
              <w:ind w:left="-52"/>
            </w:pPr>
            <w:r>
              <w:t>EESC-2022-01031-00-00-AC</w:t>
            </w:r>
          </w:p>
        </w:tc>
      </w:tr>
    </w:tbl>
    <w:p w:rsidR="00CE7111" w:rsidP="00CE7111" w:rsidRDefault="00CE7111" w14:paraId="110AE2D5" w14:textId="77777777">
      <w:pPr>
        <w:pStyle w:val="ListParagraph"/>
        <w:spacing w:line="240" w:lineRule="auto"/>
        <w:ind w:left="-142" w:firstLine="284"/>
        <w:rPr>
          <w:b/>
        </w:rPr>
      </w:pPr>
    </w:p>
    <w:p w:rsidRPr="0070677E" w:rsidR="00CE7111" w:rsidP="00CE7111" w:rsidRDefault="00CE7111" w14:paraId="69ACC511" w14:textId="77777777">
      <w:pPr>
        <w:pStyle w:val="ListParagraph"/>
        <w:spacing w:line="240" w:lineRule="auto"/>
        <w:ind w:left="0"/>
        <w:rPr>
          <w:b/>
        </w:rPr>
      </w:pPr>
      <w:r>
        <w:rPr>
          <w:b/>
        </w:rPr>
        <w:t>Ključne točke</w:t>
      </w:r>
    </w:p>
    <w:p w:rsidRPr="009B70E7" w:rsidR="00CE7111" w:rsidP="00CE7111" w:rsidRDefault="00CE7111" w14:paraId="24110627" w14:textId="77777777">
      <w:pPr>
        <w:pStyle w:val="ListParagraph"/>
        <w:ind w:left="0"/>
      </w:pPr>
    </w:p>
    <w:p w:rsidRPr="002E62B0" w:rsidR="00CE7111" w:rsidP="00CE7111" w:rsidRDefault="00CE7111" w14:paraId="3C25CC00" w14:textId="77777777">
      <w:pPr>
        <w:pStyle w:val="ListParagraph"/>
        <w:spacing w:line="240" w:lineRule="auto"/>
        <w:ind w:left="0"/>
        <w:rPr>
          <w:bCs/>
        </w:rPr>
      </w:pPr>
      <w:r>
        <w:t>EGSO:</w:t>
      </w:r>
    </w:p>
    <w:p w:rsidRPr="009B70E7" w:rsidR="00CE7111" w:rsidP="00CE7111" w:rsidRDefault="00CE7111" w14:paraId="111000EE" w14:textId="77777777">
      <w:pPr>
        <w:pStyle w:val="ListParagraph"/>
        <w:ind w:left="0"/>
      </w:pPr>
    </w:p>
    <w:p w:rsidRPr="009B70E7" w:rsidR="00CE7111" w:rsidP="00CE7111" w:rsidRDefault="00CE7111" w14:paraId="2E0077A3" w14:textId="6A240C80">
      <w:pPr>
        <w:pStyle w:val="ListParagraph"/>
        <w:numPr>
          <w:ilvl w:val="0"/>
          <w:numId w:val="3"/>
        </w:numPr>
        <w:ind w:left="357" w:hanging="357"/>
      </w:pPr>
      <w:r>
        <w:t xml:space="preserve">navodi da ta transformacija zahtijeva dobro razumijevanje vrste vještina potrebnih za buduće promjene na tržištu rada, među ostalim u MSP-ovima, kako bi se očuvala održiva </w:t>
      </w:r>
      <w:proofErr w:type="spellStart"/>
      <w:r>
        <w:t>zapošljivost</w:t>
      </w:r>
      <w:proofErr w:type="spellEnd"/>
      <w:r>
        <w:t>, doprinijelo visokim razinama produktivnosti i smanjio nedostatak radne snage;</w:t>
      </w:r>
    </w:p>
    <w:p w:rsidR="00CE7111" w:rsidP="00CE7111" w:rsidRDefault="00CE7111" w14:paraId="62FA8580" w14:textId="3F1B778F">
      <w:pPr>
        <w:pStyle w:val="ListParagraph"/>
        <w:numPr>
          <w:ilvl w:val="0"/>
          <w:numId w:val="3"/>
        </w:numPr>
        <w:ind w:left="357" w:hanging="357"/>
      </w:pPr>
      <w:r>
        <w:t>smatra da razvoj vještina i učinkovita provedba prava i pristupa cjeloživotnom učenju moraju biti sastavni dio širih strategija gospodarskog rasta te planova za oporavak i otpornost;</w:t>
      </w:r>
    </w:p>
    <w:p w:rsidR="00CE7111" w:rsidP="00CE7111" w:rsidRDefault="00CE7111" w14:paraId="02D2D11B" w14:textId="0E3A8661">
      <w:pPr>
        <w:pStyle w:val="ListParagraph"/>
        <w:numPr>
          <w:ilvl w:val="0"/>
          <w:numId w:val="3"/>
        </w:numPr>
        <w:ind w:left="357" w:hanging="357"/>
      </w:pPr>
      <w:r>
        <w:t>naglašava da je obrazovanje odraslih ključno za usavršavanje odraslih i može donijeti niz osobnih, društvenih, gospodarskih i socijalnih koristi;</w:t>
      </w:r>
    </w:p>
    <w:p w:rsidR="00CE7111" w:rsidP="00CE7111" w:rsidRDefault="00CE7111" w14:paraId="7641F7D3" w14:textId="15AAE0C3">
      <w:pPr>
        <w:pStyle w:val="ListParagraph"/>
        <w:numPr>
          <w:ilvl w:val="0"/>
          <w:numId w:val="3"/>
        </w:numPr>
        <w:ind w:left="357" w:hanging="357"/>
      </w:pPr>
      <w:r>
        <w:t>dijeli stajalište da je „EU-u potrebna revolucija vještina kako bi se osigurao napredak građana” te poziva na ulaganje napora i učinkovito zajedničko djelovanje institucija, poduzeća, socijalnih partnera i dionika u okviru Pakta za vještine te na ostvarenje ambicioznih ciljeva utvrđenih u njegovu programu;</w:t>
      </w:r>
    </w:p>
    <w:p w:rsidR="00CE7111" w:rsidP="00CE7111" w:rsidRDefault="00CE7111" w14:paraId="577D68CA" w14:textId="37250CDB">
      <w:pPr>
        <w:pStyle w:val="ListParagraph"/>
        <w:numPr>
          <w:ilvl w:val="0"/>
          <w:numId w:val="3"/>
        </w:numPr>
        <w:ind w:left="357" w:hanging="357"/>
      </w:pPr>
      <w:r>
        <w:t>naglašava da će sposobnost stalnog ažuriranja digitalnih vještina u skladu s promjenama na tržištu rada i uvođenje novih tehnologija nedvojbeno biti među najvažnijim izazovima u budućnosti. U tom pogledu EGSO pozdravlja opsežna ulaganja predviđena u nacionalnim planovima za oporavak i otpornost kako bi se poduprlo povećanje digitalnih vještina;</w:t>
      </w:r>
    </w:p>
    <w:p w:rsidR="00CE7111" w:rsidP="00CE7111" w:rsidRDefault="00CE7111" w14:paraId="236AEE00" w14:textId="6A68F81A">
      <w:pPr>
        <w:pStyle w:val="ListParagraph"/>
        <w:numPr>
          <w:ilvl w:val="0"/>
          <w:numId w:val="3"/>
        </w:numPr>
        <w:ind w:left="357" w:hanging="357"/>
      </w:pPr>
      <w:r>
        <w:t>smatra da će, da bi bila uspješna, zelena tranzicija zahtijevati ljude s pravim vještinama i radnim mjestima s pravim radnim okruženjem i zelenim proizvodnim sustavima. Socijalni partneri imaju ključnu ulogu u osiguravanju pravedne tranzicije u nizu gospodarskih sektora;</w:t>
      </w:r>
    </w:p>
    <w:p w:rsidR="00CE7111" w:rsidP="00CE7111" w:rsidRDefault="00CE7111" w14:paraId="6CACA9BC" w14:textId="17251958">
      <w:pPr>
        <w:pStyle w:val="ListParagraph"/>
        <w:numPr>
          <w:ilvl w:val="0"/>
          <w:numId w:val="3"/>
        </w:numPr>
        <w:ind w:left="357" w:hanging="357"/>
      </w:pPr>
      <w:r>
        <w:t>ističe da bi MSP-ove trebalo poticati da rade u mrežama koje surađuju, da zajednički snose troškove istraživanja o potrebama za vještinama i udružuju svoje kapacitete kako bi odgovorili na izazove povezane s usporednim tranzicijama i razvojem vještina. MSP-ove treba poduprijeti kako bi im se olakšala priprema njihove politike osposobljavanja i razvoja u području ljudskog kapitala.</w:t>
      </w:r>
    </w:p>
    <w:p w:rsidRPr="009B70E7" w:rsidR="00CE7111" w:rsidP="00CE7111" w:rsidRDefault="00CE7111" w14:paraId="36F8829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CE7111" w:rsidTr="00040ADE" w14:paraId="2399213A" w14:textId="77777777">
        <w:tc>
          <w:tcPr>
            <w:tcW w:w="1418" w:type="dxa"/>
          </w:tcPr>
          <w:p w:rsidRPr="009B70E7" w:rsidR="00CE7111" w:rsidP="00EA144E" w:rsidRDefault="00CE7111" w14:paraId="76B6BDFC" w14:textId="77777777">
            <w:pPr>
              <w:pStyle w:val="ListParagraph"/>
              <w:ind w:left="0" w:firstLine="171"/>
              <w:rPr>
                <w:i/>
              </w:rPr>
            </w:pPr>
            <w:r>
              <w:rPr>
                <w:b/>
                <w:i/>
              </w:rPr>
              <w:t>Kontakt:</w:t>
            </w:r>
          </w:p>
        </w:tc>
        <w:tc>
          <w:tcPr>
            <w:tcW w:w="5670" w:type="dxa"/>
          </w:tcPr>
          <w:p w:rsidRPr="009B70E7" w:rsidR="00CE7111" w:rsidP="00040ADE" w:rsidRDefault="00CE7111" w14:paraId="5BA3524C" w14:textId="67A9F10F">
            <w:pPr>
              <w:pStyle w:val="ListParagraph"/>
              <w:ind w:left="0"/>
              <w:rPr>
                <w:i/>
              </w:rPr>
            </w:pPr>
            <w:r>
              <w:rPr>
                <w:i/>
              </w:rPr>
              <w:t xml:space="preserve">Sophie </w:t>
            </w:r>
            <w:proofErr w:type="spellStart"/>
            <w:r>
              <w:rPr>
                <w:i/>
              </w:rPr>
              <w:t>Zimmer</w:t>
            </w:r>
            <w:proofErr w:type="spellEnd"/>
            <w:r>
              <w:rPr>
                <w:i/>
              </w:rPr>
              <w:t xml:space="preserve"> / </w:t>
            </w:r>
            <w:proofErr w:type="spellStart"/>
            <w:r>
              <w:rPr>
                <w:i/>
              </w:rPr>
              <w:t>Valeria</w:t>
            </w:r>
            <w:proofErr w:type="spellEnd"/>
            <w:r>
              <w:rPr>
                <w:i/>
              </w:rPr>
              <w:t xml:space="preserve"> </w:t>
            </w:r>
            <w:proofErr w:type="spellStart"/>
            <w:r>
              <w:rPr>
                <w:i/>
              </w:rPr>
              <w:t>Satta</w:t>
            </w:r>
            <w:proofErr w:type="spellEnd"/>
          </w:p>
        </w:tc>
      </w:tr>
      <w:tr w:rsidRPr="009B70E7" w:rsidR="00CE7111" w:rsidTr="00040ADE" w14:paraId="0C50FE9A" w14:textId="77777777">
        <w:tc>
          <w:tcPr>
            <w:tcW w:w="1418" w:type="dxa"/>
          </w:tcPr>
          <w:p w:rsidRPr="009B70E7" w:rsidR="00CE7111" w:rsidP="00040ADE" w:rsidRDefault="00CE7111" w14:paraId="449C6BF6" w14:textId="77777777">
            <w:pPr>
              <w:pStyle w:val="ListParagraph"/>
              <w:ind w:left="601"/>
              <w:rPr>
                <w:i/>
              </w:rPr>
            </w:pPr>
            <w:r>
              <w:rPr>
                <w:i/>
              </w:rPr>
              <w:t>Tel.:</w:t>
            </w:r>
          </w:p>
        </w:tc>
        <w:tc>
          <w:tcPr>
            <w:tcW w:w="5670" w:type="dxa"/>
          </w:tcPr>
          <w:p w:rsidRPr="009B70E7" w:rsidR="00CE7111" w:rsidP="00040ADE" w:rsidRDefault="00CE7111" w14:paraId="3FE6978E" w14:textId="5C9BBD64">
            <w:pPr>
              <w:pStyle w:val="ListParagraph"/>
              <w:ind w:left="0"/>
              <w:rPr>
                <w:i/>
              </w:rPr>
            </w:pPr>
            <w:r>
              <w:rPr>
                <w:i/>
              </w:rPr>
              <w:t>00 32 2 546 95 64</w:t>
            </w:r>
          </w:p>
        </w:tc>
      </w:tr>
      <w:tr w:rsidRPr="001D770D" w:rsidR="00CE7111" w:rsidTr="00040ADE" w14:paraId="005AA464" w14:textId="77777777">
        <w:tc>
          <w:tcPr>
            <w:tcW w:w="1418" w:type="dxa"/>
          </w:tcPr>
          <w:p w:rsidRPr="009B70E7" w:rsidR="00CE7111" w:rsidP="00EA144E" w:rsidRDefault="00CE7111" w14:paraId="1A440F86" w14:textId="77777777">
            <w:pPr>
              <w:pStyle w:val="ListParagraph"/>
              <w:ind w:left="601" w:hanging="430"/>
              <w:rPr>
                <w:i/>
              </w:rPr>
            </w:pPr>
            <w:r>
              <w:rPr>
                <w:i/>
              </w:rPr>
              <w:t>E-pošta:</w:t>
            </w:r>
          </w:p>
        </w:tc>
        <w:tc>
          <w:tcPr>
            <w:tcW w:w="5670" w:type="dxa"/>
          </w:tcPr>
          <w:p w:rsidRPr="008102E2" w:rsidR="00CE7111" w:rsidRDefault="0078088B" w14:paraId="6273679C" w14:textId="71C9FF9A">
            <w:pPr>
              <w:pStyle w:val="ListParagraph"/>
              <w:ind w:left="0"/>
              <w:rPr>
                <w:iCs/>
                <w:color w:val="0000FF"/>
                <w:u w:val="single"/>
              </w:rPr>
            </w:pPr>
            <w:hyperlink w:history="1" r:id="rId24">
              <w:r w:rsidR="009E30B4">
                <w:rPr>
                  <w:rStyle w:val="Hyperlink"/>
                  <w:i/>
                </w:rPr>
                <w:t>Sophie.Zimmer@eesc.europa.eu</w:t>
              </w:r>
            </w:hyperlink>
          </w:p>
        </w:tc>
      </w:tr>
    </w:tbl>
    <w:p w:rsidR="004E0C44" w:rsidRDefault="004E0C44" w14:paraId="510F214D" w14:textId="77777777">
      <w:pPr>
        <w:spacing w:after="160" w:line="259" w:lineRule="auto"/>
        <w:jc w:val="left"/>
      </w:pPr>
      <w:r>
        <w:br w:type="page"/>
      </w:r>
    </w:p>
    <w:p w:rsidRPr="009B70E7" w:rsidR="004D7AC0" w:rsidRDefault="004D7AC0" w14:paraId="3F8FA026" w14:textId="77777777">
      <w:pPr>
        <w:pStyle w:val="Heading1"/>
        <w:rPr>
          <w:b/>
        </w:rPr>
      </w:pPr>
      <w:bookmarkStart w:name="_Toc75527083" w:id="9"/>
      <w:bookmarkStart w:name="_Toc129684712" w:id="10"/>
      <w:r>
        <w:rPr>
          <w:b/>
        </w:rPr>
        <w:lastRenderedPageBreak/>
        <w:t>JEDINSTVENO TRŽIŠTE, PROIZVODNJA I POTROŠNJA</w:t>
      </w:r>
      <w:bookmarkEnd w:id="9"/>
      <w:bookmarkEnd w:id="10"/>
    </w:p>
    <w:p w:rsidRPr="009B70E7" w:rsidR="004D7AC0" w:rsidRDefault="004D7AC0" w14:paraId="03FF9505" w14:textId="77777777"/>
    <w:p w:rsidRPr="00D70F4B" w:rsidR="00164813" w:rsidP="00E4355F" w:rsidRDefault="00CE7111" w14:paraId="1DADE393" w14:textId="6957A6DC">
      <w:pPr>
        <w:pStyle w:val="ListParagraph"/>
        <w:keepNext/>
        <w:numPr>
          <w:ilvl w:val="0"/>
          <w:numId w:val="2"/>
        </w:numPr>
        <w:ind w:left="567" w:hanging="567"/>
      </w:pPr>
      <w:bookmarkStart w:name="_Hlk125970424" w:id="11"/>
      <w:r>
        <w:rPr>
          <w:b/>
          <w:i/>
          <w:sz w:val="28"/>
        </w:rPr>
        <w:t>Uredba o trenutačnim plaćanjima</w:t>
      </w:r>
    </w:p>
    <w:p w:rsidRPr="009B70E7" w:rsidR="00D70F4B" w:rsidP="00D70F4B" w:rsidRDefault="00D70F4B" w14:paraId="6AF37578"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64813" w:rsidTr="00B83E7B" w14:paraId="1383CB57" w14:textId="77777777">
        <w:tc>
          <w:tcPr>
            <w:tcW w:w="1701" w:type="dxa"/>
          </w:tcPr>
          <w:p w:rsidRPr="009B70E7" w:rsidR="00164813" w:rsidP="00B83E7B" w:rsidRDefault="00164813" w14:paraId="33004117" w14:textId="0CA5448D">
            <w:pPr>
              <w:pStyle w:val="ListParagraph"/>
              <w:ind w:left="0"/>
              <w:rPr>
                <w:b/>
              </w:rPr>
            </w:pPr>
            <w:r>
              <w:rPr>
                <w:b/>
              </w:rPr>
              <w:t>Izvjestitelj/</w:t>
            </w:r>
            <w:proofErr w:type="spellStart"/>
            <w:r>
              <w:rPr>
                <w:b/>
              </w:rPr>
              <w:t>ica</w:t>
            </w:r>
            <w:proofErr w:type="spellEnd"/>
            <w:r>
              <w:rPr>
                <w:b/>
              </w:rPr>
              <w:t>:</w:t>
            </w:r>
          </w:p>
        </w:tc>
        <w:tc>
          <w:tcPr>
            <w:tcW w:w="6096" w:type="dxa"/>
          </w:tcPr>
          <w:p w:rsidRPr="007E7A4F" w:rsidR="00164813" w:rsidP="00B83E7B" w:rsidRDefault="00CE7111" w14:paraId="2BCDDC29" w14:textId="2BB166B6">
            <w:pPr>
              <w:pStyle w:val="ListParagraph"/>
              <w:ind w:left="-108"/>
            </w:pPr>
            <w:r>
              <w:t>Christophe LEFÈVRE (Skupina radnika – FR)</w:t>
            </w:r>
          </w:p>
        </w:tc>
      </w:tr>
      <w:tr w:rsidRPr="009B70E7" w:rsidR="00164813" w:rsidTr="00B83E7B" w14:paraId="132333E4" w14:textId="77777777">
        <w:tc>
          <w:tcPr>
            <w:tcW w:w="1701" w:type="dxa"/>
          </w:tcPr>
          <w:p w:rsidRPr="009B70E7" w:rsidR="00164813" w:rsidP="00B83E7B" w:rsidRDefault="00164813" w14:paraId="2A306C51" w14:textId="14B20638">
            <w:pPr>
              <w:pStyle w:val="ListParagraph"/>
              <w:ind w:left="0"/>
              <w:rPr>
                <w:b/>
              </w:rPr>
            </w:pPr>
            <w:r>
              <w:rPr>
                <w:b/>
              </w:rPr>
              <w:t xml:space="preserve">Referentni dokument/i: </w:t>
            </w:r>
          </w:p>
        </w:tc>
        <w:tc>
          <w:tcPr>
            <w:tcW w:w="6096" w:type="dxa"/>
          </w:tcPr>
          <w:p w:rsidRPr="009B70E7" w:rsidR="00164813" w:rsidP="00B83E7B" w:rsidRDefault="005C0454" w14:paraId="1EB81693" w14:textId="224D5230">
            <w:pPr>
              <w:tabs>
                <w:tab w:val="center" w:pos="284"/>
              </w:tabs>
              <w:ind w:left="266" w:hanging="374"/>
            </w:pPr>
            <w:r>
              <w:t xml:space="preserve">COM(2022) 546 </w:t>
            </w:r>
            <w:proofErr w:type="spellStart"/>
            <w:r>
              <w:t>final</w:t>
            </w:r>
            <w:proofErr w:type="spellEnd"/>
          </w:p>
          <w:p w:rsidRPr="009B70E7" w:rsidR="00164813" w:rsidP="00B83E7B" w:rsidRDefault="00ED377B" w14:paraId="1746D341" w14:textId="1ADAEABE">
            <w:pPr>
              <w:pStyle w:val="ListParagraph"/>
              <w:ind w:left="-108"/>
            </w:pPr>
            <w:r>
              <w:t>EESC-2022-05312-00-00-AC</w:t>
            </w:r>
          </w:p>
        </w:tc>
      </w:tr>
    </w:tbl>
    <w:p w:rsidRPr="00A00F37" w:rsidR="00164813" w:rsidP="00A00F37" w:rsidRDefault="00164813" w14:paraId="488A6C0C" w14:textId="77777777">
      <w:pPr>
        <w:pStyle w:val="ListParagraph"/>
        <w:spacing w:line="240" w:lineRule="auto"/>
        <w:ind w:left="0" w:firstLine="142"/>
        <w:rPr>
          <w:b/>
        </w:rPr>
      </w:pPr>
    </w:p>
    <w:p w:rsidRPr="0018231C" w:rsidR="00164813" w:rsidP="00E302BC" w:rsidRDefault="00164813" w14:paraId="015FE75F" w14:textId="4469FC57">
      <w:pPr>
        <w:pStyle w:val="ListParagraph"/>
        <w:spacing w:line="240" w:lineRule="auto"/>
        <w:ind w:left="0"/>
        <w:rPr>
          <w:b/>
        </w:rPr>
      </w:pPr>
      <w:r>
        <w:rPr>
          <w:b/>
        </w:rPr>
        <w:t>Ključne točke</w:t>
      </w:r>
    </w:p>
    <w:p w:rsidRPr="0018231C" w:rsidR="00164813" w:rsidP="00164813" w:rsidRDefault="00164813" w14:paraId="573BE746" w14:textId="77777777">
      <w:pPr>
        <w:pStyle w:val="ListParagraph"/>
        <w:ind w:left="0"/>
        <w:rPr>
          <w:lang w:val="fr-FR"/>
        </w:rPr>
      </w:pPr>
    </w:p>
    <w:p w:rsidR="00164813" w:rsidP="00E302BC" w:rsidRDefault="00164813" w14:paraId="30245860" w14:textId="77777777">
      <w:pPr>
        <w:pStyle w:val="ListParagraph"/>
        <w:spacing w:line="240" w:lineRule="auto"/>
        <w:ind w:left="0"/>
      </w:pPr>
      <w:r>
        <w:t>EGSO:</w:t>
      </w:r>
    </w:p>
    <w:p w:rsidRPr="0018231C" w:rsidR="00164813" w:rsidP="00164813" w:rsidRDefault="00164813" w14:paraId="7D5F280C" w14:textId="77777777">
      <w:pPr>
        <w:pStyle w:val="ListParagraph"/>
        <w:ind w:left="0"/>
        <w:rPr>
          <w:lang w:val="fr-FR"/>
        </w:rPr>
      </w:pPr>
    </w:p>
    <w:p w:rsidRPr="00A3344B" w:rsidR="00A3344B" w:rsidP="00164813" w:rsidRDefault="004971E8" w14:paraId="5C624B6F" w14:textId="69C45922">
      <w:pPr>
        <w:numPr>
          <w:ilvl w:val="0"/>
          <w:numId w:val="3"/>
        </w:numPr>
        <w:overflowPunct w:val="0"/>
        <w:autoSpaceDE w:val="0"/>
        <w:autoSpaceDN w:val="0"/>
        <w:adjustRightInd w:val="0"/>
        <w:ind w:left="357" w:hanging="357"/>
        <w:textAlignment w:val="baseline"/>
      </w:pPr>
      <w:r>
        <w:t xml:space="preserve">smatra da je za uspjeh trenutačnih plaćanja u EU-u ključna </w:t>
      </w:r>
      <w:r>
        <w:rPr>
          <w:b/>
        </w:rPr>
        <w:t>dostupnost te usluge europskim potrošačima i poduzećima</w:t>
      </w:r>
      <w:r>
        <w:t>;</w:t>
      </w:r>
    </w:p>
    <w:p w:rsidRPr="00CA6928" w:rsidR="00CA6928" w:rsidP="00164813" w:rsidRDefault="004971E8" w14:paraId="36F42D42" w14:textId="77F4F526">
      <w:pPr>
        <w:numPr>
          <w:ilvl w:val="0"/>
          <w:numId w:val="3"/>
        </w:numPr>
        <w:overflowPunct w:val="0"/>
        <w:autoSpaceDE w:val="0"/>
        <w:autoSpaceDN w:val="0"/>
        <w:adjustRightInd w:val="0"/>
        <w:ind w:left="357" w:hanging="357"/>
        <w:textAlignment w:val="baseline"/>
      </w:pPr>
      <w:r>
        <w:t xml:space="preserve">smatra da bi Europska komisija trebala predložiti </w:t>
      </w:r>
      <w:r>
        <w:rPr>
          <w:b/>
        </w:rPr>
        <w:t>ciljane mjere za poboljšanje borbe protiv prijevara</w:t>
      </w:r>
      <w:r>
        <w:t xml:space="preserve"> jer će međunarodni broj bankovnog računa (IBAN) utjecati samo na odobrena „</w:t>
      </w:r>
      <w:proofErr w:type="spellStart"/>
      <w:r>
        <w:t>push</w:t>
      </w:r>
      <w:proofErr w:type="spellEnd"/>
      <w:r>
        <w:t>” plaćanja;</w:t>
      </w:r>
    </w:p>
    <w:p w:rsidR="00E63571" w:rsidP="004429E2" w:rsidRDefault="004971E8" w14:paraId="520A2CDE" w14:textId="22902F70">
      <w:pPr>
        <w:numPr>
          <w:ilvl w:val="0"/>
          <w:numId w:val="3"/>
        </w:numPr>
        <w:overflowPunct w:val="0"/>
        <w:autoSpaceDE w:val="0"/>
        <w:autoSpaceDN w:val="0"/>
        <w:adjustRightInd w:val="0"/>
        <w:ind w:left="357" w:hanging="357"/>
        <w:textAlignment w:val="baseline"/>
      </w:pPr>
      <w:r>
        <w:t xml:space="preserve">preporučuje da se u </w:t>
      </w:r>
      <w:r>
        <w:rPr>
          <w:b/>
        </w:rPr>
        <w:t>predmetnu uredbu uključe i objasne odredbe kojima će se zajamčiti ujednačena primjena prava EU-a</w:t>
      </w:r>
      <w:r>
        <w:t xml:space="preserve"> i izbjeći različita tumačenja primjene sankcija;</w:t>
      </w:r>
    </w:p>
    <w:p w:rsidR="00E4355F" w:rsidP="004429E2" w:rsidRDefault="004971E8" w14:paraId="15D4AA5E" w14:textId="676CBFF6">
      <w:pPr>
        <w:numPr>
          <w:ilvl w:val="0"/>
          <w:numId w:val="3"/>
        </w:numPr>
        <w:overflowPunct w:val="0"/>
        <w:autoSpaceDE w:val="0"/>
        <w:autoSpaceDN w:val="0"/>
        <w:adjustRightInd w:val="0"/>
        <w:ind w:left="357" w:hanging="357"/>
        <w:textAlignment w:val="baseline"/>
      </w:pPr>
      <w:r>
        <w:t xml:space="preserve">vidi potencijal za </w:t>
      </w:r>
      <w:r>
        <w:rPr>
          <w:b/>
        </w:rPr>
        <w:t xml:space="preserve">proširenje prijedloga o trenutačnim plaćanjima na sedam država članica EU-a koje nisu članice </w:t>
      </w:r>
      <w:proofErr w:type="spellStart"/>
      <w:r>
        <w:rPr>
          <w:b/>
        </w:rPr>
        <w:t>europodručja</w:t>
      </w:r>
      <w:proofErr w:type="spellEnd"/>
      <w:r>
        <w:t>, ali pripadaju europskom jedinstvenom tržištu;</w:t>
      </w:r>
    </w:p>
    <w:p w:rsidRPr="004971E8" w:rsidR="004971E8" w:rsidP="004429E2" w:rsidRDefault="004971E8" w14:paraId="520D2299" w14:textId="4676811D">
      <w:pPr>
        <w:numPr>
          <w:ilvl w:val="0"/>
          <w:numId w:val="3"/>
        </w:numPr>
        <w:overflowPunct w:val="0"/>
        <w:autoSpaceDE w:val="0"/>
        <w:autoSpaceDN w:val="0"/>
        <w:adjustRightInd w:val="0"/>
        <w:ind w:left="357" w:hanging="357"/>
        <w:textAlignment w:val="baseline"/>
      </w:pPr>
      <w:r>
        <w:t xml:space="preserve">preporučuje uvođenje zahtjeva da </w:t>
      </w:r>
      <w:r>
        <w:rPr>
          <w:b/>
        </w:rPr>
        <w:t>naknada koju pružatelji platnih usluga naplaćuju za trenutačna plaćanja u eurima ne bude veća od one koju naplaćuju za redovne kreditne transfere u eurima</w:t>
      </w:r>
      <w:r>
        <w:t>, posebno ako se režim provjere IBAN-a proširi na sva plaćanja u okviru jedinstvenog područja plaćanja u eurima (SEPA);</w:t>
      </w:r>
    </w:p>
    <w:p w:rsidRPr="004971E8" w:rsidR="004971E8" w:rsidP="004429E2" w:rsidRDefault="004971E8" w14:paraId="4B440DCD" w14:textId="15ECE97A">
      <w:pPr>
        <w:numPr>
          <w:ilvl w:val="0"/>
          <w:numId w:val="3"/>
        </w:numPr>
        <w:overflowPunct w:val="0"/>
        <w:autoSpaceDE w:val="0"/>
        <w:autoSpaceDN w:val="0"/>
        <w:adjustRightInd w:val="0"/>
        <w:ind w:left="357" w:hanging="357"/>
        <w:textAlignment w:val="baseline"/>
      </w:pPr>
      <w:r>
        <w:t xml:space="preserve">smatra da banka pošiljateljica ne bi smjela tražiti </w:t>
      </w:r>
      <w:r>
        <w:rPr>
          <w:b/>
        </w:rPr>
        <w:t>naknadu za provjeru podudarnosti IBAN-a s imenom primatelja plaćanja</w:t>
      </w:r>
      <w:r>
        <w:t>, već da bi to trebalo biti uključeno u cijenu trenutačnog plaćanja;</w:t>
      </w:r>
    </w:p>
    <w:p w:rsidRPr="004971E8" w:rsidR="004971E8" w:rsidP="004429E2" w:rsidRDefault="004971E8" w14:paraId="3CC59A81" w14:textId="05BDEDE9">
      <w:pPr>
        <w:numPr>
          <w:ilvl w:val="0"/>
          <w:numId w:val="3"/>
        </w:numPr>
        <w:overflowPunct w:val="0"/>
        <w:autoSpaceDE w:val="0"/>
        <w:autoSpaceDN w:val="0"/>
        <w:adjustRightInd w:val="0"/>
        <w:ind w:left="357" w:hanging="357"/>
        <w:textAlignment w:val="baseline"/>
      </w:pPr>
      <w:r>
        <w:t xml:space="preserve">želi da </w:t>
      </w:r>
      <w:r>
        <w:rPr>
          <w:b/>
        </w:rPr>
        <w:t>provjera IBAN-a ne bude ograničena na trenutačna plaćanja</w:t>
      </w:r>
      <w:r>
        <w:t>, već da se proširi i na klasične kreditne transfere dok ih pružaju pružatelji platnih usluga;</w:t>
      </w:r>
    </w:p>
    <w:p w:rsidRPr="004971E8" w:rsidR="004971E8" w:rsidP="004429E2" w:rsidRDefault="004971E8" w14:paraId="625CB7B8" w14:textId="328A454E">
      <w:pPr>
        <w:numPr>
          <w:ilvl w:val="0"/>
          <w:numId w:val="3"/>
        </w:numPr>
        <w:overflowPunct w:val="0"/>
        <w:autoSpaceDE w:val="0"/>
        <w:autoSpaceDN w:val="0"/>
        <w:adjustRightInd w:val="0"/>
        <w:ind w:left="357" w:hanging="357"/>
        <w:textAlignment w:val="baseline"/>
      </w:pPr>
      <w:r>
        <w:t xml:space="preserve">smatra da banka primateljica </w:t>
      </w:r>
      <w:r>
        <w:rPr>
          <w:b/>
        </w:rPr>
        <w:t>mora obavijestiti banku pošiljateljicu o neusklađenosti otkrivenoj tijekom provjere IBAN-a</w:t>
      </w:r>
      <w:r>
        <w:t xml:space="preserve"> koju provodi banka primateljica;</w:t>
      </w:r>
    </w:p>
    <w:p w:rsidRPr="007E7DE3" w:rsidR="004971E8" w:rsidP="004429E2" w:rsidRDefault="00CA1127" w14:paraId="7D918A9D" w14:textId="2D0AB935">
      <w:pPr>
        <w:numPr>
          <w:ilvl w:val="0"/>
          <w:numId w:val="3"/>
        </w:numPr>
        <w:overflowPunct w:val="0"/>
        <w:autoSpaceDE w:val="0"/>
        <w:autoSpaceDN w:val="0"/>
        <w:adjustRightInd w:val="0"/>
        <w:ind w:left="357" w:hanging="357"/>
        <w:textAlignment w:val="baseline"/>
      </w:pPr>
      <w:r>
        <w:t xml:space="preserve">smatra da, </w:t>
      </w:r>
      <w:r>
        <w:rPr>
          <w:b/>
        </w:rPr>
        <w:t>ako potrošač odluči potvrditi trenutačno plaćanje unatoč utvrđenoj neusklađenosti</w:t>
      </w:r>
      <w:r>
        <w:t xml:space="preserve">, banka pošiljateljica </w:t>
      </w:r>
      <w:r>
        <w:rPr>
          <w:b/>
        </w:rPr>
        <w:t>više nije odgovorna</w:t>
      </w:r>
      <w:r>
        <w:t xml:space="preserve"> u slučaju da je primatelj netočan.</w:t>
      </w:r>
    </w:p>
    <w:p w:rsidRPr="007E7A4F" w:rsidR="007E7DE3" w:rsidP="00E34279"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E4355F" w:rsidTr="008B2E12" w14:paraId="3DA9FCD8" w14:textId="77777777">
        <w:tc>
          <w:tcPr>
            <w:tcW w:w="1418" w:type="dxa"/>
          </w:tcPr>
          <w:p w:rsidRPr="00164813" w:rsidR="00E4355F" w:rsidP="008B2E12" w:rsidRDefault="00E4355F" w14:paraId="1C6720FA" w14:textId="77777777">
            <w:pPr>
              <w:contextualSpacing/>
              <w:rPr>
                <w:i/>
              </w:rPr>
            </w:pPr>
            <w:r>
              <w:rPr>
                <w:b/>
                <w:i/>
              </w:rPr>
              <w:t>Kontakt:</w:t>
            </w:r>
          </w:p>
        </w:tc>
        <w:tc>
          <w:tcPr>
            <w:tcW w:w="5670" w:type="dxa"/>
          </w:tcPr>
          <w:p w:rsidRPr="00164813" w:rsidR="00E4355F" w:rsidP="008B2E12" w:rsidRDefault="00CE7111" w14:paraId="3B68C713" w14:textId="76CE67A8">
            <w:pPr>
              <w:contextualSpacing/>
              <w:rPr>
                <w:i/>
              </w:rPr>
            </w:pPr>
            <w:r>
              <w:rPr>
                <w:i/>
              </w:rPr>
              <w:t xml:space="preserve">Marco </w:t>
            </w:r>
            <w:proofErr w:type="spellStart"/>
            <w:r>
              <w:rPr>
                <w:i/>
              </w:rPr>
              <w:t>Manfroni</w:t>
            </w:r>
            <w:proofErr w:type="spellEnd"/>
          </w:p>
        </w:tc>
      </w:tr>
      <w:tr w:rsidRPr="00164813" w:rsidR="00E4355F" w:rsidTr="008B2E12" w14:paraId="3CC1DDE1" w14:textId="77777777">
        <w:tc>
          <w:tcPr>
            <w:tcW w:w="1418" w:type="dxa"/>
          </w:tcPr>
          <w:p w:rsidRPr="00164813" w:rsidR="00E4355F" w:rsidP="00EA144E" w:rsidRDefault="00E4355F" w14:paraId="3D55B53F" w14:textId="77777777">
            <w:pPr>
              <w:ind w:left="454"/>
              <w:contextualSpacing/>
              <w:rPr>
                <w:i/>
              </w:rPr>
            </w:pPr>
            <w:r>
              <w:rPr>
                <w:i/>
              </w:rPr>
              <w:t>Tel.:</w:t>
            </w:r>
          </w:p>
        </w:tc>
        <w:tc>
          <w:tcPr>
            <w:tcW w:w="5670" w:type="dxa"/>
          </w:tcPr>
          <w:p w:rsidRPr="00164813" w:rsidR="00E4355F" w:rsidP="008B2E12" w:rsidRDefault="00E4355F" w14:paraId="1C17165E" w14:textId="54A8852E">
            <w:pPr>
              <w:contextualSpacing/>
              <w:rPr>
                <w:i/>
              </w:rPr>
            </w:pPr>
            <w:r>
              <w:rPr>
                <w:i/>
              </w:rPr>
              <w:t>00 32 2 546 91 40</w:t>
            </w:r>
          </w:p>
        </w:tc>
      </w:tr>
      <w:tr w:rsidRPr="00164813" w:rsidR="00E4355F" w:rsidTr="008B2E12" w14:paraId="46542E19" w14:textId="77777777">
        <w:tc>
          <w:tcPr>
            <w:tcW w:w="1418" w:type="dxa"/>
          </w:tcPr>
          <w:p w:rsidRPr="00164813" w:rsidR="00E4355F" w:rsidP="00EA144E" w:rsidRDefault="00E4355F" w14:paraId="7469D062" w14:textId="77777777">
            <w:pPr>
              <w:ind w:left="601" w:hanging="572"/>
              <w:contextualSpacing/>
              <w:rPr>
                <w:i/>
              </w:rPr>
            </w:pPr>
            <w:r>
              <w:rPr>
                <w:i/>
              </w:rPr>
              <w:t>E-pošta:</w:t>
            </w:r>
          </w:p>
        </w:tc>
        <w:tc>
          <w:tcPr>
            <w:tcW w:w="5670" w:type="dxa"/>
          </w:tcPr>
          <w:p w:rsidRPr="00CE7111" w:rsidR="00E4355F" w:rsidP="008B2E12" w:rsidRDefault="0078088B" w14:paraId="1A6C4307" w14:textId="24ECDF82">
            <w:pPr>
              <w:contextualSpacing/>
              <w:rPr>
                <w:i/>
                <w:iCs/>
              </w:rPr>
            </w:pPr>
            <w:hyperlink w:history="1" r:id="rId25">
              <w:r w:rsidR="009E30B4">
                <w:rPr>
                  <w:rStyle w:val="Hyperlink"/>
                  <w:i/>
                </w:rPr>
                <w:t>Marco.Manfroni@eesc.europa.eu</w:t>
              </w:r>
            </w:hyperlink>
          </w:p>
        </w:tc>
      </w:tr>
      <w:bookmarkEnd w:id="11"/>
    </w:tbl>
    <w:p w:rsidRPr="009A3E0E" w:rsidR="004429E2" w:rsidP="004429E2" w:rsidRDefault="004429E2" w14:paraId="2469D4FC" w14:textId="77777777">
      <w:pPr>
        <w:pStyle w:val="ListParagraph"/>
        <w:ind w:left="567"/>
        <w:rPr>
          <w:b/>
          <w:bCs/>
          <w:i/>
          <w:iCs/>
        </w:rPr>
      </w:pPr>
    </w:p>
    <w:p w:rsidR="00353D37" w:rsidRDefault="00353D37" w14:paraId="3C139696" w14:textId="624721DC">
      <w:pPr>
        <w:spacing w:after="160" w:line="259" w:lineRule="auto"/>
        <w:jc w:val="left"/>
        <w:rPr>
          <w:b/>
          <w:bCs/>
          <w:i/>
          <w:iCs/>
          <w:sz w:val="28"/>
          <w:szCs w:val="28"/>
        </w:rPr>
      </w:pPr>
      <w:r>
        <w:br w:type="page"/>
      </w:r>
    </w:p>
    <w:p w:rsidRPr="00AA5C1D" w:rsidR="00AA5C1D" w:rsidP="00AA5C1D" w:rsidRDefault="00CE7111" w14:paraId="2EE2A332" w14:textId="5DEC9A71">
      <w:pPr>
        <w:pStyle w:val="ListParagraph"/>
        <w:numPr>
          <w:ilvl w:val="0"/>
          <w:numId w:val="2"/>
        </w:numPr>
        <w:ind w:left="567" w:hanging="567"/>
        <w:rPr>
          <w:b/>
          <w:bCs/>
          <w:i/>
          <w:iCs/>
          <w:sz w:val="28"/>
          <w:szCs w:val="28"/>
        </w:rPr>
      </w:pPr>
      <w:r>
        <w:rPr>
          <w:b/>
          <w:i/>
          <w:sz w:val="28"/>
        </w:rPr>
        <w:lastRenderedPageBreak/>
        <w:t>Inicijativa za kratkoročno iznajmljivanje smještaja</w:t>
      </w:r>
    </w:p>
    <w:p w:rsidRPr="009B70E7" w:rsidR="00AA5C1D" w:rsidP="00AA5C1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AA5C1D" w:rsidTr="00DA68E9" w14:paraId="377CFA40" w14:textId="77777777">
        <w:tc>
          <w:tcPr>
            <w:tcW w:w="1701" w:type="dxa"/>
          </w:tcPr>
          <w:p w:rsidR="00AA5C1D" w:rsidP="00DA68E9" w:rsidRDefault="00AA5C1D" w14:paraId="5C15ED0E" w14:textId="77777777">
            <w:pPr>
              <w:pStyle w:val="ListParagraph"/>
              <w:ind w:left="0"/>
              <w:rPr>
                <w:b/>
              </w:rPr>
            </w:pPr>
            <w:r>
              <w:rPr>
                <w:b/>
              </w:rPr>
              <w:t>Izvjestitelj/</w:t>
            </w:r>
            <w:proofErr w:type="spellStart"/>
            <w:r>
              <w:rPr>
                <w:b/>
              </w:rPr>
              <w:t>ica</w:t>
            </w:r>
            <w:proofErr w:type="spellEnd"/>
            <w:r>
              <w:rPr>
                <w:b/>
              </w:rPr>
              <w:t>:</w:t>
            </w:r>
          </w:p>
          <w:p w:rsidRPr="009B70E7" w:rsidR="00E302BC" w:rsidP="00DA68E9" w:rsidRDefault="00E302BC" w14:paraId="6700269D" w14:textId="4C78E621">
            <w:pPr>
              <w:pStyle w:val="ListParagraph"/>
              <w:ind w:left="0"/>
              <w:rPr>
                <w:b/>
              </w:rPr>
            </w:pPr>
          </w:p>
        </w:tc>
        <w:tc>
          <w:tcPr>
            <w:tcW w:w="6096" w:type="dxa"/>
          </w:tcPr>
          <w:p w:rsidR="00AA5C1D" w:rsidP="00DA68E9" w:rsidRDefault="00CE7111" w14:paraId="283EF046" w14:textId="2701634C">
            <w:pPr>
              <w:pStyle w:val="ListParagraph"/>
              <w:ind w:left="-108"/>
            </w:pPr>
            <w:proofErr w:type="spellStart"/>
            <w:r>
              <w:t>Marinel</w:t>
            </w:r>
            <w:proofErr w:type="spellEnd"/>
            <w:r>
              <w:t xml:space="preserve"> </w:t>
            </w:r>
            <w:proofErr w:type="spellStart"/>
            <w:r>
              <w:t>Dănuț</w:t>
            </w:r>
            <w:proofErr w:type="spellEnd"/>
            <w:r>
              <w:t xml:space="preserve"> MUREŞAN (Skupina poslodavaca – RO)</w:t>
            </w:r>
          </w:p>
          <w:p w:rsidRPr="007E7A4F" w:rsidR="00E302BC" w:rsidP="00DA68E9" w:rsidRDefault="00E302BC" w14:paraId="0BD64E0D" w14:textId="678F2318">
            <w:pPr>
              <w:pStyle w:val="ListParagraph"/>
              <w:ind w:left="-108"/>
              <w:rPr>
                <w:lang w:val="fr-BE"/>
              </w:rPr>
            </w:pPr>
          </w:p>
        </w:tc>
      </w:tr>
      <w:tr w:rsidRPr="009B70E7" w:rsidR="00AA5C1D" w:rsidTr="00DA68E9" w14:paraId="4E577528" w14:textId="77777777">
        <w:tc>
          <w:tcPr>
            <w:tcW w:w="1701" w:type="dxa"/>
          </w:tcPr>
          <w:p w:rsidRPr="009B70E7" w:rsidR="00AA5C1D" w:rsidP="00DA68E9" w:rsidRDefault="00AA5C1D" w14:paraId="7CEEDB52" w14:textId="1C12C238">
            <w:pPr>
              <w:pStyle w:val="ListParagraph"/>
              <w:ind w:left="0"/>
              <w:rPr>
                <w:b/>
              </w:rPr>
            </w:pPr>
            <w:r>
              <w:rPr>
                <w:b/>
              </w:rPr>
              <w:t xml:space="preserve">Referentni dokument/i: </w:t>
            </w:r>
          </w:p>
        </w:tc>
        <w:tc>
          <w:tcPr>
            <w:tcW w:w="6096" w:type="dxa"/>
          </w:tcPr>
          <w:p w:rsidRPr="009B70E7" w:rsidR="00AA5C1D" w:rsidP="00DA68E9" w:rsidRDefault="004429E2" w14:paraId="7260D9BD" w14:textId="1B57CCA2">
            <w:pPr>
              <w:tabs>
                <w:tab w:val="center" w:pos="284"/>
              </w:tabs>
              <w:ind w:left="266" w:hanging="374"/>
            </w:pPr>
            <w:r>
              <w:t xml:space="preserve">COM(2022) 571 </w:t>
            </w:r>
            <w:proofErr w:type="spellStart"/>
            <w:r>
              <w:t>final</w:t>
            </w:r>
            <w:proofErr w:type="spellEnd"/>
          </w:p>
          <w:p w:rsidRPr="009B70E7" w:rsidR="00AA5C1D" w:rsidP="00DA68E9" w:rsidRDefault="00AA5C1D" w14:paraId="088E18BB" w14:textId="5F2F4FD6">
            <w:pPr>
              <w:pStyle w:val="ListParagraph"/>
              <w:ind w:left="-108"/>
            </w:pPr>
            <w:r>
              <w:t>EESC-2022-05400-00-00-AC</w:t>
            </w:r>
          </w:p>
        </w:tc>
      </w:tr>
    </w:tbl>
    <w:p w:rsidRPr="009B70E7" w:rsidR="00AA5C1D" w:rsidP="00AA5C1D" w:rsidRDefault="00AA5C1D" w14:paraId="0C36545B" w14:textId="77777777">
      <w:pPr>
        <w:pStyle w:val="ListParagraph"/>
        <w:ind w:left="0"/>
        <w:rPr>
          <w:b/>
        </w:rPr>
      </w:pPr>
    </w:p>
    <w:p w:rsidRPr="00A00F37" w:rsidR="00AA5C1D" w:rsidP="00E302BC" w:rsidRDefault="00AA5C1D" w14:paraId="1B4ECBDA" w14:textId="320EA1A2">
      <w:pPr>
        <w:pStyle w:val="ListParagraph"/>
        <w:spacing w:line="240" w:lineRule="auto"/>
        <w:ind w:left="0"/>
        <w:rPr>
          <w:b/>
        </w:rPr>
      </w:pPr>
      <w:r>
        <w:rPr>
          <w:b/>
        </w:rPr>
        <w:t>Ključne točke</w:t>
      </w:r>
    </w:p>
    <w:p w:rsidRPr="0018231C" w:rsidR="00AA5C1D" w:rsidP="00AA5C1D" w:rsidRDefault="00AA5C1D" w14:paraId="38EF24CA" w14:textId="77777777">
      <w:pPr>
        <w:pStyle w:val="ListParagraph"/>
        <w:ind w:left="0"/>
        <w:rPr>
          <w:lang w:val="fr-FR"/>
        </w:rPr>
      </w:pPr>
    </w:p>
    <w:p w:rsidR="00AA5C1D" w:rsidP="00E302BC" w:rsidRDefault="00AA5C1D" w14:paraId="496334DF" w14:textId="77777777">
      <w:pPr>
        <w:pStyle w:val="ListParagraph"/>
        <w:spacing w:line="240" w:lineRule="auto"/>
        <w:ind w:left="0"/>
      </w:pPr>
      <w:r>
        <w:t>EGSO:</w:t>
      </w:r>
    </w:p>
    <w:p w:rsidRPr="0018231C" w:rsidR="00AA5C1D" w:rsidP="00AA5C1D" w:rsidRDefault="00AA5C1D" w14:paraId="7DF02088" w14:textId="77777777">
      <w:pPr>
        <w:pStyle w:val="ListParagraph"/>
        <w:ind w:left="0"/>
        <w:rPr>
          <w:lang w:val="fr-FR"/>
        </w:rPr>
      </w:pPr>
    </w:p>
    <w:p w:rsidRPr="00A3344B" w:rsidR="00AA5C1D" w:rsidP="00AA5C1D" w:rsidRDefault="00CE7111" w14:paraId="001CF33A" w14:textId="7D03E0B9">
      <w:pPr>
        <w:numPr>
          <w:ilvl w:val="0"/>
          <w:numId w:val="3"/>
        </w:numPr>
        <w:overflowPunct w:val="0"/>
        <w:autoSpaceDE w:val="0"/>
        <w:autoSpaceDN w:val="0"/>
        <w:adjustRightInd w:val="0"/>
        <w:ind w:left="357" w:hanging="357"/>
        <w:textAlignment w:val="baseline"/>
      </w:pPr>
      <w:r>
        <w:t xml:space="preserve">preporučuje da se uvedu mehanizmi predloženi u predmetnoj uredbi u cilju razvoja pravednijeg tržišnog natjecanja za aktivnosti kratkoročnog iznajmljivanja smještaja i sigurnijeg i transparentnijeg pružanja usluga kratkoročnog iznajmljivanja smještaja, koje su primjerene svojoj svrsi, te da se </w:t>
      </w:r>
      <w:r>
        <w:rPr>
          <w:b/>
          <w:bCs/>
        </w:rPr>
        <w:t>nacionalnim i lokalnim tijelima pruže učinkoviti instrumenti za prilagodbu aktivnosti kratkoročnog iznajmljivanja smještaja</w:t>
      </w:r>
      <w:r>
        <w:t xml:space="preserve"> lokalnim okolnostima i potrebama u raznim dijelovima EU-a;</w:t>
      </w:r>
    </w:p>
    <w:p w:rsidRPr="00A3344B" w:rsidR="00AA5C1D" w:rsidP="00AA5C1D" w:rsidRDefault="00CE7111" w14:paraId="71ABA83F" w14:textId="3DF12B73">
      <w:pPr>
        <w:numPr>
          <w:ilvl w:val="0"/>
          <w:numId w:val="3"/>
        </w:numPr>
        <w:overflowPunct w:val="0"/>
        <w:autoSpaceDE w:val="0"/>
        <w:autoSpaceDN w:val="0"/>
        <w:adjustRightInd w:val="0"/>
        <w:ind w:left="357" w:hanging="357"/>
        <w:textAlignment w:val="baseline"/>
      </w:pPr>
      <w:r>
        <w:t xml:space="preserve">preporučuje da Komisija u predmetnoj uredbi propiše da bi nacionalna i/ili lokalna tijela trebala provoditi </w:t>
      </w:r>
      <w:r>
        <w:rPr>
          <w:b/>
          <w:bCs/>
        </w:rPr>
        <w:t>periodične procjene učinka</w:t>
      </w:r>
      <w:r>
        <w:t xml:space="preserve"> aktivnosti kratkoročnog iznajmljivanja smještaja;</w:t>
      </w:r>
    </w:p>
    <w:p w:rsidR="00E63571" w:rsidP="00AA5C1D" w:rsidRDefault="00CE7111" w14:paraId="4C4CEA31" w14:textId="71D1086F">
      <w:pPr>
        <w:numPr>
          <w:ilvl w:val="0"/>
          <w:numId w:val="3"/>
        </w:numPr>
        <w:overflowPunct w:val="0"/>
        <w:autoSpaceDE w:val="0"/>
        <w:autoSpaceDN w:val="0"/>
        <w:adjustRightInd w:val="0"/>
        <w:ind w:left="357" w:hanging="357"/>
        <w:textAlignment w:val="baseline"/>
      </w:pPr>
      <w:r>
        <w:t xml:space="preserve">smatra da bi se zahtjevi za odobrenje mogli zamijeniti </w:t>
      </w:r>
      <w:r>
        <w:rPr>
          <w:b/>
        </w:rPr>
        <w:t>sustavom polica osiguranja koje bi iznajmljivači ugovarali</w:t>
      </w:r>
      <w:r>
        <w:t xml:space="preserve"> za svoje smještajne jedinice i koje bi pokrivale većinu rizika koji proizlaze iz aktivnosti kratkoročnog iznajmljivanja smještaja jer bi osiguravajuća društva pri procjenjivanju rizika tijekom ugovaranja police provjeravala poštuju li iznajmljivači pravila;</w:t>
      </w:r>
    </w:p>
    <w:p w:rsidR="00CE7111" w:rsidP="00AA5C1D" w:rsidRDefault="00CE7111" w14:paraId="7B3D886D" w14:textId="740E33B6">
      <w:pPr>
        <w:numPr>
          <w:ilvl w:val="0"/>
          <w:numId w:val="3"/>
        </w:numPr>
        <w:overflowPunct w:val="0"/>
        <w:autoSpaceDE w:val="0"/>
        <w:autoSpaceDN w:val="0"/>
        <w:adjustRightInd w:val="0"/>
        <w:ind w:left="357" w:hanging="357"/>
        <w:textAlignment w:val="baseline"/>
      </w:pPr>
      <w:r>
        <w:t xml:space="preserve">predlaže usvajanje </w:t>
      </w:r>
      <w:r>
        <w:rPr>
          <w:b/>
        </w:rPr>
        <w:t>standardiziranog pristupa pod vodstvom europskih institucija u pogledu tražene razine informacija za sve aktivnosti kratkoročnog iznajmljivanja smještaja</w:t>
      </w:r>
      <w:r>
        <w:t>. Time bi se nacionalnim i lokalnim tijelima pomoglo u donošenju odluka koje bi bile u skladu s interesima dotičnih zajednica, a ujedno bi se olakšala razmjena podataka među nadležnim tijelima, povećala razina usklađenosti s pravilima i nadležnim tijelima omogućilo da poduzimaju odgovarajuće mjere na temelju analiza na razini EU-a i lokalnoj razini;</w:t>
      </w:r>
    </w:p>
    <w:p w:rsidR="00CE7111" w:rsidP="00AA5C1D" w:rsidRDefault="00CE7111" w14:paraId="5FE2D52F" w14:textId="52E6337E">
      <w:pPr>
        <w:numPr>
          <w:ilvl w:val="0"/>
          <w:numId w:val="3"/>
        </w:numPr>
        <w:overflowPunct w:val="0"/>
        <w:autoSpaceDE w:val="0"/>
        <w:autoSpaceDN w:val="0"/>
        <w:adjustRightInd w:val="0"/>
        <w:ind w:left="357" w:hanging="357"/>
        <w:textAlignment w:val="baseline"/>
      </w:pPr>
      <w:r>
        <w:t xml:space="preserve">preporučuje da se predmetnom uredbom propiše da će institucije EU-a obavještavati sve dionike kratkoročnog iznajmljivanja smještaja, izravno ili putem nacionalnih i lokalnih tijela, </w:t>
      </w:r>
      <w:r>
        <w:rPr>
          <w:b/>
          <w:bCs/>
        </w:rPr>
        <w:t>o svim važnim tekućim ili očekivanim događajima</w:t>
      </w:r>
      <w:r>
        <w:t xml:space="preserve"> povezanima s aktivnostima kratkoročnog iznajmljivanja smještaja koji bi mogli utjecati na gospodarstvo, društvo, okoliš ili javnu sigurnost određenih područja.</w:t>
      </w:r>
    </w:p>
    <w:p w:rsidRPr="009A3E0E" w:rsidR="00AA5C1D" w:rsidP="00AA5C1D" w:rsidRDefault="00AA5C1D" w14:paraId="11FB139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AA5C1D" w:rsidTr="00DA68E9" w14:paraId="41C508F8" w14:textId="77777777">
        <w:tc>
          <w:tcPr>
            <w:tcW w:w="1418" w:type="dxa"/>
          </w:tcPr>
          <w:p w:rsidRPr="00164813" w:rsidR="00AA5C1D" w:rsidP="00DA68E9" w:rsidRDefault="00AA5C1D" w14:paraId="682B16C4" w14:textId="247691B3">
            <w:pPr>
              <w:contextualSpacing/>
              <w:rPr>
                <w:i/>
              </w:rPr>
            </w:pPr>
            <w:r>
              <w:rPr>
                <w:b/>
                <w:i/>
              </w:rPr>
              <w:t>Kontakt:</w:t>
            </w:r>
          </w:p>
        </w:tc>
        <w:tc>
          <w:tcPr>
            <w:tcW w:w="5670" w:type="dxa"/>
          </w:tcPr>
          <w:p w:rsidRPr="00164813" w:rsidR="00AA5C1D" w:rsidP="00DA68E9" w:rsidRDefault="00CE7111" w14:paraId="58153CA9" w14:textId="188BEFA9">
            <w:pPr>
              <w:contextualSpacing/>
              <w:rPr>
                <w:i/>
              </w:rPr>
            </w:pPr>
            <w:r>
              <w:rPr>
                <w:i/>
              </w:rPr>
              <w:t xml:space="preserve">Silvia </w:t>
            </w:r>
            <w:proofErr w:type="spellStart"/>
            <w:r>
              <w:rPr>
                <w:i/>
              </w:rPr>
              <w:t>Staffa</w:t>
            </w:r>
            <w:proofErr w:type="spellEnd"/>
          </w:p>
        </w:tc>
      </w:tr>
      <w:tr w:rsidRPr="00164813" w:rsidR="00AA5C1D" w:rsidTr="00DA68E9" w14:paraId="72CAC45A" w14:textId="77777777">
        <w:tc>
          <w:tcPr>
            <w:tcW w:w="1418" w:type="dxa"/>
          </w:tcPr>
          <w:p w:rsidRPr="00164813" w:rsidR="00AA5C1D" w:rsidP="00EA144E" w:rsidRDefault="00AA5C1D" w14:paraId="3EF5E950" w14:textId="73C04D47">
            <w:pPr>
              <w:ind w:left="454" w:right="-25"/>
              <w:contextualSpacing/>
              <w:rPr>
                <w:i/>
              </w:rPr>
            </w:pPr>
            <w:r>
              <w:rPr>
                <w:i/>
              </w:rPr>
              <w:t>Tel.:</w:t>
            </w:r>
          </w:p>
        </w:tc>
        <w:tc>
          <w:tcPr>
            <w:tcW w:w="5670" w:type="dxa"/>
          </w:tcPr>
          <w:p w:rsidRPr="00164813" w:rsidR="00AA5C1D" w:rsidP="00DA68E9" w:rsidRDefault="00AA5C1D" w14:paraId="7B046605" w14:textId="67695B49">
            <w:pPr>
              <w:contextualSpacing/>
              <w:rPr>
                <w:i/>
              </w:rPr>
            </w:pPr>
            <w:r>
              <w:rPr>
                <w:i/>
              </w:rPr>
              <w:t>00 32 2 546 83 78</w:t>
            </w:r>
          </w:p>
        </w:tc>
      </w:tr>
      <w:tr w:rsidRPr="00164813" w:rsidR="00AA5C1D" w:rsidTr="00DA68E9" w14:paraId="73DA6362" w14:textId="77777777">
        <w:tc>
          <w:tcPr>
            <w:tcW w:w="1418" w:type="dxa"/>
          </w:tcPr>
          <w:p w:rsidRPr="00164813" w:rsidR="00AA5C1D" w:rsidP="00EA144E" w:rsidRDefault="00AA5C1D" w14:paraId="67DB9852" w14:textId="3361810C">
            <w:pPr>
              <w:ind w:left="601" w:hanging="572"/>
              <w:contextualSpacing/>
              <w:rPr>
                <w:i/>
              </w:rPr>
            </w:pPr>
            <w:r>
              <w:rPr>
                <w:i/>
              </w:rPr>
              <w:t>E-pošta:</w:t>
            </w:r>
          </w:p>
        </w:tc>
        <w:tc>
          <w:tcPr>
            <w:tcW w:w="5670" w:type="dxa"/>
          </w:tcPr>
          <w:p w:rsidRPr="00CE7111" w:rsidR="00AA5C1D" w:rsidP="009A3E0E" w:rsidRDefault="0078088B" w14:paraId="49BD07A0" w14:textId="1A85E293">
            <w:pPr>
              <w:contextualSpacing/>
              <w:rPr>
                <w:i/>
                <w:iCs/>
              </w:rPr>
            </w:pPr>
            <w:hyperlink w:history="1" r:id="rId26">
              <w:r w:rsidR="009E30B4">
                <w:rPr>
                  <w:rStyle w:val="Hyperlink"/>
                  <w:i/>
                </w:rPr>
                <w:t>Silvia.Staffa@eesc.europa.eu</w:t>
              </w:r>
            </w:hyperlink>
          </w:p>
        </w:tc>
      </w:tr>
    </w:tbl>
    <w:p w:rsidRPr="00CE7111" w:rsidR="000A558D" w:rsidRDefault="00467BE4" w14:paraId="4E3BBDCF" w14:textId="14AF1643">
      <w:pPr>
        <w:spacing w:after="160" w:line="259" w:lineRule="auto"/>
        <w:jc w:val="left"/>
        <w:rPr>
          <w:sz w:val="28"/>
        </w:rPr>
      </w:pPr>
      <w:r>
        <w:br w:type="page"/>
      </w:r>
    </w:p>
    <w:p w:rsidRPr="009B70E7" w:rsidR="002E01B5" w:rsidP="0018231C" w:rsidRDefault="004D7AC0" w14:paraId="6C52985F" w14:textId="77777777">
      <w:pPr>
        <w:pStyle w:val="Heading1"/>
        <w:keepNext/>
        <w:rPr>
          <w:b/>
        </w:rPr>
      </w:pPr>
      <w:bookmarkStart w:name="_Toc70322234" w:id="12"/>
      <w:bookmarkStart w:name="_Toc75527084" w:id="13"/>
      <w:bookmarkStart w:name="_Toc129684713" w:id="14"/>
      <w:r>
        <w:rPr>
          <w:b/>
        </w:rPr>
        <w:lastRenderedPageBreak/>
        <w:t>STRUČNA SKUPINA ZA POLJOPRIVREDU, RURALNI RAZVOJ I OKOLIŠ</w:t>
      </w:r>
      <w:bookmarkEnd w:id="12"/>
      <w:bookmarkEnd w:id="13"/>
      <w:bookmarkEnd w:id="14"/>
    </w:p>
    <w:p w:rsidRPr="009B70E7" w:rsidR="009173E7" w:rsidP="1EBA916B" w:rsidRDefault="009173E7" w14:paraId="37AC66EE" w14:textId="77777777">
      <w:pPr>
        <w:keepNext/>
      </w:pPr>
    </w:p>
    <w:p w:rsidRPr="009B70E7" w:rsidR="00AC7690" w:rsidP="0018231C" w:rsidRDefault="00CE7111" w14:paraId="6BF57A05" w14:textId="35CA4AF4">
      <w:pPr>
        <w:pStyle w:val="ListParagraph"/>
        <w:keepNext/>
        <w:numPr>
          <w:ilvl w:val="0"/>
          <w:numId w:val="2"/>
        </w:numPr>
        <w:ind w:left="567" w:hanging="567"/>
        <w:rPr>
          <w:b/>
          <w:i/>
          <w:sz w:val="28"/>
          <w:szCs w:val="28"/>
        </w:rPr>
      </w:pPr>
      <w:r>
        <w:rPr>
          <w:b/>
          <w:i/>
          <w:sz w:val="28"/>
        </w:rPr>
        <w:t>Revizija Direktive o pročišćavanju komunalnih otpadnih voda</w:t>
      </w:r>
    </w:p>
    <w:p w:rsidRPr="009B70E7" w:rsidR="004D7AC0" w:rsidP="0018231C" w:rsidRDefault="004D7AC0" w14:paraId="43570F8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9B70E7" w:rsidR="004D7AC0" w:rsidTr="00CE7111" w14:paraId="32C9FAF0" w14:textId="77777777">
        <w:tc>
          <w:tcPr>
            <w:tcW w:w="1701" w:type="dxa"/>
          </w:tcPr>
          <w:p w:rsidRPr="009B70E7" w:rsidR="004D7AC0" w:rsidP="0018231C" w:rsidRDefault="004D7AC0" w14:paraId="7DFC3FE7" w14:textId="014FFCAB">
            <w:pPr>
              <w:pStyle w:val="ListParagraph"/>
              <w:keepNext/>
              <w:ind w:left="0"/>
              <w:rPr>
                <w:b/>
              </w:rPr>
            </w:pPr>
            <w:r>
              <w:rPr>
                <w:b/>
              </w:rPr>
              <w:t>Izvjestitelj/</w:t>
            </w:r>
            <w:proofErr w:type="spellStart"/>
            <w:r>
              <w:rPr>
                <w:b/>
              </w:rPr>
              <w:t>ica</w:t>
            </w:r>
            <w:proofErr w:type="spellEnd"/>
            <w:r>
              <w:rPr>
                <w:b/>
              </w:rPr>
              <w:t>:</w:t>
            </w:r>
          </w:p>
        </w:tc>
        <w:tc>
          <w:tcPr>
            <w:tcW w:w="6237" w:type="dxa"/>
          </w:tcPr>
          <w:p w:rsidRPr="009B70E7" w:rsidR="004D7AC0" w:rsidP="001C4EDC" w:rsidRDefault="00CE7111" w14:paraId="512C7D26" w14:textId="2BA3CA38">
            <w:pPr>
              <w:pStyle w:val="ListParagraph"/>
              <w:keepNext/>
              <w:ind w:left="-106"/>
            </w:pPr>
            <w:proofErr w:type="spellStart"/>
            <w:r>
              <w:t>Stoyan</w:t>
            </w:r>
            <w:proofErr w:type="spellEnd"/>
            <w:r>
              <w:t xml:space="preserve"> TCHOUKANOV (Skupina organizacija civilnog društva – BG)</w:t>
            </w: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032038" w:rsidR="0005110E" w:rsidTr="00196521" w14:paraId="2F855FDD" w14:textId="77777777">
        <w:tc>
          <w:tcPr>
            <w:tcW w:w="1701" w:type="dxa"/>
          </w:tcPr>
          <w:p w:rsidRPr="00032038" w:rsidR="0005110E" w:rsidP="00533C08" w:rsidRDefault="0005110E" w14:paraId="6DB55280" w14:textId="41CA7BCA">
            <w:pPr>
              <w:contextualSpacing/>
              <w:rPr>
                <w:b/>
              </w:rPr>
            </w:pPr>
            <w:r>
              <w:rPr>
                <w:b/>
              </w:rPr>
              <w:t xml:space="preserve">Referentni dokument/i: </w:t>
            </w:r>
          </w:p>
        </w:tc>
        <w:tc>
          <w:tcPr>
            <w:tcW w:w="6237" w:type="dxa"/>
          </w:tcPr>
          <w:p w:rsidRPr="00032038" w:rsidR="0005110E" w:rsidP="00533C08" w:rsidRDefault="001140AE" w14:paraId="602AF089" w14:textId="4B5CCB86">
            <w:pPr>
              <w:tabs>
                <w:tab w:val="center" w:pos="284"/>
              </w:tabs>
              <w:ind w:left="266" w:right="-534" w:hanging="374"/>
            </w:pPr>
            <w:r>
              <w:t xml:space="preserve">COM(2022) 541 </w:t>
            </w:r>
            <w:proofErr w:type="spellStart"/>
            <w:r>
              <w:t>final</w:t>
            </w:r>
            <w:proofErr w:type="spellEnd"/>
          </w:p>
          <w:p w:rsidRPr="00032038" w:rsidR="0005110E" w:rsidP="00533C08" w:rsidRDefault="0005110E" w14:paraId="6A5A914E" w14:textId="171B8137">
            <w:pPr>
              <w:ind w:left="-108"/>
              <w:contextualSpacing/>
            </w:pPr>
            <w:r>
              <w:t>EESC-2022-05433-00-00-AC</w:t>
            </w:r>
          </w:p>
        </w:tc>
      </w:tr>
    </w:tbl>
    <w:p w:rsidRPr="002C4B6E" w:rsidR="0005110E" w:rsidP="002C4B6E" w:rsidRDefault="0005110E" w14:paraId="63F4FD2B" w14:textId="77777777">
      <w:pPr>
        <w:pStyle w:val="ListParagraph"/>
        <w:spacing w:line="240" w:lineRule="auto"/>
        <w:ind w:left="-142" w:firstLine="142"/>
        <w:rPr>
          <w:b/>
        </w:rPr>
      </w:pPr>
    </w:p>
    <w:p w:rsidRPr="00A00F37" w:rsidR="004D7AC0" w:rsidP="00FD3EB9" w:rsidRDefault="004D7AC0" w14:paraId="63F2D92D" w14:textId="5F76C7A8">
      <w:pPr>
        <w:pStyle w:val="ListParagraph"/>
        <w:spacing w:line="240" w:lineRule="auto"/>
        <w:ind w:left="0"/>
        <w:rPr>
          <w:b/>
        </w:rPr>
      </w:pPr>
      <w:r>
        <w:rPr>
          <w:b/>
        </w:rPr>
        <w:t>Ključne točke</w:t>
      </w:r>
    </w:p>
    <w:p w:rsidR="001513FD" w:rsidP="0018231C" w:rsidRDefault="001513FD" w14:paraId="76827606" w14:textId="77777777">
      <w:pPr>
        <w:pStyle w:val="ListParagraph"/>
        <w:keepNext/>
        <w:ind w:left="0"/>
      </w:pPr>
    </w:p>
    <w:p w:rsidR="00E54548" w:rsidP="00FD3EB9" w:rsidRDefault="00E54548" w14:paraId="05F6CCDA" w14:textId="77777777">
      <w:pPr>
        <w:pStyle w:val="ListParagraph"/>
        <w:ind w:left="0"/>
      </w:pPr>
      <w:r>
        <w:t>EGSO:</w:t>
      </w:r>
    </w:p>
    <w:p w:rsidR="00E54548" w:rsidP="0018231C" w:rsidRDefault="00E54548" w14:paraId="681D86A8" w14:textId="77777777">
      <w:pPr>
        <w:pStyle w:val="ListParagraph"/>
        <w:keepNext/>
        <w:ind w:left="0"/>
      </w:pPr>
    </w:p>
    <w:p w:rsidRPr="00D979E8" w:rsidR="00D979E8" w:rsidP="00BE6D5A" w:rsidRDefault="00CE7111" w14:paraId="600005EF" w14:textId="5C5AF22B">
      <w:pPr>
        <w:numPr>
          <w:ilvl w:val="0"/>
          <w:numId w:val="3"/>
        </w:numPr>
        <w:ind w:left="357" w:hanging="357"/>
        <w:contextualSpacing/>
      </w:pPr>
      <w:r>
        <w:t>prepoznaje čistu vodu kao strateški resurs za osiguravanje funkcioniranja našeg društva i otpornog gospodarstva EU-a, kao i za zdravlje okoliša i ljudi, te stoga smatra da s njom treba postupati s odgovarajućom pažnjom. Oko 60 % riječnih slivova EU-a prekogranično je i zahtijeva prekograničnu suradnju. Nedavna ekološka katastrofa na rijeci Odri trebala bi biti upozorenje na ono što se događa u slučaju neuspješne suradnje i nedostatka transparentnosti;</w:t>
      </w:r>
    </w:p>
    <w:p w:rsidR="00D979E8" w:rsidP="001140AE" w:rsidRDefault="00CE7111" w14:paraId="22353103" w14:textId="273DFF91">
      <w:pPr>
        <w:numPr>
          <w:ilvl w:val="0"/>
          <w:numId w:val="3"/>
        </w:numPr>
        <w:ind w:left="357" w:hanging="357"/>
        <w:contextualSpacing/>
      </w:pPr>
      <w:r>
        <w:t>smatra da se onečišćenje mora ponajprije rješavati na izvoru, ali uviđa da je pročišćavanje komunalnih otpadnih voda važan posljednji korak za zaštitu prihvatnih voda, što donosi koristi za okoliš, zdravlje ljudi i društvo;</w:t>
      </w:r>
    </w:p>
    <w:p w:rsidR="00CE7111" w:rsidP="001140AE" w:rsidRDefault="00CE7111" w14:paraId="108212A7" w14:textId="286DBA1D">
      <w:pPr>
        <w:numPr>
          <w:ilvl w:val="0"/>
          <w:numId w:val="3"/>
        </w:numPr>
        <w:ind w:left="357" w:hanging="357"/>
        <w:contextualSpacing/>
      </w:pPr>
      <w:r>
        <w:t xml:space="preserve">snažno podupire prijedlog za proširenu odgovornost proizvođača kojim bi se od proizvođača zahtijevalo da pokriju troškove uklanjanja </w:t>
      </w:r>
      <w:proofErr w:type="spellStart"/>
      <w:r>
        <w:t>mikroonečišćujućih</w:t>
      </w:r>
      <w:proofErr w:type="spellEnd"/>
      <w:r>
        <w:t xml:space="preserve"> tvari koje proizlaze iz njihovih proizvoda iz otpadnih voda, ali izuzeća moraju biti strogo ograničena kako bi bila učinkovita;</w:t>
      </w:r>
    </w:p>
    <w:p w:rsidR="00CE7111" w:rsidP="001140AE" w:rsidRDefault="00CE7111" w14:paraId="1489AD99" w14:textId="3D3224A1">
      <w:pPr>
        <w:numPr>
          <w:ilvl w:val="0"/>
          <w:numId w:val="3"/>
        </w:numPr>
        <w:ind w:left="357" w:hanging="357"/>
        <w:contextualSpacing/>
      </w:pPr>
      <w:r>
        <w:t>stoga pozdravlja prijedlog da se u odabranim postrojenjima za pročišćavanje komunalnih otpadnih voda ugrade dodatni sustavi pročišćavanja za njihovo uklanjanje te ističe da je potrebno uložiti znatne napore da bi se uklonili stari standardi uvođenjem novih inovativnih metoda pročišćavanja. Također smatra da mora postojati mogućnost za decentralizirana rješenja pomoću malih postrojenja s posebnim naglaskom na funkcionalnost ako se područje primjene Direktive proširi na aglomeracije s ekvivalentom stanovnika većim od 1000;</w:t>
      </w:r>
    </w:p>
    <w:p w:rsidR="00CE7111" w:rsidP="001140AE" w:rsidRDefault="00895C48" w14:paraId="47B40A35" w14:textId="43FFECED">
      <w:pPr>
        <w:numPr>
          <w:ilvl w:val="0"/>
          <w:numId w:val="3"/>
        </w:numPr>
        <w:ind w:left="357" w:hanging="357"/>
        <w:contextualSpacing/>
      </w:pPr>
      <w:r>
        <w:t>smatra da bi se Direktivom trebala uvesti gornja granica prelijevanja kanalizacijskog sustava, a izvješćivanje javnosti trebalo bi pružiti potpunu sliku o opterećenju onečišćujućim tvarima koje se prenosi prelijevanjem. Otjecanje u gradskim područjima, u obliku onečišćene kišnice (uključujući snijeg) iz urbanog krajolika, npr. cesta, treba sakupljati i pravilno pročišćavati prije ispuštanja u prihvatne vode. Preventivne mjere, kao što su plavo-zelena rješenja za hvatanje i zadržavanje kišnice, npr. putem zelenih krovova ili kišnih vrtova, rasterećuju kanalizacijske sustave i donose brojne dodatne koristi za urbani krajolik;</w:t>
      </w:r>
    </w:p>
    <w:p w:rsidR="00895C48" w:rsidP="001140AE" w:rsidRDefault="00895C48" w14:paraId="4C311F42" w14:textId="5E91D500">
      <w:pPr>
        <w:numPr>
          <w:ilvl w:val="0"/>
          <w:numId w:val="3"/>
        </w:numPr>
        <w:ind w:left="357" w:hanging="357"/>
        <w:contextualSpacing/>
      </w:pPr>
      <w:r>
        <w:t>zabrinut je zbog toga što su vodoopskrba i odvodnja javne usluge, ali ih ponekad pružaju privatna poduzeća. Potrebno je uspostaviti pravila i propise kako bi se osiguralo da se javnim uslugama ne upravlja s ciljem ostvarivanja dobiti te da se prihodi ulažu u održavanje i poboljšanje usluga. Osiguravanje cjenovne pristupačnosti vode trebalo bi biti prioritet za sve države članice;</w:t>
      </w:r>
    </w:p>
    <w:p w:rsidR="00895C48" w:rsidP="001140AE" w:rsidRDefault="00895C48" w14:paraId="1BA54FE5" w14:textId="1E3E62A6">
      <w:pPr>
        <w:numPr>
          <w:ilvl w:val="0"/>
          <w:numId w:val="3"/>
        </w:numPr>
        <w:ind w:left="357" w:hanging="357"/>
        <w:contextualSpacing/>
      </w:pPr>
      <w:r>
        <w:t>poziva europske institucije da im rješavanje pitanja vode postane prioritet i da osmisle plavi plan EU-a kao radikalno nastojanje da se predvide potrebe i očuvaju vodni resursi i da se njima na odgovarajući način upravlja na temelju sveobuhvatnog i koordiniranog plana u kojem se postavljaju ambiciozni ciljevi i iznose mjere povezane s dogovorenim ključnim etapama. EGSO će tijekom 2023. iznijeti konkretne prijedloge za plavi plan EU-a.</w:t>
      </w:r>
    </w:p>
    <w:p w:rsidRPr="009B70E7" w:rsidR="005D55F5" w:rsidP="005D55F5" w:rsidRDefault="005D55F5" w14:paraId="7408EE4D"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1140AE" w:rsidTr="008B2E12" w14:paraId="0DE8B899" w14:textId="77777777">
        <w:tc>
          <w:tcPr>
            <w:tcW w:w="1418" w:type="dxa"/>
          </w:tcPr>
          <w:p w:rsidRPr="009B70E7" w:rsidR="001140AE" w:rsidP="00EE744F" w:rsidRDefault="001140AE" w14:paraId="0CF7DD61" w14:textId="77777777">
            <w:pPr>
              <w:pStyle w:val="ListParagraph"/>
              <w:keepNext/>
              <w:keepLines/>
              <w:ind w:left="0"/>
              <w:rPr>
                <w:i/>
              </w:rPr>
            </w:pPr>
            <w:r>
              <w:rPr>
                <w:b/>
                <w:i/>
              </w:rPr>
              <w:lastRenderedPageBreak/>
              <w:t>Kontakt:</w:t>
            </w:r>
          </w:p>
        </w:tc>
        <w:tc>
          <w:tcPr>
            <w:tcW w:w="5670" w:type="dxa"/>
          </w:tcPr>
          <w:p w:rsidRPr="009B70E7" w:rsidR="001140AE" w:rsidP="00EE744F" w:rsidRDefault="00895C48" w14:paraId="1BF4803F" w14:textId="1BABF534">
            <w:pPr>
              <w:pStyle w:val="ListParagraph"/>
              <w:keepNext/>
              <w:keepLines/>
              <w:ind w:left="0"/>
              <w:rPr>
                <w:i/>
              </w:rPr>
            </w:pPr>
            <w:proofErr w:type="spellStart"/>
            <w:r>
              <w:rPr>
                <w:i/>
              </w:rPr>
              <w:t>Gaia</w:t>
            </w:r>
            <w:proofErr w:type="spellEnd"/>
            <w:r>
              <w:rPr>
                <w:i/>
              </w:rPr>
              <w:t xml:space="preserve"> </w:t>
            </w:r>
            <w:proofErr w:type="spellStart"/>
            <w:r>
              <w:rPr>
                <w:i/>
              </w:rPr>
              <w:t>Bottoni</w:t>
            </w:r>
            <w:proofErr w:type="spellEnd"/>
          </w:p>
        </w:tc>
      </w:tr>
      <w:tr w:rsidRPr="009B70E7" w:rsidR="001140AE" w:rsidTr="008B2E12" w14:paraId="2B44B02A" w14:textId="77777777">
        <w:tc>
          <w:tcPr>
            <w:tcW w:w="1418" w:type="dxa"/>
          </w:tcPr>
          <w:p w:rsidRPr="009B70E7" w:rsidR="001140AE" w:rsidP="00EE744F" w:rsidRDefault="001140AE" w14:paraId="33FE728A" w14:textId="77777777">
            <w:pPr>
              <w:pStyle w:val="ListParagraph"/>
              <w:keepNext/>
              <w:keepLines/>
              <w:ind w:left="601"/>
              <w:rPr>
                <w:i/>
              </w:rPr>
            </w:pPr>
            <w:r>
              <w:rPr>
                <w:i/>
              </w:rPr>
              <w:t>Tel.:</w:t>
            </w:r>
          </w:p>
        </w:tc>
        <w:tc>
          <w:tcPr>
            <w:tcW w:w="5670" w:type="dxa"/>
          </w:tcPr>
          <w:p w:rsidRPr="009B70E7" w:rsidR="001140AE" w:rsidP="00EE744F" w:rsidRDefault="001140AE" w14:paraId="437CF15F" w14:textId="12B3760F">
            <w:pPr>
              <w:pStyle w:val="ListParagraph"/>
              <w:keepNext/>
              <w:keepLines/>
              <w:ind w:left="0"/>
              <w:rPr>
                <w:i/>
              </w:rPr>
            </w:pPr>
            <w:r>
              <w:rPr>
                <w:i/>
              </w:rPr>
              <w:t>00 32 2 546 94 47</w:t>
            </w:r>
          </w:p>
        </w:tc>
      </w:tr>
      <w:tr w:rsidRPr="005D55F5" w:rsidR="001140AE" w:rsidTr="008B2E12" w14:paraId="06C6BD47" w14:textId="77777777">
        <w:tc>
          <w:tcPr>
            <w:tcW w:w="1418" w:type="dxa"/>
          </w:tcPr>
          <w:p w:rsidRPr="009B70E7" w:rsidR="001140AE" w:rsidP="00EE744F" w:rsidRDefault="001140AE" w14:paraId="05270F42" w14:textId="77777777">
            <w:pPr>
              <w:pStyle w:val="ListParagraph"/>
              <w:keepNext/>
              <w:keepLines/>
              <w:ind w:left="601" w:hanging="430"/>
              <w:rPr>
                <w:i/>
              </w:rPr>
            </w:pPr>
            <w:r>
              <w:rPr>
                <w:i/>
              </w:rPr>
              <w:t>E-pošta:</w:t>
            </w:r>
          </w:p>
        </w:tc>
        <w:tc>
          <w:tcPr>
            <w:tcW w:w="5670" w:type="dxa"/>
          </w:tcPr>
          <w:p w:rsidRPr="005D55F5" w:rsidR="001140AE" w:rsidP="00EE744F" w:rsidRDefault="0078088B" w14:paraId="5D4A4F08" w14:textId="38D23787">
            <w:pPr>
              <w:pStyle w:val="ListParagraph"/>
              <w:keepNext/>
              <w:keepLines/>
              <w:ind w:left="0"/>
              <w:rPr>
                <w:i/>
                <w:iCs/>
              </w:rPr>
            </w:pPr>
            <w:hyperlink w:history="1" r:id="rId27">
              <w:r w:rsidR="009E30B4">
                <w:rPr>
                  <w:rStyle w:val="Hyperlink"/>
                  <w:i/>
                </w:rPr>
                <w:t>Gaia.Bottoni@eesc.europa.eu</w:t>
              </w:r>
            </w:hyperlink>
          </w:p>
        </w:tc>
      </w:tr>
    </w:tbl>
    <w:p w:rsidR="004E0C44" w:rsidRDefault="004E0C44" w14:paraId="39A4AA15" w14:textId="77777777">
      <w:pPr>
        <w:spacing w:after="160" w:line="259" w:lineRule="auto"/>
        <w:jc w:val="left"/>
        <w:rPr>
          <w:sz w:val="28"/>
          <w:szCs w:val="28"/>
        </w:rPr>
      </w:pPr>
      <w:r>
        <w:br w:type="page"/>
      </w:r>
    </w:p>
    <w:p w:rsidRPr="00196521" w:rsidR="009A3E0E" w:rsidP="000247C5" w:rsidRDefault="009A3E0E" w14:paraId="7ED77355" w14:textId="77777777">
      <w:pPr>
        <w:spacing w:after="160" w:line="259" w:lineRule="auto"/>
        <w:jc w:val="left"/>
      </w:pPr>
    </w:p>
    <w:p w:rsidRPr="009A3E0E" w:rsidR="00E54548" w:rsidP="00406DDB" w:rsidRDefault="00895C48" w14:paraId="55FE0C33" w14:textId="3488AA39">
      <w:pPr>
        <w:pStyle w:val="ListParagraph"/>
        <w:keepNext/>
        <w:numPr>
          <w:ilvl w:val="0"/>
          <w:numId w:val="2"/>
        </w:numPr>
        <w:ind w:left="567" w:hanging="567"/>
      </w:pPr>
      <w:bookmarkStart w:name="_Hlk127190412" w:id="15"/>
      <w:r>
        <w:rPr>
          <w:b/>
          <w:i/>
          <w:sz w:val="28"/>
        </w:rPr>
        <w:t>Revizija zakonodavstva EU-a o kvaliteti zraka</w:t>
      </w:r>
    </w:p>
    <w:p w:rsidRPr="009B70E7" w:rsidR="009A3E0E" w:rsidP="009A3E0E" w:rsidRDefault="009A3E0E" w14:paraId="56595EA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0C18CA" w:rsidTr="000C18CA" w14:paraId="4E01B598" w14:textId="77777777">
        <w:tc>
          <w:tcPr>
            <w:tcW w:w="1701" w:type="dxa"/>
          </w:tcPr>
          <w:p w:rsidRPr="009B70E7" w:rsidR="000C18CA" w:rsidP="00533C08" w:rsidRDefault="000C18CA" w14:paraId="3EE6EB4F" w14:textId="0FFBCB14">
            <w:pPr>
              <w:pStyle w:val="ListParagraph"/>
              <w:keepNext/>
              <w:ind w:left="0"/>
              <w:rPr>
                <w:b/>
              </w:rPr>
            </w:pPr>
            <w:r>
              <w:rPr>
                <w:b/>
              </w:rPr>
              <w:t>Izvjestitelj/</w:t>
            </w:r>
            <w:proofErr w:type="spellStart"/>
            <w:r>
              <w:rPr>
                <w:b/>
              </w:rPr>
              <w:t>ica</w:t>
            </w:r>
            <w:proofErr w:type="spellEnd"/>
            <w:r>
              <w:rPr>
                <w:b/>
              </w:rPr>
              <w:t>:</w:t>
            </w:r>
          </w:p>
        </w:tc>
        <w:tc>
          <w:tcPr>
            <w:tcW w:w="5954" w:type="dxa"/>
          </w:tcPr>
          <w:p w:rsidR="000C18CA" w:rsidP="00533C08" w:rsidRDefault="00895C48" w14:paraId="3B0EEFBE" w14:textId="347E14B4">
            <w:pPr>
              <w:pStyle w:val="ListParagraph"/>
              <w:keepNext/>
              <w:ind w:left="-106"/>
            </w:pPr>
            <w:proofErr w:type="spellStart"/>
            <w:r>
              <w:t>Kęstutis</w:t>
            </w:r>
            <w:proofErr w:type="spellEnd"/>
            <w:r>
              <w:t xml:space="preserve"> KUPŠYS (Skupina organizacija civilnog društva – LT)</w:t>
            </w:r>
          </w:p>
          <w:p w:rsidRPr="009B70E7" w:rsidR="006A1317" w:rsidP="00533C08" w:rsidRDefault="006A1317" w14:paraId="3BDDFB62" w14:textId="58B88D3B">
            <w:pPr>
              <w:pStyle w:val="ListParagraph"/>
              <w:keepNext/>
              <w:ind w:left="-106"/>
            </w:pPr>
          </w:p>
        </w:tc>
      </w:tr>
      <w:tr w:rsidRPr="009B70E7" w:rsidR="00E54548" w:rsidTr="009A3E0E" w14:paraId="7A103358" w14:textId="77777777">
        <w:tc>
          <w:tcPr>
            <w:tcW w:w="1701" w:type="dxa"/>
          </w:tcPr>
          <w:p w:rsidRPr="009B70E7" w:rsidR="00E54548" w:rsidP="008B66DD" w:rsidRDefault="00E54548" w14:paraId="3D88AB9C" w14:textId="2BC32D39">
            <w:pPr>
              <w:pStyle w:val="ListParagraph"/>
              <w:ind w:left="0"/>
              <w:rPr>
                <w:b/>
              </w:rPr>
            </w:pPr>
            <w:r>
              <w:rPr>
                <w:b/>
              </w:rPr>
              <w:t xml:space="preserve">Referentni dokument/i: </w:t>
            </w:r>
          </w:p>
        </w:tc>
        <w:tc>
          <w:tcPr>
            <w:tcW w:w="5954" w:type="dxa"/>
          </w:tcPr>
          <w:p w:rsidRPr="009B70E7" w:rsidR="00E54548" w:rsidP="008B66DD" w:rsidRDefault="00DD2512" w14:paraId="3F2C4954" w14:textId="77F7ABB4">
            <w:pPr>
              <w:tabs>
                <w:tab w:val="center" w:pos="284"/>
              </w:tabs>
              <w:ind w:left="266" w:hanging="374"/>
            </w:pPr>
            <w:r>
              <w:t xml:space="preserve">COM(2022) 542 </w:t>
            </w:r>
            <w:proofErr w:type="spellStart"/>
            <w:r>
              <w:t>final</w:t>
            </w:r>
            <w:proofErr w:type="spellEnd"/>
          </w:p>
          <w:p w:rsidRPr="009B70E7" w:rsidR="00E54548" w:rsidP="008B66DD" w:rsidRDefault="00E54548" w14:paraId="2105E433" w14:textId="634EF330">
            <w:pPr>
              <w:pStyle w:val="ListParagraph"/>
              <w:ind w:left="-108"/>
            </w:pPr>
            <w:r>
              <w:t>EESC-2021-05604-00-00-AC</w:t>
            </w:r>
          </w:p>
        </w:tc>
      </w:tr>
    </w:tbl>
    <w:p w:rsidRPr="009B70E7" w:rsidR="00E54548" w:rsidP="00E54548" w:rsidRDefault="00E54548" w14:paraId="5A8EA75C" w14:textId="77777777">
      <w:pPr>
        <w:pStyle w:val="ListParagraph"/>
        <w:ind w:left="0"/>
        <w:rPr>
          <w:b/>
        </w:rPr>
      </w:pPr>
    </w:p>
    <w:p w:rsidRPr="0018231C" w:rsidR="00E54548" w:rsidP="00FD3EB9" w:rsidRDefault="00E54548" w14:paraId="2DB75FF2" w14:textId="5E95D69C">
      <w:pPr>
        <w:pStyle w:val="ListParagraph"/>
        <w:spacing w:line="240" w:lineRule="auto"/>
        <w:ind w:left="0"/>
        <w:rPr>
          <w:b/>
        </w:rPr>
      </w:pPr>
      <w:r>
        <w:rPr>
          <w:b/>
        </w:rPr>
        <w:t>Ključne točke</w:t>
      </w:r>
    </w:p>
    <w:p w:rsidRPr="0018231C" w:rsidR="00E54548" w:rsidP="00E54548" w:rsidRDefault="00E54548" w14:paraId="6EE8937D" w14:textId="77777777">
      <w:pPr>
        <w:pStyle w:val="ListParagraph"/>
        <w:ind w:left="0"/>
        <w:rPr>
          <w:lang w:val="fr-FR"/>
        </w:rPr>
      </w:pPr>
    </w:p>
    <w:p w:rsidRPr="00A00F37" w:rsidR="00E54548" w:rsidP="00FD3EB9" w:rsidRDefault="00E54548" w14:paraId="6B6F14AC" w14:textId="77777777">
      <w:pPr>
        <w:pStyle w:val="ListParagraph"/>
        <w:ind w:left="0"/>
        <w:rPr>
          <w:bCs/>
        </w:rPr>
      </w:pPr>
      <w:r>
        <w:t>EGSO:</w:t>
      </w:r>
    </w:p>
    <w:p w:rsidRPr="0018231C" w:rsidR="00E54548" w:rsidP="00E54548" w:rsidRDefault="00E54548" w14:paraId="1F790AD7" w14:textId="77777777">
      <w:pPr>
        <w:pStyle w:val="ListParagraph"/>
        <w:ind w:left="0"/>
        <w:rPr>
          <w:lang w:val="fr-FR"/>
        </w:rPr>
      </w:pPr>
    </w:p>
    <w:p w:rsidRPr="00836740" w:rsidR="00E54548" w:rsidP="00E54548" w:rsidRDefault="00895C48" w14:paraId="2EA194B7" w14:textId="6247F62A">
      <w:pPr>
        <w:numPr>
          <w:ilvl w:val="0"/>
          <w:numId w:val="3"/>
        </w:numPr>
        <w:overflowPunct w:val="0"/>
        <w:autoSpaceDE w:val="0"/>
        <w:autoSpaceDN w:val="0"/>
        <w:adjustRightInd w:val="0"/>
        <w:ind w:left="357" w:hanging="357"/>
        <w:textAlignment w:val="baseline"/>
      </w:pPr>
      <w:r>
        <w:t>preporučuje potpuno usklađivanje standarda EU-a za kvalitetu zraka (uključujući standarde za ozon u obliku graničnih vrijednosti) s ažuriranim globalnim smjernicama za kvalitetu zraka Svjetske zdravstvene organizacije (SZO) najkasnije do 2030. i definiranje snažnog poticajnog okvira koji se zasniva na graničnim vrijednostima, mehanizmima izvršenja i jasnim pravilima upravljanja. Smanjenje onečišćenja zraka donosi velike posredne koristi za ublažavanje klimatskih promjena, energetsku sigurnost i bioraznolikost te povećava otpornost stanovništva na pandemije;</w:t>
      </w:r>
    </w:p>
    <w:p w:rsidR="002049FA" w:rsidP="005D55F5" w:rsidRDefault="00895C48" w14:paraId="4F2B1309" w14:textId="27619B8B">
      <w:pPr>
        <w:numPr>
          <w:ilvl w:val="0"/>
          <w:numId w:val="3"/>
        </w:numPr>
        <w:overflowPunct w:val="0"/>
        <w:autoSpaceDE w:val="0"/>
        <w:autoSpaceDN w:val="0"/>
        <w:adjustRightInd w:val="0"/>
        <w:ind w:left="357" w:hanging="357"/>
        <w:textAlignment w:val="baseline"/>
      </w:pPr>
      <w:r>
        <w:t>pozdravlja pristup Komisije usmjeren na „omjer koristi i troškova”, ali izražava žaljenje zbog toga što se taj omjer smatra najvažnijim pokazateljem koji će se uzeti u obzir tijekom revizije, umjesto da najvažniji budu maksimalna zaštita ljudskog života i zdravstveni pokazatelji. To dovodi do „većeg usklađivanja”, a ne do „potpunog usklađivanja” kao najpoželjnije opcije politike. Uz iznimku dušikova dioksida, čini se da je prijedlog usmjeren na usklađivanje sa smjernicama SZO-a iz 2005., a ne s najnovijim smjernicama objavljenima u rujnu 2021.;</w:t>
      </w:r>
    </w:p>
    <w:p w:rsidR="00895C48" w:rsidP="005D55F5" w:rsidRDefault="00895C48" w14:paraId="6698EA27" w14:textId="2A02DB45">
      <w:pPr>
        <w:numPr>
          <w:ilvl w:val="0"/>
          <w:numId w:val="3"/>
        </w:numPr>
        <w:overflowPunct w:val="0"/>
        <w:autoSpaceDE w:val="0"/>
        <w:autoSpaceDN w:val="0"/>
        <w:adjustRightInd w:val="0"/>
        <w:ind w:left="357" w:hanging="357"/>
        <w:textAlignment w:val="baseline"/>
      </w:pPr>
      <w:r>
        <w:t>uvjeren je da će ambiciozno utvrđena i pravodobno provedena ograničenja i pravila iz direktiva o kvaliteti zraka, u kombinaciji s učinkovitim sektorskim mjerama, dovesti do poduzimanja odvažnih mjera na nacionalnoj i lokalnoj razini;</w:t>
      </w:r>
    </w:p>
    <w:p w:rsidR="00895C48" w:rsidP="005D55F5" w:rsidRDefault="00895C48" w14:paraId="4AA29DF6" w14:textId="654E5F20">
      <w:pPr>
        <w:numPr>
          <w:ilvl w:val="0"/>
          <w:numId w:val="3"/>
        </w:numPr>
        <w:overflowPunct w:val="0"/>
        <w:autoSpaceDE w:val="0"/>
        <w:autoSpaceDN w:val="0"/>
        <w:adjustRightInd w:val="0"/>
        <w:ind w:left="357" w:hanging="357"/>
        <w:textAlignment w:val="baseline"/>
      </w:pPr>
      <w:r>
        <w:t>poziva na to da se u okviru programa Obzor Europa povećaju sredstva za projekte građanske znanosti povezane s onečišćenjem. Građani bi i sami trebali djelovati i informirati se o povezanosti njihova načina života, aktivnosti i obrazaca potrošnje s razinama onečišćenja. Informiraniji građani mnogo su motiviraniji za djelovanje i na taj se način može lakše postići dugoročna promjena ponašanja;</w:t>
      </w:r>
    </w:p>
    <w:p w:rsidRPr="00836740" w:rsidR="00895C48" w:rsidP="005D55F5" w:rsidRDefault="00895C48" w14:paraId="0AA43EF2" w14:textId="1681FAC2">
      <w:pPr>
        <w:numPr>
          <w:ilvl w:val="0"/>
          <w:numId w:val="3"/>
        </w:numPr>
        <w:overflowPunct w:val="0"/>
        <w:autoSpaceDE w:val="0"/>
        <w:autoSpaceDN w:val="0"/>
        <w:adjustRightInd w:val="0"/>
        <w:ind w:left="357" w:hanging="357"/>
        <w:textAlignment w:val="baseline"/>
      </w:pPr>
      <w:r>
        <w:t>odlučno podupire pravo na naknadu za osobe čije je zdravlje narušeno zbog onečišćenja zraka i kazne za fizičke i pravne osobe koje su prekršile nacionalne propise.</w:t>
      </w:r>
    </w:p>
    <w:p w:rsidRPr="007E7A4F" w:rsidR="00E54548" w:rsidP="00E54548" w:rsidRDefault="00E54548" w14:paraId="34228F74"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895C48" w:rsidTr="00040ADE" w14:paraId="3AB16363" w14:textId="77777777">
        <w:tc>
          <w:tcPr>
            <w:tcW w:w="1418" w:type="dxa"/>
          </w:tcPr>
          <w:p w:rsidRPr="009B70E7" w:rsidR="00895C48" w:rsidP="00040ADE" w:rsidRDefault="00895C48" w14:paraId="7DFEF1AE" w14:textId="77777777">
            <w:pPr>
              <w:pStyle w:val="ListParagraph"/>
              <w:ind w:left="0"/>
              <w:rPr>
                <w:i/>
              </w:rPr>
            </w:pPr>
            <w:r>
              <w:rPr>
                <w:b/>
                <w:i/>
              </w:rPr>
              <w:t>Kontakt:</w:t>
            </w:r>
          </w:p>
        </w:tc>
        <w:tc>
          <w:tcPr>
            <w:tcW w:w="5670" w:type="dxa"/>
          </w:tcPr>
          <w:p w:rsidRPr="009B70E7" w:rsidR="00895C48" w:rsidP="00040ADE" w:rsidRDefault="00895C48" w14:paraId="388AAA3B" w14:textId="77777777">
            <w:pPr>
              <w:pStyle w:val="ListParagraph"/>
              <w:ind w:left="0"/>
              <w:rPr>
                <w:i/>
              </w:rPr>
            </w:pPr>
            <w:proofErr w:type="spellStart"/>
            <w:r>
              <w:rPr>
                <w:i/>
              </w:rPr>
              <w:t>Gaia</w:t>
            </w:r>
            <w:proofErr w:type="spellEnd"/>
            <w:r>
              <w:rPr>
                <w:i/>
              </w:rPr>
              <w:t xml:space="preserve"> </w:t>
            </w:r>
            <w:proofErr w:type="spellStart"/>
            <w:r>
              <w:rPr>
                <w:i/>
              </w:rPr>
              <w:t>Bottoni</w:t>
            </w:r>
            <w:proofErr w:type="spellEnd"/>
          </w:p>
        </w:tc>
      </w:tr>
      <w:tr w:rsidRPr="009B70E7" w:rsidR="00895C48" w:rsidTr="00040ADE" w14:paraId="2D32C0FB" w14:textId="77777777">
        <w:tc>
          <w:tcPr>
            <w:tcW w:w="1418" w:type="dxa"/>
          </w:tcPr>
          <w:p w:rsidRPr="009B70E7" w:rsidR="00895C48" w:rsidP="00EE744F" w:rsidRDefault="00895C48" w14:paraId="423EB185" w14:textId="77777777">
            <w:pPr>
              <w:pStyle w:val="ListParagraph"/>
              <w:ind w:left="601" w:hanging="147"/>
              <w:rPr>
                <w:i/>
              </w:rPr>
            </w:pPr>
            <w:r>
              <w:rPr>
                <w:i/>
              </w:rPr>
              <w:t>Tel.:</w:t>
            </w:r>
          </w:p>
        </w:tc>
        <w:tc>
          <w:tcPr>
            <w:tcW w:w="5670" w:type="dxa"/>
          </w:tcPr>
          <w:p w:rsidRPr="009B70E7" w:rsidR="00895C48" w:rsidP="00040ADE" w:rsidRDefault="00895C48" w14:paraId="7A2D0C03" w14:textId="77777777">
            <w:pPr>
              <w:pStyle w:val="ListParagraph"/>
              <w:ind w:left="0"/>
              <w:rPr>
                <w:i/>
              </w:rPr>
            </w:pPr>
            <w:r>
              <w:rPr>
                <w:i/>
              </w:rPr>
              <w:t>00 32 2 546 94 47</w:t>
            </w:r>
          </w:p>
        </w:tc>
      </w:tr>
      <w:tr w:rsidRPr="005D55F5" w:rsidR="00895C48" w:rsidTr="00040ADE" w14:paraId="1D160874" w14:textId="77777777">
        <w:tc>
          <w:tcPr>
            <w:tcW w:w="1418" w:type="dxa"/>
          </w:tcPr>
          <w:p w:rsidRPr="009B70E7" w:rsidR="00895C48" w:rsidP="00EE744F" w:rsidRDefault="00895C48" w14:paraId="0F223A9F" w14:textId="77777777">
            <w:pPr>
              <w:pStyle w:val="ListParagraph"/>
              <w:ind w:left="601" w:hanging="572"/>
              <w:rPr>
                <w:i/>
              </w:rPr>
            </w:pPr>
            <w:r>
              <w:rPr>
                <w:i/>
              </w:rPr>
              <w:t>E-pošta:</w:t>
            </w:r>
          </w:p>
        </w:tc>
        <w:tc>
          <w:tcPr>
            <w:tcW w:w="5670" w:type="dxa"/>
          </w:tcPr>
          <w:p w:rsidRPr="005D55F5" w:rsidR="00895C48" w:rsidRDefault="0078088B" w14:paraId="52FF0956" w14:textId="73A8FE59">
            <w:pPr>
              <w:pStyle w:val="ListParagraph"/>
              <w:ind w:left="0"/>
              <w:rPr>
                <w:i/>
                <w:iCs/>
              </w:rPr>
            </w:pPr>
            <w:hyperlink w:history="1" r:id="rId28">
              <w:r w:rsidR="009E30B4">
                <w:rPr>
                  <w:rStyle w:val="Hyperlink"/>
                  <w:i/>
                </w:rPr>
                <w:t>Gaia.Bottoni@eesc.europa.eu</w:t>
              </w:r>
            </w:hyperlink>
          </w:p>
        </w:tc>
      </w:tr>
      <w:bookmarkEnd w:id="15"/>
    </w:tbl>
    <w:p w:rsidR="00895C48" w:rsidP="0018231C" w:rsidRDefault="00895C48" w14:paraId="3D4A5F95" w14:textId="64E14F65">
      <w:pPr>
        <w:spacing w:after="160" w:line="240" w:lineRule="auto"/>
        <w:jc w:val="left"/>
      </w:pPr>
    </w:p>
    <w:p w:rsidR="00895C48" w:rsidRDefault="00895C48" w14:paraId="32AFB706" w14:textId="77777777">
      <w:pPr>
        <w:spacing w:after="160" w:line="259" w:lineRule="auto"/>
        <w:jc w:val="left"/>
      </w:pPr>
      <w:r>
        <w:br w:type="page"/>
      </w:r>
    </w:p>
    <w:p w:rsidRPr="009A3E0E" w:rsidR="00895C48" w:rsidP="00895C48" w:rsidRDefault="00895C48" w14:paraId="5253243C" w14:textId="3D69A318">
      <w:pPr>
        <w:pStyle w:val="ListParagraph"/>
        <w:keepNext/>
        <w:numPr>
          <w:ilvl w:val="0"/>
          <w:numId w:val="2"/>
        </w:numPr>
        <w:ind w:left="567" w:hanging="567"/>
      </w:pPr>
      <w:r>
        <w:rPr>
          <w:b/>
          <w:i/>
          <w:sz w:val="28"/>
        </w:rPr>
        <w:lastRenderedPageBreak/>
        <w:t>Integrirano upravljanje vodama – revidirani popisi onečišćujućih tvari u površinskim i podzemnim vodama</w:t>
      </w:r>
    </w:p>
    <w:p w:rsidRPr="009B70E7" w:rsidR="00895C48" w:rsidP="00895C48" w:rsidRDefault="00895C48" w14:paraId="5AA1FC7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895C48" w:rsidTr="00040ADE" w14:paraId="25918DDF" w14:textId="77777777">
        <w:tc>
          <w:tcPr>
            <w:tcW w:w="1701" w:type="dxa"/>
          </w:tcPr>
          <w:p w:rsidRPr="009B70E7" w:rsidR="00895C48" w:rsidP="00040ADE" w:rsidRDefault="00895C48" w14:paraId="136060CB" w14:textId="77777777">
            <w:pPr>
              <w:pStyle w:val="ListParagraph"/>
              <w:keepNext/>
              <w:ind w:left="0"/>
              <w:rPr>
                <w:b/>
              </w:rPr>
            </w:pPr>
            <w:r>
              <w:rPr>
                <w:b/>
              </w:rPr>
              <w:t>Izvjestitelj/</w:t>
            </w:r>
            <w:proofErr w:type="spellStart"/>
            <w:r>
              <w:rPr>
                <w:b/>
              </w:rPr>
              <w:t>ica</w:t>
            </w:r>
            <w:proofErr w:type="spellEnd"/>
            <w:r>
              <w:rPr>
                <w:b/>
              </w:rPr>
              <w:t>:</w:t>
            </w:r>
          </w:p>
        </w:tc>
        <w:tc>
          <w:tcPr>
            <w:tcW w:w="5954" w:type="dxa"/>
          </w:tcPr>
          <w:p w:rsidR="00895C48" w:rsidP="00040ADE" w:rsidRDefault="00895C48" w14:paraId="736DF840" w14:textId="35EDBF96">
            <w:pPr>
              <w:pStyle w:val="ListParagraph"/>
              <w:keepNext/>
              <w:ind w:left="-106"/>
            </w:pPr>
            <w:proofErr w:type="spellStart"/>
            <w:r>
              <w:t>Arnaud</w:t>
            </w:r>
            <w:proofErr w:type="spellEnd"/>
            <w:r>
              <w:t xml:space="preserve"> SCHWARTZ (Skupina organizacija civilnog društva – FR)</w:t>
            </w:r>
          </w:p>
          <w:p w:rsidRPr="009B70E7" w:rsidR="00895C48" w:rsidP="00040ADE" w:rsidRDefault="00895C48" w14:paraId="5CD9AB68" w14:textId="77777777">
            <w:pPr>
              <w:pStyle w:val="ListParagraph"/>
              <w:keepNext/>
              <w:ind w:left="-106"/>
            </w:pPr>
          </w:p>
        </w:tc>
      </w:tr>
      <w:tr w:rsidRPr="009B70E7" w:rsidR="00895C48" w:rsidTr="00040ADE" w14:paraId="25A34DD2" w14:textId="77777777">
        <w:tc>
          <w:tcPr>
            <w:tcW w:w="1701" w:type="dxa"/>
          </w:tcPr>
          <w:p w:rsidRPr="009B70E7" w:rsidR="00895C48" w:rsidP="00040ADE" w:rsidRDefault="00895C48" w14:paraId="5BFC7CBA" w14:textId="77777777">
            <w:pPr>
              <w:pStyle w:val="ListParagraph"/>
              <w:ind w:left="0"/>
              <w:rPr>
                <w:b/>
              </w:rPr>
            </w:pPr>
            <w:r>
              <w:rPr>
                <w:b/>
              </w:rPr>
              <w:t xml:space="preserve">Referentni dokument/i: </w:t>
            </w:r>
          </w:p>
        </w:tc>
        <w:tc>
          <w:tcPr>
            <w:tcW w:w="5954" w:type="dxa"/>
          </w:tcPr>
          <w:p w:rsidRPr="009B70E7" w:rsidR="00895C48" w:rsidP="00040ADE" w:rsidRDefault="00895C48" w14:paraId="0049C7D0" w14:textId="77777777">
            <w:pPr>
              <w:tabs>
                <w:tab w:val="center" w:pos="284"/>
              </w:tabs>
              <w:ind w:left="266" w:hanging="374"/>
            </w:pPr>
            <w:r>
              <w:t xml:space="preserve">COM(2022) 542 </w:t>
            </w:r>
            <w:proofErr w:type="spellStart"/>
            <w:r>
              <w:t>final</w:t>
            </w:r>
            <w:proofErr w:type="spellEnd"/>
          </w:p>
          <w:p w:rsidRPr="009B70E7" w:rsidR="00895C48" w:rsidP="00040ADE" w:rsidRDefault="00895C48" w14:paraId="29831AAE" w14:textId="0FD67A70">
            <w:pPr>
              <w:pStyle w:val="ListParagraph"/>
              <w:ind w:left="-108"/>
            </w:pPr>
            <w:r>
              <w:t>EESC-2021-05603-00-00-AC</w:t>
            </w:r>
          </w:p>
        </w:tc>
      </w:tr>
    </w:tbl>
    <w:p w:rsidRPr="009B70E7" w:rsidR="00895C48" w:rsidP="00895C48" w:rsidRDefault="00895C48" w14:paraId="04ED3388" w14:textId="77777777">
      <w:pPr>
        <w:pStyle w:val="ListParagraph"/>
        <w:ind w:left="0"/>
        <w:rPr>
          <w:b/>
        </w:rPr>
      </w:pPr>
    </w:p>
    <w:p w:rsidRPr="0018231C" w:rsidR="00895C48" w:rsidP="00895C48" w:rsidRDefault="00895C48" w14:paraId="1ADE8B66" w14:textId="77777777">
      <w:pPr>
        <w:pStyle w:val="ListParagraph"/>
        <w:spacing w:line="240" w:lineRule="auto"/>
        <w:ind w:left="0"/>
        <w:rPr>
          <w:b/>
        </w:rPr>
      </w:pPr>
      <w:r>
        <w:rPr>
          <w:b/>
        </w:rPr>
        <w:t>Ključne točke</w:t>
      </w:r>
    </w:p>
    <w:p w:rsidRPr="0018231C" w:rsidR="00895C48" w:rsidP="00895C48" w:rsidRDefault="00895C48" w14:paraId="66969B39" w14:textId="77777777">
      <w:pPr>
        <w:pStyle w:val="ListParagraph"/>
        <w:ind w:left="0"/>
        <w:rPr>
          <w:lang w:val="fr-FR"/>
        </w:rPr>
      </w:pPr>
    </w:p>
    <w:p w:rsidRPr="00A00F37" w:rsidR="00895C48" w:rsidP="00895C48" w:rsidRDefault="00895C48" w14:paraId="3ACDCB60" w14:textId="77777777">
      <w:pPr>
        <w:pStyle w:val="ListParagraph"/>
        <w:ind w:left="0"/>
        <w:rPr>
          <w:bCs/>
        </w:rPr>
      </w:pPr>
      <w:r>
        <w:t>EGSO:</w:t>
      </w:r>
    </w:p>
    <w:p w:rsidRPr="0018231C" w:rsidR="00895C48" w:rsidP="00895C48" w:rsidRDefault="00895C48" w14:paraId="03FFEA69" w14:textId="77777777">
      <w:pPr>
        <w:pStyle w:val="ListParagraph"/>
        <w:ind w:left="0"/>
        <w:rPr>
          <w:lang w:val="fr-FR"/>
        </w:rPr>
      </w:pPr>
    </w:p>
    <w:p w:rsidRPr="00836740" w:rsidR="00895C48" w:rsidP="00895C48" w:rsidRDefault="00895C48" w14:paraId="0BD06B08" w14:textId="20C2452A">
      <w:pPr>
        <w:numPr>
          <w:ilvl w:val="0"/>
          <w:numId w:val="3"/>
        </w:numPr>
        <w:overflowPunct w:val="0"/>
        <w:autoSpaceDE w:val="0"/>
        <w:autoSpaceDN w:val="0"/>
        <w:adjustRightInd w:val="0"/>
        <w:ind w:left="357" w:hanging="357"/>
        <w:textAlignment w:val="baseline"/>
      </w:pPr>
      <w:r>
        <w:t>snažno podupire prijedlog Europske komisije da se niz ključnih onečišćujućih tvari u vodi doda na popise prioritetnih tvari za površinske i podzemne vode koji će se koristiti za procjenu kemijskog stanja u skladu s Okvirnom direktivom o vodama. Države članice morat će pratiti njihovu prisutnost u vodi i osigurati da ne prelaze vrijednosti određene standardima kvalitete. Prijedlog je podnesen nekoliko godina prekasno, no dobrodošao je pokušaj ažuriranja procjene kemijskog stanja vode;</w:t>
      </w:r>
    </w:p>
    <w:p w:rsidRPr="00895C48" w:rsidR="00895C48" w:rsidP="00895C48" w:rsidRDefault="00895C48" w14:paraId="474E0209" w14:textId="2086933A">
      <w:pPr>
        <w:numPr>
          <w:ilvl w:val="0"/>
          <w:numId w:val="3"/>
        </w:numPr>
        <w:overflowPunct w:val="0"/>
        <w:autoSpaceDE w:val="0"/>
        <w:autoSpaceDN w:val="0"/>
        <w:adjustRightInd w:val="0"/>
        <w:ind w:left="357" w:hanging="357"/>
        <w:textAlignment w:val="baseline"/>
      </w:pPr>
      <w:r>
        <w:t>ističe da je čista voda ključna za naše društvo i okoliš, kao i za socioekonomske aktivnosti. Snažan okvir za zaštitu voda, usmjeren na smanjenje onečišćenja na izvoru, bit će koristan za ekosustave, korisnike vode u rekreativne svrhe i industriju te osigurati čistu i cjenovno pristupačnu vodu za piće;</w:t>
      </w:r>
    </w:p>
    <w:p w:rsidRPr="00895C48" w:rsidR="00895C48" w:rsidP="00895C48" w:rsidRDefault="00895C48" w14:paraId="65CADB81" w14:textId="1810531D">
      <w:pPr>
        <w:numPr>
          <w:ilvl w:val="0"/>
          <w:numId w:val="3"/>
        </w:numPr>
        <w:overflowPunct w:val="0"/>
        <w:autoSpaceDE w:val="0"/>
        <w:autoSpaceDN w:val="0"/>
        <w:adjustRightInd w:val="0"/>
        <w:ind w:left="357" w:hanging="357"/>
        <w:textAlignment w:val="baseline"/>
      </w:pPr>
      <w:r>
        <w:t>naglašava da su koristi povezane s neonečišćenom vodom veće od troškova, primjerice jer se tako izbjegava izloženost štetnim kemikalijama i smanjuje potreba za pročišćavanjem kako bi se postigli standardi za vodu za piće. Promjena u obrascima upotrebe štetnih tvari u cilju smanjenja njihove prisutnosti u vodi također može donijeti dodatne koristi, kao što je smanjena izloženost štetnim pesticidima za radnike u poljoprivredno-prehrambenom sektoru;</w:t>
      </w:r>
    </w:p>
    <w:p w:rsidR="00895C48" w:rsidP="00895C48" w:rsidRDefault="00895C48" w14:paraId="45512FA4" w14:textId="66623450">
      <w:pPr>
        <w:numPr>
          <w:ilvl w:val="0"/>
          <w:numId w:val="3"/>
        </w:numPr>
        <w:overflowPunct w:val="0"/>
        <w:autoSpaceDE w:val="0"/>
        <w:autoSpaceDN w:val="0"/>
        <w:adjustRightInd w:val="0"/>
        <w:ind w:left="357" w:hanging="357"/>
        <w:textAlignment w:val="baseline"/>
      </w:pPr>
      <w:r>
        <w:t>traži da se osmisle posebne smjernice za industrijske grane koje u proizvodnim procesima upotrebljavaju vodu s raznim tvarima jer je potrebno učiniti više za zdravlje i sigurnost na radnom mjestu;</w:t>
      </w:r>
    </w:p>
    <w:p w:rsidRPr="00895C48" w:rsidR="00895C48" w:rsidP="00895C48" w:rsidRDefault="00895C48" w14:paraId="607DD3C7" w14:textId="14DCD71B">
      <w:pPr>
        <w:numPr>
          <w:ilvl w:val="0"/>
          <w:numId w:val="3"/>
        </w:numPr>
        <w:overflowPunct w:val="0"/>
        <w:autoSpaceDE w:val="0"/>
        <w:autoSpaceDN w:val="0"/>
        <w:adjustRightInd w:val="0"/>
        <w:ind w:left="357" w:hanging="357"/>
        <w:textAlignment w:val="baseline"/>
      </w:pPr>
      <w:r>
        <w:t>preporučuje državama članicama da ulože veće napore u prikupljanje, organiziranje i tumačenje podataka o vodi te da potrebe za podacima o okolišu postave na čelo svojih prioriteta. Važno je smanjiti kašnjenja u pogledu podataka i osigurati posebne pokazatelje u svim državama članicama. Posebno treba učiniti više kako bi se ocijenio i pratio učinak kombinacije tvari na okoliš i zdravlje;</w:t>
      </w:r>
    </w:p>
    <w:p w:rsidRPr="00895C48" w:rsidR="00895C48" w:rsidP="00895C48" w:rsidRDefault="00895C48" w14:paraId="7734E286" w14:textId="0C26664C">
      <w:pPr>
        <w:numPr>
          <w:ilvl w:val="0"/>
          <w:numId w:val="3"/>
        </w:numPr>
        <w:overflowPunct w:val="0"/>
        <w:autoSpaceDE w:val="0"/>
        <w:autoSpaceDN w:val="0"/>
        <w:adjustRightInd w:val="0"/>
        <w:ind w:left="357" w:hanging="357"/>
        <w:textAlignment w:val="baseline"/>
      </w:pPr>
      <w:r>
        <w:t>naglašava da mjere praćenja, uključujući ukidanje nezakonite uporabe i izuzeća, moraju ostati na snazi u državama članicama u kojima se otkriju prekomjerne količine, čak i ako su te tvari uklonjene s popisa prioritetnih tvari na razini EU-a;</w:t>
      </w:r>
    </w:p>
    <w:p w:rsidRPr="00836740" w:rsidR="00895C48" w:rsidP="00895C48" w:rsidRDefault="00895C48" w14:paraId="382F3A5E" w14:textId="05DD1E9F">
      <w:pPr>
        <w:numPr>
          <w:ilvl w:val="0"/>
          <w:numId w:val="3"/>
        </w:numPr>
        <w:overflowPunct w:val="0"/>
        <w:autoSpaceDE w:val="0"/>
        <w:autoSpaceDN w:val="0"/>
        <w:adjustRightInd w:val="0"/>
        <w:ind w:left="357" w:hanging="357"/>
        <w:textAlignment w:val="baseline"/>
      </w:pPr>
      <w:r>
        <w:t>poziva europske institucije na to da im voda postane prioritet i da osmisle „plavi plan EU-a” kao radikalno nastojanje da se predvide potrebe, očuvaju vodni resursi i da se povezanim izazovima bavi na odgovarajući način na temelju sveobuhvatnog i koordiniranog plana u kojem se postavljaju ambiciozni ciljevi i iznose mjere povezane s dogovorenim ključnim etapama. EGSO će tijekom 2023. iznijeti konkretne prijedloge za plavi plan EU-a.</w:t>
      </w:r>
    </w:p>
    <w:p w:rsidRPr="007E7A4F" w:rsidR="00895C48" w:rsidP="00895C48" w:rsidRDefault="00895C48" w14:paraId="16B0E971"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895C48" w:rsidTr="00040ADE" w14:paraId="1D586337" w14:textId="77777777">
        <w:tc>
          <w:tcPr>
            <w:tcW w:w="1418" w:type="dxa"/>
          </w:tcPr>
          <w:p w:rsidRPr="009B70E7" w:rsidR="00895C48" w:rsidP="00040ADE" w:rsidRDefault="00895C48" w14:paraId="1BF8432F" w14:textId="77777777">
            <w:pPr>
              <w:pStyle w:val="ListParagraph"/>
              <w:ind w:left="0"/>
              <w:rPr>
                <w:i/>
              </w:rPr>
            </w:pPr>
            <w:r>
              <w:rPr>
                <w:b/>
                <w:i/>
              </w:rPr>
              <w:t>Kontakt:</w:t>
            </w:r>
          </w:p>
        </w:tc>
        <w:tc>
          <w:tcPr>
            <w:tcW w:w="5670" w:type="dxa"/>
          </w:tcPr>
          <w:p w:rsidRPr="009B70E7" w:rsidR="00895C48" w:rsidP="00040ADE" w:rsidRDefault="00895C48" w14:paraId="1E361F38" w14:textId="77777777">
            <w:pPr>
              <w:pStyle w:val="ListParagraph"/>
              <w:ind w:left="0"/>
              <w:rPr>
                <w:i/>
              </w:rPr>
            </w:pPr>
            <w:proofErr w:type="spellStart"/>
            <w:r>
              <w:rPr>
                <w:i/>
              </w:rPr>
              <w:t>Gaia</w:t>
            </w:r>
            <w:proofErr w:type="spellEnd"/>
            <w:r>
              <w:rPr>
                <w:i/>
              </w:rPr>
              <w:t xml:space="preserve"> </w:t>
            </w:r>
            <w:proofErr w:type="spellStart"/>
            <w:r>
              <w:rPr>
                <w:i/>
              </w:rPr>
              <w:t>Bottoni</w:t>
            </w:r>
            <w:proofErr w:type="spellEnd"/>
          </w:p>
        </w:tc>
      </w:tr>
      <w:tr w:rsidRPr="009B70E7" w:rsidR="00895C48" w:rsidTr="00040ADE" w14:paraId="1454286A" w14:textId="77777777">
        <w:tc>
          <w:tcPr>
            <w:tcW w:w="1418" w:type="dxa"/>
          </w:tcPr>
          <w:p w:rsidRPr="009B70E7" w:rsidR="00895C48" w:rsidP="00EE744F" w:rsidRDefault="00895C48" w14:paraId="62E2ED79" w14:textId="77777777">
            <w:pPr>
              <w:pStyle w:val="ListParagraph"/>
              <w:ind w:left="601" w:hanging="572"/>
              <w:rPr>
                <w:i/>
              </w:rPr>
            </w:pPr>
            <w:r>
              <w:rPr>
                <w:i/>
              </w:rPr>
              <w:t>Tel.:</w:t>
            </w:r>
          </w:p>
        </w:tc>
        <w:tc>
          <w:tcPr>
            <w:tcW w:w="5670" w:type="dxa"/>
          </w:tcPr>
          <w:p w:rsidRPr="009B70E7" w:rsidR="00895C48" w:rsidP="00040ADE" w:rsidRDefault="00895C48" w14:paraId="36BD3983" w14:textId="77777777">
            <w:pPr>
              <w:pStyle w:val="ListParagraph"/>
              <w:ind w:left="0"/>
              <w:rPr>
                <w:i/>
              </w:rPr>
            </w:pPr>
            <w:r>
              <w:rPr>
                <w:i/>
              </w:rPr>
              <w:t>00 32 2 546 94 47</w:t>
            </w:r>
          </w:p>
        </w:tc>
      </w:tr>
      <w:tr w:rsidRPr="005D55F5" w:rsidR="00895C48" w:rsidTr="00040ADE" w14:paraId="6817D5C2" w14:textId="77777777">
        <w:tc>
          <w:tcPr>
            <w:tcW w:w="1418" w:type="dxa"/>
          </w:tcPr>
          <w:p w:rsidRPr="009B70E7" w:rsidR="00895C48" w:rsidP="00EE744F" w:rsidRDefault="00895C48" w14:paraId="7B9F2B78" w14:textId="77777777">
            <w:pPr>
              <w:pStyle w:val="ListParagraph"/>
              <w:ind w:left="601" w:hanging="572"/>
              <w:rPr>
                <w:i/>
              </w:rPr>
            </w:pPr>
            <w:r>
              <w:rPr>
                <w:i/>
              </w:rPr>
              <w:t>E-pošta:</w:t>
            </w:r>
          </w:p>
        </w:tc>
        <w:tc>
          <w:tcPr>
            <w:tcW w:w="5670" w:type="dxa"/>
          </w:tcPr>
          <w:p w:rsidRPr="005D55F5" w:rsidR="00895C48" w:rsidP="00040ADE" w:rsidRDefault="0078088B" w14:paraId="336C9834" w14:textId="457079AA">
            <w:pPr>
              <w:pStyle w:val="ListParagraph"/>
              <w:ind w:left="0"/>
              <w:rPr>
                <w:i/>
                <w:iCs/>
              </w:rPr>
            </w:pPr>
            <w:hyperlink w:history="1" r:id="rId29">
              <w:r w:rsidR="009E30B4">
                <w:rPr>
                  <w:rStyle w:val="Hyperlink"/>
                  <w:i/>
                </w:rPr>
                <w:t>Gaia.Bottoni@eesc.europa.eu</w:t>
              </w:r>
            </w:hyperlink>
          </w:p>
        </w:tc>
      </w:tr>
    </w:tbl>
    <w:p w:rsidRPr="00CE7111" w:rsidR="00D67CAD" w:rsidP="00196521" w:rsidRDefault="009C1329" w14:paraId="5E62A09A" w14:textId="60CBED8F">
      <w:pPr>
        <w:overflowPunct w:val="0"/>
        <w:autoSpaceDE w:val="0"/>
        <w:autoSpaceDN w:val="0"/>
        <w:adjustRightInd w:val="0"/>
        <w:jc w:val="center"/>
        <w:textAlignment w:val="baseline"/>
      </w:pPr>
      <w:r>
        <w:t>_____________</w:t>
      </w:r>
    </w:p>
    <w:sectPr w:rsidRPr="00CE7111" w:rsidR="00D67CAD" w:rsidSect="004E0C44">
      <w:headerReference w:type="even" r:id="rId30"/>
      <w:headerReference w:type="default" r:id="rId31"/>
      <w:footerReference w:type="even" r:id="rId32"/>
      <w:footerReference w:type="default" r:id="rId33"/>
      <w:headerReference w:type="first" r:id="rId34"/>
      <w:footerReference w:type="first" r:id="rId35"/>
      <w:pgSz w:w="11907" w:h="16839"/>
      <w:pgMar w:top="1134" w:right="1418"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07EF" w14:textId="77777777" w:rsidR="00765C4F" w:rsidRDefault="00765C4F" w:rsidP="003B0516">
      <w:pPr>
        <w:spacing w:line="240" w:lineRule="auto"/>
      </w:pPr>
      <w:r>
        <w:separator/>
      </w:r>
    </w:p>
  </w:endnote>
  <w:endnote w:type="continuationSeparator" w:id="0">
    <w:p w14:paraId="7657AFA9" w14:textId="77777777" w:rsidR="00765C4F" w:rsidRDefault="00765C4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FC5E" w14:textId="77777777" w:rsidR="000D7878" w:rsidRPr="004E0C44" w:rsidRDefault="000D7878" w:rsidP="004E0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54D49C81" w:rsidR="00765C4F" w:rsidRPr="004E0C44" w:rsidRDefault="004E0C44" w:rsidP="004E0C44">
    <w:pPr>
      <w:pStyle w:val="Footer"/>
    </w:pPr>
    <w:r>
      <w:t xml:space="preserve">EESC-2023-00570-00-00-TCD-TRA (EN) </w:t>
    </w:r>
    <w:r>
      <w:fldChar w:fldCharType="begin"/>
    </w:r>
    <w:r>
      <w:instrText xml:space="preserve"> PAGE  \* Arabic  \* MERGEFORMAT </w:instrText>
    </w:r>
    <w:r>
      <w:fldChar w:fldCharType="separate"/>
    </w:r>
    <w:r w:rsidR="00196521">
      <w:t>1</w:t>
    </w:r>
    <w:r>
      <w:fldChar w:fldCharType="end"/>
    </w:r>
    <w:r>
      <w:t>/</w:t>
    </w:r>
    <w:r w:rsidR="0078088B">
      <w:fldChar w:fldCharType="begin"/>
    </w:r>
    <w:r w:rsidR="0078088B">
      <w:instrText xml:space="preserve"> NUMPAGES </w:instrText>
    </w:r>
    <w:r w:rsidR="0078088B">
      <w:fldChar w:fldCharType="separate"/>
    </w:r>
    <w:r w:rsidR="00196521">
      <w:t>1</w:t>
    </w:r>
    <w:r w:rsidR="0078088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8AB1" w14:textId="77777777" w:rsidR="000D7878" w:rsidRPr="004E0C44" w:rsidRDefault="000D7878" w:rsidP="004E0C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65C4F" w:rsidRPr="004E0C44" w:rsidRDefault="00765C4F" w:rsidP="004E0C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00A1506A" w:rsidR="00765C4F" w:rsidRPr="004E0C44" w:rsidRDefault="004E0C44" w:rsidP="004E0C44">
    <w:pPr>
      <w:pStyle w:val="Footer"/>
    </w:pPr>
    <w:r>
      <w:t xml:space="preserve">EESC-2023-00570-00-00-TCD-TRA (EN) </w:t>
    </w:r>
    <w:r>
      <w:fldChar w:fldCharType="begin"/>
    </w:r>
    <w:r>
      <w:instrText xml:space="preserve"> PAGE  \* Arabic  \* MERGEFORMAT </w:instrText>
    </w:r>
    <w:r>
      <w:fldChar w:fldCharType="separate"/>
    </w:r>
    <w:r>
      <w:t>2</w:t>
    </w:r>
    <w:r>
      <w:fldChar w:fldCharType="end"/>
    </w:r>
    <w:r>
      <w:t>/</w:t>
    </w:r>
    <w:r w:rsidR="0078088B">
      <w:fldChar w:fldCharType="begin"/>
    </w:r>
    <w:r w:rsidR="0078088B">
      <w:instrText xml:space="preserve"> NUMPAGES </w:instrText>
    </w:r>
    <w:r w:rsidR="0078088B">
      <w:fldChar w:fldCharType="separate"/>
    </w:r>
    <w:r>
      <w:t>12</w:t>
    </w:r>
    <w:r w:rsidR="0078088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65C4F" w:rsidRPr="004E0C44" w:rsidRDefault="00765C4F" w:rsidP="004E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0787" w14:textId="77777777" w:rsidR="00765C4F" w:rsidRDefault="00765C4F" w:rsidP="003B0516">
      <w:pPr>
        <w:spacing w:line="240" w:lineRule="auto"/>
      </w:pPr>
      <w:r>
        <w:separator/>
      </w:r>
    </w:p>
  </w:footnote>
  <w:footnote w:type="continuationSeparator" w:id="0">
    <w:p w14:paraId="7CEDF243" w14:textId="77777777" w:rsidR="00765C4F" w:rsidRDefault="00765C4F"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AAFB" w14:textId="77777777" w:rsidR="000D7878" w:rsidRPr="004E0C44" w:rsidRDefault="000D7878" w:rsidP="004E0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F49C" w14:textId="6731C39A" w:rsidR="000D7878" w:rsidRPr="004E0C44" w:rsidRDefault="000D7878" w:rsidP="004E0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8377" w14:textId="77777777" w:rsidR="000D7878" w:rsidRPr="004E0C44" w:rsidRDefault="000D7878" w:rsidP="004E0C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65C4F" w:rsidRPr="004E0C44" w:rsidRDefault="00765C4F" w:rsidP="004E0C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11AD884D" w:rsidR="00765C4F" w:rsidRPr="004E0C44" w:rsidRDefault="00765C4F" w:rsidP="004E0C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65C4F" w:rsidRPr="004E0C44" w:rsidRDefault="00765C4F" w:rsidP="004E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9F5812"/>
    <w:multiLevelType w:val="hybridMultilevel"/>
    <w:tmpl w:val="E554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B45E7"/>
    <w:multiLevelType w:val="hybridMultilevel"/>
    <w:tmpl w:val="AE102DF4"/>
    <w:lvl w:ilvl="0" w:tplc="040C0001">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5"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8"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0"/>
  </w:num>
  <w:num w:numId="3">
    <w:abstractNumId w:val="23"/>
  </w:num>
  <w:num w:numId="4">
    <w:abstractNumId w:val="3"/>
  </w:num>
  <w:num w:numId="5">
    <w:abstractNumId w:val="17"/>
  </w:num>
  <w:num w:numId="6">
    <w:abstractNumId w:val="9"/>
  </w:num>
  <w:num w:numId="7">
    <w:abstractNumId w:val="4"/>
  </w:num>
  <w:num w:numId="8">
    <w:abstractNumId w:val="8"/>
  </w:num>
  <w:num w:numId="9">
    <w:abstractNumId w:val="7"/>
  </w:num>
  <w:num w:numId="10">
    <w:abstractNumId w:val="24"/>
  </w:num>
  <w:num w:numId="11">
    <w:abstractNumId w:val="12"/>
  </w:num>
  <w:num w:numId="12">
    <w:abstractNumId w:val="19"/>
  </w:num>
  <w:num w:numId="13">
    <w:abstractNumId w:val="0"/>
  </w:num>
  <w:num w:numId="14">
    <w:abstractNumId w:val="0"/>
  </w:num>
  <w:num w:numId="15">
    <w:abstractNumId w:val="18"/>
  </w:num>
  <w:num w:numId="16">
    <w:abstractNumId w:val="13"/>
  </w:num>
  <w:num w:numId="17">
    <w:abstractNumId w:val="0"/>
  </w:num>
  <w:num w:numId="18">
    <w:abstractNumId w:val="0"/>
  </w:num>
  <w:num w:numId="19">
    <w:abstractNumId w:val="21"/>
  </w:num>
  <w:num w:numId="20">
    <w:abstractNumId w:val="6"/>
  </w:num>
  <w:num w:numId="21">
    <w:abstractNumId w:val="16"/>
  </w:num>
  <w:num w:numId="22">
    <w:abstractNumId w:val="10"/>
  </w:num>
  <w:num w:numId="23">
    <w:abstractNumId w:val="11"/>
  </w:num>
  <w:num w:numId="24">
    <w:abstractNumId w:val="25"/>
  </w:num>
  <w:num w:numId="25">
    <w:abstractNumId w:val="15"/>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 w:numId="28">
    <w:abstractNumId w:val="2"/>
  </w:num>
  <w:num w:numId="29">
    <w:abstractNumId w:val="5"/>
  </w:num>
  <w:num w:numId="30">
    <w:abstractNumId w:val="14"/>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2061"/>
    <w:rsid w:val="000142E0"/>
    <w:rsid w:val="00014C93"/>
    <w:rsid w:val="00015E18"/>
    <w:rsid w:val="00017B56"/>
    <w:rsid w:val="000232FA"/>
    <w:rsid w:val="00023DE9"/>
    <w:rsid w:val="0002450A"/>
    <w:rsid w:val="000247C5"/>
    <w:rsid w:val="00024D79"/>
    <w:rsid w:val="000257FE"/>
    <w:rsid w:val="00027072"/>
    <w:rsid w:val="00027441"/>
    <w:rsid w:val="00031589"/>
    <w:rsid w:val="00032038"/>
    <w:rsid w:val="0003271A"/>
    <w:rsid w:val="00032BAA"/>
    <w:rsid w:val="00034E35"/>
    <w:rsid w:val="00036505"/>
    <w:rsid w:val="00037A85"/>
    <w:rsid w:val="000402AE"/>
    <w:rsid w:val="00041C4A"/>
    <w:rsid w:val="0004205F"/>
    <w:rsid w:val="000421E0"/>
    <w:rsid w:val="0004292F"/>
    <w:rsid w:val="00050002"/>
    <w:rsid w:val="0005110E"/>
    <w:rsid w:val="0005170F"/>
    <w:rsid w:val="0005495B"/>
    <w:rsid w:val="00055D63"/>
    <w:rsid w:val="00056079"/>
    <w:rsid w:val="00056B3E"/>
    <w:rsid w:val="00057592"/>
    <w:rsid w:val="00063DFF"/>
    <w:rsid w:val="00063F30"/>
    <w:rsid w:val="00064EDE"/>
    <w:rsid w:val="00066DC7"/>
    <w:rsid w:val="0007015C"/>
    <w:rsid w:val="00070AAE"/>
    <w:rsid w:val="00070FEE"/>
    <w:rsid w:val="0007146F"/>
    <w:rsid w:val="00071F4C"/>
    <w:rsid w:val="00073491"/>
    <w:rsid w:val="000764E8"/>
    <w:rsid w:val="00076BA9"/>
    <w:rsid w:val="00083845"/>
    <w:rsid w:val="000911BF"/>
    <w:rsid w:val="00092425"/>
    <w:rsid w:val="000951A1"/>
    <w:rsid w:val="000956DB"/>
    <w:rsid w:val="00096786"/>
    <w:rsid w:val="000A007B"/>
    <w:rsid w:val="000A03BD"/>
    <w:rsid w:val="000A1218"/>
    <w:rsid w:val="000A558D"/>
    <w:rsid w:val="000A74DC"/>
    <w:rsid w:val="000A7BA8"/>
    <w:rsid w:val="000B01F7"/>
    <w:rsid w:val="000B19C4"/>
    <w:rsid w:val="000B1AE6"/>
    <w:rsid w:val="000B5831"/>
    <w:rsid w:val="000B7D8A"/>
    <w:rsid w:val="000C18CA"/>
    <w:rsid w:val="000C3942"/>
    <w:rsid w:val="000C43E2"/>
    <w:rsid w:val="000C6D0B"/>
    <w:rsid w:val="000D2F8F"/>
    <w:rsid w:val="000D65AC"/>
    <w:rsid w:val="000D7878"/>
    <w:rsid w:val="000E37FD"/>
    <w:rsid w:val="000E447F"/>
    <w:rsid w:val="000E56EA"/>
    <w:rsid w:val="000E5FFD"/>
    <w:rsid w:val="000E6108"/>
    <w:rsid w:val="000F2BDB"/>
    <w:rsid w:val="000F53B7"/>
    <w:rsid w:val="000F679A"/>
    <w:rsid w:val="001000A8"/>
    <w:rsid w:val="001016BE"/>
    <w:rsid w:val="00104B7A"/>
    <w:rsid w:val="00106358"/>
    <w:rsid w:val="001106FB"/>
    <w:rsid w:val="00113B00"/>
    <w:rsid w:val="001140AE"/>
    <w:rsid w:val="001167A1"/>
    <w:rsid w:val="00116A1C"/>
    <w:rsid w:val="001179DB"/>
    <w:rsid w:val="00117AA8"/>
    <w:rsid w:val="00120215"/>
    <w:rsid w:val="00120BA5"/>
    <w:rsid w:val="00124D7C"/>
    <w:rsid w:val="00126D3E"/>
    <w:rsid w:val="001271C3"/>
    <w:rsid w:val="00131DC8"/>
    <w:rsid w:val="001400C7"/>
    <w:rsid w:val="001445A7"/>
    <w:rsid w:val="001455A1"/>
    <w:rsid w:val="00150AD8"/>
    <w:rsid w:val="001513FD"/>
    <w:rsid w:val="00153032"/>
    <w:rsid w:val="001543FE"/>
    <w:rsid w:val="00155B53"/>
    <w:rsid w:val="00163106"/>
    <w:rsid w:val="00164813"/>
    <w:rsid w:val="001744F9"/>
    <w:rsid w:val="00174763"/>
    <w:rsid w:val="001760E9"/>
    <w:rsid w:val="0018231C"/>
    <w:rsid w:val="00182F92"/>
    <w:rsid w:val="001861B4"/>
    <w:rsid w:val="001865D3"/>
    <w:rsid w:val="00191597"/>
    <w:rsid w:val="001951FD"/>
    <w:rsid w:val="00196521"/>
    <w:rsid w:val="0019715D"/>
    <w:rsid w:val="001A0AD4"/>
    <w:rsid w:val="001A2273"/>
    <w:rsid w:val="001A7476"/>
    <w:rsid w:val="001B10DA"/>
    <w:rsid w:val="001B6460"/>
    <w:rsid w:val="001C226F"/>
    <w:rsid w:val="001C3412"/>
    <w:rsid w:val="001C4EDC"/>
    <w:rsid w:val="001C5D5C"/>
    <w:rsid w:val="001D1F54"/>
    <w:rsid w:val="001D2636"/>
    <w:rsid w:val="001D6FFF"/>
    <w:rsid w:val="001D770D"/>
    <w:rsid w:val="001E0F0C"/>
    <w:rsid w:val="001E2286"/>
    <w:rsid w:val="001E6413"/>
    <w:rsid w:val="001F1433"/>
    <w:rsid w:val="001F1862"/>
    <w:rsid w:val="001F56CE"/>
    <w:rsid w:val="001F6FD5"/>
    <w:rsid w:val="001F773D"/>
    <w:rsid w:val="00200222"/>
    <w:rsid w:val="0020062C"/>
    <w:rsid w:val="002037FC"/>
    <w:rsid w:val="00203BF4"/>
    <w:rsid w:val="002043D7"/>
    <w:rsid w:val="002049FA"/>
    <w:rsid w:val="00205D0D"/>
    <w:rsid w:val="00215520"/>
    <w:rsid w:val="0021590B"/>
    <w:rsid w:val="00215FAB"/>
    <w:rsid w:val="00221313"/>
    <w:rsid w:val="00224583"/>
    <w:rsid w:val="0022582C"/>
    <w:rsid w:val="00225BCA"/>
    <w:rsid w:val="00225C52"/>
    <w:rsid w:val="00226DC1"/>
    <w:rsid w:val="00227E12"/>
    <w:rsid w:val="00232374"/>
    <w:rsid w:val="002326F4"/>
    <w:rsid w:val="002328D2"/>
    <w:rsid w:val="00237481"/>
    <w:rsid w:val="00242666"/>
    <w:rsid w:val="00245A60"/>
    <w:rsid w:val="00245CD4"/>
    <w:rsid w:val="00247E02"/>
    <w:rsid w:val="00251418"/>
    <w:rsid w:val="00255669"/>
    <w:rsid w:val="00256F0A"/>
    <w:rsid w:val="00261903"/>
    <w:rsid w:val="00261FDB"/>
    <w:rsid w:val="00270828"/>
    <w:rsid w:val="002737D4"/>
    <w:rsid w:val="00274DCF"/>
    <w:rsid w:val="00276CC9"/>
    <w:rsid w:val="002776B9"/>
    <w:rsid w:val="00291154"/>
    <w:rsid w:val="00292D44"/>
    <w:rsid w:val="00293765"/>
    <w:rsid w:val="00293E9C"/>
    <w:rsid w:val="00295B97"/>
    <w:rsid w:val="002962DA"/>
    <w:rsid w:val="002A2F38"/>
    <w:rsid w:val="002A417C"/>
    <w:rsid w:val="002A48B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03B9"/>
    <w:rsid w:val="002D3FFF"/>
    <w:rsid w:val="002D4C38"/>
    <w:rsid w:val="002D5A51"/>
    <w:rsid w:val="002E01B5"/>
    <w:rsid w:val="002E44D6"/>
    <w:rsid w:val="002E459D"/>
    <w:rsid w:val="002E5473"/>
    <w:rsid w:val="002E62B0"/>
    <w:rsid w:val="002F32E6"/>
    <w:rsid w:val="002F63EB"/>
    <w:rsid w:val="00305834"/>
    <w:rsid w:val="00311562"/>
    <w:rsid w:val="003123CB"/>
    <w:rsid w:val="003165A9"/>
    <w:rsid w:val="0032154F"/>
    <w:rsid w:val="0032266E"/>
    <w:rsid w:val="003227CC"/>
    <w:rsid w:val="0032340F"/>
    <w:rsid w:val="00323A05"/>
    <w:rsid w:val="003262D8"/>
    <w:rsid w:val="00326919"/>
    <w:rsid w:val="00331ACB"/>
    <w:rsid w:val="00331C12"/>
    <w:rsid w:val="00333F1A"/>
    <w:rsid w:val="00340F46"/>
    <w:rsid w:val="00342F72"/>
    <w:rsid w:val="003505DD"/>
    <w:rsid w:val="00350A12"/>
    <w:rsid w:val="00350F5C"/>
    <w:rsid w:val="003527B4"/>
    <w:rsid w:val="00353D37"/>
    <w:rsid w:val="00360C81"/>
    <w:rsid w:val="00361E48"/>
    <w:rsid w:val="0036641A"/>
    <w:rsid w:val="00370548"/>
    <w:rsid w:val="00370CCB"/>
    <w:rsid w:val="00376574"/>
    <w:rsid w:val="00394949"/>
    <w:rsid w:val="00396061"/>
    <w:rsid w:val="003965BB"/>
    <w:rsid w:val="003A0DB7"/>
    <w:rsid w:val="003A7071"/>
    <w:rsid w:val="003B0516"/>
    <w:rsid w:val="003B2007"/>
    <w:rsid w:val="003B3C5F"/>
    <w:rsid w:val="003B3D68"/>
    <w:rsid w:val="003B6760"/>
    <w:rsid w:val="003C07C5"/>
    <w:rsid w:val="003C0E5B"/>
    <w:rsid w:val="003C0FF2"/>
    <w:rsid w:val="003C2647"/>
    <w:rsid w:val="003C3F66"/>
    <w:rsid w:val="003C4172"/>
    <w:rsid w:val="003C4D5B"/>
    <w:rsid w:val="003C5614"/>
    <w:rsid w:val="003D33F7"/>
    <w:rsid w:val="003D4576"/>
    <w:rsid w:val="003D4F68"/>
    <w:rsid w:val="003D5339"/>
    <w:rsid w:val="003D57BD"/>
    <w:rsid w:val="003D76E2"/>
    <w:rsid w:val="003E2757"/>
    <w:rsid w:val="003E5137"/>
    <w:rsid w:val="003E674F"/>
    <w:rsid w:val="003E692C"/>
    <w:rsid w:val="003F0159"/>
    <w:rsid w:val="003F2D36"/>
    <w:rsid w:val="003F510A"/>
    <w:rsid w:val="003F6382"/>
    <w:rsid w:val="0040019C"/>
    <w:rsid w:val="00400A1F"/>
    <w:rsid w:val="00403406"/>
    <w:rsid w:val="004047A6"/>
    <w:rsid w:val="004047B1"/>
    <w:rsid w:val="00405802"/>
    <w:rsid w:val="00405FD9"/>
    <w:rsid w:val="0040654F"/>
    <w:rsid w:val="00406DDB"/>
    <w:rsid w:val="00407760"/>
    <w:rsid w:val="004109E7"/>
    <w:rsid w:val="00413EA0"/>
    <w:rsid w:val="004146D0"/>
    <w:rsid w:val="00426ECD"/>
    <w:rsid w:val="00427161"/>
    <w:rsid w:val="004331B4"/>
    <w:rsid w:val="004415E2"/>
    <w:rsid w:val="00441E45"/>
    <w:rsid w:val="004429E2"/>
    <w:rsid w:val="004442D3"/>
    <w:rsid w:val="004511AE"/>
    <w:rsid w:val="00456E3C"/>
    <w:rsid w:val="00462B31"/>
    <w:rsid w:val="00463300"/>
    <w:rsid w:val="004646AF"/>
    <w:rsid w:val="0046631E"/>
    <w:rsid w:val="00467BE4"/>
    <w:rsid w:val="00470719"/>
    <w:rsid w:val="00472A79"/>
    <w:rsid w:val="00472E72"/>
    <w:rsid w:val="004734C7"/>
    <w:rsid w:val="004755C3"/>
    <w:rsid w:val="00477361"/>
    <w:rsid w:val="004904F9"/>
    <w:rsid w:val="00492ED3"/>
    <w:rsid w:val="0049347F"/>
    <w:rsid w:val="004971E8"/>
    <w:rsid w:val="004A46D9"/>
    <w:rsid w:val="004A5CD7"/>
    <w:rsid w:val="004B2250"/>
    <w:rsid w:val="004B344F"/>
    <w:rsid w:val="004B7248"/>
    <w:rsid w:val="004B72DD"/>
    <w:rsid w:val="004C1E12"/>
    <w:rsid w:val="004C2872"/>
    <w:rsid w:val="004C40E4"/>
    <w:rsid w:val="004D2E64"/>
    <w:rsid w:val="004D65FF"/>
    <w:rsid w:val="004D7AC0"/>
    <w:rsid w:val="004E0C44"/>
    <w:rsid w:val="004E114D"/>
    <w:rsid w:val="004E3304"/>
    <w:rsid w:val="004F2430"/>
    <w:rsid w:val="004F68A8"/>
    <w:rsid w:val="00502B04"/>
    <w:rsid w:val="00502C82"/>
    <w:rsid w:val="005030F7"/>
    <w:rsid w:val="00510903"/>
    <w:rsid w:val="00516FB9"/>
    <w:rsid w:val="005224FE"/>
    <w:rsid w:val="00530644"/>
    <w:rsid w:val="00531E0B"/>
    <w:rsid w:val="00533AA9"/>
    <w:rsid w:val="00533BF2"/>
    <w:rsid w:val="0053502B"/>
    <w:rsid w:val="0054010D"/>
    <w:rsid w:val="00542C6F"/>
    <w:rsid w:val="005445DD"/>
    <w:rsid w:val="00546842"/>
    <w:rsid w:val="005475DA"/>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946"/>
    <w:rsid w:val="005A755F"/>
    <w:rsid w:val="005B0E27"/>
    <w:rsid w:val="005B3012"/>
    <w:rsid w:val="005B5038"/>
    <w:rsid w:val="005C0363"/>
    <w:rsid w:val="005C0454"/>
    <w:rsid w:val="005C6297"/>
    <w:rsid w:val="005C7C47"/>
    <w:rsid w:val="005D55F5"/>
    <w:rsid w:val="005D621C"/>
    <w:rsid w:val="005D6E4D"/>
    <w:rsid w:val="005D76AC"/>
    <w:rsid w:val="005D7939"/>
    <w:rsid w:val="005E23CD"/>
    <w:rsid w:val="005E2C02"/>
    <w:rsid w:val="005E3426"/>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50DB1"/>
    <w:rsid w:val="006568C8"/>
    <w:rsid w:val="006604D8"/>
    <w:rsid w:val="00662436"/>
    <w:rsid w:val="006669FA"/>
    <w:rsid w:val="00666A72"/>
    <w:rsid w:val="00670347"/>
    <w:rsid w:val="00675177"/>
    <w:rsid w:val="00676CBB"/>
    <w:rsid w:val="00677979"/>
    <w:rsid w:val="00681B23"/>
    <w:rsid w:val="0068241A"/>
    <w:rsid w:val="006849A6"/>
    <w:rsid w:val="00687C49"/>
    <w:rsid w:val="0069051C"/>
    <w:rsid w:val="00691356"/>
    <w:rsid w:val="00693DE6"/>
    <w:rsid w:val="006967AE"/>
    <w:rsid w:val="006A1317"/>
    <w:rsid w:val="006A3A88"/>
    <w:rsid w:val="006A42C1"/>
    <w:rsid w:val="006A5AA8"/>
    <w:rsid w:val="006B106B"/>
    <w:rsid w:val="006B265F"/>
    <w:rsid w:val="006C4311"/>
    <w:rsid w:val="006C4ED2"/>
    <w:rsid w:val="006C6D04"/>
    <w:rsid w:val="006D32E3"/>
    <w:rsid w:val="006D4847"/>
    <w:rsid w:val="006D6086"/>
    <w:rsid w:val="006E0E88"/>
    <w:rsid w:val="006E3078"/>
    <w:rsid w:val="006E3F60"/>
    <w:rsid w:val="006E6434"/>
    <w:rsid w:val="006F1B2E"/>
    <w:rsid w:val="006F2BFD"/>
    <w:rsid w:val="006F3409"/>
    <w:rsid w:val="00700030"/>
    <w:rsid w:val="00701CBA"/>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088B"/>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02E2"/>
    <w:rsid w:val="008103DE"/>
    <w:rsid w:val="00812594"/>
    <w:rsid w:val="00813A00"/>
    <w:rsid w:val="00814E33"/>
    <w:rsid w:val="008159E1"/>
    <w:rsid w:val="008172B0"/>
    <w:rsid w:val="00822ED8"/>
    <w:rsid w:val="00824647"/>
    <w:rsid w:val="00824DCF"/>
    <w:rsid w:val="0082509A"/>
    <w:rsid w:val="00827B0E"/>
    <w:rsid w:val="008327B1"/>
    <w:rsid w:val="00833E27"/>
    <w:rsid w:val="00835925"/>
    <w:rsid w:val="00836740"/>
    <w:rsid w:val="00841374"/>
    <w:rsid w:val="0084226D"/>
    <w:rsid w:val="00842465"/>
    <w:rsid w:val="00842BDD"/>
    <w:rsid w:val="00842C71"/>
    <w:rsid w:val="00844B87"/>
    <w:rsid w:val="00847288"/>
    <w:rsid w:val="00847B19"/>
    <w:rsid w:val="0085096C"/>
    <w:rsid w:val="00855196"/>
    <w:rsid w:val="00855772"/>
    <w:rsid w:val="0086045C"/>
    <w:rsid w:val="008608BA"/>
    <w:rsid w:val="00861942"/>
    <w:rsid w:val="00862DC9"/>
    <w:rsid w:val="0086458A"/>
    <w:rsid w:val="008737C0"/>
    <w:rsid w:val="008745F7"/>
    <w:rsid w:val="00881E9B"/>
    <w:rsid w:val="0088219D"/>
    <w:rsid w:val="00882D7E"/>
    <w:rsid w:val="00883682"/>
    <w:rsid w:val="0088465F"/>
    <w:rsid w:val="00884879"/>
    <w:rsid w:val="008854AE"/>
    <w:rsid w:val="00886448"/>
    <w:rsid w:val="008927A3"/>
    <w:rsid w:val="008946BF"/>
    <w:rsid w:val="00895C48"/>
    <w:rsid w:val="00896F71"/>
    <w:rsid w:val="008A0B15"/>
    <w:rsid w:val="008A4C14"/>
    <w:rsid w:val="008A6537"/>
    <w:rsid w:val="008B2544"/>
    <w:rsid w:val="008B26C6"/>
    <w:rsid w:val="008B2708"/>
    <w:rsid w:val="008B47C5"/>
    <w:rsid w:val="008B66DD"/>
    <w:rsid w:val="008B7198"/>
    <w:rsid w:val="008B72DD"/>
    <w:rsid w:val="008C18DE"/>
    <w:rsid w:val="008C3E09"/>
    <w:rsid w:val="008C5DFD"/>
    <w:rsid w:val="008D2131"/>
    <w:rsid w:val="008D5213"/>
    <w:rsid w:val="008E0C2F"/>
    <w:rsid w:val="008E5076"/>
    <w:rsid w:val="008E679C"/>
    <w:rsid w:val="008E7C2A"/>
    <w:rsid w:val="008F1627"/>
    <w:rsid w:val="00900BFC"/>
    <w:rsid w:val="009011ED"/>
    <w:rsid w:val="009049FC"/>
    <w:rsid w:val="009109F5"/>
    <w:rsid w:val="00912E0E"/>
    <w:rsid w:val="00912F6B"/>
    <w:rsid w:val="00914265"/>
    <w:rsid w:val="009150E9"/>
    <w:rsid w:val="009173E7"/>
    <w:rsid w:val="009177FF"/>
    <w:rsid w:val="00931584"/>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659B"/>
    <w:rsid w:val="00986C7F"/>
    <w:rsid w:val="00987507"/>
    <w:rsid w:val="009954A1"/>
    <w:rsid w:val="009A3E0E"/>
    <w:rsid w:val="009B0E36"/>
    <w:rsid w:val="009B2ADD"/>
    <w:rsid w:val="009B37E5"/>
    <w:rsid w:val="009B70E7"/>
    <w:rsid w:val="009B72AB"/>
    <w:rsid w:val="009C1329"/>
    <w:rsid w:val="009C513E"/>
    <w:rsid w:val="009C574C"/>
    <w:rsid w:val="009C75E4"/>
    <w:rsid w:val="009D07F4"/>
    <w:rsid w:val="009D1CA2"/>
    <w:rsid w:val="009D2CD0"/>
    <w:rsid w:val="009D388E"/>
    <w:rsid w:val="009D5CC6"/>
    <w:rsid w:val="009E30B4"/>
    <w:rsid w:val="009E4E92"/>
    <w:rsid w:val="009E6BA2"/>
    <w:rsid w:val="009E70A3"/>
    <w:rsid w:val="009E7942"/>
    <w:rsid w:val="009F39C6"/>
    <w:rsid w:val="009F3BC5"/>
    <w:rsid w:val="009F4EF7"/>
    <w:rsid w:val="009F5F78"/>
    <w:rsid w:val="009F706B"/>
    <w:rsid w:val="00A00F37"/>
    <w:rsid w:val="00A0410F"/>
    <w:rsid w:val="00A048E9"/>
    <w:rsid w:val="00A049D5"/>
    <w:rsid w:val="00A06E9E"/>
    <w:rsid w:val="00A10A98"/>
    <w:rsid w:val="00A20E9D"/>
    <w:rsid w:val="00A23F52"/>
    <w:rsid w:val="00A26217"/>
    <w:rsid w:val="00A30792"/>
    <w:rsid w:val="00A30B84"/>
    <w:rsid w:val="00A3344B"/>
    <w:rsid w:val="00A367AA"/>
    <w:rsid w:val="00A37880"/>
    <w:rsid w:val="00A45EC3"/>
    <w:rsid w:val="00A46122"/>
    <w:rsid w:val="00A47CF5"/>
    <w:rsid w:val="00A51F03"/>
    <w:rsid w:val="00A51F67"/>
    <w:rsid w:val="00A522D4"/>
    <w:rsid w:val="00A5507B"/>
    <w:rsid w:val="00A61524"/>
    <w:rsid w:val="00A62F57"/>
    <w:rsid w:val="00A63413"/>
    <w:rsid w:val="00A6556C"/>
    <w:rsid w:val="00A659B5"/>
    <w:rsid w:val="00A661BB"/>
    <w:rsid w:val="00A720CF"/>
    <w:rsid w:val="00A743EB"/>
    <w:rsid w:val="00A74B4C"/>
    <w:rsid w:val="00A763E7"/>
    <w:rsid w:val="00A827D2"/>
    <w:rsid w:val="00A847C3"/>
    <w:rsid w:val="00A86E2C"/>
    <w:rsid w:val="00A9462E"/>
    <w:rsid w:val="00A94E45"/>
    <w:rsid w:val="00AA05F8"/>
    <w:rsid w:val="00AA22BE"/>
    <w:rsid w:val="00AA5C1D"/>
    <w:rsid w:val="00AA5C61"/>
    <w:rsid w:val="00AA69BF"/>
    <w:rsid w:val="00AA7DA3"/>
    <w:rsid w:val="00AB0B62"/>
    <w:rsid w:val="00AB20C0"/>
    <w:rsid w:val="00AB3045"/>
    <w:rsid w:val="00AB4D68"/>
    <w:rsid w:val="00AB5E6A"/>
    <w:rsid w:val="00AB72EB"/>
    <w:rsid w:val="00AC567A"/>
    <w:rsid w:val="00AC7690"/>
    <w:rsid w:val="00AC7942"/>
    <w:rsid w:val="00AD1524"/>
    <w:rsid w:val="00AD3DB1"/>
    <w:rsid w:val="00AD6708"/>
    <w:rsid w:val="00AD75EB"/>
    <w:rsid w:val="00AE0A52"/>
    <w:rsid w:val="00AE2E3C"/>
    <w:rsid w:val="00AE4F16"/>
    <w:rsid w:val="00AF10D4"/>
    <w:rsid w:val="00AF1233"/>
    <w:rsid w:val="00AF2C37"/>
    <w:rsid w:val="00AF45AD"/>
    <w:rsid w:val="00AF4F10"/>
    <w:rsid w:val="00AF5A72"/>
    <w:rsid w:val="00B00DCF"/>
    <w:rsid w:val="00B0229E"/>
    <w:rsid w:val="00B02467"/>
    <w:rsid w:val="00B0753C"/>
    <w:rsid w:val="00B10934"/>
    <w:rsid w:val="00B11964"/>
    <w:rsid w:val="00B13B9C"/>
    <w:rsid w:val="00B1403C"/>
    <w:rsid w:val="00B24B60"/>
    <w:rsid w:val="00B24C28"/>
    <w:rsid w:val="00B2754C"/>
    <w:rsid w:val="00B30118"/>
    <w:rsid w:val="00B339AC"/>
    <w:rsid w:val="00B34E93"/>
    <w:rsid w:val="00B35908"/>
    <w:rsid w:val="00B40093"/>
    <w:rsid w:val="00B40158"/>
    <w:rsid w:val="00B41E79"/>
    <w:rsid w:val="00B42E2F"/>
    <w:rsid w:val="00B42F7B"/>
    <w:rsid w:val="00B4330A"/>
    <w:rsid w:val="00B44BB9"/>
    <w:rsid w:val="00B44E37"/>
    <w:rsid w:val="00B4522B"/>
    <w:rsid w:val="00B51AF6"/>
    <w:rsid w:val="00B51B20"/>
    <w:rsid w:val="00B51EBC"/>
    <w:rsid w:val="00B5317E"/>
    <w:rsid w:val="00B53791"/>
    <w:rsid w:val="00B539C0"/>
    <w:rsid w:val="00B53E01"/>
    <w:rsid w:val="00B54D49"/>
    <w:rsid w:val="00B555B3"/>
    <w:rsid w:val="00B56041"/>
    <w:rsid w:val="00B61819"/>
    <w:rsid w:val="00B62D22"/>
    <w:rsid w:val="00B6406F"/>
    <w:rsid w:val="00B656FE"/>
    <w:rsid w:val="00B67EDA"/>
    <w:rsid w:val="00B73746"/>
    <w:rsid w:val="00B7530C"/>
    <w:rsid w:val="00B76922"/>
    <w:rsid w:val="00B77513"/>
    <w:rsid w:val="00B77F1B"/>
    <w:rsid w:val="00B81D0F"/>
    <w:rsid w:val="00B83A51"/>
    <w:rsid w:val="00B83E7B"/>
    <w:rsid w:val="00B85573"/>
    <w:rsid w:val="00B876EC"/>
    <w:rsid w:val="00B90D85"/>
    <w:rsid w:val="00B92B86"/>
    <w:rsid w:val="00B9776A"/>
    <w:rsid w:val="00B97AA6"/>
    <w:rsid w:val="00BA051D"/>
    <w:rsid w:val="00BA494E"/>
    <w:rsid w:val="00BA579D"/>
    <w:rsid w:val="00BB054C"/>
    <w:rsid w:val="00BB1EE2"/>
    <w:rsid w:val="00BB37C1"/>
    <w:rsid w:val="00BB3A55"/>
    <w:rsid w:val="00BB3AF7"/>
    <w:rsid w:val="00BB739D"/>
    <w:rsid w:val="00BC1767"/>
    <w:rsid w:val="00BC29C8"/>
    <w:rsid w:val="00BC3670"/>
    <w:rsid w:val="00BC375B"/>
    <w:rsid w:val="00BC3FCE"/>
    <w:rsid w:val="00BC41D9"/>
    <w:rsid w:val="00BD00EB"/>
    <w:rsid w:val="00BD1E0C"/>
    <w:rsid w:val="00BD436C"/>
    <w:rsid w:val="00BD4DBF"/>
    <w:rsid w:val="00BD6E79"/>
    <w:rsid w:val="00BD7550"/>
    <w:rsid w:val="00BD7A8C"/>
    <w:rsid w:val="00BE12B3"/>
    <w:rsid w:val="00BE40C9"/>
    <w:rsid w:val="00BE5754"/>
    <w:rsid w:val="00BE6D5A"/>
    <w:rsid w:val="00BF27C9"/>
    <w:rsid w:val="00BF6653"/>
    <w:rsid w:val="00C005B2"/>
    <w:rsid w:val="00C00B1F"/>
    <w:rsid w:val="00C0119D"/>
    <w:rsid w:val="00C10C77"/>
    <w:rsid w:val="00C23683"/>
    <w:rsid w:val="00C259DF"/>
    <w:rsid w:val="00C25DB3"/>
    <w:rsid w:val="00C331A1"/>
    <w:rsid w:val="00C34B35"/>
    <w:rsid w:val="00C37AC2"/>
    <w:rsid w:val="00C437AB"/>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1127"/>
    <w:rsid w:val="00CA3848"/>
    <w:rsid w:val="00CA684E"/>
    <w:rsid w:val="00CA685D"/>
    <w:rsid w:val="00CA6928"/>
    <w:rsid w:val="00CA7D13"/>
    <w:rsid w:val="00CB0CBA"/>
    <w:rsid w:val="00CB1215"/>
    <w:rsid w:val="00CB1D03"/>
    <w:rsid w:val="00CB2A8A"/>
    <w:rsid w:val="00CB3335"/>
    <w:rsid w:val="00CB3574"/>
    <w:rsid w:val="00CB4448"/>
    <w:rsid w:val="00CB6509"/>
    <w:rsid w:val="00CC25F9"/>
    <w:rsid w:val="00CC521C"/>
    <w:rsid w:val="00CD1982"/>
    <w:rsid w:val="00CD7E1B"/>
    <w:rsid w:val="00CD7F66"/>
    <w:rsid w:val="00CE0EA4"/>
    <w:rsid w:val="00CE23CC"/>
    <w:rsid w:val="00CE48CB"/>
    <w:rsid w:val="00CE5EA1"/>
    <w:rsid w:val="00CE7111"/>
    <w:rsid w:val="00CF2F88"/>
    <w:rsid w:val="00CF3D01"/>
    <w:rsid w:val="00CF5AC7"/>
    <w:rsid w:val="00CF7381"/>
    <w:rsid w:val="00CF7F58"/>
    <w:rsid w:val="00D0023B"/>
    <w:rsid w:val="00D007F3"/>
    <w:rsid w:val="00D00BF8"/>
    <w:rsid w:val="00D014A8"/>
    <w:rsid w:val="00D01E10"/>
    <w:rsid w:val="00D0461E"/>
    <w:rsid w:val="00D04678"/>
    <w:rsid w:val="00D13F40"/>
    <w:rsid w:val="00D145C1"/>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0F4B"/>
    <w:rsid w:val="00D761CD"/>
    <w:rsid w:val="00D76363"/>
    <w:rsid w:val="00D80558"/>
    <w:rsid w:val="00D80C88"/>
    <w:rsid w:val="00D8145F"/>
    <w:rsid w:val="00D82C3A"/>
    <w:rsid w:val="00D84FBD"/>
    <w:rsid w:val="00D85838"/>
    <w:rsid w:val="00D85D67"/>
    <w:rsid w:val="00D86432"/>
    <w:rsid w:val="00D91EA9"/>
    <w:rsid w:val="00D92EBC"/>
    <w:rsid w:val="00D944B2"/>
    <w:rsid w:val="00D979E8"/>
    <w:rsid w:val="00DA2D88"/>
    <w:rsid w:val="00DA608B"/>
    <w:rsid w:val="00DB2B61"/>
    <w:rsid w:val="00DB34D6"/>
    <w:rsid w:val="00DB5B6E"/>
    <w:rsid w:val="00DB6D98"/>
    <w:rsid w:val="00DC057E"/>
    <w:rsid w:val="00DC097D"/>
    <w:rsid w:val="00DC17CF"/>
    <w:rsid w:val="00DC28F0"/>
    <w:rsid w:val="00DC3563"/>
    <w:rsid w:val="00DC53E9"/>
    <w:rsid w:val="00DD23A2"/>
    <w:rsid w:val="00DD2512"/>
    <w:rsid w:val="00DD289C"/>
    <w:rsid w:val="00DD53BD"/>
    <w:rsid w:val="00DE010C"/>
    <w:rsid w:val="00DE308B"/>
    <w:rsid w:val="00DE3CA7"/>
    <w:rsid w:val="00DE65D0"/>
    <w:rsid w:val="00DE78E2"/>
    <w:rsid w:val="00DF25DF"/>
    <w:rsid w:val="00DF2640"/>
    <w:rsid w:val="00DF2B94"/>
    <w:rsid w:val="00DF349B"/>
    <w:rsid w:val="00DF3AB4"/>
    <w:rsid w:val="00DF3AB5"/>
    <w:rsid w:val="00DF590D"/>
    <w:rsid w:val="00E00CD3"/>
    <w:rsid w:val="00E02E1A"/>
    <w:rsid w:val="00E060CF"/>
    <w:rsid w:val="00E0620E"/>
    <w:rsid w:val="00E06456"/>
    <w:rsid w:val="00E074E2"/>
    <w:rsid w:val="00E119DF"/>
    <w:rsid w:val="00E11C18"/>
    <w:rsid w:val="00E15330"/>
    <w:rsid w:val="00E20579"/>
    <w:rsid w:val="00E207F0"/>
    <w:rsid w:val="00E20FC5"/>
    <w:rsid w:val="00E211D9"/>
    <w:rsid w:val="00E21482"/>
    <w:rsid w:val="00E227B2"/>
    <w:rsid w:val="00E24CDF"/>
    <w:rsid w:val="00E26F29"/>
    <w:rsid w:val="00E302BC"/>
    <w:rsid w:val="00E31954"/>
    <w:rsid w:val="00E33923"/>
    <w:rsid w:val="00E33D03"/>
    <w:rsid w:val="00E34279"/>
    <w:rsid w:val="00E36007"/>
    <w:rsid w:val="00E36EA1"/>
    <w:rsid w:val="00E4196E"/>
    <w:rsid w:val="00E4355F"/>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6232"/>
    <w:rsid w:val="00E87122"/>
    <w:rsid w:val="00E9792C"/>
    <w:rsid w:val="00EA1181"/>
    <w:rsid w:val="00EA144E"/>
    <w:rsid w:val="00EA2799"/>
    <w:rsid w:val="00EA2EC0"/>
    <w:rsid w:val="00EA403A"/>
    <w:rsid w:val="00EA74E6"/>
    <w:rsid w:val="00EA76FF"/>
    <w:rsid w:val="00EB051C"/>
    <w:rsid w:val="00EC533C"/>
    <w:rsid w:val="00EC6B43"/>
    <w:rsid w:val="00EC7156"/>
    <w:rsid w:val="00EC78C3"/>
    <w:rsid w:val="00EC79EC"/>
    <w:rsid w:val="00ED20B6"/>
    <w:rsid w:val="00ED2A6A"/>
    <w:rsid w:val="00ED377B"/>
    <w:rsid w:val="00ED441B"/>
    <w:rsid w:val="00ED7BC2"/>
    <w:rsid w:val="00EE1E04"/>
    <w:rsid w:val="00EE744F"/>
    <w:rsid w:val="00EE7F61"/>
    <w:rsid w:val="00EF0853"/>
    <w:rsid w:val="00EF6631"/>
    <w:rsid w:val="00EF688F"/>
    <w:rsid w:val="00F00603"/>
    <w:rsid w:val="00F0060E"/>
    <w:rsid w:val="00F01CF2"/>
    <w:rsid w:val="00F01E91"/>
    <w:rsid w:val="00F03155"/>
    <w:rsid w:val="00F03950"/>
    <w:rsid w:val="00F049D6"/>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1327"/>
    <w:rsid w:val="00F545CF"/>
    <w:rsid w:val="00F63F2A"/>
    <w:rsid w:val="00F646EF"/>
    <w:rsid w:val="00F71666"/>
    <w:rsid w:val="00F72D85"/>
    <w:rsid w:val="00F804C6"/>
    <w:rsid w:val="00F80F3B"/>
    <w:rsid w:val="00F841DB"/>
    <w:rsid w:val="00F856AC"/>
    <w:rsid w:val="00F86531"/>
    <w:rsid w:val="00F86EB5"/>
    <w:rsid w:val="00F86F23"/>
    <w:rsid w:val="00F916E1"/>
    <w:rsid w:val="00F929FB"/>
    <w:rsid w:val="00F941D5"/>
    <w:rsid w:val="00F946E1"/>
    <w:rsid w:val="00F94A84"/>
    <w:rsid w:val="00F9553E"/>
    <w:rsid w:val="00F95D18"/>
    <w:rsid w:val="00FA0183"/>
    <w:rsid w:val="00FA0704"/>
    <w:rsid w:val="00FA0D13"/>
    <w:rsid w:val="00FB044B"/>
    <w:rsid w:val="00FB1C7A"/>
    <w:rsid w:val="00FB24BA"/>
    <w:rsid w:val="00FB55E3"/>
    <w:rsid w:val="00FD3685"/>
    <w:rsid w:val="00FD3A69"/>
    <w:rsid w:val="00FD3EB9"/>
    <w:rsid w:val="00FE044C"/>
    <w:rsid w:val="00FE68B2"/>
    <w:rsid w:val="00FE7250"/>
    <w:rsid w:val="00FF16D1"/>
    <w:rsid w:val="00FF24B5"/>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576"/>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hr-H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hr/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Silvia.Staffa@eesc.europa.eu" TargetMode="External"/><Relationship Id="rId39" Type="http://schemas.openxmlformats.org/officeDocument/2006/relationships/customXml" Target="../customXml/item2.xml"/><Relationship Id="rId21" Type="http://schemas.openxmlformats.org/officeDocument/2006/relationships/hyperlink" Target="mailto:Colombe.Gregoire@eesc.europa.eu"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Marco.Manfroni@eesc.europa.eu" TargetMode="External"/><Relationship Id="rId33" Type="http://schemas.openxmlformats.org/officeDocument/2006/relationships/footer" Target="footer5.xml"/><Relationship Id="rId38"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Gaia.Bottoni@eesc.europa.eu" TargetMode="External"/><Relationship Id="rId41" Type="http://schemas.openxmlformats.org/officeDocument/2006/relationships/customXml" Target="../customXml/item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3.xml"/><Relationship Id="rId15" Type="http://schemas.openxmlformats.org/officeDocument/2006/relationships/header" Target="header1.xml"/><Relationship Id="rId23" Type="http://schemas.openxmlformats.org/officeDocument/2006/relationships/hyperlink" Target="mailto:Triin.Aasmaa@eesc.europa.eu" TargetMode="External"/><Relationship Id="rId28" Type="http://schemas.openxmlformats.org/officeDocument/2006/relationships/hyperlink" Target="mailto:Gaia.Bottoni@eesc.europa.e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Gaia.Bottoni@eesc.europa.eu"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XMKEDVFMMJCW-1266005036-5840</_dlc_DocId>
    <_dlc_DocIdUrl xmlns="56a5413d-c261-4a00-870c-a20d3379ae6d">
      <Url>http://dm2016/eesc/2023/_layouts/15/DocIdRedir.aspx?ID=XMKEDVFMMJCW-1266005036-5840</Url>
      <Description>XMKEDVFMMJCW-1266005036-5840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2023-03-14T12:00:00+00:00</ProductionDate>
    <DocumentNumber xmlns="8759b006-28ee-44c8-b138-16f6ad18758c">570</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2023-03-22T12:00:00+00:00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2006</FicheNumber>
    <OriginalSender xmlns="56a5413d-c261-4a00-870c-a20d3379ae6d">
      <UserInfo>
        <DisplayName>Knezovic Zrinka</DisplayName>
        <AccountId>1643</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577</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983333D-5E5F-455B-BA35-9A2C8484E4A5}"/>
</file>

<file path=customXml/itemProps2.xml><?xml version="1.0" encoding="utf-8"?>
<ds:datastoreItem xmlns:ds="http://schemas.openxmlformats.org/officeDocument/2006/customXml" ds:itemID="{BC1CFF4A-D9D7-4CDB-BFCC-55CC984D7A37}"/>
</file>

<file path=customXml/itemProps3.xml><?xml version="1.0" encoding="utf-8"?>
<ds:datastoreItem xmlns:ds="http://schemas.openxmlformats.org/officeDocument/2006/customXml" ds:itemID="{0E9B294A-2F68-4AE2-9226-36315EB0EE6E}"/>
</file>

<file path=customXml/itemProps4.xml><?xml version="1.0" encoding="utf-8"?>
<ds:datastoreItem xmlns:ds="http://schemas.openxmlformats.org/officeDocument/2006/customXml" ds:itemID="{AAEB5085-C1EB-4474-B8F7-FCFB508FA4A8}"/>
</file>

<file path=docProps/app.xml><?xml version="1.0" encoding="utf-8"?>
<Properties xmlns="http://schemas.openxmlformats.org/officeDocument/2006/extended-properties" xmlns:vt="http://schemas.openxmlformats.org/officeDocument/2006/docPropsVTypes">
  <Template>Normal.dotm</Template>
  <TotalTime>0</TotalTime>
  <Pages>13</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Summary of opinions December plenary 2022</vt:lpstr>
    </vt:vector>
  </TitlesOfParts>
  <Company>CESE-CdR</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Sažetak usvojenih mišljenja na plenarnom zasjedanju u veljači 2023.</dc:title>
  <dc:subject>TCD</dc:subject>
  <dc:creator>Nieddu Emma</dc:creator>
  <cp:keywords>EESC-2023-00570-00-00-TCD-TRA-EN</cp:keywords>
  <dc:description>Rapporteur:  - Original language: EN - Date of document: 14/03/2023 - Date of meeting: 30/22/2023 14:30 - External documents:  - Administrator: Mme DAMYANOVA-KERESTELIEVA Ani Alexieva</dc:description>
  <cp:lastModifiedBy>Knezovic Zrinka</cp:lastModifiedBy>
  <cp:revision>12</cp:revision>
  <cp:lastPrinted>2022-12-02T08:55:00Z</cp:lastPrinted>
  <dcterms:created xsi:type="dcterms:W3CDTF">2023-03-14T10:10:00Z</dcterms:created>
  <dcterms:modified xsi:type="dcterms:W3CDTF">2023-03-14T13:52:00Z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07/03/2023, 11/01/2023, 10/01/2023, 29/03/2022, 04/03/2022, 15/12/2021, 13/09/2021, 03/09/2021, 28/06/2021</vt:lpwstr>
  </property>
  <property fmtid="{D5CDD505-2E9C-101B-9397-08002B2CF9AE}" pid="4" name="Pref_Time">
    <vt:lpwstr>10:27:54, 10:12:15, 11:41:25, 14:21:50, 16:54:06, 17:56:36, 14:13:00, 10:08:10, 08:41:48</vt:lpwstr>
  </property>
  <property fmtid="{D5CDD505-2E9C-101B-9397-08002B2CF9AE}" pid="5" name="Pref_User">
    <vt:lpwstr>enied, pacup, enied, jhvi, enied, hnic, amett, enied, enied</vt:lpwstr>
  </property>
  <property fmtid="{D5CDD505-2E9C-101B-9397-08002B2CF9AE}" pid="6" name="Pref_FileName">
    <vt:lpwstr>EESC-2023-00570-00-00-TCD-ORI.docx, EESC-2022-05401-00-01-TCD-TRA.docx, EESC-2022-05401-00-00-TCD-ORI.docx, EESC-2022-01223-00-00-TCD-ORI.docx, EESC-2022-00391-00-00-TCD-ORI.docx, EESC-2021-05445-00-00-TCD-ORI.docx, EESC-2021-03366-00-01-TCD-ORI.docx, EES</vt:lpwstr>
  </property>
  <property fmtid="{D5CDD505-2E9C-101B-9397-08002B2CF9AE}" pid="7" name="ContentTypeId">
    <vt:lpwstr>0x010100EA97B91038054C99906057A708A1480A00CDB38A89627FC8409102604566BFD4EB</vt:lpwstr>
  </property>
  <property fmtid="{D5CDD505-2E9C-101B-9397-08002B2CF9AE}" pid="8" name="_dlc_DocIdItemGuid">
    <vt:lpwstr>3dda1221-3f69-411b-b769-752ff7a93066</vt:lpwstr>
  </property>
  <property fmtid="{D5CDD505-2E9C-101B-9397-08002B2CF9AE}" pid="9" name="AvailableTranslations">
    <vt:lpwstr>37;#CS|72f9705b-0217-4fd3-bea2-cbc7ed80e26e;#44;#BG|1a1b3951-7821-4e6a-85f5-5673fc08bd2c;#10;#FR|d2afafd3-4c81-4f60-8f52-ee33f2f54ff3;#5;#EN|f2175f21-25d7-44a3-96da-d6a61b075e1b;#16;#DE|f6b31e5a-26fa-4935-b661-318e46daf27e;#30;#IT|0774613c-01ed-4e5d-a25d-11d2388de825;#41;#HU|6b229040-c589-4408-b4c1-4285663d20a8;#46;#HR|2f555653-ed1a-4fe6-8362-9082d95989e5;#38;#EL|6d4f4d51-af9b-4650-94b4-4276bee85c91;#24;#PL|1e03da61-4678-4e07-b136-b5024ca9197b;#40;#RO|feb747a2-64cd-4299-af12-4833ddc30497;#34;#SK|46d9fce0-ef79-4f71-b89b-cd6aa82426b8;#35;#SL|98a412ae-eb01-49e9-ae3d-585a81724cfc;#42;#FI|87606a43-d45f-42d6-b8c9-e1a3457db5b7;#32;#PT|50ccc04a-eadd-42ae-a0cb-acaf45f812ba;#33;#LV|46f7e311-5d9f-4663-b433-18aeccb7ace7;#31;#NL|55c6556c-b4f4-441d-9acf-c498d4f838bd;#21;#SV|c2ed69e7-a339-43d7-8f22-d93680a92aa0;#39;#LT|a7ff5ce7-6123-4f68-865a-a57c31810414;#25;#ES|e7a6b05b-ae16-40c8-add9-68b64b03aeba;#43;#DA|5d49c027-8956-412b-aa16-e85a0f96ad0e;#45;#ET|ff6c3f4c-b02c-4c3c-ab07-2c37995a7a0a</vt:lpwstr>
  </property>
  <property fmtid="{D5CDD505-2E9C-101B-9397-08002B2CF9AE}" pid="10" name="DocumentType_0">
    <vt:lpwstr>TCD|cd9d6eb6-3f4f-424a-b2d1-57c9d450eaaf</vt:lpwstr>
  </property>
  <property fmtid="{D5CDD505-2E9C-101B-9397-08002B2CF9AE}" pid="11" name="MeetingNumber">
    <vt:i4>577</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570</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2023-03-22T12:00:00Z</vt:filetime>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Unrestricted|826e22d7-d029-4ec0-a450-0c28ff673572;#59;#SPL-CES|32d8cb1f-c9ec-4365-95c7-8385a18618ac;#7;#Final|ea5e6674-7b27-4bac-b091-73adbb394efe;#5;#EN|f2175f21-25d7-44a3-96da-d6a61b075e1b;#3;#TRA|150d2a88-1431-44e6-a8ca-0bb753ab8672;#1;#EESC|422833ec-8d7e-4e65-8e4e-8bed07ffb729;#8;#TCD|cd9d6eb6-3f4f-424a-b2d1-57c9d450eaaf</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2006</vt:i4>
  </property>
  <property fmtid="{D5CDD505-2E9C-101B-9397-08002B2CF9AE}" pid="37" name="DocumentLanguage">
    <vt:lpwstr>46;#HR|2f555653-ed1a-4fe6-8362-9082d95989e5</vt:lpwstr>
  </property>
  <property fmtid="{D5CDD505-2E9C-101B-9397-08002B2CF9AE}" pid="38" name="_docset_NoMedatataSyncRequired">
    <vt:lpwstr>False</vt:lpwstr>
  </property>
</Properties>
</file>