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3"/>
      </w:tblGrid>
      <w:tr w:rsidR="00574C9B" w:rsidRPr="00E36037" w14:paraId="4B18B74B" w14:textId="77777777" w:rsidTr="008E4CC5">
        <w:trPr>
          <w:jc w:val="center"/>
        </w:trPr>
        <w:tc>
          <w:tcPr>
            <w:tcW w:w="5000" w:type="pct"/>
            <w:vAlign w:val="center"/>
          </w:tcPr>
          <w:p w14:paraId="4B8F14AB" w14:textId="2BDDAF8C" w:rsidR="00574C9B" w:rsidRPr="00E36037" w:rsidRDefault="002601C2" w:rsidP="006125A1">
            <w:pPr>
              <w:jc w:val="center"/>
              <w:rPr>
                <w:b/>
                <w:sz w:val="72"/>
                <w:szCs w:val="72"/>
              </w:rPr>
            </w:pPr>
            <w:r>
              <w:rPr>
                <w:b/>
                <w:sz w:val="72"/>
              </w:rPr>
              <w:t>REZOLŪCIJA</w:t>
            </w:r>
          </w:p>
        </w:tc>
      </w:tr>
      <w:tr w:rsidR="00574C9B" w:rsidRPr="00E36037" w14:paraId="428F80C1" w14:textId="77777777" w:rsidTr="008E4CC5">
        <w:trPr>
          <w:trHeight w:val="567"/>
          <w:jc w:val="center"/>
        </w:trPr>
        <w:tc>
          <w:tcPr>
            <w:tcW w:w="5000" w:type="pct"/>
            <w:vAlign w:val="center"/>
          </w:tcPr>
          <w:p w14:paraId="0E3C838D" w14:textId="77777777" w:rsidR="00574C9B" w:rsidRPr="00E36037" w:rsidRDefault="00574C9B" w:rsidP="006125A1">
            <w:pPr>
              <w:jc w:val="center"/>
              <w:rPr>
                <w:sz w:val="24"/>
                <w:szCs w:val="24"/>
              </w:rPr>
            </w:pPr>
            <w:r>
              <w:rPr>
                <w:sz w:val="24"/>
              </w:rPr>
              <w:t>Eiropas Ekonomikas un sociālo lietu komiteja</w:t>
            </w:r>
          </w:p>
        </w:tc>
      </w:tr>
      <w:tr w:rsidR="00574C9B" w:rsidRPr="00E36037" w14:paraId="5FCA7EB1" w14:textId="77777777" w:rsidTr="008E4CC5">
        <w:trPr>
          <w:jc w:val="center"/>
        </w:trPr>
        <w:tc>
          <w:tcPr>
            <w:tcW w:w="5000" w:type="pct"/>
            <w:vAlign w:val="center"/>
          </w:tcPr>
          <w:p w14:paraId="164B3F5D" w14:textId="0E95250D" w:rsidR="00574C9B" w:rsidRPr="00E36037" w:rsidRDefault="002601C2" w:rsidP="006125A1">
            <w:pPr>
              <w:jc w:val="center"/>
              <w:rPr>
                <w:b/>
                <w:sz w:val="44"/>
                <w:szCs w:val="44"/>
              </w:rPr>
            </w:pPr>
            <w:r>
              <w:rPr>
                <w:b/>
                <w:sz w:val="44"/>
              </w:rPr>
              <w:t>Ilglaicīgais Eiropas Jaunatnes gada mantojums: jaunatnes aspekta integrēšana un jaunatnes spēcināšana</w:t>
            </w:r>
          </w:p>
        </w:tc>
      </w:tr>
      <w:tr w:rsidR="00574C9B" w:rsidRPr="00E36037" w14:paraId="0A2CA787" w14:textId="77777777" w:rsidTr="008E4CC5">
        <w:trPr>
          <w:jc w:val="center"/>
        </w:trPr>
        <w:tc>
          <w:tcPr>
            <w:tcW w:w="5000" w:type="pct"/>
            <w:vAlign w:val="center"/>
          </w:tcPr>
          <w:p w14:paraId="766B3712" w14:textId="77777777" w:rsidR="00574C9B" w:rsidRPr="00E36037" w:rsidRDefault="00574C9B" w:rsidP="006125A1">
            <w:pPr>
              <w:overflowPunct w:val="0"/>
              <w:autoSpaceDE w:val="0"/>
              <w:autoSpaceDN w:val="0"/>
              <w:adjustRightInd w:val="0"/>
              <w:jc w:val="center"/>
              <w:textAlignment w:val="baseline"/>
              <w:rPr>
                <w:b/>
                <w:position w:val="24"/>
                <w:sz w:val="24"/>
                <w:szCs w:val="24"/>
              </w:rPr>
            </w:pPr>
            <w:r>
              <w:rPr>
                <w:sz w:val="24"/>
              </w:rPr>
              <w:t>_____________</w:t>
            </w:r>
          </w:p>
        </w:tc>
      </w:tr>
      <w:tr w:rsidR="00574C9B" w:rsidRPr="00E36037" w14:paraId="651BE820" w14:textId="77777777" w:rsidTr="008E4CC5">
        <w:trPr>
          <w:jc w:val="center"/>
        </w:trPr>
        <w:tc>
          <w:tcPr>
            <w:tcW w:w="5000" w:type="pct"/>
            <w:vAlign w:val="center"/>
          </w:tcPr>
          <w:p w14:paraId="6E238E6D" w14:textId="451D142C" w:rsidR="00574C9B" w:rsidRPr="00E36037" w:rsidRDefault="00D87838" w:rsidP="006125A1">
            <w:pPr>
              <w:jc w:val="center"/>
              <w:rPr>
                <w:sz w:val="24"/>
                <w:szCs w:val="24"/>
              </w:rPr>
            </w:pPr>
            <w:r>
              <w:rPr>
                <w:sz w:val="24"/>
              </w:rPr>
              <w:t>Ilglaicīgais Eiropas Jaunatnes gada mantojums: jaunatnes aspekta integrēšana un jaunatnes spēcināšana</w:t>
            </w:r>
          </w:p>
        </w:tc>
      </w:tr>
      <w:tr w:rsidR="00574C9B" w:rsidRPr="00E36037" w14:paraId="2110FDEB" w14:textId="77777777" w:rsidTr="008E4CC5">
        <w:trPr>
          <w:jc w:val="center"/>
        </w:trPr>
        <w:tc>
          <w:tcPr>
            <w:tcW w:w="5000" w:type="pct"/>
            <w:vAlign w:val="center"/>
          </w:tcPr>
          <w:p w14:paraId="59F181E4" w14:textId="77777777" w:rsidR="00574C9B" w:rsidRPr="00E36037" w:rsidRDefault="00574C9B" w:rsidP="006125A1">
            <w:pPr>
              <w:jc w:val="center"/>
              <w:rPr>
                <w:sz w:val="24"/>
                <w:szCs w:val="24"/>
                <w:lang w:val="en-GB"/>
              </w:rPr>
            </w:pPr>
          </w:p>
        </w:tc>
      </w:tr>
      <w:tr w:rsidR="00497E52" w:rsidRPr="00E36037" w14:paraId="5DF7EBEA" w14:textId="77777777" w:rsidTr="00372D18">
        <w:trPr>
          <w:jc w:val="center"/>
        </w:trPr>
        <w:tc>
          <w:tcPr>
            <w:tcW w:w="5000" w:type="pct"/>
          </w:tcPr>
          <w:p w14:paraId="6AC129C5" w14:textId="3B3BAB29" w:rsidR="00497E52" w:rsidRPr="00E36037" w:rsidRDefault="00497E52" w:rsidP="00497E52">
            <w:pPr>
              <w:jc w:val="center"/>
            </w:pPr>
            <w:r>
              <w:rPr>
                <w:b/>
              </w:rPr>
              <w:t>ierosinājis</w:t>
            </w:r>
            <w:r>
              <w:t xml:space="preserve"> </w:t>
            </w:r>
            <w:r>
              <w:rPr>
                <w:i/>
                <w:iCs/>
              </w:rPr>
              <w:t>SOC</w:t>
            </w:r>
            <w:r>
              <w:t xml:space="preserve"> specializētās nodaļas priekšsēdētājs </w:t>
            </w:r>
            <w:r>
              <w:rPr>
                <w:b/>
                <w:bCs/>
                <w:i/>
                <w:iCs/>
              </w:rPr>
              <w:t xml:space="preserve">Laurenţiu </w:t>
            </w:r>
            <w:r w:rsidR="00D03E3C">
              <w:rPr>
                <w:b/>
                <w:bCs/>
                <w:i/>
                <w:iCs/>
              </w:rPr>
              <w:t>PLOSCEANU</w:t>
            </w:r>
            <w:r>
              <w:rPr>
                <w:b/>
                <w:bCs/>
                <w:i/>
                <w:iCs/>
              </w:rPr>
              <w:br/>
            </w:r>
            <w:r>
              <w:t>pēc Eiropas Jaunatnes gada koordinācijas grupas pieprasījuma</w:t>
            </w:r>
          </w:p>
          <w:p w14:paraId="203C1489" w14:textId="3BEC8D1C" w:rsidR="00497E52" w:rsidRPr="00E36037" w:rsidRDefault="00497E52" w:rsidP="00497E52">
            <w:pPr>
              <w:jc w:val="center"/>
              <w:rPr>
                <w:lang w:val="en-GB"/>
              </w:rPr>
            </w:pPr>
          </w:p>
          <w:p w14:paraId="7CEE2DA1" w14:textId="4245673E" w:rsidR="00497E52" w:rsidRPr="00E36037" w:rsidRDefault="00497E52" w:rsidP="00497E52">
            <w:pPr>
              <w:jc w:val="center"/>
            </w:pPr>
            <w:r>
              <w:t xml:space="preserve">(Katrīna </w:t>
            </w:r>
            <w:r w:rsidR="00D03E3C">
              <w:t xml:space="preserve">LEITĀNE </w:t>
            </w:r>
            <w:r>
              <w:t xml:space="preserve">(priekšsēdētāja), </w:t>
            </w:r>
            <w:r>
              <w:rPr>
                <w:i/>
                <w:iCs/>
              </w:rPr>
              <w:t xml:space="preserve">Neža </w:t>
            </w:r>
            <w:r w:rsidR="00D03E3C">
              <w:rPr>
                <w:i/>
                <w:iCs/>
              </w:rPr>
              <w:t>REPANŠEK</w:t>
            </w:r>
            <w:r>
              <w:t xml:space="preserve">, </w:t>
            </w:r>
            <w:r>
              <w:rPr>
                <w:i/>
                <w:iCs/>
              </w:rPr>
              <w:t xml:space="preserve">Michael </w:t>
            </w:r>
            <w:proofErr w:type="spellStart"/>
            <w:r w:rsidR="00D03E3C">
              <w:rPr>
                <w:i/>
                <w:iCs/>
              </w:rPr>
              <w:t>McLOUGHLIN</w:t>
            </w:r>
            <w:proofErr w:type="spellEnd"/>
            <w:r>
              <w:t xml:space="preserve">, </w:t>
            </w:r>
            <w:r>
              <w:rPr>
                <w:i/>
                <w:iCs/>
              </w:rPr>
              <w:t xml:space="preserve">Nicoletta </w:t>
            </w:r>
            <w:r w:rsidR="00D03E3C">
              <w:rPr>
                <w:i/>
                <w:iCs/>
              </w:rPr>
              <w:t>MERLO</w:t>
            </w:r>
            <w:r>
              <w:t xml:space="preserve">, </w:t>
            </w:r>
            <w:r>
              <w:rPr>
                <w:i/>
                <w:iCs/>
              </w:rPr>
              <w:t xml:space="preserve">Mateusz Maciej </w:t>
            </w:r>
            <w:r w:rsidR="00D03E3C">
              <w:rPr>
                <w:i/>
                <w:iCs/>
              </w:rPr>
              <w:t>SZYMANSKI</w:t>
            </w:r>
            <w:r>
              <w:t xml:space="preserve">, </w:t>
            </w:r>
            <w:r>
              <w:rPr>
                <w:i/>
                <w:iCs/>
              </w:rPr>
              <w:t xml:space="preserve">Florian </w:t>
            </w:r>
            <w:r w:rsidR="00D03E3C">
              <w:rPr>
                <w:i/>
                <w:iCs/>
              </w:rPr>
              <w:t>MARIN</w:t>
            </w:r>
            <w:r>
              <w:t xml:space="preserve">, </w:t>
            </w:r>
            <w:r>
              <w:rPr>
                <w:i/>
                <w:iCs/>
              </w:rPr>
              <w:t xml:space="preserve">Pierre </w:t>
            </w:r>
            <w:r w:rsidR="00D03E3C">
              <w:rPr>
                <w:i/>
                <w:iCs/>
              </w:rPr>
              <w:t>BOLLON</w:t>
            </w:r>
            <w:r>
              <w:t xml:space="preserve">, </w:t>
            </w:r>
            <w:r>
              <w:rPr>
                <w:i/>
                <w:iCs/>
              </w:rPr>
              <w:t xml:space="preserve">Dolores </w:t>
            </w:r>
            <w:r w:rsidR="00D03E3C">
              <w:rPr>
                <w:i/>
                <w:iCs/>
              </w:rPr>
              <w:t>SAMMUT BONNICI</w:t>
            </w:r>
            <w:r w:rsidR="00D03E3C">
              <w:t xml:space="preserve"> </w:t>
            </w:r>
            <w:r>
              <w:t xml:space="preserve">un </w:t>
            </w:r>
            <w:r>
              <w:rPr>
                <w:i/>
                <w:iCs/>
              </w:rPr>
              <w:t xml:space="preserve">Davor </w:t>
            </w:r>
            <w:r w:rsidR="00D03E3C">
              <w:rPr>
                <w:i/>
                <w:iCs/>
              </w:rPr>
              <w:t>MAJETIC</w:t>
            </w:r>
            <w:r>
              <w:t>)</w:t>
            </w:r>
          </w:p>
          <w:p w14:paraId="23E9DE0A" w14:textId="0F6C4F6C" w:rsidR="00497E52" w:rsidRPr="00E36037" w:rsidRDefault="00497E52" w:rsidP="00497E52">
            <w:pPr>
              <w:jc w:val="center"/>
              <w:rPr>
                <w:sz w:val="24"/>
                <w:szCs w:val="24"/>
                <w:lang w:val="en-GB"/>
              </w:rPr>
            </w:pPr>
          </w:p>
        </w:tc>
      </w:tr>
    </w:tbl>
    <w:p w14:paraId="0B225863" w14:textId="77777777" w:rsidR="00574C9B" w:rsidRPr="00E36037" w:rsidRDefault="00574C9B" w:rsidP="00574C9B">
      <w:r>
        <w:rPr>
          <w:noProof/>
          <w:sz w:val="20"/>
          <w:lang w:val="en-US"/>
        </w:rPr>
        <mc:AlternateContent>
          <mc:Choice Requires="wps">
            <w:drawing>
              <wp:anchor distT="0" distB="0" distL="114300" distR="114300" simplePos="0" relativeHeight="251659264" behindDoc="1" locked="0" layoutInCell="0" allowOverlap="1" wp14:anchorId="3735E109" wp14:editId="2906E5EC">
                <wp:simplePos x="0" y="0"/>
                <wp:positionH relativeFrom="rightMargin">
                  <wp:posOffset>-201930</wp:posOffset>
                </wp:positionH>
                <wp:positionV relativeFrom="page">
                  <wp:posOffset>9486900</wp:posOffset>
                </wp:positionV>
                <wp:extent cx="741600" cy="432000"/>
                <wp:effectExtent l="0" t="0" r="0" b="635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600" cy="43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B00903" w14:textId="77777777" w:rsidR="00574C9B" w:rsidRDefault="00574C9B" w:rsidP="00574C9B">
                            <w:pPr>
                              <w:jc w:val="center"/>
                            </w:pPr>
                            <w:r>
                              <w:rPr>
                                <w:rFonts w:ascii="Arial" w:hAnsi="Arial"/>
                                <w:b/>
                                <w:sz w:val="48"/>
                              </w:rPr>
                              <w:t>LV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35E109" id="_x0000_t202" coordsize="21600,21600" o:spt="202" path="m,l,21600r21600,l21600,xe">
                <v:stroke joinstyle="miter"/>
                <v:path gradientshapeok="t" o:connecttype="rect"/>
              </v:shapetype>
              <v:shape id="Text Box 17" o:spid="_x0000_s1026" type="#_x0000_t202" style="position:absolute;left:0;text-align:left;margin-left:-15.9pt;margin-top:747pt;width:58.4pt;height:34pt;z-index:-25165721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" o:allowincell="f" filled="f" stroked="f">
                <v:textbox>
                  <w:txbxContent>
                    <w:p w14:paraId="03B00903" w14:textId="77777777" w:rsidR="00574C9B" w:rsidRDefault="00574C9B" w:rsidP="00574C9B">
                      <w:pPr>
                        <w:jc w:val="center"/>
                      </w:pPr>
                      <w:r>
                        <w:rPr>
                          <w:rFonts w:ascii="Arial" w:hAnsi="Arial"/>
                          <w:b/>
                          <w:sz w:val="48"/>
                        </w:rPr>
                        <w:t>LV</w:t>
                      </w:r>
                    </w:p>
                  </w:txbxContent>
                </v:textbox>
                <w10:wrap anchorx="margin" anchory="page"/>
              </v:shape>
            </w:pict>
          </mc:Fallback>
        </mc:AlternateContent>
      </w:r>
    </w:p>
    <w:p w14:paraId="3FA5826A" w14:textId="77777777" w:rsidR="00574C9B" w:rsidRPr="00E36037" w:rsidRDefault="00574C9B" w:rsidP="00574C9B">
      <w:pPr>
        <w:rPr>
          <w:lang w:val="en-GB"/>
        </w:rPr>
      </w:pPr>
    </w:p>
    <w:p w14:paraId="4B88FC0A" w14:textId="77777777" w:rsidR="00574C9B" w:rsidRPr="00E36037" w:rsidRDefault="00574C9B" w:rsidP="00574C9B">
      <w:pPr>
        <w:rPr>
          <w:lang w:val="en-GB"/>
        </w:rPr>
        <w:sectPr w:rsidR="00574C9B" w:rsidRPr="00E36037" w:rsidSect="000059B7">
          <w:headerReference w:type="even" r:id="rId11"/>
          <w:headerReference w:type="default" r:id="rId12"/>
          <w:footerReference w:type="even" r:id="rId13"/>
          <w:footerReference w:type="default" r:id="rId14"/>
          <w:headerReference w:type="first" r:id="rId15"/>
          <w:footerReference w:type="first" r:id="rId16"/>
          <w:pgSz w:w="11907" w:h="16839" w:code="9"/>
          <w:pgMar w:top="5669" w:right="1417" w:bottom="1417" w:left="1417" w:header="709" w:footer="709" w:gutter="0"/>
          <w:cols w:space="720"/>
          <w:docGrid w:linePitch="360"/>
        </w:sectPr>
      </w:pPr>
    </w:p>
    <w:tbl>
      <w:tblPr>
        <w:tblpPr w:leftFromText="181" w:rightFromText="181" w:tblpYSpec="bottom"/>
        <w:tblOverlap w:val="never"/>
        <w:tblW w:w="9289" w:type="dxa"/>
        <w:tblLayout w:type="fixed"/>
        <w:tblLook w:val="04A0" w:firstRow="1" w:lastRow="0" w:firstColumn="1" w:lastColumn="0" w:noHBand="0" w:noVBand="1"/>
      </w:tblPr>
      <w:tblGrid>
        <w:gridCol w:w="3085"/>
        <w:gridCol w:w="6204"/>
      </w:tblGrid>
      <w:tr w:rsidR="00C479D2" w:rsidRPr="00E36037" w14:paraId="02CCD765" w14:textId="77777777" w:rsidTr="00E15BF4">
        <w:tc>
          <w:tcPr>
            <w:tcW w:w="3085" w:type="dxa"/>
          </w:tcPr>
          <w:p w14:paraId="539F8317" w14:textId="076EDCDB" w:rsidR="00C479D2" w:rsidRPr="00E36037" w:rsidRDefault="00C479D2" w:rsidP="00C479D2">
            <w:pPr>
              <w:autoSpaceDE w:val="0"/>
              <w:autoSpaceDN w:val="0"/>
              <w:jc w:val="left"/>
              <w:rPr>
                <w:szCs w:val="20"/>
              </w:rPr>
            </w:pPr>
            <w:r>
              <w:lastRenderedPageBreak/>
              <w:t>Juridiskais pamats</w:t>
            </w:r>
          </w:p>
        </w:tc>
        <w:tc>
          <w:tcPr>
            <w:tcW w:w="6204" w:type="dxa"/>
            <w:vAlign w:val="bottom"/>
          </w:tcPr>
          <w:p w14:paraId="2974D99B" w14:textId="431B705C" w:rsidR="00C479D2" w:rsidRPr="00E36037" w:rsidRDefault="00C479D2" w:rsidP="00C479D2">
            <w:pPr>
              <w:autoSpaceDE w:val="0"/>
              <w:autoSpaceDN w:val="0"/>
              <w:jc w:val="left"/>
              <w:rPr>
                <w:szCs w:val="20"/>
              </w:rPr>
            </w:pPr>
            <w:r>
              <w:t>Reglamenta 50. pants</w:t>
            </w:r>
          </w:p>
        </w:tc>
      </w:tr>
      <w:tr w:rsidR="00C479D2" w:rsidRPr="00E36037" w14:paraId="5EFF5047" w14:textId="77777777" w:rsidTr="00E15BF4">
        <w:tc>
          <w:tcPr>
            <w:tcW w:w="3085" w:type="dxa"/>
          </w:tcPr>
          <w:p w14:paraId="076FE721" w14:textId="77777777" w:rsidR="00C479D2" w:rsidRPr="00E36037" w:rsidRDefault="00C479D2" w:rsidP="00C479D2">
            <w:pPr>
              <w:autoSpaceDE w:val="0"/>
              <w:autoSpaceDN w:val="0"/>
              <w:jc w:val="left"/>
              <w:rPr>
                <w:szCs w:val="20"/>
                <w:lang w:val="en-GB"/>
              </w:rPr>
            </w:pPr>
          </w:p>
        </w:tc>
        <w:tc>
          <w:tcPr>
            <w:tcW w:w="6204" w:type="dxa"/>
            <w:vAlign w:val="bottom"/>
          </w:tcPr>
          <w:p w14:paraId="6B02A19F" w14:textId="0EB2591C" w:rsidR="00C479D2" w:rsidRPr="00E36037" w:rsidRDefault="00C479D2" w:rsidP="00C479D2">
            <w:pPr>
              <w:autoSpaceDE w:val="0"/>
              <w:autoSpaceDN w:val="0"/>
              <w:jc w:val="left"/>
              <w:rPr>
                <w:szCs w:val="20"/>
              </w:rPr>
            </w:pPr>
            <w:r>
              <w:t>Rezolūcija</w:t>
            </w:r>
          </w:p>
        </w:tc>
      </w:tr>
      <w:tr w:rsidR="00C479D2" w:rsidRPr="00E36037" w14:paraId="7AE47B93" w14:textId="77777777" w:rsidTr="00E15BF4">
        <w:tc>
          <w:tcPr>
            <w:tcW w:w="3085" w:type="dxa"/>
          </w:tcPr>
          <w:p w14:paraId="26DE3092" w14:textId="6B1138EC" w:rsidR="00C479D2" w:rsidRPr="00E36037" w:rsidRDefault="00C479D2" w:rsidP="00C479D2">
            <w:pPr>
              <w:autoSpaceDE w:val="0"/>
              <w:autoSpaceDN w:val="0"/>
              <w:jc w:val="left"/>
            </w:pPr>
            <w:r>
              <w:t>Pieņemts plenārsesijā</w:t>
            </w:r>
          </w:p>
        </w:tc>
        <w:tc>
          <w:tcPr>
            <w:tcW w:w="6204" w:type="dxa"/>
            <w:vAlign w:val="bottom"/>
          </w:tcPr>
          <w:p w14:paraId="34FA2183" w14:textId="0EC1A6F4" w:rsidR="00C479D2" w:rsidRPr="00E36037" w:rsidRDefault="00C479D2" w:rsidP="00C479D2">
            <w:pPr>
              <w:autoSpaceDE w:val="0"/>
              <w:autoSpaceDN w:val="0"/>
              <w:jc w:val="left"/>
            </w:pPr>
            <w:r>
              <w:t>15/12/2022</w:t>
            </w:r>
          </w:p>
        </w:tc>
      </w:tr>
      <w:tr w:rsidR="00C479D2" w:rsidRPr="00E36037" w14:paraId="2FE8AE44" w14:textId="77777777" w:rsidTr="00E15BF4">
        <w:tc>
          <w:tcPr>
            <w:tcW w:w="3085" w:type="dxa"/>
          </w:tcPr>
          <w:p w14:paraId="2A65A034" w14:textId="362EA3CD" w:rsidR="00C479D2" w:rsidRPr="00E36037" w:rsidRDefault="00C479D2" w:rsidP="00C479D2">
            <w:pPr>
              <w:autoSpaceDE w:val="0"/>
              <w:autoSpaceDN w:val="0"/>
              <w:jc w:val="left"/>
            </w:pPr>
            <w:r>
              <w:t>Plenārsesija Nr.</w:t>
            </w:r>
          </w:p>
        </w:tc>
        <w:tc>
          <w:tcPr>
            <w:tcW w:w="6204" w:type="dxa"/>
            <w:vAlign w:val="bottom"/>
          </w:tcPr>
          <w:p w14:paraId="17BFB0A7" w14:textId="364EBC0D" w:rsidR="00C479D2" w:rsidRPr="00E36037" w:rsidRDefault="00C479D2" w:rsidP="00C479D2">
            <w:pPr>
              <w:autoSpaceDE w:val="0"/>
              <w:autoSpaceDN w:val="0"/>
              <w:jc w:val="left"/>
            </w:pPr>
            <w:r>
              <w:t>574</w:t>
            </w:r>
          </w:p>
        </w:tc>
      </w:tr>
      <w:tr w:rsidR="00C479D2" w:rsidRPr="00E36037" w14:paraId="3889B17A" w14:textId="77777777" w:rsidTr="00E15BF4">
        <w:tc>
          <w:tcPr>
            <w:tcW w:w="3085" w:type="dxa"/>
          </w:tcPr>
          <w:p w14:paraId="0C723801" w14:textId="05910AA1" w:rsidR="00C479D2" w:rsidRPr="00E36037" w:rsidRDefault="00C479D2" w:rsidP="00C479D2">
            <w:pPr>
              <w:autoSpaceDE w:val="0"/>
              <w:autoSpaceDN w:val="0"/>
              <w:jc w:val="left"/>
            </w:pPr>
            <w:r>
              <w:t>Balsojuma rezultāts</w:t>
            </w:r>
            <w:r>
              <w:br/>
              <w:t>(par / pret / atturas)</w:t>
            </w:r>
          </w:p>
        </w:tc>
        <w:tc>
          <w:tcPr>
            <w:tcW w:w="6204" w:type="dxa"/>
            <w:vAlign w:val="bottom"/>
          </w:tcPr>
          <w:p w14:paraId="14DB34EA" w14:textId="6A624C4D" w:rsidR="00C479D2" w:rsidRPr="00E36037" w:rsidRDefault="00D65C78" w:rsidP="00C479D2">
            <w:pPr>
              <w:autoSpaceDE w:val="0"/>
              <w:autoSpaceDN w:val="0"/>
              <w:jc w:val="left"/>
            </w:pPr>
            <w:r>
              <w:t>150/0/1</w:t>
            </w:r>
          </w:p>
        </w:tc>
      </w:tr>
    </w:tbl>
    <w:p w14:paraId="156A5F34" w14:textId="77777777" w:rsidR="00AC5114" w:rsidRPr="00E36037" w:rsidRDefault="00AC5114" w:rsidP="00574C9B">
      <w:pPr>
        <w:rPr>
          <w:lang w:val="en-GB"/>
        </w:rPr>
      </w:pPr>
    </w:p>
    <w:p w14:paraId="2CD3051D" w14:textId="77777777" w:rsidR="00AC5114" w:rsidRPr="00E36037" w:rsidRDefault="00AC5114" w:rsidP="00574C9B">
      <w:pPr>
        <w:rPr>
          <w:lang w:val="en-GB"/>
        </w:rPr>
        <w:sectPr w:rsidR="00AC5114" w:rsidRPr="00E36037" w:rsidSect="000059B7">
          <w:headerReference w:type="even" r:id="rId17"/>
          <w:headerReference w:type="default" r:id="rId18"/>
          <w:footerReference w:type="default" r:id="rId19"/>
          <w:headerReference w:type="first" r:id="rId20"/>
          <w:pgSz w:w="11907" w:h="16839" w:code="9"/>
          <w:pgMar w:top="5669" w:right="1418" w:bottom="1418" w:left="1418" w:header="709" w:footer="709" w:gutter="0"/>
          <w:cols w:space="720"/>
          <w:docGrid w:linePitch="360"/>
        </w:sectPr>
      </w:pPr>
    </w:p>
    <w:p w14:paraId="12F1A652" w14:textId="77777777" w:rsidR="00497E52" w:rsidRPr="00E36037" w:rsidRDefault="00497E52" w:rsidP="00497E52">
      <w:pPr>
        <w:jc w:val="center"/>
        <w:rPr>
          <w:b/>
        </w:rPr>
      </w:pPr>
      <w:r>
        <w:rPr>
          <w:b/>
        </w:rPr>
        <w:lastRenderedPageBreak/>
        <w:t>EESK rezolūcija par ilglaicīgo Eiropas Jaunatnes gada mantojumu: jaunatnes aspekta integrēšana un jaunatnes spēcināšana</w:t>
      </w:r>
    </w:p>
    <w:p w14:paraId="5B865168" w14:textId="77777777" w:rsidR="00497E52" w:rsidRPr="00E36037" w:rsidRDefault="00497E52" w:rsidP="00497E52">
      <w:pPr>
        <w:jc w:val="center"/>
        <w:rPr>
          <w:b/>
          <w:lang w:val="en-GB"/>
        </w:rPr>
      </w:pPr>
    </w:p>
    <w:p w14:paraId="4AEDF6C5" w14:textId="77777777" w:rsidR="00497E52" w:rsidRPr="00E36037" w:rsidRDefault="00497E52" w:rsidP="00497E52">
      <w:r>
        <w:t>Neraugoties uz nenoteiktību saistībā ar karu Ukrainā, Covid-19 pandēmiju un klimata krīzi, jaunieši joprojām ir Eiropas projekta dzinējspēks, un viņu radošums, enerģija un entuziasms ir šā projekta ilgtspējas virzītājs. Tagad pieņemtie lēmumi noteiks mūsu nākotni, tāpēc ir svarīgi rūpēties par to, ka jaunieši var ietekmēt lēmumus, kas attieksies uz viņu nākotni, jo pat netiešam politikas pasākumam var būt liela ietekme un nozīme no jauniešu un nākamo paaudžu viedokļa.</w:t>
      </w:r>
    </w:p>
    <w:p w14:paraId="2620C44D" w14:textId="77777777" w:rsidR="00497E52" w:rsidRPr="00E36037" w:rsidRDefault="00497E52" w:rsidP="00497E52">
      <w:pPr>
        <w:rPr>
          <w:lang w:val="en-GB"/>
        </w:rPr>
      </w:pPr>
    </w:p>
    <w:p w14:paraId="5217848E" w14:textId="77777777" w:rsidR="00497E52" w:rsidRPr="00E36037" w:rsidRDefault="00497E52" w:rsidP="00497E52">
      <w:pPr>
        <w:rPr>
          <w:b/>
          <w:sz w:val="16"/>
          <w:szCs w:val="16"/>
          <w:u w:val="single"/>
        </w:rPr>
      </w:pPr>
      <w:r>
        <w:t>2021. gada decembrī Eiropas Komisijas priekšsēdētāja Urzula fon der </w:t>
      </w:r>
      <w:proofErr w:type="spellStart"/>
      <w:r>
        <w:t>Leiena</w:t>
      </w:r>
      <w:proofErr w:type="spellEnd"/>
      <w:r>
        <w:t xml:space="preserve"> pasludināja, ka 2022. gads būs Eiropas Jaunatnes gads, jo </w:t>
      </w:r>
      <w:r>
        <w:rPr>
          <w:b/>
        </w:rPr>
        <w:t>“Eiropai ir vajadzīga visa tās jaunatne”</w:t>
      </w:r>
      <w:r>
        <w:t xml:space="preserve"> un “mūsu Savienībai ir vajadzīga dvēsele un redzējums, kas viņus uzrunā”</w:t>
      </w:r>
      <w:r w:rsidRPr="00E36037">
        <w:rPr>
          <w:rStyle w:val="FootnoteReference"/>
          <w:lang w:val="en-GB"/>
        </w:rPr>
        <w:footnoteReference w:id="1"/>
      </w:r>
      <w:r>
        <w:rPr>
          <w:i/>
        </w:rPr>
        <w:t xml:space="preserve">. </w:t>
      </w:r>
      <w:r>
        <w:t xml:space="preserve">Turklāt, kā norādīja komisāre Marija Gabriela, </w:t>
      </w:r>
      <w:r>
        <w:rPr>
          <w:b/>
        </w:rPr>
        <w:t>“Eiropas Jaunatnes gads varētu dot impulsu paradigmas maiņai attiecībā uz to, kā mēs iekļaujam jaunatni politikas veidošanā un lēmumu pieņemšanā”</w:t>
      </w:r>
      <w:r w:rsidRPr="00E36037">
        <w:rPr>
          <w:rStyle w:val="FootnoteReference"/>
          <w:b/>
          <w:lang w:val="en-GB"/>
        </w:rPr>
        <w:footnoteReference w:id="2"/>
      </w:r>
      <w:r>
        <w:t>.</w:t>
      </w:r>
      <w:r>
        <w:rPr>
          <w:b/>
          <w:sz w:val="16"/>
          <w:u w:val="single"/>
        </w:rPr>
        <w:t xml:space="preserve"> </w:t>
      </w:r>
    </w:p>
    <w:p w14:paraId="6B451978" w14:textId="77777777" w:rsidR="00497E52" w:rsidRPr="00E36037" w:rsidRDefault="00497E52" w:rsidP="00497E52">
      <w:pPr>
        <w:rPr>
          <w:b/>
          <w:sz w:val="16"/>
          <w:szCs w:val="16"/>
          <w:u w:val="single"/>
          <w:lang w:val="en-GB"/>
        </w:rPr>
      </w:pPr>
    </w:p>
    <w:p w14:paraId="54EF0149" w14:textId="77777777" w:rsidR="00497E52" w:rsidRPr="00E36037" w:rsidRDefault="00497E52" w:rsidP="00497E52">
      <w:r>
        <w:t>Eiropas Ekonomikas un sociālo lietu komitejas (EESK) atzinumā</w:t>
      </w:r>
      <w:r w:rsidRPr="00E36037">
        <w:rPr>
          <w:rStyle w:val="FootnoteReference"/>
          <w:lang w:val="en-GB"/>
        </w:rPr>
        <w:footnoteReference w:id="3"/>
      </w:r>
      <w:r>
        <w:t xml:space="preserve"> par ES jaunatnes stratēģiju 2019.–2027. gadam pausts aicinājums koncentrēties uz starpnozaru pieeju, holistiski raugoties uz jauniešiem, viņu vajadzībām un tiesībām, un ir uzsvērts: “Komiteja ir pārliecināta, ka </w:t>
      </w:r>
      <w:r>
        <w:rPr>
          <w:b/>
        </w:rPr>
        <w:t>jauniešu iesaiste lēmumu pieņemšanas procesos būtu jāveicina</w:t>
      </w:r>
      <w:r>
        <w:t xml:space="preserve"> ne tikai ar vienreizējiem pasākumiem. Turklāt, izvēršot Jaunatnes dialogu, ir jāpalielina jaunatnes brīvprātīgo organizāciju un valstu jaunatnes padomju nozīme un jāizmanto papildu iespējas. ES iestādēm ar EESK priekšplānā būtu jāuzņemas vadošā loma šajā jautājumā, veicinot jaunatnes iesaistīšanu ES līmenī.”</w:t>
      </w:r>
    </w:p>
    <w:p w14:paraId="70112E8D" w14:textId="77777777" w:rsidR="00497E52" w:rsidRPr="00E36037" w:rsidRDefault="00497E52" w:rsidP="00497E52">
      <w:pPr>
        <w:rPr>
          <w:b/>
          <w:sz w:val="16"/>
          <w:szCs w:val="16"/>
          <w:u w:val="single"/>
          <w:lang w:val="en-GB"/>
        </w:rPr>
      </w:pPr>
    </w:p>
    <w:p w14:paraId="5E33B9AD" w14:textId="77777777" w:rsidR="00497E52" w:rsidRPr="00E36037" w:rsidRDefault="00497E52" w:rsidP="00497E52">
      <w:r>
        <w:t xml:space="preserve">Jau vairākus gadus </w:t>
      </w:r>
      <w:r>
        <w:rPr>
          <w:b/>
        </w:rPr>
        <w:t>EESK meklē strukturētu un jēgpilnu veidu, kā uzlabot jauniešu viedokļa iekļaušanu Komitejas darbā un ES lēmumu pieņemšanas procesā</w:t>
      </w:r>
      <w:r>
        <w:t>; šajā nolūkā Komiteja ir aplūkojusi dažādus aspektus, piemēram, klimatu un ilgtspēju</w:t>
      </w:r>
      <w:r w:rsidRPr="00E36037">
        <w:rPr>
          <w:rStyle w:val="FootnoteReference"/>
          <w:lang w:val="en-GB"/>
        </w:rPr>
        <w:footnoteReference w:id="4"/>
      </w:r>
      <w:r>
        <w:t xml:space="preserve">, rīkojot Jaunatnes apaļos galdus klimata un ilgtspējas jautājumos un jauniešu delegāciju iekļaujot gan oficiālajā ES delegācijā, kas piedalās </w:t>
      </w:r>
      <w:r>
        <w:rPr>
          <w:i/>
        </w:rPr>
        <w:t>UNFCCC</w:t>
      </w:r>
      <w:r>
        <w:t xml:space="preserve"> Pušu konferences sanāksmēs, gan arī EESK delegācijā; ir uzsvērusi, ka ilgtspējīgas attīstības jomā ir svarīga izglītošana</w:t>
      </w:r>
      <w:r w:rsidRPr="00E36037">
        <w:rPr>
          <w:rStyle w:val="FootnoteReference"/>
          <w:lang w:val="en-GB"/>
        </w:rPr>
        <w:footnoteReference w:id="5"/>
      </w:r>
      <w:r>
        <w:t>; ir apsvērusi nodarbinātības un darba tirgus situāciju un noteikumus</w:t>
      </w:r>
      <w:r w:rsidRPr="00E36037">
        <w:rPr>
          <w:rStyle w:val="FootnoteReference"/>
          <w:lang w:val="en-GB"/>
        </w:rPr>
        <w:footnoteReference w:id="6"/>
      </w:r>
      <w:r>
        <w:t>, kā arī jauniešu iesaisti nacionālo atveseļošanas plānu izstrādē</w:t>
      </w:r>
      <w:r w:rsidRPr="00E36037">
        <w:rPr>
          <w:rStyle w:val="FootnoteReference"/>
          <w:lang w:val="en-GB"/>
        </w:rPr>
        <w:footnoteReference w:id="7"/>
      </w:r>
      <w:r>
        <w:t xml:space="preserve"> (tādēļ jauniešu organizācijas ir labāk jāiesaista plānu īstenošanas un uzraudzīšanas posmā un lēmumu pieņemšanā) un jaunatnes politiku Rietumbalkāniem</w:t>
      </w:r>
      <w:r w:rsidRPr="00E36037">
        <w:rPr>
          <w:rStyle w:val="FootnoteReference"/>
          <w:lang w:val="en-GB"/>
        </w:rPr>
        <w:footnoteReference w:id="8"/>
      </w:r>
      <w:r>
        <w:t xml:space="preserve"> (šajā sakarā EESK aicina Eiropas Savienību arī turpmāk atbalstīt Rietumbalkānu centienus jaunatnes līdzdalības uzlabošanā); jaunatnes perspektīvu ir iekļāvusi visās politikas jomās ES līmenī (šim nolūkam ieviešot “ES jauniešu testu”</w:t>
      </w:r>
      <w:r w:rsidRPr="00E36037">
        <w:rPr>
          <w:rStyle w:val="FootnoteReference"/>
          <w:lang w:val="en-GB"/>
        </w:rPr>
        <w:footnoteReference w:id="9"/>
      </w:r>
      <w:r>
        <w:t>, kas aptver arī konkrētus ieteikumus un priekšlikumus); ir ierosinājusi stimulēt jauniešu un jaunatnes organizāciju ieinteresētību EESK darbā.</w:t>
      </w:r>
    </w:p>
    <w:p w14:paraId="6ABAB39A" w14:textId="77777777" w:rsidR="00497E52" w:rsidRPr="00E36037" w:rsidRDefault="00497E52" w:rsidP="00497E52">
      <w:r>
        <w:lastRenderedPageBreak/>
        <w:t xml:space="preserve">Turklāt </w:t>
      </w:r>
      <w:r>
        <w:rPr>
          <w:b/>
        </w:rPr>
        <w:t>EESK atzinīgi novērtēja</w:t>
      </w:r>
      <w:r w:rsidRPr="00E36037">
        <w:rPr>
          <w:rStyle w:val="FootnoteReference"/>
          <w:b/>
          <w:lang w:val="en-GB"/>
        </w:rPr>
        <w:footnoteReference w:id="10"/>
      </w:r>
      <w:r>
        <w:rPr>
          <w:b/>
        </w:rPr>
        <w:t xml:space="preserve"> priekšlikumu, ka 2022. gads jāpasludina par Eiropas Jaunatnes gadu</w:t>
      </w:r>
      <w:r>
        <w:t xml:space="preserve">, un norādīja, ka Eiropas Jaunatnes gadā EESK ir gatava uzņemties vadošo lomu, balstoties uz tādām veiksmīgām EESK iniciatīvām kā “Jūsu Eiropa, jūsu lēmumi”, “Jauniešu apaļā galda debates par klimata un ilgtspējas jautājumiem” un EESK izvirzīta jaunatnes delegāta dalība </w:t>
      </w:r>
      <w:r>
        <w:rPr>
          <w:i/>
        </w:rPr>
        <w:t>COP</w:t>
      </w:r>
      <w:r>
        <w:t xml:space="preserve"> programmā. Komitejai ir lieliskas iespējas atvieglot sadarbību ar jauniešu tīkliem. Tāpēc EESK ir izveidojusi </w:t>
      </w:r>
      <w:r>
        <w:rPr>
          <w:b/>
        </w:rPr>
        <w:t>Eiropas Jaunatnes gada koordinācijas grupu</w:t>
      </w:r>
      <w:r>
        <w:t xml:space="preserve">, lai Komitejā pārstāvētu iniciatīvu un nodrošinātu tās pamanāmību, kā arī koordinētu pašreizējās, ar jaunatni saistītās iniciatīvas. Eiropas Jaunatnes gada koordinācijas grupa ir saņēmusi pilnvaras gan Eiropas Jaunatnes gada laikā, gan arī pēc tam stiprināt sadarbību ar jaunatnes organizācijām un jauniešiem un sadarboties ar citām ES iestādēm un pilsoniskās sabiedrības organizācijām, lai rūpētos par to, ka tiek uzlabota transversāla jauniešu integrācija minēto organizāciju darbā. </w:t>
      </w:r>
    </w:p>
    <w:p w14:paraId="17890C04" w14:textId="77777777" w:rsidR="00497E52" w:rsidRPr="00E36037" w:rsidRDefault="00497E52" w:rsidP="00497E52">
      <w:pPr>
        <w:rPr>
          <w:b/>
          <w:lang w:val="en-GB"/>
        </w:rPr>
      </w:pPr>
    </w:p>
    <w:p w14:paraId="7F9EB810" w14:textId="77777777" w:rsidR="00497E52" w:rsidRPr="00E36037" w:rsidRDefault="00497E52" w:rsidP="00497E52">
      <w:r>
        <w:rPr>
          <w:b/>
        </w:rPr>
        <w:t>Eiropas Jaunatnes gada koordinācijas grupas sagatavotajā rezolūcijas projektā ir pausts aicinājums ES iestādēm un valstu valdībām rūpēties par Eiropas Jaunatnes gada mantojuma ilglaicīgumu</w:t>
      </w:r>
      <w:r>
        <w:t>, veicinot to, ka jauniešus strukturēti un jēgpilni iesaista politikas veidošanā un lēmumu pieņemšanā visos līmeņos, un popularizējot jauniešu un jaunatnes organizāciju līdzdalības mehānismus. Turklāt EESK atkārtoti apstiprina savu apņemšanos stiprināt jauniešu iesaisti savā darbā un veicināt jaunatnes aspekta integrēšanu visos līmeņos, lai veidotu vienotāku un spēcīgāku Eiropu.</w:t>
      </w:r>
    </w:p>
    <w:p w14:paraId="07082A03" w14:textId="77777777" w:rsidR="00497E52" w:rsidRPr="00E36037" w:rsidRDefault="00497E52" w:rsidP="00497E52">
      <w:pPr>
        <w:rPr>
          <w:lang w:val="en-GB"/>
        </w:rPr>
      </w:pPr>
    </w:p>
    <w:p w14:paraId="5F4073A7" w14:textId="77777777" w:rsidR="00497E52" w:rsidRPr="00E36037" w:rsidRDefault="00497E52" w:rsidP="00497E52">
      <w:pPr>
        <w:jc w:val="center"/>
        <w:rPr>
          <w:b/>
          <w:i/>
        </w:rPr>
      </w:pPr>
      <w:r>
        <w:rPr>
          <w:b/>
          <w:i/>
        </w:rPr>
        <w:t xml:space="preserve">Mēs ne vienmēr varam izveidot mūsu jaunatnes nākotni, taču mēs varam veidot mūsu jaunatni nākotnei. </w:t>
      </w:r>
    </w:p>
    <w:p w14:paraId="46A1C135" w14:textId="77777777" w:rsidR="00497E52" w:rsidRPr="00E36037" w:rsidRDefault="00497E52" w:rsidP="00497E52">
      <w:pPr>
        <w:jc w:val="center"/>
        <w:rPr>
          <w:b/>
          <w:i/>
        </w:rPr>
      </w:pPr>
      <w:r>
        <w:rPr>
          <w:b/>
          <w:i/>
        </w:rPr>
        <w:t>– Franklins D. Rūzvelts</w:t>
      </w:r>
    </w:p>
    <w:p w14:paraId="467DEB8A" w14:textId="77777777" w:rsidR="00497E52" w:rsidRPr="00E36037" w:rsidRDefault="00497E52" w:rsidP="00497E52">
      <w:pPr>
        <w:rPr>
          <w:lang w:val="en-GB"/>
        </w:rPr>
      </w:pPr>
    </w:p>
    <w:p w14:paraId="67C1EC71" w14:textId="77777777" w:rsidR="00497E52" w:rsidRPr="00E36037" w:rsidRDefault="00497E52" w:rsidP="005B5B84">
      <w:pPr>
        <w:pStyle w:val="Heading1"/>
        <w:tabs>
          <w:tab w:val="left" w:pos="567"/>
        </w:tabs>
        <w:rPr>
          <w:b/>
        </w:rPr>
      </w:pPr>
      <w:r>
        <w:rPr>
          <w:b/>
        </w:rPr>
        <w:t>Ilglaicīgs Eiropas Jaunatnes gada mantojums un EESK</w:t>
      </w:r>
    </w:p>
    <w:p w14:paraId="159886B1" w14:textId="77777777" w:rsidR="00497E52" w:rsidRPr="00E36037" w:rsidRDefault="00497E52" w:rsidP="00497E52">
      <w:pPr>
        <w:rPr>
          <w:lang w:val="en-GB"/>
        </w:rPr>
      </w:pPr>
    </w:p>
    <w:p w14:paraId="1773ED66" w14:textId="77777777" w:rsidR="00497E52" w:rsidRPr="00E36037" w:rsidRDefault="00497E52" w:rsidP="005B5B84">
      <w:pPr>
        <w:pStyle w:val="Heading2"/>
      </w:pPr>
      <w:r>
        <w:t xml:space="preserve">EESK uzskata, ka visām ieinteresētajām personām ir jāseko līdzi Eiropas Jaunatnes gada debatēm un jāattiecas pret tām ar atvērtību. Ir ļoti svarīgi, lai šim gadam būtu konkrēts mantojums un lai darbs pie turpmākajiem pasākumiem norisinātos arī Prasmju gadā un pēc tam. Turklāt gan ES jaunatnes stratēģijā, gan konferencē par Eiropas nākotni ir paredzēti arī svarīgi pasākumi, lai Eiropas nākotnes veidošanā </w:t>
      </w:r>
      <w:proofErr w:type="spellStart"/>
      <w:r>
        <w:t>strukturētāk</w:t>
      </w:r>
      <w:proofErr w:type="spellEnd"/>
      <w:r>
        <w:t xml:space="preserve"> un </w:t>
      </w:r>
      <w:proofErr w:type="spellStart"/>
      <w:r>
        <w:t>jēgpilnāk</w:t>
      </w:r>
      <w:proofErr w:type="spellEnd"/>
      <w:r>
        <w:t xml:space="preserve"> iesaistītu jauniešus.</w:t>
      </w:r>
    </w:p>
    <w:p w14:paraId="55672544" w14:textId="77777777" w:rsidR="00497E52" w:rsidRPr="00E36037" w:rsidRDefault="00497E52" w:rsidP="00497E52">
      <w:pPr>
        <w:ind w:left="567" w:hanging="567"/>
        <w:rPr>
          <w:lang w:val="en-GB"/>
        </w:rPr>
      </w:pPr>
    </w:p>
    <w:p w14:paraId="710D78EB" w14:textId="77777777" w:rsidR="00497E52" w:rsidRPr="00E36037" w:rsidRDefault="00497E52" w:rsidP="00497E52">
      <w:pPr>
        <w:pStyle w:val="Heading2"/>
      </w:pPr>
      <w:r>
        <w:t>EESK uzskata, ka pilsoniskās sabiedrības organizācijām un sevišķi jaunatnes organizācijām ir izšķiroša nozīme inovatīvu līdzdalības instrumentu apzināšanā, lai jaunatnes aspektu integrētu politikas veidošanā visos līmeņos un visās politikas jomās, un uzsver pilsoniskās sabiedrības organizāciju lomu jauniešu aktīva pilsoniskuma stiprināšanā, cilvēka pamattiesību un demokrātisko vērtību aizsardzībā.</w:t>
      </w:r>
    </w:p>
    <w:p w14:paraId="2CE4B9B2" w14:textId="77777777" w:rsidR="00497E52" w:rsidRPr="00E36037" w:rsidRDefault="00497E52" w:rsidP="00497E52">
      <w:pPr>
        <w:ind w:left="567" w:hanging="567"/>
        <w:rPr>
          <w:lang w:val="en-GB"/>
        </w:rPr>
      </w:pPr>
    </w:p>
    <w:p w14:paraId="5DB4B1E9" w14:textId="77777777" w:rsidR="00497E52" w:rsidRPr="00E36037" w:rsidRDefault="00497E52" w:rsidP="00497E52">
      <w:pPr>
        <w:pStyle w:val="Heading2"/>
      </w:pPr>
      <w:r>
        <w:t>EESK pauž nožēlu, ka jaunatnes organizācijām atvēlētā pilsoniskās sabiedrības telpa ir samazinājusies</w:t>
      </w:r>
      <w:r w:rsidRPr="00E36037">
        <w:rPr>
          <w:rStyle w:val="FootnoteReference"/>
          <w:lang w:val="en-GB"/>
        </w:rPr>
        <w:footnoteReference w:id="11"/>
      </w:r>
      <w:r>
        <w:t>, un uzsver tās demokrātisko nozīmi. EESK aicina veikt pasākumus, lai stiprinātu jaunatnes organizāciju iespējas un nodrošinātu tām ilgtspējīgus resursus, kas palielinās to spēju pārstāvēt un aizstāvēt savas tiesības un intereses.</w:t>
      </w:r>
    </w:p>
    <w:p w14:paraId="781A2616" w14:textId="77777777" w:rsidR="00497E52" w:rsidRPr="00E36037" w:rsidRDefault="00497E52" w:rsidP="00497E52">
      <w:pPr>
        <w:ind w:left="567" w:hanging="567"/>
        <w:rPr>
          <w:lang w:val="en-GB"/>
        </w:rPr>
      </w:pPr>
    </w:p>
    <w:p w14:paraId="1E341028" w14:textId="77777777" w:rsidR="00497E52" w:rsidRPr="00E36037" w:rsidRDefault="00497E52" w:rsidP="00497E52">
      <w:pPr>
        <w:pStyle w:val="Heading2"/>
      </w:pPr>
      <w:r>
        <w:lastRenderedPageBreak/>
        <w:t>EESK atzinumos</w:t>
      </w:r>
      <w:r w:rsidRPr="00E36037">
        <w:rPr>
          <w:rStyle w:val="FootnoteReference"/>
          <w:lang w:val="en-GB"/>
        </w:rPr>
        <w:footnoteReference w:id="12"/>
      </w:r>
      <w:r>
        <w:t xml:space="preserve"> tiek norādīts uz veiksmīgām iniciatīvām, kas pēdējos gados ir ļāvušas strukturēti un jēgpilni iesaistīt jauniešus, un pausta apņemšanās izstrādāt jaunas iniciatīvas, lai veicinātu jaunatnes iesaistīšanos un jaunatnes perspektīvu iekļaušanu politikas veidošanā.</w:t>
      </w:r>
    </w:p>
    <w:p w14:paraId="4E5C933D" w14:textId="77777777" w:rsidR="00497E52" w:rsidRPr="00E36037" w:rsidRDefault="00497E52" w:rsidP="00497E52">
      <w:pPr>
        <w:ind w:left="567" w:hanging="567"/>
        <w:rPr>
          <w:lang w:val="en-GB"/>
        </w:rPr>
      </w:pPr>
    </w:p>
    <w:p w14:paraId="50897AA7" w14:textId="77777777" w:rsidR="00497E52" w:rsidRPr="00E36037" w:rsidRDefault="00497E52" w:rsidP="00497E52">
      <w:pPr>
        <w:pStyle w:val="Heading2"/>
      </w:pPr>
      <w:r>
        <w:t>EESK uzskata, ka aktīvai jaunatnes līdzdalībai politikas veidošanā un lēmumu pieņemšanā ir ārkārtīgi svarīga nozīme, lai veidotu Eiropas nākotni un tādu redzējumu, kas jauniešus uzrunā. Tāpēc tā mudina ES iestādes īstenot “ES jauniešu testu”, lai nodrošinātu, ka visās ES līmeņa politikas jomās tiek ņemts vērā jauniešu skatījums.</w:t>
      </w:r>
    </w:p>
    <w:p w14:paraId="45333D4C" w14:textId="77777777" w:rsidR="00497E52" w:rsidRPr="00E36037" w:rsidRDefault="00497E52" w:rsidP="00497E52">
      <w:pPr>
        <w:ind w:left="567" w:hanging="567"/>
        <w:rPr>
          <w:lang w:val="en-GB"/>
        </w:rPr>
      </w:pPr>
    </w:p>
    <w:p w14:paraId="59C36446" w14:textId="77777777" w:rsidR="00497E52" w:rsidRPr="00E36037" w:rsidRDefault="00497E52" w:rsidP="00497E52">
      <w:pPr>
        <w:pStyle w:val="Heading2"/>
      </w:pPr>
      <w:r>
        <w:t>Pamatojoties uz priekšlikumiem, kas izklāstīti atzinumā par “ES jauniešu testu”, EESK aicina jaunatnes aspektu integrēt politikas veidošanā visos līmeņos un izstrādāt visām ES iestādēm kopīgu pieeju strukturētai un jēgpilnai jaunatnes iesaistei. Minētajai pieejai vajadzētu balstīties uz šādiem pīlāriem:</w:t>
      </w:r>
    </w:p>
    <w:p w14:paraId="37EABF33" w14:textId="77777777" w:rsidR="00497E52" w:rsidRPr="00E36037" w:rsidRDefault="00497E52" w:rsidP="00497E52">
      <w:pPr>
        <w:numPr>
          <w:ilvl w:val="0"/>
          <w:numId w:val="4"/>
        </w:numPr>
        <w:ind w:left="851" w:hanging="284"/>
      </w:pPr>
      <w:r>
        <w:t>ar jaunatni saistītas iniciatīvas/projektus/pasākumus sagatavot kopā ar jaunatnes organizācijām, kurām jābūt iesaistītām jau no paša sākuma, un to ietekmi nodrošināt ikvienā procesa posmā;</w:t>
      </w:r>
    </w:p>
    <w:p w14:paraId="43B5E556" w14:textId="41C6FBEE" w:rsidR="00497E52" w:rsidRPr="00E36037" w:rsidRDefault="00497E52" w:rsidP="00497E52">
      <w:pPr>
        <w:numPr>
          <w:ilvl w:val="0"/>
          <w:numId w:val="4"/>
        </w:numPr>
        <w:ind w:left="851" w:hanging="284"/>
      </w:pPr>
      <w:r>
        <w:t>kopīgi ar jaunatnes organizācijām uzņemties atbildību par iniciatīvām</w:t>
      </w:r>
      <w:r w:rsidR="0093238F">
        <w:t> </w:t>
      </w:r>
      <w:r>
        <w:t>/</w:t>
      </w:r>
      <w:r w:rsidR="0093238F">
        <w:t> </w:t>
      </w:r>
      <w:r>
        <w:t>projektiem</w:t>
      </w:r>
      <w:r w:rsidR="0093238F">
        <w:t> </w:t>
      </w:r>
      <w:r>
        <w:t>/</w:t>
      </w:r>
      <w:r w:rsidR="0093238F">
        <w:t> </w:t>
      </w:r>
      <w:r>
        <w:t>pasākumiem, šādām organizācijām piešķirt vadošu lomu un ņemt vērā to prioritātes un vajadzības;</w:t>
      </w:r>
    </w:p>
    <w:p w14:paraId="342BFDF8" w14:textId="77777777" w:rsidR="00497E52" w:rsidRPr="00E36037" w:rsidRDefault="00497E52" w:rsidP="00497E52">
      <w:pPr>
        <w:numPr>
          <w:ilvl w:val="0"/>
          <w:numId w:val="4"/>
        </w:numPr>
        <w:ind w:left="851" w:hanging="284"/>
      </w:pPr>
      <w:r>
        <w:t>uzlabot jaunatnes organizāciju spējas, šādas organizācijas atbalstot ar nepieciešamajiem finanšu resursiem un pienācīgiem līdzdalības instrumentiem;</w:t>
      </w:r>
    </w:p>
    <w:p w14:paraId="16BAD1E3" w14:textId="77777777" w:rsidR="00497E52" w:rsidRPr="00E36037" w:rsidRDefault="00497E52" w:rsidP="00497E52">
      <w:pPr>
        <w:numPr>
          <w:ilvl w:val="0"/>
          <w:numId w:val="4"/>
        </w:numPr>
        <w:ind w:left="851" w:hanging="284"/>
      </w:pPr>
      <w:r>
        <w:t xml:space="preserve">veidot strukturētu un jēgpilnu pārraudzības procesu, kas aptvertu vairāk nekā tikai </w:t>
      </w:r>
      <w:proofErr w:type="spellStart"/>
      <w:r>
        <w:rPr>
          <w:i/>
        </w:rPr>
        <w:t>ad</w:t>
      </w:r>
      <w:proofErr w:type="spellEnd"/>
      <w:r>
        <w:rPr>
          <w:i/>
        </w:rPr>
        <w:t> </w:t>
      </w:r>
      <w:proofErr w:type="spellStart"/>
      <w:r>
        <w:rPr>
          <w:i/>
        </w:rPr>
        <w:t>hoc</w:t>
      </w:r>
      <w:proofErr w:type="spellEnd"/>
      <w:r>
        <w:t xml:space="preserve"> sanāksmes un vienkāršus aicinājumus apspriesties.</w:t>
      </w:r>
    </w:p>
    <w:p w14:paraId="1812AD2F" w14:textId="77777777" w:rsidR="00497E52" w:rsidRPr="00E36037" w:rsidRDefault="00497E52" w:rsidP="00497E52">
      <w:pPr>
        <w:ind w:left="567" w:hanging="567"/>
        <w:rPr>
          <w:lang w:val="en-GB"/>
        </w:rPr>
      </w:pPr>
    </w:p>
    <w:p w14:paraId="1F8AB500" w14:textId="77777777" w:rsidR="00497E52" w:rsidRPr="00E36037" w:rsidRDefault="00497E52" w:rsidP="00497E52">
      <w:pPr>
        <w:pStyle w:val="Heading2"/>
      </w:pPr>
      <w:r>
        <w:t>EESK apņemas izveidot pastāvīgu EESK grupu, kura darbotos kā pārredzams starpnozaru koordinācijas mehānisms jaunatnes perspektīvas iekļaušanai EESK darbā un kas dziļāk pētītu un apsvērtu iespējamos veidus, kā EESK darbā piemērot “ES jauniešu testa” koncepciju, lai izstrādātu konsekventu pieeju jauniešu iesaistīšanai EESK darbībā.</w:t>
      </w:r>
    </w:p>
    <w:p w14:paraId="274E7B12" w14:textId="77777777" w:rsidR="00497E52" w:rsidRPr="00E36037" w:rsidRDefault="00497E52" w:rsidP="00497E52">
      <w:pPr>
        <w:rPr>
          <w:lang w:val="en-GB"/>
        </w:rPr>
      </w:pPr>
    </w:p>
    <w:p w14:paraId="08D4329D" w14:textId="77777777" w:rsidR="00497E52" w:rsidRPr="00E36037" w:rsidRDefault="00497E52" w:rsidP="005B5B84">
      <w:pPr>
        <w:pStyle w:val="Heading3"/>
      </w:pPr>
      <w:r>
        <w:t>Turklāt EESK aicina izveidot struktūru, kas jaunatnes organizācijas pārstāvētu un/vai iesaistītu visās ES iestādēs un/vai, iespējams, ieinteresēto personu platformās, kas būtu EESK pārziņā (piemēram, Eiropas aprites ekonomikas jautājumos ieinteresēto personu platforma). Turklāt, tā kā ES jaunatnes dialogs ir Eiropā nozīmīgākais līdzdalības nodrošināšanas process, kurā, apspriežot jautājumus un kopīgi meklējot risinājumus, piedalās lēmumu pieņēmēji un jaunieši, varētu veikt turpmākus pasākumus, lai stiprinātu šo līdzdalības mehānismu, piemēram, ieviešot kopīgas pārvaldības struktūru</w:t>
      </w:r>
      <w:r w:rsidRPr="00E36037">
        <w:rPr>
          <w:rStyle w:val="FootnoteReference"/>
          <w:lang w:val="en-GB"/>
        </w:rPr>
        <w:footnoteReference w:id="13"/>
      </w:r>
      <w:r>
        <w:t xml:space="preserve">, ko citastarp vadītu arī EESK. </w:t>
      </w:r>
    </w:p>
    <w:p w14:paraId="4FA6790A" w14:textId="77777777" w:rsidR="00497E52" w:rsidRPr="00E36037" w:rsidRDefault="00497E52" w:rsidP="00497E52">
      <w:pPr>
        <w:rPr>
          <w:lang w:val="en-GB"/>
        </w:rPr>
      </w:pPr>
    </w:p>
    <w:p w14:paraId="407E63D4" w14:textId="77777777" w:rsidR="00497E52" w:rsidRPr="00E36037" w:rsidRDefault="00497E52" w:rsidP="00497E52">
      <w:pPr>
        <w:pStyle w:val="Heading2"/>
      </w:pPr>
      <w:r>
        <w:t xml:space="preserve">EESK mudina jaunatni vairāk iesaistīties lēmumu pieņemšanas procesos, sākot no tiesību aktu priekšlikumu un iniciatīvu izstrādes līdz to īstenošanai, uzraudzībai un turpmākajiem pasākumiem. Šī pieeja kopš 2021. gada tiek izmantota ES delegācijā, kas piedalās </w:t>
      </w:r>
      <w:r>
        <w:rPr>
          <w:i/>
        </w:rPr>
        <w:t>UNFCC</w:t>
      </w:r>
      <w:r>
        <w:t xml:space="preserve"> Pušu </w:t>
      </w:r>
      <w:r>
        <w:lastRenderedPageBreak/>
        <w:t>konferences sanāksmēs un kurā ir vismaz viens jauniešu pārstāvis. EESK silti iesaka citām ES delegācijām izmantot līdzīgu pieeju un ņemt vērā arī paaudžu perspektīvu.</w:t>
      </w:r>
    </w:p>
    <w:p w14:paraId="4BC884C5" w14:textId="77777777" w:rsidR="00497E52" w:rsidRPr="00E36037" w:rsidRDefault="00497E52" w:rsidP="00497E52">
      <w:pPr>
        <w:ind w:left="567" w:hanging="567"/>
        <w:rPr>
          <w:lang w:val="en-GB"/>
        </w:rPr>
      </w:pPr>
    </w:p>
    <w:p w14:paraId="669A61B7" w14:textId="77777777" w:rsidR="00497E52" w:rsidRPr="00E36037" w:rsidRDefault="00497E52" w:rsidP="00497E52">
      <w:pPr>
        <w:pStyle w:val="Heading2"/>
      </w:pPr>
      <w:r>
        <w:t>Lai plaisas mazināšanā starp politikas veidotājiem, jaunatnes organizācijām un jauniešiem stiprinātu pašas EESK lomu gan valstu, gan Eiropas līmenī, ir ieteicams, pirmkārt, efektīvas leģislatīvā darba koordinēšanas nolūkā izveidot pārredzamu, strukturētu un jēgpilnu jaunatnes līdzdalības mehānismu, piemēram, jauniešu paneļdiskusijas. Otrkārt, sadarboties ar jauniešiem un jaunatnes organizācijām un tos iesaistīt EESK darbā. Turklāt labas prakses piemēri attiecībā uz jauniešu iesaisti visos līmeņos un visās dalībvalstīs būtu jākoordinē un ar šādiem piemēriem jāapmainās, kā arī jāīsteno mērķtiecīgāki informēšanas pasākumi. Konkrētāk, pašā Komitejā un locekļu vidū jāuzlabo attiecības ar valstu jaunatnes organizācijām un jāpievērš uzmanība vietējiem jaunatnes projektiem.</w:t>
      </w:r>
    </w:p>
    <w:p w14:paraId="4BA395C0" w14:textId="77777777" w:rsidR="00497E52" w:rsidRPr="00E36037" w:rsidRDefault="00497E52" w:rsidP="00497E52">
      <w:pPr>
        <w:ind w:left="567" w:hanging="567"/>
        <w:rPr>
          <w:lang w:val="en-GB"/>
        </w:rPr>
      </w:pPr>
    </w:p>
    <w:p w14:paraId="5DB4D2A5" w14:textId="77777777" w:rsidR="00497E52" w:rsidRPr="00E36037" w:rsidRDefault="00497E52" w:rsidP="00497E52">
      <w:pPr>
        <w:pStyle w:val="Heading2"/>
      </w:pPr>
      <w:r>
        <w:t xml:space="preserve">Arī ņemot vērā pašreizējo nestabilo ģeopolitisko kontekstu, ir ļoti svarīgi nodrošināt jaunatnes iesaistīšanos ilgtspējas, drošības un miera veidošanā. EESK atzinīgi vērtē nesen pieņemto Jaunatnes rīcības plānu ES ārējā darbībā un ir paredzējusi 2023. gadā pieņemt pašiniciatīvas atzinumu par šo tematu. Turklāt EESK aicina Eiropas Savienību turpināt atbalstīt Rietumbalkānu valstis, lai tās, ņemot vērā izglītības un apmācības mobilitātes pozitīvo saistību ar jauniešu pilsonisko un politisko ieinteresētību, uzlabotu jauniešu līdzdalību. </w:t>
      </w:r>
      <w:r>
        <w:rPr>
          <w:color w:val="212121"/>
        </w:rPr>
        <w:t>Tas pats princips būtu jāņem vērā attiecībās ar Ukrainu un Gruziju.</w:t>
      </w:r>
      <w:r>
        <w:t xml:space="preserve"> EESK uzstāj, ka jaunatnes politikas jomā ir jāstiprina sadarbība ar kandidātvalstīm. </w:t>
      </w:r>
    </w:p>
    <w:p w14:paraId="7D01F35B" w14:textId="77777777" w:rsidR="00497E52" w:rsidRPr="00E36037" w:rsidRDefault="00497E52" w:rsidP="00497E52">
      <w:pPr>
        <w:ind w:left="567" w:hanging="567"/>
        <w:rPr>
          <w:lang w:val="en-GB"/>
        </w:rPr>
      </w:pPr>
    </w:p>
    <w:p w14:paraId="4EE1EE15" w14:textId="77777777" w:rsidR="00497E52" w:rsidRPr="00E36037" w:rsidRDefault="00497E52" w:rsidP="00497E52">
      <w:pPr>
        <w:pStyle w:val="Heading2"/>
      </w:pPr>
      <w:r>
        <w:t xml:space="preserve">Savos atzinumos, tostarp </w:t>
      </w:r>
      <w:r>
        <w:rPr>
          <w:i/>
        </w:rPr>
        <w:t>pašiniciatīvas atzinumos</w:t>
      </w:r>
      <w:r>
        <w:t xml:space="preserve"> un </w:t>
      </w:r>
      <w:r>
        <w:rPr>
          <w:i/>
        </w:rPr>
        <w:t>izpētes atzinumos</w:t>
      </w:r>
      <w:r>
        <w:t>, ko pieņem pēc rotējošo prezidentvalstu vai citu ES iestāžu pieprasījuma, EESK centīsies sistemātiski ņemt vērā jauniešu viedokli.</w:t>
      </w:r>
      <w:r>
        <w:rPr>
          <w:color w:val="212121"/>
        </w:rPr>
        <w:t xml:space="preserve"> EESK, pateicoties lieliskajām attiecībām ar minētajām iestādēm, darīs visu iespējamo, lai tās pārliecinātu, ka minētajiem atzinumu pieprasījumiem būtu jāaptver aspekti, kas skar jauniešus.</w:t>
      </w:r>
      <w:r>
        <w:rPr>
          <w:rFonts w:ascii="Calibri" w:hAnsi="Calibri"/>
          <w:color w:val="212121"/>
        </w:rPr>
        <w:t xml:space="preserve"> </w:t>
      </w:r>
    </w:p>
    <w:p w14:paraId="4C777791" w14:textId="77777777" w:rsidR="00497E52" w:rsidRPr="00E36037" w:rsidRDefault="00497E52" w:rsidP="00497E52">
      <w:pPr>
        <w:rPr>
          <w:lang w:val="en-GB"/>
        </w:rPr>
      </w:pPr>
    </w:p>
    <w:p w14:paraId="1E32CAA6" w14:textId="77777777" w:rsidR="00497E52" w:rsidRPr="00E36037" w:rsidRDefault="00497E52" w:rsidP="005B5B84">
      <w:pPr>
        <w:pStyle w:val="Heading1"/>
        <w:keepNext/>
        <w:keepLines/>
        <w:tabs>
          <w:tab w:val="left" w:pos="567"/>
        </w:tabs>
        <w:ind w:left="567" w:hanging="567"/>
      </w:pPr>
      <w:r>
        <w:rPr>
          <w:b/>
        </w:rPr>
        <w:t xml:space="preserve">Uzmanības centrā turpmākajos gados: kopīgi veidot labāku nākotni – zaļāku, iekļaujošāku un </w:t>
      </w:r>
      <w:proofErr w:type="spellStart"/>
      <w:r>
        <w:rPr>
          <w:b/>
        </w:rPr>
        <w:t>digitalizētāku</w:t>
      </w:r>
      <w:proofErr w:type="spellEnd"/>
    </w:p>
    <w:p w14:paraId="1D94F509" w14:textId="77777777" w:rsidR="00497E52" w:rsidRPr="00E36037" w:rsidRDefault="00497E52" w:rsidP="00497E52">
      <w:pPr>
        <w:keepNext/>
        <w:keepLines/>
        <w:rPr>
          <w:i/>
          <w:lang w:val="en-GB"/>
        </w:rPr>
      </w:pPr>
    </w:p>
    <w:p w14:paraId="76890C9E" w14:textId="77777777" w:rsidR="00497E52" w:rsidRPr="00E36037" w:rsidRDefault="00497E52" w:rsidP="00497E52">
      <w:pPr>
        <w:pStyle w:val="Heading2"/>
      </w:pPr>
      <w:r>
        <w:t>EESK uzsver, ka ir svarīgi palielināt jauniešu zināšanas un informētību par Eiropas iestādēm, darbības mehānismiem, rīcības jomām, konkrētiem ikdienas pasākumu piemēriem un jauniešu personiskās un profesionālās izaugsmes iespējām. Eiropas pieredzes apmaiņas un apmācības programmu (</w:t>
      </w:r>
      <w:proofErr w:type="spellStart"/>
      <w:r>
        <w:rPr>
          <w:i/>
        </w:rPr>
        <w:t>Erasmus</w:t>
      </w:r>
      <w:proofErr w:type="spellEnd"/>
      <w:r>
        <w:rPr>
          <w:i/>
        </w:rPr>
        <w:t>+</w:t>
      </w:r>
      <w:r>
        <w:t xml:space="preserve">, </w:t>
      </w:r>
      <w:proofErr w:type="spellStart"/>
      <w:r>
        <w:rPr>
          <w:i/>
        </w:rPr>
        <w:t>DiscoverEU</w:t>
      </w:r>
      <w:proofErr w:type="spellEnd"/>
      <w:r>
        <w:t xml:space="preserve"> u. c.) skaits būtu jāpalielina gan vietējā līmenī, gan plašākā mērogā; tas pats attiecas uz programmām, kas tiek īstenotas sadarbībā ar citām izglītības iestādēm valstī un ārpus tās. EESK iedrošinās un mudinās EESK locekļus organizēt vietējā līmeņa iniciatīvas, kas vērstas uz jaunatni.</w:t>
      </w:r>
    </w:p>
    <w:p w14:paraId="02B60C01" w14:textId="77777777" w:rsidR="00497E52" w:rsidRPr="00E36037" w:rsidRDefault="00497E52" w:rsidP="00497E52">
      <w:pPr>
        <w:ind w:left="567" w:hanging="567"/>
        <w:rPr>
          <w:lang w:val="en-GB"/>
        </w:rPr>
      </w:pPr>
    </w:p>
    <w:p w14:paraId="1CF7268E" w14:textId="48577CA3" w:rsidR="00497E52" w:rsidRPr="00E36037" w:rsidRDefault="00497E52" w:rsidP="00497E52">
      <w:pPr>
        <w:pStyle w:val="Heading2"/>
      </w:pPr>
      <w:r>
        <w:t>EESK norāda, ka, gādājot par iestāžu lielāku atvērtību un gatavību sadarboties ar jauniešiem, ir jāizveido un jāgarantē sistēma, kas visiem jauniešiem ļautu piedalīties lēmumu pieņemšanas procesā Eiropas un valstu līmenī. Īpaši svarīgi ir dot iespēju nelabvēlīgā situācijā esošiem, neaizsargātiem un atstumtiem jauniešiem piedalīties lēmumu pieņemšanas procesos. Pirmām kārtām vajadzētu veicināt jauniešu līdzdalību politiskajās vēlēšanās. Turklāt jauniešu līdzdalība veicina radošumu un inovāciju, un jaunieši ir jāuzklausa, un viņu pilsoniskā un sabiedriskā līdzdalība būtu jāveicina jau no agrīna vecuma.</w:t>
      </w:r>
    </w:p>
    <w:p w14:paraId="14FA42FE" w14:textId="77777777" w:rsidR="00497E52" w:rsidRPr="00E36037" w:rsidRDefault="00497E52" w:rsidP="00497E52">
      <w:pPr>
        <w:pStyle w:val="Heading2"/>
      </w:pPr>
      <w:r>
        <w:lastRenderedPageBreak/>
        <w:t>Lai atvieglotu piekļuvi izglītības pakalpojumiem, EESK iesaka īstenot otrās iespējas programmas un rakstpratības programmas tiem, kas priekšlaicīgi pārtrauc mācības, un realizēt pasākumus, lai, nodrošinot ievirzes, atbalsta un sociālās aizsardzības programmas jauniešiem no lauku apvidiem un no nabadzīgām ģimenēm, samazinātos priekšlaicīga mācību pārtraukšana.</w:t>
      </w:r>
    </w:p>
    <w:p w14:paraId="5FE8CFBB" w14:textId="77777777" w:rsidR="00497E52" w:rsidRPr="00E36037" w:rsidRDefault="00497E52" w:rsidP="00497E52">
      <w:pPr>
        <w:rPr>
          <w:lang w:val="en-GB"/>
        </w:rPr>
      </w:pPr>
    </w:p>
    <w:p w14:paraId="01762163" w14:textId="77777777" w:rsidR="00497E52" w:rsidRPr="00E36037" w:rsidRDefault="00497E52" w:rsidP="00497E52">
      <w:pPr>
        <w:pStyle w:val="Heading2"/>
      </w:pPr>
      <w:r>
        <w:rPr>
          <w:highlight w:val="white"/>
        </w:rPr>
        <w:t>Ir jāpanāk ļoti kvalitatīva un iekļaujoša izglītība un apmācība, kā arī mūžizglītība, lai nodrošinātu, ka ikvienam ir zināšanas, prasmes, kompetences un tāda attieksme, kas Eiropai vajadzīgas, lai izveidotu taisnīgāku, saliedētāku, ilgtspējīgāku, digitālāku un izturīgāku sabiedrību. Jauniešiem ir vajadzīgas prasmes, kas ļauj viņiem pilnvērtīgi piedalīties sabiedrības dzīvē un sekmīgi tikt galā ar pārmaiņām darba tirgū</w:t>
      </w:r>
      <w:r w:rsidRPr="00E36037">
        <w:rPr>
          <w:rStyle w:val="FootnoteReference"/>
          <w:highlight w:val="white"/>
          <w:lang w:val="en-GB"/>
        </w:rPr>
        <w:footnoteReference w:id="14"/>
      </w:r>
      <w:r>
        <w:rPr>
          <w:highlight w:val="white"/>
        </w:rPr>
        <w:t>, it īpaši runājot par visneaizsargātākajiem cilvēkiem. Kvalificēti darba ņēmēji ir svarīgs Eiropas konkurētspējas nodrošināšanas elements, kā atzīts arī Eiropas Komisijas priekšlikumā par Eiropas Prasmju gadu (2023)</w:t>
      </w:r>
      <w:r w:rsidRPr="00E36037">
        <w:rPr>
          <w:rStyle w:val="FootnoteReference"/>
          <w:highlight w:val="white"/>
          <w:lang w:val="en-GB"/>
        </w:rPr>
        <w:footnoteReference w:id="15"/>
      </w:r>
      <w:r>
        <w:rPr>
          <w:highlight w:val="white"/>
        </w:rPr>
        <w:t>, un tikpat svarīgi ir nodrošināt labus darba apstākļus, karjeras prognozējamību un iespēju pieejamību. Būtu jāveicina iesaistīšanās izglītības iestāžu darbā. Vienai no prioritātēm jābūt Eiropas sociālo tiesību pīlāra īstenošanai saistībā ar jaunatni. Risinot prasmju neatbilstības problēmu un koncentrējoties uz mūžizglītību, pārkvalifikāciju un prasmju pilnveidi, ir jāpanāk arī progress izglītības reformas īstenošanā</w:t>
      </w:r>
      <w:r w:rsidRPr="00E36037">
        <w:rPr>
          <w:rStyle w:val="FootnoteReference"/>
          <w:color w:val="202124"/>
          <w:highlight w:val="white"/>
          <w:lang w:val="en-GB"/>
        </w:rPr>
        <w:footnoteReference w:id="16"/>
      </w:r>
      <w:r>
        <w:rPr>
          <w:highlight w:val="white"/>
        </w:rPr>
        <w:t>.</w:t>
      </w:r>
    </w:p>
    <w:p w14:paraId="2BEB8E62" w14:textId="77777777" w:rsidR="00497E52" w:rsidRPr="00E36037" w:rsidRDefault="00497E52" w:rsidP="00497E52">
      <w:pPr>
        <w:ind w:left="567" w:hanging="567"/>
        <w:rPr>
          <w:lang w:val="en-GB"/>
        </w:rPr>
      </w:pPr>
    </w:p>
    <w:p w14:paraId="06C22105" w14:textId="77777777" w:rsidR="00497E52" w:rsidRPr="00E36037" w:rsidRDefault="00497E52" w:rsidP="00497E52">
      <w:pPr>
        <w:pStyle w:val="Heading2"/>
      </w:pPr>
      <w:r>
        <w:t>EESK aicina atvieglot izglītības sistēmas pieejamību jauniešiem no lauku apvidiem, nodrošinot materiālo un digitālo infrastruktūru, kas nepieciešama kvalitatīvam izglītības procesam, it īpaši ilgtspējīgas attīstības un vides aizsardzības jomā.</w:t>
      </w:r>
    </w:p>
    <w:p w14:paraId="60796C82" w14:textId="77777777" w:rsidR="00497E52" w:rsidRPr="00E36037" w:rsidRDefault="00497E52" w:rsidP="00497E52">
      <w:pPr>
        <w:ind w:left="567" w:hanging="567"/>
        <w:rPr>
          <w:lang w:val="en-GB"/>
        </w:rPr>
      </w:pPr>
    </w:p>
    <w:p w14:paraId="2D449573" w14:textId="77777777" w:rsidR="00497E52" w:rsidRPr="00E36037" w:rsidRDefault="00497E52" w:rsidP="00497E52">
      <w:pPr>
        <w:pStyle w:val="Heading2"/>
      </w:pPr>
      <w:r>
        <w:t xml:space="preserve">EESK mudina dalībvalstis sadarbībā ar pilsoniskās sabiedrības organizācijām izveidot cilvēkiem ar retām slimībām un cilvēkiem, kuri nevar apmeklēt skolu medicīnisku iemeslu dēļ, </w:t>
      </w:r>
      <w:proofErr w:type="spellStart"/>
      <w:r>
        <w:t>mērķorientētu</w:t>
      </w:r>
      <w:proofErr w:type="spellEnd"/>
      <w:r>
        <w:t xml:space="preserve"> piekļuvi skolām un garantēt nepieciešamo infrastruktūru, lai cilvēkiem ar invaliditāti prioritārā kārtībā nodrošinātu vienlīdzīgu piekļuvi izglītības pakalpojumiem, tādējādi nevienu neatstājot novārtā.</w:t>
      </w:r>
    </w:p>
    <w:p w14:paraId="3B26333F" w14:textId="77777777" w:rsidR="00497E52" w:rsidRPr="00E36037" w:rsidRDefault="00497E52" w:rsidP="00497E52">
      <w:pPr>
        <w:rPr>
          <w:lang w:val="en-GB"/>
        </w:rPr>
      </w:pPr>
    </w:p>
    <w:p w14:paraId="4388C2E4" w14:textId="77777777" w:rsidR="00497E52" w:rsidRPr="00E36037" w:rsidRDefault="00497E52" w:rsidP="00497E52">
      <w:pPr>
        <w:pStyle w:val="Heading2"/>
      </w:pPr>
      <w:r>
        <w:rPr>
          <w:highlight w:val="white"/>
        </w:rPr>
        <w:t>Izglītība ir galvenais faktors, kas ļaus sasniegt visus pārējos ilgtspējīgas attīstības mērķus (IAM). Tāpēc EESK atbalsta Eiropas Komisijas darbu, kas vērsts uz mācīšanos zaļās pārkārtošanās un ilgtspējīgas attīstības labad, un aicina dalībvalstis attiecīgi ieviest un pārveidot izglītību savās valstīs</w:t>
      </w:r>
      <w:r w:rsidRPr="00E36037">
        <w:rPr>
          <w:rStyle w:val="FootnoteReference"/>
          <w:highlight w:val="white"/>
          <w:lang w:val="en-GB"/>
        </w:rPr>
        <w:footnoteReference w:id="17"/>
      </w:r>
      <w:r>
        <w:rPr>
          <w:highlight w:val="white"/>
        </w:rPr>
        <w:t>.</w:t>
      </w:r>
    </w:p>
    <w:p w14:paraId="70A977D9" w14:textId="77777777" w:rsidR="00497E52" w:rsidRPr="00E36037" w:rsidRDefault="00497E52" w:rsidP="00497E52">
      <w:pPr>
        <w:ind w:left="567" w:hanging="567"/>
        <w:rPr>
          <w:lang w:val="en-GB"/>
        </w:rPr>
      </w:pPr>
    </w:p>
    <w:p w14:paraId="3067A390" w14:textId="6630E08F" w:rsidR="00497E52" w:rsidRPr="00E36037" w:rsidRDefault="00497E52" w:rsidP="00497E52">
      <w:pPr>
        <w:pStyle w:val="Heading2"/>
      </w:pPr>
      <w:r>
        <w:t>EESK ierosina kopā ar sociālajiem partneriem un pilsonisko sabiedrību izstrādāt informatīvas un konsultatīvas sesijas vai izglītības programmas, lai, atsaucoties uz tādiem jēdzieniem kā darba devējs, darba līgums u. c., sniegtu paskaidrojumus par darba tirgus pamatelementiem. Šajā sakarā būtu jāpiešķir pietiekami resursi, it īpaši neaizsargātiem jauniešiem un tiem, kuru nodarbinātības veids ir netipisks.</w:t>
      </w:r>
      <w:r>
        <w:rPr>
          <w:highlight w:val="white"/>
        </w:rPr>
        <w:t xml:space="preserve"> </w:t>
      </w:r>
      <w:r>
        <w:t xml:space="preserve">Tā pati informācija ir jāparedz arī gados jauniem migrantiem ierodoties nezināmā valstī, lai viņus ātrāk integrētu jaunajā sabiedrībā, tās izglītības un darba sistēmās un kultūrā. </w:t>
      </w:r>
      <w:r>
        <w:rPr>
          <w:color w:val="212121"/>
        </w:rPr>
        <w:t xml:space="preserve">Vispārīgāk runājot, būtu jāpiedāvā vairāk līdzekļu jauniešiem, lai viņi </w:t>
      </w:r>
      <w:r>
        <w:rPr>
          <w:color w:val="212121"/>
        </w:rPr>
        <w:lastRenderedPageBreak/>
        <w:t>mācītos par tādiem tematiem kā izglītība finanšu jomā un </w:t>
      </w:r>
      <w:r w:rsidR="005B5B84">
        <w:rPr>
          <w:color w:val="212121"/>
        </w:rPr>
        <w:t>–</w:t>
      </w:r>
      <w:r>
        <w:rPr>
          <w:color w:val="212121"/>
        </w:rPr>
        <w:t xml:space="preserve"> kas ir ļoti svarīgi </w:t>
      </w:r>
      <w:r w:rsidR="005B5B84">
        <w:rPr>
          <w:color w:val="212121"/>
        </w:rPr>
        <w:t>–</w:t>
      </w:r>
      <w:r>
        <w:rPr>
          <w:color w:val="212121"/>
        </w:rPr>
        <w:t xml:space="preserve"> lai viņiem būtu labas zināšanas par savām tiesībām kā pilsoņiem un darba ņēmējiem</w:t>
      </w:r>
      <w:r>
        <w:t>. Tas viss ir svarīgi, lai palīdzētu jauniešiem sagatavoties viņu turpmākajai pieaugušo dzīvei.</w:t>
      </w:r>
    </w:p>
    <w:p w14:paraId="12FA9C2A" w14:textId="77777777" w:rsidR="00497E52" w:rsidRPr="00E36037" w:rsidRDefault="00497E52" w:rsidP="00497E52">
      <w:pPr>
        <w:rPr>
          <w:lang w:val="en-GB"/>
        </w:rPr>
      </w:pPr>
    </w:p>
    <w:p w14:paraId="3345AA5C" w14:textId="77777777" w:rsidR="00497E52" w:rsidRPr="00E36037" w:rsidRDefault="00497E52" w:rsidP="00497E52">
      <w:pPr>
        <w:pStyle w:val="Heading2"/>
      </w:pPr>
      <w:r>
        <w:t xml:space="preserve">EESK jau ir norādījusi, ka uzņēmējdarbībai var būt izšķiroša nozīme arī konkurētspējas, inovācijas un labklājības uzlabošanā, kā arī sociālās un zaļās ekonomikas attīstībā, vēl jo vairāk saistībā ar atveseļošanu pēc pandēmijas. </w:t>
      </w:r>
      <w:r>
        <w:rPr>
          <w:highlight w:val="white"/>
        </w:rPr>
        <w:t>Uzņēmējdarbības izglītības veicināšana ar mērķi attīstīt uzņēmējdarbības prasmes varētu būt veids, kā radīt karjeras iespējas, it sevišķi jauniešu vidū</w:t>
      </w:r>
      <w:r w:rsidRPr="00E36037">
        <w:rPr>
          <w:rStyle w:val="FootnoteReference"/>
          <w:highlight w:val="white"/>
          <w:lang w:val="en-GB"/>
        </w:rPr>
        <w:footnoteReference w:id="18"/>
      </w:r>
      <w:r>
        <w:t>.</w:t>
      </w:r>
    </w:p>
    <w:p w14:paraId="12A5609E" w14:textId="77777777" w:rsidR="00497E52" w:rsidRPr="00E36037" w:rsidRDefault="00497E52" w:rsidP="00497E52">
      <w:pPr>
        <w:ind w:left="567" w:hanging="567"/>
        <w:rPr>
          <w:lang w:val="en-GB"/>
        </w:rPr>
      </w:pPr>
    </w:p>
    <w:p w14:paraId="6D785507" w14:textId="77777777" w:rsidR="00497E52" w:rsidRPr="00E36037" w:rsidRDefault="00497E52" w:rsidP="00497E52">
      <w:pPr>
        <w:pStyle w:val="Heading2"/>
      </w:pPr>
      <w:r>
        <w:t>EESK mudina valstu līmenī atrast piemērotus risinājumus, kā nodrošināt īres maksas kontroli, lai veicinātu mobilitāti izglītības vai profesionālos nolūkos, un īstenot sociālo mājokļu būvniecības programmu arī jauniešiem, it īpaši tiem, kas dzīvo lielās pilsētās un ekonomiskās attīstības centros.</w:t>
      </w:r>
    </w:p>
    <w:p w14:paraId="3C62E042" w14:textId="77777777" w:rsidR="00497E52" w:rsidRPr="00E36037" w:rsidRDefault="00497E52" w:rsidP="00497E52">
      <w:pPr>
        <w:ind w:left="567" w:hanging="567"/>
        <w:rPr>
          <w:lang w:val="en-GB"/>
        </w:rPr>
      </w:pPr>
    </w:p>
    <w:p w14:paraId="3842216A" w14:textId="77777777" w:rsidR="00497E52" w:rsidRPr="00E36037" w:rsidRDefault="00497E52" w:rsidP="00497E52">
      <w:pPr>
        <w:pStyle w:val="Heading2"/>
      </w:pPr>
      <w:r>
        <w:t xml:space="preserve">EESK aicina nodrošināt jauniešiem, it īpaši jauniešiem no lauku apvidiem, labāku piekļuvi kvalitatīviem veselības aprūpes pakalpojumiem, palielinot tādu slimnīcu struktūrvienību vai pārvietojamo objektu skaitu, kas sniedz primāros medicīniskos pakalpojumus, un izglītības iestādēs rīkojot izpratnes veicināšanas kampaņas par tādiem svarīgiem tematiem kā traumu profilakse, ēšanas traucējumi, garīgā veselība, vispārējā veselības mācība un reproduktīvā veselība. </w:t>
      </w:r>
      <w:r>
        <w:rPr>
          <w:color w:val="212121"/>
        </w:rPr>
        <w:t>Būtu jāizstrādā īpašas pētniecības programmas, lai palīdzētu jauniešiem cīnīties pret slimībām (piemēram, vēzi), jo pieaugušo ārstēšanas metodes bieži vien nav piemērotas jauniešiem.</w:t>
      </w:r>
    </w:p>
    <w:p w14:paraId="5C08A663" w14:textId="77777777" w:rsidR="00497E52" w:rsidRPr="00E36037" w:rsidRDefault="00497E52" w:rsidP="00497E52">
      <w:pPr>
        <w:ind w:left="567" w:hanging="567"/>
        <w:rPr>
          <w:lang w:val="en-GB"/>
        </w:rPr>
      </w:pPr>
    </w:p>
    <w:p w14:paraId="52E41DB9" w14:textId="77777777" w:rsidR="00497E52" w:rsidRPr="00E36037" w:rsidRDefault="00497E52" w:rsidP="00497E52">
      <w:pPr>
        <w:pStyle w:val="Heading2"/>
      </w:pPr>
      <w:r>
        <w:t>EESK aicina sadarbībā ar pilsoniskās sabiedrības organizācijām skolās kopā ar jauniešiem un pilsonisko sabiedrību pastāvīgi ieguldīt lielākas pūles, lai īstenotu pasākumus, kuru mērķis ir izglītot par satiksmi, seksuāli transmisīvo slimību profilaksi, iebiedēšanu un naida runu, kā arī tabakas, alkohola un narkotiku lietošanu.</w:t>
      </w:r>
    </w:p>
    <w:p w14:paraId="1455226B" w14:textId="77777777" w:rsidR="00497E52" w:rsidRPr="00E36037" w:rsidRDefault="00497E52" w:rsidP="00497E52">
      <w:pPr>
        <w:ind w:left="567" w:hanging="567"/>
        <w:rPr>
          <w:lang w:val="en-GB"/>
        </w:rPr>
      </w:pPr>
    </w:p>
    <w:p w14:paraId="21161F0A" w14:textId="77777777" w:rsidR="00497E52" w:rsidRPr="00E36037" w:rsidRDefault="00497E52" w:rsidP="00497E52">
      <w:pPr>
        <w:pStyle w:val="Heading2"/>
      </w:pPr>
      <w:r>
        <w:t xml:space="preserve">EESK ierosina gādāt par to, ka jauniešiem ir pieejamas oficiālas pārstāvības sistēmas attiecībās ar ieinteresētajiem darba tirgus dalībniekiem un saistībā ar biedrošanās brīvību, kā arī darba ņēmēju un darba devēju tiesībām, lai visi jaunieši, it īpaši tie, kuriem nav darba vai kuru darbavieta nav stabila, veidotu organizācijas un pēc pašu izvēles pievienotos organizācijām. </w:t>
      </w:r>
    </w:p>
    <w:p w14:paraId="68B19700" w14:textId="77777777" w:rsidR="00497E52" w:rsidRPr="00E36037" w:rsidRDefault="00497E52" w:rsidP="00497E52">
      <w:pPr>
        <w:ind w:left="567" w:hanging="567"/>
        <w:rPr>
          <w:lang w:val="en-GB"/>
        </w:rPr>
      </w:pPr>
    </w:p>
    <w:p w14:paraId="7FFAC911" w14:textId="77777777" w:rsidR="00497E52" w:rsidRPr="00E36037" w:rsidRDefault="00497E52" w:rsidP="00497E52">
      <w:pPr>
        <w:pStyle w:val="Heading2"/>
      </w:pPr>
      <w:r>
        <w:t>EESK aicina stiprināt to sociālo partneru un pilsoniskās sabiedrības organizāciju spējas, kas ļautu pārstāvēt jauniešus, atvieglot pāreju no skolas uz aktīvu darba dzīvi un jauniešu organizācijas iesaistīt sociālā dialoga iestādēs, darba koplīguma slēgšanas sarunās un trīspusējās organizācijās, kas ir atbildīgas par darba tirgu.</w:t>
      </w:r>
    </w:p>
    <w:p w14:paraId="53008ADC" w14:textId="77777777" w:rsidR="00497E52" w:rsidRPr="00E36037" w:rsidRDefault="00497E52" w:rsidP="00497E52">
      <w:pPr>
        <w:ind w:left="567" w:hanging="567"/>
        <w:rPr>
          <w:lang w:val="en-GB"/>
        </w:rPr>
      </w:pPr>
    </w:p>
    <w:p w14:paraId="56DBF329" w14:textId="77777777" w:rsidR="00497E52" w:rsidRPr="00E36037" w:rsidRDefault="00497E52" w:rsidP="00497E52">
      <w:pPr>
        <w:pStyle w:val="Heading2"/>
      </w:pPr>
      <w:r>
        <w:t>EESK aicina modernizēt un nostiprināt iestādes, kas darbojas darba tirgū, un tādējādi to sniegtos pakalpojumus pielāgot jauniešu specifiskajām vajadzībām, lai šādi pakalpojumi būtu viegli pieejami, dinamiski, lietotājiem viegli izmantojami un mazāk birokrātiski.</w:t>
      </w:r>
    </w:p>
    <w:p w14:paraId="4F0C528C" w14:textId="77777777" w:rsidR="00497E52" w:rsidRPr="00E36037" w:rsidRDefault="00497E52" w:rsidP="00497E52">
      <w:pPr>
        <w:ind w:left="567" w:hanging="567"/>
        <w:rPr>
          <w:lang w:val="en-GB"/>
        </w:rPr>
      </w:pPr>
    </w:p>
    <w:p w14:paraId="26C798DB" w14:textId="77777777" w:rsidR="00497E52" w:rsidRPr="00E36037" w:rsidRDefault="00497E52" w:rsidP="00497E52">
      <w:pPr>
        <w:pStyle w:val="Heading2"/>
      </w:pPr>
      <w:r>
        <w:t xml:space="preserve">Ņemot vērā algas, darba apstākļus, apmācības un profesionālās izaugsmes iespējas darbavietā, EESK aicina nodrošināt taisnīgu attieksmi ne tikai attiecībā uz vienlīdzīgām sieviešu un vīriešu </w:t>
      </w:r>
      <w:r>
        <w:lastRenderedPageBreak/>
        <w:t>iespējām, bet arī attiecībā uz jauniešiem salīdzinājumā ar citām vecuma grupām. Stažieru, it īpaši jauniešu, darbam nevajadzētu nozīmēt ekspluatāciju, un tam nevajadzētu būt instrumentam, ar ko apiet darba attiecības. Neapmaksāta vai nekompensēta stažēšanās var ļoti negatīvi ietekmēt jauniešu pieredzi darba tirgū</w:t>
      </w:r>
      <w:r w:rsidRPr="00E36037">
        <w:rPr>
          <w:rStyle w:val="FootnoteReference"/>
          <w:lang w:val="en-GB"/>
        </w:rPr>
        <w:footnoteReference w:id="19"/>
      </w:r>
      <w:r>
        <w:t>, un tā ir jāaizliedz</w:t>
      </w:r>
      <w:r w:rsidRPr="00E36037">
        <w:rPr>
          <w:rStyle w:val="FootnoteReference"/>
          <w:lang w:val="en-GB"/>
        </w:rPr>
        <w:footnoteReference w:id="20"/>
      </w:r>
      <w:r>
        <w:t>. Būtu vēl vairāk jāstiprina jauniešu pārstāvība.</w:t>
      </w:r>
    </w:p>
    <w:p w14:paraId="523FD4C9" w14:textId="77777777" w:rsidR="00497E52" w:rsidRPr="00E36037" w:rsidRDefault="00497E52" w:rsidP="00497E52">
      <w:pPr>
        <w:ind w:left="567" w:hanging="567"/>
        <w:rPr>
          <w:lang w:val="en-GB"/>
        </w:rPr>
      </w:pPr>
    </w:p>
    <w:p w14:paraId="75D30AF1" w14:textId="77777777" w:rsidR="00497E52" w:rsidRPr="00E36037" w:rsidRDefault="00497E52" w:rsidP="00497E52">
      <w:pPr>
        <w:pStyle w:val="Heading2"/>
      </w:pPr>
      <w:r>
        <w:t>EESK uzskata, ka ir nepieciešams atbalsts sociālajai ekonomikai, jo šī nozare, piemēram, ar pasākumiem, kuru mērķis ir paaugstināt pašnovērtējumu, uzlabot komunikācijas prasmes u. c., aktīvi palīdz sociāli atstumtiem jauniešiem un citām neaizsargātām personām.</w:t>
      </w:r>
    </w:p>
    <w:p w14:paraId="3C57BD48" w14:textId="77777777" w:rsidR="00497E52" w:rsidRPr="00E36037" w:rsidRDefault="00497E52" w:rsidP="00497E52">
      <w:pPr>
        <w:ind w:left="567" w:hanging="567"/>
        <w:rPr>
          <w:lang w:val="en-GB"/>
        </w:rPr>
      </w:pPr>
    </w:p>
    <w:p w14:paraId="0D054535" w14:textId="77777777" w:rsidR="00497E52" w:rsidRPr="00E36037" w:rsidRDefault="00497E52" w:rsidP="00497E52">
      <w:pPr>
        <w:pStyle w:val="Heading2"/>
      </w:pPr>
      <w:r>
        <w:t>EESK uzskata, ka pandēmijas radītais konteksts veselības aprūpes pakalpojumu zemās pieejamības dēļ prasa vairāk pūļu, lai palīdzētu jauniešiem atklāt garīgās veselības un labklājības problēmu pazīmes un popularizētu pareizu informāciju pēc iespējas lielākā skaitā kanālu, lai tādējādi identificētu vērtīgu informāciju pretstatā nepatiesiem solījumiem sniegt palīdzību/atbalstu, un šajā saistībā izmantot arī veselības aprūpes instrumentus.</w:t>
      </w:r>
    </w:p>
    <w:p w14:paraId="1E3CB1C3" w14:textId="77777777" w:rsidR="00497E52" w:rsidRPr="00E36037" w:rsidRDefault="00497E52" w:rsidP="00497E52">
      <w:pPr>
        <w:ind w:left="567" w:hanging="567"/>
        <w:rPr>
          <w:lang w:val="en-GB"/>
        </w:rPr>
      </w:pPr>
    </w:p>
    <w:p w14:paraId="197C3F76" w14:textId="77777777" w:rsidR="00497E52" w:rsidRPr="00E36037" w:rsidRDefault="00497E52" w:rsidP="00497E52">
      <w:pPr>
        <w:pStyle w:val="Heading2"/>
      </w:pPr>
      <w:r>
        <w:t>EESK aicina reformēt sociālās aizsardzības sistēmas un darba tiesību aktus, lai pielāgotos jaunajai realitātei un nodarbinātības veidiem un nodrošinātu, ka gaidāmās izmaiņas darba jomā nākotnē var tikt pielāgotas un regulētas ātrāk, pilnībā ievērojot valstīs pastāvošos sociālo partneru attiecību modeļus un sociālo partneru autonomiju.</w:t>
      </w:r>
    </w:p>
    <w:p w14:paraId="4E9B5F7E" w14:textId="77777777" w:rsidR="00497E52" w:rsidRPr="00E36037" w:rsidRDefault="00497E52" w:rsidP="00497E52">
      <w:pPr>
        <w:ind w:left="567" w:hanging="567"/>
        <w:rPr>
          <w:lang w:val="en-GB"/>
        </w:rPr>
      </w:pPr>
    </w:p>
    <w:p w14:paraId="39AB4582" w14:textId="77777777" w:rsidR="00497E52" w:rsidRPr="00E36037" w:rsidRDefault="00497E52" w:rsidP="00497E52">
      <w:pPr>
        <w:pStyle w:val="Heading2"/>
      </w:pPr>
      <w:r>
        <w:t>EESK ierosina pensiju sistēmās un sociālās aizsardzības sistēmās ņemt vērā jauniešu ekonomiskos un sociālos apstākļus un uzskata, ka šādām sistēmām vajadzētu būt taisnīgām, iekļaujošām un pielāgotām darba tirgus realitātei un jānodrošina aizsardzība tiem jauniešiem, kuru darba veids ir jauns, un tiem, kuri ir bez darba. Prioritātei jābūt augstas kvalitātes darbvietu nodrošināšanai visiem jauniešiem.</w:t>
      </w:r>
    </w:p>
    <w:p w14:paraId="7A9652CE" w14:textId="77777777" w:rsidR="00497E52" w:rsidRPr="00E36037" w:rsidRDefault="00497E52" w:rsidP="00497E52">
      <w:pPr>
        <w:ind w:left="567" w:hanging="567"/>
        <w:rPr>
          <w:lang w:val="en-GB"/>
        </w:rPr>
      </w:pPr>
    </w:p>
    <w:p w14:paraId="73F3AD15" w14:textId="77777777" w:rsidR="00497E52" w:rsidRPr="00E36037" w:rsidRDefault="00497E52" w:rsidP="00497E52">
      <w:pPr>
        <w:pStyle w:val="Heading2"/>
      </w:pPr>
      <w:r>
        <w:t xml:space="preserve">EESK uzsver, ka koronavīrusa pandēmijas periods parādīja, ka nodarbinātības jomā līdztekus stabilitātei un </w:t>
      </w:r>
      <w:proofErr w:type="spellStart"/>
      <w:r>
        <w:t>paredzamībai</w:t>
      </w:r>
      <w:proofErr w:type="spellEnd"/>
      <w:r>
        <w:t xml:space="preserve"> ir svarīgi arī veselības un drošības jautājumi, tostarp </w:t>
      </w:r>
      <w:proofErr w:type="spellStart"/>
      <w:r>
        <w:t>psihosociālie</w:t>
      </w:r>
      <w:proofErr w:type="spellEnd"/>
      <w:r>
        <w:t xml:space="preserve"> riski. Ir jāiesaistās dialogā ar jauniešiem par to, kā šajā jomā turpmāk novērst problēmas. Lai veicinātu jauniešu dalību darba tirgū, ir svarīgi gādāt par dažādu nodarbinātības veidu pieejamību atbilstīgi stabilitātes un kvalitātes standartiem. Turklāt ir vajadzīgi pasākumi, ar kuriem stiprināt jauniešu nodarbinātības apstākļu pārraudzību, tostarp darba inspekciju.</w:t>
      </w:r>
    </w:p>
    <w:p w14:paraId="6643EF65" w14:textId="77777777" w:rsidR="00497E52" w:rsidRPr="00E36037" w:rsidRDefault="00497E52" w:rsidP="00497E52">
      <w:pPr>
        <w:ind w:left="567" w:hanging="567"/>
        <w:rPr>
          <w:lang w:val="en-GB"/>
        </w:rPr>
      </w:pPr>
    </w:p>
    <w:p w14:paraId="5743DDC4" w14:textId="77777777" w:rsidR="00497E52" w:rsidRPr="00E36037" w:rsidRDefault="00497E52" w:rsidP="00497E52">
      <w:pPr>
        <w:pStyle w:val="Heading2"/>
      </w:pPr>
      <w:r>
        <w:t>EESK aicina aizsargāt jauniešu tiesības un garantēt sociālo aizsardzību, līdzsvarojot darba un privāto dzīvi, aizsargājot tiesības uz privāto dzīvi un saglabājot kolektīvo sarunu iespējas. Būtu jāmudina rast veidus, kā veicināt piemērotu darba grafika elastību, lai varētu pabeigt studijas.</w:t>
      </w:r>
    </w:p>
    <w:p w14:paraId="619F8D81" w14:textId="77777777" w:rsidR="00497E52" w:rsidRPr="00E36037" w:rsidRDefault="00497E52" w:rsidP="00497E52">
      <w:pPr>
        <w:ind w:left="567" w:hanging="567"/>
        <w:rPr>
          <w:lang w:val="en-GB"/>
        </w:rPr>
      </w:pPr>
    </w:p>
    <w:p w14:paraId="41047DE2" w14:textId="77777777" w:rsidR="00497E52" w:rsidRPr="00E36037" w:rsidRDefault="00497E52" w:rsidP="00497E52">
      <w:pPr>
        <w:pStyle w:val="Heading2"/>
      </w:pPr>
      <w:r>
        <w:t xml:space="preserve">EESK aicina nodrošināt lielāku sinerģiju starp dažādiem jaunatnei paredzētiem instrumentiem, tādiem kā Garantija jauniešiem un Garantija bērniem. Būtu jāgādā reāla garantija, lai jauniešiem nodrošinātu paredzamas karjeras iespējas. Publiskajam finansējumam, ar ko darba tirgū atbalsta </w:t>
      </w:r>
      <w:r>
        <w:lastRenderedPageBreak/>
        <w:t>jauniešus, nevajadzētu veicināt nestabilitāti, un arī turpmāk prioritātei vajadzētu būt sociālo partneru un pilsoniskās sabiedrības iesaistei, lai palīdzētu jauniešiem darba tirgū.</w:t>
      </w:r>
    </w:p>
    <w:p w14:paraId="645E0FC8" w14:textId="77777777" w:rsidR="00497E52" w:rsidRPr="00E36037" w:rsidRDefault="00497E52" w:rsidP="00497E52">
      <w:pPr>
        <w:ind w:left="567" w:hanging="567"/>
        <w:rPr>
          <w:lang w:val="en-GB"/>
        </w:rPr>
      </w:pPr>
    </w:p>
    <w:p w14:paraId="07904CD8" w14:textId="77777777" w:rsidR="00497E52" w:rsidRPr="00E36037" w:rsidRDefault="00497E52" w:rsidP="00497E52">
      <w:pPr>
        <w:pStyle w:val="Heading3"/>
      </w:pPr>
      <w:r>
        <w:t>EESK mērķis ir nodrošināt, ka visiem bērniem un jauniešiem, kuriem nav pienācīgas vecāku aprūpes, tiek organizēta atbilstoša un kvalitatīva alternatīvā aprūpe un, tā kā šādos apstākļos attiecībām ir vēl lielāka nozīme, māsām un brāļiem ir atļauts palikt kopā, ja vien tas ir viņu interesēs. Vispārīgāk runājot, ir svarīgi, lai atbalsta mehānismi neizsīkst pēkšņi, kad jaunieši sasniedz 18 gadu vecumu.</w:t>
      </w:r>
    </w:p>
    <w:p w14:paraId="45E09E22" w14:textId="77777777" w:rsidR="00497E52" w:rsidRPr="00E36037" w:rsidRDefault="00497E52" w:rsidP="00497E52">
      <w:pPr>
        <w:ind w:left="567" w:hanging="567"/>
        <w:rPr>
          <w:lang w:val="en-GB"/>
        </w:rPr>
      </w:pPr>
    </w:p>
    <w:p w14:paraId="551F69DF" w14:textId="77777777" w:rsidR="00497E52" w:rsidRPr="00E36037" w:rsidRDefault="00497E52" w:rsidP="00497E52">
      <w:pPr>
        <w:pStyle w:val="Heading2"/>
      </w:pPr>
      <w:r>
        <w:t xml:space="preserve">EESK uzsver, ka ir pienācīgi jārisina ekonomikas, sociālās un vides problēmas, ko it īpaši jauniešiem rada pašreizējais ekonomikas modelis. Tas būtu jādara, paturot prātā, ka, lai mūsu sabiedrība vairāk apzinātos vides aizsardzības aspektus, būtu taisnīgāka, iekļaujošāka, ilgtspējīgāka un vairāk orientēta uz labbūtību, vispirms jāņem vērā jauniešu intereses, kas ir nākotnes </w:t>
      </w:r>
      <w:proofErr w:type="spellStart"/>
      <w:r>
        <w:t>pamatpīlārs</w:t>
      </w:r>
      <w:proofErr w:type="spellEnd"/>
      <w:r>
        <w:t>. Jaunatnei vajadzētu būt transversālam tematam/mērķim ESI fondu ieguldījumos.</w:t>
      </w:r>
    </w:p>
    <w:p w14:paraId="312D82F4" w14:textId="77777777" w:rsidR="00497E52" w:rsidRPr="00E36037" w:rsidRDefault="00497E52" w:rsidP="00497E52">
      <w:pPr>
        <w:ind w:left="567" w:hanging="567"/>
        <w:rPr>
          <w:lang w:val="en-GB"/>
        </w:rPr>
      </w:pPr>
    </w:p>
    <w:p w14:paraId="3A05968B" w14:textId="6CFC0758" w:rsidR="00497E52" w:rsidRPr="00E36037" w:rsidRDefault="00497E52" w:rsidP="00497E52">
      <w:pPr>
        <w:pStyle w:val="Heading2"/>
      </w:pPr>
      <w:r>
        <w:t>EESK uzskata, ka ir jāgādā, lai jauniešiem būtu iespējas veidot ģimeni. Eiropas stabilitātes un nākotnes interesēs izšķiroši svarīgi ir ieguldīt lielākas pūles, lai jauniešus motivētu veidot ģimeni un radīt bērnus. Tāpēc, izstrādājot īpašu ES programmu, ir būtiski nodrošināt piekļuvi mājokļiem, bērnu aprūpes pakalpojumiem un elastīgam sociālajam atbalstam.</w:t>
      </w:r>
    </w:p>
    <w:p w14:paraId="036D2C6A" w14:textId="77777777" w:rsidR="00497E52" w:rsidRPr="00E36037" w:rsidRDefault="00497E52" w:rsidP="00497E52">
      <w:pPr>
        <w:ind w:left="567" w:hanging="567"/>
        <w:rPr>
          <w:lang w:val="en-GB"/>
        </w:rPr>
      </w:pPr>
    </w:p>
    <w:p w14:paraId="0E4D90CA" w14:textId="56FC8853" w:rsidR="00497E52" w:rsidRPr="00E36037" w:rsidRDefault="00497E52" w:rsidP="00497E52">
      <w:pPr>
        <w:pStyle w:val="Heading2"/>
      </w:pPr>
      <w:r>
        <w:t>EESK pārliecināti aicina nodrošināt patiesi demokrātisku un plurālistisku sabiedrisko telpu jaunajai paaudzei, lai tā varētu paust savu viedokli, nebaidoties no atstumtības un no naida izpausmēm. Vienlaikus ir ārkārtīgi svarīgi pilnveidot zināšanas un izpratni par manipulācijām ar informāciju un dezinformāciju.</w:t>
      </w:r>
    </w:p>
    <w:p w14:paraId="50B8444A" w14:textId="77777777" w:rsidR="00497E52" w:rsidRPr="00E36037" w:rsidRDefault="00497E52" w:rsidP="00497E52">
      <w:pPr>
        <w:rPr>
          <w:lang w:val="en-GB"/>
        </w:rPr>
      </w:pPr>
    </w:p>
    <w:p w14:paraId="4820997B" w14:textId="24E89398" w:rsidR="00497E52" w:rsidRPr="00E36037" w:rsidRDefault="00497E52" w:rsidP="00497E52">
      <w:pPr>
        <w:pStyle w:val="Heading2"/>
        <w:numPr>
          <w:ilvl w:val="0"/>
          <w:numId w:val="0"/>
        </w:numPr>
      </w:pPr>
      <w:r>
        <w:t>Briselē, 2022.</w:t>
      </w:r>
      <w:r w:rsidR="0093238F">
        <w:t> </w:t>
      </w:r>
      <w:r>
        <w:t>gada 15.</w:t>
      </w:r>
      <w:r w:rsidR="0093238F">
        <w:t> </w:t>
      </w:r>
      <w:r>
        <w:t>decembrī</w:t>
      </w:r>
    </w:p>
    <w:p w14:paraId="25ACF248" w14:textId="77777777" w:rsidR="00497E52" w:rsidRPr="00E36037" w:rsidRDefault="00497E52" w:rsidP="00497E52">
      <w:pPr>
        <w:rPr>
          <w:lang w:val="en-GB"/>
        </w:rPr>
      </w:pPr>
    </w:p>
    <w:p w14:paraId="76D76B86" w14:textId="5B9C175C" w:rsidR="00497E52" w:rsidRDefault="00497E52" w:rsidP="00497E52">
      <w:pPr>
        <w:rPr>
          <w:lang w:val="en-GB"/>
        </w:rPr>
      </w:pPr>
    </w:p>
    <w:p w14:paraId="0E3903F5" w14:textId="264BF786" w:rsidR="005B5B84" w:rsidRDefault="005B5B84" w:rsidP="00497E52">
      <w:pPr>
        <w:rPr>
          <w:lang w:val="en-GB"/>
        </w:rPr>
      </w:pPr>
    </w:p>
    <w:p w14:paraId="4B6399C9" w14:textId="77777777" w:rsidR="005B5B84" w:rsidRPr="00E36037" w:rsidRDefault="005B5B84" w:rsidP="00497E52">
      <w:pPr>
        <w:rPr>
          <w:lang w:val="en-GB"/>
        </w:rPr>
      </w:pPr>
    </w:p>
    <w:p w14:paraId="4144FCCC" w14:textId="267D348E" w:rsidR="00497E52" w:rsidRPr="00E36037" w:rsidRDefault="00497E52" w:rsidP="00497E52">
      <w:proofErr w:type="spellStart"/>
      <w:r>
        <w:rPr>
          <w:i/>
        </w:rPr>
        <w:t>Christa</w:t>
      </w:r>
      <w:proofErr w:type="spellEnd"/>
      <w:r>
        <w:rPr>
          <w:i/>
        </w:rPr>
        <w:t xml:space="preserve"> </w:t>
      </w:r>
      <w:r w:rsidR="0093238F">
        <w:rPr>
          <w:i/>
        </w:rPr>
        <w:t>SCHWENG</w:t>
      </w:r>
    </w:p>
    <w:p w14:paraId="4A5CF83B" w14:textId="148C4F5F" w:rsidR="00E2376B" w:rsidRPr="00E36037" w:rsidRDefault="00497E52" w:rsidP="00E2376B">
      <w:r>
        <w:t>Eiropas Ekonomikas un sociālo lietu komitejas priekšsēdētāja</w:t>
      </w:r>
    </w:p>
    <w:p w14:paraId="6BABC1C7" w14:textId="77777777" w:rsidR="00F53370" w:rsidRPr="00E36037" w:rsidRDefault="00E2376B" w:rsidP="00DB7F50">
      <w:pPr>
        <w:jc w:val="center"/>
      </w:pPr>
      <w:r>
        <w:t>_____________</w:t>
      </w:r>
    </w:p>
    <w:sectPr w:rsidR="00F53370" w:rsidRPr="00E36037" w:rsidSect="001E74A1">
      <w:headerReference w:type="default" r:id="rId21"/>
      <w:footerReference w:type="default" r:id="rId22"/>
      <w:pgSz w:w="11907" w:h="16839" w:code="9"/>
      <w:pgMar w:top="1418" w:right="1418" w:bottom="1418" w:left="1418" w:header="709" w:footer="709"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304218" w14:textId="77777777" w:rsidR="00A46613" w:rsidRDefault="00A46613" w:rsidP="00F53370">
      <w:pPr>
        <w:spacing w:line="240" w:lineRule="auto"/>
      </w:pPr>
      <w:r>
        <w:separator/>
      </w:r>
    </w:p>
  </w:endnote>
  <w:endnote w:type="continuationSeparator" w:id="0">
    <w:p w14:paraId="00E22FEE" w14:textId="77777777" w:rsidR="00A46613" w:rsidRDefault="00A46613" w:rsidP="00F5337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EA6BE" w14:textId="77777777" w:rsidR="00E47F8A" w:rsidRDefault="00E47F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AA423" w14:textId="77777777" w:rsidR="00E47F8A" w:rsidRDefault="00E47F8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E2848" w14:textId="77777777" w:rsidR="00E47F8A" w:rsidRDefault="00E47F8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FD4BD" w14:textId="77777777" w:rsidR="00574C9B" w:rsidRDefault="00574C9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3217E" w14:textId="61D0D2E1" w:rsidR="0084105C" w:rsidRPr="003065C9" w:rsidRDefault="000059B7" w:rsidP="000059B7">
    <w:pPr>
      <w:pStyle w:val="Footer"/>
      <w:jc w:val="left"/>
    </w:pPr>
    <w:r>
      <w:t xml:space="preserve">EESC-2022-05772-00-00-RES-TRA (EN) </w:t>
    </w:r>
    <w:r>
      <w:fldChar w:fldCharType="begin"/>
    </w:r>
    <w:r>
      <w:instrText xml:space="preserve"> PAGE  \* Arabic  \* MERGEFORMAT </w:instrText>
    </w:r>
    <w:r>
      <w:fldChar w:fldCharType="separate"/>
    </w:r>
    <w:r w:rsidR="00DB6B17">
      <w:rPr>
        <w:noProof/>
      </w:rPr>
      <w:t>1</w:t>
    </w:r>
    <w:r>
      <w:fldChar w:fldCharType="end"/>
    </w:r>
    <w:r>
      <w:t>/</w:t>
    </w:r>
    <w:r>
      <w:fldChar w:fldCharType="begin"/>
    </w:r>
    <w:r>
      <w:instrText xml:space="preserve"> = </w:instrText>
    </w:r>
    <w:r w:rsidR="00A46613">
      <w:fldChar w:fldCharType="begin"/>
    </w:r>
    <w:r w:rsidR="00A46613">
      <w:instrText xml:space="preserve"> NUMPAGES </w:instrText>
    </w:r>
    <w:r w:rsidR="00A46613">
      <w:fldChar w:fldCharType="separate"/>
    </w:r>
    <w:r w:rsidR="00D17E33">
      <w:rPr>
        <w:noProof/>
      </w:rPr>
      <w:instrText>10</w:instrText>
    </w:r>
    <w:r w:rsidR="00A46613">
      <w:rPr>
        <w:noProof/>
      </w:rPr>
      <w:fldChar w:fldCharType="end"/>
    </w:r>
    <w:r>
      <w:instrText xml:space="preserve"> - 2 </w:instrText>
    </w:r>
    <w:r>
      <w:fldChar w:fldCharType="separate"/>
    </w:r>
    <w:r w:rsidR="00D17E33">
      <w:rPr>
        <w:noProof/>
      </w:rPr>
      <w:t>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59B9C6" w14:textId="77777777" w:rsidR="00A46613" w:rsidRDefault="00A46613" w:rsidP="00F53370">
      <w:pPr>
        <w:spacing w:line="240" w:lineRule="auto"/>
      </w:pPr>
      <w:r>
        <w:separator/>
      </w:r>
    </w:p>
  </w:footnote>
  <w:footnote w:type="continuationSeparator" w:id="0">
    <w:p w14:paraId="5C512C8B" w14:textId="77777777" w:rsidR="00A46613" w:rsidRDefault="00A46613" w:rsidP="00F53370">
      <w:pPr>
        <w:spacing w:line="240" w:lineRule="auto"/>
      </w:pPr>
      <w:r>
        <w:continuationSeparator/>
      </w:r>
    </w:p>
  </w:footnote>
  <w:footnote w:id="1">
    <w:p w14:paraId="1F64DC0D" w14:textId="1BF9BEA6" w:rsidR="00497E52" w:rsidRPr="0093238F" w:rsidRDefault="00497E52" w:rsidP="005B220D">
      <w:pPr>
        <w:spacing w:after="60" w:line="240" w:lineRule="auto"/>
        <w:ind w:left="567" w:hanging="567"/>
        <w:rPr>
          <w:sz w:val="16"/>
          <w:szCs w:val="16"/>
        </w:rPr>
      </w:pPr>
      <w:r w:rsidRPr="0093238F">
        <w:rPr>
          <w:rStyle w:val="FootnoteReference"/>
          <w:sz w:val="16"/>
          <w:szCs w:val="16"/>
          <w:lang w:val="en-GB"/>
        </w:rPr>
        <w:footnoteRef/>
      </w:r>
      <w:r w:rsidRPr="0093238F">
        <w:rPr>
          <w:sz w:val="16"/>
          <w:szCs w:val="16"/>
        </w:rPr>
        <w:tab/>
      </w:r>
      <w:hyperlink r:id="rId1" w:history="1">
        <w:r w:rsidRPr="0093238F">
          <w:rPr>
            <w:rStyle w:val="Hyperlink"/>
            <w:sz w:val="16"/>
            <w:szCs w:val="16"/>
          </w:rPr>
          <w:t>https://ec.</w:t>
        </w:r>
        <w:r w:rsidRPr="005B5B84">
          <w:rPr>
            <w:rStyle w:val="Hyperlink"/>
            <w:sz w:val="16"/>
            <w:szCs w:val="16"/>
          </w:rPr>
          <w:t>europa</w:t>
        </w:r>
        <w:r w:rsidRPr="0093238F">
          <w:rPr>
            <w:rStyle w:val="Hyperlink"/>
            <w:sz w:val="16"/>
            <w:szCs w:val="16"/>
          </w:rPr>
          <w:t>.eu/commission/presscorner/detail/lv/speech_21_4701</w:t>
        </w:r>
      </w:hyperlink>
    </w:p>
  </w:footnote>
  <w:footnote w:id="2">
    <w:p w14:paraId="7B5AAAEC" w14:textId="65EFF88D" w:rsidR="00497E52" w:rsidRPr="0093238F" w:rsidRDefault="00497E52" w:rsidP="005B220D">
      <w:pPr>
        <w:pStyle w:val="FootnoteText"/>
        <w:rPr>
          <w:szCs w:val="16"/>
        </w:rPr>
      </w:pPr>
      <w:r w:rsidRPr="0093238F">
        <w:rPr>
          <w:rStyle w:val="FootnoteReference"/>
          <w:sz w:val="16"/>
          <w:szCs w:val="16"/>
          <w:lang w:val="en-GB"/>
        </w:rPr>
        <w:footnoteRef/>
      </w:r>
      <w:r w:rsidRPr="0093238F">
        <w:rPr>
          <w:szCs w:val="16"/>
        </w:rPr>
        <w:t xml:space="preserve"> </w:t>
      </w:r>
      <w:r w:rsidRPr="0093238F">
        <w:rPr>
          <w:szCs w:val="16"/>
        </w:rPr>
        <w:tab/>
      </w:r>
      <w:hyperlink r:id="rId2">
        <w:r w:rsidRPr="005B5B84">
          <w:rPr>
            <w:color w:val="0000FF"/>
            <w:szCs w:val="16"/>
            <w:u w:val="single"/>
          </w:rPr>
          <w:t>https://ec.europa.eu/commission/presscorner/detail/lv/IP_21_5226</w:t>
        </w:r>
      </w:hyperlink>
    </w:p>
  </w:footnote>
  <w:footnote w:id="3">
    <w:p w14:paraId="605C1585" w14:textId="77777777" w:rsidR="00497E52" w:rsidRPr="0093238F" w:rsidRDefault="00497E52" w:rsidP="005B220D">
      <w:pPr>
        <w:pStyle w:val="FootnoteText"/>
        <w:rPr>
          <w:szCs w:val="16"/>
        </w:rPr>
      </w:pPr>
      <w:r w:rsidRPr="0093238F">
        <w:rPr>
          <w:rStyle w:val="FootnoteReference"/>
          <w:sz w:val="16"/>
          <w:szCs w:val="16"/>
          <w:lang w:val="en-GB"/>
        </w:rPr>
        <w:footnoteRef/>
      </w:r>
      <w:r w:rsidRPr="0093238F">
        <w:rPr>
          <w:szCs w:val="16"/>
        </w:rPr>
        <w:t xml:space="preserve"> </w:t>
      </w:r>
      <w:r w:rsidRPr="0093238F">
        <w:rPr>
          <w:szCs w:val="16"/>
        </w:rPr>
        <w:tab/>
        <w:t xml:space="preserve">EESK atzinums par jaunu Eiropas Savienības jaunatnes stratēģiju (paziņojums), </w:t>
      </w:r>
      <w:hyperlink r:id="rId3" w:history="1">
        <w:r w:rsidRPr="0093238F">
          <w:rPr>
            <w:rStyle w:val="Hyperlink"/>
            <w:szCs w:val="16"/>
          </w:rPr>
          <w:t>OV C 62, 15.2.2019., 142. lpp</w:t>
        </w:r>
      </w:hyperlink>
      <w:r w:rsidRPr="0093238F">
        <w:rPr>
          <w:szCs w:val="16"/>
        </w:rPr>
        <w:t>.</w:t>
      </w:r>
    </w:p>
  </w:footnote>
  <w:footnote w:id="4">
    <w:p w14:paraId="47B27DD6" w14:textId="77777777" w:rsidR="00497E52" w:rsidRPr="0093238F" w:rsidRDefault="00497E52" w:rsidP="005B220D">
      <w:pPr>
        <w:pStyle w:val="FootnoteText"/>
        <w:rPr>
          <w:szCs w:val="16"/>
        </w:rPr>
      </w:pPr>
      <w:r w:rsidRPr="0093238F">
        <w:rPr>
          <w:rStyle w:val="FootnoteReference"/>
          <w:sz w:val="16"/>
          <w:szCs w:val="16"/>
          <w:lang w:val="en-GB"/>
        </w:rPr>
        <w:footnoteRef/>
      </w:r>
      <w:r w:rsidRPr="0093238F">
        <w:rPr>
          <w:szCs w:val="16"/>
        </w:rPr>
        <w:t xml:space="preserve"> </w:t>
      </w:r>
      <w:r w:rsidRPr="0093238F">
        <w:rPr>
          <w:szCs w:val="16"/>
        </w:rPr>
        <w:tab/>
        <w:t xml:space="preserve">EESK atzinums “Ceļā uz jauniešu strukturētu iesaisti klimata un ilgtspējas jautājumu risināšanā ES lēmumu pieņemšanas procesā”, </w:t>
      </w:r>
      <w:hyperlink r:id="rId4" w:history="1">
        <w:r w:rsidRPr="0093238F">
          <w:rPr>
            <w:rStyle w:val="Hyperlink"/>
            <w:szCs w:val="16"/>
          </w:rPr>
          <w:t>OV C 429, 11.12.2020., 44. lpp</w:t>
        </w:r>
      </w:hyperlink>
      <w:r w:rsidRPr="0093238F">
        <w:rPr>
          <w:szCs w:val="16"/>
        </w:rPr>
        <w:t>.</w:t>
      </w:r>
    </w:p>
  </w:footnote>
  <w:footnote w:id="5">
    <w:p w14:paraId="25925183" w14:textId="1FC9D4DD" w:rsidR="00497E52" w:rsidRPr="0093238F" w:rsidRDefault="00497E52" w:rsidP="005B220D">
      <w:pPr>
        <w:spacing w:after="60" w:line="240" w:lineRule="auto"/>
        <w:ind w:left="567" w:hanging="567"/>
        <w:rPr>
          <w:sz w:val="16"/>
          <w:szCs w:val="16"/>
        </w:rPr>
      </w:pPr>
      <w:r w:rsidRPr="0093238F">
        <w:rPr>
          <w:rStyle w:val="FootnoteReference"/>
          <w:sz w:val="16"/>
          <w:szCs w:val="16"/>
          <w:lang w:val="en-GB"/>
        </w:rPr>
        <w:footnoteRef/>
      </w:r>
      <w:r w:rsidRPr="0093238F">
        <w:rPr>
          <w:sz w:val="16"/>
          <w:szCs w:val="16"/>
        </w:rPr>
        <w:t xml:space="preserve"> </w:t>
      </w:r>
      <w:r w:rsidRPr="0093238F">
        <w:rPr>
          <w:sz w:val="16"/>
          <w:szCs w:val="16"/>
        </w:rPr>
        <w:tab/>
        <w:t xml:space="preserve">EESK atzinums </w:t>
      </w:r>
      <w:hyperlink r:id="rId5" w:history="1">
        <w:r w:rsidRPr="0093238F">
          <w:rPr>
            <w:rStyle w:val="Hyperlink"/>
            <w:sz w:val="16"/>
            <w:szCs w:val="16"/>
          </w:rPr>
          <w:t>“Palielināt jauniešu iespējas ar izglītību panākt ilgtspējīgu attīstību</w:t>
        </w:r>
      </w:hyperlink>
      <w:r w:rsidRPr="0093238F">
        <w:rPr>
          <w:sz w:val="16"/>
          <w:szCs w:val="16"/>
        </w:rPr>
        <w:t xml:space="preserve">” (vēl nav publicēts </w:t>
      </w:r>
      <w:r w:rsidRPr="0093238F">
        <w:rPr>
          <w:i/>
          <w:iCs/>
          <w:sz w:val="16"/>
          <w:szCs w:val="16"/>
        </w:rPr>
        <w:t>Oficiālajā Vēstnesī</w:t>
      </w:r>
      <w:r w:rsidRPr="0093238F">
        <w:rPr>
          <w:sz w:val="16"/>
          <w:szCs w:val="16"/>
        </w:rPr>
        <w:t>).</w:t>
      </w:r>
    </w:p>
  </w:footnote>
  <w:footnote w:id="6">
    <w:p w14:paraId="794DCF1A" w14:textId="79086811" w:rsidR="00497E52" w:rsidRPr="0093238F" w:rsidRDefault="00497E52" w:rsidP="005B220D">
      <w:pPr>
        <w:pStyle w:val="FootnoteText"/>
        <w:rPr>
          <w:szCs w:val="16"/>
        </w:rPr>
      </w:pPr>
      <w:r w:rsidRPr="0093238F">
        <w:rPr>
          <w:rStyle w:val="FootnoteReference"/>
          <w:sz w:val="16"/>
          <w:szCs w:val="16"/>
          <w:lang w:val="en-GB"/>
        </w:rPr>
        <w:footnoteRef/>
      </w:r>
      <w:r w:rsidRPr="0093238F">
        <w:rPr>
          <w:szCs w:val="16"/>
        </w:rPr>
        <w:t xml:space="preserve"> </w:t>
      </w:r>
      <w:r w:rsidRPr="0093238F">
        <w:rPr>
          <w:szCs w:val="16"/>
        </w:rPr>
        <w:tab/>
        <w:t xml:space="preserve">EESK informatīvs ziņojums </w:t>
      </w:r>
      <w:hyperlink r:id="rId6" w:history="1">
        <w:r w:rsidRPr="0093238F">
          <w:rPr>
            <w:rStyle w:val="Hyperlink"/>
            <w:szCs w:val="16"/>
          </w:rPr>
          <w:t>“Vienlīdzīga attieksme pret jauniešiem darba tirgū”</w:t>
        </w:r>
      </w:hyperlink>
      <w:r w:rsidR="005B5B84">
        <w:rPr>
          <w:szCs w:val="16"/>
        </w:rPr>
        <w:t xml:space="preserve"> (tiek izstrādāts).</w:t>
      </w:r>
    </w:p>
  </w:footnote>
  <w:footnote w:id="7">
    <w:p w14:paraId="390F0158" w14:textId="77777777" w:rsidR="00497E52" w:rsidRPr="0093238F" w:rsidRDefault="00497E52" w:rsidP="005B220D">
      <w:pPr>
        <w:pStyle w:val="FootnoteText"/>
        <w:rPr>
          <w:szCs w:val="16"/>
        </w:rPr>
      </w:pPr>
      <w:r w:rsidRPr="0093238F">
        <w:rPr>
          <w:rStyle w:val="FootnoteReference"/>
          <w:sz w:val="16"/>
          <w:szCs w:val="16"/>
          <w:lang w:val="en-GB"/>
        </w:rPr>
        <w:footnoteRef/>
      </w:r>
      <w:r w:rsidRPr="0093238F">
        <w:rPr>
          <w:szCs w:val="16"/>
        </w:rPr>
        <w:t xml:space="preserve"> </w:t>
      </w:r>
      <w:r w:rsidRPr="0093238F">
        <w:rPr>
          <w:szCs w:val="16"/>
        </w:rPr>
        <w:tab/>
        <w:t xml:space="preserve">EESK atzinums “Kā garantēt pienācīgas kvalitātes nodarbinātību jauniešiem un nodrošināt jauniešu, kas nemācās, nestrādā un neapgūst arodu, iekļaušanu, izmantojot pienācīgi izstrādātus nacionālos atveseļošanas plānus”, </w:t>
      </w:r>
      <w:hyperlink r:id="rId7" w:history="1">
        <w:r w:rsidRPr="0093238F">
          <w:rPr>
            <w:rStyle w:val="Hyperlink"/>
            <w:szCs w:val="16"/>
          </w:rPr>
          <w:t>OV C 152, 6.4.2022., 27. lpp</w:t>
        </w:r>
      </w:hyperlink>
      <w:r w:rsidRPr="0093238F">
        <w:rPr>
          <w:szCs w:val="16"/>
        </w:rPr>
        <w:t>.</w:t>
      </w:r>
    </w:p>
  </w:footnote>
  <w:footnote w:id="8">
    <w:p w14:paraId="0FB37233" w14:textId="77777777" w:rsidR="00497E52" w:rsidRPr="0093238F" w:rsidRDefault="00497E52" w:rsidP="005B220D">
      <w:pPr>
        <w:pStyle w:val="FootnoteText"/>
        <w:rPr>
          <w:szCs w:val="16"/>
        </w:rPr>
      </w:pPr>
      <w:r w:rsidRPr="0093238F">
        <w:rPr>
          <w:rStyle w:val="FootnoteReference"/>
          <w:sz w:val="16"/>
          <w:szCs w:val="16"/>
          <w:lang w:val="en-GB"/>
        </w:rPr>
        <w:footnoteRef/>
      </w:r>
      <w:r w:rsidRPr="0093238F">
        <w:rPr>
          <w:szCs w:val="16"/>
        </w:rPr>
        <w:t xml:space="preserve"> </w:t>
      </w:r>
      <w:r w:rsidRPr="0093238F">
        <w:rPr>
          <w:szCs w:val="16"/>
        </w:rPr>
        <w:tab/>
        <w:t xml:space="preserve">EESK atzinums “Jaunatnes politika </w:t>
      </w:r>
      <w:r w:rsidRPr="0093238F">
        <w:rPr>
          <w:szCs w:val="16"/>
        </w:rPr>
        <w:t xml:space="preserve">Rietumbalkānos”, </w:t>
      </w:r>
      <w:hyperlink r:id="rId8" w:history="1">
        <w:r w:rsidRPr="0093238F">
          <w:rPr>
            <w:rStyle w:val="Hyperlink"/>
            <w:szCs w:val="16"/>
          </w:rPr>
          <w:t>OV C 443, 22.11.2022., 44. lpp</w:t>
        </w:r>
      </w:hyperlink>
      <w:r w:rsidRPr="0093238F">
        <w:rPr>
          <w:szCs w:val="16"/>
        </w:rPr>
        <w:t>.</w:t>
      </w:r>
    </w:p>
  </w:footnote>
  <w:footnote w:id="9">
    <w:p w14:paraId="7230D136" w14:textId="77777777" w:rsidR="00497E52" w:rsidRPr="0093238F" w:rsidRDefault="00497E52" w:rsidP="005B220D">
      <w:pPr>
        <w:pStyle w:val="FootnoteText"/>
        <w:rPr>
          <w:szCs w:val="16"/>
        </w:rPr>
      </w:pPr>
      <w:r w:rsidRPr="0093238F">
        <w:rPr>
          <w:rStyle w:val="FootnoteReference"/>
          <w:sz w:val="16"/>
          <w:szCs w:val="16"/>
          <w:lang w:val="en-GB"/>
        </w:rPr>
        <w:footnoteRef/>
      </w:r>
      <w:r w:rsidRPr="0093238F">
        <w:rPr>
          <w:szCs w:val="16"/>
        </w:rPr>
        <w:t xml:space="preserve"> </w:t>
      </w:r>
      <w:r w:rsidRPr="0093238F">
        <w:rPr>
          <w:szCs w:val="16"/>
        </w:rPr>
        <w:tab/>
        <w:t xml:space="preserve">EESK atzinums </w:t>
      </w:r>
      <w:hyperlink r:id="rId9" w:history="1">
        <w:r w:rsidRPr="0093238F">
          <w:rPr>
            <w:rStyle w:val="Hyperlink"/>
            <w:szCs w:val="16"/>
          </w:rPr>
          <w:t>“ES jauniešu tests”</w:t>
        </w:r>
      </w:hyperlink>
      <w:r w:rsidRPr="0093238F">
        <w:rPr>
          <w:szCs w:val="16"/>
        </w:rPr>
        <w:t xml:space="preserve"> (vēl nav publicēts </w:t>
      </w:r>
      <w:r w:rsidRPr="0093238F">
        <w:rPr>
          <w:i/>
          <w:iCs/>
          <w:szCs w:val="16"/>
        </w:rPr>
        <w:t>Oficiālajā Vēstnesī</w:t>
      </w:r>
      <w:r w:rsidRPr="0093238F">
        <w:rPr>
          <w:szCs w:val="16"/>
        </w:rPr>
        <w:t>).</w:t>
      </w:r>
    </w:p>
  </w:footnote>
  <w:footnote w:id="10">
    <w:p w14:paraId="55D6F7C8" w14:textId="77777777" w:rsidR="00497E52" w:rsidRPr="0093238F" w:rsidRDefault="00497E52" w:rsidP="00497E52">
      <w:pPr>
        <w:pStyle w:val="FootnoteText"/>
        <w:rPr>
          <w:szCs w:val="16"/>
        </w:rPr>
      </w:pPr>
      <w:r w:rsidRPr="0093238F">
        <w:rPr>
          <w:rStyle w:val="FootnoteReference"/>
          <w:sz w:val="16"/>
          <w:szCs w:val="16"/>
          <w:lang w:val="en-GB"/>
        </w:rPr>
        <w:footnoteRef/>
      </w:r>
      <w:r w:rsidRPr="0093238F">
        <w:rPr>
          <w:szCs w:val="16"/>
        </w:rPr>
        <w:t xml:space="preserve"> </w:t>
      </w:r>
      <w:r w:rsidRPr="0093238F">
        <w:rPr>
          <w:szCs w:val="16"/>
        </w:rPr>
        <w:tab/>
        <w:t xml:space="preserve">EESK atzinums par Eiropas Jaunatnes gadu (2022), </w:t>
      </w:r>
      <w:hyperlink r:id="rId10" w:history="1">
        <w:r w:rsidRPr="0093238F">
          <w:rPr>
            <w:rStyle w:val="Hyperlink"/>
            <w:szCs w:val="16"/>
          </w:rPr>
          <w:t>OV C 152, 6.4.2022., 122. lpp</w:t>
        </w:r>
      </w:hyperlink>
      <w:r w:rsidRPr="0093238F">
        <w:rPr>
          <w:szCs w:val="16"/>
        </w:rPr>
        <w:t>.</w:t>
      </w:r>
    </w:p>
  </w:footnote>
  <w:footnote w:id="11">
    <w:p w14:paraId="32EC948A" w14:textId="77777777" w:rsidR="00497E52" w:rsidRPr="0093238F" w:rsidRDefault="00497E52" w:rsidP="00497E52">
      <w:pPr>
        <w:pStyle w:val="FootnoteText"/>
        <w:rPr>
          <w:szCs w:val="16"/>
        </w:rPr>
      </w:pPr>
      <w:r w:rsidRPr="0093238F">
        <w:rPr>
          <w:rStyle w:val="FootnoteReference"/>
          <w:sz w:val="16"/>
          <w:szCs w:val="16"/>
          <w:lang w:val="en-GB"/>
        </w:rPr>
        <w:footnoteRef/>
      </w:r>
      <w:r w:rsidRPr="0093238F">
        <w:rPr>
          <w:szCs w:val="16"/>
        </w:rPr>
        <w:t xml:space="preserve"> </w:t>
      </w:r>
      <w:r w:rsidRPr="0093238F">
        <w:rPr>
          <w:szCs w:val="16"/>
        </w:rPr>
        <w:tab/>
      </w:r>
      <w:hyperlink r:id="rId11" w:history="1">
        <w:r w:rsidRPr="0093238F">
          <w:rPr>
            <w:rStyle w:val="Hyperlink"/>
            <w:i/>
            <w:iCs/>
            <w:szCs w:val="16"/>
          </w:rPr>
          <w:t>Safeguarding Civic Space For Young People in Europe</w:t>
        </w:r>
        <w:r w:rsidRPr="0093238F">
          <w:rPr>
            <w:rStyle w:val="Hyperlink"/>
            <w:szCs w:val="16"/>
          </w:rPr>
          <w:t xml:space="preserve"> (Pilsoniskās sabiedrības telpas saglabāšana Eiropas jauniešiem) (youthforum.org)</w:t>
        </w:r>
      </w:hyperlink>
      <w:r w:rsidRPr="0093238F">
        <w:rPr>
          <w:szCs w:val="16"/>
        </w:rPr>
        <w:t>.</w:t>
      </w:r>
    </w:p>
  </w:footnote>
  <w:footnote w:id="12">
    <w:p w14:paraId="390B46A7" w14:textId="5B1884B4" w:rsidR="00497E52" w:rsidRPr="0093238F" w:rsidRDefault="00497E52" w:rsidP="00B860D2">
      <w:pPr>
        <w:spacing w:after="60" w:line="240" w:lineRule="auto"/>
        <w:ind w:left="567" w:hanging="567"/>
        <w:rPr>
          <w:sz w:val="16"/>
          <w:szCs w:val="16"/>
        </w:rPr>
      </w:pPr>
      <w:r w:rsidRPr="0093238F">
        <w:rPr>
          <w:rStyle w:val="FootnoteReference"/>
          <w:sz w:val="16"/>
          <w:szCs w:val="16"/>
          <w:lang w:val="en-GB"/>
        </w:rPr>
        <w:footnoteRef/>
      </w:r>
      <w:r w:rsidRPr="0093238F">
        <w:rPr>
          <w:sz w:val="16"/>
          <w:szCs w:val="16"/>
        </w:rPr>
        <w:t xml:space="preserve"> </w:t>
      </w:r>
      <w:r w:rsidRPr="0093238F">
        <w:rPr>
          <w:sz w:val="16"/>
          <w:szCs w:val="16"/>
        </w:rPr>
        <w:tab/>
        <w:t xml:space="preserve">Piemēram, EESK atzinums par jaunu Eiropas Savienības jaunatnes stratēģiju (paziņojums), </w:t>
      </w:r>
      <w:hyperlink r:id="rId12" w:history="1">
        <w:r w:rsidRPr="0093238F">
          <w:rPr>
            <w:rStyle w:val="Hyperlink"/>
            <w:sz w:val="16"/>
            <w:szCs w:val="16"/>
          </w:rPr>
          <w:t>OV C 62, 15.2.2019., 142. lpp.</w:t>
        </w:r>
      </w:hyperlink>
      <w:r w:rsidRPr="0093238F">
        <w:rPr>
          <w:sz w:val="16"/>
          <w:szCs w:val="16"/>
        </w:rPr>
        <w:t xml:space="preserve">, EESK atzinums “Ceļā uz jauniešu strukturētu iesaisti klimata un ilgtspējas jautājumu risināšanā ES lēmumu pieņemšanas procesā”, EESK atzinums par Eiropas Jaunatnes gadu (2022), </w:t>
      </w:r>
      <w:hyperlink r:id="rId13" w:history="1">
        <w:r w:rsidRPr="0093238F">
          <w:rPr>
            <w:rStyle w:val="Hyperlink"/>
            <w:sz w:val="16"/>
            <w:szCs w:val="16"/>
          </w:rPr>
          <w:t>OV C 152, 6.4.2022., 122. lpp.</w:t>
        </w:r>
      </w:hyperlink>
      <w:r w:rsidRPr="0093238F">
        <w:rPr>
          <w:sz w:val="16"/>
          <w:szCs w:val="16"/>
        </w:rPr>
        <w:t>, EESK atzinums “ES jauniešu tests”</w:t>
      </w:r>
      <w:r w:rsidRPr="0093238F">
        <w:rPr>
          <w:i/>
          <w:sz w:val="16"/>
          <w:szCs w:val="16"/>
        </w:rPr>
        <w:t xml:space="preserve"> </w:t>
      </w:r>
      <w:r w:rsidRPr="0093238F">
        <w:rPr>
          <w:sz w:val="16"/>
          <w:szCs w:val="16"/>
        </w:rPr>
        <w:t xml:space="preserve">(vēl nav publicēts </w:t>
      </w:r>
      <w:r w:rsidRPr="0093238F">
        <w:rPr>
          <w:i/>
          <w:sz w:val="16"/>
          <w:szCs w:val="16"/>
        </w:rPr>
        <w:t>Oficiālajā Vēstnesī</w:t>
      </w:r>
      <w:r w:rsidRPr="0093238F">
        <w:rPr>
          <w:sz w:val="16"/>
          <w:szCs w:val="16"/>
        </w:rPr>
        <w:t>).</w:t>
      </w:r>
    </w:p>
  </w:footnote>
  <w:footnote w:id="13">
    <w:p w14:paraId="00A24A51" w14:textId="77777777" w:rsidR="00497E52" w:rsidRPr="0093238F" w:rsidRDefault="00497E52">
      <w:pPr>
        <w:pStyle w:val="FootnoteText"/>
        <w:rPr>
          <w:szCs w:val="16"/>
        </w:rPr>
      </w:pPr>
      <w:r w:rsidRPr="0093238F">
        <w:rPr>
          <w:rStyle w:val="FootnoteReference"/>
          <w:sz w:val="16"/>
          <w:szCs w:val="16"/>
          <w:lang w:val="en-GB"/>
        </w:rPr>
        <w:footnoteRef/>
      </w:r>
      <w:r w:rsidRPr="0093238F">
        <w:rPr>
          <w:szCs w:val="16"/>
        </w:rPr>
        <w:t xml:space="preserve"> </w:t>
      </w:r>
      <w:r w:rsidRPr="0093238F">
        <w:rPr>
          <w:szCs w:val="16"/>
        </w:rPr>
        <w:tab/>
      </w:r>
      <w:hyperlink r:id="rId14" w:anchor=":~:text=The%20Council%20of%20Europe's%20ground,sharing%20and%20evaluation%20of%20experience" w:history="1">
        <w:r w:rsidRPr="0093238F">
          <w:rPr>
            <w:rStyle w:val="Hyperlink"/>
            <w:szCs w:val="16"/>
          </w:rPr>
          <w:t>Eiropas Padomes ieviesta kopīgas pārvaldības sistēma</w:t>
        </w:r>
      </w:hyperlink>
      <w:r w:rsidRPr="0093238F">
        <w:rPr>
          <w:szCs w:val="16"/>
        </w:rPr>
        <w:t>.</w:t>
      </w:r>
    </w:p>
  </w:footnote>
  <w:footnote w:id="14">
    <w:p w14:paraId="6D09AA23" w14:textId="17B76B1F" w:rsidR="00497E52" w:rsidRPr="0093238F" w:rsidRDefault="00497E52" w:rsidP="00497E52">
      <w:pPr>
        <w:pStyle w:val="FootnoteText"/>
        <w:rPr>
          <w:szCs w:val="16"/>
        </w:rPr>
      </w:pPr>
      <w:r w:rsidRPr="0093238F">
        <w:rPr>
          <w:rStyle w:val="FootnoteReference"/>
          <w:sz w:val="16"/>
          <w:szCs w:val="16"/>
          <w:lang w:val="en-GB"/>
        </w:rPr>
        <w:footnoteRef/>
      </w:r>
      <w:r w:rsidRPr="0093238F">
        <w:rPr>
          <w:szCs w:val="16"/>
        </w:rPr>
        <w:t xml:space="preserve"> </w:t>
      </w:r>
      <w:r w:rsidRPr="0093238F">
        <w:rPr>
          <w:szCs w:val="16"/>
        </w:rPr>
        <w:tab/>
        <w:t xml:space="preserve">Sk., piemēram, EESK atzinumu </w:t>
      </w:r>
      <w:hyperlink r:id="rId15" w:history="1">
        <w:r w:rsidRPr="0093238F">
          <w:rPr>
            <w:rStyle w:val="Hyperlink"/>
            <w:szCs w:val="16"/>
          </w:rPr>
          <w:t>“Kā izglītības un apmācības ietvaros mūžizglītības perspektīvā sekmēt Eiropai vajadzīgās prasmes ar mērķi izveidot taisnīgāku, saliedētāku, ilgtspējīgāku, digitālāku un noturīgāku sabiedrību”</w:t>
        </w:r>
      </w:hyperlink>
      <w:r w:rsidRPr="0093238F">
        <w:rPr>
          <w:szCs w:val="16"/>
        </w:rPr>
        <w:t xml:space="preserve">, 1.2. un 2.3. punkts, </w:t>
      </w:r>
      <w:hyperlink r:id="rId16" w:history="1">
        <w:r w:rsidRPr="0093238F">
          <w:rPr>
            <w:rStyle w:val="Hyperlink"/>
            <w:szCs w:val="16"/>
          </w:rPr>
          <w:t>OV C 286, 16.7.2021., 27. lpp</w:t>
        </w:r>
      </w:hyperlink>
      <w:r w:rsidRPr="0093238F">
        <w:rPr>
          <w:szCs w:val="16"/>
        </w:rPr>
        <w:t>.</w:t>
      </w:r>
    </w:p>
  </w:footnote>
  <w:footnote w:id="15">
    <w:p w14:paraId="26D10112" w14:textId="77777777" w:rsidR="00497E52" w:rsidRPr="0093238F" w:rsidRDefault="00497E52" w:rsidP="00497E52">
      <w:pPr>
        <w:pStyle w:val="FootnoteText"/>
        <w:rPr>
          <w:szCs w:val="16"/>
        </w:rPr>
      </w:pPr>
      <w:r w:rsidRPr="0093238F">
        <w:rPr>
          <w:rStyle w:val="FootnoteReference"/>
          <w:sz w:val="16"/>
          <w:szCs w:val="16"/>
          <w:lang w:val="en-GB"/>
        </w:rPr>
        <w:footnoteRef/>
      </w:r>
      <w:r w:rsidRPr="0093238F">
        <w:rPr>
          <w:szCs w:val="16"/>
        </w:rPr>
        <w:t xml:space="preserve"> </w:t>
      </w:r>
      <w:r w:rsidRPr="0093238F">
        <w:rPr>
          <w:szCs w:val="16"/>
        </w:rPr>
        <w:tab/>
      </w:r>
      <w:hyperlink r:id="rId17">
        <w:r w:rsidRPr="0093238F">
          <w:rPr>
            <w:color w:val="0000FF"/>
            <w:szCs w:val="16"/>
            <w:u w:val="single"/>
          </w:rPr>
          <w:t>Komisija sāk darbu pie Eiropas Prasmju gada (europa.eu)</w:t>
        </w:r>
      </w:hyperlink>
      <w:r w:rsidRPr="0093238F">
        <w:rPr>
          <w:szCs w:val="16"/>
        </w:rPr>
        <w:t>.</w:t>
      </w:r>
    </w:p>
  </w:footnote>
  <w:footnote w:id="16">
    <w:p w14:paraId="3B22D466" w14:textId="56A7D863" w:rsidR="00497E52" w:rsidRPr="0093238F" w:rsidRDefault="00497E52" w:rsidP="00497E52">
      <w:pPr>
        <w:pStyle w:val="FootnoteText"/>
        <w:rPr>
          <w:szCs w:val="16"/>
        </w:rPr>
      </w:pPr>
      <w:r w:rsidRPr="0093238F">
        <w:rPr>
          <w:rStyle w:val="FootnoteReference"/>
          <w:sz w:val="16"/>
          <w:szCs w:val="16"/>
          <w:lang w:val="en-GB"/>
        </w:rPr>
        <w:footnoteRef/>
      </w:r>
      <w:r w:rsidRPr="0093238F">
        <w:rPr>
          <w:szCs w:val="16"/>
        </w:rPr>
        <w:t xml:space="preserve"> </w:t>
      </w:r>
      <w:r w:rsidRPr="0093238F">
        <w:rPr>
          <w:szCs w:val="16"/>
        </w:rPr>
        <w:tab/>
        <w:t xml:space="preserve">EESK informatīvs ziņojums </w:t>
      </w:r>
      <w:hyperlink r:id="rId18">
        <w:r w:rsidRPr="0093238F">
          <w:rPr>
            <w:color w:val="0000FF"/>
            <w:szCs w:val="16"/>
            <w:u w:val="single"/>
          </w:rPr>
          <w:t>“Vienlīdzīga attieksme pret jauniešiem darba tirgū” (tiek izstrādāts)</w:t>
        </w:r>
      </w:hyperlink>
      <w:r w:rsidRPr="0093238F">
        <w:rPr>
          <w:szCs w:val="16"/>
        </w:rPr>
        <w:t>.</w:t>
      </w:r>
    </w:p>
  </w:footnote>
  <w:footnote w:id="17">
    <w:p w14:paraId="423B241F" w14:textId="0025367E" w:rsidR="00497E52" w:rsidRPr="0093238F" w:rsidRDefault="00497E52" w:rsidP="00497E52">
      <w:pPr>
        <w:pStyle w:val="FootnoteText"/>
        <w:rPr>
          <w:iCs/>
          <w:szCs w:val="16"/>
        </w:rPr>
      </w:pPr>
      <w:r w:rsidRPr="0093238F">
        <w:rPr>
          <w:rStyle w:val="FootnoteReference"/>
          <w:sz w:val="16"/>
          <w:szCs w:val="16"/>
          <w:lang w:val="en-GB"/>
        </w:rPr>
        <w:footnoteRef/>
      </w:r>
      <w:r w:rsidRPr="0093238F">
        <w:rPr>
          <w:szCs w:val="16"/>
        </w:rPr>
        <w:t xml:space="preserve"> </w:t>
      </w:r>
      <w:r w:rsidRPr="0093238F">
        <w:rPr>
          <w:szCs w:val="16"/>
        </w:rPr>
        <w:tab/>
        <w:t xml:space="preserve">EESK atzinums </w:t>
      </w:r>
      <w:hyperlink r:id="rId19" w:history="1">
        <w:r w:rsidRPr="0093238F">
          <w:rPr>
            <w:rStyle w:val="Hyperlink"/>
            <w:szCs w:val="16"/>
          </w:rPr>
          <w:t>“Palielināt jauniešu iespējas ar izglītību panākt ilgtspējīgu attīstību</w:t>
        </w:r>
      </w:hyperlink>
      <w:r w:rsidRPr="0093238F">
        <w:rPr>
          <w:szCs w:val="16"/>
        </w:rPr>
        <w:t xml:space="preserve">” (vēl nav publicēts </w:t>
      </w:r>
      <w:r w:rsidRPr="0093238F">
        <w:rPr>
          <w:i/>
          <w:iCs/>
          <w:szCs w:val="16"/>
        </w:rPr>
        <w:t>Oficiālajā Vēstnesī</w:t>
      </w:r>
      <w:r w:rsidRPr="0093238F">
        <w:rPr>
          <w:szCs w:val="16"/>
        </w:rPr>
        <w:t>).</w:t>
      </w:r>
    </w:p>
  </w:footnote>
  <w:footnote w:id="18">
    <w:p w14:paraId="71E595A5" w14:textId="77777777" w:rsidR="00497E52" w:rsidRPr="0093238F" w:rsidRDefault="00497E52" w:rsidP="00497E52">
      <w:pPr>
        <w:pStyle w:val="FootnoteText"/>
        <w:rPr>
          <w:szCs w:val="16"/>
        </w:rPr>
      </w:pPr>
      <w:r w:rsidRPr="0093238F">
        <w:rPr>
          <w:rStyle w:val="FootnoteReference"/>
          <w:sz w:val="16"/>
          <w:szCs w:val="16"/>
          <w:lang w:val="en-GB"/>
        </w:rPr>
        <w:footnoteRef/>
      </w:r>
      <w:r w:rsidRPr="0093238F">
        <w:rPr>
          <w:szCs w:val="16"/>
        </w:rPr>
        <w:t xml:space="preserve"> </w:t>
      </w:r>
      <w:r w:rsidRPr="0093238F">
        <w:rPr>
          <w:szCs w:val="16"/>
        </w:rPr>
        <w:tab/>
      </w:r>
      <w:hyperlink r:id="rId20" w:history="1">
        <w:r w:rsidRPr="0093238F">
          <w:rPr>
            <w:rStyle w:val="Hyperlink"/>
            <w:szCs w:val="16"/>
          </w:rPr>
          <w:t>Eiropas Ekonomikas un sociālo lietu komitejas ieguldījums Eiropas Komisijas 2023. gada darba programmā</w:t>
        </w:r>
      </w:hyperlink>
      <w:r w:rsidRPr="0093238F">
        <w:rPr>
          <w:szCs w:val="16"/>
        </w:rPr>
        <w:t xml:space="preserve"> (4.14. punkts).</w:t>
      </w:r>
    </w:p>
  </w:footnote>
  <w:footnote w:id="19">
    <w:p w14:paraId="0FAAD9B9" w14:textId="07FEF631" w:rsidR="00497E52" w:rsidRPr="0093238F" w:rsidRDefault="00497E52" w:rsidP="00497E52">
      <w:pPr>
        <w:pStyle w:val="FootnoteText"/>
        <w:rPr>
          <w:szCs w:val="16"/>
        </w:rPr>
      </w:pPr>
      <w:r w:rsidRPr="0093238F">
        <w:rPr>
          <w:rStyle w:val="FootnoteReference"/>
          <w:sz w:val="16"/>
          <w:szCs w:val="16"/>
          <w:lang w:val="en-GB"/>
        </w:rPr>
        <w:footnoteRef/>
      </w:r>
      <w:r w:rsidRPr="0093238F">
        <w:rPr>
          <w:szCs w:val="16"/>
        </w:rPr>
        <w:t xml:space="preserve"> </w:t>
      </w:r>
      <w:r w:rsidRPr="0093238F">
        <w:rPr>
          <w:szCs w:val="16"/>
        </w:rPr>
        <w:tab/>
        <w:t xml:space="preserve">EESK informatīvs ziņojums </w:t>
      </w:r>
      <w:hyperlink r:id="rId21">
        <w:r w:rsidRPr="0093238F">
          <w:rPr>
            <w:color w:val="0000FF"/>
            <w:szCs w:val="16"/>
            <w:u w:val="single"/>
          </w:rPr>
          <w:t>“Vienlīdzīga attieksme pret jauniešiem darba tirgū” (tiek izstrādāts)</w:t>
        </w:r>
      </w:hyperlink>
      <w:r w:rsidRPr="0093238F">
        <w:rPr>
          <w:szCs w:val="16"/>
        </w:rPr>
        <w:t>.</w:t>
      </w:r>
    </w:p>
  </w:footnote>
  <w:footnote w:id="20">
    <w:p w14:paraId="286F4E92" w14:textId="77777777" w:rsidR="00497E52" w:rsidRPr="0093238F" w:rsidRDefault="00497E52" w:rsidP="00497E52">
      <w:pPr>
        <w:pStyle w:val="FootnoteText"/>
        <w:rPr>
          <w:szCs w:val="16"/>
        </w:rPr>
      </w:pPr>
      <w:r w:rsidRPr="0093238F">
        <w:rPr>
          <w:rStyle w:val="FootnoteReference"/>
          <w:sz w:val="16"/>
          <w:szCs w:val="16"/>
        </w:rPr>
        <w:footnoteRef/>
      </w:r>
      <w:r w:rsidRPr="0093238F">
        <w:rPr>
          <w:szCs w:val="16"/>
        </w:rPr>
        <w:t xml:space="preserve"> </w:t>
      </w:r>
      <w:r w:rsidRPr="0093238F">
        <w:rPr>
          <w:szCs w:val="16"/>
        </w:rPr>
        <w:tab/>
        <w:t xml:space="preserve">EESK atzinuma </w:t>
      </w:r>
      <w:hyperlink r:id="rId22" w:history="1">
        <w:r w:rsidRPr="0093238F">
          <w:rPr>
            <w:rStyle w:val="Hyperlink"/>
            <w:szCs w:val="16"/>
          </w:rPr>
          <w:t>“Kā garantēt pienācīgas kvalitātes nodarbinātību jauniešiem un nodrošināt jauniešu, kas nemācās, nestrādā un neapgūst arodu, iekļaušanu, izmantojot pienācīgi izstrādātus nacionālos atveseļošanas plānus” (pašiniciatīvas atzinums), OV C 152, 6.4.2022., 27. lpp.</w:t>
        </w:r>
      </w:hyperlink>
      <w:r w:rsidRPr="0093238F">
        <w:rPr>
          <w:szCs w:val="16"/>
        </w:rPr>
        <w:t xml:space="preserve"> 1.9. punkts.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4A669" w14:textId="77777777" w:rsidR="00574C9B" w:rsidRDefault="00A46613">
    <w:pPr>
      <w:pStyle w:val="Header"/>
    </w:pPr>
    <w:r>
      <w:pict w14:anchorId="6389A5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6638594" o:spid="_x0000_s2055" type="#_x0000_t75" style="position:absolute;left:0;text-align:left;margin-left:0;margin-top:0;width:598.15pt;height:843.9pt;z-index:-251655168;mso-position-horizontal:center;mso-position-horizontal-relative:margin;mso-position-vertical:center;mso-position-vertical-relative:margin" o:allowincell="f">
          <v:imagedata r:id="rId1" o:title="background watermark with foote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95081" w14:textId="7C321961" w:rsidR="00574C9B" w:rsidRDefault="00477AA7">
    <w:pPr>
      <w:pStyle w:val="Header"/>
    </w:pPr>
    <w:r>
      <w:rPr>
        <w:noProof/>
        <w:lang w:val="en-US"/>
      </w:rPr>
      <w:drawing>
        <wp:anchor distT="0" distB="0" distL="114300" distR="114300" simplePos="0" relativeHeight="251667456" behindDoc="0" locked="0" layoutInCell="1" allowOverlap="1" wp14:anchorId="29049321" wp14:editId="1F877540">
          <wp:simplePos x="0" y="0"/>
          <wp:positionH relativeFrom="page">
            <wp:posOffset>402954</wp:posOffset>
          </wp:positionH>
          <wp:positionV relativeFrom="page">
            <wp:posOffset>148303</wp:posOffset>
          </wp:positionV>
          <wp:extent cx="6944398" cy="3344275"/>
          <wp:effectExtent l="0" t="0" r="0" b="8890"/>
          <wp:wrapNone/>
          <wp:docPr id="6" name="Picture 6" title="EESCLogo2021_L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vis-20213.jpg"/>
                  <pic:cNvPicPr/>
                </pic:nvPicPr>
                <pic:blipFill>
                  <a:blip r:embed="rId1">
                    <a:extLst>
                      <a:ext uri="{28A0092B-C50C-407E-A947-70E740481C1C}">
                        <a14:useLocalDpi xmlns:a14="http://schemas.microsoft.com/office/drawing/2010/main" val="0"/>
                      </a:ext>
                    </a:extLst>
                  </a:blip>
                  <a:stretch>
                    <a:fillRect/>
                  </a:stretch>
                </pic:blipFill>
                <pic:spPr>
                  <a:xfrm>
                    <a:off x="0" y="0"/>
                    <a:ext cx="6944398" cy="3344275"/>
                  </a:xfrm>
                  <a:prstGeom prst="rect">
                    <a:avLst/>
                  </a:prstGeom>
                </pic:spPr>
              </pic:pic>
            </a:graphicData>
          </a:graphic>
          <wp14:sizeRelH relativeFrom="margin">
            <wp14:pctWidth>0</wp14:pctWidth>
          </wp14:sizeRelH>
          <wp14:sizeRelV relativeFrom="margin">
            <wp14:pctHeight>0</wp14:pctHeight>
          </wp14:sizeRelV>
        </wp:anchor>
      </w:drawing>
    </w:r>
    <w:r w:rsidR="00A46613">
      <w:pict w14:anchorId="2FA087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6638595" o:spid="_x0000_s2056" type="#_x0000_t75" style="position:absolute;left:0;text-align:left;margin-left:0;margin-top:0;width:598.15pt;height:843.9pt;z-index:-251654144;mso-position-horizontal:center;mso-position-horizontal-relative:page;mso-position-vertical:center;mso-position-vertical-relative:page" o:allowincell="f">
          <v:imagedata r:id="rId2" o:title="background watermark with footer"/>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5837F" w14:textId="77777777" w:rsidR="00574C9B" w:rsidRDefault="00A46613">
    <w:pPr>
      <w:pStyle w:val="Header"/>
    </w:pPr>
    <w:r>
      <w:pict w14:anchorId="3C75A4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6638593" o:spid="_x0000_s2054" type="#_x0000_t75" style="position:absolute;left:0;text-align:left;margin-left:0;margin-top:0;width:598.15pt;height:843.9pt;z-index:-251656192;mso-position-horizontal:center;mso-position-horizontal-relative:margin;mso-position-vertical:center;mso-position-vertical-relative:margin" o:allowincell="f">
          <v:imagedata r:id="rId1" o:title="background watermark with footer"/>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B9C34" w14:textId="77777777" w:rsidR="00574C9B" w:rsidRDefault="00A46613">
    <w:pPr>
      <w:pStyle w:val="Header"/>
    </w:pPr>
    <w:r>
      <w:pict w14:anchorId="083B22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6638597" o:spid="_x0000_s2058" type="#_x0000_t75" style="position:absolute;left:0;text-align:left;margin-left:0;margin-top:0;width:598.15pt;height:843.9pt;z-index:-251652096;mso-position-horizontal:center;mso-position-horizontal-relative:margin;mso-position-vertical:center;mso-position-vertical-relative:margin" o:allowincell="f">
          <v:imagedata r:id="rId1" o:title="background watermark with footer"/>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9FC7C" w14:textId="77777777" w:rsidR="00574C9B" w:rsidRDefault="00574C9B">
    <w:pPr>
      <w:pStyle w:val="Header"/>
    </w:pPr>
    <w:r>
      <w:rPr>
        <w:noProof/>
        <w:lang w:val="en-US"/>
      </w:rPr>
      <w:drawing>
        <wp:anchor distT="0" distB="0" distL="114300" distR="114300" simplePos="0" relativeHeight="251665408" behindDoc="1" locked="0" layoutInCell="1" allowOverlap="1" wp14:anchorId="5FA9E479" wp14:editId="13AEE0F5">
          <wp:simplePos x="0" y="0"/>
          <wp:positionH relativeFrom="page">
            <wp:posOffset>-10571</wp:posOffset>
          </wp:positionH>
          <wp:positionV relativeFrom="page">
            <wp:posOffset>-221993</wp:posOffset>
          </wp:positionV>
          <wp:extent cx="7581265" cy="10898802"/>
          <wp:effectExtent l="0" t="0" r="63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ackground (footer) recto.png"/>
                  <pic:cNvPicPr/>
                </pic:nvPicPr>
                <pic:blipFill>
                  <a:blip r:embed="rId1">
                    <a:extLst>
                      <a:ext uri="{28A0092B-C50C-407E-A947-70E740481C1C}">
                        <a14:useLocalDpi xmlns:a14="http://schemas.microsoft.com/office/drawing/2010/main" val="0"/>
                      </a:ext>
                    </a:extLst>
                  </a:blip>
                  <a:stretch>
                    <a:fillRect/>
                  </a:stretch>
                </pic:blipFill>
                <pic:spPr>
                  <a:xfrm>
                    <a:off x="0" y="0"/>
                    <a:ext cx="7585107" cy="10904325"/>
                  </a:xfrm>
                  <a:prstGeom prst="rect">
                    <a:avLst/>
                  </a:prstGeom>
                </pic:spPr>
              </pic:pic>
            </a:graphicData>
          </a:graphic>
          <wp14:sizeRelH relativeFrom="margin">
            <wp14:pctWidth>0</wp14:pctWidth>
          </wp14:sizeRelH>
          <wp14:sizeRelV relativeFrom="margin">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67873" w14:textId="77777777" w:rsidR="00574C9B" w:rsidRDefault="00A46613">
    <w:pPr>
      <w:pStyle w:val="Header"/>
    </w:pPr>
    <w:r>
      <w:pict w14:anchorId="36F8D9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6638596" o:spid="_x0000_s2057" type="#_x0000_t75" style="position:absolute;left:0;text-align:left;margin-left:0;margin-top:0;width:598.15pt;height:843.9pt;z-index:-251653120;mso-position-horizontal:center;mso-position-horizontal-relative:margin;mso-position-vertical:center;mso-position-vertical-relative:margin" o:allowincell="f">
          <v:imagedata r:id="rId1" o:title="background watermark with footer"/>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32120" w14:textId="77777777" w:rsidR="00FA08F8" w:rsidRDefault="00A466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B112A956"/>
    <w:lvl w:ilvl="0">
      <w:start w:val="1"/>
      <w:numFmt w:val="decimal"/>
      <w:pStyle w:val="Heading1"/>
      <w:lvlText w:val="%1."/>
      <w:lvlJc w:val="left"/>
      <w:pPr>
        <w:ind w:left="0" w:firstLine="0"/>
      </w:pPr>
      <w:rPr>
        <w:rFonts w:hint="default"/>
        <w:b w:val="0"/>
      </w:rPr>
    </w:lvl>
    <w:lvl w:ilvl="1">
      <w:start w:val="1"/>
      <w:numFmt w:val="decimal"/>
      <w:pStyle w:val="Heading2"/>
      <w:lvlText w:val="%1.%2."/>
      <w:lvlJc w:val="left"/>
      <w:pPr>
        <w:ind w:left="567" w:hanging="567"/>
      </w:pPr>
      <w:rPr>
        <w:rFonts w:hint="default"/>
      </w:rPr>
    </w:lvl>
    <w:lvl w:ilvl="2">
      <w:start w:val="1"/>
      <w:numFmt w:val="decimal"/>
      <w:pStyle w:val="Heading3"/>
      <w:lvlText w:val="%1.%2.%3."/>
      <w:lvlJc w:val="left"/>
      <w:pPr>
        <w:ind w:left="567" w:hanging="567"/>
      </w:pPr>
      <w:rPr>
        <w:rFonts w:hint="default"/>
      </w:rPr>
    </w:lvl>
    <w:lvl w:ilvl="3">
      <w:start w:val="1"/>
      <w:numFmt w:val="decimal"/>
      <w:pStyle w:val="Heading4"/>
      <w:lvlText w:val="%1.%2.%3.%4"/>
      <w:lvlJc w:val="left"/>
      <w:pPr>
        <w:ind w:left="0" w:firstLine="0"/>
      </w:pPr>
      <w:rPr>
        <w:rFonts w:hint="default"/>
      </w:rPr>
    </w:lvl>
    <w:lvl w:ilvl="4">
      <w:start w:val="1"/>
      <w:numFmt w:val="decimal"/>
      <w:pStyle w:val="Heading5"/>
      <w:lvlText w:val="%1.%2.%3.%4.%5"/>
      <w:lvlJc w:val="left"/>
      <w:pPr>
        <w:ind w:left="0" w:firstLine="0"/>
      </w:pPr>
      <w:rPr>
        <w:rFonts w:hint="default"/>
      </w:rPr>
    </w:lvl>
    <w:lvl w:ilvl="5">
      <w:start w:val="1"/>
      <w:numFmt w:val="decimal"/>
      <w:pStyle w:val="Heading6"/>
      <w:lvlText w:val="%1.%2.%3.%4.%5.%6"/>
      <w:lvlJc w:val="left"/>
      <w:pPr>
        <w:ind w:left="0" w:firstLine="0"/>
      </w:pPr>
      <w:rPr>
        <w:rFonts w:hint="default"/>
      </w:rPr>
    </w:lvl>
    <w:lvl w:ilvl="6">
      <w:start w:val="1"/>
      <w:numFmt w:val="decimal"/>
      <w:pStyle w:val="Heading7"/>
      <w:lvlText w:val="%1.%2.%3.%4.%5.%6.%7"/>
      <w:lvlJc w:val="left"/>
      <w:pPr>
        <w:ind w:left="0" w:firstLine="0"/>
      </w:pPr>
      <w:rPr>
        <w:rFonts w:hint="default"/>
      </w:rPr>
    </w:lvl>
    <w:lvl w:ilvl="7">
      <w:start w:val="1"/>
      <w:numFmt w:val="decimal"/>
      <w:pStyle w:val="Heading8"/>
      <w:lvlText w:val="%1.%2.%3.%4.%5.%6.%7.%8"/>
      <w:lvlJc w:val="left"/>
      <w:pPr>
        <w:ind w:left="0" w:firstLine="0"/>
      </w:pPr>
      <w:rPr>
        <w:rFonts w:hint="default"/>
      </w:rPr>
    </w:lvl>
    <w:lvl w:ilvl="8">
      <w:start w:val="1"/>
      <w:numFmt w:val="decimal"/>
      <w:pStyle w:val="Heading9"/>
      <w:lvlText w:val="%1.%2.%3.%4.%5.%6.%7.%8.%9"/>
      <w:lvlJc w:val="left"/>
      <w:pPr>
        <w:ind w:left="0" w:firstLine="0"/>
      </w:pPr>
      <w:rPr>
        <w:rFonts w:hint="default"/>
      </w:rPr>
    </w:lvl>
  </w:abstractNum>
  <w:abstractNum w:abstractNumId="1" w15:restartNumberingAfterBreak="0">
    <w:nsid w:val="2F232085"/>
    <w:multiLevelType w:val="multilevel"/>
    <w:tmpl w:val="A254FB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9252DA3"/>
    <w:multiLevelType w:val="multilevel"/>
    <w:tmpl w:val="117C3086"/>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370"/>
    <w:rsid w:val="000059B7"/>
    <w:rsid w:val="00020389"/>
    <w:rsid w:val="00053D00"/>
    <w:rsid w:val="000A0F3B"/>
    <w:rsid w:val="0010756B"/>
    <w:rsid w:val="0019231D"/>
    <w:rsid w:val="001D61AC"/>
    <w:rsid w:val="001E15AA"/>
    <w:rsid w:val="001E3FA1"/>
    <w:rsid w:val="00200E87"/>
    <w:rsid w:val="00214BDC"/>
    <w:rsid w:val="00215E81"/>
    <w:rsid w:val="00236F10"/>
    <w:rsid w:val="0024727F"/>
    <w:rsid w:val="002601C2"/>
    <w:rsid w:val="002B6A7B"/>
    <w:rsid w:val="003353D7"/>
    <w:rsid w:val="00362B7E"/>
    <w:rsid w:val="003659F9"/>
    <w:rsid w:val="00426A04"/>
    <w:rsid w:val="00477AA7"/>
    <w:rsid w:val="00497E52"/>
    <w:rsid w:val="004A3FD5"/>
    <w:rsid w:val="0050386A"/>
    <w:rsid w:val="00574C9B"/>
    <w:rsid w:val="0058411F"/>
    <w:rsid w:val="005B220D"/>
    <w:rsid w:val="005B5B84"/>
    <w:rsid w:val="006125A1"/>
    <w:rsid w:val="00653E7D"/>
    <w:rsid w:val="00662207"/>
    <w:rsid w:val="00667F09"/>
    <w:rsid w:val="006B57A6"/>
    <w:rsid w:val="006D53A6"/>
    <w:rsid w:val="00734C1E"/>
    <w:rsid w:val="00787837"/>
    <w:rsid w:val="00787ABB"/>
    <w:rsid w:val="007A5974"/>
    <w:rsid w:val="007B6C64"/>
    <w:rsid w:val="0081574C"/>
    <w:rsid w:val="00822952"/>
    <w:rsid w:val="00836505"/>
    <w:rsid w:val="00844B87"/>
    <w:rsid w:val="00880DD8"/>
    <w:rsid w:val="0089251B"/>
    <w:rsid w:val="008A6DD4"/>
    <w:rsid w:val="008F74D7"/>
    <w:rsid w:val="009043BC"/>
    <w:rsid w:val="00904C42"/>
    <w:rsid w:val="00924C05"/>
    <w:rsid w:val="0093238F"/>
    <w:rsid w:val="00937CF2"/>
    <w:rsid w:val="00976645"/>
    <w:rsid w:val="00976F77"/>
    <w:rsid w:val="0098228C"/>
    <w:rsid w:val="009E2100"/>
    <w:rsid w:val="00A36AB0"/>
    <w:rsid w:val="00A46613"/>
    <w:rsid w:val="00AA7FE7"/>
    <w:rsid w:val="00AB37A3"/>
    <w:rsid w:val="00AC5114"/>
    <w:rsid w:val="00B25683"/>
    <w:rsid w:val="00B51901"/>
    <w:rsid w:val="00B860D2"/>
    <w:rsid w:val="00BD50F6"/>
    <w:rsid w:val="00C073E1"/>
    <w:rsid w:val="00C25647"/>
    <w:rsid w:val="00C479D2"/>
    <w:rsid w:val="00C66AEA"/>
    <w:rsid w:val="00C764E1"/>
    <w:rsid w:val="00C9040A"/>
    <w:rsid w:val="00C91E4D"/>
    <w:rsid w:val="00CB110A"/>
    <w:rsid w:val="00CB7CD0"/>
    <w:rsid w:val="00D02353"/>
    <w:rsid w:val="00D039AF"/>
    <w:rsid w:val="00D03E3C"/>
    <w:rsid w:val="00D17E33"/>
    <w:rsid w:val="00D65C78"/>
    <w:rsid w:val="00D87838"/>
    <w:rsid w:val="00D95232"/>
    <w:rsid w:val="00DB3858"/>
    <w:rsid w:val="00DB6B17"/>
    <w:rsid w:val="00DB7F50"/>
    <w:rsid w:val="00DE30C7"/>
    <w:rsid w:val="00DF400F"/>
    <w:rsid w:val="00E06F80"/>
    <w:rsid w:val="00E15BF4"/>
    <w:rsid w:val="00E2376B"/>
    <w:rsid w:val="00E26935"/>
    <w:rsid w:val="00E27707"/>
    <w:rsid w:val="00E36037"/>
    <w:rsid w:val="00E47F8A"/>
    <w:rsid w:val="00E52B04"/>
    <w:rsid w:val="00E61339"/>
    <w:rsid w:val="00E661B7"/>
    <w:rsid w:val="00F2069F"/>
    <w:rsid w:val="00F53370"/>
    <w:rsid w:val="00F90BE2"/>
    <w:rsid w:val="00FC0C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14:docId w14:val="3F46F69D"/>
  <w15:chartTrackingRefBased/>
  <w15:docId w15:val="{D381F634-0C15-4454-8DBD-75C4E885C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4C9B"/>
    <w:pPr>
      <w:spacing w:after="0" w:line="288" w:lineRule="auto"/>
      <w:jc w:val="both"/>
    </w:pPr>
    <w:rPr>
      <w:rFonts w:ascii="Times New Roman" w:eastAsia="Times New Roman" w:hAnsi="Times New Roman" w:cs="Times New Roman"/>
    </w:rPr>
  </w:style>
  <w:style w:type="paragraph" w:styleId="Heading1">
    <w:name w:val="heading 1"/>
    <w:basedOn w:val="Normal"/>
    <w:next w:val="Normal"/>
    <w:link w:val="Heading1Char"/>
    <w:qFormat/>
    <w:rsid w:val="00F53370"/>
    <w:pPr>
      <w:numPr>
        <w:numId w:val="1"/>
      </w:numPr>
      <w:outlineLvl w:val="0"/>
    </w:pPr>
    <w:rPr>
      <w:kern w:val="28"/>
    </w:rPr>
  </w:style>
  <w:style w:type="paragraph" w:styleId="Heading2">
    <w:name w:val="heading 2"/>
    <w:basedOn w:val="Normal"/>
    <w:next w:val="Normal"/>
    <w:link w:val="Heading2Char"/>
    <w:qFormat/>
    <w:rsid w:val="00F53370"/>
    <w:pPr>
      <w:numPr>
        <w:ilvl w:val="1"/>
        <w:numId w:val="1"/>
      </w:numPr>
      <w:outlineLvl w:val="1"/>
    </w:pPr>
  </w:style>
  <w:style w:type="paragraph" w:styleId="Heading3">
    <w:name w:val="heading 3"/>
    <w:basedOn w:val="Normal"/>
    <w:next w:val="Normal"/>
    <w:link w:val="Heading3Char"/>
    <w:qFormat/>
    <w:rsid w:val="00F53370"/>
    <w:pPr>
      <w:numPr>
        <w:ilvl w:val="2"/>
        <w:numId w:val="1"/>
      </w:numPr>
      <w:outlineLvl w:val="2"/>
    </w:pPr>
  </w:style>
  <w:style w:type="paragraph" w:styleId="Heading4">
    <w:name w:val="heading 4"/>
    <w:basedOn w:val="Normal"/>
    <w:next w:val="Normal"/>
    <w:link w:val="Heading4Char"/>
    <w:qFormat/>
    <w:rsid w:val="00F53370"/>
    <w:pPr>
      <w:numPr>
        <w:ilvl w:val="3"/>
        <w:numId w:val="1"/>
      </w:numPr>
      <w:outlineLvl w:val="3"/>
    </w:pPr>
  </w:style>
  <w:style w:type="paragraph" w:styleId="Heading5">
    <w:name w:val="heading 5"/>
    <w:basedOn w:val="Normal"/>
    <w:next w:val="Normal"/>
    <w:link w:val="Heading5Char"/>
    <w:qFormat/>
    <w:rsid w:val="00F53370"/>
    <w:pPr>
      <w:numPr>
        <w:ilvl w:val="4"/>
        <w:numId w:val="1"/>
      </w:numPr>
      <w:outlineLvl w:val="4"/>
    </w:pPr>
  </w:style>
  <w:style w:type="paragraph" w:styleId="Heading6">
    <w:name w:val="heading 6"/>
    <w:basedOn w:val="Normal"/>
    <w:next w:val="Normal"/>
    <w:link w:val="Heading6Char"/>
    <w:qFormat/>
    <w:rsid w:val="00F53370"/>
    <w:pPr>
      <w:numPr>
        <w:ilvl w:val="5"/>
        <w:numId w:val="1"/>
      </w:numPr>
      <w:outlineLvl w:val="5"/>
    </w:pPr>
  </w:style>
  <w:style w:type="paragraph" w:styleId="Heading7">
    <w:name w:val="heading 7"/>
    <w:basedOn w:val="Normal"/>
    <w:next w:val="Normal"/>
    <w:link w:val="Heading7Char"/>
    <w:qFormat/>
    <w:rsid w:val="00F53370"/>
    <w:pPr>
      <w:numPr>
        <w:ilvl w:val="6"/>
        <w:numId w:val="1"/>
      </w:numPr>
      <w:outlineLvl w:val="6"/>
    </w:pPr>
  </w:style>
  <w:style w:type="paragraph" w:styleId="Heading8">
    <w:name w:val="heading 8"/>
    <w:basedOn w:val="Normal"/>
    <w:next w:val="Normal"/>
    <w:link w:val="Heading8Char"/>
    <w:qFormat/>
    <w:rsid w:val="00F53370"/>
    <w:pPr>
      <w:numPr>
        <w:ilvl w:val="7"/>
        <w:numId w:val="1"/>
      </w:numPr>
      <w:outlineLvl w:val="7"/>
    </w:pPr>
  </w:style>
  <w:style w:type="paragraph" w:styleId="Heading9">
    <w:name w:val="heading 9"/>
    <w:basedOn w:val="Normal"/>
    <w:next w:val="Normal"/>
    <w:link w:val="Heading9Char"/>
    <w:qFormat/>
    <w:rsid w:val="00F53370"/>
    <w:pPr>
      <w:numPr>
        <w:ilvl w:val="8"/>
        <w:numId w:val="1"/>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53370"/>
    <w:rPr>
      <w:rFonts w:ascii="Times New Roman" w:eastAsia="Times New Roman" w:hAnsi="Times New Roman" w:cs="Times New Roman"/>
      <w:kern w:val="28"/>
    </w:rPr>
  </w:style>
  <w:style w:type="character" w:customStyle="1" w:styleId="Heading2Char">
    <w:name w:val="Heading 2 Char"/>
    <w:basedOn w:val="DefaultParagraphFont"/>
    <w:link w:val="Heading2"/>
    <w:rsid w:val="00F53370"/>
    <w:rPr>
      <w:rFonts w:ascii="Times New Roman" w:eastAsia="Times New Roman" w:hAnsi="Times New Roman" w:cs="Times New Roman"/>
    </w:rPr>
  </w:style>
  <w:style w:type="character" w:customStyle="1" w:styleId="Heading3Char">
    <w:name w:val="Heading 3 Char"/>
    <w:basedOn w:val="DefaultParagraphFont"/>
    <w:link w:val="Heading3"/>
    <w:rsid w:val="00F53370"/>
    <w:rPr>
      <w:rFonts w:ascii="Times New Roman" w:eastAsia="Times New Roman" w:hAnsi="Times New Roman" w:cs="Times New Roman"/>
    </w:rPr>
  </w:style>
  <w:style w:type="character" w:customStyle="1" w:styleId="Heading4Char">
    <w:name w:val="Heading 4 Char"/>
    <w:basedOn w:val="DefaultParagraphFont"/>
    <w:link w:val="Heading4"/>
    <w:rsid w:val="00F53370"/>
    <w:rPr>
      <w:rFonts w:ascii="Times New Roman" w:eastAsia="Times New Roman" w:hAnsi="Times New Roman" w:cs="Times New Roman"/>
    </w:rPr>
  </w:style>
  <w:style w:type="character" w:customStyle="1" w:styleId="Heading5Char">
    <w:name w:val="Heading 5 Char"/>
    <w:basedOn w:val="DefaultParagraphFont"/>
    <w:link w:val="Heading5"/>
    <w:rsid w:val="00F53370"/>
    <w:rPr>
      <w:rFonts w:ascii="Times New Roman" w:eastAsia="Times New Roman" w:hAnsi="Times New Roman" w:cs="Times New Roman"/>
    </w:rPr>
  </w:style>
  <w:style w:type="character" w:customStyle="1" w:styleId="Heading6Char">
    <w:name w:val="Heading 6 Char"/>
    <w:basedOn w:val="DefaultParagraphFont"/>
    <w:link w:val="Heading6"/>
    <w:rsid w:val="00F53370"/>
    <w:rPr>
      <w:rFonts w:ascii="Times New Roman" w:eastAsia="Times New Roman" w:hAnsi="Times New Roman" w:cs="Times New Roman"/>
    </w:rPr>
  </w:style>
  <w:style w:type="character" w:customStyle="1" w:styleId="Heading7Char">
    <w:name w:val="Heading 7 Char"/>
    <w:basedOn w:val="DefaultParagraphFont"/>
    <w:link w:val="Heading7"/>
    <w:rsid w:val="00F53370"/>
    <w:rPr>
      <w:rFonts w:ascii="Times New Roman" w:eastAsia="Times New Roman" w:hAnsi="Times New Roman" w:cs="Times New Roman"/>
    </w:rPr>
  </w:style>
  <w:style w:type="character" w:customStyle="1" w:styleId="Heading8Char">
    <w:name w:val="Heading 8 Char"/>
    <w:basedOn w:val="DefaultParagraphFont"/>
    <w:link w:val="Heading8"/>
    <w:rsid w:val="00F53370"/>
    <w:rPr>
      <w:rFonts w:ascii="Times New Roman" w:eastAsia="Times New Roman" w:hAnsi="Times New Roman" w:cs="Times New Roman"/>
    </w:rPr>
  </w:style>
  <w:style w:type="character" w:customStyle="1" w:styleId="Heading9Char">
    <w:name w:val="Heading 9 Char"/>
    <w:basedOn w:val="DefaultParagraphFont"/>
    <w:link w:val="Heading9"/>
    <w:rsid w:val="00F53370"/>
    <w:rPr>
      <w:rFonts w:ascii="Times New Roman" w:eastAsia="Times New Roman" w:hAnsi="Times New Roman" w:cs="Times New Roman"/>
    </w:rPr>
  </w:style>
  <w:style w:type="paragraph" w:styleId="Footer">
    <w:name w:val="footer"/>
    <w:basedOn w:val="Normal"/>
    <w:link w:val="FooterChar"/>
    <w:qFormat/>
    <w:rsid w:val="00F53370"/>
  </w:style>
  <w:style w:type="character" w:customStyle="1" w:styleId="FooterChar">
    <w:name w:val="Footer Char"/>
    <w:basedOn w:val="DefaultParagraphFont"/>
    <w:link w:val="Footer"/>
    <w:rsid w:val="00F53370"/>
    <w:rPr>
      <w:rFonts w:ascii="Times New Roman" w:eastAsia="Times New Roman" w:hAnsi="Times New Roman" w:cs="Times New Roman"/>
    </w:rPr>
  </w:style>
  <w:style w:type="paragraph" w:styleId="FootnoteText">
    <w:name w:val="footnote text"/>
    <w:aliases w:val="stile 1,Footnote,Footnote1,Footnote2,Footnote3,Footnote4,Footnote5,Footnote6,Footnote7,Footnote8,Footnote9,Footnote10,Footnote11,Footnote21,Footnote31,Footnote41,Footnote51,Footnote61,Footnote71,Footnote81,Footnote91,FA,FA Fu,fn"/>
    <w:basedOn w:val="Normal"/>
    <w:link w:val="FootnoteTextChar"/>
    <w:qFormat/>
    <w:rsid w:val="00F53370"/>
    <w:pPr>
      <w:keepLines/>
      <w:spacing w:after="60" w:line="240" w:lineRule="auto"/>
      <w:ind w:left="567" w:hanging="567"/>
    </w:pPr>
    <w:rPr>
      <w:sz w:val="16"/>
    </w:rPr>
  </w:style>
  <w:style w:type="character" w:customStyle="1" w:styleId="FootnoteTextChar">
    <w:name w:val="Footnote Text Char"/>
    <w:aliases w:val="stile 1 Char,Footnote Char,Footnote1 Char,Footnote2 Char,Footnote3 Char,Footnote4 Char,Footnote5 Char,Footnote6 Char,Footnote7 Char,Footnote8 Char,Footnote9 Char,Footnote10 Char,Footnote11 Char,Footnote21 Char,Footnote31 Char,FA Char"/>
    <w:basedOn w:val="DefaultParagraphFont"/>
    <w:link w:val="FootnoteText"/>
    <w:rsid w:val="00F53370"/>
    <w:rPr>
      <w:rFonts w:ascii="Times New Roman" w:eastAsia="Times New Roman" w:hAnsi="Times New Roman" w:cs="Times New Roman"/>
      <w:sz w:val="16"/>
    </w:rPr>
  </w:style>
  <w:style w:type="paragraph" w:styleId="Header">
    <w:name w:val="header"/>
    <w:basedOn w:val="Normal"/>
    <w:link w:val="HeaderChar"/>
    <w:qFormat/>
    <w:rsid w:val="00F53370"/>
  </w:style>
  <w:style w:type="character" w:customStyle="1" w:styleId="HeaderChar">
    <w:name w:val="Header Char"/>
    <w:basedOn w:val="DefaultParagraphFont"/>
    <w:link w:val="Header"/>
    <w:rsid w:val="00F53370"/>
    <w:rPr>
      <w:rFonts w:ascii="Times New Roman" w:eastAsia="Times New Roman" w:hAnsi="Times New Roman" w:cs="Times New Roman"/>
    </w:rPr>
  </w:style>
  <w:style w:type="paragraph" w:customStyle="1" w:styleId="quotes">
    <w:name w:val="quotes"/>
    <w:basedOn w:val="Normal"/>
    <w:next w:val="Normal"/>
    <w:rsid w:val="00F53370"/>
    <w:pPr>
      <w:ind w:left="720"/>
    </w:pPr>
    <w:rPr>
      <w:i/>
    </w:rPr>
  </w:style>
  <w:style w:type="character" w:styleId="FootnoteReference">
    <w:name w:val="footnote reference"/>
    <w:aliases w:val="Footnote symbol"/>
    <w:basedOn w:val="DefaultParagraphFont"/>
    <w:unhideWhenUsed/>
    <w:qFormat/>
    <w:rsid w:val="00F53370"/>
    <w:rPr>
      <w:sz w:val="24"/>
      <w:vertAlign w:val="superscript"/>
    </w:rPr>
  </w:style>
  <w:style w:type="table" w:styleId="TableGrid">
    <w:name w:val="Table Grid"/>
    <w:basedOn w:val="TableNormal"/>
    <w:uiPriority w:val="39"/>
    <w:rsid w:val="00F53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8A6DD4"/>
    <w:rPr>
      <w:color w:val="0000FF"/>
      <w:u w:val="single"/>
    </w:rPr>
  </w:style>
  <w:style w:type="character" w:styleId="CommentReference">
    <w:name w:val="annotation reference"/>
    <w:basedOn w:val="DefaultParagraphFont"/>
    <w:uiPriority w:val="99"/>
    <w:semiHidden/>
    <w:unhideWhenUsed/>
    <w:rsid w:val="00976F77"/>
    <w:rPr>
      <w:sz w:val="16"/>
      <w:szCs w:val="16"/>
    </w:rPr>
  </w:style>
  <w:style w:type="paragraph" w:styleId="CommentText">
    <w:name w:val="annotation text"/>
    <w:basedOn w:val="Normal"/>
    <w:link w:val="CommentTextChar"/>
    <w:uiPriority w:val="99"/>
    <w:semiHidden/>
    <w:unhideWhenUsed/>
    <w:rsid w:val="00976F77"/>
    <w:pPr>
      <w:spacing w:line="240" w:lineRule="auto"/>
    </w:pPr>
    <w:rPr>
      <w:sz w:val="20"/>
      <w:szCs w:val="20"/>
    </w:rPr>
  </w:style>
  <w:style w:type="character" w:customStyle="1" w:styleId="CommentTextChar">
    <w:name w:val="Comment Text Char"/>
    <w:basedOn w:val="DefaultParagraphFont"/>
    <w:link w:val="CommentText"/>
    <w:uiPriority w:val="99"/>
    <w:semiHidden/>
    <w:rsid w:val="00976F7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76F77"/>
    <w:rPr>
      <w:b/>
      <w:bCs/>
    </w:rPr>
  </w:style>
  <w:style w:type="character" w:customStyle="1" w:styleId="CommentSubjectChar">
    <w:name w:val="Comment Subject Char"/>
    <w:basedOn w:val="CommentTextChar"/>
    <w:link w:val="CommentSubject"/>
    <w:uiPriority w:val="99"/>
    <w:semiHidden/>
    <w:rsid w:val="00976F77"/>
    <w:rPr>
      <w:rFonts w:ascii="Times New Roman" w:eastAsia="Times New Roman" w:hAnsi="Times New Roman" w:cs="Times New Roman"/>
      <w:b/>
      <w:bCs/>
      <w:sz w:val="20"/>
      <w:szCs w:val="20"/>
    </w:rPr>
  </w:style>
  <w:style w:type="paragraph" w:styleId="Revision">
    <w:name w:val="Revision"/>
    <w:hidden/>
    <w:uiPriority w:val="99"/>
    <w:semiHidden/>
    <w:rsid w:val="00976F77"/>
    <w:pPr>
      <w:spacing w:after="0" w:line="240" w:lineRule="auto"/>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976F77"/>
    <w:pPr>
      <w:spacing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976F77"/>
    <w:rPr>
      <w:rFonts w:ascii="Segoe UI" w:eastAsia="Times New Roman" w:hAnsi="Segoe UI" w:cs="Times New Roman"/>
      <w:sz w:val="18"/>
      <w:szCs w:val="18"/>
    </w:rPr>
  </w:style>
  <w:style w:type="character" w:customStyle="1" w:styleId="UnresolvedMention1">
    <w:name w:val="Unresolved Mention1"/>
    <w:basedOn w:val="DefaultParagraphFont"/>
    <w:uiPriority w:val="99"/>
    <w:semiHidden/>
    <w:unhideWhenUsed/>
    <w:rsid w:val="00734C1E"/>
    <w:rPr>
      <w:color w:val="605E5C"/>
      <w:shd w:val="clear" w:color="auto" w:fill="E1DFDD"/>
    </w:rPr>
  </w:style>
  <w:style w:type="character" w:styleId="FollowedHyperlink">
    <w:name w:val="FollowedHyperlink"/>
    <w:basedOn w:val="DefaultParagraphFont"/>
    <w:uiPriority w:val="99"/>
    <w:semiHidden/>
    <w:unhideWhenUsed/>
    <w:rsid w:val="00734C1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eader" Target="header7.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5.xml"/></Relationships>
</file>

<file path=word/_rels/footnotes.xml.rels><?xml version="1.0" encoding="UTF-8" standalone="yes"?>
<Relationships xmlns="http://schemas.openxmlformats.org/package/2006/relationships"><Relationship Id="rId8" Type="http://schemas.openxmlformats.org/officeDocument/2006/relationships/hyperlink" Target="https://eur-lex.europa.eu/legal-content/LV/TXT/?uri=CELEX:52022IE0778&amp;qid=1669714537764" TargetMode="External"/><Relationship Id="rId13" Type="http://schemas.openxmlformats.org/officeDocument/2006/relationships/hyperlink" Target="https://eur-lex.europa.eu/legal-content/LV/TXT/?uri=uriserv:OJ.C_.2022.152.01.0122.01.LAV&amp;toc=OJ:C:2022:152:TOC" TargetMode="External"/><Relationship Id="rId18" Type="http://schemas.openxmlformats.org/officeDocument/2006/relationships/hyperlink" Target="https://www.eesc.europa.eu/lv/our-work/opinions-information-reports/information-reports/equal-treatment-young-people-labour-market" TargetMode="External"/><Relationship Id="rId3" Type="http://schemas.openxmlformats.org/officeDocument/2006/relationships/hyperlink" Target="https://eur-lex.europa.eu/legal-content/LV/TXT/?uri=uriserv:OJ.C_.2019.062.01.0142.01.LAV&amp;toc=OJ:C:2019:062:TOC" TargetMode="External"/><Relationship Id="rId21" Type="http://schemas.openxmlformats.org/officeDocument/2006/relationships/hyperlink" Target="https://www.eesc.europa.eu/lv/our-work/opinions-information-reports/information-reports/equal-treatment-young-people-labour-market" TargetMode="External"/><Relationship Id="rId7" Type="http://schemas.openxmlformats.org/officeDocument/2006/relationships/hyperlink" Target="https://eur-lex.europa.eu/legal-content/LV/TXT/?uri=uriserv:OJ.C_.2022.152.01.0027.01.LAV&amp;toc=OJ:C:2022:152:TOC" TargetMode="External"/><Relationship Id="rId12" Type="http://schemas.openxmlformats.org/officeDocument/2006/relationships/hyperlink" Target="https://eur-lex.europa.eu/legal-content/LV/TXT/?uri=uriserv:OJ.C_.2019.062.01.0142.01.LAV&amp;toc=OJ:C:2019:062:TOC" TargetMode="External"/><Relationship Id="rId17" Type="http://schemas.openxmlformats.org/officeDocument/2006/relationships/hyperlink" Target="https://ec.europa.eu/commission/presscorner/detail/lv/ip_22_6086" TargetMode="External"/><Relationship Id="rId2" Type="http://schemas.openxmlformats.org/officeDocument/2006/relationships/hyperlink" Target="https://ec.europa.eu/commission/presscorner/detail/lv/IP_21_5226" TargetMode="External"/><Relationship Id="rId16" Type="http://schemas.openxmlformats.org/officeDocument/2006/relationships/hyperlink" Target="https://eur-lex.europa.eu/legal-content/LV/TXT/?uri=uriserv:OJ.C_.2021.286.01.0027.01.LAV&amp;toc=OJ:C:2021:286:TOC" TargetMode="External"/><Relationship Id="rId20" Type="http://schemas.openxmlformats.org/officeDocument/2006/relationships/hyperlink" Target="https://www.eesc.europa.eu/sites/default/files/files/qe-09-22-291-en-n_0.pdf" TargetMode="External"/><Relationship Id="rId1" Type="http://schemas.openxmlformats.org/officeDocument/2006/relationships/hyperlink" Target="https://ec.europa.eu/commission/presscorner/detail/lv/speech_21_4701" TargetMode="External"/><Relationship Id="rId6" Type="http://schemas.openxmlformats.org/officeDocument/2006/relationships/hyperlink" Target="https://www.eesc.europa.eu/lv/our-work/opinions-information-reports/information-reports/equal-treatment-young-people-labour-market" TargetMode="External"/><Relationship Id="rId11" Type="http://schemas.openxmlformats.org/officeDocument/2006/relationships/hyperlink" Target="https://www.youthforum.org/files/SAFEGUARDING20CIVIC20SPACE20FOR20YOUNG20PEOPLE20IN20EUROPE202020_v4.02028129.pdf" TargetMode="External"/><Relationship Id="rId5" Type="http://schemas.openxmlformats.org/officeDocument/2006/relationships/hyperlink" Target="https://www.eesc.europa.eu/lv/our-work/opinions-information-reports/opinions/empowering-youth-achieve-sustainable-development-through-education" TargetMode="External"/><Relationship Id="rId15" Type="http://schemas.openxmlformats.org/officeDocument/2006/relationships/hyperlink" Target="https://www.eesc.europa.eu/lv/our-work/opinions-information-reports/opinions/how-promote-based-education-and-training-lifelong-learning-perspective-skills-needed-europe-establish-more-just-more" TargetMode="External"/><Relationship Id="rId10" Type="http://schemas.openxmlformats.org/officeDocument/2006/relationships/hyperlink" Target="https://eur-lex.europa.eu/legal-content/LV/TXT/?uri=uriserv:OJ.C_.2022.152.01.0122.01.LAV&amp;toc=OJ:C:2022:152:TOC" TargetMode="External"/><Relationship Id="rId19" Type="http://schemas.openxmlformats.org/officeDocument/2006/relationships/hyperlink" Target="https://www.eesc.europa.eu/lv/our-work/opinions-information-reports/opinions/empowering-youth-achieve-sustainable-development-through-education" TargetMode="External"/><Relationship Id="rId4" Type="http://schemas.openxmlformats.org/officeDocument/2006/relationships/hyperlink" Target="https://eur-lex.europa.eu/legal-content/LV/TXT/?uri=CELEX:52020IE1552&amp;qid=1669714098894" TargetMode="External"/><Relationship Id="rId9" Type="http://schemas.openxmlformats.org/officeDocument/2006/relationships/hyperlink" Target="https://www.eesc.europa.eu/lv/our-work/opinions-information-reports/opinions/eu-youth-test" TargetMode="External"/><Relationship Id="rId14" Type="http://schemas.openxmlformats.org/officeDocument/2006/relationships/hyperlink" Target="https://www.coe.int/en/web/youth/co-management" TargetMode="External"/><Relationship Id="rId22" Type="http://schemas.openxmlformats.org/officeDocument/2006/relationships/hyperlink" Target="https://eur-lex.europa.eu/legal-content/LV/TXT/?uri=uriserv:OJ.C_.2022.152.01.0027.01.LAV&amp;toc=OJ:C:2022:152:TO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1299d781-265f-4ceb-999e-e1eca3df2c90">P6FJPSUHKDC2-371278765-5093</_dlc_DocId>
    <_dlc_DocIdUrl xmlns="1299d781-265f-4ceb-999e-e1eca3df2c90">
      <Url>http://dm2016/eesc/2022/_layouts/15/DocIdRedir.aspx?ID=P6FJPSUHKDC2-371278765-5093</Url>
      <Description>P6FJPSUHKDC2-371278765-5093</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RES</TermName>
          <TermId xmlns="http://schemas.microsoft.com/office/infopath/2007/PartnerControls">9e3e62eb-6858-4bc7-8a50-3453e395fd01</TermId>
        </TermInfo>
      </Terms>
    </DocumentType_0>
    <Procedure xmlns="1299d781-265f-4ceb-999e-e1eca3df2c90"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1299d781-265f-4ceb-999e-e1eca3df2c90">2022-12-20T12:00:00+00:00</ProductionDate>
    <DocumentNumber xmlns="281c40f8-cf82-492d-ab76-d64788f6d6e7">5772</DocumentNumber>
    <FicheYear xmlns="1299d781-265f-4ceb-999e-e1eca3df2c90" xsi:nil="true"/>
    <DocumentVersion xmlns="1299d781-265f-4ceb-999e-e1eca3df2c90">0</DocumentVersion>
    <DossierNumber xmlns="1299d781-265f-4ceb-999e-e1eca3df2c90"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1299d781-265f-4ceb-999e-e1eca3df2c90" xsi:nil="true"/>
    <TaxCatchAll xmlns="1299d781-265f-4ceb-999e-e1eca3df2c90">
      <Value>36</Value>
      <Value>35</Value>
      <Value>33</Value>
      <Value>32</Value>
      <Value>31</Value>
      <Value>30</Value>
      <Value>175</Value>
      <Value>26</Value>
      <Value>37</Value>
      <Value>22</Value>
      <Value>55</Value>
      <Value>54</Value>
      <Value>46</Value>
      <Value>11</Value>
      <Value>41</Value>
      <Value>9</Value>
      <Value>45</Value>
      <Value>7</Value>
      <Value>43</Value>
      <Value>42</Value>
      <Value>4</Value>
      <Value>1</Value>
      <Value>6</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LV</TermName>
          <TermId xmlns="http://schemas.microsoft.com/office/infopath/2007/PartnerControls">46f7e311-5d9f-4663-b433-18aeccb7ace7</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1299d781-265f-4ceb-999e-e1eca3df2c90" xsi:nil="true"/>
    <DocumentYear xmlns="1299d781-265f-4ceb-999e-e1eca3df2c90">2022</DocumentYear>
    <FicheNumber xmlns="1299d781-265f-4ceb-999e-e1eca3df2c90">14812</FicheNumber>
    <OriginalSender xmlns="1299d781-265f-4ceb-999e-e1eca3df2c90">
      <UserInfo>
        <DisplayName>Skubina Ieva</DisplayName>
        <AccountId>2263</AccountId>
        <AccountType/>
      </UserInfo>
    </OriginalSender>
    <DocumentPart xmlns="1299d781-265f-4ceb-999e-e1eca3df2c90">0</DocumentPart>
    <AdoptionDate xmlns="1299d781-265f-4ceb-999e-e1eca3df2c90">2022-12-15T12:00:00+00:00</AdoptionDate>
    <RequestingService xmlns="1299d781-265f-4ceb-999e-e1eca3df2c90">Emploi, affaires sociales, citoyenneté</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281c40f8-cf82-492d-ab76-d64788f6d6e7" xsi:nil="true"/>
    <DossierName_0 xmlns="http://schemas.microsoft.com/sharepoint/v3/fields">
      <Terms xmlns="http://schemas.microsoft.com/office/infopath/2007/PartnerControls"/>
    </DossierName_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DD3FA595162D7E46B831C309E09FD749" ma:contentTypeVersion="4" ma:contentTypeDescription="Defines the documents for Document Manager V2" ma:contentTypeScope="" ma:versionID="e7b576e62d8472452529cdd9dabab678">
  <xsd:schema xmlns:xsd="http://www.w3.org/2001/XMLSchema" xmlns:xs="http://www.w3.org/2001/XMLSchema" xmlns:p="http://schemas.microsoft.com/office/2006/metadata/properties" xmlns:ns2="1299d781-265f-4ceb-999e-e1eca3df2c90" xmlns:ns3="http://schemas.microsoft.com/sharepoint/v3/fields" xmlns:ns4="281c40f8-cf82-492d-ab76-d64788f6d6e7" targetNamespace="http://schemas.microsoft.com/office/2006/metadata/properties" ma:root="true" ma:fieldsID="b294384907821532d986b3fb395bd2ba" ns2:_="" ns3:_="" ns4:_="">
    <xsd:import namespace="1299d781-265f-4ceb-999e-e1eca3df2c90"/>
    <xsd:import namespace="http://schemas.microsoft.com/sharepoint/v3/fields"/>
    <xsd:import namespace="281c40f8-cf82-492d-ab76-d64788f6d6e7"/>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2:OriginalSender"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99d781-265f-4ceb-999e-e1eca3df2c9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OriginalSender" ma:index="13" nillable="true" ma:displayName="Original Sender" ma:internalName="OriginalSend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ssierNumber" ma:index="15" nillable="true" ma:displayName="Dossier Number" ma:decimals="0" ma:internalName="DossierNumber">
      <xsd:simpleType>
        <xsd:restriction base="dms:Unknown"/>
      </xsd:simpleType>
    </xsd:element>
    <xsd:element name="Rapporteur" ma:index="17" nillable="true" ma:displayName="Rapporteur" ma:internalName="Rapporteur">
      <xsd:simpleType>
        <xsd:restriction base="dms:Text"/>
      </xsd:simpleType>
    </xsd:element>
    <xsd:element name="AdoptionDate" ma:index="18" nillable="true" ma:displayName="Adoption Date" ma:format="DateOnly" ma:internalName="AdoptionDate">
      <xsd:simpleType>
        <xsd:restriction base="dms:DateTime"/>
      </xsd:simpleType>
    </xsd:element>
    <xsd:element name="TaxCatchAll" ma:index="20" nillable="true" ma:displayName="Taxonomy Catch All Column" ma:hidden="true" ma:list="{7ea9cc77-7db7-4067-9972-efc9a75de26f}" ma:internalName="TaxCatchAll" ma:showField="CatchAllData" ma:web="1299d781-265f-4ceb-999e-e1eca3df2c90">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7ea9cc77-7db7-4067-9972-efc9a75de26f}" ma:internalName="TaxCatchAllLabel" ma:readOnly="true" ma:showField="CatchAllDataLabel" ma:web="1299d781-265f-4ceb-999e-e1eca3df2c90">
      <xsd:complexType>
        <xsd:complexContent>
          <xsd:extension base="dms:MultiChoiceLookup">
            <xsd:sequence>
              <xsd:element name="Value" type="dms:Lookup" maxOccurs="unbounded" minOccurs="0" nillable="true"/>
            </xsd:sequence>
          </xsd:extension>
        </xsd:complexContent>
      </xsd:complexType>
    </xsd:element>
    <xsd:element name="MeetingDate" ma:index="26" nillable="true" ma:displayName="Meeting Date" ma:format="DateOnly" ma:internalName="MeetingDate">
      <xsd:simpleType>
        <xsd:restriction base="dms:DateTime"/>
      </xsd:simpleType>
    </xsd:element>
    <xsd:element name="Procedure" ma:index="29" nillable="true" ma:displayName="Procedure" ma:internalName="Procedure">
      <xsd:simpleType>
        <xsd:restriction base="dms:Text"/>
      </xsd:simpleType>
    </xsd:element>
    <xsd:element name="DocumentYear" ma:index="34" ma:displayName="Document Year" ma:decimals="0" ma:internalName="DocumentYear">
      <xsd:simpleType>
        <xsd:restriction base="dms:Unknown"/>
      </xsd:simpleType>
    </xsd:element>
    <xsd:element name="DocumentPart" ma:index="37" nillable="true" ma:displayName="Document Part" ma:decimals="0" ma:internalName="DocumentPart">
      <xsd:simpleType>
        <xsd:restriction base="dms:Unknown"/>
      </xsd:simpleType>
    </xsd:element>
    <xsd:element name="FicheYear" ma:index="42" nillable="true" ma:displayName="Fiche Year" ma:decimals="0" ma:internalName="FicheYear">
      <xsd:simpleType>
        <xsd:restriction base="dms:Unknown"/>
      </xsd:simpleType>
    </xsd:element>
    <xsd:element name="RequestingService" ma:index="43" nillable="true" ma:displayName="Requesting Service" ma:internalName="RequestingService">
      <xsd:simpleType>
        <xsd:restriction base="dms:Text"/>
      </xsd:simpleType>
    </xsd:element>
    <xsd:element name="FicheNumber" ma:index="44" nillable="true" ma:displayName="Fiche Number" ma:decimals="0" ma:internalName="FicheNumber">
      <xsd:simpleType>
        <xsd:restriction base="dms:Unknown"/>
      </xsd:simpleType>
    </xsd:element>
    <xsd:element name="DocumentVersion" ma:index="47"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4"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3"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7"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30"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2"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5"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8"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40"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5"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81c40f8-cf82-492d-ab76-d64788f6d6e7" elementFormDefault="qualified">
    <xsd:import namespace="http://schemas.microsoft.com/office/2006/documentManagement/types"/>
    <xsd:import namespace="http://schemas.microsoft.com/office/infopath/2007/PartnerControls"/>
    <xsd:element name="MeetingNumber" ma:index="16" nillable="true" ma:displayName="Meeting Number" ma:decimals="0" ma:indexed="true" ma:internalName="MeetingNumber">
      <xsd:simpleType>
        <xsd:restriction base="dms:Unknown"/>
      </xsd:simpleType>
    </xsd:element>
    <xsd:element name="DocumentNumber" ma:index="25"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99A9BEE-4003-4B94-9D25-E132A7203EE6}">
  <ds:schemaRefs>
    <ds:schemaRef ds:uri="http://schemas.microsoft.com/office/2006/metadata/properties"/>
    <ds:schemaRef ds:uri="http://schemas.microsoft.com/office/infopath/2007/PartnerControls"/>
    <ds:schemaRef ds:uri="1299d781-265f-4ceb-999e-e1eca3df2c90"/>
    <ds:schemaRef ds:uri="http://schemas.microsoft.com/sharepoint/v3/fields"/>
    <ds:schemaRef ds:uri="281c40f8-cf82-492d-ab76-d64788f6d6e7"/>
  </ds:schemaRefs>
</ds:datastoreItem>
</file>

<file path=customXml/itemProps2.xml><?xml version="1.0" encoding="utf-8"?>
<ds:datastoreItem xmlns:ds="http://schemas.openxmlformats.org/officeDocument/2006/customXml" ds:itemID="{79A9418F-9520-4B42-8E40-3E29C0C72540}">
  <ds:schemaRefs>
    <ds:schemaRef ds:uri="http://schemas.microsoft.com/sharepoint/v3/contenttype/forms"/>
  </ds:schemaRefs>
</ds:datastoreItem>
</file>

<file path=customXml/itemProps3.xml><?xml version="1.0" encoding="utf-8"?>
<ds:datastoreItem xmlns:ds="http://schemas.openxmlformats.org/officeDocument/2006/customXml" ds:itemID="{FFF0FF3B-0CD0-4B52-8DA6-24652831189B}">
  <ds:schemaRefs>
    <ds:schemaRef ds:uri="http://schemas.microsoft.com/sharepoint/events"/>
  </ds:schemaRefs>
</ds:datastoreItem>
</file>

<file path=customXml/itemProps4.xml><?xml version="1.0" encoding="utf-8"?>
<ds:datastoreItem xmlns:ds="http://schemas.openxmlformats.org/officeDocument/2006/customXml" ds:itemID="{52C2BA06-2F9B-4DF5-9CE7-4056A43C9B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99d781-265f-4ceb-999e-e1eca3df2c90"/>
    <ds:schemaRef ds:uri="http://schemas.microsoft.com/sharepoint/v3/fields"/>
    <ds:schemaRef ds:uri="281c40f8-cf82-492d-ab76-d64788f6d6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3640</Words>
  <Characters>20026</Characters>
  <Application>Microsoft Office Word</Application>
  <DocSecurity>0</DocSecurity>
  <Lines>166</Lines>
  <Paragraphs>47</Paragraphs>
  <ScaleCrop>false</ScaleCrop>
  <HeadingPairs>
    <vt:vector size="2" baseType="variant">
      <vt:variant>
        <vt:lpstr>Title</vt:lpstr>
      </vt:variant>
      <vt:variant>
        <vt:i4>1</vt:i4>
      </vt:variant>
    </vt:vector>
  </HeadingPairs>
  <TitlesOfParts>
    <vt:vector size="1" baseType="lpstr">
      <vt:lpstr>AC-Cover page - Opinion Committee - EESC revised model</vt:lpstr>
    </vt:vector>
  </TitlesOfParts>
  <Company>CESE-CdR</Company>
  <LinksUpToDate>false</LinksUpToDate>
  <CharactersWithSpaces>23619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Rezolūcija par tematu "Ilglaicīgais Eiropas Jaunatnes gada mantojums: jaunatnes aspekta integrēšana un jaunatnes spēcināšana"</dc:title>
  <dc:subject>RES</dc:subject>
  <dc:creator>Francois Aude</dc:creator>
  <cp:keywords>EESC-2022-05772-00-00-RES-TRA-EN</cp:keywords>
  <dc:description>Rapporteur:  - Original language: EN - Date of document: 20/12/2022 - Date of meeting:  - External documents:  - Administrator:  BORG Sabrina</dc:description>
  <cp:lastModifiedBy>Melninkaitiene Lina</cp:lastModifiedBy>
  <cp:revision>2</cp:revision>
  <dcterms:created xsi:type="dcterms:W3CDTF">2022-12-20T11:04:00Z</dcterms:created>
  <dcterms:modified xsi:type="dcterms:W3CDTF">2022-12-20T11:04:00Z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16/12/2022, 17/05/2022</vt:lpwstr>
  </property>
  <property fmtid="{D5CDD505-2E9C-101B-9397-08002B2CF9AE}" pid="4" name="Pref_Time">
    <vt:lpwstr>10:52:31, 14:58:36</vt:lpwstr>
  </property>
  <property fmtid="{D5CDD505-2E9C-101B-9397-08002B2CF9AE}" pid="5" name="Pref_User">
    <vt:lpwstr>enied, enied</vt:lpwstr>
  </property>
  <property fmtid="{D5CDD505-2E9C-101B-9397-08002B2CF9AE}" pid="6" name="Pref_FileName">
    <vt:lpwstr>EESC-2022-05772-00-00-RES-TRA-EN-CRR.docx, COR-EESC-2022-02592-00-00-ADMIN-ORI.docx</vt:lpwstr>
  </property>
  <property fmtid="{D5CDD505-2E9C-101B-9397-08002B2CF9AE}" pid="7" name="ContentTypeId">
    <vt:lpwstr>0x010100EA97B91038054C99906057A708A1480A00DD3FA595162D7E46B831C309E09FD749</vt:lpwstr>
  </property>
  <property fmtid="{D5CDD505-2E9C-101B-9397-08002B2CF9AE}" pid="8" name="_dlc_DocIdItemGuid">
    <vt:lpwstr>8f6277f0-3cd4-488e-887f-d28d2e449394</vt:lpwstr>
  </property>
  <property fmtid="{D5CDD505-2E9C-101B-9397-08002B2CF9AE}" pid="9" name="AvailableTranslations">
    <vt:lpwstr>55;#HR|2f555653-ed1a-4fe6-8362-9082d95989e5;#45;#RO|feb747a2-64cd-4299-af12-4833ddc30497;#43;#NL|55c6556c-b4f4-441d-9acf-c498d4f838bd;#35;#MT|7df99101-6854-4a26-b53a-b88c0da02c26;#30;#PL|1e03da61-4678-4e07-b136-b5024ca9197b;#41;#CS|72f9705b-0217-4fd3-bea2-cbc7ed80e26e;#36;#HU|6b229040-c589-4408-b4c1-4285663d20a8;#4;#EN|f2175f21-25d7-44a3-96da-d6a61b075e1b;#32;#DA|5d49c027-8956-412b-aa16-e85a0f96ad0e;#22;#DE|f6b31e5a-26fa-4935-b661-318e46daf27e;#33;#IT|0774613c-01ed-4e5d-a25d-11d2388de825;#37;#PT|50ccc04a-eadd-42ae-a0cb-acaf45f812ba;#54;#ET|ff6c3f4c-b02c-4c3c-ab07-2c37995a7a0a;#11;#FR|d2afafd3-4c81-4f60-8f52-ee33f2f54ff3;#26;#LV|46f7e311-5d9f-4663-b433-18aeccb7ace7;#31;#ES|e7a6b05b-ae16-40c8-add9-68b64b03aeba;#42;#SL|98a412ae-eb01-49e9-ae3d-585a81724cfc;#46;#EL|6d4f4d51-af9b-4650-94b4-4276bee85c91</vt:lpwstr>
  </property>
  <property fmtid="{D5CDD505-2E9C-101B-9397-08002B2CF9AE}" pid="10" name="DocumentType_0">
    <vt:lpwstr>RES|9e3e62eb-6858-4bc7-8a50-3453e395fd01</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DocumentNumber">
    <vt:i4>5772</vt:i4>
  </property>
  <property fmtid="{D5CDD505-2E9C-101B-9397-08002B2CF9AE}" pid="14" name="DocumentYear">
    <vt:i4>2022</vt:i4>
  </property>
  <property fmtid="{D5CDD505-2E9C-101B-9397-08002B2CF9AE}" pid="15" name="DocumentVersion">
    <vt:i4>0</vt:i4>
  </property>
  <property fmtid="{D5CDD505-2E9C-101B-9397-08002B2CF9AE}" pid="16" name="FicheNumber">
    <vt:i4>14812</vt:i4>
  </property>
  <property fmtid="{D5CDD505-2E9C-101B-9397-08002B2CF9AE}" pid="17" name="DocumentStatus">
    <vt:lpwstr>7;#TRA|150d2a88-1431-44e6-a8ca-0bb753ab8672</vt:lpwstr>
  </property>
  <property fmtid="{D5CDD505-2E9C-101B-9397-08002B2CF9AE}" pid="18" name="DocumentPart">
    <vt:i4>0</vt:i4>
  </property>
  <property fmtid="{D5CDD505-2E9C-101B-9397-08002B2CF9AE}" pid="19" name="DossierName">
    <vt:lpwstr/>
  </property>
  <property fmtid="{D5CDD505-2E9C-101B-9397-08002B2CF9AE}" pid="20" name="DocumentSource">
    <vt:lpwstr>1;#EESC|422833ec-8d7e-4e65-8e4e-8bed07ffb729</vt:lpwstr>
  </property>
  <property fmtid="{D5CDD505-2E9C-101B-9397-08002B2CF9AE}" pid="21" name="AdoptionDate">
    <vt:filetime>2022-12-15T12:00:00Z</vt:filetime>
  </property>
  <property fmtid="{D5CDD505-2E9C-101B-9397-08002B2CF9AE}" pid="22" name="DocumentType">
    <vt:lpwstr>175;#RES|9e3e62eb-6858-4bc7-8a50-3453e395fd01</vt:lpwstr>
  </property>
  <property fmtid="{D5CDD505-2E9C-101B-9397-08002B2CF9AE}" pid="23" name="RequestingService">
    <vt:lpwstr>Emploi, affaires sociales, citoyenneté</vt:lpwstr>
  </property>
  <property fmtid="{D5CDD505-2E9C-101B-9397-08002B2CF9AE}" pid="24" name="Confidentiality">
    <vt:lpwstr>9;#Unrestricted|826e22d7-d029-4ec0-a450-0c28ff673572</vt:lpwstr>
  </property>
  <property fmtid="{D5CDD505-2E9C-101B-9397-08002B2CF9AE}" pid="25" name="MeetingName_0">
    <vt:lpwstr/>
  </property>
  <property fmtid="{D5CDD505-2E9C-101B-9397-08002B2CF9AE}" pid="26" name="Confidentiality_0">
    <vt:lpwstr>Unrestricted|826e22d7-d029-4ec0-a450-0c28ff673572</vt:lpwstr>
  </property>
  <property fmtid="{D5CDD505-2E9C-101B-9397-08002B2CF9AE}" pid="27" name="OriginalLanguage">
    <vt:lpwstr>4;#EN|f2175f21-25d7-44a3-96da-d6a61b075e1b</vt:lpwstr>
  </property>
  <property fmtid="{D5CDD505-2E9C-101B-9397-08002B2CF9AE}" pid="28" name="MeetingName">
    <vt:lpwstr/>
  </property>
  <property fmtid="{D5CDD505-2E9C-101B-9397-08002B2CF9AE}" pid="29" name="AvailableTranslations_0">
    <vt:lpwstr>HR|2f555653-ed1a-4fe6-8362-9082d95989e5;RO|feb747a2-64cd-4299-af12-4833ddc30497;NL|55c6556c-b4f4-441d-9acf-c498d4f838bd;MT|7df99101-6854-4a26-b53a-b88c0da02c26;PL|1e03da61-4678-4e07-b136-b5024ca9197b;CS|72f9705b-0217-4fd3-bea2-cbc7ed80e26e;HU|6b229040-c589-4408-b4c1-4285663d20a8;EN|f2175f21-25d7-44a3-96da-d6a61b075e1b;DA|5d49c027-8956-412b-aa16-e85a0f96ad0e;DE|f6b31e5a-26fa-4935-b661-318e46daf27e;IT|0774613c-01ed-4e5d-a25d-11d2388de825;PT|50ccc04a-eadd-42ae-a0cb-acaf45f812ba;FR|d2afafd3-4c81-4f60-8f52-ee33f2f54ff3;ES|e7a6b05b-ae16-40c8-add9-68b64b03aeba;EL|6d4f4d51-af9b-4650-94b4-4276bee85c91</vt:lpwstr>
  </property>
  <property fmtid="{D5CDD505-2E9C-101B-9397-08002B2CF9AE}" pid="30" name="DocumentStatus_0">
    <vt:lpwstr>TRA|150d2a88-1431-44e6-a8ca-0bb753ab8672</vt:lpwstr>
  </property>
  <property fmtid="{D5CDD505-2E9C-101B-9397-08002B2CF9AE}" pid="31" name="OriginalLanguage_0">
    <vt:lpwstr>EN|f2175f21-25d7-44a3-96da-d6a61b075e1b</vt:lpwstr>
  </property>
  <property fmtid="{D5CDD505-2E9C-101B-9397-08002B2CF9AE}" pid="32" name="TaxCatchAll">
    <vt:lpwstr>36;#HU|6b229040-c589-4408-b4c1-4285663d20a8;#35;#MT|7df99101-6854-4a26-b53a-b88c0da02c26;#33;#IT|0774613c-01ed-4e5d-a25d-11d2388de825;#32;#DA|5d49c027-8956-412b-aa16-e85a0f96ad0e;#31;#ES|e7a6b05b-ae16-40c8-add9-68b64b03aeba;#30;#PL|1e03da61-4678-4e07-b136-b5024ca9197b;#175;#RES|9e3e62eb-6858-4bc7-8a50-3453e395fd01;#37;#PT|50ccc04a-eadd-42ae-a0cb-acaf45f812ba;#22;#DE|f6b31e5a-26fa-4935-b661-318e46daf27e;#55;#HR|2f555653-ed1a-4fe6-8362-9082d95989e5;#46;#EL|6d4f4d51-af9b-4650-94b4-4276bee85c91;#11;#FR|d2afafd3-4c81-4f60-8f52-ee33f2f54ff3;#41;#CS|72f9705b-0217-4fd3-bea2-cbc7ed80e26e;#9;#Unrestricted|826e22d7-d029-4ec0-a450-0c28ff673572;#45;#RO|feb747a2-64cd-4299-af12-4833ddc30497;#7;#TRA|150d2a88-1431-44e6-a8ca-0bb753ab8672;#43;#NL|55c6556c-b4f4-441d-9acf-c498d4f838bd;#4;#EN|f2175f21-25d7-44a3-96da-d6a61b075e1b;#1;#EESC|422833ec-8d7e-4e65-8e4e-8bed07ffb729;#6;#Final|ea5e6674-7b27-4bac-b091-73adbb394efe</vt:lpwstr>
  </property>
  <property fmtid="{D5CDD505-2E9C-101B-9397-08002B2CF9AE}" pid="33" name="VersionStatus_0">
    <vt:lpwstr>Final|ea5e6674-7b27-4bac-b091-73adbb394efe</vt:lpwstr>
  </property>
  <property fmtid="{D5CDD505-2E9C-101B-9397-08002B2CF9AE}" pid="34" name="VersionStatus">
    <vt:lpwstr>6;#Final|ea5e6674-7b27-4bac-b091-73adbb394efe</vt:lpwstr>
  </property>
  <property fmtid="{D5CDD505-2E9C-101B-9397-08002B2CF9AE}" pid="35" name="DocumentLanguage">
    <vt:lpwstr>26;#LV|46f7e311-5d9f-4663-b433-18aeccb7ace7</vt:lpwstr>
  </property>
</Properties>
</file>