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574C9B" w:rsidRPr="00E36037" w14:paraId="4B18B74B" w14:textId="77777777" w:rsidTr="008E4CC5">
        <w:trPr>
          <w:jc w:val="center"/>
        </w:trPr>
        <w:tc>
          <w:tcPr>
            <w:tcW w:w="5000" w:type="pct"/>
            <w:vAlign w:val="center"/>
          </w:tcPr>
          <w:p w14:paraId="4B8F14AB" w14:textId="2BDDAF8C" w:rsidR="00574C9B" w:rsidRPr="00E36037" w:rsidRDefault="002601C2" w:rsidP="006125A1">
            <w:pPr>
              <w:jc w:val="center"/>
              <w:rPr>
                <w:b/>
                <w:sz w:val="72"/>
                <w:szCs w:val="72"/>
              </w:rPr>
            </w:pPr>
            <w:r>
              <w:rPr>
                <w:b/>
                <w:sz w:val="72"/>
              </w:rPr>
              <w:t>REZOLIUCIJA</w:t>
            </w:r>
          </w:p>
        </w:tc>
      </w:tr>
      <w:tr w:rsidR="00574C9B" w:rsidRPr="00E36037" w14:paraId="428F80C1" w14:textId="77777777" w:rsidTr="008E4CC5">
        <w:trPr>
          <w:trHeight w:val="567"/>
          <w:jc w:val="center"/>
        </w:trPr>
        <w:tc>
          <w:tcPr>
            <w:tcW w:w="5000" w:type="pct"/>
            <w:vAlign w:val="center"/>
          </w:tcPr>
          <w:p w14:paraId="0E3C838D" w14:textId="77777777" w:rsidR="00574C9B" w:rsidRPr="00E36037" w:rsidRDefault="00574C9B" w:rsidP="006125A1">
            <w:pPr>
              <w:jc w:val="center"/>
              <w:rPr>
                <w:sz w:val="24"/>
                <w:szCs w:val="24"/>
              </w:rPr>
            </w:pPr>
            <w:r>
              <w:rPr>
                <w:sz w:val="24"/>
              </w:rPr>
              <w:t>Europos ekonomikos ir socialinių reikalų komitetas</w:t>
            </w:r>
          </w:p>
        </w:tc>
      </w:tr>
      <w:tr w:rsidR="00574C9B" w:rsidRPr="00E36037" w14:paraId="5FCA7EB1" w14:textId="77777777" w:rsidTr="008E4CC5">
        <w:trPr>
          <w:jc w:val="center"/>
        </w:trPr>
        <w:tc>
          <w:tcPr>
            <w:tcW w:w="5000" w:type="pct"/>
            <w:vAlign w:val="center"/>
          </w:tcPr>
          <w:p w14:paraId="164B3F5D" w14:textId="0E95250D" w:rsidR="00574C9B" w:rsidRPr="00E36037" w:rsidRDefault="002601C2" w:rsidP="006125A1">
            <w:pPr>
              <w:jc w:val="center"/>
              <w:rPr>
                <w:b/>
                <w:sz w:val="44"/>
                <w:szCs w:val="44"/>
              </w:rPr>
            </w:pPr>
            <w:r>
              <w:rPr>
                <w:b/>
                <w:sz w:val="44"/>
              </w:rPr>
              <w:t>Ilgalaikis Europos jaunimo metų poveikis: jaunimo aspekto integravimas ir įgalėjimas</w:t>
            </w:r>
          </w:p>
        </w:tc>
      </w:tr>
      <w:tr w:rsidR="00574C9B" w:rsidRPr="00E36037" w14:paraId="0A2CA787" w14:textId="77777777" w:rsidTr="008E4CC5">
        <w:trPr>
          <w:jc w:val="center"/>
        </w:trPr>
        <w:tc>
          <w:tcPr>
            <w:tcW w:w="5000" w:type="pct"/>
            <w:vAlign w:val="center"/>
          </w:tcPr>
          <w:p w14:paraId="766B3712" w14:textId="77777777" w:rsidR="00574C9B" w:rsidRPr="00E36037" w:rsidRDefault="00574C9B" w:rsidP="006125A1">
            <w:pPr>
              <w:overflowPunct w:val="0"/>
              <w:autoSpaceDE w:val="0"/>
              <w:autoSpaceDN w:val="0"/>
              <w:adjustRightInd w:val="0"/>
              <w:jc w:val="center"/>
              <w:textAlignment w:val="baseline"/>
              <w:rPr>
                <w:b/>
                <w:position w:val="24"/>
                <w:sz w:val="24"/>
                <w:szCs w:val="24"/>
              </w:rPr>
            </w:pPr>
            <w:r>
              <w:rPr>
                <w:sz w:val="24"/>
              </w:rPr>
              <w:t>_____________</w:t>
            </w:r>
          </w:p>
        </w:tc>
      </w:tr>
      <w:tr w:rsidR="00574C9B" w:rsidRPr="00E36037" w14:paraId="651BE820" w14:textId="77777777" w:rsidTr="008E4CC5">
        <w:trPr>
          <w:jc w:val="center"/>
        </w:trPr>
        <w:tc>
          <w:tcPr>
            <w:tcW w:w="5000" w:type="pct"/>
            <w:vAlign w:val="center"/>
          </w:tcPr>
          <w:p w14:paraId="6E238E6D" w14:textId="451D142C" w:rsidR="00574C9B" w:rsidRPr="00E36037" w:rsidRDefault="00D87838" w:rsidP="006125A1">
            <w:pPr>
              <w:jc w:val="center"/>
              <w:rPr>
                <w:sz w:val="24"/>
                <w:szCs w:val="24"/>
              </w:rPr>
            </w:pPr>
            <w:r>
              <w:rPr>
                <w:sz w:val="24"/>
              </w:rPr>
              <w:t>Ilgalaikis Europos jaunimo metų poveikis: jaunimo aspekto integravimas ir įgalėjimas</w:t>
            </w:r>
          </w:p>
        </w:tc>
      </w:tr>
      <w:tr w:rsidR="00574C9B" w:rsidRPr="00E36037" w14:paraId="2110FDEB" w14:textId="77777777" w:rsidTr="008E4CC5">
        <w:trPr>
          <w:jc w:val="center"/>
        </w:trPr>
        <w:tc>
          <w:tcPr>
            <w:tcW w:w="5000" w:type="pct"/>
            <w:vAlign w:val="center"/>
          </w:tcPr>
          <w:p w14:paraId="59F181E4" w14:textId="77777777" w:rsidR="00574C9B" w:rsidRPr="00E36037" w:rsidRDefault="00574C9B" w:rsidP="006125A1">
            <w:pPr>
              <w:jc w:val="center"/>
              <w:rPr>
                <w:sz w:val="24"/>
                <w:szCs w:val="24"/>
                <w:lang w:val="en-GB"/>
              </w:rPr>
            </w:pPr>
          </w:p>
        </w:tc>
      </w:tr>
      <w:tr w:rsidR="00497E52" w:rsidRPr="00E36037" w14:paraId="5DF7EBEA" w14:textId="77777777" w:rsidTr="00372D18">
        <w:trPr>
          <w:jc w:val="center"/>
        </w:trPr>
        <w:tc>
          <w:tcPr>
            <w:tcW w:w="5000" w:type="pct"/>
          </w:tcPr>
          <w:p w14:paraId="6AC129C5" w14:textId="25C62B6C" w:rsidR="00497E52" w:rsidRPr="00E36037" w:rsidRDefault="00497E52" w:rsidP="00497E52">
            <w:pPr>
              <w:jc w:val="center"/>
            </w:pPr>
            <w:r>
              <w:t xml:space="preserve">SOC skyriaus pirmininko </w:t>
            </w:r>
            <w:r>
              <w:rPr>
                <w:b/>
              </w:rPr>
              <w:t>Laurenţiu Plosceanu</w:t>
            </w:r>
            <w:r>
              <w:t xml:space="preserve"> pasiūlymas Europos jaunimo metų koordinavimo grupės prašymu</w:t>
            </w:r>
          </w:p>
          <w:p w14:paraId="203C1489" w14:textId="3BEC8D1C" w:rsidR="00497E52" w:rsidRPr="00E36037" w:rsidRDefault="00497E52" w:rsidP="00497E52">
            <w:pPr>
              <w:jc w:val="center"/>
              <w:rPr>
                <w:lang w:val="en-GB"/>
              </w:rPr>
            </w:pPr>
          </w:p>
          <w:p w14:paraId="7CEE2DA1" w14:textId="4CB67030" w:rsidR="00497E52" w:rsidRPr="00E36037" w:rsidRDefault="00497E52" w:rsidP="00497E52">
            <w:pPr>
              <w:jc w:val="center"/>
            </w:pPr>
            <w:r>
              <w:t>(Katrīna Leitāne (pirmininkė), Neža Repanšek, Michael Mcloughlin, Nicoletta Merlo, Mateusz Maciej Szymanski, Florian Marin, Pierre Bollon, Dolores Sammut Bonnici ir Davor Majetic)</w:t>
            </w:r>
          </w:p>
          <w:p w14:paraId="23E9DE0A" w14:textId="0F6C4F6C" w:rsidR="00497E52" w:rsidRPr="00E36037" w:rsidRDefault="00497E52" w:rsidP="00497E52">
            <w:pPr>
              <w:jc w:val="center"/>
              <w:rPr>
                <w:sz w:val="24"/>
                <w:szCs w:val="24"/>
                <w:lang w:val="en-GB"/>
              </w:rPr>
            </w:pPr>
          </w:p>
        </w:tc>
      </w:tr>
    </w:tbl>
    <w:p w14:paraId="0B225863" w14:textId="77777777" w:rsidR="00574C9B" w:rsidRPr="00E36037" w:rsidRDefault="00574C9B" w:rsidP="00574C9B">
      <w:r>
        <w:rPr>
          <w:noProof/>
          <w:sz w:val="20"/>
        </w:rPr>
        <mc:AlternateContent>
          <mc:Choice Requires="wps">
            <w:drawing>
              <wp:anchor distT="0" distB="0" distL="114300" distR="114300" simplePos="0" relativeHeight="251659264" behindDoc="1" locked="0" layoutInCell="0" allowOverlap="1" wp14:anchorId="3735E109" wp14:editId="2906E5EC">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LT</w:t>
                      </w:r>
                    </w:p>
                  </w:txbxContent>
                </v:textbox>
                <w10:wrap anchorx="margin" anchory="page"/>
              </v:shape>
            </w:pict>
          </mc:Fallback>
        </mc:AlternateContent>
      </w:r>
    </w:p>
    <w:p w14:paraId="3FA5826A" w14:textId="77777777" w:rsidR="00574C9B" w:rsidRPr="00E36037" w:rsidRDefault="00574C9B" w:rsidP="00574C9B">
      <w:pPr>
        <w:rPr>
          <w:lang w:val="en-GB"/>
        </w:rPr>
      </w:pPr>
    </w:p>
    <w:p w14:paraId="4B88FC0A" w14:textId="77777777" w:rsidR="00574C9B" w:rsidRPr="00E36037" w:rsidRDefault="00574C9B" w:rsidP="00574C9B">
      <w:pPr>
        <w:rPr>
          <w:lang w:val="en-GB"/>
        </w:rPr>
        <w:sectPr w:rsidR="00574C9B" w:rsidRPr="00E36037" w:rsidSect="000059B7">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479D2" w:rsidRPr="00E36037" w14:paraId="02CCD765" w14:textId="77777777" w:rsidTr="00E15BF4">
        <w:tc>
          <w:tcPr>
            <w:tcW w:w="3085" w:type="dxa"/>
          </w:tcPr>
          <w:p w14:paraId="539F8317" w14:textId="076EDCDB" w:rsidR="00C479D2" w:rsidRPr="00E36037" w:rsidRDefault="00C479D2" w:rsidP="00C479D2">
            <w:pPr>
              <w:autoSpaceDE w:val="0"/>
              <w:autoSpaceDN w:val="0"/>
              <w:jc w:val="left"/>
              <w:rPr>
                <w:szCs w:val="20"/>
              </w:rPr>
            </w:pPr>
            <w:r>
              <w:lastRenderedPageBreak/>
              <w:t>Teisinis pagrindas</w:t>
            </w:r>
          </w:p>
        </w:tc>
        <w:tc>
          <w:tcPr>
            <w:tcW w:w="6204" w:type="dxa"/>
            <w:vAlign w:val="bottom"/>
          </w:tcPr>
          <w:p w14:paraId="2974D99B" w14:textId="431B705C" w:rsidR="00C479D2" w:rsidRPr="00E36037" w:rsidRDefault="00C479D2" w:rsidP="00C479D2">
            <w:pPr>
              <w:autoSpaceDE w:val="0"/>
              <w:autoSpaceDN w:val="0"/>
              <w:jc w:val="left"/>
              <w:rPr>
                <w:szCs w:val="20"/>
              </w:rPr>
            </w:pPr>
            <w:r>
              <w:t>Darbo tvarkos taisyklių 50 straipsnis</w:t>
            </w:r>
          </w:p>
        </w:tc>
      </w:tr>
      <w:tr w:rsidR="00C479D2" w:rsidRPr="00E36037" w14:paraId="5EFF5047" w14:textId="77777777" w:rsidTr="00E15BF4">
        <w:tc>
          <w:tcPr>
            <w:tcW w:w="3085" w:type="dxa"/>
          </w:tcPr>
          <w:p w14:paraId="076FE721" w14:textId="77777777" w:rsidR="00C479D2" w:rsidRPr="00E36037" w:rsidRDefault="00C479D2" w:rsidP="00C479D2">
            <w:pPr>
              <w:autoSpaceDE w:val="0"/>
              <w:autoSpaceDN w:val="0"/>
              <w:jc w:val="left"/>
              <w:rPr>
                <w:szCs w:val="20"/>
                <w:lang w:val="en-GB"/>
              </w:rPr>
            </w:pPr>
          </w:p>
        </w:tc>
        <w:tc>
          <w:tcPr>
            <w:tcW w:w="6204" w:type="dxa"/>
            <w:vAlign w:val="bottom"/>
          </w:tcPr>
          <w:p w14:paraId="6B02A19F" w14:textId="0EB2591C" w:rsidR="00C479D2" w:rsidRPr="00E36037" w:rsidRDefault="00C479D2" w:rsidP="00C479D2">
            <w:pPr>
              <w:autoSpaceDE w:val="0"/>
              <w:autoSpaceDN w:val="0"/>
              <w:jc w:val="left"/>
              <w:rPr>
                <w:szCs w:val="20"/>
              </w:rPr>
            </w:pPr>
            <w:r>
              <w:t>Rezoliucija</w:t>
            </w:r>
          </w:p>
        </w:tc>
      </w:tr>
      <w:tr w:rsidR="00C479D2" w:rsidRPr="00E36037" w14:paraId="7AE47B93" w14:textId="77777777" w:rsidTr="00E15BF4">
        <w:tc>
          <w:tcPr>
            <w:tcW w:w="3085" w:type="dxa"/>
          </w:tcPr>
          <w:p w14:paraId="26DE3092" w14:textId="6B1138EC" w:rsidR="00C479D2" w:rsidRPr="00E36037" w:rsidRDefault="00C479D2" w:rsidP="00C479D2">
            <w:pPr>
              <w:autoSpaceDE w:val="0"/>
              <w:autoSpaceDN w:val="0"/>
              <w:jc w:val="left"/>
            </w:pPr>
            <w:r>
              <w:t>Priimta plenarinėje sesijoje</w:t>
            </w:r>
          </w:p>
        </w:tc>
        <w:tc>
          <w:tcPr>
            <w:tcW w:w="6204" w:type="dxa"/>
            <w:vAlign w:val="bottom"/>
          </w:tcPr>
          <w:p w14:paraId="34FA2183" w14:textId="0EC1A6F4" w:rsidR="00C479D2" w:rsidRPr="00E36037" w:rsidRDefault="00C479D2" w:rsidP="00C479D2">
            <w:pPr>
              <w:autoSpaceDE w:val="0"/>
              <w:autoSpaceDN w:val="0"/>
              <w:jc w:val="left"/>
            </w:pPr>
            <w:r>
              <w:t>15/12/2022</w:t>
            </w:r>
          </w:p>
        </w:tc>
      </w:tr>
      <w:tr w:rsidR="00C479D2" w:rsidRPr="00E36037" w14:paraId="2FE8AE44" w14:textId="77777777" w:rsidTr="00E15BF4">
        <w:tc>
          <w:tcPr>
            <w:tcW w:w="3085" w:type="dxa"/>
          </w:tcPr>
          <w:p w14:paraId="2A65A034" w14:textId="362EA3CD" w:rsidR="00C479D2" w:rsidRPr="00E36037" w:rsidRDefault="00C479D2" w:rsidP="00C479D2">
            <w:pPr>
              <w:autoSpaceDE w:val="0"/>
              <w:autoSpaceDN w:val="0"/>
              <w:jc w:val="left"/>
            </w:pPr>
            <w:r>
              <w:t>Plenarinės sesijos Nr.</w:t>
            </w:r>
          </w:p>
        </w:tc>
        <w:tc>
          <w:tcPr>
            <w:tcW w:w="6204" w:type="dxa"/>
            <w:vAlign w:val="bottom"/>
          </w:tcPr>
          <w:p w14:paraId="17BFB0A7" w14:textId="364EBC0D" w:rsidR="00C479D2" w:rsidRPr="00E36037" w:rsidRDefault="00C479D2" w:rsidP="00C479D2">
            <w:pPr>
              <w:autoSpaceDE w:val="0"/>
              <w:autoSpaceDN w:val="0"/>
              <w:jc w:val="left"/>
            </w:pPr>
            <w:r>
              <w:t>574</w:t>
            </w:r>
          </w:p>
        </w:tc>
      </w:tr>
      <w:tr w:rsidR="00C479D2" w:rsidRPr="00E36037" w14:paraId="3889B17A" w14:textId="77777777" w:rsidTr="00E15BF4">
        <w:tc>
          <w:tcPr>
            <w:tcW w:w="3085" w:type="dxa"/>
          </w:tcPr>
          <w:p w14:paraId="0C723801" w14:textId="2BB4876B" w:rsidR="00C479D2" w:rsidRPr="00E36037" w:rsidRDefault="00C479D2" w:rsidP="00C479D2">
            <w:pPr>
              <w:autoSpaceDE w:val="0"/>
              <w:autoSpaceDN w:val="0"/>
              <w:jc w:val="left"/>
            </w:pPr>
            <w:r>
              <w:t>Balsavimo rezultatai</w:t>
            </w:r>
            <w:r>
              <w:br/>
              <w:t>(už / prieš / susilaikė)</w:t>
            </w:r>
          </w:p>
        </w:tc>
        <w:tc>
          <w:tcPr>
            <w:tcW w:w="6204" w:type="dxa"/>
            <w:vAlign w:val="bottom"/>
          </w:tcPr>
          <w:p w14:paraId="14DB34EA" w14:textId="6A624C4D" w:rsidR="00C479D2" w:rsidRPr="00E36037" w:rsidRDefault="00D65C78" w:rsidP="00C479D2">
            <w:pPr>
              <w:autoSpaceDE w:val="0"/>
              <w:autoSpaceDN w:val="0"/>
              <w:jc w:val="left"/>
            </w:pPr>
            <w:r>
              <w:t>150 / 0 / 1</w:t>
            </w:r>
          </w:p>
        </w:tc>
      </w:tr>
    </w:tbl>
    <w:p w14:paraId="156A5F34" w14:textId="77777777" w:rsidR="00AC5114" w:rsidRPr="00E36037" w:rsidRDefault="00AC5114" w:rsidP="00574C9B">
      <w:pPr>
        <w:rPr>
          <w:lang w:val="en-GB"/>
        </w:rPr>
      </w:pPr>
    </w:p>
    <w:p w14:paraId="2CD3051D" w14:textId="77777777" w:rsidR="00AC5114" w:rsidRPr="00E36037" w:rsidRDefault="00AC5114" w:rsidP="00574C9B">
      <w:pPr>
        <w:rPr>
          <w:lang w:val="en-GB"/>
        </w:rPr>
        <w:sectPr w:rsidR="00AC5114" w:rsidRPr="00E36037" w:rsidSect="000059B7">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14:paraId="12F1A652" w14:textId="0C831905" w:rsidR="00497E52" w:rsidRPr="00E36037" w:rsidRDefault="00497E52" w:rsidP="00497E52">
      <w:pPr>
        <w:jc w:val="center"/>
        <w:rPr>
          <w:b/>
        </w:rPr>
      </w:pPr>
      <w:r>
        <w:rPr>
          <w:b/>
        </w:rPr>
        <w:lastRenderedPageBreak/>
        <w:t xml:space="preserve">EESRK rezoliucija dėl ilgalaikio Europos jaunimo metų poveikio: </w:t>
      </w:r>
      <w:r w:rsidR="00826857">
        <w:rPr>
          <w:b/>
        </w:rPr>
        <w:br/>
      </w:r>
      <w:r>
        <w:rPr>
          <w:b/>
        </w:rPr>
        <w:t>jaunimo aspekto integravimas ir įgalėjimas</w:t>
      </w:r>
    </w:p>
    <w:p w14:paraId="5B865168" w14:textId="77777777" w:rsidR="00497E52" w:rsidRPr="00E36037" w:rsidRDefault="00497E52" w:rsidP="00497E52">
      <w:pPr>
        <w:jc w:val="center"/>
        <w:rPr>
          <w:b/>
          <w:lang w:val="en-GB"/>
        </w:rPr>
      </w:pPr>
    </w:p>
    <w:p w14:paraId="4AEDF6C5" w14:textId="77777777" w:rsidR="00497E52" w:rsidRPr="00E36037" w:rsidRDefault="00497E52" w:rsidP="00497E52">
      <w:r>
        <w:t>Nepaisant neaiškumo, susijusio su karu Ukrainoje, COVID-19 pandemija ir klimato krize, jaunuoliai tebėra Europos projekto variklis, o jų kūrybiškumas, energija ir entuziazmas – jo tvarumo varomoji jėga. Nuo šiuo metu priimamų sprendimų priklauso mūsų pasaulis ateityje, todėl labai svarbu užtikrinti, kad jaunuoliai galėtų dalyvauti priimant sprendimus, turinčius įtakos jų ateičiai, nes net netiesioginė politika gali turėti didelį poveikį ir reikšmę jaunimui ir būsimoms kartoms.</w:t>
      </w:r>
    </w:p>
    <w:p w14:paraId="2620C44D" w14:textId="77777777" w:rsidR="00497E52" w:rsidRPr="00E36037" w:rsidRDefault="00497E52" w:rsidP="00497E52">
      <w:pPr>
        <w:rPr>
          <w:lang w:val="en-GB"/>
        </w:rPr>
      </w:pPr>
    </w:p>
    <w:p w14:paraId="5217848E" w14:textId="77777777" w:rsidR="00497E52" w:rsidRPr="00E36037" w:rsidRDefault="00497E52" w:rsidP="00497E52">
      <w:pPr>
        <w:rPr>
          <w:b/>
          <w:sz w:val="16"/>
          <w:szCs w:val="16"/>
          <w:u w:val="single"/>
        </w:rPr>
      </w:pPr>
      <w:r>
        <w:t>2021 m. gruodžio mėn. Europos Komisijos pirmininkė Ursula von der Leyen 2022-uosius paskelbė Europos jaunimo metais, nes „</w:t>
      </w:r>
      <w:r>
        <w:rPr>
          <w:b/>
        </w:rPr>
        <w:t>Europai reikalingas kiekvienas jaunuolis</w:t>
      </w:r>
      <w:r>
        <w:t>“ ir „[m]ūsų Sąjungos siela ir vizija turi būti jiems artima.“</w:t>
      </w:r>
      <w:r w:rsidRPr="00E36037">
        <w:rPr>
          <w:rStyle w:val="FootnoteReference"/>
          <w:lang w:val="en-GB"/>
        </w:rPr>
        <w:footnoteReference w:id="1"/>
      </w:r>
      <w:r>
        <w:rPr>
          <w:i/>
        </w:rPr>
        <w:t xml:space="preserve">. </w:t>
      </w:r>
      <w:r>
        <w:t xml:space="preserve">Be to, kaip teigė Komisijos narė Mariya Gabriel, </w:t>
      </w:r>
      <w:r>
        <w:rPr>
          <w:b/>
        </w:rPr>
        <w:t>„Europos jaunimo metai turėtų iš esmės pakeisti požiūrį į tai, kaip jaunimą įtraukiame į politikos formavimo ir sprendimų priėmimo procesus“</w:t>
      </w:r>
      <w:r w:rsidRPr="00E36037">
        <w:rPr>
          <w:rStyle w:val="FootnoteReference"/>
          <w:b/>
          <w:lang w:val="en-GB"/>
        </w:rPr>
        <w:footnoteReference w:id="2"/>
      </w:r>
      <w:r>
        <w:t>.</w:t>
      </w:r>
      <w:r>
        <w:rPr>
          <w:b/>
          <w:sz w:val="16"/>
          <w:u w:val="single"/>
        </w:rPr>
        <w:t xml:space="preserve"> </w:t>
      </w:r>
    </w:p>
    <w:p w14:paraId="6B451978" w14:textId="77777777" w:rsidR="00497E52" w:rsidRPr="00E36037" w:rsidRDefault="00497E52" w:rsidP="00497E52">
      <w:pPr>
        <w:rPr>
          <w:b/>
          <w:sz w:val="16"/>
          <w:szCs w:val="16"/>
          <w:u w:val="single"/>
          <w:lang w:val="en-GB"/>
        </w:rPr>
      </w:pPr>
    </w:p>
    <w:p w14:paraId="54EF0149" w14:textId="77777777" w:rsidR="00497E52" w:rsidRPr="00E36037" w:rsidRDefault="00497E52" w:rsidP="00497E52">
      <w:r>
        <w:t>Europos ekonomikos ir socialinių reikalų komiteto (EESRK) nuomonėje</w:t>
      </w:r>
      <w:r w:rsidRPr="00E36037">
        <w:rPr>
          <w:rStyle w:val="FootnoteReference"/>
          <w:lang w:val="en-GB"/>
        </w:rPr>
        <w:footnoteReference w:id="3"/>
      </w:r>
      <w:r>
        <w:t xml:space="preserve"> dėl </w:t>
      </w:r>
      <w:r>
        <w:rPr>
          <w:i/>
        </w:rPr>
        <w:t>2019–2027 m. ES jaunimo strategijos</w:t>
      </w:r>
      <w:r>
        <w:t xml:space="preserve"> raginama sutelkti dėmesį į tarpsektorinį požiūrį visapusiškai atsižvelgiant į jaunimą, jo poreikius ir teises ir pabrėžiama, jog „Komitetas yra įsitikinęs, kad </w:t>
      </w:r>
      <w:r>
        <w:rPr>
          <w:b/>
        </w:rPr>
        <w:t>jaunimo dalyvavimas sprendimų priėmimo procesuose turėtų būti skatinamas</w:t>
      </w:r>
      <w:r>
        <w:t xml:space="preserve"> ne pavieniais renginiais. Be to, tęsiant Jaunimo dialogą, turi būti išplėstas jaunimo savanoriškoms organizacijoms ir nacionalinėms jaunimo taryboms tenkantis vaidmuo ir panaudotos papildomos galimybės. Šiuo požiūriu ES institucijos turėtų imtis vadovaujamo vaidmens, o skatinant jaunimo dalyvavimą ES lygiu EESRK turėtų būti visų institucijų priešakyje.“</w:t>
      </w:r>
    </w:p>
    <w:p w14:paraId="70112E8D" w14:textId="77777777" w:rsidR="00497E52" w:rsidRPr="00E36037" w:rsidRDefault="00497E52" w:rsidP="00497E52">
      <w:pPr>
        <w:rPr>
          <w:b/>
          <w:sz w:val="16"/>
          <w:szCs w:val="16"/>
          <w:u w:val="single"/>
          <w:lang w:val="en-GB"/>
        </w:rPr>
      </w:pPr>
    </w:p>
    <w:p w14:paraId="5E33B9AD" w14:textId="77777777" w:rsidR="00497E52" w:rsidRPr="00E36037" w:rsidRDefault="00497E52" w:rsidP="00497E52">
      <w:r>
        <w:t xml:space="preserve">Jau keletą metų </w:t>
      </w:r>
      <w:r>
        <w:rPr>
          <w:b/>
        </w:rPr>
        <w:t>EESRK ieško būdų, kaip geriau struktūruotai ir prasmingai integruoti jaunimo nuomonę į savo darbą ir ES sprendimų priėmimo procesą</w:t>
      </w:r>
      <w:r>
        <w:t>, įtraukiant įvairius aspektus, pavyzdžiui, klimatą ir tvarumą</w:t>
      </w:r>
      <w:r w:rsidRPr="00E36037">
        <w:rPr>
          <w:rStyle w:val="FootnoteReference"/>
          <w:lang w:val="en-GB"/>
        </w:rPr>
        <w:footnoteReference w:id="4"/>
      </w:r>
      <w:r>
        <w:t>, rengiant jaunimo apskritojo stalo diskusijas klimato ir tvarumo klausimais ir įtraukiant jaunimo atstovą į oficialią ES delegaciją Jungtinių Tautų bendrosios klimato kaitos konvencijos (JTBKKK) šalių konferencijos posėdžiuose ir į EESRK delegaciją; pabrėžiant švietimo vaidmenį siekiant darnaus vystymosi</w:t>
      </w:r>
      <w:r w:rsidRPr="00E36037">
        <w:rPr>
          <w:rStyle w:val="FootnoteReference"/>
          <w:lang w:val="en-GB"/>
        </w:rPr>
        <w:footnoteReference w:id="5"/>
      </w:r>
      <w:r>
        <w:t>; išsamiai aptariant užimtumo ir darbo rinkos padėtį ir nuostatas</w:t>
      </w:r>
      <w:r w:rsidRPr="00E36037">
        <w:rPr>
          <w:rStyle w:val="FootnoteReference"/>
          <w:lang w:val="en-GB"/>
        </w:rPr>
        <w:footnoteReference w:id="6"/>
      </w:r>
      <w:r>
        <w:t>; įtraukiant jaunimą rengiant nacionalinius ekonomikos gaivinimo planus</w:t>
      </w:r>
      <w:r w:rsidRPr="00E36037">
        <w:rPr>
          <w:rStyle w:val="FootnoteReference"/>
          <w:lang w:val="en-GB"/>
        </w:rPr>
        <w:footnoteReference w:id="7"/>
      </w:r>
      <w:r>
        <w:t>, kuriuose raginama labiau įtraukti jaunimo organizacijas į planų įgyvendinimo ir stebėsenos etapus ir į sprendimų priėmimo procesus; vykdant jaunimo politiką Vakarų Balkanuose</w:t>
      </w:r>
      <w:r w:rsidRPr="00E36037">
        <w:rPr>
          <w:rStyle w:val="FootnoteReference"/>
          <w:lang w:val="en-GB"/>
        </w:rPr>
        <w:footnoteReference w:id="8"/>
      </w:r>
      <w:r>
        <w:t xml:space="preserve">, pagal kurią EESRK ragina ES toliau remti Vakarų Balkanus gerinant jaunimo dalyvavimą; įtraukiant jaunimo perspektyvą </w:t>
      </w:r>
      <w:r>
        <w:lastRenderedPageBreak/>
        <w:t>į visas politikos sritis ES lygmeniu, patvirtinant ES jaunimo testą</w:t>
      </w:r>
      <w:r w:rsidRPr="00E36037">
        <w:rPr>
          <w:rStyle w:val="FootnoteReference"/>
          <w:lang w:val="en-GB"/>
        </w:rPr>
        <w:footnoteReference w:id="9"/>
      </w:r>
      <w:r>
        <w:t>, kuris taip pat apima konkrečias rekomendacijas ir pasiūlymus, ir siūlant stiprinti jaunimo ir jaunimo organizacijų dalyvavimą EESRK darbe.</w:t>
      </w:r>
    </w:p>
    <w:p w14:paraId="016715C4" w14:textId="77777777" w:rsidR="00497E52" w:rsidRPr="00E36037" w:rsidRDefault="00497E52" w:rsidP="00497E52">
      <w:pPr>
        <w:rPr>
          <w:lang w:val="en-GB"/>
        </w:rPr>
      </w:pPr>
    </w:p>
    <w:p w14:paraId="6ABAB39A" w14:textId="77777777" w:rsidR="00497E52" w:rsidRPr="00E36037" w:rsidRDefault="00497E52" w:rsidP="00497E52">
      <w:r>
        <w:t xml:space="preserve">Be to, </w:t>
      </w:r>
      <w:r>
        <w:rPr>
          <w:b/>
        </w:rPr>
        <w:t>EESRK palankiai įvertino</w:t>
      </w:r>
      <w:r w:rsidRPr="00E36037">
        <w:rPr>
          <w:rStyle w:val="FootnoteReference"/>
          <w:b/>
          <w:lang w:val="en-GB"/>
        </w:rPr>
        <w:footnoteReference w:id="10"/>
      </w:r>
      <w:r>
        <w:rPr>
          <w:b/>
        </w:rPr>
        <w:t xml:space="preserve"> pasiūlymą 2022-uosius paskelbti Europos jaunimo metais</w:t>
      </w:r>
      <w:r>
        <w:t xml:space="preserve"> ir nurodė, kad EESRK, remdamasis sėkmingomis EESRK iniciatyvomis, pavyzdžiui, „Tavo Europa, tavo balsas!“, jaunimo apskritojo stalo diskusijomis klimato ir tvarumo klausimais, taip pat įtraukdamas jaunimo atstovą į COP programą, yra pasirengęs atlikti pagrindinį vaidmenį minint Europos jaunimo metus. EESRK turi unikalią galimybę sudaryti palankesnes sąlygas užmegzti dialogą su jaunimo tinklais. Todėl EESRK įsteigė </w:t>
      </w:r>
      <w:r>
        <w:rPr>
          <w:b/>
        </w:rPr>
        <w:t>Europos jaunimo metų koordinavimo grupę</w:t>
      </w:r>
      <w:r>
        <w:t xml:space="preserve">, kad užtikrintų šios iniciatyvos atstovavimą ir matomumą EESRK ir koordinuotų vykdomas su jaunimu susijusias iniciatyvas. Europos jaunimo metų koordinavimo grupei buvo suteikti įgaliojimai stiprinti bendradarbiavimą su jaunimo organizacijomis ir jaunimu Europos jaunimo metų laikotarpiu ir jam pasibaigus, taip pat bendradarbiauti su kitomis ES institucijomis ir pilietinės visuomenės organizacijomis, siekiant užtikrinti geresnę kompleksinę jaunimo integraciją į jų kasdienę veiklą. </w:t>
      </w:r>
    </w:p>
    <w:p w14:paraId="17890C04" w14:textId="77777777" w:rsidR="00497E52" w:rsidRPr="00E36037" w:rsidRDefault="00497E52" w:rsidP="00497E52">
      <w:pPr>
        <w:rPr>
          <w:b/>
          <w:lang w:val="en-GB"/>
        </w:rPr>
      </w:pPr>
    </w:p>
    <w:p w14:paraId="7F9EB810" w14:textId="77777777" w:rsidR="00497E52" w:rsidRPr="00E36037" w:rsidRDefault="00497E52" w:rsidP="00497E52">
      <w:r>
        <w:rPr>
          <w:b/>
        </w:rPr>
        <w:t>Europos jaunimo metų koordinavimo grupės parengtame rezoliucijos projekte ES institucijos ir nacionalinės vyriausybės raginamos užtikrinti ilgalaikį Europos jaunimo metų poveikį</w:t>
      </w:r>
      <w:r>
        <w:t xml:space="preserve"> skatinant jaunimą struktūriškai ir prasmingai dalyvauti politikos formavimo ir sprendimų priėmimo procesuose visais lygmenimis ir skatinant jaunimo ir jaunimo organizacijų dalyvavimo mechanizmus. Be to, EESRK dar kartą patvirtina savo įsipareigojimą stiprinti jaunimo dalyvavimą EESRK darbe ir skatinti jaunimo integraciją visais lygmenimis siekiant vieningesnės ir stipresnės Europos.</w:t>
      </w:r>
    </w:p>
    <w:p w14:paraId="07082A03" w14:textId="77777777" w:rsidR="00497E52" w:rsidRPr="00E36037" w:rsidRDefault="00497E52" w:rsidP="00497E52">
      <w:pPr>
        <w:rPr>
          <w:lang w:val="en-GB"/>
        </w:rPr>
      </w:pPr>
    </w:p>
    <w:p w14:paraId="5F4073A7" w14:textId="77777777" w:rsidR="00497E52" w:rsidRPr="00E36037" w:rsidRDefault="00497E52" w:rsidP="00497E52">
      <w:pPr>
        <w:jc w:val="center"/>
        <w:rPr>
          <w:b/>
          <w:i/>
        </w:rPr>
      </w:pPr>
      <w:r>
        <w:rPr>
          <w:b/>
          <w:i/>
        </w:rPr>
        <w:t xml:space="preserve">„Mes ne visada galime sukurti ateitį savo jaunimui, bet galime užauginti ateities jaunimą“ </w:t>
      </w:r>
    </w:p>
    <w:p w14:paraId="46A1C135" w14:textId="77777777" w:rsidR="00497E52" w:rsidRPr="00E36037" w:rsidRDefault="00497E52" w:rsidP="00497E52">
      <w:pPr>
        <w:jc w:val="center"/>
        <w:rPr>
          <w:b/>
          <w:i/>
        </w:rPr>
      </w:pPr>
      <w:r>
        <w:rPr>
          <w:b/>
          <w:i/>
        </w:rPr>
        <w:t>– Franklinas D. Ruzveltas.</w:t>
      </w:r>
    </w:p>
    <w:p w14:paraId="467DEB8A" w14:textId="77777777" w:rsidR="00497E52" w:rsidRPr="00E36037" w:rsidRDefault="00497E52" w:rsidP="00497E52">
      <w:pPr>
        <w:rPr>
          <w:lang w:val="en-GB"/>
        </w:rPr>
      </w:pPr>
    </w:p>
    <w:p w14:paraId="67C1EC71" w14:textId="77777777" w:rsidR="00497E52" w:rsidRPr="00E36037" w:rsidRDefault="00497E52" w:rsidP="00497E52">
      <w:pPr>
        <w:pStyle w:val="Heading1"/>
        <w:rPr>
          <w:b/>
        </w:rPr>
      </w:pPr>
      <w:r>
        <w:rPr>
          <w:b/>
        </w:rPr>
        <w:t>Ilgalaikis Europos jaunimo metų poveikis EESRK</w:t>
      </w:r>
    </w:p>
    <w:p w14:paraId="159886B1" w14:textId="77777777" w:rsidR="00497E52" w:rsidRPr="00E36037" w:rsidRDefault="00497E52" w:rsidP="00497E52">
      <w:pPr>
        <w:rPr>
          <w:lang w:val="en-GB"/>
        </w:rPr>
      </w:pPr>
    </w:p>
    <w:p w14:paraId="1773ED66" w14:textId="77777777" w:rsidR="00497E52" w:rsidRPr="00E36037" w:rsidRDefault="00497E52" w:rsidP="00497E52">
      <w:pPr>
        <w:pStyle w:val="Heading2"/>
      </w:pPr>
      <w:r>
        <w:t>EESRK mano, kad visi suinteresuotieji subjektai turi atsižvelgti į Europos jaunimo metų svarstymus ir juos svarstyti atvirai. Labai svarbu, kad šiais metais būtų pasiekta konkretaus poveikio, o darbas, susijęs su tolesniais veiksmais, būtų tęsiamas Įgūdžių metais ir vėliau. Be to, ES jaunimo strategijoje ir Konferencijoje dėl Europos ateities taip pat numatyti svarbūs žingsniai siekiant labiau struktūruoto ir prasmingesnio jaunimo dalyvavimo kuriant Europos ateitį.</w:t>
      </w:r>
    </w:p>
    <w:p w14:paraId="55672544" w14:textId="77777777" w:rsidR="00497E52" w:rsidRPr="00E36037" w:rsidRDefault="00497E52" w:rsidP="00497E52">
      <w:pPr>
        <w:ind w:left="567" w:hanging="567"/>
        <w:rPr>
          <w:lang w:val="en-GB"/>
        </w:rPr>
      </w:pPr>
    </w:p>
    <w:p w14:paraId="710D78EB" w14:textId="77777777" w:rsidR="00497E52" w:rsidRPr="00E36037" w:rsidRDefault="00497E52" w:rsidP="00497E52">
      <w:pPr>
        <w:pStyle w:val="Heading2"/>
      </w:pPr>
      <w:r>
        <w:t>EESRK mano, kad pilietinės visuomenės organizacijos, ypač jaunimo organizacijos, yra labai svarbios nustatant novatoriškas dalyvavimo priemones, kuriomis jaunimo perspektyva būtų įtraukta į politikos formavimo procesus visais lygmenimis ir visose politikos srityse, ir pabrėžia pilietinės visuomenės organizacijų vaidmenį stiprinant aktyvų pilietiškumą, užtikrinant jaunimui pagrindines žmogaus teises ir demokratines vertybes.</w:t>
      </w:r>
    </w:p>
    <w:p w14:paraId="2CE4B9B2" w14:textId="77777777" w:rsidR="00497E52" w:rsidRPr="00E36037" w:rsidRDefault="00497E52" w:rsidP="00497E52">
      <w:pPr>
        <w:ind w:left="567" w:hanging="567"/>
        <w:rPr>
          <w:lang w:val="en-GB"/>
        </w:rPr>
      </w:pPr>
    </w:p>
    <w:p w14:paraId="5DB4B1E9" w14:textId="77777777" w:rsidR="00497E52" w:rsidRPr="00E36037" w:rsidRDefault="00497E52" w:rsidP="00497E52">
      <w:pPr>
        <w:pStyle w:val="Heading2"/>
      </w:pPr>
      <w:r>
        <w:lastRenderedPageBreak/>
        <w:t>EESRK apgailestauja, kad pilietinė erdvė jaunimo organizacijoms mažėja</w:t>
      </w:r>
      <w:r w:rsidRPr="00E36037">
        <w:rPr>
          <w:rStyle w:val="FootnoteReference"/>
          <w:lang w:val="en-GB"/>
        </w:rPr>
        <w:footnoteReference w:id="11"/>
      </w:r>
      <w:r>
        <w:t>, ir pabrėžia jos demokratinę svarbą. EESRK ragina imtis priemonių siekiant įgalinti jaunimo organizacijas ir suteikti joms tvarius išteklius, kuriais būtų padidintas jų gebėjimas atstovauti savo teisėms ir interesams ir juos ginti.</w:t>
      </w:r>
    </w:p>
    <w:p w14:paraId="781A2616" w14:textId="77777777" w:rsidR="00497E52" w:rsidRPr="00E36037" w:rsidRDefault="00497E52" w:rsidP="00497E52">
      <w:pPr>
        <w:ind w:left="567" w:hanging="567"/>
        <w:rPr>
          <w:lang w:val="en-GB"/>
        </w:rPr>
      </w:pPr>
    </w:p>
    <w:p w14:paraId="1E341028" w14:textId="77777777" w:rsidR="00497E52" w:rsidRPr="00E36037" w:rsidRDefault="00497E52" w:rsidP="00497E52">
      <w:pPr>
        <w:pStyle w:val="Heading2"/>
      </w:pPr>
      <w:r>
        <w:t>EESRK savo nuomonėse</w:t>
      </w:r>
      <w:r w:rsidRPr="00E36037">
        <w:rPr>
          <w:rStyle w:val="FootnoteReference"/>
          <w:lang w:val="en-GB"/>
        </w:rPr>
        <w:footnoteReference w:id="12"/>
      </w:r>
      <w:r>
        <w:t xml:space="preserve"> atkreipia dėmesį į sėkmingas pastarųjų kelerių metų iniciatyvas, kuriomis siekiama struktūruoto ir prasmingo jaunimo dalyvavimo, ir išreiškia savo įsipareigojimą parengti naujas iniciatyvas, kuriomis būtų skatinamas jaunimo dalyvavimas ir jaunimo perspektyva formuojant politiką.</w:t>
      </w:r>
    </w:p>
    <w:p w14:paraId="4E5C933D" w14:textId="77777777" w:rsidR="00497E52" w:rsidRPr="00E36037" w:rsidRDefault="00497E52" w:rsidP="00497E52">
      <w:pPr>
        <w:ind w:left="567" w:hanging="567"/>
        <w:rPr>
          <w:lang w:val="en-GB"/>
        </w:rPr>
      </w:pPr>
    </w:p>
    <w:p w14:paraId="50897AA7" w14:textId="77777777" w:rsidR="00497E52" w:rsidRPr="00E36037" w:rsidRDefault="00497E52" w:rsidP="00497E52">
      <w:pPr>
        <w:pStyle w:val="Heading2"/>
      </w:pPr>
      <w:r>
        <w:t>EESRK mano, kad aktyvus jaunimo dalyvavimas politikos formavimo ir sprendimų priėmimo procesuose yra labai svarbus kuriant Europos ateitį ir kuriant viziją, kuri būtų artima jaunimui. Todėl jis ragina ES institucijas įgyvendinti ES jaunimo testą siekiant užtikrinti, kad visi politikos formavimo procesai ES lygmeniu būtų vertinami atsižvelgiant į jaunimo aspektą.</w:t>
      </w:r>
    </w:p>
    <w:p w14:paraId="45333D4C" w14:textId="77777777" w:rsidR="00497E52" w:rsidRPr="00E36037" w:rsidRDefault="00497E52" w:rsidP="00497E52">
      <w:pPr>
        <w:ind w:left="567" w:hanging="567"/>
        <w:rPr>
          <w:lang w:val="en-GB"/>
        </w:rPr>
      </w:pPr>
    </w:p>
    <w:p w14:paraId="59C36446" w14:textId="77777777" w:rsidR="00497E52" w:rsidRPr="00E36037" w:rsidRDefault="00497E52" w:rsidP="00497E52">
      <w:pPr>
        <w:pStyle w:val="Heading2"/>
      </w:pPr>
      <w:r>
        <w:t>Atsižvelgdamas į nuomonėje „ES jaunimo testas“ pateiktus pasiūlymus, EESRK ragina įtraukti jaunimą į politikos formavimą visais lygmenimis ir parengti bendrą požiūrį į struktūruotą ir prasmingą jaunimo dalyvavimą visose ES institucijose. Toks dalyvavimas galėtų būti grindžiamas šiais ramsčiais:</w:t>
      </w:r>
    </w:p>
    <w:p w14:paraId="37EABF33" w14:textId="77777777" w:rsidR="00497E52" w:rsidRPr="00E36037" w:rsidRDefault="00497E52" w:rsidP="00497E52">
      <w:pPr>
        <w:numPr>
          <w:ilvl w:val="0"/>
          <w:numId w:val="4"/>
        </w:numPr>
        <w:ind w:left="851" w:hanging="284"/>
      </w:pPr>
      <w:r>
        <w:t>kartu su jaunimo organizacijomis nuo pat pradžių kurti su jaunimu susijusias iniciatyvas, projektus ir renginius ir užtikrinti, kad jos galėtų pareikšti savo nuomonę kiekviename proceso etape;</w:t>
      </w:r>
    </w:p>
    <w:p w14:paraId="43B5E556" w14:textId="77777777" w:rsidR="00497E52" w:rsidRPr="00E36037" w:rsidRDefault="00497E52" w:rsidP="00497E52">
      <w:pPr>
        <w:numPr>
          <w:ilvl w:val="0"/>
          <w:numId w:val="4"/>
        </w:numPr>
        <w:ind w:left="851" w:hanging="284"/>
      </w:pPr>
      <w:r>
        <w:t>dalytis atsakomybe už iniciatyvas, projektus ir renginius su jaunimo organizacijomis, suteikiant joms vadovaujantį vaidmenį ir laikantis jų prioritetų bei poreikių;</w:t>
      </w:r>
    </w:p>
    <w:p w14:paraId="342BFDF8" w14:textId="77777777" w:rsidR="00497E52" w:rsidRPr="00E36037" w:rsidRDefault="00497E52" w:rsidP="00497E52">
      <w:pPr>
        <w:numPr>
          <w:ilvl w:val="0"/>
          <w:numId w:val="4"/>
        </w:numPr>
        <w:ind w:left="851" w:hanging="284"/>
      </w:pPr>
      <w:r>
        <w:t>stiprinti jaunimo organizacijų gebėjimus, teikiant joms būtinus finansinius išteklius ir atitinkamas priemones, kurių reikia dalyvavimui;</w:t>
      </w:r>
    </w:p>
    <w:p w14:paraId="16BAD1E3" w14:textId="77777777" w:rsidR="00497E52" w:rsidRPr="00E36037" w:rsidRDefault="00497E52" w:rsidP="00497E52">
      <w:pPr>
        <w:numPr>
          <w:ilvl w:val="0"/>
          <w:numId w:val="4"/>
        </w:numPr>
        <w:ind w:left="851" w:hanging="284"/>
      </w:pPr>
      <w:r>
        <w:t xml:space="preserve">kurti struktūriškus ir prasmingus tolesnės veiklos procesus, apimančius ne tik </w:t>
      </w:r>
      <w:r>
        <w:rPr>
          <w:i/>
        </w:rPr>
        <w:t>ad hoc</w:t>
      </w:r>
      <w:r>
        <w:t xml:space="preserve"> posėdžius ir kvietimus teikti konsultacijas.</w:t>
      </w:r>
    </w:p>
    <w:p w14:paraId="1812AD2F" w14:textId="77777777" w:rsidR="00497E52" w:rsidRPr="00E36037" w:rsidRDefault="00497E52" w:rsidP="00497E52">
      <w:pPr>
        <w:ind w:left="567" w:hanging="567"/>
        <w:rPr>
          <w:lang w:val="en-GB"/>
        </w:rPr>
      </w:pPr>
    </w:p>
    <w:p w14:paraId="1F8AB500" w14:textId="77777777" w:rsidR="00497E52" w:rsidRPr="00E36037" w:rsidRDefault="00497E52" w:rsidP="00497E52">
      <w:pPr>
        <w:pStyle w:val="Heading2"/>
      </w:pPr>
      <w:r>
        <w:t>EESRK įsipareigoja sukurti nuolatinę EESRK grupę, kuri turėtų skaidrius ir tarpsektorinius koordinavimo mechanizmus, kad jaunimo perspektyva būtų įtraukta į EESRK darbą, ir toliau nagrinėti ir apsvarstyti galimus būdus taikyti ES jaunimo testo koncepciją savo darbe, kad būtų parengtas nuoseklus požiūris į jaunimo dalyvavimą EESRK.</w:t>
      </w:r>
    </w:p>
    <w:p w14:paraId="274E7B12" w14:textId="77777777" w:rsidR="00497E52" w:rsidRPr="00E36037" w:rsidRDefault="00497E52" w:rsidP="00497E52">
      <w:pPr>
        <w:rPr>
          <w:lang w:val="en-GB"/>
        </w:rPr>
      </w:pPr>
    </w:p>
    <w:p w14:paraId="08D4329D" w14:textId="77777777" w:rsidR="00497E52" w:rsidRPr="00E36037" w:rsidRDefault="00497E52" w:rsidP="00497E52">
      <w:pPr>
        <w:pStyle w:val="Heading3"/>
      </w:pPr>
      <w:r>
        <w:t xml:space="preserve">Be to, EESRK ragina sukurti struktūrą, atstovaujančią jaunimo organizacijoms visose ES institucijose ir (arba) įtraukiančią jas į šių institucijų darbą, ir (arba) galbūt suinteresuotųjų subjektų platformą, tokią kaip Europos žiedinės ekonomikos suinteresuotųjų subjektų platforma, kuri priklausytų EESRK kompetencijai. Be to, kadangi ES jaunimo dialogas yra svarbiausias dalyvaujamasis Europos procesas, kuriame dalyvauja sprendimus priimantys asmenys ir jaunimas, diskutuojantys ir kartu ieškantys sprendimų, būtų galima imtis tolesnių veiksmų šiam </w:t>
      </w:r>
      <w:r>
        <w:lastRenderedPageBreak/>
        <w:t>dalyvavimo mechanizmui stiprinti, pavyzdžiui, sukurti bendro valdymo struktūrą</w:t>
      </w:r>
      <w:r w:rsidRPr="00E36037">
        <w:rPr>
          <w:rStyle w:val="FootnoteReference"/>
          <w:lang w:val="en-GB"/>
        </w:rPr>
        <w:footnoteReference w:id="13"/>
      </w:r>
      <w:r>
        <w:t xml:space="preserve">, kuriai taip pat vadovautų EESRK. </w:t>
      </w:r>
    </w:p>
    <w:p w14:paraId="4FA6790A" w14:textId="77777777" w:rsidR="00497E52" w:rsidRPr="00E36037" w:rsidRDefault="00497E52" w:rsidP="00497E52">
      <w:pPr>
        <w:rPr>
          <w:lang w:val="en-GB"/>
        </w:rPr>
      </w:pPr>
    </w:p>
    <w:p w14:paraId="407E63D4" w14:textId="77777777" w:rsidR="00497E52" w:rsidRPr="00E36037" w:rsidRDefault="00497E52" w:rsidP="00497E52">
      <w:pPr>
        <w:pStyle w:val="Heading2"/>
      </w:pPr>
      <w:r>
        <w:t>EESRK ragina jaunimą aktyviau dalyvauti sprendimų priėmimo procesuose – nuo pasiūlymų dėl teisėkūros procedūra priimamų aktų ir iniciatyvų rengimo iki įgyvendinimo, stebėsenos ir tolesnių veiksmų. Šis požiūris taikomas nuo 2021 m. ES delegacijoje JTBKKK šalių konferencijos posėdžiuose, kuriuose dalyvaujant delegacijoje yra bent vienas jaunas delegatas. EESRK primygtinai rekomenduoja kitoms ES delegacijoms laikytis panašaus požiūrio, atsižvelgiant į kartų perspektyvą.</w:t>
      </w:r>
    </w:p>
    <w:p w14:paraId="4BC884C5" w14:textId="77777777" w:rsidR="00497E52" w:rsidRPr="00E36037" w:rsidRDefault="00497E52" w:rsidP="00497E52">
      <w:pPr>
        <w:ind w:left="567" w:hanging="567"/>
        <w:rPr>
          <w:lang w:val="en-GB"/>
        </w:rPr>
      </w:pPr>
    </w:p>
    <w:p w14:paraId="669A61B7" w14:textId="77777777" w:rsidR="00497E52" w:rsidRPr="00E36037" w:rsidRDefault="00497E52" w:rsidP="00497E52">
      <w:pPr>
        <w:pStyle w:val="Heading2"/>
      </w:pPr>
      <w:r>
        <w:t>Siekiant sustiprinti paties EESRK vaidmenį mažinant atotrūkį tarp politikos formuotojų ir jaunimo organizacijų bei jaunimo tiek nacionaliniu, tiek Europos lygmeniu, visų pirma rekomenduojama sukurti skaidrų, struktūruotą ir prasmingą jaunimo dalyvavimo mechanizmą, pavyzdžiui, jaunimo grupę, kad būtų veiksmingai koordinuojamas teisėkūros darbas. Antra rekomendacija – bendradarbiauti su jaunimu ir jaunimo organizacijomis ir įtraukti juos į savo darbą. Be to, turėtų būti vykdomas koordinavimas ir keitimasis gerąja patirtimi jaunimo dalyvavimo srityje visais lygmenimis ir visose valstybėse narėse, taip pat turėtų būti vykdoma tikslingesnė informavimo veikla. Visų pirma reikėtų stiprinti ryšius su nacionalinėmis jaunimo organizacijomis ir atkreipti EESRK ir narių dėmesį į vietos jaunimo projektus.</w:t>
      </w:r>
    </w:p>
    <w:p w14:paraId="4BA395C0" w14:textId="77777777" w:rsidR="00497E52" w:rsidRPr="00E36037" w:rsidRDefault="00497E52" w:rsidP="00497E52">
      <w:pPr>
        <w:ind w:left="567" w:hanging="567"/>
        <w:rPr>
          <w:lang w:val="en-GB"/>
        </w:rPr>
      </w:pPr>
    </w:p>
    <w:p w14:paraId="5DB4D2A5" w14:textId="77777777" w:rsidR="00497E52" w:rsidRPr="00E36037" w:rsidRDefault="00497E52" w:rsidP="00497E52">
      <w:pPr>
        <w:pStyle w:val="Heading2"/>
      </w:pPr>
      <w:r>
        <w:t xml:space="preserve">Be to, atsižvelgiant į dabartines nerimą keliančias geopolitines aplinkybes, labai svarbu užtikrinti jaunimo dalyvavimą tvarumo, saugumo ir taikos kūrimo srityse. EESRK palankiai vertina neseniai priimtą Jaunimo įtraukimo į ES išorės veiksmus veiksmų planą ir 2023 m. ketina dėl jo priimti nuomonę savo iniciatyva. Be to, EESRK ragina ES toliau remti Vakarų Balkanus gerinant jaunimo dalyvavimą, atsižvelgiant į teigiamą judumo švietimo ar mokymo srityje ryšį su jaunimo pilietiniu ir politiniu dalyvavimu. </w:t>
      </w:r>
      <w:r>
        <w:rPr>
          <w:color w:val="212121"/>
        </w:rPr>
        <w:t>Į tą patį principą turėtų būti atsižvelgta santykiuose su Ukraina ir Sakartvelu.</w:t>
      </w:r>
      <w:r>
        <w:t xml:space="preserve"> EESRK primygtinai ragina stiprinti bendradarbiavimą jaunimo politikos srityje su šalimis kandidatėmis. </w:t>
      </w:r>
    </w:p>
    <w:p w14:paraId="7D01F35B" w14:textId="77777777" w:rsidR="00497E52" w:rsidRPr="00E36037" w:rsidRDefault="00497E52" w:rsidP="00497E52">
      <w:pPr>
        <w:ind w:left="567" w:hanging="567"/>
        <w:rPr>
          <w:lang w:val="en-GB"/>
        </w:rPr>
      </w:pPr>
    </w:p>
    <w:p w14:paraId="4EE1EE15" w14:textId="77777777" w:rsidR="00497E52" w:rsidRPr="00E36037" w:rsidRDefault="00497E52" w:rsidP="00497E52">
      <w:pPr>
        <w:pStyle w:val="Heading2"/>
      </w:pPr>
      <w:r>
        <w:rPr>
          <w:color w:val="212121"/>
        </w:rPr>
        <w:t xml:space="preserve">EESRK sieks sistemingai atsižvelgti į jaunimo balsą savo nuomonėse, įskaitant </w:t>
      </w:r>
      <w:r>
        <w:rPr>
          <w:i/>
          <w:color w:val="212121"/>
        </w:rPr>
        <w:t>nuomones savo iniciatyva</w:t>
      </w:r>
      <w:r>
        <w:rPr>
          <w:color w:val="212121"/>
        </w:rPr>
        <w:t xml:space="preserve"> ir </w:t>
      </w:r>
      <w:r>
        <w:rPr>
          <w:i/>
          <w:color w:val="212121"/>
        </w:rPr>
        <w:t>tiriamąsias nuomones</w:t>
      </w:r>
      <w:r>
        <w:rPr>
          <w:color w:val="212121"/>
        </w:rPr>
        <w:t>, priimtas rotacijos tvarka pirmininkaujančių valstybių ar kitų Europos institucijų prašymu. EESRK, palaikydamas puikius santykius su jomis, dės visas pastangas įtikinti jas, kad šie prašymai turėtų apimti su jaunimu susijusius aspektus.</w:t>
      </w:r>
      <w:r>
        <w:rPr>
          <w:rFonts w:ascii="Calibri" w:hAnsi="Calibri"/>
          <w:color w:val="212121"/>
        </w:rPr>
        <w:t xml:space="preserve"> </w:t>
      </w:r>
    </w:p>
    <w:p w14:paraId="4C777791" w14:textId="77777777" w:rsidR="00497E52" w:rsidRPr="00E36037" w:rsidRDefault="00497E52" w:rsidP="00497E52">
      <w:pPr>
        <w:rPr>
          <w:lang w:val="en-GB"/>
        </w:rPr>
      </w:pPr>
    </w:p>
    <w:p w14:paraId="1E32CAA6" w14:textId="77777777" w:rsidR="00497E52" w:rsidRPr="00E36037" w:rsidRDefault="00497E52" w:rsidP="00497E52">
      <w:pPr>
        <w:pStyle w:val="Heading1"/>
        <w:keepNext/>
        <w:keepLines/>
      </w:pPr>
      <w:r>
        <w:rPr>
          <w:b/>
        </w:rPr>
        <w:t>Ateinančių metų tikslas: kartu kurti geresnę – žalesnę, įtraukesnę ir skaitmeninę – ateitį.</w:t>
      </w:r>
    </w:p>
    <w:p w14:paraId="1D94F509" w14:textId="77777777" w:rsidR="00497E52" w:rsidRPr="00E36037" w:rsidRDefault="00497E52" w:rsidP="00497E52">
      <w:pPr>
        <w:keepNext/>
        <w:keepLines/>
        <w:rPr>
          <w:i/>
          <w:lang w:val="en-GB"/>
        </w:rPr>
      </w:pPr>
    </w:p>
    <w:p w14:paraId="76890C9E" w14:textId="77777777" w:rsidR="00497E52" w:rsidRPr="00E36037" w:rsidRDefault="00497E52" w:rsidP="00497E52">
      <w:pPr>
        <w:pStyle w:val="Heading2"/>
      </w:pPr>
      <w:r>
        <w:t>EESRK pabrėžia, kad svarbu</w:t>
      </w:r>
      <w:r>
        <w:rPr>
          <w:b/>
          <w:i/>
        </w:rPr>
        <w:t xml:space="preserve"> </w:t>
      </w:r>
      <w:r>
        <w:t>didinti jaunimo žinias ir informuotumą apie Europos institucijas, veikiančius mechanizmus, veiklos sritis, konkrečius kasdienės veiklos pavyzdžius ir jaunimo asmeninio bei profesinio tobulėjimo galimybes. Europos patirties mainų ir mokymo programų (programa „Erasmus+“, „Discover EU“ ir kt.), taip pat programų, vykdomų kartu su kitomis valstybės ir užsienio švietimo įstaigomis, skaičius turėtų būti padidintas tiek vietos, tiek išorės lygmeniu. EESRK skatins EESRK narius organizuoti į jaunimą orientuotas vietos lygmens iniciatyvas.</w:t>
      </w:r>
    </w:p>
    <w:p w14:paraId="02B60C01" w14:textId="77777777" w:rsidR="00497E52" w:rsidRPr="00E36037" w:rsidRDefault="00497E52" w:rsidP="00497E52">
      <w:pPr>
        <w:ind w:left="567" w:hanging="567"/>
        <w:rPr>
          <w:lang w:val="en-GB"/>
        </w:rPr>
      </w:pPr>
    </w:p>
    <w:p w14:paraId="1CF7268E" w14:textId="48577CA3" w:rsidR="00497E52" w:rsidRPr="00E36037" w:rsidRDefault="00497E52" w:rsidP="00497E52">
      <w:pPr>
        <w:pStyle w:val="Heading2"/>
      </w:pPr>
      <w:r>
        <w:lastRenderedPageBreak/>
        <w:t>EESRK atkreipia dėmesį į tai, kad reikia sukurti ir užtikrinti sistemą, pagal kurią visi jaunuoliai galėtų dalyvauti sprendimų priėmimo procese Europos ir nacionaliniu lygmenimis, darant institucijas atviresnes ir labiau pasirengusias dirbti su jaunimu. Ypač svarbu sudaryti sąlygas palankių sąlygų neturintiems, pažeidžiamiems ir marginalizuotiems jaunuoliams dalyvauti sprendimų priėmimo procesuose. Jaunimo dalyvavimo politiniuose rinkimuose skatinimas turėtų būti prioritetas. Be to, jaunimo dalyvavimas prisideda prie kūrybiškumo ir inovacijų, be to, jaunuoliai turi būti išgirsti, o jų pilietinis ir bendruomenės dalyvavimas turėtų būti skatinamas nuo jaunų dienų.</w:t>
      </w:r>
    </w:p>
    <w:p w14:paraId="508EE529" w14:textId="77777777" w:rsidR="00497E52" w:rsidRPr="00E36037" w:rsidRDefault="00497E52" w:rsidP="00497E52">
      <w:pPr>
        <w:ind w:left="567" w:hanging="567"/>
        <w:rPr>
          <w:lang w:val="en-GB"/>
        </w:rPr>
      </w:pPr>
    </w:p>
    <w:p w14:paraId="14FA42FE" w14:textId="77777777" w:rsidR="00497E52" w:rsidRPr="00E36037" w:rsidRDefault="00497E52" w:rsidP="00497E52">
      <w:pPr>
        <w:pStyle w:val="Heading2"/>
      </w:pPr>
      <w:r>
        <w:t>EESRK rekomenduoja įgyvendinti antros galimybės mokytis ir raštingumo programas, skirtas mokyklos nebaigusiems asmenims, ir priemones, skirtas mokyklos nebaigusių asmenų skaičiui mažinti, užtikrinant orientavimą, paramą ir socialinės apsaugos programas, skirtas jaunimui iš kaimo vietovių ir neturtingų šeimų, kad būtų sudarytos palankesnės sąlygos naudotis švietimo paslaugomis.</w:t>
      </w:r>
    </w:p>
    <w:p w14:paraId="5FE8CFBB" w14:textId="77777777" w:rsidR="00497E52" w:rsidRPr="00E36037" w:rsidRDefault="00497E52" w:rsidP="00497E52">
      <w:pPr>
        <w:rPr>
          <w:lang w:val="en-GB"/>
        </w:rPr>
      </w:pPr>
    </w:p>
    <w:p w14:paraId="01762163" w14:textId="77777777" w:rsidR="00497E52" w:rsidRPr="00E36037" w:rsidRDefault="00497E52" w:rsidP="00497E52">
      <w:pPr>
        <w:pStyle w:val="Heading2"/>
      </w:pPr>
      <w:r>
        <w:rPr>
          <w:highlight w:val="white"/>
        </w:rPr>
        <w:t>Būtina užtikrinti kokybišką ir įtraukų švietimą bei mokymą ir mokymąsi visą gyvenimą, kad visi turėtų žinių, įgūdžių, kompetencijų ir požiūrio, kurių reikia, kad Europos visuomenė taptų teisingesnė, darnesnė, tvaresnė, atsparesnė ir labiau skaitmeninė. Jaunimas turi turėti įgūdžių, kurie leistų jiems visapusiškai dalyvauti visuomenės gyvenime ir sėkmingai valdyti pokyčius darbo rinkoje</w:t>
      </w:r>
      <w:r w:rsidRPr="00E36037">
        <w:rPr>
          <w:rStyle w:val="FootnoteReference"/>
          <w:highlight w:val="white"/>
          <w:lang w:val="en-GB"/>
        </w:rPr>
        <w:footnoteReference w:id="14"/>
      </w:r>
      <w:r>
        <w:rPr>
          <w:highlight w:val="white"/>
        </w:rPr>
        <w:t>, daugiausia dėmesio skiriant pažeidžiamiausiems asmenims. Kvalifikuoti darbuotojai yra svarbi Europos konkurencingumo užtikrinimo dalis, kaip pripažįstama ir Europos Komisijos pasiūlyme dėl 2023 m. Europos įgūdžių metų</w:t>
      </w:r>
      <w:r w:rsidRPr="00E36037">
        <w:rPr>
          <w:rStyle w:val="FootnoteReference"/>
          <w:highlight w:val="white"/>
          <w:lang w:val="en-GB"/>
        </w:rPr>
        <w:footnoteReference w:id="15"/>
      </w:r>
      <w:r>
        <w:rPr>
          <w:highlight w:val="white"/>
        </w:rPr>
        <w:t>, kartu užtikrinant geras darbo sąlygas, karjeros nuspėjamumą ir galimybes. Reikėtų skatinti dalyvavimą švietimo įstaigose. Prioritetas turėtų būti teikiamas Europos socialinių teisių ramsčio įgyvendinimui jaunimo atžvilgiu. Taip pat reikia daryti pažangą vykdant švietimo reformą, sprendžiant įgūdžių pasiūlos ir paklausos neatitikties problemas ir daug dėmesio skiriant mokymuisi visą gyvenimą, persikvalifikavimui ir kvalifikacijos kėlimui</w:t>
      </w:r>
      <w:r w:rsidRPr="00E36037">
        <w:rPr>
          <w:rStyle w:val="FootnoteReference"/>
          <w:color w:val="202124"/>
          <w:highlight w:val="white"/>
          <w:lang w:val="en-GB"/>
        </w:rPr>
        <w:footnoteReference w:id="16"/>
      </w:r>
      <w:r>
        <w:rPr>
          <w:highlight w:val="white"/>
        </w:rPr>
        <w:t>.</w:t>
      </w:r>
    </w:p>
    <w:p w14:paraId="2BEB8E62" w14:textId="77777777" w:rsidR="00497E52" w:rsidRPr="00E36037" w:rsidRDefault="00497E52" w:rsidP="00497E52">
      <w:pPr>
        <w:ind w:left="567" w:hanging="567"/>
        <w:rPr>
          <w:lang w:val="en-GB"/>
        </w:rPr>
      </w:pPr>
    </w:p>
    <w:p w14:paraId="06C22105" w14:textId="77777777" w:rsidR="00497E52" w:rsidRPr="00E36037" w:rsidRDefault="00497E52" w:rsidP="00497E52">
      <w:pPr>
        <w:pStyle w:val="Heading2"/>
      </w:pPr>
      <w:r>
        <w:t>EESRK ragina sudaryti palankesnes sąlygas jaunimui iš kaimo vietovių naudotis švietimo sistema, užtikrinant materialinę ir skaitmeninę infrastruktūrą, būtiną aukštos kokybės švietimo procesui, ypač darnaus vystymosi ir aplinkos apsaugos srityse.</w:t>
      </w:r>
    </w:p>
    <w:p w14:paraId="60796C82" w14:textId="77777777" w:rsidR="00497E52" w:rsidRPr="00E36037" w:rsidRDefault="00497E52" w:rsidP="00497E52">
      <w:pPr>
        <w:ind w:left="567" w:hanging="567"/>
        <w:rPr>
          <w:lang w:val="en-GB"/>
        </w:rPr>
      </w:pPr>
    </w:p>
    <w:p w14:paraId="2D449573" w14:textId="77777777" w:rsidR="00497E52" w:rsidRPr="00E36037" w:rsidRDefault="00497E52" w:rsidP="00497E52">
      <w:pPr>
        <w:pStyle w:val="Heading2"/>
      </w:pPr>
      <w:r>
        <w:t>EESRK, bendradarbiaudamas su pilietinės visuomenės organizacijomis, ragina valstybes nares užtikrinti tikslinę prieigą prie mokyklų retosiomis ligomis sergantiems asmenims arba asmenims, kurie negali lankyti mokyklos dėl medicininių priežasčių, ir užtikrinti būtiną infrastruktūrą, kad neįgaliesiems būtų užtikrintos vienodos galimybės naudotis švietimo paslaugomis ir kad niekas nebūtų paliktas nuošalyje.</w:t>
      </w:r>
    </w:p>
    <w:p w14:paraId="3B26333F" w14:textId="77777777" w:rsidR="00497E52" w:rsidRPr="00E36037" w:rsidRDefault="00497E52" w:rsidP="00497E52">
      <w:pPr>
        <w:rPr>
          <w:lang w:val="en-GB"/>
        </w:rPr>
      </w:pPr>
    </w:p>
    <w:p w14:paraId="4388C2E4" w14:textId="77777777" w:rsidR="00497E52" w:rsidRPr="00E36037" w:rsidRDefault="00497E52" w:rsidP="00497E52">
      <w:pPr>
        <w:pStyle w:val="Heading2"/>
      </w:pPr>
      <w:r>
        <w:rPr>
          <w:highlight w:val="white"/>
        </w:rPr>
        <w:lastRenderedPageBreak/>
        <w:t>Švietimas yra pagrindinis veiksnys siekiant visų kitų darnaus vystymosi tikslų (DVT). Todėl EESRK remia Europos Komisijos darbą siekiant žaliosios pertvarkos ir darnaus vystymosi ir ragina valstybes nares atitinkamai įgyvendinti ir pertvarkyti švietimą savo šalyse</w:t>
      </w:r>
      <w:r w:rsidRPr="00E36037">
        <w:rPr>
          <w:rStyle w:val="FootnoteReference"/>
          <w:highlight w:val="white"/>
          <w:lang w:val="en-GB"/>
        </w:rPr>
        <w:footnoteReference w:id="17"/>
      </w:r>
      <w:r>
        <w:rPr>
          <w:highlight w:val="white"/>
        </w:rPr>
        <w:t>.</w:t>
      </w:r>
    </w:p>
    <w:p w14:paraId="70A977D9" w14:textId="77777777" w:rsidR="00497E52" w:rsidRPr="00E36037" w:rsidRDefault="00497E52" w:rsidP="00497E52">
      <w:pPr>
        <w:ind w:left="567" w:hanging="567"/>
        <w:rPr>
          <w:lang w:val="en-GB"/>
        </w:rPr>
      </w:pPr>
    </w:p>
    <w:p w14:paraId="3067A390" w14:textId="77777777" w:rsidR="00497E52" w:rsidRPr="00E36037" w:rsidRDefault="00497E52" w:rsidP="00497E52">
      <w:pPr>
        <w:pStyle w:val="Heading2"/>
      </w:pPr>
      <w:r>
        <w:t>EESRK siūlo kartu su socialiniais partneriais ir pilietine visuomene rengti informavimo ir konsultavimo sesijas arba švietimo programas, kuriomis būtų siekiama paaiškinti pagrindinius elementus, kurie yra neatskiriama darbo rinkos dalis, turint omenyje tokias sąvokas kaip darbdavys, darbo sutartis ir kt. Šiuo tikslu turėtų būti skirta pakankamai išteklių, visų pirma pažeidžiamiems jaunuoliams ir asmenims, dirbantiems pagal netipines užimtumo formas.</w:t>
      </w:r>
      <w:r>
        <w:rPr>
          <w:highlight w:val="white"/>
        </w:rPr>
        <w:t xml:space="preserve"> </w:t>
      </w:r>
      <w:r>
        <w:t>Ta pati informacija taip pat turi būti teikiama jauniems migrantams, atvykstantiems į nežinomą šalį, kad jie greičiau integruotųsi į naują visuomenę, jos švietimo ir darbo sistemas bei kultūrą. Apskritai jaunimui reikėtų pasiūlyti daugiau priemonių, kad jie galėtų daugiau sužinoti apie tokias temas kaip finansinis švietimas ir, svarbiausia, gerai išmanyti savo, kaip piliečių ir darbuotojų, teises. Visa tai svarbu siekiant padėti jaunimui pasirengti būsimam suaugusiųjų gyvenimui.</w:t>
      </w:r>
    </w:p>
    <w:p w14:paraId="12FA9C2A" w14:textId="77777777" w:rsidR="00497E52" w:rsidRPr="00E36037" w:rsidRDefault="00497E52" w:rsidP="00497E52">
      <w:pPr>
        <w:rPr>
          <w:lang w:val="en-GB"/>
        </w:rPr>
      </w:pPr>
    </w:p>
    <w:p w14:paraId="3345AA5C" w14:textId="77777777" w:rsidR="00497E52" w:rsidRPr="00E36037" w:rsidRDefault="00497E52" w:rsidP="00497E52">
      <w:pPr>
        <w:pStyle w:val="Heading2"/>
      </w:pPr>
      <w:r>
        <w:t>EESRK jau yra pareiškęs, kad verslumas gali būti labai svarbus didinant konkurencingumą, inovacijas ir gerovę ir kuriant socialinę ir žaliąją ekonomiką, juo labiau, kai atsigaunama po pandemijos. Skatinant verslumo mokymą</w:t>
      </w:r>
      <w:r>
        <w:rPr>
          <w:highlight w:val="white"/>
        </w:rPr>
        <w:t>, ugdant verslumo įgūdžius, būtų galima kurti karjeros galimybes, ypač</w:t>
      </w:r>
      <w:r>
        <w:t xml:space="preserve"> jaunimui</w:t>
      </w:r>
      <w:r w:rsidRPr="00E36037">
        <w:rPr>
          <w:rStyle w:val="FootnoteReference"/>
          <w:highlight w:val="white"/>
          <w:lang w:val="en-GB"/>
        </w:rPr>
        <w:footnoteReference w:id="18"/>
      </w:r>
      <w:r>
        <w:t>.</w:t>
      </w:r>
    </w:p>
    <w:p w14:paraId="12A5609E" w14:textId="77777777" w:rsidR="00497E52" w:rsidRPr="00E36037" w:rsidRDefault="00497E52" w:rsidP="00497E52">
      <w:pPr>
        <w:ind w:left="567" w:hanging="567"/>
        <w:rPr>
          <w:lang w:val="en-GB"/>
        </w:rPr>
      </w:pPr>
    </w:p>
    <w:p w14:paraId="6D785507" w14:textId="77777777" w:rsidR="00497E52" w:rsidRPr="00E36037" w:rsidRDefault="00497E52" w:rsidP="00497E52">
      <w:pPr>
        <w:pStyle w:val="Heading2"/>
      </w:pPr>
      <w:r>
        <w:t>EESRK skatina rasti tinkamų sprendimų nacionaliniu lygmeniu siekiant užtikrinti nuomos kainų kontrolę, kad būtų sudarytos palankesnės sąlygos judumui švietimo ar profesiniais tikslais, ir įgyvendinti jaunimui skirtų socialinių būstų statybos programą, ypač dideliuose miestuose ir ekonominės plėtros centruose.</w:t>
      </w:r>
    </w:p>
    <w:p w14:paraId="3C62E042" w14:textId="77777777" w:rsidR="00497E52" w:rsidRPr="00E36037" w:rsidRDefault="00497E52" w:rsidP="00497E52">
      <w:pPr>
        <w:ind w:left="567" w:hanging="567"/>
        <w:rPr>
          <w:lang w:val="en-GB"/>
        </w:rPr>
      </w:pPr>
    </w:p>
    <w:p w14:paraId="3842216A" w14:textId="77777777" w:rsidR="00497E52" w:rsidRPr="00E36037" w:rsidRDefault="00497E52" w:rsidP="00497E52">
      <w:pPr>
        <w:pStyle w:val="Heading2"/>
      </w:pPr>
      <w:r>
        <w:t xml:space="preserve">EESRK ragina užtikrinti, kad jaunimas, ypač jaunimas iš kaimo vietovių, turėtų geresnes galimybes naudotis kokybiškomis sveikatos priežiūros paslaugomis, didinant ligoninių ar mobiliųjų centrų, teikiančių pirmines medicinos paslaugas, skaičių ir švietimo įstaigose vykdant informuotumo didinimo kampanijas, skirtas tokioms svarbioms temoms kaip traumų prevencija, mitybos sutrikimai, psichikos sveikata ir bendrasis švietimas sveikatos srityje bei reprodukcinė sveikata. </w:t>
      </w:r>
      <w:r>
        <w:rPr>
          <w:color w:val="212121"/>
        </w:rPr>
        <w:t>Turėtų būti parengtos specialios mokslinių tyrimų programos, skirtos jaunuolių kovai su ligomis (pvz., vėžiu), nes suaugusiesiems sukurtas gydymas jiems dažnai netinka.</w:t>
      </w:r>
    </w:p>
    <w:p w14:paraId="5C08A663" w14:textId="77777777" w:rsidR="00497E52" w:rsidRPr="00E36037" w:rsidRDefault="00497E52" w:rsidP="00497E52">
      <w:pPr>
        <w:ind w:left="567" w:hanging="567"/>
        <w:rPr>
          <w:lang w:val="en-GB"/>
        </w:rPr>
      </w:pPr>
    </w:p>
    <w:p w14:paraId="52E41DB9" w14:textId="77777777" w:rsidR="00497E52" w:rsidRPr="00E36037" w:rsidRDefault="00497E52" w:rsidP="00497E52">
      <w:pPr>
        <w:pStyle w:val="Heading2"/>
      </w:pPr>
      <w:r>
        <w:t>EESRK, bendradarbiaudamas su pilietinės visuomenės organizacijomis, ragina dėti daugiau ir nuolatinių pastangų, kad mokyklose, dalyvaujant jaunimui ir pilietinei visuomenei, būtų imtasi veiksmų, susijusių su švietimu apie eismą, lytiškai plintančių ligų prevencija, patyčiomis ir neapykantą kurstančia kalba ir tabako, alkoholio ir narkotikų vartojimu.</w:t>
      </w:r>
    </w:p>
    <w:p w14:paraId="1455226B" w14:textId="77777777" w:rsidR="00497E52" w:rsidRPr="00E36037" w:rsidRDefault="00497E52" w:rsidP="00497E52">
      <w:pPr>
        <w:ind w:left="567" w:hanging="567"/>
        <w:rPr>
          <w:lang w:val="en-GB"/>
        </w:rPr>
      </w:pPr>
    </w:p>
    <w:p w14:paraId="21161F0A" w14:textId="77777777" w:rsidR="00497E52" w:rsidRPr="00E36037" w:rsidRDefault="00497E52" w:rsidP="00497E52">
      <w:pPr>
        <w:pStyle w:val="Heading2"/>
      </w:pPr>
      <w:r>
        <w:t xml:space="preserve">EESRK siūlo užtikrinti, kad jaunimas galėtų naudotis oficialaus atstovavimo sistemomis palaikant santykius su suinteresuotaisiais darbo rinkos dalyviais ir užtikrinant visų jaunuolių, ypač neturinčių darbo arba turinčių mažų garantijų darbą, asociacijų laisvę ir darbuotojų bei darbdavių teisę kurti norimas organizacijas bei prie jų jungtis. </w:t>
      </w:r>
    </w:p>
    <w:p w14:paraId="68B19700" w14:textId="77777777" w:rsidR="00497E52" w:rsidRPr="00E36037" w:rsidRDefault="00497E52" w:rsidP="00497E52">
      <w:pPr>
        <w:ind w:left="567" w:hanging="567"/>
        <w:rPr>
          <w:lang w:val="en-GB"/>
        </w:rPr>
      </w:pPr>
    </w:p>
    <w:p w14:paraId="7FFAC911" w14:textId="77777777" w:rsidR="00497E52" w:rsidRPr="00E36037" w:rsidRDefault="00497E52" w:rsidP="00497E52">
      <w:pPr>
        <w:pStyle w:val="Heading2"/>
      </w:pPr>
      <w:r>
        <w:t>EESRK ragina stiprinti socialinių partnerių ir pilietinės visuomenės organizacijų gebėjimus siekiant atstovauti jaunimui ir palengvinti perėjimo nuo mokyklos prie aktyvaus profesinio gyvenimo procesą ir įtraukti jaunimo organizacijas į socialinio dialogo institucijas, kolektyvines derybas ir trišales organizacijas, turinčias įsipareigojimų darbo rinkoje.</w:t>
      </w:r>
    </w:p>
    <w:p w14:paraId="53008ADC" w14:textId="77777777" w:rsidR="00497E52" w:rsidRPr="00E36037" w:rsidRDefault="00497E52" w:rsidP="00497E52">
      <w:pPr>
        <w:ind w:left="567" w:hanging="567"/>
        <w:rPr>
          <w:lang w:val="en-GB"/>
        </w:rPr>
      </w:pPr>
    </w:p>
    <w:p w14:paraId="56DBF329" w14:textId="77777777" w:rsidR="00497E52" w:rsidRPr="00E36037" w:rsidRDefault="00497E52" w:rsidP="00497E52">
      <w:pPr>
        <w:pStyle w:val="Heading2"/>
      </w:pPr>
      <w:r>
        <w:t>EESRK prašo modernizuoti ir sustiprinti darbo rinkoje veikiančias institucijas, t. y. pritaikyti jų teikiamas paslaugas prie jaunimo poreikių, kad jos būtų lengvai prieinamos, dinamiškos, patogios ir mažiau biurokratiškos.</w:t>
      </w:r>
    </w:p>
    <w:p w14:paraId="4F0C528C" w14:textId="77777777" w:rsidR="00497E52" w:rsidRPr="00E36037" w:rsidRDefault="00497E52" w:rsidP="00497E52">
      <w:pPr>
        <w:ind w:left="567" w:hanging="567"/>
        <w:rPr>
          <w:lang w:val="en-GB"/>
        </w:rPr>
      </w:pPr>
    </w:p>
    <w:p w14:paraId="26C798DB" w14:textId="77777777" w:rsidR="00497E52" w:rsidRPr="00E36037" w:rsidRDefault="00497E52" w:rsidP="00497E52">
      <w:pPr>
        <w:pStyle w:val="Heading2"/>
      </w:pPr>
      <w:r>
        <w:t>EESRK ragina užtikrinti vienodas galimybes ne tik moterims ir vyrams, bet ir jaunimui, palyginti su kitų amžiaus grupių žmonėmis, turint omenyje atlyginimus, darbo sąlygas, mokymo ir paaukštinimo galimybes darbe. Stažuotojų, ypač jaunimo, darbas neturėtų reikšti išnaudojimo ir neturėtų būti priemonė darbo santykiams apeiti. Neapmokamos ar nekompensuojamos stažuotės gali turėti labai neigiamos įtakos jaunimo patirčiai darbo rinkoje</w:t>
      </w:r>
      <w:r w:rsidRPr="00E36037">
        <w:rPr>
          <w:rStyle w:val="FootnoteReference"/>
          <w:lang w:val="en-GB"/>
        </w:rPr>
        <w:footnoteReference w:id="19"/>
      </w:r>
      <w:r>
        <w:t xml:space="preserve"> ir turi būti uždraustos</w:t>
      </w:r>
      <w:r w:rsidRPr="00E36037">
        <w:rPr>
          <w:rStyle w:val="FootnoteReference"/>
          <w:lang w:val="en-GB"/>
        </w:rPr>
        <w:footnoteReference w:id="20"/>
      </w:r>
      <w:r>
        <w:t>. Turėtų būti toliau stiprinamas atstovavimas jaunimui.</w:t>
      </w:r>
    </w:p>
    <w:p w14:paraId="523FD4C9" w14:textId="77777777" w:rsidR="00497E52" w:rsidRPr="00E36037" w:rsidRDefault="00497E52" w:rsidP="00497E52">
      <w:pPr>
        <w:ind w:left="567" w:hanging="567"/>
        <w:rPr>
          <w:lang w:val="en-GB"/>
        </w:rPr>
      </w:pPr>
    </w:p>
    <w:p w14:paraId="75D30AF1" w14:textId="77777777" w:rsidR="00497E52" w:rsidRPr="00E36037" w:rsidRDefault="00497E52" w:rsidP="00497E52">
      <w:pPr>
        <w:pStyle w:val="Heading2"/>
      </w:pPr>
      <w:r>
        <w:t>EESRK mano, kad būtina remti socialinę ekonomiką, nes šis sektorius aktyviai padeda socialiai marginalizuotam jaunimui ir kitiems pažeidžiamiems asmenims, visų pirma taikant priemones, kuriomis siekiama didinti savigarbą, gerinti komunikaciją ir kt.</w:t>
      </w:r>
    </w:p>
    <w:p w14:paraId="3C57BD48" w14:textId="77777777" w:rsidR="00497E52" w:rsidRPr="00E36037" w:rsidRDefault="00497E52" w:rsidP="00497E52">
      <w:pPr>
        <w:ind w:left="567" w:hanging="567"/>
        <w:rPr>
          <w:lang w:val="en-GB"/>
        </w:rPr>
      </w:pPr>
    </w:p>
    <w:p w14:paraId="0D054535" w14:textId="77777777" w:rsidR="00497E52" w:rsidRPr="00E36037" w:rsidRDefault="00497E52" w:rsidP="00497E52">
      <w:pPr>
        <w:pStyle w:val="Heading2"/>
      </w:pPr>
      <w:r>
        <w:t>EESRK mano, kad atsižvelgiant į dėl pandemijos susiklosčiusias aplinkybes, kurias lėmė prastas sveikatos priežiūros paslaugų prieinamumas, reikia dėti daugiau pastangų siekiant padėti jaunimui nustatyti psichikos sveikatos ir gerovės problemų požymius ir skleisti teisingą informaciją kuo įvairesniais kanalais, kad būtų galima nustatyti vertingą informaciją, priešingai nei melagingi pažadai dėl pagalbos ir (arba) paramos, be kita ko, šiuo tikslu naudojant sveikatos priežiūros priemones.</w:t>
      </w:r>
    </w:p>
    <w:p w14:paraId="1E3CB1C3" w14:textId="77777777" w:rsidR="00497E52" w:rsidRPr="00E36037" w:rsidRDefault="00497E52" w:rsidP="00497E52">
      <w:pPr>
        <w:ind w:left="567" w:hanging="567"/>
        <w:rPr>
          <w:lang w:val="en-GB"/>
        </w:rPr>
      </w:pPr>
    </w:p>
    <w:p w14:paraId="197C3F76" w14:textId="77777777" w:rsidR="00497E52" w:rsidRPr="00E36037" w:rsidRDefault="00497E52" w:rsidP="00497E52">
      <w:pPr>
        <w:pStyle w:val="Heading2"/>
      </w:pPr>
      <w:r>
        <w:t>EESRK ragina reformuoti socialinės apsaugos sistemas ir darbo teisės aktus, kad jie būtų pritaikyti prie naujų realijų ir darbo formų, ir užtikrinti, kad ateityje vėlesnius pokyčius darbo srityje būtų galima greičiau pritaikyti ir reguliuoti, visapusiškai atsižvelgiant į nacionalinius darbo santykių modelius ir socialinių partnerių savarankiškumą.</w:t>
      </w:r>
    </w:p>
    <w:p w14:paraId="4E9B5F7E" w14:textId="77777777" w:rsidR="00497E52" w:rsidRPr="00E36037" w:rsidRDefault="00497E52" w:rsidP="00497E52">
      <w:pPr>
        <w:ind w:left="567" w:hanging="567"/>
        <w:rPr>
          <w:lang w:val="en-GB"/>
        </w:rPr>
      </w:pPr>
    </w:p>
    <w:p w14:paraId="39AB4582" w14:textId="77777777" w:rsidR="00497E52" w:rsidRPr="00E36037" w:rsidRDefault="00497E52" w:rsidP="00497E52">
      <w:pPr>
        <w:pStyle w:val="Heading2"/>
      </w:pPr>
      <w:r>
        <w:t>EESRK siūlo, kad pensijų ir socialinės apsaugos sistemos būtų susietos su jaunimo ekonominėmis ir socialinėmis realijomis ir būtų teisingos, įtraukios ir pritaikytos prie darbo rinkos realijų, užtikrinant naujų formų darbą dirbančio ar nedirbančio jaunimo apsaugą. Kokybiškos darbo vietos visiems jaunuoliams turi būti prioritetas.</w:t>
      </w:r>
    </w:p>
    <w:p w14:paraId="7A9652CE" w14:textId="77777777" w:rsidR="00497E52" w:rsidRPr="00E36037" w:rsidRDefault="00497E52" w:rsidP="00497E52">
      <w:pPr>
        <w:ind w:left="567" w:hanging="567"/>
        <w:rPr>
          <w:lang w:val="en-GB"/>
        </w:rPr>
      </w:pPr>
    </w:p>
    <w:p w14:paraId="73F3AD15" w14:textId="77777777" w:rsidR="00497E52" w:rsidRPr="00E36037" w:rsidRDefault="00497E52" w:rsidP="00497E52">
      <w:pPr>
        <w:pStyle w:val="Heading2"/>
      </w:pPr>
      <w:r>
        <w:t xml:space="preserve">EESRK pabrėžia, kad koronaviruso pandemijos laikotarpiu paaiškėjo, jog be stabilumo ir nuspėjamumo užimtumo srityje svarbūs ir sveikatos bei saugos klausimai, įskaitant psichosocialinę riziką. Reikia pradėti dialogą su jaunimu dėl to, kaip ateityje užkirsti kelią </w:t>
      </w:r>
      <w:r>
        <w:lastRenderedPageBreak/>
        <w:t>problemoms šioje srityje. Siekiant sudaryti palankesnes sąlygas jaunimo dalyvavimui darbo rinkoje, svarbu turėti įvairių užimtumo formų, grindžiamų stabilumu ir kokybės standartais. Be to, reikia imtis priemonių jaunimo darbo sąlygų priežiūrai stiprinti, įskaitant darbo inspekcijų stiprinimą.</w:t>
      </w:r>
    </w:p>
    <w:p w14:paraId="6643EF65" w14:textId="77777777" w:rsidR="00497E52" w:rsidRPr="00E36037" w:rsidRDefault="00497E52" w:rsidP="00497E52">
      <w:pPr>
        <w:ind w:left="567" w:hanging="567"/>
        <w:rPr>
          <w:lang w:val="en-GB"/>
        </w:rPr>
      </w:pPr>
    </w:p>
    <w:p w14:paraId="5743DDC4" w14:textId="77777777" w:rsidR="00497E52" w:rsidRPr="00E36037" w:rsidRDefault="00497E52" w:rsidP="00497E52">
      <w:pPr>
        <w:pStyle w:val="Heading2"/>
      </w:pPr>
      <w:r>
        <w:t>EESRK prašo apsaugoti jaunimo teises ir užtikrinti socialinę apsaugą išlaikant profesinio ir asmeninio gyvenimo pusiausvyrą, apsaugant teisę į privatų gyvenimą ir išsaugant erdvę kolektyvinėms deryboms. Reikėtų skatinti ieškoti būdų užtikrinti tinkamą darbo grafiko lankstumą, kad jaunuoliai galėtų baigti mokslus.</w:t>
      </w:r>
    </w:p>
    <w:p w14:paraId="619F8D81" w14:textId="77777777" w:rsidR="00497E52" w:rsidRPr="00E36037" w:rsidRDefault="00497E52" w:rsidP="00497E52">
      <w:pPr>
        <w:ind w:left="567" w:hanging="567"/>
        <w:rPr>
          <w:lang w:val="en-GB"/>
        </w:rPr>
      </w:pPr>
    </w:p>
    <w:p w14:paraId="41047DE2" w14:textId="77777777" w:rsidR="00497E52" w:rsidRPr="00E36037" w:rsidRDefault="00497E52" w:rsidP="00497E52">
      <w:pPr>
        <w:pStyle w:val="Heading2"/>
      </w:pPr>
      <w:r>
        <w:t>EESRK ragina užtikrinti didesnę įvairių jaunimui skirtų priemonių, pavyzdžiui, Jaunimo garantijų iniciatyvos ir Vaiko garantijų iniciatyvos, sąveiką. Jaunimui turėtų būti suteiktos realios garantijos, suteikiančios jiems nuspėjamas karjeros perspektyvas. Viešuoju finansavimu, skirtu jaunimui darbo rinkoje remti, neturėtų būti prisidedama prie mažų garantijų darbo, o socialinių partnerių ir pilietinės visuomenės dalyvavimas teikiant pagalbą jaunimui darbo rinkoje turėtų išlikti prioritetu.</w:t>
      </w:r>
    </w:p>
    <w:p w14:paraId="645E0FC8" w14:textId="77777777" w:rsidR="00497E52" w:rsidRPr="00E36037" w:rsidRDefault="00497E52" w:rsidP="00497E52">
      <w:pPr>
        <w:ind w:left="567" w:hanging="567"/>
        <w:rPr>
          <w:lang w:val="en-GB"/>
        </w:rPr>
      </w:pPr>
    </w:p>
    <w:p w14:paraId="07904CD8" w14:textId="77777777" w:rsidR="00497E52" w:rsidRPr="00E36037" w:rsidRDefault="00497E52" w:rsidP="00497E52">
      <w:pPr>
        <w:pStyle w:val="Heading3"/>
      </w:pPr>
      <w:r>
        <w:t>EESRK siekia užtikrinti, kad visiems vaikams ir jaunuoliams, kuriems trūksta tinkamos tėvų priežiūros, būtų organizuojama tinkama ir kokybiška alternatyvi priežiūra ir, kadangi šiomis aplinkybėmis santykiai yra dar svarbesni, kad seserims ir broliams būtų leidžiama gyventi kartu, nebent tai neatitiktų jų interesų. Apskritai svarbu, kad paramos mechanizmai nenutrūktų, kai jaunuoliams sukanka 18 metų.</w:t>
      </w:r>
    </w:p>
    <w:p w14:paraId="45E09E22" w14:textId="77777777" w:rsidR="00497E52" w:rsidRPr="00E36037" w:rsidRDefault="00497E52" w:rsidP="00497E52">
      <w:pPr>
        <w:ind w:left="567" w:hanging="567"/>
        <w:rPr>
          <w:lang w:val="en-GB"/>
        </w:rPr>
      </w:pPr>
    </w:p>
    <w:p w14:paraId="551F69DF" w14:textId="77777777" w:rsidR="00497E52" w:rsidRPr="00E36037" w:rsidRDefault="00497E52" w:rsidP="00497E52">
      <w:pPr>
        <w:pStyle w:val="Heading2"/>
      </w:pPr>
      <w:r>
        <w:t>EESRK pabrėžia, kad reikia tinkamai spręsti ekonominius, socialinius ir aplinkosaugos uždavinius, kylančius, ypač jaunimui, dėl dabartinio ekonomikos modelio. Tai turėtų būti daroma atsižvelgiant į tai, kad mūsų visuomenės virsmas į žalesnę, teisingesnę, įtraukesnę, tvaresnę ir labiau orientuotą į gerovę pirmiausia turėtų būti grindžiamas jaunimo interesais kaip pagrindiniu ateities ramsčiu. Jaunimas turėtų būti horizontalioji ESI fondų investicijų tema ir (arba) tikslas.</w:t>
      </w:r>
    </w:p>
    <w:p w14:paraId="312D82F4" w14:textId="77777777" w:rsidR="00497E52" w:rsidRPr="00E36037" w:rsidRDefault="00497E52" w:rsidP="00497E52">
      <w:pPr>
        <w:ind w:left="567" w:hanging="567"/>
        <w:rPr>
          <w:lang w:val="en-GB"/>
        </w:rPr>
      </w:pPr>
    </w:p>
    <w:p w14:paraId="3A05968B" w14:textId="6CFC0758" w:rsidR="00497E52" w:rsidRPr="00E36037" w:rsidRDefault="00497E52" w:rsidP="00497E52">
      <w:pPr>
        <w:pStyle w:val="Heading2"/>
      </w:pPr>
      <w:r>
        <w:t>EESRK mano, kad būtina užtikrinti, kad jaunimas turėtų galimybių kurti šeimą. Siekiant užtikrinti Europos stabilumą ir ateitį, labai svarbu dėti daugiau pastangų motyvuoti jaunimą kurti šeimą ir turėti vaikų. Todėl labai svarbu užtikrinti galimybes gauti būstą, vaikų priežiūros paslaugas ir lanksčią socialinę paramą, šiuo tikslu sukuriant specialią ES programą.</w:t>
      </w:r>
    </w:p>
    <w:p w14:paraId="036D2C6A" w14:textId="77777777" w:rsidR="00497E52" w:rsidRPr="00E36037" w:rsidRDefault="00497E52" w:rsidP="00497E52">
      <w:pPr>
        <w:ind w:left="567" w:hanging="567"/>
        <w:rPr>
          <w:lang w:val="en-GB"/>
        </w:rPr>
      </w:pPr>
    </w:p>
    <w:p w14:paraId="0E4D90CA" w14:textId="56FC8853" w:rsidR="00497E52" w:rsidRPr="00E36037" w:rsidRDefault="00497E52" w:rsidP="00497E52">
      <w:pPr>
        <w:pStyle w:val="Heading2"/>
      </w:pPr>
      <w:r>
        <w:t>EESRK primygtinai ragina jaunajai kartai suteikti tikrai demokratišką ir pliuralistinę viešąją erdvę, kad jaunuoliai galėtų pareikšti savo nuomonę nebijodami atskirties ar neapykantos. Be to, labai svarbu kaupti žinias ir didinti informuotumą apie manipuliavimą informacija ir dezinformaciją.</w:t>
      </w:r>
    </w:p>
    <w:p w14:paraId="50B8444A" w14:textId="77777777" w:rsidR="00497E52" w:rsidRPr="00E36037" w:rsidRDefault="00497E52" w:rsidP="00497E52">
      <w:pPr>
        <w:rPr>
          <w:lang w:val="en-GB"/>
        </w:rPr>
      </w:pPr>
    </w:p>
    <w:p w14:paraId="4820997B" w14:textId="1BB2B28F" w:rsidR="00497E52" w:rsidRPr="00E36037" w:rsidRDefault="00497E52" w:rsidP="00497E52">
      <w:pPr>
        <w:pStyle w:val="Heading2"/>
        <w:numPr>
          <w:ilvl w:val="0"/>
          <w:numId w:val="0"/>
        </w:numPr>
      </w:pPr>
      <w:r>
        <w:t>2022 m. gruodžio 15 d., Briuselis</w:t>
      </w:r>
    </w:p>
    <w:p w14:paraId="25ACF248" w14:textId="77777777" w:rsidR="00497E52" w:rsidRPr="00E36037" w:rsidRDefault="00497E52" w:rsidP="00497E52">
      <w:pPr>
        <w:rPr>
          <w:lang w:val="en-GB"/>
        </w:rPr>
      </w:pPr>
    </w:p>
    <w:p w14:paraId="76D76B86" w14:textId="77777777" w:rsidR="00497E52" w:rsidRPr="00E36037" w:rsidRDefault="00497E52" w:rsidP="00497E52">
      <w:pPr>
        <w:rPr>
          <w:lang w:val="en-GB"/>
        </w:rPr>
      </w:pPr>
    </w:p>
    <w:p w14:paraId="4144FCCC" w14:textId="77777777" w:rsidR="00497E52" w:rsidRPr="00E36037" w:rsidRDefault="00497E52" w:rsidP="00497E52">
      <w:r>
        <w:t>Christa Schweng</w:t>
      </w:r>
    </w:p>
    <w:p w14:paraId="4A5CF83B" w14:textId="148C4F5F" w:rsidR="00E2376B" w:rsidRPr="00E36037" w:rsidRDefault="00497E52" w:rsidP="00E2376B">
      <w:r>
        <w:t>Europos ekonomikos ir socialinių reikalų komiteto pirmininkė</w:t>
      </w:r>
    </w:p>
    <w:p w14:paraId="6BABC1C7" w14:textId="77777777" w:rsidR="00F53370" w:rsidRPr="00E36037" w:rsidRDefault="00E2376B" w:rsidP="00DB7F50">
      <w:pPr>
        <w:jc w:val="center"/>
      </w:pPr>
      <w:r>
        <w:t>____________</w:t>
      </w:r>
    </w:p>
    <w:sectPr w:rsidR="00F53370" w:rsidRPr="00E36037" w:rsidSect="001E74A1">
      <w:headerReference w:type="default" r:id="rId18"/>
      <w:footerReference w:type="default" r:id="rId19"/>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3F42" w14:textId="77777777" w:rsidR="00663941" w:rsidRDefault="00663941" w:rsidP="00F53370">
      <w:pPr>
        <w:spacing w:line="240" w:lineRule="auto"/>
      </w:pPr>
      <w:r>
        <w:separator/>
      </w:r>
    </w:p>
  </w:endnote>
  <w:endnote w:type="continuationSeparator" w:id="0">
    <w:p w14:paraId="7421024D" w14:textId="77777777" w:rsidR="00663941" w:rsidRDefault="00663941"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514BD496" w:rsidR="0084105C" w:rsidRPr="003065C9" w:rsidRDefault="000059B7" w:rsidP="000059B7">
    <w:pPr>
      <w:pStyle w:val="Footer"/>
      <w:jc w:val="left"/>
    </w:pPr>
    <w:r>
      <w:t xml:space="preserve">EESC-2022-05772-00-00-RES-TRA (EN) </w:t>
    </w:r>
    <w:r>
      <w:fldChar w:fldCharType="begin"/>
    </w:r>
    <w:r>
      <w:instrText xml:space="preserve"> PAGE  \* Arabic  \* MERGEFORMAT </w:instrText>
    </w:r>
    <w:r>
      <w:fldChar w:fldCharType="separate"/>
    </w:r>
    <w:r w:rsidR="00E36037">
      <w:t>8</w:t>
    </w:r>
    <w:r>
      <w:fldChar w:fldCharType="end"/>
    </w:r>
    <w:r>
      <w:t>/</w:t>
    </w:r>
    <w:r>
      <w:fldChar w:fldCharType="begin"/>
    </w:r>
    <w:r>
      <w:instrText xml:space="preserve"> = </w:instrText>
    </w:r>
    <w:r w:rsidR="00663941">
      <w:fldChar w:fldCharType="begin"/>
    </w:r>
    <w:r w:rsidR="00663941">
      <w:instrText xml:space="preserve"> NUMPAGES </w:instrText>
    </w:r>
    <w:r w:rsidR="00663941">
      <w:fldChar w:fldCharType="separate"/>
    </w:r>
    <w:r w:rsidR="00E619D9">
      <w:rPr>
        <w:noProof/>
      </w:rPr>
      <w:instrText>10</w:instrText>
    </w:r>
    <w:r w:rsidR="00663941">
      <w:rPr>
        <w:noProof/>
      </w:rPr>
      <w:fldChar w:fldCharType="end"/>
    </w:r>
    <w:r>
      <w:instrText xml:space="preserve"> - 2 </w:instrText>
    </w:r>
    <w:r>
      <w:fldChar w:fldCharType="separate"/>
    </w:r>
    <w:r w:rsidR="00E619D9">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D8055" w14:textId="77777777" w:rsidR="00663941" w:rsidRDefault="00663941" w:rsidP="00F53370">
      <w:pPr>
        <w:spacing w:line="240" w:lineRule="auto"/>
      </w:pPr>
      <w:r>
        <w:separator/>
      </w:r>
    </w:p>
  </w:footnote>
  <w:footnote w:type="continuationSeparator" w:id="0">
    <w:p w14:paraId="479AD587" w14:textId="77777777" w:rsidR="00663941" w:rsidRDefault="00663941" w:rsidP="00F53370">
      <w:pPr>
        <w:spacing w:line="240" w:lineRule="auto"/>
      </w:pPr>
      <w:r>
        <w:continuationSeparator/>
      </w:r>
    </w:p>
  </w:footnote>
  <w:footnote w:id="1">
    <w:p w14:paraId="1F64DC0D" w14:textId="77777777" w:rsidR="00497E52" w:rsidRPr="00AF42CB" w:rsidRDefault="00497E52" w:rsidP="005B220D">
      <w:pPr>
        <w:spacing w:after="60" w:line="240" w:lineRule="auto"/>
        <w:ind w:left="567" w:hanging="567"/>
        <w:rPr>
          <w:sz w:val="16"/>
          <w:szCs w:val="16"/>
        </w:rPr>
      </w:pPr>
      <w:r>
        <w:rPr>
          <w:rStyle w:val="FootnoteReference"/>
          <w:lang w:val="en-GB"/>
        </w:rPr>
        <w:footnoteRef/>
      </w:r>
      <w:r>
        <w:tab/>
      </w:r>
      <w:hyperlink r:id="rId1" w:history="1">
        <w:r>
          <w:rPr>
            <w:rStyle w:val="Hyperlink"/>
            <w:sz w:val="16"/>
          </w:rPr>
          <w:t>https://ec.europa.eu/commission/presscorner/detail/lt/speech_21_4701</w:t>
        </w:r>
      </w:hyperlink>
    </w:p>
  </w:footnote>
  <w:footnote w:id="2">
    <w:p w14:paraId="7B5AAAEC" w14:textId="77777777" w:rsidR="00497E52" w:rsidRPr="00AF42CB" w:rsidRDefault="00497E52" w:rsidP="005B220D">
      <w:pPr>
        <w:pStyle w:val="FootnoteText"/>
        <w:rPr>
          <w:szCs w:val="16"/>
        </w:rPr>
      </w:pPr>
      <w:r>
        <w:rPr>
          <w:rStyle w:val="FootnoteReference"/>
          <w:szCs w:val="16"/>
          <w:lang w:val="en-GB"/>
        </w:rPr>
        <w:footnoteRef/>
      </w:r>
      <w:r>
        <w:rPr>
          <w:sz w:val="24"/>
        </w:rPr>
        <w:t xml:space="preserve"> </w:t>
      </w:r>
      <w:r>
        <w:tab/>
      </w:r>
      <w:hyperlink r:id="rId2">
        <w:r>
          <w:rPr>
            <w:color w:val="1155CC"/>
            <w:u w:val="single"/>
          </w:rPr>
          <w:t>https://ec.europa.eu/commission/presscorner/detail/lt/IP_21_5226</w:t>
        </w:r>
      </w:hyperlink>
    </w:p>
  </w:footnote>
  <w:footnote w:id="3">
    <w:p w14:paraId="605C1585" w14:textId="323E0D0B" w:rsidR="00497E52" w:rsidRPr="00AF42CB" w:rsidRDefault="00497E52" w:rsidP="005B220D">
      <w:pPr>
        <w:pStyle w:val="FootnoteText"/>
        <w:rPr>
          <w:szCs w:val="16"/>
        </w:rPr>
      </w:pPr>
      <w:r>
        <w:rPr>
          <w:rStyle w:val="FootnoteReference"/>
          <w:szCs w:val="16"/>
          <w:lang w:val="en-GB"/>
        </w:rPr>
        <w:footnoteRef/>
      </w:r>
      <w:r>
        <w:tab/>
        <w:t xml:space="preserve">EESRK nuomonė dėl </w:t>
      </w:r>
      <w:r>
        <w:rPr>
          <w:i/>
        </w:rPr>
        <w:t>naujos ES jaunimo strategijos (komunikato)</w:t>
      </w:r>
      <w:r>
        <w:t xml:space="preserve">, </w:t>
      </w:r>
      <w:hyperlink r:id="rId3" w:history="1">
        <w:r>
          <w:rPr>
            <w:rStyle w:val="Hyperlink"/>
          </w:rPr>
          <w:t>OL C 62, 2019 2 15, p. 142.</w:t>
        </w:r>
      </w:hyperlink>
    </w:p>
  </w:footnote>
  <w:footnote w:id="4">
    <w:p w14:paraId="47B27DD6" w14:textId="77777777" w:rsidR="00497E52" w:rsidRPr="00AF42CB" w:rsidRDefault="00497E52" w:rsidP="005B220D">
      <w:pPr>
        <w:pStyle w:val="FootnoteText"/>
        <w:rPr>
          <w:szCs w:val="16"/>
        </w:rPr>
      </w:pPr>
      <w:r>
        <w:rPr>
          <w:rStyle w:val="FootnoteReference"/>
          <w:szCs w:val="24"/>
          <w:lang w:val="en-GB"/>
        </w:rPr>
        <w:footnoteRef/>
      </w:r>
      <w:r>
        <w:rPr>
          <w:sz w:val="24"/>
        </w:rPr>
        <w:t xml:space="preserve"> </w:t>
      </w:r>
      <w:r>
        <w:tab/>
        <w:t xml:space="preserve">EESRK nuomonė „Struktūruoto jaunimo dalyvavimo ES sprendimų priėmimo procese klimato ir tvarumo klausimais skatinimas“, </w:t>
      </w:r>
      <w:hyperlink r:id="rId4" w:history="1">
        <w:r>
          <w:rPr>
            <w:rStyle w:val="Hyperlink"/>
          </w:rPr>
          <w:t>OL C 429, 2020 12 11, p. 44</w:t>
        </w:r>
      </w:hyperlink>
      <w:r>
        <w:t>.</w:t>
      </w:r>
    </w:p>
  </w:footnote>
  <w:footnote w:id="5">
    <w:p w14:paraId="25925183" w14:textId="1FC9D4DD" w:rsidR="00497E52" w:rsidRPr="00AF42CB" w:rsidRDefault="00497E52" w:rsidP="005B220D">
      <w:pPr>
        <w:spacing w:after="60" w:line="240" w:lineRule="auto"/>
        <w:ind w:left="567" w:hanging="567"/>
        <w:rPr>
          <w:sz w:val="16"/>
          <w:szCs w:val="16"/>
        </w:rPr>
      </w:pPr>
      <w:r>
        <w:rPr>
          <w:rStyle w:val="FootnoteReference"/>
          <w:szCs w:val="24"/>
          <w:lang w:val="en-GB"/>
        </w:rPr>
        <w:footnoteRef/>
      </w:r>
      <w:r>
        <w:rPr>
          <w:sz w:val="24"/>
        </w:rPr>
        <w:t xml:space="preserve"> </w:t>
      </w:r>
      <w:r>
        <w:rPr>
          <w:sz w:val="16"/>
        </w:rPr>
        <w:tab/>
      </w:r>
      <w:r w:rsidRPr="00DD12B9">
        <w:rPr>
          <w:sz w:val="16"/>
          <w:szCs w:val="16"/>
        </w:rPr>
        <w:t xml:space="preserve">EESRK nuomonė </w:t>
      </w:r>
      <w:hyperlink r:id="rId5" w:history="1">
        <w:r w:rsidRPr="00DD12B9">
          <w:rPr>
            <w:rStyle w:val="Hyperlink"/>
            <w:i/>
            <w:sz w:val="16"/>
            <w:szCs w:val="16"/>
          </w:rPr>
          <w:t>„Įgalinti jaunimą siekti darnaus vystymosi pasitelkiant švietimą“</w:t>
        </w:r>
      </w:hyperlink>
      <w:r w:rsidRPr="00DD12B9">
        <w:rPr>
          <w:sz w:val="16"/>
          <w:szCs w:val="16"/>
        </w:rPr>
        <w:t>(dar nepaskelbta Oficialiajame leidinyje).</w:t>
      </w:r>
    </w:p>
  </w:footnote>
  <w:footnote w:id="6">
    <w:p w14:paraId="794DCF1A" w14:textId="1E486A08" w:rsidR="00497E52" w:rsidRPr="00AF42CB" w:rsidRDefault="00497E52" w:rsidP="005B220D">
      <w:pPr>
        <w:pStyle w:val="FootnoteText"/>
        <w:rPr>
          <w:szCs w:val="16"/>
        </w:rPr>
      </w:pPr>
      <w:r>
        <w:rPr>
          <w:rStyle w:val="FootnoteReference"/>
          <w:szCs w:val="24"/>
          <w:lang w:val="en-GB"/>
        </w:rPr>
        <w:footnoteRef/>
      </w:r>
      <w:r>
        <w:rPr>
          <w:sz w:val="24"/>
        </w:rPr>
        <w:t xml:space="preserve"> </w:t>
      </w:r>
      <w:r>
        <w:tab/>
        <w:t xml:space="preserve">EESRK informacinis pranešimas </w:t>
      </w:r>
      <w:hyperlink r:id="rId6" w:history="1">
        <w:r>
          <w:rPr>
            <w:rStyle w:val="Hyperlink"/>
            <w:i/>
            <w:iCs/>
          </w:rPr>
          <w:t>„Vienodas požiūris į jaunimą darbo rinkoje“</w:t>
        </w:r>
      </w:hyperlink>
      <w:r>
        <w:t xml:space="preserve"> (rengiama). </w:t>
      </w:r>
    </w:p>
  </w:footnote>
  <w:footnote w:id="7">
    <w:p w14:paraId="390F0158" w14:textId="77777777" w:rsidR="00497E52" w:rsidRPr="00AF42CB" w:rsidRDefault="00497E52" w:rsidP="005B220D">
      <w:pPr>
        <w:pStyle w:val="FootnoteText"/>
        <w:rPr>
          <w:szCs w:val="16"/>
        </w:rPr>
      </w:pPr>
      <w:r>
        <w:rPr>
          <w:rStyle w:val="FootnoteReference"/>
          <w:szCs w:val="24"/>
          <w:lang w:val="en-GB"/>
        </w:rPr>
        <w:footnoteRef/>
      </w:r>
      <w:r>
        <w:rPr>
          <w:sz w:val="24"/>
        </w:rPr>
        <w:t xml:space="preserve"> </w:t>
      </w:r>
      <w:r>
        <w:tab/>
        <w:t xml:space="preserve">EESRK nuomonė </w:t>
      </w:r>
      <w:r>
        <w:rPr>
          <w:i/>
        </w:rPr>
        <w:t>„Kaip garantuoti deramą darbą jaunimui ir užtikrinti nesimokančio, nedirbančio ir mokymuose nedalyvaujančio jaunimo įtrauktį tinkamai rengiant nacionalinius ekonomikos gaivinimo planus?“</w:t>
      </w:r>
      <w:r>
        <w:t xml:space="preserve">, </w:t>
      </w:r>
      <w:hyperlink r:id="rId7" w:history="1">
        <w:r>
          <w:rPr>
            <w:rStyle w:val="Hyperlink"/>
          </w:rPr>
          <w:t>OL C 152, 2022 4 6, p. 27</w:t>
        </w:r>
      </w:hyperlink>
      <w:r>
        <w:t>.</w:t>
      </w:r>
    </w:p>
  </w:footnote>
  <w:footnote w:id="8">
    <w:p w14:paraId="0FB37233" w14:textId="77777777" w:rsidR="00497E52" w:rsidRPr="00AF42CB" w:rsidRDefault="00497E52" w:rsidP="005B220D">
      <w:pPr>
        <w:pStyle w:val="FootnoteText"/>
        <w:rPr>
          <w:szCs w:val="16"/>
        </w:rPr>
      </w:pPr>
      <w:r>
        <w:rPr>
          <w:rStyle w:val="FootnoteReference"/>
          <w:szCs w:val="24"/>
          <w:lang w:val="en-GB"/>
        </w:rPr>
        <w:footnoteRef/>
      </w:r>
      <w:r>
        <w:rPr>
          <w:sz w:val="24"/>
        </w:rPr>
        <w:t xml:space="preserve"> </w:t>
      </w:r>
      <w:r>
        <w:tab/>
        <w:t xml:space="preserve">EESRK nuomonė </w:t>
      </w:r>
      <w:r>
        <w:rPr>
          <w:i/>
          <w:iCs/>
        </w:rPr>
        <w:t>„Jaunimo politika Vakarų Balkanuose“</w:t>
      </w:r>
      <w:r>
        <w:t xml:space="preserve">, </w:t>
      </w:r>
      <w:hyperlink r:id="rId8" w:history="1">
        <w:r>
          <w:rPr>
            <w:rStyle w:val="Hyperlink"/>
          </w:rPr>
          <w:t>OL C 443, 2022 11 22, p. 44</w:t>
        </w:r>
      </w:hyperlink>
      <w:r>
        <w:t>.</w:t>
      </w:r>
    </w:p>
  </w:footnote>
  <w:footnote w:id="9">
    <w:p w14:paraId="7230D136" w14:textId="77777777" w:rsidR="00497E52" w:rsidRPr="00AF42CB" w:rsidRDefault="00497E52" w:rsidP="005B220D">
      <w:pPr>
        <w:pStyle w:val="FootnoteText"/>
      </w:pPr>
      <w:r>
        <w:rPr>
          <w:rStyle w:val="FootnoteReference"/>
          <w:szCs w:val="24"/>
          <w:lang w:val="en-GB"/>
        </w:rPr>
        <w:footnoteRef/>
      </w:r>
      <w:r>
        <w:rPr>
          <w:sz w:val="24"/>
        </w:rPr>
        <w:t xml:space="preserve"> </w:t>
      </w:r>
      <w:r>
        <w:tab/>
        <w:t xml:space="preserve">EESRK nuomonė </w:t>
      </w:r>
      <w:hyperlink r:id="rId9" w:history="1">
        <w:r>
          <w:rPr>
            <w:rStyle w:val="Hyperlink"/>
            <w:i/>
          </w:rPr>
          <w:t>„ES jaunimo testas“</w:t>
        </w:r>
      </w:hyperlink>
      <w:r>
        <w:t xml:space="preserve"> (dar nepaskelbta Oficialiajame leidinyje).</w:t>
      </w:r>
    </w:p>
  </w:footnote>
  <w:footnote w:id="10">
    <w:p w14:paraId="55D6F7C8" w14:textId="77777777" w:rsidR="00497E52" w:rsidRPr="00AF42CB" w:rsidRDefault="00497E52" w:rsidP="00497E52">
      <w:pPr>
        <w:pStyle w:val="FootnoteText"/>
      </w:pPr>
      <w:r>
        <w:rPr>
          <w:rStyle w:val="FootnoteReference"/>
          <w:lang w:val="en-GB"/>
        </w:rPr>
        <w:footnoteRef/>
      </w:r>
      <w:r>
        <w:t xml:space="preserve"> </w:t>
      </w:r>
      <w:r>
        <w:tab/>
        <w:t xml:space="preserve">EESRK nuomonė </w:t>
      </w:r>
      <w:r>
        <w:rPr>
          <w:i/>
        </w:rPr>
        <w:t>„2022-ieji – Europos jaunimo metai“</w:t>
      </w:r>
      <w:r>
        <w:t xml:space="preserve">, </w:t>
      </w:r>
      <w:hyperlink r:id="rId10" w:history="1">
        <w:r>
          <w:rPr>
            <w:rStyle w:val="Hyperlink"/>
          </w:rPr>
          <w:t>OL C 152, 2022 4 6, p. 122</w:t>
        </w:r>
      </w:hyperlink>
      <w:r>
        <w:t>.</w:t>
      </w:r>
    </w:p>
  </w:footnote>
  <w:footnote w:id="11">
    <w:p w14:paraId="32EC948A" w14:textId="77777777" w:rsidR="00497E52" w:rsidRPr="00AF42CB" w:rsidRDefault="00497E52" w:rsidP="00497E52">
      <w:pPr>
        <w:pStyle w:val="FootnoteText"/>
      </w:pPr>
      <w:r>
        <w:rPr>
          <w:rStyle w:val="FootnoteReference"/>
          <w:lang w:val="en-GB"/>
        </w:rPr>
        <w:footnoteRef/>
      </w:r>
      <w:r>
        <w:t xml:space="preserve"> </w:t>
      </w:r>
      <w:r>
        <w:tab/>
      </w:r>
      <w:hyperlink r:id="rId11" w:history="1">
        <w:r>
          <w:rPr>
            <w:rStyle w:val="Hyperlink"/>
          </w:rPr>
          <w:t>SAFEGUARDING20CIVIC20SPACE20FOR20YOUNG20PEOPLE20IN20EUROPE202020_v4.02028129.pdf (youthforum.org)</w:t>
        </w:r>
      </w:hyperlink>
      <w:r>
        <w:t>.</w:t>
      </w:r>
    </w:p>
  </w:footnote>
  <w:footnote w:id="12">
    <w:p w14:paraId="390B46A7" w14:textId="5B1884B4" w:rsidR="00497E52" w:rsidRPr="00AF42CB" w:rsidRDefault="00497E52" w:rsidP="00B860D2">
      <w:pPr>
        <w:spacing w:after="60" w:line="240" w:lineRule="auto"/>
        <w:ind w:left="567" w:hanging="567"/>
        <w:rPr>
          <w:sz w:val="16"/>
          <w:szCs w:val="16"/>
        </w:rPr>
      </w:pPr>
      <w:r>
        <w:rPr>
          <w:rStyle w:val="FootnoteReference"/>
          <w:lang w:val="en-GB"/>
        </w:rPr>
        <w:footnoteRef/>
      </w:r>
      <w:r>
        <w:tab/>
      </w:r>
      <w:r>
        <w:rPr>
          <w:sz w:val="16"/>
        </w:rPr>
        <w:t xml:space="preserve">Pavyzdžiui, EESRK nuomonėje </w:t>
      </w:r>
      <w:r>
        <w:rPr>
          <w:i/>
          <w:sz w:val="16"/>
        </w:rPr>
        <w:t>„Nauja Europos Sąjungos jaunimo strategija (komunikatas)“</w:t>
      </w:r>
      <w:r>
        <w:rPr>
          <w:sz w:val="16"/>
        </w:rPr>
        <w:t xml:space="preserve">, </w:t>
      </w:r>
      <w:hyperlink r:id="rId12" w:history="1">
        <w:r>
          <w:rPr>
            <w:rStyle w:val="Hyperlink"/>
            <w:sz w:val="16"/>
          </w:rPr>
          <w:t>OL C 62, 2019 2 15, p. 142</w:t>
        </w:r>
      </w:hyperlink>
      <w:r>
        <w:rPr>
          <w:sz w:val="16"/>
        </w:rPr>
        <w:t xml:space="preserve">, EESRK nuomonėje </w:t>
      </w:r>
      <w:hyperlink r:id="rId13" w:history="1">
        <w:r>
          <w:rPr>
            <w:i/>
            <w:sz w:val="16"/>
          </w:rPr>
          <w:t>„Struktūruoto jaunimo dalyvavimo ES sprendimų priėmimo procese klimato ir tvarumo klausimais skatinimas“</w:t>
        </w:r>
      </w:hyperlink>
      <w:r>
        <w:rPr>
          <w:sz w:val="16"/>
        </w:rPr>
        <w:t xml:space="preserve">, EESRK nuomonėje </w:t>
      </w:r>
      <w:r>
        <w:rPr>
          <w:i/>
          <w:sz w:val="16"/>
        </w:rPr>
        <w:t>„2022-ieji – Europos jaunimo metai“</w:t>
      </w:r>
      <w:r>
        <w:rPr>
          <w:sz w:val="16"/>
        </w:rPr>
        <w:t xml:space="preserve">, </w:t>
      </w:r>
      <w:hyperlink r:id="rId14" w:history="1">
        <w:r>
          <w:rPr>
            <w:rStyle w:val="Hyperlink"/>
            <w:sz w:val="16"/>
          </w:rPr>
          <w:t>OL C 152, 2022 4 6, p. 122</w:t>
        </w:r>
      </w:hyperlink>
      <w:r>
        <w:rPr>
          <w:sz w:val="16"/>
        </w:rPr>
        <w:t xml:space="preserve">, EESRK nuomonėje </w:t>
      </w:r>
      <w:hyperlink r:id="rId15" w:history="1">
        <w:r>
          <w:rPr>
            <w:i/>
            <w:sz w:val="16"/>
          </w:rPr>
          <w:t>„ES jaunimo testas“</w:t>
        </w:r>
      </w:hyperlink>
      <w:r>
        <w:rPr>
          <w:i/>
          <w:sz w:val="16"/>
        </w:rPr>
        <w:t xml:space="preserve"> </w:t>
      </w:r>
      <w:r>
        <w:rPr>
          <w:sz w:val="16"/>
        </w:rPr>
        <w:t>(dar nepaskelbta Oficialiajame leidinyje).</w:t>
      </w:r>
    </w:p>
  </w:footnote>
  <w:footnote w:id="13">
    <w:p w14:paraId="00A24A51" w14:textId="77777777" w:rsidR="00497E52" w:rsidRPr="00AF42CB" w:rsidRDefault="00497E52">
      <w:pPr>
        <w:pStyle w:val="FootnoteText"/>
      </w:pPr>
      <w:r>
        <w:rPr>
          <w:rStyle w:val="FootnoteReference"/>
          <w:lang w:val="en-GB"/>
        </w:rPr>
        <w:footnoteRef/>
      </w:r>
      <w:r>
        <w:t xml:space="preserve"> </w:t>
      </w:r>
      <w:r>
        <w:tab/>
      </w:r>
      <w:hyperlink r:id="rId16" w:anchor=":~:text=The%20Council%20of%20Europe's%20ground,sharing%20and%20evaluation%20of%20experience" w:history="1">
        <w:r>
          <w:rPr>
            <w:rStyle w:val="Hyperlink"/>
          </w:rPr>
          <w:t>Europos Tarybos bendro valdymo sistema</w:t>
        </w:r>
      </w:hyperlink>
      <w:r>
        <w:t>.</w:t>
      </w:r>
    </w:p>
  </w:footnote>
  <w:footnote w:id="14">
    <w:p w14:paraId="6D09AA23" w14:textId="17B76B1F" w:rsidR="00497E52" w:rsidRPr="00AF42CB" w:rsidRDefault="00497E52" w:rsidP="00497E52">
      <w:pPr>
        <w:pStyle w:val="FootnoteText"/>
      </w:pPr>
      <w:r>
        <w:rPr>
          <w:rStyle w:val="FootnoteReference"/>
          <w:lang w:val="en-GB"/>
        </w:rPr>
        <w:footnoteRef/>
      </w:r>
      <w:r>
        <w:t xml:space="preserve"> </w:t>
      </w:r>
      <w:r>
        <w:tab/>
        <w:t xml:space="preserve">Žr. EESRK nuomonę </w:t>
      </w:r>
      <w:hyperlink r:id="rId17" w:history="1">
        <w:r>
          <w:rPr>
            <w:rStyle w:val="Hyperlink"/>
            <w:i/>
          </w:rPr>
          <w:t xml:space="preserve">„Įgūdžių, kurių Europai reikia siekiant sukurti sąžiningesnę, darnesnę, tvaresnę, labiau skaitmeninę ir atsparesnę visuomenę, skatinimas – remiantis švietimu ir mokymu bei žvelgiant iš visą gyvenimą trunkančio mokymosi perspektyvos“ </w:t>
        </w:r>
      </w:hyperlink>
      <w:r>
        <w:t xml:space="preserve">, 1.2 ir 2.3 punktai, </w:t>
      </w:r>
      <w:hyperlink r:id="rId18" w:history="1">
        <w:r>
          <w:rPr>
            <w:rStyle w:val="Hyperlink"/>
          </w:rPr>
          <w:t>OL C 286, 2021 7 16, p. 27</w:t>
        </w:r>
      </w:hyperlink>
      <w:r>
        <w:t>.</w:t>
      </w:r>
    </w:p>
  </w:footnote>
  <w:footnote w:id="15">
    <w:p w14:paraId="26D10112" w14:textId="77777777" w:rsidR="00497E52" w:rsidRPr="00AF42CB" w:rsidRDefault="00497E52" w:rsidP="00497E52">
      <w:pPr>
        <w:pStyle w:val="FootnoteText"/>
      </w:pPr>
      <w:r>
        <w:rPr>
          <w:rStyle w:val="FootnoteReference"/>
          <w:lang w:val="en-GB"/>
        </w:rPr>
        <w:footnoteRef/>
      </w:r>
      <w:r>
        <w:t xml:space="preserve"> </w:t>
      </w:r>
      <w:r>
        <w:tab/>
      </w:r>
      <w:hyperlink r:id="rId19">
        <w:r>
          <w:rPr>
            <w:color w:val="0563C1"/>
            <w:u w:val="single"/>
          </w:rPr>
          <w:t>Komisija pradeda darbą, susijusį su Europos įgūdžių metais (europa.eu)</w:t>
        </w:r>
      </w:hyperlink>
      <w:r>
        <w:rPr>
          <w:color w:val="0563C1"/>
          <w:u w:val="single"/>
        </w:rPr>
        <w:t>.</w:t>
      </w:r>
    </w:p>
  </w:footnote>
  <w:footnote w:id="16">
    <w:p w14:paraId="3B22D466" w14:textId="56A7D863" w:rsidR="00497E52" w:rsidRPr="00AF42CB" w:rsidRDefault="00497E52" w:rsidP="00497E52">
      <w:pPr>
        <w:pStyle w:val="FootnoteText"/>
      </w:pPr>
      <w:r>
        <w:t xml:space="preserve">EESRK informacinis pranešimas </w:t>
      </w:r>
      <w:hyperlink r:id="rId20">
        <w:r>
          <w:rPr>
            <w:i/>
            <w:iCs/>
            <w:color w:val="0563C1"/>
            <w:u w:val="single"/>
          </w:rPr>
          <w:t>„Vienodas požiūris į jaunimą darbo rinkoje“</w:t>
        </w:r>
      </w:hyperlink>
      <w:r>
        <w:t xml:space="preserve"> (rengiama).</w:t>
      </w:r>
    </w:p>
  </w:footnote>
  <w:footnote w:id="17">
    <w:p w14:paraId="423B241F" w14:textId="0025367E" w:rsidR="00497E52" w:rsidRPr="00734C1E" w:rsidRDefault="00497E52" w:rsidP="00497E52">
      <w:pPr>
        <w:pStyle w:val="FootnoteText"/>
        <w:rPr>
          <w:iCs/>
        </w:rPr>
      </w:pPr>
      <w:r>
        <w:rPr>
          <w:rStyle w:val="FootnoteReference"/>
          <w:lang w:val="en-GB"/>
        </w:rPr>
        <w:footnoteRef/>
      </w:r>
      <w:r>
        <w:t xml:space="preserve"> </w:t>
      </w:r>
      <w:r>
        <w:tab/>
        <w:t xml:space="preserve">EESRK nuomonė </w:t>
      </w:r>
      <w:hyperlink r:id="rId21" w:history="1">
        <w:r>
          <w:rPr>
            <w:rStyle w:val="Hyperlink"/>
            <w:i/>
          </w:rPr>
          <w:t>„Įgalinti jaunimą siekti darnaus vystymosi pasitelkiant švietimą“</w:t>
        </w:r>
      </w:hyperlink>
      <w:r>
        <w:t xml:space="preserve"> (dar nepaskelbta Oficialiajame leidinyje).</w:t>
      </w:r>
    </w:p>
  </w:footnote>
  <w:footnote w:id="18">
    <w:p w14:paraId="71E595A5" w14:textId="77777777" w:rsidR="00497E52" w:rsidRPr="00AF42CB" w:rsidRDefault="00497E52" w:rsidP="00497E52">
      <w:pPr>
        <w:pStyle w:val="FootnoteText"/>
      </w:pPr>
      <w:r>
        <w:rPr>
          <w:rStyle w:val="FootnoteReference"/>
          <w:lang w:val="en-GB"/>
        </w:rPr>
        <w:footnoteRef/>
      </w:r>
      <w:r>
        <w:t xml:space="preserve"> </w:t>
      </w:r>
      <w:r>
        <w:tab/>
      </w:r>
      <w:hyperlink r:id="rId22" w:history="1">
        <w:r>
          <w:rPr>
            <w:rStyle w:val="Hyperlink"/>
          </w:rPr>
          <w:t>Europos ekonomikos ir socialinių reikalų komiteto indėlis į Europos Komisijos 2023 m. darbo programą</w:t>
        </w:r>
      </w:hyperlink>
      <w:r>
        <w:t xml:space="preserve"> (4.14 punktas).</w:t>
      </w:r>
    </w:p>
  </w:footnote>
  <w:footnote w:id="19">
    <w:p w14:paraId="0FAAD9B9" w14:textId="07FEF631" w:rsidR="00497E52" w:rsidRPr="00AF42CB" w:rsidRDefault="00497E52" w:rsidP="00497E52">
      <w:pPr>
        <w:pStyle w:val="FootnoteText"/>
      </w:pPr>
      <w:r>
        <w:rPr>
          <w:rStyle w:val="FootnoteReference"/>
          <w:lang w:val="en-GB"/>
        </w:rPr>
        <w:footnoteRef/>
      </w:r>
      <w:r>
        <w:t xml:space="preserve"> </w:t>
      </w:r>
      <w:r>
        <w:tab/>
        <w:t xml:space="preserve">EESRK informacinis pranešimas </w:t>
      </w:r>
      <w:hyperlink r:id="rId23">
        <w:r>
          <w:rPr>
            <w:i/>
            <w:iCs/>
            <w:color w:val="0563C1"/>
            <w:u w:val="single"/>
          </w:rPr>
          <w:t>„Vienodas požiūris į jaunimą darbo rinkoje“</w:t>
        </w:r>
      </w:hyperlink>
      <w:r>
        <w:t xml:space="preserve"> (rengiama).</w:t>
      </w:r>
    </w:p>
  </w:footnote>
  <w:footnote w:id="20">
    <w:p w14:paraId="286F4E92" w14:textId="77777777" w:rsidR="00497E52" w:rsidRPr="000311ED" w:rsidRDefault="00497E52" w:rsidP="00497E52">
      <w:pPr>
        <w:pStyle w:val="FootnoteText"/>
      </w:pPr>
      <w:r>
        <w:rPr>
          <w:rStyle w:val="FootnoteReference"/>
        </w:rPr>
        <w:footnoteRef/>
      </w:r>
      <w:r>
        <w:tab/>
        <w:t xml:space="preserve">EESRK nuomonė „Kaip garantuoti deramą darbą jaunimui ir užtikrinti nesimokančio, nedirbančio ir mokymuose nedalyvaujančio jaunimo įtrauktį tinkamai rengiant nacionalinius ekonomikos gaivinimo planus?“ (nuomonė savo iniciatyva), </w:t>
      </w:r>
      <w:hyperlink r:id="rId24" w:history="1">
        <w:r>
          <w:rPr>
            <w:rStyle w:val="Hyperlink"/>
          </w:rPr>
          <w:t>OL C 152, 2022 4 6, p. 27</w:t>
        </w:r>
      </w:hyperlink>
      <w:r>
        <w:t>, 1.9.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77777777" w:rsidR="00574C9B" w:rsidRDefault="00663941">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F9EA" w14:textId="77777777" w:rsidR="00DD12B9" w:rsidRDefault="00DD12B9" w:rsidP="00DD12B9">
    <w:pPr>
      <w:pStyle w:val="Header"/>
    </w:pPr>
    <w:r>
      <w:rPr>
        <w:noProof/>
        <w:lang w:val="en-US"/>
      </w:rPr>
      <w:drawing>
        <wp:anchor distT="0" distB="0" distL="114300" distR="114300" simplePos="0" relativeHeight="251655680" behindDoc="0" locked="0" layoutInCell="1" allowOverlap="1" wp14:anchorId="628CACD9" wp14:editId="1471891D">
          <wp:simplePos x="0" y="0"/>
          <wp:positionH relativeFrom="page">
            <wp:align>center</wp:align>
          </wp:positionH>
          <wp:positionV relativeFrom="page">
            <wp:posOffset>288290</wp:posOffset>
          </wp:positionV>
          <wp:extent cx="6944400" cy="3348000"/>
          <wp:effectExtent l="0" t="0" r="8890" b="5080"/>
          <wp:wrapNone/>
          <wp:docPr id="2" name="Picture 2" title="EESCLogo2021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 and curves_LT.png"/>
                  <pic:cNvPicPr/>
                </pic:nvPicPr>
                <pic:blipFill>
                  <a:blip r:embed="rId1">
                    <a:extLst>
                      <a:ext uri="{28A0092B-C50C-407E-A947-70E740481C1C}">
                        <a14:useLocalDpi xmlns:a14="http://schemas.microsoft.com/office/drawing/2010/main" val="0"/>
                      </a:ext>
                    </a:extLst>
                  </a:blip>
                  <a:stretch>
                    <a:fillRect/>
                  </a:stretch>
                </pic:blipFill>
                <pic:spPr>
                  <a:xfrm>
                    <a:off x="0" y="0"/>
                    <a:ext cx="6944400" cy="3348000"/>
                  </a:xfrm>
                  <a:prstGeom prst="rect">
                    <a:avLst/>
                  </a:prstGeom>
                </pic:spPr>
              </pic:pic>
            </a:graphicData>
          </a:graphic>
          <wp14:sizeRelH relativeFrom="margin">
            <wp14:pctWidth>0</wp14:pctWidth>
          </wp14:sizeRelH>
          <wp14:sizeRelV relativeFrom="margin">
            <wp14:pctHeight>0</wp14:pctHeight>
          </wp14:sizeRelV>
        </wp:anchor>
      </w:drawing>
    </w:r>
    <w:r w:rsidR="00663941">
      <w:pict w14:anchorId="5E0F0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9" type="#_x0000_t75" style="position:absolute;left:0;text-align:left;margin-left:0;margin-top:0;width:598.15pt;height:843.9pt;z-index:-251655680;mso-position-horizontal:center;mso-position-horizontal-relative:page;mso-position-vertical:center;mso-position-vertical-relative:page" o:allowincell="f">
          <v:imagedata r:id="rId2" o:title="background watermark with footer"/>
          <w10:wrap anchorx="page" anchory="page"/>
        </v:shape>
      </w:pict>
    </w:r>
  </w:p>
  <w:p w14:paraId="2A78421A" w14:textId="77777777" w:rsidR="00DD12B9" w:rsidRPr="009A4BFA" w:rsidRDefault="00DD12B9" w:rsidP="00DD12B9">
    <w:pPr>
      <w:pStyle w:val="Header"/>
    </w:pPr>
  </w:p>
  <w:p w14:paraId="20C95081" w14:textId="6A0507F4" w:rsidR="00574C9B" w:rsidRPr="00DD12B9" w:rsidRDefault="00574C9B" w:rsidP="00DD1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77777777" w:rsidR="00574C9B" w:rsidRDefault="00663941">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7777777" w:rsidR="00574C9B" w:rsidRDefault="00663941">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77777777" w:rsidR="00574C9B" w:rsidRDefault="00574C9B">
    <w:pPr>
      <w:pStyle w:val="Header"/>
    </w:pPr>
    <w:r>
      <w:rPr>
        <w:noProof/>
      </w:rPr>
      <w:drawing>
        <wp:anchor distT="0" distB="0" distL="114300" distR="114300" simplePos="0" relativeHeight="251654656" behindDoc="1" locked="0" layoutInCell="1" allowOverlap="1" wp14:anchorId="5FA9E479" wp14:editId="62A5C6F8">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77777777" w:rsidR="00574C9B" w:rsidRDefault="00663941">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7728;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77777777" w:rsidR="00FA08F8" w:rsidRDefault="00663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F232085"/>
    <w:multiLevelType w:val="multilevel"/>
    <w:tmpl w:val="A254F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252DA3"/>
    <w:multiLevelType w:val="multilevel"/>
    <w:tmpl w:val="117C30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59B7"/>
    <w:rsid w:val="00020389"/>
    <w:rsid w:val="00053D00"/>
    <w:rsid w:val="000A0F3B"/>
    <w:rsid w:val="0010756B"/>
    <w:rsid w:val="00191ED7"/>
    <w:rsid w:val="0019231D"/>
    <w:rsid w:val="001D61AC"/>
    <w:rsid w:val="001E15AA"/>
    <w:rsid w:val="001E3FA1"/>
    <w:rsid w:val="00200E87"/>
    <w:rsid w:val="00214BDC"/>
    <w:rsid w:val="00215E81"/>
    <w:rsid w:val="00236F10"/>
    <w:rsid w:val="0024727F"/>
    <w:rsid w:val="002601C2"/>
    <w:rsid w:val="002B6A7B"/>
    <w:rsid w:val="002F6653"/>
    <w:rsid w:val="003353D7"/>
    <w:rsid w:val="003437A6"/>
    <w:rsid w:val="003659F9"/>
    <w:rsid w:val="00466047"/>
    <w:rsid w:val="00497E52"/>
    <w:rsid w:val="004A3FD5"/>
    <w:rsid w:val="0050386A"/>
    <w:rsid w:val="00574C9B"/>
    <w:rsid w:val="0058411F"/>
    <w:rsid w:val="005B220D"/>
    <w:rsid w:val="006125A1"/>
    <w:rsid w:val="00653E7D"/>
    <w:rsid w:val="00662207"/>
    <w:rsid w:val="00663941"/>
    <w:rsid w:val="00667F09"/>
    <w:rsid w:val="0069470E"/>
    <w:rsid w:val="006B57A6"/>
    <w:rsid w:val="006D53A6"/>
    <w:rsid w:val="00734C1E"/>
    <w:rsid w:val="00787837"/>
    <w:rsid w:val="00787ABB"/>
    <w:rsid w:val="007A5974"/>
    <w:rsid w:val="007B6C64"/>
    <w:rsid w:val="0081383B"/>
    <w:rsid w:val="0081574C"/>
    <w:rsid w:val="00822952"/>
    <w:rsid w:val="00826857"/>
    <w:rsid w:val="00836505"/>
    <w:rsid w:val="00844B87"/>
    <w:rsid w:val="0089251B"/>
    <w:rsid w:val="008A6DD4"/>
    <w:rsid w:val="008B307F"/>
    <w:rsid w:val="008F74D7"/>
    <w:rsid w:val="009043BC"/>
    <w:rsid w:val="00904C42"/>
    <w:rsid w:val="00924C05"/>
    <w:rsid w:val="00937CF2"/>
    <w:rsid w:val="00976645"/>
    <w:rsid w:val="00976F77"/>
    <w:rsid w:val="0098228C"/>
    <w:rsid w:val="009E2100"/>
    <w:rsid w:val="00A36AB0"/>
    <w:rsid w:val="00AA7FE7"/>
    <w:rsid w:val="00AB37A3"/>
    <w:rsid w:val="00AC5114"/>
    <w:rsid w:val="00B25683"/>
    <w:rsid w:val="00B51901"/>
    <w:rsid w:val="00B860D2"/>
    <w:rsid w:val="00BD50F6"/>
    <w:rsid w:val="00C073E1"/>
    <w:rsid w:val="00C25647"/>
    <w:rsid w:val="00C479D2"/>
    <w:rsid w:val="00C66AEA"/>
    <w:rsid w:val="00C764E1"/>
    <w:rsid w:val="00C9040A"/>
    <w:rsid w:val="00C91E4D"/>
    <w:rsid w:val="00CB110A"/>
    <w:rsid w:val="00CB7CD0"/>
    <w:rsid w:val="00D02353"/>
    <w:rsid w:val="00D039AF"/>
    <w:rsid w:val="00D65C78"/>
    <w:rsid w:val="00D87838"/>
    <w:rsid w:val="00D95232"/>
    <w:rsid w:val="00DB3858"/>
    <w:rsid w:val="00DB7F50"/>
    <w:rsid w:val="00DD12B9"/>
    <w:rsid w:val="00DE30C7"/>
    <w:rsid w:val="00DF176B"/>
    <w:rsid w:val="00DF400F"/>
    <w:rsid w:val="00E06F80"/>
    <w:rsid w:val="00E15BF4"/>
    <w:rsid w:val="00E2376B"/>
    <w:rsid w:val="00E26935"/>
    <w:rsid w:val="00E27707"/>
    <w:rsid w:val="00E36037"/>
    <w:rsid w:val="00E47F8A"/>
    <w:rsid w:val="00E52B04"/>
    <w:rsid w:val="00E61339"/>
    <w:rsid w:val="00E619D9"/>
    <w:rsid w:val="00E661B7"/>
    <w:rsid w:val="00EC4646"/>
    <w:rsid w:val="00EE759E"/>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customStyle="1" w:styleId="UnresolvedMention1">
    <w:name w:val="Unresolved Mention1"/>
    <w:basedOn w:val="DefaultParagraphFont"/>
    <w:uiPriority w:val="99"/>
    <w:semiHidden/>
    <w:unhideWhenUsed/>
    <w:rsid w:val="00734C1E"/>
    <w:rPr>
      <w:color w:val="605E5C"/>
      <w:shd w:val="clear" w:color="auto" w:fill="E1DFDD"/>
    </w:rPr>
  </w:style>
  <w:style w:type="character" w:styleId="FollowedHyperlink">
    <w:name w:val="FollowedHyperlink"/>
    <w:basedOn w:val="DefaultParagraphFont"/>
    <w:uiPriority w:val="99"/>
    <w:semiHidden/>
    <w:unhideWhenUsed/>
    <w:rsid w:val="00734C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52022IE0778&amp;qid=1669714537764" TargetMode="External"/><Relationship Id="rId13" Type="http://schemas.openxmlformats.org/officeDocument/2006/relationships/hyperlink" Target="https://www.eesc.europa.eu/lt/our-work/opinions-information-reports/opinions/towards-structured-youth-engagement-climate-and-sustainability-eu-decision-making-process-own-initiative-opinion" TargetMode="External"/><Relationship Id="rId18" Type="http://schemas.openxmlformats.org/officeDocument/2006/relationships/hyperlink" Target="https://eur-lex.europa.eu/legal-content/LT/TXT/?uri=uriserv:OJ.C_.2021.286.01.0027.01.LIT&amp;toc=OJ:C:2021:286:TOC" TargetMode="External"/><Relationship Id="rId3" Type="http://schemas.openxmlformats.org/officeDocument/2006/relationships/hyperlink" Target="https://eur-lex.europa.eu/legal-content/LT/TXT/?uri=uriserv:OJ.C_.2019.062.01.0142.01.LIT&amp;toc=OJ:C:2019:062:TOC" TargetMode="External"/><Relationship Id="rId21" Type="http://schemas.openxmlformats.org/officeDocument/2006/relationships/hyperlink" Target="https://www.eesc.europa.eu/lt/our-work/opinions-information-reports/opinions/empowering-youth-achieve-sustainable-development-through-education" TargetMode="External"/><Relationship Id="rId7" Type="http://schemas.openxmlformats.org/officeDocument/2006/relationships/hyperlink" Target="https://eur-lex.europa.eu/legal-content/LT/TXT/?uri=CELEX:52021IE2984" TargetMode="External"/><Relationship Id="rId12" Type="http://schemas.openxmlformats.org/officeDocument/2006/relationships/hyperlink" Target="https://eur-lex.europa.eu/legal-content/LT/TXT/?uri=uriserv:OJ.C_.2019.062.01.0142.01.LIT&amp;toc=OJ:C:2019:062:TOC" TargetMode="External"/><Relationship Id="rId17" Type="http://schemas.openxmlformats.org/officeDocument/2006/relationships/hyperlink" Target="https://www.eesc.europa.eu/lt/our-work/opinions-information-reports/opinions/how-promote-based-education-and-training-lifelong-learning-perspective-skills-needed-europe-establish-more-just-more" TargetMode="External"/><Relationship Id="rId2" Type="http://schemas.openxmlformats.org/officeDocument/2006/relationships/hyperlink" Target="https://ec.europa.eu/commission/presscorner/detail/lt/IP_21_5226" TargetMode="External"/><Relationship Id="rId16" Type="http://schemas.openxmlformats.org/officeDocument/2006/relationships/hyperlink" Target="https://www.coe.int/en/web/youth/co-management" TargetMode="External"/><Relationship Id="rId20" Type="http://schemas.openxmlformats.org/officeDocument/2006/relationships/hyperlink" Target="https://www.eesc.europa.eu/lt/our-work/opinions-information-reports/information-reports/equal-treatment-young-people-labour-market" TargetMode="External"/><Relationship Id="rId1" Type="http://schemas.openxmlformats.org/officeDocument/2006/relationships/hyperlink" Target="https://ec.europa.eu/commission/presscorner/detail/lt/speech_21_4701" TargetMode="External"/><Relationship Id="rId6" Type="http://schemas.openxmlformats.org/officeDocument/2006/relationships/hyperlink" Target="https://www.eesc.europa.eu/lt/our-work/opinions-information-reports/information-reports/equal-treatment-young-people-labour-market" TargetMode="External"/><Relationship Id="rId11" Type="http://schemas.openxmlformats.org/officeDocument/2006/relationships/hyperlink" Target="https://www.youthforum.org/files/SAFEGUARDING20CIVIC20SPACE20FOR20YOUNG20PEOPLE20IN20EUROPE202020_v4.02028129.pdf" TargetMode="External"/><Relationship Id="rId24" Type="http://schemas.openxmlformats.org/officeDocument/2006/relationships/hyperlink" Target="https://eur-lex.europa.eu/legal-content/LT/TXT/?uri=CELEX:52021IE2984" TargetMode="External"/><Relationship Id="rId5" Type="http://schemas.openxmlformats.org/officeDocument/2006/relationships/hyperlink" Target="https://www.eesc.europa.eu/lt/our-work/opinions-information-reports/opinions/empowering-youth-achieve-sustainable-development-through-education" TargetMode="External"/><Relationship Id="rId15" Type="http://schemas.openxmlformats.org/officeDocument/2006/relationships/hyperlink" Target="https://www.eesc.europa.eu/lt/our-work/opinions-information-reports/opinions/eu-youth-test" TargetMode="External"/><Relationship Id="rId23" Type="http://schemas.openxmlformats.org/officeDocument/2006/relationships/hyperlink" Target="https://www.eesc.europa.eu/lt/our-work/opinions-information-reports/information-reports/equal-treatment-young-people-labour-market" TargetMode="External"/><Relationship Id="rId10" Type="http://schemas.openxmlformats.org/officeDocument/2006/relationships/hyperlink" Target="https://eur-lex.europa.eu/legal-content/LT/TXT/?uri=uriserv:OJ.C_.2022.152.01.0122.01.LIT&amp;toc=OJ:C:2022:152:TOC" TargetMode="External"/><Relationship Id="rId19" Type="http://schemas.openxmlformats.org/officeDocument/2006/relationships/hyperlink" Target="https://ec.europa.eu/commission/presscorner/detail/lt/ip_22_6086" TargetMode="External"/><Relationship Id="rId4" Type="http://schemas.openxmlformats.org/officeDocument/2006/relationships/hyperlink" Target="https://eur-lex.europa.eu/legal-content/LT/TXT/?uri=CELEX:52020IE1552&amp;qid=1669714098894" TargetMode="External"/><Relationship Id="rId9" Type="http://schemas.openxmlformats.org/officeDocument/2006/relationships/hyperlink" Target="https://www.eesc.europa.eu/lt/our-work/opinions-information-reports/opinions/eu-youth-test" TargetMode="External"/><Relationship Id="rId14" Type="http://schemas.openxmlformats.org/officeDocument/2006/relationships/hyperlink" Target="https://eur-lex.europa.eu/legal-content/LT/TXT/?uri=uriserv:OJ.C_.2022.152.01.0122.01.LIT&amp;toc=OJ:C:2022:152:TOC" TargetMode="External"/><Relationship Id="rId22" Type="http://schemas.openxmlformats.org/officeDocument/2006/relationships/hyperlink" Target="https://www.eesc.europa.eu/sites/default/files/files/qe-09-22-291-en-n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4" ma:contentTypeDescription="Defines the documents for Document Manager V2" ma:contentTypeScope="" ma:versionID="e7b576e62d8472452529cdd9dabab6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b294384907821532d986b3fb395bd2ba"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P6FJPSUHKDC2-371278765-5124</_dlc_DocId>
    <_dlc_DocIdUrl xmlns="1299d781-265f-4ceb-999e-e1eca3df2c90">
      <Url>http://dm2016/eesc/2022/_layouts/15/DocIdRedir.aspx?ID=P6FJPSUHKDC2-371278765-5124</Url>
      <Description>P6FJPSUHKDC2-371278765-5124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2022-12-20T12:00:00+00:00</ProductionDate>
    <DocumentNumber xmlns="281c40f8-cf82-492d-ab76-d64788f6d6e7">5772</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175</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14812</FicheNumber>
    <OriginalSender xmlns="1299d781-265f-4ceb-999e-e1eca3df2c90">
      <UserInfo>
        <DisplayName>Acaite Ugne</DisplayName>
        <AccountId>1689</AccountId>
        <AccountType/>
      </UserInfo>
    </OriginalSender>
    <DocumentPart xmlns="1299d781-265f-4ceb-999e-e1eca3df2c90">0</DocumentPart>
    <AdoptionDate xmlns="1299d781-265f-4ceb-999e-e1eca3df2c90">2022-12-15T12:00:00+00:00</AdoptionDate>
    <RequestingService xmlns="1299d781-265f-4ceb-999e-e1eca3df2c90">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DE9ACF59-C78A-4043-85BB-B96F12719ED5}">
  <ds:schemaRefs>
    <ds:schemaRef ds:uri="http://schemas.microsoft.com/sharepoint/v3/contenttype/forms"/>
  </ds:schemaRefs>
</ds:datastoreItem>
</file>

<file path=customXml/itemProps2.xml><?xml version="1.0" encoding="utf-8"?>
<ds:datastoreItem xmlns:ds="http://schemas.openxmlformats.org/officeDocument/2006/customXml" ds:itemID="{44F6F06B-B533-44E9-8169-B6A676FCD6DC}">
  <ds:schemaRefs>
    <ds:schemaRef ds:uri="http://schemas.microsoft.com/sharepoint/events"/>
  </ds:schemaRefs>
</ds:datastoreItem>
</file>

<file path=customXml/itemProps3.xml><?xml version="1.0" encoding="utf-8"?>
<ds:datastoreItem xmlns:ds="http://schemas.openxmlformats.org/officeDocument/2006/customXml" ds:itemID="{3ED4B64E-74C5-44BA-8F8E-A627D8F3C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281c40f8-cf82-492d-ab76-d64788f6d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E16E8-FFD3-4C67-BF61-734B4CBE9D92}">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281c40f8-cf82-492d-ab76-d64788f6d6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3640</Words>
  <Characters>20025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Rezoliucija dėl Ilgalaikio Europos jaunimo metų poveikio: jaunimo aspekto integravimas ir įgalėjimas</dc:title>
  <dc:subject>RES</dc:subject>
  <dc:creator>Francois Aude</dc:creator>
  <cp:keywords>EESC-2022-05772-00-00-RES-TRA-EN</cp:keywords>
  <dc:description>Rapporteur:  - Original language: EN - Date of document: 20/12/2022 - Date of meeting:  - External documents:  - Administrator:  BORG Sabrina</dc:description>
  <cp:lastModifiedBy>Melninkaitiene Lina</cp:lastModifiedBy>
  <cp:revision>2</cp:revision>
  <dcterms:created xsi:type="dcterms:W3CDTF">2023-01-10T14:50:00Z</dcterms:created>
  <dcterms:modified xsi:type="dcterms:W3CDTF">2023-01-10T14:50:00Z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16/12/2022, 17/05/2022</vt:lpwstr>
  </property>
  <property fmtid="{D5CDD505-2E9C-101B-9397-08002B2CF9AE}" pid="4" name="Pref_Time">
    <vt:lpwstr>10:52:31, 14:58:36</vt:lpwstr>
  </property>
  <property fmtid="{D5CDD505-2E9C-101B-9397-08002B2CF9AE}" pid="5" name="Pref_User">
    <vt:lpwstr>enied, enied</vt:lpwstr>
  </property>
  <property fmtid="{D5CDD505-2E9C-101B-9397-08002B2CF9AE}" pid="6" name="Pref_FileName">
    <vt:lpwstr>EESC-2022-05772-00-00-RES-TRA-EN-CRR.docx, COR-EESC-2022-02592-00-00-ADMIN-ORI.docx</vt:lpwstr>
  </property>
  <property fmtid="{D5CDD505-2E9C-101B-9397-08002B2CF9AE}" pid="7" name="ContentTypeId">
    <vt:lpwstr>0x010100EA97B91038054C99906057A708A1480A00DD3FA595162D7E46B831C309E09FD749</vt:lpwstr>
  </property>
  <property fmtid="{D5CDD505-2E9C-101B-9397-08002B2CF9AE}" pid="8" name="_dlc_DocIdItemGuid">
    <vt:lpwstr>f55d7b94-5131-44f6-987c-1dea42eaaeb4</vt:lpwstr>
  </property>
  <property fmtid="{D5CDD505-2E9C-101B-9397-08002B2CF9AE}" pid="9" name="AvailableTranslations">
    <vt:lpwstr>38;#FI|87606a43-d45f-42d6-b8c9-e1a3457db5b7;#55;#HR|2f555653-ed1a-4fe6-8362-9082d95989e5;#44;#LT|a7ff5ce7-6123-4f68-865a-a57c31810414;#45;#RO|feb747a2-64cd-4299-af12-4833ddc30497;#34;#SK|46d9fce0-ef79-4f71-b89b-cd6aa82426b8;#43;#NL|55c6556c-b4f4-441d-9acf-c498d4f838bd;#35;#MT|7df99101-6854-4a26-b53a-b88c0da02c26;#30;#PL|1e03da61-4678-4e07-b136-b5024ca9197b;#41;#CS|72f9705b-0217-4fd3-bea2-cbc7ed80e26e;#29;#SV|c2ed69e7-a339-43d7-8f22-d93680a92aa0;#36;#HU|6b229040-c589-4408-b4c1-4285663d20a8;#4;#EN|f2175f21-25d7-44a3-96da-d6a61b075e1b;#32;#DA|5d49c027-8956-412b-aa16-e85a0f96ad0e;#22;#DE|f6b31e5a-26fa-4935-b661-318e46daf27e;#33;#IT|0774613c-01ed-4e5d-a25d-11d2388de825;#37;#PT|50ccc04a-eadd-42ae-a0cb-acaf45f812ba;#54;#ET|ff6c3f4c-b02c-4c3c-ab07-2c37995a7a0a;#40;#BG|1a1b3951-7821-4e6a-85f5-5673fc08bd2c;#11;#FR|d2afafd3-4c81-4f60-8f52-ee33f2f54ff3;#26;#LV|46f7e311-5d9f-4663-b433-18aeccb7ace7;#31;#ES|e7a6b05b-ae16-40c8-add9-68b64b03aeba;#42;#SL|98a412ae-eb01-49e9-ae3d-585a81724cfc;#46;#EL|6d4f4d51-af9b-4650-94b4-4276bee85c91</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5772</vt:i4>
  </property>
  <property fmtid="{D5CDD505-2E9C-101B-9397-08002B2CF9AE}" pid="14" name="DocumentYear">
    <vt:i4>2022</vt:i4>
  </property>
  <property fmtid="{D5CDD505-2E9C-101B-9397-08002B2CF9AE}" pid="15" name="DocumentVersion">
    <vt:i4>0</vt:i4>
  </property>
  <property fmtid="{D5CDD505-2E9C-101B-9397-08002B2CF9AE}" pid="16" name="FicheNumber">
    <vt:i4>14812</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2022-12-15T12:00:00Z</vt:filetime>
  </property>
  <property fmtid="{D5CDD505-2E9C-101B-9397-08002B2CF9AE}" pid="22" name="DocumentType">
    <vt:lpwstr>175;#RES|9e3e62eb-6858-4bc7-8a50-3453e395fd01</vt:lpwstr>
  </property>
  <property fmtid="{D5CDD505-2E9C-101B-9397-08002B2CF9AE}" pid="23" name="RequestingService">
    <vt:lpwstr>Emploi, affaires sociales, citoyenneté</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FI|87606a43-d45f-42d6-b8c9-e1a3457db5b7;HR|2f555653-ed1a-4fe6-8362-9082d95989e5;RO|feb747a2-64cd-4299-af12-4833ddc30497;NL|55c6556c-b4f4-441d-9acf-c498d4f838bd;MT|7df99101-6854-4a26-b53a-b88c0da02c26;PL|1e03da61-4678-4e07-b136-b5024ca9197b;CS|72f9705b-0217-4fd3-bea2-cbc7ed80e26e;HU|6b229040-c589-4408-b4c1-4285663d20a8;EN|f2175f21-25d7-44a3-96da-d6a61b075e1b;DA|5d49c027-8956-412b-aa16-e85a0f96ad0e;DE|f6b31e5a-26fa-4935-b661-318e46daf27e;IT|0774613c-01ed-4e5d-a25d-11d2388de825;PT|50ccc04a-eadd-42ae-a0cb-acaf45f812ba;ET|ff6c3f4c-b02c-4c3c-ab07-2c37995a7a0a;BG|1a1b3951-7821-4e6a-85f5-5673fc08bd2c;FR|d2afafd3-4c81-4f60-8f52-ee33f2f54ff3;LV|46f7e311-5d9f-4663-b433-18aeccb7ace7;ES|e7a6b05b-ae16-40c8-add9-68b64b03aeba;SL|98a412ae-eb01-49e9-ae3d-585a81724cfc;EL|6d4f4d51-af9b-4650-94b4-4276bee85c91</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HU|6b229040-c589-4408-b4c1-4285663d20a8;#35;#MT|7df99101-6854-4a26-b53a-b88c0da02c26;#33;#IT|0774613c-01ed-4e5d-a25d-11d2388de825;#32;#DA|5d49c027-8956-412b-aa16-e85a0f96ad0e;#31;#ES|e7a6b05b-ae16-40c8-add9-68b64b03aeba;#30;#PL|1e03da61-4678-4e07-b136-b5024ca9197b;#175;#RES|9e3e62eb-6858-4bc7-8a50-3453e395fd01;#26;#LV|46f7e311-5d9f-4663-b433-18aeccb7ace7;#38;#FI|87606a43-d45f-42d6-b8c9-e1a3457db5b7;#37;#PT|50ccc04a-eadd-42ae-a0cb-acaf45f812ba;#22;#DE|f6b31e5a-26fa-4935-b661-318e46daf27e;#55;#HR|2f555653-ed1a-4fe6-8362-9082d95989e5;#54;#ET|ff6c3f4c-b02c-4c3c-ab07-2c37995a7a0a;#46;#EL|6d4f4d51-af9b-4650-94b4-4276bee85c91;#11;#FR|d2afafd3-4c81-4f60-8f52-ee33f2f54ff3;#41;#CS|72f9705b-0217-4fd3-bea2-cbc7ed80e26e;#9;#Unrestricted|826e22d7-d029-4ec0-a450-0c28ff673572;#45;#RO|feb747a2-64cd-4299-af12-4833ddc30497;#7;#TRA|150d2a88-1431-44e6-a8ca-0bb753ab8672;#43;#NL|55c6556c-b4f4-441d-9acf-c498d4f838bd;#42;#SL|98a412ae-eb01-49e9-ae3d-585a81724cfc;#4;#EN|f2175f21-25d7-44a3-96da-d6a61b075e1b;#40;#BG|1a1b3951-7821-4e6a-85f5-5673fc08bd2c;#1;#EESC|422833ec-8d7e-4e65-8e4e-8bed07ffb729;#6;#Final|ea5e6674-7b27-4bac-b091-73adbb394efe</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Language">
    <vt:lpwstr>44;#LT|a7ff5ce7-6123-4f68-865a-a57c31810414</vt:lpwstr>
  </property>
</Properties>
</file>