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RESOLUTSIOON</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Euroopa Majandus- ja Sotsiaalkomitee</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 xml:space="preserve">Euroopa </w:t>
            </w:r>
            <w:proofErr w:type="spellStart"/>
            <w:r>
              <w:rPr>
                <w:b/>
                <w:sz w:val="44"/>
              </w:rPr>
              <w:t>noorteaasta</w:t>
            </w:r>
            <w:proofErr w:type="spellEnd"/>
            <w:r>
              <w:rPr>
                <w:b/>
                <w:sz w:val="44"/>
              </w:rPr>
              <w:t xml:space="preserve"> pikaajaline pärand: noorte integreerimine ja nende mõjuvõimu suurendamine</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6E238E6D" w14:textId="451D142C" w:rsidR="00574C9B" w:rsidRPr="00E36037" w:rsidRDefault="00D87838" w:rsidP="006125A1">
            <w:pPr>
              <w:jc w:val="center"/>
              <w:rPr>
                <w:sz w:val="24"/>
                <w:szCs w:val="24"/>
              </w:rPr>
            </w:pPr>
            <w:r>
              <w:rPr>
                <w:sz w:val="24"/>
              </w:rPr>
              <w:t xml:space="preserve">Euroopa </w:t>
            </w:r>
            <w:proofErr w:type="spellStart"/>
            <w:r>
              <w:rPr>
                <w:sz w:val="24"/>
              </w:rPr>
              <w:t>noorteaasta</w:t>
            </w:r>
            <w:proofErr w:type="spellEnd"/>
            <w:r>
              <w:rPr>
                <w:sz w:val="24"/>
              </w:rPr>
              <w:t xml:space="preserve"> pikaajaline pärand: noorte integreerimine ja nende mõjuvõimu suurendamine</w:t>
            </w:r>
          </w:p>
        </w:tc>
      </w:tr>
      <w:tr w:rsidR="00574C9B" w:rsidRPr="00E36037" w14:paraId="2110FDEB" w14:textId="77777777" w:rsidTr="008E4CC5">
        <w:trPr>
          <w:jc w:val="center"/>
        </w:trPr>
        <w:tc>
          <w:tcPr>
            <w:tcW w:w="5000" w:type="pct"/>
            <w:vAlign w:val="center"/>
          </w:tcPr>
          <w:p w14:paraId="59F181E4" w14:textId="77777777" w:rsidR="00574C9B" w:rsidRPr="00E36037"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6AC129C5" w14:textId="25C62B6C" w:rsidR="00497E52" w:rsidRPr="00E36037" w:rsidRDefault="00497E52" w:rsidP="00497E52">
            <w:pPr>
              <w:jc w:val="center"/>
            </w:pPr>
            <w:r>
              <w:t xml:space="preserve">Esitanud </w:t>
            </w:r>
            <w:proofErr w:type="spellStart"/>
            <w:r>
              <w:t>SOCi</w:t>
            </w:r>
            <w:proofErr w:type="spellEnd"/>
            <w:r>
              <w:t xml:space="preserve"> sektsiooni esimees </w:t>
            </w:r>
            <w:r>
              <w:rPr>
                <w:b/>
              </w:rPr>
              <w:t>Laurenţiu Plosceanu</w:t>
            </w:r>
            <w:r>
              <w:t xml:space="preserve"> Euroopa </w:t>
            </w:r>
            <w:proofErr w:type="spellStart"/>
            <w:r>
              <w:t>noorteaasta</w:t>
            </w:r>
            <w:proofErr w:type="spellEnd"/>
            <w:r>
              <w:t xml:space="preserve"> koordineerimisrühma taotlusel</w:t>
            </w:r>
          </w:p>
          <w:p w14:paraId="203C1489" w14:textId="3BEC8D1C" w:rsidR="00497E52" w:rsidRPr="00E36037" w:rsidRDefault="00497E52" w:rsidP="00497E52">
            <w:pPr>
              <w:jc w:val="center"/>
              <w:rPr>
                <w:lang w:val="en-GB"/>
              </w:rPr>
            </w:pPr>
          </w:p>
          <w:p w14:paraId="7CEE2DA1" w14:textId="4CB67030" w:rsidR="00497E52" w:rsidRPr="00E36037" w:rsidRDefault="00497E52" w:rsidP="00497E52">
            <w:pPr>
              <w:jc w:val="center"/>
            </w:pPr>
            <w:r>
              <w:t>(</w:t>
            </w:r>
            <w:proofErr w:type="spellStart"/>
            <w:r>
              <w:t>Katrīna</w:t>
            </w:r>
            <w:proofErr w:type="spellEnd"/>
            <w:r>
              <w:t xml:space="preserve"> </w:t>
            </w:r>
            <w:proofErr w:type="spellStart"/>
            <w:r>
              <w:t>Leitāne</w:t>
            </w:r>
            <w:proofErr w:type="spellEnd"/>
            <w:r>
              <w:t xml:space="preserve"> (esimees), Neža Repanšek, Michael </w:t>
            </w:r>
            <w:proofErr w:type="spellStart"/>
            <w:r>
              <w:t>Mcloughlin</w:t>
            </w:r>
            <w:proofErr w:type="spellEnd"/>
            <w:r>
              <w:t>, Nicoletta Merlo, Mateusz Maciej Szymanski, Florian Marin, Pierre Bollon, Dolores Sammut Bonnici ja Davor Majetic)</w:t>
            </w:r>
          </w:p>
          <w:p w14:paraId="23E9DE0A" w14:textId="0F6C4F6C" w:rsidR="00497E52" w:rsidRPr="00E36037" w:rsidRDefault="00497E52" w:rsidP="00497E52">
            <w:pPr>
              <w:jc w:val="center"/>
              <w:rPr>
                <w:sz w:val="24"/>
                <w:szCs w:val="24"/>
                <w:lang w:val="en-GB"/>
              </w:rPr>
            </w:pPr>
          </w:p>
        </w:tc>
      </w:tr>
    </w:tbl>
    <w:p w14:paraId="0B225863" w14:textId="77777777" w:rsidR="00574C9B" w:rsidRPr="00E36037" w:rsidRDefault="00574C9B" w:rsidP="00574C9B">
      <w:r>
        <w:rPr>
          <w:noProof/>
          <w:sz w:val="20"/>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3B00903" w14:textId="77777777">
                      <w:pPr>
                        <w:jc w:val="center"/>
                      </w:pPr>
                      <w:r>
                        <w:rPr>
                          <w:rFonts w:ascii="Arial" w:hAnsi="Arial"/>
                          <w:b/>
                          <w:sz w:val="48"/>
                        </w:rPr>
                        <w:t>ET</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0059B7">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36037" w14:paraId="02CCD765" w14:textId="77777777" w:rsidTr="00E15BF4">
        <w:tc>
          <w:tcPr>
            <w:tcW w:w="3085" w:type="dxa"/>
          </w:tcPr>
          <w:p w14:paraId="539F8317" w14:textId="076EDCDB" w:rsidR="00C479D2" w:rsidRPr="00E36037" w:rsidRDefault="00C479D2" w:rsidP="00C479D2">
            <w:pPr>
              <w:autoSpaceDE w:val="0"/>
              <w:autoSpaceDN w:val="0"/>
              <w:jc w:val="left"/>
              <w:rPr>
                <w:szCs w:val="20"/>
              </w:rPr>
            </w:pPr>
            <w:r>
              <w:lastRenderedPageBreak/>
              <w:t>Õiguslik alus</w:t>
            </w:r>
          </w:p>
        </w:tc>
        <w:tc>
          <w:tcPr>
            <w:tcW w:w="6204" w:type="dxa"/>
            <w:vAlign w:val="bottom"/>
          </w:tcPr>
          <w:p w14:paraId="2974D99B" w14:textId="431B705C" w:rsidR="00C479D2" w:rsidRPr="00E36037" w:rsidRDefault="00C479D2" w:rsidP="00C479D2">
            <w:pPr>
              <w:autoSpaceDE w:val="0"/>
              <w:autoSpaceDN w:val="0"/>
              <w:jc w:val="left"/>
              <w:rPr>
                <w:szCs w:val="20"/>
              </w:rPr>
            </w:pPr>
            <w:r>
              <w:t>kodukorra artikkel 50</w:t>
            </w:r>
          </w:p>
        </w:tc>
      </w:tr>
      <w:tr w:rsidR="00C479D2" w:rsidRPr="00E36037" w14:paraId="5EFF5047" w14:textId="77777777" w:rsidTr="00E15BF4">
        <w:tc>
          <w:tcPr>
            <w:tcW w:w="3085" w:type="dxa"/>
          </w:tcPr>
          <w:p w14:paraId="076FE721" w14:textId="77777777" w:rsidR="00C479D2" w:rsidRPr="00E36037" w:rsidRDefault="00C479D2" w:rsidP="00C479D2">
            <w:pPr>
              <w:autoSpaceDE w:val="0"/>
              <w:autoSpaceDN w:val="0"/>
              <w:jc w:val="left"/>
              <w:rPr>
                <w:szCs w:val="20"/>
                <w:lang w:val="en-GB"/>
              </w:rPr>
            </w:pPr>
          </w:p>
        </w:tc>
        <w:tc>
          <w:tcPr>
            <w:tcW w:w="6204" w:type="dxa"/>
            <w:vAlign w:val="bottom"/>
          </w:tcPr>
          <w:p w14:paraId="6B02A19F" w14:textId="0EB2591C" w:rsidR="00C479D2" w:rsidRPr="00E36037" w:rsidRDefault="00C479D2" w:rsidP="00C479D2">
            <w:pPr>
              <w:autoSpaceDE w:val="0"/>
              <w:autoSpaceDN w:val="0"/>
              <w:jc w:val="left"/>
              <w:rPr>
                <w:szCs w:val="20"/>
              </w:rPr>
            </w:pPr>
            <w:r>
              <w:t>resolutsioon</w:t>
            </w:r>
          </w:p>
        </w:tc>
      </w:tr>
      <w:tr w:rsidR="00C479D2" w:rsidRPr="00E36037" w14:paraId="7AE47B93" w14:textId="77777777" w:rsidTr="00E15BF4">
        <w:tc>
          <w:tcPr>
            <w:tcW w:w="3085" w:type="dxa"/>
          </w:tcPr>
          <w:p w14:paraId="26DE3092" w14:textId="6B1138EC" w:rsidR="00C479D2" w:rsidRPr="00E36037" w:rsidRDefault="00C479D2" w:rsidP="00C479D2">
            <w:pPr>
              <w:autoSpaceDE w:val="0"/>
              <w:autoSpaceDN w:val="0"/>
              <w:jc w:val="left"/>
            </w:pPr>
            <w:r>
              <w:t>Vastuvõtmine täiskogus</w:t>
            </w:r>
          </w:p>
        </w:tc>
        <w:tc>
          <w:tcPr>
            <w:tcW w:w="6204" w:type="dxa"/>
            <w:vAlign w:val="bottom"/>
          </w:tcPr>
          <w:p w14:paraId="34FA2183" w14:textId="0EC1A6F4" w:rsidR="00C479D2" w:rsidRPr="00E36037" w:rsidRDefault="00C479D2" w:rsidP="00C479D2">
            <w:pPr>
              <w:autoSpaceDE w:val="0"/>
              <w:autoSpaceDN w:val="0"/>
              <w:jc w:val="left"/>
            </w:pPr>
            <w:r>
              <w:t>15/12/2022</w:t>
            </w:r>
          </w:p>
        </w:tc>
      </w:tr>
      <w:tr w:rsidR="00C479D2" w:rsidRPr="00E36037" w14:paraId="2FE8AE44" w14:textId="77777777" w:rsidTr="00E15BF4">
        <w:tc>
          <w:tcPr>
            <w:tcW w:w="3085" w:type="dxa"/>
          </w:tcPr>
          <w:p w14:paraId="2A65A034" w14:textId="362EA3CD" w:rsidR="00C479D2" w:rsidRPr="00E36037" w:rsidRDefault="00C479D2" w:rsidP="00C479D2">
            <w:pPr>
              <w:autoSpaceDE w:val="0"/>
              <w:autoSpaceDN w:val="0"/>
              <w:jc w:val="left"/>
            </w:pPr>
            <w:r>
              <w:t>Täiskogu istungjärk nr</w:t>
            </w:r>
          </w:p>
        </w:tc>
        <w:tc>
          <w:tcPr>
            <w:tcW w:w="6204"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E15BF4">
        <w:tc>
          <w:tcPr>
            <w:tcW w:w="3085" w:type="dxa"/>
          </w:tcPr>
          <w:p w14:paraId="0C723801" w14:textId="05910AA1" w:rsidR="00C479D2" w:rsidRPr="00E36037" w:rsidRDefault="00C479D2" w:rsidP="00C479D2">
            <w:pPr>
              <w:autoSpaceDE w:val="0"/>
              <w:autoSpaceDN w:val="0"/>
              <w:jc w:val="left"/>
            </w:pPr>
            <w:r>
              <w:t>Hääletuse tulemus</w:t>
            </w:r>
            <w:r>
              <w:br/>
              <w:t>(poolt/vastu/erapooletuid)</w:t>
            </w:r>
          </w:p>
        </w:tc>
        <w:tc>
          <w:tcPr>
            <w:tcW w:w="6204"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12F1A652" w14:textId="77777777" w:rsidR="00497E52" w:rsidRPr="00E36037" w:rsidRDefault="00497E52" w:rsidP="00497E52">
      <w:pPr>
        <w:jc w:val="center"/>
        <w:rPr>
          <w:b/>
        </w:rPr>
      </w:pPr>
      <w:r>
        <w:rPr>
          <w:b/>
        </w:rPr>
        <w:lastRenderedPageBreak/>
        <w:t xml:space="preserve">Euroopa Majandus- ja Sotsiaalkomitee resolutsioon – „Euroopa </w:t>
      </w:r>
      <w:proofErr w:type="spellStart"/>
      <w:r>
        <w:rPr>
          <w:b/>
        </w:rPr>
        <w:t>noorteaasta</w:t>
      </w:r>
      <w:proofErr w:type="spellEnd"/>
      <w:r>
        <w:rPr>
          <w:b/>
        </w:rPr>
        <w:t xml:space="preserve"> pikaajaline pärand: noorte integreerimine ja nende mõjuvõimu suurendamine“</w:t>
      </w:r>
    </w:p>
    <w:p w14:paraId="5B865168" w14:textId="77777777" w:rsidR="00497E52" w:rsidRPr="00E36037" w:rsidRDefault="00497E52" w:rsidP="00497E52">
      <w:pPr>
        <w:jc w:val="center"/>
        <w:rPr>
          <w:b/>
          <w:lang w:val="en-GB"/>
        </w:rPr>
      </w:pPr>
    </w:p>
    <w:p w14:paraId="4AEDF6C5" w14:textId="77777777" w:rsidR="00497E52" w:rsidRPr="00E36037" w:rsidRDefault="00497E52" w:rsidP="00497E52">
      <w:r>
        <w:t xml:space="preserve">Vaatamata ebakindlusele seoses Ukraina sõja, COVID-19 pandeemia ja kliimakriisiga jäävad noored Euroopa projekti eestvedajateks ning nende loovus, energia ja entusiasm on selle kestlikkuse </w:t>
      </w:r>
      <w:proofErr w:type="spellStart"/>
      <w:r>
        <w:t>liikumapanev</w:t>
      </w:r>
      <w:proofErr w:type="spellEnd"/>
      <w:r>
        <w:t xml:space="preserve"> jõud. Täna tehtud otsused määravad meie maailma homme – seega on äärmiselt oluline tagada, et noortel oleks sõnaõigus oma tulevikku mõjutavate otsuste tegemisel, sest isegi kaudsel poliitikal võib olla suur mõju ja tähtsus noorte ja tulevaste põlvkondade jaoks.</w:t>
      </w:r>
    </w:p>
    <w:p w14:paraId="2620C44D" w14:textId="77777777" w:rsidR="00497E52" w:rsidRPr="00E36037" w:rsidRDefault="00497E52" w:rsidP="00497E52">
      <w:pPr>
        <w:rPr>
          <w:lang w:val="en-GB"/>
        </w:rPr>
      </w:pPr>
    </w:p>
    <w:p w14:paraId="5217848E" w14:textId="77777777" w:rsidR="00497E52" w:rsidRPr="00E36037" w:rsidRDefault="00497E52" w:rsidP="00497E52">
      <w:pPr>
        <w:rPr>
          <w:b/>
          <w:sz w:val="16"/>
          <w:szCs w:val="16"/>
          <w:u w:val="single"/>
        </w:rPr>
      </w:pPr>
      <w:r>
        <w:t xml:space="preserve">2021. aasta detsembris nimetas Euroopa Komisjoni president Ursula </w:t>
      </w:r>
      <w:proofErr w:type="spellStart"/>
      <w:r>
        <w:t>von</w:t>
      </w:r>
      <w:proofErr w:type="spellEnd"/>
      <w:r>
        <w:t xml:space="preserve"> der </w:t>
      </w:r>
      <w:proofErr w:type="spellStart"/>
      <w:r>
        <w:t>Leyen</w:t>
      </w:r>
      <w:proofErr w:type="spellEnd"/>
      <w:r>
        <w:t xml:space="preserve"> 2022. aasta Euroopa </w:t>
      </w:r>
      <w:proofErr w:type="spellStart"/>
      <w:r>
        <w:t>noorteaastaks</w:t>
      </w:r>
      <w:proofErr w:type="spellEnd"/>
      <w:r>
        <w:t>, sest „</w:t>
      </w:r>
      <w:r>
        <w:rPr>
          <w:b/>
        </w:rPr>
        <w:t>Euroopa vajab kõiki noori</w:t>
      </w:r>
      <w:r>
        <w:t>“ ja „Euroopa Liidu hing ja ideed peavad neid kõnetama“</w:t>
      </w:r>
      <w:r w:rsidRPr="00E36037">
        <w:rPr>
          <w:rStyle w:val="FootnoteReference"/>
          <w:lang w:val="en-GB"/>
        </w:rPr>
        <w:footnoteReference w:id="1"/>
      </w:r>
      <w:r>
        <w:t>.</w:t>
      </w:r>
      <w:r>
        <w:rPr>
          <w:i/>
        </w:rPr>
        <w:t xml:space="preserve"> </w:t>
      </w:r>
      <w:r>
        <w:t xml:space="preserve">Lisaks märkis volinik Mariya Gabriel: </w:t>
      </w:r>
      <w:r>
        <w:rPr>
          <w:b/>
        </w:rPr>
        <w:t xml:space="preserve">„Euroopa </w:t>
      </w:r>
      <w:proofErr w:type="spellStart"/>
      <w:r>
        <w:rPr>
          <w:b/>
        </w:rPr>
        <w:t>noorteaasta</w:t>
      </w:r>
      <w:proofErr w:type="spellEnd"/>
      <w:r>
        <w:rPr>
          <w:b/>
        </w:rPr>
        <w:t xml:space="preserve"> peaks tooma paradigma muutuse ka selles osas, kuidas me kaasame noori poliitikasse ja otsuste tegemisse“</w:t>
      </w:r>
      <w:r w:rsidRPr="00E36037">
        <w:rPr>
          <w:rStyle w:val="FootnoteReference"/>
          <w:b/>
          <w:lang w:val="en-GB"/>
        </w:rPr>
        <w:footnoteReference w:id="2"/>
      </w:r>
      <w:r>
        <w:t>.</w:t>
      </w:r>
      <w:r>
        <w:rPr>
          <w:b/>
          <w:sz w:val="16"/>
          <w:u w:val="single"/>
        </w:rPr>
        <w:t xml:space="preserve"> </w:t>
      </w:r>
    </w:p>
    <w:p w14:paraId="6B451978" w14:textId="77777777" w:rsidR="00497E52" w:rsidRPr="00E36037" w:rsidRDefault="00497E52" w:rsidP="00497E52">
      <w:pPr>
        <w:rPr>
          <w:b/>
          <w:sz w:val="16"/>
          <w:szCs w:val="16"/>
          <w:u w:val="single"/>
          <w:lang w:val="en-GB"/>
        </w:rPr>
      </w:pPr>
    </w:p>
    <w:p w14:paraId="54EF0149" w14:textId="77777777" w:rsidR="00497E52" w:rsidRPr="00E36037" w:rsidRDefault="00497E52" w:rsidP="00497E52">
      <w:r>
        <w:t>Komitee arvamuses</w:t>
      </w:r>
      <w:r w:rsidRPr="00E36037">
        <w:rPr>
          <w:rStyle w:val="FootnoteReference"/>
          <w:lang w:val="en-GB"/>
        </w:rPr>
        <w:footnoteReference w:id="3"/>
      </w:r>
      <w:r>
        <w:t xml:space="preserve"> ELi </w:t>
      </w:r>
      <w:proofErr w:type="spellStart"/>
      <w:r>
        <w:t>noortestrateegia</w:t>
      </w:r>
      <w:proofErr w:type="spellEnd"/>
      <w:r>
        <w:t xml:space="preserve"> kohta aastateks 2019–2027 kutsutakse üles keskenduma sektoriülesele lähenemisviisile, suhtudes noortesse, nende vajadustesse ja õigustesse terviklikult, ning rõhutatakse, et „komitee on veendunud, et </w:t>
      </w:r>
      <w:r>
        <w:rPr>
          <w:b/>
        </w:rPr>
        <w:t>noorte osalemist otsustusprotsessis tuleks edendada</w:t>
      </w:r>
      <w:r>
        <w:t xml:space="preserve"> ka väljaspool ühekordseid üritusi. Lisaks tuleb noorte dialoogi edasiarendamisel parandada noorte vabatahtlike organisatsioonide ja riiklike </w:t>
      </w:r>
      <w:proofErr w:type="spellStart"/>
      <w:r>
        <w:t>noortenõukogude</w:t>
      </w:r>
      <w:proofErr w:type="spellEnd"/>
      <w:r>
        <w:t xml:space="preserve"> rolli ja kasutada täiendavaid võimalusi. Sellega seoses peaksid ELi institutsioonid võtma endale juhtrolli ja komitee peaks olema nende institutsioonide esirinnas, mis edendavad noorte kaasamist ELi tasandil“.</w:t>
      </w:r>
    </w:p>
    <w:p w14:paraId="70112E8D" w14:textId="77777777" w:rsidR="00497E52" w:rsidRPr="00E36037" w:rsidRDefault="00497E52" w:rsidP="00497E52">
      <w:pPr>
        <w:rPr>
          <w:b/>
          <w:sz w:val="16"/>
          <w:szCs w:val="16"/>
          <w:u w:val="single"/>
          <w:lang w:val="en-GB"/>
        </w:rPr>
      </w:pPr>
    </w:p>
    <w:p w14:paraId="5E33B9AD" w14:textId="77777777" w:rsidR="00497E52" w:rsidRPr="00E36037" w:rsidRDefault="00497E52" w:rsidP="00497E52">
      <w:r>
        <w:t xml:space="preserve">Juba mitu aastat </w:t>
      </w:r>
      <w:r>
        <w:rPr>
          <w:b/>
        </w:rPr>
        <w:t>on komitee töötanud selle nimel, kuidas struktureeritud ja sisukal viisil paremini noorte hääl oma töösse ja ELi otsustusprotsessi integreerida</w:t>
      </w:r>
      <w:r>
        <w:t>, käsitledes erinevaid mõõtmeid nagu kliima ja kestlikkus</w:t>
      </w:r>
      <w:r w:rsidRPr="00E36037">
        <w:rPr>
          <w:rStyle w:val="FootnoteReference"/>
          <w:lang w:val="en-GB"/>
        </w:rPr>
        <w:footnoteReference w:id="4"/>
      </w:r>
      <w:r>
        <w:t>, luues noorte kliima ja kestlikkuse ümarlauad ning kaasates ÜRO kliimamuutuste raamkonventsiooni osaliste konverentsi ametlikku ELi delegatsiooni ning ka komitee delegatsiooni noorte esindaja; rõhutades hariduse rolli kestliku arengu jaoks</w:t>
      </w:r>
      <w:r w:rsidRPr="00E36037">
        <w:rPr>
          <w:rStyle w:val="FootnoteReference"/>
          <w:lang w:val="en-GB"/>
        </w:rPr>
        <w:footnoteReference w:id="5"/>
      </w:r>
      <w:r>
        <w:t>; täiustades tööhõive ja tööturu olukorda ja sätteid</w:t>
      </w:r>
      <w:r w:rsidRPr="00E36037">
        <w:rPr>
          <w:rStyle w:val="FootnoteReference"/>
          <w:lang w:val="en-GB"/>
        </w:rPr>
        <w:footnoteReference w:id="6"/>
      </w:r>
      <w:r>
        <w:t>; kaasates noori riiklike taastekavade väljatöötamisse</w:t>
      </w:r>
      <w:r w:rsidRPr="00E36037">
        <w:rPr>
          <w:rStyle w:val="FootnoteReference"/>
          <w:lang w:val="en-GB"/>
        </w:rPr>
        <w:footnoteReference w:id="7"/>
      </w:r>
      <w:r>
        <w:t xml:space="preserve">, nõudes noorteorganisatsioonide paremat kaasamist kavade rakendamis- ja järelevalveetappidesse ning otsustusprotsessidesse; toetades Lääne-Balkani </w:t>
      </w:r>
      <w:proofErr w:type="spellStart"/>
      <w:r>
        <w:t>noortepoliitikat</w:t>
      </w:r>
      <w:proofErr w:type="spellEnd"/>
      <w:r w:rsidRPr="00E36037">
        <w:rPr>
          <w:rStyle w:val="FootnoteReference"/>
          <w:lang w:val="en-GB"/>
        </w:rPr>
        <w:footnoteReference w:id="8"/>
      </w:r>
      <w:r>
        <w:t xml:space="preserve">, mille raames kutsub komitee ELi üles veelgi toetama Lääne-Balkani riike noorte osaluse suurendamisel; võttes ELi tasandil noorte perspektiivi arvesse igas poliitikavaldkonnas, võttes kasutusele ELi </w:t>
      </w:r>
      <w:proofErr w:type="spellStart"/>
      <w:r>
        <w:t>noortetesti</w:t>
      </w:r>
      <w:proofErr w:type="spellEnd"/>
      <w:r w:rsidRPr="00E36037">
        <w:rPr>
          <w:rStyle w:val="FootnoteReference"/>
          <w:lang w:val="en-GB"/>
        </w:rPr>
        <w:footnoteReference w:id="9"/>
      </w:r>
      <w:r>
        <w:t>, mis hõlmab ka konkreetseid soovitusi ja ettepanekuid, ning pannes ette tugevdada komitee sisetöös suhtlust noorte ja noorteorganisatsioonidega.</w:t>
      </w:r>
    </w:p>
    <w:p w14:paraId="016715C4" w14:textId="77777777" w:rsidR="00497E52" w:rsidRPr="00E36037" w:rsidRDefault="00497E52" w:rsidP="00497E52">
      <w:pPr>
        <w:rPr>
          <w:lang w:val="en-GB"/>
        </w:rPr>
      </w:pPr>
    </w:p>
    <w:p w14:paraId="6ABAB39A" w14:textId="77777777" w:rsidR="00497E52" w:rsidRPr="00E36037" w:rsidRDefault="00497E52" w:rsidP="00497E52">
      <w:r>
        <w:t xml:space="preserve">Lisaks </w:t>
      </w:r>
      <w:r>
        <w:rPr>
          <w:b/>
        </w:rPr>
        <w:t>väljendas komitee heameelt</w:t>
      </w:r>
      <w:r w:rsidRPr="00E36037">
        <w:rPr>
          <w:rStyle w:val="FootnoteReference"/>
          <w:b/>
          <w:lang w:val="en-GB"/>
        </w:rPr>
        <w:footnoteReference w:id="10"/>
      </w:r>
      <w:r>
        <w:rPr>
          <w:b/>
        </w:rPr>
        <w:t xml:space="preserve"> ettepaneku üle nimetada 2022. aasta Euroopa </w:t>
      </w:r>
      <w:proofErr w:type="spellStart"/>
      <w:r>
        <w:rPr>
          <w:b/>
        </w:rPr>
        <w:t>noorteaastaks</w:t>
      </w:r>
      <w:proofErr w:type="spellEnd"/>
      <w:r>
        <w:t xml:space="preserve">, märkides, et komitee on valmis etendama Euroopa </w:t>
      </w:r>
      <w:proofErr w:type="spellStart"/>
      <w:r>
        <w:t>noorteaastas</w:t>
      </w:r>
      <w:proofErr w:type="spellEnd"/>
      <w:r>
        <w:t xml:space="preserve"> juhtivat rolli, tuginedes komitee edukatele algatustele, nagu „Sinu Euroopa, Sinu arvamus!“, noorte kliima ja kestlikkuse ümarlaudadele ning komitee noorte esindajale osaliste konverentsi programmis. Komiteel on ainulaadne positsioon </w:t>
      </w:r>
      <w:proofErr w:type="spellStart"/>
      <w:r>
        <w:t>noortevõrgustike</w:t>
      </w:r>
      <w:proofErr w:type="spellEnd"/>
      <w:r>
        <w:t xml:space="preserve"> kaasamist hõlbustada. Sellest tulenevalt moodustas komitee </w:t>
      </w:r>
      <w:r>
        <w:rPr>
          <w:b/>
        </w:rPr>
        <w:t xml:space="preserve">Euroopa </w:t>
      </w:r>
      <w:proofErr w:type="spellStart"/>
      <w:r>
        <w:rPr>
          <w:b/>
        </w:rPr>
        <w:t>noorteaasta</w:t>
      </w:r>
      <w:proofErr w:type="spellEnd"/>
      <w:r>
        <w:rPr>
          <w:b/>
        </w:rPr>
        <w:t xml:space="preserve"> koordineerimisrühma</w:t>
      </w:r>
      <w:r>
        <w:t xml:space="preserve">, et tagada selle algatuse esindatus ja nähtavus komitees ning koordineerida käimasolevaid noortega seotud algatusi. Euroopa </w:t>
      </w:r>
      <w:proofErr w:type="spellStart"/>
      <w:r>
        <w:t>noorteaasta</w:t>
      </w:r>
      <w:proofErr w:type="spellEnd"/>
      <w:r>
        <w:t xml:space="preserve"> koordineerimisrühmale anti volitused tugevdada koostööd noorteorganisatsioonide ja noortega Euroopa </w:t>
      </w:r>
      <w:proofErr w:type="spellStart"/>
      <w:r>
        <w:t>noorteaasta</w:t>
      </w:r>
      <w:proofErr w:type="spellEnd"/>
      <w:r>
        <w:t xml:space="preserve"> ajal ja pärast seda ning teha koostööd teiste ELi institutsioonide ja kodanikuühiskonna organisatsioonidega, et tagada noorte parem valdkonnaülene integreerimine nende igapäevategevusse. </w:t>
      </w:r>
    </w:p>
    <w:p w14:paraId="17890C04" w14:textId="77777777" w:rsidR="00497E52" w:rsidRPr="00E36037" w:rsidRDefault="00497E52" w:rsidP="00497E52">
      <w:pPr>
        <w:rPr>
          <w:b/>
          <w:lang w:val="en-GB"/>
        </w:rPr>
      </w:pPr>
    </w:p>
    <w:p w14:paraId="7F9EB810" w14:textId="77777777" w:rsidR="00497E52" w:rsidRPr="00E36037" w:rsidRDefault="00497E52" w:rsidP="00497E52">
      <w:r>
        <w:rPr>
          <w:b/>
        </w:rPr>
        <w:t xml:space="preserve">Euroopa </w:t>
      </w:r>
      <w:proofErr w:type="spellStart"/>
      <w:r>
        <w:rPr>
          <w:b/>
        </w:rPr>
        <w:t>noorteaasta</w:t>
      </w:r>
      <w:proofErr w:type="spellEnd"/>
      <w:r>
        <w:rPr>
          <w:b/>
        </w:rPr>
        <w:t xml:space="preserve"> koordineerimisrühma koostatud resolutsiooni eelnõus kutsutakse ELi institutsioone ja riikide valitsusi üles tagama Euroopa </w:t>
      </w:r>
      <w:proofErr w:type="spellStart"/>
      <w:r>
        <w:rPr>
          <w:b/>
        </w:rPr>
        <w:t>noorteaasta</w:t>
      </w:r>
      <w:proofErr w:type="spellEnd"/>
      <w:r>
        <w:rPr>
          <w:b/>
        </w:rPr>
        <w:t xml:space="preserve"> pikaajaline pärand</w:t>
      </w:r>
      <w:r>
        <w:t>, edendades ühelt poolt noorte struktuurset ja sisukat kaasamist poliitika kujundamisse ja otsuste tegemisse kõigil tasanditel ning teiselt poolt noorte ja noorteorganisatsioonide osalusmehhanisme. Lisaks kinnitab komitee taas oma pühendumust tugevdada noorte osalemist oma töös ning edendada noorte integreerimist kõigil tasanditel, et saavutada ühtsem ja tugevam Euroopa.</w:t>
      </w:r>
    </w:p>
    <w:p w14:paraId="07082A03" w14:textId="77777777" w:rsidR="00497E52" w:rsidRPr="00E36037" w:rsidRDefault="00497E52" w:rsidP="00497E52">
      <w:pPr>
        <w:rPr>
          <w:lang w:val="en-GB"/>
        </w:rPr>
      </w:pPr>
    </w:p>
    <w:p w14:paraId="5F4073A7" w14:textId="77777777" w:rsidR="00497E52" w:rsidRPr="00E36037" w:rsidRDefault="00497E52" w:rsidP="00497E52">
      <w:pPr>
        <w:jc w:val="center"/>
        <w:rPr>
          <w:b/>
          <w:i/>
        </w:rPr>
      </w:pPr>
      <w:r>
        <w:rPr>
          <w:b/>
          <w:i/>
        </w:rPr>
        <w:t xml:space="preserve">Me ei saa alati oma noorte tulevikku kujundada, kuid me saame noori tulevikuks ette valmistada. </w:t>
      </w:r>
    </w:p>
    <w:p w14:paraId="46A1C135" w14:textId="77777777" w:rsidR="00497E52" w:rsidRPr="00E36037" w:rsidRDefault="00497E52" w:rsidP="00497E52">
      <w:pPr>
        <w:jc w:val="center"/>
        <w:rPr>
          <w:b/>
          <w:i/>
        </w:rPr>
      </w:pPr>
      <w:r>
        <w:rPr>
          <w:b/>
          <w:i/>
        </w:rPr>
        <w:t xml:space="preserve">– Franklin D. </w:t>
      </w:r>
      <w:proofErr w:type="spellStart"/>
      <w:r>
        <w:rPr>
          <w:b/>
          <w:i/>
        </w:rPr>
        <w:t>Roosevelt</w:t>
      </w:r>
      <w:proofErr w:type="spellEnd"/>
    </w:p>
    <w:p w14:paraId="467DEB8A" w14:textId="77777777" w:rsidR="00497E52" w:rsidRPr="00E36037" w:rsidRDefault="00497E52" w:rsidP="00497E52">
      <w:pPr>
        <w:rPr>
          <w:lang w:val="en-GB"/>
        </w:rPr>
      </w:pPr>
    </w:p>
    <w:p w14:paraId="67C1EC71" w14:textId="77777777" w:rsidR="00497E52" w:rsidRPr="00E36037" w:rsidRDefault="00497E52" w:rsidP="00497E52">
      <w:pPr>
        <w:pStyle w:val="Heading1"/>
        <w:rPr>
          <w:b/>
        </w:rPr>
      </w:pPr>
      <w:r>
        <w:rPr>
          <w:b/>
        </w:rPr>
        <w:t xml:space="preserve">Euroopa </w:t>
      </w:r>
      <w:proofErr w:type="spellStart"/>
      <w:r>
        <w:rPr>
          <w:b/>
        </w:rPr>
        <w:t>noorteaasta</w:t>
      </w:r>
      <w:proofErr w:type="spellEnd"/>
      <w:r>
        <w:rPr>
          <w:b/>
        </w:rPr>
        <w:t xml:space="preserve"> pikaajaline pärand komitee jaoks</w:t>
      </w:r>
    </w:p>
    <w:p w14:paraId="159886B1" w14:textId="77777777" w:rsidR="00497E52" w:rsidRPr="00E36037" w:rsidRDefault="00497E52" w:rsidP="00497E52">
      <w:pPr>
        <w:rPr>
          <w:lang w:val="en-GB"/>
        </w:rPr>
      </w:pPr>
    </w:p>
    <w:p w14:paraId="1773ED66" w14:textId="77777777" w:rsidR="00497E52" w:rsidRPr="00E36037" w:rsidRDefault="00497E52" w:rsidP="00497E52">
      <w:pPr>
        <w:pStyle w:val="Heading2"/>
      </w:pPr>
      <w:r>
        <w:t xml:space="preserve">Komitee leiab, et kõik sidusrühmad peavad Euroopa </w:t>
      </w:r>
      <w:proofErr w:type="spellStart"/>
      <w:r>
        <w:t>noorteaasta</w:t>
      </w:r>
      <w:proofErr w:type="spellEnd"/>
      <w:r>
        <w:t xml:space="preserve"> arutelusid </w:t>
      </w:r>
      <w:proofErr w:type="spellStart"/>
      <w:r>
        <w:t>järelkäsitlema</w:t>
      </w:r>
      <w:proofErr w:type="spellEnd"/>
      <w:r>
        <w:t xml:space="preserve"> ja neisse avatult suhtuma. On äärmiselt oluline, et aastast jääks konkreetne pärand ning tööd järelmeetmetega jätkatakse oskuste aastal ja hiljemgi. Lisaks nähakse ELi </w:t>
      </w:r>
      <w:proofErr w:type="spellStart"/>
      <w:r>
        <w:t>noortestrateegias</w:t>
      </w:r>
      <w:proofErr w:type="spellEnd"/>
      <w:r>
        <w:t xml:space="preserve"> ja Euroopa tuleviku konverentsil ette olulised sammud noorte struktuursemaks ja sisulisemaks kaasamiseks Euroopa tuleviku ülesehitamisse.</w:t>
      </w:r>
    </w:p>
    <w:p w14:paraId="55672544" w14:textId="77777777" w:rsidR="00497E52" w:rsidRPr="00E36037" w:rsidRDefault="00497E52" w:rsidP="00497E52">
      <w:pPr>
        <w:ind w:left="567" w:hanging="567"/>
        <w:rPr>
          <w:lang w:val="en-GB"/>
        </w:rPr>
      </w:pPr>
    </w:p>
    <w:p w14:paraId="710D78EB" w14:textId="77777777" w:rsidR="00497E52" w:rsidRPr="00E36037" w:rsidRDefault="00497E52" w:rsidP="00497E52">
      <w:pPr>
        <w:pStyle w:val="Heading2"/>
      </w:pPr>
      <w:r>
        <w:t>Komitee leiab, et kodanikuühiskonna organisatsioonid ja eelkõige noorteorganisatsioonid on üliolulised, et leida uuenduslikke osalusvahendeid noorte vaatenurga integreerimiseks poliitikakujundamise kõikidel tasanditel ja kõigis poliitikavaldkondades, ning rõhutab kodanikuühiskonna organisatsioonide rolli kodanikuaktiivsuse tugevdamisel ning noorte põhiliste inimõiguste ja demokraatlike väärtuste kaitsmisel.</w:t>
      </w:r>
    </w:p>
    <w:p w14:paraId="2CE4B9B2" w14:textId="77777777" w:rsidR="00497E52" w:rsidRPr="00E36037" w:rsidRDefault="00497E52" w:rsidP="00497E52">
      <w:pPr>
        <w:ind w:left="567" w:hanging="567"/>
        <w:rPr>
          <w:lang w:val="en-GB"/>
        </w:rPr>
      </w:pPr>
    </w:p>
    <w:p w14:paraId="5DB4B1E9" w14:textId="77777777" w:rsidR="00497E52" w:rsidRPr="00E36037" w:rsidRDefault="00497E52" w:rsidP="00497E52">
      <w:pPr>
        <w:pStyle w:val="Heading2"/>
      </w:pPr>
      <w:r>
        <w:t>Komitee peab kahetsusväärseks, et noorteorganisatsioonide tegevusruum on kahanenud</w:t>
      </w:r>
      <w:r w:rsidRPr="00E36037">
        <w:rPr>
          <w:rStyle w:val="FootnoteReference"/>
          <w:lang w:val="en-GB"/>
        </w:rPr>
        <w:footnoteReference w:id="11"/>
      </w:r>
      <w:r>
        <w:t>, ja rõhutab selle demokraatlikku tähtsust. Komitee kutsub üles võtma meetmeid, et suurendada noorteorganisatsioonide mõjuvõimu ja tagada neile kestlikud ressursid, mis suurendavad nende suutlikkust esindada ja kaitsta oma õigusi ja huve.</w:t>
      </w:r>
    </w:p>
    <w:p w14:paraId="781A2616" w14:textId="77777777" w:rsidR="00497E52" w:rsidRPr="00E36037" w:rsidRDefault="00497E52" w:rsidP="00497E52">
      <w:pPr>
        <w:ind w:left="567" w:hanging="567"/>
        <w:rPr>
          <w:lang w:val="en-GB"/>
        </w:rPr>
      </w:pPr>
    </w:p>
    <w:p w14:paraId="1E341028" w14:textId="77777777" w:rsidR="00497E52" w:rsidRPr="00E36037" w:rsidRDefault="00497E52" w:rsidP="00497E52">
      <w:pPr>
        <w:pStyle w:val="Heading2"/>
      </w:pPr>
      <w:r>
        <w:lastRenderedPageBreak/>
        <w:t>Komitee rõhutab oma arvamustes</w:t>
      </w:r>
      <w:r w:rsidRPr="00E36037">
        <w:rPr>
          <w:rStyle w:val="FootnoteReference"/>
          <w:lang w:val="en-GB"/>
        </w:rPr>
        <w:footnoteReference w:id="12"/>
      </w:r>
      <w:r>
        <w:t xml:space="preserve"> viimase paari aasta edukaid algatusi noorte struktuurseks ja sisukaks osalemiseks ning väljendab oma valmisolekut töötada välja uusi algatusi, et edendada poliitikakujundamises noorte kaasamist ja noorte vaatenurka.</w:t>
      </w:r>
    </w:p>
    <w:p w14:paraId="4E5C933D" w14:textId="77777777" w:rsidR="00497E52" w:rsidRPr="00E36037" w:rsidRDefault="00497E52" w:rsidP="00497E52">
      <w:pPr>
        <w:ind w:left="567" w:hanging="567"/>
        <w:rPr>
          <w:lang w:val="en-GB"/>
        </w:rPr>
      </w:pPr>
    </w:p>
    <w:p w14:paraId="50897AA7" w14:textId="77777777" w:rsidR="00497E52" w:rsidRPr="00E36037" w:rsidRDefault="00497E52" w:rsidP="00497E52">
      <w:pPr>
        <w:pStyle w:val="Heading2"/>
      </w:pPr>
      <w:r>
        <w:t xml:space="preserve">Komitee leiab, et noorte aktiivne osalemine poliitika kujundamises ja otsuste tegemises on väga oluline Euroopa tuleviku ülesehitamiseks ja noori kõnetava visiooni loomiseks. Seetõttu julgustab komitee ELi institutsioone rakendama ELi </w:t>
      </w:r>
      <w:proofErr w:type="spellStart"/>
      <w:r>
        <w:t>noortetesti</w:t>
      </w:r>
      <w:proofErr w:type="spellEnd"/>
      <w:r>
        <w:t>, et tagada kogu ELi tasandi poliitikakujundamisel noorte arvamusega arvestamine.</w:t>
      </w:r>
    </w:p>
    <w:p w14:paraId="45333D4C" w14:textId="77777777" w:rsidR="00497E52" w:rsidRPr="00E36037" w:rsidRDefault="00497E52" w:rsidP="00497E52">
      <w:pPr>
        <w:ind w:left="567" w:hanging="567"/>
        <w:rPr>
          <w:lang w:val="en-GB"/>
        </w:rPr>
      </w:pPr>
    </w:p>
    <w:p w14:paraId="59C36446" w14:textId="77777777" w:rsidR="00497E52" w:rsidRPr="00E36037" w:rsidRDefault="00497E52" w:rsidP="00497E52">
      <w:pPr>
        <w:pStyle w:val="Heading2"/>
      </w:pPr>
      <w:r>
        <w:t xml:space="preserve">ELi </w:t>
      </w:r>
      <w:proofErr w:type="spellStart"/>
      <w:r>
        <w:t>noortetesti</w:t>
      </w:r>
      <w:proofErr w:type="spellEnd"/>
      <w:r>
        <w:t xml:space="preserve"> käsitlevas arvamuses esitatud ettepanekutele tuginedes kutsub komitee üles kaasama noori poliitikakujundamisse kõigil tasanditel ning töötama kõigi ELi institutsioonide jaoks välja ühised lähenemisviisid noorte struktuurseks ja sisukaks kaasamiseks. Need võiksid toetuda järgmistele sammastele:</w:t>
      </w:r>
    </w:p>
    <w:p w14:paraId="37EABF33" w14:textId="77777777" w:rsidR="00497E52" w:rsidRPr="00E36037" w:rsidRDefault="00497E52" w:rsidP="00497E52">
      <w:pPr>
        <w:numPr>
          <w:ilvl w:val="0"/>
          <w:numId w:val="4"/>
        </w:numPr>
        <w:ind w:left="851" w:hanging="284"/>
      </w:pPr>
      <w:r>
        <w:t>noortega seotud tegevuste/projektide/ürituste loomine üheskoos noorteorganisatsioonidega, kes kaasatakse kohe alguses, ning neile sõnaõiguse tagamine protsessi igas etapis;</w:t>
      </w:r>
    </w:p>
    <w:p w14:paraId="43B5E556" w14:textId="77777777" w:rsidR="00497E52" w:rsidRPr="00E36037" w:rsidRDefault="00497E52" w:rsidP="00497E52">
      <w:pPr>
        <w:numPr>
          <w:ilvl w:val="0"/>
          <w:numId w:val="4"/>
        </w:numPr>
        <w:ind w:left="851" w:hanging="284"/>
      </w:pPr>
      <w:r>
        <w:t>algatuste/projektide/ürituste eest vastutuse jagamine noorteorganisatsioonidega, andes neile juhtiva rolli ning arvestades nende prioriteete ja vajadusi;</w:t>
      </w:r>
    </w:p>
    <w:p w14:paraId="342BFDF8" w14:textId="77777777" w:rsidR="00497E52" w:rsidRPr="00E36037" w:rsidRDefault="00497E52" w:rsidP="00497E52">
      <w:pPr>
        <w:numPr>
          <w:ilvl w:val="0"/>
          <w:numId w:val="4"/>
        </w:numPr>
        <w:ind w:left="851" w:hanging="284"/>
      </w:pPr>
      <w:r>
        <w:t>noorteorganisatsioonide suutlikkuse suurendamine, nende toetamine osalemiseks vajalike ressursside ja asjakohaste vahenditega;</w:t>
      </w:r>
    </w:p>
    <w:p w14:paraId="16BAD1E3" w14:textId="77777777" w:rsidR="00497E52" w:rsidRPr="00E36037" w:rsidRDefault="00497E52" w:rsidP="00497E52">
      <w:pPr>
        <w:numPr>
          <w:ilvl w:val="0"/>
          <w:numId w:val="4"/>
        </w:numPr>
        <w:ind w:left="851" w:hanging="284"/>
      </w:pPr>
      <w:r>
        <w:t>struktureeritud ja sisukate järelmeetmete väljatöötamine, piirdumata sihtotstarbeliste kohtumiste ja vaid üleskutsetega konsultatsioonideks.</w:t>
      </w:r>
    </w:p>
    <w:p w14:paraId="1812AD2F" w14:textId="77777777" w:rsidR="00497E52" w:rsidRPr="00E36037" w:rsidRDefault="00497E52" w:rsidP="00497E52">
      <w:pPr>
        <w:ind w:left="567" w:hanging="567"/>
        <w:rPr>
          <w:lang w:val="en-GB"/>
        </w:rPr>
      </w:pPr>
    </w:p>
    <w:p w14:paraId="1F8AB500" w14:textId="77777777" w:rsidR="00497E52" w:rsidRPr="00E36037" w:rsidRDefault="00497E52" w:rsidP="00497E52">
      <w:pPr>
        <w:pStyle w:val="Heading2"/>
      </w:pPr>
      <w:r>
        <w:t xml:space="preserve">Komitee kohustub looma alalise rühma, et noorte perspektiivide integreerimiseks komitee töösse oleksid olemas läbipaistvad ja valdkonnaülesed koordineerimismehhanismid, ning täiendavalt uurima ja kaaluma võimalusi ELi </w:t>
      </w:r>
      <w:proofErr w:type="spellStart"/>
      <w:r>
        <w:t>noortetesti</w:t>
      </w:r>
      <w:proofErr w:type="spellEnd"/>
      <w:r>
        <w:t xml:space="preserve"> kontseptsiooni rakendamiseks komitee töös, et kujundada sidus lähenemisviis noorte kaasamiseks komiteesse.</w:t>
      </w:r>
    </w:p>
    <w:p w14:paraId="274E7B12" w14:textId="77777777" w:rsidR="00497E52" w:rsidRPr="00E36037" w:rsidRDefault="00497E52" w:rsidP="00497E52">
      <w:pPr>
        <w:rPr>
          <w:lang w:val="en-GB"/>
        </w:rPr>
      </w:pPr>
    </w:p>
    <w:p w14:paraId="08D4329D" w14:textId="77777777" w:rsidR="00497E52" w:rsidRPr="00E36037" w:rsidRDefault="00497E52" w:rsidP="00497E52">
      <w:pPr>
        <w:pStyle w:val="Heading3"/>
      </w:pPr>
      <w:r>
        <w:t xml:space="preserve">Lisaks kutsub komitee üles looma struktuuri, mis esindaks ja/või kaasaks noorteorganisatsioone kõigis ELi institutsioonides, ja/või võimaluse korral sidusrühmade platvormi (Euroopa ringmajanduse sidusrühmade platvormi eeskujul), mis kuuluks komitee pädevusse. Kuna ELi </w:t>
      </w:r>
      <w:proofErr w:type="spellStart"/>
      <w:r>
        <w:t>noortedialoog</w:t>
      </w:r>
      <w:proofErr w:type="spellEnd"/>
      <w:r>
        <w:t xml:space="preserve"> on Euroopa kõige olulisem osalusprotsess, mis hõlmab poliitikakujundajaid ja noori, kes arutavad küsimusi ja otsivad ühiselt lahendusi, võiks lisaks võtta täiendavaid meetmeid selle osalusmehhanismi tugevdamiseks, näiteks juurutades ühist juhtimisstruktuuri</w:t>
      </w:r>
      <w:r w:rsidRPr="00E36037">
        <w:rPr>
          <w:rStyle w:val="FootnoteReference"/>
          <w:lang w:val="en-GB"/>
        </w:rPr>
        <w:footnoteReference w:id="13"/>
      </w:r>
      <w:r>
        <w:t xml:space="preserve">, mille eesotsas seisaks samuti komitee. </w:t>
      </w:r>
    </w:p>
    <w:p w14:paraId="4FA6790A" w14:textId="77777777" w:rsidR="00497E52" w:rsidRPr="00E36037" w:rsidRDefault="00497E52" w:rsidP="00497E52">
      <w:pPr>
        <w:rPr>
          <w:lang w:val="en-GB"/>
        </w:rPr>
      </w:pPr>
    </w:p>
    <w:p w14:paraId="407E63D4" w14:textId="77777777" w:rsidR="00497E52" w:rsidRPr="00E36037" w:rsidRDefault="00497E52" w:rsidP="00497E52">
      <w:pPr>
        <w:pStyle w:val="Heading2"/>
      </w:pPr>
      <w:r>
        <w:t xml:space="preserve">Komitee kutsub üles suurendama noorte osalemist otsustusprotsessides, alates seadusandlike ettepanekute ja algatuste koostamisest kuni rakendamise, järelevalve ja järelmeetmeteni. Seda lähenemisviisi on kasutatud alates 2021. aastast ÜRO kliimamuutuste raamkonventsiooni osaliste konverentsi koosolekutel osalevas ELi delegatsioonis, kus on vähemalt üks noor delegaat. Komitee soovitab tungivalt teistel ELi delegatsioonidel kasutada sarnast lähenemisviisi ja võtta arvesse ka </w:t>
      </w:r>
      <w:proofErr w:type="spellStart"/>
      <w:r>
        <w:t>põlvkondadevahelist</w:t>
      </w:r>
      <w:proofErr w:type="spellEnd"/>
      <w:r>
        <w:t xml:space="preserve"> perspektiivi.</w:t>
      </w:r>
    </w:p>
    <w:p w14:paraId="4BC884C5" w14:textId="77777777" w:rsidR="00497E52" w:rsidRPr="00E36037" w:rsidRDefault="00497E52" w:rsidP="00497E52">
      <w:pPr>
        <w:ind w:left="567" w:hanging="567"/>
        <w:rPr>
          <w:lang w:val="en-GB"/>
        </w:rPr>
      </w:pPr>
    </w:p>
    <w:p w14:paraId="669A61B7" w14:textId="77777777" w:rsidR="00497E52" w:rsidRPr="00E36037" w:rsidRDefault="00497E52" w:rsidP="00497E52">
      <w:pPr>
        <w:pStyle w:val="Heading2"/>
      </w:pPr>
      <w:r>
        <w:t xml:space="preserve">Selleks et tugevdada komitee rolli poliitikakujundajate ning noorteorganisatsioonide ja noorte vahelise lõhe ületamisel nii riiklikul kui ka Euroopa tasandil, soovitatakse esiteks luua läbipaistev, struktuurne ja sisukas noorte osalusmehhanism, et seadusandlikku tööd, näiteks noorte paneelarutelu tõhusalt koordineerida. Teiseks suhelda noorte ja noorteorganisatsioonidega ning kaasata neid oma töösse. Lisaks tuleks kõigil tasanditel ja kõigis liikmesriikides rakendada noorte kaasamisega seotud heade tavade koordineerimist ja vahetamist ning sihipärasemat teavitustegevust. Eelkõige tugevdada suhteid riiklike noorteorganisatsioonidega ning juhtida komitee ja liikmete tähelepanu kohalikele </w:t>
      </w:r>
      <w:proofErr w:type="spellStart"/>
      <w:r>
        <w:t>noorteprojektidele</w:t>
      </w:r>
      <w:proofErr w:type="spellEnd"/>
      <w:r>
        <w:t>.</w:t>
      </w:r>
    </w:p>
    <w:p w14:paraId="4BA395C0" w14:textId="77777777" w:rsidR="00497E52" w:rsidRPr="00E36037" w:rsidRDefault="00497E52" w:rsidP="00497E52">
      <w:pPr>
        <w:ind w:left="567" w:hanging="567"/>
        <w:rPr>
          <w:lang w:val="en-GB"/>
        </w:rPr>
      </w:pPr>
    </w:p>
    <w:p w14:paraId="5DB4D2A5" w14:textId="77777777" w:rsidR="00497E52" w:rsidRPr="00E36037" w:rsidRDefault="00497E52" w:rsidP="00497E52">
      <w:pPr>
        <w:pStyle w:val="Heading2"/>
      </w:pPr>
      <w:r>
        <w:t xml:space="preserve">Võttes arvesse praegust ebastabiilset geopoliitilist konteksti, on äärmiselt oluline tagada noorte osalemine kestlikkuse, julgeoleku ja rahu kindlustamises. Komitee väljendab heameelt hiljuti vastu võetud noorte ELi </w:t>
      </w:r>
      <w:proofErr w:type="spellStart"/>
      <w:r>
        <w:t>välistegevusse</w:t>
      </w:r>
      <w:proofErr w:type="spellEnd"/>
      <w:r>
        <w:t xml:space="preserve"> kaasamise tegevuskava üle ja võtab selle kohta 2023. aastal vastu omaalgatusliku arvamuse. Lisaks kutsub komitee Euroopa Liitu üles veelgi enam toetama Lääne-Balkani riike noorte osaluse suurendamisel, võttes arvesse haridus- ja koolitusalase liikuvuse positiivset seost noorte ühiskondliku ja poliitilise kaasatusega. </w:t>
      </w:r>
      <w:r>
        <w:rPr>
          <w:color w:val="212121"/>
        </w:rPr>
        <w:t>Sama põhimõtet tuleks arvesse võtta suhetes Ukraina ja Gruusiaga.</w:t>
      </w:r>
      <w:r>
        <w:t xml:space="preserve"> Komitee nõuab </w:t>
      </w:r>
      <w:proofErr w:type="spellStart"/>
      <w:r>
        <w:t>noortepoliitika</w:t>
      </w:r>
      <w:proofErr w:type="spellEnd"/>
      <w:r>
        <w:t xml:space="preserve"> alase koostöö tugevdamist kandidaatriikidega. </w:t>
      </w:r>
    </w:p>
    <w:p w14:paraId="7D01F35B" w14:textId="77777777" w:rsidR="00497E52" w:rsidRPr="00E36037" w:rsidRDefault="00497E52" w:rsidP="00497E52">
      <w:pPr>
        <w:ind w:left="567" w:hanging="567"/>
        <w:rPr>
          <w:lang w:val="en-GB"/>
        </w:rPr>
      </w:pPr>
    </w:p>
    <w:p w14:paraId="4EE1EE15" w14:textId="77777777" w:rsidR="00497E52" w:rsidRPr="00E36037" w:rsidRDefault="00497E52" w:rsidP="00497E52">
      <w:pPr>
        <w:pStyle w:val="Heading2"/>
      </w:pPr>
      <w:r>
        <w:t xml:space="preserve">Komitee püüab süstemaatiliselt noorte seisukohtadega arvestada oma arvamustes, muu hulgas </w:t>
      </w:r>
      <w:r>
        <w:rPr>
          <w:i/>
        </w:rPr>
        <w:t>omaalgatuslikes arvamustes</w:t>
      </w:r>
      <w:r>
        <w:t xml:space="preserve"> ja </w:t>
      </w:r>
      <w:r>
        <w:rPr>
          <w:i/>
        </w:rPr>
        <w:t>ettevalmistavates arvamustes</w:t>
      </w:r>
      <w:r>
        <w:t>, mis võetakse vastu rotatsiooni korras vahetuvate eesistujariikide või teiste Euroopa institutsioonide taotlusel.</w:t>
      </w:r>
      <w:r>
        <w:rPr>
          <w:color w:val="212121"/>
        </w:rPr>
        <w:t xml:space="preserve"> Tänu suurepärastele suhtele nendega teeb komitee kõik endast oleneva, et veenda neid selles, et need taotlused peaksid hõlmama noortega seotud aspekte.</w:t>
      </w:r>
      <w:r>
        <w:rPr>
          <w:rFonts w:ascii="Calibri" w:hAnsi="Calibri"/>
          <w:color w:val="212121"/>
        </w:rPr>
        <w:t xml:space="preserve"> </w:t>
      </w:r>
    </w:p>
    <w:p w14:paraId="4C777791" w14:textId="77777777" w:rsidR="00497E52" w:rsidRPr="00E36037" w:rsidRDefault="00497E52" w:rsidP="00497E52">
      <w:pPr>
        <w:rPr>
          <w:lang w:val="en-GB"/>
        </w:rPr>
      </w:pPr>
    </w:p>
    <w:p w14:paraId="1E32CAA6" w14:textId="77777777" w:rsidR="00497E52" w:rsidRPr="00E36037" w:rsidRDefault="00497E52" w:rsidP="00497E52">
      <w:pPr>
        <w:pStyle w:val="Heading1"/>
        <w:keepNext/>
        <w:keepLines/>
      </w:pPr>
      <w:r>
        <w:rPr>
          <w:b/>
        </w:rPr>
        <w:t>Lähiaastate keskendumine: ehitame ühiselt parema – keskkonnahoidlikuma, kaasavama ja digitaalsema tuleviku.</w:t>
      </w:r>
    </w:p>
    <w:p w14:paraId="1D94F509" w14:textId="77777777" w:rsidR="00497E52" w:rsidRPr="00E36037" w:rsidRDefault="00497E52" w:rsidP="00497E52">
      <w:pPr>
        <w:keepNext/>
        <w:keepLines/>
        <w:rPr>
          <w:i/>
          <w:lang w:val="en-GB"/>
        </w:rPr>
      </w:pPr>
    </w:p>
    <w:p w14:paraId="76890C9E" w14:textId="77777777" w:rsidR="00497E52" w:rsidRPr="00E36037" w:rsidRDefault="00497E52" w:rsidP="00497E52">
      <w:pPr>
        <w:pStyle w:val="Heading2"/>
      </w:pPr>
      <w:r>
        <w:t>Komitee rõhutab, kui oluline on suurendada noorte teadmisi ja informeeritust Euroopa institutsioonide, toimimismehhanismide, tegevusvaldkondade, igapäevaste tegevuste konkreetsete näidete ning noorte isikliku ja kutsealase arengu võimaluste kohta. Euroopa kogemuste vahetamise ja koolitusprogrammide (</w:t>
      </w:r>
      <w:proofErr w:type="spellStart"/>
      <w:r>
        <w:t>Erasmus</w:t>
      </w:r>
      <w:proofErr w:type="spellEnd"/>
      <w:r>
        <w:t xml:space="preserve">+, </w:t>
      </w:r>
      <w:proofErr w:type="spellStart"/>
      <w:r>
        <w:t>Discover</w:t>
      </w:r>
      <w:proofErr w:type="spellEnd"/>
      <w:r>
        <w:t xml:space="preserve"> EU jne) arvu tuleks suurendada nii kohalikul kui ka välisel tasandil, samuti nende programmide arvu, mille üle teostatakse järelevalvet koos teiste sama riigi või välismaa haridusasutustega. Komitee edendab ja julgustab komitee liikmeid korraldama noortele keskenduvaid kohaliku tasandi algatusi.</w:t>
      </w:r>
    </w:p>
    <w:p w14:paraId="02B60C01" w14:textId="77777777" w:rsidR="00497E52" w:rsidRPr="00E36037" w:rsidRDefault="00497E52" w:rsidP="00497E52">
      <w:pPr>
        <w:ind w:left="567" w:hanging="567"/>
        <w:rPr>
          <w:lang w:val="en-GB"/>
        </w:rPr>
      </w:pPr>
    </w:p>
    <w:p w14:paraId="1CF7268E" w14:textId="48577CA3" w:rsidR="00497E52" w:rsidRPr="00E36037" w:rsidRDefault="00497E52" w:rsidP="00497E52">
      <w:pPr>
        <w:pStyle w:val="Heading2"/>
      </w:pPr>
      <w:r>
        <w:t>Komitee juhib tähelepanu vajadusele luua ja tagada raamistik, mis võimaldab kõigil noortel osaleda otsustusprotsessis nii Euroopa kui riiklikul tasandil, luues institutsioonid, mis on avatumad ja valmis noortega koostööd tegema. Eriti oluline on võimaldada otsustusprotsessides osaleda ebasoodsas, haavatavas ja tõrjutud olukorras olevatel noortel. Prioriteediks peaks olema noorte osalemise edendamine poliitilistel valimistel. Lisaks aitab noorte osalemine kaasa loovusele ja innovatsioonile ning noori tuleb kuulda võtta ning julgustada nende osalemist kodaniku- ja kogukonnaelus juba noores eas.</w:t>
      </w:r>
    </w:p>
    <w:p w14:paraId="508EE529" w14:textId="77777777" w:rsidR="00497E52" w:rsidRPr="00E36037" w:rsidRDefault="00497E52" w:rsidP="00497E52">
      <w:pPr>
        <w:ind w:left="567" w:hanging="567"/>
        <w:rPr>
          <w:lang w:val="en-GB"/>
        </w:rPr>
      </w:pPr>
    </w:p>
    <w:p w14:paraId="14FA42FE" w14:textId="77777777" w:rsidR="00497E52" w:rsidRPr="00E36037" w:rsidRDefault="00497E52" w:rsidP="00497E52">
      <w:pPr>
        <w:pStyle w:val="Heading2"/>
      </w:pPr>
      <w:r>
        <w:t xml:space="preserve">Komitee soovitab rakendada koolist </w:t>
      </w:r>
      <w:proofErr w:type="spellStart"/>
      <w:r>
        <w:t>väljalangejatele</w:t>
      </w:r>
      <w:proofErr w:type="spellEnd"/>
      <w:r>
        <w:t xml:space="preserve"> teise võimaluse ja kirjaoskuse programme ning meetmeid haridussüsteemist varakult lahkumise vähendamiseks, tagades juhendamise, </w:t>
      </w:r>
      <w:r>
        <w:lastRenderedPageBreak/>
        <w:t>toetuse ja sotsiaalkaitse programmid, mis on suunatud maapiirkondadest ja vaestest peredest pärit noortele, et hõlbustada juurdepääsu haridusteenustele.</w:t>
      </w:r>
    </w:p>
    <w:p w14:paraId="5FE8CFBB" w14:textId="77777777" w:rsidR="00497E52" w:rsidRPr="00E36037" w:rsidRDefault="00497E52" w:rsidP="00497E52">
      <w:pPr>
        <w:rPr>
          <w:lang w:val="en-GB"/>
        </w:rPr>
      </w:pPr>
    </w:p>
    <w:p w14:paraId="01762163" w14:textId="77777777" w:rsidR="00497E52" w:rsidRPr="00E36037" w:rsidRDefault="00497E52" w:rsidP="00497E52">
      <w:pPr>
        <w:pStyle w:val="Heading2"/>
      </w:pPr>
      <w:r>
        <w:rPr>
          <w:highlight w:val="white"/>
        </w:rPr>
        <w:t>On vaja saavutada kvaliteetne ja kaasav haridus ja koolitus ning elukestev õpe, et igaühel oleksid teadmised, oskused, pädevused ja suhtumine, mida Euroopa vajab õiglasema, sidusama, kestlikuma, digitaalsema ja vastupanuvõimelisema ühiskonna loomiseks. Noortel peavad olema oskused, mis võimaldavad neil täiel määral ühiskonnas osaleda ja tööturul toimuvate üleminekutega edukalt toime tulla</w:t>
      </w:r>
      <w:r w:rsidRPr="00E36037">
        <w:rPr>
          <w:rStyle w:val="FootnoteReference"/>
          <w:highlight w:val="white"/>
          <w:lang w:val="en-GB"/>
        </w:rPr>
        <w:footnoteReference w:id="14"/>
      </w:r>
      <w:r>
        <w:rPr>
          <w:highlight w:val="white"/>
        </w:rPr>
        <w:t>, keskendudes kõige haavatavamatele inimestele. Oskustega töötaja on oluline tegur Euroopa konkurentsivõime tagamisel, nagu on tunnistatud ka Euroopa Komisjoni ettepanekus Euroopa oskuste aasta 2023 kohta</w:t>
      </w:r>
      <w:r w:rsidRPr="00E36037">
        <w:rPr>
          <w:rStyle w:val="FootnoteReference"/>
          <w:highlight w:val="white"/>
          <w:lang w:val="en-GB"/>
        </w:rPr>
        <w:footnoteReference w:id="15"/>
      </w:r>
      <w:r>
        <w:rPr>
          <w:highlight w:val="white"/>
        </w:rPr>
        <w:t xml:space="preserve">, lisaks tuleb tagada head töötingimused, karjääri </w:t>
      </w:r>
      <w:proofErr w:type="spellStart"/>
      <w:r>
        <w:rPr>
          <w:highlight w:val="white"/>
        </w:rPr>
        <w:t>prognoositavus</w:t>
      </w:r>
      <w:proofErr w:type="spellEnd"/>
      <w:r>
        <w:rPr>
          <w:highlight w:val="white"/>
        </w:rPr>
        <w:t xml:space="preserve"> ja juurdepääs võimalustele. Soodustada tuleks osalemist haridusasutustes. Prioriteediks peaks olema Euroopa sotsiaalõiguste samba rakendamine seoses noortega. Samuti on vaja teha edusamme haridusreformis, käsitledes oskuste mittevastavust vajadusele ning keskendudes elukestvale õppele, ümberõppele ja oskuste täiendamisele</w:t>
      </w:r>
      <w:r w:rsidRPr="00E36037">
        <w:rPr>
          <w:rStyle w:val="FootnoteReference"/>
          <w:color w:val="202124"/>
          <w:highlight w:val="white"/>
          <w:lang w:val="en-GB"/>
        </w:rPr>
        <w:footnoteReference w:id="16"/>
      </w:r>
      <w:r>
        <w:rPr>
          <w:highlight w:val="white"/>
        </w:rPr>
        <w:t>.</w:t>
      </w:r>
    </w:p>
    <w:p w14:paraId="2BEB8E62" w14:textId="77777777" w:rsidR="00497E52" w:rsidRPr="00E36037" w:rsidRDefault="00497E52" w:rsidP="00497E52">
      <w:pPr>
        <w:ind w:left="567" w:hanging="567"/>
        <w:rPr>
          <w:lang w:val="en-GB"/>
        </w:rPr>
      </w:pPr>
    </w:p>
    <w:p w14:paraId="06C22105" w14:textId="77777777" w:rsidR="00497E52" w:rsidRPr="00E36037" w:rsidRDefault="00497E52" w:rsidP="00497E52">
      <w:pPr>
        <w:pStyle w:val="Heading2"/>
      </w:pPr>
      <w:r>
        <w:t>Komitee kutsub üles lihtsustama maapiirkondade noorte juurdepääsu haridussüsteemile, tagades kvaliteetseks haridusprotsessiks vajaliku füüsilise ja digitaalse taristu eelkõige kestliku arengu ja keskkonnakaitse valdkonnas.</w:t>
      </w:r>
    </w:p>
    <w:p w14:paraId="60796C82" w14:textId="77777777" w:rsidR="00497E52" w:rsidRPr="00E36037" w:rsidRDefault="00497E52" w:rsidP="00497E52">
      <w:pPr>
        <w:ind w:left="567" w:hanging="567"/>
        <w:rPr>
          <w:lang w:val="en-GB"/>
        </w:rPr>
      </w:pPr>
    </w:p>
    <w:p w14:paraId="2D449573" w14:textId="77777777" w:rsidR="00497E52" w:rsidRPr="00E36037" w:rsidRDefault="00497E52" w:rsidP="00497E52">
      <w:pPr>
        <w:pStyle w:val="Heading2"/>
      </w:pPr>
      <w:r>
        <w:t>Koostöös kodanikuühiskonna organisatsioonidega julgustab komitee liikmesriike tegema koolid sihipäraselt juurdepääsetavaks inimestele, kes põevad harvikhaigusi või ei saa meditsiinilistel põhjustel koolis käia, ning garanteerima vajaliku taristu, et tagada puuetega inimestele võrdne juurdepääs haridusteenustele, nii et kedagi ei jäetaks kõrvale.</w:t>
      </w:r>
    </w:p>
    <w:p w14:paraId="3B26333F" w14:textId="77777777" w:rsidR="00497E52" w:rsidRPr="00E36037" w:rsidRDefault="00497E52" w:rsidP="00497E52">
      <w:pPr>
        <w:rPr>
          <w:lang w:val="en-GB"/>
        </w:rPr>
      </w:pPr>
    </w:p>
    <w:p w14:paraId="4388C2E4" w14:textId="77777777" w:rsidR="00497E52" w:rsidRPr="00E36037" w:rsidRDefault="00497E52" w:rsidP="00497E52">
      <w:pPr>
        <w:pStyle w:val="Heading2"/>
      </w:pPr>
      <w:r>
        <w:rPr>
          <w:highlight w:val="white"/>
        </w:rPr>
        <w:t xml:space="preserve">Haridus on kõigi muude kestliku arengu eesmärkide saavutamise peamine </w:t>
      </w:r>
      <w:proofErr w:type="spellStart"/>
      <w:r>
        <w:rPr>
          <w:highlight w:val="white"/>
        </w:rPr>
        <w:t>võimaldaja</w:t>
      </w:r>
      <w:proofErr w:type="spellEnd"/>
      <w:r>
        <w:rPr>
          <w:highlight w:val="white"/>
        </w:rPr>
        <w:t>. Seepärast toetab komitee Euroopa Komisjoni tööd rohepööret ja kestlikku arengut toetava õppe vallas ning kutsub liikmesriike üles oma riigis haridust vastavalt rakendama ja ümber kujundama</w:t>
      </w:r>
      <w:r w:rsidRPr="00E36037">
        <w:rPr>
          <w:rStyle w:val="FootnoteReference"/>
          <w:highlight w:val="white"/>
          <w:lang w:val="en-GB"/>
        </w:rPr>
        <w:footnoteReference w:id="17"/>
      </w:r>
      <w:r>
        <w:rPr>
          <w:highlight w:val="white"/>
        </w:rPr>
        <w:t>.</w:t>
      </w:r>
    </w:p>
    <w:p w14:paraId="70A977D9" w14:textId="77777777" w:rsidR="00497E52" w:rsidRPr="00E36037" w:rsidRDefault="00497E52" w:rsidP="00497E52">
      <w:pPr>
        <w:ind w:left="567" w:hanging="567"/>
        <w:rPr>
          <w:lang w:val="en-GB"/>
        </w:rPr>
      </w:pPr>
    </w:p>
    <w:p w14:paraId="3067A390" w14:textId="77777777" w:rsidR="00497E52" w:rsidRPr="00E36037" w:rsidRDefault="00497E52" w:rsidP="00497E52">
      <w:pPr>
        <w:pStyle w:val="Heading2"/>
      </w:pPr>
      <w:r>
        <w:t>Komitee teeb ettepaneku töötada koos sotsiaalpartnerite ja kodanikuühiskonnaga välja teavitus- ja nõustamisüritused või õppekavad, mille eesmärk on selgitada tööturu lahutamatut osa moodustavaid põhielemente, käsitledes selliseid mõisteid nagu tööandja, tööleping jne. Selleks tuleks eraldada piisavalt vahendeid eelkõige haavatavatele noortele ja ebatüüpiliste tööhõivevormide puhul.</w:t>
      </w:r>
      <w:r>
        <w:rPr>
          <w:highlight w:val="white"/>
        </w:rPr>
        <w:t xml:space="preserve"> </w:t>
      </w:r>
      <w:r>
        <w:t>Sama teavet tuleks edastada ka noortele rändajatele, kes sisenevad tundmatusse riiki, et integreerida nad kiiremini uude ühiskonda, selle haridus- ja töösüsteemidesse ning kultuuri. Üldiselt tuleks noortele pakkuda rohkem vahendeid, et õpetada neile selliseid aineid nagu finantsharidus, samuti on väga oluline, et neil oleksid head teadmised oma õigustest kodanike ja töötajatena. Kõik see on oluline, et aidata noortel valmistuda tulevaseks täiskasvanueluks.</w:t>
      </w:r>
    </w:p>
    <w:p w14:paraId="12FA9C2A" w14:textId="77777777" w:rsidR="00497E52" w:rsidRPr="00E36037" w:rsidRDefault="00497E52" w:rsidP="00497E52">
      <w:pPr>
        <w:rPr>
          <w:lang w:val="en-GB"/>
        </w:rPr>
      </w:pPr>
    </w:p>
    <w:p w14:paraId="3345AA5C" w14:textId="77777777" w:rsidR="00497E52" w:rsidRPr="00E36037" w:rsidRDefault="00497E52" w:rsidP="00497E52">
      <w:pPr>
        <w:pStyle w:val="Heading2"/>
      </w:pPr>
      <w:r>
        <w:lastRenderedPageBreak/>
        <w:t xml:space="preserve">Komitee on juba märkinud, et ettevõtlusel võib olla oluline roll ka konkurentsivõime, innovatsiooni ja heaolu parandamisel ning sotsiaalse ja keskkonnahoidliku majanduse arendamisel, eriti pandeemiajärgse taastumise kontekstis. </w:t>
      </w:r>
      <w:r>
        <w:rPr>
          <w:highlight w:val="white"/>
        </w:rPr>
        <w:t>Ettevõtlusalase hariduse soodustamine ettevõtlusoskuste arendamiseks võiks aidata luua karjäärivõimalusi, seda eriti noorte hulgas</w:t>
      </w:r>
      <w:r w:rsidRPr="00E36037">
        <w:rPr>
          <w:rStyle w:val="FootnoteReference"/>
          <w:highlight w:val="white"/>
          <w:lang w:val="en-GB"/>
        </w:rPr>
        <w:footnoteReference w:id="18"/>
      </w:r>
      <w:r>
        <w:t>.</w:t>
      </w:r>
    </w:p>
    <w:p w14:paraId="12A5609E" w14:textId="77777777" w:rsidR="00497E52" w:rsidRPr="00E36037" w:rsidRDefault="00497E52" w:rsidP="00497E52">
      <w:pPr>
        <w:ind w:left="567" w:hanging="567"/>
        <w:rPr>
          <w:lang w:val="en-GB"/>
        </w:rPr>
      </w:pPr>
    </w:p>
    <w:p w14:paraId="6D785507" w14:textId="77777777" w:rsidR="00497E52" w:rsidRPr="00E36037" w:rsidRDefault="00497E52" w:rsidP="00497E52">
      <w:pPr>
        <w:pStyle w:val="Heading2"/>
      </w:pPr>
      <w:r>
        <w:t>Komitee innustab leidma asjakohaseid lahendusi riiklikul tasandil, tagamaks üürihindade kontroll, et hõlbustada liikuvust hariduslikel või ametialastel eesmärkidel, ning rakendada eelkõige suurtes linnades ja majandusarengu keskustes ka noortele mõeldud sotsiaalelamuehituse programmi.</w:t>
      </w:r>
    </w:p>
    <w:p w14:paraId="3C62E042" w14:textId="77777777" w:rsidR="00497E52" w:rsidRPr="00E36037" w:rsidRDefault="00497E52" w:rsidP="00497E52">
      <w:pPr>
        <w:ind w:left="567" w:hanging="567"/>
        <w:rPr>
          <w:lang w:val="en-GB"/>
        </w:rPr>
      </w:pPr>
    </w:p>
    <w:p w14:paraId="3842216A" w14:textId="77777777" w:rsidR="00497E52" w:rsidRPr="00E36037" w:rsidRDefault="00497E52" w:rsidP="00497E52">
      <w:pPr>
        <w:pStyle w:val="Heading2"/>
      </w:pPr>
      <w:r>
        <w:t xml:space="preserve">Komitee nõuab, et noortel, eriti maapiirkondade noortel, oleks parem juurdepääs kvaliteetsetele tervishoiuteenustele, suurendades selleks esmatasandi meditsiiniteenuseid pakkuvate haiglaosakondade või mobiilsete üksuste arvu ning korraldades haridusasutustes teadlikkuse suurendamise kampaaniaid, mis käsitlevad selliseid olulisi teemasid nagu vigastuste ennetamine, toitumishäired, vaimne tervis, üldine terviseharidus ja reproduktiivtervis. </w:t>
      </w:r>
      <w:r>
        <w:rPr>
          <w:color w:val="212121"/>
        </w:rPr>
        <w:t>Tuleb välja töötada spetsiaalsed uurimisprogrammid, et aidata noori võitluses haigustega (nt vähktõbi), kuna täiskasvanutele mõeldud ravimeetodid neile sageli ei sobi.</w:t>
      </w:r>
    </w:p>
    <w:p w14:paraId="5C08A663" w14:textId="77777777" w:rsidR="00497E52" w:rsidRPr="00E36037" w:rsidRDefault="00497E52" w:rsidP="00497E52">
      <w:pPr>
        <w:ind w:left="567" w:hanging="567"/>
        <w:rPr>
          <w:lang w:val="en-GB"/>
        </w:rPr>
      </w:pPr>
    </w:p>
    <w:p w14:paraId="52E41DB9" w14:textId="77777777" w:rsidR="00497E52" w:rsidRPr="00E36037" w:rsidRDefault="00497E52" w:rsidP="00497E52">
      <w:pPr>
        <w:pStyle w:val="Heading2"/>
      </w:pPr>
      <w:r>
        <w:t>Komitee kutsub üles tegema kodanikuühiskonna organisatsioonidega koostöös ning noori ja kodanikuühiskonda kaasates suuremaid ja pidevaid jõupingutusi, et koolides võetaks meetmeid sellistes valdkondades nagu liiklusalane haridus, sugulisel teel levivate haiguste ennetamine, kiusamine ja vihakõne, tubaka, alkoholi ja uimastite tarbimine.</w:t>
      </w:r>
    </w:p>
    <w:p w14:paraId="1455226B" w14:textId="77777777" w:rsidR="00497E52" w:rsidRPr="00E36037" w:rsidRDefault="00497E52" w:rsidP="00497E52">
      <w:pPr>
        <w:ind w:left="567" w:hanging="567"/>
        <w:rPr>
          <w:lang w:val="en-GB"/>
        </w:rPr>
      </w:pPr>
    </w:p>
    <w:p w14:paraId="21161F0A" w14:textId="77777777" w:rsidR="00497E52" w:rsidRPr="00E36037" w:rsidRDefault="00497E52" w:rsidP="00497E52">
      <w:pPr>
        <w:pStyle w:val="Heading2"/>
      </w:pPr>
      <w:r>
        <w:t xml:space="preserve">Komitee teeb ettepaneku tagada, et noortel oleks juurdepääs ametlikele esindussüsteemidele, kui nad suhtlevad tööturul osalejatega, ning et kõik noored, eriti need, kellel töökoht puudub või kellel on ebakindel töökoht, oleksid teadlikud ühinemisvabadusest, samuti töötajate ja tööandjate õigusest ise moodustada organisatsioone ja nendega liituda. </w:t>
      </w:r>
    </w:p>
    <w:p w14:paraId="68B19700" w14:textId="77777777" w:rsidR="00497E52" w:rsidRPr="00E36037" w:rsidRDefault="00497E52" w:rsidP="00497E52">
      <w:pPr>
        <w:ind w:left="567" w:hanging="567"/>
        <w:rPr>
          <w:lang w:val="en-GB"/>
        </w:rPr>
      </w:pPr>
    </w:p>
    <w:p w14:paraId="7FFAC911" w14:textId="77777777" w:rsidR="00497E52" w:rsidRPr="00E36037" w:rsidRDefault="00497E52" w:rsidP="00497E52">
      <w:pPr>
        <w:pStyle w:val="Heading2"/>
      </w:pPr>
      <w:r>
        <w:t>Komitee kutsub üles tugevdama sotsiaalpartnerite ja kodanikuühiskonna organisatsioonide suutlikkust, et nad suudaksid esindada noori ja hõlbustada üleminekut koolist aktiivsesse tööellu ning kaasata noorteorganisatsioone sotsiaalsesse dialoogi, kollektiivläbirääkimistesse ja tööturu eest vastutavatesse kolmepoolsetes organisatsioonidesse.</w:t>
      </w:r>
    </w:p>
    <w:p w14:paraId="53008ADC" w14:textId="77777777" w:rsidR="00497E52" w:rsidRPr="00E36037" w:rsidRDefault="00497E52" w:rsidP="00497E52">
      <w:pPr>
        <w:ind w:left="567" w:hanging="567"/>
        <w:rPr>
          <w:lang w:val="en-GB"/>
        </w:rPr>
      </w:pPr>
    </w:p>
    <w:p w14:paraId="56DBF329" w14:textId="77777777" w:rsidR="00497E52" w:rsidRPr="00E36037" w:rsidRDefault="00497E52" w:rsidP="00497E52">
      <w:pPr>
        <w:pStyle w:val="Heading2"/>
      </w:pPr>
      <w:r>
        <w:t>Komitee nõuab tööturul tegutsevate institutsioonide ajakohastamist ja tugevdamist, kohandades pakutavaid teenuseid noorte eripäradega, tehes need kergesti kättesaadavateks, dünaamilisteks, sõbralikeks ja vähem bürokraatlikeks.</w:t>
      </w:r>
    </w:p>
    <w:p w14:paraId="4F0C528C" w14:textId="77777777" w:rsidR="00497E52" w:rsidRPr="00E36037" w:rsidRDefault="00497E52" w:rsidP="00497E52">
      <w:pPr>
        <w:ind w:left="567" w:hanging="567"/>
        <w:rPr>
          <w:lang w:val="en-GB"/>
        </w:rPr>
      </w:pPr>
    </w:p>
    <w:p w14:paraId="26C798DB" w14:textId="77777777" w:rsidR="00497E52" w:rsidRPr="00E36037" w:rsidRDefault="00497E52" w:rsidP="00497E52">
      <w:pPr>
        <w:pStyle w:val="Heading2"/>
      </w:pPr>
      <w:r>
        <w:t xml:space="preserve">Komitee nõuab õiglase kohtlemise tagamist nii naiste ja meeste võrdsete võimaluste osas kui ka noorte puhul võrreldes teiste vanuserühmadega sellistes valdkondades nagu palgad, töötingimused, koolitused ja töökohal edutamine. Praktikantide, eriti noorte töö ei tohiks tähendada ärakasutamist ning see ei tohiks olla vahend töösuhtest kõrvalehoidmiseks. </w:t>
      </w:r>
      <w:r>
        <w:lastRenderedPageBreak/>
        <w:t>Tasustamata või hüvitamata praktika võib avaldada väga kahjulikku mõju noorte kogemustele tööturul</w:t>
      </w:r>
      <w:r w:rsidRPr="00E36037">
        <w:rPr>
          <w:rStyle w:val="FootnoteReference"/>
          <w:lang w:val="en-GB"/>
        </w:rPr>
        <w:footnoteReference w:id="19"/>
      </w:r>
      <w:r>
        <w:t xml:space="preserve"> ja see tuleb keelata</w:t>
      </w:r>
      <w:r w:rsidRPr="00E36037">
        <w:rPr>
          <w:rStyle w:val="FootnoteReference"/>
          <w:lang w:val="en-GB"/>
        </w:rPr>
        <w:footnoteReference w:id="20"/>
      </w:r>
      <w:r>
        <w:t>. Noorte esindatust tuleks veelgi tugevdada.</w:t>
      </w:r>
    </w:p>
    <w:p w14:paraId="523FD4C9" w14:textId="77777777" w:rsidR="00497E52" w:rsidRPr="00E36037" w:rsidRDefault="00497E52" w:rsidP="00497E52">
      <w:pPr>
        <w:ind w:left="567" w:hanging="567"/>
        <w:rPr>
          <w:lang w:val="en-GB"/>
        </w:rPr>
      </w:pPr>
    </w:p>
    <w:p w14:paraId="75D30AF1" w14:textId="77777777" w:rsidR="00497E52" w:rsidRPr="00E36037" w:rsidRDefault="00497E52" w:rsidP="00497E52">
      <w:pPr>
        <w:pStyle w:val="Heading2"/>
      </w:pPr>
      <w:r>
        <w:t>Komitee leiab, et sotsiaalmajanduse toetamine on vajalik, sest see sektor aitab aktiivselt sotsiaalselt tõrjutud noori ja teisi haavatavaid isikuid eelkõige meetmetega, mille eesmärk on suurendada enesehinnangut, teabevahetust jne.</w:t>
      </w:r>
    </w:p>
    <w:p w14:paraId="3C57BD48" w14:textId="77777777" w:rsidR="00497E52" w:rsidRPr="00E36037" w:rsidRDefault="00497E52" w:rsidP="00497E52">
      <w:pPr>
        <w:ind w:left="567" w:hanging="567"/>
        <w:rPr>
          <w:lang w:val="en-GB"/>
        </w:rPr>
      </w:pPr>
    </w:p>
    <w:p w14:paraId="0D054535" w14:textId="77777777" w:rsidR="00497E52" w:rsidRPr="00E36037" w:rsidRDefault="00497E52" w:rsidP="00497E52">
      <w:pPr>
        <w:pStyle w:val="Heading2"/>
      </w:pPr>
      <w:r>
        <w:t>Komitee on seisukohal, et tervishoiuteenuste vähene kättesaadavus pandeemia põhjustatud olukorra tõttu nõuab suuremaid jõupingutusi, et aidata noortel tuvastada vaimse tervise ja heaoluga seotud nähte ning edendada õiget teavet võimalikult paljude kanalite kaudu, et eraldada väärtuslik teave valedest abi/toetuse lubadustest, kasutades selleks sealhulgas tervishoiuvahendeid.</w:t>
      </w:r>
    </w:p>
    <w:p w14:paraId="1E3CB1C3" w14:textId="77777777" w:rsidR="00497E52" w:rsidRPr="00E36037" w:rsidRDefault="00497E52" w:rsidP="00497E52">
      <w:pPr>
        <w:ind w:left="567" w:hanging="567"/>
        <w:rPr>
          <w:lang w:val="en-GB"/>
        </w:rPr>
      </w:pPr>
    </w:p>
    <w:p w14:paraId="197C3F76" w14:textId="77777777" w:rsidR="00497E52" w:rsidRPr="00E36037" w:rsidRDefault="00497E52" w:rsidP="00497E52">
      <w:pPr>
        <w:pStyle w:val="Heading2"/>
      </w:pPr>
      <w:r>
        <w:t>Komitee kutsub üles reformima sotsiaalkaitsesüsteeme ja tööõigusakte, et kohandada neid uute olude ja töövormidega ning tagada, et hilisemaid muutusi töövaldkonnas saab tulevikus kiiremini kohandada ja reguleerida, austades täiel määral riiklikke töösuhete mudeleid ja sotsiaalpartnerite autonoomiat.</w:t>
      </w:r>
    </w:p>
    <w:p w14:paraId="4E9B5F7E" w14:textId="77777777" w:rsidR="00497E52" w:rsidRPr="00E36037" w:rsidRDefault="00497E52" w:rsidP="00497E52">
      <w:pPr>
        <w:ind w:left="567" w:hanging="567"/>
        <w:rPr>
          <w:lang w:val="en-GB"/>
        </w:rPr>
      </w:pPr>
    </w:p>
    <w:p w14:paraId="39AB4582" w14:textId="77777777" w:rsidR="00497E52" w:rsidRPr="00E36037" w:rsidRDefault="00497E52" w:rsidP="00497E52">
      <w:pPr>
        <w:pStyle w:val="Heading2"/>
      </w:pPr>
      <w:r>
        <w:t>Komitee teeb ettepaneku siduda pensioni- ja sotsiaalkaitsesüsteemid uuesti noorte majandusliku ja sotsiaalse tegelikkusega ning need peaksid olema õiglased, kaasavad ja kohandatud tööturu tegelikkusele, tagades kaitse noortele, kes kasutavad uusi töövorme, ja neile, kes ei tööta. Prioriteediks peavad olema kvaliteetsed töökohad kõigile noortele.</w:t>
      </w:r>
    </w:p>
    <w:p w14:paraId="7A9652CE" w14:textId="77777777" w:rsidR="00497E52" w:rsidRPr="00E36037" w:rsidRDefault="00497E52" w:rsidP="00497E52">
      <w:pPr>
        <w:ind w:left="567" w:hanging="567"/>
        <w:rPr>
          <w:lang w:val="en-GB"/>
        </w:rPr>
      </w:pPr>
    </w:p>
    <w:p w14:paraId="73F3AD15" w14:textId="77777777" w:rsidR="00497E52" w:rsidRPr="00E36037" w:rsidRDefault="00497E52" w:rsidP="00497E52">
      <w:pPr>
        <w:pStyle w:val="Heading2"/>
      </w:pPr>
      <w:r>
        <w:t xml:space="preserve">Komitee märgib, et koroonaviiruse pandeemia ajal ilmnes, et lisaks tööhõive stabiilsusele ja </w:t>
      </w:r>
      <w:proofErr w:type="spellStart"/>
      <w:r>
        <w:t>prognoositavusele</w:t>
      </w:r>
      <w:proofErr w:type="spellEnd"/>
      <w:r>
        <w:t xml:space="preserve"> on olulised tervise- ja ohutusküsimused, sealhulgas </w:t>
      </w:r>
      <w:proofErr w:type="spellStart"/>
      <w:r>
        <w:t>psühhosotsiaalsed</w:t>
      </w:r>
      <w:proofErr w:type="spellEnd"/>
      <w:r>
        <w:t xml:space="preserve"> riskid. Noortega tuleb pidada dialoogi selle üle, kuidas tulevikus selles valdkonnas probleeme ära hoida. Stabiilsusel ja kvaliteedistandarditel põhinevate eri tööhõivevormide kättesaadavus on oluline, et hõlbustada noorte osalemist tööturul. Lisaks on vaja võtta meetmeid, et tugevdada järelevalvet noorte töötingimuste üle, sealhulgas tugevdada tööinspektsioone.</w:t>
      </w:r>
    </w:p>
    <w:p w14:paraId="6643EF65" w14:textId="77777777" w:rsidR="00497E52" w:rsidRPr="00E36037" w:rsidRDefault="00497E52" w:rsidP="00497E52">
      <w:pPr>
        <w:ind w:left="567" w:hanging="567"/>
        <w:rPr>
          <w:lang w:val="en-GB"/>
        </w:rPr>
      </w:pPr>
    </w:p>
    <w:p w14:paraId="5743DDC4" w14:textId="77777777" w:rsidR="00497E52" w:rsidRPr="00E36037" w:rsidRDefault="00497E52" w:rsidP="00497E52">
      <w:pPr>
        <w:pStyle w:val="Heading2"/>
      </w:pPr>
      <w:r>
        <w:t>Komitee palub kaitsta noorte õigusi ja tagada sotsiaalkaitse töö- ja eraelu tasakaalu kaudu, kaitsta õigust eraelule ja säilitada võimalus kollektiivläbirääkimisteks. Samuti tuleks edendada võimalusi töögraafiku asjakohase paindlikkuse lubamiseks õpingute lõpetamiseks.</w:t>
      </w:r>
    </w:p>
    <w:p w14:paraId="619F8D81" w14:textId="77777777" w:rsidR="00497E52" w:rsidRPr="00E36037" w:rsidRDefault="00497E52" w:rsidP="00497E52">
      <w:pPr>
        <w:ind w:left="567" w:hanging="567"/>
        <w:rPr>
          <w:lang w:val="en-GB"/>
        </w:rPr>
      </w:pPr>
    </w:p>
    <w:p w14:paraId="41047DE2" w14:textId="77777777" w:rsidR="00497E52" w:rsidRPr="00E36037" w:rsidRDefault="00497E52" w:rsidP="00497E52">
      <w:pPr>
        <w:pStyle w:val="Heading2"/>
      </w:pPr>
      <w:r>
        <w:t xml:space="preserve">Komitee nõuab arvestamist suurema sünergiaga noortele suunatud eri vahendite, näiteks </w:t>
      </w:r>
      <w:proofErr w:type="spellStart"/>
      <w:r>
        <w:t>noortegarantii</w:t>
      </w:r>
      <w:proofErr w:type="spellEnd"/>
      <w:r>
        <w:t xml:space="preserve"> ja </w:t>
      </w:r>
      <w:proofErr w:type="spellStart"/>
      <w:r>
        <w:t>lastegarantii</w:t>
      </w:r>
      <w:proofErr w:type="spellEnd"/>
      <w:r>
        <w:t xml:space="preserve"> vahel. Noortele tuleks pakkuda tõelist garantiid, mis tagab neile prognoositavad karjääriväljavaated. Riiklik rahastamine noorte toetamiseks tööturul ei tohiks tuua kaasa ebakindluse: prioriteediks peaks jääma sotsiaalpartnerite ja kodanikuühiskonna kaasamine noorte abistamisse tööturul.</w:t>
      </w:r>
    </w:p>
    <w:p w14:paraId="645E0FC8" w14:textId="77777777" w:rsidR="00497E52" w:rsidRPr="00E36037" w:rsidRDefault="00497E52" w:rsidP="00497E52">
      <w:pPr>
        <w:ind w:left="567" w:hanging="567"/>
        <w:rPr>
          <w:lang w:val="en-GB"/>
        </w:rPr>
      </w:pPr>
    </w:p>
    <w:p w14:paraId="07904CD8" w14:textId="77777777" w:rsidR="00497E52" w:rsidRPr="00E36037" w:rsidRDefault="00497E52" w:rsidP="00497E52">
      <w:pPr>
        <w:pStyle w:val="Heading3"/>
      </w:pPr>
      <w:r>
        <w:t xml:space="preserve">Komitee eesmärk on tagada, et asjakohane ja kvaliteetne asendushooldus korraldatakse kõigile lastele ja noortele, kes on vanemlikust hoolest ilma jäänud, ning kuna selles olukorras on suhted </w:t>
      </w:r>
      <w:r>
        <w:lastRenderedPageBreak/>
        <w:t>veelgi olulisemad, peaksid õed-vennad saama kokku jääda, kui see ei ole vastuolus nende parimate huvidega. Üldiselt on oluline, et toetusmehhanismid ei lakkaks järsult, kui noored saavad 18aastaseks.</w:t>
      </w:r>
    </w:p>
    <w:p w14:paraId="45E09E22" w14:textId="77777777" w:rsidR="00497E52" w:rsidRPr="00E36037" w:rsidRDefault="00497E52" w:rsidP="00497E52">
      <w:pPr>
        <w:ind w:left="567" w:hanging="567"/>
        <w:rPr>
          <w:lang w:val="en-GB"/>
        </w:rPr>
      </w:pPr>
    </w:p>
    <w:p w14:paraId="551F69DF" w14:textId="77777777" w:rsidR="00497E52" w:rsidRPr="00E36037" w:rsidRDefault="00497E52" w:rsidP="00497E52">
      <w:pPr>
        <w:pStyle w:val="Heading2"/>
      </w:pPr>
      <w:r>
        <w:t>Komitee rõhutab vajadust käsitleda asjakohaselt praegusest majandusmudelist tulenevaid majanduslikke, sotsiaalseid ja keskkonnaalaseid probleeme, eriti noorte jaoks. Seejuures tuleks meeles pidada, et meie ühiskonna rohelisemaks, õiglasemaks, kaasavamaks, kestlikumaks ja heaolukesksemaks muutmisel tuleb lähtuda noorte huvidest, mis peavad saama tuleviku põhisambaks. Noored peaksid olema Euroopa struktuuri- ja investeerimisfondide investeeringute valdkonnaülene teema/eesmärk.</w:t>
      </w:r>
    </w:p>
    <w:p w14:paraId="312D82F4" w14:textId="77777777" w:rsidR="00497E52" w:rsidRPr="00E36037" w:rsidRDefault="00497E52" w:rsidP="00497E52">
      <w:pPr>
        <w:ind w:left="567" w:hanging="567"/>
        <w:rPr>
          <w:lang w:val="en-GB"/>
        </w:rPr>
      </w:pPr>
    </w:p>
    <w:p w14:paraId="3A05968B" w14:textId="6CFC0758" w:rsidR="00497E52" w:rsidRPr="00E36037" w:rsidRDefault="00497E52" w:rsidP="00497E52">
      <w:pPr>
        <w:pStyle w:val="Heading2"/>
      </w:pPr>
      <w:r>
        <w:t>Komitee peab vajalikuks tagada, et noortel oleks võimalus luua perekond. Euroopa stabiilsuse ja tuleviku jaoks on otsustava tähtsusega jõupingutuste suurendamine, et motiveerida noori perekonda looma ja lapsi saama. Seetõttu on oluline tagada juurdepääs eluasemele, lastehoiuteenustele ja paindlikule sotsiaalsele toetusele, luues selleks sihtotstarbelise ELi programmi.</w:t>
      </w:r>
    </w:p>
    <w:p w14:paraId="036D2C6A" w14:textId="77777777" w:rsidR="00497E52" w:rsidRPr="00E36037" w:rsidRDefault="00497E52" w:rsidP="00497E52">
      <w:pPr>
        <w:ind w:left="567" w:hanging="567"/>
        <w:rPr>
          <w:lang w:val="en-GB"/>
        </w:rPr>
      </w:pPr>
    </w:p>
    <w:p w14:paraId="0E4D90CA" w14:textId="56FC8853" w:rsidR="00497E52" w:rsidRPr="00E36037" w:rsidRDefault="00497E52" w:rsidP="00497E52">
      <w:pPr>
        <w:pStyle w:val="Heading2"/>
      </w:pPr>
      <w:r>
        <w:t xml:space="preserve">Komitee nõuab tungivalt, et nooremale põlvkonnale antaks oma arvamuste väljendamiseks tõeliselt demokraatlik ja </w:t>
      </w:r>
      <w:proofErr w:type="spellStart"/>
      <w:r>
        <w:t>pluralistlik</w:t>
      </w:r>
      <w:proofErr w:type="spellEnd"/>
      <w:r>
        <w:t xml:space="preserve"> avalik ruum, kus nad ei peaks kartmata tõrjumist või vihkamist. Samal ajal on äärmiselt oluline suurendada teadmisi ja teadlikkust teabega manipuleerimisest ja desinformatsioonist.</w:t>
      </w:r>
    </w:p>
    <w:p w14:paraId="50B8444A" w14:textId="77777777" w:rsidR="00497E52" w:rsidRPr="00E36037" w:rsidRDefault="00497E52" w:rsidP="00497E52">
      <w:pPr>
        <w:rPr>
          <w:lang w:val="en-GB"/>
        </w:rPr>
      </w:pPr>
    </w:p>
    <w:p w14:paraId="4820997B" w14:textId="1BB2B28F" w:rsidR="00497E52" w:rsidRPr="00E36037" w:rsidRDefault="00497E52" w:rsidP="00497E52">
      <w:pPr>
        <w:pStyle w:val="Heading2"/>
        <w:numPr>
          <w:ilvl w:val="0"/>
          <w:numId w:val="0"/>
        </w:numPr>
      </w:pPr>
      <w:r>
        <w:t>Brüssel, 15. detsember 2022</w:t>
      </w:r>
    </w:p>
    <w:p w14:paraId="25ACF248" w14:textId="1358DA9C" w:rsidR="00497E52" w:rsidRDefault="00497E52" w:rsidP="00497E52">
      <w:pPr>
        <w:rPr>
          <w:lang w:val="en-GB"/>
        </w:rPr>
      </w:pPr>
    </w:p>
    <w:p w14:paraId="52C7617F" w14:textId="77777777" w:rsidR="00F5135F" w:rsidRPr="00E36037" w:rsidRDefault="00F5135F" w:rsidP="00497E52">
      <w:pPr>
        <w:rPr>
          <w:lang w:val="en-GB"/>
        </w:rPr>
      </w:pPr>
    </w:p>
    <w:p w14:paraId="76D76B86" w14:textId="77777777" w:rsidR="00497E52" w:rsidRPr="00E36037" w:rsidRDefault="00497E52" w:rsidP="00497E52">
      <w:pPr>
        <w:rPr>
          <w:lang w:val="en-GB"/>
        </w:rPr>
      </w:pPr>
    </w:p>
    <w:p w14:paraId="4144FCCC" w14:textId="77777777" w:rsidR="00497E52" w:rsidRPr="00E36037" w:rsidRDefault="00497E52" w:rsidP="00497E52">
      <w:proofErr w:type="spellStart"/>
      <w:r>
        <w:t>Christa</w:t>
      </w:r>
      <w:proofErr w:type="spellEnd"/>
      <w:r>
        <w:t xml:space="preserve"> </w:t>
      </w:r>
      <w:proofErr w:type="spellStart"/>
      <w:r>
        <w:t>Schweng</w:t>
      </w:r>
      <w:proofErr w:type="spellEnd"/>
    </w:p>
    <w:p w14:paraId="4A5CF83B" w14:textId="148C4F5F" w:rsidR="00E2376B" w:rsidRPr="00E36037" w:rsidRDefault="00497E52" w:rsidP="00E2376B">
      <w:r>
        <w:t>Euroopa Majandus- ja Sotsiaalkomitee president</w:t>
      </w:r>
    </w:p>
    <w:p w14:paraId="6BABC1C7" w14:textId="77777777" w:rsidR="00F53370" w:rsidRPr="00E36037" w:rsidRDefault="00E2376B" w:rsidP="00DB7F50">
      <w:pPr>
        <w:jc w:val="center"/>
      </w:pPr>
      <w:r>
        <w:t>_____________</w:t>
      </w:r>
    </w:p>
    <w:sectPr w:rsidR="00F53370" w:rsidRPr="00E36037"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EAAF" w14:textId="77777777" w:rsidR="00D33609" w:rsidRDefault="00D33609" w:rsidP="00F53370">
      <w:pPr>
        <w:spacing w:line="240" w:lineRule="auto"/>
      </w:pPr>
      <w:r>
        <w:separator/>
      </w:r>
    </w:p>
  </w:endnote>
  <w:endnote w:type="continuationSeparator" w:id="0">
    <w:p w14:paraId="1BEEAF4E" w14:textId="77777777" w:rsidR="00D33609" w:rsidRDefault="00D33609"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793498EC"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E36037">
      <w:t>8</w:t>
    </w:r>
    <w:r>
      <w:fldChar w:fldCharType="end"/>
    </w:r>
    <w:r>
      <w:t>/</w:t>
    </w:r>
    <w:r>
      <w:fldChar w:fldCharType="begin"/>
    </w:r>
    <w:r>
      <w:instrText xml:space="preserve"> = </w:instrText>
    </w:r>
    <w:r w:rsidR="00D33609">
      <w:fldChar w:fldCharType="begin"/>
    </w:r>
    <w:r w:rsidR="00D33609">
      <w:instrText xml:space="preserve"> NUMPAGES </w:instrText>
    </w:r>
    <w:r w:rsidR="00D33609">
      <w:fldChar w:fldCharType="separate"/>
    </w:r>
    <w:r w:rsidR="00A62CF3">
      <w:rPr>
        <w:noProof/>
      </w:rPr>
      <w:instrText>10</w:instrText>
    </w:r>
    <w:r w:rsidR="00D33609">
      <w:rPr>
        <w:noProof/>
      </w:rPr>
      <w:fldChar w:fldCharType="end"/>
    </w:r>
    <w:r>
      <w:instrText xml:space="preserve"> - 2 </w:instrText>
    </w:r>
    <w:r>
      <w:fldChar w:fldCharType="separate"/>
    </w:r>
    <w:r w:rsidR="00A62CF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FB0A" w14:textId="77777777" w:rsidR="00D33609" w:rsidRDefault="00D33609" w:rsidP="00F53370">
      <w:pPr>
        <w:spacing w:line="240" w:lineRule="auto"/>
      </w:pPr>
      <w:r>
        <w:separator/>
      </w:r>
    </w:p>
  </w:footnote>
  <w:footnote w:type="continuationSeparator" w:id="0">
    <w:p w14:paraId="567B3221" w14:textId="77777777" w:rsidR="00D33609" w:rsidRDefault="00D33609" w:rsidP="00F53370">
      <w:pPr>
        <w:spacing w:line="240" w:lineRule="auto"/>
      </w:pPr>
      <w:r>
        <w:continuationSeparator/>
      </w:r>
    </w:p>
  </w:footnote>
  <w:footnote w:id="1">
    <w:p w14:paraId="1F64DC0D" w14:textId="77777777" w:rsidR="00497E52" w:rsidRPr="00AF42CB" w:rsidRDefault="00497E52" w:rsidP="005B220D">
      <w:pPr>
        <w:spacing w:after="60" w:line="240" w:lineRule="auto"/>
        <w:ind w:left="567" w:hanging="567"/>
        <w:rPr>
          <w:sz w:val="16"/>
          <w:szCs w:val="16"/>
        </w:rPr>
      </w:pPr>
      <w:r>
        <w:rPr>
          <w:rStyle w:val="FootnoteReference"/>
          <w:lang w:val="en-GB"/>
        </w:rPr>
        <w:footnoteRef/>
      </w:r>
      <w:r>
        <w:tab/>
      </w:r>
      <w:hyperlink r:id="rId1" w:history="1">
        <w:r>
          <w:rPr>
            <w:rStyle w:val="Hyperlink"/>
            <w:sz w:val="16"/>
          </w:rPr>
          <w:t>https://ec.europa.eu/commission/presscorner/detail/et/speech_21_4701</w:t>
        </w:r>
      </w:hyperlink>
      <w:r>
        <w:t>.</w:t>
      </w:r>
    </w:p>
  </w:footnote>
  <w:footnote w:id="2">
    <w:p w14:paraId="7B5AAAEC" w14:textId="77777777" w:rsidR="00497E52" w:rsidRPr="00AF42CB" w:rsidRDefault="00497E52" w:rsidP="005B220D">
      <w:pPr>
        <w:pStyle w:val="FootnoteText"/>
        <w:rPr>
          <w:szCs w:val="16"/>
        </w:rPr>
      </w:pPr>
      <w:r>
        <w:rPr>
          <w:rStyle w:val="FootnoteReference"/>
          <w:szCs w:val="16"/>
          <w:lang w:val="en-GB"/>
        </w:rPr>
        <w:footnoteRef/>
      </w:r>
      <w:r>
        <w:rPr>
          <w:sz w:val="24"/>
        </w:rPr>
        <w:t xml:space="preserve"> </w:t>
      </w:r>
      <w:r>
        <w:tab/>
      </w:r>
      <w:hyperlink r:id="rId2">
        <w:r>
          <w:rPr>
            <w:color w:val="1155CC"/>
            <w:u w:val="single"/>
          </w:rPr>
          <w:t>https://ec.europa.eu/commission/presscorner/detail/et/IP_21_5226</w:t>
        </w:r>
      </w:hyperlink>
      <w:r>
        <w:t>.</w:t>
      </w:r>
    </w:p>
  </w:footnote>
  <w:footnote w:id="3">
    <w:p w14:paraId="605C1585" w14:textId="77777777" w:rsidR="00497E52" w:rsidRPr="00AF42CB" w:rsidRDefault="00497E52" w:rsidP="005B220D">
      <w:pPr>
        <w:pStyle w:val="FootnoteText"/>
        <w:rPr>
          <w:szCs w:val="16"/>
        </w:rPr>
      </w:pPr>
      <w:r>
        <w:rPr>
          <w:rStyle w:val="FootnoteReference"/>
          <w:szCs w:val="16"/>
          <w:lang w:val="en-GB"/>
        </w:rPr>
        <w:footnoteRef/>
      </w:r>
      <w:r>
        <w:tab/>
        <w:t xml:space="preserve">Komitee arvamus ELi uue </w:t>
      </w:r>
      <w:r>
        <w:t xml:space="preserve">noortestrateegia kohta (teatis), </w:t>
      </w:r>
      <w:hyperlink r:id="rId3" w:history="1">
        <w:r>
          <w:rPr>
            <w:rStyle w:val="Hyperlink"/>
          </w:rPr>
          <w:t>ELT C 62, 15.2.2019, lk 142</w:t>
        </w:r>
      </w:hyperlink>
      <w:r>
        <w:t>.</w:t>
      </w:r>
    </w:p>
  </w:footnote>
  <w:footnote w:id="4">
    <w:p w14:paraId="47B27DD6"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Komitee arvamus teemal „Noorte struktureeritud kaasamine ELi otsustusprotsessi kliima ja kestlikkuse valdkonnas“, </w:t>
      </w:r>
      <w:hyperlink r:id="rId4" w:history="1">
        <w:r>
          <w:rPr>
            <w:rStyle w:val="Hyperlink"/>
          </w:rPr>
          <w:t>ELT C 429, 11.12.2020, lk 44</w:t>
        </w:r>
      </w:hyperlink>
      <w:r>
        <w:t>.</w:t>
      </w:r>
    </w:p>
  </w:footnote>
  <w:footnote w:id="5">
    <w:p w14:paraId="25925183" w14:textId="1FC9D4DD" w:rsidR="00497E52" w:rsidRPr="00AF42CB" w:rsidRDefault="00497E52" w:rsidP="005B220D">
      <w:pPr>
        <w:spacing w:after="60" w:line="240" w:lineRule="auto"/>
        <w:ind w:left="567" w:hanging="567"/>
        <w:rPr>
          <w:sz w:val="16"/>
          <w:szCs w:val="16"/>
        </w:rPr>
      </w:pPr>
      <w:r>
        <w:rPr>
          <w:rStyle w:val="FootnoteReference"/>
          <w:szCs w:val="24"/>
          <w:lang w:val="en-GB"/>
        </w:rPr>
        <w:footnoteRef/>
      </w:r>
      <w:r>
        <w:rPr>
          <w:sz w:val="24"/>
        </w:rPr>
        <w:t xml:space="preserve"> </w:t>
      </w:r>
      <w:r>
        <w:rPr>
          <w:sz w:val="16"/>
        </w:rPr>
        <w:tab/>
      </w:r>
      <w:r w:rsidRPr="00F5135F">
        <w:rPr>
          <w:sz w:val="16"/>
          <w:szCs w:val="16"/>
        </w:rPr>
        <w:t xml:space="preserve">Komitee arvamus teemal </w:t>
      </w:r>
      <w:hyperlink r:id="rId5" w:history="1">
        <w:r w:rsidRPr="00F5135F">
          <w:rPr>
            <w:rStyle w:val="Hyperlink"/>
            <w:sz w:val="16"/>
            <w:szCs w:val="16"/>
          </w:rPr>
          <w:t>„Noorte mõjuvõimu suurendamine kestliku arengu saavutamiseks hariduse kaudu“</w:t>
        </w:r>
      </w:hyperlink>
      <w:r w:rsidRPr="00F5135F">
        <w:rPr>
          <w:sz w:val="16"/>
          <w:szCs w:val="16"/>
        </w:rPr>
        <w:t xml:space="preserve"> (</w:t>
      </w:r>
      <w:r w:rsidRPr="00F5135F">
        <w:rPr>
          <w:sz w:val="16"/>
          <w:szCs w:val="16"/>
        </w:rPr>
        <w:t>ELTs seni avaldamata).</w:t>
      </w:r>
    </w:p>
  </w:footnote>
  <w:footnote w:id="6">
    <w:p w14:paraId="794DCF1A" w14:textId="1E486A08"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Komitee teabearuanne teemal </w:t>
      </w:r>
      <w:hyperlink r:id="rId6" w:history="1">
        <w:r>
          <w:rPr>
            <w:rStyle w:val="Hyperlink"/>
            <w:i/>
          </w:rPr>
          <w:t>„</w:t>
        </w:r>
        <w:r>
          <w:rPr>
            <w:rStyle w:val="Hyperlink"/>
          </w:rPr>
          <w:t>Noorte võrdne kohtlemine tööturul“</w:t>
        </w:r>
      </w:hyperlink>
      <w:r>
        <w:t xml:space="preserve"> (koostamisel). </w:t>
      </w:r>
    </w:p>
  </w:footnote>
  <w:footnote w:id="7">
    <w:p w14:paraId="390F0158"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Komitee arvamus teemal „Kuidas tagada noortele inimväärne töö ning mittetöötavate ja mitteõppivate noorte kaasamine riiklike taastekavade nõuetekohase väljatöötamise kaudu“, </w:t>
      </w:r>
      <w:hyperlink r:id="rId7" w:history="1">
        <w:r>
          <w:rPr>
            <w:rStyle w:val="Hyperlink"/>
          </w:rPr>
          <w:t>ELT C 152, 6.4.2022, lk 27</w:t>
        </w:r>
      </w:hyperlink>
      <w:r>
        <w:t>.</w:t>
      </w:r>
    </w:p>
  </w:footnote>
  <w:footnote w:id="8">
    <w:p w14:paraId="0FB37233" w14:textId="77777777"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Komitee arvamus Lääne-Balkani riikide </w:t>
      </w:r>
      <w:r>
        <w:t xml:space="preserve">noortepoliitika kohta, </w:t>
      </w:r>
      <w:hyperlink r:id="rId8" w:history="1">
        <w:r>
          <w:rPr>
            <w:rStyle w:val="Hyperlink"/>
          </w:rPr>
          <w:t>ELT C 443, 22.11.2022, lk 44</w:t>
        </w:r>
      </w:hyperlink>
      <w:r>
        <w:t>.</w:t>
      </w:r>
    </w:p>
  </w:footnote>
  <w:footnote w:id="9">
    <w:p w14:paraId="7230D136" w14:textId="77777777" w:rsidR="00497E52" w:rsidRPr="00AF42CB" w:rsidRDefault="00497E52" w:rsidP="005B220D">
      <w:pPr>
        <w:pStyle w:val="FootnoteText"/>
      </w:pPr>
      <w:r>
        <w:rPr>
          <w:rStyle w:val="FootnoteReference"/>
          <w:szCs w:val="24"/>
          <w:lang w:val="en-GB"/>
        </w:rPr>
        <w:footnoteRef/>
      </w:r>
      <w:r>
        <w:rPr>
          <w:sz w:val="24"/>
        </w:rPr>
        <w:t xml:space="preserve"> </w:t>
      </w:r>
      <w:r>
        <w:tab/>
        <w:t xml:space="preserve">Komitee arvamus teemal </w:t>
      </w:r>
      <w:hyperlink r:id="rId9" w:history="1">
        <w:r>
          <w:rPr>
            <w:rStyle w:val="Hyperlink"/>
          </w:rPr>
          <w:t xml:space="preserve">„ELi </w:t>
        </w:r>
        <w:r>
          <w:rPr>
            <w:rStyle w:val="Hyperlink"/>
          </w:rPr>
          <w:t>noortetest“</w:t>
        </w:r>
      </w:hyperlink>
      <w:r>
        <w:t xml:space="preserve"> (ELTs seni avaldamata).</w:t>
      </w:r>
    </w:p>
  </w:footnote>
  <w:footnote w:id="10">
    <w:p w14:paraId="55D6F7C8" w14:textId="77777777" w:rsidR="00497E52" w:rsidRPr="00AF42CB" w:rsidRDefault="00497E52" w:rsidP="00497E52">
      <w:pPr>
        <w:pStyle w:val="FootnoteText"/>
      </w:pPr>
      <w:r>
        <w:rPr>
          <w:rStyle w:val="FootnoteReference"/>
          <w:lang w:val="en-GB"/>
        </w:rPr>
        <w:footnoteRef/>
      </w:r>
      <w:r>
        <w:tab/>
        <w:t xml:space="preserve">Komitee arvamus Euroopa </w:t>
      </w:r>
      <w:r>
        <w:t xml:space="preserve">noorteaasta 2022 kohta, </w:t>
      </w:r>
      <w:hyperlink r:id="rId10" w:history="1">
        <w:r>
          <w:rPr>
            <w:rStyle w:val="Hyperlink"/>
          </w:rPr>
          <w:t>ELT C 152, 6.4.2022, lk 122</w:t>
        </w:r>
      </w:hyperlink>
      <w:r>
        <w:t>.</w:t>
      </w:r>
    </w:p>
  </w:footnote>
  <w:footnote w:id="11">
    <w:p w14:paraId="32EC948A" w14:textId="77777777" w:rsidR="00497E52" w:rsidRPr="00AF42CB" w:rsidRDefault="00497E52" w:rsidP="00497E52">
      <w:pPr>
        <w:pStyle w:val="FootnoteText"/>
      </w:pPr>
      <w:r>
        <w:rPr>
          <w:rStyle w:val="FootnoteReference"/>
          <w:lang w:val="en-GB"/>
        </w:rPr>
        <w:footnoteRef/>
      </w:r>
      <w:r>
        <w:tab/>
      </w:r>
      <w:hyperlink r:id="rId11" w:history="1">
        <w:r>
          <w:rPr>
            <w:rStyle w:val="Hyperlink"/>
          </w:rPr>
          <w:t>SAFEGUARDING20CIVIC20SPACE20FOR20YOUNG20PEOPLE20IN20EUROPE202020_v4.02028129.pdf (youthforum.org)</w:t>
        </w:r>
      </w:hyperlink>
      <w:r>
        <w:t>.</w:t>
      </w:r>
    </w:p>
  </w:footnote>
  <w:footnote w:id="12">
    <w:p w14:paraId="390B46A7" w14:textId="5B1884B4" w:rsidR="00497E52" w:rsidRPr="00AF42CB" w:rsidRDefault="00497E52" w:rsidP="00B860D2">
      <w:pPr>
        <w:spacing w:after="60" w:line="240" w:lineRule="auto"/>
        <w:ind w:left="567" w:hanging="567"/>
        <w:rPr>
          <w:sz w:val="16"/>
          <w:szCs w:val="16"/>
        </w:rPr>
      </w:pPr>
      <w:r>
        <w:rPr>
          <w:rStyle w:val="FootnoteReference"/>
          <w:lang w:val="en-GB"/>
        </w:rPr>
        <w:footnoteRef/>
      </w:r>
      <w:r>
        <w:tab/>
      </w:r>
      <w:r>
        <w:rPr>
          <w:sz w:val="16"/>
        </w:rPr>
        <w:t xml:space="preserve">Nt komitee arvamus ELi uue </w:t>
      </w:r>
      <w:r>
        <w:rPr>
          <w:sz w:val="16"/>
        </w:rPr>
        <w:t xml:space="preserve">noortestrateegia kohta (teatis), </w:t>
      </w:r>
      <w:hyperlink r:id="rId12" w:history="1">
        <w:r>
          <w:rPr>
            <w:rStyle w:val="Hyperlink"/>
            <w:sz w:val="16"/>
          </w:rPr>
          <w:t>ELT C 62, 15.2.2019, lk 142</w:t>
        </w:r>
      </w:hyperlink>
      <w:r>
        <w:rPr>
          <w:sz w:val="16"/>
        </w:rPr>
        <w:t xml:space="preserve">, komitee arvamus teemal </w:t>
      </w:r>
      <w:hyperlink r:id="rId13" w:history="1">
        <w:r>
          <w:rPr>
            <w:sz w:val="16"/>
          </w:rPr>
          <w:t>„Noorte struktureeritud kaasamine ELi otsustusprotsessi kliima ja kestlikkuse valdkonnas“</w:t>
        </w:r>
      </w:hyperlink>
      <w:r>
        <w:rPr>
          <w:sz w:val="16"/>
        </w:rPr>
        <w:t xml:space="preserve">, komitee arvamus Euroopa noorteaasta 2022 kohta, </w:t>
      </w:r>
      <w:hyperlink r:id="rId14" w:history="1">
        <w:r>
          <w:rPr>
            <w:rStyle w:val="Hyperlink"/>
            <w:sz w:val="16"/>
          </w:rPr>
          <w:t>ELT C 152, 6.4.2022, lk 122</w:t>
        </w:r>
      </w:hyperlink>
      <w:r>
        <w:rPr>
          <w:sz w:val="16"/>
        </w:rPr>
        <w:t xml:space="preserve">, komitee arvamus teemal </w:t>
      </w:r>
      <w:hyperlink r:id="rId15" w:history="1">
        <w:r>
          <w:rPr>
            <w:sz w:val="16"/>
          </w:rPr>
          <w:t>„ELi noortetest“</w:t>
        </w:r>
      </w:hyperlink>
      <w:r>
        <w:rPr>
          <w:sz w:val="16"/>
        </w:rPr>
        <w:t xml:space="preserve"> (ELTs seni avaldamata).</w:t>
      </w:r>
    </w:p>
  </w:footnote>
  <w:footnote w:id="13">
    <w:p w14:paraId="00A24A51" w14:textId="77777777" w:rsidR="00497E52" w:rsidRPr="00AF42CB" w:rsidRDefault="00497E52">
      <w:pPr>
        <w:pStyle w:val="FootnoteText"/>
      </w:pPr>
      <w:r>
        <w:rPr>
          <w:rStyle w:val="FootnoteReference"/>
          <w:lang w:val="en-GB"/>
        </w:rPr>
        <w:footnoteRef/>
      </w:r>
      <w:r>
        <w:tab/>
      </w:r>
      <w:hyperlink r:id="rId16" w:anchor=":~:text=The%20Council%20of%20Europe's%20ground,sharing%20and%20evaluation%20of%20experience" w:history="1">
        <w:r>
          <w:rPr>
            <w:rStyle w:val="Hyperlink"/>
          </w:rPr>
          <w:t>Euroopa Nõukogu ühine juhtimissüsteem</w:t>
        </w:r>
      </w:hyperlink>
      <w:r>
        <w:t>.</w:t>
      </w:r>
    </w:p>
  </w:footnote>
  <w:footnote w:id="14">
    <w:p w14:paraId="6D09AA23" w14:textId="17B76B1F" w:rsidR="00497E52" w:rsidRPr="00AF42CB" w:rsidRDefault="00497E52" w:rsidP="00497E52">
      <w:pPr>
        <w:pStyle w:val="FootnoteText"/>
      </w:pPr>
      <w:r>
        <w:rPr>
          <w:rStyle w:val="FootnoteReference"/>
          <w:lang w:val="en-GB"/>
        </w:rPr>
        <w:footnoteRef/>
      </w:r>
      <w:r>
        <w:tab/>
        <w:t xml:space="preserve">Vt nt komitee arvamus teemal </w:t>
      </w:r>
      <w:hyperlink r:id="rId17" w:history="1">
        <w:r>
          <w:rPr>
            <w:rStyle w:val="Hyperlink"/>
          </w:rPr>
          <w:t>„Kuidas edendada elukestva õppe perspektiivist haridusel ja koolitusel põhinevaid oskusi, mida Euroopa vajab õiglasema, ühtsema, jätkusuutlikuma, digitaalsema ja vastupanuvõimelisema ühiskonna loomiseks“</w:t>
        </w:r>
      </w:hyperlink>
      <w:r>
        <w:t xml:space="preserve">, punktid 1.2 ja 2.3, </w:t>
      </w:r>
      <w:hyperlink r:id="rId18" w:history="1">
        <w:r>
          <w:rPr>
            <w:rStyle w:val="Hyperlink"/>
          </w:rPr>
          <w:t>ELT C 286, 16.7.2021, lk 27</w:t>
        </w:r>
      </w:hyperlink>
      <w:r>
        <w:t>.</w:t>
      </w:r>
    </w:p>
  </w:footnote>
  <w:footnote w:id="15">
    <w:p w14:paraId="26D10112" w14:textId="77777777" w:rsidR="00497E52" w:rsidRPr="00AF42CB" w:rsidRDefault="00497E52" w:rsidP="00497E52">
      <w:pPr>
        <w:pStyle w:val="FootnoteText"/>
      </w:pPr>
      <w:r>
        <w:rPr>
          <w:rStyle w:val="FootnoteReference"/>
          <w:lang w:val="en-GB"/>
        </w:rPr>
        <w:footnoteRef/>
      </w:r>
      <w:r>
        <w:tab/>
      </w:r>
      <w:hyperlink r:id="rId19">
        <w:r>
          <w:rPr>
            <w:color w:val="0563C1"/>
            <w:u w:val="single"/>
          </w:rPr>
          <w:t xml:space="preserve">Komisjon annab avalöögi Euroopa </w:t>
        </w:r>
        <w:r>
          <w:rPr>
            <w:color w:val="0563C1"/>
            <w:u w:val="single"/>
          </w:rPr>
          <w:t>oskusteaastale (europa.eu)</w:t>
        </w:r>
      </w:hyperlink>
      <w:r>
        <w:t>.</w:t>
      </w:r>
    </w:p>
  </w:footnote>
  <w:footnote w:id="16">
    <w:p w14:paraId="3B22D466" w14:textId="56A7D863" w:rsidR="00497E52" w:rsidRPr="00AF42CB" w:rsidRDefault="00497E52" w:rsidP="00497E52">
      <w:pPr>
        <w:pStyle w:val="FootnoteText"/>
      </w:pPr>
      <w:r>
        <w:rPr>
          <w:rStyle w:val="FootnoteReference"/>
          <w:lang w:val="en-GB"/>
        </w:rPr>
        <w:footnoteRef/>
      </w:r>
      <w:r>
        <w:tab/>
        <w:t xml:space="preserve">Komitee teabearuanne teemal </w:t>
      </w:r>
      <w:hyperlink r:id="rId20">
        <w:r>
          <w:rPr>
            <w:i/>
            <w:color w:val="0563C1"/>
            <w:u w:val="single"/>
          </w:rPr>
          <w:t>„</w:t>
        </w:r>
        <w:r>
          <w:rPr>
            <w:color w:val="0563C1"/>
            <w:u w:val="single"/>
          </w:rPr>
          <w:t>Noorte võrdne kohtlemine tööturul“</w:t>
        </w:r>
      </w:hyperlink>
      <w:r>
        <w:t xml:space="preserve"> (koostamisel).</w:t>
      </w:r>
    </w:p>
  </w:footnote>
  <w:footnote w:id="17">
    <w:p w14:paraId="423B241F" w14:textId="0025367E" w:rsidR="00497E52" w:rsidRPr="00734C1E" w:rsidRDefault="00497E52" w:rsidP="00497E52">
      <w:pPr>
        <w:pStyle w:val="FootnoteText"/>
        <w:rPr>
          <w:iCs/>
        </w:rPr>
      </w:pPr>
      <w:r>
        <w:rPr>
          <w:rStyle w:val="FootnoteReference"/>
          <w:lang w:val="en-GB"/>
        </w:rPr>
        <w:footnoteRef/>
      </w:r>
      <w:r>
        <w:tab/>
        <w:t xml:space="preserve">Komitee arvamus teemal </w:t>
      </w:r>
      <w:hyperlink r:id="rId21" w:history="1">
        <w:r>
          <w:rPr>
            <w:rStyle w:val="Hyperlink"/>
          </w:rPr>
          <w:t>„Noorte mõjuvõimu suurendamine kestliku arengu saavutamiseks hariduse kaudu“</w:t>
        </w:r>
      </w:hyperlink>
      <w:r>
        <w:t xml:space="preserve"> (</w:t>
      </w:r>
      <w:r>
        <w:t>ELTs seni avaldamata).</w:t>
      </w:r>
    </w:p>
  </w:footnote>
  <w:footnote w:id="18">
    <w:p w14:paraId="71E595A5" w14:textId="77777777" w:rsidR="00497E52" w:rsidRPr="00AF42CB" w:rsidRDefault="00497E52" w:rsidP="00497E52">
      <w:pPr>
        <w:pStyle w:val="FootnoteText"/>
      </w:pPr>
      <w:r>
        <w:rPr>
          <w:rStyle w:val="FootnoteReference"/>
          <w:lang w:val="en-GB"/>
        </w:rPr>
        <w:footnoteRef/>
      </w:r>
      <w:r>
        <w:tab/>
      </w:r>
      <w:hyperlink r:id="rId22" w:history="1">
        <w:r>
          <w:rPr>
            <w:rStyle w:val="Hyperlink"/>
          </w:rPr>
          <w:t>„Euroopa Majandus- ja Sotsiaalkomitee panus Euroopa Komisjoni 2023. aasta tööprogrammi“</w:t>
        </w:r>
      </w:hyperlink>
      <w:r>
        <w:t>(punkt 4.14).</w:t>
      </w:r>
    </w:p>
  </w:footnote>
  <w:footnote w:id="19">
    <w:p w14:paraId="0FAAD9B9" w14:textId="07FEF631" w:rsidR="00497E52" w:rsidRPr="00AF42CB" w:rsidRDefault="00497E52" w:rsidP="00497E52">
      <w:pPr>
        <w:pStyle w:val="FootnoteText"/>
      </w:pPr>
      <w:r>
        <w:rPr>
          <w:rStyle w:val="FootnoteReference"/>
          <w:lang w:val="en-GB"/>
        </w:rPr>
        <w:footnoteRef/>
      </w:r>
      <w:r>
        <w:tab/>
        <w:t xml:space="preserve">Komitee teabearuanne teemal </w:t>
      </w:r>
      <w:hyperlink r:id="rId23">
        <w:r>
          <w:rPr>
            <w:i/>
            <w:color w:val="0563C1"/>
            <w:u w:val="single"/>
          </w:rPr>
          <w:t>„</w:t>
        </w:r>
        <w:r>
          <w:rPr>
            <w:color w:val="0563C1"/>
            <w:u w:val="single"/>
          </w:rPr>
          <w:t>Noorte võrdne kohtlemine tööturul“</w:t>
        </w:r>
      </w:hyperlink>
      <w:r>
        <w:t xml:space="preserve"> (koostamisel).</w:t>
      </w:r>
    </w:p>
  </w:footnote>
  <w:footnote w:id="20">
    <w:p w14:paraId="286F4E92" w14:textId="77777777" w:rsidR="00497E52" w:rsidRPr="000311ED" w:rsidRDefault="00497E52" w:rsidP="00497E52">
      <w:pPr>
        <w:pStyle w:val="FootnoteText"/>
      </w:pPr>
      <w:r>
        <w:rPr>
          <w:rStyle w:val="FootnoteReference"/>
        </w:rPr>
        <w:footnoteRef/>
      </w:r>
      <w:r>
        <w:tab/>
        <w:t xml:space="preserve">Komitee arvamus teemal </w:t>
      </w:r>
      <w:hyperlink r:id="rId24" w:history="1">
        <w:r>
          <w:rPr>
            <w:rStyle w:val="Hyperlink"/>
          </w:rPr>
          <w:t>„Kuidas tagada noortele inimväärne töö ning mittetöötavate ja mitteõppivate noorte kaasamine riiklike taastekavade nõuetekohase väljatöötamise kaudu“ (omaalgatuslik arvamus), ELT C 152, 6.4.2022</w:t>
        </w:r>
      </w:hyperlink>
      <w:r>
        <w:t>, punkt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D33609">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77777777" w:rsidR="00574C9B" w:rsidRDefault="00E27707">
    <w:pPr>
      <w:pStyle w:val="Header"/>
    </w:pPr>
    <w:r>
      <w:rPr>
        <w:noProof/>
      </w:rPr>
      <w:drawing>
        <wp:anchor distT="0" distB="0" distL="114300" distR="114300" simplePos="0" relativeHeight="251659264" behindDoc="0" locked="0" layoutInCell="1" allowOverlap="1" wp14:anchorId="32A48528" wp14:editId="71CCDB8A">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D33609">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D33609">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D33609">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D33609">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D33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20389"/>
    <w:rsid w:val="00053D00"/>
    <w:rsid w:val="000A0F3B"/>
    <w:rsid w:val="0010756B"/>
    <w:rsid w:val="0019231D"/>
    <w:rsid w:val="001D61AC"/>
    <w:rsid w:val="001E15AA"/>
    <w:rsid w:val="001E3FA1"/>
    <w:rsid w:val="00200E87"/>
    <w:rsid w:val="00214BDC"/>
    <w:rsid w:val="00215E81"/>
    <w:rsid w:val="00236F10"/>
    <w:rsid w:val="0024727F"/>
    <w:rsid w:val="002601C2"/>
    <w:rsid w:val="002B0535"/>
    <w:rsid w:val="002B6A7B"/>
    <w:rsid w:val="00302200"/>
    <w:rsid w:val="003353D7"/>
    <w:rsid w:val="003659F9"/>
    <w:rsid w:val="00497E52"/>
    <w:rsid w:val="004A3FD5"/>
    <w:rsid w:val="0050386A"/>
    <w:rsid w:val="00574C9B"/>
    <w:rsid w:val="0058411F"/>
    <w:rsid w:val="005B220D"/>
    <w:rsid w:val="006125A1"/>
    <w:rsid w:val="00653E7D"/>
    <w:rsid w:val="00662207"/>
    <w:rsid w:val="00667F09"/>
    <w:rsid w:val="006B57A6"/>
    <w:rsid w:val="006D53A6"/>
    <w:rsid w:val="00734C1E"/>
    <w:rsid w:val="00787837"/>
    <w:rsid w:val="00787ABB"/>
    <w:rsid w:val="007A5974"/>
    <w:rsid w:val="007B6C64"/>
    <w:rsid w:val="0081574C"/>
    <w:rsid w:val="00822952"/>
    <w:rsid w:val="00836505"/>
    <w:rsid w:val="00844B87"/>
    <w:rsid w:val="0089251B"/>
    <w:rsid w:val="008A6DD4"/>
    <w:rsid w:val="008F74D7"/>
    <w:rsid w:val="009043BC"/>
    <w:rsid w:val="00904C42"/>
    <w:rsid w:val="00924C05"/>
    <w:rsid w:val="00937CF2"/>
    <w:rsid w:val="00976645"/>
    <w:rsid w:val="00976F77"/>
    <w:rsid w:val="0098228C"/>
    <w:rsid w:val="009E2100"/>
    <w:rsid w:val="00A36AB0"/>
    <w:rsid w:val="00A62CF3"/>
    <w:rsid w:val="00AA7FE7"/>
    <w:rsid w:val="00AB37A3"/>
    <w:rsid w:val="00AC5114"/>
    <w:rsid w:val="00B25683"/>
    <w:rsid w:val="00B51901"/>
    <w:rsid w:val="00B860D2"/>
    <w:rsid w:val="00BD50F6"/>
    <w:rsid w:val="00C073E1"/>
    <w:rsid w:val="00C25647"/>
    <w:rsid w:val="00C479D2"/>
    <w:rsid w:val="00C66AEA"/>
    <w:rsid w:val="00C764E1"/>
    <w:rsid w:val="00C9040A"/>
    <w:rsid w:val="00C91E4D"/>
    <w:rsid w:val="00CB110A"/>
    <w:rsid w:val="00CB7CD0"/>
    <w:rsid w:val="00D02353"/>
    <w:rsid w:val="00D039AF"/>
    <w:rsid w:val="00D33609"/>
    <w:rsid w:val="00D65C78"/>
    <w:rsid w:val="00D87838"/>
    <w:rsid w:val="00D95232"/>
    <w:rsid w:val="00DB3858"/>
    <w:rsid w:val="00DB7F50"/>
    <w:rsid w:val="00DE30C7"/>
    <w:rsid w:val="00DF400F"/>
    <w:rsid w:val="00E06F80"/>
    <w:rsid w:val="00E15BF4"/>
    <w:rsid w:val="00E2376B"/>
    <w:rsid w:val="00E26935"/>
    <w:rsid w:val="00E27707"/>
    <w:rsid w:val="00E30FAF"/>
    <w:rsid w:val="00E36037"/>
    <w:rsid w:val="00E47F8A"/>
    <w:rsid w:val="00E52B04"/>
    <w:rsid w:val="00E61339"/>
    <w:rsid w:val="00E661B7"/>
    <w:rsid w:val="00F2069F"/>
    <w:rsid w:val="00F5135F"/>
    <w:rsid w:val="00F53370"/>
    <w:rsid w:val="00F6058D"/>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T/TXT/?uri=CELEX:52022IE0778&amp;qid=1669714537764" TargetMode="External"/><Relationship Id="rId13" Type="http://schemas.openxmlformats.org/officeDocument/2006/relationships/hyperlink" Target="https://www.eesc.europa.eu/et/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ET/TXT/?uri=uriserv:OJ.C_.2021.286.01.0027.01.EST&amp;toc=OJ:C:2021:286:TOC" TargetMode="External"/><Relationship Id="rId3" Type="http://schemas.openxmlformats.org/officeDocument/2006/relationships/hyperlink" Target="https://eur-lex.europa.eu/legal-content/ET/TXT/?uri=uriserv:OJ.C_.2019.062.01.0142.01.EST&amp;toc=OJ:C:2019:062:TOC" TargetMode="External"/><Relationship Id="rId21" Type="http://schemas.openxmlformats.org/officeDocument/2006/relationships/hyperlink" Target="https://www.eesc.europa.eu/et/our-work/opinions-information-reports/opinions/empowering-youth-achieve-sustainable-development-through-education" TargetMode="External"/><Relationship Id="rId7" Type="http://schemas.openxmlformats.org/officeDocument/2006/relationships/hyperlink" Target="https://eur-lex.europa.eu/legal-content/ET/TXT/?uri=uriserv:OJ.C_.2022.152.01.0027.01.EST&amp;toc=OJ:C:2022:152:TOC" TargetMode="External"/><Relationship Id="rId12" Type="http://schemas.openxmlformats.org/officeDocument/2006/relationships/hyperlink" Target="https://eur-lex.europa.eu/legal-content/ET/TXT/?uri=uriserv:OJ.C_.2019.062.01.0142.01.EST&amp;toc=OJ:C:2019:062:TOC" TargetMode="External"/><Relationship Id="rId17" Type="http://schemas.openxmlformats.org/officeDocument/2006/relationships/hyperlink" Target="https://www.eesc.europa.eu/et/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et/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et/our-work/opinions-information-reports/information-reports/equal-treatment-young-people-labour-market" TargetMode="External"/><Relationship Id="rId1" Type="http://schemas.openxmlformats.org/officeDocument/2006/relationships/hyperlink" Target="https://ec.europa.eu/commission/presscorner/detail/et/speech_21_4701" TargetMode="External"/><Relationship Id="rId6" Type="http://schemas.openxmlformats.org/officeDocument/2006/relationships/hyperlink" Target="https://www.eesc.europa.eu/et/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ET/TXT/?uri=uriserv:OJ.C_.2022.152.01.0027.01.EST&amp;toc=OJ:C:2022:152:TOC" TargetMode="External"/><Relationship Id="rId5" Type="http://schemas.openxmlformats.org/officeDocument/2006/relationships/hyperlink" Target="https://www.eesc.europa.eu/et/our-work/opinions-information-reports/opinions/empowering-youth-achieve-sustainable-development-through-education" TargetMode="External"/><Relationship Id="rId15" Type="http://schemas.openxmlformats.org/officeDocument/2006/relationships/hyperlink" Target="https://www.eesc.europa.eu/et/our-work/opinions-information-reports/opinions/eu-youth-test" TargetMode="External"/><Relationship Id="rId23" Type="http://schemas.openxmlformats.org/officeDocument/2006/relationships/hyperlink" Target="https://www.eesc.europa.eu/et/our-work/opinions-information-reports/information-reports/equal-treatment-young-people-labour-market" TargetMode="External"/><Relationship Id="rId10" Type="http://schemas.openxmlformats.org/officeDocument/2006/relationships/hyperlink" Target="https://eur-lex.europa.eu/legal-content/ET/TXT/?uri=uriserv:OJ.C_.2022.152.01.0122.01.EST&amp;toc=OJ:C:2022:152:TOC" TargetMode="External"/><Relationship Id="rId19" Type="http://schemas.openxmlformats.org/officeDocument/2006/relationships/hyperlink" Target="https://ec.europa.eu/commission/presscorner/detail/et/ip_22_6086" TargetMode="External"/><Relationship Id="rId4" Type="http://schemas.openxmlformats.org/officeDocument/2006/relationships/hyperlink" Target="https://eur-lex.europa.eu/legal-content/ET/TXT/?uri=CELEX:52020IE1552&amp;qid=1669714098894" TargetMode="External"/><Relationship Id="rId9" Type="http://schemas.openxmlformats.org/officeDocument/2006/relationships/hyperlink" Target="https://www.eesc.europa.eu/et/our-work/opinions-information-reports/opinions/eu-youth-test" TargetMode="External"/><Relationship Id="rId14" Type="http://schemas.openxmlformats.org/officeDocument/2006/relationships/hyperlink" Target="https://eur-lex.europa.eu/legal-content/ET/TXT/?uri=uriserv:OJ.C_.2022.152.01.0122.01.EST&amp;toc=OJ:C:2022:152:TOC" TargetMode="External"/><Relationship Id="rId22" Type="http://schemas.openxmlformats.org/officeDocument/2006/relationships/hyperlink" Target="https://www.eesc.europa.eu/sites/default/files/files/qe-09-22-291-en-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P6FJPSUHKDC2-371278765-5098</_dlc_DocId>
    <_dlc_DocIdUrl xmlns="1299d781-265f-4ceb-999e-e1eca3df2c90">
      <Url>http://dm2016/eesc/2022/_layouts/15/DocIdRedir.aspx?ID=P6FJPSUHKDC2-371278765-5098</Url>
      <Description>P6FJPSUHKDC2-371278765-5098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2022-12-20T12:00:00+00:00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36</Value>
      <Value>35</Value>
      <Value>33</Value>
      <Value>32</Value>
      <Value>31</Value>
      <Value>30</Value>
      <Value>175</Value>
      <Value>26</Value>
      <Value>37</Value>
      <Value>22</Value>
      <Value>55</Value>
      <Value>54</Value>
      <Value>46</Value>
      <Value>11</Value>
      <Value>41</Value>
      <Value>9</Value>
      <Value>45</Value>
      <Value>7</Value>
      <Value>43</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Rosenberg Aili</DisplayName>
        <AccountId>1755</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64CA9-6505-409A-A4FB-5E6E77361B7B}">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66F10B8F-147A-4B9E-82A5-65146933733F}">
  <ds:schemaRefs>
    <ds:schemaRef ds:uri="http://schemas.microsoft.com/sharepoint/v3/contenttype/forms"/>
  </ds:schemaRefs>
</ds:datastoreItem>
</file>

<file path=customXml/itemProps3.xml><?xml version="1.0" encoding="utf-8"?>
<ds:datastoreItem xmlns:ds="http://schemas.openxmlformats.org/officeDocument/2006/customXml" ds:itemID="{DFBD1A3E-6119-49CE-B1D7-9ABCE8EAEC82}">
  <ds:schemaRefs>
    <ds:schemaRef ds:uri="http://schemas.microsoft.com/sharepoint/events"/>
  </ds:schemaRefs>
</ds:datastoreItem>
</file>

<file path=customXml/itemProps4.xml><?xml version="1.0" encoding="utf-8"?>
<ds:datastoreItem xmlns:ds="http://schemas.openxmlformats.org/officeDocument/2006/customXml" ds:itemID="{CB4F4601-86A2-4D7C-AA04-EFBA25C46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3469</Words>
  <Characters>19081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noorteaasta pikaajaline pärand: noorte integreerimine ja nende mõjuvõimu suurendamine</dc:title>
  <dc:subject>RES</dc:subject>
  <dc:creator>Francois Aude</dc:creator>
  <cp:keywords>EESC-2022-05772-00-00-RES-TRA-EN</cp:keywords>
  <dc:description>Rapporteur:  - Original language: EN - Date of document: 20/12/2022 - Date of meeting:  - External documents:  - Administrator:  BORG Sabrina</dc:description>
  <cp:lastModifiedBy>Melninkaitiene Lina</cp:lastModifiedBy>
  <cp:revision>2</cp:revision>
  <dcterms:created xsi:type="dcterms:W3CDTF">2022-12-20T11:03:00Z</dcterms:created>
  <dcterms:modified xsi:type="dcterms:W3CDTF">2022-12-20T11:03:00Z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827ab21e-7c65-4a20-80ce-b8d5c6d85483</vt:lpwstr>
  </property>
  <property fmtid="{D5CDD505-2E9C-101B-9397-08002B2CF9AE}" pid="9" name="AvailableTranslations">
    <vt:lpwstr>55;#HR|2f555653-ed1a-4fe6-8362-9082d95989e5;#45;#RO|feb747a2-64cd-4299-af12-4833ddc30497;#43;#NL|55c6556c-b4f4-441d-9acf-c498d4f838bd;#35;#MT|7df99101-6854-4a26-b53a-b88c0da02c26;#30;#PL|1e03da61-4678-4e07-b136-b5024ca9197b;#41;#CS|72f9705b-0217-4fd3-bea2-cbc7ed80e26e;#36;#HU|6b229040-c589-4408-b4c1-4285663d20a8;#4;#EN|f2175f21-25d7-44a3-96da-d6a61b075e1b;#32;#DA|5d49c027-8956-412b-aa16-e85a0f96ad0e;#22;#DE|f6b31e5a-26fa-4935-b661-318e46daf27e;#33;#IT|0774613c-01ed-4e5d-a25d-11d2388de825;#37;#PT|50ccc04a-eadd-42ae-a0cb-acaf45f812ba;#54;#ET|ff6c3f4c-b02c-4c3c-ab07-2c37995a7a0a;#11;#FR|d2afafd3-4c81-4f60-8f52-ee33f2f54ff3;#26;#LV|46f7e311-5d9f-4663-b433-18aeccb7ace7;#31;#ES|e7a6b05b-ae16-40c8-add9-68b64b03aeba;#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HR|2f555653-ed1a-4fe6-8362-9082d95989e5;RO|feb747a2-64cd-4299-af12-4833ddc30497;NL|55c6556c-b4f4-441d-9acf-c498d4f838bd;MT|7df99101-6854-4a26-b53a-b88c0da02c26;PL|1e03da61-4678-4e07-b136-b5024ca9197b;CS|72f9705b-0217-4fd3-bea2-cbc7ed80e26e;HU|6b229040-c589-4408-b4c1-4285663d20a8;EN|f2175f21-25d7-44a3-96da-d6a61b075e1b;DA|5d49c027-8956-412b-aa16-e85a0f96ad0e;DE|f6b31e5a-26fa-4935-b661-318e46daf27e;IT|0774613c-01ed-4e5d-a25d-11d2388de825;PT|50ccc04a-eadd-42ae-a0cb-acaf45f812ba;FR|d2afafd3-4c81-4f60-8f52-ee33f2f54ff3;LV|46f7e311-5d9f-4663-b433-18aeccb7ace7;ES|e7a6b05b-ae16-40c8-add9-68b64b03ae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33;#IT|0774613c-01ed-4e5d-a25d-11d2388de825;#32;#DA|5d49c027-8956-412b-aa16-e85a0f96ad0e;#31;#ES|e7a6b05b-ae16-40c8-add9-68b64b03aeba;#30;#PL|1e03da61-4678-4e07-b136-b5024ca9197b;#175;#RES|9e3e62eb-6858-4bc7-8a50-3453e395fd01;#26;#LV|46f7e311-5d9f-4663-b433-18aeccb7ace7;#37;#PT|50ccc04a-eadd-42ae-a0cb-acaf45f812ba;#22;#DE|f6b31e5a-26fa-4935-b661-318e46daf27e;#55;#HR|2f555653-ed1a-4fe6-8362-9082d95989e5;#46;#EL|6d4f4d51-af9b-4650-94b4-4276bee85c91;#11;#FR|d2afafd3-4c81-4f60-8f52-ee33f2f54ff3;#41;#CS|72f9705b-0217-4fd3-bea2-cbc7ed80e26e;#9;#Unrestricted|826e22d7-d029-4ec0-a450-0c28ff673572;#45;#RO|feb747a2-64cd-4299-af12-4833ddc30497;#7;#TRA|150d2a88-1431-44e6-a8ca-0bb753ab8672;#43;#NL|55c6556c-b4f4-441d-9acf-c498d4f838bd;#4;#EN|f2175f21-25d7-44a3-96da-d6a61b075e1b;#1;#EESC|422833ec-8d7e-4e65-8e4e-8bed07ffb729;#6;#Final|ea5e6674-7b27-4bac-b091-73adbb394efe</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54;#ET|ff6c3f4c-b02c-4c3c-ab07-2c37995a7a0a</vt:lpwstr>
  </property>
</Properties>
</file>