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notes.xml" ContentType="application/vnd.openxmlformats-officedocument.wordprocessingml.footnotes+xml"/>
  <Override PartName="/word/footer4.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B70E7" w:rsidR="004D7AC0" w:rsidP="00116A1C" w:rsidRDefault="008D0A46" w14:paraId="785AE44C" w14:textId="3C67D3CF">
      <w:pPr>
        <w:jc w:val="center"/>
      </w:pPr>
      <w:r>
        <w:rPr>
          <w:noProof/>
          <w:lang w:val="en-US"/>
        </w:rPr>
        <w:drawing>
          <wp:inline distT="0" distB="0" distL="0" distR="0" wp14:anchorId="7177E403" wp14:editId="06B5DB31">
            <wp:extent cx="1792605" cy="1239520"/>
            <wp:effectExtent l="0" t="0" r="0" b="0"/>
            <wp:docPr id="2" name="Picture 2" title="EESCLogo_LV"/>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721342">
        <w:rPr>
          <w:noProof/>
          <w:sz w:val="20"/>
          <w:lang w:val="en-US"/>
        </w:rPr>
        <mc:AlternateContent>
          <mc:Choice Requires="wps">
            <w:drawing>
              <wp:anchor distT="0" distB="0" distL="114300" distR="114300" simplePos="0" relativeHeight="251659264" behindDoc="1" locked="0" layoutInCell="0" allowOverlap="1" wp14:editId="76356F2F"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D31DE5" w:rsidP="004D7AC0" w:rsidRDefault="00D31DE5" w14:paraId="2AA40ECF" w14:textId="77777777">
                            <w:pPr>
                              <w:jc w:val="center"/>
                              <w:rPr>
                                <w:rFonts w:ascii="Arial" w:hAnsi="Arial" w:cs="Arial"/>
                                <w:b/>
                                <w:bCs/>
                                <w:sz w:val="48"/>
                              </w:rPr>
                            </w:pPr>
                            <w:r>
                              <w:rPr>
                                <w:rFonts w:ascii="Arial" w:hAnsi="Arial"/>
                                <w:b/>
                                <w:sz w:val="48"/>
                              </w:rPr>
                              <w:t>LV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D31DE5" w:rsidP="004D7AC0" w:rsidRDefault="00D31DE5" w14:paraId="2AA40ECF" w14:textId="77777777">
                      <w:pPr>
                        <w:jc w:val="center"/>
                        <w:rPr>
                          <w:rFonts w:ascii="Arial" w:hAnsi="Arial" w:cs="Arial"/>
                          <w:b/>
                          <w:bCs/>
                          <w:sz w:val="48"/>
                        </w:rPr>
                      </w:pPr>
                      <w:r>
                        <w:rPr>
                          <w:rFonts w:ascii="Arial" w:hAnsi="Arial"/>
                          <w:b/>
                          <w:sz w:val="48"/>
                        </w:rPr>
                        <w:t>LV</w:t>
                      </w:r>
                    </w:p>
                  </w:txbxContent>
                </v:textbox>
                <w10:wrap anchorx="page" anchory="page"/>
              </v:shape>
            </w:pict>
          </mc:Fallback>
        </mc:AlternateContent>
      </w:r>
    </w:p>
    <w:p w:rsidRPr="009B70E7" w:rsidR="004D7AC0" w:rsidP="00116A1C" w:rsidRDefault="004D7AC0" w14:paraId="51F52D79" w14:textId="77777777"/>
    <w:p w:rsidRPr="009B70E7" w:rsidR="004D7AC0" w:rsidP="00116A1C" w:rsidRDefault="00014C93" w14:paraId="45DE4A28" w14:textId="4B39FE6D">
      <w:pPr>
        <w:jc w:val="right"/>
      </w:pPr>
      <w:r>
        <w:t>Briselē, 2023. gada 17. janvārī</w:t>
      </w:r>
    </w:p>
    <w:p w:rsidRPr="009B70E7" w:rsidR="004D7AC0" w:rsidRDefault="004D7AC0" w14:paraId="7BCFBA24" w14:textId="77777777"/>
    <w:p w:rsidRPr="009B70E7" w:rsidR="004D7AC0" w:rsidRDefault="004D7AC0" w14:paraId="6B250092" w14:textId="77777777"/>
    <w:p w:rsidRPr="009B70E7" w:rsidR="004D7AC0" w:rsidRDefault="004D7AC0" w14:paraId="0593C6DF" w14:textId="77777777"/>
    <w:tbl>
      <w:tblPr>
        <w:tblW w:w="0" w:type="auto"/>
        <w:tblLook w:val="04A0" w:firstRow="1" w:lastRow="0" w:firstColumn="1" w:lastColumn="0" w:noHBand="0" w:noVBand="1"/>
      </w:tblPr>
      <w:tblGrid>
        <w:gridCol w:w="9289"/>
      </w:tblGrid>
      <w:tr w:rsidRPr="009B70E7" w:rsidR="004D7AC0" w:rsidTr="00662436" w14:paraId="6D7B3453" w14:textId="77777777">
        <w:tc>
          <w:tcPr>
            <w:tcW w:w="9289" w:type="dxa"/>
            <w:tcBorders>
              <w:bottom w:val="double" w:color="auto" w:sz="4" w:space="0"/>
            </w:tcBorders>
          </w:tcPr>
          <w:p w:rsidR="001760E9" w:rsidRDefault="00DA2D88" w14:paraId="3B286D4E" w14:textId="77777777">
            <w:pPr>
              <w:snapToGrid w:val="0"/>
              <w:jc w:val="center"/>
              <w:rPr>
                <w:b/>
                <w:sz w:val="32"/>
              </w:rPr>
            </w:pPr>
            <w:r>
              <w:rPr>
                <w:b/>
                <w:sz w:val="32"/>
              </w:rPr>
              <w:t>574. PLENĀRĀ SESIJA</w:t>
            </w:r>
          </w:p>
          <w:p w:rsidR="001760E9" w:rsidRDefault="001760E9" w14:paraId="6C87A626" w14:textId="0AE2882C">
            <w:pPr>
              <w:snapToGrid w:val="0"/>
              <w:jc w:val="center"/>
              <w:rPr>
                <w:b/>
                <w:sz w:val="32"/>
              </w:rPr>
            </w:pPr>
          </w:p>
          <w:p w:rsidR="001760E9" w:rsidRDefault="00E87122" w14:paraId="6CF7229C" w14:textId="77777777">
            <w:pPr>
              <w:snapToGrid w:val="0"/>
              <w:jc w:val="center"/>
              <w:rPr>
                <w:b/>
                <w:sz w:val="32"/>
              </w:rPr>
            </w:pPr>
            <w:r>
              <w:rPr>
                <w:b/>
                <w:sz w:val="32"/>
              </w:rPr>
              <w:t>2022. gada 14. un 15. decembrī</w:t>
            </w:r>
          </w:p>
          <w:p w:rsidR="001760E9" w:rsidRDefault="001760E9" w14:paraId="0C44BD01" w14:textId="2F8EBB07">
            <w:pPr>
              <w:snapToGrid w:val="0"/>
              <w:jc w:val="center"/>
              <w:rPr>
                <w:b/>
                <w:sz w:val="32"/>
              </w:rPr>
            </w:pPr>
          </w:p>
          <w:p w:rsidRPr="009B70E7" w:rsidR="004D7AC0" w:rsidRDefault="00CF2F88" w14:paraId="114106CC" w14:textId="11A9DA7B">
            <w:pPr>
              <w:snapToGrid w:val="0"/>
              <w:jc w:val="center"/>
              <w:rPr>
                <w:rFonts w:eastAsia="MS Mincho"/>
                <w:b/>
                <w:sz w:val="32"/>
                <w:szCs w:val="32"/>
              </w:rPr>
            </w:pPr>
            <w:r>
              <w:rPr>
                <w:b/>
                <w:sz w:val="32"/>
              </w:rPr>
              <w:t>PIEŅEMTO ATZINUMU UN REZOLŪCIJU, KĀ ARĪ INFORMATĪVO / NOVĒRTĒJUMA ZIŅOJUMU KOPSAVILKUMS</w:t>
            </w:r>
          </w:p>
          <w:p w:rsidRPr="009B70E7" w:rsidR="004D7AC0" w:rsidRDefault="004D7AC0" w14:paraId="06AE72EA" w14:textId="77777777">
            <w:pPr>
              <w:snapToGrid w:val="0"/>
            </w:pPr>
          </w:p>
        </w:tc>
      </w:tr>
      <w:tr w:rsidRPr="009B70E7"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9B70E7" w:rsidR="004D7AC0" w:rsidRDefault="004D7AC0" w14:paraId="2A9352A2" w14:textId="77777777">
            <w:pPr>
              <w:snapToGrid w:val="0"/>
              <w:jc w:val="center"/>
            </w:pPr>
            <w:r>
              <w:t>Šis dokuments oficiālajās valodās ir pieejams EESK tīmekļa vietnē:</w:t>
            </w:r>
            <w:r>
              <w:br/>
            </w:r>
            <w:r>
              <w:br/>
            </w:r>
            <w:hyperlink w:history="1" r:id="rId12">
              <w:r>
                <w:rPr>
                  <w:rStyle w:val="Hyperlink"/>
                  <w:highlight w:val="yellow"/>
                </w:rPr>
                <w:t>https://www.eesc.europa.eu/en/our-work/opinions-information-reports/plenary-session-summaries</w:t>
              </w:r>
            </w:hyperlink>
          </w:p>
          <w:p w:rsidRPr="009B70E7" w:rsidR="004D7AC0" w:rsidRDefault="004D7AC0" w14:paraId="70D5DBB4" w14:textId="77777777">
            <w:pPr>
              <w:snapToGrid w:val="0"/>
              <w:jc w:val="center"/>
            </w:pPr>
          </w:p>
          <w:p w:rsidRPr="009B70E7" w:rsidR="004D7AC0" w:rsidRDefault="004D7AC0" w14:paraId="575A73D6" w14:textId="77777777">
            <w:pPr>
              <w:snapToGrid w:val="0"/>
              <w:jc w:val="center"/>
              <w:rPr>
                <w:rFonts w:eastAsia="SimSun"/>
              </w:rPr>
            </w:pPr>
          </w:p>
          <w:p w:rsidRPr="009B70E7" w:rsidR="004D7AC0" w:rsidRDefault="004D7AC0" w14:paraId="441AC4DD" w14:textId="77777777">
            <w:pPr>
              <w:snapToGrid w:val="0"/>
              <w:jc w:val="center"/>
            </w:pPr>
            <w:r>
              <w:t>Ar atzinumiem var iepazīties tiešsaistē, izmantojot EESK meklētājprogrammu:</w:t>
            </w:r>
            <w:r>
              <w:br/>
            </w:r>
            <w:r>
              <w:br/>
            </w:r>
            <w:hyperlink w:history="1" r:id="rId13">
              <w:r>
                <w:rPr>
                  <w:rStyle w:val="Hyperlink"/>
                </w:rPr>
                <w:t>https://dmsearch.eesc.europa.eu/search/opinion</w:t>
              </w:r>
            </w:hyperlink>
          </w:p>
          <w:p w:rsidRPr="009B70E7" w:rsidR="004D7AC0" w:rsidRDefault="004D7AC0" w14:paraId="51FF303F" w14:textId="77777777">
            <w:pPr>
              <w:snapToGrid w:val="0"/>
              <w:jc w:val="center"/>
            </w:pPr>
          </w:p>
        </w:tc>
      </w:tr>
    </w:tbl>
    <w:p w:rsidRPr="009B70E7" w:rsidR="004D7AC0" w:rsidRDefault="004D7AC0" w14:paraId="57C291FC" w14:textId="77777777"/>
    <w:p w:rsidRPr="009B70E7" w:rsidR="004D7AC0" w:rsidRDefault="004D7AC0" w14:paraId="5E675360" w14:textId="77777777"/>
    <w:p w:rsidR="007B7C40" w:rsidRDefault="007B7C40" w14:paraId="3CF67A1E" w14:textId="77777777">
      <w:pPr>
        <w:sectPr w:rsidR="007B7C40" w:rsidSect="0040654F">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9B70E7" w:rsidR="004D7AC0" w:rsidRDefault="004D7AC0" w14:paraId="56B7AE7C" w14:textId="77777777">
      <w:pPr>
        <w:rPr>
          <w:b/>
        </w:rPr>
      </w:pPr>
    </w:p>
    <w:sdt>
      <w:sdtPr>
        <w:rPr>
          <w:rFonts w:ascii="Times New Roman" w:hAnsi="Times New Roman" w:eastAsia="Times New Roman" w:cs="Times New Roman"/>
          <w:color w:val="auto"/>
          <w:sz w:val="22"/>
          <w:szCs w:val="22"/>
        </w:rPr>
        <w:id w:val="-1759744941"/>
        <w:docPartObj>
          <w:docPartGallery w:val="Table of Contents"/>
          <w:docPartUnique/>
        </w:docPartObj>
      </w:sdtPr>
      <w:sdtEndPr>
        <w:rPr>
          <w:b/>
          <w:bCs/>
          <w:noProof/>
        </w:rPr>
      </w:sdtEndPr>
      <w:sdtContent>
        <w:p w:rsidR="001E6413" w:rsidRDefault="001E6413" w14:paraId="5FAD9FDD" w14:textId="77777777">
          <w:pPr>
            <w:pStyle w:val="TOCHeading"/>
          </w:pPr>
          <w:r>
            <w:t>Satura rādītājs</w:t>
          </w:r>
        </w:p>
        <w:p w:rsidR="00105FC1" w:rsidRDefault="001E6413" w14:paraId="6805448D" w14:textId="382855F6">
          <w:pPr>
            <w:pStyle w:val="TOC1"/>
            <w:rPr>
              <w:rFonts w:asciiTheme="minorHAnsi" w:hAnsiTheme="minorHAnsi" w:eastAsiaTheme="minorEastAsia" w:cstheme="minorBidi"/>
              <w:noProof/>
              <w:lang w:val="en-US"/>
            </w:rPr>
          </w:pPr>
          <w:r>
            <w:fldChar w:fldCharType="begin"/>
          </w:r>
          <w:r>
            <w:instrText xml:space="preserve"> TOC \o "1-3" \h \z \u </w:instrText>
          </w:r>
          <w:r>
            <w:fldChar w:fldCharType="separate"/>
          </w:r>
          <w:hyperlink w:history="1" w:anchor="_Toc124779035">
            <w:r w:rsidRPr="002E0A89" w:rsidR="00105FC1">
              <w:rPr>
                <w:rStyle w:val="Hyperlink"/>
                <w:noProof/>
                <w14:scene3d>
                  <w14:camera w14:prst="orthographicFront"/>
                  <w14:lightRig w14:rig="threePt" w14:dir="t">
                    <w14:rot w14:lat="0" w14:lon="0" w14:rev="0"/>
                  </w14:lightRig>
                </w14:scene3d>
              </w:rPr>
              <w:t>1.</w:t>
            </w:r>
            <w:r w:rsidR="00105FC1">
              <w:rPr>
                <w:rFonts w:asciiTheme="minorHAnsi" w:hAnsiTheme="minorHAnsi" w:eastAsiaTheme="minorEastAsia" w:cstheme="minorBidi"/>
                <w:noProof/>
                <w:lang w:val="en-US"/>
              </w:rPr>
              <w:tab/>
            </w:r>
            <w:r w:rsidRPr="002E0A89" w:rsidR="00105FC1">
              <w:rPr>
                <w:rStyle w:val="Hyperlink"/>
                <w:b/>
                <w:noProof/>
              </w:rPr>
              <w:t>REZOLŪCIJA</w:t>
            </w:r>
            <w:r w:rsidR="00105FC1">
              <w:rPr>
                <w:noProof/>
                <w:webHidden/>
              </w:rPr>
              <w:tab/>
            </w:r>
            <w:r w:rsidR="00105FC1">
              <w:rPr>
                <w:noProof/>
                <w:webHidden/>
              </w:rPr>
              <w:fldChar w:fldCharType="begin"/>
            </w:r>
            <w:r w:rsidR="00105FC1">
              <w:rPr>
                <w:noProof/>
                <w:webHidden/>
              </w:rPr>
              <w:instrText xml:space="preserve"> PAGEREF _Toc124779035 \h </w:instrText>
            </w:r>
            <w:r w:rsidR="00105FC1">
              <w:rPr>
                <w:noProof/>
                <w:webHidden/>
              </w:rPr>
            </w:r>
            <w:r w:rsidR="00105FC1">
              <w:rPr>
                <w:noProof/>
                <w:webHidden/>
              </w:rPr>
              <w:fldChar w:fldCharType="separate"/>
            </w:r>
            <w:r w:rsidR="00105FC1">
              <w:rPr>
                <w:noProof/>
                <w:webHidden/>
              </w:rPr>
              <w:t>3</w:t>
            </w:r>
            <w:r w:rsidR="00105FC1">
              <w:rPr>
                <w:noProof/>
                <w:webHidden/>
              </w:rPr>
              <w:fldChar w:fldCharType="end"/>
            </w:r>
          </w:hyperlink>
        </w:p>
        <w:p w:rsidR="00105FC1" w:rsidRDefault="00105FC1" w14:paraId="2D23D08E" w14:textId="792AC7CF">
          <w:pPr>
            <w:pStyle w:val="TOC1"/>
            <w:rPr>
              <w:rFonts w:asciiTheme="minorHAnsi" w:hAnsiTheme="minorHAnsi" w:eastAsiaTheme="minorEastAsia" w:cstheme="minorBidi"/>
              <w:noProof/>
              <w:lang w:val="en-US"/>
            </w:rPr>
          </w:pPr>
          <w:hyperlink w:history="1" w:anchor="_Toc124779036">
            <w:r w:rsidRPr="002E0A89">
              <w:rPr>
                <w:rStyle w:val="Hyperlink"/>
                <w:noProof/>
                <w14:scene3d>
                  <w14:camera w14:prst="orthographicFront"/>
                  <w14:lightRig w14:rig="threePt" w14:dir="t">
                    <w14:rot w14:lat="0" w14:lon="0" w14:rev="0"/>
                  </w14:lightRig>
                </w14:scene3d>
              </w:rPr>
              <w:t>2.</w:t>
            </w:r>
            <w:r>
              <w:rPr>
                <w:rFonts w:asciiTheme="minorHAnsi" w:hAnsiTheme="minorHAnsi" w:eastAsiaTheme="minorEastAsia" w:cstheme="minorBidi"/>
                <w:noProof/>
                <w:lang w:val="en-US"/>
              </w:rPr>
              <w:tab/>
            </w:r>
            <w:r w:rsidRPr="002E0A89">
              <w:rPr>
                <w:rStyle w:val="Hyperlink"/>
                <w:b/>
                <w:noProof/>
              </w:rPr>
              <w:t>EKONOMISKĀ UN MONETĀRĀ SAVIENĪBA, EKONOMISKĀ UN SOCIĀLĀ KOHĒZIJA</w:t>
            </w:r>
            <w:r>
              <w:rPr>
                <w:noProof/>
                <w:webHidden/>
              </w:rPr>
              <w:tab/>
            </w:r>
            <w:r>
              <w:rPr>
                <w:noProof/>
                <w:webHidden/>
              </w:rPr>
              <w:fldChar w:fldCharType="begin"/>
            </w:r>
            <w:r>
              <w:rPr>
                <w:noProof/>
                <w:webHidden/>
              </w:rPr>
              <w:instrText xml:space="preserve"> PAGEREF _Toc124779036 \h </w:instrText>
            </w:r>
            <w:r>
              <w:rPr>
                <w:noProof/>
                <w:webHidden/>
              </w:rPr>
            </w:r>
            <w:r>
              <w:rPr>
                <w:noProof/>
                <w:webHidden/>
              </w:rPr>
              <w:fldChar w:fldCharType="separate"/>
            </w:r>
            <w:r>
              <w:rPr>
                <w:noProof/>
                <w:webHidden/>
              </w:rPr>
              <w:t>4</w:t>
            </w:r>
            <w:r>
              <w:rPr>
                <w:noProof/>
                <w:webHidden/>
              </w:rPr>
              <w:fldChar w:fldCharType="end"/>
            </w:r>
          </w:hyperlink>
        </w:p>
        <w:p w:rsidR="00105FC1" w:rsidRDefault="00105FC1" w14:paraId="5204B0AD" w14:textId="477029EC">
          <w:pPr>
            <w:pStyle w:val="TOC1"/>
            <w:rPr>
              <w:rFonts w:asciiTheme="minorHAnsi" w:hAnsiTheme="minorHAnsi" w:eastAsiaTheme="minorEastAsia" w:cstheme="minorBidi"/>
              <w:noProof/>
              <w:lang w:val="en-US"/>
            </w:rPr>
          </w:pPr>
          <w:hyperlink w:history="1" w:anchor="_Toc124779037">
            <w:r w:rsidRPr="002E0A89">
              <w:rPr>
                <w:rStyle w:val="Hyperlink"/>
                <w:noProof/>
                <w14:scene3d>
                  <w14:camera w14:prst="orthographicFront"/>
                  <w14:lightRig w14:rig="threePt" w14:dir="t">
                    <w14:rot w14:lat="0" w14:lon="0" w14:rev="0"/>
                  </w14:lightRig>
                </w14:scene3d>
              </w:rPr>
              <w:t>3.</w:t>
            </w:r>
            <w:r>
              <w:rPr>
                <w:rFonts w:asciiTheme="minorHAnsi" w:hAnsiTheme="minorHAnsi" w:eastAsiaTheme="minorEastAsia" w:cstheme="minorBidi"/>
                <w:noProof/>
                <w:lang w:val="en-US"/>
              </w:rPr>
              <w:tab/>
            </w:r>
            <w:r w:rsidRPr="002E0A89">
              <w:rPr>
                <w:rStyle w:val="Hyperlink"/>
                <w:b/>
                <w:noProof/>
              </w:rPr>
              <w:t>NODARBINĀTĪBA, SOCIĀLĀS LIETAS UN PILSONISKUMS</w:t>
            </w:r>
            <w:r>
              <w:rPr>
                <w:noProof/>
                <w:webHidden/>
              </w:rPr>
              <w:tab/>
            </w:r>
            <w:r>
              <w:rPr>
                <w:noProof/>
                <w:webHidden/>
              </w:rPr>
              <w:fldChar w:fldCharType="begin"/>
            </w:r>
            <w:r>
              <w:rPr>
                <w:noProof/>
                <w:webHidden/>
              </w:rPr>
              <w:instrText xml:space="preserve"> PAGEREF _Toc124779037 \h </w:instrText>
            </w:r>
            <w:r>
              <w:rPr>
                <w:noProof/>
                <w:webHidden/>
              </w:rPr>
            </w:r>
            <w:r>
              <w:rPr>
                <w:noProof/>
                <w:webHidden/>
              </w:rPr>
              <w:fldChar w:fldCharType="separate"/>
            </w:r>
            <w:r>
              <w:rPr>
                <w:noProof/>
                <w:webHidden/>
              </w:rPr>
              <w:t>6</w:t>
            </w:r>
            <w:r>
              <w:rPr>
                <w:noProof/>
                <w:webHidden/>
              </w:rPr>
              <w:fldChar w:fldCharType="end"/>
            </w:r>
          </w:hyperlink>
        </w:p>
        <w:p w:rsidR="00105FC1" w:rsidRDefault="00105FC1" w14:paraId="18FAB591" w14:textId="7DFA041C">
          <w:pPr>
            <w:pStyle w:val="TOC1"/>
            <w:rPr>
              <w:rFonts w:asciiTheme="minorHAnsi" w:hAnsiTheme="minorHAnsi" w:eastAsiaTheme="minorEastAsia" w:cstheme="minorBidi"/>
              <w:noProof/>
              <w:lang w:val="en-US"/>
            </w:rPr>
          </w:pPr>
          <w:hyperlink w:history="1" w:anchor="_Toc124779038">
            <w:r w:rsidRPr="002E0A89">
              <w:rPr>
                <w:rStyle w:val="Hyperlink"/>
                <w:noProof/>
                <w14:scene3d>
                  <w14:camera w14:prst="orthographicFront"/>
                  <w14:lightRig w14:rig="threePt" w14:dir="t">
                    <w14:rot w14:lat="0" w14:lon="0" w14:rev="0"/>
                  </w14:lightRig>
                </w14:scene3d>
              </w:rPr>
              <w:t>4.</w:t>
            </w:r>
            <w:r>
              <w:rPr>
                <w:rFonts w:asciiTheme="minorHAnsi" w:hAnsiTheme="minorHAnsi" w:eastAsiaTheme="minorEastAsia" w:cstheme="minorBidi"/>
                <w:noProof/>
                <w:lang w:val="en-US"/>
              </w:rPr>
              <w:tab/>
            </w:r>
            <w:r w:rsidRPr="002E0A89">
              <w:rPr>
                <w:rStyle w:val="Hyperlink"/>
                <w:b/>
                <w:noProof/>
              </w:rPr>
              <w:t>VIENOTAIS TIRGUS, RAŽOŠANA UN PATĒRIŅŠ</w:t>
            </w:r>
            <w:r>
              <w:rPr>
                <w:noProof/>
                <w:webHidden/>
              </w:rPr>
              <w:tab/>
            </w:r>
            <w:r>
              <w:rPr>
                <w:noProof/>
                <w:webHidden/>
              </w:rPr>
              <w:fldChar w:fldCharType="begin"/>
            </w:r>
            <w:r>
              <w:rPr>
                <w:noProof/>
                <w:webHidden/>
              </w:rPr>
              <w:instrText xml:space="preserve"> PAGEREF _Toc124779038 \h </w:instrText>
            </w:r>
            <w:r>
              <w:rPr>
                <w:noProof/>
                <w:webHidden/>
              </w:rPr>
            </w:r>
            <w:r>
              <w:rPr>
                <w:noProof/>
                <w:webHidden/>
              </w:rPr>
              <w:fldChar w:fldCharType="separate"/>
            </w:r>
            <w:r>
              <w:rPr>
                <w:noProof/>
                <w:webHidden/>
              </w:rPr>
              <w:t>14</w:t>
            </w:r>
            <w:r>
              <w:rPr>
                <w:noProof/>
                <w:webHidden/>
              </w:rPr>
              <w:fldChar w:fldCharType="end"/>
            </w:r>
          </w:hyperlink>
        </w:p>
        <w:p w:rsidR="00105FC1" w:rsidRDefault="00105FC1" w14:paraId="6514318C" w14:textId="6F511D88">
          <w:pPr>
            <w:pStyle w:val="TOC1"/>
            <w:rPr>
              <w:rFonts w:asciiTheme="minorHAnsi" w:hAnsiTheme="minorHAnsi" w:eastAsiaTheme="minorEastAsia" w:cstheme="minorBidi"/>
              <w:noProof/>
              <w:lang w:val="en-US"/>
            </w:rPr>
          </w:pPr>
          <w:hyperlink w:history="1" w:anchor="_Toc124779039">
            <w:r w:rsidRPr="002E0A89">
              <w:rPr>
                <w:rStyle w:val="Hyperlink"/>
                <w:noProof/>
                <w14:scene3d>
                  <w14:camera w14:prst="orthographicFront"/>
                  <w14:lightRig w14:rig="threePt" w14:dir="t">
                    <w14:rot w14:lat="0" w14:lon="0" w14:rev="0"/>
                  </w14:lightRig>
                </w14:scene3d>
              </w:rPr>
              <w:t>5.</w:t>
            </w:r>
            <w:r>
              <w:rPr>
                <w:rFonts w:asciiTheme="minorHAnsi" w:hAnsiTheme="minorHAnsi" w:eastAsiaTheme="minorEastAsia" w:cstheme="minorBidi"/>
                <w:noProof/>
                <w:lang w:val="en-US"/>
              </w:rPr>
              <w:tab/>
            </w:r>
            <w:r w:rsidRPr="002E0A89">
              <w:rPr>
                <w:rStyle w:val="Hyperlink"/>
                <w:b/>
                <w:noProof/>
              </w:rPr>
              <w:t>LAUKSAIMNIECĪBA, LAUKU ATTĪSTĪBA UN VIDE</w:t>
            </w:r>
            <w:r>
              <w:rPr>
                <w:noProof/>
                <w:webHidden/>
              </w:rPr>
              <w:tab/>
            </w:r>
            <w:r>
              <w:rPr>
                <w:noProof/>
                <w:webHidden/>
              </w:rPr>
              <w:fldChar w:fldCharType="begin"/>
            </w:r>
            <w:r>
              <w:rPr>
                <w:noProof/>
                <w:webHidden/>
              </w:rPr>
              <w:instrText xml:space="preserve"> PAGEREF _Toc124779039 \h </w:instrText>
            </w:r>
            <w:r>
              <w:rPr>
                <w:noProof/>
                <w:webHidden/>
              </w:rPr>
            </w:r>
            <w:r>
              <w:rPr>
                <w:noProof/>
                <w:webHidden/>
              </w:rPr>
              <w:fldChar w:fldCharType="separate"/>
            </w:r>
            <w:r>
              <w:rPr>
                <w:noProof/>
                <w:webHidden/>
              </w:rPr>
              <w:t>20</w:t>
            </w:r>
            <w:r>
              <w:rPr>
                <w:noProof/>
                <w:webHidden/>
              </w:rPr>
              <w:fldChar w:fldCharType="end"/>
            </w:r>
          </w:hyperlink>
        </w:p>
        <w:p w:rsidR="00105FC1" w:rsidRDefault="00105FC1" w14:paraId="52BDB8B3" w14:textId="60FC1766">
          <w:pPr>
            <w:pStyle w:val="TOC1"/>
            <w:rPr>
              <w:rFonts w:asciiTheme="minorHAnsi" w:hAnsiTheme="minorHAnsi" w:eastAsiaTheme="minorEastAsia" w:cstheme="minorBidi"/>
              <w:noProof/>
              <w:lang w:val="en-US"/>
            </w:rPr>
          </w:pPr>
          <w:hyperlink w:history="1" w:anchor="_Toc124779040">
            <w:r w:rsidRPr="002E0A89">
              <w:rPr>
                <w:rStyle w:val="Hyperlink"/>
                <w:noProof/>
                <w14:scene3d>
                  <w14:camera w14:prst="orthographicFront"/>
                  <w14:lightRig w14:rig="threePt" w14:dir="t">
                    <w14:rot w14:lat="0" w14:lon="0" w14:rev="0"/>
                  </w14:lightRig>
                </w14:scene3d>
              </w:rPr>
              <w:t>6.</w:t>
            </w:r>
            <w:r>
              <w:rPr>
                <w:rFonts w:asciiTheme="minorHAnsi" w:hAnsiTheme="minorHAnsi" w:eastAsiaTheme="minorEastAsia" w:cstheme="minorBidi"/>
                <w:noProof/>
                <w:lang w:val="en-US"/>
              </w:rPr>
              <w:tab/>
            </w:r>
            <w:r w:rsidRPr="002E0A89">
              <w:rPr>
                <w:rStyle w:val="Hyperlink"/>
                <w:b/>
                <w:noProof/>
              </w:rPr>
              <w:t>ĀRĒJĀS ATTIECĪBAS</w:t>
            </w:r>
            <w:r>
              <w:rPr>
                <w:noProof/>
                <w:webHidden/>
              </w:rPr>
              <w:tab/>
            </w:r>
            <w:r>
              <w:rPr>
                <w:noProof/>
                <w:webHidden/>
              </w:rPr>
              <w:fldChar w:fldCharType="begin"/>
            </w:r>
            <w:r>
              <w:rPr>
                <w:noProof/>
                <w:webHidden/>
              </w:rPr>
              <w:instrText xml:space="preserve"> PAGEREF _Toc124779040 \h </w:instrText>
            </w:r>
            <w:r>
              <w:rPr>
                <w:noProof/>
                <w:webHidden/>
              </w:rPr>
            </w:r>
            <w:r>
              <w:rPr>
                <w:noProof/>
                <w:webHidden/>
              </w:rPr>
              <w:fldChar w:fldCharType="separate"/>
            </w:r>
            <w:r>
              <w:rPr>
                <w:noProof/>
                <w:webHidden/>
              </w:rPr>
              <w:t>29</w:t>
            </w:r>
            <w:r>
              <w:rPr>
                <w:noProof/>
                <w:webHidden/>
              </w:rPr>
              <w:fldChar w:fldCharType="end"/>
            </w:r>
          </w:hyperlink>
        </w:p>
        <w:p w:rsidR="00105FC1" w:rsidRDefault="00105FC1" w14:paraId="536399FF" w14:textId="19848396">
          <w:pPr>
            <w:pStyle w:val="TOC1"/>
            <w:rPr>
              <w:rFonts w:asciiTheme="minorHAnsi" w:hAnsiTheme="minorHAnsi" w:eastAsiaTheme="minorEastAsia" w:cstheme="minorBidi"/>
              <w:noProof/>
              <w:lang w:val="en-US"/>
            </w:rPr>
          </w:pPr>
          <w:hyperlink w:history="1" w:anchor="_Toc124779041">
            <w:r w:rsidRPr="002E0A89">
              <w:rPr>
                <w:rStyle w:val="Hyperlink"/>
                <w:noProof/>
                <w14:scene3d>
                  <w14:camera w14:prst="orthographicFront"/>
                  <w14:lightRig w14:rig="threePt" w14:dir="t">
                    <w14:rot w14:lat="0" w14:lon="0" w14:rev="0"/>
                  </w14:lightRig>
                </w14:scene3d>
              </w:rPr>
              <w:t>7.</w:t>
            </w:r>
            <w:r>
              <w:rPr>
                <w:rFonts w:asciiTheme="minorHAnsi" w:hAnsiTheme="minorHAnsi" w:eastAsiaTheme="minorEastAsia" w:cstheme="minorBidi"/>
                <w:noProof/>
                <w:lang w:val="en-US"/>
              </w:rPr>
              <w:tab/>
            </w:r>
            <w:r w:rsidRPr="002E0A89">
              <w:rPr>
                <w:rStyle w:val="Hyperlink"/>
                <w:b/>
                <w:noProof/>
              </w:rPr>
              <w:t>RŪPNIECĪBAS PĀRMAIŅU KONSULTATĪVĀ KOMISIJA</w:t>
            </w:r>
            <w:r>
              <w:rPr>
                <w:noProof/>
                <w:webHidden/>
              </w:rPr>
              <w:tab/>
            </w:r>
            <w:r>
              <w:rPr>
                <w:noProof/>
                <w:webHidden/>
              </w:rPr>
              <w:fldChar w:fldCharType="begin"/>
            </w:r>
            <w:r>
              <w:rPr>
                <w:noProof/>
                <w:webHidden/>
              </w:rPr>
              <w:instrText xml:space="preserve"> PAGEREF _Toc124779041 \h </w:instrText>
            </w:r>
            <w:r>
              <w:rPr>
                <w:noProof/>
                <w:webHidden/>
              </w:rPr>
            </w:r>
            <w:r>
              <w:rPr>
                <w:noProof/>
                <w:webHidden/>
              </w:rPr>
              <w:fldChar w:fldCharType="separate"/>
            </w:r>
            <w:r>
              <w:rPr>
                <w:noProof/>
                <w:webHidden/>
              </w:rPr>
              <w:t>32</w:t>
            </w:r>
            <w:r>
              <w:rPr>
                <w:noProof/>
                <w:webHidden/>
              </w:rPr>
              <w:fldChar w:fldCharType="end"/>
            </w:r>
          </w:hyperlink>
        </w:p>
        <w:p w:rsidR="001E6413" w:rsidRDefault="001E6413" w14:paraId="684BFB9B" w14:textId="48EA8536">
          <w:r>
            <w:rPr>
              <w:b/>
            </w:rPr>
            <w:fldChar w:fldCharType="end"/>
          </w:r>
        </w:p>
      </w:sdtContent>
    </w:sdt>
    <w:p w:rsidRPr="009B70E7" w:rsidR="004D7AC0" w:rsidRDefault="004D7AC0" w14:paraId="4600634B" w14:textId="77777777"/>
    <w:p w:rsidRPr="009B70E7" w:rsidR="004D7AC0" w:rsidP="001A7476" w:rsidRDefault="004D7AC0" w14:paraId="68489C47" w14:textId="2FCA526B">
      <w:pPr>
        <w:pStyle w:val="Heading1"/>
        <w:numPr>
          <w:ilvl w:val="0"/>
          <w:numId w:val="0"/>
        </w:numPr>
      </w:pPr>
      <w:r>
        <w:br w:type="page"/>
      </w:r>
    </w:p>
    <w:p w:rsidR="007B4C34" w:rsidP="00D13F40" w:rsidRDefault="00477361" w14:paraId="6646A81C" w14:textId="0F2FEC3F">
      <w:pPr>
        <w:pStyle w:val="Heading1"/>
        <w:rPr>
          <w:b/>
        </w:rPr>
      </w:pPr>
      <w:bookmarkStart w:name="_Toc124779035" w:id="0"/>
      <w:r>
        <w:rPr>
          <w:b/>
        </w:rPr>
        <w:lastRenderedPageBreak/>
        <w:t>REZOLŪCIJA</w:t>
      </w:r>
      <w:bookmarkEnd w:id="0"/>
      <w:r>
        <w:rPr>
          <w:b/>
        </w:rPr>
        <w:t xml:space="preserve"> </w:t>
      </w:r>
    </w:p>
    <w:p w:rsidRPr="00D01E10" w:rsidR="00D01E10" w:rsidP="00D01E10" w:rsidRDefault="00D01E10" w14:paraId="3C86EBE7" w14:textId="77777777"/>
    <w:p w:rsidR="00D01E10" w:rsidP="001760E9" w:rsidRDefault="00FF16D1" w14:paraId="7D8B1554" w14:textId="50661007">
      <w:pPr>
        <w:numPr>
          <w:ilvl w:val="0"/>
          <w:numId w:val="5"/>
        </w:numPr>
        <w:overflowPunct w:val="0"/>
        <w:autoSpaceDE w:val="0"/>
        <w:autoSpaceDN w:val="0"/>
        <w:adjustRightInd w:val="0"/>
        <w:ind w:left="567" w:hanging="567"/>
        <w:textAlignment w:val="baseline"/>
        <w:rPr>
          <w:b/>
        </w:rPr>
      </w:pPr>
      <w:r>
        <w:rPr>
          <w:b/>
          <w:i/>
          <w:sz w:val="28"/>
        </w:rPr>
        <w:t>Ilglaicīgais Eiropas Jaunatnes gada mantojums: jaunatnes aspekta integrēšana un jaunatnes spēcināšana</w:t>
      </w:r>
    </w:p>
    <w:p w:rsidRPr="00120BA5" w:rsidR="00120BA5" w:rsidP="001760E9" w:rsidRDefault="00120BA5" w14:paraId="7681B9AD" w14:textId="77777777">
      <w:pPr>
        <w:overflowPunct w:val="0"/>
        <w:autoSpaceDE w:val="0"/>
        <w:autoSpaceDN w:val="0"/>
        <w:adjustRightInd w:val="0"/>
        <w:textAlignment w:val="baseline"/>
        <w:rPr>
          <w:b/>
        </w:rPr>
      </w:pPr>
    </w:p>
    <w:p w:rsidRPr="00FA0183" w:rsidR="00C64EEF" w:rsidP="001760E9" w:rsidRDefault="00D01E10" w14:paraId="1DE56937" w14:textId="0E4777DA">
      <w:pPr>
        <w:overflowPunct w:val="0"/>
        <w:autoSpaceDE w:val="0"/>
        <w:autoSpaceDN w:val="0"/>
        <w:adjustRightInd w:val="0"/>
        <w:textAlignment w:val="baseline"/>
      </w:pPr>
      <w:r>
        <w:rPr>
          <w:b/>
        </w:rPr>
        <w:t>ierosinājis</w:t>
      </w:r>
      <w:r>
        <w:t xml:space="preserve"> </w:t>
      </w:r>
      <w:r>
        <w:rPr>
          <w:i/>
          <w:iCs/>
        </w:rPr>
        <w:t>SOC</w:t>
      </w:r>
      <w:r>
        <w:t xml:space="preserve"> specializētās nodaļas priekšsēdētājs </w:t>
      </w:r>
      <w:proofErr w:type="spellStart"/>
      <w:r>
        <w:rPr>
          <w:i/>
          <w:iCs/>
        </w:rPr>
        <w:t>Laurenţiu</w:t>
      </w:r>
      <w:proofErr w:type="spellEnd"/>
      <w:r>
        <w:rPr>
          <w:i/>
          <w:iCs/>
        </w:rPr>
        <w:t xml:space="preserve"> </w:t>
      </w:r>
      <w:proofErr w:type="spellStart"/>
      <w:r>
        <w:rPr>
          <w:i/>
          <w:iCs/>
        </w:rPr>
        <w:t>Plosceanu</w:t>
      </w:r>
      <w:proofErr w:type="spellEnd"/>
      <w:r>
        <w:t xml:space="preserve"> pēc Eiropas Jaunatnes gada koordinācijas grupas pieprasījuma</w:t>
      </w:r>
    </w:p>
    <w:p w:rsidR="004E3304" w:rsidP="001760E9" w:rsidRDefault="004E3304" w14:paraId="0FB003A7" w14:textId="08E1DB38">
      <w:pPr>
        <w:overflowPunct w:val="0"/>
        <w:autoSpaceDE w:val="0"/>
        <w:autoSpaceDN w:val="0"/>
        <w:adjustRightInd w:val="0"/>
        <w:textAlignment w:val="baseline"/>
        <w:rPr>
          <w:bC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1701"/>
        <w:gridCol w:w="6521"/>
      </w:tblGrid>
      <w:tr w:rsidRPr="00627B8F" w:rsidR="00847288" w:rsidTr="00D31DE5" w14:paraId="6A5F68B5" w14:textId="77777777">
        <w:tc>
          <w:tcPr>
            <w:tcW w:w="1701" w:type="dxa"/>
          </w:tcPr>
          <w:p w:rsidRPr="009B70E7" w:rsidR="00847288" w:rsidP="001760E9" w:rsidRDefault="00847288" w14:paraId="259FD2ED" w14:textId="6D1265DC">
            <w:pPr>
              <w:pStyle w:val="ListParagraph"/>
              <w:spacing w:line="240" w:lineRule="auto"/>
              <w:ind w:left="-142" w:firstLine="142"/>
              <w:rPr>
                <w:b/>
              </w:rPr>
            </w:pPr>
            <w:r>
              <w:rPr>
                <w:b/>
              </w:rPr>
              <w:t xml:space="preserve">Atsauces </w:t>
            </w:r>
          </w:p>
        </w:tc>
        <w:tc>
          <w:tcPr>
            <w:tcW w:w="6521" w:type="dxa"/>
          </w:tcPr>
          <w:p w:rsidRPr="00627B8F" w:rsidR="00847288" w:rsidP="001760E9" w:rsidRDefault="00847288" w14:paraId="5E9DE4CD" w14:textId="50E69BA3">
            <w:pPr>
              <w:pStyle w:val="ListParagraph"/>
              <w:ind w:left="-61"/>
            </w:pPr>
            <w:r>
              <w:t>EESC-2022-05772-00-00-RES</w:t>
            </w:r>
          </w:p>
        </w:tc>
      </w:tr>
    </w:tbl>
    <w:p w:rsidRPr="00627B8F" w:rsidR="00847288" w:rsidP="00847288" w:rsidRDefault="00847288" w14:paraId="6940D898" w14:textId="77777777">
      <w:pPr>
        <w:pStyle w:val="ListParagraph"/>
        <w:spacing w:line="240" w:lineRule="auto"/>
        <w:ind w:left="0"/>
        <w:rPr>
          <w:lang w:val="pt-PT"/>
        </w:rPr>
      </w:pPr>
    </w:p>
    <w:p w:rsidRPr="00D31DE5" w:rsidR="00847288" w:rsidP="009357C2" w:rsidRDefault="00D31DE5" w14:paraId="77C22E2F" w14:textId="3C1C3702">
      <w:pPr>
        <w:pStyle w:val="ListParagraph"/>
        <w:spacing w:line="240" w:lineRule="auto"/>
        <w:ind w:left="0"/>
        <w:rPr>
          <w:b/>
        </w:rPr>
      </w:pPr>
      <w:r w:rsidRPr="00D31DE5">
        <w:rPr>
          <w:b/>
          <w:bCs/>
        </w:rPr>
        <w:t>Galvenās nostādnes</w:t>
      </w:r>
    </w:p>
    <w:p w:rsidRPr="00804736" w:rsidR="00847288" w:rsidP="00847288" w:rsidRDefault="00847288" w14:paraId="6F72C1A6" w14:textId="77777777">
      <w:pPr>
        <w:pStyle w:val="ListParagraph"/>
        <w:spacing w:line="240" w:lineRule="auto"/>
        <w:ind w:left="-142" w:firstLine="142"/>
        <w:rPr>
          <w:b/>
        </w:rPr>
      </w:pPr>
    </w:p>
    <w:p w:rsidRPr="00B67EDA" w:rsidR="00847288" w:rsidP="009357C2" w:rsidRDefault="00847288" w14:paraId="207BF1D2" w14:textId="77777777">
      <w:pPr>
        <w:pStyle w:val="ListParagraph"/>
        <w:spacing w:line="240" w:lineRule="auto"/>
        <w:ind w:left="0"/>
        <w:rPr>
          <w:bCs/>
        </w:rPr>
      </w:pPr>
      <w:r>
        <w:t>EESK:</w:t>
      </w:r>
    </w:p>
    <w:p w:rsidR="00847288" w:rsidP="00847288" w:rsidRDefault="00847288" w14:paraId="4DF8CA26" w14:textId="6DD36B91">
      <w:pPr>
        <w:pStyle w:val="ListParagraph"/>
        <w:spacing w:line="276" w:lineRule="auto"/>
        <w:ind w:left="0"/>
      </w:pPr>
    </w:p>
    <w:p w:rsidRPr="009B70E7" w:rsidR="00847288" w:rsidP="00847288" w:rsidRDefault="00D01E10" w14:paraId="189B61E8" w14:textId="3EA3ECE5">
      <w:pPr>
        <w:pStyle w:val="ListParagraph"/>
        <w:numPr>
          <w:ilvl w:val="0"/>
          <w:numId w:val="3"/>
        </w:numPr>
        <w:spacing w:line="276" w:lineRule="auto"/>
        <w:ind w:left="357" w:hanging="357"/>
      </w:pPr>
      <w:r>
        <w:t>aicina ES iestādes un valstu valdības rūpēties par ilglaicīgo Eiropas Jaunatnes gada mantojumu; mudina ES iestādes īstenot “ES jauniešu testu”;</w:t>
      </w:r>
    </w:p>
    <w:p w:rsidR="00847288" w:rsidP="00847288" w:rsidRDefault="00D01E10" w14:paraId="72575DFC" w14:textId="6A6F5E72">
      <w:pPr>
        <w:pStyle w:val="ListParagraph"/>
        <w:numPr>
          <w:ilvl w:val="0"/>
          <w:numId w:val="3"/>
        </w:numPr>
        <w:spacing w:line="276" w:lineRule="auto"/>
        <w:ind w:left="357" w:hanging="357"/>
      </w:pPr>
      <w:r>
        <w:t>mudina jaunatni vairāk iesaistīties lēmumu pieņemšanas procesos, sākot no tiesību aktu priekšlikumu un iniciatīvu izstrādes līdz to īstenošanai, uzraudzībai un turpmākajiem pasākumiem, tostarp tādās jomās kā ilgtspējīga attīstība, drošība un miers;</w:t>
      </w:r>
    </w:p>
    <w:p w:rsidR="00847288" w:rsidP="00847288" w:rsidRDefault="00D01E10" w14:paraId="45C22EE6" w14:textId="4D9808C9">
      <w:pPr>
        <w:pStyle w:val="ListParagraph"/>
        <w:numPr>
          <w:ilvl w:val="0"/>
          <w:numId w:val="3"/>
        </w:numPr>
        <w:spacing w:line="276" w:lineRule="auto"/>
        <w:ind w:left="357" w:hanging="357"/>
      </w:pPr>
      <w:r>
        <w:t>norāda, ka pilsoniskās sabiedrības organizācijām un sevišķi jaunatnes organizācijām ir izšķiroša nozīme inovatīvu līdzdalības instrumentu apzināšanā, lai jaunatnes aspektu integrētu politikas veidošanā visos līmeņos un visās politikas jomās;</w:t>
      </w:r>
    </w:p>
    <w:p w:rsidR="004E3304" w:rsidP="00847288" w:rsidRDefault="00D01E10" w14:paraId="1486CAB1" w14:textId="4E1B75AD">
      <w:pPr>
        <w:pStyle w:val="ListParagraph"/>
        <w:numPr>
          <w:ilvl w:val="0"/>
          <w:numId w:val="3"/>
        </w:numPr>
        <w:spacing w:line="276" w:lineRule="auto"/>
        <w:ind w:left="357" w:hanging="357"/>
      </w:pPr>
      <w:r>
        <w:t>pauž apņemšanos izstrādāt jaunas iniciatīvas, lai veicinātu jaunatnes iesaistīšanos un jaunatnes perspektīvu iekļaušanu politikas veidošanā, un stiprināt jauniešu iesaisti savā darbā;</w:t>
      </w:r>
    </w:p>
    <w:p w:rsidR="00847288" w:rsidP="00847288" w:rsidRDefault="00D01E10" w14:paraId="0AD8282B" w14:textId="13D86FE2">
      <w:pPr>
        <w:pStyle w:val="ListParagraph"/>
        <w:numPr>
          <w:ilvl w:val="0"/>
          <w:numId w:val="3"/>
        </w:numPr>
        <w:spacing w:line="276" w:lineRule="auto"/>
        <w:ind w:left="357" w:hanging="357"/>
      </w:pPr>
      <w:r>
        <w:t>aicina izveidot struktūru, kas jaunatnes organizācijas pārstāvētu un/vai iesaistītu visās ES iestādēs; aicina Eiropas Savienību arī turpmāk atbalstīt Rietumbalkānu centienus jaunatnes līdzdalības uzlabošanas ziņā;</w:t>
      </w:r>
    </w:p>
    <w:p w:rsidR="00D01E10" w:rsidP="00847288" w:rsidRDefault="0005495B" w14:paraId="7148E3E6" w14:textId="6FB36219">
      <w:pPr>
        <w:pStyle w:val="ListParagraph"/>
        <w:numPr>
          <w:ilvl w:val="0"/>
          <w:numId w:val="3"/>
        </w:numPr>
        <w:spacing w:line="276" w:lineRule="auto"/>
        <w:ind w:left="357" w:hanging="357"/>
      </w:pPr>
      <w:r>
        <w:t>norāda, ka ir jāpanāk ļoti kvalitatīva un iekļaujoša izglītība un apmācība, kā arī mūžizglītība ikvienam, aicinot citstarp izveidot mērķorientētas skolas cilvēkiem, kuri nevar apmeklēt skolu medicīnisku iemeslu dēļ, un nodrošināt jauniešiem no lauku apvidiem materiālo un digitālo infrastruktūru, kas nepieciešama kvalitatīvam izglītības procesam;</w:t>
      </w:r>
    </w:p>
    <w:p w:rsidR="00D01E10" w:rsidP="00847288" w:rsidRDefault="00D01E10" w14:paraId="041F4D97" w14:textId="16131C17">
      <w:pPr>
        <w:pStyle w:val="ListParagraph"/>
        <w:numPr>
          <w:ilvl w:val="0"/>
          <w:numId w:val="3"/>
        </w:numPr>
        <w:spacing w:line="276" w:lineRule="auto"/>
        <w:ind w:left="357" w:hanging="357"/>
      </w:pPr>
      <w:r>
        <w:t>aicina stiprināt sociālo partneru un pilsoniskās sabiedrības organizāciju spējas, kas ļautu pārstāvēt jauniešus, un atvieglot pāreju no skolas uz aktīvu darba dzīvi.</w:t>
      </w:r>
    </w:p>
    <w:p w:rsidR="00D01E10" w:rsidP="00D01E10" w:rsidRDefault="00D01E10" w14:paraId="76295BA5" w14:textId="77777777">
      <w:pPr>
        <w:spacing w:line="276"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32"/>
        <w:gridCol w:w="5670"/>
      </w:tblGrid>
      <w:tr w:rsidRPr="009B70E7" w:rsidR="00847288" w:rsidTr="00D31DE5" w14:paraId="1A0E05BC" w14:textId="77777777">
        <w:tc>
          <w:tcPr>
            <w:tcW w:w="1418" w:type="dxa"/>
          </w:tcPr>
          <w:p w:rsidRPr="00D01E10" w:rsidR="00847288" w:rsidP="00D31DE5" w:rsidRDefault="00847288" w14:paraId="4E17985E" w14:textId="5BA3B14F">
            <w:pPr>
              <w:pStyle w:val="ListParagraph"/>
              <w:spacing w:line="276" w:lineRule="auto"/>
              <w:ind w:left="0"/>
              <w:rPr>
                <w:i/>
              </w:rPr>
            </w:pPr>
            <w:r>
              <w:rPr>
                <w:b/>
                <w:i/>
              </w:rPr>
              <w:t>Kontaktpersona:</w:t>
            </w:r>
          </w:p>
        </w:tc>
        <w:tc>
          <w:tcPr>
            <w:tcW w:w="5670" w:type="dxa"/>
          </w:tcPr>
          <w:p w:rsidRPr="00D01E10" w:rsidR="00847288" w:rsidP="00D31DE5" w:rsidRDefault="00D01E10" w14:paraId="7A3D3B04" w14:textId="24866976">
            <w:pPr>
              <w:pStyle w:val="ListParagraph"/>
              <w:spacing w:line="276" w:lineRule="auto"/>
              <w:ind w:left="0"/>
              <w:rPr>
                <w:i/>
              </w:rPr>
            </w:pPr>
            <w:proofErr w:type="spellStart"/>
            <w:r>
              <w:rPr>
                <w:i/>
              </w:rPr>
              <w:t>Sabrina</w:t>
            </w:r>
            <w:proofErr w:type="spellEnd"/>
            <w:r>
              <w:rPr>
                <w:i/>
              </w:rPr>
              <w:t xml:space="preserve"> Borg</w:t>
            </w:r>
          </w:p>
        </w:tc>
      </w:tr>
      <w:tr w:rsidRPr="009B70E7" w:rsidR="00847288" w:rsidTr="00D31DE5" w14:paraId="510E6EF9" w14:textId="77777777">
        <w:tc>
          <w:tcPr>
            <w:tcW w:w="1418" w:type="dxa"/>
          </w:tcPr>
          <w:p w:rsidRPr="00D01E10" w:rsidR="00847288" w:rsidP="00D31DE5" w:rsidRDefault="00847288" w14:paraId="26FECBC0" w14:textId="31D605DB">
            <w:pPr>
              <w:pStyle w:val="ListParagraph"/>
              <w:spacing w:line="276" w:lineRule="auto"/>
              <w:ind w:left="601"/>
              <w:rPr>
                <w:i/>
              </w:rPr>
            </w:pPr>
            <w:r>
              <w:rPr>
                <w:i/>
              </w:rPr>
              <w:t>Tālr.:</w:t>
            </w:r>
          </w:p>
        </w:tc>
        <w:tc>
          <w:tcPr>
            <w:tcW w:w="5670" w:type="dxa"/>
          </w:tcPr>
          <w:p w:rsidRPr="00D01E10" w:rsidR="00847288" w:rsidP="00D31DE5" w:rsidRDefault="00847288" w14:paraId="17DB3F0C" w14:textId="17772114">
            <w:pPr>
              <w:pStyle w:val="ListParagraph"/>
              <w:spacing w:line="276" w:lineRule="auto"/>
              <w:ind w:left="0"/>
              <w:rPr>
                <w:i/>
              </w:rPr>
            </w:pPr>
            <w:r>
              <w:rPr>
                <w:i/>
              </w:rPr>
              <w:t>00 32 2 546 97 27</w:t>
            </w:r>
          </w:p>
        </w:tc>
      </w:tr>
      <w:tr w:rsidRPr="009B70E7" w:rsidR="00847288" w:rsidTr="00D31DE5" w14:paraId="1E5F6330" w14:textId="77777777">
        <w:tc>
          <w:tcPr>
            <w:tcW w:w="1418" w:type="dxa"/>
          </w:tcPr>
          <w:p w:rsidRPr="00D01E10" w:rsidR="00847288" w:rsidP="00D31DE5" w:rsidRDefault="00847288" w14:paraId="31C42877" w14:textId="7AAB7A72">
            <w:pPr>
              <w:pStyle w:val="ListParagraph"/>
              <w:spacing w:line="276" w:lineRule="auto"/>
              <w:ind w:left="601"/>
              <w:rPr>
                <w:i/>
              </w:rPr>
            </w:pPr>
            <w:r>
              <w:rPr>
                <w:i/>
              </w:rPr>
              <w:t>E-pasts:</w:t>
            </w:r>
          </w:p>
        </w:tc>
        <w:tc>
          <w:tcPr>
            <w:tcW w:w="5670" w:type="dxa"/>
          </w:tcPr>
          <w:p w:rsidRPr="00D01E10" w:rsidR="00847288" w:rsidP="001760E9" w:rsidRDefault="00D31DE5" w14:paraId="3D591AA1" w14:textId="38C0DA41">
            <w:pPr>
              <w:pStyle w:val="ListParagraph"/>
              <w:spacing w:line="276" w:lineRule="auto"/>
              <w:ind w:left="0"/>
              <w:rPr>
                <w:i/>
              </w:rPr>
            </w:pPr>
            <w:hyperlink w:history="1" r:id="rId20">
              <w:r w:rsidR="008D0A46">
                <w:rPr>
                  <w:rStyle w:val="Hyperlink"/>
                  <w:i/>
                </w:rPr>
                <w:t>Sabrina.Borg@eesc.europa.eu</w:t>
              </w:r>
            </w:hyperlink>
          </w:p>
        </w:tc>
      </w:tr>
    </w:tbl>
    <w:p w:rsidR="004E3304" w:rsidP="007B4C34" w:rsidRDefault="004E3304" w14:paraId="614CEB83" w14:textId="39570086">
      <w:pPr>
        <w:keepNext/>
        <w:keepLines/>
        <w:overflowPunct w:val="0"/>
        <w:autoSpaceDE w:val="0"/>
        <w:autoSpaceDN w:val="0"/>
        <w:adjustRightInd w:val="0"/>
        <w:textAlignment w:val="baseline"/>
        <w:rPr>
          <w:b/>
        </w:rPr>
      </w:pPr>
    </w:p>
    <w:p w:rsidR="00057592" w:rsidRDefault="00057592" w14:paraId="59BBDBA3" w14:textId="16E5D695">
      <w:pPr>
        <w:spacing w:after="160" w:line="259" w:lineRule="auto"/>
        <w:jc w:val="left"/>
        <w:rPr>
          <w:b/>
        </w:rPr>
      </w:pPr>
      <w:r>
        <w:br w:type="page"/>
      </w:r>
    </w:p>
    <w:p w:rsidRPr="00D13F40" w:rsidR="004D7AC0" w:rsidP="00D13F40" w:rsidRDefault="004D7AC0" w14:paraId="1E329F25" w14:textId="77777777">
      <w:pPr>
        <w:pStyle w:val="Heading1"/>
        <w:rPr>
          <w:b/>
        </w:rPr>
      </w:pPr>
      <w:bookmarkStart w:name="_Toc124779036" w:id="1"/>
      <w:r>
        <w:rPr>
          <w:b/>
        </w:rPr>
        <w:lastRenderedPageBreak/>
        <w:t>EKONOMISKĀ UN MONETĀRĀ SAVIENĪBA, EKONOMISKĀ UN SOCIĀLĀ KOHĒZIJA</w:t>
      </w:r>
      <w:bookmarkEnd w:id="1"/>
    </w:p>
    <w:p w:rsidRPr="00232EBB" w:rsidR="00662436" w:rsidP="0018231C" w:rsidRDefault="00662436" w14:paraId="1710091D" w14:textId="77777777">
      <w:pPr>
        <w:spacing w:line="240" w:lineRule="auto"/>
        <w:rPr>
          <w:sz w:val="12"/>
        </w:rPr>
      </w:pPr>
    </w:p>
    <w:p w:rsidRPr="00017B56" w:rsidR="00640656" w:rsidP="001760E9" w:rsidRDefault="00E15330" w14:paraId="228D42E4" w14:textId="16D0980B">
      <w:pPr>
        <w:numPr>
          <w:ilvl w:val="0"/>
          <w:numId w:val="5"/>
        </w:numPr>
        <w:overflowPunct w:val="0"/>
        <w:autoSpaceDE w:val="0"/>
        <w:autoSpaceDN w:val="0"/>
        <w:adjustRightInd w:val="0"/>
        <w:ind w:left="567" w:hanging="567"/>
        <w:textAlignment w:val="baseline"/>
        <w:rPr>
          <w:rStyle w:val="Hyperlink"/>
          <w:color w:val="auto"/>
          <w:spacing w:val="-2"/>
          <w:u w:val="none"/>
        </w:rPr>
      </w:pPr>
      <w:r>
        <w:rPr>
          <w:b/>
          <w:i/>
          <w:sz w:val="28"/>
        </w:rPr>
        <w:t>Dzimumpamatoti ieguldījumi nacionālajos atveseļošanas un noturības plānos</w:t>
      </w:r>
    </w:p>
    <w:p w:rsidRPr="00232EBB" w:rsidR="00017B56" w:rsidP="001760E9" w:rsidRDefault="00017B56" w14:paraId="6939C94A" w14:textId="77777777">
      <w:pPr>
        <w:overflowPunct w:val="0"/>
        <w:autoSpaceDE w:val="0"/>
        <w:autoSpaceDN w:val="0"/>
        <w:adjustRightInd w:val="0"/>
        <w:textAlignment w:val="baseline"/>
        <w:rPr>
          <w:spacing w:val="-2"/>
          <w:sz w:val="1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1701"/>
        <w:gridCol w:w="6521"/>
      </w:tblGrid>
      <w:tr w:rsidRPr="00627B8F" w:rsidR="00640656" w:rsidTr="00B83E7B" w14:paraId="17A96696" w14:textId="77777777">
        <w:tc>
          <w:tcPr>
            <w:tcW w:w="1701" w:type="dxa"/>
          </w:tcPr>
          <w:p w:rsidR="00640656" w:rsidP="001760E9" w:rsidRDefault="00640656" w14:paraId="5CD067FF" w14:textId="7AA0E6E5">
            <w:pPr>
              <w:pStyle w:val="ListParagraph"/>
              <w:spacing w:line="240" w:lineRule="auto"/>
              <w:ind w:left="-142" w:firstLine="142"/>
              <w:rPr>
                <w:b/>
              </w:rPr>
            </w:pPr>
            <w:r>
              <w:rPr>
                <w:b/>
              </w:rPr>
              <w:t>Ziņotāja</w:t>
            </w:r>
          </w:p>
          <w:p w:rsidRPr="009B70E7" w:rsidR="002E62B0" w:rsidP="001760E9" w:rsidRDefault="002E62B0" w14:paraId="204BF0A8" w14:textId="5D609210">
            <w:pPr>
              <w:pStyle w:val="ListParagraph"/>
              <w:spacing w:line="240" w:lineRule="auto"/>
              <w:ind w:left="-142" w:firstLine="142"/>
              <w:rPr>
                <w:b/>
              </w:rPr>
            </w:pPr>
          </w:p>
        </w:tc>
        <w:tc>
          <w:tcPr>
            <w:tcW w:w="6521" w:type="dxa"/>
          </w:tcPr>
          <w:p w:rsidRPr="00627B8F" w:rsidR="004442D3" w:rsidRDefault="00E15330" w14:paraId="1C5C2FFB" w14:textId="1F856A17">
            <w:pPr>
              <w:pStyle w:val="ListParagraph"/>
              <w:ind w:left="-60" w:right="-55"/>
            </w:pPr>
            <w:proofErr w:type="spellStart"/>
            <w:r>
              <w:t>Cinzia</w:t>
            </w:r>
            <w:proofErr w:type="spellEnd"/>
            <w:r>
              <w:t xml:space="preserve"> DEL RIO (Darba ņēmēju grupa – IT)</w:t>
            </w:r>
          </w:p>
        </w:tc>
      </w:tr>
      <w:tr w:rsidRPr="00627B8F" w:rsidR="00640656" w:rsidTr="00B83E7B" w14:paraId="3D93C3AA" w14:textId="77777777">
        <w:tc>
          <w:tcPr>
            <w:tcW w:w="1701" w:type="dxa"/>
          </w:tcPr>
          <w:p w:rsidRPr="009B70E7" w:rsidR="00640656" w:rsidP="00804736" w:rsidRDefault="00640656" w14:paraId="33436DCF" w14:textId="78FEC0F2">
            <w:pPr>
              <w:pStyle w:val="ListParagraph"/>
              <w:spacing w:line="240" w:lineRule="auto"/>
              <w:ind w:left="-142" w:firstLine="142"/>
              <w:rPr>
                <w:b/>
              </w:rPr>
            </w:pPr>
            <w:r>
              <w:rPr>
                <w:b/>
              </w:rPr>
              <w:t xml:space="preserve">Atsauces </w:t>
            </w:r>
          </w:p>
        </w:tc>
        <w:tc>
          <w:tcPr>
            <w:tcW w:w="6521" w:type="dxa"/>
          </w:tcPr>
          <w:p w:rsidRPr="00627B8F" w:rsidR="00640656" w:rsidP="00B83E7B" w:rsidRDefault="000A03BD" w14:paraId="3CD87A23" w14:textId="77777777">
            <w:pPr>
              <w:pStyle w:val="ListParagraph"/>
              <w:ind w:left="-61"/>
              <w:rPr>
                <w:bCs/>
              </w:rPr>
            </w:pPr>
            <w:r>
              <w:t>Pašiniciatīvas atzinums</w:t>
            </w:r>
          </w:p>
          <w:p w:rsidRPr="00627B8F" w:rsidR="00640656" w:rsidP="00B83E7B" w:rsidRDefault="00640656" w14:paraId="57D265AF" w14:textId="5A9BB478">
            <w:pPr>
              <w:pStyle w:val="ListParagraph"/>
              <w:ind w:left="-61"/>
            </w:pPr>
            <w:r>
              <w:t>EESC-2022-03571-00-00-AC</w:t>
            </w:r>
          </w:p>
        </w:tc>
      </w:tr>
    </w:tbl>
    <w:p w:rsidRPr="00232EBB" w:rsidR="001760E9" w:rsidP="00640656" w:rsidRDefault="001760E9" w14:paraId="61A030AB" w14:textId="77777777">
      <w:pPr>
        <w:pStyle w:val="ListParagraph"/>
        <w:spacing w:line="240" w:lineRule="auto"/>
        <w:ind w:left="0"/>
        <w:rPr>
          <w:b/>
          <w:sz w:val="12"/>
          <w:lang w:val="en-US"/>
        </w:rPr>
      </w:pPr>
    </w:p>
    <w:p w:rsidR="00640656" w:rsidP="00640656" w:rsidRDefault="00D31DE5" w14:paraId="68C62979" w14:textId="394E5E4A">
      <w:pPr>
        <w:pStyle w:val="ListParagraph"/>
        <w:spacing w:line="240" w:lineRule="auto"/>
        <w:ind w:left="0"/>
        <w:rPr>
          <w:b/>
        </w:rPr>
      </w:pPr>
      <w:r>
        <w:rPr>
          <w:b/>
          <w:bCs/>
        </w:rPr>
        <w:t>Galvenās nostādnes</w:t>
      </w:r>
    </w:p>
    <w:p w:rsidR="002E62B0" w:rsidP="00640656" w:rsidRDefault="002E62B0" w14:paraId="60FC1B05" w14:textId="42A58BCC">
      <w:pPr>
        <w:pStyle w:val="ListParagraph"/>
        <w:spacing w:line="240" w:lineRule="auto"/>
        <w:ind w:left="0"/>
        <w:rPr>
          <w:b/>
          <w:lang w:val="en-US"/>
        </w:rPr>
      </w:pPr>
    </w:p>
    <w:p w:rsidRPr="002E62B0" w:rsidR="002E62B0" w:rsidP="00640656" w:rsidRDefault="002E62B0" w14:paraId="63F0EA0C" w14:textId="76E1CBA7">
      <w:pPr>
        <w:pStyle w:val="ListParagraph"/>
        <w:spacing w:line="240" w:lineRule="auto"/>
        <w:ind w:left="0"/>
        <w:rPr>
          <w:bCs/>
        </w:rPr>
      </w:pPr>
      <w:r>
        <w:t>EESK:</w:t>
      </w:r>
    </w:p>
    <w:p w:rsidRPr="002E62B0" w:rsidR="00640656" w:rsidP="00B67EDA" w:rsidRDefault="00640656" w14:paraId="49F5E58C" w14:textId="3F5352EB">
      <w:pPr>
        <w:pStyle w:val="ListParagraph"/>
        <w:spacing w:line="240" w:lineRule="auto"/>
        <w:ind w:left="0" w:firstLine="142"/>
        <w:rPr>
          <w:b/>
        </w:rPr>
      </w:pPr>
    </w:p>
    <w:p w:rsidRPr="009B70E7" w:rsidR="00640656" w:rsidP="00640656" w:rsidRDefault="00E15330" w14:paraId="7319D50D" w14:textId="4A050FA8">
      <w:pPr>
        <w:pStyle w:val="ListParagraph"/>
        <w:numPr>
          <w:ilvl w:val="0"/>
          <w:numId w:val="3"/>
        </w:numPr>
        <w:spacing w:line="276" w:lineRule="auto"/>
        <w:ind w:left="357" w:hanging="357"/>
      </w:pPr>
      <w:r>
        <w:t xml:space="preserve">norāda, ka lielāko daļu nacionālo atveseļošanas un noturības plānu (NANP) ir izstrādājušas dalībvalstis, neveicot </w:t>
      </w:r>
      <w:proofErr w:type="spellStart"/>
      <w:r>
        <w:rPr>
          <w:i/>
          <w:iCs/>
        </w:rPr>
        <w:t>ex</w:t>
      </w:r>
      <w:proofErr w:type="spellEnd"/>
      <w:r>
        <w:rPr>
          <w:i/>
          <w:iCs/>
        </w:rPr>
        <w:t xml:space="preserve"> </w:t>
      </w:r>
      <w:proofErr w:type="spellStart"/>
      <w:r>
        <w:rPr>
          <w:i/>
          <w:iCs/>
        </w:rPr>
        <w:t>ante</w:t>
      </w:r>
      <w:proofErr w:type="spellEnd"/>
      <w:r>
        <w:rPr>
          <w:i/>
          <w:iCs/>
        </w:rPr>
        <w:t xml:space="preserve"> </w:t>
      </w:r>
      <w:r>
        <w:t>novērtējumu par atsevišķu ieguldījumu ietekmi attiecībā uz to, lai novērstu dzimumu nevienlīdzību un veicinātu sieviešu piekļuvi darba tirgum un palikšanu tajā;</w:t>
      </w:r>
    </w:p>
    <w:p w:rsidR="00017B56" w:rsidP="00017B56" w:rsidRDefault="00D0461E" w14:paraId="0D16AC6B" w14:textId="1F1ABF19">
      <w:pPr>
        <w:pStyle w:val="ListParagraph"/>
        <w:numPr>
          <w:ilvl w:val="0"/>
          <w:numId w:val="3"/>
        </w:numPr>
        <w:spacing w:line="276" w:lineRule="auto"/>
        <w:ind w:left="357" w:hanging="357"/>
      </w:pPr>
      <w:r>
        <w:t>iesaka Eiropas Komisijai novērtēšanas posmā pieņemt salīdzināmus konkrētus rādītājus nolūkā novērtēt uzlabojumus attiecībā uz vienlīdzīgu darba samaksu, sieviešu piekļuvi darba tirgum, darba un aprūpes laika saskaņošanu un pašnodarbinātības veicināšanu;</w:t>
      </w:r>
    </w:p>
    <w:p w:rsidR="00D0461E" w:rsidP="00017B56" w:rsidRDefault="00D0461E" w14:paraId="6021F3AD" w14:textId="3A85D14E">
      <w:pPr>
        <w:pStyle w:val="ListParagraph"/>
        <w:numPr>
          <w:ilvl w:val="0"/>
          <w:numId w:val="3"/>
        </w:numPr>
        <w:spacing w:line="276" w:lineRule="auto"/>
        <w:ind w:left="357" w:hanging="357"/>
      </w:pPr>
      <w:r>
        <w:t>uzskata, ka prioritāte ir NANP īstenošanas gaitā pastiprināt gan tiešos, gan netiešos pasākumus. Tas prasīs skaidrus un ilglaicīgus ieguldījumu kanālus ar resursu plānošanu arī vidējā termiņā un ilgtermiņā;</w:t>
      </w:r>
    </w:p>
    <w:p w:rsidR="00D0461E" w:rsidP="00017B56" w:rsidRDefault="00D0461E" w14:paraId="3ABB753A" w14:textId="5BCB6B46">
      <w:pPr>
        <w:pStyle w:val="ListParagraph"/>
        <w:numPr>
          <w:ilvl w:val="0"/>
          <w:numId w:val="3"/>
        </w:numPr>
        <w:spacing w:line="276" w:lineRule="auto"/>
        <w:ind w:left="357" w:hanging="357"/>
      </w:pPr>
      <w:r>
        <w:t>uzskata, ka priekšroka būtu jādod stimuliem stabilu un kvalitatīvu sievietēm paredzētu darbvietu radīšanai, nevis citiem gadījuma rakstura stimuliem un ka tie būtu jāizslēdz no valsts atbalsta noteikumiem;</w:t>
      </w:r>
    </w:p>
    <w:p w:rsidR="00D0461E" w:rsidP="00017B56" w:rsidRDefault="00D0461E" w14:paraId="25DF518B" w14:textId="38994A87">
      <w:pPr>
        <w:pStyle w:val="ListParagraph"/>
        <w:numPr>
          <w:ilvl w:val="0"/>
          <w:numId w:val="3"/>
        </w:numPr>
        <w:spacing w:line="276" w:lineRule="auto"/>
        <w:ind w:left="357" w:hanging="357"/>
      </w:pPr>
      <w:r>
        <w:t>aicina stiprināt stimulus uzņēmumiem, kuri veicina sieviešu nodarbinātību, un attiecināt tos uz visiem publiskā iepirkuma līgumiem, kā arī reglamentēt publiskos uzaicinājumus iesniegt piedāvājumus, kas paredzēti īstenošanas struktūrām, skaidri norādot dzimumu līdztiesības mērķus;</w:t>
      </w:r>
    </w:p>
    <w:p w:rsidR="00D0461E" w:rsidP="00017B56" w:rsidRDefault="00D0461E" w14:paraId="6BCCF9E0" w14:textId="20A38852">
      <w:pPr>
        <w:pStyle w:val="ListParagraph"/>
        <w:numPr>
          <w:ilvl w:val="0"/>
          <w:numId w:val="3"/>
        </w:numPr>
        <w:spacing w:line="276" w:lineRule="auto"/>
        <w:ind w:left="357" w:hanging="357"/>
      </w:pPr>
      <w:r>
        <w:t>atzinīgi vērtē dažos nacionālajos atveseļošanas un noturības plānos pašnodarbinātībai paredzētos papildinošos un atbalsta pasākumus un cer, ka minētais atbalsts ietvers arī apmācību finanšu un vadības jomā un piekļuvi finanšu instrumentiem;</w:t>
      </w:r>
    </w:p>
    <w:p w:rsidR="00D0461E" w:rsidP="00017B56" w:rsidRDefault="00D0461E" w14:paraId="3CB186FC" w14:textId="01736F93">
      <w:pPr>
        <w:pStyle w:val="ListParagraph"/>
        <w:numPr>
          <w:ilvl w:val="0"/>
          <w:numId w:val="3"/>
        </w:numPr>
        <w:spacing w:line="276" w:lineRule="auto"/>
        <w:ind w:left="357" w:hanging="357"/>
      </w:pPr>
      <w:r>
        <w:t>uzskata: īstenojot nacionālos atveseļošanas un noturības plānus, svarīga ir rīcība nodokļu jomā, atvieglojot otrā pelnītāja stāvokli mājsaimniecībām ar zemiem ienākumiem un nabadzīgāku viena vecāka mājsaimniecību ienākumus;</w:t>
      </w:r>
    </w:p>
    <w:p w:rsidR="00D0461E" w:rsidP="00017B56" w:rsidRDefault="00D0461E" w14:paraId="448C1692" w14:textId="6633FC97">
      <w:pPr>
        <w:pStyle w:val="ListParagraph"/>
        <w:numPr>
          <w:ilvl w:val="0"/>
          <w:numId w:val="3"/>
        </w:numPr>
        <w:spacing w:line="276" w:lineRule="auto"/>
        <w:ind w:left="357" w:hanging="357"/>
      </w:pPr>
      <w:r>
        <w:t>uzskata, ka prioritāte ir ieguldīt līdzekļus pakalpojumos, kuru mērķis ir saskaņot darba laiku un ilgtermiņa aprūpes laiku, lai ieviestu papildu pakalpojumus un padarītu šos pakalpojumus pieejamus ģimenēm</w:t>
      </w:r>
      <w:r>
        <w:noBreakHyphen/>
        <w:t xml:space="preserve"> ar zemiem ienākumiem;</w:t>
      </w:r>
    </w:p>
    <w:p w:rsidR="00D0461E" w:rsidP="00017B56" w:rsidRDefault="00D0461E" w14:paraId="736E17A0" w14:textId="51CDF289">
      <w:pPr>
        <w:pStyle w:val="ListParagraph"/>
        <w:numPr>
          <w:ilvl w:val="0"/>
          <w:numId w:val="3"/>
        </w:numPr>
        <w:spacing w:line="276" w:lineRule="auto"/>
        <w:ind w:left="357" w:hanging="357"/>
      </w:pPr>
      <w:r>
        <w:t>uzskata, ka vairs nevar atlikt konkrētus ieguldījumus, kuru mērķis ir veicināt sieviešu līdzdalību tehniskos un zinātniskos institūtos un universitāšu kursos zinātnes, tehnoloģijas, inženierzinātņu un matemātikas jomā, kas var veicināt sieviešu nodarbinātību ar vidēja termiņa un ilgtermiņa redzējumu arī nozarēs, kurās pašlaik pārsvarā ir vīrieši;</w:t>
      </w:r>
    </w:p>
    <w:p w:rsidR="00D0461E" w:rsidP="00017B56" w:rsidRDefault="00D0461E" w14:paraId="64DE50A0" w14:textId="7823933B">
      <w:pPr>
        <w:pStyle w:val="ListParagraph"/>
        <w:numPr>
          <w:ilvl w:val="0"/>
          <w:numId w:val="3"/>
        </w:numPr>
        <w:spacing w:line="276" w:lineRule="auto"/>
        <w:ind w:left="357" w:hanging="357"/>
      </w:pPr>
      <w:r>
        <w:t>iesaka noteikt, ka dzimumu līdztiesības principa ievērošana budžeta plānošanā visos valsts pārvaldes līmeņos ir obligāta Eiropas pusgada posmā.</w:t>
      </w:r>
    </w:p>
    <w:p w:rsidRPr="009B70E7" w:rsidR="00577672" w:rsidP="00577672" w:rsidRDefault="00577672" w14:paraId="6AC42931" w14:textId="77777777">
      <w:pPr>
        <w:spacing w:line="276"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32"/>
        <w:gridCol w:w="5670"/>
      </w:tblGrid>
      <w:tr w:rsidRPr="009B70E7" w:rsidR="00640656" w:rsidTr="00964827" w14:paraId="437B7156" w14:textId="77777777">
        <w:tc>
          <w:tcPr>
            <w:tcW w:w="1732" w:type="dxa"/>
          </w:tcPr>
          <w:p w:rsidRPr="009B70E7" w:rsidR="00640656" w:rsidP="00B83E7B" w:rsidRDefault="00640656" w14:paraId="026D2B53" w14:textId="766A3BDD">
            <w:pPr>
              <w:pStyle w:val="ListParagraph"/>
              <w:spacing w:line="276" w:lineRule="auto"/>
              <w:ind w:left="0"/>
              <w:rPr>
                <w:i/>
              </w:rPr>
            </w:pPr>
            <w:r>
              <w:rPr>
                <w:b/>
                <w:i/>
              </w:rPr>
              <w:t>Kontaktpersona:</w:t>
            </w:r>
          </w:p>
        </w:tc>
        <w:tc>
          <w:tcPr>
            <w:tcW w:w="5670" w:type="dxa"/>
          </w:tcPr>
          <w:p w:rsidRPr="009B70E7" w:rsidR="00640656" w:rsidP="00B83E7B" w:rsidRDefault="00D0461E" w14:paraId="3123BFA2" w14:textId="3D325DB2">
            <w:pPr>
              <w:pStyle w:val="ListParagraph"/>
              <w:spacing w:line="276" w:lineRule="auto"/>
              <w:ind w:left="0"/>
              <w:rPr>
                <w:i/>
              </w:rPr>
            </w:pPr>
            <w:proofErr w:type="spellStart"/>
            <w:r>
              <w:rPr>
                <w:i/>
              </w:rPr>
              <w:t>Colombe</w:t>
            </w:r>
            <w:proofErr w:type="spellEnd"/>
            <w:r>
              <w:rPr>
                <w:i/>
              </w:rPr>
              <w:t xml:space="preserve"> </w:t>
            </w:r>
            <w:proofErr w:type="spellStart"/>
            <w:r>
              <w:rPr>
                <w:i/>
              </w:rPr>
              <w:t>Grégoire</w:t>
            </w:r>
            <w:proofErr w:type="spellEnd"/>
          </w:p>
        </w:tc>
      </w:tr>
      <w:tr w:rsidRPr="009B70E7" w:rsidR="00640656" w:rsidTr="00964827" w14:paraId="13C450E4" w14:textId="77777777">
        <w:tc>
          <w:tcPr>
            <w:tcW w:w="1732" w:type="dxa"/>
          </w:tcPr>
          <w:p w:rsidRPr="009B70E7" w:rsidR="00640656" w:rsidP="00B83E7B" w:rsidRDefault="00640656" w14:paraId="71B7C5A8" w14:textId="64878A30">
            <w:pPr>
              <w:pStyle w:val="ListParagraph"/>
              <w:spacing w:line="276" w:lineRule="auto"/>
              <w:ind w:left="601"/>
              <w:rPr>
                <w:i/>
              </w:rPr>
            </w:pPr>
            <w:r>
              <w:rPr>
                <w:i/>
              </w:rPr>
              <w:t>Tālr.:</w:t>
            </w:r>
          </w:p>
        </w:tc>
        <w:tc>
          <w:tcPr>
            <w:tcW w:w="5670" w:type="dxa"/>
          </w:tcPr>
          <w:p w:rsidRPr="009B70E7" w:rsidR="00640656" w:rsidP="00B83E7B" w:rsidRDefault="00577672" w14:paraId="3226C0EF" w14:textId="5DE65C11">
            <w:pPr>
              <w:pStyle w:val="ListParagraph"/>
              <w:spacing w:line="276" w:lineRule="auto"/>
              <w:ind w:left="0"/>
              <w:rPr>
                <w:i/>
              </w:rPr>
            </w:pPr>
            <w:r>
              <w:rPr>
                <w:i/>
              </w:rPr>
              <w:t>00 32 2 546 92 86</w:t>
            </w:r>
          </w:p>
        </w:tc>
      </w:tr>
      <w:tr w:rsidRPr="009B70E7" w:rsidR="00640656" w:rsidTr="00964827" w14:paraId="1FEA5B3F" w14:textId="77777777">
        <w:tc>
          <w:tcPr>
            <w:tcW w:w="1732" w:type="dxa"/>
          </w:tcPr>
          <w:p w:rsidRPr="009B70E7" w:rsidR="00640656" w:rsidP="00B83E7B" w:rsidRDefault="00640656" w14:paraId="6D5FF9EA" w14:textId="3ECD4BD9">
            <w:pPr>
              <w:pStyle w:val="ListParagraph"/>
              <w:spacing w:line="276" w:lineRule="auto"/>
              <w:ind w:left="601"/>
              <w:rPr>
                <w:i/>
              </w:rPr>
            </w:pPr>
            <w:r>
              <w:rPr>
                <w:i/>
              </w:rPr>
              <w:t>E-pasts:</w:t>
            </w:r>
          </w:p>
        </w:tc>
        <w:tc>
          <w:tcPr>
            <w:tcW w:w="5670" w:type="dxa"/>
          </w:tcPr>
          <w:p w:rsidRPr="009B70E7" w:rsidR="00063F30" w:rsidP="001760E9" w:rsidRDefault="00D31DE5" w14:paraId="160383F7" w14:textId="59780994">
            <w:pPr>
              <w:pStyle w:val="ListParagraph"/>
              <w:spacing w:line="276" w:lineRule="auto"/>
              <w:ind w:left="0"/>
              <w:rPr>
                <w:i/>
              </w:rPr>
            </w:pPr>
            <w:hyperlink w:history="1" r:id="rId21">
              <w:r w:rsidR="008D0A46">
                <w:rPr>
                  <w:rStyle w:val="Hyperlink"/>
                  <w:i/>
                </w:rPr>
                <w:t>Colombe.Gregoire@eesc.europa.eu</w:t>
              </w:r>
            </w:hyperlink>
          </w:p>
        </w:tc>
      </w:tr>
    </w:tbl>
    <w:p w:rsidRPr="00057592" w:rsidR="002D03B9" w:rsidP="00057592" w:rsidRDefault="00D0461E" w14:paraId="34EF7F8B" w14:textId="7C08D985">
      <w:pPr>
        <w:keepNext/>
        <w:keepLines/>
        <w:numPr>
          <w:ilvl w:val="0"/>
          <w:numId w:val="5"/>
        </w:numPr>
        <w:overflowPunct w:val="0"/>
        <w:autoSpaceDE w:val="0"/>
        <w:autoSpaceDN w:val="0"/>
        <w:adjustRightInd w:val="0"/>
        <w:ind w:left="567" w:hanging="567"/>
        <w:textAlignment w:val="baseline"/>
        <w:rPr>
          <w:spacing w:val="-2"/>
        </w:rPr>
      </w:pPr>
      <w:r>
        <w:rPr>
          <w:b/>
          <w:i/>
          <w:sz w:val="28"/>
        </w:rPr>
        <w:lastRenderedPageBreak/>
        <w:t>Elektroniskajā reģistrā uzturētās informācijas apmaiņa</w:t>
      </w:r>
    </w:p>
    <w:p w:rsidRPr="00057592" w:rsidR="00057592" w:rsidP="00057592" w:rsidRDefault="00057592" w14:paraId="7C7066EC" w14:textId="77777777">
      <w:pPr>
        <w:keepNext/>
        <w:keepLines/>
        <w:overflowPunct w:val="0"/>
        <w:autoSpaceDE w:val="0"/>
        <w:autoSpaceDN w:val="0"/>
        <w:adjustRightInd w:val="0"/>
        <w:textAlignment w:val="baseline"/>
        <w:rPr>
          <w:spacing w:val="-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1701"/>
        <w:gridCol w:w="6521"/>
      </w:tblGrid>
      <w:tr w:rsidRPr="009B70E7" w:rsidR="00986C7F" w:rsidTr="004A46D9" w14:paraId="0AA03C0B" w14:textId="77777777">
        <w:tc>
          <w:tcPr>
            <w:tcW w:w="8222" w:type="dxa"/>
            <w:gridSpan w:val="2"/>
          </w:tcPr>
          <w:p w:rsidRPr="009B70E7" w:rsidR="00D0461E" w:rsidRDefault="00D0461E" w14:paraId="11126B04" w14:textId="348F0814">
            <w:pPr>
              <w:pStyle w:val="ListParagraph"/>
              <w:ind w:left="0"/>
            </w:pPr>
            <w:r>
              <w:rPr>
                <w:b/>
              </w:rPr>
              <w:t>C kategorijas atzinums</w:t>
            </w:r>
          </w:p>
        </w:tc>
      </w:tr>
      <w:tr w:rsidRPr="00627B8F" w:rsidR="004D7AC0" w:rsidTr="004A46D9" w14:paraId="1499CE6A" w14:textId="77777777">
        <w:tc>
          <w:tcPr>
            <w:tcW w:w="1701" w:type="dxa"/>
          </w:tcPr>
          <w:p w:rsidRPr="009B70E7" w:rsidR="004D7AC0" w:rsidRDefault="004D7AC0" w14:paraId="402C1F54" w14:textId="69944A99">
            <w:pPr>
              <w:pStyle w:val="ListParagraph"/>
              <w:ind w:left="0"/>
              <w:rPr>
                <w:b/>
              </w:rPr>
            </w:pPr>
            <w:r>
              <w:rPr>
                <w:b/>
              </w:rPr>
              <w:t xml:space="preserve">Atsauces </w:t>
            </w:r>
          </w:p>
        </w:tc>
        <w:tc>
          <w:tcPr>
            <w:tcW w:w="6521" w:type="dxa"/>
          </w:tcPr>
          <w:p w:rsidRPr="00627B8F" w:rsidR="00DC097D" w:rsidP="0068241A" w:rsidRDefault="00D0461E" w14:paraId="77BAAF3B" w14:textId="67C13ABA">
            <w:pPr>
              <w:pStyle w:val="ListParagraph"/>
              <w:ind w:left="-61"/>
              <w:rPr>
                <w:bCs/>
              </w:rPr>
            </w:pPr>
            <w:r>
              <w:t xml:space="preserve">COM(2022) 539 </w:t>
            </w:r>
            <w:proofErr w:type="spellStart"/>
            <w:r>
              <w:t>final</w:t>
            </w:r>
            <w:proofErr w:type="spellEnd"/>
          </w:p>
          <w:p w:rsidRPr="00627B8F" w:rsidR="004D7AC0" w:rsidP="0068241A" w:rsidRDefault="006125A8" w14:paraId="4FE162D8" w14:textId="12BECD2D">
            <w:pPr>
              <w:pStyle w:val="ListParagraph"/>
              <w:ind w:left="-61"/>
            </w:pPr>
            <w:r>
              <w:t>EESC-2022-05652-00-00-AC</w:t>
            </w:r>
          </w:p>
        </w:tc>
      </w:tr>
    </w:tbl>
    <w:p w:rsidRPr="00D67CAD" w:rsidR="00631509" w:rsidP="00D67CAD" w:rsidRDefault="00631509" w14:paraId="6B907918" w14:textId="77777777">
      <w:pPr>
        <w:pStyle w:val="ListParagraph"/>
        <w:ind w:left="0"/>
        <w:rPr>
          <w:b/>
        </w:rPr>
      </w:pPr>
    </w:p>
    <w:p w:rsidRPr="009B70E7" w:rsidR="004D7AC0" w:rsidP="002E62B0" w:rsidRDefault="00D31DE5" w14:paraId="20827D97" w14:textId="1B8F45AD">
      <w:pPr>
        <w:pStyle w:val="ListParagraph"/>
        <w:spacing w:line="240" w:lineRule="auto"/>
        <w:ind w:left="0"/>
        <w:rPr>
          <w:b/>
        </w:rPr>
      </w:pPr>
      <w:r>
        <w:rPr>
          <w:b/>
          <w:bCs/>
        </w:rPr>
        <w:t>Galvenās nostādnes</w:t>
      </w:r>
    </w:p>
    <w:p w:rsidR="004D7AC0" w:rsidP="0018231C" w:rsidRDefault="004D7AC0" w14:paraId="20687EE6" w14:textId="125F9CBF">
      <w:pPr>
        <w:pStyle w:val="ListParagraph"/>
        <w:spacing w:line="276" w:lineRule="auto"/>
        <w:ind w:left="0"/>
      </w:pPr>
    </w:p>
    <w:p w:rsidR="00D0461E" w:rsidP="0018231C" w:rsidRDefault="00CC521C" w14:paraId="790D0647" w14:textId="0C305347">
      <w:pPr>
        <w:pStyle w:val="ListParagraph"/>
        <w:spacing w:line="276" w:lineRule="auto"/>
        <w:ind w:left="0"/>
      </w:pPr>
      <w:r>
        <w:t>sniedz pozitīvu atzinumu par priekšlikumu Padomes regulai, ar ko Regulu (ES) Nr. 389/2012 groza attiecībā uz elektroniskajā reģistrā uzturētās informācijas apmaiņu par ekonomikas dalībniekiem, kuri pārvieto akcīzes preces starp dalībvalstīm komerciāliem mērķiem</w:t>
      </w:r>
      <w:r w:rsidR="00D0461E">
        <w:rPr>
          <w:rStyle w:val="FootnoteReference"/>
        </w:rPr>
        <w:footnoteReference w:id="1"/>
      </w:r>
      <w:r>
        <w:t>.</w:t>
      </w:r>
    </w:p>
    <w:p w:rsidR="00057592" w:rsidP="00D0461E" w:rsidRDefault="00057592" w14:paraId="12E948ED" w14:textId="6890B43E">
      <w:pPr>
        <w:pStyle w:val="ListParagraph"/>
        <w:spacing w:line="276" w:lineRule="auto"/>
        <w:ind w:left="357"/>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32"/>
        <w:gridCol w:w="5670"/>
      </w:tblGrid>
      <w:tr w:rsidRPr="009B70E7" w:rsidR="00D0461E" w:rsidTr="00D31DE5" w14:paraId="1CA3274A" w14:textId="77777777">
        <w:tc>
          <w:tcPr>
            <w:tcW w:w="1418" w:type="dxa"/>
          </w:tcPr>
          <w:p w:rsidRPr="009B70E7" w:rsidR="00D0461E" w:rsidP="00D31DE5" w:rsidRDefault="00D0461E" w14:paraId="1B7D76F7" w14:textId="6E35BF87">
            <w:pPr>
              <w:pStyle w:val="ListParagraph"/>
              <w:spacing w:line="276" w:lineRule="auto"/>
              <w:ind w:left="0"/>
              <w:rPr>
                <w:i/>
              </w:rPr>
            </w:pPr>
            <w:r>
              <w:rPr>
                <w:b/>
                <w:i/>
              </w:rPr>
              <w:t>Kontaktpersona:</w:t>
            </w:r>
          </w:p>
        </w:tc>
        <w:tc>
          <w:tcPr>
            <w:tcW w:w="5670" w:type="dxa"/>
          </w:tcPr>
          <w:p w:rsidRPr="009B70E7" w:rsidR="00D0461E" w:rsidP="00D31DE5" w:rsidRDefault="00D0461E" w14:paraId="37499342" w14:textId="77777777">
            <w:pPr>
              <w:pStyle w:val="ListParagraph"/>
              <w:spacing w:line="276" w:lineRule="auto"/>
              <w:ind w:left="0"/>
              <w:rPr>
                <w:i/>
              </w:rPr>
            </w:pPr>
            <w:proofErr w:type="spellStart"/>
            <w:r>
              <w:rPr>
                <w:i/>
              </w:rPr>
              <w:t>Jüri</w:t>
            </w:r>
            <w:proofErr w:type="spellEnd"/>
            <w:r>
              <w:rPr>
                <w:i/>
              </w:rPr>
              <w:t xml:space="preserve"> </w:t>
            </w:r>
            <w:proofErr w:type="spellStart"/>
            <w:r>
              <w:rPr>
                <w:i/>
              </w:rPr>
              <w:t>Soosaar</w:t>
            </w:r>
            <w:proofErr w:type="spellEnd"/>
          </w:p>
        </w:tc>
      </w:tr>
      <w:tr w:rsidRPr="009B70E7" w:rsidR="00D0461E" w:rsidTr="00D31DE5" w14:paraId="1A33FC04" w14:textId="77777777">
        <w:tc>
          <w:tcPr>
            <w:tcW w:w="1418" w:type="dxa"/>
          </w:tcPr>
          <w:p w:rsidR="00D0461E" w:rsidP="00D31DE5" w:rsidRDefault="00D0461E" w14:paraId="3B9361C4" w14:textId="1F019D33">
            <w:pPr>
              <w:pStyle w:val="ListParagraph"/>
              <w:spacing w:line="276" w:lineRule="auto"/>
              <w:ind w:left="601"/>
              <w:rPr>
                <w:i/>
              </w:rPr>
            </w:pPr>
            <w:r>
              <w:rPr>
                <w:i/>
              </w:rPr>
              <w:t>Tālr.:</w:t>
            </w:r>
          </w:p>
          <w:p w:rsidRPr="009B70E7" w:rsidR="001760E9" w:rsidP="00D31DE5" w:rsidRDefault="001760E9" w14:paraId="3A271355" w14:textId="201A7B4A">
            <w:pPr>
              <w:pStyle w:val="ListParagraph"/>
              <w:spacing w:line="276" w:lineRule="auto"/>
              <w:ind w:left="601"/>
              <w:rPr>
                <w:i/>
              </w:rPr>
            </w:pPr>
            <w:r>
              <w:rPr>
                <w:i/>
              </w:rPr>
              <w:t>E-pasts:</w:t>
            </w:r>
          </w:p>
        </w:tc>
        <w:tc>
          <w:tcPr>
            <w:tcW w:w="5670" w:type="dxa"/>
          </w:tcPr>
          <w:p w:rsidR="00D0461E" w:rsidP="00D31DE5" w:rsidRDefault="00D0461E" w14:paraId="081D685E" w14:textId="77777777">
            <w:pPr>
              <w:pStyle w:val="ListParagraph"/>
              <w:spacing w:line="276" w:lineRule="auto"/>
              <w:ind w:left="0"/>
              <w:rPr>
                <w:i/>
              </w:rPr>
            </w:pPr>
            <w:r>
              <w:rPr>
                <w:i/>
              </w:rPr>
              <w:t>00 32 2 546 96 28</w:t>
            </w:r>
          </w:p>
          <w:p w:rsidRPr="009B70E7" w:rsidR="00D0461E" w:rsidP="00D31DE5" w:rsidRDefault="00D31DE5" w14:paraId="0FED35C2" w14:textId="56DD91E2">
            <w:pPr>
              <w:pStyle w:val="ListParagraph"/>
              <w:spacing w:line="276" w:lineRule="auto"/>
              <w:ind w:left="0"/>
              <w:rPr>
                <w:i/>
              </w:rPr>
            </w:pPr>
            <w:hyperlink w:history="1" r:id="rId22">
              <w:r w:rsidR="008D0A46">
                <w:rPr>
                  <w:rStyle w:val="Hyperlink"/>
                  <w:i/>
                </w:rPr>
                <w:t>Juri.Soosaar@eesc.europa.eu</w:t>
              </w:r>
            </w:hyperlink>
          </w:p>
        </w:tc>
      </w:tr>
    </w:tbl>
    <w:p w:rsidR="00F4549F" w:rsidRDefault="00F4549F" w14:paraId="58CFB761" w14:textId="6438AA21">
      <w:pPr>
        <w:spacing w:after="160" w:line="259" w:lineRule="auto"/>
        <w:jc w:val="left"/>
      </w:pPr>
    </w:p>
    <w:p w:rsidR="00B67EDA" w:rsidRDefault="00F4549F" w14:paraId="4FFF5C53" w14:textId="704F4A2A">
      <w:pPr>
        <w:spacing w:after="160" w:line="259" w:lineRule="auto"/>
        <w:jc w:val="left"/>
      </w:pPr>
      <w:r>
        <w:br w:type="page"/>
      </w:r>
    </w:p>
    <w:p w:rsidRPr="009B70E7" w:rsidR="004D7AC0" w:rsidRDefault="004D7AC0" w14:paraId="73D829D0" w14:textId="77777777">
      <w:pPr>
        <w:pStyle w:val="Heading1"/>
        <w:rPr>
          <w:b/>
        </w:rPr>
      </w:pPr>
      <w:bookmarkStart w:name="_Toc75527081" w:id="2"/>
      <w:bookmarkStart w:name="_Toc124779037" w:id="3"/>
      <w:r>
        <w:rPr>
          <w:b/>
        </w:rPr>
        <w:lastRenderedPageBreak/>
        <w:t>NODARBINĀTĪBA, SOCIĀLĀS LIETAS UN PILSONISKUMS</w:t>
      </w:r>
      <w:bookmarkEnd w:id="2"/>
      <w:bookmarkEnd w:id="3"/>
    </w:p>
    <w:p w:rsidRPr="005D76AC" w:rsidR="00276CC9" w:rsidP="00750BF7" w:rsidRDefault="00276CC9" w14:paraId="187F194C" w14:textId="59504090">
      <w:pPr>
        <w:spacing w:after="160" w:line="259" w:lineRule="auto"/>
        <w:jc w:val="left"/>
      </w:pPr>
    </w:p>
    <w:p w:rsidRPr="009B70E7" w:rsidR="00775FDA" w:rsidP="0018231C" w:rsidRDefault="008B47C5" w14:paraId="6004B7F1" w14:textId="15D6F570">
      <w:pPr>
        <w:pStyle w:val="ListParagraph"/>
        <w:keepNext/>
        <w:numPr>
          <w:ilvl w:val="0"/>
          <w:numId w:val="2"/>
        </w:numPr>
        <w:ind w:left="567" w:hanging="567"/>
        <w:rPr>
          <w:b/>
          <w:i/>
          <w:sz w:val="28"/>
          <w:szCs w:val="28"/>
        </w:rPr>
      </w:pPr>
      <w:r>
        <w:rPr>
          <w:b/>
          <w:i/>
          <w:sz w:val="28"/>
        </w:rPr>
        <w:t>Dzimumpamatoti ieguldījumi kā dzimumu līdztiesības uzlabošanas instruments Eiropas Savienībā</w:t>
      </w:r>
    </w:p>
    <w:p w:rsidRPr="009B70E7" w:rsidR="00775FDA" w:rsidP="0018231C" w:rsidRDefault="00775FDA" w14:paraId="301189D8" w14:textId="77777777">
      <w:pPr>
        <w:pStyle w:val="ListParagraph"/>
        <w:keepNext/>
        <w:ind w:left="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1701"/>
        <w:gridCol w:w="6096"/>
      </w:tblGrid>
      <w:tr w:rsidRPr="009B70E7" w:rsidR="00B44BB9" w:rsidTr="00E119DF" w14:paraId="5CC040D5" w14:textId="77777777">
        <w:trPr>
          <w:cantSplit/>
          <w:trHeight w:val="284" w:hRule="exact"/>
        </w:trPr>
        <w:tc>
          <w:tcPr>
            <w:tcW w:w="1701" w:type="dxa"/>
          </w:tcPr>
          <w:p w:rsidR="00B44BB9" w:rsidP="002E62B0" w:rsidRDefault="00B44BB9" w14:paraId="2BE1EF86" w14:textId="135AB205">
            <w:pPr>
              <w:pStyle w:val="ListParagraph"/>
              <w:spacing w:line="240" w:lineRule="auto"/>
              <w:ind w:left="-142" w:firstLine="142"/>
              <w:rPr>
                <w:b/>
              </w:rPr>
            </w:pPr>
            <w:r>
              <w:rPr>
                <w:b/>
              </w:rPr>
              <w:t>Ziņotāja</w:t>
            </w:r>
          </w:p>
          <w:p w:rsidRPr="009B70E7" w:rsidR="00B44BB9" w:rsidP="00B44BB9" w:rsidRDefault="00B44BB9" w14:paraId="15AEA92C" w14:textId="77777777">
            <w:pPr>
              <w:pStyle w:val="ListParagraph"/>
              <w:keepNext/>
              <w:ind w:left="0"/>
              <w:rPr>
                <w:b/>
              </w:rPr>
            </w:pPr>
          </w:p>
        </w:tc>
        <w:tc>
          <w:tcPr>
            <w:tcW w:w="6096" w:type="dxa"/>
          </w:tcPr>
          <w:p w:rsidRPr="009B70E7" w:rsidR="00B44BB9" w:rsidP="00E119DF" w:rsidRDefault="008B47C5" w14:paraId="689CA704" w14:textId="0B051DDF">
            <w:pPr>
              <w:pStyle w:val="ListParagraph"/>
              <w:ind w:left="-52"/>
            </w:pPr>
            <w:proofErr w:type="spellStart"/>
            <w:r>
              <w:t>Ody</w:t>
            </w:r>
            <w:proofErr w:type="spellEnd"/>
            <w:r>
              <w:t xml:space="preserve"> NEISINGH (Pilsoniskās sabiedrības organizāciju grupa – NL)</w:t>
            </w:r>
          </w:p>
        </w:tc>
      </w:tr>
      <w:tr w:rsidRPr="009B70E7" w:rsidR="00B44BB9" w:rsidTr="00E119DF" w14:paraId="0BE10C0A" w14:textId="77777777">
        <w:trPr>
          <w:cantSplit/>
          <w:trHeight w:val="567" w:hRule="exact"/>
        </w:trPr>
        <w:tc>
          <w:tcPr>
            <w:tcW w:w="1701" w:type="dxa"/>
          </w:tcPr>
          <w:p w:rsidR="00B44BB9" w:rsidP="0070677E" w:rsidRDefault="008C5DFD" w14:paraId="5684194C" w14:textId="196C26F6">
            <w:pPr>
              <w:pStyle w:val="ListParagraph"/>
              <w:ind w:left="0"/>
              <w:rPr>
                <w:b/>
              </w:rPr>
            </w:pPr>
            <w:r>
              <w:rPr>
                <w:b/>
              </w:rPr>
              <w:t>Līdzziņotāja</w:t>
            </w:r>
          </w:p>
          <w:p w:rsidRPr="009B70E7" w:rsidR="00B44BB9" w:rsidP="00B44BB9" w:rsidRDefault="00B44BB9" w14:paraId="24CB645C" w14:textId="77777777">
            <w:pPr>
              <w:pStyle w:val="ListParagraph"/>
              <w:keepNext/>
              <w:ind w:left="0"/>
              <w:rPr>
                <w:b/>
              </w:rPr>
            </w:pPr>
          </w:p>
        </w:tc>
        <w:tc>
          <w:tcPr>
            <w:tcW w:w="6096" w:type="dxa"/>
          </w:tcPr>
          <w:p w:rsidRPr="009B70E7" w:rsidR="00B44BB9" w:rsidP="00E119DF" w:rsidRDefault="008C3E09" w14:paraId="29D5D88B" w14:textId="4B4FB1FC">
            <w:pPr>
              <w:pStyle w:val="ListParagraph"/>
              <w:ind w:left="-52"/>
            </w:pPr>
            <w:proofErr w:type="spellStart"/>
            <w:r>
              <w:t>Maria</w:t>
            </w:r>
            <w:proofErr w:type="spellEnd"/>
            <w:r>
              <w:t xml:space="preserve"> NIKOLOPOULOU (Darba ņēmēju grupa – ES)</w:t>
            </w:r>
          </w:p>
        </w:tc>
      </w:tr>
      <w:tr w:rsidRPr="00627B8F" w:rsidR="00B44BB9" w:rsidTr="009A3E0E" w14:paraId="58C9EA77" w14:textId="77777777">
        <w:tc>
          <w:tcPr>
            <w:tcW w:w="1701" w:type="dxa"/>
          </w:tcPr>
          <w:p w:rsidRPr="009B70E7" w:rsidR="00B44BB9" w:rsidP="00120BA5" w:rsidRDefault="00B44BB9" w14:paraId="5397904E" w14:textId="534DB60A">
            <w:pPr>
              <w:pStyle w:val="ListParagraph"/>
              <w:ind w:left="0"/>
              <w:rPr>
                <w:b/>
              </w:rPr>
            </w:pPr>
            <w:r>
              <w:rPr>
                <w:b/>
              </w:rPr>
              <w:t xml:space="preserve">Atsauces </w:t>
            </w:r>
          </w:p>
        </w:tc>
        <w:tc>
          <w:tcPr>
            <w:tcW w:w="6096" w:type="dxa"/>
          </w:tcPr>
          <w:p w:rsidRPr="00E119DF" w:rsidR="00B44BB9" w:rsidP="00E119DF" w:rsidRDefault="003C0E5B" w14:paraId="7887F4C5" w14:textId="299FE874">
            <w:pPr>
              <w:pStyle w:val="ListParagraph"/>
              <w:ind w:left="-52"/>
            </w:pPr>
            <w:r>
              <w:t>Pašiniciatīvas atzinums</w:t>
            </w:r>
          </w:p>
          <w:p w:rsidRPr="00E119DF" w:rsidR="00B44BB9" w:rsidP="00E119DF" w:rsidRDefault="00B44BB9" w14:paraId="12C6341D" w14:textId="117F6838">
            <w:pPr>
              <w:pStyle w:val="ListParagraph"/>
              <w:ind w:left="-52"/>
            </w:pPr>
            <w:r>
              <w:t>EESC-2022-02263-00-00-AC</w:t>
            </w:r>
          </w:p>
        </w:tc>
      </w:tr>
    </w:tbl>
    <w:p w:rsidRPr="00232EBB" w:rsidR="00631509" w:rsidP="00631509" w:rsidRDefault="00631509" w14:paraId="5534BE55" w14:textId="77777777">
      <w:pPr>
        <w:pStyle w:val="ListParagraph"/>
        <w:spacing w:line="240" w:lineRule="auto"/>
        <w:ind w:left="-142" w:firstLine="284"/>
        <w:rPr>
          <w:b/>
          <w:sz w:val="14"/>
        </w:rPr>
      </w:pPr>
    </w:p>
    <w:p w:rsidRPr="0070677E" w:rsidR="00775FDA" w:rsidP="002E62B0" w:rsidRDefault="00D31DE5" w14:paraId="63769A52" w14:textId="25940867">
      <w:pPr>
        <w:pStyle w:val="ListParagraph"/>
        <w:spacing w:line="240" w:lineRule="auto"/>
        <w:ind w:left="0"/>
        <w:rPr>
          <w:b/>
        </w:rPr>
      </w:pPr>
      <w:r>
        <w:rPr>
          <w:b/>
          <w:bCs/>
        </w:rPr>
        <w:t>Galvenās nostādnes</w:t>
      </w:r>
    </w:p>
    <w:p w:rsidRPr="00232EBB" w:rsidR="005475DA" w:rsidRDefault="005475DA" w14:paraId="580B14A7" w14:textId="77777777">
      <w:pPr>
        <w:pStyle w:val="ListParagraph"/>
        <w:ind w:left="0"/>
        <w:rPr>
          <w:sz w:val="14"/>
        </w:rPr>
      </w:pPr>
    </w:p>
    <w:p w:rsidRPr="002E62B0" w:rsidR="00775FDA" w:rsidP="002E62B0" w:rsidRDefault="008946BF" w14:paraId="3C2434D8" w14:textId="77777777">
      <w:pPr>
        <w:pStyle w:val="ListParagraph"/>
        <w:spacing w:line="240" w:lineRule="auto"/>
        <w:ind w:left="0"/>
        <w:rPr>
          <w:bCs/>
        </w:rPr>
      </w:pPr>
      <w:r>
        <w:t>EESK:</w:t>
      </w:r>
    </w:p>
    <w:p w:rsidRPr="00232EBB" w:rsidR="00775FDA" w:rsidP="0018231C" w:rsidRDefault="00775FDA" w14:paraId="540C04B4" w14:textId="77777777">
      <w:pPr>
        <w:pStyle w:val="ListParagraph"/>
        <w:ind w:left="0"/>
        <w:rPr>
          <w:sz w:val="14"/>
        </w:rPr>
      </w:pPr>
    </w:p>
    <w:p w:rsidRPr="009B70E7" w:rsidR="00775FDA" w:rsidP="0018231C" w:rsidRDefault="008C3E09" w14:paraId="3D89CE58" w14:textId="1BE2842B">
      <w:pPr>
        <w:pStyle w:val="ListParagraph"/>
        <w:numPr>
          <w:ilvl w:val="0"/>
          <w:numId w:val="3"/>
        </w:numPr>
        <w:ind w:left="357" w:hanging="357"/>
      </w:pPr>
      <w:r>
        <w:t xml:space="preserve">ir stingri pārliecināta, ka radot veicinošus apstākļus sieviešu uzņēmējdarbībai un izveidojot atbilstošus finanšu un likumdošanas instrumentus, piemēram, dzimumu līdztiesības principa ievērošanu budžeta plānošanā, mēs </w:t>
      </w:r>
      <w:r>
        <w:rPr>
          <w:b/>
        </w:rPr>
        <w:t>Eiropas Savienībā un dalībvalstīs varam izveidot iekļaujošu finanšu ekosistēmu</w:t>
      </w:r>
      <w:r>
        <w:t xml:space="preserve"> un ātrāk virzīties uz dzimumu līdztiesību;</w:t>
      </w:r>
    </w:p>
    <w:p w:rsidRPr="00750BF7" w:rsidR="008C3E09" w:rsidP="008C3E09" w:rsidRDefault="008C3E09" w14:paraId="6ABDD16B" w14:textId="19E04F74">
      <w:pPr>
        <w:pStyle w:val="ListParagraph"/>
        <w:numPr>
          <w:ilvl w:val="0"/>
          <w:numId w:val="3"/>
        </w:numPr>
        <w:ind w:left="357" w:hanging="357"/>
      </w:pPr>
      <w:r>
        <w:t xml:space="preserve">uzsver, ka ES būtu jāvāc pēc </w:t>
      </w:r>
      <w:r>
        <w:rPr>
          <w:b/>
        </w:rPr>
        <w:t>dzimuma sadalīti dati par ieguldījumiem Eiropas kontekstā</w:t>
      </w:r>
      <w:r>
        <w:t xml:space="preserve"> un tie jāiekļauj gadskārtējā dzimumu līdztiesības indeksā;</w:t>
      </w:r>
    </w:p>
    <w:p w:rsidR="00B61819" w:rsidP="00B61819" w:rsidRDefault="008C3E09" w14:paraId="0F17F2B4" w14:textId="48642BEC">
      <w:pPr>
        <w:pStyle w:val="ListParagraph"/>
        <w:numPr>
          <w:ilvl w:val="0"/>
          <w:numId w:val="3"/>
        </w:numPr>
        <w:ind w:left="357" w:hanging="357"/>
      </w:pPr>
      <w:r>
        <w:t xml:space="preserve">uzskata, ka ir svarīgi nodrošināt sievietēm vairāk </w:t>
      </w:r>
      <w:r>
        <w:rPr>
          <w:b/>
        </w:rPr>
        <w:t xml:space="preserve">tīklu veidošanas un apmācības iespēju, kā arī </w:t>
      </w:r>
      <w:proofErr w:type="spellStart"/>
      <w:r>
        <w:rPr>
          <w:b/>
        </w:rPr>
        <w:t>mentorēšanas</w:t>
      </w:r>
      <w:proofErr w:type="spellEnd"/>
      <w:r>
        <w:rPr>
          <w:b/>
        </w:rPr>
        <w:t xml:space="preserve"> programmas</w:t>
      </w:r>
      <w:r>
        <w:t>. Turklāt EESK uzsver izglītības nozīmīgumu gan cīņā pret dzimumu stereotipiem, gan tādas uzņēmējdarbības kultūras veidošanā, kas mudina sievietes uzdrīkstēties;</w:t>
      </w:r>
    </w:p>
    <w:p w:rsidR="00775FDA" w:rsidP="008C3E09" w:rsidRDefault="008C3E09" w14:paraId="007FFDAF" w14:textId="33FA0B4B">
      <w:pPr>
        <w:pStyle w:val="ListParagraph"/>
        <w:numPr>
          <w:ilvl w:val="0"/>
          <w:numId w:val="3"/>
        </w:numPr>
        <w:ind w:left="357" w:hanging="357"/>
      </w:pPr>
      <w:r>
        <w:t xml:space="preserve">ierosina kā </w:t>
      </w:r>
      <w:r>
        <w:rPr>
          <w:b/>
        </w:rPr>
        <w:t>kritēriju publiskā finansējuma saņemšanai noteikt komandu daudzveidību, īpašu uzmanību pievēršot sievietēm</w:t>
      </w:r>
      <w:r>
        <w:t>. Ir svarīgi noteikt konkrētus standartus, lai nepieļautu “</w:t>
      </w:r>
      <w:proofErr w:type="spellStart"/>
      <w:r>
        <w:t>sārtmaldināšanu</w:t>
      </w:r>
      <w:proofErr w:type="spellEnd"/>
      <w:r>
        <w:t>” (“</w:t>
      </w:r>
      <w:proofErr w:type="spellStart"/>
      <w:r>
        <w:rPr>
          <w:i/>
          <w:iCs/>
        </w:rPr>
        <w:t>pinkwashing</w:t>
      </w:r>
      <w:proofErr w:type="spellEnd"/>
      <w:r>
        <w:t>”);</w:t>
      </w:r>
    </w:p>
    <w:p w:rsidR="008C3E09" w:rsidP="008C3E09" w:rsidRDefault="008C3E09" w14:paraId="1A9000BC" w14:textId="3E9738AA">
      <w:pPr>
        <w:pStyle w:val="ListParagraph"/>
        <w:numPr>
          <w:ilvl w:val="0"/>
          <w:numId w:val="3"/>
        </w:numPr>
        <w:ind w:left="357" w:hanging="357"/>
      </w:pPr>
      <w:r>
        <w:t xml:space="preserve">iesaka visām ES iestādēm un dalībvalstīm vidējā termiņā visos budžeta procesa līmeņos izmantot instrumentus </w:t>
      </w:r>
      <w:r>
        <w:rPr>
          <w:b/>
        </w:rPr>
        <w:t>dzimumu līdztiesības principa ievērošanai budžeta plānošanā</w:t>
      </w:r>
      <w:r>
        <w:t>. Lai apzinātu jomas, kurām jāpievēršas ar budžeta palīdzību, izšķiroša nozīme ir arī pilsoniskās sabiedrības līdzdalībai un sociālajam dialogam;</w:t>
      </w:r>
    </w:p>
    <w:p w:rsidR="008C3E09" w:rsidP="008C3E09" w:rsidRDefault="008C3E09" w14:paraId="4A65AAFF" w14:textId="35A2EA97">
      <w:pPr>
        <w:pStyle w:val="ListParagraph"/>
        <w:numPr>
          <w:ilvl w:val="0"/>
          <w:numId w:val="3"/>
        </w:numPr>
        <w:ind w:left="357" w:hanging="357"/>
      </w:pPr>
      <w:r>
        <w:t xml:space="preserve">uzskata, ka </w:t>
      </w:r>
      <w:r>
        <w:rPr>
          <w:b/>
        </w:rPr>
        <w:t>visās ES finanšu iestāžu žūrijās pēc iespējas ātrāk būtu jāpanāk dzimumu līdzsvars</w:t>
      </w:r>
      <w:r>
        <w:t>, lai nepieļautu labvēlīgāku attieksmi pret sev līdzīgajiem vai citus aizspriedumus, kuru pamatā ir princips “līdzīgs piesaista līdzīgu”. Turklāt svarīgas ir izpratnes veicināšanas kampaņas un ieguldītāju un žūrijas locekļu apmācība par neapzinātiem aizspriedumiem;</w:t>
      </w:r>
    </w:p>
    <w:p w:rsidR="008102E2" w:rsidP="008C3E09" w:rsidRDefault="008102E2" w14:paraId="460E7C9F" w14:textId="67B476BA">
      <w:pPr>
        <w:pStyle w:val="ListParagraph"/>
        <w:numPr>
          <w:ilvl w:val="0"/>
          <w:numId w:val="3"/>
        </w:numPr>
        <w:ind w:left="357" w:hanging="357"/>
      </w:pPr>
      <w:r>
        <w:t xml:space="preserve">ierosina Komisijai publicēt novērtējumu par </w:t>
      </w:r>
      <w:r>
        <w:rPr>
          <w:b/>
        </w:rPr>
        <w:t>ES gada budžeta ietekmi uz dzimumu līdztiesību</w:t>
      </w:r>
      <w:r>
        <w:t xml:space="preserve"> un izveidot darba grupu, kas saskaņotu un nākamajā un pašreizējā DFS iekļautu ES mērķus dzimumu līdztiesības aspekta integrēšanai;</w:t>
      </w:r>
    </w:p>
    <w:p w:rsidR="008102E2" w:rsidP="008C3E09" w:rsidRDefault="008102E2" w14:paraId="113BADF7" w14:textId="181C5653">
      <w:pPr>
        <w:pStyle w:val="ListParagraph"/>
        <w:numPr>
          <w:ilvl w:val="0"/>
          <w:numId w:val="3"/>
        </w:numPr>
        <w:ind w:left="357" w:hanging="357"/>
      </w:pPr>
      <w:r>
        <w:t xml:space="preserve">aicina </w:t>
      </w:r>
      <w:r>
        <w:rPr>
          <w:b/>
        </w:rPr>
        <w:t>padarīt ES līdzekļus piekļūstamākus sieviešu organizācijām,</w:t>
      </w:r>
      <w:r>
        <w:t xml:space="preserve"> vienkāršojot procedūras un piešķirot dotācijas to pamatdarbībai;</w:t>
      </w:r>
    </w:p>
    <w:p w:rsidR="008102E2" w:rsidP="008C3E09" w:rsidRDefault="008102E2" w14:paraId="12286E12" w14:textId="28061C1F">
      <w:pPr>
        <w:pStyle w:val="ListParagraph"/>
        <w:numPr>
          <w:ilvl w:val="0"/>
          <w:numId w:val="3"/>
        </w:numPr>
        <w:ind w:left="357" w:hanging="357"/>
      </w:pPr>
      <w:r>
        <w:t xml:space="preserve">aicina </w:t>
      </w:r>
      <w:r>
        <w:rPr>
          <w:b/>
        </w:rPr>
        <w:t>Eiropas Komisiju un ES iestādes izstrādāt vērienīgu redzējumu par dzimumu līdztiesības principa ievērošanu budžeta plānošanā un ieguldījumiem dzimumu līdztiesības aspektā</w:t>
      </w:r>
      <w:r>
        <w:t>.</w:t>
      </w:r>
    </w:p>
    <w:p w:rsidRPr="00232EBB" w:rsidR="008102E2" w:rsidP="008102E2" w:rsidRDefault="008102E2" w14:paraId="0D71A782" w14:textId="77777777">
      <w:pPr>
        <w:rPr>
          <w:sz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32"/>
        <w:gridCol w:w="5670"/>
      </w:tblGrid>
      <w:tr w:rsidRPr="009B70E7" w:rsidR="00B44BB9" w:rsidTr="008B66DD" w14:paraId="502899FB" w14:textId="77777777">
        <w:tc>
          <w:tcPr>
            <w:tcW w:w="1418" w:type="dxa"/>
          </w:tcPr>
          <w:p w:rsidRPr="009B70E7" w:rsidR="00B44BB9" w:rsidP="008B66DD" w:rsidRDefault="00B44BB9" w14:paraId="4933D5C0" w14:textId="718809BF">
            <w:pPr>
              <w:pStyle w:val="ListParagraph"/>
              <w:ind w:left="0"/>
              <w:rPr>
                <w:i/>
              </w:rPr>
            </w:pPr>
            <w:r>
              <w:rPr>
                <w:b/>
                <w:i/>
              </w:rPr>
              <w:t>Kontaktpersona:</w:t>
            </w:r>
          </w:p>
        </w:tc>
        <w:tc>
          <w:tcPr>
            <w:tcW w:w="5670" w:type="dxa"/>
          </w:tcPr>
          <w:p w:rsidRPr="009B70E7" w:rsidR="00B44BB9" w:rsidP="008B66DD" w:rsidRDefault="008102E2" w14:paraId="649C02E9" w14:textId="575CA2D5">
            <w:pPr>
              <w:pStyle w:val="ListParagraph"/>
              <w:ind w:left="0"/>
              <w:rPr>
                <w:i/>
              </w:rPr>
            </w:pPr>
            <w:proofErr w:type="spellStart"/>
            <w:r>
              <w:rPr>
                <w:i/>
              </w:rPr>
              <w:t>Margherita</w:t>
            </w:r>
            <w:proofErr w:type="spellEnd"/>
            <w:r>
              <w:rPr>
                <w:i/>
              </w:rPr>
              <w:t xml:space="preserve"> </w:t>
            </w:r>
            <w:proofErr w:type="spellStart"/>
            <w:r>
              <w:rPr>
                <w:i/>
              </w:rPr>
              <w:t>Logrillo</w:t>
            </w:r>
            <w:proofErr w:type="spellEnd"/>
          </w:p>
        </w:tc>
      </w:tr>
      <w:tr w:rsidRPr="009B70E7" w:rsidR="00B44BB9" w:rsidTr="008B66DD" w14:paraId="54638E70" w14:textId="77777777">
        <w:tc>
          <w:tcPr>
            <w:tcW w:w="1418" w:type="dxa"/>
          </w:tcPr>
          <w:p w:rsidRPr="009B70E7" w:rsidR="00B44BB9" w:rsidP="008B66DD" w:rsidRDefault="00B44BB9" w14:paraId="40A81D42" w14:textId="0AEADD1A">
            <w:pPr>
              <w:pStyle w:val="ListParagraph"/>
              <w:ind w:left="601"/>
              <w:rPr>
                <w:i/>
              </w:rPr>
            </w:pPr>
            <w:r>
              <w:rPr>
                <w:i/>
              </w:rPr>
              <w:t>Tālr.:</w:t>
            </w:r>
          </w:p>
        </w:tc>
        <w:tc>
          <w:tcPr>
            <w:tcW w:w="5670" w:type="dxa"/>
          </w:tcPr>
          <w:p w:rsidRPr="009B70E7" w:rsidR="00B44BB9" w:rsidP="008B66DD" w:rsidRDefault="00B44BB9" w14:paraId="0C77361C" w14:textId="074B4C3C">
            <w:pPr>
              <w:pStyle w:val="ListParagraph"/>
              <w:ind w:left="0"/>
              <w:rPr>
                <w:i/>
              </w:rPr>
            </w:pPr>
            <w:r>
              <w:rPr>
                <w:i/>
              </w:rPr>
              <w:t>00 32 2 546 90 99</w:t>
            </w:r>
          </w:p>
        </w:tc>
      </w:tr>
      <w:tr w:rsidRPr="001D770D" w:rsidR="00B44BB9" w:rsidTr="008B66DD" w14:paraId="5FB79B0A" w14:textId="77777777">
        <w:tc>
          <w:tcPr>
            <w:tcW w:w="1418" w:type="dxa"/>
          </w:tcPr>
          <w:p w:rsidRPr="009B70E7" w:rsidR="00B44BB9" w:rsidP="008B66DD" w:rsidRDefault="00B44BB9" w14:paraId="0A5C365B" w14:textId="6F30D388">
            <w:pPr>
              <w:pStyle w:val="ListParagraph"/>
              <w:ind w:left="601"/>
              <w:rPr>
                <w:i/>
              </w:rPr>
            </w:pPr>
            <w:r>
              <w:rPr>
                <w:i/>
              </w:rPr>
              <w:t>E-pasts:</w:t>
            </w:r>
          </w:p>
        </w:tc>
        <w:tc>
          <w:tcPr>
            <w:tcW w:w="5670" w:type="dxa"/>
          </w:tcPr>
          <w:p w:rsidRPr="008102E2" w:rsidR="008102E2" w:rsidP="008B66DD" w:rsidRDefault="00D31DE5" w14:paraId="0E9E0878" w14:textId="10EBF6FB">
            <w:pPr>
              <w:pStyle w:val="ListParagraph"/>
              <w:ind w:left="0"/>
              <w:rPr>
                <w:iCs/>
                <w:color w:val="0000FF"/>
                <w:u w:val="single"/>
              </w:rPr>
            </w:pPr>
            <w:hyperlink w:history="1" r:id="rId23">
              <w:r w:rsidR="00FB1C7A">
                <w:rPr>
                  <w:rStyle w:val="Hyperlink"/>
                  <w:i/>
                </w:rPr>
                <w:t>Margherita.Logrillo@eesc.europa.eu</w:t>
              </w:r>
            </w:hyperlink>
          </w:p>
        </w:tc>
      </w:tr>
    </w:tbl>
    <w:p w:rsidR="001760E9" w:rsidRDefault="001760E9" w14:paraId="40D49385" w14:textId="77777777">
      <w:pPr>
        <w:spacing w:after="160" w:line="259" w:lineRule="auto"/>
        <w:jc w:val="left"/>
      </w:pPr>
      <w:r>
        <w:br w:type="page"/>
      </w:r>
    </w:p>
    <w:p w:rsidRPr="009B70E7" w:rsidR="00841374" w:rsidRDefault="00AE4F16" w14:paraId="2D6BD9B3" w14:textId="6A46EF70">
      <w:pPr>
        <w:pStyle w:val="ListParagraph"/>
        <w:numPr>
          <w:ilvl w:val="0"/>
          <w:numId w:val="4"/>
        </w:numPr>
        <w:overflowPunct w:val="0"/>
        <w:autoSpaceDE w:val="0"/>
        <w:autoSpaceDN w:val="0"/>
        <w:adjustRightInd w:val="0"/>
        <w:ind w:left="567" w:hanging="567"/>
        <w:textAlignment w:val="baseline"/>
        <w:rPr>
          <w:b/>
          <w:i/>
          <w:sz w:val="28"/>
          <w:szCs w:val="28"/>
        </w:rPr>
      </w:pPr>
      <w:r>
        <w:rPr>
          <w:b/>
          <w:i/>
          <w:sz w:val="28"/>
        </w:rPr>
        <w:lastRenderedPageBreak/>
        <w:t>Aktīvu atgūšana un konfiskācija</w:t>
      </w:r>
    </w:p>
    <w:p w:rsidRPr="009B70E7" w:rsidR="00841374" w:rsidP="0018231C" w:rsidRDefault="00841374" w14:paraId="1D8B7907" w14:textId="77777777">
      <w:pPr>
        <w:pStyle w:val="ListParagraph"/>
        <w:ind w:left="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60"/>
        <w:gridCol w:w="97"/>
        <w:gridCol w:w="5435"/>
      </w:tblGrid>
      <w:tr w:rsidRPr="009B70E7" w:rsidR="008946BF" w:rsidTr="009357C2" w14:paraId="6EA9204F" w14:textId="77777777">
        <w:tc>
          <w:tcPr>
            <w:tcW w:w="1657" w:type="dxa"/>
            <w:gridSpan w:val="2"/>
          </w:tcPr>
          <w:p w:rsidR="008946BF" w:rsidP="00E21482" w:rsidRDefault="008946BF" w14:paraId="0AAEC296" w14:textId="15198D6A">
            <w:pPr>
              <w:pStyle w:val="ListParagraph"/>
              <w:ind w:left="0"/>
              <w:rPr>
                <w:b/>
              </w:rPr>
            </w:pPr>
            <w:r>
              <w:rPr>
                <w:b/>
              </w:rPr>
              <w:t>Ziņotājs</w:t>
            </w:r>
          </w:p>
          <w:p w:rsidRPr="00F63F2A" w:rsidR="008946BF" w:rsidP="001513FD" w:rsidRDefault="008946BF" w14:paraId="6D6B9B14" w14:textId="77777777">
            <w:pPr>
              <w:pStyle w:val="ListParagraph"/>
              <w:ind w:left="0"/>
              <w:rPr>
                <w:b/>
                <w:sz w:val="20"/>
                <w:szCs w:val="20"/>
              </w:rPr>
            </w:pPr>
          </w:p>
        </w:tc>
        <w:tc>
          <w:tcPr>
            <w:tcW w:w="5435" w:type="dxa"/>
          </w:tcPr>
          <w:p w:rsidR="008946BF" w:rsidP="00DF349B" w:rsidRDefault="00AE4F16" w14:paraId="54293D02" w14:textId="19DCC6F2">
            <w:pPr>
              <w:pStyle w:val="ListParagraph"/>
              <w:ind w:left="-108" w:right="-195"/>
            </w:pPr>
            <w:proofErr w:type="spellStart"/>
            <w:r>
              <w:t>Ionuţ</w:t>
            </w:r>
            <w:proofErr w:type="spellEnd"/>
            <w:r>
              <w:t xml:space="preserve"> SIBIAN (Pilsoniskās sabiedrības organizāciju grupa – RO)</w:t>
            </w:r>
          </w:p>
          <w:p w:rsidRPr="009B70E7" w:rsidR="008946BF" w:rsidP="001513FD" w:rsidRDefault="008946BF" w14:paraId="4D16618C" w14:textId="77777777">
            <w:pPr>
              <w:pStyle w:val="ListParagraph"/>
              <w:ind w:left="-108"/>
            </w:pPr>
          </w:p>
        </w:tc>
      </w:tr>
      <w:tr w:rsidRPr="009B70E7" w:rsidR="00841374" w:rsidTr="009A3E0E" w14:paraId="51253DAE" w14:textId="77777777">
        <w:tblPrEx>
          <w:tblCellMar>
            <w:left w:w="57" w:type="dxa"/>
            <w:right w:w="57" w:type="dxa"/>
          </w:tblCellMar>
        </w:tblPrEx>
        <w:tc>
          <w:tcPr>
            <w:tcW w:w="1560" w:type="dxa"/>
          </w:tcPr>
          <w:p w:rsidRPr="009B70E7" w:rsidR="00841374" w:rsidP="00E21482" w:rsidRDefault="00841374" w14:paraId="6949587A" w14:textId="196FF9C6">
            <w:pPr>
              <w:pStyle w:val="ListParagraph"/>
              <w:ind w:left="0"/>
              <w:rPr>
                <w:b/>
              </w:rPr>
            </w:pPr>
            <w:r>
              <w:rPr>
                <w:b/>
              </w:rPr>
              <w:t>Atsauces</w:t>
            </w:r>
          </w:p>
        </w:tc>
        <w:tc>
          <w:tcPr>
            <w:tcW w:w="5528" w:type="dxa"/>
            <w:gridSpan w:val="2"/>
          </w:tcPr>
          <w:p w:rsidRPr="009B70E7" w:rsidR="00841374" w:rsidP="009357C2" w:rsidRDefault="00AE4F16" w14:paraId="3DD4422C" w14:textId="4089FD19">
            <w:pPr>
              <w:pStyle w:val="ListParagraph"/>
              <w:ind w:left="-61" w:firstLine="61"/>
            </w:pPr>
            <w:r>
              <w:t xml:space="preserve">COM(2022) 245 </w:t>
            </w:r>
            <w:proofErr w:type="spellStart"/>
            <w:r>
              <w:t>final</w:t>
            </w:r>
            <w:proofErr w:type="spellEnd"/>
          </w:p>
          <w:p w:rsidRPr="009B70E7" w:rsidR="00841374" w:rsidP="009357C2" w:rsidRDefault="002E5473" w14:paraId="12FB6382" w14:textId="3D500889">
            <w:pPr>
              <w:pStyle w:val="ListParagraph"/>
              <w:ind w:left="-56" w:firstLine="56"/>
            </w:pPr>
            <w:r>
              <w:t>EESC-2022-03642-00-00-AC</w:t>
            </w:r>
          </w:p>
        </w:tc>
      </w:tr>
    </w:tbl>
    <w:p w:rsidRPr="009B70E7" w:rsidR="00841374" w:rsidRDefault="00841374" w14:paraId="1CBC12AE" w14:textId="77777777">
      <w:pPr>
        <w:pStyle w:val="ListParagraph"/>
        <w:ind w:left="0"/>
        <w:rPr>
          <w:b/>
        </w:rPr>
      </w:pPr>
    </w:p>
    <w:p w:rsidRPr="00D85D67" w:rsidR="00841374" w:rsidP="002E62B0" w:rsidRDefault="00D31DE5" w14:paraId="76256836" w14:textId="7DD0FB9B">
      <w:pPr>
        <w:pStyle w:val="ListParagraph"/>
        <w:spacing w:line="240" w:lineRule="auto"/>
        <w:ind w:left="0"/>
        <w:rPr>
          <w:b/>
        </w:rPr>
      </w:pPr>
      <w:r>
        <w:rPr>
          <w:b/>
          <w:bCs/>
        </w:rPr>
        <w:t>Galvenās nostādnes</w:t>
      </w:r>
    </w:p>
    <w:p w:rsidR="00841374" w:rsidRDefault="00841374" w14:paraId="141BD901" w14:textId="77777777">
      <w:pPr>
        <w:pStyle w:val="ListParagraph"/>
        <w:ind w:left="0"/>
      </w:pPr>
    </w:p>
    <w:p w:rsidRPr="0070677E" w:rsidR="001D770D" w:rsidP="002E62B0" w:rsidRDefault="001D770D" w14:paraId="0B60B8BC" w14:textId="77777777">
      <w:pPr>
        <w:pStyle w:val="ListParagraph"/>
        <w:spacing w:line="240" w:lineRule="auto"/>
        <w:ind w:left="0"/>
        <w:rPr>
          <w:bCs/>
        </w:rPr>
      </w:pPr>
      <w:r>
        <w:t>EESK:</w:t>
      </w:r>
    </w:p>
    <w:p w:rsidRPr="009B70E7" w:rsidR="001D770D" w:rsidRDefault="001D770D" w14:paraId="189BAEB6" w14:textId="77777777">
      <w:pPr>
        <w:pStyle w:val="ListParagraph"/>
        <w:ind w:left="0"/>
      </w:pPr>
    </w:p>
    <w:p w:rsidRPr="009B70E7" w:rsidR="00841374" w:rsidP="0018231C" w:rsidRDefault="00AE4F16" w14:paraId="278A2840" w14:textId="7CEE2E7A">
      <w:pPr>
        <w:pStyle w:val="ListParagraph"/>
        <w:numPr>
          <w:ilvl w:val="0"/>
          <w:numId w:val="3"/>
        </w:numPr>
        <w:ind w:left="357" w:hanging="357"/>
      </w:pPr>
      <w:r>
        <w:t xml:space="preserve">uzskata, ka ierosinātā direktīva </w:t>
      </w:r>
      <w:r>
        <w:rPr>
          <w:b/>
        </w:rPr>
        <w:t>reaģē</w:t>
      </w:r>
      <w:r>
        <w:t xml:space="preserve"> uz nepieciešamību paplašināt konfiskācijas mehānismu darbības jomu, stiprina valstu iestāžu pilnvaras, un izveido pārrobežu sadarbības mehānismus, lai paaugstinātu aktīvu atgūšanas līmeni;</w:t>
      </w:r>
    </w:p>
    <w:p w:rsidR="00A23F52" w:rsidP="00D85D67" w:rsidRDefault="00AE4F16" w14:paraId="4CB8E937" w14:textId="2A40A138">
      <w:pPr>
        <w:pStyle w:val="ListParagraph"/>
        <w:numPr>
          <w:ilvl w:val="0"/>
          <w:numId w:val="3"/>
        </w:numPr>
        <w:ind w:left="357" w:hanging="357"/>
      </w:pPr>
      <w:r>
        <w:t xml:space="preserve">mudina Eiropas Komisiju precizēt un nodrošināt, ka ierosinātās direktīvas </w:t>
      </w:r>
      <w:r>
        <w:rPr>
          <w:b/>
        </w:rPr>
        <w:t>darbības jomā ietilpst</w:t>
      </w:r>
      <w:r>
        <w:t xml:space="preserve"> arī migrantu kontrabanda un tabakas izstrādājumu nelikumīga tirdzniecība;</w:t>
      </w:r>
    </w:p>
    <w:p w:rsidR="00AE4F16" w:rsidP="00D85D67" w:rsidRDefault="00AE4F16" w14:paraId="0C759C04" w14:textId="4AD75CDB">
      <w:pPr>
        <w:pStyle w:val="ListParagraph"/>
        <w:numPr>
          <w:ilvl w:val="0"/>
          <w:numId w:val="3"/>
        </w:numPr>
        <w:ind w:left="357" w:hanging="357"/>
      </w:pPr>
      <w:r>
        <w:t xml:space="preserve">aicina Komisiju apsvērt, kā ierosināto direktīvu piemērot ES ierobežojošo pasākumu pārkāpumiem, un uzskata, ka šajā jomā ir vajadzīgi </w:t>
      </w:r>
      <w:r>
        <w:rPr>
          <w:b/>
        </w:rPr>
        <w:t>atsevišķi tiesību akti</w:t>
      </w:r>
      <w:r>
        <w:t>;</w:t>
      </w:r>
    </w:p>
    <w:p w:rsidR="00AE4F16" w:rsidP="00D85D67" w:rsidRDefault="00AE4F16" w14:paraId="43120B8F" w14:textId="4E121E5D">
      <w:pPr>
        <w:pStyle w:val="ListParagraph"/>
        <w:numPr>
          <w:ilvl w:val="0"/>
          <w:numId w:val="3"/>
        </w:numPr>
        <w:ind w:left="357" w:hanging="357"/>
      </w:pPr>
      <w:r>
        <w:t xml:space="preserve">iesaka ierosinātajā direktīvā skaidri noteikt, ka valstu iestādēm un Komisijai ir pienākums </w:t>
      </w:r>
      <w:r>
        <w:rPr>
          <w:b/>
        </w:rPr>
        <w:t>regulāri publicēt</w:t>
      </w:r>
      <w:r>
        <w:t xml:space="preserve"> visaptverošus statistikas datus par pasākumiem, kas veikti saskaņā ar direktīvu, un </w:t>
      </w:r>
      <w:r>
        <w:rPr>
          <w:b/>
        </w:rPr>
        <w:t>nodrošināt publisku piekļuvi</w:t>
      </w:r>
      <w:r>
        <w:t xml:space="preserve"> informācijai;</w:t>
      </w:r>
    </w:p>
    <w:p w:rsidR="00AE4F16" w:rsidP="00D85D67" w:rsidRDefault="00AE4F16" w14:paraId="2823C6B4" w14:textId="7E8AE866">
      <w:pPr>
        <w:pStyle w:val="ListParagraph"/>
        <w:numPr>
          <w:ilvl w:val="0"/>
          <w:numId w:val="3"/>
        </w:numPr>
        <w:ind w:left="357" w:hanging="357"/>
      </w:pPr>
      <w:r>
        <w:t xml:space="preserve">mudina Komisiju pārskatīt ierosinātās direktīvas noteikumu par otrreizēju </w:t>
      </w:r>
      <w:r>
        <w:rPr>
          <w:b/>
        </w:rPr>
        <w:t>izmantošanu sociāliem mērķiem</w:t>
      </w:r>
      <w:r>
        <w:t xml:space="preserve"> un mudināt dalībvalstis izstrādāt mehānismus, kā konfiscēto aktīvu pārvaldībā un atsavināšanā prioritāri iesaistīt pilsoniskās sabiedrības organizācijas;</w:t>
      </w:r>
    </w:p>
    <w:p w:rsidR="00AE4F16" w:rsidP="00D85D67" w:rsidRDefault="00AE4F16" w14:paraId="3202814C" w14:textId="5F196C83">
      <w:pPr>
        <w:pStyle w:val="ListParagraph"/>
        <w:numPr>
          <w:ilvl w:val="0"/>
          <w:numId w:val="3"/>
        </w:numPr>
        <w:ind w:left="357" w:hanging="357"/>
      </w:pPr>
      <w:r>
        <w:t xml:space="preserve">prasa Komisijai precīzāk noteikt cietušo tiesības uz kompensāciju un piešķirt </w:t>
      </w:r>
      <w:r>
        <w:rPr>
          <w:b/>
        </w:rPr>
        <w:t>cietušajiem prioritāti</w:t>
      </w:r>
      <w:r>
        <w:t xml:space="preserve"> kreditoru hierarhijā;</w:t>
      </w:r>
    </w:p>
    <w:p w:rsidR="00AE4F16" w:rsidP="00D85D67" w:rsidRDefault="00AE4F16" w14:paraId="6D64C6C9" w14:textId="59819FC5">
      <w:pPr>
        <w:pStyle w:val="ListParagraph"/>
        <w:numPr>
          <w:ilvl w:val="0"/>
          <w:numId w:val="3"/>
        </w:numPr>
        <w:ind w:left="357" w:hanging="357"/>
      </w:pPr>
      <w:r>
        <w:t>iesaka Eiropas Komisijai pieprasīt regulāri ziņot par katrā dalībvalstī piešķirtajiem resursiem, lai visā Eiropas Savienībā nodrošinātu aktīvu atguves dienestu darbības</w:t>
      </w:r>
      <w:r>
        <w:rPr>
          <w:b/>
        </w:rPr>
        <w:t xml:space="preserve"> minimālo standartu</w:t>
      </w:r>
      <w:r>
        <w:t>;</w:t>
      </w:r>
    </w:p>
    <w:p w:rsidR="00AE4F16" w:rsidP="00D85D67" w:rsidRDefault="003C4172" w14:paraId="5CDB1D02" w14:textId="0DE36DEE">
      <w:pPr>
        <w:pStyle w:val="ListParagraph"/>
        <w:numPr>
          <w:ilvl w:val="0"/>
          <w:numId w:val="3"/>
        </w:numPr>
        <w:ind w:left="357" w:hanging="357"/>
      </w:pPr>
      <w:r>
        <w:t xml:space="preserve">uzskata, ka ir nepieciešams iekļaut konkrētākus instrumentus, lai palīdzētu </w:t>
      </w:r>
      <w:r>
        <w:rPr>
          <w:b/>
        </w:rPr>
        <w:t>trešo valstu amatpersonām</w:t>
      </w:r>
      <w:r>
        <w:t xml:space="preserve">, un aktīvi mudināt dalībvalstis attīstīt sadarbību ar šīm valstīm, lai maksimāli izmantotu ierosinātajā direktīvā paredzētos aktīvu atgūšanas mehānismus un lai noziedzīgos nodarījumos cietušajiem nodrošinātu </w:t>
      </w:r>
      <w:r>
        <w:rPr>
          <w:b/>
        </w:rPr>
        <w:t>pilnīgas tiesības uz kompensāciju</w:t>
      </w:r>
      <w:r>
        <w:t xml:space="preserve"> trešās valstīs.</w:t>
      </w:r>
    </w:p>
    <w:p w:rsidRPr="009B70E7" w:rsidR="00841374" w:rsidRDefault="00841374" w14:paraId="3B0FA7A1"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32"/>
        <w:gridCol w:w="5670"/>
      </w:tblGrid>
      <w:tr w:rsidRPr="009B70E7" w:rsidR="00841374" w:rsidTr="00841374" w14:paraId="50A403EE" w14:textId="77777777">
        <w:tc>
          <w:tcPr>
            <w:tcW w:w="1418" w:type="dxa"/>
          </w:tcPr>
          <w:p w:rsidRPr="009B70E7" w:rsidR="00841374" w:rsidRDefault="00841374" w14:paraId="629E9BA9" w14:textId="04774F53">
            <w:pPr>
              <w:pStyle w:val="ListParagraph"/>
              <w:ind w:left="0"/>
              <w:rPr>
                <w:i/>
              </w:rPr>
            </w:pPr>
            <w:r>
              <w:rPr>
                <w:b/>
                <w:i/>
              </w:rPr>
              <w:t>Kontaktpersona:</w:t>
            </w:r>
          </w:p>
        </w:tc>
        <w:tc>
          <w:tcPr>
            <w:tcW w:w="5670" w:type="dxa"/>
          </w:tcPr>
          <w:p w:rsidRPr="009B70E7" w:rsidR="00841374" w:rsidRDefault="003C4172" w14:paraId="79C689DE" w14:textId="2DA929D1">
            <w:pPr>
              <w:pStyle w:val="ListParagraph"/>
              <w:ind w:left="0"/>
              <w:rPr>
                <w:i/>
              </w:rPr>
            </w:pPr>
            <w:proofErr w:type="spellStart"/>
            <w:r>
              <w:rPr>
                <w:i/>
              </w:rPr>
              <w:t>Gemma</w:t>
            </w:r>
            <w:proofErr w:type="spellEnd"/>
            <w:r>
              <w:rPr>
                <w:i/>
              </w:rPr>
              <w:t xml:space="preserve"> </w:t>
            </w:r>
            <w:proofErr w:type="spellStart"/>
            <w:r>
              <w:rPr>
                <w:i/>
              </w:rPr>
              <w:t>Amran</w:t>
            </w:r>
            <w:proofErr w:type="spellEnd"/>
          </w:p>
        </w:tc>
      </w:tr>
      <w:tr w:rsidRPr="009B70E7" w:rsidR="00841374" w:rsidTr="00841374" w14:paraId="6334FCD6" w14:textId="77777777">
        <w:tc>
          <w:tcPr>
            <w:tcW w:w="1418" w:type="dxa"/>
          </w:tcPr>
          <w:p w:rsidRPr="009B70E7" w:rsidR="00841374" w:rsidRDefault="00841374" w14:paraId="3F37AC16" w14:textId="702AC76B">
            <w:pPr>
              <w:pStyle w:val="ListParagraph"/>
              <w:ind w:left="601"/>
              <w:rPr>
                <w:i/>
              </w:rPr>
            </w:pPr>
            <w:r>
              <w:rPr>
                <w:i/>
              </w:rPr>
              <w:t>Tālr.:</w:t>
            </w:r>
          </w:p>
        </w:tc>
        <w:tc>
          <w:tcPr>
            <w:tcW w:w="5670" w:type="dxa"/>
          </w:tcPr>
          <w:p w:rsidRPr="009B70E7" w:rsidR="00841374" w:rsidRDefault="00A06E9E" w14:paraId="55D18DAD" w14:textId="01213817">
            <w:pPr>
              <w:pStyle w:val="ListParagraph"/>
              <w:ind w:left="0"/>
              <w:rPr>
                <w:i/>
              </w:rPr>
            </w:pPr>
            <w:r>
              <w:rPr>
                <w:i/>
              </w:rPr>
              <w:t>00 32 2 546 94 15</w:t>
            </w:r>
          </w:p>
        </w:tc>
      </w:tr>
      <w:tr w:rsidRPr="001D770D" w:rsidR="00841374" w:rsidTr="00A23F52" w14:paraId="2EB3D256" w14:textId="77777777">
        <w:trPr>
          <w:trHeight w:val="648"/>
        </w:trPr>
        <w:tc>
          <w:tcPr>
            <w:tcW w:w="1418" w:type="dxa"/>
          </w:tcPr>
          <w:p w:rsidRPr="009B70E7" w:rsidR="00841374" w:rsidRDefault="00841374" w14:paraId="02D49987" w14:textId="34314168">
            <w:pPr>
              <w:pStyle w:val="ListParagraph"/>
              <w:ind w:left="601"/>
              <w:rPr>
                <w:i/>
              </w:rPr>
            </w:pPr>
            <w:r>
              <w:rPr>
                <w:i/>
              </w:rPr>
              <w:t>E-pasts:</w:t>
            </w:r>
          </w:p>
        </w:tc>
        <w:tc>
          <w:tcPr>
            <w:tcW w:w="5670" w:type="dxa"/>
          </w:tcPr>
          <w:p w:rsidRPr="00A23F52" w:rsidR="003C4172" w:rsidRDefault="00D31DE5" w14:paraId="31128638" w14:textId="7A7276B5">
            <w:pPr>
              <w:pStyle w:val="ListParagraph"/>
              <w:ind w:left="0"/>
              <w:rPr>
                <w:i/>
                <w:iCs/>
              </w:rPr>
            </w:pPr>
            <w:hyperlink w:history="1" r:id="rId24">
              <w:r w:rsidR="008D0A46">
                <w:rPr>
                  <w:rStyle w:val="Hyperlink"/>
                  <w:i/>
                </w:rPr>
                <w:t>Gemma.Amran@eesc.europa.eu</w:t>
              </w:r>
            </w:hyperlink>
          </w:p>
        </w:tc>
      </w:tr>
    </w:tbl>
    <w:p w:rsidRPr="005D76AC" w:rsidR="003C4172" w:rsidP="002A2F38" w:rsidRDefault="003C4172" w14:paraId="5F1674CB" w14:textId="170EDBEE">
      <w:pPr>
        <w:pStyle w:val="ListParagraph"/>
        <w:ind w:left="1134"/>
      </w:pPr>
    </w:p>
    <w:p w:rsidR="00276CC9" w:rsidP="000E56EA" w:rsidRDefault="003C4172" w14:paraId="1D2B0942" w14:textId="0103544F">
      <w:pPr>
        <w:spacing w:after="160" w:line="259" w:lineRule="auto"/>
        <w:jc w:val="left"/>
        <w:rPr>
          <w:sz w:val="28"/>
        </w:rPr>
      </w:pPr>
      <w:r>
        <w:br w:type="page"/>
      </w:r>
    </w:p>
    <w:p w:rsidRPr="009B70E7" w:rsidR="004B2250" w:rsidP="004B2250" w:rsidRDefault="003C4172" w14:paraId="098AF87E" w14:textId="6BBE5B5E">
      <w:pPr>
        <w:pStyle w:val="ListParagraph"/>
        <w:numPr>
          <w:ilvl w:val="0"/>
          <w:numId w:val="4"/>
        </w:numPr>
        <w:overflowPunct w:val="0"/>
        <w:autoSpaceDE w:val="0"/>
        <w:autoSpaceDN w:val="0"/>
        <w:adjustRightInd w:val="0"/>
        <w:ind w:left="567" w:hanging="567"/>
        <w:textAlignment w:val="baseline"/>
        <w:rPr>
          <w:b/>
          <w:i/>
          <w:sz w:val="28"/>
          <w:szCs w:val="28"/>
        </w:rPr>
      </w:pPr>
      <w:r>
        <w:rPr>
          <w:b/>
          <w:i/>
          <w:sz w:val="28"/>
        </w:rPr>
        <w:lastRenderedPageBreak/>
        <w:t>Aizsardzība pret pakļaušanu azbesta iedarbībai darba vietā</w:t>
      </w:r>
    </w:p>
    <w:p w:rsidRPr="009B70E7" w:rsidR="004B2250" w:rsidP="004B2250" w:rsidRDefault="004B2250" w14:paraId="336BB3EB" w14:textId="77777777">
      <w:pPr>
        <w:pStyle w:val="ListParagraph"/>
        <w:ind w:left="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60"/>
        <w:gridCol w:w="97"/>
        <w:gridCol w:w="6143"/>
      </w:tblGrid>
      <w:tr w:rsidRPr="009B70E7" w:rsidR="004B2250" w:rsidTr="009357C2" w14:paraId="38539BEE" w14:textId="77777777">
        <w:tc>
          <w:tcPr>
            <w:tcW w:w="1657" w:type="dxa"/>
            <w:gridSpan w:val="2"/>
          </w:tcPr>
          <w:p w:rsidR="004B2250" w:rsidP="0070677E" w:rsidRDefault="004B2250" w14:paraId="45E21669" w14:textId="77CDF11A">
            <w:pPr>
              <w:pStyle w:val="ListParagraph"/>
              <w:ind w:left="0"/>
              <w:rPr>
                <w:b/>
              </w:rPr>
            </w:pPr>
            <w:r>
              <w:rPr>
                <w:b/>
              </w:rPr>
              <w:t xml:space="preserve">Ziņotāja </w:t>
            </w:r>
          </w:p>
          <w:p w:rsidRPr="00F63F2A" w:rsidR="004B2250" w:rsidP="00D31DE5" w:rsidRDefault="004B2250" w14:paraId="0D82A465" w14:textId="77777777">
            <w:pPr>
              <w:pStyle w:val="ListParagraph"/>
              <w:ind w:left="0"/>
              <w:rPr>
                <w:b/>
                <w:sz w:val="20"/>
                <w:szCs w:val="20"/>
              </w:rPr>
            </w:pPr>
          </w:p>
        </w:tc>
        <w:tc>
          <w:tcPr>
            <w:tcW w:w="6143" w:type="dxa"/>
          </w:tcPr>
          <w:p w:rsidR="004B2250" w:rsidP="00D31DE5" w:rsidRDefault="003C4172" w14:paraId="67E97FE5" w14:textId="5BBA25F0">
            <w:pPr>
              <w:pStyle w:val="ListParagraph"/>
              <w:ind w:left="-108" w:right="-195"/>
            </w:pPr>
            <w:r>
              <w:t>Ellen NYGREN (Darba ņēmēju grupa – SE)</w:t>
            </w:r>
          </w:p>
          <w:p w:rsidRPr="009B70E7" w:rsidR="004B2250" w:rsidP="00D31DE5" w:rsidRDefault="004B2250" w14:paraId="03DC5FCB" w14:textId="77777777">
            <w:pPr>
              <w:pStyle w:val="ListParagraph"/>
              <w:ind w:left="-108"/>
            </w:pPr>
          </w:p>
        </w:tc>
      </w:tr>
      <w:tr w:rsidRPr="009B70E7" w:rsidR="004B2250" w:rsidTr="009A3E0E" w14:paraId="51BCE31B" w14:textId="77777777">
        <w:tblPrEx>
          <w:tblCellMar>
            <w:left w:w="57" w:type="dxa"/>
            <w:right w:w="57" w:type="dxa"/>
          </w:tblCellMar>
        </w:tblPrEx>
        <w:tc>
          <w:tcPr>
            <w:tcW w:w="1560" w:type="dxa"/>
          </w:tcPr>
          <w:p w:rsidRPr="009B70E7" w:rsidR="004B2250" w:rsidP="00E21482" w:rsidRDefault="004B2250" w14:paraId="7A91C13D" w14:textId="5AEC6924">
            <w:pPr>
              <w:pStyle w:val="ListParagraph"/>
              <w:ind w:left="79"/>
              <w:rPr>
                <w:b/>
              </w:rPr>
            </w:pPr>
            <w:r>
              <w:rPr>
                <w:b/>
              </w:rPr>
              <w:t xml:space="preserve">Atsauces </w:t>
            </w:r>
          </w:p>
        </w:tc>
        <w:tc>
          <w:tcPr>
            <w:tcW w:w="6237" w:type="dxa"/>
            <w:gridSpan w:val="2"/>
          </w:tcPr>
          <w:p w:rsidRPr="009B70E7" w:rsidR="004B2250" w:rsidP="009357C2" w:rsidRDefault="003C4172" w14:paraId="44AF41D0" w14:textId="1353FC2F">
            <w:pPr>
              <w:pStyle w:val="ListParagraph"/>
              <w:ind w:left="0" w:firstLine="56"/>
            </w:pPr>
            <w:r>
              <w:t xml:space="preserve">COM(2022) 489 </w:t>
            </w:r>
            <w:proofErr w:type="spellStart"/>
            <w:r>
              <w:t>final</w:t>
            </w:r>
            <w:proofErr w:type="spellEnd"/>
          </w:p>
          <w:p w:rsidRPr="009B70E7" w:rsidR="004B2250" w:rsidP="00205D0D" w:rsidRDefault="004B2250" w14:paraId="127C9DC2" w14:textId="67C0889D">
            <w:pPr>
              <w:pStyle w:val="ListParagraph"/>
              <w:ind w:left="0" w:firstLine="56"/>
            </w:pPr>
            <w:r>
              <w:t>EESC-2022-04829-00-00-AC</w:t>
            </w:r>
          </w:p>
        </w:tc>
      </w:tr>
    </w:tbl>
    <w:p w:rsidRPr="009B70E7" w:rsidR="004B2250" w:rsidP="004B2250" w:rsidRDefault="004B2250" w14:paraId="56617586" w14:textId="77777777">
      <w:pPr>
        <w:pStyle w:val="ListParagraph"/>
        <w:ind w:left="0"/>
        <w:rPr>
          <w:b/>
        </w:rPr>
      </w:pPr>
    </w:p>
    <w:p w:rsidR="004B2250" w:rsidP="002E62B0" w:rsidRDefault="00D31DE5" w14:paraId="6AD82CE8" w14:textId="71D9BE5F">
      <w:pPr>
        <w:pStyle w:val="ListParagraph"/>
        <w:spacing w:line="240" w:lineRule="auto"/>
        <w:ind w:left="0"/>
        <w:rPr>
          <w:b/>
        </w:rPr>
      </w:pPr>
      <w:r>
        <w:rPr>
          <w:b/>
          <w:bCs/>
        </w:rPr>
        <w:t>Galvenās nostādnes</w:t>
      </w:r>
    </w:p>
    <w:p w:rsidRPr="00C65A95" w:rsidR="00D91EA9" w:rsidP="00C65A95" w:rsidRDefault="00D91EA9" w14:paraId="0EA81E8A" w14:textId="77777777">
      <w:pPr>
        <w:pStyle w:val="ListParagraph"/>
        <w:spacing w:line="240" w:lineRule="auto"/>
        <w:ind w:left="-142" w:firstLine="142"/>
        <w:rPr>
          <w:b/>
        </w:rPr>
      </w:pPr>
    </w:p>
    <w:p w:rsidRPr="0070677E" w:rsidR="004B2250" w:rsidP="002E62B0" w:rsidRDefault="004B2250" w14:paraId="023FBE3D" w14:textId="77777777">
      <w:pPr>
        <w:pStyle w:val="ListParagraph"/>
        <w:spacing w:line="240" w:lineRule="auto"/>
        <w:ind w:left="0"/>
        <w:rPr>
          <w:bCs/>
        </w:rPr>
      </w:pPr>
      <w:r>
        <w:t>EESK:</w:t>
      </w:r>
    </w:p>
    <w:p w:rsidRPr="009B70E7" w:rsidR="004B2250" w:rsidP="004B2250" w:rsidRDefault="004B2250" w14:paraId="6271EAAC" w14:textId="77777777">
      <w:pPr>
        <w:pStyle w:val="ListParagraph"/>
        <w:ind w:left="0"/>
      </w:pPr>
    </w:p>
    <w:p w:rsidRPr="009B70E7" w:rsidR="004B2250" w:rsidP="004B2250" w:rsidRDefault="003C4172" w14:paraId="4744B163" w14:textId="36FF4698">
      <w:pPr>
        <w:pStyle w:val="ListParagraph"/>
        <w:numPr>
          <w:ilvl w:val="0"/>
          <w:numId w:val="3"/>
        </w:numPr>
        <w:ind w:left="357" w:hanging="357"/>
      </w:pPr>
      <w:r>
        <w:t xml:space="preserve">atzinīgi vērtē </w:t>
      </w:r>
      <w:r>
        <w:rPr>
          <w:b/>
          <w:bCs/>
        </w:rPr>
        <w:t>Komisijas vērienīgo ieceri samazināt saslimstību ar vēzi</w:t>
      </w:r>
      <w:r>
        <w:t xml:space="preserve"> un īpašos centienus maksimāli ierobežot azbesta iedarbību darba vietā;</w:t>
      </w:r>
    </w:p>
    <w:p w:rsidR="00C65A95" w:rsidP="004B2250" w:rsidRDefault="003C4172" w14:paraId="35872D8A" w14:textId="0419E53E">
      <w:pPr>
        <w:pStyle w:val="ListParagraph"/>
        <w:numPr>
          <w:ilvl w:val="0"/>
          <w:numId w:val="3"/>
        </w:numPr>
        <w:ind w:left="357" w:hanging="357"/>
      </w:pPr>
      <w:r>
        <w:t xml:space="preserve">iesaka Direktīvā par darba ņēmēju aizsardzību pret risku, kas saistīts ar pakļaušanu azbesta iedarbībai darba vietā, paredzēto </w:t>
      </w:r>
      <w:r>
        <w:rPr>
          <w:b/>
          <w:bCs/>
        </w:rPr>
        <w:t>azbesta iedarbības robežvērtību</w:t>
      </w:r>
      <w:r>
        <w:t xml:space="preserve"> galu galā noteikt zemākā līmenī, nekā to pašlaik ierosinājusi Komisija;</w:t>
      </w:r>
    </w:p>
    <w:p w:rsidR="004B2250" w:rsidP="004B2250" w:rsidRDefault="003C4172" w14:paraId="5E5A5040" w14:textId="1DEB4A98">
      <w:pPr>
        <w:pStyle w:val="ListParagraph"/>
        <w:numPr>
          <w:ilvl w:val="0"/>
          <w:numId w:val="3"/>
        </w:numPr>
        <w:ind w:left="357" w:hanging="357"/>
      </w:pPr>
      <w:r>
        <w:t xml:space="preserve">lai sasniegtu šo mērķi, iesaka izstrādāt </w:t>
      </w:r>
      <w:r>
        <w:rPr>
          <w:b/>
          <w:bCs/>
        </w:rPr>
        <w:t>ceļvedi, kurā būtu iekļauti pasākumi</w:t>
      </w:r>
      <w:r>
        <w:t>, kas papildinātu pašreizējos Komisijas priekšlikumus. Ceļvedī būtu jāparedz finansiāls atbalsts uzņēmumiem un reģioniem, kuriem tas vajadzīgs izvirzīto mērķu īstenošanai;</w:t>
      </w:r>
    </w:p>
    <w:p w:rsidR="000E56EA" w:rsidP="004B2250" w:rsidRDefault="000E56EA" w14:paraId="66996BD4" w14:textId="4087DED9">
      <w:pPr>
        <w:pStyle w:val="ListParagraph"/>
        <w:numPr>
          <w:ilvl w:val="0"/>
          <w:numId w:val="3"/>
        </w:numPr>
        <w:ind w:left="357" w:hanging="357"/>
      </w:pPr>
      <w:r>
        <w:t xml:space="preserve">iesaka sākt </w:t>
      </w:r>
      <w:r>
        <w:rPr>
          <w:b/>
          <w:bCs/>
        </w:rPr>
        <w:t>visaptverošu informācijas kampaņu plašai sabiedrībai par azbestu</w:t>
      </w:r>
      <w:r>
        <w:t xml:space="preserve"> un tā izraisītajiem dzīvībai bīstamajiem riskiem. Turklāt visiem darba ņēmējiem, kas varētu būt pakļauti azbesta iedarbībai, ir nepieciešama apmācība, kas jāsniedz viņu dzimtajā valodā vai kādā citā valodā, kuru viņi pārvalda;</w:t>
      </w:r>
    </w:p>
    <w:p w:rsidR="000E56EA" w:rsidP="004B2250" w:rsidRDefault="000E56EA" w14:paraId="377D0FE9" w14:textId="0ABE6358">
      <w:pPr>
        <w:pStyle w:val="ListParagraph"/>
        <w:numPr>
          <w:ilvl w:val="0"/>
          <w:numId w:val="3"/>
        </w:numPr>
        <w:ind w:left="357" w:hanging="357"/>
      </w:pPr>
      <w:r>
        <w:t xml:space="preserve">iesaka </w:t>
      </w:r>
      <w:r>
        <w:rPr>
          <w:b/>
          <w:bCs/>
        </w:rPr>
        <w:t>visiem darba ņēmējiem, par kuriem ir aizdomas, ka viņi ir pakļauti azbesta iedarbības riskam, veikt pārbaudes</w:t>
      </w:r>
      <w:r>
        <w:t xml:space="preserve"> un, mainot darbu, viņiem izsniegt reģistra ierakstu vai pasi, kurā sniegta informācija par šo iedarbību, lai tādējādi nodrošinātu viņu veselības uzraudzību;</w:t>
      </w:r>
    </w:p>
    <w:p w:rsidR="000E56EA" w:rsidP="004B2250" w:rsidRDefault="000E56EA" w14:paraId="44F5E336" w14:textId="51B821F6">
      <w:pPr>
        <w:pStyle w:val="ListParagraph"/>
        <w:numPr>
          <w:ilvl w:val="0"/>
          <w:numId w:val="3"/>
        </w:numPr>
        <w:ind w:left="357" w:hanging="357"/>
      </w:pPr>
      <w:r>
        <w:t xml:space="preserve">vērš īpašu uzmanību uz </w:t>
      </w:r>
      <w:r>
        <w:rPr>
          <w:b/>
          <w:bCs/>
        </w:rPr>
        <w:t>SDO Konvenciju Nr. 162 un Roterdamas konvenciju</w:t>
      </w:r>
      <w:r>
        <w:t>. To apspriešanas un piemērošanas kontekstā Eiropas Savienībai un tās dalībvalstīm būtu jāuzņemas aktīva un būtiska loma labvēlīgāku pārmaiņu veicināšanā visās pasaules valstīs un starptautiskajās tirdzniecības ķēdēs;</w:t>
      </w:r>
    </w:p>
    <w:p w:rsidRPr="009B70E7" w:rsidR="000E56EA" w:rsidP="004B2250" w:rsidRDefault="000E56EA" w14:paraId="1FFBC751" w14:textId="024F9026">
      <w:pPr>
        <w:pStyle w:val="ListParagraph"/>
        <w:numPr>
          <w:ilvl w:val="0"/>
          <w:numId w:val="3"/>
        </w:numPr>
        <w:ind w:left="357" w:hanging="357"/>
      </w:pPr>
      <w:r>
        <w:t xml:space="preserve">aicina ES un tās dalībvalstis aktīvi strādāt, lai </w:t>
      </w:r>
      <w:r>
        <w:rPr>
          <w:b/>
          <w:bCs/>
        </w:rPr>
        <w:t>panāktu azbesta izmantošanas aizliegumu</w:t>
      </w:r>
      <w:r>
        <w:t xml:space="preserve"> starptautiskā mērogā un lai nodrošinātu aizsardzību darba ņēmējiem, kuriem nākas darboties ar šo materiālu, kas atrodams, piemēram, renovācijas un nojaukšanas objektos vai atkritumu apsaimniekošanā.</w:t>
      </w:r>
    </w:p>
    <w:p w:rsidR="004B2250" w:rsidP="004B2250" w:rsidRDefault="004B2250" w14:paraId="49C58F40" w14:textId="1C896192"/>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32"/>
        <w:gridCol w:w="5670"/>
      </w:tblGrid>
      <w:tr w:rsidRPr="009B70E7" w:rsidR="00A23F52" w:rsidTr="00D31DE5" w14:paraId="3A6D6E24" w14:textId="77777777">
        <w:tc>
          <w:tcPr>
            <w:tcW w:w="1418" w:type="dxa"/>
          </w:tcPr>
          <w:p w:rsidRPr="009B70E7" w:rsidR="00A23F52" w:rsidP="00D31DE5" w:rsidRDefault="00A23F52" w14:paraId="152A27CB" w14:textId="72781F8C">
            <w:pPr>
              <w:pStyle w:val="ListParagraph"/>
              <w:ind w:left="0"/>
              <w:rPr>
                <w:i/>
              </w:rPr>
            </w:pPr>
            <w:r>
              <w:rPr>
                <w:b/>
                <w:i/>
              </w:rPr>
              <w:t>Kontaktpersona:</w:t>
            </w:r>
          </w:p>
        </w:tc>
        <w:tc>
          <w:tcPr>
            <w:tcW w:w="5670" w:type="dxa"/>
          </w:tcPr>
          <w:p w:rsidRPr="009B70E7" w:rsidR="00A23F52" w:rsidP="00D31DE5" w:rsidRDefault="000E56EA" w14:paraId="0D45662C" w14:textId="3D313559">
            <w:pPr>
              <w:pStyle w:val="ListParagraph"/>
              <w:ind w:left="0"/>
              <w:rPr>
                <w:i/>
              </w:rPr>
            </w:pPr>
            <w:proofErr w:type="spellStart"/>
            <w:r>
              <w:rPr>
                <w:i/>
              </w:rPr>
              <w:t>Margherita</w:t>
            </w:r>
            <w:proofErr w:type="spellEnd"/>
            <w:r>
              <w:rPr>
                <w:i/>
              </w:rPr>
              <w:t xml:space="preserve"> </w:t>
            </w:r>
            <w:proofErr w:type="spellStart"/>
            <w:r>
              <w:rPr>
                <w:i/>
              </w:rPr>
              <w:t>Logrillo</w:t>
            </w:r>
            <w:proofErr w:type="spellEnd"/>
          </w:p>
        </w:tc>
      </w:tr>
      <w:tr w:rsidRPr="009B70E7" w:rsidR="00A23F52" w:rsidTr="00D31DE5" w14:paraId="3ABCA2DE" w14:textId="77777777">
        <w:tc>
          <w:tcPr>
            <w:tcW w:w="1418" w:type="dxa"/>
          </w:tcPr>
          <w:p w:rsidRPr="009B70E7" w:rsidR="00A23F52" w:rsidP="00D31DE5" w:rsidRDefault="00A23F52" w14:paraId="132731D9" w14:textId="7AFDB791">
            <w:pPr>
              <w:pStyle w:val="ListParagraph"/>
              <w:ind w:left="601"/>
              <w:rPr>
                <w:i/>
              </w:rPr>
            </w:pPr>
            <w:r>
              <w:rPr>
                <w:i/>
              </w:rPr>
              <w:t>Tālr.:</w:t>
            </w:r>
          </w:p>
        </w:tc>
        <w:tc>
          <w:tcPr>
            <w:tcW w:w="5670" w:type="dxa"/>
          </w:tcPr>
          <w:p w:rsidRPr="009B70E7" w:rsidR="00A23F52" w:rsidP="00D31DE5" w:rsidRDefault="00A23F52" w14:paraId="61B01258" w14:textId="6A6BC092">
            <w:pPr>
              <w:pStyle w:val="ListParagraph"/>
              <w:ind w:left="0"/>
              <w:rPr>
                <w:i/>
              </w:rPr>
            </w:pPr>
            <w:r>
              <w:rPr>
                <w:i/>
              </w:rPr>
              <w:t>00 32 2 546 90 99</w:t>
            </w:r>
          </w:p>
        </w:tc>
      </w:tr>
      <w:tr w:rsidRPr="00A23F52" w:rsidR="00A23F52" w:rsidTr="00D31DE5" w14:paraId="6DDDCF8C" w14:textId="77777777">
        <w:trPr>
          <w:trHeight w:val="648"/>
        </w:trPr>
        <w:tc>
          <w:tcPr>
            <w:tcW w:w="1418" w:type="dxa"/>
          </w:tcPr>
          <w:p w:rsidRPr="009B70E7" w:rsidR="00A23F52" w:rsidP="00D31DE5" w:rsidRDefault="00A23F52" w14:paraId="71C103E0" w14:textId="4D52C288">
            <w:pPr>
              <w:pStyle w:val="ListParagraph"/>
              <w:ind w:left="601"/>
              <w:rPr>
                <w:i/>
              </w:rPr>
            </w:pPr>
            <w:r>
              <w:rPr>
                <w:i/>
              </w:rPr>
              <w:t>E-pasts:</w:t>
            </w:r>
          </w:p>
        </w:tc>
        <w:tc>
          <w:tcPr>
            <w:tcW w:w="5670" w:type="dxa"/>
          </w:tcPr>
          <w:p w:rsidRPr="00A23F52" w:rsidR="00A23F52" w:rsidP="00D31DE5" w:rsidRDefault="00D31DE5" w14:paraId="14BE916D" w14:textId="02E747CE">
            <w:pPr>
              <w:pStyle w:val="ListParagraph"/>
              <w:ind w:left="0"/>
              <w:rPr>
                <w:i/>
                <w:iCs/>
              </w:rPr>
            </w:pPr>
            <w:hyperlink w:history="1" r:id="rId25">
              <w:r w:rsidR="008D0A46">
                <w:rPr>
                  <w:rStyle w:val="Hyperlink"/>
                  <w:i/>
                </w:rPr>
                <w:t>Margherita.Logrillo@eesc.europa.eu</w:t>
              </w:r>
            </w:hyperlink>
          </w:p>
        </w:tc>
      </w:tr>
    </w:tbl>
    <w:p w:rsidR="00467BE4" w:rsidRDefault="00467BE4" w14:paraId="41A831BA" w14:textId="0F24FAB9">
      <w:pPr>
        <w:spacing w:after="160" w:line="259" w:lineRule="auto"/>
        <w:jc w:val="left"/>
        <w:rPr>
          <w:sz w:val="28"/>
        </w:rPr>
      </w:pPr>
      <w:r>
        <w:br w:type="page"/>
      </w:r>
    </w:p>
    <w:p w:rsidRPr="00883682" w:rsidR="00883682" w:rsidP="00CF32E7" w:rsidRDefault="00D31DE5" w14:paraId="5C1741C1" w14:textId="1C18615D">
      <w:pPr>
        <w:pStyle w:val="ListParagraph"/>
        <w:numPr>
          <w:ilvl w:val="0"/>
          <w:numId w:val="4"/>
        </w:numPr>
        <w:overflowPunct w:val="0"/>
        <w:autoSpaceDE w:val="0"/>
        <w:autoSpaceDN w:val="0"/>
        <w:adjustRightInd w:val="0"/>
        <w:ind w:left="567" w:hanging="567"/>
        <w:textAlignment w:val="baseline"/>
      </w:pPr>
      <w:hyperlink w:history="1" r:id="rId26">
        <w:r w:rsidR="00F9553E">
          <w:rPr>
            <w:rStyle w:val="Hyperlink"/>
            <w:b/>
            <w:i/>
            <w:color w:val="auto"/>
            <w:sz w:val="28"/>
            <w:u w:val="none"/>
          </w:rPr>
          <w:t>Komunikācija par pamattiesībām un tiesiskumu</w:t>
        </w:r>
      </w:hyperlink>
    </w:p>
    <w:p w:rsidRPr="009B70E7" w:rsidR="00883682" w:rsidP="00883682" w:rsidRDefault="00883682" w14:paraId="045754EE" w14:textId="77777777">
      <w:pPr>
        <w:overflowPunct w:val="0"/>
        <w:autoSpaceDE w:val="0"/>
        <w:autoSpaceDN w:val="0"/>
        <w:adjustRightInd w:val="0"/>
        <w:textAlignment w:val="baseline"/>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57"/>
        <w:gridCol w:w="44"/>
        <w:gridCol w:w="6663"/>
      </w:tblGrid>
      <w:tr w:rsidRPr="009B70E7" w:rsidR="00883682" w:rsidTr="00883682" w14:paraId="3DEE809C" w14:textId="77777777">
        <w:tc>
          <w:tcPr>
            <w:tcW w:w="1657" w:type="dxa"/>
          </w:tcPr>
          <w:p w:rsidR="00883682" w:rsidP="00027441" w:rsidRDefault="00883682" w14:paraId="03427D08" w14:textId="475A9472">
            <w:pPr>
              <w:pStyle w:val="ListParagraph"/>
              <w:ind w:left="0"/>
              <w:rPr>
                <w:b/>
              </w:rPr>
            </w:pPr>
            <w:r>
              <w:rPr>
                <w:b/>
              </w:rPr>
              <w:t>Ziņotājs</w:t>
            </w:r>
          </w:p>
          <w:p w:rsidRPr="00F63F2A" w:rsidR="00883682" w:rsidP="00D31DE5" w:rsidRDefault="00A23F52" w14:paraId="28C34F4F" w14:textId="78FDB905">
            <w:pPr>
              <w:pStyle w:val="ListParagraph"/>
              <w:ind w:left="0"/>
              <w:rPr>
                <w:b/>
                <w:sz w:val="20"/>
                <w:szCs w:val="20"/>
              </w:rPr>
            </w:pPr>
            <w:r>
              <w:rPr>
                <w:b/>
                <w:sz w:val="20"/>
              </w:rPr>
              <w:t>Līdzziņotājs</w:t>
            </w:r>
          </w:p>
        </w:tc>
        <w:tc>
          <w:tcPr>
            <w:tcW w:w="6707" w:type="dxa"/>
            <w:gridSpan w:val="2"/>
          </w:tcPr>
          <w:p w:rsidR="00883682" w:rsidP="00883682" w:rsidRDefault="00A61524" w14:paraId="67C65467" w14:textId="325DB96D">
            <w:pPr>
              <w:pStyle w:val="ListParagraph"/>
              <w:ind w:left="-108" w:right="-813"/>
            </w:pPr>
            <w:proofErr w:type="spellStart"/>
            <w:r>
              <w:t>Cristian</w:t>
            </w:r>
            <w:proofErr w:type="spellEnd"/>
            <w:r>
              <w:t xml:space="preserve"> PÎRVULESCU (Pilsoniskās sabiedrības organizāciju grupa – RO)</w:t>
            </w:r>
          </w:p>
          <w:p w:rsidR="00883682" w:rsidP="00D31DE5" w:rsidRDefault="00A61524" w14:paraId="2A9DF744" w14:textId="7358BB11">
            <w:pPr>
              <w:pStyle w:val="ListParagraph"/>
              <w:ind w:left="-108"/>
            </w:pPr>
            <w:proofErr w:type="spellStart"/>
            <w:r>
              <w:t>José</w:t>
            </w:r>
            <w:proofErr w:type="spellEnd"/>
            <w:r>
              <w:t xml:space="preserve"> Antonio MORENO DIAZ (Darba ņēmēju grupa – ES)</w:t>
            </w:r>
          </w:p>
          <w:p w:rsidRPr="009B70E7" w:rsidR="00A23F52" w:rsidP="00D31DE5" w:rsidRDefault="00A23F52" w14:paraId="3EA0E7EF" w14:textId="01CCD898">
            <w:pPr>
              <w:pStyle w:val="ListParagraph"/>
              <w:ind w:left="-108"/>
            </w:pPr>
          </w:p>
        </w:tc>
      </w:tr>
      <w:tr w:rsidRPr="009B70E7" w:rsidR="00883682" w:rsidTr="005D76AC" w14:paraId="620794CA" w14:textId="77777777">
        <w:tblPrEx>
          <w:tblCellMar>
            <w:left w:w="57" w:type="dxa"/>
            <w:right w:w="57" w:type="dxa"/>
          </w:tblCellMar>
        </w:tblPrEx>
        <w:tc>
          <w:tcPr>
            <w:tcW w:w="1701" w:type="dxa"/>
            <w:gridSpan w:val="2"/>
          </w:tcPr>
          <w:p w:rsidRPr="009B70E7" w:rsidR="00883682" w:rsidP="00027441" w:rsidRDefault="00883682" w14:paraId="01C8B0C6" w14:textId="6FE02DBF">
            <w:pPr>
              <w:pStyle w:val="ListParagraph"/>
              <w:ind w:left="79"/>
              <w:rPr>
                <w:b/>
              </w:rPr>
            </w:pPr>
            <w:r>
              <w:rPr>
                <w:b/>
              </w:rPr>
              <w:t xml:space="preserve">Atsauces </w:t>
            </w:r>
          </w:p>
        </w:tc>
        <w:tc>
          <w:tcPr>
            <w:tcW w:w="6663" w:type="dxa"/>
          </w:tcPr>
          <w:p w:rsidRPr="009B70E7" w:rsidR="00883682" w:rsidP="00D31DE5" w:rsidRDefault="00A61524" w14:paraId="0B325614" w14:textId="4EDC0C6C">
            <w:pPr>
              <w:pStyle w:val="ListParagraph"/>
              <w:ind w:left="-56"/>
            </w:pPr>
            <w:r>
              <w:t>Pašiniciatīvas atzinums</w:t>
            </w:r>
          </w:p>
          <w:p w:rsidRPr="009B70E7" w:rsidR="00883682" w:rsidP="00D31DE5" w:rsidRDefault="00883682" w14:paraId="251CEEF3" w14:textId="1DF684CD">
            <w:pPr>
              <w:pStyle w:val="ListParagraph"/>
              <w:ind w:left="-56"/>
            </w:pPr>
            <w:r>
              <w:t>EESC-2022-03263-00-00-AC</w:t>
            </w:r>
          </w:p>
        </w:tc>
      </w:tr>
    </w:tbl>
    <w:p w:rsidRPr="009B70E7" w:rsidR="00883682" w:rsidP="00883682" w:rsidRDefault="00883682" w14:paraId="57E40700" w14:textId="77777777">
      <w:pPr>
        <w:pStyle w:val="ListParagraph"/>
        <w:ind w:left="0"/>
        <w:rPr>
          <w:b/>
        </w:rPr>
      </w:pPr>
    </w:p>
    <w:p w:rsidR="00883682" w:rsidP="002E62B0" w:rsidRDefault="00D31DE5" w14:paraId="61ED65A9" w14:textId="0573D36C">
      <w:pPr>
        <w:pStyle w:val="ListParagraph"/>
        <w:spacing w:line="240" w:lineRule="auto"/>
        <w:ind w:left="0"/>
        <w:rPr>
          <w:b/>
        </w:rPr>
      </w:pPr>
      <w:r>
        <w:rPr>
          <w:b/>
          <w:bCs/>
        </w:rPr>
        <w:t>Galvenās nostādnes</w:t>
      </w:r>
    </w:p>
    <w:p w:rsidRPr="00C65A95" w:rsidR="00883682" w:rsidP="00883682" w:rsidRDefault="00883682" w14:paraId="72FDA37A" w14:textId="77777777">
      <w:pPr>
        <w:pStyle w:val="ListParagraph"/>
        <w:spacing w:line="240" w:lineRule="auto"/>
        <w:ind w:left="-142" w:firstLine="142"/>
        <w:rPr>
          <w:b/>
        </w:rPr>
      </w:pPr>
    </w:p>
    <w:p w:rsidRPr="00027441" w:rsidR="00883682" w:rsidP="002E62B0" w:rsidRDefault="00883682" w14:paraId="6B61FC5A" w14:textId="77777777">
      <w:pPr>
        <w:pStyle w:val="ListParagraph"/>
        <w:spacing w:line="240" w:lineRule="auto"/>
        <w:ind w:left="0"/>
        <w:rPr>
          <w:bCs/>
        </w:rPr>
      </w:pPr>
      <w:r>
        <w:t>EESK:</w:t>
      </w:r>
    </w:p>
    <w:p w:rsidRPr="009B70E7" w:rsidR="00883682" w:rsidP="00883682" w:rsidRDefault="00883682" w14:paraId="291B017B" w14:textId="77777777">
      <w:pPr>
        <w:pStyle w:val="ListParagraph"/>
        <w:ind w:left="0"/>
      </w:pPr>
    </w:p>
    <w:p w:rsidRPr="009B70E7" w:rsidR="00883682" w:rsidP="00883682" w:rsidRDefault="00A61524" w14:paraId="0DFF644A" w14:textId="758C4986">
      <w:pPr>
        <w:pStyle w:val="ListParagraph"/>
        <w:numPr>
          <w:ilvl w:val="0"/>
          <w:numId w:val="3"/>
        </w:numPr>
        <w:ind w:left="357" w:hanging="357"/>
      </w:pPr>
      <w:r>
        <w:t>atgādina, ka ES balstās uz kopīgām vērtībām, kas noteiktas LES 2. pantā, un ka tiesiskums un cilvēktiesības ir daļa no Eiropas identitātes;</w:t>
      </w:r>
    </w:p>
    <w:p w:rsidRPr="009B70E7" w:rsidR="00883682" w:rsidP="00883682" w:rsidRDefault="00A61524" w14:paraId="19B71405" w14:textId="48D1E322">
      <w:pPr>
        <w:pStyle w:val="ListParagraph"/>
        <w:numPr>
          <w:ilvl w:val="0"/>
          <w:numId w:val="3"/>
        </w:numPr>
        <w:ind w:left="357" w:hanging="357"/>
      </w:pPr>
      <w:r>
        <w:t>aicina visas ES iestādes izrādīt absolūtu neiecietību pret tiesiskuma pārkāpumiem dalībvalstīs. ES ir juridisks pienākums atbalstīt tiesiskumu un pamattiesību aizsardzību;</w:t>
      </w:r>
    </w:p>
    <w:p w:rsidRPr="009B70E7" w:rsidR="00A61524" w:rsidP="00A61524" w:rsidRDefault="00A61524" w14:paraId="38B43A33" w14:textId="52738FA3">
      <w:pPr>
        <w:pStyle w:val="ListParagraph"/>
        <w:numPr>
          <w:ilvl w:val="0"/>
          <w:numId w:val="3"/>
        </w:numPr>
        <w:ind w:left="357" w:hanging="357"/>
      </w:pPr>
      <w:r>
        <w:t xml:space="preserve">norāda, ka tiesiskumu un pamattiesības daži var uztvert kā pārmērīgi abstraktus, tālus, </w:t>
      </w:r>
      <w:proofErr w:type="spellStart"/>
      <w:r>
        <w:t>tukšvārdīgus</w:t>
      </w:r>
      <w:proofErr w:type="spellEnd"/>
      <w:r>
        <w:t xml:space="preserve"> un juridiskus jēdzienus;</w:t>
      </w:r>
    </w:p>
    <w:p w:rsidR="00883682" w:rsidP="00883682" w:rsidRDefault="00A61524" w14:paraId="33FF09C9" w14:textId="6A7EF36C">
      <w:pPr>
        <w:pStyle w:val="ListParagraph"/>
        <w:numPr>
          <w:ilvl w:val="0"/>
          <w:numId w:val="3"/>
        </w:numPr>
        <w:ind w:left="357" w:hanging="357"/>
      </w:pPr>
      <w:r>
        <w:t>tomēr atgādina, ka Eiropas Padomes Venēcijas komisija skaidri apraksta galvenos principus, uz kuriem attiecas tiesiskums. Tie ir skaidri kritēriji, pēc kuriem var novērtēt jebkuras valsts rīcības atbilstību šiem principiem;</w:t>
      </w:r>
    </w:p>
    <w:p w:rsidR="00A61524" w:rsidP="00883682" w:rsidRDefault="00A61524" w14:paraId="234D716B" w14:textId="201CE8BA">
      <w:pPr>
        <w:pStyle w:val="ListParagraph"/>
        <w:numPr>
          <w:ilvl w:val="0"/>
          <w:numId w:val="3"/>
        </w:numPr>
        <w:ind w:left="357" w:hanging="357"/>
      </w:pPr>
      <w:r>
        <w:t>uzsver, ka visām ES iestādēm ir aktīvi un tieši jāinformē sabiedrība par Pamattiesību hartu un tiesiskumu, īpašu uzmanību pievēršot kopējām vērtībām un savstarpēji saistītiem godīguma un taisnīguma jēdzieniem, un izstāstot cilvēka stāstu;</w:t>
      </w:r>
    </w:p>
    <w:p w:rsidR="00A61524" w:rsidP="00883682" w:rsidRDefault="00A61524" w14:paraId="1018FD84" w14:textId="19C7D43A">
      <w:pPr>
        <w:pStyle w:val="ListParagraph"/>
        <w:numPr>
          <w:ilvl w:val="0"/>
          <w:numId w:val="3"/>
        </w:numPr>
        <w:ind w:left="357" w:hanging="357"/>
      </w:pPr>
      <w:r>
        <w:t>uzskata, ka cilvēktiesību aizsardzība un tiesiskums nav iespējams bez labklājības valsts un savstarpējās saiknes, kas atzīta Eiropas sociālo tiesību pīlārā – būtiskā politikas rīkā iekļaujošākas Savienības izveidei;</w:t>
      </w:r>
    </w:p>
    <w:p w:rsidR="00A61524" w:rsidP="00883682" w:rsidRDefault="00A61524" w14:paraId="22257596" w14:textId="13AB01A6">
      <w:pPr>
        <w:pStyle w:val="ListParagraph"/>
        <w:numPr>
          <w:ilvl w:val="0"/>
          <w:numId w:val="3"/>
        </w:numPr>
        <w:ind w:left="357" w:hanging="357"/>
      </w:pPr>
      <w:r>
        <w:t>uzskata, ka pilsoniskajai sabiedrībai ir būtiska nozīme liberālās demokrātijas aizsardzībā pret autoritārismu. Cenšoties panākt, lai tiesiskums patiešām kļūtu reāls, būtu jāiesaista vairāk ieinteresēto personu: sociālie partneri, profesionālās organizācijas, piemēram, advokātu un juristu apvienības, un iedzīvotāju organizācijas;</w:t>
      </w:r>
    </w:p>
    <w:p w:rsidRPr="009B70E7" w:rsidR="00A61524" w:rsidP="00883682" w:rsidRDefault="00A61524" w14:paraId="226AEF82" w14:textId="1CF92A1F">
      <w:pPr>
        <w:pStyle w:val="ListParagraph"/>
        <w:numPr>
          <w:ilvl w:val="0"/>
          <w:numId w:val="3"/>
        </w:numPr>
        <w:ind w:left="357" w:hanging="357"/>
      </w:pPr>
      <w:r>
        <w:t>aicina dalībvalstis tiesiskumu un pamattiesības iekļaut skolu un augstākās izglītības mācību programmās.</w:t>
      </w:r>
    </w:p>
    <w:p w:rsidRPr="009B70E7" w:rsidR="00883682" w:rsidP="00883682" w:rsidRDefault="00883682" w14:paraId="2F06EC63"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32"/>
        <w:gridCol w:w="5670"/>
      </w:tblGrid>
      <w:tr w:rsidRPr="009B70E7" w:rsidR="00A61524" w:rsidTr="00D31DE5" w14:paraId="1192E8AC" w14:textId="77777777">
        <w:tc>
          <w:tcPr>
            <w:tcW w:w="1418" w:type="dxa"/>
          </w:tcPr>
          <w:p w:rsidRPr="009B70E7" w:rsidR="00A61524" w:rsidP="00D31DE5" w:rsidRDefault="00A61524" w14:paraId="3E18D2C7" w14:textId="17830450">
            <w:pPr>
              <w:pStyle w:val="ListParagraph"/>
              <w:ind w:left="0"/>
              <w:rPr>
                <w:i/>
              </w:rPr>
            </w:pPr>
            <w:r>
              <w:rPr>
                <w:b/>
                <w:i/>
              </w:rPr>
              <w:t>Kontaktpersona:</w:t>
            </w:r>
          </w:p>
        </w:tc>
        <w:tc>
          <w:tcPr>
            <w:tcW w:w="5670" w:type="dxa"/>
          </w:tcPr>
          <w:p w:rsidRPr="009B70E7" w:rsidR="00A61524" w:rsidP="00D31DE5" w:rsidRDefault="00A61524" w14:paraId="595AF5C2" w14:textId="77777777">
            <w:pPr>
              <w:pStyle w:val="ListParagraph"/>
              <w:ind w:left="0"/>
              <w:rPr>
                <w:i/>
              </w:rPr>
            </w:pPr>
            <w:proofErr w:type="spellStart"/>
            <w:r>
              <w:rPr>
                <w:i/>
              </w:rPr>
              <w:t>Jean-Marie</w:t>
            </w:r>
            <w:proofErr w:type="spellEnd"/>
            <w:r>
              <w:rPr>
                <w:i/>
              </w:rPr>
              <w:t xml:space="preserve"> </w:t>
            </w:r>
            <w:proofErr w:type="spellStart"/>
            <w:r>
              <w:rPr>
                <w:i/>
              </w:rPr>
              <w:t>Rogue</w:t>
            </w:r>
            <w:proofErr w:type="spellEnd"/>
          </w:p>
        </w:tc>
      </w:tr>
      <w:tr w:rsidRPr="009B70E7" w:rsidR="00A61524" w:rsidTr="00D31DE5" w14:paraId="10BAB99D" w14:textId="77777777">
        <w:tc>
          <w:tcPr>
            <w:tcW w:w="1418" w:type="dxa"/>
          </w:tcPr>
          <w:p w:rsidRPr="009B70E7" w:rsidR="00A61524" w:rsidP="00D31DE5" w:rsidRDefault="00A61524" w14:paraId="4BF4D61E" w14:textId="297F6644">
            <w:pPr>
              <w:pStyle w:val="ListParagraph"/>
              <w:ind w:left="601"/>
              <w:rPr>
                <w:i/>
              </w:rPr>
            </w:pPr>
            <w:r>
              <w:rPr>
                <w:i/>
              </w:rPr>
              <w:t>Tālr.:</w:t>
            </w:r>
          </w:p>
        </w:tc>
        <w:tc>
          <w:tcPr>
            <w:tcW w:w="5670" w:type="dxa"/>
          </w:tcPr>
          <w:p w:rsidRPr="009B70E7" w:rsidR="00A61524" w:rsidP="00D31DE5" w:rsidRDefault="00A61524" w14:paraId="0AC70941" w14:textId="77777777">
            <w:pPr>
              <w:pStyle w:val="ListParagraph"/>
              <w:ind w:left="0"/>
              <w:rPr>
                <w:i/>
              </w:rPr>
            </w:pPr>
            <w:r>
              <w:rPr>
                <w:i/>
              </w:rPr>
              <w:t>00 32 2 546 89.09</w:t>
            </w:r>
          </w:p>
        </w:tc>
      </w:tr>
      <w:tr w:rsidRPr="00A23F52" w:rsidR="00A61524" w:rsidTr="00D31DE5" w14:paraId="4C0C7B94" w14:textId="77777777">
        <w:tc>
          <w:tcPr>
            <w:tcW w:w="1418" w:type="dxa"/>
          </w:tcPr>
          <w:p w:rsidRPr="009B70E7" w:rsidR="00A61524" w:rsidP="00D31DE5" w:rsidRDefault="00A61524" w14:paraId="666F7BF2" w14:textId="18494117">
            <w:pPr>
              <w:pStyle w:val="ListParagraph"/>
              <w:ind w:left="601"/>
              <w:rPr>
                <w:i/>
              </w:rPr>
            </w:pPr>
            <w:r>
              <w:rPr>
                <w:i/>
              </w:rPr>
              <w:t>E-pasts:</w:t>
            </w:r>
          </w:p>
        </w:tc>
        <w:tc>
          <w:tcPr>
            <w:tcW w:w="5670" w:type="dxa"/>
          </w:tcPr>
          <w:p w:rsidRPr="00A23F52" w:rsidR="00A61524" w:rsidP="00D31DE5" w:rsidRDefault="00D31DE5" w14:paraId="5DF2F0CB" w14:textId="77777777">
            <w:pPr>
              <w:pStyle w:val="ListParagraph"/>
              <w:ind w:left="0"/>
              <w:rPr>
                <w:i/>
                <w:iCs/>
                <w:color w:val="0000FF"/>
                <w:szCs w:val="20"/>
                <w:u w:val="single"/>
              </w:rPr>
            </w:pPr>
            <w:hyperlink w:history="1" r:id="rId27">
              <w:r w:rsidR="008D0A46">
                <w:rPr>
                  <w:rStyle w:val="Hyperlink"/>
                  <w:i/>
                </w:rPr>
                <w:t>Jeanmarie.Rogue@eesc.europa.eu</w:t>
              </w:r>
            </w:hyperlink>
          </w:p>
        </w:tc>
      </w:tr>
    </w:tbl>
    <w:p w:rsidR="00A61524" w:rsidRDefault="00A61524" w14:paraId="6E1B9CF6" w14:textId="06E7399B">
      <w:pPr>
        <w:spacing w:after="160" w:line="259" w:lineRule="auto"/>
        <w:jc w:val="left"/>
        <w:rPr>
          <w:sz w:val="28"/>
        </w:rPr>
      </w:pPr>
      <w:r>
        <w:br w:type="page"/>
      </w:r>
    </w:p>
    <w:p w:rsidRPr="002D3FFF" w:rsidR="002D3FFF" w:rsidP="00CF32E7" w:rsidRDefault="00CF7381" w14:paraId="75028AE7" w14:textId="584F3688">
      <w:pPr>
        <w:pStyle w:val="ListParagraph"/>
        <w:numPr>
          <w:ilvl w:val="0"/>
          <w:numId w:val="4"/>
        </w:numPr>
        <w:overflowPunct w:val="0"/>
        <w:autoSpaceDE w:val="0"/>
        <w:autoSpaceDN w:val="0"/>
        <w:adjustRightInd w:val="0"/>
        <w:ind w:left="567" w:hanging="567"/>
        <w:textAlignment w:val="baseline"/>
      </w:pPr>
      <w:r>
        <w:rPr>
          <w:rStyle w:val="Hyperlink"/>
          <w:b/>
          <w:i/>
          <w:color w:val="auto"/>
          <w:sz w:val="28"/>
          <w:u w:val="none"/>
        </w:rPr>
        <w:lastRenderedPageBreak/>
        <w:t>Eiropas Mediju brīvības akts</w:t>
      </w:r>
    </w:p>
    <w:p w:rsidRPr="002D3FFF" w:rsidR="002D3FFF" w:rsidP="002D3FFF" w:rsidRDefault="002D3FFF" w14:paraId="7D97C703" w14:textId="77777777">
      <w:pPr>
        <w:overflowPunct w:val="0"/>
        <w:autoSpaceDE w:val="0"/>
        <w:autoSpaceDN w:val="0"/>
        <w:adjustRightInd w:val="0"/>
        <w:textAlignment w:val="baseline"/>
      </w:pPr>
    </w:p>
    <w:tbl>
      <w:tblPr>
        <w:tblStyle w:val="TableGrid1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57"/>
        <w:gridCol w:w="44"/>
        <w:gridCol w:w="6663"/>
      </w:tblGrid>
      <w:tr w:rsidRPr="002D3FFF" w:rsidR="002D3FFF" w:rsidTr="00D31DE5" w14:paraId="4A5523C2" w14:textId="77777777">
        <w:tc>
          <w:tcPr>
            <w:tcW w:w="1657" w:type="dxa"/>
          </w:tcPr>
          <w:p w:rsidRPr="002D3FFF" w:rsidR="002D3FFF" w:rsidP="002D3FFF" w:rsidRDefault="002D3FFF" w14:paraId="42BAAB1C" w14:textId="3DB928AE">
            <w:pPr>
              <w:contextualSpacing/>
              <w:rPr>
                <w:b/>
              </w:rPr>
            </w:pPr>
            <w:r>
              <w:rPr>
                <w:b/>
              </w:rPr>
              <w:t>Ziņotājs</w:t>
            </w:r>
          </w:p>
          <w:p w:rsidRPr="002D3FFF" w:rsidR="002D3FFF" w:rsidP="002D3FFF" w:rsidRDefault="002D3FFF" w14:paraId="0E43361B" w14:textId="035A7760">
            <w:pPr>
              <w:contextualSpacing/>
              <w:rPr>
                <w:b/>
                <w:sz w:val="20"/>
                <w:szCs w:val="20"/>
              </w:rPr>
            </w:pPr>
            <w:r>
              <w:rPr>
                <w:b/>
                <w:sz w:val="20"/>
              </w:rPr>
              <w:t>Līdzziņotājs</w:t>
            </w:r>
          </w:p>
        </w:tc>
        <w:tc>
          <w:tcPr>
            <w:tcW w:w="6707" w:type="dxa"/>
            <w:gridSpan w:val="2"/>
          </w:tcPr>
          <w:p w:rsidRPr="002D3FFF" w:rsidR="002D3FFF" w:rsidP="002D3FFF" w:rsidRDefault="00CF7381" w14:paraId="437F509F" w14:textId="47BAA20D">
            <w:pPr>
              <w:ind w:left="-108" w:right="-813"/>
              <w:contextualSpacing/>
            </w:pPr>
            <w:r>
              <w:t>Christian MOOS (Pilsoniskās sabiedrības organizāciju grupa – DE)</w:t>
            </w:r>
          </w:p>
          <w:p w:rsidRPr="002D3FFF" w:rsidR="002D3FFF" w:rsidP="002D3FFF" w:rsidRDefault="00CF7381" w14:paraId="0644C10D" w14:textId="590B37F2">
            <w:pPr>
              <w:ind w:left="-108"/>
              <w:contextualSpacing/>
            </w:pPr>
            <w:proofErr w:type="spellStart"/>
            <w:r>
              <w:t>Tomasz</w:t>
            </w:r>
            <w:proofErr w:type="spellEnd"/>
            <w:r>
              <w:t xml:space="preserve"> </w:t>
            </w:r>
            <w:proofErr w:type="spellStart"/>
            <w:r>
              <w:t>Andrzej</w:t>
            </w:r>
            <w:proofErr w:type="spellEnd"/>
            <w:r>
              <w:t xml:space="preserve"> WRÓBLEWSKI (Darba devēju grupa – PL)</w:t>
            </w:r>
          </w:p>
          <w:p w:rsidRPr="002D3FFF" w:rsidR="002D3FFF" w:rsidP="002D3FFF" w:rsidRDefault="002D3FFF" w14:paraId="16AEC8AC" w14:textId="77777777">
            <w:pPr>
              <w:ind w:left="-108"/>
              <w:contextualSpacing/>
            </w:pPr>
          </w:p>
        </w:tc>
      </w:tr>
      <w:tr w:rsidRPr="002D3FFF" w:rsidR="002D3FFF" w:rsidTr="005D76AC" w14:paraId="79533363" w14:textId="77777777">
        <w:tblPrEx>
          <w:tblCellMar>
            <w:left w:w="57" w:type="dxa"/>
            <w:right w:w="57" w:type="dxa"/>
          </w:tblCellMar>
        </w:tblPrEx>
        <w:tc>
          <w:tcPr>
            <w:tcW w:w="1701" w:type="dxa"/>
            <w:gridSpan w:val="2"/>
          </w:tcPr>
          <w:p w:rsidRPr="002D3FFF" w:rsidR="002D3FFF" w:rsidP="002D3FFF" w:rsidRDefault="002D3FFF" w14:paraId="3F49A8F0" w14:textId="307EDFB1">
            <w:pPr>
              <w:ind w:left="79"/>
              <w:contextualSpacing/>
              <w:rPr>
                <w:b/>
              </w:rPr>
            </w:pPr>
            <w:r>
              <w:rPr>
                <w:b/>
              </w:rPr>
              <w:t xml:space="preserve">Atsauce </w:t>
            </w:r>
          </w:p>
        </w:tc>
        <w:tc>
          <w:tcPr>
            <w:tcW w:w="6663" w:type="dxa"/>
          </w:tcPr>
          <w:p w:rsidRPr="002D3FFF" w:rsidR="002D3FFF" w:rsidP="002D3FFF" w:rsidRDefault="002D3FFF" w14:paraId="07E2C267" w14:textId="7FD2C00E">
            <w:pPr>
              <w:ind w:left="-56"/>
              <w:contextualSpacing/>
            </w:pPr>
            <w:r>
              <w:t xml:space="preserve">COM(2022) 457 </w:t>
            </w:r>
            <w:proofErr w:type="spellStart"/>
            <w:r>
              <w:t>final</w:t>
            </w:r>
            <w:proofErr w:type="spellEnd"/>
          </w:p>
          <w:p w:rsidRPr="002D3FFF" w:rsidR="002D3FFF" w:rsidP="002D3FFF" w:rsidRDefault="002D3FFF" w14:paraId="21489A46" w14:textId="714C458B">
            <w:pPr>
              <w:ind w:left="-56"/>
              <w:contextualSpacing/>
            </w:pPr>
            <w:r>
              <w:t>EESC-2022-04748-00-00-AC</w:t>
            </w:r>
          </w:p>
        </w:tc>
      </w:tr>
    </w:tbl>
    <w:p w:rsidRPr="002D3FFF" w:rsidR="002D3FFF" w:rsidP="002D3FFF" w:rsidRDefault="002D3FFF" w14:paraId="07E75381" w14:textId="77777777">
      <w:pPr>
        <w:contextualSpacing/>
        <w:rPr>
          <w:b/>
        </w:rPr>
      </w:pPr>
    </w:p>
    <w:p w:rsidRPr="002D3FFF" w:rsidR="002D3FFF" w:rsidP="002E62B0" w:rsidRDefault="00D31DE5" w14:paraId="507B3D20" w14:textId="46032778">
      <w:pPr>
        <w:pStyle w:val="ListParagraph"/>
        <w:spacing w:line="240" w:lineRule="auto"/>
        <w:ind w:left="0"/>
        <w:rPr>
          <w:b/>
        </w:rPr>
      </w:pPr>
      <w:r>
        <w:rPr>
          <w:b/>
          <w:bCs/>
        </w:rPr>
        <w:t>Galvenās nostādnes</w:t>
      </w:r>
    </w:p>
    <w:p w:rsidRPr="002D3FFF" w:rsidR="002D3FFF" w:rsidP="002D3FFF" w:rsidRDefault="002D3FFF" w14:paraId="22E4D67C" w14:textId="77777777">
      <w:pPr>
        <w:spacing w:line="240" w:lineRule="auto"/>
        <w:ind w:left="-142" w:firstLine="142"/>
        <w:contextualSpacing/>
        <w:rPr>
          <w:b/>
        </w:rPr>
      </w:pPr>
    </w:p>
    <w:p w:rsidRPr="002D3FFF" w:rsidR="002D3FFF" w:rsidP="002E62B0" w:rsidRDefault="002D3FFF" w14:paraId="40050F11" w14:textId="77777777">
      <w:pPr>
        <w:pStyle w:val="ListParagraph"/>
        <w:spacing w:line="240" w:lineRule="auto"/>
        <w:ind w:left="0"/>
        <w:rPr>
          <w:bCs/>
        </w:rPr>
      </w:pPr>
      <w:r>
        <w:t>EESK:</w:t>
      </w:r>
    </w:p>
    <w:p w:rsidRPr="002D3FFF" w:rsidR="002D3FFF" w:rsidP="002D3FFF" w:rsidRDefault="002D3FFF" w14:paraId="1D1FC59C" w14:textId="77777777">
      <w:pPr>
        <w:contextualSpacing/>
      </w:pPr>
    </w:p>
    <w:p w:rsidRPr="002D3FFF" w:rsidR="002D3FFF" w:rsidP="002D3FFF" w:rsidRDefault="00AB0B62" w14:paraId="66ECC19E" w14:textId="28B39ACD">
      <w:pPr>
        <w:numPr>
          <w:ilvl w:val="0"/>
          <w:numId w:val="3"/>
        </w:numPr>
        <w:ind w:left="357" w:hanging="357"/>
        <w:contextualSpacing/>
      </w:pPr>
      <w:r>
        <w:t>atkārtoti norāda, ka mediju brīvībai un daudzveidībai ir būtiska nozīme tiesiskuma un liberālās demokrātijas nodrošināšanā;</w:t>
      </w:r>
    </w:p>
    <w:p w:rsidR="000B7D8A" w:rsidP="002D3FFF" w:rsidRDefault="00AB0B62" w14:paraId="6876429A" w14:textId="225EBCC1">
      <w:pPr>
        <w:numPr>
          <w:ilvl w:val="0"/>
          <w:numId w:val="3"/>
        </w:numPr>
        <w:ind w:left="357" w:hanging="357"/>
        <w:contextualSpacing/>
      </w:pPr>
      <w:r>
        <w:t>pauž nožēlu par satraucošajiem notikumiem Eiropas Savienībā un atzinīgi vērtē Eiropas Komisijas iniciatīvas mediju brīvības jomā;</w:t>
      </w:r>
    </w:p>
    <w:p w:rsidR="00AB0B62" w:rsidP="002D3FFF" w:rsidRDefault="00AB0B62" w14:paraId="277C0298" w14:textId="79D53B5B">
      <w:pPr>
        <w:numPr>
          <w:ilvl w:val="0"/>
          <w:numId w:val="3"/>
        </w:numPr>
        <w:ind w:left="357" w:hanging="357"/>
        <w:contextualSpacing/>
      </w:pPr>
      <w:r>
        <w:t>uzskata, ka ar ierosinājumiem un ieteikuma tiesību pieeju vien ir par maz un ka mediju brīvībai un neatkarībai jābūt saistošam kritērijam ziņojumā par tiesiskumu un tā mehānismā;</w:t>
      </w:r>
    </w:p>
    <w:p w:rsidR="00AB0B62" w:rsidP="002D3FFF" w:rsidRDefault="00AB0B62" w14:paraId="0452FDA9" w14:textId="01F58FB4">
      <w:pPr>
        <w:numPr>
          <w:ilvl w:val="0"/>
          <w:numId w:val="3"/>
        </w:numPr>
        <w:ind w:left="357" w:hanging="357"/>
        <w:contextualSpacing/>
      </w:pPr>
      <w:r>
        <w:t>pauž bažas par to, vai ar iekšējo mediju tirgus izveidi pietiek, lai aizsargātu mediju brīvību un plurālismu;</w:t>
      </w:r>
    </w:p>
    <w:p w:rsidR="00AB0B62" w:rsidP="002D3FFF" w:rsidRDefault="00AB0B62" w14:paraId="4496A44A" w14:textId="4C612E7F">
      <w:pPr>
        <w:numPr>
          <w:ilvl w:val="0"/>
          <w:numId w:val="3"/>
        </w:numPr>
        <w:ind w:left="357" w:hanging="357"/>
        <w:contextualSpacing/>
      </w:pPr>
      <w:r>
        <w:t>atzinīgi vērtē Eiropas Komisijas atzinumu, ka mediju tirgus koncentrācija, kas noved pie monopoliem, var būtiski apdraudēt mediju brīvību un plurālismu. Tomēr tirgus koncentrācija var būt arī jēgpilna, un tai nav obligāti jārada šāda negatīva ietekme;</w:t>
      </w:r>
    </w:p>
    <w:p w:rsidR="00AB0B62" w:rsidP="002D3FFF" w:rsidRDefault="00AB0B62" w14:paraId="474195F4" w14:textId="507168E9">
      <w:pPr>
        <w:numPr>
          <w:ilvl w:val="0"/>
          <w:numId w:val="3"/>
        </w:numPr>
        <w:ind w:left="357" w:hanging="357"/>
        <w:contextualSpacing/>
      </w:pPr>
      <w:r>
        <w:t>atzinīgi vērtē priekšlikumus stiprināt un aizsargāt redakcionālo neatkarību un uzsver, ka ir jāsaglabā žurnālistu un izdevēju neatkarība;</w:t>
      </w:r>
    </w:p>
    <w:p w:rsidR="00AB0B62" w:rsidP="002D3FFF" w:rsidRDefault="00AB0B62" w14:paraId="29D28B36" w14:textId="415E4958">
      <w:pPr>
        <w:numPr>
          <w:ilvl w:val="0"/>
          <w:numId w:val="3"/>
        </w:numPr>
        <w:ind w:left="357" w:hanging="357"/>
        <w:contextualSpacing/>
      </w:pPr>
      <w:r>
        <w:t>uzsver, ka ir vajadzīgi pienācīgi un stabili finanšu resursi, lai nodrošinātu, ka sabiedriskie mediji ir objektīvi un pilnīgi neatkarīgi;</w:t>
      </w:r>
    </w:p>
    <w:p w:rsidR="00AB0B62" w:rsidP="002D3FFF" w:rsidRDefault="00AB0B62" w14:paraId="59308BF6" w14:textId="061DCEA7">
      <w:pPr>
        <w:numPr>
          <w:ilvl w:val="0"/>
          <w:numId w:val="3"/>
        </w:numPr>
        <w:ind w:left="357" w:hanging="357"/>
        <w:contextualSpacing/>
      </w:pPr>
      <w:r>
        <w:t>uzskata, ka liela nozīme ir saistošām prasībām attiecībā uz mediju īpašnieku pārredzamību, bet šādas prasības nebūtu jāattiecina uz mazajiem medijiem;</w:t>
      </w:r>
    </w:p>
    <w:p w:rsidR="00AB0B62" w:rsidP="002D3FFF" w:rsidRDefault="00AB0B62" w14:paraId="408D8820" w14:textId="4E4F17D1">
      <w:pPr>
        <w:numPr>
          <w:ilvl w:val="0"/>
          <w:numId w:val="3"/>
        </w:numPr>
        <w:ind w:left="357" w:hanging="357"/>
        <w:contextualSpacing/>
      </w:pPr>
      <w:r>
        <w:t>pauž bažas par dažu valstu regulatīvo struktūru neatkarības trūkumu un aicina izveidot sistēmu, kas nodrošinātu to neatkarību;</w:t>
      </w:r>
    </w:p>
    <w:p w:rsidR="00AB0B62" w:rsidP="002D3FFF" w:rsidRDefault="00AB0B62" w14:paraId="4B519F1E" w14:textId="67B46917">
      <w:pPr>
        <w:numPr>
          <w:ilvl w:val="0"/>
          <w:numId w:val="3"/>
        </w:numPr>
        <w:ind w:left="357" w:hanging="357"/>
        <w:contextualSpacing/>
      </w:pPr>
      <w:r>
        <w:t>atzinīgi vērtē Eiropas Mediju pakalpojumu padomes izveidi, taču uzstāj, ka tai jābūt pilnīgi neatkarīgai un tajā jāiesaista viena no valstu regulatīvajām struktūrām;</w:t>
      </w:r>
    </w:p>
    <w:p w:rsidR="00AB0B62" w:rsidP="002D3FFF" w:rsidRDefault="00AB0B62" w14:paraId="0F307398" w14:textId="3C1AD94E">
      <w:pPr>
        <w:numPr>
          <w:ilvl w:val="0"/>
          <w:numId w:val="3"/>
        </w:numPr>
        <w:ind w:left="357" w:hanging="357"/>
        <w:contextualSpacing/>
      </w:pPr>
      <w:r>
        <w:t>aicina Eiropas Komisiju reaģēt saskaņā ar spēkā esošajiem ES tiesību aktiem, kas vērsti pret koncentrāciju, ja valstu regulatori nespēj novērst mediju tirgus koncentrāciju;</w:t>
      </w:r>
    </w:p>
    <w:p w:rsidR="00AB0B62" w:rsidP="002D3FFF" w:rsidRDefault="00AB0B62" w14:paraId="6D0F4E8A" w14:textId="64BA27DA">
      <w:pPr>
        <w:numPr>
          <w:ilvl w:val="0"/>
          <w:numId w:val="3"/>
        </w:numPr>
        <w:ind w:left="357" w:hanging="357"/>
        <w:contextualSpacing/>
      </w:pPr>
      <w:r>
        <w:t>atzinīgi vērtē saistošās pārredzamības prasības attiecībā uz valsts reklāmas piešķiršanu;</w:t>
      </w:r>
    </w:p>
    <w:p w:rsidR="0055106D" w:rsidP="002D3FFF" w:rsidRDefault="0055106D" w14:paraId="5497CD2E" w14:textId="1E06283C">
      <w:pPr>
        <w:numPr>
          <w:ilvl w:val="0"/>
          <w:numId w:val="3"/>
        </w:numPr>
        <w:ind w:left="357" w:hanging="357"/>
        <w:contextualSpacing/>
      </w:pPr>
      <w:r>
        <w:t>atzinīgi vērtē gadskārtējo uzraudzību, aicina apspriesties ar attiecīgajām ieinteresētajām personām un pilsonisko sabiedrību un ierosina paplašināt uzraudzības tvērumu, iekļaujot tajā arī citus mediju brīvības un plurālisma aspektus.</w:t>
      </w:r>
    </w:p>
    <w:p w:rsidRPr="002D3FFF" w:rsidR="000B7D8A" w:rsidP="000B1AE6" w:rsidRDefault="000B7D8A" w14:paraId="0581871A" w14:textId="77777777">
      <w:pPr>
        <w:ind w:left="357"/>
        <w:contextualSpacing/>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32"/>
        <w:gridCol w:w="5670"/>
      </w:tblGrid>
      <w:tr w:rsidRPr="009B70E7" w:rsidR="000B7D8A" w:rsidTr="00D31DE5" w14:paraId="40EEAC26" w14:textId="77777777">
        <w:tc>
          <w:tcPr>
            <w:tcW w:w="1418" w:type="dxa"/>
          </w:tcPr>
          <w:p w:rsidRPr="009B70E7" w:rsidR="000B7D8A" w:rsidP="00D31DE5" w:rsidRDefault="000B7D8A" w14:paraId="78813ECD" w14:textId="055F3107">
            <w:pPr>
              <w:pStyle w:val="ListParagraph"/>
              <w:ind w:left="0"/>
              <w:rPr>
                <w:i/>
              </w:rPr>
            </w:pPr>
            <w:r>
              <w:rPr>
                <w:b/>
                <w:i/>
              </w:rPr>
              <w:t>Kontaktpersona:</w:t>
            </w:r>
          </w:p>
        </w:tc>
        <w:tc>
          <w:tcPr>
            <w:tcW w:w="5670" w:type="dxa"/>
          </w:tcPr>
          <w:p w:rsidRPr="009B70E7" w:rsidR="000B7D8A" w:rsidP="00D31DE5" w:rsidRDefault="000B7D8A" w14:paraId="11533A42" w14:textId="77777777">
            <w:pPr>
              <w:pStyle w:val="ListParagraph"/>
              <w:ind w:left="0"/>
              <w:rPr>
                <w:i/>
              </w:rPr>
            </w:pPr>
            <w:proofErr w:type="spellStart"/>
            <w:r>
              <w:rPr>
                <w:i/>
              </w:rPr>
              <w:t>Jean-Marie</w:t>
            </w:r>
            <w:proofErr w:type="spellEnd"/>
            <w:r>
              <w:rPr>
                <w:i/>
              </w:rPr>
              <w:t xml:space="preserve"> </w:t>
            </w:r>
            <w:proofErr w:type="spellStart"/>
            <w:r>
              <w:rPr>
                <w:i/>
              </w:rPr>
              <w:t>Rogue</w:t>
            </w:r>
            <w:proofErr w:type="spellEnd"/>
          </w:p>
        </w:tc>
      </w:tr>
      <w:tr w:rsidRPr="009B70E7" w:rsidR="000B7D8A" w:rsidTr="00D31DE5" w14:paraId="2090722B" w14:textId="77777777">
        <w:tc>
          <w:tcPr>
            <w:tcW w:w="1418" w:type="dxa"/>
          </w:tcPr>
          <w:p w:rsidRPr="009B70E7" w:rsidR="000B7D8A" w:rsidP="00D31DE5" w:rsidRDefault="000B7D8A" w14:paraId="1F4F1429" w14:textId="2FE89410">
            <w:pPr>
              <w:pStyle w:val="ListParagraph"/>
              <w:ind w:left="601"/>
              <w:rPr>
                <w:i/>
              </w:rPr>
            </w:pPr>
            <w:r>
              <w:rPr>
                <w:i/>
              </w:rPr>
              <w:t>Tālr.:</w:t>
            </w:r>
          </w:p>
        </w:tc>
        <w:tc>
          <w:tcPr>
            <w:tcW w:w="5670" w:type="dxa"/>
          </w:tcPr>
          <w:p w:rsidRPr="009B70E7" w:rsidR="000B7D8A" w:rsidP="00D31DE5" w:rsidRDefault="000B7D8A" w14:paraId="37C52104" w14:textId="77777777">
            <w:pPr>
              <w:pStyle w:val="ListParagraph"/>
              <w:ind w:left="0"/>
              <w:rPr>
                <w:i/>
              </w:rPr>
            </w:pPr>
            <w:r>
              <w:rPr>
                <w:i/>
              </w:rPr>
              <w:t>00 32 2 546 89.09</w:t>
            </w:r>
          </w:p>
        </w:tc>
      </w:tr>
      <w:tr w:rsidRPr="001D770D" w:rsidR="000B7D8A" w:rsidTr="00D31DE5" w14:paraId="34FEDA23" w14:textId="77777777">
        <w:tc>
          <w:tcPr>
            <w:tcW w:w="1418" w:type="dxa"/>
          </w:tcPr>
          <w:p w:rsidRPr="009B70E7" w:rsidR="000B7D8A" w:rsidP="00D31DE5" w:rsidRDefault="000B7D8A" w14:paraId="60789BAF" w14:textId="0884FE56">
            <w:pPr>
              <w:pStyle w:val="ListParagraph"/>
              <w:ind w:left="601"/>
              <w:rPr>
                <w:i/>
              </w:rPr>
            </w:pPr>
            <w:r>
              <w:rPr>
                <w:i/>
              </w:rPr>
              <w:t>E-pasts:</w:t>
            </w:r>
          </w:p>
        </w:tc>
        <w:tc>
          <w:tcPr>
            <w:tcW w:w="5670" w:type="dxa"/>
          </w:tcPr>
          <w:p w:rsidRPr="00A23F52" w:rsidR="000B7D8A" w:rsidP="00D31DE5" w:rsidRDefault="00D31DE5" w14:paraId="0DF96E08" w14:textId="77777777">
            <w:pPr>
              <w:pStyle w:val="ListParagraph"/>
              <w:ind w:left="0"/>
              <w:rPr>
                <w:i/>
                <w:iCs/>
                <w:color w:val="0000FF"/>
                <w:szCs w:val="20"/>
                <w:u w:val="single"/>
              </w:rPr>
            </w:pPr>
            <w:hyperlink w:history="1" r:id="rId28">
              <w:r w:rsidR="008D0A46">
                <w:rPr>
                  <w:rStyle w:val="Hyperlink"/>
                  <w:i/>
                </w:rPr>
                <w:t>Jeanmarie.Rogue@eesc.europa.eu</w:t>
              </w:r>
            </w:hyperlink>
          </w:p>
        </w:tc>
      </w:tr>
    </w:tbl>
    <w:p w:rsidR="00002061" w:rsidRDefault="00AB0B62" w14:paraId="12963615" w14:textId="711DD885">
      <w:pPr>
        <w:spacing w:after="160" w:line="259" w:lineRule="auto"/>
        <w:jc w:val="left"/>
      </w:pPr>
      <w:r>
        <w:br w:type="page"/>
      </w:r>
    </w:p>
    <w:p w:rsidRPr="004734C7" w:rsidR="00002061" w:rsidP="00CF32E7" w:rsidRDefault="004734C7" w14:paraId="5B7E001F" w14:textId="402B1431">
      <w:pPr>
        <w:pStyle w:val="ListParagraph"/>
        <w:numPr>
          <w:ilvl w:val="0"/>
          <w:numId w:val="4"/>
        </w:numPr>
        <w:overflowPunct w:val="0"/>
        <w:autoSpaceDE w:val="0"/>
        <w:autoSpaceDN w:val="0"/>
        <w:adjustRightInd w:val="0"/>
        <w:ind w:left="567" w:hanging="567"/>
        <w:textAlignment w:val="baseline"/>
      </w:pPr>
      <w:r>
        <w:rPr>
          <w:b/>
          <w:i/>
          <w:sz w:val="28"/>
        </w:rPr>
        <w:lastRenderedPageBreak/>
        <w:t>Eiropas Prasmju gads 2023</w:t>
      </w:r>
    </w:p>
    <w:p w:rsidRPr="004734C7" w:rsidR="00002061" w:rsidP="00002061" w:rsidRDefault="00002061" w14:paraId="0BD788C5" w14:textId="77777777">
      <w:pPr>
        <w:overflowPunct w:val="0"/>
        <w:autoSpaceDE w:val="0"/>
        <w:autoSpaceDN w:val="0"/>
        <w:adjustRightInd w:val="0"/>
        <w:textAlignment w:val="baseline"/>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67"/>
        <w:gridCol w:w="4962"/>
      </w:tblGrid>
      <w:tr w:rsidRPr="004734C7" w:rsidR="00002061" w:rsidTr="005D76AC" w14:paraId="0E676F02" w14:textId="77777777">
        <w:tc>
          <w:tcPr>
            <w:tcW w:w="2268" w:type="dxa"/>
            <w:gridSpan w:val="2"/>
          </w:tcPr>
          <w:p w:rsidRPr="004734C7" w:rsidR="00002061" w:rsidRDefault="00002061" w14:paraId="22BEE630" w14:textId="335637EA">
            <w:pPr>
              <w:pStyle w:val="ListParagraph"/>
              <w:ind w:left="0"/>
              <w:rPr>
                <w:b/>
                <w:sz w:val="20"/>
                <w:szCs w:val="20"/>
              </w:rPr>
            </w:pPr>
            <w:r>
              <w:rPr>
                <w:b/>
              </w:rPr>
              <w:t>Galvenā ziņotāja</w:t>
            </w:r>
          </w:p>
        </w:tc>
        <w:tc>
          <w:tcPr>
            <w:tcW w:w="4962" w:type="dxa"/>
          </w:tcPr>
          <w:p w:rsidRPr="004734C7" w:rsidR="00002061" w:rsidP="005D76AC" w:rsidRDefault="004734C7" w14:paraId="36B30F87" w14:textId="0DABCF39">
            <w:pPr>
              <w:pStyle w:val="ListParagraph"/>
              <w:ind w:left="-108" w:right="-813"/>
            </w:pPr>
            <w:r>
              <w:t>Tatjana BABRAUSKIENĖ (Darba ņēmēju grupa – LT)</w:t>
            </w:r>
          </w:p>
        </w:tc>
      </w:tr>
      <w:tr w:rsidRPr="004734C7" w:rsidR="00002061" w:rsidTr="005D76AC" w14:paraId="0F2EDDB4" w14:textId="77777777">
        <w:tblPrEx>
          <w:tblCellMar>
            <w:left w:w="57" w:type="dxa"/>
            <w:right w:w="57" w:type="dxa"/>
          </w:tblCellMar>
        </w:tblPrEx>
        <w:tc>
          <w:tcPr>
            <w:tcW w:w="1701" w:type="dxa"/>
          </w:tcPr>
          <w:p w:rsidRPr="004734C7" w:rsidR="00002061" w:rsidP="00D31DE5" w:rsidRDefault="00002061" w14:paraId="311A65B6" w14:textId="7C0ACFDB">
            <w:pPr>
              <w:pStyle w:val="ListParagraph"/>
              <w:ind w:left="79"/>
              <w:rPr>
                <w:b/>
              </w:rPr>
            </w:pPr>
            <w:r>
              <w:rPr>
                <w:b/>
              </w:rPr>
              <w:t xml:space="preserve">Atsauces </w:t>
            </w:r>
          </w:p>
        </w:tc>
        <w:tc>
          <w:tcPr>
            <w:tcW w:w="5529" w:type="dxa"/>
            <w:gridSpan w:val="2"/>
          </w:tcPr>
          <w:p w:rsidRPr="004734C7" w:rsidR="00002061" w:rsidP="00D31DE5" w:rsidRDefault="00002061" w14:paraId="5CBCC39E" w14:textId="4E13AFE2">
            <w:pPr>
              <w:pStyle w:val="ListParagraph"/>
              <w:ind w:left="-56"/>
            </w:pPr>
            <w:r>
              <w:t xml:space="preserve">COM(2022) 526 </w:t>
            </w:r>
            <w:proofErr w:type="spellStart"/>
            <w:r>
              <w:t>final</w:t>
            </w:r>
            <w:proofErr w:type="spellEnd"/>
          </w:p>
          <w:p w:rsidRPr="004734C7" w:rsidR="00002061" w:rsidP="00D31DE5" w:rsidRDefault="00002061" w14:paraId="50A96FB2" w14:textId="476EC3CA">
            <w:pPr>
              <w:pStyle w:val="ListParagraph"/>
              <w:ind w:left="-56"/>
            </w:pPr>
            <w:r>
              <w:t>EESC-2022-05883-00-01-AC</w:t>
            </w:r>
          </w:p>
        </w:tc>
      </w:tr>
    </w:tbl>
    <w:p w:rsidRPr="00E302BC" w:rsidR="00002061" w:rsidP="00E302BC" w:rsidRDefault="00002061" w14:paraId="13FBF44C" w14:textId="77777777">
      <w:pPr>
        <w:pStyle w:val="ListParagraph"/>
        <w:spacing w:line="240" w:lineRule="auto"/>
        <w:ind w:left="0"/>
        <w:rPr>
          <w:b/>
          <w:lang w:val="en-US"/>
        </w:rPr>
      </w:pPr>
    </w:p>
    <w:p w:rsidRPr="004734C7" w:rsidR="00002061" w:rsidP="00E302BC" w:rsidRDefault="00D31DE5" w14:paraId="43D7BA09" w14:textId="4F14E09C">
      <w:pPr>
        <w:pStyle w:val="ListParagraph"/>
        <w:spacing w:line="240" w:lineRule="auto"/>
        <w:ind w:left="0"/>
        <w:rPr>
          <w:b/>
        </w:rPr>
      </w:pPr>
      <w:r>
        <w:rPr>
          <w:b/>
          <w:bCs/>
        </w:rPr>
        <w:t>Galvenās nostādnes</w:t>
      </w:r>
    </w:p>
    <w:p w:rsidRPr="004734C7" w:rsidR="00002061" w:rsidP="00002061" w:rsidRDefault="00002061" w14:paraId="4608CE79" w14:textId="77777777">
      <w:pPr>
        <w:pStyle w:val="ListParagraph"/>
        <w:spacing w:line="240" w:lineRule="auto"/>
        <w:ind w:left="-142" w:firstLine="142"/>
        <w:rPr>
          <w:b/>
        </w:rPr>
      </w:pPr>
    </w:p>
    <w:p w:rsidRPr="004734C7" w:rsidR="00002061" w:rsidP="00E302BC" w:rsidRDefault="00002061" w14:paraId="5AE5E4AD" w14:textId="77777777">
      <w:pPr>
        <w:pStyle w:val="ListParagraph"/>
        <w:spacing w:line="240" w:lineRule="auto"/>
        <w:ind w:left="0"/>
        <w:rPr>
          <w:bCs/>
        </w:rPr>
      </w:pPr>
      <w:r>
        <w:t>EESK:</w:t>
      </w:r>
    </w:p>
    <w:p w:rsidRPr="004734C7" w:rsidR="00002061" w:rsidP="00002061" w:rsidRDefault="00002061" w14:paraId="4082B031" w14:textId="77777777">
      <w:pPr>
        <w:pStyle w:val="ListParagraph"/>
        <w:ind w:left="0"/>
      </w:pPr>
    </w:p>
    <w:p w:rsidRPr="004734C7" w:rsidR="00002061" w:rsidP="00002061" w:rsidRDefault="00B73746" w14:paraId="745019BE" w14:textId="5F707F77">
      <w:pPr>
        <w:numPr>
          <w:ilvl w:val="0"/>
          <w:numId w:val="3"/>
        </w:numPr>
        <w:ind w:left="357" w:hanging="357"/>
        <w:contextualSpacing/>
      </w:pPr>
      <w:r>
        <w:t>atzinīgi vērtē 2023. gada pasludināšanu par Eiropas Prasmju gadu (</w:t>
      </w:r>
      <w:r>
        <w:rPr>
          <w:i/>
          <w:iCs/>
        </w:rPr>
        <w:t>EYS</w:t>
      </w:r>
      <w:r>
        <w:t>); tomēr pauž bažas par to, ka gada programma un prioritātes ir pārblīvētas. Tas rada risku, ka Prasmju gads būs vairāk saistīts ar augsta līmeņa politiskiem paziņojumiem nekā ar ilgtermiņa sistemātisku attīstību; atkārtoti uzsver savus ieteikumus ,lai Eiropas gadu pasludināšana neaprobežotos tikai ar popularizējošiem pasākumiem un sekmētu skaidru plānu īstenošanu un reālu iesaisti;</w:t>
      </w:r>
    </w:p>
    <w:p w:rsidRPr="00B73746" w:rsidR="00221313" w:rsidP="00002061" w:rsidRDefault="00B73746" w14:paraId="190D2A9F" w14:textId="6407B683">
      <w:pPr>
        <w:numPr>
          <w:ilvl w:val="0"/>
          <w:numId w:val="3"/>
        </w:numPr>
        <w:ind w:left="357" w:hanging="357"/>
        <w:contextualSpacing/>
        <w:rPr>
          <w:sz w:val="28"/>
        </w:rPr>
      </w:pPr>
      <w:r>
        <w:t>uzskata, ka visiem pasākumiem saistībā ar Eiropas Prasmju gadu (2023) jābūt vērstiem uz iespējami labāku progresu visās izglītības un apmācības jomās; aicina Padomes ieteikumu par prasmju pilnveides ceļiem pildīt un īstenot kā svarīgu Eiropas Prasmju gada uzdevumu;</w:t>
      </w:r>
    </w:p>
    <w:p w:rsidRPr="00B73746" w:rsidR="00B73746" w:rsidP="00002061" w:rsidRDefault="001861B4" w14:paraId="16F1BDC6" w14:textId="3CCA6065">
      <w:pPr>
        <w:numPr>
          <w:ilvl w:val="0"/>
          <w:numId w:val="3"/>
        </w:numPr>
        <w:ind w:left="357" w:hanging="357"/>
        <w:contextualSpacing/>
        <w:rPr>
          <w:sz w:val="28"/>
        </w:rPr>
      </w:pPr>
      <w:r>
        <w:t>ierosina, ka visām ieinteresētajām personām izglītības un apmācības jomā vajadzētu būt iespējai paust savu viedokli šā valsts koordinācijas punkta Eiropas Prasmju gadam izraudzīšanā;</w:t>
      </w:r>
    </w:p>
    <w:p w:rsidRPr="00B73746" w:rsidR="00B73746" w:rsidP="00002061" w:rsidRDefault="001861B4" w14:paraId="6976D4A6" w14:textId="2548C0F8">
      <w:pPr>
        <w:numPr>
          <w:ilvl w:val="0"/>
          <w:numId w:val="3"/>
        </w:numPr>
        <w:ind w:left="357" w:hanging="357"/>
        <w:contextualSpacing/>
        <w:rPr>
          <w:sz w:val="28"/>
        </w:rPr>
      </w:pPr>
      <w:r>
        <w:t>aicina un rosina sociālos partnerus veikt efektīvus pasākumus, lai iesaistītos sociālajā dialogā un nodrošinātu, ka visiem darba ņēmējiem ir vienlīdzīga piekļuve kvalitatīvai un iekļaujošai apmācībai saskaņā ar ESTP; uzsver, ka uzņēmumiem, kā arī publiskajām iestādēm ir jāuzņemas stingras saistības, lai nodrošinātu pietiekamus resursus, tostarp pietiekamu finansējumu izglītībai un apmācībai;</w:t>
      </w:r>
    </w:p>
    <w:p w:rsidRPr="00B73746" w:rsidR="00B73746" w:rsidP="00002061" w:rsidRDefault="00B73746" w14:paraId="5C2367B9" w14:textId="50C874AE">
      <w:pPr>
        <w:numPr>
          <w:ilvl w:val="0"/>
          <w:numId w:val="3"/>
        </w:numPr>
        <w:ind w:left="357" w:hanging="357"/>
        <w:contextualSpacing/>
        <w:rPr>
          <w:sz w:val="28"/>
        </w:rPr>
      </w:pPr>
      <w:r>
        <w:t>ierosina īstenot ideju par prasmju garantiju, lai visiem nodrošinātu tiesības piekļūt kvalitatīvai un iekļaujošai apmācībai;</w:t>
      </w:r>
    </w:p>
    <w:p w:rsidRPr="00B73746" w:rsidR="00B73746" w:rsidP="00002061" w:rsidRDefault="00B73746" w14:paraId="3715C74D" w14:textId="452C8867">
      <w:pPr>
        <w:numPr>
          <w:ilvl w:val="0"/>
          <w:numId w:val="3"/>
        </w:numPr>
        <w:ind w:left="357" w:hanging="357"/>
        <w:contextualSpacing/>
        <w:rPr>
          <w:sz w:val="28"/>
        </w:rPr>
      </w:pPr>
      <w:r>
        <w:t>uzskata, ka starp “pareizajām prasmēm” jāiekļauj arī sociālās prasmes un transversālās prasmes, kas ir vajadzīgas iedzīvotājiem, tostarp darba ņēmējiem un nākamajiem darba ņēmējiem; ilgtspējīgi ieguldījumi pieaugušo līdzdalībā mūžizglītībā un darba ņēmēju apmācībā jāizceļ kā Eiropas pusgada procesa prioritātes;</w:t>
      </w:r>
    </w:p>
    <w:p w:rsidRPr="00B73746" w:rsidR="00B73746" w:rsidP="00002061" w:rsidRDefault="00B73746" w14:paraId="47A88C1E" w14:textId="27DB189C">
      <w:pPr>
        <w:numPr>
          <w:ilvl w:val="0"/>
          <w:numId w:val="3"/>
        </w:numPr>
        <w:ind w:left="357" w:hanging="357"/>
        <w:contextualSpacing/>
        <w:rPr>
          <w:sz w:val="28"/>
        </w:rPr>
      </w:pPr>
      <w:r>
        <w:t>uzskata, ka būtu jāstiprina konsultāciju mehānismi starp izglītības iestādēm, publiskajām iestādēm, uzņēmumiem un arodbiedrībām, lai palīdzētu izstrādāt reālas un efektīvas stratēģijas pārejai no izglītības uz darba dzīvi;</w:t>
      </w:r>
    </w:p>
    <w:p w:rsidRPr="00B73746" w:rsidR="00002061" w:rsidP="00002061" w:rsidRDefault="00B73746" w14:paraId="340C83D0" w14:textId="599F1751">
      <w:pPr>
        <w:numPr>
          <w:ilvl w:val="0"/>
          <w:numId w:val="3"/>
        </w:numPr>
        <w:ind w:left="357" w:hanging="357"/>
        <w:contextualSpacing/>
        <w:rPr>
          <w:sz w:val="28"/>
        </w:rPr>
      </w:pPr>
      <w:r>
        <w:t>mudina Komisiju izstrādāt pasākumus, kas nodrošina, ka bēgļiem un patvēruma meklētājiem tiek dota iespēja apstiprināt viņu prasmes un kompetences, kā arī tiek piedāvāta mācekļa prakse, pārkvalifikācija un kvalifikācijas celšana, lai integrētu viņus darba tirgū.</w:t>
      </w:r>
    </w:p>
    <w:p w:rsidRPr="004734C7" w:rsidR="00002061" w:rsidP="00002061" w:rsidRDefault="00002061" w14:paraId="56EC94EC" w14:textId="4D19FE6C">
      <w:pPr>
        <w:contextualSpacing/>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32"/>
        <w:gridCol w:w="5670"/>
      </w:tblGrid>
      <w:tr w:rsidRPr="004734C7" w:rsidR="00221313" w:rsidTr="00D31DE5" w14:paraId="0696D062" w14:textId="77777777">
        <w:tc>
          <w:tcPr>
            <w:tcW w:w="1418" w:type="dxa"/>
          </w:tcPr>
          <w:p w:rsidRPr="004734C7" w:rsidR="00221313" w:rsidP="00D31DE5" w:rsidRDefault="00221313" w14:paraId="697BE04F" w14:textId="44D6F2AB">
            <w:pPr>
              <w:pStyle w:val="ListParagraph"/>
              <w:ind w:left="0"/>
              <w:rPr>
                <w:i/>
              </w:rPr>
            </w:pPr>
            <w:r>
              <w:rPr>
                <w:b/>
                <w:i/>
              </w:rPr>
              <w:t>Kontaktpersona:</w:t>
            </w:r>
          </w:p>
        </w:tc>
        <w:tc>
          <w:tcPr>
            <w:tcW w:w="5670" w:type="dxa"/>
          </w:tcPr>
          <w:p w:rsidRPr="004734C7" w:rsidR="00221313" w:rsidP="00D31DE5" w:rsidRDefault="004734C7" w14:paraId="505922BF" w14:textId="370C5F88">
            <w:pPr>
              <w:pStyle w:val="ListParagraph"/>
              <w:ind w:left="0"/>
              <w:rPr>
                <w:i/>
              </w:rPr>
            </w:pPr>
            <w:proofErr w:type="spellStart"/>
            <w:r>
              <w:rPr>
                <w:i/>
              </w:rPr>
              <w:t>Sabrina</w:t>
            </w:r>
            <w:proofErr w:type="spellEnd"/>
            <w:r>
              <w:rPr>
                <w:i/>
              </w:rPr>
              <w:t xml:space="preserve"> Borg</w:t>
            </w:r>
          </w:p>
        </w:tc>
      </w:tr>
      <w:tr w:rsidRPr="004734C7" w:rsidR="00221313" w:rsidTr="00D31DE5" w14:paraId="1F9EC408" w14:textId="77777777">
        <w:tc>
          <w:tcPr>
            <w:tcW w:w="1418" w:type="dxa"/>
          </w:tcPr>
          <w:p w:rsidRPr="004734C7" w:rsidR="00221313" w:rsidP="00D31DE5" w:rsidRDefault="00221313" w14:paraId="62C4EEA8" w14:textId="0528696F">
            <w:pPr>
              <w:pStyle w:val="ListParagraph"/>
              <w:ind w:left="601"/>
              <w:rPr>
                <w:i/>
              </w:rPr>
            </w:pPr>
            <w:r>
              <w:rPr>
                <w:i/>
              </w:rPr>
              <w:t>Tālr.:</w:t>
            </w:r>
          </w:p>
        </w:tc>
        <w:tc>
          <w:tcPr>
            <w:tcW w:w="5670" w:type="dxa"/>
          </w:tcPr>
          <w:p w:rsidRPr="004734C7" w:rsidR="00221313" w:rsidP="00D31DE5" w:rsidRDefault="00221313" w14:paraId="38047F92" w14:textId="47F90C26">
            <w:pPr>
              <w:pStyle w:val="ListParagraph"/>
              <w:ind w:left="0"/>
              <w:rPr>
                <w:i/>
              </w:rPr>
            </w:pPr>
            <w:r>
              <w:rPr>
                <w:i/>
              </w:rPr>
              <w:t>00 32 2 546 97 27</w:t>
            </w:r>
          </w:p>
        </w:tc>
      </w:tr>
      <w:tr w:rsidRPr="001D770D" w:rsidR="00221313" w:rsidTr="00D31DE5" w14:paraId="0C3A430B" w14:textId="77777777">
        <w:tc>
          <w:tcPr>
            <w:tcW w:w="1418" w:type="dxa"/>
          </w:tcPr>
          <w:p w:rsidRPr="004734C7" w:rsidR="00221313" w:rsidP="00D31DE5" w:rsidRDefault="00221313" w14:paraId="28D31F07" w14:textId="7A617C98">
            <w:pPr>
              <w:pStyle w:val="ListParagraph"/>
              <w:ind w:left="601"/>
              <w:rPr>
                <w:i/>
              </w:rPr>
            </w:pPr>
            <w:r>
              <w:rPr>
                <w:i/>
              </w:rPr>
              <w:t>E-pasts:</w:t>
            </w:r>
          </w:p>
        </w:tc>
        <w:tc>
          <w:tcPr>
            <w:tcW w:w="5670" w:type="dxa"/>
          </w:tcPr>
          <w:p w:rsidRPr="004734C7" w:rsidR="00221313" w:rsidP="00D31DE5" w:rsidRDefault="00D31DE5" w14:paraId="465A2B41" w14:textId="67237EFF">
            <w:pPr>
              <w:pStyle w:val="ListParagraph"/>
              <w:ind w:left="0"/>
              <w:rPr>
                <w:i/>
                <w:iCs/>
              </w:rPr>
            </w:pPr>
            <w:hyperlink w:history="1" r:id="rId29">
              <w:r w:rsidR="008D0A46">
                <w:rPr>
                  <w:rStyle w:val="Hyperlink"/>
                  <w:i/>
                </w:rPr>
                <w:t>Sabrina.Borg@eesc.europa.eu</w:t>
              </w:r>
            </w:hyperlink>
          </w:p>
        </w:tc>
      </w:tr>
    </w:tbl>
    <w:p w:rsidR="00E302BC" w:rsidRDefault="00E302BC" w14:paraId="54EB7FDF" w14:textId="77777777">
      <w:pPr>
        <w:spacing w:after="160" w:line="259" w:lineRule="auto"/>
        <w:jc w:val="left"/>
      </w:pPr>
      <w:r>
        <w:br w:type="page"/>
      </w:r>
    </w:p>
    <w:p w:rsidRPr="009B70E7" w:rsidR="004D7AC0" w:rsidRDefault="004D7AC0" w14:paraId="3F8FA026" w14:textId="77777777">
      <w:pPr>
        <w:pStyle w:val="Heading1"/>
        <w:rPr>
          <w:b/>
        </w:rPr>
      </w:pPr>
      <w:bookmarkStart w:name="_Toc75527083" w:id="4"/>
      <w:bookmarkStart w:name="_Toc124779038" w:id="5"/>
      <w:r>
        <w:rPr>
          <w:b/>
        </w:rPr>
        <w:lastRenderedPageBreak/>
        <w:t>VIENOTAIS TIRGUS, RAŽOŠANA UN PATĒRIŅŠ</w:t>
      </w:r>
      <w:bookmarkEnd w:id="4"/>
      <w:bookmarkEnd w:id="5"/>
    </w:p>
    <w:p w:rsidRPr="009B70E7" w:rsidR="004D7AC0" w:rsidRDefault="004D7AC0" w14:paraId="03FF9505" w14:textId="77777777"/>
    <w:p w:rsidRPr="007E7A4F" w:rsidR="00164813" w:rsidP="00164813" w:rsidRDefault="005C0454" w14:paraId="12FD6239" w14:textId="5397D4B7">
      <w:pPr>
        <w:pStyle w:val="ListParagraph"/>
        <w:numPr>
          <w:ilvl w:val="0"/>
          <w:numId w:val="2"/>
        </w:numPr>
        <w:ind w:left="567" w:hanging="567"/>
        <w:rPr>
          <w:b/>
          <w:i/>
          <w:sz w:val="28"/>
          <w:szCs w:val="28"/>
        </w:rPr>
      </w:pPr>
      <w:r>
        <w:rPr>
          <w:b/>
          <w:i/>
          <w:sz w:val="28"/>
        </w:rPr>
        <w:t>Ziņojums par konkurences politiku</w:t>
      </w:r>
    </w:p>
    <w:p w:rsidRPr="009B70E7" w:rsidR="00164813" w:rsidP="00164813" w:rsidRDefault="00164813" w14:paraId="1DADE393" w14:textId="77777777">
      <w:pPr>
        <w:pStyle w:val="ListParagraph"/>
        <w:ind w:left="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7E7A4F" w:rsidR="00164813" w:rsidTr="00B83E7B" w14:paraId="1383CB57" w14:textId="77777777">
        <w:tc>
          <w:tcPr>
            <w:tcW w:w="1701" w:type="dxa"/>
          </w:tcPr>
          <w:p w:rsidRPr="009B70E7" w:rsidR="00164813" w:rsidP="00B83E7B" w:rsidRDefault="00164813" w14:paraId="33004117" w14:textId="0CA5448D">
            <w:pPr>
              <w:pStyle w:val="ListParagraph"/>
              <w:ind w:left="0"/>
              <w:rPr>
                <w:b/>
              </w:rPr>
            </w:pPr>
            <w:r>
              <w:rPr>
                <w:b/>
              </w:rPr>
              <w:t>Ziņotājs</w:t>
            </w:r>
          </w:p>
        </w:tc>
        <w:tc>
          <w:tcPr>
            <w:tcW w:w="6096" w:type="dxa"/>
          </w:tcPr>
          <w:p w:rsidRPr="007E7A4F" w:rsidR="00164813" w:rsidP="00B83E7B" w:rsidRDefault="00E63571" w14:paraId="2BCDDC29" w14:textId="2FED6A5E">
            <w:pPr>
              <w:pStyle w:val="ListParagraph"/>
              <w:ind w:left="-108"/>
            </w:pPr>
            <w:r>
              <w:t>Philip VON BROCKDORFF (Darba ņēmēju grupa – MT)</w:t>
            </w:r>
          </w:p>
        </w:tc>
      </w:tr>
      <w:tr w:rsidRPr="007E7A4F" w:rsidR="00164813" w:rsidTr="00B83E7B" w14:paraId="5DB9564B" w14:textId="77777777">
        <w:tc>
          <w:tcPr>
            <w:tcW w:w="7797" w:type="dxa"/>
            <w:gridSpan w:val="2"/>
          </w:tcPr>
          <w:p w:rsidRPr="007E7A4F" w:rsidR="00164813" w:rsidP="00B83E7B" w:rsidRDefault="00164813" w14:paraId="421C9628" w14:textId="77777777">
            <w:pPr>
              <w:pStyle w:val="ListParagraph"/>
              <w:ind w:left="0"/>
              <w:rPr>
                <w:lang w:val="fr-BE"/>
              </w:rPr>
            </w:pPr>
          </w:p>
        </w:tc>
      </w:tr>
      <w:tr w:rsidRPr="009B70E7" w:rsidR="00164813" w:rsidTr="00B83E7B" w14:paraId="132333E4" w14:textId="77777777">
        <w:tc>
          <w:tcPr>
            <w:tcW w:w="1701" w:type="dxa"/>
          </w:tcPr>
          <w:p w:rsidRPr="009B70E7" w:rsidR="00164813" w:rsidP="00B83E7B" w:rsidRDefault="00164813" w14:paraId="2A306C51" w14:textId="14B20638">
            <w:pPr>
              <w:pStyle w:val="ListParagraph"/>
              <w:ind w:left="0"/>
              <w:rPr>
                <w:b/>
              </w:rPr>
            </w:pPr>
            <w:r>
              <w:rPr>
                <w:b/>
              </w:rPr>
              <w:t xml:space="preserve">Atsauces </w:t>
            </w:r>
          </w:p>
        </w:tc>
        <w:tc>
          <w:tcPr>
            <w:tcW w:w="6096" w:type="dxa"/>
          </w:tcPr>
          <w:p w:rsidRPr="009B70E7" w:rsidR="00164813" w:rsidP="00B83E7B" w:rsidRDefault="005C0454" w14:paraId="1EB81693" w14:textId="710BF10B">
            <w:pPr>
              <w:tabs>
                <w:tab w:val="center" w:pos="284"/>
              </w:tabs>
              <w:ind w:left="266" w:hanging="374"/>
            </w:pPr>
            <w:r>
              <w:t xml:space="preserve">COM(2022) 337 </w:t>
            </w:r>
            <w:proofErr w:type="spellStart"/>
            <w:r>
              <w:t>final</w:t>
            </w:r>
            <w:proofErr w:type="spellEnd"/>
          </w:p>
          <w:p w:rsidRPr="009B70E7" w:rsidR="00164813" w:rsidP="00B83E7B" w:rsidRDefault="00ED377B" w14:paraId="1746D341" w14:textId="197FEF8C">
            <w:pPr>
              <w:pStyle w:val="ListParagraph"/>
              <w:ind w:left="-108"/>
            </w:pPr>
            <w:r>
              <w:t>EESC-2022-03908-00-00-AC</w:t>
            </w:r>
          </w:p>
        </w:tc>
      </w:tr>
    </w:tbl>
    <w:p w:rsidRPr="00A00F37" w:rsidR="00164813" w:rsidP="00A00F37" w:rsidRDefault="00164813" w14:paraId="488A6C0C" w14:textId="77777777">
      <w:pPr>
        <w:pStyle w:val="ListParagraph"/>
        <w:spacing w:line="240" w:lineRule="auto"/>
        <w:ind w:left="0" w:firstLine="142"/>
        <w:rPr>
          <w:b/>
        </w:rPr>
      </w:pPr>
    </w:p>
    <w:p w:rsidRPr="0018231C" w:rsidR="00164813" w:rsidP="00E302BC" w:rsidRDefault="00D31DE5" w14:paraId="015FE75F" w14:textId="755099A2">
      <w:pPr>
        <w:pStyle w:val="ListParagraph"/>
        <w:spacing w:line="240" w:lineRule="auto"/>
        <w:ind w:left="0"/>
        <w:rPr>
          <w:b/>
        </w:rPr>
      </w:pPr>
      <w:r>
        <w:rPr>
          <w:b/>
          <w:bCs/>
        </w:rPr>
        <w:t>Galvenās nostādnes</w:t>
      </w:r>
    </w:p>
    <w:p w:rsidRPr="0018231C" w:rsidR="00164813" w:rsidP="00164813" w:rsidRDefault="00164813" w14:paraId="573BE746" w14:textId="77777777">
      <w:pPr>
        <w:pStyle w:val="ListParagraph"/>
        <w:ind w:left="0"/>
        <w:rPr>
          <w:lang w:val="fr-FR"/>
        </w:rPr>
      </w:pPr>
    </w:p>
    <w:p w:rsidR="00164813" w:rsidP="00E302BC" w:rsidRDefault="00164813" w14:paraId="30245860" w14:textId="77777777">
      <w:pPr>
        <w:pStyle w:val="ListParagraph"/>
        <w:spacing w:line="240" w:lineRule="auto"/>
        <w:ind w:left="0"/>
      </w:pPr>
      <w:r>
        <w:t>EESK:</w:t>
      </w:r>
    </w:p>
    <w:p w:rsidRPr="0018231C" w:rsidR="00164813" w:rsidP="00164813" w:rsidRDefault="00164813" w14:paraId="7D5F280C" w14:textId="77777777">
      <w:pPr>
        <w:pStyle w:val="ListParagraph"/>
        <w:ind w:left="0"/>
        <w:rPr>
          <w:lang w:val="fr-FR"/>
        </w:rPr>
      </w:pPr>
    </w:p>
    <w:p w:rsidRPr="00A3344B" w:rsidR="00A3344B" w:rsidP="00164813" w:rsidRDefault="005C0454" w14:paraId="03AF28C8" w14:textId="4AD7B58B">
      <w:pPr>
        <w:numPr>
          <w:ilvl w:val="0"/>
          <w:numId w:val="3"/>
        </w:numPr>
        <w:overflowPunct w:val="0"/>
        <w:autoSpaceDE w:val="0"/>
        <w:autoSpaceDN w:val="0"/>
        <w:adjustRightInd w:val="0"/>
        <w:ind w:left="357" w:hanging="357"/>
        <w:textAlignment w:val="baseline"/>
      </w:pPr>
      <w:r>
        <w:t xml:space="preserve">dziļi pārliecināta, ka </w:t>
      </w:r>
      <w:r>
        <w:rPr>
          <w:b/>
        </w:rPr>
        <w:t>nevajadzētu Ukrainā notiekošā kara dēļ mainīt ES zaļās un digitālās ekonomikas darba kārtību</w:t>
      </w:r>
      <w:r>
        <w:t>, kuras pamatā ir sociālā tirgus ekonomika;</w:t>
      </w:r>
    </w:p>
    <w:p w:rsidRPr="00A3344B" w:rsidR="00A3344B" w:rsidP="00164813" w:rsidRDefault="005C0454" w14:paraId="5C624B6F" w14:textId="371F73EC">
      <w:pPr>
        <w:numPr>
          <w:ilvl w:val="0"/>
          <w:numId w:val="3"/>
        </w:numPr>
        <w:overflowPunct w:val="0"/>
        <w:autoSpaceDE w:val="0"/>
        <w:autoSpaceDN w:val="0"/>
        <w:adjustRightInd w:val="0"/>
        <w:ind w:left="357" w:hanging="357"/>
        <w:textAlignment w:val="baseline"/>
      </w:pPr>
      <w:r>
        <w:t xml:space="preserve">iesaka piemērot </w:t>
      </w:r>
      <w:r>
        <w:rPr>
          <w:b/>
        </w:rPr>
        <w:t>valsts atbalstu</w:t>
      </w:r>
      <w:r>
        <w:t xml:space="preserve">, kā to atļauj ES tiesību akti, lai </w:t>
      </w:r>
      <w:r>
        <w:rPr>
          <w:b/>
        </w:rPr>
        <w:t>novērstu Ukrainā notiekošā kara sociālekonomiskās sekas</w:t>
      </w:r>
      <w:r>
        <w:t xml:space="preserve">, īpašu uzmanību pievēršot </w:t>
      </w:r>
      <w:r>
        <w:rPr>
          <w:b/>
        </w:rPr>
        <w:t>dzimumu līdztiesībai</w:t>
      </w:r>
      <w:r>
        <w:t xml:space="preserve"> un plašākai dzimumperspektīvai, it īpaši attiecībā uz bēgļiem dalībvalstīs, kuras robežojas ar Ukrainu;</w:t>
      </w:r>
    </w:p>
    <w:p w:rsidRPr="00CA6928" w:rsidR="00A3344B" w:rsidP="00164813" w:rsidRDefault="005C0454" w14:paraId="41F4DB88" w14:textId="15EF65A3">
      <w:pPr>
        <w:numPr>
          <w:ilvl w:val="0"/>
          <w:numId w:val="3"/>
        </w:numPr>
        <w:overflowPunct w:val="0"/>
        <w:autoSpaceDE w:val="0"/>
        <w:autoSpaceDN w:val="0"/>
        <w:adjustRightInd w:val="0"/>
        <w:ind w:left="357" w:hanging="357"/>
        <w:textAlignment w:val="baseline"/>
      </w:pPr>
      <w:r>
        <w:t xml:space="preserve">atbalsta Komisijas ierosināto regulu par tirgu kropļojošām ārvalstu subsīdijām, ko piešķir trešo valstu uzņēmumiem, kuri darbojas Eiropas Savienībā, taču aicina Komisiju pievērst uzmanību arī </w:t>
      </w:r>
      <w:r>
        <w:rPr>
          <w:b/>
        </w:rPr>
        <w:t>tirgu kropļojošām subsīdijām</w:t>
      </w:r>
      <w:r>
        <w:t xml:space="preserve"> un citām pret konkurenci vērstām darbībām gan </w:t>
      </w:r>
      <w:r>
        <w:rPr>
          <w:b/>
        </w:rPr>
        <w:t>valsts, gan privātos uzņēmumos ārpus ES</w:t>
      </w:r>
      <w:r>
        <w:t>;</w:t>
      </w:r>
    </w:p>
    <w:p w:rsidRPr="00CA6928" w:rsidR="00CA6928" w:rsidP="00164813" w:rsidRDefault="004429E2" w14:paraId="36F42D42" w14:textId="49483971">
      <w:pPr>
        <w:numPr>
          <w:ilvl w:val="0"/>
          <w:numId w:val="3"/>
        </w:numPr>
        <w:overflowPunct w:val="0"/>
        <w:autoSpaceDE w:val="0"/>
        <w:autoSpaceDN w:val="0"/>
        <w:adjustRightInd w:val="0"/>
        <w:ind w:left="357" w:hanging="357"/>
        <w:textAlignment w:val="baseline"/>
      </w:pPr>
      <w:r>
        <w:t xml:space="preserve">brīdina par iespējamiem tādiem konkurenci ierobežojošiem nolīgumiem vai dominējošā stāvokļa ļaunprātīgu izmantošanu </w:t>
      </w:r>
      <w:r>
        <w:rPr>
          <w:b/>
        </w:rPr>
        <w:t>lielveikalu un pārtikas veikalu sektorā</w:t>
      </w:r>
      <w:r>
        <w:t>, kas varētu ietekmēt patērētājus augstāku cenu dēļ un ražotājus zemāku piegādes cenu dēļ;</w:t>
      </w:r>
    </w:p>
    <w:p w:rsidRPr="007E7DE3" w:rsidR="00E63571" w:rsidP="004429E2" w:rsidRDefault="004429E2" w14:paraId="520A2CDE" w14:textId="167337A8">
      <w:pPr>
        <w:numPr>
          <w:ilvl w:val="0"/>
          <w:numId w:val="3"/>
        </w:numPr>
        <w:overflowPunct w:val="0"/>
        <w:autoSpaceDE w:val="0"/>
        <w:autoSpaceDN w:val="0"/>
        <w:adjustRightInd w:val="0"/>
        <w:ind w:left="357" w:hanging="357"/>
        <w:textAlignment w:val="baseline"/>
      </w:pPr>
      <w:r>
        <w:t xml:space="preserve">aicina </w:t>
      </w:r>
      <w:r>
        <w:rPr>
          <w:b/>
        </w:rPr>
        <w:t>aviācijas nozarē</w:t>
      </w:r>
      <w:r>
        <w:t xml:space="preserve"> nodrošināt vienlīdzīgus konkurences apstākļus. Tomēr Komiteja vēlas brīdināt, ka nevajadzētu veidot aviācijas tirgu, kurā dominētu neliels skaits aviokompāniju.</w:t>
      </w:r>
    </w:p>
    <w:p w:rsidRPr="007E7A4F" w:rsidR="007E7DE3" w:rsidP="00E34279" w:rsidRDefault="007E7DE3" w14:paraId="043E47D4" w14:textId="776D7173">
      <w:pPr>
        <w:overflowPunct w:val="0"/>
        <w:autoSpaceDE w:val="0"/>
        <w:autoSpaceDN w:val="0"/>
        <w:adjustRightInd w:val="0"/>
        <w:textAlignment w:val="baseline"/>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32"/>
        <w:gridCol w:w="5670"/>
      </w:tblGrid>
      <w:tr w:rsidRPr="00164813" w:rsidR="00E34279" w:rsidTr="00D31DE5" w14:paraId="59E3F0D1" w14:textId="77777777">
        <w:tc>
          <w:tcPr>
            <w:tcW w:w="1418" w:type="dxa"/>
          </w:tcPr>
          <w:p w:rsidRPr="00164813" w:rsidR="00E34279" w:rsidP="00D31DE5" w:rsidRDefault="00E34279" w14:paraId="3F8C4AD7" w14:textId="08F5D90B">
            <w:pPr>
              <w:contextualSpacing/>
              <w:rPr>
                <w:i/>
              </w:rPr>
            </w:pPr>
            <w:r>
              <w:rPr>
                <w:b/>
                <w:i/>
              </w:rPr>
              <w:t>Kontaktpersona:</w:t>
            </w:r>
          </w:p>
        </w:tc>
        <w:tc>
          <w:tcPr>
            <w:tcW w:w="5670" w:type="dxa"/>
          </w:tcPr>
          <w:p w:rsidRPr="00164813" w:rsidR="00E34279" w:rsidP="00D31DE5" w:rsidRDefault="00E63571" w14:paraId="041FFAC4" w14:textId="494A8C93">
            <w:pPr>
              <w:contextualSpacing/>
              <w:rPr>
                <w:i/>
              </w:rPr>
            </w:pPr>
            <w:proofErr w:type="spellStart"/>
            <w:r>
              <w:rPr>
                <w:i/>
              </w:rPr>
              <w:t>Silvia</w:t>
            </w:r>
            <w:proofErr w:type="spellEnd"/>
            <w:r>
              <w:rPr>
                <w:i/>
              </w:rPr>
              <w:t xml:space="preserve"> </w:t>
            </w:r>
            <w:proofErr w:type="spellStart"/>
            <w:r>
              <w:rPr>
                <w:i/>
              </w:rPr>
              <w:t>Staffa</w:t>
            </w:r>
            <w:proofErr w:type="spellEnd"/>
          </w:p>
        </w:tc>
      </w:tr>
      <w:tr w:rsidRPr="00164813" w:rsidR="00E34279" w:rsidTr="00D31DE5" w14:paraId="5BFD63D8" w14:textId="77777777">
        <w:tc>
          <w:tcPr>
            <w:tcW w:w="1418" w:type="dxa"/>
          </w:tcPr>
          <w:p w:rsidRPr="00164813" w:rsidR="00E34279" w:rsidP="00D31DE5" w:rsidRDefault="00E34279" w14:paraId="189A63EF" w14:textId="5A943E5B">
            <w:pPr>
              <w:ind w:left="601"/>
              <w:contextualSpacing/>
              <w:rPr>
                <w:i/>
              </w:rPr>
            </w:pPr>
            <w:r>
              <w:rPr>
                <w:i/>
              </w:rPr>
              <w:t>Tālr.:</w:t>
            </w:r>
          </w:p>
        </w:tc>
        <w:tc>
          <w:tcPr>
            <w:tcW w:w="5670" w:type="dxa"/>
          </w:tcPr>
          <w:p w:rsidRPr="00164813" w:rsidR="00E34279" w:rsidP="00D31DE5" w:rsidRDefault="00E34279" w14:paraId="75F891C7" w14:textId="6FFAE680">
            <w:pPr>
              <w:contextualSpacing/>
              <w:rPr>
                <w:i/>
              </w:rPr>
            </w:pPr>
            <w:r>
              <w:rPr>
                <w:i/>
              </w:rPr>
              <w:t>00 32 2 546 83 78</w:t>
            </w:r>
          </w:p>
        </w:tc>
      </w:tr>
      <w:tr w:rsidRPr="00164813" w:rsidR="00E34279" w:rsidTr="00D31DE5" w14:paraId="48B7AFA1" w14:textId="77777777">
        <w:tc>
          <w:tcPr>
            <w:tcW w:w="1418" w:type="dxa"/>
          </w:tcPr>
          <w:p w:rsidRPr="00164813" w:rsidR="00E34279" w:rsidP="00D31DE5" w:rsidRDefault="00E34279" w14:paraId="22EC4CAF" w14:textId="04290E37">
            <w:pPr>
              <w:ind w:left="601"/>
              <w:contextualSpacing/>
              <w:rPr>
                <w:i/>
              </w:rPr>
            </w:pPr>
            <w:r>
              <w:rPr>
                <w:i/>
              </w:rPr>
              <w:t>E-pasts:</w:t>
            </w:r>
          </w:p>
        </w:tc>
        <w:tc>
          <w:tcPr>
            <w:tcW w:w="5670" w:type="dxa"/>
          </w:tcPr>
          <w:p w:rsidRPr="00164813" w:rsidR="00E63571" w:rsidP="009A3E0E" w:rsidRDefault="00D31DE5" w14:paraId="52F62A0A" w14:textId="36130FB3">
            <w:pPr>
              <w:contextualSpacing/>
              <w:rPr>
                <w:i/>
              </w:rPr>
            </w:pPr>
            <w:hyperlink w:history="1" r:id="rId30">
              <w:r w:rsidR="008D0A46">
                <w:rPr>
                  <w:rStyle w:val="Hyperlink"/>
                  <w:i/>
                </w:rPr>
                <w:t>Silvia.Staffa@eesc.europa.eu</w:t>
              </w:r>
            </w:hyperlink>
          </w:p>
        </w:tc>
      </w:tr>
    </w:tbl>
    <w:p w:rsidRPr="009A3E0E" w:rsidR="004429E2" w:rsidP="004429E2" w:rsidRDefault="004429E2" w14:paraId="2469D4FC" w14:textId="77777777">
      <w:pPr>
        <w:pStyle w:val="ListParagraph"/>
        <w:ind w:left="567"/>
        <w:rPr>
          <w:b/>
          <w:bCs/>
          <w:i/>
          <w:iCs/>
        </w:rPr>
      </w:pPr>
    </w:p>
    <w:p w:rsidR="00353D37" w:rsidRDefault="00353D37" w14:paraId="3C139696" w14:textId="624721DC">
      <w:pPr>
        <w:spacing w:after="160" w:line="259" w:lineRule="auto"/>
        <w:jc w:val="left"/>
        <w:rPr>
          <w:b/>
          <w:bCs/>
          <w:i/>
          <w:iCs/>
          <w:sz w:val="28"/>
          <w:szCs w:val="28"/>
        </w:rPr>
      </w:pPr>
      <w:r>
        <w:br w:type="page"/>
      </w:r>
    </w:p>
    <w:p w:rsidRPr="00AA5C1D" w:rsidR="00AA5C1D" w:rsidP="00AA5C1D" w:rsidRDefault="004429E2" w14:paraId="2EE2A332" w14:textId="3A938EBD">
      <w:pPr>
        <w:pStyle w:val="ListParagraph"/>
        <w:numPr>
          <w:ilvl w:val="0"/>
          <w:numId w:val="2"/>
        </w:numPr>
        <w:ind w:left="567" w:hanging="567"/>
        <w:rPr>
          <w:b/>
          <w:bCs/>
          <w:i/>
          <w:iCs/>
          <w:sz w:val="28"/>
          <w:szCs w:val="28"/>
        </w:rPr>
      </w:pPr>
      <w:r>
        <w:rPr>
          <w:b/>
          <w:i/>
          <w:sz w:val="28"/>
        </w:rPr>
        <w:lastRenderedPageBreak/>
        <w:t xml:space="preserve">A </w:t>
      </w:r>
      <w:proofErr w:type="spellStart"/>
      <w:r>
        <w:rPr>
          <w:b/>
          <w:i/>
          <w:sz w:val="28"/>
        </w:rPr>
        <w:t>New</w:t>
      </w:r>
      <w:proofErr w:type="spellEnd"/>
      <w:r>
        <w:rPr>
          <w:b/>
          <w:i/>
          <w:sz w:val="28"/>
        </w:rPr>
        <w:t xml:space="preserve"> </w:t>
      </w:r>
      <w:proofErr w:type="spellStart"/>
      <w:r>
        <w:rPr>
          <w:b/>
          <w:i/>
          <w:sz w:val="28"/>
        </w:rPr>
        <w:t>European</w:t>
      </w:r>
      <w:proofErr w:type="spellEnd"/>
      <w:r>
        <w:rPr>
          <w:b/>
          <w:i/>
          <w:sz w:val="28"/>
        </w:rPr>
        <w:t xml:space="preserve"> </w:t>
      </w:r>
      <w:proofErr w:type="spellStart"/>
      <w:r>
        <w:rPr>
          <w:b/>
          <w:i/>
          <w:sz w:val="28"/>
        </w:rPr>
        <w:t>Innovation</w:t>
      </w:r>
      <w:proofErr w:type="spellEnd"/>
      <w:r>
        <w:rPr>
          <w:b/>
          <w:i/>
          <w:sz w:val="28"/>
        </w:rPr>
        <w:t xml:space="preserve"> </w:t>
      </w:r>
      <w:proofErr w:type="spellStart"/>
      <w:r>
        <w:rPr>
          <w:b/>
          <w:i/>
          <w:sz w:val="28"/>
        </w:rPr>
        <w:t>Agenda</w:t>
      </w:r>
      <w:proofErr w:type="spellEnd"/>
    </w:p>
    <w:p w:rsidRPr="009B70E7" w:rsidR="00AA5C1D" w:rsidP="00AA5C1D" w:rsidRDefault="00AA5C1D" w14:paraId="02288197" w14:textId="77777777">
      <w:pPr>
        <w:pStyle w:val="ListParagraph"/>
        <w:ind w:left="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487"/>
      </w:tblGrid>
      <w:tr w:rsidRPr="007E7A4F" w:rsidR="00AA5C1D" w:rsidTr="00232EBB" w14:paraId="377CFA40" w14:textId="77777777">
        <w:tc>
          <w:tcPr>
            <w:tcW w:w="1701" w:type="dxa"/>
          </w:tcPr>
          <w:p w:rsidR="00AA5C1D" w:rsidP="00D31DE5" w:rsidRDefault="00AA5C1D" w14:paraId="5C15ED0E" w14:textId="77777777">
            <w:pPr>
              <w:pStyle w:val="ListParagraph"/>
              <w:ind w:left="0"/>
              <w:rPr>
                <w:b/>
              </w:rPr>
            </w:pPr>
            <w:r>
              <w:rPr>
                <w:b/>
              </w:rPr>
              <w:t>Ziņotājs</w:t>
            </w:r>
          </w:p>
          <w:p w:rsidRPr="009B70E7" w:rsidR="00E302BC" w:rsidP="00D31DE5" w:rsidRDefault="00E302BC" w14:paraId="6700269D" w14:textId="328A6E08">
            <w:pPr>
              <w:pStyle w:val="ListParagraph"/>
              <w:ind w:left="0"/>
              <w:rPr>
                <w:b/>
              </w:rPr>
            </w:pPr>
            <w:r>
              <w:rPr>
                <w:b/>
              </w:rPr>
              <w:t>Līdzziņotājs</w:t>
            </w:r>
            <w:r>
              <w:rPr>
                <w:b/>
              </w:rPr>
              <w:tab/>
            </w:r>
          </w:p>
        </w:tc>
        <w:tc>
          <w:tcPr>
            <w:tcW w:w="6487" w:type="dxa"/>
          </w:tcPr>
          <w:p w:rsidR="00AA5C1D" w:rsidP="00D31DE5" w:rsidRDefault="004429E2" w14:paraId="283EF046" w14:textId="77777777">
            <w:pPr>
              <w:pStyle w:val="ListParagraph"/>
              <w:ind w:left="-108"/>
            </w:pPr>
            <w:proofErr w:type="spellStart"/>
            <w:r>
              <w:t>Maurizio</w:t>
            </w:r>
            <w:proofErr w:type="spellEnd"/>
            <w:r>
              <w:t xml:space="preserve"> MENSI (Pilsoniskās sabiedrības organizāciju grupa — IT)</w:t>
            </w:r>
          </w:p>
          <w:p w:rsidRPr="007E7A4F" w:rsidR="00E302BC" w:rsidP="00D31DE5" w:rsidRDefault="00E302BC" w14:paraId="0BD64E0D" w14:textId="306F4DD5">
            <w:pPr>
              <w:pStyle w:val="ListParagraph"/>
              <w:ind w:left="-108"/>
            </w:pPr>
            <w:proofErr w:type="spellStart"/>
            <w:r>
              <w:t>Christophe</w:t>
            </w:r>
            <w:proofErr w:type="spellEnd"/>
            <w:r>
              <w:t xml:space="preserve"> LEFÈVRE (Darba ņēmēju grupa – FR)</w:t>
            </w:r>
          </w:p>
        </w:tc>
      </w:tr>
      <w:tr w:rsidRPr="009B70E7" w:rsidR="00AA5C1D" w:rsidTr="00232EBB" w14:paraId="4E577528" w14:textId="77777777">
        <w:tc>
          <w:tcPr>
            <w:tcW w:w="1701" w:type="dxa"/>
          </w:tcPr>
          <w:p w:rsidRPr="009B70E7" w:rsidR="00AA5C1D" w:rsidP="00D31DE5" w:rsidRDefault="00AA5C1D" w14:paraId="7CEEDB52" w14:textId="1C12C238">
            <w:pPr>
              <w:pStyle w:val="ListParagraph"/>
              <w:ind w:left="0"/>
              <w:rPr>
                <w:b/>
              </w:rPr>
            </w:pPr>
            <w:r>
              <w:rPr>
                <w:b/>
              </w:rPr>
              <w:t xml:space="preserve">Atsauces </w:t>
            </w:r>
          </w:p>
        </w:tc>
        <w:tc>
          <w:tcPr>
            <w:tcW w:w="6487" w:type="dxa"/>
          </w:tcPr>
          <w:p w:rsidRPr="009B70E7" w:rsidR="00AA5C1D" w:rsidP="00D31DE5" w:rsidRDefault="004429E2" w14:paraId="7260D9BD" w14:textId="3A0B9C79">
            <w:pPr>
              <w:tabs>
                <w:tab w:val="center" w:pos="284"/>
              </w:tabs>
              <w:ind w:left="266" w:hanging="374"/>
            </w:pPr>
            <w:r>
              <w:t xml:space="preserve">COM(2022) 332 </w:t>
            </w:r>
            <w:proofErr w:type="spellStart"/>
            <w:r>
              <w:t>final</w:t>
            </w:r>
            <w:proofErr w:type="spellEnd"/>
          </w:p>
          <w:p w:rsidRPr="009B70E7" w:rsidR="00AA5C1D" w:rsidP="00D31DE5" w:rsidRDefault="00AA5C1D" w14:paraId="088E18BB" w14:textId="766D1AE0">
            <w:pPr>
              <w:pStyle w:val="ListParagraph"/>
              <w:ind w:left="-108"/>
            </w:pPr>
            <w:r>
              <w:t>EESC-2022-03551-00-00-AC</w:t>
            </w:r>
          </w:p>
        </w:tc>
      </w:tr>
    </w:tbl>
    <w:p w:rsidRPr="009B70E7" w:rsidR="00AA5C1D" w:rsidP="00AA5C1D" w:rsidRDefault="00AA5C1D" w14:paraId="0C36545B" w14:textId="77777777">
      <w:pPr>
        <w:pStyle w:val="ListParagraph"/>
        <w:ind w:left="0"/>
        <w:rPr>
          <w:b/>
        </w:rPr>
      </w:pPr>
    </w:p>
    <w:p w:rsidRPr="00A00F37" w:rsidR="00AA5C1D" w:rsidP="00E302BC" w:rsidRDefault="00D31DE5" w14:paraId="1B4ECBDA" w14:textId="250C5668">
      <w:pPr>
        <w:pStyle w:val="ListParagraph"/>
        <w:spacing w:line="240" w:lineRule="auto"/>
        <w:ind w:left="0"/>
        <w:rPr>
          <w:b/>
        </w:rPr>
      </w:pPr>
      <w:r>
        <w:rPr>
          <w:b/>
          <w:bCs/>
        </w:rPr>
        <w:t>Galvenās nostādnes</w:t>
      </w:r>
    </w:p>
    <w:p w:rsidRPr="0018231C" w:rsidR="00AA5C1D" w:rsidP="00AA5C1D" w:rsidRDefault="00AA5C1D" w14:paraId="38EF24CA" w14:textId="77777777">
      <w:pPr>
        <w:pStyle w:val="ListParagraph"/>
        <w:ind w:left="0"/>
        <w:rPr>
          <w:lang w:val="fr-FR"/>
        </w:rPr>
      </w:pPr>
    </w:p>
    <w:p w:rsidR="00AA5C1D" w:rsidP="00E302BC" w:rsidRDefault="00AA5C1D" w14:paraId="496334DF" w14:textId="77777777">
      <w:pPr>
        <w:pStyle w:val="ListParagraph"/>
        <w:spacing w:line="240" w:lineRule="auto"/>
        <w:ind w:left="0"/>
      </w:pPr>
      <w:r>
        <w:t>EESK:</w:t>
      </w:r>
    </w:p>
    <w:p w:rsidRPr="0018231C" w:rsidR="00AA5C1D" w:rsidP="00AA5C1D" w:rsidRDefault="00AA5C1D" w14:paraId="7DF02088" w14:textId="77777777">
      <w:pPr>
        <w:pStyle w:val="ListParagraph"/>
        <w:ind w:left="0"/>
        <w:rPr>
          <w:lang w:val="fr-FR"/>
        </w:rPr>
      </w:pPr>
    </w:p>
    <w:p w:rsidRPr="00A3344B" w:rsidR="00AA5C1D" w:rsidP="00AA5C1D" w:rsidRDefault="003C3F66" w14:paraId="001CF33A" w14:textId="569EB4BC">
      <w:pPr>
        <w:numPr>
          <w:ilvl w:val="0"/>
          <w:numId w:val="3"/>
        </w:numPr>
        <w:overflowPunct w:val="0"/>
        <w:autoSpaceDE w:val="0"/>
        <w:autoSpaceDN w:val="0"/>
        <w:adjustRightInd w:val="0"/>
        <w:ind w:left="357" w:hanging="357"/>
        <w:textAlignment w:val="baseline"/>
      </w:pPr>
      <w:r>
        <w:t>atzinīgi vērtē Komisijas izstrādāto Eiropas inovācijas programmu un jo īpaši tās divējādo mērķi – veicināt Eiropas konkurētspēju un Eiropas iedzīvotāju labklājību;</w:t>
      </w:r>
    </w:p>
    <w:p w:rsidRPr="00A3344B" w:rsidR="00AA5C1D" w:rsidP="00AA5C1D" w:rsidRDefault="003C3F66" w14:paraId="71ABA83F" w14:textId="24F61CC3">
      <w:pPr>
        <w:numPr>
          <w:ilvl w:val="0"/>
          <w:numId w:val="3"/>
        </w:numPr>
        <w:overflowPunct w:val="0"/>
        <w:autoSpaceDE w:val="0"/>
        <w:autoSpaceDN w:val="0"/>
        <w:adjustRightInd w:val="0"/>
        <w:ind w:left="357" w:hanging="357"/>
        <w:textAlignment w:val="baseline"/>
      </w:pPr>
      <w:r>
        <w:t>atzinīgi vērtē arī to, ka Komisija uzsvaru liek uz nepieciešamību novērst ar augošiem uzņēmumiem un dziļo tehnoloģiju uzņēmumiem saistītus trūkumus, kas patlaban pastāv Eiropas Savienībā salīdzinājumā ar trešām valstīm un ierosina Komisijai vairāk uzsvērt nozīmi, kāda ir uzņēmumiem, maziem un vidējiem uzņēmumiem (MVU) un jo īpaši jaunuzņēmumiem un to vadītajiem inovācijas tīkliem zaļās un digitālās pārkārtošanās īstenošanā;</w:t>
      </w:r>
    </w:p>
    <w:p w:rsidRPr="00A3344B" w:rsidR="00AA5C1D" w:rsidP="00AA5C1D" w:rsidRDefault="003C3F66" w14:paraId="61627139" w14:textId="558A96BA">
      <w:pPr>
        <w:numPr>
          <w:ilvl w:val="0"/>
          <w:numId w:val="3"/>
        </w:numPr>
        <w:overflowPunct w:val="0"/>
        <w:autoSpaceDE w:val="0"/>
        <w:autoSpaceDN w:val="0"/>
        <w:adjustRightInd w:val="0"/>
        <w:ind w:left="357" w:hanging="357"/>
        <w:textAlignment w:val="baseline"/>
      </w:pPr>
      <w:r>
        <w:t>atzinīgi vērtē priekšlikumu izveidot padomdevēju grupu, kas izstrādātu inovācijai labvēlīgu regulējumu publisko pakalpojumu jomā, un ierosina tajā kā pilntiesīgu grupas dalībnieku iesaistīt EESK pārstāvi;</w:t>
      </w:r>
    </w:p>
    <w:p w:rsidR="00AB20C0" w:rsidP="00AA5C1D" w:rsidRDefault="003C3F66" w14:paraId="57E13EFF" w14:textId="3C9F1632">
      <w:pPr>
        <w:numPr>
          <w:ilvl w:val="0"/>
          <w:numId w:val="3"/>
        </w:numPr>
        <w:overflowPunct w:val="0"/>
        <w:autoSpaceDE w:val="0"/>
        <w:autoSpaceDN w:val="0"/>
        <w:adjustRightInd w:val="0"/>
        <w:ind w:left="357" w:hanging="357"/>
        <w:textAlignment w:val="baseline"/>
      </w:pPr>
      <w:r>
        <w:t>uzsver, ka svarīgi ir finansēt eksperimentu un testēšanas infrastruktūras, lai palīdzētu jaunuzņēmumiem un mazinātu plaisu starp laboratorijām un komerciālajiem lietojumiem;</w:t>
      </w:r>
    </w:p>
    <w:p w:rsidRPr="00E63571" w:rsidR="00E63571" w:rsidP="00AA5C1D" w:rsidRDefault="003C3F66" w14:paraId="778CBFD5" w14:textId="3F071F0C">
      <w:pPr>
        <w:numPr>
          <w:ilvl w:val="0"/>
          <w:numId w:val="3"/>
        </w:numPr>
        <w:overflowPunct w:val="0"/>
        <w:autoSpaceDE w:val="0"/>
        <w:autoSpaceDN w:val="0"/>
        <w:adjustRightInd w:val="0"/>
        <w:ind w:left="357" w:hanging="357"/>
        <w:textAlignment w:val="baseline"/>
      </w:pPr>
      <w:r>
        <w:t>atzinīgi vērtē arī ar publisko iepirkumu saistīto iniciatīvu un ierosina paredzēt jaunuzņēmumu dalību inovatīva iepirkuma procedūrās;</w:t>
      </w:r>
    </w:p>
    <w:p w:rsidR="00E63571" w:rsidP="00AA5C1D" w:rsidRDefault="003C3F66" w14:paraId="2609BDB6" w14:textId="29E3655C">
      <w:pPr>
        <w:numPr>
          <w:ilvl w:val="0"/>
          <w:numId w:val="3"/>
        </w:numPr>
        <w:overflowPunct w:val="0"/>
        <w:autoSpaceDE w:val="0"/>
        <w:autoSpaceDN w:val="0"/>
        <w:adjustRightInd w:val="0"/>
        <w:ind w:left="357" w:hanging="357"/>
        <w:textAlignment w:val="baseline"/>
      </w:pPr>
      <w:r>
        <w:t>uzsver, ka ir svarīgi izveidot stabilu intelektuālā īpašuma režīmu, kas būtu piemērojams jaunuzņēmumu izgudrojumiem;</w:t>
      </w:r>
    </w:p>
    <w:p w:rsidR="00E63571" w:rsidP="00AA5C1D" w:rsidRDefault="003C3F66" w14:paraId="2960399C" w14:textId="4030C2A2">
      <w:pPr>
        <w:numPr>
          <w:ilvl w:val="0"/>
          <w:numId w:val="3"/>
        </w:numPr>
        <w:overflowPunct w:val="0"/>
        <w:autoSpaceDE w:val="0"/>
        <w:autoSpaceDN w:val="0"/>
        <w:adjustRightInd w:val="0"/>
        <w:ind w:left="357" w:hanging="357"/>
        <w:textAlignment w:val="baseline"/>
      </w:pPr>
      <w:r>
        <w:t>mudina Komisiju veicināt investīciju starpreģionālo dimensiju, kurā kopīgi piedalītos mazāk inovatīvi reģioni un inovatīvāki reģioni;</w:t>
      </w:r>
    </w:p>
    <w:p w:rsidR="00E63571" w:rsidP="00AA5C1D" w:rsidRDefault="003C3F66" w14:paraId="4C4CEA31" w14:textId="554D7A69">
      <w:pPr>
        <w:numPr>
          <w:ilvl w:val="0"/>
          <w:numId w:val="3"/>
        </w:numPr>
        <w:overflowPunct w:val="0"/>
        <w:autoSpaceDE w:val="0"/>
        <w:autoSpaceDN w:val="0"/>
        <w:adjustRightInd w:val="0"/>
        <w:ind w:left="357" w:hanging="357"/>
        <w:textAlignment w:val="baseline"/>
      </w:pPr>
      <w:r>
        <w:t>uzsver, ka publiskais atbalsts būtu jāsniedz arī augstākās izglītības iestādēm un inovācijas laboratorijām;</w:t>
      </w:r>
    </w:p>
    <w:p w:rsidR="003C3F66" w:rsidP="00AA5C1D" w:rsidRDefault="003C3F66" w14:paraId="185DE97C" w14:textId="79BDC54C">
      <w:pPr>
        <w:numPr>
          <w:ilvl w:val="0"/>
          <w:numId w:val="3"/>
        </w:numPr>
        <w:overflowPunct w:val="0"/>
        <w:autoSpaceDE w:val="0"/>
        <w:autoSpaceDN w:val="0"/>
        <w:adjustRightInd w:val="0"/>
        <w:ind w:left="357" w:hanging="357"/>
        <w:textAlignment w:val="baseline"/>
      </w:pPr>
      <w:r>
        <w:t>atzinīgi vērtē arī Komisijas atbalstu dalībvalstīm pārrobežu projektu izstrādē ES kopējās interesēs;</w:t>
      </w:r>
    </w:p>
    <w:p w:rsidRPr="00A3344B" w:rsidR="003C3F66" w:rsidP="00AA5C1D" w:rsidRDefault="003C3F66" w14:paraId="0046F7F6" w14:textId="470E2475">
      <w:pPr>
        <w:numPr>
          <w:ilvl w:val="0"/>
          <w:numId w:val="3"/>
        </w:numPr>
        <w:overflowPunct w:val="0"/>
        <w:autoSpaceDE w:val="0"/>
        <w:autoSpaceDN w:val="0"/>
        <w:adjustRightInd w:val="0"/>
        <w:ind w:left="357" w:hanging="357"/>
        <w:textAlignment w:val="baseline"/>
      </w:pPr>
      <w:r>
        <w:t>atzinīgi vērtē ideju meklēt labvēlīgāku nodokļu režīmu akciju iegādes iespējām un starptautiski mobilajiem talantīgiem cilvēkiem. Komiteja aicina Komisiju koordinēt nacionālās iniciatīvas, kuru mērķis ir atbalstīt talantus.</w:t>
      </w:r>
    </w:p>
    <w:p w:rsidRPr="009A3E0E" w:rsidR="00AA5C1D" w:rsidP="00AA5C1D" w:rsidRDefault="00AA5C1D" w14:paraId="11FB1396" w14:textId="77777777">
      <w:pPr>
        <w:spacing w:after="160" w:line="259" w:lineRule="auto"/>
        <w:jc w:val="left"/>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32"/>
        <w:gridCol w:w="5670"/>
      </w:tblGrid>
      <w:tr w:rsidRPr="00164813" w:rsidR="00AA5C1D" w:rsidTr="00D31DE5" w14:paraId="41C508F8" w14:textId="77777777">
        <w:tc>
          <w:tcPr>
            <w:tcW w:w="1418" w:type="dxa"/>
          </w:tcPr>
          <w:p w:rsidRPr="00164813" w:rsidR="00AA5C1D" w:rsidP="00D31DE5" w:rsidRDefault="00AA5C1D" w14:paraId="682B16C4" w14:textId="247691B3">
            <w:pPr>
              <w:contextualSpacing/>
              <w:rPr>
                <w:i/>
              </w:rPr>
            </w:pPr>
            <w:r>
              <w:rPr>
                <w:b/>
                <w:i/>
              </w:rPr>
              <w:t>Kontaktpersona:</w:t>
            </w:r>
          </w:p>
        </w:tc>
        <w:tc>
          <w:tcPr>
            <w:tcW w:w="5670" w:type="dxa"/>
          </w:tcPr>
          <w:p w:rsidRPr="00164813" w:rsidR="00AA5C1D" w:rsidP="00D31DE5" w:rsidRDefault="003C3F66" w14:paraId="58153CA9" w14:textId="62942E7A">
            <w:pPr>
              <w:contextualSpacing/>
              <w:rPr>
                <w:i/>
              </w:rPr>
            </w:pPr>
            <w:proofErr w:type="spellStart"/>
            <w:r>
              <w:rPr>
                <w:i/>
              </w:rPr>
              <w:t>Radoslava</w:t>
            </w:r>
            <w:proofErr w:type="spellEnd"/>
            <w:r>
              <w:rPr>
                <w:i/>
              </w:rPr>
              <w:t xml:space="preserve"> </w:t>
            </w:r>
            <w:proofErr w:type="spellStart"/>
            <w:r>
              <w:rPr>
                <w:i/>
              </w:rPr>
              <w:t>Stefankova</w:t>
            </w:r>
            <w:proofErr w:type="spellEnd"/>
          </w:p>
        </w:tc>
      </w:tr>
      <w:tr w:rsidRPr="00164813" w:rsidR="00AA5C1D" w:rsidTr="00D31DE5" w14:paraId="72CAC45A" w14:textId="77777777">
        <w:tc>
          <w:tcPr>
            <w:tcW w:w="1418" w:type="dxa"/>
          </w:tcPr>
          <w:p w:rsidRPr="00164813" w:rsidR="00AA5C1D" w:rsidP="00D31DE5" w:rsidRDefault="00AA5C1D" w14:paraId="3EF5E950" w14:textId="73C04D47">
            <w:pPr>
              <w:ind w:left="601"/>
              <w:contextualSpacing/>
              <w:rPr>
                <w:i/>
              </w:rPr>
            </w:pPr>
            <w:r>
              <w:rPr>
                <w:i/>
              </w:rPr>
              <w:t>Tālr.:</w:t>
            </w:r>
          </w:p>
        </w:tc>
        <w:tc>
          <w:tcPr>
            <w:tcW w:w="5670" w:type="dxa"/>
          </w:tcPr>
          <w:p w:rsidRPr="00164813" w:rsidR="00AA5C1D" w:rsidP="00D31DE5" w:rsidRDefault="00AA5C1D" w14:paraId="7B046605" w14:textId="2294EE8D">
            <w:pPr>
              <w:contextualSpacing/>
              <w:rPr>
                <w:i/>
              </w:rPr>
            </w:pPr>
            <w:r>
              <w:rPr>
                <w:i/>
              </w:rPr>
              <w:t>00 32 2 546 81 88</w:t>
            </w:r>
          </w:p>
        </w:tc>
      </w:tr>
      <w:tr w:rsidRPr="00164813" w:rsidR="00AA5C1D" w:rsidTr="00D31DE5" w14:paraId="73DA6362" w14:textId="77777777">
        <w:tc>
          <w:tcPr>
            <w:tcW w:w="1418" w:type="dxa"/>
          </w:tcPr>
          <w:p w:rsidRPr="00164813" w:rsidR="00AA5C1D" w:rsidP="00D31DE5" w:rsidRDefault="00AA5C1D" w14:paraId="67DB9852" w14:textId="3361810C">
            <w:pPr>
              <w:ind w:left="601"/>
              <w:contextualSpacing/>
              <w:rPr>
                <w:i/>
              </w:rPr>
            </w:pPr>
            <w:r>
              <w:rPr>
                <w:i/>
              </w:rPr>
              <w:t>E-pasts:</w:t>
            </w:r>
          </w:p>
        </w:tc>
        <w:tc>
          <w:tcPr>
            <w:tcW w:w="5670" w:type="dxa"/>
          </w:tcPr>
          <w:p w:rsidRPr="00164813" w:rsidR="00AA5C1D" w:rsidP="009A3E0E" w:rsidRDefault="00D31DE5" w14:paraId="49BD07A0" w14:textId="746D6989">
            <w:pPr>
              <w:contextualSpacing/>
              <w:rPr>
                <w:i/>
              </w:rPr>
            </w:pPr>
            <w:hyperlink w:history="1" r:id="rId31">
              <w:r w:rsidR="008D0A46">
                <w:rPr>
                  <w:rStyle w:val="Hyperlink"/>
                  <w:i/>
                </w:rPr>
                <w:t>Radoslava.Stefankova@eesc.europa.eu</w:t>
              </w:r>
            </w:hyperlink>
          </w:p>
        </w:tc>
      </w:tr>
    </w:tbl>
    <w:p w:rsidR="003C3F66" w:rsidRDefault="00467BE4" w14:paraId="29EC3A77" w14:textId="22A9C39D">
      <w:pPr>
        <w:spacing w:after="160" w:line="259" w:lineRule="auto"/>
        <w:jc w:val="left"/>
        <w:rPr>
          <w:sz w:val="28"/>
        </w:rPr>
      </w:pPr>
      <w:r>
        <w:br w:type="page"/>
      </w:r>
    </w:p>
    <w:p w:rsidRPr="00AA5C1D" w:rsidR="003C3F66" w:rsidP="003C3F66" w:rsidRDefault="003C3F66" w14:paraId="62695D75" w14:textId="065517F0">
      <w:pPr>
        <w:pStyle w:val="ListParagraph"/>
        <w:numPr>
          <w:ilvl w:val="0"/>
          <w:numId w:val="2"/>
        </w:numPr>
        <w:ind w:left="567" w:hanging="567"/>
        <w:rPr>
          <w:b/>
          <w:bCs/>
          <w:i/>
          <w:iCs/>
          <w:sz w:val="28"/>
          <w:szCs w:val="28"/>
        </w:rPr>
      </w:pPr>
      <w:r>
        <w:rPr>
          <w:b/>
          <w:i/>
          <w:sz w:val="28"/>
        </w:rPr>
        <w:lastRenderedPageBreak/>
        <w:t>Vienotā tirgus ārkārtas instruments</w:t>
      </w:r>
    </w:p>
    <w:p w:rsidRPr="009B70E7" w:rsidR="003C3F66" w:rsidP="003C3F66" w:rsidRDefault="003C3F66" w14:paraId="7F332F89" w14:textId="77777777">
      <w:pPr>
        <w:pStyle w:val="ListParagraph"/>
        <w:ind w:left="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7E7A4F" w:rsidR="003C3F66" w:rsidTr="00D31DE5" w14:paraId="5E491F6A" w14:textId="77777777">
        <w:tc>
          <w:tcPr>
            <w:tcW w:w="1701" w:type="dxa"/>
          </w:tcPr>
          <w:p w:rsidR="009A3E0E" w:rsidP="00D31DE5" w:rsidRDefault="003C3F66" w14:paraId="0176E90E" w14:textId="77777777">
            <w:pPr>
              <w:pStyle w:val="ListParagraph"/>
              <w:ind w:left="0"/>
              <w:rPr>
                <w:b/>
              </w:rPr>
            </w:pPr>
            <w:r>
              <w:rPr>
                <w:b/>
              </w:rPr>
              <w:t>Ziņotājs</w:t>
            </w:r>
          </w:p>
          <w:p w:rsidRPr="009B70E7" w:rsidR="003C3F66" w:rsidP="00D31DE5" w:rsidRDefault="00FA0D13" w14:paraId="69B39965" w14:textId="742D1B22">
            <w:pPr>
              <w:pStyle w:val="ListParagraph"/>
              <w:ind w:left="0"/>
              <w:rPr>
                <w:b/>
              </w:rPr>
            </w:pPr>
            <w:r>
              <w:rPr>
                <w:b/>
              </w:rPr>
              <w:t>Līdzziņotāja</w:t>
            </w:r>
          </w:p>
        </w:tc>
        <w:tc>
          <w:tcPr>
            <w:tcW w:w="6096" w:type="dxa"/>
          </w:tcPr>
          <w:p w:rsidR="003C3F66" w:rsidP="00D31DE5" w:rsidRDefault="003C3F66" w14:paraId="14045996" w14:textId="77777777">
            <w:pPr>
              <w:pStyle w:val="ListParagraph"/>
              <w:ind w:left="-108"/>
            </w:pPr>
            <w:r>
              <w:t>Andrej ZORKO (Darba ņēmēju grupa – SL)</w:t>
            </w:r>
          </w:p>
          <w:p w:rsidR="00FA0D13" w:rsidP="00D31DE5" w:rsidRDefault="00FA0D13" w14:paraId="04DFE918" w14:textId="26143EC1">
            <w:pPr>
              <w:pStyle w:val="ListParagraph"/>
              <w:ind w:left="-108"/>
            </w:pPr>
            <w:r>
              <w:t>Janica YLIKARJULA (Darba devēju grupa – FI)</w:t>
            </w:r>
          </w:p>
          <w:p w:rsidRPr="007E7A4F" w:rsidR="00FA0D13" w:rsidP="00D31DE5" w:rsidRDefault="00FA0D13" w14:paraId="2A10B6FF" w14:textId="05ED8A51">
            <w:pPr>
              <w:pStyle w:val="ListParagraph"/>
              <w:ind w:left="-108"/>
              <w:rPr>
                <w:lang w:val="fr-BE"/>
              </w:rPr>
            </w:pPr>
          </w:p>
        </w:tc>
      </w:tr>
      <w:tr w:rsidRPr="009B70E7" w:rsidR="003C3F66" w:rsidTr="00D31DE5" w14:paraId="02F9DDE0" w14:textId="77777777">
        <w:tc>
          <w:tcPr>
            <w:tcW w:w="1701" w:type="dxa"/>
          </w:tcPr>
          <w:p w:rsidRPr="009B70E7" w:rsidR="003C3F66" w:rsidP="00D31DE5" w:rsidRDefault="003C3F66" w14:paraId="53BD3D21" w14:textId="436102AE">
            <w:pPr>
              <w:pStyle w:val="ListParagraph"/>
              <w:ind w:left="0"/>
              <w:rPr>
                <w:b/>
              </w:rPr>
            </w:pPr>
            <w:r>
              <w:rPr>
                <w:b/>
              </w:rPr>
              <w:t xml:space="preserve">Atsauces </w:t>
            </w:r>
          </w:p>
        </w:tc>
        <w:tc>
          <w:tcPr>
            <w:tcW w:w="6096" w:type="dxa"/>
          </w:tcPr>
          <w:p w:rsidRPr="009B70E7" w:rsidR="003C3F66" w:rsidP="00D31DE5" w:rsidRDefault="003C3F66" w14:paraId="1DDF0BC2" w14:textId="6016D817">
            <w:pPr>
              <w:tabs>
                <w:tab w:val="center" w:pos="284"/>
              </w:tabs>
              <w:ind w:left="266" w:hanging="374"/>
            </w:pPr>
            <w:r>
              <w:t xml:space="preserve">COM(2022) 459 - 461 - 462 </w:t>
            </w:r>
            <w:proofErr w:type="spellStart"/>
            <w:r>
              <w:t>final</w:t>
            </w:r>
            <w:proofErr w:type="spellEnd"/>
          </w:p>
          <w:p w:rsidRPr="009B70E7" w:rsidR="003C3F66" w:rsidP="00D31DE5" w:rsidRDefault="003C3F66" w14:paraId="10D2D31E" w14:textId="3D48F03A">
            <w:pPr>
              <w:pStyle w:val="ListParagraph"/>
              <w:ind w:left="-108"/>
            </w:pPr>
            <w:r>
              <w:t>EESC-2022-04098-00-00-AC</w:t>
            </w:r>
          </w:p>
        </w:tc>
      </w:tr>
    </w:tbl>
    <w:p w:rsidRPr="009B70E7" w:rsidR="003C3F66" w:rsidP="003C3F66" w:rsidRDefault="003C3F66" w14:paraId="46C181CA" w14:textId="77777777">
      <w:pPr>
        <w:pStyle w:val="ListParagraph"/>
        <w:ind w:left="0"/>
        <w:rPr>
          <w:b/>
        </w:rPr>
      </w:pPr>
    </w:p>
    <w:p w:rsidRPr="00A00F37" w:rsidR="003C3F66" w:rsidP="00FA0D13" w:rsidRDefault="00D31DE5" w14:paraId="089CEAB2" w14:textId="69464E13">
      <w:pPr>
        <w:pStyle w:val="ListParagraph"/>
        <w:spacing w:line="240" w:lineRule="auto"/>
        <w:ind w:left="0"/>
        <w:rPr>
          <w:b/>
        </w:rPr>
      </w:pPr>
      <w:r>
        <w:rPr>
          <w:b/>
          <w:bCs/>
        </w:rPr>
        <w:t>Galvenās nostādnes</w:t>
      </w:r>
    </w:p>
    <w:p w:rsidRPr="0018231C" w:rsidR="003C3F66" w:rsidP="003C3F66" w:rsidRDefault="003C3F66" w14:paraId="06E45DA6" w14:textId="77777777">
      <w:pPr>
        <w:pStyle w:val="ListParagraph"/>
        <w:ind w:left="0"/>
        <w:rPr>
          <w:lang w:val="fr-FR"/>
        </w:rPr>
      </w:pPr>
    </w:p>
    <w:p w:rsidR="003C3F66" w:rsidP="00FA0D13" w:rsidRDefault="003C3F66" w14:paraId="01E95883" w14:textId="77777777">
      <w:pPr>
        <w:pStyle w:val="ListParagraph"/>
        <w:ind w:left="0"/>
      </w:pPr>
      <w:r>
        <w:t>EESK:</w:t>
      </w:r>
    </w:p>
    <w:p w:rsidR="003C3F66" w:rsidP="003C3F66" w:rsidRDefault="003C3F66" w14:paraId="7F8BCF5D" w14:textId="77777777">
      <w:pPr>
        <w:rPr>
          <w:bCs/>
          <w:iCs/>
        </w:rPr>
      </w:pPr>
    </w:p>
    <w:p w:rsidRPr="00A3344B" w:rsidR="003C3F66" w:rsidP="003C3F66" w:rsidRDefault="003C3F66" w14:paraId="33187A24" w14:textId="77D6A5D2">
      <w:pPr>
        <w:numPr>
          <w:ilvl w:val="0"/>
          <w:numId w:val="3"/>
        </w:numPr>
        <w:overflowPunct w:val="0"/>
        <w:autoSpaceDE w:val="0"/>
        <w:autoSpaceDN w:val="0"/>
        <w:adjustRightInd w:val="0"/>
        <w:ind w:left="357" w:hanging="357"/>
        <w:textAlignment w:val="baseline"/>
      </w:pPr>
      <w:r>
        <w:t xml:space="preserve">atbalsta Komisijas mērķi izveidot Vienotā tirgus ārkārtas instrumentu (turpmāk – VTĀI), lai cīnītos pret turpmākām krīzēm, kas varētu ietekmēt vienotā tirgus un tā uzņēmumu darbību, kā arī ES iedzīvotāju labklājību. </w:t>
      </w:r>
      <w:r>
        <w:rPr>
          <w:b/>
        </w:rPr>
        <w:t>Labāka administratīvā sadarbība un pārredzamības pasākumi attiecībā uz dalībvalstīm ir būtiski</w:t>
      </w:r>
      <w:r>
        <w:t>, taču EESK pauž nožēlu, ka nav paredzētas nekādas sekas gadījumā, ja dalībvalstis neievēro prasības;</w:t>
      </w:r>
    </w:p>
    <w:p w:rsidRPr="00A3344B" w:rsidR="003C3F66" w:rsidP="003C3F66" w:rsidRDefault="003C3F66" w14:paraId="4D128707" w14:textId="0DB3CE7F">
      <w:pPr>
        <w:numPr>
          <w:ilvl w:val="0"/>
          <w:numId w:val="3"/>
        </w:numPr>
        <w:overflowPunct w:val="0"/>
        <w:autoSpaceDE w:val="0"/>
        <w:autoSpaceDN w:val="0"/>
        <w:adjustRightInd w:val="0"/>
        <w:ind w:left="357" w:hanging="357"/>
        <w:textAlignment w:val="baseline"/>
      </w:pPr>
      <w:r>
        <w:t xml:space="preserve">uzskata, ka galvenokārt </w:t>
      </w:r>
      <w:r>
        <w:rPr>
          <w:b/>
        </w:rPr>
        <w:t>būtu jākoncentrējas uz preču un pakalpojumu brīvu apriti un personu brīvu pārvietošanos krīzes laikā un uz krīzes ietekmes uz cilvēku labklājību mazināšanu</w:t>
      </w:r>
      <w:r>
        <w:t>, nevis uz pasākumiem preču un pakalpojumu ražošanas un nodrošināšanas jomā un attiecībā uz to piegādes ķēdēm;</w:t>
      </w:r>
    </w:p>
    <w:p w:rsidRPr="00A3344B" w:rsidR="003C3F66" w:rsidP="003C3F66" w:rsidRDefault="003C3F66" w14:paraId="5AD2EA1D" w14:textId="25DEC249">
      <w:pPr>
        <w:numPr>
          <w:ilvl w:val="0"/>
          <w:numId w:val="3"/>
        </w:numPr>
        <w:overflowPunct w:val="0"/>
        <w:autoSpaceDE w:val="0"/>
        <w:autoSpaceDN w:val="0"/>
        <w:adjustRightInd w:val="0"/>
        <w:ind w:left="357" w:hanging="357"/>
        <w:textAlignment w:val="baseline"/>
      </w:pPr>
      <w:r>
        <w:t xml:space="preserve">uzskata, ka </w:t>
      </w:r>
      <w:r>
        <w:rPr>
          <w:b/>
        </w:rPr>
        <w:t>jēdzienu “krīze”, “stratēģiski svarīgas jomas”, “stratēģiskas nozīmes preces un pakalpojumi” un “krīzei nozīmīgas preces un pakalpojumi” definīcijas ir pārāk neskaidras</w:t>
      </w:r>
      <w:r>
        <w:t>, lai kliedētu šīs bažas, un iesaka Komisijai tos definēt precīzāk;</w:t>
      </w:r>
    </w:p>
    <w:p w:rsidRPr="00E63571" w:rsidR="003C3F66" w:rsidP="003C3F66" w:rsidRDefault="003C3F66" w14:paraId="1B194D6D" w14:textId="2E2261DD">
      <w:pPr>
        <w:numPr>
          <w:ilvl w:val="0"/>
          <w:numId w:val="3"/>
        </w:numPr>
        <w:overflowPunct w:val="0"/>
        <w:autoSpaceDE w:val="0"/>
        <w:autoSpaceDN w:val="0"/>
        <w:adjustRightInd w:val="0"/>
        <w:ind w:left="357" w:hanging="357"/>
        <w:textAlignment w:val="baseline"/>
      </w:pPr>
      <w:r>
        <w:t xml:space="preserve">uzskata, ka </w:t>
      </w:r>
      <w:r>
        <w:rPr>
          <w:b/>
        </w:rPr>
        <w:t>ārkārtas pasākumi nedrīkstētu būt pretrunā Eiropas pilsoņu pamattiesībām, un šo tiesību, tostarp tiesību streikot</w:t>
      </w:r>
      <w:r>
        <w:t>, īstenošana nevienā nozarē nedrīkstētu izraisīt reakciju uz krīzi. Komisijai būtu skaidri jānorāda, ka, ja streiks vai cita kolektīva rīcība notiek saskaņā ar valsts tiesību aktiem, tā nav krīze VTĀI izpratnē. Tāpat attiecībā uz uzņēmumiem visiem krīzes mazināšanas pasākumiem ir jāatbilst nepieciešamības un proporcionalitātes principiem, bet priekšlikumā tas nav noteikts;</w:t>
      </w:r>
    </w:p>
    <w:p w:rsidR="003C3F66" w:rsidP="003C3F66" w:rsidRDefault="003C3F66" w14:paraId="34BC1ED9" w14:textId="3AA27218">
      <w:pPr>
        <w:numPr>
          <w:ilvl w:val="0"/>
          <w:numId w:val="3"/>
        </w:numPr>
        <w:overflowPunct w:val="0"/>
        <w:autoSpaceDE w:val="0"/>
        <w:autoSpaceDN w:val="0"/>
        <w:adjustRightInd w:val="0"/>
        <w:ind w:left="357" w:hanging="357"/>
        <w:textAlignment w:val="baseline"/>
      </w:pPr>
      <w:r>
        <w:t xml:space="preserve">uzskata, ka ārkārtas situācijā ir vajadzīga ātra un efektīva reakcija. Tāpēc EESK </w:t>
      </w:r>
      <w:r>
        <w:rPr>
          <w:b/>
        </w:rPr>
        <w:t>iesaka Komisijai pārskatīt priekšlikumu, lai nodrošinātu pienācīgi ātru un efektīvu pieeju krīzes pārvarēšanai</w:t>
      </w:r>
      <w:r>
        <w:t>. EESK pauž bažas, ka ierosināto pakāpenisko pieeju varētu pārāk apgrūtināt administratīvie šķēršļi, tāpēc tā var nebūt efektīva;</w:t>
      </w:r>
    </w:p>
    <w:p w:rsidR="001F773D" w:rsidP="001F773D" w:rsidRDefault="003C3F66" w14:paraId="7D2A1724" w14:textId="0DFF005B">
      <w:pPr>
        <w:numPr>
          <w:ilvl w:val="0"/>
          <w:numId w:val="3"/>
        </w:numPr>
        <w:overflowPunct w:val="0"/>
        <w:autoSpaceDE w:val="0"/>
        <w:autoSpaceDN w:val="0"/>
        <w:adjustRightInd w:val="0"/>
        <w:ind w:left="357" w:hanging="357"/>
        <w:textAlignment w:val="baseline"/>
      </w:pPr>
      <w:r>
        <w:rPr>
          <w:b/>
        </w:rPr>
        <w:t>ierosina VTĀI padomdevējā grupā kā novērotājus iekļaut sociālo partneru un attiecīgas pilsoniskās sabiedrības organizācijas pārstāvjus</w:t>
      </w:r>
      <w:r>
        <w:t>;</w:t>
      </w:r>
    </w:p>
    <w:p w:rsidRPr="00A3344B" w:rsidR="003C3F66" w:rsidP="003C3F66" w:rsidRDefault="003C3F66" w14:paraId="57CAB2E7" w14:textId="088A1F55">
      <w:pPr>
        <w:numPr>
          <w:ilvl w:val="0"/>
          <w:numId w:val="3"/>
        </w:numPr>
        <w:overflowPunct w:val="0"/>
        <w:autoSpaceDE w:val="0"/>
        <w:autoSpaceDN w:val="0"/>
        <w:adjustRightInd w:val="0"/>
        <w:ind w:left="357" w:hanging="357"/>
        <w:textAlignment w:val="baseline"/>
      </w:pPr>
      <w:r>
        <w:t xml:space="preserve">uzskata, ka </w:t>
      </w:r>
      <w:r>
        <w:rPr>
          <w:b/>
        </w:rPr>
        <w:t>pastāv risks, ka intervences pilnvaras, kas Komisijai piešķirtas ar priekšlikumu</w:t>
      </w:r>
      <w:r>
        <w:t xml:space="preserve">, piemēram, pasūtījumu prioritārās secības noteikšana un līguma atcelšanas klauzula, kas var būt vērsta uz konkrētiem uzņēmumiem, </w:t>
      </w:r>
      <w:r>
        <w:rPr>
          <w:b/>
        </w:rPr>
        <w:t>varētu kaitēt vienotā tirgus darbībai</w:t>
      </w:r>
      <w:r>
        <w:t>. To esamība vien ievieš neprognozējamības elementu. Tāpēc EESK iesaka Komisijai rūpīgi pārskatīt priekšlikumu, ņemot vērā arī jautājumu par to, kuriem uzņēmumiem būtu jāpievēršas un kas segtu ražošanas līniju iespējamās reorganizācijas izmaksas.</w:t>
      </w:r>
    </w:p>
    <w:p w:rsidRPr="009A3E0E" w:rsidR="00467BE4" w:rsidP="003C3F66" w:rsidRDefault="00467BE4" w14:paraId="1F70B7A1" w14:textId="77777777">
      <w:pPr>
        <w:spacing w:after="160" w:line="259" w:lineRule="auto"/>
        <w:jc w:val="left"/>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32"/>
        <w:gridCol w:w="5670"/>
      </w:tblGrid>
      <w:tr w:rsidRPr="00164813" w:rsidR="003C3F66" w:rsidTr="00D31DE5" w14:paraId="4AFBCCBD" w14:textId="77777777">
        <w:tc>
          <w:tcPr>
            <w:tcW w:w="1418" w:type="dxa"/>
          </w:tcPr>
          <w:p w:rsidRPr="00164813" w:rsidR="003C3F66" w:rsidP="00D31DE5" w:rsidRDefault="003C3F66" w14:paraId="6ADDE769" w14:textId="77BD46C9">
            <w:pPr>
              <w:contextualSpacing/>
              <w:rPr>
                <w:i/>
              </w:rPr>
            </w:pPr>
            <w:r>
              <w:rPr>
                <w:b/>
                <w:i/>
              </w:rPr>
              <w:t>Kontaktpersona:</w:t>
            </w:r>
          </w:p>
        </w:tc>
        <w:tc>
          <w:tcPr>
            <w:tcW w:w="5670" w:type="dxa"/>
          </w:tcPr>
          <w:p w:rsidRPr="00164813" w:rsidR="003C3F66" w:rsidP="00D31DE5" w:rsidRDefault="003C3F66" w14:paraId="5E03986F" w14:textId="70CD25D9">
            <w:pPr>
              <w:contextualSpacing/>
              <w:rPr>
                <w:i/>
              </w:rPr>
            </w:pPr>
            <w:proofErr w:type="spellStart"/>
            <w:r>
              <w:rPr>
                <w:i/>
              </w:rPr>
              <w:t>Dalila</w:t>
            </w:r>
            <w:proofErr w:type="spellEnd"/>
            <w:r>
              <w:rPr>
                <w:i/>
              </w:rPr>
              <w:t xml:space="preserve"> Bernard</w:t>
            </w:r>
          </w:p>
        </w:tc>
      </w:tr>
      <w:tr w:rsidRPr="00164813" w:rsidR="003C3F66" w:rsidTr="00D31DE5" w14:paraId="223D52EE" w14:textId="77777777">
        <w:tc>
          <w:tcPr>
            <w:tcW w:w="1418" w:type="dxa"/>
          </w:tcPr>
          <w:p w:rsidRPr="00164813" w:rsidR="003C3F66" w:rsidP="00D31DE5" w:rsidRDefault="003C3F66" w14:paraId="38EA5683" w14:textId="42E574C3">
            <w:pPr>
              <w:ind w:left="601"/>
              <w:contextualSpacing/>
              <w:rPr>
                <w:i/>
              </w:rPr>
            </w:pPr>
            <w:r>
              <w:rPr>
                <w:i/>
              </w:rPr>
              <w:t>Tālr.:</w:t>
            </w:r>
          </w:p>
        </w:tc>
        <w:tc>
          <w:tcPr>
            <w:tcW w:w="5670" w:type="dxa"/>
          </w:tcPr>
          <w:p w:rsidRPr="00164813" w:rsidR="003C3F66" w:rsidP="00D31DE5" w:rsidRDefault="003C3F66" w14:paraId="1105AFFE" w14:textId="5F21B00C">
            <w:pPr>
              <w:contextualSpacing/>
              <w:rPr>
                <w:i/>
              </w:rPr>
            </w:pPr>
            <w:r>
              <w:rPr>
                <w:i/>
              </w:rPr>
              <w:t>00 32 2 546 84 38</w:t>
            </w:r>
          </w:p>
        </w:tc>
      </w:tr>
      <w:tr w:rsidRPr="00164813" w:rsidR="003C3F66" w:rsidTr="00D31DE5" w14:paraId="65FB0787" w14:textId="77777777">
        <w:tc>
          <w:tcPr>
            <w:tcW w:w="1418" w:type="dxa"/>
          </w:tcPr>
          <w:p w:rsidRPr="00164813" w:rsidR="003C3F66" w:rsidP="00D31DE5" w:rsidRDefault="003C3F66" w14:paraId="25A33C05" w14:textId="4E8AEE51">
            <w:pPr>
              <w:ind w:left="601"/>
              <w:contextualSpacing/>
              <w:rPr>
                <w:i/>
              </w:rPr>
            </w:pPr>
            <w:r>
              <w:rPr>
                <w:i/>
              </w:rPr>
              <w:t>E-pasts:</w:t>
            </w:r>
          </w:p>
        </w:tc>
        <w:tc>
          <w:tcPr>
            <w:tcW w:w="5670" w:type="dxa"/>
          </w:tcPr>
          <w:p w:rsidRPr="00164813" w:rsidR="003C3F66" w:rsidP="009A3E0E" w:rsidRDefault="00D31DE5" w14:paraId="284479A2" w14:textId="5EBE8A9F">
            <w:pPr>
              <w:contextualSpacing/>
              <w:rPr>
                <w:i/>
              </w:rPr>
            </w:pPr>
            <w:hyperlink w:history="1" r:id="rId32">
              <w:r w:rsidR="008D0A46">
                <w:rPr>
                  <w:rStyle w:val="Hyperlink"/>
                  <w:i/>
                </w:rPr>
                <w:t>Dalila.Bernard@eesc.europa.eu</w:t>
              </w:r>
            </w:hyperlink>
          </w:p>
        </w:tc>
      </w:tr>
    </w:tbl>
    <w:p w:rsidR="009A3E0E" w:rsidRDefault="009A3E0E" w14:paraId="4488C3DC" w14:textId="77777777">
      <w:pPr>
        <w:spacing w:after="160" w:line="259" w:lineRule="auto"/>
        <w:jc w:val="left"/>
        <w:rPr>
          <w:b/>
          <w:bCs/>
          <w:i/>
          <w:iCs/>
          <w:sz w:val="28"/>
          <w:szCs w:val="28"/>
        </w:rPr>
      </w:pPr>
      <w:r>
        <w:br w:type="page"/>
      </w:r>
    </w:p>
    <w:p w:rsidRPr="00AA5C1D" w:rsidR="003C3F66" w:rsidP="003C3F66" w:rsidRDefault="003C3F66" w14:paraId="0546D75B" w14:textId="457BF937">
      <w:pPr>
        <w:pStyle w:val="ListParagraph"/>
        <w:numPr>
          <w:ilvl w:val="0"/>
          <w:numId w:val="2"/>
        </w:numPr>
        <w:ind w:left="567" w:hanging="567"/>
        <w:rPr>
          <w:b/>
          <w:bCs/>
          <w:i/>
          <w:iCs/>
          <w:sz w:val="28"/>
          <w:szCs w:val="28"/>
        </w:rPr>
      </w:pPr>
      <w:proofErr w:type="spellStart"/>
      <w:r>
        <w:rPr>
          <w:b/>
          <w:i/>
          <w:sz w:val="28"/>
        </w:rPr>
        <w:lastRenderedPageBreak/>
        <w:t>Kibernoturības</w:t>
      </w:r>
      <w:proofErr w:type="spellEnd"/>
      <w:r>
        <w:rPr>
          <w:b/>
          <w:i/>
          <w:sz w:val="28"/>
        </w:rPr>
        <w:t xml:space="preserve"> akts</w:t>
      </w:r>
    </w:p>
    <w:p w:rsidR="003C3F66" w:rsidP="003C3F66" w:rsidRDefault="003C3F66" w14:paraId="09C076EF" w14:textId="7274026C">
      <w:pPr>
        <w:pStyle w:val="ListParagraph"/>
        <w:ind w:left="0"/>
      </w:pPr>
    </w:p>
    <w:tbl>
      <w:tblPr>
        <w:tblStyle w:val="TableGrid1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345"/>
      </w:tblGrid>
      <w:tr w:rsidR="00FA0D13" w:rsidTr="00232EBB" w14:paraId="0BE286E0" w14:textId="77777777">
        <w:tc>
          <w:tcPr>
            <w:tcW w:w="1701" w:type="dxa"/>
          </w:tcPr>
          <w:p w:rsidRPr="00A81AFE" w:rsidR="00FA0D13" w:rsidP="00D31DE5" w:rsidRDefault="00FA0D13" w14:paraId="6B77F7C7" w14:textId="77777777">
            <w:pPr>
              <w:pStyle w:val="ListParagraph"/>
              <w:ind w:left="0"/>
              <w:rPr>
                <w:b/>
              </w:rPr>
            </w:pPr>
            <w:r>
              <w:rPr>
                <w:b/>
              </w:rPr>
              <w:t>Ziņotājs</w:t>
            </w:r>
          </w:p>
        </w:tc>
        <w:tc>
          <w:tcPr>
            <w:tcW w:w="6345" w:type="dxa"/>
          </w:tcPr>
          <w:p w:rsidR="00FA0D13" w:rsidP="00D31DE5" w:rsidRDefault="00FA0D13" w14:paraId="74696F5F" w14:textId="0E9E9AE4">
            <w:pPr>
              <w:pStyle w:val="ListParagraph"/>
              <w:ind w:left="0"/>
            </w:pPr>
            <w:proofErr w:type="spellStart"/>
            <w:r>
              <w:t>Maurizio</w:t>
            </w:r>
            <w:proofErr w:type="spellEnd"/>
            <w:r>
              <w:t xml:space="preserve"> MENSI (Pilsoniskās sabiedrības organizāciju grupa — IT)</w:t>
            </w:r>
          </w:p>
        </w:tc>
      </w:tr>
      <w:tr w:rsidR="00FA0D13" w:rsidTr="00232EBB" w14:paraId="02CF7425" w14:textId="77777777">
        <w:tc>
          <w:tcPr>
            <w:tcW w:w="1701" w:type="dxa"/>
          </w:tcPr>
          <w:p w:rsidRPr="00A81AFE" w:rsidR="00FA0D13" w:rsidP="00D31DE5" w:rsidRDefault="00FA0D13" w14:paraId="0C5D007E" w14:textId="77777777">
            <w:pPr>
              <w:pStyle w:val="ListParagraph"/>
              <w:ind w:left="0"/>
              <w:rPr>
                <w:b/>
              </w:rPr>
            </w:pPr>
            <w:r>
              <w:rPr>
                <w:b/>
              </w:rPr>
              <w:t>Līdzziņotājs</w:t>
            </w:r>
          </w:p>
        </w:tc>
        <w:tc>
          <w:tcPr>
            <w:tcW w:w="6345" w:type="dxa"/>
          </w:tcPr>
          <w:p w:rsidR="00FA0D13" w:rsidP="00D31DE5" w:rsidRDefault="00FA0D13" w14:paraId="4CA58BE0" w14:textId="77777777">
            <w:pPr>
              <w:pStyle w:val="ListParagraph"/>
              <w:ind w:left="0"/>
            </w:pPr>
            <w:proofErr w:type="spellStart"/>
            <w:r>
              <w:t>Marinel</w:t>
            </w:r>
            <w:proofErr w:type="spellEnd"/>
            <w:r>
              <w:t xml:space="preserve"> </w:t>
            </w:r>
            <w:proofErr w:type="spellStart"/>
            <w:r>
              <w:t>Dănuț</w:t>
            </w:r>
            <w:proofErr w:type="spellEnd"/>
            <w:r>
              <w:t xml:space="preserve"> MUREŞAN (Darba devēju grupa – RO)</w:t>
            </w:r>
          </w:p>
          <w:p w:rsidR="00FA0D13" w:rsidP="00D31DE5" w:rsidRDefault="00FA0D13" w14:paraId="66E88F54" w14:textId="17239F5E">
            <w:pPr>
              <w:pStyle w:val="ListParagraph"/>
              <w:ind w:left="0"/>
            </w:pPr>
          </w:p>
        </w:tc>
      </w:tr>
    </w:tbl>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9B70E7" w:rsidR="003C3F66" w:rsidTr="009A3E0E" w14:paraId="671FEF78" w14:textId="77777777">
        <w:tc>
          <w:tcPr>
            <w:tcW w:w="1701" w:type="dxa"/>
          </w:tcPr>
          <w:p w:rsidRPr="009B70E7" w:rsidR="003C3F66" w:rsidP="00D31DE5" w:rsidRDefault="003C3F66" w14:paraId="5BAB671B" w14:textId="706A7D9E">
            <w:pPr>
              <w:pStyle w:val="ListParagraph"/>
              <w:ind w:left="0"/>
              <w:rPr>
                <w:b/>
              </w:rPr>
            </w:pPr>
            <w:r>
              <w:rPr>
                <w:b/>
              </w:rPr>
              <w:t xml:space="preserve">Atsauces </w:t>
            </w:r>
          </w:p>
        </w:tc>
        <w:tc>
          <w:tcPr>
            <w:tcW w:w="5387" w:type="dxa"/>
          </w:tcPr>
          <w:p w:rsidRPr="009B70E7" w:rsidR="003C3F66" w:rsidP="00FA0D13" w:rsidRDefault="003C3F66" w14:paraId="599F6507" w14:textId="2A5FF632">
            <w:pPr>
              <w:pStyle w:val="ListParagraph"/>
              <w:ind w:left="0"/>
            </w:pPr>
            <w:r>
              <w:t xml:space="preserve">COM(2022) 454 </w:t>
            </w:r>
            <w:proofErr w:type="spellStart"/>
            <w:r>
              <w:t>final</w:t>
            </w:r>
            <w:proofErr w:type="spellEnd"/>
          </w:p>
          <w:p w:rsidRPr="009B70E7" w:rsidR="003C3F66" w:rsidP="00FA0D13" w:rsidRDefault="003C3F66" w14:paraId="52F39ECD" w14:textId="6D09BD59">
            <w:pPr>
              <w:pStyle w:val="ListParagraph"/>
              <w:ind w:left="0"/>
            </w:pPr>
            <w:r>
              <w:t>EESC-2022-04103-00-00-AC</w:t>
            </w:r>
          </w:p>
        </w:tc>
      </w:tr>
    </w:tbl>
    <w:p w:rsidRPr="009B70E7" w:rsidR="003C3F66" w:rsidP="003C3F66" w:rsidRDefault="003C3F66" w14:paraId="4F32B5FF" w14:textId="77777777">
      <w:pPr>
        <w:pStyle w:val="ListParagraph"/>
        <w:ind w:left="0"/>
        <w:rPr>
          <w:b/>
        </w:rPr>
      </w:pPr>
    </w:p>
    <w:p w:rsidRPr="00A00F37" w:rsidR="003C3F66" w:rsidP="00FA0D13" w:rsidRDefault="00D31DE5" w14:paraId="677CC496" w14:textId="7A1AE069">
      <w:pPr>
        <w:pStyle w:val="ListParagraph"/>
        <w:spacing w:line="240" w:lineRule="auto"/>
        <w:ind w:left="0"/>
        <w:rPr>
          <w:b/>
        </w:rPr>
      </w:pPr>
      <w:r>
        <w:rPr>
          <w:b/>
          <w:bCs/>
        </w:rPr>
        <w:t>Galvenās nostādnes</w:t>
      </w:r>
    </w:p>
    <w:p w:rsidRPr="0018231C" w:rsidR="003C3F66" w:rsidP="003C3F66" w:rsidRDefault="003C3F66" w14:paraId="388E9D3D" w14:textId="77777777">
      <w:pPr>
        <w:pStyle w:val="ListParagraph"/>
        <w:ind w:left="0"/>
        <w:rPr>
          <w:lang w:val="fr-FR"/>
        </w:rPr>
      </w:pPr>
    </w:p>
    <w:p w:rsidR="003C3F66" w:rsidP="00FA0D13" w:rsidRDefault="003C3F66" w14:paraId="5232F278" w14:textId="77777777">
      <w:pPr>
        <w:pStyle w:val="ListParagraph"/>
        <w:ind w:left="0"/>
      </w:pPr>
      <w:r>
        <w:t>EESK:</w:t>
      </w:r>
    </w:p>
    <w:p w:rsidRPr="0018231C" w:rsidR="003C3F66" w:rsidP="003C3F66" w:rsidRDefault="003C3F66" w14:paraId="078CC01C" w14:textId="77777777">
      <w:pPr>
        <w:pStyle w:val="ListParagraph"/>
        <w:ind w:left="0"/>
        <w:rPr>
          <w:lang w:val="fr-FR"/>
        </w:rPr>
      </w:pPr>
    </w:p>
    <w:p w:rsidRPr="00A3344B" w:rsidR="003C3F66" w:rsidP="003C3F66" w:rsidRDefault="003C3F66" w14:paraId="0BF6870C" w14:textId="3C297F4A">
      <w:pPr>
        <w:numPr>
          <w:ilvl w:val="0"/>
          <w:numId w:val="3"/>
        </w:numPr>
        <w:overflowPunct w:val="0"/>
        <w:autoSpaceDE w:val="0"/>
        <w:autoSpaceDN w:val="0"/>
        <w:adjustRightInd w:val="0"/>
        <w:ind w:left="357" w:hanging="357"/>
        <w:textAlignment w:val="baseline"/>
      </w:pPr>
      <w:r>
        <w:t xml:space="preserve">uzskata, ka ir svarīgi </w:t>
      </w:r>
      <w:r>
        <w:rPr>
          <w:b/>
        </w:rPr>
        <w:t>pastiprināt kolektīvo atbildi uz kiberuzbrukumiem un konsolidēt kiberdrošības</w:t>
      </w:r>
      <w:r>
        <w:t xml:space="preserve"> </w:t>
      </w:r>
      <w:r>
        <w:rPr>
          <w:b/>
        </w:rPr>
        <w:t>jautājumu saskaņošanas procesu</w:t>
      </w:r>
      <w:r>
        <w:t xml:space="preserve"> valstu līmenī attiecībā uz darbības noteikumiem un instrumentiem, lai nepieļautu, ka atšķirīgas valstu pieejas rada juridisku nenoteiktību un šķēršļus;</w:t>
      </w:r>
    </w:p>
    <w:p w:rsidRPr="00A3344B" w:rsidR="003C3F66" w:rsidP="003C3F66" w:rsidRDefault="003C3F66" w14:paraId="0BA78299" w14:textId="1D13FF61">
      <w:pPr>
        <w:numPr>
          <w:ilvl w:val="0"/>
          <w:numId w:val="3"/>
        </w:numPr>
        <w:overflowPunct w:val="0"/>
        <w:autoSpaceDE w:val="0"/>
        <w:autoSpaceDN w:val="0"/>
        <w:adjustRightInd w:val="0"/>
        <w:ind w:left="357" w:hanging="357"/>
        <w:textAlignment w:val="baseline"/>
      </w:pPr>
      <w:r>
        <w:t xml:space="preserve">vēlas uzsvērt: lai gan, no vienas puses, ir apsveicami, ka </w:t>
      </w:r>
      <w:proofErr w:type="spellStart"/>
      <w:r>
        <w:t>Kibernoturības</w:t>
      </w:r>
      <w:proofErr w:type="spellEnd"/>
      <w:r>
        <w:t xml:space="preserve"> akts (KNA) aptver gandrīz visus digitālos produktus, no otras puses, </w:t>
      </w:r>
      <w:r>
        <w:rPr>
          <w:b/>
        </w:rPr>
        <w:t>tā praktiskā piemērošana varētu būt problemātiska</w:t>
      </w:r>
      <w:r>
        <w:t>, ņemot vērā ar to saistīto ievērojamo un sarežģīto uzraudzību un kontroli;</w:t>
      </w:r>
    </w:p>
    <w:p w:rsidR="003C3F66" w:rsidP="003C3F66" w:rsidRDefault="003C3F66" w14:paraId="3449D3A4" w14:textId="3BC8B9BB">
      <w:pPr>
        <w:numPr>
          <w:ilvl w:val="0"/>
          <w:numId w:val="3"/>
        </w:numPr>
        <w:overflowPunct w:val="0"/>
        <w:autoSpaceDE w:val="0"/>
        <w:autoSpaceDN w:val="0"/>
        <w:adjustRightInd w:val="0"/>
        <w:ind w:left="357" w:hanging="357"/>
        <w:textAlignment w:val="baseline"/>
      </w:pPr>
      <w:r>
        <w:t xml:space="preserve">norāda, ka ir </w:t>
      </w:r>
      <w:r>
        <w:rPr>
          <w:b/>
        </w:rPr>
        <w:t>precīzi jānosaka KNA materiālās piemērošanas joma</w:t>
      </w:r>
      <w:r>
        <w:t>, īpaši attiecībā uz produktiem ar digitāliem elementiem un programmatūru;</w:t>
      </w:r>
    </w:p>
    <w:p w:rsidRPr="00E63571" w:rsidR="003C3F66" w:rsidP="003C3F66" w:rsidRDefault="003C3F66" w14:paraId="0F490CED" w14:textId="1CA6E165">
      <w:pPr>
        <w:numPr>
          <w:ilvl w:val="0"/>
          <w:numId w:val="3"/>
        </w:numPr>
        <w:overflowPunct w:val="0"/>
        <w:autoSpaceDE w:val="0"/>
        <w:autoSpaceDN w:val="0"/>
        <w:adjustRightInd w:val="0"/>
        <w:ind w:left="357" w:hanging="357"/>
        <w:textAlignment w:val="baseline"/>
      </w:pPr>
      <w:r>
        <w:t xml:space="preserve">norāda uz nepieciešamību </w:t>
      </w:r>
      <w:r>
        <w:rPr>
          <w:b/>
        </w:rPr>
        <w:t>precizēt kritērijus, ko piemēro sertifikācijas iestāžu sniegtajiem pakalpojumiem</w:t>
      </w:r>
      <w:r>
        <w:t>, lai ņemtu vērā MVU īpašās vajadzības;</w:t>
      </w:r>
    </w:p>
    <w:p w:rsidR="003C3F66" w:rsidP="003C3F66" w:rsidRDefault="003C3F66" w14:paraId="0081AB7B" w14:textId="527548A6">
      <w:pPr>
        <w:numPr>
          <w:ilvl w:val="0"/>
          <w:numId w:val="3"/>
        </w:numPr>
        <w:overflowPunct w:val="0"/>
        <w:autoSpaceDE w:val="0"/>
        <w:autoSpaceDN w:val="0"/>
        <w:adjustRightInd w:val="0"/>
        <w:ind w:left="357" w:hanging="357"/>
        <w:textAlignment w:val="baseline"/>
      </w:pPr>
      <w:r>
        <w:t xml:space="preserve">norāda, ka ražotājiem būs pienākums ziņot, pirmkārt, par produktu ievainojamībām un, otrkārt, par eventuālajiem drošības incidentiem, informējot Eiropas Savienības Kiberdrošības aģentūru (ENISA). Šajā sakarā </w:t>
      </w:r>
      <w:r>
        <w:rPr>
          <w:b/>
        </w:rPr>
        <w:t>svarīgi ir minētajai aģentūrai piešķirt nepieciešamos resursus</w:t>
      </w:r>
      <w:r>
        <w:t xml:space="preserve">, kas ļautu precīzi un efektīvi veikt tai uzticētos svarīgos un </w:t>
      </w:r>
      <w:proofErr w:type="spellStart"/>
      <w:r>
        <w:t>sensitīvos</w:t>
      </w:r>
      <w:proofErr w:type="spellEnd"/>
      <w:r>
        <w:t xml:space="preserve"> uzdevumus;</w:t>
      </w:r>
    </w:p>
    <w:p w:rsidR="003C3F66" w:rsidP="003C3F66" w:rsidRDefault="003C3F66" w14:paraId="099C36D3" w14:textId="6C1D7DD7">
      <w:pPr>
        <w:numPr>
          <w:ilvl w:val="0"/>
          <w:numId w:val="3"/>
        </w:numPr>
        <w:overflowPunct w:val="0"/>
        <w:autoSpaceDE w:val="0"/>
        <w:autoSpaceDN w:val="0"/>
        <w:adjustRightInd w:val="0"/>
        <w:ind w:left="357" w:hanging="357"/>
        <w:textAlignment w:val="baseline"/>
      </w:pPr>
      <w:r>
        <w:t xml:space="preserve">iesaka Komisijai izstrādāt atbilstīgas </w:t>
      </w:r>
      <w:r>
        <w:rPr>
          <w:b/>
        </w:rPr>
        <w:t>vadlīnijas, kas ražotājiem un patērētājiem</w:t>
      </w:r>
      <w:r>
        <w:t xml:space="preserve"> ļautu orientēties uz praksē piemērojamajiem noteikumiem un procedūrām, lai izvairītos no nenoteiktības attiecībā uz šā tiesību akta priekšlikuma interpretāciju salīdzinājumā ar citiem tiesību aktiem kiberdrošības jomā;</w:t>
      </w:r>
    </w:p>
    <w:p w:rsidR="003C3F66" w:rsidP="003C3F66" w:rsidRDefault="003C3F66" w14:paraId="7483899A" w14:textId="3E647D3F">
      <w:pPr>
        <w:numPr>
          <w:ilvl w:val="0"/>
          <w:numId w:val="3"/>
        </w:numPr>
        <w:overflowPunct w:val="0"/>
        <w:autoSpaceDE w:val="0"/>
        <w:autoSpaceDN w:val="0"/>
        <w:adjustRightInd w:val="0"/>
        <w:ind w:left="357" w:hanging="357"/>
        <w:textAlignment w:val="baseline"/>
      </w:pPr>
      <w:r>
        <w:t xml:space="preserve">atzīmē, ka nav pilnīgi skaidras </w:t>
      </w:r>
      <w:r>
        <w:rPr>
          <w:b/>
        </w:rPr>
        <w:t>attiecības</w:t>
      </w:r>
      <w:r>
        <w:t xml:space="preserve"> starp </w:t>
      </w:r>
      <w:r>
        <w:rPr>
          <w:b/>
        </w:rPr>
        <w:t>sertifikācijas iestādēm KNA izpratnē</w:t>
      </w:r>
      <w:r>
        <w:t xml:space="preserve"> un </w:t>
      </w:r>
      <w:r>
        <w:rPr>
          <w:b/>
        </w:rPr>
        <w:t>citām struktūrām</w:t>
      </w:r>
      <w:r>
        <w:t xml:space="preserve">, kas ir pilnvarotas sertificēt kiberdrošību saskaņā ar citiem tiesību aktiem, kā arī starp izskatāmajā priekšlikumā paredzētajām </w:t>
      </w:r>
      <w:r>
        <w:rPr>
          <w:b/>
        </w:rPr>
        <w:t>uzraudzības iestādēm</w:t>
      </w:r>
      <w:r>
        <w:t xml:space="preserve"> un </w:t>
      </w:r>
      <w:r>
        <w:rPr>
          <w:b/>
        </w:rPr>
        <w:t>tām iestādēm</w:t>
      </w:r>
      <w:r>
        <w:t xml:space="preserve">, kas jau </w:t>
      </w:r>
      <w:r>
        <w:rPr>
          <w:b/>
        </w:rPr>
        <w:t>darbojas</w:t>
      </w:r>
      <w:r>
        <w:t xml:space="preserve"> saskaņā ar citiem tiesību aktiem, kurus piemēro tiem pašiem produktiem.</w:t>
      </w:r>
    </w:p>
    <w:p w:rsidRPr="00A3344B" w:rsidR="009A3E0E" w:rsidP="00120215" w:rsidRDefault="009A3E0E" w14:paraId="3025A351" w14:textId="77777777">
      <w:pPr>
        <w:overflowPunct w:val="0"/>
        <w:autoSpaceDE w:val="0"/>
        <w:autoSpaceDN w:val="0"/>
        <w:adjustRightInd w:val="0"/>
        <w:ind w:left="357"/>
        <w:textAlignment w:val="baseline"/>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32"/>
        <w:gridCol w:w="5670"/>
      </w:tblGrid>
      <w:tr w:rsidRPr="00164813" w:rsidR="009A3E0E" w:rsidTr="00D31DE5" w14:paraId="7F01C2F7" w14:textId="77777777">
        <w:tc>
          <w:tcPr>
            <w:tcW w:w="1418" w:type="dxa"/>
          </w:tcPr>
          <w:p w:rsidRPr="00164813" w:rsidR="009A3E0E" w:rsidP="00D31DE5" w:rsidRDefault="009A3E0E" w14:paraId="469DB50B" w14:textId="03FBC83D">
            <w:pPr>
              <w:contextualSpacing/>
              <w:rPr>
                <w:i/>
              </w:rPr>
            </w:pPr>
            <w:r>
              <w:rPr>
                <w:b/>
                <w:i/>
              </w:rPr>
              <w:t>Kontaktpersona:</w:t>
            </w:r>
          </w:p>
        </w:tc>
        <w:tc>
          <w:tcPr>
            <w:tcW w:w="5670" w:type="dxa"/>
          </w:tcPr>
          <w:p w:rsidRPr="00164813" w:rsidR="009A3E0E" w:rsidP="00D31DE5" w:rsidRDefault="009A3E0E" w14:paraId="2B372E8E" w14:textId="77777777">
            <w:pPr>
              <w:contextualSpacing/>
              <w:rPr>
                <w:i/>
              </w:rPr>
            </w:pPr>
            <w:r>
              <w:rPr>
                <w:i/>
              </w:rPr>
              <w:t xml:space="preserve">Marco </w:t>
            </w:r>
            <w:proofErr w:type="spellStart"/>
            <w:r>
              <w:rPr>
                <w:i/>
              </w:rPr>
              <w:t>Manfroni</w:t>
            </w:r>
            <w:proofErr w:type="spellEnd"/>
          </w:p>
        </w:tc>
      </w:tr>
      <w:tr w:rsidRPr="00164813" w:rsidR="009A3E0E" w:rsidTr="00D31DE5" w14:paraId="3552A3D9" w14:textId="77777777">
        <w:tc>
          <w:tcPr>
            <w:tcW w:w="1418" w:type="dxa"/>
          </w:tcPr>
          <w:p w:rsidR="009A3E0E" w:rsidP="00D31DE5" w:rsidRDefault="009A3E0E" w14:paraId="01A18594" w14:textId="6D3D713F">
            <w:pPr>
              <w:ind w:left="601"/>
              <w:contextualSpacing/>
              <w:rPr>
                <w:i/>
              </w:rPr>
            </w:pPr>
            <w:r>
              <w:rPr>
                <w:i/>
              </w:rPr>
              <w:t>Tālr.:</w:t>
            </w:r>
          </w:p>
          <w:p w:rsidRPr="00164813" w:rsidR="009A3E0E" w:rsidP="00D31DE5" w:rsidRDefault="009A3E0E" w14:paraId="2C8E3E62" w14:textId="692E7AB7">
            <w:pPr>
              <w:ind w:left="601"/>
              <w:contextualSpacing/>
              <w:rPr>
                <w:i/>
              </w:rPr>
            </w:pPr>
            <w:r>
              <w:rPr>
                <w:i/>
              </w:rPr>
              <w:t>E-pasts:</w:t>
            </w:r>
          </w:p>
        </w:tc>
        <w:tc>
          <w:tcPr>
            <w:tcW w:w="5670" w:type="dxa"/>
          </w:tcPr>
          <w:p w:rsidR="009A3E0E" w:rsidP="00D31DE5" w:rsidRDefault="009A3E0E" w14:paraId="67FBF13E" w14:textId="77777777">
            <w:pPr>
              <w:contextualSpacing/>
              <w:rPr>
                <w:i/>
              </w:rPr>
            </w:pPr>
            <w:r>
              <w:rPr>
                <w:i/>
              </w:rPr>
              <w:t>00 32 2 546 91 40</w:t>
            </w:r>
          </w:p>
          <w:p w:rsidRPr="00164813" w:rsidR="009A3E0E" w:rsidP="00D31DE5" w:rsidRDefault="00D31DE5" w14:paraId="4762D358" w14:textId="77777777">
            <w:pPr>
              <w:contextualSpacing/>
              <w:jc w:val="left"/>
              <w:rPr>
                <w:i/>
              </w:rPr>
            </w:pPr>
            <w:hyperlink w:history="1" r:id="rId33">
              <w:r w:rsidR="008D0A46">
                <w:rPr>
                  <w:rStyle w:val="Hyperlink"/>
                  <w:i/>
                </w:rPr>
                <w:t>Marco.Manfroni@eesc.europa.eu</w:t>
              </w:r>
            </w:hyperlink>
          </w:p>
        </w:tc>
      </w:tr>
    </w:tbl>
    <w:p w:rsidR="009A3E0E" w:rsidP="003C3F66" w:rsidRDefault="009A3E0E" w14:paraId="7542D566" w14:textId="435871D4">
      <w:pPr>
        <w:spacing w:after="160" w:line="259" w:lineRule="auto"/>
        <w:jc w:val="left"/>
      </w:pPr>
    </w:p>
    <w:p w:rsidR="009A3E0E" w:rsidRDefault="009A3E0E" w14:paraId="3313A1BE" w14:textId="77777777">
      <w:pPr>
        <w:spacing w:after="160" w:line="259" w:lineRule="auto"/>
        <w:jc w:val="left"/>
      </w:pPr>
      <w:r>
        <w:br w:type="page"/>
      </w:r>
    </w:p>
    <w:p w:rsidRPr="00AA5C1D" w:rsidR="00B2754C" w:rsidP="00B2754C" w:rsidRDefault="00B2754C" w14:paraId="4272CB88" w14:textId="08D8669A">
      <w:pPr>
        <w:pStyle w:val="ListParagraph"/>
        <w:numPr>
          <w:ilvl w:val="0"/>
          <w:numId w:val="2"/>
        </w:numPr>
        <w:ind w:left="567" w:hanging="567"/>
        <w:rPr>
          <w:b/>
          <w:bCs/>
          <w:i/>
          <w:iCs/>
          <w:sz w:val="28"/>
          <w:szCs w:val="28"/>
        </w:rPr>
      </w:pPr>
      <w:r>
        <w:rPr>
          <w:b/>
          <w:i/>
          <w:sz w:val="28"/>
        </w:rPr>
        <w:lastRenderedPageBreak/>
        <w:t xml:space="preserve">Konkurētspējas pārbaude </w:t>
      </w:r>
    </w:p>
    <w:p w:rsidRPr="009B70E7" w:rsidR="00B2754C" w:rsidP="00B2754C" w:rsidRDefault="00B2754C" w14:paraId="48F6EF61" w14:textId="77777777">
      <w:pPr>
        <w:pStyle w:val="ListParagraph"/>
        <w:ind w:left="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7E7A4F" w:rsidR="00B2754C" w:rsidTr="00D31DE5" w14:paraId="0E34E96F" w14:textId="77777777">
        <w:tc>
          <w:tcPr>
            <w:tcW w:w="1701" w:type="dxa"/>
          </w:tcPr>
          <w:p w:rsidRPr="009B70E7" w:rsidR="00B2754C" w:rsidP="00D31DE5" w:rsidRDefault="00B2754C" w14:paraId="444A4750" w14:textId="1AE953D4">
            <w:pPr>
              <w:pStyle w:val="ListParagraph"/>
              <w:ind w:left="0"/>
              <w:rPr>
                <w:b/>
              </w:rPr>
            </w:pPr>
            <w:r>
              <w:rPr>
                <w:b/>
              </w:rPr>
              <w:t>Ziņotājs</w:t>
            </w:r>
          </w:p>
        </w:tc>
        <w:tc>
          <w:tcPr>
            <w:tcW w:w="6096" w:type="dxa"/>
          </w:tcPr>
          <w:p w:rsidRPr="00FD3EB9" w:rsidR="00FD3EB9" w:rsidP="00D31DE5" w:rsidRDefault="00B2754C" w14:paraId="709E9131" w14:textId="4BFED03C">
            <w:pPr>
              <w:pStyle w:val="ListParagraph"/>
              <w:ind w:left="-108"/>
            </w:pPr>
            <w:r>
              <w:t>Christian ARDHE (Darba devēju grupa – SE)</w:t>
            </w:r>
          </w:p>
        </w:tc>
      </w:tr>
    </w:tbl>
    <w:tbl>
      <w:tblPr>
        <w:tblStyle w:val="TableGrid1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629"/>
      </w:tblGrid>
      <w:tr w:rsidR="00FD3EB9" w:rsidTr="00232EBB" w14:paraId="718B344C" w14:textId="77777777">
        <w:tc>
          <w:tcPr>
            <w:tcW w:w="1701" w:type="dxa"/>
          </w:tcPr>
          <w:p w:rsidRPr="00A81AFE" w:rsidR="00FD3EB9" w:rsidP="00D31DE5" w:rsidRDefault="00FD3EB9" w14:paraId="371533B9" w14:textId="77777777">
            <w:pPr>
              <w:pStyle w:val="ListParagraph"/>
              <w:ind w:left="0"/>
              <w:rPr>
                <w:b/>
              </w:rPr>
            </w:pPr>
            <w:r>
              <w:rPr>
                <w:b/>
              </w:rPr>
              <w:t>Līdzziņotājs</w:t>
            </w:r>
          </w:p>
        </w:tc>
        <w:tc>
          <w:tcPr>
            <w:tcW w:w="6629" w:type="dxa"/>
          </w:tcPr>
          <w:p w:rsidR="00FD3EB9" w:rsidP="00FD3EB9" w:rsidRDefault="00232EBB" w14:paraId="2D180D70" w14:textId="70BAF677">
            <w:pPr>
              <w:pStyle w:val="ListParagraph"/>
              <w:ind w:left="-108"/>
            </w:pPr>
            <w:proofErr w:type="spellStart"/>
            <w:r>
              <w:t>Giuseppe</w:t>
            </w:r>
            <w:proofErr w:type="spellEnd"/>
            <w:r>
              <w:t xml:space="preserve"> GUERINI</w:t>
            </w:r>
            <w:r w:rsidR="00FD3EB9">
              <w:t xml:space="preserve"> (Pilsoniskās sabiedrības organizāciju grupa – IT)</w:t>
            </w:r>
          </w:p>
          <w:p w:rsidR="00FD3EB9" w:rsidP="00FD3EB9" w:rsidRDefault="00FD3EB9" w14:paraId="436E1793" w14:textId="09877820">
            <w:pPr>
              <w:pStyle w:val="ListParagraph"/>
              <w:ind w:left="0" w:right="-527"/>
            </w:pPr>
          </w:p>
        </w:tc>
      </w:tr>
    </w:tbl>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9B70E7" w:rsidR="00B2754C" w:rsidTr="00D31DE5" w14:paraId="1EE111F1" w14:textId="77777777">
        <w:tc>
          <w:tcPr>
            <w:tcW w:w="1701" w:type="dxa"/>
          </w:tcPr>
          <w:p w:rsidRPr="009B70E7" w:rsidR="00B2754C" w:rsidP="00D31DE5" w:rsidRDefault="00B2754C" w14:paraId="435783ED" w14:textId="3F86BC8E">
            <w:pPr>
              <w:pStyle w:val="ListParagraph"/>
              <w:ind w:left="0"/>
              <w:rPr>
                <w:b/>
              </w:rPr>
            </w:pPr>
            <w:r>
              <w:rPr>
                <w:b/>
              </w:rPr>
              <w:t xml:space="preserve">Atsauces </w:t>
            </w:r>
          </w:p>
        </w:tc>
        <w:tc>
          <w:tcPr>
            <w:tcW w:w="6096" w:type="dxa"/>
          </w:tcPr>
          <w:p w:rsidRPr="009B70E7" w:rsidR="00B2754C" w:rsidP="00D31DE5" w:rsidRDefault="00B2754C" w14:paraId="0F6CFCBC" w14:textId="540062EB">
            <w:pPr>
              <w:tabs>
                <w:tab w:val="center" w:pos="284"/>
              </w:tabs>
              <w:ind w:left="266" w:hanging="374"/>
            </w:pPr>
            <w:r>
              <w:t>Izpētes atzinums pēc Čehijas prezidentūras pieprasījuma</w:t>
            </w:r>
          </w:p>
          <w:p w:rsidRPr="009B70E7" w:rsidR="00B2754C" w:rsidP="00D31DE5" w:rsidRDefault="00B2754C" w14:paraId="63285F68" w14:textId="04AC01EA">
            <w:pPr>
              <w:pStyle w:val="ListParagraph"/>
              <w:ind w:left="-108"/>
            </w:pPr>
            <w:r>
              <w:t>EESC-2022-03972-00-00-AC</w:t>
            </w:r>
          </w:p>
        </w:tc>
      </w:tr>
    </w:tbl>
    <w:p w:rsidRPr="009B70E7" w:rsidR="00B2754C" w:rsidP="00B2754C" w:rsidRDefault="00B2754C" w14:paraId="3B7A1960" w14:textId="77777777">
      <w:pPr>
        <w:pStyle w:val="ListParagraph"/>
        <w:ind w:left="0"/>
        <w:rPr>
          <w:b/>
        </w:rPr>
      </w:pPr>
    </w:p>
    <w:p w:rsidRPr="00A00F37" w:rsidR="00B2754C" w:rsidP="00FA0D13" w:rsidRDefault="00D31DE5" w14:paraId="562C5503" w14:textId="37CB60B5">
      <w:pPr>
        <w:pStyle w:val="ListParagraph"/>
        <w:spacing w:line="240" w:lineRule="auto"/>
        <w:ind w:left="0"/>
        <w:rPr>
          <w:b/>
        </w:rPr>
      </w:pPr>
      <w:r>
        <w:rPr>
          <w:b/>
          <w:bCs/>
        </w:rPr>
        <w:t>Galvenās nostādnes</w:t>
      </w:r>
    </w:p>
    <w:p w:rsidRPr="0018231C" w:rsidR="00B2754C" w:rsidP="00B2754C" w:rsidRDefault="00B2754C" w14:paraId="7DC62575" w14:textId="77777777">
      <w:pPr>
        <w:pStyle w:val="ListParagraph"/>
        <w:ind w:left="0"/>
        <w:rPr>
          <w:lang w:val="fr-FR"/>
        </w:rPr>
      </w:pPr>
    </w:p>
    <w:p w:rsidR="00B2754C" w:rsidP="00FA0D13" w:rsidRDefault="00B2754C" w14:paraId="359803BF" w14:textId="77777777">
      <w:pPr>
        <w:pStyle w:val="ListParagraph"/>
        <w:ind w:left="0"/>
      </w:pPr>
      <w:r>
        <w:t>EESK:</w:t>
      </w:r>
    </w:p>
    <w:p w:rsidR="00B2754C" w:rsidP="00B2754C" w:rsidRDefault="00B2754C" w14:paraId="2D6B8A35" w14:textId="77777777">
      <w:pPr>
        <w:rPr>
          <w:bCs/>
          <w:iCs/>
        </w:rPr>
      </w:pPr>
    </w:p>
    <w:p w:rsidRPr="00A3344B" w:rsidR="00B2754C" w:rsidP="00B2754C" w:rsidRDefault="00B339AC" w14:paraId="11A1E933" w14:textId="7409751B">
      <w:pPr>
        <w:numPr>
          <w:ilvl w:val="0"/>
          <w:numId w:val="3"/>
        </w:numPr>
        <w:overflowPunct w:val="0"/>
        <w:autoSpaceDE w:val="0"/>
        <w:autoSpaceDN w:val="0"/>
        <w:adjustRightInd w:val="0"/>
        <w:ind w:left="357" w:hanging="357"/>
        <w:textAlignment w:val="baseline"/>
      </w:pPr>
      <w:r>
        <w:t xml:space="preserve">atzīst, ka vienotais tirgus un ES sociālā tirgus ekonomika ir ES lielākā vērtība centienos panākt ekonomikas izaugsmi un sociālo labklājību. Tāpēc </w:t>
      </w:r>
      <w:r>
        <w:rPr>
          <w:b/>
        </w:rPr>
        <w:t>EESK aicina veikt konkurētspējas pārbaudi, lai atbalstītu uzņēmējdarbību, darbvietu radīšanu un darba apstākļu uzlabošanu</w:t>
      </w:r>
      <w:r>
        <w:t>, kā arī ilgtspējīgu ekonomikas izaugsmi un sociālo kohēziju;</w:t>
      </w:r>
    </w:p>
    <w:p w:rsidRPr="00A3344B" w:rsidR="00B339AC" w:rsidP="00B339AC" w:rsidRDefault="00B339AC" w14:paraId="0B7C0A1E" w14:textId="142B446D">
      <w:pPr>
        <w:numPr>
          <w:ilvl w:val="0"/>
          <w:numId w:val="3"/>
        </w:numPr>
        <w:overflowPunct w:val="0"/>
        <w:autoSpaceDE w:val="0"/>
        <w:autoSpaceDN w:val="0"/>
        <w:adjustRightInd w:val="0"/>
        <w:ind w:left="357" w:hanging="357"/>
        <w:textAlignment w:val="baseline"/>
      </w:pPr>
      <w:r>
        <w:t xml:space="preserve">uzsver, ka </w:t>
      </w:r>
      <w:r>
        <w:rPr>
          <w:b/>
        </w:rPr>
        <w:t xml:space="preserve">konkurētspējas pārbaudei vajadzētu būt svarīgai līdzsvarota ES lēmumu pieņemšanas procesa sastāvdaļai </w:t>
      </w:r>
      <w:r>
        <w:t>un tā būtu jāizmanto visos ES politikas veidošanas un likumdošanas procesos. Tai būtu jāaptver likumdošanas iniciatīvas, sekundārie tiesību akti, fiskālie pasākumi, stratēģijas un programmas, kā arī starptautiski nolīgumi;</w:t>
      </w:r>
    </w:p>
    <w:p w:rsidR="00B2754C" w:rsidP="00B2754C" w:rsidRDefault="00B339AC" w14:paraId="4287A78F" w14:textId="04ED738A">
      <w:pPr>
        <w:numPr>
          <w:ilvl w:val="0"/>
          <w:numId w:val="3"/>
        </w:numPr>
        <w:overflowPunct w:val="0"/>
        <w:autoSpaceDE w:val="0"/>
        <w:autoSpaceDN w:val="0"/>
        <w:adjustRightInd w:val="0"/>
        <w:ind w:left="357" w:hanging="357"/>
        <w:textAlignment w:val="baseline"/>
      </w:pPr>
      <w:r>
        <w:t xml:space="preserve">uzskata, ka </w:t>
      </w:r>
      <w:r>
        <w:rPr>
          <w:b/>
        </w:rPr>
        <w:t>ir ļoti svarīgi nodrošināt, ka ietekmes uz konkurētspēju novērtējums ir obligāts, efektīvs un tiek pilnībā īstenots katrā lēmumu pieņemšanas procesa posmā</w:t>
      </w:r>
      <w:r>
        <w:t>. EESK atzinīgi vērtē spēkā esošās labāka regulējuma pamatnostādnes un instrumentu kopumu, taču norāda, ka nav noliedzama nepieciešamība veikt uzlabojumus, īpaši instrumentu izmantošanas procesā (to uzsvērusi arī Regulējuma kontroles padome);</w:t>
      </w:r>
    </w:p>
    <w:p w:rsidR="00B339AC" w:rsidP="00B2754C" w:rsidRDefault="00B339AC" w14:paraId="24761D72" w14:textId="27E88AF2">
      <w:pPr>
        <w:numPr>
          <w:ilvl w:val="0"/>
          <w:numId w:val="3"/>
        </w:numPr>
        <w:overflowPunct w:val="0"/>
        <w:autoSpaceDE w:val="0"/>
        <w:autoSpaceDN w:val="0"/>
        <w:adjustRightInd w:val="0"/>
        <w:ind w:left="357" w:hanging="357"/>
        <w:textAlignment w:val="baseline"/>
      </w:pPr>
      <w:r>
        <w:t xml:space="preserve">aicina Komisiju sagatavot arī </w:t>
      </w:r>
      <w:r>
        <w:rPr>
          <w:b/>
        </w:rPr>
        <w:t>īpašu konkurētspējas programmu</w:t>
      </w:r>
      <w:r>
        <w:t>, kuras galvenais ilgtermiņa mērķis būtu paaugstināt ES konkurētspēju;</w:t>
      </w:r>
    </w:p>
    <w:p w:rsidRPr="00A3344B" w:rsidR="00B339AC" w:rsidP="00B2754C" w:rsidRDefault="00B339AC" w14:paraId="1F27230F" w14:textId="39A1E83C">
      <w:pPr>
        <w:numPr>
          <w:ilvl w:val="0"/>
          <w:numId w:val="3"/>
        </w:numPr>
        <w:overflowPunct w:val="0"/>
        <w:autoSpaceDE w:val="0"/>
        <w:autoSpaceDN w:val="0"/>
        <w:adjustRightInd w:val="0"/>
        <w:ind w:left="357" w:hanging="357"/>
        <w:textAlignment w:val="baseline"/>
      </w:pPr>
      <w:r>
        <w:t xml:space="preserve">uzskata, </w:t>
      </w:r>
      <w:r>
        <w:rPr>
          <w:b/>
        </w:rPr>
        <w:t>ka konkurētspējas programma būtu jābalsta uz ES sociālo tirgus ekonomiku</w:t>
      </w:r>
      <w:r>
        <w:t>, un uzsvars jāliek uz tādiem pamatjautājumiem kā vienotais tirgus un ārējā tirdzniecība, ieguldījumi un piekļuve finansējumam, nodokļu sistēmas, pētniecība un inovācija, prasmes un darba tirgus, kā arī mikrouzņēmumi, mazie un vidējie uzņēmumi (MMVU) un divējādā pārkārtošanās. Vienlaikus uzmanība jāpievērš ilgtspējīgai finansēšanas sistēmai, kurā konkurētspējas aspekti ir saskanīgi ar sociālajiem un vides aizsardzības mērķiem.</w:t>
      </w:r>
    </w:p>
    <w:p w:rsidRPr="00120215" w:rsidR="00B2754C" w:rsidP="00B2754C" w:rsidRDefault="00B2754C" w14:paraId="6933E85F" w14:textId="77777777">
      <w:pPr>
        <w:spacing w:after="160" w:line="259" w:lineRule="auto"/>
        <w:jc w:val="left"/>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32"/>
        <w:gridCol w:w="5670"/>
      </w:tblGrid>
      <w:tr w:rsidRPr="00164813" w:rsidR="00B2754C" w:rsidTr="00D31DE5" w14:paraId="43ED3D5C" w14:textId="77777777">
        <w:tc>
          <w:tcPr>
            <w:tcW w:w="1418" w:type="dxa"/>
          </w:tcPr>
          <w:p w:rsidRPr="00164813" w:rsidR="00B2754C" w:rsidP="00D31DE5" w:rsidRDefault="00B2754C" w14:paraId="07667309" w14:textId="5291B910">
            <w:pPr>
              <w:contextualSpacing/>
              <w:rPr>
                <w:i/>
              </w:rPr>
            </w:pPr>
            <w:r>
              <w:rPr>
                <w:b/>
                <w:i/>
              </w:rPr>
              <w:t>Kontaktpersona:</w:t>
            </w:r>
          </w:p>
        </w:tc>
        <w:tc>
          <w:tcPr>
            <w:tcW w:w="5670" w:type="dxa"/>
          </w:tcPr>
          <w:p w:rsidRPr="00164813" w:rsidR="00B2754C" w:rsidP="00D31DE5" w:rsidRDefault="00B2754C" w14:paraId="0057D0AD" w14:textId="77777777">
            <w:pPr>
              <w:contextualSpacing/>
              <w:rPr>
                <w:i/>
              </w:rPr>
            </w:pPr>
            <w:proofErr w:type="spellStart"/>
            <w:r>
              <w:rPr>
                <w:i/>
              </w:rPr>
              <w:t>Dalila</w:t>
            </w:r>
            <w:proofErr w:type="spellEnd"/>
            <w:r>
              <w:rPr>
                <w:i/>
              </w:rPr>
              <w:t xml:space="preserve"> Bernard</w:t>
            </w:r>
          </w:p>
        </w:tc>
      </w:tr>
      <w:tr w:rsidRPr="00164813" w:rsidR="00B2754C" w:rsidTr="00D31DE5" w14:paraId="6FFF6FBF" w14:textId="77777777">
        <w:tc>
          <w:tcPr>
            <w:tcW w:w="1418" w:type="dxa"/>
          </w:tcPr>
          <w:p w:rsidRPr="00164813" w:rsidR="00B2754C" w:rsidP="00D31DE5" w:rsidRDefault="00B2754C" w14:paraId="7F57DB52" w14:textId="3B756DE9">
            <w:pPr>
              <w:ind w:left="601"/>
              <w:contextualSpacing/>
              <w:rPr>
                <w:i/>
              </w:rPr>
            </w:pPr>
            <w:r>
              <w:rPr>
                <w:i/>
              </w:rPr>
              <w:t>Tālr.:</w:t>
            </w:r>
          </w:p>
        </w:tc>
        <w:tc>
          <w:tcPr>
            <w:tcW w:w="5670" w:type="dxa"/>
          </w:tcPr>
          <w:p w:rsidRPr="00164813" w:rsidR="00B2754C" w:rsidP="00D31DE5" w:rsidRDefault="00B2754C" w14:paraId="6885CC67" w14:textId="77777777">
            <w:pPr>
              <w:contextualSpacing/>
              <w:rPr>
                <w:i/>
              </w:rPr>
            </w:pPr>
            <w:r>
              <w:rPr>
                <w:i/>
              </w:rPr>
              <w:t>00 32 2 546 84 38</w:t>
            </w:r>
          </w:p>
        </w:tc>
      </w:tr>
      <w:tr w:rsidRPr="00164813" w:rsidR="00B2754C" w:rsidTr="00D31DE5" w14:paraId="4267A81E" w14:textId="77777777">
        <w:tc>
          <w:tcPr>
            <w:tcW w:w="1418" w:type="dxa"/>
          </w:tcPr>
          <w:p w:rsidRPr="00164813" w:rsidR="00B2754C" w:rsidP="00D31DE5" w:rsidRDefault="00B2754C" w14:paraId="356ED48B" w14:textId="230647FB">
            <w:pPr>
              <w:ind w:left="601"/>
              <w:contextualSpacing/>
              <w:rPr>
                <w:i/>
              </w:rPr>
            </w:pPr>
            <w:r>
              <w:rPr>
                <w:i/>
              </w:rPr>
              <w:t>E-pasts:</w:t>
            </w:r>
          </w:p>
        </w:tc>
        <w:tc>
          <w:tcPr>
            <w:tcW w:w="5670" w:type="dxa"/>
          </w:tcPr>
          <w:p w:rsidRPr="00FA0183" w:rsidR="00B2754C" w:rsidP="00D31DE5" w:rsidRDefault="00D31DE5" w14:paraId="77DCB089" w14:textId="77777777">
            <w:pPr>
              <w:contextualSpacing/>
              <w:rPr>
                <w:i/>
                <w:iCs/>
                <w:u w:val="single"/>
              </w:rPr>
            </w:pPr>
            <w:hyperlink w:history="1" r:id="rId34">
              <w:r w:rsidR="008D0A46">
                <w:rPr>
                  <w:rStyle w:val="Hyperlink"/>
                  <w:i/>
                </w:rPr>
                <w:t>Dalila.Bernard@eesc.europa.eu</w:t>
              </w:r>
            </w:hyperlink>
          </w:p>
          <w:p w:rsidRPr="00164813" w:rsidR="00B2754C" w:rsidP="00D31DE5" w:rsidRDefault="00B2754C" w14:paraId="6343FDAC" w14:textId="77777777">
            <w:pPr>
              <w:contextualSpacing/>
              <w:rPr>
                <w:i/>
              </w:rPr>
            </w:pPr>
          </w:p>
        </w:tc>
      </w:tr>
    </w:tbl>
    <w:p w:rsidRPr="00A10A98" w:rsidR="005D55F5" w:rsidRDefault="00467BE4" w14:paraId="37E69EA5" w14:textId="79A18294">
      <w:pPr>
        <w:spacing w:after="160" w:line="259" w:lineRule="auto"/>
        <w:jc w:val="left"/>
        <w:rPr>
          <w:sz w:val="28"/>
        </w:rPr>
      </w:pPr>
      <w:r>
        <w:br w:type="page"/>
      </w:r>
    </w:p>
    <w:p w:rsidRPr="009B70E7" w:rsidR="002E01B5" w:rsidP="0018231C" w:rsidRDefault="004D7AC0" w14:paraId="6C52985F" w14:textId="77777777">
      <w:pPr>
        <w:pStyle w:val="Heading1"/>
        <w:keepNext/>
        <w:rPr>
          <w:b/>
        </w:rPr>
      </w:pPr>
      <w:bookmarkStart w:name="_Toc70322234" w:id="6"/>
      <w:bookmarkStart w:name="_Toc75527084" w:id="7"/>
      <w:bookmarkStart w:name="_Toc124779039" w:id="8"/>
      <w:r>
        <w:rPr>
          <w:b/>
        </w:rPr>
        <w:lastRenderedPageBreak/>
        <w:t>LAUKSAIMNIECĪBA, LAUKU ATTĪSTĪBA UN VIDE</w:t>
      </w:r>
      <w:bookmarkEnd w:id="6"/>
      <w:bookmarkEnd w:id="7"/>
      <w:bookmarkEnd w:id="8"/>
    </w:p>
    <w:p w:rsidRPr="009B70E7" w:rsidR="009173E7" w:rsidP="1EBA916B" w:rsidRDefault="009173E7" w14:paraId="37AC66EE" w14:textId="77777777">
      <w:pPr>
        <w:keepNext/>
      </w:pPr>
    </w:p>
    <w:p w:rsidRPr="009B70E7" w:rsidR="00AC7690" w:rsidP="0018231C" w:rsidRDefault="00D979E8" w14:paraId="6BF57A05" w14:textId="04B46200">
      <w:pPr>
        <w:pStyle w:val="ListParagraph"/>
        <w:keepNext/>
        <w:numPr>
          <w:ilvl w:val="0"/>
          <w:numId w:val="2"/>
        </w:numPr>
        <w:ind w:left="567" w:hanging="567"/>
        <w:rPr>
          <w:b/>
          <w:i/>
          <w:sz w:val="28"/>
          <w:szCs w:val="28"/>
        </w:rPr>
      </w:pPr>
      <w:r>
        <w:rPr>
          <w:b/>
          <w:i/>
          <w:sz w:val="28"/>
        </w:rPr>
        <w:t xml:space="preserve">Iespēju paplašināšana jauniešiem, lai ar izglītību panāktu ilgtspējīgu attīstību | Eiropas Ekonomikas un sociālo lietu komiteja </w:t>
      </w:r>
    </w:p>
    <w:p w:rsidRPr="009B70E7" w:rsidR="004D7AC0" w:rsidP="0018231C" w:rsidRDefault="004D7AC0" w14:paraId="43570F8C" w14:textId="77777777">
      <w:pPr>
        <w:pStyle w:val="ListParagraph"/>
        <w:keepNext/>
        <w:ind w:left="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9B70E7" w:rsidR="004D7AC0" w:rsidTr="00662436" w14:paraId="32C9FAF0" w14:textId="77777777">
        <w:tc>
          <w:tcPr>
            <w:tcW w:w="1701" w:type="dxa"/>
          </w:tcPr>
          <w:p w:rsidRPr="009B70E7" w:rsidR="004D7AC0" w:rsidP="0018231C" w:rsidRDefault="004D7AC0" w14:paraId="7DFC3FE7" w14:textId="014FFCAB">
            <w:pPr>
              <w:pStyle w:val="ListParagraph"/>
              <w:keepNext/>
              <w:ind w:left="0"/>
              <w:rPr>
                <w:b/>
              </w:rPr>
            </w:pPr>
            <w:r>
              <w:rPr>
                <w:b/>
              </w:rPr>
              <w:t>Ziņotāja</w:t>
            </w:r>
          </w:p>
        </w:tc>
        <w:tc>
          <w:tcPr>
            <w:tcW w:w="5387" w:type="dxa"/>
          </w:tcPr>
          <w:p w:rsidRPr="009B70E7" w:rsidR="004D7AC0" w:rsidP="001C4EDC" w:rsidRDefault="00D979E8" w14:paraId="512C7D26" w14:textId="6B809584">
            <w:pPr>
              <w:pStyle w:val="ListParagraph"/>
              <w:keepNext/>
              <w:ind w:left="-106"/>
            </w:pPr>
            <w:r>
              <w:t>Tatjana BABRAUSKIENĖ (Darba ņēmēju grupa – LT)</w:t>
            </w:r>
          </w:p>
        </w:tc>
      </w:tr>
      <w:tr w:rsidRPr="009B70E7" w:rsidR="0005110E" w:rsidTr="00662436" w14:paraId="37A4E77C" w14:textId="77777777">
        <w:tc>
          <w:tcPr>
            <w:tcW w:w="1701" w:type="dxa"/>
          </w:tcPr>
          <w:p w:rsidRPr="007B231B" w:rsidR="0005110E" w:rsidP="0005110E" w:rsidRDefault="0005110E" w14:paraId="648A1766" w14:textId="4D70EE33">
            <w:pPr>
              <w:pStyle w:val="ListParagraph"/>
              <w:keepNext/>
              <w:ind w:left="0"/>
              <w:rPr>
                <w:b/>
              </w:rPr>
            </w:pPr>
          </w:p>
        </w:tc>
        <w:tc>
          <w:tcPr>
            <w:tcW w:w="5387" w:type="dxa"/>
          </w:tcPr>
          <w:p w:rsidRPr="00E54548" w:rsidR="0005110E" w:rsidP="0005110E" w:rsidRDefault="0005110E" w14:paraId="30DA0956" w14:textId="65B72FEF">
            <w:pPr>
              <w:pStyle w:val="ListParagraph"/>
              <w:keepNext/>
              <w:ind w:left="-106"/>
              <w:rPr>
                <w:highlight w:val="yellow"/>
              </w:rPr>
            </w:pPr>
          </w:p>
        </w:tc>
      </w:tr>
    </w:tbl>
    <w:tbl>
      <w:tblPr>
        <w:tblStyle w:val="TableGrid7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032038" w:rsidR="0005110E" w:rsidTr="009A3E0E" w14:paraId="2F855FDD" w14:textId="77777777">
        <w:tc>
          <w:tcPr>
            <w:tcW w:w="1701" w:type="dxa"/>
          </w:tcPr>
          <w:p w:rsidRPr="00032038" w:rsidR="0005110E" w:rsidP="00D31DE5" w:rsidRDefault="0005110E" w14:paraId="6DB55280" w14:textId="41CA7BCA">
            <w:pPr>
              <w:contextualSpacing/>
              <w:rPr>
                <w:b/>
              </w:rPr>
            </w:pPr>
            <w:r>
              <w:rPr>
                <w:b/>
              </w:rPr>
              <w:t xml:space="preserve">Atsauces </w:t>
            </w:r>
          </w:p>
        </w:tc>
        <w:tc>
          <w:tcPr>
            <w:tcW w:w="5387" w:type="dxa"/>
          </w:tcPr>
          <w:p w:rsidRPr="00032038" w:rsidR="0005110E" w:rsidP="00D31DE5" w:rsidRDefault="0005110E" w14:paraId="602AF089" w14:textId="51E3E044">
            <w:pPr>
              <w:tabs>
                <w:tab w:val="center" w:pos="284"/>
              </w:tabs>
              <w:ind w:left="266" w:right="-534" w:hanging="374"/>
            </w:pPr>
            <w:r>
              <w:t>Pašiniciatīvas atzinums</w:t>
            </w:r>
          </w:p>
          <w:p w:rsidRPr="00032038" w:rsidR="0005110E" w:rsidP="00D31DE5" w:rsidRDefault="0005110E" w14:paraId="6A5A914E" w14:textId="557A5A80">
            <w:pPr>
              <w:ind w:left="-108"/>
              <w:contextualSpacing/>
            </w:pPr>
            <w:r>
              <w:t>EESC-2022-01278-00-00-AC</w:t>
            </w:r>
          </w:p>
        </w:tc>
      </w:tr>
    </w:tbl>
    <w:p w:rsidRPr="002C4B6E" w:rsidR="0005110E" w:rsidP="002C4B6E" w:rsidRDefault="0005110E" w14:paraId="63F4FD2B" w14:textId="77777777">
      <w:pPr>
        <w:pStyle w:val="ListParagraph"/>
        <w:spacing w:line="240" w:lineRule="auto"/>
        <w:ind w:left="-142" w:firstLine="142"/>
        <w:rPr>
          <w:b/>
        </w:rPr>
      </w:pPr>
    </w:p>
    <w:p w:rsidRPr="00A00F37" w:rsidR="004D7AC0" w:rsidP="00FD3EB9" w:rsidRDefault="00D31DE5" w14:paraId="63F2D92D" w14:textId="4AA590E7">
      <w:pPr>
        <w:pStyle w:val="ListParagraph"/>
        <w:spacing w:line="240" w:lineRule="auto"/>
        <w:ind w:left="0"/>
        <w:rPr>
          <w:b/>
        </w:rPr>
      </w:pPr>
      <w:r>
        <w:rPr>
          <w:b/>
          <w:bCs/>
        </w:rPr>
        <w:t>Galvenās nostādnes</w:t>
      </w:r>
    </w:p>
    <w:p w:rsidR="001513FD" w:rsidP="0018231C" w:rsidRDefault="001513FD" w14:paraId="76827606" w14:textId="77777777">
      <w:pPr>
        <w:pStyle w:val="ListParagraph"/>
        <w:keepNext/>
        <w:ind w:left="0"/>
      </w:pPr>
    </w:p>
    <w:p w:rsidR="00E54548" w:rsidP="00FD3EB9" w:rsidRDefault="00E54548" w14:paraId="05F6CCDA" w14:textId="77777777">
      <w:pPr>
        <w:pStyle w:val="ListParagraph"/>
        <w:ind w:left="0"/>
      </w:pPr>
      <w:r>
        <w:t>EESK:</w:t>
      </w:r>
    </w:p>
    <w:p w:rsidR="00E54548" w:rsidP="0018231C" w:rsidRDefault="00E54548" w14:paraId="681D86A8" w14:textId="77777777">
      <w:pPr>
        <w:pStyle w:val="ListParagraph"/>
        <w:keepNext/>
        <w:ind w:left="0"/>
      </w:pPr>
    </w:p>
    <w:p w:rsidR="00BE6D5A" w:rsidP="00BE6D5A" w:rsidRDefault="00D979E8" w14:paraId="4FC3D577" w14:textId="5C998A25">
      <w:pPr>
        <w:numPr>
          <w:ilvl w:val="0"/>
          <w:numId w:val="3"/>
        </w:numPr>
        <w:ind w:left="357" w:hanging="357"/>
        <w:contextualSpacing/>
      </w:pPr>
      <w:r>
        <w:t>aicina dalībvalstis</w:t>
      </w:r>
      <w:r>
        <w:rPr>
          <w:b/>
        </w:rPr>
        <w:t xml:space="preserve"> klimatrīcību un ilgtspējīgu attīstību noteikt par izglītības programmas pamatelementiem</w:t>
      </w:r>
      <w:r>
        <w:t xml:space="preserve"> ne tikai teorētiski, bet arī praksē;</w:t>
      </w:r>
    </w:p>
    <w:p w:rsidRPr="00D979E8" w:rsidR="00D979E8" w:rsidP="00BE6D5A" w:rsidRDefault="00D979E8" w14:paraId="0955A166" w14:textId="250C32A7">
      <w:pPr>
        <w:numPr>
          <w:ilvl w:val="0"/>
          <w:numId w:val="3"/>
        </w:numPr>
        <w:ind w:left="357" w:hanging="357"/>
        <w:contextualSpacing/>
      </w:pPr>
      <w:r>
        <w:t>uzsver, ka ir svarīgi atzīt nepieciešamību</w:t>
      </w:r>
      <w:r>
        <w:rPr>
          <w:b/>
        </w:rPr>
        <w:t xml:space="preserve"> jaunu nākotnes vīziju radīt kopā jauniešiem</w:t>
      </w:r>
      <w:r>
        <w:t xml:space="preserve"> un izstrādāt jaunu sociālo līgumu, kas </w:t>
      </w:r>
      <w:r>
        <w:rPr>
          <w:b/>
        </w:rPr>
        <w:t>izglītībā ienestu pozitīvas pārmaiņas</w:t>
      </w:r>
      <w:r>
        <w:t>;</w:t>
      </w:r>
    </w:p>
    <w:p w:rsidRPr="00D979E8" w:rsidR="00D979E8" w:rsidP="00BE6D5A" w:rsidRDefault="00D979E8" w14:paraId="600005EF" w14:textId="4DF5E585">
      <w:pPr>
        <w:numPr>
          <w:ilvl w:val="0"/>
          <w:numId w:val="3"/>
        </w:numPr>
        <w:ind w:left="357" w:hanging="357"/>
        <w:contextualSpacing/>
      </w:pPr>
      <w:r>
        <w:t xml:space="preserve">uzsver nepieciešamību pēc </w:t>
      </w:r>
      <w:r>
        <w:rPr>
          <w:b/>
        </w:rPr>
        <w:t>visaptverošas transversālas pieejas</w:t>
      </w:r>
      <w:r>
        <w:t>, kas nodrošinātu dažādu ieinteresēto personu, sociālo partneru un pilsoniskās sabiedrības organizāciju sadarbību;</w:t>
      </w:r>
    </w:p>
    <w:p w:rsidRPr="00D979E8" w:rsidR="00D979E8" w:rsidP="00BE6D5A" w:rsidRDefault="00D979E8" w14:paraId="6D72F3C2" w14:textId="0F25BFDE">
      <w:pPr>
        <w:numPr>
          <w:ilvl w:val="0"/>
          <w:numId w:val="3"/>
        </w:numPr>
        <w:ind w:left="357" w:hanging="357"/>
        <w:contextualSpacing/>
      </w:pPr>
      <w:r>
        <w:t xml:space="preserve">mudina Eiropas Komisiju </w:t>
      </w:r>
      <w:r>
        <w:rPr>
          <w:b/>
        </w:rPr>
        <w:t>turpināt sekot līdzi jauniešu vajadzībām Eiropas Prasmju gadā (2023) un to saistīt ar ilgtspējīgu attīstību</w:t>
      </w:r>
      <w:r>
        <w:t xml:space="preserve"> un problēmām, kuras jauniešus skar mainīgajā pasaulē;</w:t>
      </w:r>
    </w:p>
    <w:p w:rsidRPr="00D979E8" w:rsidR="00D979E8" w:rsidP="00BE6D5A" w:rsidRDefault="00D979E8" w14:paraId="363E70C8" w14:textId="77E19DAD">
      <w:pPr>
        <w:numPr>
          <w:ilvl w:val="0"/>
          <w:numId w:val="3"/>
        </w:numPr>
        <w:ind w:left="357" w:hanging="357"/>
        <w:contextualSpacing/>
      </w:pPr>
      <w:r>
        <w:rPr>
          <w:b/>
        </w:rPr>
        <w:t>atzinīgi vērtē Komisijas koordinējošo lomu</w:t>
      </w:r>
      <w:r>
        <w:t xml:space="preserve">, tomēr uzsver, ka </w:t>
      </w:r>
      <w:r>
        <w:rPr>
          <w:b/>
        </w:rPr>
        <w:t>valsts, reģionālā un vietējā līmenī jāizstrādā stratēģijas pārveidojošai izglītībai virzībā uz ilgtspējīgu attīstību</w:t>
      </w:r>
      <w:r>
        <w:t>, pamatojoties uz konsekventu pētniecību un skaidriem rīcības plāniem;</w:t>
      </w:r>
    </w:p>
    <w:p w:rsidRPr="00D979E8" w:rsidR="00D979E8" w:rsidP="00BE6D5A" w:rsidRDefault="00D979E8" w14:paraId="256AE92A" w14:textId="70AC31BE">
      <w:pPr>
        <w:numPr>
          <w:ilvl w:val="0"/>
          <w:numId w:val="3"/>
        </w:numPr>
        <w:ind w:left="357" w:hanging="357"/>
        <w:contextualSpacing/>
      </w:pPr>
      <w:r>
        <w:t xml:space="preserve">aicina </w:t>
      </w:r>
      <w:r>
        <w:rPr>
          <w:b/>
        </w:rPr>
        <w:t>ES investīcijas labāk sasaistīt ar izglītību ilgtspējīgai attīstībai, šajā nolūkā izmantojot tādus ES fondus</w:t>
      </w:r>
      <w:r>
        <w:t xml:space="preserve"> kā Atveseļošanas un noturības mehānisms, </w:t>
      </w:r>
      <w:proofErr w:type="spellStart"/>
      <w:r>
        <w:t>Erasmus</w:t>
      </w:r>
      <w:proofErr w:type="spellEnd"/>
      <w:r>
        <w:t>+, Apvārsnis, Eiropas Reģionālās attīstības fonds (ERAF) un Eiropas Sociālais fonds Plus (ESF+);</w:t>
      </w:r>
    </w:p>
    <w:p w:rsidRPr="00D979E8" w:rsidR="00D979E8" w:rsidP="00BE6D5A" w:rsidRDefault="00D979E8" w14:paraId="18FD4122" w14:textId="30A33C51">
      <w:pPr>
        <w:numPr>
          <w:ilvl w:val="0"/>
          <w:numId w:val="3"/>
        </w:numPr>
        <w:ind w:left="357" w:hanging="357"/>
        <w:contextualSpacing/>
      </w:pPr>
      <w:r>
        <w:t xml:space="preserve">aicina dalībvalstis </w:t>
      </w:r>
      <w:r>
        <w:rPr>
          <w:b/>
        </w:rPr>
        <w:t>sniegt efektīvu atbalstu skolotājiem</w:t>
      </w:r>
      <w:r>
        <w:t>, lai viņu profesija kļūtu pievilcīgāka;</w:t>
      </w:r>
    </w:p>
    <w:p w:rsidRPr="00D979E8" w:rsidR="00D979E8" w:rsidP="00BE6D5A" w:rsidRDefault="00D979E8" w14:paraId="014DBE8E" w14:textId="50FA0240">
      <w:pPr>
        <w:numPr>
          <w:ilvl w:val="0"/>
          <w:numId w:val="3"/>
        </w:numPr>
        <w:ind w:left="357" w:hanging="357"/>
        <w:contextualSpacing/>
      </w:pPr>
      <w:r>
        <w:t xml:space="preserve">ierosina </w:t>
      </w:r>
      <w:r>
        <w:rPr>
          <w:b/>
        </w:rPr>
        <w:t xml:space="preserve">izstrādāt īpašu tiešsaistes platformu vai </w:t>
      </w:r>
      <w:proofErr w:type="spellStart"/>
      <w:r>
        <w:rPr>
          <w:b/>
        </w:rPr>
        <w:t>infopaneli</w:t>
      </w:r>
      <w:proofErr w:type="spellEnd"/>
      <w:r>
        <w:rPr>
          <w:b/>
        </w:rPr>
        <w:t xml:space="preserve"> paraugprakses apmaiņai</w:t>
      </w:r>
      <w:r>
        <w:t>;</w:t>
      </w:r>
    </w:p>
    <w:p w:rsidR="00D979E8" w:rsidP="00BE6D5A" w:rsidRDefault="00D979E8" w14:paraId="22353103" w14:textId="2762CB12">
      <w:pPr>
        <w:numPr>
          <w:ilvl w:val="0"/>
          <w:numId w:val="3"/>
        </w:numPr>
        <w:ind w:left="357" w:hanging="357"/>
        <w:contextualSpacing/>
      </w:pPr>
      <w:r>
        <w:t xml:space="preserve">aicina Eiropas Komisiju strādāt pie </w:t>
      </w:r>
      <w:r>
        <w:rPr>
          <w:b/>
        </w:rPr>
        <w:t>tāda Eiropas rādītāja ieviešanas, kas atspoguļotu nabadzības samazināšanos un priekšlaicīgu mācību pārtraukšanu, kā nosaka uz ilgtspējīgu attīstību vērstas izglītības koncepcija</w:t>
      </w:r>
      <w:r>
        <w:t>.</w:t>
      </w:r>
    </w:p>
    <w:p w:rsidRPr="009B70E7" w:rsidR="005D55F5" w:rsidP="005D55F5" w:rsidRDefault="005D55F5" w14:paraId="7408EE4D" w14:textId="77777777">
      <w:pPr>
        <w:widowControl w:val="0"/>
        <w:spacing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32"/>
        <w:gridCol w:w="5670"/>
      </w:tblGrid>
      <w:tr w:rsidRPr="009B70E7" w:rsidR="004331B4" w:rsidTr="00BC41D9" w14:paraId="587E7E08" w14:textId="77777777">
        <w:tc>
          <w:tcPr>
            <w:tcW w:w="1418" w:type="dxa"/>
          </w:tcPr>
          <w:p w:rsidRPr="009B70E7" w:rsidR="004331B4" w:rsidP="00BC41D9" w:rsidRDefault="004331B4" w14:paraId="02B3DBE9" w14:textId="47531673">
            <w:pPr>
              <w:pStyle w:val="ListParagraph"/>
              <w:ind w:left="0"/>
              <w:rPr>
                <w:i/>
              </w:rPr>
            </w:pPr>
            <w:r>
              <w:rPr>
                <w:b/>
                <w:i/>
              </w:rPr>
              <w:t>Kontaktpersona:</w:t>
            </w:r>
          </w:p>
        </w:tc>
        <w:tc>
          <w:tcPr>
            <w:tcW w:w="5670" w:type="dxa"/>
          </w:tcPr>
          <w:p w:rsidRPr="009B70E7" w:rsidR="004331B4" w:rsidP="00BC41D9" w:rsidRDefault="00D979E8" w14:paraId="490824F4" w14:textId="52744EE9">
            <w:pPr>
              <w:pStyle w:val="ListParagraph"/>
              <w:ind w:left="0"/>
              <w:rPr>
                <w:i/>
              </w:rPr>
            </w:pPr>
            <w:proofErr w:type="spellStart"/>
            <w:r>
              <w:rPr>
                <w:i/>
              </w:rPr>
              <w:t>Ulrike</w:t>
            </w:r>
            <w:proofErr w:type="spellEnd"/>
            <w:r>
              <w:rPr>
                <w:i/>
              </w:rPr>
              <w:t xml:space="preserve"> </w:t>
            </w:r>
            <w:proofErr w:type="spellStart"/>
            <w:r>
              <w:rPr>
                <w:i/>
              </w:rPr>
              <w:t>Meissner</w:t>
            </w:r>
            <w:proofErr w:type="spellEnd"/>
          </w:p>
        </w:tc>
      </w:tr>
      <w:tr w:rsidRPr="009B70E7" w:rsidR="004331B4" w:rsidTr="00BC41D9" w14:paraId="117DE739" w14:textId="77777777">
        <w:tc>
          <w:tcPr>
            <w:tcW w:w="1418" w:type="dxa"/>
          </w:tcPr>
          <w:p w:rsidRPr="009B70E7" w:rsidR="004331B4" w:rsidP="00BC41D9" w:rsidRDefault="004331B4" w14:paraId="07B5DE23" w14:textId="59911A82">
            <w:pPr>
              <w:pStyle w:val="ListParagraph"/>
              <w:ind w:left="601"/>
              <w:rPr>
                <w:i/>
              </w:rPr>
            </w:pPr>
            <w:r>
              <w:rPr>
                <w:i/>
              </w:rPr>
              <w:t>Tālr.:</w:t>
            </w:r>
          </w:p>
        </w:tc>
        <w:tc>
          <w:tcPr>
            <w:tcW w:w="5670" w:type="dxa"/>
          </w:tcPr>
          <w:p w:rsidRPr="009B70E7" w:rsidR="004331B4" w:rsidP="00BC41D9" w:rsidRDefault="00E54548" w14:paraId="6717A766" w14:textId="1C04C9E3">
            <w:pPr>
              <w:pStyle w:val="ListParagraph"/>
              <w:ind w:left="0"/>
              <w:rPr>
                <w:i/>
              </w:rPr>
            </w:pPr>
            <w:r>
              <w:rPr>
                <w:i/>
              </w:rPr>
              <w:t>00 32 2 546 94 66</w:t>
            </w:r>
          </w:p>
        </w:tc>
      </w:tr>
      <w:tr w:rsidRPr="009B70E7" w:rsidR="004331B4" w:rsidTr="00BC41D9" w14:paraId="6D5CE45F" w14:textId="77777777">
        <w:tc>
          <w:tcPr>
            <w:tcW w:w="1418" w:type="dxa"/>
          </w:tcPr>
          <w:p w:rsidRPr="009B70E7" w:rsidR="004331B4" w:rsidP="00BC41D9" w:rsidRDefault="004331B4" w14:paraId="261C3027" w14:textId="2EB2DA2C">
            <w:pPr>
              <w:pStyle w:val="ListParagraph"/>
              <w:ind w:left="601"/>
              <w:rPr>
                <w:i/>
              </w:rPr>
            </w:pPr>
            <w:r>
              <w:rPr>
                <w:i/>
              </w:rPr>
              <w:t>E-pasts:</w:t>
            </w:r>
          </w:p>
        </w:tc>
        <w:tc>
          <w:tcPr>
            <w:tcW w:w="5670" w:type="dxa"/>
          </w:tcPr>
          <w:p w:rsidRPr="00D979E8" w:rsidR="00CA685D" w:rsidP="00BC41D9" w:rsidRDefault="00D31DE5" w14:paraId="40FE0D9C" w14:textId="405E8706">
            <w:pPr>
              <w:pStyle w:val="ListParagraph"/>
              <w:ind w:left="0"/>
              <w:rPr>
                <w:i/>
                <w:iCs/>
              </w:rPr>
            </w:pPr>
            <w:hyperlink w:history="1" r:id="rId35">
              <w:r w:rsidR="008D0A46">
                <w:rPr>
                  <w:rStyle w:val="Hyperlink"/>
                  <w:i/>
                </w:rPr>
                <w:t>Ulrike.Meissner@eesc.europa.eu</w:t>
              </w:r>
            </w:hyperlink>
          </w:p>
        </w:tc>
      </w:tr>
    </w:tbl>
    <w:p w:rsidR="00A10A98" w:rsidP="000247C5" w:rsidRDefault="00D979E8" w14:paraId="302A5568" w14:textId="60260031">
      <w:pPr>
        <w:spacing w:after="160" w:line="259" w:lineRule="auto"/>
        <w:jc w:val="left"/>
        <w:rPr>
          <w:sz w:val="28"/>
          <w:szCs w:val="28"/>
        </w:rPr>
      </w:pPr>
      <w:r>
        <w:br w:type="page"/>
      </w:r>
    </w:p>
    <w:p w:rsidRPr="009A3E0E" w:rsidR="00E54548" w:rsidP="00CF32E7" w:rsidRDefault="000247C5" w14:paraId="55FE0C33" w14:textId="5B3333DC">
      <w:pPr>
        <w:pStyle w:val="ListParagraph"/>
        <w:keepNext/>
        <w:numPr>
          <w:ilvl w:val="0"/>
          <w:numId w:val="2"/>
        </w:numPr>
        <w:ind w:left="567" w:hanging="567"/>
      </w:pPr>
      <w:r>
        <w:rPr>
          <w:b/>
          <w:i/>
          <w:sz w:val="28"/>
        </w:rPr>
        <w:lastRenderedPageBreak/>
        <w:t>Eiropas pilsoņu iniciatīva – “Glābiet bites un lauksaimniekus!”</w:t>
      </w:r>
    </w:p>
    <w:p w:rsidRPr="009B70E7" w:rsidR="009A3E0E" w:rsidP="009A3E0E" w:rsidRDefault="009A3E0E" w14:paraId="56595EAE" w14:textId="77777777">
      <w:pPr>
        <w:pStyle w:val="ListParagraph"/>
        <w:ind w:left="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954"/>
      </w:tblGrid>
      <w:tr w:rsidRPr="009B70E7" w:rsidR="000C18CA" w:rsidTr="000C18CA" w14:paraId="4E01B598" w14:textId="77777777">
        <w:tc>
          <w:tcPr>
            <w:tcW w:w="1701" w:type="dxa"/>
          </w:tcPr>
          <w:p w:rsidRPr="009B70E7" w:rsidR="000C18CA" w:rsidP="00D31DE5" w:rsidRDefault="000C18CA" w14:paraId="3EE6EB4F" w14:textId="0FFBCB14">
            <w:pPr>
              <w:pStyle w:val="ListParagraph"/>
              <w:keepNext/>
              <w:ind w:left="0"/>
              <w:rPr>
                <w:b/>
              </w:rPr>
            </w:pPr>
            <w:r>
              <w:rPr>
                <w:b/>
              </w:rPr>
              <w:t>Ziņotājs</w:t>
            </w:r>
          </w:p>
        </w:tc>
        <w:tc>
          <w:tcPr>
            <w:tcW w:w="5954" w:type="dxa"/>
          </w:tcPr>
          <w:p w:rsidR="000C18CA" w:rsidP="00D31DE5" w:rsidRDefault="000247C5" w14:paraId="3B0EEFBE" w14:textId="7F59F698">
            <w:pPr>
              <w:pStyle w:val="ListParagraph"/>
              <w:keepNext/>
              <w:ind w:left="-106"/>
            </w:pPr>
            <w:r>
              <w:t xml:space="preserve">Arnold PUECH </w:t>
            </w:r>
            <w:proofErr w:type="spellStart"/>
            <w:r>
              <w:t>d'ALISSAC</w:t>
            </w:r>
            <w:proofErr w:type="spellEnd"/>
            <w:r>
              <w:t xml:space="preserve"> (Darba devēju grupa – FR)</w:t>
            </w:r>
          </w:p>
          <w:p w:rsidRPr="009B70E7" w:rsidR="006A1317" w:rsidP="00D31DE5" w:rsidRDefault="006A1317" w14:paraId="3BDDFB62" w14:textId="58B88D3B">
            <w:pPr>
              <w:pStyle w:val="ListParagraph"/>
              <w:keepNext/>
              <w:ind w:left="-106"/>
            </w:pPr>
          </w:p>
        </w:tc>
      </w:tr>
      <w:tr w:rsidRPr="009B70E7" w:rsidR="00E54548" w:rsidTr="009A3E0E" w14:paraId="7A103358" w14:textId="77777777">
        <w:tc>
          <w:tcPr>
            <w:tcW w:w="1701" w:type="dxa"/>
          </w:tcPr>
          <w:p w:rsidRPr="009B70E7" w:rsidR="00E54548" w:rsidP="008B66DD" w:rsidRDefault="00E54548" w14:paraId="3D88AB9C" w14:textId="2BC32D39">
            <w:pPr>
              <w:pStyle w:val="ListParagraph"/>
              <w:ind w:left="0"/>
              <w:rPr>
                <w:b/>
              </w:rPr>
            </w:pPr>
            <w:r>
              <w:rPr>
                <w:b/>
              </w:rPr>
              <w:t xml:space="preserve">Atsauces </w:t>
            </w:r>
          </w:p>
        </w:tc>
        <w:tc>
          <w:tcPr>
            <w:tcW w:w="5954" w:type="dxa"/>
          </w:tcPr>
          <w:p w:rsidRPr="009B70E7" w:rsidR="00E54548" w:rsidP="008B66DD" w:rsidRDefault="005D55F5" w14:paraId="3F2C4954" w14:textId="256F2E4C">
            <w:pPr>
              <w:tabs>
                <w:tab w:val="center" w:pos="284"/>
              </w:tabs>
              <w:ind w:left="266" w:hanging="374"/>
            </w:pPr>
            <w:r>
              <w:t>Pašiniciatīvas atzinums</w:t>
            </w:r>
          </w:p>
          <w:p w:rsidRPr="009B70E7" w:rsidR="00E54548" w:rsidP="008B66DD" w:rsidRDefault="00E54548" w14:paraId="2105E433" w14:textId="677ED155">
            <w:pPr>
              <w:pStyle w:val="ListParagraph"/>
              <w:ind w:left="-108"/>
            </w:pPr>
            <w:r>
              <w:t>EESC-2022-03162-00-00-AC</w:t>
            </w:r>
          </w:p>
        </w:tc>
      </w:tr>
    </w:tbl>
    <w:p w:rsidRPr="009B70E7" w:rsidR="00E54548" w:rsidP="00E54548" w:rsidRDefault="00E54548" w14:paraId="5A8EA75C" w14:textId="77777777">
      <w:pPr>
        <w:pStyle w:val="ListParagraph"/>
        <w:ind w:left="0"/>
        <w:rPr>
          <w:b/>
        </w:rPr>
      </w:pPr>
    </w:p>
    <w:p w:rsidRPr="0018231C" w:rsidR="00E54548" w:rsidP="00FD3EB9" w:rsidRDefault="00D31DE5" w14:paraId="2DB75FF2" w14:textId="0B133D3A">
      <w:pPr>
        <w:pStyle w:val="ListParagraph"/>
        <w:spacing w:line="240" w:lineRule="auto"/>
        <w:ind w:left="0"/>
        <w:rPr>
          <w:b/>
        </w:rPr>
      </w:pPr>
      <w:r>
        <w:rPr>
          <w:b/>
          <w:bCs/>
        </w:rPr>
        <w:t>Galvenās nostādnes</w:t>
      </w:r>
    </w:p>
    <w:p w:rsidRPr="0018231C" w:rsidR="00E54548" w:rsidP="00E54548" w:rsidRDefault="00E54548" w14:paraId="6EE8937D" w14:textId="77777777">
      <w:pPr>
        <w:pStyle w:val="ListParagraph"/>
        <w:ind w:left="0"/>
        <w:rPr>
          <w:lang w:val="fr-FR"/>
        </w:rPr>
      </w:pPr>
    </w:p>
    <w:p w:rsidRPr="00A00F37" w:rsidR="00E54548" w:rsidP="00FD3EB9" w:rsidRDefault="00E54548" w14:paraId="6B6F14AC" w14:textId="77777777">
      <w:pPr>
        <w:pStyle w:val="ListParagraph"/>
        <w:ind w:left="0"/>
        <w:rPr>
          <w:bCs/>
        </w:rPr>
      </w:pPr>
      <w:r>
        <w:t>EESK:</w:t>
      </w:r>
    </w:p>
    <w:p w:rsidRPr="0018231C" w:rsidR="00E54548" w:rsidP="00E54548" w:rsidRDefault="00E54548" w14:paraId="1F790AD7" w14:textId="77777777">
      <w:pPr>
        <w:pStyle w:val="ListParagraph"/>
        <w:ind w:left="0"/>
        <w:rPr>
          <w:lang w:val="fr-FR"/>
        </w:rPr>
      </w:pPr>
    </w:p>
    <w:p w:rsidRPr="00A3344B" w:rsidR="00E54548" w:rsidP="00E54548" w:rsidRDefault="000247C5" w14:paraId="2EA194B7" w14:textId="1E00C3CB">
      <w:pPr>
        <w:numPr>
          <w:ilvl w:val="0"/>
          <w:numId w:val="3"/>
        </w:numPr>
        <w:overflowPunct w:val="0"/>
        <w:autoSpaceDE w:val="0"/>
        <w:autoSpaceDN w:val="0"/>
        <w:adjustRightInd w:val="0"/>
        <w:ind w:left="357" w:hanging="357"/>
        <w:textAlignment w:val="baseline"/>
      </w:pPr>
      <w:r>
        <w:t>Vēlas vispirms paust atzinību iniciatīvas organizatoram un, ņemot vērā grūtības savākt visus nepieciešamos parakstus, atzinīgi vērtē iedzīvotāju ieinteresētību, pateicoties kurai iniciatīva ir guvusi šādus panākumus; tādēļ aicina Komisiju sniegt precīzas un konkrētas atbildes uz šajā EPI izteiktajām prasībām;</w:t>
      </w:r>
    </w:p>
    <w:p w:rsidR="000247C5" w:rsidP="000247C5" w:rsidRDefault="000247C5" w14:paraId="07D2FB57" w14:textId="162F719A">
      <w:pPr>
        <w:numPr>
          <w:ilvl w:val="0"/>
          <w:numId w:val="3"/>
        </w:numPr>
        <w:overflowPunct w:val="0"/>
        <w:autoSpaceDE w:val="0"/>
        <w:autoSpaceDN w:val="0"/>
        <w:adjustRightInd w:val="0"/>
        <w:ind w:left="357" w:hanging="357"/>
        <w:textAlignment w:val="baseline"/>
      </w:pPr>
      <w:r>
        <w:t xml:space="preserve">pauž nožēlu, ka izvēlētajā nosaukumā “Glābiet bites un lauksaimniekus!” nav atspoguļots šīs EPI galvenais ierosinājums – līdz 2035. gadam pakāpeniski atteikties no sintētisko pesticīdu izmantošanas. EESK arī uzsver, ka Komisija pašlaik izstrādā vai ir jau pieņēmusi daudzus tiesību aktus par bitēm, apputeksnētājiem, bioloģisko daudzveidību, pesticīdu ilgtspējīgu lietošanu un atbalstu lauksaimniekiem agroekoloģiskās pārkārtošanās jomā; atzīst, ka šie pasākumi nav ļāvuši pilnībā sasniegt tajos noteiktos mērķus; tādēļ aicina Komisiju veikt papildu pasākumus, lai konkrēti un ar lielāku efektivitāti sasniegtu savus tālejošos mērķus. EESK iesaka, piemēram, vairāk atbalstīt precīzo lauksaimniecību, </w:t>
      </w:r>
      <w:proofErr w:type="spellStart"/>
      <w:r>
        <w:t>digitalizētu</w:t>
      </w:r>
      <w:proofErr w:type="spellEnd"/>
      <w:r>
        <w:t xml:space="preserve"> lauksaimniecību, bioloģisko kontroli, robotiku, kā arī agroekoloģiju;</w:t>
      </w:r>
    </w:p>
    <w:p w:rsidR="005D55F5" w:rsidP="005D55F5" w:rsidRDefault="000247C5" w14:paraId="7BB9A561" w14:textId="0856F7B3">
      <w:pPr>
        <w:numPr>
          <w:ilvl w:val="0"/>
          <w:numId w:val="3"/>
        </w:numPr>
        <w:overflowPunct w:val="0"/>
        <w:autoSpaceDE w:val="0"/>
        <w:autoSpaceDN w:val="0"/>
        <w:adjustRightInd w:val="0"/>
        <w:ind w:left="357" w:hanging="357"/>
        <w:textAlignment w:val="baseline"/>
      </w:pPr>
      <w:r>
        <w:t xml:space="preserve">uzsver, ka, ievērojot to, cik svarīga ir sistēmu ilgtspēja un </w:t>
      </w:r>
      <w:proofErr w:type="spellStart"/>
      <w:r>
        <w:t>uztursuverenitāte</w:t>
      </w:r>
      <w:proofErr w:type="spellEnd"/>
      <w:r>
        <w:t>, ir būtiski ņemt vērā visus trīs ilgtspējas pīlārus (vides, sociālo un ekonomisko), neaizmirstot par ekonomiku, kas bieži vien tiek atstāta bez ievērības;</w:t>
      </w:r>
    </w:p>
    <w:p w:rsidR="000247C5" w:rsidP="005D55F5" w:rsidRDefault="000247C5" w14:paraId="0B69475A" w14:textId="05A3EA25">
      <w:pPr>
        <w:numPr>
          <w:ilvl w:val="0"/>
          <w:numId w:val="3"/>
        </w:numPr>
        <w:overflowPunct w:val="0"/>
        <w:autoSpaceDE w:val="0"/>
        <w:autoSpaceDN w:val="0"/>
        <w:adjustRightInd w:val="0"/>
        <w:ind w:left="357" w:hanging="357"/>
        <w:textAlignment w:val="baseline"/>
      </w:pPr>
      <w:r>
        <w:t>aicina Komisiju pirms jebkādu lēmumu pieņemšanas veikt ietekmes novērtējumus, it īpaši ar mērķi noteikt to, cik iniciatīva izmaksās lauksaimnieciskajai ražošanai un ekonomikai un attiecīgi kādus ekonomiskos zaudējumus lauksaimniekiem radīs bioloģiskās daudzveidības zudums.</w:t>
      </w:r>
    </w:p>
    <w:p w:rsidRPr="007E7A4F" w:rsidR="00E54548" w:rsidP="00E54548" w:rsidRDefault="00E54548" w14:paraId="34228F74" w14:textId="77777777">
      <w:pPr>
        <w:widowControl w:val="0"/>
        <w:overflowPunct w:val="0"/>
        <w:autoSpaceDE w:val="0"/>
        <w:autoSpaceDN w:val="0"/>
        <w:adjustRightInd w:val="0"/>
        <w:textAlignment w:val="baseline"/>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32"/>
        <w:gridCol w:w="5670"/>
      </w:tblGrid>
      <w:tr w:rsidRPr="00164813" w:rsidR="00E54548" w:rsidTr="008B66DD" w14:paraId="25A3FF7E" w14:textId="77777777">
        <w:tc>
          <w:tcPr>
            <w:tcW w:w="1418" w:type="dxa"/>
          </w:tcPr>
          <w:p w:rsidRPr="00164813" w:rsidR="00E54548" w:rsidP="008B66DD" w:rsidRDefault="00E54548" w14:paraId="1C0A7F50" w14:textId="307F2EF2">
            <w:pPr>
              <w:contextualSpacing/>
              <w:rPr>
                <w:i/>
              </w:rPr>
            </w:pPr>
            <w:r>
              <w:rPr>
                <w:b/>
                <w:i/>
              </w:rPr>
              <w:t>Kontaktpersona:</w:t>
            </w:r>
          </w:p>
        </w:tc>
        <w:tc>
          <w:tcPr>
            <w:tcW w:w="5670" w:type="dxa"/>
          </w:tcPr>
          <w:p w:rsidRPr="00164813" w:rsidR="00E54548" w:rsidP="008B66DD" w:rsidRDefault="000247C5" w14:paraId="59C2EA51" w14:textId="7BF4142D">
            <w:pPr>
              <w:contextualSpacing/>
              <w:rPr>
                <w:i/>
              </w:rPr>
            </w:pPr>
            <w:proofErr w:type="spellStart"/>
            <w:r>
              <w:rPr>
                <w:i/>
              </w:rPr>
              <w:t>Gaia</w:t>
            </w:r>
            <w:proofErr w:type="spellEnd"/>
            <w:r>
              <w:rPr>
                <w:i/>
              </w:rPr>
              <w:t xml:space="preserve"> </w:t>
            </w:r>
            <w:proofErr w:type="spellStart"/>
            <w:r>
              <w:rPr>
                <w:i/>
              </w:rPr>
              <w:t>Bottoni</w:t>
            </w:r>
            <w:proofErr w:type="spellEnd"/>
          </w:p>
        </w:tc>
      </w:tr>
      <w:tr w:rsidRPr="00164813" w:rsidR="00E54548" w:rsidTr="008B66DD" w14:paraId="50BF4889" w14:textId="77777777">
        <w:tc>
          <w:tcPr>
            <w:tcW w:w="1418" w:type="dxa"/>
          </w:tcPr>
          <w:p w:rsidRPr="00164813" w:rsidR="00E54548" w:rsidP="008B66DD" w:rsidRDefault="00E54548" w14:paraId="1F8D44FD" w14:textId="1A38C3DF">
            <w:pPr>
              <w:ind w:left="601"/>
              <w:contextualSpacing/>
              <w:rPr>
                <w:i/>
              </w:rPr>
            </w:pPr>
            <w:r>
              <w:rPr>
                <w:i/>
              </w:rPr>
              <w:t>Tālr.:</w:t>
            </w:r>
          </w:p>
        </w:tc>
        <w:tc>
          <w:tcPr>
            <w:tcW w:w="5670" w:type="dxa"/>
          </w:tcPr>
          <w:p w:rsidRPr="00164813" w:rsidR="00E54548" w:rsidP="008B66DD" w:rsidRDefault="00E54548" w14:paraId="099C6AF1" w14:textId="40421653">
            <w:pPr>
              <w:contextualSpacing/>
              <w:rPr>
                <w:i/>
              </w:rPr>
            </w:pPr>
            <w:r>
              <w:rPr>
                <w:i/>
              </w:rPr>
              <w:t>00 32 2 546 94 47</w:t>
            </w:r>
          </w:p>
        </w:tc>
      </w:tr>
      <w:tr w:rsidRPr="00164813" w:rsidR="00E54548" w:rsidTr="008B66DD" w14:paraId="735920C0" w14:textId="77777777">
        <w:tc>
          <w:tcPr>
            <w:tcW w:w="1418" w:type="dxa"/>
          </w:tcPr>
          <w:p w:rsidRPr="00164813" w:rsidR="00E54548" w:rsidP="008B66DD" w:rsidRDefault="00E54548" w14:paraId="554E9752" w14:textId="0EBF0035">
            <w:pPr>
              <w:ind w:left="601"/>
              <w:contextualSpacing/>
              <w:rPr>
                <w:i/>
              </w:rPr>
            </w:pPr>
            <w:r>
              <w:rPr>
                <w:i/>
              </w:rPr>
              <w:t>E-pasts:</w:t>
            </w:r>
          </w:p>
        </w:tc>
        <w:tc>
          <w:tcPr>
            <w:tcW w:w="5670" w:type="dxa"/>
          </w:tcPr>
          <w:p w:rsidRPr="000247C5" w:rsidR="00E54548" w:rsidP="008B66DD" w:rsidRDefault="00D31DE5" w14:paraId="430FFFAD" w14:textId="2DCB4ED7">
            <w:pPr>
              <w:contextualSpacing/>
              <w:rPr>
                <w:i/>
                <w:iCs/>
              </w:rPr>
            </w:pPr>
            <w:hyperlink w:history="1" r:id="rId36">
              <w:r w:rsidR="008D0A46">
                <w:rPr>
                  <w:rStyle w:val="Hyperlink"/>
                  <w:i/>
                </w:rPr>
                <w:t>Gaia.Bottoni@eesc.europa.eu</w:t>
              </w:r>
            </w:hyperlink>
          </w:p>
          <w:p w:rsidRPr="00164813" w:rsidR="00E54548" w:rsidP="008B66DD" w:rsidRDefault="00E54548" w14:paraId="57D07659" w14:textId="77777777">
            <w:pPr>
              <w:contextualSpacing/>
              <w:rPr>
                <w:i/>
              </w:rPr>
            </w:pPr>
          </w:p>
        </w:tc>
      </w:tr>
    </w:tbl>
    <w:p w:rsidRPr="009A3E0E" w:rsidR="000247C5" w:rsidP="0018231C" w:rsidRDefault="000247C5" w14:paraId="3D4A5F95" w14:textId="32C53814">
      <w:pPr>
        <w:spacing w:after="160" w:line="240" w:lineRule="auto"/>
        <w:jc w:val="left"/>
      </w:pPr>
    </w:p>
    <w:p w:rsidR="000247C5" w:rsidRDefault="000247C5" w14:paraId="530529E9" w14:textId="77777777">
      <w:pPr>
        <w:spacing w:after="160" w:line="259" w:lineRule="auto"/>
        <w:jc w:val="left"/>
        <w:rPr>
          <w:sz w:val="28"/>
          <w:szCs w:val="16"/>
        </w:rPr>
      </w:pPr>
      <w:r>
        <w:br w:type="page"/>
      </w:r>
    </w:p>
    <w:p w:rsidR="005D55F5" w:rsidP="000247C5" w:rsidRDefault="000247C5" w14:paraId="12853D1A" w14:textId="348349FA">
      <w:pPr>
        <w:pStyle w:val="ListParagraph"/>
        <w:keepNext/>
        <w:numPr>
          <w:ilvl w:val="0"/>
          <w:numId w:val="2"/>
        </w:numPr>
        <w:ind w:left="567" w:hanging="567"/>
        <w:rPr>
          <w:b/>
          <w:bCs/>
          <w:i/>
          <w:iCs/>
          <w:sz w:val="28"/>
          <w:szCs w:val="28"/>
        </w:rPr>
      </w:pPr>
      <w:r>
        <w:rPr>
          <w:b/>
          <w:i/>
          <w:sz w:val="28"/>
        </w:rPr>
        <w:lastRenderedPageBreak/>
        <w:t>Pārtikas cenu krīze: spekulācijas loma un konkrēti priekšlikumi rīcībai Ukrainā notiekošā kara apstākļos</w:t>
      </w:r>
    </w:p>
    <w:p w:rsidRPr="000247C5" w:rsidR="000247C5" w:rsidP="000247C5" w:rsidRDefault="000247C5" w14:paraId="2BB9C567" w14:textId="77777777">
      <w:pPr>
        <w:keepNext/>
        <w:rPr>
          <w:b/>
          <w:bCs/>
          <w:i/>
          <w:iCs/>
          <w:sz w:val="28"/>
          <w:szCs w:val="2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9B70E7" w:rsidR="005D55F5" w:rsidTr="00D31DE5" w14:paraId="6709C1CA" w14:textId="77777777">
        <w:tc>
          <w:tcPr>
            <w:tcW w:w="1701" w:type="dxa"/>
          </w:tcPr>
          <w:p w:rsidRPr="009B70E7" w:rsidR="005D55F5" w:rsidP="00D31DE5" w:rsidRDefault="005D55F5" w14:paraId="1C85D76E" w14:textId="54FDA98A">
            <w:pPr>
              <w:pStyle w:val="ListParagraph"/>
              <w:keepNext/>
              <w:ind w:left="0"/>
              <w:rPr>
                <w:b/>
              </w:rPr>
            </w:pPr>
            <w:r>
              <w:rPr>
                <w:b/>
              </w:rPr>
              <w:t>Ziņotājs</w:t>
            </w:r>
          </w:p>
        </w:tc>
        <w:tc>
          <w:tcPr>
            <w:tcW w:w="5387" w:type="dxa"/>
          </w:tcPr>
          <w:p w:rsidRPr="009B70E7" w:rsidR="005D55F5" w:rsidP="00D31DE5" w:rsidRDefault="000247C5" w14:paraId="55A6474A" w14:textId="4FE96233">
            <w:pPr>
              <w:pStyle w:val="ListParagraph"/>
              <w:keepNext/>
              <w:ind w:left="-106"/>
            </w:pPr>
            <w:r>
              <w:t>Peter SCHMIDT (Darba ņēmēju grupa – DE)</w:t>
            </w:r>
          </w:p>
        </w:tc>
      </w:tr>
      <w:tr w:rsidRPr="009B70E7" w:rsidR="005D55F5" w:rsidTr="00D31DE5" w14:paraId="64A6CEC9" w14:textId="77777777">
        <w:tc>
          <w:tcPr>
            <w:tcW w:w="1701" w:type="dxa"/>
          </w:tcPr>
          <w:p w:rsidRPr="007B231B" w:rsidR="005D55F5" w:rsidP="00D31DE5" w:rsidRDefault="005D55F5" w14:paraId="7C5C4F66" w14:textId="77777777">
            <w:pPr>
              <w:pStyle w:val="ListParagraph"/>
              <w:keepNext/>
              <w:ind w:left="0"/>
              <w:rPr>
                <w:b/>
              </w:rPr>
            </w:pPr>
          </w:p>
        </w:tc>
        <w:tc>
          <w:tcPr>
            <w:tcW w:w="5387" w:type="dxa"/>
          </w:tcPr>
          <w:p w:rsidRPr="00E54548" w:rsidR="005D55F5" w:rsidP="00D31DE5" w:rsidRDefault="005D55F5" w14:paraId="7C5F0745" w14:textId="77777777">
            <w:pPr>
              <w:pStyle w:val="ListParagraph"/>
              <w:keepNext/>
              <w:ind w:left="-106"/>
              <w:rPr>
                <w:highlight w:val="yellow"/>
              </w:rPr>
            </w:pPr>
          </w:p>
        </w:tc>
      </w:tr>
    </w:tbl>
    <w:tbl>
      <w:tblPr>
        <w:tblStyle w:val="TableGrid7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032038" w:rsidR="005D55F5" w:rsidTr="00BA494E" w14:paraId="1CB4200A" w14:textId="77777777">
        <w:tc>
          <w:tcPr>
            <w:tcW w:w="1701" w:type="dxa"/>
          </w:tcPr>
          <w:p w:rsidRPr="00032038" w:rsidR="005D55F5" w:rsidP="00D31DE5" w:rsidRDefault="005D55F5" w14:paraId="6E57E46F" w14:textId="0BB73756">
            <w:pPr>
              <w:contextualSpacing/>
              <w:rPr>
                <w:b/>
              </w:rPr>
            </w:pPr>
            <w:r>
              <w:rPr>
                <w:b/>
              </w:rPr>
              <w:t xml:space="preserve">Atsauces </w:t>
            </w:r>
          </w:p>
        </w:tc>
        <w:tc>
          <w:tcPr>
            <w:tcW w:w="5387" w:type="dxa"/>
          </w:tcPr>
          <w:p w:rsidRPr="00032038" w:rsidR="005D55F5" w:rsidP="00D31DE5" w:rsidRDefault="000247C5" w14:paraId="3CE37A59" w14:textId="570A8257">
            <w:pPr>
              <w:tabs>
                <w:tab w:val="center" w:pos="284"/>
              </w:tabs>
              <w:ind w:left="266" w:right="-534" w:hanging="374"/>
            </w:pPr>
            <w:r>
              <w:t>Pašiniciatīvas atzinums</w:t>
            </w:r>
          </w:p>
          <w:p w:rsidRPr="00032038" w:rsidR="005D55F5" w:rsidP="00D31DE5" w:rsidRDefault="005D55F5" w14:paraId="7DD98444" w14:textId="6E24D886">
            <w:pPr>
              <w:ind w:left="-108"/>
              <w:contextualSpacing/>
            </w:pPr>
            <w:r>
              <w:t>EESC-2022-03878-00-00-AC</w:t>
            </w:r>
          </w:p>
        </w:tc>
      </w:tr>
    </w:tbl>
    <w:p w:rsidRPr="002C4B6E" w:rsidR="005D55F5" w:rsidP="005D55F5" w:rsidRDefault="005D55F5" w14:paraId="453DD282" w14:textId="77777777">
      <w:pPr>
        <w:pStyle w:val="ListParagraph"/>
        <w:spacing w:line="240" w:lineRule="auto"/>
        <w:ind w:left="-142" w:firstLine="142"/>
        <w:rPr>
          <w:b/>
        </w:rPr>
      </w:pPr>
    </w:p>
    <w:p w:rsidRPr="00A00F37" w:rsidR="005D55F5" w:rsidP="00FD3EB9" w:rsidRDefault="00D31DE5" w14:paraId="6FC1ABE0" w14:textId="783BCFD8">
      <w:pPr>
        <w:pStyle w:val="ListParagraph"/>
        <w:spacing w:line="240" w:lineRule="auto"/>
        <w:ind w:left="0"/>
        <w:rPr>
          <w:b/>
        </w:rPr>
      </w:pPr>
      <w:r>
        <w:rPr>
          <w:b/>
          <w:bCs/>
        </w:rPr>
        <w:t>Galvenās nostādnes</w:t>
      </w:r>
    </w:p>
    <w:p w:rsidR="005D55F5" w:rsidP="005D55F5" w:rsidRDefault="005D55F5" w14:paraId="73EBAABB" w14:textId="77777777">
      <w:pPr>
        <w:pStyle w:val="ListParagraph"/>
        <w:keepNext/>
        <w:ind w:left="0"/>
      </w:pPr>
    </w:p>
    <w:p w:rsidR="005D55F5" w:rsidP="00FD3EB9" w:rsidRDefault="005D55F5" w14:paraId="3301B99A" w14:textId="77777777">
      <w:pPr>
        <w:pStyle w:val="ListParagraph"/>
        <w:ind w:left="0"/>
      </w:pPr>
      <w:r>
        <w:t>EESK:</w:t>
      </w:r>
    </w:p>
    <w:p w:rsidR="005D55F5" w:rsidP="005D55F5" w:rsidRDefault="005D55F5" w14:paraId="643A118D" w14:textId="77777777">
      <w:pPr>
        <w:pStyle w:val="ListParagraph"/>
        <w:keepNext/>
        <w:ind w:left="0"/>
      </w:pPr>
    </w:p>
    <w:p w:rsidR="005D55F5" w:rsidP="005D55F5" w:rsidRDefault="000247C5" w14:paraId="22C02870" w14:textId="23FD8D88">
      <w:pPr>
        <w:numPr>
          <w:ilvl w:val="0"/>
          <w:numId w:val="3"/>
        </w:numPr>
        <w:ind w:left="357" w:hanging="357"/>
        <w:contextualSpacing/>
      </w:pPr>
      <w:r>
        <w:t>vērš uzmanību uz globālo pārtikas cenu krīzi, ko saasinājis karš Ukrainā. Pārtiku nevajadzētu uzskatīt par finanšu aktīvu, jo tā nav prece, kas līdzinās daudzām citām precēm;</w:t>
      </w:r>
    </w:p>
    <w:p w:rsidR="00EA1181" w:rsidP="005D55F5" w:rsidRDefault="000247C5" w14:paraId="6DEF7054" w14:textId="3EA053A5">
      <w:pPr>
        <w:numPr>
          <w:ilvl w:val="0"/>
          <w:numId w:val="3"/>
        </w:numPr>
        <w:ind w:left="357" w:hanging="357"/>
        <w:contextualSpacing/>
      </w:pPr>
      <w:r>
        <w:t xml:space="preserve">norāda, ka preču tirgus pašreizējā struktūra nespēj nodrošināt “mums vajadzīgo ilgtspējīgo ekonomiku” un ANO Programmā 2030. gadam un Eiropas zaļajā kursā izvirzīto un ar ilgtspējīgu attīstību, klimatiskajām iecerēm un taisnīgu pārkārtošanos saistīto mērķu sasniegšanu. Gluži pretēji — šī struktūra aktīvi kavē šos centienus. </w:t>
      </w:r>
      <w:r>
        <w:rPr>
          <w:b/>
        </w:rPr>
        <w:t>Tādēļ tā ar regulējumu ir jāmaina, lai veicinātu cilvēku labbūtību un sabiedrības attīstību un tādā veidā sekmētu ilgtspējīgas attīstības mērķu (IAM) sasniegšanu</w:t>
      </w:r>
      <w:r>
        <w:t>;</w:t>
      </w:r>
    </w:p>
    <w:p w:rsidR="000247C5" w:rsidP="005D55F5" w:rsidRDefault="000247C5" w14:paraId="27B5B7B6" w14:textId="4D665566">
      <w:pPr>
        <w:numPr>
          <w:ilvl w:val="0"/>
          <w:numId w:val="3"/>
        </w:numPr>
        <w:ind w:left="357" w:hanging="357"/>
        <w:contextualSpacing/>
      </w:pPr>
      <w:r>
        <w:t xml:space="preserve">uzsver, ka ir jārisina pārtikas piegādes ķēžu lielās koncentrācijas un finansiālo īpašumtiesību jautājums; uzsver, ka </w:t>
      </w:r>
      <w:r>
        <w:rPr>
          <w:b/>
        </w:rPr>
        <w:t>globālā graudu tirdzniecības nozare ir ļoti koncentrēta</w:t>
      </w:r>
      <w:r>
        <w:t>;</w:t>
      </w:r>
    </w:p>
    <w:p w:rsidR="000247C5" w:rsidP="005D55F5" w:rsidRDefault="00B42E2F" w14:paraId="69E6FD39" w14:textId="52BB2265">
      <w:pPr>
        <w:numPr>
          <w:ilvl w:val="0"/>
          <w:numId w:val="3"/>
        </w:numPr>
        <w:ind w:left="357" w:hanging="357"/>
        <w:contextualSpacing/>
      </w:pPr>
      <w:r>
        <w:t>norāda, ka biržā tirgoti fondi un uz indeksiem balstīti kopfondi, tostarp tie, kas īpaši saistīti ar pārtiku un lauksaimniecību, paver jaunas un plaši izmantotas iespējas finanšu ieguldījumiem un peļņas gūšanai;</w:t>
      </w:r>
    </w:p>
    <w:p w:rsidR="00B42E2F" w:rsidP="005D55F5" w:rsidRDefault="00B42E2F" w14:paraId="70234EBC" w14:textId="5DBFFFE1">
      <w:pPr>
        <w:numPr>
          <w:ilvl w:val="0"/>
          <w:numId w:val="3"/>
        </w:numPr>
        <w:ind w:left="357" w:hanging="357"/>
        <w:contextualSpacing/>
      </w:pPr>
      <w:r>
        <w:t xml:space="preserve">atzīmē, ka augstās un strauji augošās cenas un </w:t>
      </w:r>
      <w:r>
        <w:rPr>
          <w:b/>
        </w:rPr>
        <w:t>slepenība, kas saistīta ar akciju turējumiem, rada nedrošību un sēj bailes un paniku</w:t>
      </w:r>
      <w:r>
        <w:t>.</w:t>
      </w:r>
    </w:p>
    <w:p w:rsidR="00B42E2F" w:rsidP="005D55F5" w:rsidRDefault="00B42E2F" w14:paraId="29C84BE2" w14:textId="6591AD70">
      <w:pPr>
        <w:numPr>
          <w:ilvl w:val="0"/>
          <w:numId w:val="3"/>
        </w:numPr>
        <w:ind w:left="357" w:hanging="357"/>
        <w:contextualSpacing/>
      </w:pPr>
      <w:r>
        <w:t xml:space="preserve">aicina dalībvalstis un ES iestādes </w:t>
      </w:r>
      <w:r>
        <w:rPr>
          <w:b/>
          <w:bCs/>
        </w:rPr>
        <w:t>uzlabot tirgus pārredzamību</w:t>
      </w:r>
      <w:r>
        <w:t>, it īpaši</w:t>
      </w:r>
      <w:r>
        <w:tab/>
        <w:t xml:space="preserve">ar ziņošanu par vides, sociālajiem un pārvaldības (VSP) jautājumiem un </w:t>
      </w:r>
      <w:proofErr w:type="spellStart"/>
      <w:r>
        <w:t>nefinanšu</w:t>
      </w:r>
      <w:proofErr w:type="spellEnd"/>
      <w:r>
        <w:t xml:space="preserve"> informācijas atklāšanu par spekulācijās iesaistītajiem tirgus dalībniekiem, ar centieniem nodrošināt, ka visi globālā tirgus dalībnieki, tostarp valstis un privātā sektora dalībnieki, sniedz ziņojumus Lauksaimniecības tirgus informācijas sistēmai (</w:t>
      </w:r>
      <w:r>
        <w:rPr>
          <w:i/>
          <w:iCs/>
        </w:rPr>
        <w:t>AMIS</w:t>
      </w:r>
      <w:r>
        <w:t>) un</w:t>
      </w:r>
      <w:r>
        <w:tab/>
        <w:t>ar rūpīgākām ārpusbiržas (</w:t>
      </w:r>
      <w:r>
        <w:rPr>
          <w:i/>
          <w:iCs/>
        </w:rPr>
        <w:t>OTC</w:t>
      </w:r>
      <w:r>
        <w:t>) darījumu pārbaudēm;</w:t>
      </w:r>
    </w:p>
    <w:p w:rsidR="00B42E2F" w:rsidP="005D55F5" w:rsidRDefault="005E3426" w14:paraId="30853272" w14:textId="5D8BA66A">
      <w:pPr>
        <w:numPr>
          <w:ilvl w:val="0"/>
          <w:numId w:val="3"/>
        </w:numPr>
        <w:ind w:left="357" w:hanging="357"/>
        <w:contextualSpacing/>
      </w:pPr>
      <w:r>
        <w:t>uzsver, ka preču atvasināto instrumentu tirgi nodrošina būtiskus pakalpojumus (proti, riska pārvaldību un cenu atklāšanu) pārtikas preču ražotājiem un lietotājiem un ka šo tirgu darbību apdraud spekulatīvas darbības; mudina dalībvalstis un ES iestādes veikt vajadzīgos pasākumus, lai ierobežotu</w:t>
      </w:r>
      <w:r>
        <w:rPr>
          <w:b/>
        </w:rPr>
        <w:t xml:space="preserve"> pārmērīgu spekulāciju preču tirgos</w:t>
      </w:r>
      <w:r>
        <w:t>, it īpaši:</w:t>
      </w:r>
    </w:p>
    <w:p w:rsidR="00B42E2F" w:rsidP="00B42E2F" w:rsidRDefault="00B42E2F" w14:paraId="6ABAE376" w14:textId="5E06C23F">
      <w:pPr>
        <w:pStyle w:val="ListParagraph"/>
        <w:numPr>
          <w:ilvl w:val="0"/>
          <w:numId w:val="29"/>
        </w:numPr>
      </w:pPr>
      <w:r>
        <w:t xml:space="preserve">regulējot </w:t>
      </w:r>
      <w:r>
        <w:rPr>
          <w:b/>
          <w:bCs/>
        </w:rPr>
        <w:t>nākotnes darījumu tirgu</w:t>
      </w:r>
      <w:r>
        <w:t>, piemēram, no jauna ieviest regulētu tirgu, kurā tirgo atvasinātos pārtikas produktus,</w:t>
      </w:r>
      <w:r>
        <w:tab/>
        <w:t>ieviest stingrus cenu svārstību ierobežojumus un dienas pozīciju limitus, tiklīdz tirdzniecības darbības preču nākotnes darījumu tirgos liecina par novirzēm,</w:t>
      </w:r>
      <w:r>
        <w:tab/>
        <w:t>ierobežot piekļuvi atvasinātajiem instrumentiem / riska ierobežošanai, atļaujot to tikai “kvalificētiem un zinošiem ieguldītājiem un tirgotājiem, kuriem patiesi rūp attiecīgās lauksaimniecības preces”,</w:t>
      </w:r>
      <w:r>
        <w:tab/>
        <w:t>ieviest īstermiņa / vidēja termiņa / ilgtermiņa līgumsaistības, lai palielinātu stabilitāti un</w:t>
      </w:r>
      <w:r>
        <w:tab/>
        <w:t xml:space="preserve">stimulēt bankas un fondu uzņēmumus, lai tie pārtrauktu finanšu spekulācijas ar pārtikas precēm. regulējot </w:t>
      </w:r>
      <w:r>
        <w:rPr>
          <w:b/>
        </w:rPr>
        <w:t>indeksus (preču cenu indeksi un pārtikas cenu indeksi)</w:t>
      </w:r>
      <w:r>
        <w:t>, piemēram,</w:t>
      </w:r>
      <w:r>
        <w:tab/>
        <w:t xml:space="preserve">regulēt un aizliegt preču cenu indeksu fondus un replikāciju, izmantojot </w:t>
      </w:r>
      <w:r>
        <w:lastRenderedPageBreak/>
        <w:t>mijmaiņas darījumus un biržā tirgotus produktus,</w:t>
      </w:r>
      <w:r>
        <w:tab/>
        <w:t>apturēt publisko līdzekļu / kopfondu līdzekļu</w:t>
      </w:r>
      <w:r w:rsidRPr="00B42E2F">
        <w:rPr>
          <w:vertAlign w:val="superscript"/>
        </w:rPr>
        <w:footnoteReference w:id="2"/>
      </w:r>
      <w:r>
        <w:t xml:space="preserve"> piešķiršanu spekulācijās ar pārtikas precēm iesaistītiem tirgus dalībniekiem,</w:t>
      </w:r>
      <w:r>
        <w:tab/>
        <w:t xml:space="preserve">aizliegt </w:t>
      </w:r>
      <w:proofErr w:type="spellStart"/>
      <w:r>
        <w:t>pamatpreču</w:t>
      </w:r>
      <w:proofErr w:type="spellEnd"/>
      <w:r>
        <w:t xml:space="preserve"> (piemēram, fondu, </w:t>
      </w:r>
      <w:r>
        <w:rPr>
          <w:i/>
          <w:iCs/>
        </w:rPr>
        <w:t>ETF</w:t>
      </w:r>
      <w:r>
        <w:t>) iekļaušanu institucionālo dalībnieku (piemēram, pensiju fondu, apdrošināšanas sabiedrību) portfeļos;</w:t>
      </w:r>
    </w:p>
    <w:p w:rsidR="00B42E2F" w:rsidP="00B42E2F" w:rsidRDefault="00B42E2F" w14:paraId="35AC5B7C" w14:textId="4F6CC940">
      <w:pPr>
        <w:pStyle w:val="ListParagraph"/>
        <w:numPr>
          <w:ilvl w:val="0"/>
          <w:numId w:val="29"/>
        </w:numPr>
      </w:pPr>
      <w:r>
        <w:rPr>
          <w:b/>
        </w:rPr>
        <w:t>risinot jautājumu par pārtikas nozares finansializāciju</w:t>
      </w:r>
      <w:r>
        <w:t>, kas izpaužas kā milzīga naudas pelnīšana uz cilvēku rēķina, piemēram, uzliekot papildu nodokļus uzņēmumu papildu peļņai pirms dividendēm un ieviešot pārtikas spekulāciju nodokli</w:t>
      </w:r>
      <w:r w:rsidRPr="00B42E2F">
        <w:rPr>
          <w:vertAlign w:val="superscript"/>
        </w:rPr>
        <w:footnoteReference w:id="3"/>
      </w:r>
      <w:r>
        <w:t>, lai ierobežotu ļoti biežus tirdzniecības darījumus, un sagraut oligopolus visos ķēdes un finansiālo interešu līmeņos.</w:t>
      </w:r>
    </w:p>
    <w:p w:rsidRPr="009B70E7" w:rsidR="005D55F5" w:rsidP="005D55F5" w:rsidRDefault="005D55F5" w14:paraId="7CB8DA1E" w14:textId="77777777">
      <w:pPr>
        <w:widowControl w:val="0"/>
        <w:spacing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32"/>
        <w:gridCol w:w="5670"/>
      </w:tblGrid>
      <w:tr w:rsidRPr="009B70E7" w:rsidR="005D55F5" w:rsidTr="00D31DE5" w14:paraId="737C4370" w14:textId="77777777">
        <w:tc>
          <w:tcPr>
            <w:tcW w:w="1418" w:type="dxa"/>
          </w:tcPr>
          <w:p w:rsidRPr="009B70E7" w:rsidR="005D55F5" w:rsidP="00D31DE5" w:rsidRDefault="005D55F5" w14:paraId="5A94AEDA" w14:textId="36A7A0C0">
            <w:pPr>
              <w:pStyle w:val="ListParagraph"/>
              <w:ind w:left="0"/>
              <w:rPr>
                <w:i/>
              </w:rPr>
            </w:pPr>
            <w:r>
              <w:rPr>
                <w:b/>
                <w:i/>
              </w:rPr>
              <w:t>Kontaktpersona:</w:t>
            </w:r>
          </w:p>
        </w:tc>
        <w:tc>
          <w:tcPr>
            <w:tcW w:w="5670" w:type="dxa"/>
          </w:tcPr>
          <w:p w:rsidRPr="009B70E7" w:rsidR="005D55F5" w:rsidP="00D31DE5" w:rsidRDefault="005D55F5" w14:paraId="1504C813" w14:textId="69013DB7">
            <w:pPr>
              <w:pStyle w:val="ListParagraph"/>
              <w:ind w:left="0"/>
              <w:rPr>
                <w:i/>
              </w:rPr>
            </w:pPr>
            <w:proofErr w:type="spellStart"/>
            <w:r>
              <w:rPr>
                <w:i/>
              </w:rPr>
              <w:t>Monica</w:t>
            </w:r>
            <w:proofErr w:type="spellEnd"/>
            <w:r>
              <w:rPr>
                <w:i/>
              </w:rPr>
              <w:t xml:space="preserve"> </w:t>
            </w:r>
            <w:proofErr w:type="spellStart"/>
            <w:r>
              <w:rPr>
                <w:i/>
              </w:rPr>
              <w:t>Guarinoni</w:t>
            </w:r>
            <w:proofErr w:type="spellEnd"/>
          </w:p>
        </w:tc>
      </w:tr>
      <w:tr w:rsidRPr="009B70E7" w:rsidR="005D55F5" w:rsidTr="00D31DE5" w14:paraId="6F66E21F" w14:textId="77777777">
        <w:tc>
          <w:tcPr>
            <w:tcW w:w="1418" w:type="dxa"/>
          </w:tcPr>
          <w:p w:rsidRPr="009B70E7" w:rsidR="005D55F5" w:rsidP="00D31DE5" w:rsidRDefault="005D55F5" w14:paraId="013404EB" w14:textId="57CEB0AD">
            <w:pPr>
              <w:pStyle w:val="ListParagraph"/>
              <w:ind w:left="601"/>
              <w:rPr>
                <w:i/>
              </w:rPr>
            </w:pPr>
            <w:r>
              <w:rPr>
                <w:i/>
              </w:rPr>
              <w:t>Tālr.:</w:t>
            </w:r>
          </w:p>
        </w:tc>
        <w:tc>
          <w:tcPr>
            <w:tcW w:w="5670" w:type="dxa"/>
          </w:tcPr>
          <w:p w:rsidRPr="009B70E7" w:rsidR="005D55F5" w:rsidP="00D31DE5" w:rsidRDefault="005D55F5" w14:paraId="43AD6E22" w14:textId="65BD5A86">
            <w:pPr>
              <w:pStyle w:val="ListParagraph"/>
              <w:ind w:left="0"/>
              <w:rPr>
                <w:i/>
              </w:rPr>
            </w:pPr>
            <w:r>
              <w:rPr>
                <w:i/>
              </w:rPr>
              <w:t>00 32 2 546 81 27</w:t>
            </w:r>
          </w:p>
        </w:tc>
      </w:tr>
      <w:tr w:rsidRPr="009B70E7" w:rsidR="005D55F5" w:rsidTr="00D31DE5" w14:paraId="71EEB525" w14:textId="77777777">
        <w:tc>
          <w:tcPr>
            <w:tcW w:w="1418" w:type="dxa"/>
          </w:tcPr>
          <w:p w:rsidRPr="009B70E7" w:rsidR="005D55F5" w:rsidP="00D31DE5" w:rsidRDefault="005D55F5" w14:paraId="58FDA769" w14:textId="2F5CCF44">
            <w:pPr>
              <w:pStyle w:val="ListParagraph"/>
              <w:ind w:left="601"/>
              <w:rPr>
                <w:i/>
              </w:rPr>
            </w:pPr>
            <w:r>
              <w:rPr>
                <w:i/>
              </w:rPr>
              <w:t>E-pasts:</w:t>
            </w:r>
          </w:p>
        </w:tc>
        <w:tc>
          <w:tcPr>
            <w:tcW w:w="5670" w:type="dxa"/>
          </w:tcPr>
          <w:p w:rsidRPr="005D55F5" w:rsidR="005D55F5" w:rsidP="00D31DE5" w:rsidRDefault="00D31DE5" w14:paraId="160C5392" w14:textId="5D01D204">
            <w:pPr>
              <w:pStyle w:val="ListParagraph"/>
              <w:ind w:left="0"/>
              <w:rPr>
                <w:i/>
                <w:iCs/>
              </w:rPr>
            </w:pPr>
            <w:hyperlink w:history="1" r:id="rId37">
              <w:r w:rsidR="008D0A46">
                <w:rPr>
                  <w:rStyle w:val="Hyperlink"/>
                  <w:i/>
                </w:rPr>
                <w:t>Monica.Guarinoni@eesc.europa.eu</w:t>
              </w:r>
            </w:hyperlink>
          </w:p>
        </w:tc>
      </w:tr>
    </w:tbl>
    <w:p w:rsidR="009A3E0E" w:rsidRDefault="009A3E0E" w14:paraId="1E862E43" w14:textId="77777777">
      <w:pPr>
        <w:spacing w:after="160" w:line="259" w:lineRule="auto"/>
        <w:jc w:val="left"/>
        <w:rPr>
          <w:sz w:val="28"/>
          <w:szCs w:val="16"/>
        </w:rPr>
      </w:pPr>
      <w:r>
        <w:br w:type="page"/>
      </w:r>
    </w:p>
    <w:p w:rsidR="00B42E2F" w:rsidP="00B42E2F" w:rsidRDefault="00AA22BE" w14:paraId="4480BA3D" w14:textId="26B1661A">
      <w:pPr>
        <w:pStyle w:val="ListParagraph"/>
        <w:keepNext/>
        <w:numPr>
          <w:ilvl w:val="0"/>
          <w:numId w:val="2"/>
        </w:numPr>
        <w:ind w:left="567" w:hanging="567"/>
        <w:rPr>
          <w:b/>
          <w:bCs/>
          <w:i/>
          <w:iCs/>
          <w:sz w:val="28"/>
          <w:szCs w:val="28"/>
        </w:rPr>
      </w:pPr>
      <w:r>
        <w:rPr>
          <w:b/>
          <w:i/>
          <w:sz w:val="28"/>
        </w:rPr>
        <w:lastRenderedPageBreak/>
        <w:t>ES skolu apgādes programmas novērtējums</w:t>
      </w:r>
    </w:p>
    <w:p w:rsidRPr="000247C5" w:rsidR="00B42E2F" w:rsidP="00B42E2F" w:rsidRDefault="00B42E2F" w14:paraId="19758105" w14:textId="77777777">
      <w:pPr>
        <w:keepNext/>
        <w:rPr>
          <w:b/>
          <w:bCs/>
          <w:i/>
          <w:iCs/>
          <w:sz w:val="28"/>
          <w:szCs w:val="2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9B70E7" w:rsidR="00B42E2F" w:rsidTr="00D31DE5" w14:paraId="7F29CE0D" w14:textId="77777777">
        <w:tc>
          <w:tcPr>
            <w:tcW w:w="1701" w:type="dxa"/>
          </w:tcPr>
          <w:p w:rsidRPr="009B70E7" w:rsidR="00B42E2F" w:rsidP="00D31DE5" w:rsidRDefault="00B42E2F" w14:paraId="4BE349EC" w14:textId="0ED28894">
            <w:pPr>
              <w:pStyle w:val="ListParagraph"/>
              <w:keepNext/>
              <w:ind w:left="0"/>
              <w:rPr>
                <w:b/>
              </w:rPr>
            </w:pPr>
            <w:r>
              <w:rPr>
                <w:b/>
              </w:rPr>
              <w:t>Ziņotājs</w:t>
            </w:r>
          </w:p>
        </w:tc>
        <w:tc>
          <w:tcPr>
            <w:tcW w:w="5387" w:type="dxa"/>
          </w:tcPr>
          <w:p w:rsidRPr="009B70E7" w:rsidR="00B42E2F" w:rsidP="00D31DE5" w:rsidRDefault="00B42E2F" w14:paraId="6997C9E9" w14:textId="76A0C06D">
            <w:pPr>
              <w:pStyle w:val="ListParagraph"/>
              <w:keepNext/>
              <w:ind w:left="-106"/>
            </w:pPr>
            <w:r>
              <w:t xml:space="preserve">Arnold PUECH </w:t>
            </w:r>
            <w:proofErr w:type="spellStart"/>
            <w:r>
              <w:t>d'ALISSAC</w:t>
            </w:r>
            <w:proofErr w:type="spellEnd"/>
            <w:r>
              <w:t xml:space="preserve"> (Darba devēju grupa – FR)</w:t>
            </w:r>
          </w:p>
        </w:tc>
      </w:tr>
      <w:tr w:rsidRPr="009B70E7" w:rsidR="00B42E2F" w:rsidTr="00D31DE5" w14:paraId="21CD0744" w14:textId="77777777">
        <w:tc>
          <w:tcPr>
            <w:tcW w:w="1701" w:type="dxa"/>
          </w:tcPr>
          <w:p w:rsidRPr="007B231B" w:rsidR="00B42E2F" w:rsidP="00D31DE5" w:rsidRDefault="00B42E2F" w14:paraId="01D2C3D5" w14:textId="77777777">
            <w:pPr>
              <w:pStyle w:val="ListParagraph"/>
              <w:keepNext/>
              <w:ind w:left="0"/>
              <w:rPr>
                <w:b/>
              </w:rPr>
            </w:pPr>
          </w:p>
        </w:tc>
        <w:tc>
          <w:tcPr>
            <w:tcW w:w="5387" w:type="dxa"/>
          </w:tcPr>
          <w:p w:rsidRPr="00E54548" w:rsidR="00B42E2F" w:rsidP="00D31DE5" w:rsidRDefault="00B42E2F" w14:paraId="0DAF86A4" w14:textId="77777777">
            <w:pPr>
              <w:pStyle w:val="ListParagraph"/>
              <w:keepNext/>
              <w:ind w:left="-106"/>
              <w:rPr>
                <w:highlight w:val="yellow"/>
              </w:rPr>
            </w:pPr>
          </w:p>
        </w:tc>
      </w:tr>
    </w:tbl>
    <w:tbl>
      <w:tblPr>
        <w:tblStyle w:val="TableGrid7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032038" w:rsidR="00B42E2F" w:rsidTr="00BA494E" w14:paraId="67319E31" w14:textId="77777777">
        <w:tc>
          <w:tcPr>
            <w:tcW w:w="1701" w:type="dxa"/>
          </w:tcPr>
          <w:p w:rsidRPr="00032038" w:rsidR="00B42E2F" w:rsidP="00D31DE5" w:rsidRDefault="00B42E2F" w14:paraId="519C8355" w14:textId="317757AF">
            <w:pPr>
              <w:contextualSpacing/>
              <w:rPr>
                <w:b/>
              </w:rPr>
            </w:pPr>
            <w:r>
              <w:rPr>
                <w:b/>
              </w:rPr>
              <w:t xml:space="preserve">Atsauces </w:t>
            </w:r>
          </w:p>
        </w:tc>
        <w:tc>
          <w:tcPr>
            <w:tcW w:w="5387" w:type="dxa"/>
          </w:tcPr>
          <w:p w:rsidRPr="00032038" w:rsidR="00B42E2F" w:rsidP="00D31DE5" w:rsidRDefault="00B42E2F" w14:paraId="7C674697" w14:textId="6690098B">
            <w:pPr>
              <w:tabs>
                <w:tab w:val="center" w:pos="284"/>
              </w:tabs>
              <w:ind w:left="266" w:right="-534" w:hanging="374"/>
            </w:pPr>
            <w:r>
              <w:t>Novērtējuma ziņojums</w:t>
            </w:r>
          </w:p>
          <w:p w:rsidRPr="00032038" w:rsidR="00B42E2F" w:rsidP="00D31DE5" w:rsidRDefault="00B42E2F" w14:paraId="210C1295" w14:textId="3C0C63ED">
            <w:pPr>
              <w:ind w:left="-108"/>
              <w:contextualSpacing/>
            </w:pPr>
            <w:r>
              <w:t>EESC-2022-01724-00-00-RE</w:t>
            </w:r>
          </w:p>
        </w:tc>
      </w:tr>
    </w:tbl>
    <w:p w:rsidRPr="002C4B6E" w:rsidR="00B42E2F" w:rsidP="00B42E2F" w:rsidRDefault="00B42E2F" w14:paraId="758EA340" w14:textId="77777777">
      <w:pPr>
        <w:pStyle w:val="ListParagraph"/>
        <w:spacing w:line="240" w:lineRule="auto"/>
        <w:ind w:left="-142" w:firstLine="142"/>
        <w:rPr>
          <w:b/>
        </w:rPr>
      </w:pPr>
    </w:p>
    <w:p w:rsidRPr="00A00F37" w:rsidR="00B42E2F" w:rsidP="00FD3EB9" w:rsidRDefault="00D31DE5" w14:paraId="7C19CC33" w14:textId="72B77AF8">
      <w:pPr>
        <w:pStyle w:val="ListParagraph"/>
        <w:spacing w:line="240" w:lineRule="auto"/>
        <w:ind w:left="0"/>
        <w:rPr>
          <w:b/>
        </w:rPr>
      </w:pPr>
      <w:r>
        <w:rPr>
          <w:b/>
          <w:bCs/>
        </w:rPr>
        <w:t>Galvenās nostādnes</w:t>
      </w:r>
    </w:p>
    <w:p w:rsidR="00B42E2F" w:rsidP="00B42E2F" w:rsidRDefault="00B42E2F" w14:paraId="04BBCDC5" w14:textId="77777777">
      <w:pPr>
        <w:pStyle w:val="ListParagraph"/>
        <w:keepNext/>
        <w:ind w:left="0"/>
      </w:pPr>
    </w:p>
    <w:p w:rsidR="00B42E2F" w:rsidP="00FD3EB9" w:rsidRDefault="00B42E2F" w14:paraId="33D1C12E" w14:textId="77777777">
      <w:pPr>
        <w:pStyle w:val="ListParagraph"/>
        <w:ind w:left="0"/>
      </w:pPr>
      <w:r>
        <w:t>EESK:</w:t>
      </w:r>
    </w:p>
    <w:p w:rsidR="00B42E2F" w:rsidP="00B42E2F" w:rsidRDefault="00B42E2F" w14:paraId="10ECC78C" w14:textId="77777777">
      <w:pPr>
        <w:pStyle w:val="ListParagraph"/>
        <w:keepNext/>
        <w:ind w:left="0"/>
      </w:pPr>
    </w:p>
    <w:p w:rsidRPr="00AA22BE" w:rsidR="00B42E2F" w:rsidP="00B42E2F" w:rsidRDefault="00AA22BE" w14:paraId="66B0046C" w14:textId="16A466DD">
      <w:pPr>
        <w:numPr>
          <w:ilvl w:val="0"/>
          <w:numId w:val="3"/>
        </w:numPr>
        <w:ind w:left="357" w:hanging="357"/>
        <w:contextualSpacing/>
      </w:pPr>
      <w:r>
        <w:t>atzinīgi vērtē ES skolu apgādes programmu attiecībā uz augļiem, dārzeņiem un piena produktiem;</w:t>
      </w:r>
    </w:p>
    <w:p w:rsidR="00AA22BE" w:rsidP="00B42E2F" w:rsidRDefault="00AA22BE" w14:paraId="3C0ADD70" w14:textId="52393254">
      <w:pPr>
        <w:numPr>
          <w:ilvl w:val="0"/>
          <w:numId w:val="3"/>
        </w:numPr>
        <w:ind w:left="357" w:hanging="357"/>
        <w:contextualSpacing/>
      </w:pPr>
      <w:r>
        <w:t>sniedz ieteikumus valstu un Eiropas līmenī, lai uzlabotu programmas efektivitāti un piemērotību, kā arī pilsoniskās sabiedrības iesaisti, pamatojoties uz visaptverošu apspriešanos ar ieinteresētajām personām piecās ES dalībvalstīs, un iesaka pasākumus ar mērķi</w:t>
      </w:r>
    </w:p>
    <w:p w:rsidR="00AA22BE" w:rsidP="00AA22BE" w:rsidRDefault="00AA22BE" w14:paraId="219FA7D7" w14:textId="77777777">
      <w:pPr>
        <w:pStyle w:val="ListParagraph"/>
        <w:numPr>
          <w:ilvl w:val="1"/>
          <w:numId w:val="3"/>
        </w:numPr>
      </w:pPr>
      <w:r>
        <w:t xml:space="preserve">būtiski vienkāršot dalībvalstu </w:t>
      </w:r>
      <w:r>
        <w:rPr>
          <w:b/>
          <w:bCs/>
        </w:rPr>
        <w:t>administratīvās procedūras</w:t>
      </w:r>
      <w:r>
        <w:t>,</w:t>
      </w:r>
    </w:p>
    <w:p w:rsidR="00AA22BE" w:rsidP="00AA22BE" w:rsidRDefault="00AA22BE" w14:paraId="04F6AB1E" w14:textId="77777777">
      <w:pPr>
        <w:pStyle w:val="ListParagraph"/>
        <w:numPr>
          <w:ilvl w:val="1"/>
          <w:numId w:val="3"/>
        </w:numPr>
      </w:pPr>
      <w:r>
        <w:t xml:space="preserve">uzlabot programmas </w:t>
      </w:r>
      <w:r>
        <w:rPr>
          <w:b/>
          <w:bCs/>
        </w:rPr>
        <w:t>popularizēšanu un informēt</w:t>
      </w:r>
      <w:r>
        <w:t xml:space="preserve"> par to attiecīgos dalībniekus, </w:t>
      </w:r>
    </w:p>
    <w:p w:rsidR="00AA22BE" w:rsidP="00AA22BE" w:rsidRDefault="00AA22BE" w14:paraId="060F405F" w14:textId="77777777">
      <w:pPr>
        <w:pStyle w:val="ListParagraph"/>
        <w:numPr>
          <w:ilvl w:val="1"/>
          <w:numId w:val="3"/>
        </w:numPr>
      </w:pPr>
      <w:r>
        <w:t xml:space="preserve">integrēt programmu </w:t>
      </w:r>
      <w:r>
        <w:rPr>
          <w:b/>
          <w:bCs/>
        </w:rPr>
        <w:t>reģionālajās vai valsts pārtikas politikas jomās</w:t>
      </w:r>
      <w:r>
        <w:t xml:space="preserve">; </w:t>
      </w:r>
    </w:p>
    <w:p w:rsidRPr="00AA22BE" w:rsidR="00AA22BE" w:rsidP="00AA22BE" w:rsidRDefault="00AA22BE" w14:paraId="774C9C26" w14:textId="20A5DBBF">
      <w:pPr>
        <w:numPr>
          <w:ilvl w:val="0"/>
          <w:numId w:val="3"/>
        </w:numPr>
        <w:ind w:left="357" w:hanging="357"/>
        <w:contextualSpacing/>
      </w:pPr>
      <w:r>
        <w:t>īpaši uzsver, ka ir nepieciešams</w:t>
      </w:r>
    </w:p>
    <w:p w:rsidR="00AA22BE" w:rsidP="00AA22BE" w:rsidRDefault="00AA22BE" w14:paraId="294CEE76" w14:textId="77777777">
      <w:pPr>
        <w:pStyle w:val="ListParagraph"/>
        <w:numPr>
          <w:ilvl w:val="1"/>
          <w:numId w:val="3"/>
        </w:numPr>
      </w:pPr>
      <w:r>
        <w:t xml:space="preserve">izveidot </w:t>
      </w:r>
      <w:r>
        <w:rPr>
          <w:b/>
          <w:bCs/>
        </w:rPr>
        <w:t>valsts uzraudzības un novērtēšanas komitejas</w:t>
      </w:r>
      <w:r>
        <w:t xml:space="preserve"> dalībvalstīs, </w:t>
      </w:r>
    </w:p>
    <w:p w:rsidR="00AA22BE" w:rsidP="00AA22BE" w:rsidRDefault="00AA22BE" w14:paraId="0764EE13" w14:textId="77777777">
      <w:pPr>
        <w:pStyle w:val="ListParagraph"/>
        <w:numPr>
          <w:ilvl w:val="1"/>
          <w:numId w:val="3"/>
        </w:numPr>
      </w:pPr>
      <w:r>
        <w:t xml:space="preserve">Eiropas Komisijas uzraudzībā izstrādāt </w:t>
      </w:r>
      <w:r>
        <w:rPr>
          <w:b/>
          <w:bCs/>
        </w:rPr>
        <w:t>“Labākās prakses rokasgrāmatu”</w:t>
      </w:r>
      <w:r>
        <w:t>,</w:t>
      </w:r>
    </w:p>
    <w:p w:rsidR="00AA22BE" w:rsidP="00AA22BE" w:rsidRDefault="00AA22BE" w14:paraId="7ECCA42B" w14:textId="77777777">
      <w:pPr>
        <w:pStyle w:val="ListParagraph"/>
        <w:numPr>
          <w:ilvl w:val="1"/>
          <w:numId w:val="3"/>
        </w:numPr>
      </w:pPr>
      <w:r>
        <w:t xml:space="preserve">mudināt dalībvalstu veselības aizsardzības iestādes paplašināt </w:t>
      </w:r>
      <w:r>
        <w:rPr>
          <w:b/>
          <w:bCs/>
        </w:rPr>
        <w:t>atļauto produktu klāstu</w:t>
      </w:r>
      <w:r>
        <w:t xml:space="preserve"> (piemēram, saldinātājus jogurtiem un taukus neapstrādātiem dārzeņiem), lai apkarotu pārtikas izšķērdēšanu un veicinātu videi nekaitīgāku iepakojumu, </w:t>
      </w:r>
    </w:p>
    <w:p w:rsidR="00AA22BE" w:rsidP="00AA22BE" w:rsidRDefault="00AA22BE" w14:paraId="15EBEE14" w14:textId="0BC30215">
      <w:pPr>
        <w:pStyle w:val="ListParagraph"/>
        <w:numPr>
          <w:ilvl w:val="1"/>
          <w:numId w:val="3"/>
        </w:numPr>
      </w:pPr>
      <w:r>
        <w:t xml:space="preserve">palielināt </w:t>
      </w:r>
      <w:r>
        <w:rPr>
          <w:b/>
          <w:bCs/>
        </w:rPr>
        <w:t>piešķirto līdzekļu</w:t>
      </w:r>
      <w:r>
        <w:t xml:space="preserve"> izlietošanas iespējas, it īpaši apmācībai par nekaitīgu un ilgtspējīgu veselīgu uzturu,</w:t>
      </w:r>
    </w:p>
    <w:p w:rsidRPr="00AA22BE" w:rsidR="00AA22BE" w:rsidP="00AA22BE" w:rsidRDefault="00AA22BE" w14:paraId="533387DD" w14:textId="557CFCDD">
      <w:pPr>
        <w:pStyle w:val="ListParagraph"/>
        <w:numPr>
          <w:ilvl w:val="1"/>
          <w:numId w:val="3"/>
        </w:numPr>
      </w:pPr>
      <w:r>
        <w:t xml:space="preserve">iekļaut programmā sociālos faktorus, lai uzlabotu atbalstu </w:t>
      </w:r>
      <w:r>
        <w:rPr>
          <w:b/>
          <w:bCs/>
        </w:rPr>
        <w:t>nelabvēlīgā situācijā esošiem bērniem</w:t>
      </w:r>
      <w:r>
        <w:t>,</w:t>
      </w:r>
    </w:p>
    <w:p w:rsidR="00AA22BE" w:rsidP="00AA22BE" w:rsidRDefault="00AA22BE" w14:paraId="36FD7CEF" w14:textId="3239F3AC">
      <w:pPr>
        <w:pStyle w:val="ListParagraph"/>
        <w:numPr>
          <w:ilvl w:val="1"/>
          <w:numId w:val="3"/>
        </w:numPr>
      </w:pPr>
      <w:r>
        <w:t xml:space="preserve">stiprināt dalībvalstu atbalstu </w:t>
      </w:r>
      <w:r>
        <w:rPr>
          <w:b/>
          <w:bCs/>
        </w:rPr>
        <w:t>ražotājiem</w:t>
      </w:r>
      <w:r>
        <w:t xml:space="preserve"> (pārskatītas cenas, vietējo produktu piegāde, ražotāju grupu apvienību veicināšana),</w:t>
      </w:r>
    </w:p>
    <w:p w:rsidRPr="00637388" w:rsidR="00AA22BE" w:rsidP="00AA22BE" w:rsidRDefault="00AA22BE" w14:paraId="78151658" w14:textId="77777777">
      <w:pPr>
        <w:pStyle w:val="ListParagraph"/>
        <w:numPr>
          <w:ilvl w:val="1"/>
          <w:numId w:val="3"/>
        </w:numPr>
      </w:pPr>
      <w:r>
        <w:t xml:space="preserve">nodrošināt </w:t>
      </w:r>
      <w:r>
        <w:rPr>
          <w:b/>
          <w:bCs/>
        </w:rPr>
        <w:t>tehniskos rīkus</w:t>
      </w:r>
      <w:r>
        <w:t xml:space="preserve"> skolotājiem un skolu darbiniekiem, kas atbild par programmu, lai viņi varētu iesaistīt vecākus,</w:t>
      </w:r>
    </w:p>
    <w:p w:rsidR="00B42E2F" w:rsidP="00B42E2F" w:rsidRDefault="00AA22BE" w14:paraId="083ED160" w14:textId="0A20B045">
      <w:pPr>
        <w:pStyle w:val="ListParagraph"/>
        <w:numPr>
          <w:ilvl w:val="1"/>
          <w:numId w:val="3"/>
        </w:numPr>
      </w:pPr>
      <w:r>
        <w:t xml:space="preserve">paplašināt </w:t>
      </w:r>
      <w:r>
        <w:rPr>
          <w:b/>
          <w:bCs/>
        </w:rPr>
        <w:t>pilsoniskās sabiedrības</w:t>
      </w:r>
      <w:r>
        <w:t xml:space="preserve"> iesaisti:</w:t>
      </w:r>
      <w:r>
        <w:tab/>
        <w:t xml:space="preserve">apzināt dalībvalstīs pilsoniskās sabiedrības pārstāvības organizācijas un sociālos partnerus un iepazīstināt ar programmu, un skolās </w:t>
      </w:r>
      <w:r>
        <w:rPr>
          <w:b/>
          <w:bCs/>
        </w:rPr>
        <w:t>regulāri organizēt sanāksmes</w:t>
      </w:r>
      <w:r>
        <w:t>, lai informētu un konsultētu vecākus par šo programmu.</w:t>
      </w:r>
    </w:p>
    <w:p w:rsidRPr="009B70E7" w:rsidR="00B42E2F" w:rsidP="00B42E2F" w:rsidRDefault="00B42E2F" w14:paraId="6CF2FA6F" w14:textId="77777777">
      <w:pPr>
        <w:widowControl w:val="0"/>
        <w:spacing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32"/>
        <w:gridCol w:w="5670"/>
      </w:tblGrid>
      <w:tr w:rsidRPr="009B70E7" w:rsidR="00B42E2F" w:rsidTr="00D31DE5" w14:paraId="44423419" w14:textId="77777777">
        <w:tc>
          <w:tcPr>
            <w:tcW w:w="1418" w:type="dxa"/>
          </w:tcPr>
          <w:p w:rsidRPr="009B70E7" w:rsidR="00B42E2F" w:rsidP="00D31DE5" w:rsidRDefault="00B42E2F" w14:paraId="407E54C2" w14:textId="420B9BF0">
            <w:pPr>
              <w:pStyle w:val="ListParagraph"/>
              <w:ind w:left="0"/>
              <w:rPr>
                <w:i/>
              </w:rPr>
            </w:pPr>
            <w:r>
              <w:rPr>
                <w:b/>
                <w:i/>
              </w:rPr>
              <w:t>Kontaktpersona:</w:t>
            </w:r>
          </w:p>
        </w:tc>
        <w:tc>
          <w:tcPr>
            <w:tcW w:w="5670" w:type="dxa"/>
          </w:tcPr>
          <w:p w:rsidRPr="009B70E7" w:rsidR="00B42E2F" w:rsidP="00D31DE5" w:rsidRDefault="00F0060E" w14:paraId="498667A0" w14:textId="7B80C12A">
            <w:pPr>
              <w:pStyle w:val="ListParagraph"/>
              <w:ind w:left="0"/>
              <w:rPr>
                <w:i/>
              </w:rPr>
            </w:pPr>
            <w:proofErr w:type="spellStart"/>
            <w:r>
              <w:rPr>
                <w:i/>
              </w:rPr>
              <w:t>Martine</w:t>
            </w:r>
            <w:proofErr w:type="spellEnd"/>
            <w:r>
              <w:rPr>
                <w:i/>
              </w:rPr>
              <w:t xml:space="preserve"> </w:t>
            </w:r>
            <w:proofErr w:type="spellStart"/>
            <w:r>
              <w:rPr>
                <w:i/>
              </w:rPr>
              <w:t>Delanoy</w:t>
            </w:r>
            <w:proofErr w:type="spellEnd"/>
          </w:p>
        </w:tc>
      </w:tr>
      <w:tr w:rsidRPr="009B70E7" w:rsidR="00B42E2F" w:rsidTr="00D31DE5" w14:paraId="08050107" w14:textId="77777777">
        <w:tc>
          <w:tcPr>
            <w:tcW w:w="1418" w:type="dxa"/>
          </w:tcPr>
          <w:p w:rsidRPr="009B70E7" w:rsidR="00B42E2F" w:rsidP="00D31DE5" w:rsidRDefault="00B42E2F" w14:paraId="3AD58E28" w14:textId="526A17EF">
            <w:pPr>
              <w:pStyle w:val="ListParagraph"/>
              <w:ind w:left="601"/>
              <w:rPr>
                <w:i/>
              </w:rPr>
            </w:pPr>
            <w:r>
              <w:rPr>
                <w:i/>
              </w:rPr>
              <w:t>Tālr.:</w:t>
            </w:r>
          </w:p>
        </w:tc>
        <w:tc>
          <w:tcPr>
            <w:tcW w:w="5670" w:type="dxa"/>
          </w:tcPr>
          <w:p w:rsidRPr="009B70E7" w:rsidR="00B42E2F" w:rsidP="00D31DE5" w:rsidRDefault="00B42E2F" w14:paraId="2DBB5DAA" w14:textId="7E1E62A1">
            <w:pPr>
              <w:pStyle w:val="ListParagraph"/>
              <w:ind w:left="0"/>
              <w:rPr>
                <w:i/>
              </w:rPr>
            </w:pPr>
            <w:r>
              <w:rPr>
                <w:i/>
              </w:rPr>
              <w:t>00 32 2 546 98 02</w:t>
            </w:r>
          </w:p>
        </w:tc>
      </w:tr>
      <w:tr w:rsidRPr="009B70E7" w:rsidR="00B42E2F" w:rsidTr="00D31DE5" w14:paraId="7D0607F8" w14:textId="77777777">
        <w:tc>
          <w:tcPr>
            <w:tcW w:w="1418" w:type="dxa"/>
          </w:tcPr>
          <w:p w:rsidRPr="009B70E7" w:rsidR="00B42E2F" w:rsidP="00D31DE5" w:rsidRDefault="00B42E2F" w14:paraId="43051AD9" w14:textId="4B250C2F">
            <w:pPr>
              <w:pStyle w:val="ListParagraph"/>
              <w:ind w:left="601"/>
              <w:rPr>
                <w:i/>
              </w:rPr>
            </w:pPr>
            <w:r>
              <w:rPr>
                <w:i/>
              </w:rPr>
              <w:t>E-pasts:</w:t>
            </w:r>
          </w:p>
        </w:tc>
        <w:tc>
          <w:tcPr>
            <w:tcW w:w="5670" w:type="dxa"/>
          </w:tcPr>
          <w:p w:rsidR="00B42E2F" w:rsidP="00D31DE5" w:rsidRDefault="00D31DE5" w14:paraId="2F0FEF8C" w14:textId="77777777">
            <w:pPr>
              <w:pStyle w:val="ListParagraph"/>
              <w:ind w:left="0"/>
              <w:rPr>
                <w:i/>
              </w:rPr>
            </w:pPr>
            <w:hyperlink w:history="1" r:id="rId38">
              <w:r w:rsidR="008D0A46">
                <w:rPr>
                  <w:rStyle w:val="Hyperlink"/>
                  <w:i/>
                </w:rPr>
                <w:t>Martine.Delanoy@eesc.europa.eu</w:t>
              </w:r>
            </w:hyperlink>
          </w:p>
          <w:p w:rsidRPr="005D55F5" w:rsidR="00F0060E" w:rsidP="00D31DE5" w:rsidRDefault="00F0060E" w14:paraId="35E3BE3D" w14:textId="030D44AA">
            <w:pPr>
              <w:pStyle w:val="ListParagraph"/>
              <w:ind w:left="0"/>
              <w:rPr>
                <w:i/>
                <w:iCs/>
              </w:rPr>
            </w:pPr>
          </w:p>
        </w:tc>
      </w:tr>
      <w:tr w:rsidRPr="009B70E7" w:rsidR="00F0060E" w:rsidTr="00D31DE5" w14:paraId="50706B9B" w14:textId="77777777">
        <w:tc>
          <w:tcPr>
            <w:tcW w:w="1418" w:type="dxa"/>
          </w:tcPr>
          <w:p w:rsidRPr="009B70E7" w:rsidR="00F0060E" w:rsidP="00D31DE5" w:rsidRDefault="00F0060E" w14:paraId="4C61F36A" w14:textId="13396E90">
            <w:pPr>
              <w:pStyle w:val="ListParagraph"/>
              <w:ind w:left="0"/>
              <w:rPr>
                <w:i/>
              </w:rPr>
            </w:pPr>
            <w:r>
              <w:rPr>
                <w:b/>
                <w:i/>
              </w:rPr>
              <w:t>Kontaktpersona:</w:t>
            </w:r>
          </w:p>
        </w:tc>
        <w:tc>
          <w:tcPr>
            <w:tcW w:w="5670" w:type="dxa"/>
          </w:tcPr>
          <w:p w:rsidRPr="009B70E7" w:rsidR="00F0060E" w:rsidP="00D31DE5" w:rsidRDefault="00F0060E" w14:paraId="64C40E96" w14:textId="4E0E6307">
            <w:pPr>
              <w:pStyle w:val="ListParagraph"/>
              <w:ind w:left="0"/>
              <w:rPr>
                <w:i/>
              </w:rPr>
            </w:pPr>
            <w:r>
              <w:rPr>
                <w:i/>
              </w:rPr>
              <w:t xml:space="preserve">Laura </w:t>
            </w:r>
            <w:proofErr w:type="spellStart"/>
            <w:r>
              <w:rPr>
                <w:i/>
              </w:rPr>
              <w:t>Ernsteina</w:t>
            </w:r>
            <w:proofErr w:type="spellEnd"/>
          </w:p>
        </w:tc>
      </w:tr>
      <w:tr w:rsidRPr="009B70E7" w:rsidR="00F0060E" w:rsidTr="00D31DE5" w14:paraId="13920AB6" w14:textId="77777777">
        <w:tc>
          <w:tcPr>
            <w:tcW w:w="1418" w:type="dxa"/>
          </w:tcPr>
          <w:p w:rsidRPr="009B70E7" w:rsidR="00F0060E" w:rsidP="00D31DE5" w:rsidRDefault="00F0060E" w14:paraId="03DCEE5B" w14:textId="1D534E46">
            <w:pPr>
              <w:pStyle w:val="ListParagraph"/>
              <w:ind w:left="601"/>
              <w:rPr>
                <w:i/>
              </w:rPr>
            </w:pPr>
            <w:r>
              <w:rPr>
                <w:i/>
              </w:rPr>
              <w:t>Tālr.:</w:t>
            </w:r>
          </w:p>
        </w:tc>
        <w:tc>
          <w:tcPr>
            <w:tcW w:w="5670" w:type="dxa"/>
          </w:tcPr>
          <w:p w:rsidRPr="009B70E7" w:rsidR="00F0060E" w:rsidP="00D31DE5" w:rsidRDefault="00F0060E" w14:paraId="4DB0D2C1" w14:textId="5C003881">
            <w:pPr>
              <w:pStyle w:val="ListParagraph"/>
              <w:ind w:left="0"/>
              <w:rPr>
                <w:i/>
              </w:rPr>
            </w:pPr>
            <w:r>
              <w:rPr>
                <w:i/>
              </w:rPr>
              <w:t>00 32 2 546 91 94</w:t>
            </w:r>
          </w:p>
        </w:tc>
      </w:tr>
      <w:tr w:rsidRPr="005D55F5" w:rsidR="00F0060E" w:rsidTr="00D31DE5" w14:paraId="03BC3D2D" w14:textId="77777777">
        <w:tc>
          <w:tcPr>
            <w:tcW w:w="1418" w:type="dxa"/>
          </w:tcPr>
          <w:p w:rsidRPr="009B70E7" w:rsidR="00F0060E" w:rsidP="00D31DE5" w:rsidRDefault="00F0060E" w14:paraId="64B19E5D" w14:textId="1FEEA39B">
            <w:pPr>
              <w:pStyle w:val="ListParagraph"/>
              <w:ind w:left="601"/>
              <w:rPr>
                <w:i/>
              </w:rPr>
            </w:pPr>
            <w:r>
              <w:rPr>
                <w:i/>
              </w:rPr>
              <w:t>E-pasts:</w:t>
            </w:r>
          </w:p>
        </w:tc>
        <w:tc>
          <w:tcPr>
            <w:tcW w:w="5670" w:type="dxa"/>
          </w:tcPr>
          <w:p w:rsidRPr="005D55F5" w:rsidR="00F0060E" w:rsidP="00D31DE5" w:rsidRDefault="00D31DE5" w14:paraId="0D15431C" w14:textId="2321FB35">
            <w:pPr>
              <w:pStyle w:val="ListParagraph"/>
              <w:ind w:left="0"/>
              <w:rPr>
                <w:i/>
                <w:iCs/>
              </w:rPr>
            </w:pPr>
            <w:hyperlink w:history="1" r:id="rId39">
              <w:r w:rsidR="008D0A46">
                <w:rPr>
                  <w:rStyle w:val="Hyperlink"/>
                  <w:i/>
                </w:rPr>
                <w:t>Laura.Ernsteina@eesc.europa.eu</w:t>
              </w:r>
            </w:hyperlink>
          </w:p>
        </w:tc>
      </w:tr>
    </w:tbl>
    <w:p w:rsidRPr="00BA494E" w:rsidR="009A3E0E" w:rsidRDefault="009A3E0E" w14:paraId="5845D6DF" w14:textId="77777777">
      <w:pPr>
        <w:spacing w:after="160" w:line="259" w:lineRule="auto"/>
        <w:jc w:val="left"/>
      </w:pPr>
      <w:r>
        <w:br w:type="page"/>
      </w:r>
    </w:p>
    <w:p w:rsidRPr="00360C81" w:rsidR="00B42E2F" w:rsidP="00B42E2F" w:rsidRDefault="00AA22BE" w14:paraId="63C55761" w14:textId="00CAC6C4">
      <w:pPr>
        <w:keepNext/>
        <w:keepLines/>
        <w:numPr>
          <w:ilvl w:val="0"/>
          <w:numId w:val="2"/>
        </w:numPr>
        <w:ind w:left="567" w:hanging="567"/>
        <w:contextualSpacing/>
        <w:rPr>
          <w:rStyle w:val="Hyperlink"/>
          <w:color w:val="auto"/>
          <w:u w:val="none"/>
        </w:rPr>
      </w:pPr>
      <w:r>
        <w:rPr>
          <w:b/>
          <w:i/>
          <w:sz w:val="28"/>
        </w:rPr>
        <w:lastRenderedPageBreak/>
        <w:t>Direktīvas par pesticīdu ilgtspējīgu lietošanu pārskatīšana</w:t>
      </w:r>
    </w:p>
    <w:p w:rsidRPr="006E3F60" w:rsidR="00B42E2F" w:rsidP="00B42E2F" w:rsidRDefault="00B42E2F" w14:paraId="24B6092B" w14:textId="77777777">
      <w:pPr>
        <w:keepNext/>
        <w:keepLines/>
        <w:ind w:left="567"/>
        <w:contextualSpacing/>
      </w:pPr>
    </w:p>
    <w:tbl>
      <w:tblPr>
        <w:tblStyle w:val="TableGrid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621"/>
      </w:tblGrid>
      <w:tr w:rsidRPr="006E3F60" w:rsidR="00B42E2F" w:rsidTr="00232EBB" w14:paraId="7ED53012" w14:textId="77777777">
        <w:tc>
          <w:tcPr>
            <w:tcW w:w="1701" w:type="dxa"/>
          </w:tcPr>
          <w:p w:rsidRPr="006E3F60" w:rsidR="00B42E2F" w:rsidP="00D31DE5" w:rsidRDefault="00B42E2F" w14:paraId="768A83CB" w14:textId="14F271D3">
            <w:pPr>
              <w:keepNext/>
              <w:contextualSpacing/>
              <w:rPr>
                <w:b/>
              </w:rPr>
            </w:pPr>
            <w:r>
              <w:rPr>
                <w:b/>
              </w:rPr>
              <w:t>Ziņotājs</w:t>
            </w:r>
          </w:p>
        </w:tc>
        <w:tc>
          <w:tcPr>
            <w:tcW w:w="7621" w:type="dxa"/>
          </w:tcPr>
          <w:p w:rsidRPr="006E3F60" w:rsidR="00B42E2F" w:rsidP="00D31DE5" w:rsidRDefault="00B42E2F" w14:paraId="3AEF0665" w14:textId="7C88F797">
            <w:pPr>
              <w:keepNext/>
              <w:ind w:left="-106"/>
              <w:contextualSpacing/>
            </w:pPr>
            <w:proofErr w:type="spellStart"/>
            <w:r>
              <w:t>José</w:t>
            </w:r>
            <w:proofErr w:type="spellEnd"/>
            <w:r>
              <w:t xml:space="preserve"> Manuel ROCHE RAMO  (Pilsoniskās sabiedrības organizāciju grupa – ES)</w:t>
            </w:r>
          </w:p>
        </w:tc>
      </w:tr>
      <w:tr w:rsidRPr="006E3F60" w:rsidR="00B42E2F" w:rsidTr="00232EBB" w14:paraId="3BB87F43" w14:textId="77777777">
        <w:tc>
          <w:tcPr>
            <w:tcW w:w="1701" w:type="dxa"/>
          </w:tcPr>
          <w:p w:rsidRPr="006E3F60" w:rsidR="00B42E2F" w:rsidP="00B42E2F" w:rsidRDefault="00B42E2F" w14:paraId="53A22B82" w14:textId="77777777">
            <w:pPr>
              <w:keepNext/>
              <w:contextualSpacing/>
              <w:rPr>
                <w:b/>
              </w:rPr>
            </w:pPr>
            <w:r>
              <w:rPr>
                <w:b/>
              </w:rPr>
              <w:t>Līdzziņotājs</w:t>
            </w:r>
          </w:p>
        </w:tc>
        <w:tc>
          <w:tcPr>
            <w:tcW w:w="7621" w:type="dxa"/>
          </w:tcPr>
          <w:p w:rsidRPr="006E3F60" w:rsidR="00B42E2F" w:rsidP="00B42E2F" w:rsidRDefault="00B42E2F" w14:paraId="0F6BF591" w14:textId="40C74906">
            <w:pPr>
              <w:keepNext/>
              <w:ind w:left="-106"/>
              <w:contextualSpacing/>
            </w:pPr>
            <w:r>
              <w:t xml:space="preserve">Arnold PUECH </w:t>
            </w:r>
            <w:proofErr w:type="spellStart"/>
            <w:r>
              <w:t>d'ALISSAC</w:t>
            </w:r>
            <w:proofErr w:type="spellEnd"/>
            <w:r>
              <w:t xml:space="preserve"> (Darba devēju grupa – FR)</w:t>
            </w:r>
          </w:p>
        </w:tc>
      </w:tr>
      <w:tr w:rsidRPr="006E3F60" w:rsidR="00B42E2F" w:rsidTr="00232EBB" w14:paraId="31EF8BFD" w14:textId="77777777">
        <w:tc>
          <w:tcPr>
            <w:tcW w:w="9322" w:type="dxa"/>
            <w:gridSpan w:val="2"/>
          </w:tcPr>
          <w:p w:rsidRPr="006E3F60" w:rsidR="00B42E2F" w:rsidP="00B42E2F" w:rsidRDefault="00B42E2F" w14:paraId="2FF70109" w14:textId="77777777">
            <w:pPr>
              <w:keepNext/>
              <w:contextualSpacing/>
            </w:pPr>
          </w:p>
        </w:tc>
      </w:tr>
      <w:tr w:rsidRPr="006E3F60" w:rsidR="00B42E2F" w:rsidTr="00232EBB" w14:paraId="0CD5F444" w14:textId="77777777">
        <w:tc>
          <w:tcPr>
            <w:tcW w:w="1701" w:type="dxa"/>
          </w:tcPr>
          <w:p w:rsidRPr="006E3F60" w:rsidR="00B42E2F" w:rsidP="00B42E2F" w:rsidRDefault="00B42E2F" w14:paraId="4DDA3AF5" w14:textId="4E38F9FC">
            <w:pPr>
              <w:keepNext/>
              <w:contextualSpacing/>
              <w:rPr>
                <w:b/>
              </w:rPr>
            </w:pPr>
            <w:r>
              <w:rPr>
                <w:b/>
              </w:rPr>
              <w:t xml:space="preserve">Atsauces </w:t>
            </w:r>
          </w:p>
        </w:tc>
        <w:tc>
          <w:tcPr>
            <w:tcW w:w="7621" w:type="dxa"/>
          </w:tcPr>
          <w:p w:rsidRPr="006E3F60" w:rsidR="00B42E2F" w:rsidP="00B42E2F" w:rsidRDefault="00B42E2F" w14:paraId="48149EDF" w14:textId="0388A86D">
            <w:pPr>
              <w:keepNext/>
              <w:ind w:left="-106"/>
              <w:contextualSpacing/>
              <w:rPr>
                <w:iCs/>
                <w:color w:val="000000"/>
              </w:rPr>
            </w:pPr>
            <w:r>
              <w:rPr>
                <w:color w:val="000000"/>
              </w:rPr>
              <w:t xml:space="preserve">COM(2022) 305 </w:t>
            </w:r>
            <w:proofErr w:type="spellStart"/>
            <w:r>
              <w:rPr>
                <w:color w:val="000000"/>
              </w:rPr>
              <w:t>final</w:t>
            </w:r>
            <w:proofErr w:type="spellEnd"/>
          </w:p>
          <w:p w:rsidRPr="006E3F60" w:rsidR="00B42E2F" w:rsidP="00B42E2F" w:rsidRDefault="00B42E2F" w14:paraId="5A1FB0FE" w14:textId="3D5BE5A2">
            <w:pPr>
              <w:keepNext/>
              <w:ind w:left="-106"/>
              <w:contextualSpacing/>
            </w:pPr>
            <w:r>
              <w:t>EESC-2022-03220-00-00-AC</w:t>
            </w:r>
          </w:p>
        </w:tc>
      </w:tr>
    </w:tbl>
    <w:p w:rsidRPr="006E3F60" w:rsidR="00B42E2F" w:rsidP="00B42E2F" w:rsidRDefault="00B42E2F" w14:paraId="07088F13" w14:textId="77777777">
      <w:pPr>
        <w:keepNext/>
        <w:ind w:left="567"/>
        <w:contextualSpacing/>
      </w:pPr>
    </w:p>
    <w:p w:rsidR="00B42E2F" w:rsidP="00FD3EB9" w:rsidRDefault="00D31DE5" w14:paraId="6E65927B" w14:textId="11ABBB6A">
      <w:pPr>
        <w:pStyle w:val="ListParagraph"/>
        <w:spacing w:line="240" w:lineRule="auto"/>
        <w:ind w:left="0"/>
        <w:rPr>
          <w:b/>
        </w:rPr>
      </w:pPr>
      <w:r>
        <w:rPr>
          <w:b/>
          <w:bCs/>
        </w:rPr>
        <w:t>Galvenās nostādnes</w:t>
      </w:r>
    </w:p>
    <w:p w:rsidRPr="00C25DB3" w:rsidR="00B42E2F" w:rsidP="00B42E2F" w:rsidRDefault="00B42E2F" w14:paraId="49B17CEF" w14:textId="77777777">
      <w:pPr>
        <w:contextualSpacing/>
        <w:rPr>
          <w:b/>
        </w:rPr>
      </w:pPr>
    </w:p>
    <w:p w:rsidRPr="00FD3EB9" w:rsidR="00B42E2F" w:rsidP="00FD3EB9" w:rsidRDefault="00B42E2F" w14:paraId="3912A73B" w14:textId="77777777">
      <w:pPr>
        <w:pStyle w:val="ListParagraph"/>
        <w:ind w:left="0"/>
      </w:pPr>
      <w:r>
        <w:t>EESK:</w:t>
      </w:r>
    </w:p>
    <w:p w:rsidRPr="006E3F60" w:rsidR="00B42E2F" w:rsidP="00B42E2F" w:rsidRDefault="00B42E2F" w14:paraId="1BA64413" w14:textId="77777777">
      <w:pPr>
        <w:contextualSpacing/>
      </w:pPr>
    </w:p>
    <w:p w:rsidR="00B42E2F" w:rsidP="00B42E2F" w:rsidRDefault="008B7198" w14:paraId="548E44DF" w14:textId="1E712CCA">
      <w:pPr>
        <w:numPr>
          <w:ilvl w:val="0"/>
          <w:numId w:val="3"/>
        </w:numPr>
        <w:ind w:left="357" w:hanging="357"/>
        <w:contextualSpacing/>
      </w:pPr>
      <w:r>
        <w:t>atzīst, ka šāda pārskatīšana ir nepieciešama, un atzinīgi vērtē to, ka daudzi no pašreizējā direktīvā konstatētajiem ierobežojumiem un jaunajā priekšlikumā ierosinātajām iniciatīvām jau ir minēti tās novērtējuma ziņojumā iekļautajās piezīmēs un ieteikumos</w:t>
      </w:r>
      <w:r w:rsidRPr="00554BAE">
        <w:rPr>
          <w:rStyle w:val="FootnoteReference"/>
        </w:rPr>
        <w:footnoteReference w:id="4"/>
      </w:r>
      <w:r>
        <w:t>. Priekšlikuma mērķis ir uzlabot pārtikas sistēmu vidisko, ekonomisko un sociālo ilgtspēju, un EESK atzinīgi vērtē ieguvumus, ko tas ievieš iedzīvotāju un patērētāju veselības un vides uzlabošanā;</w:t>
      </w:r>
    </w:p>
    <w:p w:rsidR="00AA22BE" w:rsidP="00B42E2F" w:rsidRDefault="008B7198" w14:paraId="5D3721A1" w14:textId="7F7CE085">
      <w:pPr>
        <w:numPr>
          <w:ilvl w:val="0"/>
          <w:numId w:val="3"/>
        </w:numPr>
        <w:ind w:left="357" w:hanging="357"/>
        <w:contextualSpacing/>
      </w:pPr>
      <w:r>
        <w:t>atzīst, ka jaunajā Eiropas stratēģijā ir noteikti kvantitatīvi mērķi pesticīdu lietošanas un riska samazināšanas jomā līdz 2030. gadam. Šie mērķi, protams, ir vērienīgi, tāpēc jānosaka saprātīgi pārejas periodi, kuros ņemts vērā</w:t>
      </w:r>
      <w:r w:rsidRPr="00554BAE">
        <w:rPr>
          <w:rStyle w:val="FootnoteReference"/>
        </w:rPr>
        <w:footnoteReference w:id="5"/>
      </w:r>
      <w:r>
        <w:t xml:space="preserve"> pesticīdu vēsturiskais izmantošanas samazinājums, kā arī ģeogrāfiskie, lauksaimnieciskie un sociālekonomiskie apstākļi dažādās dalībvalstīs, un kuru laikā lauksaimniekiem tiek dota iespēja piekļūt jauniem alternatīviem produktiem. Elastība būtu vajadzīga, lai nodrošinātu, ka “neviens netiek atstāts novārtā”;</w:t>
      </w:r>
    </w:p>
    <w:p w:rsidR="00AA22BE" w:rsidP="00B42E2F" w:rsidRDefault="008B7198" w14:paraId="5DD6BD0E" w14:textId="5CE16ED4">
      <w:pPr>
        <w:numPr>
          <w:ilvl w:val="0"/>
          <w:numId w:val="3"/>
        </w:numPr>
        <w:ind w:left="357" w:hanging="357"/>
        <w:contextualSpacing/>
      </w:pPr>
      <w:r>
        <w:t>uzsver, ka saistībā ar saskaņotajiem riska indikatoriem ir nepieciešamas skaidras pamatnostādnes un piemēroti rādītāji. Tā kā pašreizējie dati ir ierobežoti, it īpaši attiecībā uz ķīmisko pesticīdu lietošanu, izmantotajai metodei jābūt ļoti piesardzīgai. Tas ir īpaši nepieciešams, ja par atskaites punktu izmanto pārdoto produkciju (saskaņotais riska indikators Nr. 1). Tāpat īpaša uzmanība jāpievērš laika periodam, kas izmantots tās aprēķināšanai. Šajā saistībā varētu uzlabot aplēses par pesticīdu laišanu tirgū, piemēram, nošķirot atļaujas profesionālai lietošanai un “lietošanai mājās un dārzā”;</w:t>
      </w:r>
    </w:p>
    <w:p w:rsidR="00AA22BE" w:rsidP="00B42E2F" w:rsidRDefault="008B7198" w14:paraId="0D3C43F3" w14:textId="0EB7206A">
      <w:pPr>
        <w:numPr>
          <w:ilvl w:val="0"/>
          <w:numId w:val="3"/>
        </w:numPr>
        <w:ind w:left="357" w:hanging="357"/>
        <w:contextualSpacing/>
      </w:pPr>
      <w:r>
        <w:t>atzīst, ka neseno krīžu negatīvās sekas padara pārtikas ražošanu un nodrošinātību ar pārtiku par vienu no ES politiskās darba kārtības augstākajām prioritātēm. Tomēr Eiropas Savienībai jāturpina izstrādāt ceļvedi, lai izpildītu savas saistības klimatrīcības un ilgtspējas jomā;</w:t>
      </w:r>
    </w:p>
    <w:p w:rsidR="00AA22BE" w:rsidP="00B42E2F" w:rsidRDefault="008B7198" w14:paraId="48C4AE1A" w14:textId="67F7044C">
      <w:pPr>
        <w:numPr>
          <w:ilvl w:val="0"/>
          <w:numId w:val="3"/>
        </w:numPr>
        <w:ind w:left="357" w:hanging="357"/>
        <w:contextualSpacing/>
      </w:pPr>
      <w:r>
        <w:t xml:space="preserve">uzsver, ka ir svarīgi veltīt uzmanību alternatīviem risinājumiem (instrumentu kopumam), par prioritāti izvirzot integrētās augu aizsardzības labāku īstenošanu un ieviešanu, palielinot un atbalstot kaitēkļu apkarošanas alternatīvo pasākumu, piemēram, zema riska vai </w:t>
      </w:r>
      <w:proofErr w:type="spellStart"/>
      <w:r>
        <w:t>biobāzētu</w:t>
      </w:r>
      <w:proofErr w:type="spellEnd"/>
      <w:r>
        <w:t xml:space="preserve"> augu aizsardzības līdzekļu, izmantošanu. Šajā instrumentu kopumā būtu jākoncentrējas uz dažādiem zinātnē un inovācijā balstītiem risinājumiem un pasākumiem. Izturīgāku šķirņu, sertificētu sēklu, saglabājošas lauksaimniecības, integrētās ražošanas, jaunu selekcijas paņēmienu, bioloģiskās lauksaimniecības, augsekas, kā arī digitālo metožu vai mazo kultūru izmantojumam jākalpo par ceļvedi, lai sekmīgi pārietu uz modeli, kura pamatā ir mazāka augu aizsardzības līdzekļu izmantošana;</w:t>
      </w:r>
    </w:p>
    <w:p w:rsidR="00AA22BE" w:rsidP="00B42E2F" w:rsidRDefault="008B7198" w14:paraId="40CE8EEE" w14:textId="79DBD38E">
      <w:pPr>
        <w:numPr>
          <w:ilvl w:val="0"/>
          <w:numId w:val="3"/>
        </w:numPr>
        <w:ind w:left="357" w:hanging="357"/>
        <w:contextualSpacing/>
      </w:pPr>
      <w:r>
        <w:t xml:space="preserve">atkārtoti aicina pieprasīt savstarpīgumu attiecībā uz noteikumiem, lai no trešām valstīm importētajiem produktiem piemērotu noteikumus, kas ir vismaz līdzvērtīgi Eiropas Savienībā </w:t>
      </w:r>
      <w:r>
        <w:lastRenderedPageBreak/>
        <w:t>piemērotajiem, un lai nepieļautu nesamērīgu birokrātiskā sloga pieaugumu lauksaimniekiem, it īpaši mazajām un vidējām lauku saimniecībām;</w:t>
      </w:r>
    </w:p>
    <w:p w:rsidR="00AA22BE" w:rsidP="00B42E2F" w:rsidRDefault="008B7198" w14:paraId="23E9DC87" w14:textId="558968F8">
      <w:pPr>
        <w:numPr>
          <w:ilvl w:val="0"/>
          <w:numId w:val="3"/>
        </w:numPr>
        <w:ind w:left="357" w:hanging="357"/>
        <w:contextualSpacing/>
      </w:pPr>
      <w:r>
        <w:t>atzinīgi vērtē to, ka ir ieviests īpašs pasākums nolūkā sniegt finansiālu atbalstu lauksaimniekiem radušos izmaksu kompensēšanai. Tomēr EESK uzskata, ka vēl ir sīkāk jāprecizē vairāki aspekti, kas saistīti ar tā saderību ar KLP, it īpaši ar termiņiem un praktisko īstenošanu saistīti aspekti, ņemot vērā, ka jaunajai KLP un attiecīgajiem stratēģiskajiem plāniem visās dalībvalstīs jābūt apstiprinātiem un jāstājas spēkā 2023. gada 1. janvārī.</w:t>
      </w:r>
    </w:p>
    <w:p w:rsidRPr="00120215" w:rsidR="00931584" w:rsidP="00B42E2F" w:rsidRDefault="00931584" w14:paraId="79F670E2" w14:textId="1B62A7F7">
      <w:pPr>
        <w:contextualSpacing/>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32"/>
        <w:gridCol w:w="5670"/>
      </w:tblGrid>
      <w:tr w:rsidRPr="00164813" w:rsidR="00B42E2F" w:rsidTr="00D31DE5" w14:paraId="46D678CF" w14:textId="77777777">
        <w:tc>
          <w:tcPr>
            <w:tcW w:w="1418" w:type="dxa"/>
          </w:tcPr>
          <w:p w:rsidRPr="00164813" w:rsidR="00B42E2F" w:rsidP="00D31DE5" w:rsidRDefault="00B42E2F" w14:paraId="0A667B69" w14:textId="2107326C">
            <w:pPr>
              <w:contextualSpacing/>
              <w:rPr>
                <w:i/>
              </w:rPr>
            </w:pPr>
            <w:r>
              <w:rPr>
                <w:b/>
                <w:i/>
              </w:rPr>
              <w:t>Kontaktpersona:</w:t>
            </w:r>
          </w:p>
        </w:tc>
        <w:tc>
          <w:tcPr>
            <w:tcW w:w="5670" w:type="dxa"/>
          </w:tcPr>
          <w:p w:rsidRPr="00164813" w:rsidR="00B42E2F" w:rsidP="00D31DE5" w:rsidRDefault="00B42E2F" w14:paraId="1899296A" w14:textId="77777777">
            <w:pPr>
              <w:contextualSpacing/>
              <w:rPr>
                <w:i/>
              </w:rPr>
            </w:pPr>
            <w:proofErr w:type="spellStart"/>
            <w:r>
              <w:rPr>
                <w:i/>
              </w:rPr>
              <w:t>Gaia</w:t>
            </w:r>
            <w:proofErr w:type="spellEnd"/>
            <w:r>
              <w:rPr>
                <w:i/>
              </w:rPr>
              <w:t xml:space="preserve"> </w:t>
            </w:r>
            <w:proofErr w:type="spellStart"/>
            <w:r>
              <w:rPr>
                <w:i/>
              </w:rPr>
              <w:t>Bottoni</w:t>
            </w:r>
            <w:proofErr w:type="spellEnd"/>
          </w:p>
        </w:tc>
      </w:tr>
      <w:tr w:rsidRPr="00164813" w:rsidR="00B42E2F" w:rsidTr="00D31DE5" w14:paraId="16816CA5" w14:textId="77777777">
        <w:tc>
          <w:tcPr>
            <w:tcW w:w="1418" w:type="dxa"/>
          </w:tcPr>
          <w:p w:rsidRPr="00164813" w:rsidR="00B42E2F" w:rsidP="00D31DE5" w:rsidRDefault="00B42E2F" w14:paraId="2CE58AF8" w14:textId="2C262D28">
            <w:pPr>
              <w:ind w:left="601"/>
              <w:contextualSpacing/>
              <w:rPr>
                <w:i/>
              </w:rPr>
            </w:pPr>
            <w:r>
              <w:rPr>
                <w:i/>
              </w:rPr>
              <w:t>Tālr.:</w:t>
            </w:r>
          </w:p>
        </w:tc>
        <w:tc>
          <w:tcPr>
            <w:tcW w:w="5670" w:type="dxa"/>
          </w:tcPr>
          <w:p w:rsidRPr="00164813" w:rsidR="00B42E2F" w:rsidP="00D31DE5" w:rsidRDefault="00B42E2F" w14:paraId="7D1129E7" w14:textId="77777777">
            <w:pPr>
              <w:contextualSpacing/>
              <w:rPr>
                <w:i/>
              </w:rPr>
            </w:pPr>
            <w:r>
              <w:rPr>
                <w:i/>
              </w:rPr>
              <w:t>00 32 2 546 94 47</w:t>
            </w:r>
          </w:p>
        </w:tc>
      </w:tr>
      <w:tr w:rsidRPr="00164813" w:rsidR="00B42E2F" w:rsidTr="005C6297" w14:paraId="36078141" w14:textId="77777777">
        <w:trPr>
          <w:trHeight w:val="798"/>
        </w:trPr>
        <w:tc>
          <w:tcPr>
            <w:tcW w:w="1418" w:type="dxa"/>
          </w:tcPr>
          <w:p w:rsidRPr="00164813" w:rsidR="00B42E2F" w:rsidP="00D31DE5" w:rsidRDefault="00B42E2F" w14:paraId="7E31B4CE" w14:textId="4F9F1BCA">
            <w:pPr>
              <w:ind w:left="601"/>
              <w:contextualSpacing/>
              <w:rPr>
                <w:i/>
              </w:rPr>
            </w:pPr>
            <w:r>
              <w:rPr>
                <w:i/>
              </w:rPr>
              <w:t>E-pasts:</w:t>
            </w:r>
          </w:p>
        </w:tc>
        <w:tc>
          <w:tcPr>
            <w:tcW w:w="5670" w:type="dxa"/>
          </w:tcPr>
          <w:p w:rsidRPr="00164813" w:rsidR="00B42E2F" w:rsidP="00BA494E" w:rsidRDefault="00D31DE5" w14:paraId="0C8A706B" w14:textId="5E99B271">
            <w:pPr>
              <w:contextualSpacing/>
              <w:rPr>
                <w:i/>
              </w:rPr>
            </w:pPr>
            <w:hyperlink w:history="1" r:id="rId40">
              <w:r w:rsidR="008D0A46">
                <w:rPr>
                  <w:rStyle w:val="Hyperlink"/>
                  <w:i/>
                </w:rPr>
                <w:t>Gaia.Bottoni@eesc.europa.eu</w:t>
              </w:r>
            </w:hyperlink>
          </w:p>
        </w:tc>
      </w:tr>
    </w:tbl>
    <w:p w:rsidRPr="00120215" w:rsidR="00687C49" w:rsidP="00B42E2F" w:rsidRDefault="00687C49" w14:paraId="32D27593" w14:textId="734B7F3B">
      <w:pPr>
        <w:contextualSpacing/>
      </w:pPr>
    </w:p>
    <w:p w:rsidR="00687C49" w:rsidRDefault="00687C49" w14:paraId="325CEF8C" w14:textId="77777777">
      <w:pPr>
        <w:spacing w:after="160" w:line="259" w:lineRule="auto"/>
        <w:jc w:val="left"/>
        <w:rPr>
          <w:sz w:val="28"/>
          <w:szCs w:val="16"/>
        </w:rPr>
      </w:pPr>
      <w:r>
        <w:br w:type="page"/>
      </w:r>
    </w:p>
    <w:p w:rsidRPr="00057592" w:rsidR="00687C49" w:rsidP="00687C49" w:rsidRDefault="00687C49" w14:paraId="01194082" w14:textId="12A5B58A">
      <w:pPr>
        <w:keepNext/>
        <w:keepLines/>
        <w:numPr>
          <w:ilvl w:val="0"/>
          <w:numId w:val="5"/>
        </w:numPr>
        <w:overflowPunct w:val="0"/>
        <w:autoSpaceDE w:val="0"/>
        <w:autoSpaceDN w:val="0"/>
        <w:adjustRightInd w:val="0"/>
        <w:ind w:left="567" w:hanging="567"/>
        <w:textAlignment w:val="baseline"/>
        <w:rPr>
          <w:spacing w:val="-2"/>
        </w:rPr>
      </w:pPr>
      <w:r>
        <w:rPr>
          <w:b/>
          <w:i/>
          <w:sz w:val="28"/>
        </w:rPr>
        <w:lastRenderedPageBreak/>
        <w:t xml:space="preserve">Pārvaldības, saglabāšanas un kontroles pasākumi, kas piemērojami apgabalā, uz kuru attiecas Nolīgums par zveju Indijas okeāna dienvidu daļā (SIOFA) </w:t>
      </w:r>
    </w:p>
    <w:p w:rsidRPr="00057592" w:rsidR="00687C49" w:rsidP="00687C49" w:rsidRDefault="00687C49" w14:paraId="40CC64F6" w14:textId="77777777">
      <w:pPr>
        <w:keepNext/>
        <w:keepLines/>
        <w:overflowPunct w:val="0"/>
        <w:autoSpaceDE w:val="0"/>
        <w:autoSpaceDN w:val="0"/>
        <w:adjustRightInd w:val="0"/>
        <w:textAlignment w:val="baseline"/>
        <w:rPr>
          <w:spacing w:val="-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1701"/>
        <w:gridCol w:w="6521"/>
      </w:tblGrid>
      <w:tr w:rsidRPr="009B70E7" w:rsidR="00687C49" w:rsidTr="00D31DE5" w14:paraId="53FB16F8" w14:textId="77777777">
        <w:tc>
          <w:tcPr>
            <w:tcW w:w="8222" w:type="dxa"/>
            <w:gridSpan w:val="2"/>
          </w:tcPr>
          <w:p w:rsidRPr="00D0461E" w:rsidR="00687C49" w:rsidP="00D31DE5" w:rsidRDefault="00687C49" w14:paraId="7C4A11DF" w14:textId="77777777">
            <w:pPr>
              <w:pStyle w:val="ListParagraph"/>
              <w:ind w:left="0"/>
              <w:rPr>
                <w:b/>
                <w:bCs/>
              </w:rPr>
            </w:pPr>
            <w:r>
              <w:rPr>
                <w:b/>
              </w:rPr>
              <w:t>C kategorijas atzinums</w:t>
            </w:r>
          </w:p>
          <w:p w:rsidRPr="009B70E7" w:rsidR="00687C49" w:rsidP="00D31DE5" w:rsidRDefault="00687C49" w14:paraId="409CA1E1" w14:textId="77777777">
            <w:pPr>
              <w:pStyle w:val="ListParagraph"/>
              <w:ind w:left="0"/>
            </w:pPr>
          </w:p>
        </w:tc>
      </w:tr>
      <w:tr w:rsidRPr="00627B8F" w:rsidR="00687C49" w:rsidTr="00D31DE5" w14:paraId="1606FADB" w14:textId="77777777">
        <w:tc>
          <w:tcPr>
            <w:tcW w:w="1701" w:type="dxa"/>
          </w:tcPr>
          <w:p w:rsidRPr="009B70E7" w:rsidR="00687C49" w:rsidP="00D31DE5" w:rsidRDefault="00687C49" w14:paraId="62AD06F4" w14:textId="39D4FD67">
            <w:pPr>
              <w:pStyle w:val="ListParagraph"/>
              <w:ind w:left="0"/>
              <w:rPr>
                <w:b/>
              </w:rPr>
            </w:pPr>
            <w:r>
              <w:rPr>
                <w:b/>
              </w:rPr>
              <w:t>Atsauces</w:t>
            </w:r>
          </w:p>
        </w:tc>
        <w:tc>
          <w:tcPr>
            <w:tcW w:w="6521" w:type="dxa"/>
          </w:tcPr>
          <w:p w:rsidRPr="00627B8F" w:rsidR="00687C49" w:rsidP="00D31DE5" w:rsidRDefault="00687C49" w14:paraId="22F096D5" w14:textId="0539963C">
            <w:pPr>
              <w:pStyle w:val="ListParagraph"/>
              <w:ind w:left="-61"/>
              <w:rPr>
                <w:bCs/>
              </w:rPr>
            </w:pPr>
            <w:r>
              <w:t xml:space="preserve">COM(2022) 563 </w:t>
            </w:r>
            <w:proofErr w:type="spellStart"/>
            <w:r>
              <w:t>final</w:t>
            </w:r>
            <w:proofErr w:type="spellEnd"/>
          </w:p>
          <w:p w:rsidRPr="00627B8F" w:rsidR="00687C49" w:rsidP="00D31DE5" w:rsidRDefault="00687C49" w14:paraId="02D73B34" w14:textId="2F36AE66">
            <w:pPr>
              <w:pStyle w:val="ListParagraph"/>
              <w:ind w:left="-61"/>
            </w:pPr>
            <w:r>
              <w:t>EESC-2022-06024-00-00-AC</w:t>
            </w:r>
          </w:p>
        </w:tc>
      </w:tr>
    </w:tbl>
    <w:p w:rsidRPr="00D67CAD" w:rsidR="00687C49" w:rsidP="00687C49" w:rsidRDefault="00687C49" w14:paraId="24D2698C" w14:textId="77777777">
      <w:pPr>
        <w:pStyle w:val="ListParagraph"/>
        <w:ind w:left="0"/>
        <w:rPr>
          <w:b/>
        </w:rPr>
      </w:pPr>
    </w:p>
    <w:p w:rsidR="00687C49" w:rsidP="00FD3EB9" w:rsidRDefault="00D31DE5" w14:paraId="3727DD00" w14:textId="15E41E3F">
      <w:pPr>
        <w:pStyle w:val="ListParagraph"/>
        <w:spacing w:line="240" w:lineRule="auto"/>
        <w:ind w:left="0"/>
        <w:rPr>
          <w:b/>
        </w:rPr>
      </w:pPr>
      <w:r>
        <w:rPr>
          <w:b/>
          <w:bCs/>
        </w:rPr>
        <w:t>Galvenās nostādnes</w:t>
      </w:r>
    </w:p>
    <w:p w:rsidR="008103DE" w:rsidP="00687C49" w:rsidRDefault="008103DE" w14:paraId="1F21A979" w14:textId="696F40CD">
      <w:pPr>
        <w:pStyle w:val="ListParagraph"/>
        <w:spacing w:line="240" w:lineRule="auto"/>
        <w:ind w:left="0" w:firstLine="142"/>
        <w:rPr>
          <w:b/>
        </w:rPr>
      </w:pPr>
    </w:p>
    <w:p w:rsidRPr="009B70E7" w:rsidR="008103DE" w:rsidP="00FD3EB9" w:rsidRDefault="008103DE" w14:paraId="6C15DB00" w14:textId="1D7F89BC">
      <w:pPr>
        <w:pStyle w:val="ListParagraph"/>
        <w:ind w:left="0"/>
        <w:rPr>
          <w:b/>
        </w:rPr>
      </w:pPr>
      <w:r>
        <w:t>EESK:</w:t>
      </w:r>
    </w:p>
    <w:p w:rsidRPr="009B70E7" w:rsidR="00687C49" w:rsidP="00687C49" w:rsidRDefault="00687C49" w14:paraId="0F562B3C" w14:textId="77777777">
      <w:pPr>
        <w:pStyle w:val="ListParagraph"/>
        <w:spacing w:line="240" w:lineRule="auto"/>
        <w:ind w:left="0"/>
      </w:pPr>
    </w:p>
    <w:p w:rsidR="008103DE" w:rsidP="008103DE" w:rsidRDefault="008103DE" w14:paraId="462C05C7" w14:textId="18EEF570">
      <w:pPr>
        <w:numPr>
          <w:ilvl w:val="0"/>
          <w:numId w:val="3"/>
        </w:numPr>
        <w:ind w:left="357" w:hanging="357"/>
        <w:contextualSpacing/>
      </w:pPr>
      <w:r>
        <w:t>pilnībā atbalsta priekšlikuma saturu un uzskata, ka attiecībā uz to nav nepieciešami nekādi Komitejas komentāri.</w:t>
      </w:r>
    </w:p>
    <w:p w:rsidR="00687C49" w:rsidP="00687C49" w:rsidRDefault="00687C49" w14:paraId="226C5A6D" w14:textId="77777777">
      <w:pPr>
        <w:pStyle w:val="ListParagraph"/>
        <w:spacing w:line="276" w:lineRule="auto"/>
        <w:ind w:left="357"/>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32"/>
        <w:gridCol w:w="5670"/>
      </w:tblGrid>
      <w:tr w:rsidRPr="009B70E7" w:rsidR="00687C49" w:rsidTr="00D31DE5" w14:paraId="68BDE0CC" w14:textId="77777777">
        <w:tc>
          <w:tcPr>
            <w:tcW w:w="1418" w:type="dxa"/>
          </w:tcPr>
          <w:p w:rsidRPr="00687C49" w:rsidR="00687C49" w:rsidP="00D31DE5" w:rsidRDefault="00687C49" w14:paraId="31D5C976" w14:textId="25FA006E">
            <w:pPr>
              <w:pStyle w:val="ListParagraph"/>
              <w:spacing w:line="276" w:lineRule="auto"/>
              <w:ind w:left="0"/>
              <w:rPr>
                <w:i/>
                <w:highlight w:val="yellow"/>
              </w:rPr>
            </w:pPr>
            <w:r>
              <w:rPr>
                <w:b/>
                <w:i/>
              </w:rPr>
              <w:t>Kontaktpersona:</w:t>
            </w:r>
          </w:p>
        </w:tc>
        <w:tc>
          <w:tcPr>
            <w:tcW w:w="5670" w:type="dxa"/>
          </w:tcPr>
          <w:p w:rsidRPr="00687C49" w:rsidR="00687C49" w:rsidP="00D31DE5" w:rsidRDefault="005E3426" w14:paraId="719E80BE" w14:textId="7963C6C1">
            <w:pPr>
              <w:pStyle w:val="ListParagraph"/>
              <w:spacing w:line="276" w:lineRule="auto"/>
              <w:ind w:left="0"/>
              <w:rPr>
                <w:i/>
                <w:highlight w:val="yellow"/>
              </w:rPr>
            </w:pPr>
            <w:proofErr w:type="spellStart"/>
            <w:r>
              <w:rPr>
                <w:i/>
              </w:rPr>
              <w:t>Arturo</w:t>
            </w:r>
            <w:proofErr w:type="spellEnd"/>
            <w:r>
              <w:rPr>
                <w:i/>
              </w:rPr>
              <w:t xml:space="preserve"> </w:t>
            </w:r>
            <w:proofErr w:type="spellStart"/>
            <w:r>
              <w:rPr>
                <w:i/>
              </w:rPr>
              <w:t>Iniguez</w:t>
            </w:r>
            <w:proofErr w:type="spellEnd"/>
          </w:p>
        </w:tc>
      </w:tr>
      <w:tr w:rsidRPr="009B70E7" w:rsidR="00687C49" w:rsidTr="00D31DE5" w14:paraId="60D96096" w14:textId="77777777">
        <w:tc>
          <w:tcPr>
            <w:tcW w:w="1418" w:type="dxa"/>
          </w:tcPr>
          <w:p w:rsidRPr="005E3426" w:rsidR="005E3426" w:rsidP="00120215" w:rsidRDefault="00687C49" w14:paraId="5765E1FA" w14:textId="324E300F">
            <w:pPr>
              <w:pStyle w:val="ListParagraph"/>
              <w:spacing w:line="276" w:lineRule="auto"/>
              <w:ind w:left="601"/>
              <w:rPr>
                <w:i/>
                <w:iCs/>
                <w:highlight w:val="yellow"/>
              </w:rPr>
            </w:pPr>
            <w:r>
              <w:rPr>
                <w:i/>
              </w:rPr>
              <w:t>Tālr.:</w:t>
            </w:r>
          </w:p>
        </w:tc>
        <w:tc>
          <w:tcPr>
            <w:tcW w:w="5670" w:type="dxa"/>
          </w:tcPr>
          <w:p w:rsidRPr="00687C49" w:rsidR="00687C49" w:rsidP="00D31DE5" w:rsidRDefault="00687C49" w14:paraId="6E41795A" w14:textId="30F1566A">
            <w:pPr>
              <w:pStyle w:val="ListParagraph"/>
              <w:spacing w:line="276" w:lineRule="auto"/>
              <w:ind w:left="0"/>
              <w:rPr>
                <w:i/>
                <w:highlight w:val="yellow"/>
              </w:rPr>
            </w:pPr>
            <w:r>
              <w:rPr>
                <w:i/>
              </w:rPr>
              <w:t>00 32 2 546 87 68</w:t>
            </w:r>
          </w:p>
        </w:tc>
      </w:tr>
      <w:tr w:rsidRPr="009B70E7" w:rsidR="00120215" w:rsidTr="00D31DE5" w14:paraId="528A8EA7" w14:textId="77777777">
        <w:tc>
          <w:tcPr>
            <w:tcW w:w="1418" w:type="dxa"/>
          </w:tcPr>
          <w:p w:rsidRPr="005E3426" w:rsidR="00120215" w:rsidP="00D31DE5" w:rsidRDefault="00120215" w14:paraId="28FC04D4" w14:textId="1B51F705">
            <w:pPr>
              <w:pStyle w:val="ListParagraph"/>
              <w:spacing w:line="276" w:lineRule="auto"/>
              <w:ind w:left="601"/>
              <w:rPr>
                <w:i/>
              </w:rPr>
            </w:pPr>
            <w:r>
              <w:rPr>
                <w:i/>
              </w:rPr>
              <w:t>E-pasts:</w:t>
            </w:r>
          </w:p>
        </w:tc>
        <w:tc>
          <w:tcPr>
            <w:tcW w:w="5670" w:type="dxa"/>
          </w:tcPr>
          <w:p w:rsidRPr="005E3426" w:rsidR="00120215" w:rsidP="005E3426" w:rsidRDefault="00D31DE5" w14:paraId="67521207" w14:textId="2BEABD31">
            <w:pPr>
              <w:pStyle w:val="ListParagraph"/>
              <w:spacing w:line="276" w:lineRule="auto"/>
              <w:ind w:left="0"/>
              <w:rPr>
                <w:i/>
              </w:rPr>
            </w:pPr>
            <w:hyperlink w:history="1" r:id="rId41">
              <w:r w:rsidR="008D0A46">
                <w:rPr>
                  <w:rStyle w:val="Hyperlink"/>
                  <w:i/>
                </w:rPr>
                <w:t>Arturo.Iniguez@eesc.europa.eu</w:t>
              </w:r>
            </w:hyperlink>
          </w:p>
        </w:tc>
      </w:tr>
    </w:tbl>
    <w:p w:rsidR="00687C49" w:rsidRDefault="00687C49" w14:paraId="2597412D" w14:textId="475D1F2C">
      <w:pPr>
        <w:spacing w:after="160" w:line="259" w:lineRule="auto"/>
        <w:jc w:val="left"/>
        <w:rPr>
          <w:sz w:val="28"/>
          <w:szCs w:val="16"/>
        </w:rPr>
      </w:pPr>
      <w:r>
        <w:br w:type="page"/>
      </w:r>
    </w:p>
    <w:p w:rsidR="005A6946" w:rsidP="00CB3335" w:rsidRDefault="00931584" w14:paraId="59E3367D" w14:textId="34622217">
      <w:pPr>
        <w:pStyle w:val="Heading1"/>
        <w:keepNext/>
        <w:rPr>
          <w:b/>
        </w:rPr>
      </w:pPr>
      <w:bookmarkStart w:name="_Toc90469310" w:id="9"/>
      <w:bookmarkStart w:name="_Toc124779040" w:id="10"/>
      <w:r>
        <w:rPr>
          <w:b/>
        </w:rPr>
        <w:lastRenderedPageBreak/>
        <w:t>ĀRĒJĀS ATTIECĪBAS</w:t>
      </w:r>
      <w:bookmarkEnd w:id="9"/>
      <w:bookmarkEnd w:id="10"/>
    </w:p>
    <w:p w:rsidRPr="00EE1E04" w:rsidR="00EE1E04" w:rsidP="00EE1E04" w:rsidRDefault="00EE1E04" w14:paraId="33C2A9DE" w14:textId="77777777"/>
    <w:p w:rsidRPr="005A6946" w:rsidR="005A6946" w:rsidP="005A6946" w:rsidRDefault="00EE1E04" w14:paraId="525521DC" w14:textId="00D16335">
      <w:pPr>
        <w:keepNext/>
        <w:keepLines/>
        <w:numPr>
          <w:ilvl w:val="0"/>
          <w:numId w:val="2"/>
        </w:numPr>
        <w:ind w:left="567" w:hanging="567"/>
        <w:contextualSpacing/>
        <w:rPr>
          <w:b/>
        </w:rPr>
      </w:pPr>
      <w:r>
        <w:rPr>
          <w:b/>
          <w:i/>
          <w:sz w:val="28"/>
        </w:rPr>
        <w:t>Digitālā pārkārtošanās Eiropas Vidusjūras reģionā</w:t>
      </w:r>
    </w:p>
    <w:p w:rsidRPr="006E3F60" w:rsidR="005A6946" w:rsidP="005A6946" w:rsidRDefault="005A6946" w14:paraId="2700D3DC" w14:textId="77777777">
      <w:pPr>
        <w:keepNext/>
        <w:keepLines/>
        <w:ind w:left="567"/>
        <w:contextualSpacing/>
      </w:pPr>
    </w:p>
    <w:tbl>
      <w:tblPr>
        <w:tblStyle w:val="TableGrid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946"/>
      </w:tblGrid>
      <w:tr w:rsidRPr="006E3F60" w:rsidR="005A6946" w:rsidTr="00D31DE5" w14:paraId="29B7EB33" w14:textId="77777777">
        <w:tc>
          <w:tcPr>
            <w:tcW w:w="1701" w:type="dxa"/>
          </w:tcPr>
          <w:p w:rsidRPr="006E3F60" w:rsidR="005A6946" w:rsidP="00D31DE5" w:rsidRDefault="005A6946" w14:paraId="65CC57B7" w14:textId="55FE9AF1">
            <w:pPr>
              <w:keepNext/>
              <w:contextualSpacing/>
              <w:rPr>
                <w:b/>
              </w:rPr>
            </w:pPr>
            <w:r>
              <w:rPr>
                <w:b/>
              </w:rPr>
              <w:t>Ziņotāja</w:t>
            </w:r>
          </w:p>
        </w:tc>
        <w:tc>
          <w:tcPr>
            <w:tcW w:w="6946" w:type="dxa"/>
          </w:tcPr>
          <w:p w:rsidRPr="006E3F60" w:rsidR="005A6946" w:rsidP="00D31DE5" w:rsidRDefault="00EE1E04" w14:paraId="6B4DFB8B" w14:textId="7B7DA6B2">
            <w:pPr>
              <w:keepNext/>
              <w:ind w:left="-106"/>
              <w:contextualSpacing/>
            </w:pPr>
            <w:proofErr w:type="spellStart"/>
            <w:r>
              <w:t>Dolores</w:t>
            </w:r>
            <w:proofErr w:type="spellEnd"/>
            <w:r>
              <w:t xml:space="preserve"> SAMMUT BONNICI (Darba devēju grupa – MT)</w:t>
            </w:r>
          </w:p>
        </w:tc>
      </w:tr>
      <w:tr w:rsidRPr="006E3F60" w:rsidR="005A6946" w:rsidTr="00D31DE5" w14:paraId="23B7B3CB" w14:textId="77777777">
        <w:tc>
          <w:tcPr>
            <w:tcW w:w="1701" w:type="dxa"/>
          </w:tcPr>
          <w:p w:rsidRPr="006E3F60" w:rsidR="005A6946" w:rsidP="00D31DE5" w:rsidRDefault="005A6946" w14:paraId="0FC6C5FE" w14:textId="77777777">
            <w:pPr>
              <w:keepNext/>
              <w:contextualSpacing/>
              <w:rPr>
                <w:b/>
              </w:rPr>
            </w:pPr>
          </w:p>
        </w:tc>
        <w:tc>
          <w:tcPr>
            <w:tcW w:w="6946" w:type="dxa"/>
          </w:tcPr>
          <w:p w:rsidRPr="006E3F60" w:rsidR="005A6946" w:rsidP="00D31DE5" w:rsidRDefault="005A6946" w14:paraId="57A6592B" w14:textId="77777777">
            <w:pPr>
              <w:keepNext/>
              <w:ind w:left="-106"/>
              <w:contextualSpacing/>
            </w:pPr>
          </w:p>
        </w:tc>
      </w:tr>
      <w:tr w:rsidRPr="006E3F60" w:rsidR="005A6946" w:rsidTr="00D31DE5" w14:paraId="32A6D63C" w14:textId="77777777">
        <w:tc>
          <w:tcPr>
            <w:tcW w:w="1701" w:type="dxa"/>
          </w:tcPr>
          <w:p w:rsidRPr="006E3F60" w:rsidR="005A6946" w:rsidP="00D31DE5" w:rsidRDefault="005A6946" w14:paraId="59793F2C" w14:textId="3034005C">
            <w:pPr>
              <w:keepNext/>
              <w:contextualSpacing/>
              <w:rPr>
                <w:b/>
              </w:rPr>
            </w:pPr>
            <w:r>
              <w:rPr>
                <w:b/>
              </w:rPr>
              <w:t xml:space="preserve">Atsauces </w:t>
            </w:r>
          </w:p>
        </w:tc>
        <w:tc>
          <w:tcPr>
            <w:tcW w:w="6946" w:type="dxa"/>
          </w:tcPr>
          <w:p w:rsidRPr="006E3F60" w:rsidR="005A6946" w:rsidP="00D31DE5" w:rsidRDefault="00EE1E04" w14:paraId="1B795F51" w14:textId="65E00F9E">
            <w:pPr>
              <w:keepNext/>
              <w:ind w:left="-106"/>
              <w:contextualSpacing/>
              <w:rPr>
                <w:iCs/>
                <w:color w:val="000000"/>
              </w:rPr>
            </w:pPr>
            <w:r>
              <w:rPr>
                <w:color w:val="000000"/>
              </w:rPr>
              <w:t>Informatīvs ziņojums</w:t>
            </w:r>
          </w:p>
          <w:p w:rsidRPr="006E3F60" w:rsidR="005A6946" w:rsidP="00D31DE5" w:rsidRDefault="005A6946" w14:paraId="1A4A6239" w14:textId="395619BC">
            <w:pPr>
              <w:keepNext/>
              <w:ind w:left="-106"/>
              <w:contextualSpacing/>
            </w:pPr>
            <w:r>
              <w:t>EESC-2022-01584-00-00-AC</w:t>
            </w:r>
          </w:p>
        </w:tc>
      </w:tr>
    </w:tbl>
    <w:p w:rsidRPr="006E3F60" w:rsidR="005A6946" w:rsidP="005A6946" w:rsidRDefault="005A6946" w14:paraId="4575981C" w14:textId="77777777">
      <w:pPr>
        <w:keepNext/>
        <w:ind w:left="567"/>
        <w:contextualSpacing/>
      </w:pPr>
    </w:p>
    <w:p w:rsidRPr="00A00F37" w:rsidR="005A6946" w:rsidP="00FD3EB9" w:rsidRDefault="00D31DE5" w14:paraId="4B593B9E" w14:textId="3D847E9D">
      <w:pPr>
        <w:pStyle w:val="ListParagraph"/>
        <w:spacing w:line="240" w:lineRule="auto"/>
        <w:ind w:left="0"/>
        <w:rPr>
          <w:b/>
        </w:rPr>
      </w:pPr>
      <w:r>
        <w:rPr>
          <w:b/>
          <w:bCs/>
        </w:rPr>
        <w:t>Galvenās nostādnes</w:t>
      </w:r>
    </w:p>
    <w:p w:rsidRPr="00C25DB3" w:rsidR="005A6946" w:rsidP="005A6946" w:rsidRDefault="005A6946" w14:paraId="3951073F" w14:textId="77777777">
      <w:pPr>
        <w:contextualSpacing/>
        <w:rPr>
          <w:b/>
        </w:rPr>
      </w:pPr>
    </w:p>
    <w:p w:rsidR="005A6946" w:rsidP="00FD3EB9" w:rsidRDefault="005A6946" w14:paraId="748FD679" w14:textId="77777777">
      <w:pPr>
        <w:pStyle w:val="ListParagraph"/>
        <w:ind w:left="0"/>
        <w:rPr>
          <w:bCs/>
          <w:iCs/>
        </w:rPr>
      </w:pPr>
      <w:r>
        <w:t>EESK:</w:t>
      </w:r>
    </w:p>
    <w:p w:rsidRPr="006E3F60" w:rsidR="005A6946" w:rsidP="005A6946" w:rsidRDefault="005A6946" w14:paraId="4D23D0F3" w14:textId="77777777">
      <w:pPr>
        <w:contextualSpacing/>
      </w:pPr>
    </w:p>
    <w:p w:rsidR="005A6946" w:rsidP="005A6946" w:rsidRDefault="00EE1E04" w14:paraId="7213D0D1" w14:textId="50DEEB92">
      <w:pPr>
        <w:numPr>
          <w:ilvl w:val="0"/>
          <w:numId w:val="3"/>
        </w:numPr>
        <w:ind w:left="357" w:hanging="357"/>
        <w:contextualSpacing/>
      </w:pPr>
      <w:r>
        <w:t xml:space="preserve">novērtē Eiropas un Vidusjūras reģionā notiekošās </w:t>
      </w:r>
      <w:r>
        <w:rPr>
          <w:b/>
          <w:bCs/>
        </w:rPr>
        <w:t>digitālās pārkārtošanās</w:t>
      </w:r>
      <w:r>
        <w:t xml:space="preserve">, īstenoto programmu un panāktā progresa </w:t>
      </w:r>
      <w:r>
        <w:rPr>
          <w:b/>
          <w:bCs/>
        </w:rPr>
        <w:t>pašreizējo stāvokli</w:t>
      </w:r>
      <w:r>
        <w:t>;</w:t>
      </w:r>
    </w:p>
    <w:p w:rsidRPr="005A6946" w:rsidR="005A6946" w:rsidP="005A6946" w:rsidRDefault="00EE1E04" w14:paraId="7D3EDA42" w14:textId="11165BD9">
      <w:pPr>
        <w:numPr>
          <w:ilvl w:val="0"/>
          <w:numId w:val="3"/>
        </w:numPr>
        <w:ind w:left="357" w:hanging="357"/>
        <w:contextualSpacing/>
      </w:pPr>
      <w:r>
        <w:t xml:space="preserve">norāda uz </w:t>
      </w:r>
      <w:r>
        <w:rPr>
          <w:b/>
          <w:bCs/>
        </w:rPr>
        <w:t>digitalizācijas radītajiem potenciālajiem ieguvumiem</w:t>
      </w:r>
      <w:r>
        <w:t xml:space="preserve"> un it īpaši jaunajām iespējām MVU, ko paver e-komercija, e-izglītība, e-pārvaldība, e-veselība un banku digitālie pakalpojumi;</w:t>
      </w:r>
    </w:p>
    <w:p w:rsidRPr="00EE1E04" w:rsidR="005A6946" w:rsidP="005A6946" w:rsidRDefault="00EE1E04" w14:paraId="4F19F8CC" w14:textId="0FB8EE21">
      <w:pPr>
        <w:numPr>
          <w:ilvl w:val="0"/>
          <w:numId w:val="3"/>
        </w:numPr>
        <w:ind w:left="357" w:hanging="357"/>
        <w:contextualSpacing/>
      </w:pPr>
      <w:r>
        <w:t xml:space="preserve">apzina </w:t>
      </w:r>
      <w:r>
        <w:rPr>
          <w:b/>
          <w:bCs/>
        </w:rPr>
        <w:t>šķēršļus digitalizācijai</w:t>
      </w:r>
      <w:r>
        <w:t>, it īpaši galvenos šķēršļus, kas saistīti ar digitālo infrastruktūru un piekļuvi, digitālo plaisu gan valsts iekšienē (lauku/pilsētu, sieviešu/vīriešu, jauniešu/vecāka gadagājuma cilvēku starpā), gan arī starp valstīm (ziemeļi/dienvidi), un būtisku digitālo prasmju un digitālās pratības trūkumu. Tādējādi digitālā pārkārtošanās var palielināt nevienlīdzību valstī, kā arī radīt reģiona valstu attīstības tendenču atšķirības;</w:t>
      </w:r>
    </w:p>
    <w:p w:rsidRPr="00EE1E04" w:rsidR="00EE1E04" w:rsidP="005A6946" w:rsidRDefault="00EE1E04" w14:paraId="449433D1" w14:textId="57F19873">
      <w:pPr>
        <w:numPr>
          <w:ilvl w:val="0"/>
          <w:numId w:val="3"/>
        </w:numPr>
        <w:ind w:left="357" w:hanging="357"/>
        <w:contextualSpacing/>
      </w:pPr>
      <w:r>
        <w:t xml:space="preserve">uzsver </w:t>
      </w:r>
      <w:r>
        <w:rPr>
          <w:b/>
          <w:bCs/>
        </w:rPr>
        <w:t>ar digitalizāciju saistītos riskus</w:t>
      </w:r>
      <w:r>
        <w:t>, sākot ar riskiem, kas saistīti ar kiberdrošību, digitālo suverenitāti, datu aizsardzību, digitālo pirātismu un beidzot ar pilsoniskās brīvības apdraudējumiem;</w:t>
      </w:r>
    </w:p>
    <w:p w:rsidR="00EE1E04" w:rsidP="005A6946" w:rsidRDefault="00EE1E04" w14:paraId="6A724C7D" w14:textId="66CD7CA4">
      <w:pPr>
        <w:numPr>
          <w:ilvl w:val="0"/>
          <w:numId w:val="3"/>
        </w:numPr>
        <w:ind w:left="357" w:hanging="357"/>
        <w:contextualSpacing/>
      </w:pPr>
      <w:r>
        <w:t xml:space="preserve">uzsver, ka visās Vidusjūras reģiona valstīs ir vērienīgi jāīsteno ANO cilvēktiesību konvencijas un SDO pamatkonvencijas, lai </w:t>
      </w:r>
      <w:r>
        <w:rPr>
          <w:b/>
          <w:bCs/>
        </w:rPr>
        <w:t>digitālā pārkārtošanās patiešām veicinātu sekmīgu ekoloģisko,</w:t>
      </w:r>
      <w:r>
        <w:rPr>
          <w:b/>
        </w:rPr>
        <w:t xml:space="preserve"> ekonomisko un sociālo</w:t>
      </w:r>
      <w:r>
        <w:t xml:space="preserve"> </w:t>
      </w:r>
      <w:r>
        <w:rPr>
          <w:b/>
          <w:bCs/>
        </w:rPr>
        <w:t>attīstību</w:t>
      </w:r>
      <w:r>
        <w:t>.</w:t>
      </w:r>
    </w:p>
    <w:p w:rsidRPr="006E3F60" w:rsidR="005A6946" w:rsidP="005A6946" w:rsidRDefault="005A6946" w14:paraId="653B5D94" w14:textId="77777777">
      <w:pPr>
        <w:contextualSpacing/>
      </w:pPr>
    </w:p>
    <w:tbl>
      <w:tblPr>
        <w:tblStyle w:val="TableGrid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32"/>
        <w:gridCol w:w="5670"/>
      </w:tblGrid>
      <w:tr w:rsidRPr="006E3F60" w:rsidR="005A6946" w:rsidTr="00D31DE5" w14:paraId="650DCAA2" w14:textId="77777777">
        <w:tc>
          <w:tcPr>
            <w:tcW w:w="1418" w:type="dxa"/>
          </w:tcPr>
          <w:p w:rsidRPr="006E3F60" w:rsidR="005A6946" w:rsidP="00D31DE5" w:rsidRDefault="005A6946" w14:paraId="572FC70F" w14:textId="2DC2D6F8">
            <w:pPr>
              <w:contextualSpacing/>
              <w:rPr>
                <w:i/>
              </w:rPr>
            </w:pPr>
            <w:r>
              <w:rPr>
                <w:b/>
                <w:i/>
              </w:rPr>
              <w:t>Kontaktpersona:</w:t>
            </w:r>
          </w:p>
        </w:tc>
        <w:tc>
          <w:tcPr>
            <w:tcW w:w="5670" w:type="dxa"/>
          </w:tcPr>
          <w:p w:rsidRPr="006E3F60" w:rsidR="005A6946" w:rsidP="00D31DE5" w:rsidRDefault="005A6946" w14:paraId="5EF48136" w14:textId="741C288A">
            <w:pPr>
              <w:contextualSpacing/>
              <w:rPr>
                <w:i/>
              </w:rPr>
            </w:pPr>
            <w:proofErr w:type="spellStart"/>
            <w:r>
              <w:rPr>
                <w:i/>
              </w:rPr>
              <w:t>Maarit</w:t>
            </w:r>
            <w:proofErr w:type="spellEnd"/>
            <w:r>
              <w:rPr>
                <w:i/>
              </w:rPr>
              <w:t xml:space="preserve"> </w:t>
            </w:r>
            <w:proofErr w:type="spellStart"/>
            <w:r>
              <w:rPr>
                <w:i/>
              </w:rPr>
              <w:t>Laurila</w:t>
            </w:r>
            <w:proofErr w:type="spellEnd"/>
          </w:p>
        </w:tc>
      </w:tr>
      <w:tr w:rsidRPr="006E3F60" w:rsidR="005A6946" w:rsidTr="00D31DE5" w14:paraId="16F8B18C" w14:textId="77777777">
        <w:tc>
          <w:tcPr>
            <w:tcW w:w="1418" w:type="dxa"/>
          </w:tcPr>
          <w:p w:rsidRPr="006E3F60" w:rsidR="005A6946" w:rsidP="00D31DE5" w:rsidRDefault="005A6946" w14:paraId="5D2396C5" w14:textId="26BDBD24">
            <w:pPr>
              <w:ind w:left="601"/>
              <w:contextualSpacing/>
              <w:rPr>
                <w:i/>
              </w:rPr>
            </w:pPr>
            <w:r>
              <w:rPr>
                <w:i/>
              </w:rPr>
              <w:t>Tālr.:</w:t>
            </w:r>
          </w:p>
        </w:tc>
        <w:tc>
          <w:tcPr>
            <w:tcW w:w="5670" w:type="dxa"/>
          </w:tcPr>
          <w:p w:rsidRPr="006E3F60" w:rsidR="005A6946" w:rsidP="00D31DE5" w:rsidRDefault="005A6946" w14:paraId="395BEF50" w14:textId="6D1B8839">
            <w:pPr>
              <w:contextualSpacing/>
              <w:rPr>
                <w:i/>
              </w:rPr>
            </w:pPr>
            <w:r>
              <w:rPr>
                <w:i/>
              </w:rPr>
              <w:t>00 32 2 546 97 39</w:t>
            </w:r>
          </w:p>
        </w:tc>
      </w:tr>
      <w:tr w:rsidRPr="006E3F60" w:rsidR="005A6946" w:rsidTr="00D31DE5" w14:paraId="3B91F9CB" w14:textId="77777777">
        <w:tc>
          <w:tcPr>
            <w:tcW w:w="1418" w:type="dxa"/>
          </w:tcPr>
          <w:p w:rsidRPr="006E3F60" w:rsidR="005A6946" w:rsidP="00D31DE5" w:rsidRDefault="005A6946" w14:paraId="5DC00766" w14:textId="580DC7C6">
            <w:pPr>
              <w:ind w:left="601"/>
              <w:contextualSpacing/>
              <w:rPr>
                <w:i/>
              </w:rPr>
            </w:pPr>
            <w:r>
              <w:rPr>
                <w:i/>
              </w:rPr>
              <w:t>E-pasts:</w:t>
            </w:r>
          </w:p>
        </w:tc>
        <w:tc>
          <w:tcPr>
            <w:tcW w:w="5670" w:type="dxa"/>
          </w:tcPr>
          <w:p w:rsidRPr="006E3F60" w:rsidR="005A6946" w:rsidP="00D31DE5" w:rsidRDefault="00D31DE5" w14:paraId="2AE8AF18" w14:textId="33DA2AD9">
            <w:pPr>
              <w:contextualSpacing/>
              <w:rPr>
                <w:i/>
              </w:rPr>
            </w:pPr>
            <w:hyperlink w:history="1" r:id="rId42">
              <w:r w:rsidR="008D0A46">
                <w:rPr>
                  <w:rStyle w:val="Hyperlink"/>
                  <w:i/>
                </w:rPr>
                <w:t>Maarit.Laurila@eesc.europa.eu</w:t>
              </w:r>
            </w:hyperlink>
          </w:p>
        </w:tc>
      </w:tr>
    </w:tbl>
    <w:p w:rsidR="00EE1E04" w:rsidP="00CB3335" w:rsidRDefault="00EE1E04" w14:paraId="064E838D" w14:textId="7030B7A8"/>
    <w:p w:rsidR="00EE1E04" w:rsidRDefault="00EE1E04" w14:paraId="1802A9A9" w14:textId="77777777">
      <w:pPr>
        <w:spacing w:after="160" w:line="259" w:lineRule="auto"/>
        <w:jc w:val="left"/>
      </w:pPr>
      <w:r>
        <w:br w:type="page"/>
      </w:r>
    </w:p>
    <w:p w:rsidRPr="005445DD" w:rsidR="005445DD" w:rsidP="005445DD" w:rsidRDefault="00EE1E04" w14:paraId="14F7D100" w14:textId="3253F6B2">
      <w:pPr>
        <w:keepNext/>
        <w:keepLines/>
        <w:numPr>
          <w:ilvl w:val="0"/>
          <w:numId w:val="2"/>
        </w:numPr>
        <w:ind w:left="567" w:hanging="567"/>
        <w:contextualSpacing/>
        <w:rPr>
          <w:b/>
          <w:bCs/>
        </w:rPr>
      </w:pPr>
      <w:r>
        <w:rPr>
          <w:b/>
          <w:i/>
          <w:sz w:val="28"/>
        </w:rPr>
        <w:lastRenderedPageBreak/>
        <w:t>Sociāli ekonomiskā situācija Latīņamerikā pēc Covid-19 krīzes – pilsoniskās sabiedrības loma atveseļošanas procesā</w:t>
      </w:r>
    </w:p>
    <w:p w:rsidRPr="006E3F60" w:rsidR="005445DD" w:rsidP="005445DD" w:rsidRDefault="005445DD" w14:paraId="0219A9C5" w14:textId="77777777">
      <w:pPr>
        <w:keepNext/>
        <w:keepLines/>
        <w:ind w:left="567"/>
        <w:contextualSpacing/>
      </w:pPr>
    </w:p>
    <w:tbl>
      <w:tblPr>
        <w:tblStyle w:val="TableGrid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946"/>
      </w:tblGrid>
      <w:tr w:rsidRPr="006E3F60" w:rsidR="005445DD" w:rsidTr="00D31DE5" w14:paraId="7B919E20" w14:textId="77777777">
        <w:tc>
          <w:tcPr>
            <w:tcW w:w="1701" w:type="dxa"/>
          </w:tcPr>
          <w:p w:rsidRPr="006E3F60" w:rsidR="005445DD" w:rsidP="00D31DE5" w:rsidRDefault="005445DD" w14:paraId="2D92A9F5" w14:textId="3B0A2B70">
            <w:pPr>
              <w:keepNext/>
              <w:contextualSpacing/>
              <w:rPr>
                <w:b/>
              </w:rPr>
            </w:pPr>
            <w:r>
              <w:rPr>
                <w:b/>
              </w:rPr>
              <w:t>Ziņotājs</w:t>
            </w:r>
          </w:p>
        </w:tc>
        <w:tc>
          <w:tcPr>
            <w:tcW w:w="6946" w:type="dxa"/>
          </w:tcPr>
          <w:p w:rsidRPr="006E3F60" w:rsidR="005445DD" w:rsidP="00D31DE5" w:rsidRDefault="00EE1E04" w14:paraId="6E8EE91B" w14:textId="79EB6F98">
            <w:pPr>
              <w:keepNext/>
              <w:ind w:left="-106"/>
              <w:contextualSpacing/>
            </w:pPr>
            <w:proofErr w:type="spellStart"/>
            <w:r>
              <w:t>Josep</w:t>
            </w:r>
            <w:proofErr w:type="spellEnd"/>
            <w:r>
              <w:t xml:space="preserve"> PUXEU ROCAMORA (Darba devēju grupa – ES)</w:t>
            </w:r>
          </w:p>
        </w:tc>
      </w:tr>
      <w:tr w:rsidRPr="006E3F60" w:rsidR="005445DD" w:rsidTr="00D31DE5" w14:paraId="4AF35F53" w14:textId="77777777">
        <w:tc>
          <w:tcPr>
            <w:tcW w:w="1701" w:type="dxa"/>
          </w:tcPr>
          <w:p w:rsidRPr="006E3F60" w:rsidR="005445DD" w:rsidP="00D31DE5" w:rsidRDefault="005445DD" w14:paraId="1C6C326E" w14:textId="77777777">
            <w:pPr>
              <w:keepNext/>
              <w:contextualSpacing/>
              <w:rPr>
                <w:b/>
              </w:rPr>
            </w:pPr>
          </w:p>
        </w:tc>
        <w:tc>
          <w:tcPr>
            <w:tcW w:w="6946" w:type="dxa"/>
          </w:tcPr>
          <w:p w:rsidRPr="006E3F60" w:rsidR="005445DD" w:rsidP="00D31DE5" w:rsidRDefault="005445DD" w14:paraId="7DD762B9" w14:textId="77777777">
            <w:pPr>
              <w:keepNext/>
              <w:ind w:left="-106"/>
              <w:contextualSpacing/>
            </w:pPr>
          </w:p>
        </w:tc>
      </w:tr>
      <w:tr w:rsidRPr="006E3F60" w:rsidR="005445DD" w:rsidTr="00D31DE5" w14:paraId="55AECA3D" w14:textId="77777777">
        <w:tc>
          <w:tcPr>
            <w:tcW w:w="1701" w:type="dxa"/>
          </w:tcPr>
          <w:p w:rsidRPr="006E3F60" w:rsidR="005445DD" w:rsidP="00D31DE5" w:rsidRDefault="005445DD" w14:paraId="759CC067" w14:textId="4E2718A5">
            <w:pPr>
              <w:keepNext/>
              <w:contextualSpacing/>
              <w:rPr>
                <w:b/>
              </w:rPr>
            </w:pPr>
            <w:r>
              <w:rPr>
                <w:b/>
              </w:rPr>
              <w:t xml:space="preserve">Atsauces </w:t>
            </w:r>
          </w:p>
        </w:tc>
        <w:tc>
          <w:tcPr>
            <w:tcW w:w="6946" w:type="dxa"/>
          </w:tcPr>
          <w:p w:rsidRPr="006E3F60" w:rsidR="005445DD" w:rsidP="00D31DE5" w:rsidRDefault="00EE1E04" w14:paraId="198E13AD" w14:textId="7D5CD566">
            <w:pPr>
              <w:keepNext/>
              <w:ind w:left="-106"/>
              <w:contextualSpacing/>
              <w:rPr>
                <w:iCs/>
                <w:color w:val="000000"/>
              </w:rPr>
            </w:pPr>
            <w:r>
              <w:rPr>
                <w:color w:val="000000"/>
              </w:rPr>
              <w:t>Pašiniciatīvas atzinums</w:t>
            </w:r>
          </w:p>
          <w:p w:rsidRPr="006E3F60" w:rsidR="005445DD" w:rsidP="00D31DE5" w:rsidRDefault="005445DD" w14:paraId="7A9588D2" w14:textId="763DCFB8">
            <w:pPr>
              <w:keepNext/>
              <w:ind w:left="-106"/>
              <w:contextualSpacing/>
            </w:pPr>
            <w:r>
              <w:t>EESC-2022-01331-00-00-AC</w:t>
            </w:r>
          </w:p>
        </w:tc>
      </w:tr>
    </w:tbl>
    <w:p w:rsidRPr="006E3F60" w:rsidR="005445DD" w:rsidP="005445DD" w:rsidRDefault="005445DD" w14:paraId="2D915A02" w14:textId="77777777">
      <w:pPr>
        <w:keepNext/>
        <w:ind w:left="567"/>
        <w:contextualSpacing/>
      </w:pPr>
    </w:p>
    <w:p w:rsidRPr="00A743EB" w:rsidR="005445DD" w:rsidP="00BD00EB" w:rsidRDefault="00D31DE5" w14:paraId="652B0B60" w14:textId="798D6B5D">
      <w:pPr>
        <w:pStyle w:val="ListParagraph"/>
        <w:spacing w:line="240" w:lineRule="auto"/>
        <w:ind w:left="0"/>
        <w:rPr>
          <w:b/>
        </w:rPr>
      </w:pPr>
      <w:r>
        <w:rPr>
          <w:b/>
          <w:bCs/>
        </w:rPr>
        <w:t>Galvenās nostādnes</w:t>
      </w:r>
    </w:p>
    <w:p w:rsidR="005445DD" w:rsidP="005445DD" w:rsidRDefault="005445DD" w14:paraId="3F60612E" w14:textId="6FFBC1BC">
      <w:pPr>
        <w:contextualSpacing/>
      </w:pPr>
    </w:p>
    <w:p w:rsidR="00EE1E04" w:rsidP="005445DD" w:rsidRDefault="00EE1E04" w14:paraId="284446E1" w14:textId="2CA84C8D">
      <w:pPr>
        <w:contextualSpacing/>
        <w:rPr>
          <w:bCs/>
        </w:rPr>
      </w:pPr>
      <w:r>
        <w:t>EESK:</w:t>
      </w:r>
    </w:p>
    <w:p w:rsidRPr="006E3F60" w:rsidR="00EE1E04" w:rsidP="005445DD" w:rsidRDefault="00EE1E04" w14:paraId="4F8D87ED" w14:textId="77777777">
      <w:pPr>
        <w:contextualSpacing/>
      </w:pPr>
    </w:p>
    <w:p w:rsidR="005445DD" w:rsidP="005445DD" w:rsidRDefault="00EE1E04" w14:paraId="6F7CEC7D" w14:textId="26333F88">
      <w:pPr>
        <w:numPr>
          <w:ilvl w:val="0"/>
          <w:numId w:val="3"/>
        </w:numPr>
        <w:ind w:left="357" w:hanging="357"/>
        <w:contextualSpacing/>
      </w:pPr>
      <w:r>
        <w:t>norāda, ka Covid-19 pandēmija Latīņameriku ir skārusi īpaši smagi, jo nāves gadījumu skaits pārsniedz pasaules vidējo rādītāju, ārkārtīgi liels spiediens ir uz veselības aprūpes sistēmām un palēninās ekonomikas attīstības temps. Reģions 2020. gadā zaudēja ap 22 miljoniem darbvietu: nabadzības samazināšanas ziņā reģions ir zaudējis vairāk nekā desmit gadus, un tas ir viens no nevienlīdzīgākajiem pasaules reģioniem. Krievijas karš pret Ukrainu vēl vairāk pastiprina pandēmijas sekas, jo pieaug fosilā kurināmā, lauksaimniecības izejvielu un pārtikas cenas;</w:t>
      </w:r>
    </w:p>
    <w:p w:rsidR="00EE1E04" w:rsidP="00EE1E04" w:rsidRDefault="00EE1E04" w14:paraId="26895BE4" w14:textId="254D042F">
      <w:pPr>
        <w:numPr>
          <w:ilvl w:val="0"/>
          <w:numId w:val="3"/>
        </w:numPr>
        <w:ind w:left="357" w:hanging="357"/>
        <w:contextualSpacing/>
      </w:pPr>
      <w:r>
        <w:t>norāda, ka veselības un inflācijas krīzes ir palielinājušas iepriekš pastāvošo sociālo atstumtību, drošības trūkumu un vidusšķiras nabadzības risku. Tas viss ir izraisījis sociālus nemierus un neuzticēšanos iestādēm, savukārt plaša iekšējā migrācija kontinentā ir radījusi humanitāro krīzi dažās valstīs;</w:t>
      </w:r>
    </w:p>
    <w:p w:rsidR="005445DD" w:rsidP="00A743EB" w:rsidRDefault="00EE1E04" w14:paraId="1F7E3F54" w14:textId="0E929F39">
      <w:pPr>
        <w:numPr>
          <w:ilvl w:val="0"/>
          <w:numId w:val="3"/>
        </w:numPr>
        <w:ind w:left="357" w:hanging="357"/>
        <w:contextualSpacing/>
      </w:pPr>
      <w:r>
        <w:t>uzskata, ka Latīņamerikai ir vajadzīgs jauns sociālais pakts starp sociālekonomiskajām grupām, starp reģioniem un starp paaudzēm. Ir svarīgi stiprināt politisko pārskatatbildību, lai nodrošinātu iekļaušanu un aizsardzību, radītu pienācīgas kvalitātes darbvietas un veicinātu zaļo un digitālo pārkārtošanos. Ir jāveido efektīvas sociālās aizsardzības sistēmas un ilgtspējīgāks attīstības finansēšanas modelis ar fiskāli ilgtspējīgiem publiskajiem izdevumiem un efektīvāku nodokļu iekasēšanas sistēmu, īpašu uzmanību pievēršot zaļajiem nodokļiem;</w:t>
      </w:r>
    </w:p>
    <w:p w:rsidR="00EE1E04" w:rsidP="00A743EB" w:rsidRDefault="00EE1E04" w14:paraId="29F315DD" w14:textId="011E13F1">
      <w:pPr>
        <w:numPr>
          <w:ilvl w:val="0"/>
          <w:numId w:val="3"/>
        </w:numPr>
        <w:ind w:left="357" w:hanging="357"/>
        <w:contextualSpacing/>
      </w:pPr>
      <w:r>
        <w:t>atgādina, ka tam visam ir vajadzīga plaša pilsoņu līdzdalība un reālu iespēju nodrošināšana jauniešiem un sievietēm. Ir jāveicina institucionalizēts sociālais dialogs, kāds jau ir izveidots Eiropā, un jāpastiprina pašreizējā sadarbība ar Eiropas Ekonomikas un sociālo lietu komiteju un Starptautisko Ekonomikas un sociālo lietu padomju un tām līdzīgu organizāciju apvienību;</w:t>
      </w:r>
    </w:p>
    <w:p w:rsidR="00EE1E04" w:rsidP="00A743EB" w:rsidRDefault="00EE1E04" w14:paraId="79EFB207" w14:textId="619DBB0A">
      <w:pPr>
        <w:numPr>
          <w:ilvl w:val="0"/>
          <w:numId w:val="3"/>
        </w:numPr>
        <w:ind w:left="357" w:hanging="357"/>
        <w:contextualSpacing/>
      </w:pPr>
      <w:r>
        <w:t xml:space="preserve">uzskata, ka būtiska nozīme Latīņamerikas valstu atveseļošanā pēc Covid-19 krīzes ir starptautiskās sadarbības iniciatīvām tādās jomās kā parādu atvieglošana un pārstrukturēšana, un it īpaši pieejai, kas būtu plašāka nekā vecā ziemeļu–dienvidu paradigma, veidojot jauna veida daudzpusējas un daudzlīmeņu </w:t>
      </w:r>
      <w:proofErr w:type="spellStart"/>
      <w:r>
        <w:t>partnerattiecībaskas</w:t>
      </w:r>
      <w:proofErr w:type="spellEnd"/>
      <w:r>
        <w:t>;</w:t>
      </w:r>
    </w:p>
    <w:p w:rsidR="00EE1E04" w:rsidP="00A743EB" w:rsidRDefault="00EE1E04" w14:paraId="7B1D6A09" w14:textId="304B2FF1">
      <w:pPr>
        <w:numPr>
          <w:ilvl w:val="0"/>
          <w:numId w:val="3"/>
        </w:numPr>
        <w:ind w:left="357" w:hanging="357"/>
        <w:contextualSpacing/>
      </w:pPr>
      <w:r>
        <w:t xml:space="preserve">norāda, ka pēc </w:t>
      </w:r>
      <w:r>
        <w:rPr>
          <w:i/>
          <w:iCs/>
        </w:rPr>
        <w:t>COVAX</w:t>
      </w:r>
      <w:r>
        <w:t xml:space="preserve"> mehānisma sniegtās palīdzības ES savā politikā attiecībā uz Latīņameriku tagad izmanto instrumentu kopumu, piemēram, Kaimiņattiecību, attīstības sadarbības un starptautiskās sadarbības instrumentu (</w:t>
      </w:r>
      <w:r>
        <w:rPr>
          <w:i/>
          <w:iCs/>
        </w:rPr>
        <w:t>NDICI</w:t>
      </w:r>
      <w:r>
        <w:t>), programmu EUROCLIMA+, stratēģiju “</w:t>
      </w:r>
      <w:proofErr w:type="spellStart"/>
      <w:r>
        <w:rPr>
          <w:i/>
          <w:iCs/>
        </w:rPr>
        <w:t>Global</w:t>
      </w:r>
      <w:proofErr w:type="spellEnd"/>
      <w:r>
        <w:rPr>
          <w:i/>
          <w:iCs/>
        </w:rPr>
        <w:t xml:space="preserve"> </w:t>
      </w:r>
      <w:proofErr w:type="spellStart"/>
      <w:r>
        <w:rPr>
          <w:i/>
          <w:iCs/>
        </w:rPr>
        <w:t>Gateway</w:t>
      </w:r>
      <w:proofErr w:type="spellEnd"/>
      <w:r>
        <w:t>” un Eiropas Stratēģisko kompasu;</w:t>
      </w:r>
    </w:p>
    <w:p w:rsidR="00EE1E04" w:rsidP="00A743EB" w:rsidRDefault="00EE1E04" w14:paraId="488B9E88" w14:textId="13F3EADA">
      <w:pPr>
        <w:numPr>
          <w:ilvl w:val="0"/>
          <w:numId w:val="3"/>
        </w:numPr>
        <w:ind w:left="357" w:hanging="357"/>
        <w:contextualSpacing/>
      </w:pPr>
      <w:r>
        <w:t xml:space="preserve">Galvenā uzmanība būtu jāpievērš zaļajai pārkārtošanai (Latīņamerika ir viens no pasaules reģioniem, ko klimata pārmaiņas skar visvairāk) un digitalizācijai (jo tai ir liels attīstības potenciāls), kā arī ilgtspējīgai un iekļaujošai attīstībai: Latīņamerikas valstīm būtu jāievēro demokrātijas principi, cilvēktiesības un SDO konvencijās atzītās darba ņēmēju tiesības, un tādēļ vietējām konsultantu grupām (VKG) ir svarīga nozīme, lai uzraudzītu brīvās tirdzniecības nolīgumus, to skaitā ar </w:t>
      </w:r>
      <w:proofErr w:type="spellStart"/>
      <w:r>
        <w:rPr>
          <w:i/>
          <w:iCs/>
        </w:rPr>
        <w:t>Mercosur</w:t>
      </w:r>
      <w:proofErr w:type="spellEnd"/>
      <w:r>
        <w:t>, kura ratifikācija ir nepieciešama Eiropas Savienības partnerībai ar Latīņameriku;</w:t>
      </w:r>
    </w:p>
    <w:p w:rsidR="00EE1E04" w:rsidP="00A743EB" w:rsidRDefault="00EE1E04" w14:paraId="0F855D74" w14:textId="3CE2BA4D">
      <w:pPr>
        <w:numPr>
          <w:ilvl w:val="0"/>
          <w:numId w:val="3"/>
        </w:numPr>
        <w:ind w:left="357" w:hanging="357"/>
        <w:contextualSpacing/>
      </w:pPr>
      <w:r>
        <w:lastRenderedPageBreak/>
        <w:t>Eiropa un Latīņamerika var būt partneri demokrātijas, ilgtspējas, sociālā taisnīguma un multilaterālisma aliansē, lai atbalstītu atveseļošanos, kurā ir iesaistīta pilsoniskā sabiedrība, piesaistītu ieguldījumus, kas atbilst ilgtspējīgas attīstības mērķiem (IAM), un veicinātu tirdzniecības attiecības, kas ar savu kvalitāti un ilgtermiņa ilgtspēju atšķiras no agresīviem un bezatbildīgiem starptautisko attiecību modeļiem.</w:t>
      </w:r>
    </w:p>
    <w:p w:rsidRPr="006E3F60" w:rsidR="005445DD" w:rsidP="005445DD" w:rsidRDefault="005445DD" w14:paraId="49503023" w14:textId="77777777">
      <w:pPr>
        <w:contextualSpacing/>
      </w:pPr>
    </w:p>
    <w:tbl>
      <w:tblPr>
        <w:tblStyle w:val="TableGrid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32"/>
        <w:gridCol w:w="5670"/>
      </w:tblGrid>
      <w:tr w:rsidRPr="006E3F60" w:rsidR="005445DD" w:rsidTr="00D31DE5" w14:paraId="6FC3B513" w14:textId="77777777">
        <w:tc>
          <w:tcPr>
            <w:tcW w:w="1418" w:type="dxa"/>
          </w:tcPr>
          <w:p w:rsidRPr="006E3F60" w:rsidR="005445DD" w:rsidP="00D31DE5" w:rsidRDefault="005445DD" w14:paraId="24539884" w14:textId="1D1C0CCA">
            <w:pPr>
              <w:contextualSpacing/>
              <w:rPr>
                <w:i/>
              </w:rPr>
            </w:pPr>
            <w:r>
              <w:rPr>
                <w:b/>
                <w:i/>
              </w:rPr>
              <w:t>Kontaktpersona:</w:t>
            </w:r>
          </w:p>
        </w:tc>
        <w:tc>
          <w:tcPr>
            <w:tcW w:w="5670" w:type="dxa"/>
          </w:tcPr>
          <w:p w:rsidRPr="006E3F60" w:rsidR="005445DD" w:rsidP="00D31DE5" w:rsidRDefault="00EE1E04" w14:paraId="360EC5B6" w14:textId="5459DA32">
            <w:pPr>
              <w:contextualSpacing/>
              <w:rPr>
                <w:i/>
              </w:rPr>
            </w:pPr>
            <w:proofErr w:type="spellStart"/>
            <w:r>
              <w:rPr>
                <w:i/>
              </w:rPr>
              <w:t>Ewa</w:t>
            </w:r>
            <w:proofErr w:type="spellEnd"/>
            <w:r>
              <w:rPr>
                <w:i/>
              </w:rPr>
              <w:t xml:space="preserve"> </w:t>
            </w:r>
            <w:proofErr w:type="spellStart"/>
            <w:r>
              <w:rPr>
                <w:i/>
              </w:rPr>
              <w:t>Tomaszewska</w:t>
            </w:r>
            <w:proofErr w:type="spellEnd"/>
          </w:p>
        </w:tc>
      </w:tr>
      <w:tr w:rsidRPr="006E3F60" w:rsidR="005445DD" w:rsidTr="00D31DE5" w14:paraId="72963368" w14:textId="77777777">
        <w:tc>
          <w:tcPr>
            <w:tcW w:w="1418" w:type="dxa"/>
          </w:tcPr>
          <w:p w:rsidRPr="006E3F60" w:rsidR="005445DD" w:rsidP="00D31DE5" w:rsidRDefault="005445DD" w14:paraId="42069190" w14:textId="58235502">
            <w:pPr>
              <w:ind w:left="601"/>
              <w:contextualSpacing/>
              <w:rPr>
                <w:i/>
              </w:rPr>
            </w:pPr>
            <w:r>
              <w:rPr>
                <w:i/>
              </w:rPr>
              <w:t>Tālr.:</w:t>
            </w:r>
          </w:p>
        </w:tc>
        <w:tc>
          <w:tcPr>
            <w:tcW w:w="5670" w:type="dxa"/>
          </w:tcPr>
          <w:p w:rsidRPr="006E3F60" w:rsidR="005445DD" w:rsidP="00D31DE5" w:rsidRDefault="005445DD" w14:paraId="110B1E4D" w14:textId="0FD40892">
            <w:pPr>
              <w:contextualSpacing/>
              <w:rPr>
                <w:i/>
              </w:rPr>
            </w:pPr>
            <w:r>
              <w:rPr>
                <w:i/>
              </w:rPr>
              <w:t>00 32 2 546 97 24</w:t>
            </w:r>
          </w:p>
        </w:tc>
      </w:tr>
      <w:tr w:rsidRPr="006E3F60" w:rsidR="005445DD" w:rsidTr="00D31DE5" w14:paraId="39185FE8" w14:textId="77777777">
        <w:tc>
          <w:tcPr>
            <w:tcW w:w="1418" w:type="dxa"/>
          </w:tcPr>
          <w:p w:rsidRPr="006E3F60" w:rsidR="005445DD" w:rsidP="00D31DE5" w:rsidRDefault="005445DD" w14:paraId="073F08E8" w14:textId="5E810D55">
            <w:pPr>
              <w:ind w:left="601"/>
              <w:contextualSpacing/>
              <w:rPr>
                <w:i/>
              </w:rPr>
            </w:pPr>
            <w:r>
              <w:rPr>
                <w:i/>
              </w:rPr>
              <w:t>E-pasts:</w:t>
            </w:r>
          </w:p>
        </w:tc>
        <w:tc>
          <w:tcPr>
            <w:tcW w:w="5670" w:type="dxa"/>
          </w:tcPr>
          <w:p w:rsidRPr="006E3F60" w:rsidR="005445DD" w:rsidP="00D31DE5" w:rsidRDefault="00D31DE5" w14:paraId="184563F5" w14:textId="1116AB80">
            <w:pPr>
              <w:contextualSpacing/>
              <w:rPr>
                <w:i/>
              </w:rPr>
            </w:pPr>
            <w:hyperlink w:history="1" r:id="rId43">
              <w:r w:rsidR="008D0A46">
                <w:rPr>
                  <w:rStyle w:val="Hyperlink"/>
                  <w:i/>
                </w:rPr>
                <w:t>Ewa.Tomaszewska@eesc.europa.eu</w:t>
              </w:r>
            </w:hyperlink>
          </w:p>
        </w:tc>
      </w:tr>
    </w:tbl>
    <w:p w:rsidR="00EE1E04" w:rsidRDefault="00467BE4" w14:paraId="2044F7F6" w14:textId="5A49C044">
      <w:pPr>
        <w:spacing w:after="160" w:line="259" w:lineRule="auto"/>
        <w:jc w:val="left"/>
      </w:pPr>
      <w:r>
        <w:br w:type="page"/>
      </w:r>
    </w:p>
    <w:p w:rsidR="006E3F60" w:rsidP="00B339AC" w:rsidRDefault="00745EAA" w14:paraId="4A27BE14" w14:textId="57107498">
      <w:pPr>
        <w:pStyle w:val="Heading1"/>
        <w:keepNext/>
        <w:rPr>
          <w:b/>
        </w:rPr>
      </w:pPr>
      <w:bookmarkStart w:name="_Toc124779041" w:id="11"/>
      <w:r>
        <w:rPr>
          <w:b/>
        </w:rPr>
        <w:lastRenderedPageBreak/>
        <w:t>RŪPNIECĪBAS PĀRMAIŅU KONSULTATĪVĀ KOMISIJA</w:t>
      </w:r>
      <w:bookmarkEnd w:id="11"/>
    </w:p>
    <w:p w:rsidRPr="00B339AC" w:rsidR="00B339AC" w:rsidP="00B339AC" w:rsidRDefault="00B339AC" w14:paraId="2D55D2C5" w14:textId="77777777"/>
    <w:p w:rsidRPr="00360C81" w:rsidR="00092425" w:rsidP="00D31DE5" w:rsidRDefault="00B339AC" w14:paraId="4FF48D94" w14:textId="7AF2E09C">
      <w:pPr>
        <w:keepNext/>
        <w:keepLines/>
        <w:numPr>
          <w:ilvl w:val="0"/>
          <w:numId w:val="2"/>
        </w:numPr>
        <w:ind w:left="567" w:hanging="567"/>
        <w:contextualSpacing/>
        <w:rPr>
          <w:rStyle w:val="Hyperlink"/>
          <w:color w:val="auto"/>
          <w:u w:val="none"/>
        </w:rPr>
      </w:pPr>
      <w:r>
        <w:rPr>
          <w:b/>
          <w:i/>
          <w:sz w:val="28"/>
        </w:rPr>
        <w:t>Jūras rūpniecības stratēģija</w:t>
      </w:r>
    </w:p>
    <w:p w:rsidRPr="006E3F60" w:rsidR="00360C81" w:rsidP="00DC28F0" w:rsidRDefault="00360C81" w14:paraId="4DD756C4" w14:textId="77777777">
      <w:pPr>
        <w:keepNext/>
        <w:keepLines/>
        <w:ind w:left="567"/>
        <w:contextualSpacing/>
      </w:pPr>
    </w:p>
    <w:tbl>
      <w:tblPr>
        <w:tblStyle w:val="TableGrid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946"/>
      </w:tblGrid>
      <w:tr w:rsidRPr="006E3F60" w:rsidR="006E3F60" w:rsidTr="00C25DB3" w14:paraId="25907EC0" w14:textId="77777777">
        <w:tc>
          <w:tcPr>
            <w:tcW w:w="1701" w:type="dxa"/>
          </w:tcPr>
          <w:p w:rsidRPr="006E3F60" w:rsidR="006E3F60" w:rsidP="006E3F60" w:rsidRDefault="006E3F60" w14:paraId="363A590B" w14:textId="4287F742">
            <w:pPr>
              <w:keepNext/>
              <w:contextualSpacing/>
              <w:rPr>
                <w:b/>
              </w:rPr>
            </w:pPr>
            <w:r>
              <w:rPr>
                <w:b/>
              </w:rPr>
              <w:t>Ziņotājs</w:t>
            </w:r>
          </w:p>
        </w:tc>
        <w:tc>
          <w:tcPr>
            <w:tcW w:w="6946" w:type="dxa"/>
          </w:tcPr>
          <w:p w:rsidRPr="006E3F60" w:rsidR="006E3F60" w:rsidP="006E3F60" w:rsidRDefault="00B02467" w14:paraId="7776D9DA" w14:textId="56DC2749">
            <w:pPr>
              <w:keepNext/>
              <w:ind w:left="-106"/>
              <w:contextualSpacing/>
            </w:pPr>
            <w:proofErr w:type="spellStart"/>
            <w:r>
              <w:t>Anastasis</w:t>
            </w:r>
            <w:proofErr w:type="spellEnd"/>
            <w:r>
              <w:t xml:space="preserve"> YIAPANIS (Pilsoniskās sabiedrības organizāciju grupa — CY)</w:t>
            </w:r>
          </w:p>
        </w:tc>
      </w:tr>
      <w:tr w:rsidRPr="006E3F60" w:rsidR="006E3F60" w:rsidTr="00C25DB3" w14:paraId="3818F306" w14:textId="77777777">
        <w:tc>
          <w:tcPr>
            <w:tcW w:w="1701" w:type="dxa"/>
          </w:tcPr>
          <w:p w:rsidRPr="006E3F60" w:rsidR="006E3F60" w:rsidP="006E3F60" w:rsidRDefault="006E3F60" w14:paraId="335B5DA6" w14:textId="77777777">
            <w:pPr>
              <w:keepNext/>
              <w:contextualSpacing/>
              <w:rPr>
                <w:b/>
              </w:rPr>
            </w:pPr>
            <w:r>
              <w:rPr>
                <w:b/>
              </w:rPr>
              <w:t>Līdzziņotājs</w:t>
            </w:r>
          </w:p>
        </w:tc>
        <w:tc>
          <w:tcPr>
            <w:tcW w:w="6946" w:type="dxa"/>
          </w:tcPr>
          <w:p w:rsidRPr="006E3F60" w:rsidR="006E3F60" w:rsidP="006E3F60" w:rsidRDefault="00B02467" w14:paraId="5324713C" w14:textId="57CAE17B">
            <w:pPr>
              <w:keepNext/>
              <w:ind w:left="-106"/>
              <w:contextualSpacing/>
            </w:pPr>
            <w:proofErr w:type="spellStart"/>
            <w:r>
              <w:t>Christophe</w:t>
            </w:r>
            <w:proofErr w:type="spellEnd"/>
            <w:r>
              <w:t xml:space="preserve"> TYTGAT (1. </w:t>
            </w:r>
            <w:proofErr w:type="spellStart"/>
            <w:r>
              <w:t>kat</w:t>
            </w:r>
            <w:proofErr w:type="spellEnd"/>
            <w:r>
              <w:t>. – BE)</w:t>
            </w:r>
          </w:p>
        </w:tc>
      </w:tr>
      <w:tr w:rsidRPr="006E3F60" w:rsidR="006E3F60" w:rsidTr="00C25DB3" w14:paraId="3B98D2DD" w14:textId="77777777">
        <w:tc>
          <w:tcPr>
            <w:tcW w:w="8647" w:type="dxa"/>
            <w:gridSpan w:val="2"/>
          </w:tcPr>
          <w:p w:rsidRPr="006E3F60" w:rsidR="006E3F60" w:rsidP="006E3F60" w:rsidRDefault="006E3F60" w14:paraId="302FFA0F" w14:textId="77777777">
            <w:pPr>
              <w:keepNext/>
              <w:contextualSpacing/>
            </w:pPr>
          </w:p>
        </w:tc>
      </w:tr>
      <w:tr w:rsidRPr="006E3F60" w:rsidR="006E3F60" w:rsidTr="00C25DB3" w14:paraId="5C47C9B0" w14:textId="77777777">
        <w:tc>
          <w:tcPr>
            <w:tcW w:w="1701" w:type="dxa"/>
          </w:tcPr>
          <w:p w:rsidRPr="006E3F60" w:rsidR="006E3F60" w:rsidP="006E3F60" w:rsidRDefault="006E3F60" w14:paraId="70DE31B6" w14:textId="40D10F9A">
            <w:pPr>
              <w:keepNext/>
              <w:contextualSpacing/>
              <w:rPr>
                <w:b/>
              </w:rPr>
            </w:pPr>
            <w:r>
              <w:rPr>
                <w:b/>
              </w:rPr>
              <w:t>Atsauces</w:t>
            </w:r>
          </w:p>
        </w:tc>
        <w:tc>
          <w:tcPr>
            <w:tcW w:w="6946" w:type="dxa"/>
          </w:tcPr>
          <w:p w:rsidRPr="006E3F60" w:rsidR="006E3F60" w:rsidP="006E3F60" w:rsidRDefault="00B02467" w14:paraId="1726139F" w14:textId="1DEFCA02">
            <w:pPr>
              <w:keepNext/>
              <w:ind w:left="-106"/>
              <w:contextualSpacing/>
              <w:rPr>
                <w:iCs/>
                <w:color w:val="000000"/>
              </w:rPr>
            </w:pPr>
            <w:r>
              <w:rPr>
                <w:color w:val="000000"/>
              </w:rPr>
              <w:t>Pašiniciatīvas atzinums</w:t>
            </w:r>
          </w:p>
          <w:p w:rsidRPr="006E3F60" w:rsidR="006E3F60" w:rsidP="006E3F60" w:rsidRDefault="00C25DB3" w14:paraId="2ACB8205" w14:textId="7362EEC4">
            <w:pPr>
              <w:keepNext/>
              <w:ind w:left="-106"/>
              <w:contextualSpacing/>
            </w:pPr>
            <w:r>
              <w:t>EESC-2022-03568-00-00-AC</w:t>
            </w:r>
          </w:p>
        </w:tc>
      </w:tr>
    </w:tbl>
    <w:p w:rsidRPr="006E3F60" w:rsidR="006E3F60" w:rsidP="006E3F60" w:rsidRDefault="006E3F60" w14:paraId="491156E7" w14:textId="77777777">
      <w:pPr>
        <w:keepNext/>
        <w:ind w:left="567"/>
        <w:contextualSpacing/>
      </w:pPr>
    </w:p>
    <w:p w:rsidR="006E3F60" w:rsidP="00FD3EB9" w:rsidRDefault="00D31DE5" w14:paraId="393FC053" w14:textId="1F844CEE">
      <w:pPr>
        <w:pStyle w:val="ListParagraph"/>
        <w:spacing w:line="240" w:lineRule="auto"/>
        <w:ind w:left="0"/>
        <w:rPr>
          <w:b/>
        </w:rPr>
      </w:pPr>
      <w:r>
        <w:rPr>
          <w:b/>
          <w:bCs/>
        </w:rPr>
        <w:t>Galvenās nostādnes</w:t>
      </w:r>
    </w:p>
    <w:p w:rsidRPr="00C25DB3" w:rsidR="00C25DB3" w:rsidP="00C25DB3" w:rsidRDefault="00C25DB3" w14:paraId="5DC1F2E9" w14:textId="77777777">
      <w:pPr>
        <w:contextualSpacing/>
        <w:rPr>
          <w:b/>
        </w:rPr>
      </w:pPr>
    </w:p>
    <w:p w:rsidRPr="00A00F37" w:rsidR="006E3F60" w:rsidP="00FD3EB9" w:rsidRDefault="00C25DB3" w14:paraId="7490CEC6" w14:textId="77777777">
      <w:pPr>
        <w:contextualSpacing/>
        <w:rPr>
          <w:bCs/>
          <w:iCs/>
        </w:rPr>
      </w:pPr>
      <w:r>
        <w:t>EESK:</w:t>
      </w:r>
    </w:p>
    <w:p w:rsidRPr="006E3F60" w:rsidR="00C25DB3" w:rsidP="00C25DB3" w:rsidRDefault="00C25DB3" w14:paraId="725984FA" w14:textId="77777777">
      <w:pPr>
        <w:contextualSpacing/>
      </w:pPr>
    </w:p>
    <w:p w:rsidR="00070AAE" w:rsidP="00070AAE" w:rsidRDefault="00B02467" w14:paraId="23C73CEE" w14:textId="0CBD3CC9">
      <w:pPr>
        <w:numPr>
          <w:ilvl w:val="0"/>
          <w:numId w:val="3"/>
        </w:numPr>
        <w:ind w:left="357" w:hanging="357"/>
        <w:contextualSpacing/>
      </w:pPr>
      <w:r>
        <w:t>pauž bažas par jūrniecības tehnoloģiju nozares nākotni Eiropā, kas saskaras ar negodīgu konkurenci, it īpaši no Āzijas puses;</w:t>
      </w:r>
    </w:p>
    <w:p w:rsidR="00070AAE" w:rsidP="0005110E" w:rsidRDefault="00B02467" w14:paraId="1EBD51AB" w14:textId="06C3A05B">
      <w:pPr>
        <w:numPr>
          <w:ilvl w:val="0"/>
          <w:numId w:val="3"/>
        </w:numPr>
        <w:ind w:left="357" w:hanging="357"/>
        <w:contextualSpacing/>
      </w:pPr>
      <w:r>
        <w:t>pieprasa, lai jūrniecības tehnoloģijas pēc iespējas drīzāk tiktu atzītas par stratēģiski svarīgu ES nozari un tās darbība – par “kritisko infrastruktūru”, un aicina izstrādāt jūras rūpniecības stratēģiju un piešķirt EK dienestos pietiekamus resursus. Ilgtspējīgā Eiropas jūrniecības stratēģijā ir jāņem vērā un jāpārvērtē Eiropas ostu un citas attiecīgās kritiskās infrastruktūras īpašumtiesības;</w:t>
      </w:r>
    </w:p>
    <w:p w:rsidR="00360C81" w:rsidP="0005110E" w:rsidRDefault="00B02467" w14:paraId="233098CF" w14:textId="4D068BAC">
      <w:pPr>
        <w:numPr>
          <w:ilvl w:val="0"/>
          <w:numId w:val="3"/>
        </w:numPr>
        <w:ind w:left="357" w:hanging="357"/>
        <w:contextualSpacing/>
      </w:pPr>
      <w:r>
        <w:t xml:space="preserve">aicina veikt gan steidzamus pasākumus, kas stimulētu iekšzemes pieprasījumu pēc zaļiem un augsto tehnoloģiju kuģiem, tostarp izstrādāt ES programmu </w:t>
      </w:r>
      <w:proofErr w:type="spellStart"/>
      <w:r>
        <w:t>flotu</w:t>
      </w:r>
      <w:proofErr w:type="spellEnd"/>
      <w:r>
        <w:t xml:space="preserve"> atjaunošanai un pašreizējo kuģu modernizācijai saskaņā ar Eiropas zaļā kursa mērķiem, gan tūlītējus ieguldījumus infrastruktūrā un alternatīvajās degvielās;</w:t>
      </w:r>
    </w:p>
    <w:p w:rsidR="00B02467" w:rsidP="0005110E" w:rsidRDefault="00B02467" w14:paraId="0F291D27" w14:textId="3CB3C572">
      <w:pPr>
        <w:numPr>
          <w:ilvl w:val="0"/>
          <w:numId w:val="3"/>
        </w:numPr>
        <w:ind w:left="357" w:hanging="357"/>
        <w:contextualSpacing/>
      </w:pPr>
      <w:r>
        <w:t>aicina divpusējos un brīvās tirdzniecības nolīgumos iekļaut īpašas klauzulas, kas ES jūrniecības uzņēmumiem pavērtu brīvu piekļuvi tirgum, aizliegtu tirdzniecības šķēršļus, pieprasītu savstarpīgumu un nodrošinātu pienācīgu rūpību;</w:t>
      </w:r>
    </w:p>
    <w:p w:rsidR="00B02467" w:rsidP="0005110E" w:rsidRDefault="00B02467" w14:paraId="57AA777C" w14:textId="5448C526">
      <w:pPr>
        <w:numPr>
          <w:ilvl w:val="0"/>
          <w:numId w:val="3"/>
        </w:numPr>
        <w:ind w:left="357" w:hanging="357"/>
        <w:contextualSpacing/>
      </w:pPr>
      <w:r>
        <w:t>uzskata: lai nodrošinātu ilgtspējīgu ekonomisko un sociālo attīstību, saglabātu ES aizsardzību un stratēģisko jūrniecības autonomiju, kā arī nodrošinātu darbvietas un kritiskās spējas, būtu jāievieš stimuli gan ražošanas iekārtu pārvietošanai uz Eiropas Savienību un Eiropas Savienībā ražotu tehnoloģiju izmantošanai tajās, gan piegādes ķēžu un apakškomponentu ražošanas noturēšanai Eiropas Savienībā;</w:t>
      </w:r>
    </w:p>
    <w:p w:rsidR="00B02467" w:rsidP="0005110E" w:rsidRDefault="00B02467" w14:paraId="06C01501" w14:textId="07CA8BCA">
      <w:pPr>
        <w:numPr>
          <w:ilvl w:val="0"/>
          <w:numId w:val="3"/>
        </w:numPr>
        <w:ind w:left="357" w:hanging="357"/>
        <w:contextualSpacing/>
      </w:pPr>
      <w:r>
        <w:t>mudina Eiropas Komisiju un dalībvalstis īstenot plaša mēroga pārkvalifikācijas, prasmju pilnveides un profesionālās izglītības un apmācības (PIA) programmas;</w:t>
      </w:r>
    </w:p>
    <w:p w:rsidR="00B02467" w:rsidP="0005110E" w:rsidRDefault="00B02467" w14:paraId="006170D2" w14:textId="08CBEE88">
      <w:pPr>
        <w:numPr>
          <w:ilvl w:val="0"/>
          <w:numId w:val="3"/>
        </w:numPr>
        <w:ind w:left="357" w:hanging="357"/>
        <w:contextualSpacing/>
      </w:pPr>
      <w:r>
        <w:t>atzinīgi vērtē to, ka ir pieņemta kopīgi plānotā partnerība bezemisiju ūdens transporta jomā. Lai panāktu jūrniecības tehnoloģiju nozares pilnīgu dekarbonizāciju, ir pilnībā jāpāriet uz alternatīvām degvielām un tehnoloģijām;</w:t>
      </w:r>
    </w:p>
    <w:p w:rsidRPr="00C25DB3" w:rsidR="00B02467" w:rsidP="0005110E" w:rsidRDefault="00B02467" w14:paraId="128A92D4" w14:textId="5D41B782">
      <w:pPr>
        <w:numPr>
          <w:ilvl w:val="0"/>
          <w:numId w:val="3"/>
        </w:numPr>
        <w:ind w:left="357" w:hanging="357"/>
        <w:contextualSpacing/>
      </w:pPr>
      <w:r>
        <w:t>uzskata, ka paaugstināt un atgūt jūrniecības tehnoloģiju nozares globālo konkurētspēju varētu palīdzēt jūrniecības ekspertu grupa un “Eiropas jūrniecības tehnoloģiju nozares industriālā alianse”.</w:t>
      </w:r>
    </w:p>
    <w:p w:rsidRPr="006E3F60" w:rsidR="00C25DB3" w:rsidP="006E3F60" w:rsidRDefault="00C25DB3" w14:paraId="6575574F" w14:textId="77777777"/>
    <w:tbl>
      <w:tblPr>
        <w:tblStyle w:val="TableGrid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32"/>
        <w:gridCol w:w="5670"/>
      </w:tblGrid>
      <w:tr w:rsidRPr="006E3F60" w:rsidR="006E3F60" w:rsidTr="00B83E7B" w14:paraId="3701C8A8" w14:textId="77777777">
        <w:tc>
          <w:tcPr>
            <w:tcW w:w="1418" w:type="dxa"/>
          </w:tcPr>
          <w:p w:rsidRPr="006E3F60" w:rsidR="006E3F60" w:rsidP="006E3F60" w:rsidRDefault="006E3F60" w14:paraId="61A358F3" w14:textId="17E96D64">
            <w:pPr>
              <w:contextualSpacing/>
              <w:rPr>
                <w:i/>
              </w:rPr>
            </w:pPr>
            <w:r>
              <w:rPr>
                <w:b/>
                <w:i/>
              </w:rPr>
              <w:t>Kontaktpersona:</w:t>
            </w:r>
          </w:p>
        </w:tc>
        <w:tc>
          <w:tcPr>
            <w:tcW w:w="5670" w:type="dxa"/>
          </w:tcPr>
          <w:p w:rsidRPr="006E3F60" w:rsidR="006E3F60" w:rsidP="006E3F60" w:rsidRDefault="00B02467" w14:paraId="529847A8" w14:textId="6B579E45">
            <w:pPr>
              <w:contextualSpacing/>
              <w:rPr>
                <w:i/>
              </w:rPr>
            </w:pPr>
            <w:proofErr w:type="spellStart"/>
            <w:r>
              <w:rPr>
                <w:i/>
              </w:rPr>
              <w:t>Ioannis</w:t>
            </w:r>
            <w:proofErr w:type="spellEnd"/>
            <w:r>
              <w:rPr>
                <w:i/>
              </w:rPr>
              <w:t xml:space="preserve"> </w:t>
            </w:r>
            <w:proofErr w:type="spellStart"/>
            <w:r>
              <w:rPr>
                <w:i/>
              </w:rPr>
              <w:t>Diamantopoulos</w:t>
            </w:r>
            <w:proofErr w:type="spellEnd"/>
          </w:p>
        </w:tc>
      </w:tr>
      <w:tr w:rsidRPr="006E3F60" w:rsidR="006E3F60" w:rsidTr="00B83E7B" w14:paraId="2E4F0404" w14:textId="77777777">
        <w:tc>
          <w:tcPr>
            <w:tcW w:w="1418" w:type="dxa"/>
          </w:tcPr>
          <w:p w:rsidRPr="006E3F60" w:rsidR="006E3F60" w:rsidP="006E3F60" w:rsidRDefault="006E3F60" w14:paraId="5A7B9997" w14:textId="7116644D">
            <w:pPr>
              <w:ind w:left="601"/>
              <w:contextualSpacing/>
              <w:rPr>
                <w:i/>
              </w:rPr>
            </w:pPr>
            <w:r>
              <w:rPr>
                <w:i/>
              </w:rPr>
              <w:t>Tālr.:</w:t>
            </w:r>
          </w:p>
        </w:tc>
        <w:tc>
          <w:tcPr>
            <w:tcW w:w="5670" w:type="dxa"/>
          </w:tcPr>
          <w:p w:rsidRPr="006E3F60" w:rsidR="006E3F60" w:rsidP="006E3F60" w:rsidRDefault="00F512BB" w14:paraId="52C01769" w14:textId="133C2BFD">
            <w:pPr>
              <w:contextualSpacing/>
              <w:rPr>
                <w:i/>
              </w:rPr>
            </w:pPr>
            <w:r>
              <w:rPr>
                <w:i/>
              </w:rPr>
              <w:t>00 32 2 546 91 70</w:t>
            </w:r>
          </w:p>
        </w:tc>
      </w:tr>
      <w:tr w:rsidRPr="006E3F60" w:rsidR="006E3F60" w:rsidTr="00FA0183" w14:paraId="1F686407" w14:textId="77777777">
        <w:trPr>
          <w:trHeight w:val="84"/>
        </w:trPr>
        <w:tc>
          <w:tcPr>
            <w:tcW w:w="1418" w:type="dxa"/>
          </w:tcPr>
          <w:p w:rsidRPr="006E3F60" w:rsidR="006E3F60" w:rsidP="006E3F60" w:rsidRDefault="006E3F60" w14:paraId="2859E45F" w14:textId="0312C90D">
            <w:pPr>
              <w:ind w:left="601"/>
              <w:contextualSpacing/>
              <w:rPr>
                <w:i/>
              </w:rPr>
            </w:pPr>
            <w:r>
              <w:rPr>
                <w:i/>
              </w:rPr>
              <w:t>E-pasts:</w:t>
            </w:r>
          </w:p>
        </w:tc>
        <w:tc>
          <w:tcPr>
            <w:tcW w:w="5670" w:type="dxa"/>
          </w:tcPr>
          <w:p w:rsidRPr="00FA0183" w:rsidR="006E3F60" w:rsidP="006E3F60" w:rsidRDefault="00D31DE5" w14:paraId="1B9ADEF7" w14:textId="563B7529">
            <w:pPr>
              <w:contextualSpacing/>
              <w:rPr>
                <w:i/>
                <w:iCs/>
              </w:rPr>
            </w:pPr>
            <w:hyperlink w:history="1" r:id="rId44">
              <w:r w:rsidR="008D0A46">
                <w:rPr>
                  <w:rStyle w:val="Hyperlink"/>
                  <w:i/>
                </w:rPr>
                <w:t>Ioannis.Diamantopoulos@eesc.europa.eu</w:t>
              </w:r>
            </w:hyperlink>
          </w:p>
        </w:tc>
      </w:tr>
    </w:tbl>
    <w:p w:rsidR="00835925" w:rsidRDefault="00835925" w14:paraId="52288089" w14:textId="536FE55E">
      <w:pPr>
        <w:spacing w:after="160" w:line="259" w:lineRule="auto"/>
        <w:jc w:val="left"/>
      </w:pPr>
      <w:r>
        <w:br w:type="page"/>
      </w:r>
    </w:p>
    <w:p w:rsidRPr="002D5A51" w:rsidR="00835925" w:rsidP="00D31DE5" w:rsidRDefault="00DC3563" w14:paraId="3A8F76F3" w14:textId="33AAB0D0">
      <w:pPr>
        <w:keepNext/>
        <w:keepLines/>
        <w:numPr>
          <w:ilvl w:val="0"/>
          <w:numId w:val="2"/>
        </w:numPr>
        <w:ind w:left="567" w:hanging="567"/>
        <w:contextualSpacing/>
        <w:rPr>
          <w:rStyle w:val="Hyperlink"/>
          <w:color w:val="auto"/>
          <w:u w:val="none"/>
        </w:rPr>
      </w:pPr>
      <w:bookmarkStart w:name="_GoBack" w:id="12"/>
      <w:bookmarkEnd w:id="12"/>
      <w:r>
        <w:rPr>
          <w:b/>
          <w:i/>
          <w:sz w:val="28"/>
        </w:rPr>
        <w:lastRenderedPageBreak/>
        <w:t>Aizsardzības investīciju nepietiekamības analīze un turpmākā virzība</w:t>
      </w:r>
    </w:p>
    <w:p w:rsidRPr="006E3F60" w:rsidR="002D5A51" w:rsidP="002D5A51" w:rsidRDefault="002D5A51" w14:paraId="0448FBB9" w14:textId="77777777">
      <w:pPr>
        <w:keepNext/>
        <w:keepLines/>
        <w:contextualSpacing/>
      </w:pPr>
    </w:p>
    <w:tbl>
      <w:tblPr>
        <w:tblStyle w:val="TableGrid6"/>
        <w:tblW w:w="86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949"/>
      </w:tblGrid>
      <w:tr w:rsidRPr="006E3F60" w:rsidR="00835925" w:rsidTr="00D67CAD" w14:paraId="13E94984" w14:textId="77777777">
        <w:tc>
          <w:tcPr>
            <w:tcW w:w="1701" w:type="dxa"/>
          </w:tcPr>
          <w:p w:rsidRPr="006E3F60" w:rsidR="00835925" w:rsidP="00F01E91" w:rsidRDefault="00835925" w14:paraId="124EDC70" w14:textId="4E03D8E8">
            <w:pPr>
              <w:keepNext/>
              <w:ind w:right="-253"/>
              <w:contextualSpacing/>
              <w:rPr>
                <w:b/>
              </w:rPr>
            </w:pPr>
            <w:r>
              <w:rPr>
                <w:b/>
              </w:rPr>
              <w:t>Ziņotājs</w:t>
            </w:r>
          </w:p>
        </w:tc>
        <w:tc>
          <w:tcPr>
            <w:tcW w:w="6949" w:type="dxa"/>
          </w:tcPr>
          <w:p w:rsidRPr="006E3F60" w:rsidR="00835925" w:rsidP="00D145C1" w:rsidRDefault="00DC3563" w14:paraId="766B780C" w14:textId="1F9D5010">
            <w:pPr>
              <w:keepNext/>
              <w:ind w:left="-814" w:firstLine="705"/>
              <w:contextualSpacing/>
            </w:pPr>
            <w:proofErr w:type="spellStart"/>
            <w:r>
              <w:t>Panagiotis</w:t>
            </w:r>
            <w:proofErr w:type="spellEnd"/>
            <w:r>
              <w:t xml:space="preserve"> GKOFAS (Pilsoniskās sabiedrības organizāciju grupa – EL)</w:t>
            </w:r>
          </w:p>
        </w:tc>
      </w:tr>
      <w:tr w:rsidRPr="006E3F60" w:rsidR="00835925" w:rsidTr="00D67CAD" w14:paraId="68EC6D25" w14:textId="77777777">
        <w:tc>
          <w:tcPr>
            <w:tcW w:w="1701" w:type="dxa"/>
          </w:tcPr>
          <w:p w:rsidRPr="006E3F60" w:rsidR="00835925" w:rsidP="00D31DE5" w:rsidRDefault="00835925" w14:paraId="77B608D1" w14:textId="6AD37A33">
            <w:pPr>
              <w:keepNext/>
              <w:contextualSpacing/>
              <w:rPr>
                <w:b/>
              </w:rPr>
            </w:pPr>
            <w:r>
              <w:rPr>
                <w:b/>
              </w:rPr>
              <w:t>Līdzziņotājs</w:t>
            </w:r>
          </w:p>
        </w:tc>
        <w:tc>
          <w:tcPr>
            <w:tcW w:w="6949" w:type="dxa"/>
          </w:tcPr>
          <w:p w:rsidRPr="006E3F60" w:rsidR="00835925" w:rsidP="00D67CAD" w:rsidRDefault="00DC3563" w14:paraId="1D7D3F27" w14:textId="5D516DF4">
            <w:pPr>
              <w:keepNext/>
              <w:ind w:left="-810" w:firstLine="705"/>
              <w:contextualSpacing/>
            </w:pPr>
            <w:proofErr w:type="spellStart"/>
            <w:r>
              <w:t>Jan</w:t>
            </w:r>
            <w:proofErr w:type="spellEnd"/>
            <w:r>
              <w:t xml:space="preserve"> PIE (1. </w:t>
            </w:r>
            <w:proofErr w:type="spellStart"/>
            <w:r>
              <w:t>kat</w:t>
            </w:r>
            <w:proofErr w:type="spellEnd"/>
            <w:r>
              <w:t>.-SE)</w:t>
            </w:r>
          </w:p>
        </w:tc>
      </w:tr>
      <w:tr w:rsidRPr="006E3F60" w:rsidR="00835925" w:rsidTr="00D67CAD" w14:paraId="5EE9E345" w14:textId="77777777">
        <w:tc>
          <w:tcPr>
            <w:tcW w:w="1701" w:type="dxa"/>
          </w:tcPr>
          <w:p w:rsidRPr="006E3F60" w:rsidR="00835925" w:rsidP="00D31DE5" w:rsidRDefault="00835925" w14:paraId="454508C4" w14:textId="37EBC438">
            <w:pPr>
              <w:keepNext/>
              <w:contextualSpacing/>
              <w:rPr>
                <w:b/>
              </w:rPr>
            </w:pPr>
            <w:r>
              <w:rPr>
                <w:b/>
              </w:rPr>
              <w:t xml:space="preserve">Atsauces </w:t>
            </w:r>
          </w:p>
        </w:tc>
        <w:tc>
          <w:tcPr>
            <w:tcW w:w="6949" w:type="dxa"/>
          </w:tcPr>
          <w:p w:rsidRPr="006E3F60" w:rsidR="00835925" w:rsidP="00D31DE5" w:rsidRDefault="00DC3563" w14:paraId="046E3307" w14:textId="3A5C186E">
            <w:pPr>
              <w:keepNext/>
              <w:ind w:left="-106"/>
              <w:contextualSpacing/>
              <w:rPr>
                <w:iCs/>
                <w:color w:val="000000"/>
              </w:rPr>
            </w:pPr>
            <w:r>
              <w:rPr>
                <w:color w:val="000000"/>
              </w:rPr>
              <w:t xml:space="preserve">JOIN(2022) 24 </w:t>
            </w:r>
            <w:proofErr w:type="spellStart"/>
            <w:r>
              <w:rPr>
                <w:color w:val="000000"/>
              </w:rPr>
              <w:t>final</w:t>
            </w:r>
            <w:proofErr w:type="spellEnd"/>
          </w:p>
          <w:p w:rsidRPr="006E3F60" w:rsidR="00835925" w:rsidP="00D31DE5" w:rsidRDefault="00835925" w14:paraId="12A855A2" w14:textId="0714F311">
            <w:pPr>
              <w:keepNext/>
              <w:ind w:left="-106"/>
              <w:contextualSpacing/>
            </w:pPr>
            <w:r>
              <w:t>EESC-2022-03560-00-00-AC</w:t>
            </w:r>
          </w:p>
        </w:tc>
      </w:tr>
    </w:tbl>
    <w:p w:rsidRPr="00A00F37" w:rsidR="00835925" w:rsidP="00A00F37" w:rsidRDefault="00835925" w14:paraId="4DC0A97A" w14:textId="77777777">
      <w:pPr>
        <w:keepNext/>
        <w:ind w:right="-253"/>
        <w:contextualSpacing/>
        <w:rPr>
          <w:b/>
        </w:rPr>
      </w:pPr>
    </w:p>
    <w:p w:rsidRPr="00FD3EB9" w:rsidR="00835925" w:rsidP="00FD3EB9" w:rsidRDefault="00D31DE5" w14:paraId="73329E3C" w14:textId="4FE553DB">
      <w:pPr>
        <w:pStyle w:val="ListParagraph"/>
        <w:spacing w:line="240" w:lineRule="auto"/>
        <w:ind w:left="0"/>
        <w:rPr>
          <w:b/>
        </w:rPr>
      </w:pPr>
      <w:r>
        <w:rPr>
          <w:b/>
          <w:bCs/>
        </w:rPr>
        <w:t>Galvenās nostādnes</w:t>
      </w:r>
    </w:p>
    <w:p w:rsidRPr="00C25DB3" w:rsidR="00835925" w:rsidP="00835925" w:rsidRDefault="00835925" w14:paraId="77ED59BB" w14:textId="77777777">
      <w:pPr>
        <w:contextualSpacing/>
        <w:rPr>
          <w:b/>
        </w:rPr>
      </w:pPr>
    </w:p>
    <w:p w:rsidRPr="00A00F37" w:rsidR="00835925" w:rsidP="00FD3EB9" w:rsidRDefault="00835925" w14:paraId="6798578A" w14:textId="77777777">
      <w:pPr>
        <w:contextualSpacing/>
        <w:rPr>
          <w:bCs/>
          <w:iCs/>
        </w:rPr>
      </w:pPr>
      <w:r>
        <w:t>EESK:</w:t>
      </w:r>
    </w:p>
    <w:p w:rsidRPr="006E3F60" w:rsidR="00835925" w:rsidP="00835925" w:rsidRDefault="00835925" w14:paraId="5A6325AB" w14:textId="77777777">
      <w:pPr>
        <w:contextualSpacing/>
      </w:pPr>
    </w:p>
    <w:p w:rsidR="00835925" w:rsidP="00835925" w:rsidRDefault="00073491" w14:paraId="28A8F77A" w14:textId="351C3BF5">
      <w:pPr>
        <w:numPr>
          <w:ilvl w:val="0"/>
          <w:numId w:val="3"/>
        </w:numPr>
        <w:ind w:left="357" w:hanging="357"/>
        <w:contextualSpacing/>
      </w:pPr>
      <w:r>
        <w:t>atbalsta iniciatīvas, kas ierosinātas kopīgajā paziņojumā par aizsardzības investīciju nepietiekamības analīzi un turpmāko virzību un piekrīt novērtējumam par aizsardzības investīciju nepietiekamību Eiropas Savienībā. Kopīgais paziņojums ir svarīgs solis ceļā uz dalībvalstu sadarbības veicināšanu aizsardzības jomā, kas ir nepieciešams, lai samazinātu militāro spēju dārgo dublēšanos, izvairītos no ES aizsardzības tirgus sadrumstalotības un kopumā uzlabotu Eiropas drošību;</w:t>
      </w:r>
    </w:p>
    <w:p w:rsidRPr="00C25DB3" w:rsidR="00DC3563" w:rsidP="00DC3563" w:rsidRDefault="00073491" w14:paraId="752ABB70" w14:textId="50108631">
      <w:pPr>
        <w:numPr>
          <w:ilvl w:val="0"/>
          <w:numId w:val="3"/>
        </w:numPr>
        <w:ind w:left="357" w:hanging="357"/>
        <w:contextualSpacing/>
      </w:pPr>
      <w:r>
        <w:t>atzinīgi vērtē vairāku dalībvalstu paziņojumu par aizsardzības budžetu palielināšanu un aicina tās pildīt savu apņemšanos ieguldīt ne tikai vairāk, bet arī labāk un koordinēti. Šī ciešākā Eiropas koordinācija būtu jāuzskata par veidu, kā stiprināt arī NATO vispārējās spējas;</w:t>
      </w:r>
    </w:p>
    <w:p w:rsidRPr="00073491" w:rsidR="003B2007" w:rsidP="002D5A51" w:rsidRDefault="00073491" w14:paraId="54498F93" w14:textId="11C0C9CA">
      <w:pPr>
        <w:numPr>
          <w:ilvl w:val="0"/>
          <w:numId w:val="3"/>
        </w:numPr>
        <w:ind w:left="357" w:hanging="357"/>
        <w:contextualSpacing/>
      </w:pPr>
      <w:r>
        <w:t>atbalsta ideju uzlabot Eiropas sadarbības satvaru aizsardzības jomā, it īpaši izmantojot kopīgu iepirkumu. Šajā saistībā EESK pilnībā atbalsta aizsardzības kopīgā iepirkuma darba grupas tūlītēju izveidi;</w:t>
      </w:r>
    </w:p>
    <w:p w:rsidRPr="00073491" w:rsidR="00073491" w:rsidP="002D5A51" w:rsidRDefault="00073491" w14:paraId="2C09FA1D" w14:textId="18B71035">
      <w:pPr>
        <w:numPr>
          <w:ilvl w:val="0"/>
          <w:numId w:val="3"/>
        </w:numPr>
        <w:ind w:left="357" w:hanging="357"/>
        <w:contextualSpacing/>
      </w:pPr>
      <w:r>
        <w:t>atzinīgi vērtē arī paziņojumu par Eiropas aizsardzības investīciju programmu (</w:t>
      </w:r>
      <w:r>
        <w:rPr>
          <w:i/>
          <w:iCs/>
        </w:rPr>
        <w:t>EDIP</w:t>
      </w:r>
      <w:r>
        <w:t>) kopīgi izstrādātiem aizsardzības projektiem un mudina Komisiju steidzami iesniegt vērienīgu priekšlikumu, kas pārsniegtu iespējamo atbrīvojumu no PVN un ietvertu stingrus pasākumus, kuri palīdzētu rūpniecībai (tai skaitā MVU) pielāgoties jaunajiem stratēģiskajiem izaicinājumiem;</w:t>
      </w:r>
    </w:p>
    <w:p w:rsidRPr="00073491" w:rsidR="00073491" w:rsidP="002D5A51" w:rsidRDefault="00073491" w14:paraId="41F589C9" w14:textId="36D02516">
      <w:pPr>
        <w:numPr>
          <w:ilvl w:val="0"/>
          <w:numId w:val="3"/>
        </w:numPr>
        <w:ind w:left="357" w:hanging="357"/>
        <w:contextualSpacing/>
      </w:pPr>
      <w:r>
        <w:t xml:space="preserve">uzskata, ka ir vajadzīga visaptveroša Eiropas aizsardzības rūpniecības stratēģija, kura saskaņo visus rūpniecības politikas pasākumus, kas vērsti uz </w:t>
      </w:r>
      <w:r>
        <w:rPr>
          <w:i/>
          <w:iCs/>
        </w:rPr>
        <w:t xml:space="preserve">EDTIB </w:t>
      </w:r>
      <w:r>
        <w:t>pamatfunkciju izpildes stiprināšanu;</w:t>
      </w:r>
    </w:p>
    <w:p w:rsidRPr="00073491" w:rsidR="00073491" w:rsidP="002D5A51" w:rsidRDefault="00073491" w14:paraId="6A2B7CFB" w14:textId="3D1CF59A">
      <w:pPr>
        <w:numPr>
          <w:ilvl w:val="0"/>
          <w:numId w:val="3"/>
        </w:numPr>
        <w:ind w:left="357" w:hanging="357"/>
        <w:contextualSpacing/>
      </w:pPr>
      <w:r>
        <w:t xml:space="preserve">piekrīt, ka ir svarīgi veidot spēcīgu kiberdrošības ekosistēmu, kas dos iespēju cīnīties pret jauniem </w:t>
      </w:r>
      <w:proofErr w:type="spellStart"/>
      <w:r>
        <w:t>hibrīdkara</w:t>
      </w:r>
      <w:proofErr w:type="spellEnd"/>
      <w:r>
        <w:t xml:space="preserve"> veidiem;</w:t>
      </w:r>
    </w:p>
    <w:p w:rsidRPr="00C25DB3" w:rsidR="00073491" w:rsidP="002D5A51" w:rsidRDefault="00073491" w14:paraId="1B06ECB0" w14:textId="73B2EA4F">
      <w:pPr>
        <w:numPr>
          <w:ilvl w:val="0"/>
          <w:numId w:val="3"/>
        </w:numPr>
        <w:ind w:left="357" w:hanging="357"/>
        <w:contextualSpacing/>
      </w:pPr>
      <w:r>
        <w:t>iesaka izveidot zinātnisku komiteju/aģentūru, ko politiski uzraudzītu Eiropas Parlaments un kas pastāvīgi uzraudzītu un novērtētu aizsardzības investīciju svarīgākos aspektus un sniegtu norādījumus par finanšu un militāro resursu efektīvu sadalījumu.</w:t>
      </w:r>
    </w:p>
    <w:p w:rsidRPr="006E3F60" w:rsidR="00835925" w:rsidP="00835925" w:rsidRDefault="00835925" w14:paraId="6B446184" w14:textId="77777777"/>
    <w:tbl>
      <w:tblPr>
        <w:tblStyle w:val="TableGrid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32"/>
        <w:gridCol w:w="5670"/>
      </w:tblGrid>
      <w:tr w:rsidRPr="006E3F60" w:rsidR="00835925" w:rsidTr="00D31DE5" w14:paraId="55A985CE" w14:textId="77777777">
        <w:tc>
          <w:tcPr>
            <w:tcW w:w="1418" w:type="dxa"/>
          </w:tcPr>
          <w:p w:rsidRPr="006E3F60" w:rsidR="00835925" w:rsidP="00D31DE5" w:rsidRDefault="00835925" w14:paraId="395E04B5" w14:textId="2EFFF07D">
            <w:pPr>
              <w:contextualSpacing/>
              <w:rPr>
                <w:i/>
              </w:rPr>
            </w:pPr>
            <w:r>
              <w:rPr>
                <w:b/>
                <w:i/>
              </w:rPr>
              <w:t>Kontaktpersona:</w:t>
            </w:r>
          </w:p>
        </w:tc>
        <w:tc>
          <w:tcPr>
            <w:tcW w:w="5670" w:type="dxa"/>
          </w:tcPr>
          <w:p w:rsidRPr="003B2007" w:rsidR="00835925" w:rsidP="00D31DE5" w:rsidRDefault="00DC3563" w14:paraId="66E7620D" w14:textId="752BAE61">
            <w:pPr>
              <w:contextualSpacing/>
              <w:rPr>
                <w:i/>
              </w:rPr>
            </w:pPr>
            <w:proofErr w:type="spellStart"/>
            <w:r>
              <w:rPr>
                <w:i/>
              </w:rPr>
              <w:t>Laia</w:t>
            </w:r>
            <w:proofErr w:type="spellEnd"/>
            <w:r>
              <w:rPr>
                <w:i/>
              </w:rPr>
              <w:t xml:space="preserve"> Tomas </w:t>
            </w:r>
            <w:proofErr w:type="spellStart"/>
            <w:r>
              <w:rPr>
                <w:i/>
              </w:rPr>
              <w:t>Vinardell</w:t>
            </w:r>
            <w:proofErr w:type="spellEnd"/>
          </w:p>
        </w:tc>
      </w:tr>
      <w:tr w:rsidRPr="006E3F60" w:rsidR="00835925" w:rsidTr="00D31DE5" w14:paraId="029B60F8" w14:textId="77777777">
        <w:tc>
          <w:tcPr>
            <w:tcW w:w="1418" w:type="dxa"/>
          </w:tcPr>
          <w:p w:rsidRPr="006E3F60" w:rsidR="00835925" w:rsidP="00D31DE5" w:rsidRDefault="00835925" w14:paraId="637F1E0E" w14:textId="2BB9AB07">
            <w:pPr>
              <w:ind w:left="601"/>
              <w:contextualSpacing/>
              <w:rPr>
                <w:i/>
              </w:rPr>
            </w:pPr>
            <w:r>
              <w:rPr>
                <w:i/>
              </w:rPr>
              <w:t>Tālr.:</w:t>
            </w:r>
          </w:p>
        </w:tc>
        <w:tc>
          <w:tcPr>
            <w:tcW w:w="5670" w:type="dxa"/>
          </w:tcPr>
          <w:p w:rsidRPr="006E3F60" w:rsidR="00835925" w:rsidP="00D31DE5" w:rsidRDefault="00835925" w14:paraId="1EB0E058" w14:textId="3BA5B90D">
            <w:pPr>
              <w:contextualSpacing/>
              <w:rPr>
                <w:i/>
              </w:rPr>
            </w:pPr>
            <w:r>
              <w:rPr>
                <w:i/>
              </w:rPr>
              <w:t>00 32 2 546 91 49</w:t>
            </w:r>
          </w:p>
        </w:tc>
      </w:tr>
      <w:tr w:rsidRPr="006E3F60" w:rsidR="00835925" w:rsidTr="00D31DE5" w14:paraId="325023B9" w14:textId="77777777">
        <w:tc>
          <w:tcPr>
            <w:tcW w:w="1418" w:type="dxa"/>
          </w:tcPr>
          <w:p w:rsidRPr="006E3F60" w:rsidR="00835925" w:rsidP="00D31DE5" w:rsidRDefault="00835925" w14:paraId="1DE3CB22" w14:textId="0CE2E730">
            <w:pPr>
              <w:ind w:left="601"/>
              <w:contextualSpacing/>
              <w:rPr>
                <w:i/>
              </w:rPr>
            </w:pPr>
            <w:r>
              <w:rPr>
                <w:i/>
              </w:rPr>
              <w:t>E-pasts:</w:t>
            </w:r>
          </w:p>
        </w:tc>
        <w:tc>
          <w:tcPr>
            <w:tcW w:w="5670" w:type="dxa"/>
          </w:tcPr>
          <w:p w:rsidRPr="00DC3563" w:rsidR="00835925" w:rsidP="00D31DE5" w:rsidRDefault="00D31DE5" w14:paraId="46F4A44E" w14:textId="23FD043F">
            <w:pPr>
              <w:contextualSpacing/>
              <w:rPr>
                <w:i/>
                <w:iCs/>
              </w:rPr>
            </w:pPr>
            <w:hyperlink w:history="1" r:id="rId45">
              <w:r w:rsidR="008D0A46">
                <w:rPr>
                  <w:rStyle w:val="Hyperlink"/>
                  <w:i/>
                </w:rPr>
                <w:t>Laia.Tomasvinardell@eesc.europa.eu</w:t>
              </w:r>
            </w:hyperlink>
          </w:p>
        </w:tc>
      </w:tr>
    </w:tbl>
    <w:p w:rsidRPr="0032340F" w:rsidR="00D67CAD" w:rsidP="00D67CAD" w:rsidRDefault="00D67CAD" w14:paraId="5E62A09A" w14:textId="77777777">
      <w:pPr>
        <w:rPr>
          <w:sz w:val="2"/>
          <w:szCs w:val="2"/>
        </w:rPr>
      </w:pPr>
    </w:p>
    <w:sectPr w:rsidRPr="0032340F" w:rsidR="00D67CAD" w:rsidSect="0040654F">
      <w:headerReference w:type="even" r:id="rId46"/>
      <w:headerReference w:type="default" r:id="rId47"/>
      <w:footerReference w:type="even" r:id="rId48"/>
      <w:footerReference w:type="default" r:id="rId49"/>
      <w:headerReference w:type="first" r:id="rId50"/>
      <w:footerReference w:type="first" r:id="rId51"/>
      <w:pgSz w:w="11907" w:h="16839"/>
      <w:pgMar w:top="1191" w:right="1418"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E707EF" w14:textId="77777777" w:rsidR="00D31DE5" w:rsidRDefault="00D31DE5" w:rsidP="003B0516">
      <w:pPr>
        <w:spacing w:line="240" w:lineRule="auto"/>
      </w:pPr>
      <w:r>
        <w:separator/>
      </w:r>
    </w:p>
  </w:endnote>
  <w:endnote w:type="continuationSeparator" w:id="0">
    <w:p w14:paraId="7657AFA9" w14:textId="77777777" w:rsidR="00D31DE5" w:rsidRDefault="00D31DE5"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AC975" w14:textId="77777777" w:rsidR="00D31DE5" w:rsidRPr="0040654F" w:rsidRDefault="00D31DE5" w:rsidP="004065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89D38" w14:textId="78168330" w:rsidR="00D31DE5" w:rsidRPr="0040654F" w:rsidRDefault="00D31DE5" w:rsidP="0040654F">
    <w:pPr>
      <w:pStyle w:val="Footer"/>
    </w:pPr>
    <w:r>
      <w:t xml:space="preserve">EESC-2022-05401-00-01-TCD-TRA (EN) </w:t>
    </w:r>
    <w:r>
      <w:fldChar w:fldCharType="begin"/>
    </w:r>
    <w:r>
      <w:instrText xml:space="preserve"> PAGE  \* Arabic  \* MERGEFORMAT </w:instrText>
    </w:r>
    <w:r>
      <w:fldChar w:fldCharType="separate"/>
    </w:r>
    <w:r w:rsidR="00D30245">
      <w:rPr>
        <w:noProof/>
      </w:rPr>
      <w:t>1</w:t>
    </w:r>
    <w:r>
      <w:fldChar w:fldCharType="end"/>
    </w:r>
    <w:r>
      <w:t>/</w:t>
    </w:r>
    <w:fldSimple w:instr=" NUMPAGES ">
      <w:r w:rsidR="00D30245">
        <w:rPr>
          <w:noProof/>
        </w:rPr>
        <w:t>29</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3811C" w14:textId="77777777" w:rsidR="00D31DE5" w:rsidRPr="0040654F" w:rsidRDefault="00D31DE5" w:rsidP="0040654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5C15F" w14:textId="77777777" w:rsidR="00D31DE5" w:rsidRPr="0040654F" w:rsidRDefault="00D31DE5" w:rsidP="0040654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04860" w14:textId="4CA16765" w:rsidR="00D31DE5" w:rsidRPr="0040654F" w:rsidRDefault="00D31DE5" w:rsidP="0040654F">
    <w:pPr>
      <w:pStyle w:val="Footer"/>
    </w:pPr>
    <w:r>
      <w:t xml:space="preserve">EESC-2022-05401-00-01-TCD-TRA (EN) </w:t>
    </w:r>
    <w:r>
      <w:fldChar w:fldCharType="begin"/>
    </w:r>
    <w:r>
      <w:instrText xml:space="preserve"> PAGE  \* Arabic  \* MERGEFORMAT </w:instrText>
    </w:r>
    <w:r>
      <w:fldChar w:fldCharType="separate"/>
    </w:r>
    <w:r w:rsidR="00CA5288">
      <w:rPr>
        <w:noProof/>
      </w:rPr>
      <w:t>4</w:t>
    </w:r>
    <w:r>
      <w:fldChar w:fldCharType="end"/>
    </w:r>
    <w:r>
      <w:t>/</w:t>
    </w:r>
    <w:fldSimple w:instr=" NUMPAGES ">
      <w:r w:rsidR="00CA5288">
        <w:rPr>
          <w:noProof/>
        </w:rPr>
        <w:t>29</w:t>
      </w:r>
    </w:fldSimple>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FE62D" w14:textId="77777777" w:rsidR="00D31DE5" w:rsidRPr="0040654F" w:rsidRDefault="00D31DE5" w:rsidP="004065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660787" w14:textId="77777777" w:rsidR="00D31DE5" w:rsidRDefault="00D31DE5" w:rsidP="003B0516">
      <w:pPr>
        <w:spacing w:line="240" w:lineRule="auto"/>
      </w:pPr>
      <w:r>
        <w:separator/>
      </w:r>
    </w:p>
  </w:footnote>
  <w:footnote w:type="continuationSeparator" w:id="0">
    <w:p w14:paraId="7CEDF243" w14:textId="77777777" w:rsidR="00D31DE5" w:rsidRDefault="00D31DE5" w:rsidP="003B0516">
      <w:pPr>
        <w:spacing w:line="240" w:lineRule="auto"/>
      </w:pPr>
      <w:r>
        <w:continuationSeparator/>
      </w:r>
    </w:p>
  </w:footnote>
  <w:footnote w:id="1">
    <w:p w14:paraId="164FC4A6" w14:textId="77777777" w:rsidR="00D31DE5" w:rsidRPr="00C71932" w:rsidRDefault="00D31DE5" w:rsidP="00D0461E">
      <w:pPr>
        <w:pStyle w:val="FootnoteText"/>
      </w:pPr>
      <w:r>
        <w:rPr>
          <w:rStyle w:val="FootnoteReference"/>
        </w:rPr>
        <w:footnoteRef/>
      </w:r>
      <w:r>
        <w:t xml:space="preserve"> </w:t>
      </w:r>
      <w:r>
        <w:tab/>
        <w:t xml:space="preserve">COM(2022) 539 </w:t>
      </w:r>
      <w:proofErr w:type="spellStart"/>
      <w:r>
        <w:t>final</w:t>
      </w:r>
      <w:proofErr w:type="spellEnd"/>
    </w:p>
  </w:footnote>
  <w:footnote w:id="2">
    <w:p w14:paraId="6CD9F6FE" w14:textId="77777777" w:rsidR="00D31DE5" w:rsidRPr="002B5485" w:rsidRDefault="00D31DE5" w:rsidP="00B42E2F">
      <w:pPr>
        <w:pStyle w:val="FootnoteText"/>
      </w:pPr>
      <w:r>
        <w:rPr>
          <w:rStyle w:val="FootnoteReference"/>
        </w:rPr>
        <w:footnoteRef/>
      </w:r>
      <w:r>
        <w:t xml:space="preserve"> </w:t>
      </w:r>
      <w:r>
        <w:tab/>
        <w:t>Pārvedamu vērtspapīru kolektīvo ieguldījumu uzņēmumi (UCITS).</w:t>
      </w:r>
    </w:p>
  </w:footnote>
  <w:footnote w:id="3">
    <w:p w14:paraId="4850EDDA" w14:textId="77777777" w:rsidR="00D31DE5" w:rsidRPr="002B5485" w:rsidRDefault="00D31DE5" w:rsidP="00B42E2F">
      <w:pPr>
        <w:pStyle w:val="FootnoteText"/>
      </w:pPr>
      <w:r>
        <w:rPr>
          <w:rStyle w:val="FootnoteReference"/>
        </w:rPr>
        <w:footnoteRef/>
      </w:r>
      <w:r>
        <w:t xml:space="preserve"> </w:t>
      </w:r>
      <w:r>
        <w:tab/>
        <w:t>Finanšu darījumu nodoklis tikai uz spekulācijām ar pārtiku. Skatīt ECO/321 “Finanšu darījumu nodoklis”.</w:t>
      </w:r>
    </w:p>
  </w:footnote>
  <w:footnote w:id="4">
    <w:p w14:paraId="76D006D7" w14:textId="77777777" w:rsidR="00D31DE5" w:rsidRDefault="00D31DE5" w:rsidP="008B7198">
      <w:pPr>
        <w:pStyle w:val="FootnoteText"/>
      </w:pPr>
      <w:r>
        <w:rPr>
          <w:rStyle w:val="FootnoteReference"/>
        </w:rPr>
        <w:footnoteRef/>
      </w:r>
      <w:r>
        <w:tab/>
      </w:r>
      <w:hyperlink r:id="rId1" w:history="1">
        <w:r>
          <w:rPr>
            <w:rStyle w:val="Hyperlink"/>
          </w:rPr>
          <w:t>EESK informatīvs ziņojums “Direktīvas par pesticīdu ilgtspējīgu lietošanu novērtējums”</w:t>
        </w:r>
      </w:hyperlink>
    </w:p>
  </w:footnote>
  <w:footnote w:id="5">
    <w:p w14:paraId="2346ED75" w14:textId="77777777" w:rsidR="00D31DE5" w:rsidRDefault="00D31DE5" w:rsidP="008B7198">
      <w:pPr>
        <w:ind w:left="567" w:hanging="567"/>
      </w:pPr>
      <w:r>
        <w:rPr>
          <w:rStyle w:val="FootnoteReference"/>
        </w:rPr>
        <w:footnoteRef/>
      </w:r>
      <w:r>
        <w:tab/>
      </w:r>
      <w:r>
        <w:rPr>
          <w:i/>
          <w:iCs/>
        </w:rPr>
        <w:t>Eurostat</w:t>
      </w:r>
      <w:r>
        <w:t>,</w:t>
      </w:r>
      <w:r>
        <w:rPr>
          <w:sz w:val="16"/>
        </w:rPr>
        <w:t xml:space="preserve"> </w:t>
      </w:r>
      <w:hyperlink w:anchor=":~:text=In%202019%2C%20the%20volume%20of,year%20(2011%2D2018)" w:history="1">
        <w:r>
          <w:rPr>
            <w:rStyle w:val="Hyperlink"/>
            <w:sz w:val="16"/>
          </w:rPr>
          <w:t>Pesticīdu pārdošana ES</w:t>
        </w:r>
      </w:hyperlink>
      <w:r>
        <w:rPr>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29793" w14:textId="77777777" w:rsidR="00D31DE5" w:rsidRPr="0040654F" w:rsidRDefault="00D31DE5" w:rsidP="004065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A335F" w14:textId="4879481F" w:rsidR="00D31DE5" w:rsidRPr="0040654F" w:rsidRDefault="00D31DE5" w:rsidP="004065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4D657" w14:textId="77777777" w:rsidR="00D31DE5" w:rsidRPr="0040654F" w:rsidRDefault="00D31DE5" w:rsidP="004065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69DF2" w14:textId="77777777" w:rsidR="00D31DE5" w:rsidRPr="0040654F" w:rsidRDefault="00D31DE5" w:rsidP="0040654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94FBA" w14:textId="32A1A260" w:rsidR="00D31DE5" w:rsidRPr="0040654F" w:rsidRDefault="00D31DE5" w:rsidP="0040654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35E7F" w14:textId="77777777" w:rsidR="00D31DE5" w:rsidRPr="0040654F" w:rsidRDefault="00D31DE5" w:rsidP="004065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C7ACE32"/>
    <w:lvl w:ilvl="0">
      <w:start w:val="1"/>
      <w:numFmt w:val="decimal"/>
      <w:pStyle w:val="Heading1"/>
      <w:lvlText w:val="%1."/>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 w15:restartNumberingAfterBreak="0">
    <w:nsid w:val="FFFFFFFE"/>
    <w:multiLevelType w:val="singleLevel"/>
    <w:tmpl w:val="DDE088C8"/>
    <w:lvl w:ilvl="0">
      <w:numFmt w:val="decimal"/>
      <w:lvlText w:val="*"/>
      <w:lvlJc w:val="left"/>
    </w:lvl>
  </w:abstractNum>
  <w:abstractNum w:abstractNumId="2" w15:restartNumberingAfterBreak="0">
    <w:nsid w:val="0C926D86"/>
    <w:multiLevelType w:val="hybridMultilevel"/>
    <w:tmpl w:val="06A09CD0"/>
    <w:lvl w:ilvl="0" w:tplc="FD4027A4">
      <w:start w:val="1"/>
      <w:numFmt w:val="bullet"/>
      <w:lvlRestart w:val="0"/>
      <w:lvlText w:val="-"/>
      <w:lvlJc w:val="left"/>
      <w:pPr>
        <w:tabs>
          <w:tab w:val="num" w:pos="0"/>
        </w:tabs>
        <w:ind w:left="369" w:hanging="369"/>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95438D"/>
    <w:multiLevelType w:val="singleLevel"/>
    <w:tmpl w:val="080C0001"/>
    <w:lvl w:ilvl="0">
      <w:start w:val="1"/>
      <w:numFmt w:val="bullet"/>
      <w:lvlText w:val=""/>
      <w:lvlJc w:val="left"/>
      <w:pPr>
        <w:ind w:left="720" w:hanging="360"/>
      </w:pPr>
      <w:rPr>
        <w:rFonts w:ascii="Symbol" w:hAnsi="Symbol" w:hint="default"/>
      </w:rPr>
    </w:lvl>
  </w:abstractNum>
  <w:abstractNum w:abstractNumId="4" w15:restartNumberingAfterBreak="0">
    <w:nsid w:val="0E185D1A"/>
    <w:multiLevelType w:val="hybridMultilevel"/>
    <w:tmpl w:val="F45E57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09F5812"/>
    <w:multiLevelType w:val="hybridMultilevel"/>
    <w:tmpl w:val="E554747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1EA6E5E"/>
    <w:multiLevelType w:val="hybridMultilevel"/>
    <w:tmpl w:val="D58846A4"/>
    <w:lvl w:ilvl="0" w:tplc="9CD4DE18">
      <w:start w:val="1"/>
      <w:numFmt w:val="bullet"/>
      <w:lvlText w:val=""/>
      <w:lvlJc w:val="left"/>
      <w:pPr>
        <w:ind w:left="1069" w:hanging="360"/>
      </w:pPr>
      <w:rPr>
        <w:rFonts w:ascii="Symbol" w:hAnsi="Symbol" w:hint="default"/>
        <w:color w:val="auto"/>
      </w:rPr>
    </w:lvl>
    <w:lvl w:ilvl="1" w:tplc="080C0003" w:tentative="1">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7" w15:restartNumberingAfterBreak="0">
    <w:nsid w:val="27D4193E"/>
    <w:multiLevelType w:val="hybridMultilevel"/>
    <w:tmpl w:val="0534E460"/>
    <w:lvl w:ilvl="0" w:tplc="080C0001">
      <w:start w:val="1"/>
      <w:numFmt w:val="bullet"/>
      <w:lvlText w:val=""/>
      <w:lvlJc w:val="left"/>
      <w:pPr>
        <w:ind w:left="78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9D0190"/>
    <w:multiLevelType w:val="hybridMultilevel"/>
    <w:tmpl w:val="540225C6"/>
    <w:lvl w:ilvl="0" w:tplc="080C0001">
      <w:start w:val="1"/>
      <w:numFmt w:val="bullet"/>
      <w:lvlText w:val=""/>
      <w:lvlJc w:val="left"/>
      <w:pPr>
        <w:ind w:left="1429" w:hanging="360"/>
      </w:pPr>
      <w:rPr>
        <w:rFonts w:ascii="Symbol" w:hAnsi="Symbol" w:hint="default"/>
      </w:rPr>
    </w:lvl>
    <w:lvl w:ilvl="1" w:tplc="080C0003">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9" w15:restartNumberingAfterBreak="0">
    <w:nsid w:val="35CE609E"/>
    <w:multiLevelType w:val="hybridMultilevel"/>
    <w:tmpl w:val="A9E2E08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7074854"/>
    <w:multiLevelType w:val="hybridMultilevel"/>
    <w:tmpl w:val="EAD22CB2"/>
    <w:lvl w:ilvl="0" w:tplc="08090001">
      <w:start w:val="1"/>
      <w:numFmt w:val="bullet"/>
      <w:lvlText w:val=""/>
      <w:lvlJc w:val="left"/>
      <w:pPr>
        <w:ind w:left="1287" w:hanging="360"/>
      </w:pPr>
      <w:rPr>
        <w:rFonts w:ascii="Symbol" w:hAnsi="Symbol" w:hint="default"/>
      </w:rPr>
    </w:lvl>
    <w:lvl w:ilvl="1" w:tplc="080C0003">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1" w15:restartNumberingAfterBreak="0">
    <w:nsid w:val="3D0F2895"/>
    <w:multiLevelType w:val="hybridMultilevel"/>
    <w:tmpl w:val="1CE028A2"/>
    <w:lvl w:ilvl="0" w:tplc="080C0001">
      <w:start w:val="1"/>
      <w:numFmt w:val="bullet"/>
      <w:lvlText w:val=""/>
      <w:lvlJc w:val="left"/>
      <w:pPr>
        <w:ind w:left="78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583FAE"/>
    <w:multiLevelType w:val="hybridMultilevel"/>
    <w:tmpl w:val="49B05486"/>
    <w:lvl w:ilvl="0" w:tplc="080C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45935A71"/>
    <w:multiLevelType w:val="hybridMultilevel"/>
    <w:tmpl w:val="C9DC9BDC"/>
    <w:lvl w:ilvl="0" w:tplc="0F1045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6B45E7"/>
    <w:multiLevelType w:val="hybridMultilevel"/>
    <w:tmpl w:val="AE102DF4"/>
    <w:lvl w:ilvl="0" w:tplc="040C0001">
      <w:start w:val="1"/>
      <w:numFmt w:val="bullet"/>
      <w:lvlText w:val=""/>
      <w:lvlJc w:val="left"/>
      <w:pPr>
        <w:ind w:left="715" w:hanging="360"/>
      </w:pPr>
      <w:rPr>
        <w:rFonts w:ascii="Symbol" w:hAnsi="Symbol" w:hint="default"/>
      </w:rPr>
    </w:lvl>
    <w:lvl w:ilvl="1" w:tplc="040C0003">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15" w15:restartNumberingAfterBreak="0">
    <w:nsid w:val="5D5846AD"/>
    <w:multiLevelType w:val="hybridMultilevel"/>
    <w:tmpl w:val="200A6C26"/>
    <w:lvl w:ilvl="0" w:tplc="08090001">
      <w:start w:val="1"/>
      <w:numFmt w:val="bullet"/>
      <w:lvlText w:val=""/>
      <w:lvlJc w:val="left"/>
      <w:pPr>
        <w:ind w:left="720" w:hanging="360"/>
      </w:pPr>
      <w:rPr>
        <w:rFonts w:ascii="Symbol" w:hAnsi="Symbol" w:hint="default"/>
      </w:rPr>
    </w:lvl>
    <w:lvl w:ilvl="1" w:tplc="4572778E">
      <w:start w:val="1"/>
      <w:numFmt w:val="bullet"/>
      <w:lvlText w:val="-"/>
      <w:lvlJc w:val="left"/>
      <w:pPr>
        <w:ind w:left="1440" w:hanging="360"/>
      </w:pPr>
      <w:rPr>
        <w:rFonts w:ascii="Courier New" w:hAnsi="Courier New" w:hint="default"/>
      </w:rPr>
    </w:lvl>
    <w:lvl w:ilvl="2" w:tplc="4572778E">
      <w:start w:val="1"/>
      <w:numFmt w:val="bullet"/>
      <w:lvlText w:val="-"/>
      <w:lvlJc w:val="left"/>
      <w:pPr>
        <w:ind w:left="2160" w:hanging="360"/>
      </w:pPr>
      <w:rPr>
        <w:rFonts w:ascii="Courier New" w:hAnsi="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383186"/>
    <w:multiLevelType w:val="hybridMultilevel"/>
    <w:tmpl w:val="A0243724"/>
    <w:lvl w:ilvl="0" w:tplc="9CD4DE18">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7" w15:restartNumberingAfterBreak="0">
    <w:nsid w:val="60724ED4"/>
    <w:multiLevelType w:val="singleLevel"/>
    <w:tmpl w:val="080C0001"/>
    <w:lvl w:ilvl="0">
      <w:start w:val="1"/>
      <w:numFmt w:val="bullet"/>
      <w:lvlText w:val=""/>
      <w:lvlJc w:val="left"/>
      <w:pPr>
        <w:ind w:left="360" w:hanging="360"/>
      </w:pPr>
      <w:rPr>
        <w:rFonts w:ascii="Symbol" w:hAnsi="Symbol" w:hint="default"/>
      </w:rPr>
    </w:lvl>
  </w:abstractNum>
  <w:abstractNum w:abstractNumId="18" w15:restartNumberingAfterBreak="0">
    <w:nsid w:val="61D026E9"/>
    <w:multiLevelType w:val="hybridMultilevel"/>
    <w:tmpl w:val="C2A4AF8C"/>
    <w:lvl w:ilvl="0" w:tplc="08090005">
      <w:start w:val="1"/>
      <w:numFmt w:val="bullet"/>
      <w:lvlText w:val=""/>
      <w:lvlJc w:val="left"/>
      <w:pPr>
        <w:ind w:left="786"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1F42C0"/>
    <w:multiLevelType w:val="hybridMultilevel"/>
    <w:tmpl w:val="207A7068"/>
    <w:lvl w:ilvl="0" w:tplc="04090005">
      <w:start w:val="1"/>
      <w:numFmt w:val="bullet"/>
      <w:lvlText w:val=""/>
      <w:lvlJc w:val="left"/>
      <w:pPr>
        <w:ind w:left="1287" w:hanging="360"/>
      </w:pPr>
      <w:rPr>
        <w:rFonts w:ascii="Wingdings" w:hAnsi="Wingdings"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0" w15:restartNumberingAfterBreak="0">
    <w:nsid w:val="69E014D1"/>
    <w:multiLevelType w:val="hybridMultilevel"/>
    <w:tmpl w:val="C20011AA"/>
    <w:lvl w:ilvl="0" w:tplc="2AEC052C">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1" w15:restartNumberingAfterBreak="0">
    <w:nsid w:val="70967A6A"/>
    <w:multiLevelType w:val="hybridMultilevel"/>
    <w:tmpl w:val="27F2B37A"/>
    <w:lvl w:ilvl="0" w:tplc="9CD4DE18">
      <w:start w:val="1"/>
      <w:numFmt w:val="bullet"/>
      <w:lvlText w:val=""/>
      <w:lvlJc w:val="left"/>
      <w:pPr>
        <w:ind w:left="1069" w:hanging="360"/>
      </w:pPr>
      <w:rPr>
        <w:rFonts w:ascii="Symbol" w:hAnsi="Symbol" w:hint="default"/>
        <w:color w:val="auto"/>
      </w:rPr>
    </w:lvl>
    <w:lvl w:ilvl="1" w:tplc="080C0003" w:tentative="1">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22" w15:restartNumberingAfterBreak="0">
    <w:nsid w:val="73084D8E"/>
    <w:multiLevelType w:val="hybridMultilevel"/>
    <w:tmpl w:val="A3B83B2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767D7BDC"/>
    <w:multiLevelType w:val="hybridMultilevel"/>
    <w:tmpl w:val="36A26EFE"/>
    <w:lvl w:ilvl="0" w:tplc="89029AA0">
      <w:start w:val="1"/>
      <w:numFmt w:val="bullet"/>
      <w:lvlText w:val=""/>
      <w:lvlJc w:val="left"/>
      <w:pPr>
        <w:ind w:left="78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927257"/>
    <w:multiLevelType w:val="hybridMultilevel"/>
    <w:tmpl w:val="4F50226C"/>
    <w:lvl w:ilvl="0" w:tplc="5F48E7FA">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F1E004B"/>
    <w:multiLevelType w:val="multilevel"/>
    <w:tmpl w:val="6FEE6C0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color w:val="auto"/>
        <w:sz w:val="22"/>
        <w:szCs w:val="22"/>
      </w:rPr>
    </w:lvl>
    <w:lvl w:ilvl="3">
      <w:start w:val="1"/>
      <w:numFmt w:val="bullet"/>
      <w:lvlText w:val="-"/>
      <w:lvlJc w:val="left"/>
      <w:pPr>
        <w:ind w:left="1440" w:hanging="360"/>
      </w:pPr>
      <w:rPr>
        <w:rFonts w:ascii="Courier New" w:hAnsi="Courier New"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20"/>
  </w:num>
  <w:num w:numId="3">
    <w:abstractNumId w:val="23"/>
  </w:num>
  <w:num w:numId="4">
    <w:abstractNumId w:val="3"/>
  </w:num>
  <w:num w:numId="5">
    <w:abstractNumId w:val="17"/>
  </w:num>
  <w:num w:numId="6">
    <w:abstractNumId w:val="9"/>
  </w:num>
  <w:num w:numId="7">
    <w:abstractNumId w:val="4"/>
  </w:num>
  <w:num w:numId="8">
    <w:abstractNumId w:val="8"/>
  </w:num>
  <w:num w:numId="9">
    <w:abstractNumId w:val="7"/>
  </w:num>
  <w:num w:numId="10">
    <w:abstractNumId w:val="24"/>
  </w:num>
  <w:num w:numId="11">
    <w:abstractNumId w:val="12"/>
  </w:num>
  <w:num w:numId="12">
    <w:abstractNumId w:val="19"/>
  </w:num>
  <w:num w:numId="13">
    <w:abstractNumId w:val="0"/>
  </w:num>
  <w:num w:numId="14">
    <w:abstractNumId w:val="0"/>
  </w:num>
  <w:num w:numId="15">
    <w:abstractNumId w:val="18"/>
  </w:num>
  <w:num w:numId="16">
    <w:abstractNumId w:val="13"/>
  </w:num>
  <w:num w:numId="17">
    <w:abstractNumId w:val="0"/>
  </w:num>
  <w:num w:numId="18">
    <w:abstractNumId w:val="0"/>
  </w:num>
  <w:num w:numId="19">
    <w:abstractNumId w:val="21"/>
  </w:num>
  <w:num w:numId="20">
    <w:abstractNumId w:val="6"/>
  </w:num>
  <w:num w:numId="21">
    <w:abstractNumId w:val="16"/>
  </w:num>
  <w:num w:numId="22">
    <w:abstractNumId w:val="10"/>
  </w:num>
  <w:num w:numId="23">
    <w:abstractNumId w:val="11"/>
  </w:num>
  <w:num w:numId="24">
    <w:abstractNumId w:val="25"/>
  </w:num>
  <w:num w:numId="25">
    <w:abstractNumId w:val="15"/>
  </w:num>
  <w:num w:numId="26">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27">
    <w:abstractNumId w:val="0"/>
  </w:num>
  <w:num w:numId="28">
    <w:abstractNumId w:val="2"/>
  </w:num>
  <w:num w:numId="29">
    <w:abstractNumId w:val="5"/>
  </w:num>
  <w:num w:numId="30">
    <w:abstractNumId w:val="14"/>
  </w:num>
  <w:num w:numId="31">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6" w:nlCheck="1" w:checkStyle="0"/>
  <w:activeWritingStyle w:appName="MSWord" w:lang="en-GB" w:vendorID="64" w:dllVersion="6" w:nlCheck="1" w:checkStyle="0"/>
  <w:activeWritingStyle w:appName="MSWord" w:lang="fr-FR" w:vendorID="64" w:dllVersion="6" w:nlCheck="1" w:checkStyle="0"/>
  <w:activeWritingStyle w:appName="MSWord" w:lang="en-AU" w:vendorID="64" w:dllVersion="6" w:nlCheck="1" w:checkStyle="0"/>
  <w:activeWritingStyle w:appName="MSWord" w:lang="en-US" w:vendorID="64" w:dllVersion="6" w:nlCheck="1" w:checkStyle="0"/>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AC0"/>
    <w:rsid w:val="00002061"/>
    <w:rsid w:val="000142E0"/>
    <w:rsid w:val="00014C93"/>
    <w:rsid w:val="00015E18"/>
    <w:rsid w:val="00017B56"/>
    <w:rsid w:val="000232FA"/>
    <w:rsid w:val="00023DE9"/>
    <w:rsid w:val="0002450A"/>
    <w:rsid w:val="000247C5"/>
    <w:rsid w:val="000257FE"/>
    <w:rsid w:val="00027072"/>
    <w:rsid w:val="00027441"/>
    <w:rsid w:val="00032038"/>
    <w:rsid w:val="0003271A"/>
    <w:rsid w:val="00032BAA"/>
    <w:rsid w:val="00034E35"/>
    <w:rsid w:val="00036505"/>
    <w:rsid w:val="00037A85"/>
    <w:rsid w:val="000402AE"/>
    <w:rsid w:val="00041C4A"/>
    <w:rsid w:val="0004205F"/>
    <w:rsid w:val="000421E0"/>
    <w:rsid w:val="0005110E"/>
    <w:rsid w:val="0005170F"/>
    <w:rsid w:val="0005495B"/>
    <w:rsid w:val="00055D63"/>
    <w:rsid w:val="00056079"/>
    <w:rsid w:val="00056B3E"/>
    <w:rsid w:val="00057592"/>
    <w:rsid w:val="00063DFF"/>
    <w:rsid w:val="00063F30"/>
    <w:rsid w:val="00064EDE"/>
    <w:rsid w:val="00070AAE"/>
    <w:rsid w:val="00070FEE"/>
    <w:rsid w:val="0007146F"/>
    <w:rsid w:val="00071F4C"/>
    <w:rsid w:val="00073491"/>
    <w:rsid w:val="000764E8"/>
    <w:rsid w:val="00076BA9"/>
    <w:rsid w:val="00083845"/>
    <w:rsid w:val="000911BF"/>
    <w:rsid w:val="00092425"/>
    <w:rsid w:val="000951A1"/>
    <w:rsid w:val="000956DB"/>
    <w:rsid w:val="00096786"/>
    <w:rsid w:val="000A007B"/>
    <w:rsid w:val="000A03BD"/>
    <w:rsid w:val="000A1218"/>
    <w:rsid w:val="000A74DC"/>
    <w:rsid w:val="000A7BA8"/>
    <w:rsid w:val="000B01F7"/>
    <w:rsid w:val="000B19C4"/>
    <w:rsid w:val="000B1AE6"/>
    <w:rsid w:val="000B5831"/>
    <w:rsid w:val="000B7D8A"/>
    <w:rsid w:val="000C18CA"/>
    <w:rsid w:val="000C3942"/>
    <w:rsid w:val="000C43E2"/>
    <w:rsid w:val="000C6D0B"/>
    <w:rsid w:val="000D2F8F"/>
    <w:rsid w:val="000D65AC"/>
    <w:rsid w:val="000E37FD"/>
    <w:rsid w:val="000E447F"/>
    <w:rsid w:val="000E56EA"/>
    <w:rsid w:val="000E5FFD"/>
    <w:rsid w:val="000E6108"/>
    <w:rsid w:val="000F2BDB"/>
    <w:rsid w:val="000F53B7"/>
    <w:rsid w:val="000F679A"/>
    <w:rsid w:val="001000A8"/>
    <w:rsid w:val="001016BE"/>
    <w:rsid w:val="00105FC1"/>
    <w:rsid w:val="00106358"/>
    <w:rsid w:val="001106FB"/>
    <w:rsid w:val="001167A1"/>
    <w:rsid w:val="00116A1C"/>
    <w:rsid w:val="001179DB"/>
    <w:rsid w:val="00117AA8"/>
    <w:rsid w:val="00120215"/>
    <w:rsid w:val="00120BA5"/>
    <w:rsid w:val="00124D7C"/>
    <w:rsid w:val="001271C3"/>
    <w:rsid w:val="001400C7"/>
    <w:rsid w:val="001445A7"/>
    <w:rsid w:val="001455A1"/>
    <w:rsid w:val="00150AD8"/>
    <w:rsid w:val="001513FD"/>
    <w:rsid w:val="00153032"/>
    <w:rsid w:val="001543FE"/>
    <w:rsid w:val="00163106"/>
    <w:rsid w:val="00164813"/>
    <w:rsid w:val="001744F9"/>
    <w:rsid w:val="00174763"/>
    <w:rsid w:val="001760E9"/>
    <w:rsid w:val="0018231C"/>
    <w:rsid w:val="00182F92"/>
    <w:rsid w:val="001861B4"/>
    <w:rsid w:val="00191597"/>
    <w:rsid w:val="001951FD"/>
    <w:rsid w:val="0019715D"/>
    <w:rsid w:val="001A0AD4"/>
    <w:rsid w:val="001A2273"/>
    <w:rsid w:val="001A7476"/>
    <w:rsid w:val="001B10DA"/>
    <w:rsid w:val="001B6460"/>
    <w:rsid w:val="001C226F"/>
    <w:rsid w:val="001C3412"/>
    <w:rsid w:val="001C4EDC"/>
    <w:rsid w:val="001C5D5C"/>
    <w:rsid w:val="001D1F54"/>
    <w:rsid w:val="001D2636"/>
    <w:rsid w:val="001D6FFF"/>
    <w:rsid w:val="001D770D"/>
    <w:rsid w:val="001E0F0C"/>
    <w:rsid w:val="001E2286"/>
    <w:rsid w:val="001E6413"/>
    <w:rsid w:val="001F1433"/>
    <w:rsid w:val="001F1862"/>
    <w:rsid w:val="001F56CE"/>
    <w:rsid w:val="001F6FD5"/>
    <w:rsid w:val="001F773D"/>
    <w:rsid w:val="00200222"/>
    <w:rsid w:val="0020062C"/>
    <w:rsid w:val="002037FC"/>
    <w:rsid w:val="002043D7"/>
    <w:rsid w:val="00205D0D"/>
    <w:rsid w:val="00215520"/>
    <w:rsid w:val="0021590B"/>
    <w:rsid w:val="00215FAB"/>
    <w:rsid w:val="00221313"/>
    <w:rsid w:val="00224583"/>
    <w:rsid w:val="0022582C"/>
    <w:rsid w:val="00225BCA"/>
    <w:rsid w:val="00225C52"/>
    <w:rsid w:val="00226DC1"/>
    <w:rsid w:val="00227E12"/>
    <w:rsid w:val="00232374"/>
    <w:rsid w:val="002326F4"/>
    <w:rsid w:val="002328D2"/>
    <w:rsid w:val="00232EBB"/>
    <w:rsid w:val="00237481"/>
    <w:rsid w:val="00242666"/>
    <w:rsid w:val="00245CD4"/>
    <w:rsid w:val="00247E02"/>
    <w:rsid w:val="00255669"/>
    <w:rsid w:val="00256F0A"/>
    <w:rsid w:val="00261903"/>
    <w:rsid w:val="00261FDB"/>
    <w:rsid w:val="00270828"/>
    <w:rsid w:val="002737D4"/>
    <w:rsid w:val="00276CC9"/>
    <w:rsid w:val="002776B9"/>
    <w:rsid w:val="00291154"/>
    <w:rsid w:val="00292D44"/>
    <w:rsid w:val="00293E9C"/>
    <w:rsid w:val="002962DA"/>
    <w:rsid w:val="002A2F38"/>
    <w:rsid w:val="002A417C"/>
    <w:rsid w:val="002A48BC"/>
    <w:rsid w:val="002A6192"/>
    <w:rsid w:val="002A696A"/>
    <w:rsid w:val="002B09A7"/>
    <w:rsid w:val="002B1961"/>
    <w:rsid w:val="002B2BA3"/>
    <w:rsid w:val="002B5031"/>
    <w:rsid w:val="002B75A5"/>
    <w:rsid w:val="002B7981"/>
    <w:rsid w:val="002C0E2F"/>
    <w:rsid w:val="002C2466"/>
    <w:rsid w:val="002C24B9"/>
    <w:rsid w:val="002C2B80"/>
    <w:rsid w:val="002C4B6E"/>
    <w:rsid w:val="002C5F52"/>
    <w:rsid w:val="002D03B9"/>
    <w:rsid w:val="002D3FFF"/>
    <w:rsid w:val="002D4C38"/>
    <w:rsid w:val="002D5A51"/>
    <w:rsid w:val="002E01B5"/>
    <w:rsid w:val="002E44D6"/>
    <w:rsid w:val="002E459D"/>
    <w:rsid w:val="002E5473"/>
    <w:rsid w:val="002E62B0"/>
    <w:rsid w:val="002F32E6"/>
    <w:rsid w:val="002F63EB"/>
    <w:rsid w:val="00305834"/>
    <w:rsid w:val="00311562"/>
    <w:rsid w:val="003123CB"/>
    <w:rsid w:val="003165A9"/>
    <w:rsid w:val="0032154F"/>
    <w:rsid w:val="0032266E"/>
    <w:rsid w:val="003227CC"/>
    <w:rsid w:val="0032340F"/>
    <w:rsid w:val="00323A05"/>
    <w:rsid w:val="00326919"/>
    <w:rsid w:val="00331ACB"/>
    <w:rsid w:val="00331C12"/>
    <w:rsid w:val="00333F1A"/>
    <w:rsid w:val="00340F46"/>
    <w:rsid w:val="00342F72"/>
    <w:rsid w:val="003505DD"/>
    <w:rsid w:val="00350A12"/>
    <w:rsid w:val="00350F5C"/>
    <w:rsid w:val="003527B4"/>
    <w:rsid w:val="00353D37"/>
    <w:rsid w:val="00360C81"/>
    <w:rsid w:val="00361E48"/>
    <w:rsid w:val="0036641A"/>
    <w:rsid w:val="00370548"/>
    <w:rsid w:val="00370CCB"/>
    <w:rsid w:val="00376574"/>
    <w:rsid w:val="00394949"/>
    <w:rsid w:val="00396061"/>
    <w:rsid w:val="003965BB"/>
    <w:rsid w:val="003A0DB7"/>
    <w:rsid w:val="003A7071"/>
    <w:rsid w:val="003B0516"/>
    <w:rsid w:val="003B2007"/>
    <w:rsid w:val="003B3C5F"/>
    <w:rsid w:val="003B3D68"/>
    <w:rsid w:val="003B6760"/>
    <w:rsid w:val="003C07C5"/>
    <w:rsid w:val="003C0E5B"/>
    <w:rsid w:val="003C0FF2"/>
    <w:rsid w:val="003C2647"/>
    <w:rsid w:val="003C3F66"/>
    <w:rsid w:val="003C4172"/>
    <w:rsid w:val="003C4D5B"/>
    <w:rsid w:val="003C5614"/>
    <w:rsid w:val="003D33F7"/>
    <w:rsid w:val="003D4F68"/>
    <w:rsid w:val="003D5339"/>
    <w:rsid w:val="003D57BD"/>
    <w:rsid w:val="003D76E2"/>
    <w:rsid w:val="003E2757"/>
    <w:rsid w:val="003E5137"/>
    <w:rsid w:val="003E674F"/>
    <w:rsid w:val="003E692C"/>
    <w:rsid w:val="003F0159"/>
    <w:rsid w:val="003F2D36"/>
    <w:rsid w:val="003F510A"/>
    <w:rsid w:val="003F6382"/>
    <w:rsid w:val="0040019C"/>
    <w:rsid w:val="00400A1F"/>
    <w:rsid w:val="00403406"/>
    <w:rsid w:val="004047A6"/>
    <w:rsid w:val="004047B1"/>
    <w:rsid w:val="00405802"/>
    <w:rsid w:val="00405FD9"/>
    <w:rsid w:val="0040654F"/>
    <w:rsid w:val="00407760"/>
    <w:rsid w:val="00413EA0"/>
    <w:rsid w:val="00426ECD"/>
    <w:rsid w:val="004331B4"/>
    <w:rsid w:val="004415E2"/>
    <w:rsid w:val="00441E45"/>
    <w:rsid w:val="004429E2"/>
    <w:rsid w:val="004442D3"/>
    <w:rsid w:val="004511AE"/>
    <w:rsid w:val="00456E3C"/>
    <w:rsid w:val="00462B31"/>
    <w:rsid w:val="00463300"/>
    <w:rsid w:val="004646AF"/>
    <w:rsid w:val="0046631E"/>
    <w:rsid w:val="00467BE4"/>
    <w:rsid w:val="00470719"/>
    <w:rsid w:val="00472A79"/>
    <w:rsid w:val="00472E72"/>
    <w:rsid w:val="004734C7"/>
    <w:rsid w:val="004755C3"/>
    <w:rsid w:val="00477361"/>
    <w:rsid w:val="004904F9"/>
    <w:rsid w:val="0049347F"/>
    <w:rsid w:val="004A46D9"/>
    <w:rsid w:val="004A5CD7"/>
    <w:rsid w:val="004B2250"/>
    <w:rsid w:val="004B344F"/>
    <w:rsid w:val="004B7248"/>
    <w:rsid w:val="004B72DD"/>
    <w:rsid w:val="004C1E12"/>
    <w:rsid w:val="004C2872"/>
    <w:rsid w:val="004C40E4"/>
    <w:rsid w:val="004D2E64"/>
    <w:rsid w:val="004D65FF"/>
    <w:rsid w:val="004D7AC0"/>
    <w:rsid w:val="004E114D"/>
    <w:rsid w:val="004E3304"/>
    <w:rsid w:val="004F2430"/>
    <w:rsid w:val="004F68A8"/>
    <w:rsid w:val="00502B04"/>
    <w:rsid w:val="00502C82"/>
    <w:rsid w:val="005030F7"/>
    <w:rsid w:val="00510903"/>
    <w:rsid w:val="00516FB9"/>
    <w:rsid w:val="005224FE"/>
    <w:rsid w:val="00530644"/>
    <w:rsid w:val="00531E0B"/>
    <w:rsid w:val="00533BF2"/>
    <w:rsid w:val="0053502B"/>
    <w:rsid w:val="0054010D"/>
    <w:rsid w:val="00542C6F"/>
    <w:rsid w:val="005445DD"/>
    <w:rsid w:val="00546842"/>
    <w:rsid w:val="005475DA"/>
    <w:rsid w:val="00550800"/>
    <w:rsid w:val="0055106D"/>
    <w:rsid w:val="00552022"/>
    <w:rsid w:val="00554499"/>
    <w:rsid w:val="00555A39"/>
    <w:rsid w:val="00560174"/>
    <w:rsid w:val="00564924"/>
    <w:rsid w:val="00565C6E"/>
    <w:rsid w:val="00571FEB"/>
    <w:rsid w:val="00577672"/>
    <w:rsid w:val="00582A42"/>
    <w:rsid w:val="00584D91"/>
    <w:rsid w:val="00585857"/>
    <w:rsid w:val="0058593B"/>
    <w:rsid w:val="00586B4B"/>
    <w:rsid w:val="00590BDD"/>
    <w:rsid w:val="00594140"/>
    <w:rsid w:val="0059647B"/>
    <w:rsid w:val="005A3E6D"/>
    <w:rsid w:val="005A6946"/>
    <w:rsid w:val="005A755F"/>
    <w:rsid w:val="005B0E27"/>
    <w:rsid w:val="005B3012"/>
    <w:rsid w:val="005B5038"/>
    <w:rsid w:val="005C0363"/>
    <w:rsid w:val="005C0454"/>
    <w:rsid w:val="005C6297"/>
    <w:rsid w:val="005C7C47"/>
    <w:rsid w:val="005D55F5"/>
    <w:rsid w:val="005D621C"/>
    <w:rsid w:val="005D6E4D"/>
    <w:rsid w:val="005D76AC"/>
    <w:rsid w:val="005D7939"/>
    <w:rsid w:val="005E23CD"/>
    <w:rsid w:val="005E2C02"/>
    <w:rsid w:val="005E3426"/>
    <w:rsid w:val="005E56F3"/>
    <w:rsid w:val="005E682E"/>
    <w:rsid w:val="005E764B"/>
    <w:rsid w:val="005F4FFC"/>
    <w:rsid w:val="005F78D7"/>
    <w:rsid w:val="005F7E48"/>
    <w:rsid w:val="00600A25"/>
    <w:rsid w:val="006025C9"/>
    <w:rsid w:val="00607F17"/>
    <w:rsid w:val="006119BD"/>
    <w:rsid w:val="006125A8"/>
    <w:rsid w:val="00613467"/>
    <w:rsid w:val="0061692F"/>
    <w:rsid w:val="0062138E"/>
    <w:rsid w:val="00622822"/>
    <w:rsid w:val="00624785"/>
    <w:rsid w:val="00627B8F"/>
    <w:rsid w:val="00630047"/>
    <w:rsid w:val="00630928"/>
    <w:rsid w:val="00631509"/>
    <w:rsid w:val="00632139"/>
    <w:rsid w:val="006324DA"/>
    <w:rsid w:val="006334BE"/>
    <w:rsid w:val="00640656"/>
    <w:rsid w:val="00641262"/>
    <w:rsid w:val="00645723"/>
    <w:rsid w:val="00650DB1"/>
    <w:rsid w:val="006568C8"/>
    <w:rsid w:val="006604D8"/>
    <w:rsid w:val="00662436"/>
    <w:rsid w:val="006669FA"/>
    <w:rsid w:val="00666A72"/>
    <w:rsid w:val="00670347"/>
    <w:rsid w:val="00675177"/>
    <w:rsid w:val="00676CBB"/>
    <w:rsid w:val="00677979"/>
    <w:rsid w:val="00681B23"/>
    <w:rsid w:val="0068241A"/>
    <w:rsid w:val="006849A6"/>
    <w:rsid w:val="00687C49"/>
    <w:rsid w:val="0069051C"/>
    <w:rsid w:val="00691356"/>
    <w:rsid w:val="00693DE6"/>
    <w:rsid w:val="006967AE"/>
    <w:rsid w:val="006A1317"/>
    <w:rsid w:val="006A3A88"/>
    <w:rsid w:val="006A42C1"/>
    <w:rsid w:val="006A5AA8"/>
    <w:rsid w:val="006B106B"/>
    <w:rsid w:val="006B265F"/>
    <w:rsid w:val="006C4311"/>
    <w:rsid w:val="006C4ED2"/>
    <w:rsid w:val="006D32E3"/>
    <w:rsid w:val="006D4847"/>
    <w:rsid w:val="006D6086"/>
    <w:rsid w:val="006E0E88"/>
    <w:rsid w:val="006E3078"/>
    <w:rsid w:val="006E3F60"/>
    <w:rsid w:val="006E6434"/>
    <w:rsid w:val="006F2BFD"/>
    <w:rsid w:val="006F3409"/>
    <w:rsid w:val="00700030"/>
    <w:rsid w:val="007037CE"/>
    <w:rsid w:val="00704C1E"/>
    <w:rsid w:val="00705674"/>
    <w:rsid w:val="0070677E"/>
    <w:rsid w:val="007105B2"/>
    <w:rsid w:val="007150C5"/>
    <w:rsid w:val="00715A60"/>
    <w:rsid w:val="007179BC"/>
    <w:rsid w:val="00720D22"/>
    <w:rsid w:val="00721342"/>
    <w:rsid w:val="00721386"/>
    <w:rsid w:val="00727B0D"/>
    <w:rsid w:val="007327CD"/>
    <w:rsid w:val="00732CC4"/>
    <w:rsid w:val="00733A55"/>
    <w:rsid w:val="00735256"/>
    <w:rsid w:val="00737766"/>
    <w:rsid w:val="0074379C"/>
    <w:rsid w:val="00745EAA"/>
    <w:rsid w:val="00746B35"/>
    <w:rsid w:val="00750BF7"/>
    <w:rsid w:val="0075250B"/>
    <w:rsid w:val="00753F2A"/>
    <w:rsid w:val="00756F3D"/>
    <w:rsid w:val="00760B02"/>
    <w:rsid w:val="00760C0A"/>
    <w:rsid w:val="0076429F"/>
    <w:rsid w:val="00765C4F"/>
    <w:rsid w:val="00771110"/>
    <w:rsid w:val="00775FDA"/>
    <w:rsid w:val="0077736D"/>
    <w:rsid w:val="0077792F"/>
    <w:rsid w:val="00781B32"/>
    <w:rsid w:val="007830DD"/>
    <w:rsid w:val="00785F4A"/>
    <w:rsid w:val="00797F54"/>
    <w:rsid w:val="007A0970"/>
    <w:rsid w:val="007A1548"/>
    <w:rsid w:val="007B21C5"/>
    <w:rsid w:val="007B231B"/>
    <w:rsid w:val="007B4C34"/>
    <w:rsid w:val="007B4C38"/>
    <w:rsid w:val="007B7C40"/>
    <w:rsid w:val="007C11A7"/>
    <w:rsid w:val="007C58EF"/>
    <w:rsid w:val="007C7CE2"/>
    <w:rsid w:val="007D1564"/>
    <w:rsid w:val="007D42D1"/>
    <w:rsid w:val="007D5174"/>
    <w:rsid w:val="007E0CE8"/>
    <w:rsid w:val="007E3FFA"/>
    <w:rsid w:val="007E70D2"/>
    <w:rsid w:val="007E7A4F"/>
    <w:rsid w:val="007E7DE3"/>
    <w:rsid w:val="007F0BB7"/>
    <w:rsid w:val="007F2119"/>
    <w:rsid w:val="007F292F"/>
    <w:rsid w:val="007F7DBA"/>
    <w:rsid w:val="00804736"/>
    <w:rsid w:val="0080501D"/>
    <w:rsid w:val="008102E2"/>
    <w:rsid w:val="008103DE"/>
    <w:rsid w:val="00812594"/>
    <w:rsid w:val="00813A00"/>
    <w:rsid w:val="00814E33"/>
    <w:rsid w:val="008159E1"/>
    <w:rsid w:val="008172B0"/>
    <w:rsid w:val="00822ED8"/>
    <w:rsid w:val="00824647"/>
    <w:rsid w:val="00824DCF"/>
    <w:rsid w:val="0082509A"/>
    <w:rsid w:val="00827B0E"/>
    <w:rsid w:val="008327B1"/>
    <w:rsid w:val="00833E27"/>
    <w:rsid w:val="00835925"/>
    <w:rsid w:val="00841374"/>
    <w:rsid w:val="0084226D"/>
    <w:rsid w:val="00842465"/>
    <w:rsid w:val="00842BDD"/>
    <w:rsid w:val="00842C71"/>
    <w:rsid w:val="00844B87"/>
    <w:rsid w:val="00847288"/>
    <w:rsid w:val="0085096C"/>
    <w:rsid w:val="00855196"/>
    <w:rsid w:val="00855772"/>
    <w:rsid w:val="0086045C"/>
    <w:rsid w:val="008608BA"/>
    <w:rsid w:val="00861942"/>
    <w:rsid w:val="00862DC9"/>
    <w:rsid w:val="0086458A"/>
    <w:rsid w:val="008737C0"/>
    <w:rsid w:val="008745F7"/>
    <w:rsid w:val="00881E9B"/>
    <w:rsid w:val="0088219D"/>
    <w:rsid w:val="00883682"/>
    <w:rsid w:val="0088465F"/>
    <w:rsid w:val="00884879"/>
    <w:rsid w:val="008854AE"/>
    <w:rsid w:val="00886448"/>
    <w:rsid w:val="008946BF"/>
    <w:rsid w:val="008A0B15"/>
    <w:rsid w:val="008A4C14"/>
    <w:rsid w:val="008B2544"/>
    <w:rsid w:val="008B26C6"/>
    <w:rsid w:val="008B2708"/>
    <w:rsid w:val="008B47C5"/>
    <w:rsid w:val="008B66DD"/>
    <w:rsid w:val="008B7198"/>
    <w:rsid w:val="008B72DD"/>
    <w:rsid w:val="008C18DE"/>
    <w:rsid w:val="008C3E09"/>
    <w:rsid w:val="008C5DFD"/>
    <w:rsid w:val="008D0A46"/>
    <w:rsid w:val="008D2131"/>
    <w:rsid w:val="008D5213"/>
    <w:rsid w:val="008E0C2F"/>
    <w:rsid w:val="008E5076"/>
    <w:rsid w:val="008E7C2A"/>
    <w:rsid w:val="008F1627"/>
    <w:rsid w:val="00900BFC"/>
    <w:rsid w:val="009011ED"/>
    <w:rsid w:val="009049FC"/>
    <w:rsid w:val="009109F5"/>
    <w:rsid w:val="00912E0E"/>
    <w:rsid w:val="00912F6B"/>
    <w:rsid w:val="00914265"/>
    <w:rsid w:val="009173E7"/>
    <w:rsid w:val="009177FF"/>
    <w:rsid w:val="00931584"/>
    <w:rsid w:val="00934472"/>
    <w:rsid w:val="009357C2"/>
    <w:rsid w:val="00942238"/>
    <w:rsid w:val="0094733C"/>
    <w:rsid w:val="00947E08"/>
    <w:rsid w:val="0095386D"/>
    <w:rsid w:val="0095396D"/>
    <w:rsid w:val="0096099A"/>
    <w:rsid w:val="00961956"/>
    <w:rsid w:val="00961F3C"/>
    <w:rsid w:val="00964827"/>
    <w:rsid w:val="0096721E"/>
    <w:rsid w:val="00967517"/>
    <w:rsid w:val="00970971"/>
    <w:rsid w:val="00971495"/>
    <w:rsid w:val="00974EE4"/>
    <w:rsid w:val="0097659B"/>
    <w:rsid w:val="00986C7F"/>
    <w:rsid w:val="00987507"/>
    <w:rsid w:val="009954A1"/>
    <w:rsid w:val="009A3E0E"/>
    <w:rsid w:val="009B0E36"/>
    <w:rsid w:val="009B2ADD"/>
    <w:rsid w:val="009B37E5"/>
    <w:rsid w:val="009B70E7"/>
    <w:rsid w:val="009B72AB"/>
    <w:rsid w:val="009C513E"/>
    <w:rsid w:val="009C574C"/>
    <w:rsid w:val="009C75E4"/>
    <w:rsid w:val="009D07F4"/>
    <w:rsid w:val="009D1CA2"/>
    <w:rsid w:val="009D2CD0"/>
    <w:rsid w:val="009D388E"/>
    <w:rsid w:val="009D5CC6"/>
    <w:rsid w:val="009E4E92"/>
    <w:rsid w:val="009E6BA2"/>
    <w:rsid w:val="009E70A3"/>
    <w:rsid w:val="009E7942"/>
    <w:rsid w:val="009F39C6"/>
    <w:rsid w:val="009F3BC5"/>
    <w:rsid w:val="009F4EF7"/>
    <w:rsid w:val="009F5F78"/>
    <w:rsid w:val="009F706B"/>
    <w:rsid w:val="00A00F37"/>
    <w:rsid w:val="00A0410F"/>
    <w:rsid w:val="00A048E9"/>
    <w:rsid w:val="00A049D5"/>
    <w:rsid w:val="00A06E9E"/>
    <w:rsid w:val="00A10A98"/>
    <w:rsid w:val="00A20E9D"/>
    <w:rsid w:val="00A23F52"/>
    <w:rsid w:val="00A26217"/>
    <w:rsid w:val="00A30792"/>
    <w:rsid w:val="00A30B84"/>
    <w:rsid w:val="00A3344B"/>
    <w:rsid w:val="00A37880"/>
    <w:rsid w:val="00A45EC3"/>
    <w:rsid w:val="00A46122"/>
    <w:rsid w:val="00A51F03"/>
    <w:rsid w:val="00A51F67"/>
    <w:rsid w:val="00A522D4"/>
    <w:rsid w:val="00A5507B"/>
    <w:rsid w:val="00A61524"/>
    <w:rsid w:val="00A62F57"/>
    <w:rsid w:val="00A63413"/>
    <w:rsid w:val="00A6556C"/>
    <w:rsid w:val="00A659B5"/>
    <w:rsid w:val="00A661BB"/>
    <w:rsid w:val="00A720CF"/>
    <w:rsid w:val="00A743EB"/>
    <w:rsid w:val="00A74B4C"/>
    <w:rsid w:val="00A763E7"/>
    <w:rsid w:val="00A827D2"/>
    <w:rsid w:val="00A847C3"/>
    <w:rsid w:val="00A86E2C"/>
    <w:rsid w:val="00A9462E"/>
    <w:rsid w:val="00A94E45"/>
    <w:rsid w:val="00AA05F8"/>
    <w:rsid w:val="00AA22BE"/>
    <w:rsid w:val="00AA5C1D"/>
    <w:rsid w:val="00AA5C61"/>
    <w:rsid w:val="00AA69BF"/>
    <w:rsid w:val="00AB0B62"/>
    <w:rsid w:val="00AB20C0"/>
    <w:rsid w:val="00AB3045"/>
    <w:rsid w:val="00AB4D68"/>
    <w:rsid w:val="00AB5E6A"/>
    <w:rsid w:val="00AB72EB"/>
    <w:rsid w:val="00AC567A"/>
    <w:rsid w:val="00AC7690"/>
    <w:rsid w:val="00AD1524"/>
    <w:rsid w:val="00AD3DB1"/>
    <w:rsid w:val="00AD6708"/>
    <w:rsid w:val="00AD75EB"/>
    <w:rsid w:val="00AE0A52"/>
    <w:rsid w:val="00AE2E3C"/>
    <w:rsid w:val="00AE4F16"/>
    <w:rsid w:val="00AF1233"/>
    <w:rsid w:val="00AF2C37"/>
    <w:rsid w:val="00AF45AD"/>
    <w:rsid w:val="00AF4F10"/>
    <w:rsid w:val="00B00DCF"/>
    <w:rsid w:val="00B0229E"/>
    <w:rsid w:val="00B02467"/>
    <w:rsid w:val="00B0753C"/>
    <w:rsid w:val="00B10934"/>
    <w:rsid w:val="00B11964"/>
    <w:rsid w:val="00B13B9C"/>
    <w:rsid w:val="00B24B60"/>
    <w:rsid w:val="00B24C28"/>
    <w:rsid w:val="00B2754C"/>
    <w:rsid w:val="00B30118"/>
    <w:rsid w:val="00B339AC"/>
    <w:rsid w:val="00B34E93"/>
    <w:rsid w:val="00B35908"/>
    <w:rsid w:val="00B40093"/>
    <w:rsid w:val="00B40158"/>
    <w:rsid w:val="00B41E79"/>
    <w:rsid w:val="00B42E2F"/>
    <w:rsid w:val="00B42F7B"/>
    <w:rsid w:val="00B4330A"/>
    <w:rsid w:val="00B44BB9"/>
    <w:rsid w:val="00B44E37"/>
    <w:rsid w:val="00B4522B"/>
    <w:rsid w:val="00B51AF6"/>
    <w:rsid w:val="00B51B20"/>
    <w:rsid w:val="00B51EBC"/>
    <w:rsid w:val="00B5317E"/>
    <w:rsid w:val="00B53791"/>
    <w:rsid w:val="00B539C0"/>
    <w:rsid w:val="00B53E01"/>
    <w:rsid w:val="00B54D49"/>
    <w:rsid w:val="00B56041"/>
    <w:rsid w:val="00B61819"/>
    <w:rsid w:val="00B62D22"/>
    <w:rsid w:val="00B6406F"/>
    <w:rsid w:val="00B656FE"/>
    <w:rsid w:val="00B67EDA"/>
    <w:rsid w:val="00B73746"/>
    <w:rsid w:val="00B7530C"/>
    <w:rsid w:val="00B76922"/>
    <w:rsid w:val="00B77513"/>
    <w:rsid w:val="00B77F1B"/>
    <w:rsid w:val="00B83A51"/>
    <w:rsid w:val="00B83E7B"/>
    <w:rsid w:val="00B85573"/>
    <w:rsid w:val="00B876EC"/>
    <w:rsid w:val="00B90D85"/>
    <w:rsid w:val="00B92B86"/>
    <w:rsid w:val="00B9776A"/>
    <w:rsid w:val="00B97AA6"/>
    <w:rsid w:val="00BA051D"/>
    <w:rsid w:val="00BA494E"/>
    <w:rsid w:val="00BA579D"/>
    <w:rsid w:val="00BB054C"/>
    <w:rsid w:val="00BB1EE2"/>
    <w:rsid w:val="00BB37C1"/>
    <w:rsid w:val="00BB3A55"/>
    <w:rsid w:val="00BB739D"/>
    <w:rsid w:val="00BC1767"/>
    <w:rsid w:val="00BC29C8"/>
    <w:rsid w:val="00BC3670"/>
    <w:rsid w:val="00BC375B"/>
    <w:rsid w:val="00BC3FCE"/>
    <w:rsid w:val="00BC41D9"/>
    <w:rsid w:val="00BD00EB"/>
    <w:rsid w:val="00BD4DBF"/>
    <w:rsid w:val="00BD6E79"/>
    <w:rsid w:val="00BD7550"/>
    <w:rsid w:val="00BD7A8C"/>
    <w:rsid w:val="00BE12B3"/>
    <w:rsid w:val="00BE5754"/>
    <w:rsid w:val="00BE6D5A"/>
    <w:rsid w:val="00BF27C9"/>
    <w:rsid w:val="00BF6653"/>
    <w:rsid w:val="00C005B2"/>
    <w:rsid w:val="00C00B1F"/>
    <w:rsid w:val="00C0119D"/>
    <w:rsid w:val="00C10C77"/>
    <w:rsid w:val="00C23683"/>
    <w:rsid w:val="00C259DF"/>
    <w:rsid w:val="00C25DB3"/>
    <w:rsid w:val="00C331A1"/>
    <w:rsid w:val="00C34B35"/>
    <w:rsid w:val="00C37AC2"/>
    <w:rsid w:val="00C445FE"/>
    <w:rsid w:val="00C44A5C"/>
    <w:rsid w:val="00C46E4F"/>
    <w:rsid w:val="00C508EF"/>
    <w:rsid w:val="00C554BB"/>
    <w:rsid w:val="00C600B5"/>
    <w:rsid w:val="00C60AE2"/>
    <w:rsid w:val="00C61E75"/>
    <w:rsid w:val="00C64EEF"/>
    <w:rsid w:val="00C65A95"/>
    <w:rsid w:val="00C677AD"/>
    <w:rsid w:val="00C70E54"/>
    <w:rsid w:val="00C71AB7"/>
    <w:rsid w:val="00C752C7"/>
    <w:rsid w:val="00C7574C"/>
    <w:rsid w:val="00C76C46"/>
    <w:rsid w:val="00C76D56"/>
    <w:rsid w:val="00C80321"/>
    <w:rsid w:val="00C834A5"/>
    <w:rsid w:val="00C8431E"/>
    <w:rsid w:val="00C86F74"/>
    <w:rsid w:val="00C92102"/>
    <w:rsid w:val="00C95751"/>
    <w:rsid w:val="00C9679B"/>
    <w:rsid w:val="00C96BF2"/>
    <w:rsid w:val="00C97966"/>
    <w:rsid w:val="00CA3848"/>
    <w:rsid w:val="00CA5288"/>
    <w:rsid w:val="00CA684E"/>
    <w:rsid w:val="00CA685D"/>
    <w:rsid w:val="00CA6928"/>
    <w:rsid w:val="00CB0CBA"/>
    <w:rsid w:val="00CB1D03"/>
    <w:rsid w:val="00CB2A8A"/>
    <w:rsid w:val="00CB3335"/>
    <w:rsid w:val="00CB3574"/>
    <w:rsid w:val="00CB4448"/>
    <w:rsid w:val="00CB6509"/>
    <w:rsid w:val="00CC25F9"/>
    <w:rsid w:val="00CC521C"/>
    <w:rsid w:val="00CD1982"/>
    <w:rsid w:val="00CD7E1B"/>
    <w:rsid w:val="00CD7F66"/>
    <w:rsid w:val="00CE23CC"/>
    <w:rsid w:val="00CE48CB"/>
    <w:rsid w:val="00CF2F88"/>
    <w:rsid w:val="00CF32E7"/>
    <w:rsid w:val="00CF3D01"/>
    <w:rsid w:val="00CF5AC7"/>
    <w:rsid w:val="00CF7381"/>
    <w:rsid w:val="00CF7F58"/>
    <w:rsid w:val="00D0023B"/>
    <w:rsid w:val="00D007F3"/>
    <w:rsid w:val="00D00BF8"/>
    <w:rsid w:val="00D014A8"/>
    <w:rsid w:val="00D01E10"/>
    <w:rsid w:val="00D0461E"/>
    <w:rsid w:val="00D04678"/>
    <w:rsid w:val="00D13F40"/>
    <w:rsid w:val="00D145C1"/>
    <w:rsid w:val="00D205F2"/>
    <w:rsid w:val="00D20C54"/>
    <w:rsid w:val="00D243A3"/>
    <w:rsid w:val="00D24601"/>
    <w:rsid w:val="00D30245"/>
    <w:rsid w:val="00D31DE5"/>
    <w:rsid w:val="00D327F0"/>
    <w:rsid w:val="00D35512"/>
    <w:rsid w:val="00D35C97"/>
    <w:rsid w:val="00D41F72"/>
    <w:rsid w:val="00D423EB"/>
    <w:rsid w:val="00D442EE"/>
    <w:rsid w:val="00D47085"/>
    <w:rsid w:val="00D534BA"/>
    <w:rsid w:val="00D55B4C"/>
    <w:rsid w:val="00D61B08"/>
    <w:rsid w:val="00D630B8"/>
    <w:rsid w:val="00D67CAD"/>
    <w:rsid w:val="00D761CD"/>
    <w:rsid w:val="00D76363"/>
    <w:rsid w:val="00D80558"/>
    <w:rsid w:val="00D80C88"/>
    <w:rsid w:val="00D84FBD"/>
    <w:rsid w:val="00D85838"/>
    <w:rsid w:val="00D85D67"/>
    <w:rsid w:val="00D86432"/>
    <w:rsid w:val="00D91EA9"/>
    <w:rsid w:val="00D92EBC"/>
    <w:rsid w:val="00D944B2"/>
    <w:rsid w:val="00D979E8"/>
    <w:rsid w:val="00DA2D88"/>
    <w:rsid w:val="00DA608B"/>
    <w:rsid w:val="00DB2B61"/>
    <w:rsid w:val="00DB34D6"/>
    <w:rsid w:val="00DB6D98"/>
    <w:rsid w:val="00DC057E"/>
    <w:rsid w:val="00DC097D"/>
    <w:rsid w:val="00DC17CF"/>
    <w:rsid w:val="00DC28F0"/>
    <w:rsid w:val="00DC3563"/>
    <w:rsid w:val="00DC53E9"/>
    <w:rsid w:val="00DD23A2"/>
    <w:rsid w:val="00DD289C"/>
    <w:rsid w:val="00DD53BD"/>
    <w:rsid w:val="00DE010C"/>
    <w:rsid w:val="00DE308B"/>
    <w:rsid w:val="00DE3CA7"/>
    <w:rsid w:val="00DE78E2"/>
    <w:rsid w:val="00DF25DF"/>
    <w:rsid w:val="00DF2640"/>
    <w:rsid w:val="00DF2B94"/>
    <w:rsid w:val="00DF349B"/>
    <w:rsid w:val="00DF3AB5"/>
    <w:rsid w:val="00DF590D"/>
    <w:rsid w:val="00E00CD3"/>
    <w:rsid w:val="00E02E1A"/>
    <w:rsid w:val="00E060CF"/>
    <w:rsid w:val="00E0620E"/>
    <w:rsid w:val="00E06456"/>
    <w:rsid w:val="00E074E2"/>
    <w:rsid w:val="00E119DF"/>
    <w:rsid w:val="00E11C18"/>
    <w:rsid w:val="00E15330"/>
    <w:rsid w:val="00E20579"/>
    <w:rsid w:val="00E207F0"/>
    <w:rsid w:val="00E20FC5"/>
    <w:rsid w:val="00E211D9"/>
    <w:rsid w:val="00E21482"/>
    <w:rsid w:val="00E227B2"/>
    <w:rsid w:val="00E24CDF"/>
    <w:rsid w:val="00E26F29"/>
    <w:rsid w:val="00E302BC"/>
    <w:rsid w:val="00E31954"/>
    <w:rsid w:val="00E33923"/>
    <w:rsid w:val="00E33D03"/>
    <w:rsid w:val="00E34279"/>
    <w:rsid w:val="00E36EA1"/>
    <w:rsid w:val="00E4196E"/>
    <w:rsid w:val="00E461E1"/>
    <w:rsid w:val="00E53870"/>
    <w:rsid w:val="00E54548"/>
    <w:rsid w:val="00E568E1"/>
    <w:rsid w:val="00E61540"/>
    <w:rsid w:val="00E63571"/>
    <w:rsid w:val="00E642C0"/>
    <w:rsid w:val="00E64300"/>
    <w:rsid w:val="00E65D01"/>
    <w:rsid w:val="00E66A9B"/>
    <w:rsid w:val="00E72E7D"/>
    <w:rsid w:val="00E7466E"/>
    <w:rsid w:val="00E775D4"/>
    <w:rsid w:val="00E81FDD"/>
    <w:rsid w:val="00E86232"/>
    <w:rsid w:val="00E87122"/>
    <w:rsid w:val="00E9792C"/>
    <w:rsid w:val="00EA1181"/>
    <w:rsid w:val="00EA2799"/>
    <w:rsid w:val="00EA403A"/>
    <w:rsid w:val="00EA76FF"/>
    <w:rsid w:val="00EB051C"/>
    <w:rsid w:val="00EC533C"/>
    <w:rsid w:val="00EC6B43"/>
    <w:rsid w:val="00EC7156"/>
    <w:rsid w:val="00EC78C3"/>
    <w:rsid w:val="00EC79EC"/>
    <w:rsid w:val="00ED2A6A"/>
    <w:rsid w:val="00ED377B"/>
    <w:rsid w:val="00ED441B"/>
    <w:rsid w:val="00ED7BC2"/>
    <w:rsid w:val="00EE1E04"/>
    <w:rsid w:val="00EF0853"/>
    <w:rsid w:val="00EF6631"/>
    <w:rsid w:val="00EF688F"/>
    <w:rsid w:val="00F00603"/>
    <w:rsid w:val="00F0060E"/>
    <w:rsid w:val="00F01CF2"/>
    <w:rsid w:val="00F01E91"/>
    <w:rsid w:val="00F03155"/>
    <w:rsid w:val="00F03950"/>
    <w:rsid w:val="00F049D6"/>
    <w:rsid w:val="00F13607"/>
    <w:rsid w:val="00F161F9"/>
    <w:rsid w:val="00F173C9"/>
    <w:rsid w:val="00F2127E"/>
    <w:rsid w:val="00F25F17"/>
    <w:rsid w:val="00F3200A"/>
    <w:rsid w:val="00F324AC"/>
    <w:rsid w:val="00F32577"/>
    <w:rsid w:val="00F33DD2"/>
    <w:rsid w:val="00F37E4A"/>
    <w:rsid w:val="00F423CE"/>
    <w:rsid w:val="00F443A0"/>
    <w:rsid w:val="00F4549F"/>
    <w:rsid w:val="00F471FB"/>
    <w:rsid w:val="00F47818"/>
    <w:rsid w:val="00F508B3"/>
    <w:rsid w:val="00F512BB"/>
    <w:rsid w:val="00F545CF"/>
    <w:rsid w:val="00F63F2A"/>
    <w:rsid w:val="00F646EF"/>
    <w:rsid w:val="00F71666"/>
    <w:rsid w:val="00F72D85"/>
    <w:rsid w:val="00F804C6"/>
    <w:rsid w:val="00F80F3B"/>
    <w:rsid w:val="00F841DB"/>
    <w:rsid w:val="00F856AC"/>
    <w:rsid w:val="00F86531"/>
    <w:rsid w:val="00F86EB5"/>
    <w:rsid w:val="00F86F23"/>
    <w:rsid w:val="00F916E1"/>
    <w:rsid w:val="00F929FB"/>
    <w:rsid w:val="00F941D5"/>
    <w:rsid w:val="00F946E1"/>
    <w:rsid w:val="00F94A84"/>
    <w:rsid w:val="00F9553E"/>
    <w:rsid w:val="00F95D18"/>
    <w:rsid w:val="00FA0183"/>
    <w:rsid w:val="00FA0704"/>
    <w:rsid w:val="00FA0D13"/>
    <w:rsid w:val="00FB044B"/>
    <w:rsid w:val="00FB1C7A"/>
    <w:rsid w:val="00FB24BA"/>
    <w:rsid w:val="00FB55E3"/>
    <w:rsid w:val="00FD3685"/>
    <w:rsid w:val="00FD3A69"/>
    <w:rsid w:val="00FD3EB9"/>
    <w:rsid w:val="00FE044C"/>
    <w:rsid w:val="00FE68B2"/>
    <w:rsid w:val="00FE7250"/>
    <w:rsid w:val="00FF16D1"/>
    <w:rsid w:val="00FF2BA0"/>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297"/>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outlineLvl w:val="0"/>
    </w:pPr>
    <w:rPr>
      <w:kern w:val="28"/>
    </w:rPr>
  </w:style>
  <w:style w:type="paragraph" w:styleId="Heading2">
    <w:name w:val="heading 2"/>
    <w:basedOn w:val="Normal"/>
    <w:next w:val="Normal"/>
    <w:link w:val="Heading2Char"/>
    <w:qFormat/>
    <w:rsid w:val="004D7AC0"/>
    <w:pPr>
      <w:numPr>
        <w:ilvl w:val="1"/>
        <w:numId w:val="1"/>
      </w:numPr>
      <w:outlineLvl w:val="1"/>
    </w:pPr>
  </w:style>
  <w:style w:type="paragraph" w:styleId="Heading3">
    <w:name w:val="heading 3"/>
    <w:basedOn w:val="Normal"/>
    <w:next w:val="Normal"/>
    <w:link w:val="Heading3Char"/>
    <w:qFormat/>
    <w:rsid w:val="004D7AC0"/>
    <w:pPr>
      <w:numPr>
        <w:ilvl w:val="2"/>
        <w:numId w:val="1"/>
      </w:numPr>
      <w:outlineLvl w:val="2"/>
    </w:pPr>
  </w:style>
  <w:style w:type="paragraph" w:styleId="Heading4">
    <w:name w:val="heading 4"/>
    <w:basedOn w:val="Normal"/>
    <w:next w:val="Normal"/>
    <w:link w:val="Heading4Char"/>
    <w:qFormat/>
    <w:rsid w:val="004D7AC0"/>
    <w:pPr>
      <w:numPr>
        <w:ilvl w:val="3"/>
        <w:numId w:val="1"/>
      </w:numPr>
      <w:outlineLvl w:val="3"/>
    </w:pPr>
  </w:style>
  <w:style w:type="paragraph" w:styleId="Heading5">
    <w:name w:val="heading 5"/>
    <w:basedOn w:val="Normal"/>
    <w:next w:val="Normal"/>
    <w:link w:val="Heading5Char"/>
    <w:qFormat/>
    <w:rsid w:val="004D7AC0"/>
    <w:pPr>
      <w:numPr>
        <w:ilvl w:val="4"/>
        <w:numId w:val="1"/>
      </w:numPr>
      <w:outlineLvl w:val="4"/>
    </w:pPr>
  </w:style>
  <w:style w:type="paragraph" w:styleId="Heading6">
    <w:name w:val="heading 6"/>
    <w:basedOn w:val="Normal"/>
    <w:next w:val="Normal"/>
    <w:link w:val="Heading6Char"/>
    <w:qFormat/>
    <w:rsid w:val="004D7AC0"/>
    <w:pPr>
      <w:numPr>
        <w:ilvl w:val="5"/>
        <w:numId w:val="1"/>
      </w:numPr>
      <w:outlineLvl w:val="5"/>
    </w:pPr>
  </w:style>
  <w:style w:type="paragraph" w:styleId="Heading7">
    <w:name w:val="heading 7"/>
    <w:basedOn w:val="Normal"/>
    <w:next w:val="Normal"/>
    <w:link w:val="Heading7Char"/>
    <w:qFormat/>
    <w:rsid w:val="004D7AC0"/>
    <w:pPr>
      <w:numPr>
        <w:ilvl w:val="6"/>
        <w:numId w:val="1"/>
      </w:numPr>
      <w:outlineLvl w:val="6"/>
    </w:pPr>
  </w:style>
  <w:style w:type="paragraph" w:styleId="Heading8">
    <w:name w:val="heading 8"/>
    <w:basedOn w:val="Normal"/>
    <w:next w:val="Normal"/>
    <w:link w:val="Heading8Char"/>
    <w:qFormat/>
    <w:rsid w:val="004D7AC0"/>
    <w:pPr>
      <w:numPr>
        <w:ilvl w:val="7"/>
        <w:numId w:val="1"/>
      </w:numPr>
      <w:outlineLvl w:val="7"/>
    </w:pPr>
  </w:style>
  <w:style w:type="paragraph" w:styleId="Heading9">
    <w:name w:val="heading 9"/>
    <w:basedOn w:val="Normal"/>
    <w:next w:val="Normal"/>
    <w:link w:val="Heading9Char"/>
    <w:qFormat/>
    <w:rsid w:val="004D7AC0"/>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ALTS FOOTNOTE,fn"/>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SUPERS,(NECG) Footnote Reference,fr,EN Footnote Text,EN Footnote Reference,Footnote symbol,number,Footnote Reference Superscript,stylish,BVI fnr,-E Fußnotenzeichen,Source Reference,Footnote reference number,note TESI,Times 10 Point"/>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Resume Title,Listes,Citation List,Ha,List Paragraph1,Body,List Paragraph_Table bullets,Bullet List Paragraph,1st level - Bullet List Paragraph,Lettre d'introduction,Paragrafo elenco,Medium Grid 1 - Accent 21,AFW Body,Normal bullet 2,Nad"/>
    <w:basedOn w:val="Normal"/>
    <w:link w:val="ListParagraphChar"/>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B54D49"/>
    <w:pPr>
      <w:tabs>
        <w:tab w:val="left" w:pos="440"/>
        <w:tab w:val="right" w:leader="dot" w:pos="9063"/>
      </w:tabs>
      <w:spacing w:before="240"/>
      <w:outlineLvl w:val="0"/>
    </w:p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lv-LV"/>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sume Title Char,Listes Char,Citation List Char,Ha Char,List Paragraph1 Char,Body Char,List Paragraph_Table bullets Char,Bullet List Paragraph Char,1st level - Bullet List Paragraph Char,Lettre d'introduction Char,AFW Body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https://www.eesc.europa.eu/lv/our-work/opinions-information-reports/opinions/communicating-fundamental-rights-and-rule-law" TargetMode="External"/><Relationship Id="rId39" Type="http://schemas.openxmlformats.org/officeDocument/2006/relationships/hyperlink" Target="mailto:Laura.Ernsteina@eesc.europa.eu" TargetMode="External"/><Relationship Id="rId21" Type="http://schemas.openxmlformats.org/officeDocument/2006/relationships/hyperlink" Target="mailto:Colombe.Gregoire@eesc.europa.eu" TargetMode="External"/><Relationship Id="rId34" Type="http://schemas.openxmlformats.org/officeDocument/2006/relationships/hyperlink" Target="mailto:Dalila.Bernard@eesc.europa.eu" TargetMode="External"/><Relationship Id="rId42" Type="http://schemas.openxmlformats.org/officeDocument/2006/relationships/hyperlink" Target="mailto:Maarit.Laurila@eesc.europa.eu" TargetMode="External"/><Relationship Id="rId47" Type="http://schemas.openxmlformats.org/officeDocument/2006/relationships/header" Target="header5.xml"/><Relationship Id="rId50" Type="http://schemas.openxmlformats.org/officeDocument/2006/relationships/header" Target="header6.xml"/><Relationship Id="rId55" Type="http://schemas.openxmlformats.org/officeDocument/2006/relationships/customXml" Target="../customXml/item2.xml"/><Relationship Id="rId7"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yperlink" Target="mailto:Sabrina.Borg@eesc.europa.eu" TargetMode="External"/><Relationship Id="rId11" Type="http://schemas.openxmlformats.org/officeDocument/2006/relationships/image" Target="media/image1.jpeg"/><Relationship Id="rId24" Type="http://schemas.openxmlformats.org/officeDocument/2006/relationships/hyperlink" Target="mailto:Gemma.Amran@eesc.europa.eu" TargetMode="External"/><Relationship Id="rId32" Type="http://schemas.openxmlformats.org/officeDocument/2006/relationships/hyperlink" Target="mailto:Dalila.Bernard@eesc.europa.eu" TargetMode="External"/><Relationship Id="rId37" Type="http://schemas.openxmlformats.org/officeDocument/2006/relationships/hyperlink" Target="mailto:Monica.Guarinoni@eesc.europa.eu" TargetMode="External"/><Relationship Id="rId40" Type="http://schemas.openxmlformats.org/officeDocument/2006/relationships/hyperlink" Target="mailto:Gaia.Bottoni@eesc.europa.eu" TargetMode="External"/><Relationship Id="rId45" Type="http://schemas.openxmlformats.org/officeDocument/2006/relationships/hyperlink" Target="mailto:Laia.Tomasvinardell@eesc.europa.eu"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mailto:Radoslava.Stefankova@eesc.europa.eu" TargetMode="External"/><Relationship Id="rId44" Type="http://schemas.openxmlformats.org/officeDocument/2006/relationships/hyperlink" Target="mailto:Ioannis.Diamantopoulos@eesc.europa.eu" TargetMode="External"/><Relationship Id="rId52" Type="http://schemas.openxmlformats.org/officeDocument/2006/relationships/fontTable" Target="fontTable.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Juri.Soosaar@eesc.europa.eu" TargetMode="External"/><Relationship Id="rId27" Type="http://schemas.openxmlformats.org/officeDocument/2006/relationships/hyperlink" Target="mailto:Jeanmarie.Rogue@eesc.europa.eu" TargetMode="External"/><Relationship Id="rId30" Type="http://schemas.openxmlformats.org/officeDocument/2006/relationships/hyperlink" Target="mailto:Silvia.Staffa@eesc.europa.eu" TargetMode="External"/><Relationship Id="rId35" Type="http://schemas.openxmlformats.org/officeDocument/2006/relationships/hyperlink" Target="mailto:Ulrike.Meissner@eesc.europa.eu" TargetMode="External"/><Relationship Id="rId43" Type="http://schemas.openxmlformats.org/officeDocument/2006/relationships/hyperlink" Target="mailto:Ewa.Tomaszewska@eesc.europa.eu" TargetMode="External"/><Relationship Id="rId48" Type="http://schemas.openxmlformats.org/officeDocument/2006/relationships/footer" Target="footer4.xml"/><Relationship Id="rId56" Type="http://schemas.openxmlformats.org/officeDocument/2006/relationships/customXml" Target="../customXml/item3.xml"/><Relationship Id="rId8" Type="http://schemas.openxmlformats.org/officeDocument/2006/relationships/webSettings" Target="webSettings.xml"/><Relationship Id="rId51" Type="http://schemas.openxmlformats.org/officeDocument/2006/relationships/footer" Target="footer6.xml"/><Relationship Id="rId12" Type="http://schemas.openxmlformats.org/officeDocument/2006/relationships/hyperlink" Target="https://www.eesc.europa.eu/lv/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mailto:Margherita.Logrillo@eesc.europa.eu" TargetMode="External"/><Relationship Id="rId33" Type="http://schemas.openxmlformats.org/officeDocument/2006/relationships/hyperlink" Target="mailto:Marco.Manfroni@eesc.europa.eu" TargetMode="External"/><Relationship Id="rId38" Type="http://schemas.openxmlformats.org/officeDocument/2006/relationships/hyperlink" Target="mailto:Martine.Delanoy@eesc.europa.eu" TargetMode="External"/><Relationship Id="rId46" Type="http://schemas.openxmlformats.org/officeDocument/2006/relationships/header" Target="header4.xml"/><Relationship Id="rId20" Type="http://schemas.openxmlformats.org/officeDocument/2006/relationships/hyperlink" Target="mailto:Sabrina.Borg@eesc.europa.eu" TargetMode="External"/><Relationship Id="rId41" Type="http://schemas.openxmlformats.org/officeDocument/2006/relationships/hyperlink" Target="mailto:Arturo.Iniguez@eesc.europa.eu" TargetMode="External"/><Relationship Id="rId54"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mailto:Margherita.Logrillo@eesc.europa.eu" TargetMode="External"/><Relationship Id="rId28" Type="http://schemas.openxmlformats.org/officeDocument/2006/relationships/hyperlink" Target="mailto:Jeanmarie.Rogue@eesc.europa.eu" TargetMode="External"/><Relationship Id="rId36" Type="http://schemas.openxmlformats.org/officeDocument/2006/relationships/hyperlink" Target="mailto:Gaia.Bottoni@eesc.europa.eu" TargetMode="External"/><Relationship Id="rId49" Type="http://schemas.openxmlformats.org/officeDocument/2006/relationships/footer" Target="footer5.xml"/><Relationship Id="rId57"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s://www.eesc.europa.eu/lv/our-work/opinions-information-reports/information-reports/evaluation-directive-sustainable-use-pesticides-information-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DD3FA595162D7E46B831C309E09FD749" ma:contentTypeVersion="4" ma:contentTypeDescription="Defines the documents for Document Manager V2" ma:contentTypeScope="" ma:versionID="e7b576e62d8472452529cdd9dabab678">
  <xsd:schema xmlns:xsd="http://www.w3.org/2001/XMLSchema" xmlns:xs="http://www.w3.org/2001/XMLSchema" xmlns:p="http://schemas.microsoft.com/office/2006/metadata/properties" xmlns:ns2="1299d781-265f-4ceb-999e-e1eca3df2c90" xmlns:ns3="http://schemas.microsoft.com/sharepoint/v3/fields" xmlns:ns4="281c40f8-cf82-492d-ab76-d64788f6d6e7" targetNamespace="http://schemas.microsoft.com/office/2006/metadata/properties" ma:root="true" ma:fieldsID="b294384907821532d986b3fb395bd2ba" ns2:_="" ns3:_="" ns4:_="">
    <xsd:import namespace="1299d781-265f-4ceb-999e-e1eca3df2c90"/>
    <xsd:import namespace="http://schemas.microsoft.com/sharepoint/v3/fields"/>
    <xsd:import namespace="281c40f8-cf82-492d-ab76-d64788f6d6e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9d781-265f-4ceb-999e-e1eca3df2c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7ea9cc77-7db7-4067-9972-efc9a75de26f}" ma:internalName="TaxCatchAll" ma:showField="CatchAllData"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7ea9cc77-7db7-4067-9972-efc9a75de26f}" ma:internalName="TaxCatchAllLabel" ma:readOnly="true" ma:showField="CatchAllDataLabel"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81c40f8-cf82-492d-ab76-d64788f6d6e7"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299d781-265f-4ceb-999e-e1eca3df2c90">P6FJPSUHKDC2-371278765-5973</_dlc_DocId>
    <_dlc_DocIdUrl xmlns="1299d781-265f-4ceb-999e-e1eca3df2c90">
      <Url>http://dm2016/eesc/2022/_layouts/15/DocIdRedir.aspx?ID=P6FJPSUHKDC2-371278765-5973</Url>
      <Description>P6FJPSUHKDC2-371278765-5973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299d781-265f-4ceb-999e-e1eca3df2c90"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299d781-265f-4ceb-999e-e1eca3df2c90">2023-01-16T12:00:00+00:00</ProductionDate>
    <DocumentNumber xmlns="281c40f8-cf82-492d-ab76-d64788f6d6e7">5401</DocumentNumber>
    <FicheYear xmlns="1299d781-265f-4ceb-999e-e1eca3df2c90" xsi:nil="true"/>
    <DocumentVersion xmlns="1299d781-265f-4ceb-999e-e1eca3df2c90">1</DocumentVersion>
    <DossierNumber xmlns="1299d781-265f-4ceb-999e-e1eca3df2c90"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299d781-265f-4ceb-999e-e1eca3df2c90">2023-01-24T12:00:00+00:00</MeetingDate>
    <TaxCatchAll xmlns="1299d781-265f-4ceb-999e-e1eca3df2c90">
      <Value>55</Value>
      <Value>54</Value>
      <Value>51</Value>
      <Value>46</Value>
      <Value>45</Value>
      <Value>44</Value>
      <Value>43</Value>
      <Value>42</Value>
      <Value>41</Value>
      <Value>40</Value>
      <Value>38</Value>
      <Value>37</Value>
      <Value>36</Value>
      <Value>34</Value>
      <Value>33</Value>
      <Value>32</Value>
      <Value>31</Value>
      <Value>30</Value>
      <Value>29</Value>
      <Value>26</Value>
      <Value>25</Value>
      <Value>22</Value>
      <Value>11</Value>
      <Value>9</Value>
      <Value>7</Value>
      <Value>6</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LV</TermName>
          <TermId xmlns="http://schemas.microsoft.com/office/infopath/2007/PartnerControls">46f7e311-5d9f-4663-b433-18aeccb7ace7</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299d781-265f-4ceb-999e-e1eca3df2c90" xsi:nil="true"/>
    <DocumentYear xmlns="1299d781-265f-4ceb-999e-e1eca3df2c90">2022</DocumentYear>
    <FicheNumber xmlns="1299d781-265f-4ceb-999e-e1eca3df2c90">289</FicheNumber>
    <OriginalSender xmlns="1299d781-265f-4ceb-999e-e1eca3df2c90">
      <UserInfo>
        <DisplayName>Skubina Ieva</DisplayName>
        <AccountId>2263</AccountId>
        <AccountType/>
      </UserInfo>
    </OriginalSender>
    <DocumentPart xmlns="1299d781-265f-4ceb-999e-e1eca3df2c90">0</DocumentPart>
    <AdoptionDate xmlns="1299d781-265f-4ceb-999e-e1eca3df2c90" xsi:nil="true"/>
    <RequestingService xmlns="1299d781-265f-4ceb-999e-e1eca3df2c90">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281c40f8-cf82-492d-ab76-d64788f6d6e7">575</MeetingNumber>
    <DossierName_0 xmlns="http://schemas.microsoft.com/sharepoint/v3/fields">
      <Terms xmlns="http://schemas.microsoft.com/office/infopath/2007/PartnerControls"/>
    </DossierName_0>
  </documentManagement>
</p:properties>
</file>

<file path=customXml/itemProps1.xml><?xml version="1.0" encoding="utf-8"?>
<ds:datastoreItem xmlns:ds="http://schemas.openxmlformats.org/officeDocument/2006/customXml" ds:itemID="{7D7FF33B-A6AD-4382-B6A7-2BA54E8E6301}"/>
</file>

<file path=customXml/itemProps2.xml><?xml version="1.0" encoding="utf-8"?>
<ds:datastoreItem xmlns:ds="http://schemas.openxmlformats.org/officeDocument/2006/customXml" ds:itemID="{28659356-B973-4731-935E-FF58197884DA}"/>
</file>

<file path=customXml/itemProps3.xml><?xml version="1.0" encoding="utf-8"?>
<ds:datastoreItem xmlns:ds="http://schemas.openxmlformats.org/officeDocument/2006/customXml" ds:itemID="{EB882DE3-F43E-4077-B3DF-33172B745935}"/>
</file>

<file path=customXml/itemProps4.xml><?xml version="1.0" encoding="utf-8"?>
<ds:datastoreItem xmlns:ds="http://schemas.openxmlformats.org/officeDocument/2006/customXml" ds:itemID="{892F2F59-7C1F-455F-B8B7-14B6CCE295C8}"/>
</file>

<file path=docProps/app.xml><?xml version="1.0" encoding="utf-8"?>
<Properties xmlns="http://schemas.openxmlformats.org/officeDocument/2006/extended-properties" xmlns:vt="http://schemas.openxmlformats.org/officeDocument/2006/docPropsVTypes">
  <Template>Normal.dotm</Template>
  <TotalTime>19</TotalTime>
  <Pages>29</Pages>
  <Words>8447</Words>
  <Characters>48154</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Summary of opinions adopted - 562nd plenary session February  2022</vt:lpstr>
    </vt:vector>
  </TitlesOfParts>
  <Company>CESE-CdR</Company>
  <LinksUpToDate>false</LinksUpToDate>
  <CharactersWithSpaces>56489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gada decembra plenārsesijas atzinumu kopsavilkumi </dc:title>
  <dc:subject>TCD</dc:subject>
  <dc:creator>Nieddu Emma</dc:creator>
  <cp:keywords>EESC-2022-05401-00-01-TCD-TRA-EN</cp:keywords>
  <dc:description>Rapporteur:  - Original language: EN - Date of document: 16/01/2023 - Date of meeting: 30/24/2023 14:30 - External documents:  - Administrator: Mme DAMYANOVA-KERESTELIEVA Ani Alexieva</dc:description>
  <cp:lastModifiedBy>Skubina Ieva</cp:lastModifiedBy>
  <cp:revision>12</cp:revision>
  <cp:lastPrinted>2022-12-02T08:55:00Z</cp:lastPrinted>
  <dcterms:created xsi:type="dcterms:W3CDTF">2023-01-11T09:49:00Z</dcterms:created>
  <dcterms:modified xsi:type="dcterms:W3CDTF">2023-01-16T15:42:00Z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11/01/2023, 10/01/2023, 29/03/2022, 04/03/2022, 15/12/2021, 13/09/2021, 03/09/2021, 28/06/2021</vt:lpwstr>
  </property>
  <property fmtid="{D5CDD505-2E9C-101B-9397-08002B2CF9AE}" pid="4" name="Pref_Time">
    <vt:lpwstr>10:12:15, 11:41:25, 14:21:50, 16:54:06, 17:56:36, 14:13:00, 10:08:10, 08:41:48</vt:lpwstr>
  </property>
  <property fmtid="{D5CDD505-2E9C-101B-9397-08002B2CF9AE}" pid="5" name="Pref_User">
    <vt:lpwstr>pacup, enied, jhvi, enied, hnic, amett, enied, enied</vt:lpwstr>
  </property>
  <property fmtid="{D5CDD505-2E9C-101B-9397-08002B2CF9AE}" pid="6" name="Pref_FileName">
    <vt:lpwstr>EESC-2022-05401-00-01-TCD-TRA.docx, EESC-2022-05401-00-00-TCD-ORI.docx, EESC-2022-01223-00-00-TCD-ORI.docx, EESC-2022-00391-00-00-TCD-ORI.docx, EESC-2021-05445-00-00-TCD-ORI.docx, EESC-2021-03366-00-01-TCD-ORI.docx, EESC-2021-03366-00-00-TCD-ORI.docx, Syn</vt:lpwstr>
  </property>
  <property fmtid="{D5CDD505-2E9C-101B-9397-08002B2CF9AE}" pid="7" name="ContentTypeId">
    <vt:lpwstr>0x010100EA97B91038054C99906057A708A1480A00DD3FA595162D7E46B831C309E09FD749</vt:lpwstr>
  </property>
  <property fmtid="{D5CDD505-2E9C-101B-9397-08002B2CF9AE}" pid="8" name="_dlc_DocIdItemGuid">
    <vt:lpwstr>441cabcf-7470-4e6e-9c48-ea2f46c57bde</vt:lpwstr>
  </property>
  <property fmtid="{D5CDD505-2E9C-101B-9397-08002B2CF9AE}" pid="9" name="AvailableTranslations">
    <vt:lpwstr>45;#RO|feb747a2-64cd-4299-af12-4833ddc30497;#46;#EL|6d4f4d51-af9b-4650-94b4-4276bee85c91;#32;#DA|5d49c027-8956-412b-aa16-e85a0f96ad0e;#44;#LT|a7ff5ce7-6123-4f68-865a-a57c31810414;#43;#NL|55c6556c-b4f4-441d-9acf-c498d4f838bd;#33;#IT|0774613c-01ed-4e5d-a25d-11d2388de825;#11;#FR|d2afafd3-4c81-4f60-8f52-ee33f2f54ff3;#31;#ES|e7a6b05b-ae16-40c8-add9-68b64b03aeba;#42;#SL|98a412ae-eb01-49e9-ae3d-585a81724cfc;#37;#PT|50ccc04a-eadd-42ae-a0cb-acaf45f812ba;#22;#DE|f6b31e5a-26fa-4935-b661-318e46daf27e;#34;#SK|46d9fce0-ef79-4f71-b89b-cd6aa82426b8;#41;#CS|72f9705b-0217-4fd3-bea2-cbc7ed80e26e;#38;#FI|87606a43-d45f-42d6-b8c9-e1a3457db5b7;#55;#HR|2f555653-ed1a-4fe6-8362-9082d95989e5;#29;#SV|c2ed69e7-a339-43d7-8f22-d93680a92aa0;#40;#BG|1a1b3951-7821-4e6a-85f5-5673fc08bd2c;#36;#HU|6b229040-c589-4408-b4c1-4285663d20a8;#4;#EN|f2175f21-25d7-44a3-96da-d6a61b075e1b;#26;#LV|46f7e311-5d9f-4663-b433-18aeccb7ace7;#30;#PL|1e03da61-4678-4e07-b136-b5024ca9197b;#54;#ET|ff6c3f4c-b02c-4c3c-ab07-2c37995a7a0a</vt:lpwstr>
  </property>
  <property fmtid="{D5CDD505-2E9C-101B-9397-08002B2CF9AE}" pid="10" name="DocumentType_0">
    <vt:lpwstr>TCD|cd9d6eb6-3f4f-424a-b2d1-57c9d450eaaf</vt:lpwstr>
  </property>
  <property fmtid="{D5CDD505-2E9C-101B-9397-08002B2CF9AE}" pid="11" name="MeetingNumber">
    <vt:i4>575</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5401</vt:i4>
  </property>
  <property fmtid="{D5CDD505-2E9C-101B-9397-08002B2CF9AE}" pid="15" name="DocumentVersion">
    <vt:i4>1</vt:i4>
  </property>
  <property fmtid="{D5CDD505-2E9C-101B-9397-08002B2CF9AE}" pid="16" name="DocumentStatus">
    <vt:lpwstr>7;#TRA|150d2a88-1431-44e6-a8ca-0bb753ab8672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25;#TCD|cd9d6eb6-3f4f-424a-b2d1-57c9d450eaaf</vt:lpwstr>
  </property>
  <property fmtid="{D5CDD505-2E9C-101B-9397-08002B2CF9AE}" pid="22" name="RequestingService">
    <vt:lpwstr>Greffe</vt:lpwstr>
  </property>
  <property fmtid="{D5CDD505-2E9C-101B-9397-08002B2CF9AE}" pid="23" name="Confidentiality">
    <vt:lpwstr>9;#Unrestricted|826e22d7-d029-4ec0-a450-0c28ff673572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4;#EN|f2175f21-25d7-44a3-96da-d6a61b075e1b</vt:lpwstr>
  </property>
  <property fmtid="{D5CDD505-2E9C-101B-9397-08002B2CF9AE}" pid="27" name="MeetingName">
    <vt:lpwstr>51;#SPL-CES|32d8cb1f-c9ec-4365-95c7-8385a18618ac</vt:lpwstr>
  </property>
  <property fmtid="{D5CDD505-2E9C-101B-9397-08002B2CF9AE}" pid="28" name="MeetingDate">
    <vt:filetime>2023-01-24T12:00:00Z</vt:filetime>
  </property>
  <property fmtid="{D5CDD505-2E9C-101B-9397-08002B2CF9AE}" pid="29" name="AvailableTranslations_0">
    <vt:lpwstr>EL|6d4f4d51-af9b-4650-94b4-4276bee85c91;DA|5d49c027-8956-412b-aa16-e85a0f96ad0e;NL|55c6556c-b4f4-441d-9acf-c498d4f838bd;IT|0774613c-01ed-4e5d-a25d-11d2388de825;ES|e7a6b05b-ae16-40c8-add9-68b64b03aeba;PT|50ccc04a-eadd-42ae-a0cb-acaf45f812ba;HR|2f555653-ed1a-4fe6-8362-9082d95989e5;SV|c2ed69e7-a339-43d7-8f22-d93680a92aa0;BG|1a1b3951-7821-4e6a-85f5-5673fc08bd2c;HU|6b229040-c589-4408-b4c1-4285663d20a8;EN|f2175f21-25d7-44a3-96da-d6a61b075e1b;ET|ff6c3f4c-b02c-4c3c-ab07-2c37995a7a0a</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36;#HU|6b229040-c589-4408-b4c1-4285663d20a8;#33;#IT|0774613c-01ed-4e5d-a25d-11d2388de825;#32;#DA|5d49c027-8956-412b-aa16-e85a0f96ad0e;#31;#ES|e7a6b05b-ae16-40c8-add9-68b64b03aeba;#43;#NL|55c6556c-b4f4-441d-9acf-c498d4f838bd;#29;#SV|c2ed69e7-a339-43d7-8f22-d93680a92aa0;#25;#TCD|cd9d6eb6-3f4f-424a-b2d1-57c9d450eaaf;#55;#HR|2f555653-ed1a-4fe6-8362-9082d95989e5;#54;#ET|ff6c3f4c-b02c-4c3c-ab07-2c37995a7a0a;#51;#SPL-CES|32d8cb1f-c9ec-4365-95c7-8385a18618ac;#46;#EL|6d4f4d51-af9b-4650-94b4-4276bee85c91;#9;#Unrestricted|826e22d7-d029-4ec0-a450-0c28ff673572;#7;#TRA|150d2a88-1431-44e6-a8ca-0bb753ab8672;#6;#Final|ea5e6674-7b27-4bac-b091-73adbb394efe;#4;#EN|f2175f21-25d7-44a3-96da-d6a61b075e1b;#40;#BG|1a1b3951-7821-4e6a-85f5-5673fc08bd2c;#1;#EESC|422833ec-8d7e-4e65-8e4e-8bed07ffb729;#37;#PT|50ccc04a-eadd-42ae-a0cb-acaf45f812ba</vt:lpwstr>
  </property>
  <property fmtid="{D5CDD505-2E9C-101B-9397-08002B2CF9AE}" pid="33" name="VersionStatus_0">
    <vt:lpwstr>Final|ea5e6674-7b27-4bac-b091-73adbb394efe</vt:lpwstr>
  </property>
  <property fmtid="{D5CDD505-2E9C-101B-9397-08002B2CF9AE}" pid="34" name="VersionStatus">
    <vt:lpwstr>6;#Final|ea5e6674-7b27-4bac-b091-73adbb394efe</vt:lpwstr>
  </property>
  <property fmtid="{D5CDD505-2E9C-101B-9397-08002B2CF9AE}" pid="35" name="DocumentYear">
    <vt:i4>2022</vt:i4>
  </property>
  <property fmtid="{D5CDD505-2E9C-101B-9397-08002B2CF9AE}" pid="36" name="FicheNumber">
    <vt:i4>289</vt:i4>
  </property>
  <property fmtid="{D5CDD505-2E9C-101B-9397-08002B2CF9AE}" pid="37" name="DocumentLanguage">
    <vt:lpwstr>26;#LV|46f7e311-5d9f-4663-b433-18aeccb7ace7</vt:lpwstr>
  </property>
</Properties>
</file>