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E44C" w14:textId="705ABED5" w:rsidR="004D7AC0" w:rsidRPr="004267B4" w:rsidRDefault="00267F8F" w:rsidP="00116A1C">
      <w:pPr>
        <w:jc w:val="center"/>
        <w:rPr>
          <w:lang w:val="fr-BE"/>
        </w:rPr>
      </w:pPr>
      <w:r w:rsidRPr="004267B4">
        <w:rPr>
          <w:noProof/>
          <w:lang w:val="en-US"/>
        </w:rPr>
        <w:drawing>
          <wp:inline distT="0" distB="0" distL="0" distR="0" wp14:anchorId="12212DA8" wp14:editId="0315A4AA">
            <wp:extent cx="1792605" cy="1239520"/>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Picture 2" title="EESCLogo_F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sidRPr="004267B4">
        <w:rPr>
          <w:noProof/>
          <w:sz w:val="20"/>
          <w:lang w:val="en-US"/>
        </w:rPr>
        <mc:AlternateContent>
          <mc:Choice Requires="wps">
            <w:drawing>
              <wp:anchor distT="0" distB="0" distL="114300" distR="114300" simplePos="0" relativeHeight="251662848" behindDoc="1" locked="0" layoutInCell="0" allowOverlap="1" wp14:anchorId="60050413" wp14:editId="6457F09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0ECF" w14:textId="77777777" w:rsidR="00765C4F" w:rsidRPr="00DA2729" w:rsidRDefault="00765C4F" w:rsidP="004D7AC0">
                            <w:pPr>
                              <w:jc w:val="center"/>
                              <w:rPr>
                                <w:rFonts w:ascii="Arial" w:hAnsi="Arial" w:cs="Arial"/>
                                <w:b/>
                                <w:bCs/>
                                <w:sz w:val="48"/>
                              </w:rPr>
                            </w:pPr>
                            <w:r w:rsidRPr="00DA2729">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5041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AA40ECF" w14:textId="77777777" w:rsidR="00765C4F" w:rsidRPr="00DA2729" w:rsidRDefault="00765C4F" w:rsidP="004D7AC0">
                      <w:pPr>
                        <w:jc w:val="center"/>
                        <w:rPr>
                          <w:rFonts w:ascii="Arial" w:hAnsi="Arial" w:cs="Arial"/>
                          <w:b/>
                          <w:bCs/>
                          <w:sz w:val="48"/>
                        </w:rPr>
                      </w:pPr>
                      <w:r w:rsidRPr="00DA2729">
                        <w:rPr>
                          <w:rFonts w:ascii="Arial" w:hAnsi="Arial"/>
                          <w:b/>
                          <w:sz w:val="48"/>
                        </w:rPr>
                        <w:t>FR</w:t>
                      </w:r>
                    </w:p>
                  </w:txbxContent>
                </v:textbox>
                <w10:wrap anchorx="page" anchory="page"/>
              </v:shape>
            </w:pict>
          </mc:Fallback>
        </mc:AlternateContent>
      </w:r>
    </w:p>
    <w:p w14:paraId="51F52D79" w14:textId="77777777" w:rsidR="004D7AC0" w:rsidRPr="004267B4" w:rsidRDefault="004D7AC0" w:rsidP="00116A1C">
      <w:pPr>
        <w:rPr>
          <w:lang w:val="fr-BE"/>
        </w:rPr>
      </w:pPr>
    </w:p>
    <w:p w14:paraId="45DE4A28" w14:textId="4B39FE6D" w:rsidR="004D7AC0" w:rsidRPr="004267B4" w:rsidRDefault="00014C93" w:rsidP="00116A1C">
      <w:pPr>
        <w:jc w:val="right"/>
        <w:rPr>
          <w:lang w:val="fr-BE"/>
        </w:rPr>
      </w:pPr>
      <w:r w:rsidRPr="004267B4">
        <w:rPr>
          <w:lang w:val="fr-BE"/>
        </w:rPr>
        <w:t>Bruxelles, le 17 janvier 2023</w:t>
      </w:r>
    </w:p>
    <w:p w14:paraId="0593C6DF" w14:textId="3EBA41A6" w:rsidR="004D7AC0" w:rsidRPr="004267B4" w:rsidRDefault="004D7AC0">
      <w:pPr>
        <w:rPr>
          <w:lang w:val="fr-BE"/>
        </w:rPr>
      </w:pPr>
    </w:p>
    <w:p w14:paraId="0A755B45" w14:textId="77777777" w:rsidR="004267B4" w:rsidRPr="004267B4" w:rsidRDefault="004267B4">
      <w:pPr>
        <w:rPr>
          <w:lang w:val="fr-BE"/>
        </w:rPr>
      </w:pPr>
    </w:p>
    <w:p w14:paraId="7B40B10C" w14:textId="77777777" w:rsidR="004267B4" w:rsidRPr="004267B4" w:rsidRDefault="004267B4">
      <w:pPr>
        <w:rPr>
          <w:lang w:val="fr-BE"/>
        </w:rPr>
      </w:pPr>
    </w:p>
    <w:tbl>
      <w:tblPr>
        <w:tblW w:w="0" w:type="auto"/>
        <w:tblLook w:val="04A0" w:firstRow="1" w:lastRow="0" w:firstColumn="1" w:lastColumn="0" w:noHBand="0" w:noVBand="1"/>
      </w:tblPr>
      <w:tblGrid>
        <w:gridCol w:w="9289"/>
      </w:tblGrid>
      <w:tr w:rsidR="004D7AC0" w:rsidRPr="004267B4" w14:paraId="6D7B3453" w14:textId="77777777" w:rsidTr="00662436">
        <w:tc>
          <w:tcPr>
            <w:tcW w:w="9289" w:type="dxa"/>
            <w:tcBorders>
              <w:bottom w:val="double" w:sz="4" w:space="0" w:color="auto"/>
            </w:tcBorders>
          </w:tcPr>
          <w:p w14:paraId="3B286D4E" w14:textId="77777777" w:rsidR="001760E9" w:rsidRPr="004267B4" w:rsidRDefault="00DA2D88">
            <w:pPr>
              <w:snapToGrid w:val="0"/>
              <w:jc w:val="center"/>
              <w:rPr>
                <w:b/>
                <w:sz w:val="32"/>
                <w:lang w:val="fr-BE"/>
              </w:rPr>
            </w:pPr>
            <w:r w:rsidRPr="004267B4">
              <w:rPr>
                <w:b/>
                <w:sz w:val="32"/>
                <w:lang w:val="fr-BE"/>
              </w:rPr>
              <w:t>574</w:t>
            </w:r>
            <w:r w:rsidRPr="004267B4">
              <w:rPr>
                <w:b/>
                <w:sz w:val="32"/>
                <w:vertAlign w:val="superscript"/>
                <w:lang w:val="fr-BE"/>
              </w:rPr>
              <w:t>e</w:t>
            </w:r>
            <w:r w:rsidRPr="004267B4">
              <w:rPr>
                <w:b/>
                <w:sz w:val="32"/>
                <w:lang w:val="fr-BE"/>
              </w:rPr>
              <w:t> SESSION PLÉNIÈRE</w:t>
            </w:r>
          </w:p>
          <w:p w14:paraId="6C87A626" w14:textId="0AE2882C" w:rsidR="001760E9" w:rsidRPr="004267B4" w:rsidRDefault="001760E9">
            <w:pPr>
              <w:snapToGrid w:val="0"/>
              <w:jc w:val="center"/>
              <w:rPr>
                <w:b/>
                <w:sz w:val="32"/>
                <w:lang w:val="fr-BE"/>
              </w:rPr>
            </w:pPr>
          </w:p>
          <w:p w14:paraId="6CF7229C" w14:textId="77777777" w:rsidR="001760E9" w:rsidRPr="004267B4" w:rsidRDefault="00E87122">
            <w:pPr>
              <w:snapToGrid w:val="0"/>
              <w:jc w:val="center"/>
              <w:rPr>
                <w:b/>
                <w:sz w:val="32"/>
                <w:lang w:val="fr-BE"/>
              </w:rPr>
            </w:pPr>
            <w:r w:rsidRPr="004267B4">
              <w:rPr>
                <w:b/>
                <w:sz w:val="32"/>
                <w:lang w:val="fr-BE"/>
              </w:rPr>
              <w:t>14 et 15 décembre 2022</w:t>
            </w:r>
          </w:p>
          <w:p w14:paraId="0C44BD01" w14:textId="2F8EBB07" w:rsidR="001760E9" w:rsidRPr="004267B4" w:rsidRDefault="001760E9">
            <w:pPr>
              <w:snapToGrid w:val="0"/>
              <w:jc w:val="center"/>
              <w:rPr>
                <w:b/>
                <w:sz w:val="32"/>
                <w:lang w:val="fr-BE"/>
              </w:rPr>
            </w:pPr>
          </w:p>
          <w:p w14:paraId="114106CC" w14:textId="11A9DA7B" w:rsidR="004D7AC0" w:rsidRPr="004267B4" w:rsidRDefault="00CF2F88">
            <w:pPr>
              <w:snapToGrid w:val="0"/>
              <w:jc w:val="center"/>
              <w:rPr>
                <w:rFonts w:eastAsia="MS Mincho"/>
                <w:b/>
                <w:sz w:val="32"/>
                <w:szCs w:val="32"/>
                <w:lang w:val="fr-BE"/>
              </w:rPr>
            </w:pPr>
            <w:r w:rsidRPr="004267B4">
              <w:rPr>
                <w:b/>
                <w:sz w:val="32"/>
                <w:lang w:val="fr-BE"/>
              </w:rPr>
              <w:t>SYNTHÈSE DES AVIS, RÉSOLUTIONS ET RAPPORTS D’INFORMATION/D’ÉVALUATION ADOPTÉS</w:t>
            </w:r>
          </w:p>
          <w:p w14:paraId="06AE72EA" w14:textId="77777777" w:rsidR="004D7AC0" w:rsidRPr="004267B4" w:rsidRDefault="004D7AC0">
            <w:pPr>
              <w:snapToGrid w:val="0"/>
              <w:rPr>
                <w:lang w:val="fr-BE"/>
              </w:rPr>
            </w:pPr>
          </w:p>
        </w:tc>
      </w:tr>
      <w:tr w:rsidR="004D7AC0" w:rsidRPr="004267B4" w14:paraId="45EAB22F" w14:textId="77777777" w:rsidTr="00662436">
        <w:tc>
          <w:tcPr>
            <w:tcW w:w="9289" w:type="dxa"/>
            <w:tcBorders>
              <w:top w:val="double" w:sz="4" w:space="0" w:color="auto"/>
              <w:left w:val="double" w:sz="4" w:space="0" w:color="auto"/>
              <w:bottom w:val="double" w:sz="4" w:space="0" w:color="auto"/>
              <w:right w:val="double" w:sz="4" w:space="0" w:color="auto"/>
            </w:tcBorders>
          </w:tcPr>
          <w:p w14:paraId="2A9352A2" w14:textId="77777777" w:rsidR="004D7AC0" w:rsidRPr="004267B4" w:rsidRDefault="004D7AC0">
            <w:pPr>
              <w:snapToGrid w:val="0"/>
              <w:jc w:val="center"/>
              <w:rPr>
                <w:lang w:val="fr-BE"/>
              </w:rPr>
            </w:pPr>
            <w:r w:rsidRPr="004267B4">
              <w:rPr>
                <w:lang w:val="fr-BE"/>
              </w:rPr>
              <w:t>Ce document est disponible dans toutes les langues officielles de l’Union européenne:</w:t>
            </w:r>
            <w:r w:rsidRPr="004267B4">
              <w:rPr>
                <w:lang w:val="fr-BE"/>
              </w:rPr>
              <w:br/>
              <w:t>sur le site internet du CESE à l’adresse suivante:</w:t>
            </w:r>
            <w:r w:rsidRPr="004267B4">
              <w:rPr>
                <w:lang w:val="fr-BE"/>
              </w:rPr>
              <w:br/>
            </w:r>
            <w:r w:rsidRPr="004267B4">
              <w:rPr>
                <w:lang w:val="fr-BE"/>
              </w:rPr>
              <w:br/>
            </w:r>
            <w:hyperlink r:id="rId12" w:history="1">
              <w:r w:rsidRPr="004267B4">
                <w:rPr>
                  <w:rStyle w:val="Hyperlink"/>
                  <w:highlight w:val="yellow"/>
                  <w:lang w:val="fr-BE"/>
                </w:rPr>
                <w:t>https://www.eesc.europa.eu/fr/our-work/opinions-information-reports/plenary-session-summaries</w:t>
              </w:r>
            </w:hyperlink>
          </w:p>
          <w:p w14:paraId="70D5DBB4" w14:textId="77777777" w:rsidR="004D7AC0" w:rsidRPr="004267B4" w:rsidRDefault="004D7AC0">
            <w:pPr>
              <w:snapToGrid w:val="0"/>
              <w:jc w:val="center"/>
              <w:rPr>
                <w:lang w:val="fr-BE"/>
              </w:rPr>
            </w:pPr>
          </w:p>
          <w:p w14:paraId="575A73D6" w14:textId="77777777" w:rsidR="004D7AC0" w:rsidRPr="004267B4" w:rsidRDefault="004D7AC0">
            <w:pPr>
              <w:snapToGrid w:val="0"/>
              <w:jc w:val="center"/>
              <w:rPr>
                <w:rFonts w:eastAsia="SimSun"/>
                <w:lang w:val="fr-BE"/>
              </w:rPr>
            </w:pPr>
          </w:p>
          <w:p w14:paraId="441AC4DD" w14:textId="77777777" w:rsidR="004D7AC0" w:rsidRPr="004267B4" w:rsidRDefault="004D7AC0">
            <w:pPr>
              <w:snapToGrid w:val="0"/>
              <w:jc w:val="center"/>
              <w:rPr>
                <w:lang w:val="fr-BE"/>
              </w:rPr>
            </w:pPr>
            <w:r w:rsidRPr="004267B4">
              <w:rPr>
                <w:lang w:val="fr-BE"/>
              </w:rPr>
              <w:t>Les avis mentionnés peuvent être consultés en ligne au moyen du moteur de recherche du CESE:</w:t>
            </w:r>
            <w:r w:rsidRPr="004267B4">
              <w:rPr>
                <w:lang w:val="fr-BE"/>
              </w:rPr>
              <w:br/>
            </w:r>
            <w:r w:rsidRPr="004267B4">
              <w:rPr>
                <w:lang w:val="fr-BE"/>
              </w:rPr>
              <w:br/>
            </w:r>
            <w:hyperlink r:id="rId13" w:history="1">
              <w:r w:rsidRPr="004267B4">
                <w:rPr>
                  <w:rStyle w:val="Hyperlink"/>
                  <w:lang w:val="fr-BE"/>
                </w:rPr>
                <w:t>https://dmsearch.eesc.europa.eu/search/opinion</w:t>
              </w:r>
            </w:hyperlink>
          </w:p>
          <w:p w14:paraId="51FF303F" w14:textId="77777777" w:rsidR="004D7AC0" w:rsidRPr="004267B4" w:rsidRDefault="004D7AC0">
            <w:pPr>
              <w:snapToGrid w:val="0"/>
              <w:jc w:val="center"/>
              <w:rPr>
                <w:lang w:val="fr-BE"/>
              </w:rPr>
            </w:pPr>
          </w:p>
        </w:tc>
      </w:tr>
    </w:tbl>
    <w:p w14:paraId="57C291FC" w14:textId="77777777" w:rsidR="004D7AC0" w:rsidRPr="004267B4" w:rsidRDefault="004D7AC0">
      <w:pPr>
        <w:rPr>
          <w:lang w:val="fr-BE"/>
        </w:rPr>
      </w:pPr>
    </w:p>
    <w:p w14:paraId="5E675360" w14:textId="77777777" w:rsidR="004D7AC0" w:rsidRPr="004267B4" w:rsidRDefault="004D7AC0">
      <w:pPr>
        <w:rPr>
          <w:lang w:val="fr-BE"/>
        </w:rPr>
      </w:pPr>
    </w:p>
    <w:p w14:paraId="3CF67A1E" w14:textId="77777777" w:rsidR="007B7C40" w:rsidRPr="004267B4" w:rsidRDefault="007B7C40">
      <w:pPr>
        <w:rPr>
          <w:lang w:val="fr-BE"/>
        </w:rPr>
        <w:sectPr w:rsidR="007B7C40" w:rsidRPr="004267B4" w:rsidSect="0040654F">
          <w:footerReference w:type="default" r:id="rId14"/>
          <w:pgSz w:w="11907" w:h="16839"/>
          <w:pgMar w:top="1417" w:right="1417" w:bottom="1417" w:left="1417" w:header="709" w:footer="709" w:gutter="0"/>
          <w:pgNumType w:start="1"/>
          <w:cols w:space="708"/>
          <w:docGrid w:linePitch="360"/>
        </w:sectPr>
      </w:pPr>
    </w:p>
    <w:p w14:paraId="56B7AE7C" w14:textId="77777777" w:rsidR="004D7AC0" w:rsidRPr="004267B4" w:rsidRDefault="004D7AC0">
      <w:pPr>
        <w:rPr>
          <w:b/>
          <w:lang w:val="fr-BE"/>
        </w:rPr>
      </w:pPr>
    </w:p>
    <w:sdt>
      <w:sdtPr>
        <w:rPr>
          <w:rFonts w:ascii="Times New Roman" w:eastAsia="Times New Roman" w:hAnsi="Times New Roman" w:cs="Times New Roman"/>
          <w:color w:val="auto"/>
          <w:sz w:val="22"/>
          <w:szCs w:val="22"/>
          <w:lang w:val="fr-BE"/>
        </w:rPr>
        <w:id w:val="-1759744941"/>
        <w:docPartObj>
          <w:docPartGallery w:val="Table of Contents"/>
          <w:docPartUnique/>
        </w:docPartObj>
      </w:sdtPr>
      <w:sdtEndPr>
        <w:rPr>
          <w:b/>
          <w:bCs/>
        </w:rPr>
      </w:sdtEndPr>
      <w:sdtContent>
        <w:p w14:paraId="5FAD9FDD" w14:textId="77777777" w:rsidR="001E6413" w:rsidRPr="004267B4" w:rsidRDefault="001E6413" w:rsidP="00DA2729">
          <w:pPr>
            <w:pStyle w:val="TOCHeading"/>
            <w:spacing w:before="0"/>
            <w:rPr>
              <w:lang w:val="fr-BE"/>
            </w:rPr>
          </w:pPr>
          <w:r w:rsidRPr="004267B4">
            <w:rPr>
              <w:lang w:val="fr-BE"/>
            </w:rPr>
            <w:t>Table des matières</w:t>
          </w:r>
        </w:p>
        <w:p w14:paraId="0E4C9689" w14:textId="20CCCE92" w:rsidR="004C6A59" w:rsidRDefault="001E6413" w:rsidP="004C6A59">
          <w:pPr>
            <w:pStyle w:val="TOC1"/>
            <w:rPr>
              <w:rFonts w:asciiTheme="minorHAnsi" w:eastAsiaTheme="minorEastAsia" w:hAnsiTheme="minorHAnsi" w:cstheme="minorBidi"/>
              <w:noProof/>
              <w:lang w:val="en-US"/>
            </w:rPr>
          </w:pPr>
          <w:r w:rsidRPr="004267B4">
            <w:rPr>
              <w:lang w:val="fr-BE"/>
            </w:rPr>
            <w:fldChar w:fldCharType="begin"/>
          </w:r>
          <w:r w:rsidRPr="004267B4">
            <w:rPr>
              <w:lang w:val="fr-BE"/>
            </w:rPr>
            <w:instrText xml:space="preserve"> TOC \o "1-3" \h \z \u </w:instrText>
          </w:r>
          <w:r w:rsidRPr="004267B4">
            <w:rPr>
              <w:lang w:val="fr-BE"/>
            </w:rPr>
            <w:fldChar w:fldCharType="separate"/>
          </w:r>
          <w:hyperlink w:anchor="_Toc124863681" w:history="1">
            <w:r w:rsidR="004C6A59" w:rsidRPr="002D2CE4">
              <w:rPr>
                <w:rStyle w:val="Hyperlink"/>
                <w:b/>
                <w:noProof/>
                <w:lang w:val="fr-BE"/>
              </w:rPr>
              <w:t>1.</w:t>
            </w:r>
            <w:r w:rsidR="004C6A59">
              <w:rPr>
                <w:rFonts w:asciiTheme="minorHAnsi" w:eastAsiaTheme="minorEastAsia" w:hAnsiTheme="minorHAnsi" w:cstheme="minorBidi"/>
                <w:noProof/>
                <w:lang w:val="en-US"/>
              </w:rPr>
              <w:tab/>
            </w:r>
            <w:r w:rsidR="004C6A59" w:rsidRPr="002D2CE4">
              <w:rPr>
                <w:rStyle w:val="Hyperlink"/>
                <w:b/>
                <w:noProof/>
                <w:lang w:val="fr-BE"/>
              </w:rPr>
              <w:t>RÉSOLUTION</w:t>
            </w:r>
            <w:r w:rsidR="004C6A59">
              <w:rPr>
                <w:noProof/>
                <w:webHidden/>
              </w:rPr>
              <w:tab/>
            </w:r>
            <w:r w:rsidR="004C6A59">
              <w:rPr>
                <w:noProof/>
                <w:webHidden/>
              </w:rPr>
              <w:fldChar w:fldCharType="begin"/>
            </w:r>
            <w:r w:rsidR="004C6A59">
              <w:rPr>
                <w:noProof/>
                <w:webHidden/>
              </w:rPr>
              <w:instrText xml:space="preserve"> PAGEREF _Toc124863681 \h </w:instrText>
            </w:r>
            <w:r w:rsidR="004C6A59">
              <w:rPr>
                <w:noProof/>
                <w:webHidden/>
              </w:rPr>
            </w:r>
            <w:r w:rsidR="004C6A59">
              <w:rPr>
                <w:noProof/>
                <w:webHidden/>
              </w:rPr>
              <w:fldChar w:fldCharType="separate"/>
            </w:r>
            <w:r w:rsidR="004466E9">
              <w:rPr>
                <w:noProof/>
                <w:webHidden/>
              </w:rPr>
              <w:t>3</w:t>
            </w:r>
            <w:r w:rsidR="004C6A59">
              <w:rPr>
                <w:noProof/>
                <w:webHidden/>
              </w:rPr>
              <w:fldChar w:fldCharType="end"/>
            </w:r>
          </w:hyperlink>
        </w:p>
        <w:p w14:paraId="2B37AF6E" w14:textId="33659A57" w:rsidR="004C6A59" w:rsidRDefault="004466E9" w:rsidP="004C6A59">
          <w:pPr>
            <w:pStyle w:val="TOC1"/>
            <w:rPr>
              <w:rFonts w:asciiTheme="minorHAnsi" w:eastAsiaTheme="minorEastAsia" w:hAnsiTheme="minorHAnsi" w:cstheme="minorBidi"/>
              <w:noProof/>
              <w:lang w:val="en-US"/>
            </w:rPr>
          </w:pPr>
          <w:hyperlink w:anchor="_Toc124863682" w:history="1">
            <w:r w:rsidR="004C6A59" w:rsidRPr="002D2CE4">
              <w:rPr>
                <w:rStyle w:val="Hyperlink"/>
                <w:b/>
                <w:noProof/>
                <w:lang w:val="fr-BE"/>
              </w:rPr>
              <w:t>2.</w:t>
            </w:r>
            <w:r w:rsidR="004C6A59">
              <w:rPr>
                <w:rFonts w:asciiTheme="minorHAnsi" w:eastAsiaTheme="minorEastAsia" w:hAnsiTheme="minorHAnsi" w:cstheme="minorBidi"/>
                <w:noProof/>
                <w:lang w:val="en-US"/>
              </w:rPr>
              <w:tab/>
            </w:r>
            <w:r w:rsidR="004C6A59" w:rsidRPr="002D2CE4">
              <w:rPr>
                <w:rStyle w:val="Hyperlink"/>
                <w:b/>
                <w:noProof/>
                <w:lang w:val="fr-BE"/>
              </w:rPr>
              <w:t xml:space="preserve">UNION ÉCONOMIQUE ET MONÉTAIRE ET COHÉSION ÉCONOMIQUE </w:t>
            </w:r>
            <w:r w:rsidR="004C6A59">
              <w:rPr>
                <w:rStyle w:val="Hyperlink"/>
                <w:b/>
                <w:noProof/>
                <w:lang w:val="fr-BE"/>
              </w:rPr>
              <w:br/>
            </w:r>
            <w:r w:rsidR="004C6A59" w:rsidRPr="002D2CE4">
              <w:rPr>
                <w:rStyle w:val="Hyperlink"/>
                <w:b/>
                <w:noProof/>
                <w:lang w:val="fr-BE"/>
              </w:rPr>
              <w:t>ET SOCIALE</w:t>
            </w:r>
            <w:r w:rsidR="004C6A59">
              <w:rPr>
                <w:noProof/>
                <w:webHidden/>
              </w:rPr>
              <w:tab/>
            </w:r>
            <w:r w:rsidR="004C6A59">
              <w:rPr>
                <w:noProof/>
                <w:webHidden/>
              </w:rPr>
              <w:fldChar w:fldCharType="begin"/>
            </w:r>
            <w:r w:rsidR="004C6A59">
              <w:rPr>
                <w:noProof/>
                <w:webHidden/>
              </w:rPr>
              <w:instrText xml:space="preserve"> PAGEREF _Toc124863682 \h </w:instrText>
            </w:r>
            <w:r w:rsidR="004C6A59">
              <w:rPr>
                <w:noProof/>
                <w:webHidden/>
              </w:rPr>
            </w:r>
            <w:r w:rsidR="004C6A59">
              <w:rPr>
                <w:noProof/>
                <w:webHidden/>
              </w:rPr>
              <w:fldChar w:fldCharType="separate"/>
            </w:r>
            <w:r>
              <w:rPr>
                <w:noProof/>
                <w:webHidden/>
              </w:rPr>
              <w:t>4</w:t>
            </w:r>
            <w:r w:rsidR="004C6A59">
              <w:rPr>
                <w:noProof/>
                <w:webHidden/>
              </w:rPr>
              <w:fldChar w:fldCharType="end"/>
            </w:r>
          </w:hyperlink>
        </w:p>
        <w:p w14:paraId="1330A6D2" w14:textId="1CCD5ED6" w:rsidR="004C6A59" w:rsidRDefault="004466E9" w:rsidP="004C6A59">
          <w:pPr>
            <w:pStyle w:val="TOC1"/>
            <w:rPr>
              <w:rFonts w:asciiTheme="minorHAnsi" w:eastAsiaTheme="minorEastAsia" w:hAnsiTheme="minorHAnsi" w:cstheme="minorBidi"/>
              <w:noProof/>
              <w:lang w:val="en-US"/>
            </w:rPr>
          </w:pPr>
          <w:hyperlink w:anchor="_Toc124863693" w:history="1">
            <w:r w:rsidR="004C6A59" w:rsidRPr="002D2CE4">
              <w:rPr>
                <w:rStyle w:val="Hyperlink"/>
                <w:b/>
                <w:noProof/>
                <w:lang w:val="fr-BE"/>
              </w:rPr>
              <w:t>3.</w:t>
            </w:r>
            <w:r w:rsidR="004C6A59">
              <w:rPr>
                <w:rFonts w:asciiTheme="minorHAnsi" w:eastAsiaTheme="minorEastAsia" w:hAnsiTheme="minorHAnsi" w:cstheme="minorBidi"/>
                <w:noProof/>
                <w:lang w:val="en-US"/>
              </w:rPr>
              <w:tab/>
            </w:r>
            <w:r w:rsidR="004C6A59" w:rsidRPr="002D2CE4">
              <w:rPr>
                <w:rStyle w:val="Hyperlink"/>
                <w:b/>
                <w:noProof/>
                <w:lang w:val="fr-BE"/>
              </w:rPr>
              <w:t>EMPLOI, AFFAIRES SOCIALES ET CITOYENNETÉ</w:t>
            </w:r>
            <w:r w:rsidR="004C6A59">
              <w:rPr>
                <w:noProof/>
                <w:webHidden/>
              </w:rPr>
              <w:tab/>
            </w:r>
            <w:r w:rsidR="004C6A59">
              <w:rPr>
                <w:noProof/>
                <w:webHidden/>
              </w:rPr>
              <w:fldChar w:fldCharType="begin"/>
            </w:r>
            <w:r w:rsidR="004C6A59">
              <w:rPr>
                <w:noProof/>
                <w:webHidden/>
              </w:rPr>
              <w:instrText xml:space="preserve"> PAGEREF _Toc124863693 \h </w:instrText>
            </w:r>
            <w:r w:rsidR="004C6A59">
              <w:rPr>
                <w:noProof/>
                <w:webHidden/>
              </w:rPr>
            </w:r>
            <w:r w:rsidR="004C6A59">
              <w:rPr>
                <w:noProof/>
                <w:webHidden/>
              </w:rPr>
              <w:fldChar w:fldCharType="separate"/>
            </w:r>
            <w:r>
              <w:rPr>
                <w:noProof/>
                <w:webHidden/>
              </w:rPr>
              <w:t>7</w:t>
            </w:r>
            <w:r w:rsidR="004C6A59">
              <w:rPr>
                <w:noProof/>
                <w:webHidden/>
              </w:rPr>
              <w:fldChar w:fldCharType="end"/>
            </w:r>
          </w:hyperlink>
        </w:p>
        <w:p w14:paraId="75AF593B" w14:textId="7EE29613" w:rsidR="004C6A59" w:rsidRDefault="004466E9" w:rsidP="004C6A59">
          <w:pPr>
            <w:pStyle w:val="TOC1"/>
            <w:rPr>
              <w:rFonts w:asciiTheme="minorHAnsi" w:eastAsiaTheme="minorEastAsia" w:hAnsiTheme="minorHAnsi" w:cstheme="minorBidi"/>
              <w:noProof/>
              <w:lang w:val="en-US"/>
            </w:rPr>
          </w:pPr>
          <w:hyperlink w:anchor="_Toc124863707" w:history="1">
            <w:r w:rsidR="004C6A59" w:rsidRPr="002D2CE4">
              <w:rPr>
                <w:rStyle w:val="Hyperlink"/>
                <w:b/>
                <w:noProof/>
                <w:lang w:val="fr-BE"/>
              </w:rPr>
              <w:t>4.</w:t>
            </w:r>
            <w:r w:rsidR="004C6A59">
              <w:rPr>
                <w:rFonts w:asciiTheme="minorHAnsi" w:eastAsiaTheme="minorEastAsia" w:hAnsiTheme="minorHAnsi" w:cstheme="minorBidi"/>
                <w:noProof/>
                <w:lang w:val="en-US"/>
              </w:rPr>
              <w:tab/>
            </w:r>
            <w:r w:rsidR="004C6A59" w:rsidRPr="002D2CE4">
              <w:rPr>
                <w:rStyle w:val="Hyperlink"/>
                <w:b/>
                <w:noProof/>
                <w:lang w:val="fr-BE"/>
              </w:rPr>
              <w:t>MARCHÉ UNIQUE, PRODUCTION ET CONSOMMATION</w:t>
            </w:r>
            <w:r w:rsidR="004C6A59">
              <w:rPr>
                <w:noProof/>
                <w:webHidden/>
              </w:rPr>
              <w:tab/>
            </w:r>
            <w:r w:rsidR="004C6A59">
              <w:rPr>
                <w:noProof/>
                <w:webHidden/>
              </w:rPr>
              <w:fldChar w:fldCharType="begin"/>
            </w:r>
            <w:r w:rsidR="004C6A59">
              <w:rPr>
                <w:noProof/>
                <w:webHidden/>
              </w:rPr>
              <w:instrText xml:space="preserve"> PAGEREF _Toc124863707 \h </w:instrText>
            </w:r>
            <w:r w:rsidR="004C6A59">
              <w:rPr>
                <w:noProof/>
                <w:webHidden/>
              </w:rPr>
            </w:r>
            <w:r w:rsidR="004C6A59">
              <w:rPr>
                <w:noProof/>
                <w:webHidden/>
              </w:rPr>
              <w:fldChar w:fldCharType="separate"/>
            </w:r>
            <w:r>
              <w:rPr>
                <w:noProof/>
                <w:webHidden/>
              </w:rPr>
              <w:t>15</w:t>
            </w:r>
            <w:r w:rsidR="004C6A59">
              <w:rPr>
                <w:noProof/>
                <w:webHidden/>
              </w:rPr>
              <w:fldChar w:fldCharType="end"/>
            </w:r>
          </w:hyperlink>
        </w:p>
        <w:p w14:paraId="71690615" w14:textId="37745A32" w:rsidR="004C6A59" w:rsidRDefault="004466E9" w:rsidP="004C6A59">
          <w:pPr>
            <w:pStyle w:val="TOC1"/>
            <w:rPr>
              <w:rFonts w:asciiTheme="minorHAnsi" w:eastAsiaTheme="minorEastAsia" w:hAnsiTheme="minorHAnsi" w:cstheme="minorBidi"/>
              <w:noProof/>
              <w:lang w:val="en-US"/>
            </w:rPr>
          </w:pPr>
          <w:hyperlink w:anchor="_Toc124863709" w:history="1">
            <w:r w:rsidR="004C6A59" w:rsidRPr="002D2CE4">
              <w:rPr>
                <w:rStyle w:val="Hyperlink"/>
                <w:b/>
                <w:noProof/>
                <w:lang w:val="fr-BE"/>
              </w:rPr>
              <w:t>5.</w:t>
            </w:r>
            <w:r w:rsidR="004C6A59">
              <w:rPr>
                <w:rFonts w:asciiTheme="minorHAnsi" w:eastAsiaTheme="minorEastAsia" w:hAnsiTheme="minorHAnsi" w:cstheme="minorBidi"/>
                <w:noProof/>
                <w:lang w:val="en-US"/>
              </w:rPr>
              <w:tab/>
            </w:r>
            <w:r w:rsidR="004C6A59" w:rsidRPr="002D2CE4">
              <w:rPr>
                <w:rStyle w:val="Hyperlink"/>
                <w:b/>
                <w:noProof/>
                <w:lang w:val="fr-BE"/>
              </w:rPr>
              <w:t>AGRICULTURE, DÉVELOPPEMENT RURAL ET ENVIRONNEMENT</w:t>
            </w:r>
            <w:r w:rsidR="004C6A59">
              <w:rPr>
                <w:noProof/>
                <w:webHidden/>
              </w:rPr>
              <w:tab/>
            </w:r>
            <w:r w:rsidR="004C6A59">
              <w:rPr>
                <w:noProof/>
                <w:webHidden/>
              </w:rPr>
              <w:fldChar w:fldCharType="begin"/>
            </w:r>
            <w:r w:rsidR="004C6A59">
              <w:rPr>
                <w:noProof/>
                <w:webHidden/>
              </w:rPr>
              <w:instrText xml:space="preserve"> PAGEREF _Toc124863709 \h </w:instrText>
            </w:r>
            <w:r w:rsidR="004C6A59">
              <w:rPr>
                <w:noProof/>
                <w:webHidden/>
              </w:rPr>
            </w:r>
            <w:r w:rsidR="004C6A59">
              <w:rPr>
                <w:noProof/>
                <w:webHidden/>
              </w:rPr>
              <w:fldChar w:fldCharType="separate"/>
            </w:r>
            <w:r>
              <w:rPr>
                <w:noProof/>
                <w:webHidden/>
              </w:rPr>
              <w:t>21</w:t>
            </w:r>
            <w:r w:rsidR="004C6A59">
              <w:rPr>
                <w:noProof/>
                <w:webHidden/>
              </w:rPr>
              <w:fldChar w:fldCharType="end"/>
            </w:r>
          </w:hyperlink>
        </w:p>
        <w:p w14:paraId="7B968A54" w14:textId="0589683E" w:rsidR="004C6A59" w:rsidRDefault="004466E9" w:rsidP="004C6A59">
          <w:pPr>
            <w:pStyle w:val="TOC1"/>
            <w:rPr>
              <w:rFonts w:asciiTheme="minorHAnsi" w:eastAsiaTheme="minorEastAsia" w:hAnsiTheme="minorHAnsi" w:cstheme="minorBidi"/>
              <w:noProof/>
              <w:lang w:val="en-US"/>
            </w:rPr>
          </w:pPr>
          <w:hyperlink w:anchor="_Toc124863729" w:history="1">
            <w:r w:rsidR="004C6A59" w:rsidRPr="002D2CE4">
              <w:rPr>
                <w:rStyle w:val="Hyperlink"/>
                <w:b/>
                <w:noProof/>
                <w:lang w:val="fr-BE"/>
              </w:rPr>
              <w:t>6.</w:t>
            </w:r>
            <w:r w:rsidR="004C6A59">
              <w:rPr>
                <w:rFonts w:asciiTheme="minorHAnsi" w:eastAsiaTheme="minorEastAsia" w:hAnsiTheme="minorHAnsi" w:cstheme="minorBidi"/>
                <w:noProof/>
                <w:lang w:val="en-US"/>
              </w:rPr>
              <w:tab/>
            </w:r>
            <w:r w:rsidR="004C6A59" w:rsidRPr="002D2CE4">
              <w:rPr>
                <w:rStyle w:val="Hyperlink"/>
                <w:b/>
                <w:noProof/>
                <w:lang w:val="fr-BE"/>
              </w:rPr>
              <w:t>RELATIONS EXTÉRIEURES</w:t>
            </w:r>
            <w:r w:rsidR="004C6A59">
              <w:rPr>
                <w:noProof/>
                <w:webHidden/>
              </w:rPr>
              <w:tab/>
            </w:r>
            <w:r w:rsidR="004C6A59">
              <w:rPr>
                <w:noProof/>
                <w:webHidden/>
              </w:rPr>
              <w:fldChar w:fldCharType="begin"/>
            </w:r>
            <w:r w:rsidR="004C6A59">
              <w:rPr>
                <w:noProof/>
                <w:webHidden/>
              </w:rPr>
              <w:instrText xml:space="preserve"> PAGEREF _Toc124863729 \h </w:instrText>
            </w:r>
            <w:r w:rsidR="004C6A59">
              <w:rPr>
                <w:noProof/>
                <w:webHidden/>
              </w:rPr>
            </w:r>
            <w:r w:rsidR="004C6A59">
              <w:rPr>
                <w:noProof/>
                <w:webHidden/>
              </w:rPr>
              <w:fldChar w:fldCharType="separate"/>
            </w:r>
            <w:r>
              <w:rPr>
                <w:noProof/>
                <w:webHidden/>
              </w:rPr>
              <w:t>29</w:t>
            </w:r>
            <w:r w:rsidR="004C6A59">
              <w:rPr>
                <w:noProof/>
                <w:webHidden/>
              </w:rPr>
              <w:fldChar w:fldCharType="end"/>
            </w:r>
          </w:hyperlink>
        </w:p>
        <w:p w14:paraId="5945B040" w14:textId="466257CC" w:rsidR="004C6A59" w:rsidRDefault="004466E9" w:rsidP="004C6A59">
          <w:pPr>
            <w:pStyle w:val="TOC1"/>
            <w:rPr>
              <w:rFonts w:asciiTheme="minorHAnsi" w:eastAsiaTheme="minorEastAsia" w:hAnsiTheme="minorHAnsi" w:cstheme="minorBidi"/>
              <w:noProof/>
              <w:lang w:val="en-US"/>
            </w:rPr>
          </w:pPr>
          <w:hyperlink w:anchor="_Toc124863730" w:history="1">
            <w:r w:rsidR="004C6A59" w:rsidRPr="002D2CE4">
              <w:rPr>
                <w:rStyle w:val="Hyperlink"/>
                <w:b/>
                <w:noProof/>
                <w:lang w:val="fr-BE"/>
              </w:rPr>
              <w:t>7.</w:t>
            </w:r>
            <w:r w:rsidR="004C6A59">
              <w:rPr>
                <w:rFonts w:asciiTheme="minorHAnsi" w:eastAsiaTheme="minorEastAsia" w:hAnsiTheme="minorHAnsi" w:cstheme="minorBidi"/>
                <w:noProof/>
                <w:lang w:val="en-US"/>
              </w:rPr>
              <w:tab/>
            </w:r>
            <w:r w:rsidR="004C6A59" w:rsidRPr="002D2CE4">
              <w:rPr>
                <w:rStyle w:val="Hyperlink"/>
                <w:b/>
                <w:noProof/>
                <w:lang w:val="fr-BE"/>
              </w:rPr>
              <w:t>COMMISSION CONSULTATIVE DES</w:t>
            </w:r>
            <w:r w:rsidR="004C6A59" w:rsidRPr="002D2CE4">
              <w:rPr>
                <w:rStyle w:val="Hyperlink"/>
                <w:b/>
                <w:noProof/>
                <w:lang w:val="fr-BE"/>
              </w:rPr>
              <w:t xml:space="preserve"> </w:t>
            </w:r>
            <w:r w:rsidR="004C6A59" w:rsidRPr="002D2CE4">
              <w:rPr>
                <w:rStyle w:val="Hyperlink"/>
                <w:b/>
                <w:noProof/>
                <w:lang w:val="fr-BE"/>
              </w:rPr>
              <w:t>MUTATIONS INDUSTRIELLES</w:t>
            </w:r>
            <w:r w:rsidR="004C6A59">
              <w:rPr>
                <w:noProof/>
                <w:webHidden/>
              </w:rPr>
              <w:tab/>
            </w:r>
            <w:r w:rsidR="004C6A59">
              <w:rPr>
                <w:noProof/>
                <w:webHidden/>
              </w:rPr>
              <w:fldChar w:fldCharType="begin"/>
            </w:r>
            <w:r w:rsidR="004C6A59">
              <w:rPr>
                <w:noProof/>
                <w:webHidden/>
              </w:rPr>
              <w:instrText xml:space="preserve"> PAGEREF _Toc124863730 \h </w:instrText>
            </w:r>
            <w:r w:rsidR="004C6A59">
              <w:rPr>
                <w:noProof/>
                <w:webHidden/>
              </w:rPr>
            </w:r>
            <w:r w:rsidR="004C6A59">
              <w:rPr>
                <w:noProof/>
                <w:webHidden/>
              </w:rPr>
              <w:fldChar w:fldCharType="separate"/>
            </w:r>
            <w:r>
              <w:rPr>
                <w:noProof/>
                <w:webHidden/>
              </w:rPr>
              <w:t>32</w:t>
            </w:r>
            <w:r w:rsidR="004C6A59">
              <w:rPr>
                <w:noProof/>
                <w:webHidden/>
              </w:rPr>
              <w:fldChar w:fldCharType="end"/>
            </w:r>
          </w:hyperlink>
        </w:p>
        <w:p w14:paraId="684BFB9B" w14:textId="61876B47" w:rsidR="001E6413" w:rsidRPr="004267B4" w:rsidRDefault="001E6413">
          <w:pPr>
            <w:rPr>
              <w:lang w:val="fr-BE"/>
            </w:rPr>
          </w:pPr>
          <w:r w:rsidRPr="004267B4">
            <w:rPr>
              <w:b/>
              <w:lang w:val="fr-BE"/>
            </w:rPr>
            <w:fldChar w:fldCharType="end"/>
          </w:r>
        </w:p>
      </w:sdtContent>
    </w:sdt>
    <w:p w14:paraId="4600634B" w14:textId="77777777" w:rsidR="004D7AC0" w:rsidRPr="004267B4" w:rsidRDefault="004D7AC0">
      <w:pPr>
        <w:rPr>
          <w:lang w:val="fr-BE"/>
        </w:rPr>
      </w:pPr>
    </w:p>
    <w:p w14:paraId="68489C47" w14:textId="2FCA526B" w:rsidR="004D7AC0" w:rsidRPr="004267B4" w:rsidRDefault="004D7AC0" w:rsidP="001A7476">
      <w:pPr>
        <w:pStyle w:val="Heading1"/>
        <w:numPr>
          <w:ilvl w:val="0"/>
          <w:numId w:val="0"/>
        </w:numPr>
        <w:rPr>
          <w:lang w:val="fr-BE"/>
        </w:rPr>
      </w:pPr>
      <w:r w:rsidRPr="004267B4">
        <w:rPr>
          <w:lang w:val="fr-BE"/>
        </w:rPr>
        <w:br w:type="page"/>
      </w:r>
    </w:p>
    <w:p w14:paraId="6646A81C" w14:textId="0F2FEC3F" w:rsidR="007B4C34" w:rsidRPr="004267B4" w:rsidRDefault="00477361" w:rsidP="00D13F40">
      <w:pPr>
        <w:pStyle w:val="Heading1"/>
        <w:rPr>
          <w:b/>
          <w:lang w:val="fr-BE"/>
        </w:rPr>
      </w:pPr>
      <w:bookmarkStart w:id="0" w:name="_Toc124863681"/>
      <w:r w:rsidRPr="004267B4">
        <w:rPr>
          <w:b/>
          <w:lang w:val="fr-BE"/>
        </w:rPr>
        <w:lastRenderedPageBreak/>
        <w:t>RÉSOLUTION</w:t>
      </w:r>
      <w:bookmarkEnd w:id="0"/>
      <w:r w:rsidRPr="004267B4">
        <w:rPr>
          <w:b/>
          <w:lang w:val="fr-BE"/>
        </w:rPr>
        <w:t xml:space="preserve"> </w:t>
      </w:r>
    </w:p>
    <w:p w14:paraId="3C86EBE7" w14:textId="7D2A1A04" w:rsidR="00D01E10" w:rsidRPr="004267B4" w:rsidRDefault="00D01E10" w:rsidP="00DA2729">
      <w:pPr>
        <w:keepNext/>
        <w:rPr>
          <w:lang w:val="fr-BE"/>
        </w:rPr>
      </w:pPr>
    </w:p>
    <w:p w14:paraId="2196DA9D" w14:textId="77777777" w:rsidR="00414EFB" w:rsidRPr="004267B4" w:rsidRDefault="00414EFB" w:rsidP="00FF013B">
      <w:pPr>
        <w:numPr>
          <w:ilvl w:val="0"/>
          <w:numId w:val="3"/>
        </w:numPr>
        <w:overflowPunct w:val="0"/>
        <w:autoSpaceDE w:val="0"/>
        <w:autoSpaceDN w:val="0"/>
        <w:adjustRightInd w:val="0"/>
        <w:ind w:left="567" w:hanging="567"/>
        <w:textAlignment w:val="baseline"/>
        <w:rPr>
          <w:b/>
          <w:bCs/>
          <w:i/>
          <w:iCs/>
          <w:sz w:val="28"/>
          <w:szCs w:val="28"/>
          <w:lang w:val="fr-BE"/>
        </w:rPr>
      </w:pPr>
      <w:r w:rsidRPr="004267B4">
        <w:rPr>
          <w:b/>
          <w:bCs/>
          <w:i/>
          <w:iCs/>
          <w:sz w:val="28"/>
          <w:szCs w:val="28"/>
          <w:lang w:val="fr-BE"/>
        </w:rPr>
        <w:t xml:space="preserve">Résolution du CESE — </w:t>
      </w:r>
      <w:hyperlink r:id="rId15" w:history="1">
        <w:r w:rsidRPr="004267B4">
          <w:rPr>
            <w:b/>
            <w:bCs/>
            <w:i/>
            <w:iCs/>
            <w:sz w:val="28"/>
            <w:szCs w:val="28"/>
            <w:lang w:val="fr-BE"/>
          </w:rPr>
          <w:t>Les acquis pérennes de l’Année européenne de la jeunesse: intégrer les questions liées à la jeunesse et autonomiser les jeunes</w:t>
        </w:r>
      </w:hyperlink>
    </w:p>
    <w:p w14:paraId="334D8AA2" w14:textId="77777777" w:rsidR="00414EFB" w:rsidRPr="004267B4" w:rsidRDefault="00414EFB" w:rsidP="00414EFB">
      <w:pPr>
        <w:overflowPunct w:val="0"/>
        <w:autoSpaceDE w:val="0"/>
        <w:autoSpaceDN w:val="0"/>
        <w:adjustRightInd w:val="0"/>
        <w:ind w:right="-283"/>
        <w:textAlignment w:val="baseline"/>
        <w:rPr>
          <w:b/>
          <w:sz w:val="12"/>
          <w:szCs w:val="12"/>
          <w:lang w:val="fr-BE"/>
        </w:rPr>
      </w:pPr>
    </w:p>
    <w:p w14:paraId="40CC3B46" w14:textId="01A5BBC9" w:rsidR="00414EFB" w:rsidRPr="004267B4" w:rsidRDefault="00414EFB" w:rsidP="00DA2729">
      <w:pPr>
        <w:overflowPunct w:val="0"/>
        <w:autoSpaceDE w:val="0"/>
        <w:autoSpaceDN w:val="0"/>
        <w:adjustRightInd w:val="0"/>
        <w:ind w:right="-284"/>
        <w:textAlignment w:val="baseline"/>
        <w:rPr>
          <w:b/>
          <w:lang w:val="fr-BE"/>
        </w:rPr>
      </w:pPr>
      <w:r w:rsidRPr="004267B4">
        <w:rPr>
          <w:b/>
          <w:lang w:val="fr-BE"/>
        </w:rPr>
        <w:t>proposée par</w:t>
      </w:r>
      <w:r w:rsidRPr="004267B4">
        <w:rPr>
          <w:lang w:val="fr-BE"/>
        </w:rPr>
        <w:t xml:space="preserve"> Laurenţiu PLOSCEANU, président de la section SOC, à la demande du </w:t>
      </w:r>
      <w:r w:rsidR="00F13412">
        <w:rPr>
          <w:lang w:val="fr-BE"/>
        </w:rPr>
        <w:t xml:space="preserve">groupe </w:t>
      </w:r>
      <w:r w:rsidRPr="004267B4">
        <w:rPr>
          <w:lang w:val="fr-BE"/>
        </w:rPr>
        <w:t>de coordination pour l’Année européenne de la jeunesse</w:t>
      </w:r>
    </w:p>
    <w:p w14:paraId="760ABEC6" w14:textId="77777777" w:rsidR="00414EFB" w:rsidRPr="004267B4" w:rsidRDefault="00414EFB" w:rsidP="00414EFB">
      <w:pPr>
        <w:overflowPunct w:val="0"/>
        <w:autoSpaceDE w:val="0"/>
        <w:autoSpaceDN w:val="0"/>
        <w:adjustRightInd w:val="0"/>
        <w:ind w:right="-283"/>
        <w:textAlignment w:val="baseline"/>
        <w:rPr>
          <w:b/>
          <w:sz w:val="12"/>
          <w:szCs w:val="12"/>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DA2729" w:rsidRPr="004267B4" w14:paraId="783699D0" w14:textId="77777777" w:rsidTr="0059328F">
        <w:tc>
          <w:tcPr>
            <w:tcW w:w="1701" w:type="dxa"/>
          </w:tcPr>
          <w:p w14:paraId="7E5D4AD6" w14:textId="77777777" w:rsidR="00DA2729" w:rsidRPr="004267B4" w:rsidRDefault="00DA2729" w:rsidP="0059328F">
            <w:pPr>
              <w:pStyle w:val="ListParagraph"/>
              <w:spacing w:line="240" w:lineRule="auto"/>
              <w:ind w:left="-142" w:firstLine="142"/>
              <w:rPr>
                <w:b/>
                <w:lang w:val="fr-BE"/>
              </w:rPr>
            </w:pPr>
            <w:r w:rsidRPr="004267B4">
              <w:rPr>
                <w:b/>
                <w:lang w:val="fr-BE"/>
              </w:rPr>
              <w:t xml:space="preserve">Reference </w:t>
            </w:r>
          </w:p>
        </w:tc>
        <w:tc>
          <w:tcPr>
            <w:tcW w:w="6521" w:type="dxa"/>
          </w:tcPr>
          <w:p w14:paraId="5C0CF597" w14:textId="3BDE9C33" w:rsidR="00DA2729" w:rsidRPr="004267B4" w:rsidRDefault="00DA2729" w:rsidP="0059328F">
            <w:pPr>
              <w:pStyle w:val="ListParagraph"/>
              <w:ind w:left="-61"/>
              <w:rPr>
                <w:lang w:val="fr-BE"/>
              </w:rPr>
            </w:pPr>
            <w:r w:rsidRPr="004267B4">
              <w:rPr>
                <w:lang w:val="fr-BE"/>
              </w:rPr>
              <w:t>EESC-2022-05772-00-00-RES</w:t>
            </w:r>
          </w:p>
        </w:tc>
      </w:tr>
    </w:tbl>
    <w:p w14:paraId="2BA4CD22" w14:textId="77777777" w:rsidR="00414EFB" w:rsidRPr="004267B4" w:rsidRDefault="00414EFB" w:rsidP="00414EFB">
      <w:pPr>
        <w:tabs>
          <w:tab w:val="center" w:pos="284"/>
        </w:tabs>
        <w:ind w:left="266" w:hanging="266"/>
        <w:rPr>
          <w:sz w:val="12"/>
          <w:szCs w:val="12"/>
          <w:lang w:val="fr-BE"/>
        </w:rPr>
      </w:pPr>
    </w:p>
    <w:p w14:paraId="6C5E6E69" w14:textId="77777777" w:rsidR="00414EFB" w:rsidRPr="004267B4" w:rsidRDefault="00414EFB" w:rsidP="00DA2729">
      <w:pPr>
        <w:keepNext/>
        <w:keepLines/>
        <w:tabs>
          <w:tab w:val="center" w:pos="284"/>
        </w:tabs>
        <w:ind w:left="266" w:hanging="266"/>
        <w:rPr>
          <w:b/>
          <w:lang w:val="fr-BE"/>
        </w:rPr>
      </w:pPr>
      <w:r w:rsidRPr="004267B4">
        <w:rPr>
          <w:b/>
          <w:lang w:val="fr-BE"/>
        </w:rPr>
        <w:t>Points clés</w:t>
      </w:r>
    </w:p>
    <w:p w14:paraId="7DBEA2E8" w14:textId="77777777" w:rsidR="00414EFB" w:rsidRPr="004267B4" w:rsidRDefault="00414EFB" w:rsidP="00DA2729">
      <w:pPr>
        <w:keepNext/>
        <w:overflowPunct w:val="0"/>
        <w:autoSpaceDE w:val="0"/>
        <w:autoSpaceDN w:val="0"/>
        <w:adjustRightInd w:val="0"/>
        <w:ind w:right="-283"/>
        <w:textAlignment w:val="baseline"/>
        <w:rPr>
          <w:sz w:val="12"/>
          <w:szCs w:val="12"/>
          <w:lang w:val="fr-BE"/>
        </w:rPr>
      </w:pPr>
    </w:p>
    <w:p w14:paraId="157CACB9" w14:textId="77777777" w:rsidR="00414EFB" w:rsidRPr="004267B4" w:rsidRDefault="00414EFB" w:rsidP="00DA2729">
      <w:pPr>
        <w:keepNext/>
        <w:overflowPunct w:val="0"/>
        <w:autoSpaceDE w:val="0"/>
        <w:autoSpaceDN w:val="0"/>
        <w:adjustRightInd w:val="0"/>
        <w:ind w:right="-283"/>
        <w:textAlignment w:val="baseline"/>
        <w:rPr>
          <w:lang w:val="fr-BE"/>
        </w:rPr>
      </w:pPr>
      <w:r w:rsidRPr="004267B4">
        <w:rPr>
          <w:lang w:val="fr-BE"/>
        </w:rPr>
        <w:t>Le CESE:</w:t>
      </w:r>
    </w:p>
    <w:p w14:paraId="6AFAF438" w14:textId="77777777" w:rsidR="00414EFB" w:rsidRPr="004267B4" w:rsidRDefault="00414EFB" w:rsidP="00DA2729">
      <w:pPr>
        <w:keepNext/>
        <w:rPr>
          <w:sz w:val="12"/>
          <w:lang w:val="fr-BE"/>
        </w:rPr>
      </w:pPr>
    </w:p>
    <w:p w14:paraId="3877FF55" w14:textId="77777777" w:rsidR="00414EFB" w:rsidRPr="004267B4" w:rsidRDefault="00414EFB" w:rsidP="00FF013B">
      <w:pPr>
        <w:pStyle w:val="ListParagraph"/>
        <w:keepNext/>
        <w:numPr>
          <w:ilvl w:val="0"/>
          <w:numId w:val="21"/>
        </w:numPr>
        <w:ind w:left="357" w:hanging="357"/>
        <w:rPr>
          <w:lang w:val="fr-BE"/>
        </w:rPr>
      </w:pPr>
      <w:r w:rsidRPr="004267B4">
        <w:rPr>
          <w:lang w:val="fr-BE"/>
        </w:rPr>
        <w:t>invite les institutions de l’Union et les gouvernements nationaux à consolider à long terme les acquis de l’Année européenne de la jeunesse; encourage les institutions de l’Union européenne à mettre en œuvre l’évaluation d’impact de l’Union du point de vue des jeunes;</w:t>
      </w:r>
    </w:p>
    <w:p w14:paraId="6E8B2470" w14:textId="77777777" w:rsidR="00414EFB" w:rsidRPr="004267B4" w:rsidRDefault="00414EFB" w:rsidP="00FF013B">
      <w:pPr>
        <w:pStyle w:val="ListParagraph"/>
        <w:numPr>
          <w:ilvl w:val="0"/>
          <w:numId w:val="21"/>
        </w:numPr>
        <w:ind w:left="357" w:hanging="357"/>
        <w:rPr>
          <w:lang w:val="fr-BE"/>
        </w:rPr>
      </w:pPr>
      <w:r w:rsidRPr="004267B4">
        <w:rPr>
          <w:lang w:val="fr-BE"/>
        </w:rPr>
        <w:t>demande instamment d’associer davantage les jeunes aux processus décisionnels, depuis l’élaboration des propositions et initiatives législatives jusqu’à leur mise en œuvre, à leur suivi et aux suites qui leur sont données, notamment dans les domaines de la durabilité, de la sécurité et de la consolidation de la paix;</w:t>
      </w:r>
    </w:p>
    <w:p w14:paraId="6B01BE3E" w14:textId="77777777" w:rsidR="00414EFB" w:rsidRPr="004267B4" w:rsidRDefault="00414EFB" w:rsidP="00FF013B">
      <w:pPr>
        <w:pStyle w:val="ListParagraph"/>
        <w:numPr>
          <w:ilvl w:val="0"/>
          <w:numId w:val="21"/>
        </w:numPr>
        <w:ind w:left="357" w:hanging="357"/>
        <w:rPr>
          <w:lang w:val="fr-BE"/>
        </w:rPr>
      </w:pPr>
      <w:r w:rsidRPr="004267B4">
        <w:rPr>
          <w:lang w:val="fr-BE"/>
        </w:rPr>
        <w:t xml:space="preserve">met en relief le rôle que jouent les organisations de la société civile, et en particulier les organisations de jeunesse, pour intégrer les points de vue des jeunes dans l’élaboration des politiques à tous les niveaux et dans tous les domaines de l’action politique; </w:t>
      </w:r>
    </w:p>
    <w:p w14:paraId="3CEC3D8B" w14:textId="77777777" w:rsidR="00414EFB" w:rsidRPr="004267B4" w:rsidRDefault="00414EFB" w:rsidP="00FF013B">
      <w:pPr>
        <w:pStyle w:val="ListParagraph"/>
        <w:numPr>
          <w:ilvl w:val="0"/>
          <w:numId w:val="21"/>
        </w:numPr>
        <w:ind w:left="357" w:hanging="357"/>
        <w:rPr>
          <w:lang w:val="fr-BE"/>
        </w:rPr>
      </w:pPr>
      <w:r w:rsidRPr="004267B4">
        <w:rPr>
          <w:lang w:val="fr-BE"/>
        </w:rPr>
        <w:t>affirme son engagement à concevoir de nouvelles initiatives afin de favoriser la participation de la jeunesse et d’en faire valoir les points de vue dans l’élaboration des politiques, ainsi que sa volonté de renforcer la participation des jeunes à ses travaux;</w:t>
      </w:r>
    </w:p>
    <w:p w14:paraId="4E01E26D" w14:textId="77777777" w:rsidR="00414EFB" w:rsidRPr="004267B4" w:rsidRDefault="00414EFB" w:rsidP="00FF013B">
      <w:pPr>
        <w:pStyle w:val="ListParagraph"/>
        <w:numPr>
          <w:ilvl w:val="0"/>
          <w:numId w:val="21"/>
        </w:numPr>
        <w:ind w:left="357" w:hanging="357"/>
        <w:rPr>
          <w:lang w:val="fr-BE"/>
        </w:rPr>
      </w:pPr>
      <w:r w:rsidRPr="004267B4">
        <w:rPr>
          <w:lang w:val="fr-BE"/>
        </w:rPr>
        <w:t>demande de créer auprès de toutes les institutions de l’Union une structure qui représente et/ou associe les organisations de jeunesse; invite l’Union européenne à continuer d’aider les Balkans occidentaux à améliorer la participation des jeunes;</w:t>
      </w:r>
    </w:p>
    <w:p w14:paraId="39583CC6" w14:textId="77777777" w:rsidR="00414EFB" w:rsidRPr="004267B4" w:rsidRDefault="00414EFB" w:rsidP="00FF013B">
      <w:pPr>
        <w:pStyle w:val="ListParagraph"/>
        <w:numPr>
          <w:ilvl w:val="0"/>
          <w:numId w:val="21"/>
        </w:numPr>
        <w:ind w:left="357" w:hanging="357"/>
        <w:rPr>
          <w:lang w:val="fr-BE"/>
        </w:rPr>
      </w:pPr>
      <w:r w:rsidRPr="004267B4">
        <w:rPr>
          <w:lang w:val="fr-BE"/>
        </w:rPr>
        <w:t>souligne qu’il est indispensable de parvenir à une éducation et à un apprentissage tout au long de la vie qui soient de qualité et inclusifs pour tous, et préconise notamment, à cette fin, d’ouvrir des écoles spécialement conçues pour les personnes qui ne peuvent pas fréquenter l’école pour des raisons médicales, ainsi que de garantir la mise en place des infrastructures matérielles et numériques nécessaires à un processus éducatif de qualité pour les jeunes des zones rurales;</w:t>
      </w:r>
    </w:p>
    <w:p w14:paraId="09205538" w14:textId="77777777" w:rsidR="00414EFB" w:rsidRPr="004267B4" w:rsidRDefault="00414EFB" w:rsidP="00FF013B">
      <w:pPr>
        <w:pStyle w:val="ListParagraph"/>
        <w:numPr>
          <w:ilvl w:val="0"/>
          <w:numId w:val="21"/>
        </w:numPr>
        <w:ind w:left="357" w:hanging="357"/>
        <w:rPr>
          <w:lang w:val="fr-BE"/>
        </w:rPr>
      </w:pPr>
      <w:r w:rsidRPr="004267B4">
        <w:rPr>
          <w:lang w:val="fr-BE"/>
        </w:rPr>
        <w:t xml:space="preserve">demande de renforcer les capacités des partenaires sociaux et des organisations de la société civile afin de représenter les jeunes et de faciliter le processus de passage de l’école à la vie active. </w:t>
      </w:r>
    </w:p>
    <w:p w14:paraId="3871FE4A" w14:textId="77777777" w:rsidR="00414EFB" w:rsidRPr="004267B4" w:rsidRDefault="00414EFB" w:rsidP="00DA2729">
      <w:pPr>
        <w:rPr>
          <w:sz w:val="12"/>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14EFB" w:rsidRPr="004267B4" w14:paraId="58A40681" w14:textId="77777777" w:rsidTr="0059328F">
        <w:tc>
          <w:tcPr>
            <w:tcW w:w="1418" w:type="dxa"/>
          </w:tcPr>
          <w:p w14:paraId="08353886" w14:textId="77777777" w:rsidR="00414EFB" w:rsidRPr="004267B4" w:rsidRDefault="00414EFB" w:rsidP="0059328F">
            <w:pPr>
              <w:spacing w:line="240" w:lineRule="auto"/>
              <w:rPr>
                <w:i/>
                <w:lang w:val="fr-BE"/>
              </w:rPr>
            </w:pPr>
            <w:r w:rsidRPr="004267B4">
              <w:rPr>
                <w:b/>
                <w:i/>
                <w:lang w:val="fr-BE"/>
              </w:rPr>
              <w:t>Contact</w:t>
            </w:r>
          </w:p>
        </w:tc>
        <w:tc>
          <w:tcPr>
            <w:tcW w:w="5670" w:type="dxa"/>
          </w:tcPr>
          <w:p w14:paraId="7CC625C6" w14:textId="5938886A" w:rsidR="00414EFB" w:rsidRPr="004267B4" w:rsidRDefault="00414EFB" w:rsidP="0059328F">
            <w:pPr>
              <w:spacing w:line="240" w:lineRule="auto"/>
              <w:rPr>
                <w:i/>
                <w:lang w:val="fr-BE"/>
              </w:rPr>
            </w:pPr>
            <w:r w:rsidRPr="004267B4">
              <w:rPr>
                <w:i/>
                <w:lang w:val="fr-BE"/>
              </w:rPr>
              <w:t xml:space="preserve">Sabrina </w:t>
            </w:r>
            <w:r w:rsidR="004466E9" w:rsidRPr="004267B4">
              <w:rPr>
                <w:i/>
                <w:lang w:val="fr-BE"/>
              </w:rPr>
              <w:t>Borg</w:t>
            </w:r>
          </w:p>
        </w:tc>
      </w:tr>
      <w:tr w:rsidR="00414EFB" w:rsidRPr="004267B4" w14:paraId="6D6A29EB" w14:textId="77777777" w:rsidTr="0059328F">
        <w:tc>
          <w:tcPr>
            <w:tcW w:w="1418" w:type="dxa"/>
          </w:tcPr>
          <w:p w14:paraId="279A5A28" w14:textId="77777777" w:rsidR="00414EFB" w:rsidRPr="004267B4" w:rsidRDefault="00414EFB" w:rsidP="0059328F">
            <w:pPr>
              <w:spacing w:line="240" w:lineRule="auto"/>
              <w:rPr>
                <w:i/>
                <w:lang w:val="fr-BE"/>
              </w:rPr>
            </w:pPr>
            <w:r w:rsidRPr="004267B4">
              <w:rPr>
                <w:i/>
                <w:lang w:val="fr-BE"/>
              </w:rPr>
              <w:t>Tél.</w:t>
            </w:r>
          </w:p>
        </w:tc>
        <w:tc>
          <w:tcPr>
            <w:tcW w:w="5670" w:type="dxa"/>
          </w:tcPr>
          <w:p w14:paraId="67817B75" w14:textId="77777777" w:rsidR="00414EFB" w:rsidRPr="004267B4" w:rsidRDefault="00414EFB" w:rsidP="0059328F">
            <w:pPr>
              <w:spacing w:line="240" w:lineRule="auto"/>
              <w:rPr>
                <w:i/>
                <w:lang w:val="fr-BE"/>
              </w:rPr>
            </w:pPr>
            <w:r w:rsidRPr="004267B4">
              <w:rPr>
                <w:i/>
                <w:lang w:val="fr-BE"/>
              </w:rPr>
              <w:t>+32 2 546 9727</w:t>
            </w:r>
          </w:p>
        </w:tc>
      </w:tr>
      <w:tr w:rsidR="00414EFB" w:rsidRPr="004267B4" w14:paraId="7C20D490" w14:textId="77777777" w:rsidTr="0059328F">
        <w:tc>
          <w:tcPr>
            <w:tcW w:w="1418" w:type="dxa"/>
          </w:tcPr>
          <w:p w14:paraId="1CD70439" w14:textId="77777777" w:rsidR="00414EFB" w:rsidRPr="004267B4" w:rsidRDefault="00414EFB" w:rsidP="0059328F">
            <w:pPr>
              <w:spacing w:line="240" w:lineRule="auto"/>
              <w:rPr>
                <w:i/>
                <w:lang w:val="fr-BE"/>
              </w:rPr>
            </w:pPr>
            <w:r w:rsidRPr="004267B4">
              <w:rPr>
                <w:i/>
                <w:lang w:val="fr-BE"/>
              </w:rPr>
              <w:t>Courriel</w:t>
            </w:r>
          </w:p>
        </w:tc>
        <w:tc>
          <w:tcPr>
            <w:tcW w:w="5670" w:type="dxa"/>
          </w:tcPr>
          <w:p w14:paraId="7FC9CF40" w14:textId="77777777" w:rsidR="00414EFB" w:rsidRPr="004267B4" w:rsidRDefault="004466E9" w:rsidP="0059328F">
            <w:pPr>
              <w:spacing w:line="240" w:lineRule="auto"/>
              <w:rPr>
                <w:i/>
                <w:lang w:val="fr-BE"/>
              </w:rPr>
            </w:pPr>
            <w:hyperlink r:id="rId16" w:history="1">
              <w:r w:rsidR="00414EFB" w:rsidRPr="004267B4">
                <w:rPr>
                  <w:rStyle w:val="Hyperlink"/>
                  <w:i/>
                  <w:lang w:val="fr-BE"/>
                </w:rPr>
                <w:t>Sabrina.Borg@eesc.europa.eu</w:t>
              </w:r>
            </w:hyperlink>
          </w:p>
        </w:tc>
      </w:tr>
    </w:tbl>
    <w:p w14:paraId="614CEB83" w14:textId="39570086" w:rsidR="004E3304" w:rsidRPr="004267B4" w:rsidRDefault="004E3304" w:rsidP="007B4C34">
      <w:pPr>
        <w:keepNext/>
        <w:keepLines/>
        <w:overflowPunct w:val="0"/>
        <w:autoSpaceDE w:val="0"/>
        <w:autoSpaceDN w:val="0"/>
        <w:adjustRightInd w:val="0"/>
        <w:textAlignment w:val="baseline"/>
        <w:rPr>
          <w:b/>
          <w:lang w:val="fr-BE"/>
        </w:rPr>
      </w:pPr>
    </w:p>
    <w:p w14:paraId="59BBDBA3" w14:textId="16E5D695" w:rsidR="00057592" w:rsidRPr="004267B4" w:rsidRDefault="00057592" w:rsidP="00DA2729">
      <w:pPr>
        <w:spacing w:line="259" w:lineRule="auto"/>
        <w:jc w:val="left"/>
        <w:rPr>
          <w:b/>
          <w:lang w:val="fr-BE"/>
        </w:rPr>
      </w:pPr>
      <w:r w:rsidRPr="004267B4">
        <w:rPr>
          <w:lang w:val="fr-BE"/>
        </w:rPr>
        <w:br w:type="page"/>
      </w:r>
    </w:p>
    <w:p w14:paraId="1E329F25" w14:textId="77777777" w:rsidR="004D7AC0" w:rsidRPr="004267B4" w:rsidRDefault="004D7AC0" w:rsidP="00414EFB">
      <w:pPr>
        <w:pStyle w:val="Heading1"/>
        <w:rPr>
          <w:b/>
          <w:lang w:val="fr-BE"/>
        </w:rPr>
      </w:pPr>
      <w:bookmarkStart w:id="1" w:name="_Toc124863682"/>
      <w:r w:rsidRPr="004267B4">
        <w:rPr>
          <w:b/>
          <w:lang w:val="fr-BE"/>
        </w:rPr>
        <w:lastRenderedPageBreak/>
        <w:t>UNION ÉCONOMIQUE ET MONÉTAIRE ET COHÉSION ÉCONOMIQUE ET SOCIALE</w:t>
      </w:r>
      <w:bookmarkEnd w:id="1"/>
    </w:p>
    <w:p w14:paraId="1710091D" w14:textId="77777777" w:rsidR="00662436" w:rsidRPr="004267B4" w:rsidRDefault="00662436" w:rsidP="0018231C">
      <w:pPr>
        <w:spacing w:line="240" w:lineRule="auto"/>
        <w:rPr>
          <w:lang w:val="fr-BE"/>
        </w:rPr>
      </w:pPr>
    </w:p>
    <w:p w14:paraId="2C9809F5" w14:textId="59BBCCA8" w:rsidR="00414EFB" w:rsidRPr="004267B4" w:rsidRDefault="00414EFB" w:rsidP="00FF013B">
      <w:pPr>
        <w:numPr>
          <w:ilvl w:val="0"/>
          <w:numId w:val="3"/>
        </w:numPr>
        <w:overflowPunct w:val="0"/>
        <w:autoSpaceDE w:val="0"/>
        <w:autoSpaceDN w:val="0"/>
        <w:adjustRightInd w:val="0"/>
        <w:ind w:left="567" w:hanging="567"/>
        <w:textAlignment w:val="baseline"/>
        <w:rPr>
          <w:b/>
          <w:bCs/>
          <w:i/>
          <w:iCs/>
          <w:sz w:val="28"/>
          <w:szCs w:val="28"/>
          <w:lang w:val="fr-BE"/>
        </w:rPr>
      </w:pPr>
      <w:r w:rsidRPr="004267B4">
        <w:rPr>
          <w:b/>
          <w:bCs/>
          <w:i/>
          <w:iCs/>
          <w:noProof/>
          <w:sz w:val="28"/>
          <w:szCs w:val="28"/>
          <w:lang w:val="en-US"/>
        </w:rPr>
        <mc:AlternateContent>
          <mc:Choice Requires="wps">
            <w:drawing>
              <wp:anchor distT="0" distB="0" distL="114300" distR="114300" simplePos="0" relativeHeight="251653632" behindDoc="1" locked="0" layoutInCell="0" allowOverlap="1" wp14:anchorId="3E007EC0" wp14:editId="340B642B">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FF282" w14:textId="77777777" w:rsidR="00414EFB" w:rsidRPr="00DA2729" w:rsidRDefault="00414EFB" w:rsidP="00414EFB">
                            <w:pPr>
                              <w:jc w:val="center"/>
                              <w:rPr>
                                <w:rFonts w:ascii="Arial" w:hAnsi="Arial" w:cs="Arial"/>
                                <w:b/>
                                <w:bCs/>
                                <w:sz w:val="48"/>
                              </w:rPr>
                            </w:pPr>
                            <w:r w:rsidRPr="00DA2729">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7EC0" id="_x0000_s1027" type="#_x0000_t202" style="position:absolute;left:0;text-align:left;margin-left:533pt;margin-top:793.8pt;width:51pt;height:3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juA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eXAWBWyxtZPYGA&#10;lQSBgRZh7MGikeoHRgOMkAzr7zuqGEbtBwGPIAkJyBQZtyHzeAYbdWnZXFqoKAEqwwajabky05za&#10;9YpvG4g0PTshb+Hh1NyJ+szq8NxgTLjcDiPNzqHLvfM6D97lbwA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BpVjXjuAIA&#10;AMAFAAAOAAAAAAAAAAAAAAAAAC4CAABkcnMvZTJvRG9jLnhtbFBLAQItABQABgAIAAAAIQDrVDFa&#10;3gAAAA8BAAAPAAAAAAAAAAAAAAAAABIFAABkcnMvZG93bnJldi54bWxQSwUGAAAAAAQABADzAAAA&#10;HQYAAAAA&#10;" o:allowincell="f" filled="f" stroked="f">
                <v:textbox>
                  <w:txbxContent>
                    <w:p w14:paraId="480FF282" w14:textId="77777777" w:rsidR="00414EFB" w:rsidRPr="00DA2729" w:rsidRDefault="00414EFB" w:rsidP="00414EFB">
                      <w:pPr>
                        <w:jc w:val="center"/>
                        <w:rPr>
                          <w:rFonts w:ascii="Arial" w:hAnsi="Arial" w:cs="Arial"/>
                          <w:b/>
                          <w:bCs/>
                          <w:sz w:val="48"/>
                        </w:rPr>
                      </w:pPr>
                      <w:r w:rsidRPr="00DA2729">
                        <w:rPr>
                          <w:rFonts w:ascii="Arial" w:hAnsi="Arial"/>
                          <w:b/>
                          <w:sz w:val="48"/>
                        </w:rPr>
                        <w:t>FR</w:t>
                      </w:r>
                    </w:p>
                  </w:txbxContent>
                </v:textbox>
                <w10:wrap anchorx="page" anchory="page"/>
              </v:shape>
            </w:pict>
          </mc:Fallback>
        </mc:AlternateContent>
      </w:r>
      <w:hyperlink r:id="rId17" w:history="1">
        <w:r w:rsidRPr="004267B4">
          <w:rPr>
            <w:b/>
            <w:bCs/>
            <w:i/>
            <w:iCs/>
            <w:sz w:val="28"/>
            <w:szCs w:val="28"/>
            <w:lang w:val="fr-BE"/>
          </w:rPr>
          <w:t>Investissements fondés sur le sexe dans les plans nationaux pour la reprise et la résilience</w:t>
        </w:r>
      </w:hyperlink>
    </w:p>
    <w:p w14:paraId="5FC2D4DE" w14:textId="77777777" w:rsidR="00414EFB" w:rsidRPr="004267B4" w:rsidRDefault="00414EFB" w:rsidP="00414EFB">
      <w:pPr>
        <w:widowControl w:val="0"/>
        <w:ind w:left="567"/>
        <w:rPr>
          <w:b/>
          <w:sz w:val="16"/>
          <w:szCs w:val="16"/>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0"/>
      </w:tblGrid>
      <w:tr w:rsidR="00414EFB" w:rsidRPr="004267B4" w14:paraId="2234162F" w14:textId="77777777" w:rsidTr="0059328F">
        <w:tc>
          <w:tcPr>
            <w:tcW w:w="1701" w:type="dxa"/>
          </w:tcPr>
          <w:p w14:paraId="506D32D2" w14:textId="77777777" w:rsidR="00414EFB" w:rsidRPr="004267B4" w:rsidRDefault="00414EFB" w:rsidP="0059328F">
            <w:pPr>
              <w:tabs>
                <w:tab w:val="center" w:pos="284"/>
              </w:tabs>
              <w:ind w:left="266" w:hanging="266"/>
              <w:rPr>
                <w:b/>
                <w:lang w:val="fr-BE"/>
              </w:rPr>
            </w:pPr>
            <w:r w:rsidRPr="004267B4">
              <w:rPr>
                <w:b/>
                <w:lang w:val="fr-BE"/>
              </w:rPr>
              <w:t>Rapporteure</w:t>
            </w:r>
          </w:p>
        </w:tc>
        <w:tc>
          <w:tcPr>
            <w:tcW w:w="5670" w:type="dxa"/>
          </w:tcPr>
          <w:p w14:paraId="08438AE5" w14:textId="7DE6CF61" w:rsidR="00414EFB" w:rsidRPr="004267B4" w:rsidRDefault="00414EFB" w:rsidP="0059328F">
            <w:pPr>
              <w:tabs>
                <w:tab w:val="center" w:pos="284"/>
              </w:tabs>
              <w:ind w:left="266" w:hanging="266"/>
              <w:rPr>
                <w:lang w:val="fr-BE"/>
              </w:rPr>
            </w:pPr>
            <w:r w:rsidRPr="004267B4">
              <w:rPr>
                <w:lang w:val="fr-BE"/>
              </w:rPr>
              <w:t>Cinzia DEL RIO (</w:t>
            </w:r>
            <w:r w:rsidR="00F13412">
              <w:rPr>
                <w:lang w:val="fr-BE"/>
              </w:rPr>
              <w:t xml:space="preserve">groupe </w:t>
            </w:r>
            <w:r w:rsidRPr="004267B4">
              <w:rPr>
                <w:lang w:val="fr-BE"/>
              </w:rPr>
              <w:t>des travailleurs – IT)</w:t>
            </w:r>
          </w:p>
        </w:tc>
      </w:tr>
      <w:tr w:rsidR="00414EFB" w:rsidRPr="004267B4" w14:paraId="1D652831" w14:textId="77777777" w:rsidTr="0059328F">
        <w:tc>
          <w:tcPr>
            <w:tcW w:w="7371" w:type="dxa"/>
            <w:gridSpan w:val="2"/>
          </w:tcPr>
          <w:p w14:paraId="4343DC3F" w14:textId="77777777" w:rsidR="00414EFB" w:rsidRPr="004267B4" w:rsidRDefault="00414EFB" w:rsidP="0059328F">
            <w:pPr>
              <w:tabs>
                <w:tab w:val="center" w:pos="284"/>
              </w:tabs>
              <w:spacing w:line="160" w:lineRule="exact"/>
              <w:ind w:left="266" w:hanging="266"/>
              <w:rPr>
                <w:lang w:val="fr-BE"/>
              </w:rPr>
            </w:pPr>
          </w:p>
        </w:tc>
      </w:tr>
      <w:tr w:rsidR="00414EFB" w:rsidRPr="004267B4" w14:paraId="4F61D5E5" w14:textId="77777777" w:rsidTr="0059328F">
        <w:tc>
          <w:tcPr>
            <w:tcW w:w="1701" w:type="dxa"/>
          </w:tcPr>
          <w:p w14:paraId="4CC3A855" w14:textId="77777777" w:rsidR="00414EFB" w:rsidRPr="004267B4" w:rsidRDefault="00414EFB" w:rsidP="0059328F">
            <w:pPr>
              <w:tabs>
                <w:tab w:val="center" w:pos="284"/>
              </w:tabs>
              <w:ind w:left="266" w:hanging="266"/>
              <w:rPr>
                <w:b/>
                <w:lang w:val="fr-BE"/>
              </w:rPr>
            </w:pPr>
            <w:r w:rsidRPr="004267B4">
              <w:rPr>
                <w:b/>
                <w:lang w:val="fr-BE"/>
              </w:rPr>
              <w:t>Référence</w:t>
            </w:r>
          </w:p>
        </w:tc>
        <w:tc>
          <w:tcPr>
            <w:tcW w:w="5670" w:type="dxa"/>
          </w:tcPr>
          <w:p w14:paraId="3BCAA319" w14:textId="77777777" w:rsidR="004267B4" w:rsidRPr="004267B4" w:rsidRDefault="00414EFB" w:rsidP="0059328F">
            <w:pPr>
              <w:tabs>
                <w:tab w:val="center" w:pos="284"/>
              </w:tabs>
              <w:ind w:left="266" w:hanging="266"/>
              <w:rPr>
                <w:lang w:val="fr-BE"/>
              </w:rPr>
            </w:pPr>
            <w:r w:rsidRPr="004267B4">
              <w:rPr>
                <w:lang w:val="fr-BE"/>
              </w:rPr>
              <w:t xml:space="preserve">Avis d’initiative </w:t>
            </w:r>
          </w:p>
          <w:p w14:paraId="091D9821" w14:textId="0CC8C9FC" w:rsidR="00414EFB" w:rsidRPr="004267B4" w:rsidRDefault="00414EFB" w:rsidP="0059328F">
            <w:pPr>
              <w:tabs>
                <w:tab w:val="center" w:pos="284"/>
              </w:tabs>
              <w:ind w:left="266" w:hanging="266"/>
              <w:rPr>
                <w:lang w:val="fr-BE"/>
              </w:rPr>
            </w:pPr>
            <w:r w:rsidRPr="004267B4">
              <w:rPr>
                <w:lang w:val="fr-BE"/>
              </w:rPr>
              <w:t>EESC-2022-03571-00-00-AC-TRA</w:t>
            </w:r>
          </w:p>
        </w:tc>
      </w:tr>
    </w:tbl>
    <w:p w14:paraId="77579CF6" w14:textId="77777777" w:rsidR="00414EFB" w:rsidRPr="004267B4" w:rsidRDefault="00414EFB" w:rsidP="00414EFB">
      <w:pPr>
        <w:tabs>
          <w:tab w:val="center" w:pos="284"/>
        </w:tabs>
        <w:ind w:left="266" w:hanging="266"/>
        <w:rPr>
          <w:sz w:val="16"/>
          <w:szCs w:val="16"/>
          <w:lang w:val="fr-BE"/>
        </w:rPr>
      </w:pPr>
    </w:p>
    <w:p w14:paraId="772D8359" w14:textId="77777777" w:rsidR="00414EFB" w:rsidRPr="004267B4" w:rsidRDefault="00414EFB" w:rsidP="004267B4">
      <w:pPr>
        <w:keepNext/>
        <w:keepLines/>
        <w:tabs>
          <w:tab w:val="center" w:pos="284"/>
        </w:tabs>
        <w:ind w:left="266" w:hanging="266"/>
        <w:rPr>
          <w:b/>
          <w:lang w:val="fr-BE"/>
        </w:rPr>
      </w:pPr>
      <w:r w:rsidRPr="004267B4">
        <w:rPr>
          <w:b/>
          <w:lang w:val="fr-BE"/>
        </w:rPr>
        <w:t>Points clés</w:t>
      </w:r>
    </w:p>
    <w:p w14:paraId="2814E272" w14:textId="77777777" w:rsidR="00414EFB" w:rsidRPr="004267B4" w:rsidRDefault="00414EFB" w:rsidP="004267B4">
      <w:pPr>
        <w:keepNext/>
        <w:rPr>
          <w:bCs/>
          <w:iCs/>
          <w:sz w:val="16"/>
          <w:szCs w:val="16"/>
          <w:lang w:val="fr-BE"/>
        </w:rPr>
      </w:pPr>
    </w:p>
    <w:p w14:paraId="444005A8" w14:textId="626D2D9E" w:rsidR="00414EFB" w:rsidRPr="004267B4" w:rsidRDefault="00414EFB" w:rsidP="004267B4">
      <w:pPr>
        <w:keepNext/>
        <w:rPr>
          <w:lang w:val="fr-BE"/>
        </w:rPr>
      </w:pPr>
      <w:r w:rsidRPr="004267B4">
        <w:rPr>
          <w:lang w:val="fr-BE"/>
        </w:rPr>
        <w:t>Le CESE:</w:t>
      </w:r>
    </w:p>
    <w:p w14:paraId="117BF239" w14:textId="77777777" w:rsidR="00DA2729" w:rsidRPr="004267B4" w:rsidRDefault="00DA2729" w:rsidP="004267B4">
      <w:pPr>
        <w:keepNext/>
        <w:rPr>
          <w:bCs/>
          <w:iCs/>
          <w:lang w:val="fr-BE"/>
        </w:rPr>
      </w:pPr>
    </w:p>
    <w:p w14:paraId="6725DA7E" w14:textId="77777777" w:rsidR="00414EFB" w:rsidRPr="004267B4" w:rsidRDefault="00414EFB" w:rsidP="00FF013B">
      <w:pPr>
        <w:pStyle w:val="Heading2"/>
        <w:numPr>
          <w:ilvl w:val="0"/>
          <w:numId w:val="22"/>
        </w:numPr>
        <w:ind w:left="357" w:hanging="357"/>
        <w:rPr>
          <w:lang w:val="fr-BE"/>
        </w:rPr>
      </w:pPr>
      <w:bookmarkStart w:id="2" w:name="_Toc124863683"/>
      <w:r w:rsidRPr="004267B4">
        <w:rPr>
          <w:lang w:val="fr-BE"/>
        </w:rPr>
        <w:t>souligne que la plupart des plans nationaux pour la reprise et la résilience (PNRR) ont été élaborés par les États membres sans évaluation ex ante de l’impact des différents investissements s’agissant d’éliminer les inégalités entre les hommes et les femmes et de faciliter l’accès et le maintien des femmes sur le marché du travail;</w:t>
      </w:r>
      <w:bookmarkEnd w:id="2"/>
      <w:r w:rsidRPr="004267B4">
        <w:rPr>
          <w:lang w:val="fr-BE"/>
        </w:rPr>
        <w:t xml:space="preserve"> </w:t>
      </w:r>
    </w:p>
    <w:p w14:paraId="323BF329" w14:textId="77777777" w:rsidR="00414EFB" w:rsidRPr="004267B4" w:rsidRDefault="00414EFB" w:rsidP="00FF013B">
      <w:pPr>
        <w:pStyle w:val="Heading2"/>
        <w:numPr>
          <w:ilvl w:val="0"/>
          <w:numId w:val="22"/>
        </w:numPr>
        <w:ind w:left="357" w:hanging="357"/>
        <w:rPr>
          <w:lang w:val="fr-BE"/>
        </w:rPr>
      </w:pPr>
      <w:bookmarkStart w:id="3" w:name="_Toc124863684"/>
      <w:r w:rsidRPr="004267B4">
        <w:rPr>
          <w:lang w:val="fr-BE"/>
        </w:rPr>
        <w:t>recommande que la Commission européenne adopte, en cours d’évaluation, des indicateurs spécifiques comparables pour mesurer les améliorations en matière d’égalité salariale, d’accès au marché du travail, de conciliation du temps de travail et de tâches de prise en charge, ainsi que de promotion de l’autoentrepreneuriat des femmes;</w:t>
      </w:r>
      <w:bookmarkEnd w:id="3"/>
    </w:p>
    <w:p w14:paraId="40EC2823" w14:textId="77777777" w:rsidR="00414EFB" w:rsidRPr="004267B4" w:rsidRDefault="00414EFB" w:rsidP="00FF013B">
      <w:pPr>
        <w:pStyle w:val="Heading2"/>
        <w:numPr>
          <w:ilvl w:val="0"/>
          <w:numId w:val="22"/>
        </w:numPr>
        <w:ind w:left="357" w:hanging="357"/>
        <w:rPr>
          <w:lang w:val="fr-BE"/>
        </w:rPr>
      </w:pPr>
      <w:bookmarkStart w:id="4" w:name="_Toc124863685"/>
      <w:r w:rsidRPr="004267B4">
        <w:rPr>
          <w:lang w:val="fr-BE"/>
        </w:rPr>
        <w:t>estime qu’il est prioritaire, lors de la mise en œuvre des PNRR, de renforcer les mesures tant directes qu’indirectes. Cela nécessitera des canaux d’investissement clairs et durables, assortis d’une planification des ressources également à moyen et à long terme;</w:t>
      </w:r>
      <w:bookmarkEnd w:id="4"/>
      <w:r w:rsidRPr="004267B4">
        <w:rPr>
          <w:lang w:val="fr-BE"/>
        </w:rPr>
        <w:t xml:space="preserve"> </w:t>
      </w:r>
    </w:p>
    <w:p w14:paraId="3ECCA20E" w14:textId="77777777" w:rsidR="00414EFB" w:rsidRPr="004267B4" w:rsidRDefault="00414EFB" w:rsidP="00FF013B">
      <w:pPr>
        <w:pStyle w:val="Heading2"/>
        <w:numPr>
          <w:ilvl w:val="0"/>
          <w:numId w:val="22"/>
        </w:numPr>
        <w:ind w:left="357" w:hanging="357"/>
        <w:rPr>
          <w:lang w:val="fr-BE"/>
        </w:rPr>
      </w:pPr>
      <w:bookmarkStart w:id="5" w:name="_Toc124863686"/>
      <w:r w:rsidRPr="004267B4">
        <w:rPr>
          <w:lang w:val="fr-BE"/>
        </w:rPr>
        <w:t>estime qu’il convient d’accorder la priorité aux mesures incitatives visant à créer des emplois stables et de qualité pour les femmes par rapport à d’autres mesures incitatives occasionnelles et de les exclure de la carte des aides d’État;</w:t>
      </w:r>
      <w:bookmarkEnd w:id="5"/>
      <w:r w:rsidRPr="004267B4">
        <w:rPr>
          <w:lang w:val="fr-BE"/>
        </w:rPr>
        <w:t xml:space="preserve"> </w:t>
      </w:r>
    </w:p>
    <w:p w14:paraId="4B71B6AC" w14:textId="77777777" w:rsidR="00414EFB" w:rsidRPr="004267B4" w:rsidRDefault="00414EFB" w:rsidP="00FF013B">
      <w:pPr>
        <w:pStyle w:val="Heading2"/>
        <w:numPr>
          <w:ilvl w:val="0"/>
          <w:numId w:val="22"/>
        </w:numPr>
        <w:ind w:left="357" w:hanging="357"/>
        <w:rPr>
          <w:lang w:val="fr-BE"/>
        </w:rPr>
      </w:pPr>
      <w:bookmarkStart w:id="6" w:name="_Toc124863687"/>
      <w:r w:rsidRPr="004267B4">
        <w:rPr>
          <w:lang w:val="fr-BE"/>
        </w:rPr>
        <w:t>plaide pour que le mécanisme de la clause de récompense pour les entreprises promouvant l’emploi des femmes soit renforcé, par son extension à tous les projets de marchés publics et une réglementation des appels d’offres publics qui indique explicitement aux acteurs chargés de la mise en œuvre les objectifs qui sont poursuivis s’agissant de l’égalité entre les hommes et les femmes;</w:t>
      </w:r>
      <w:bookmarkEnd w:id="6"/>
    </w:p>
    <w:p w14:paraId="6479B82D" w14:textId="77777777" w:rsidR="00414EFB" w:rsidRPr="004267B4" w:rsidRDefault="00414EFB" w:rsidP="00FF013B">
      <w:pPr>
        <w:pStyle w:val="Heading2"/>
        <w:numPr>
          <w:ilvl w:val="0"/>
          <w:numId w:val="22"/>
        </w:numPr>
        <w:ind w:left="357" w:hanging="357"/>
        <w:rPr>
          <w:lang w:val="fr-BE"/>
        </w:rPr>
      </w:pPr>
      <w:bookmarkStart w:id="7" w:name="_Toc124863688"/>
      <w:r w:rsidRPr="004267B4">
        <w:rPr>
          <w:lang w:val="fr-BE"/>
        </w:rPr>
        <w:t>accueille favorablement les mesures d’accompagnement et de soutien à l’auto-entrepreneuriat prévues dans certains PNRR et souhaite que cet appui couvre également des actions de formation en matière de finance et de gestion et d’accès aux instruments financiers;</w:t>
      </w:r>
      <w:bookmarkEnd w:id="7"/>
      <w:r w:rsidRPr="004267B4">
        <w:rPr>
          <w:lang w:val="fr-BE"/>
        </w:rPr>
        <w:t xml:space="preserve"> </w:t>
      </w:r>
    </w:p>
    <w:p w14:paraId="2C9B926E" w14:textId="77777777" w:rsidR="00414EFB" w:rsidRPr="004267B4" w:rsidRDefault="00414EFB" w:rsidP="00FF013B">
      <w:pPr>
        <w:pStyle w:val="Heading2"/>
        <w:numPr>
          <w:ilvl w:val="0"/>
          <w:numId w:val="22"/>
        </w:numPr>
        <w:ind w:left="357" w:hanging="357"/>
        <w:rPr>
          <w:lang w:val="fr-BE"/>
        </w:rPr>
      </w:pPr>
      <w:bookmarkStart w:id="8" w:name="_Toc124863689"/>
      <w:r w:rsidRPr="004267B4">
        <w:rPr>
          <w:lang w:val="fr-BE"/>
        </w:rPr>
        <w:t>estime qu’il est important, dans le cadre de la mise en œuvre des PNRR, d’agir sur le plan fiscal en allégeant la taxation de la deuxième source de revenus familiaux des ménages à bas revenus et des revenus des familles monoparentales défavorisées;</w:t>
      </w:r>
      <w:bookmarkEnd w:id="8"/>
    </w:p>
    <w:p w14:paraId="674D5801" w14:textId="77777777" w:rsidR="00414EFB" w:rsidRPr="004267B4" w:rsidRDefault="00414EFB" w:rsidP="00FF013B">
      <w:pPr>
        <w:pStyle w:val="Heading2"/>
        <w:numPr>
          <w:ilvl w:val="0"/>
          <w:numId w:val="22"/>
        </w:numPr>
        <w:ind w:left="357" w:hanging="357"/>
        <w:rPr>
          <w:lang w:val="fr-BE"/>
        </w:rPr>
      </w:pPr>
      <w:bookmarkStart w:id="9" w:name="_Toc124863690"/>
      <w:r w:rsidRPr="004267B4">
        <w:rPr>
          <w:lang w:val="fr-BE"/>
        </w:rPr>
        <w:t>juge prioritaire d’investir des ressources dans les services qui permettent de concilier des plages de travail et de prise en charge de longue durée, ainsi que de mettre en œuvre des services complémentaires et de les rendre accessibles aux ménages à faibles revenus;</w:t>
      </w:r>
      <w:bookmarkEnd w:id="9"/>
    </w:p>
    <w:p w14:paraId="1D361A99" w14:textId="77777777" w:rsidR="00414EFB" w:rsidRPr="004267B4" w:rsidRDefault="00414EFB" w:rsidP="00FF013B">
      <w:pPr>
        <w:pStyle w:val="Heading2"/>
        <w:numPr>
          <w:ilvl w:val="0"/>
          <w:numId w:val="22"/>
        </w:numPr>
        <w:ind w:left="357" w:hanging="357"/>
        <w:rPr>
          <w:lang w:val="fr-BE"/>
        </w:rPr>
      </w:pPr>
      <w:bookmarkStart w:id="10" w:name="_Toc124863691"/>
      <w:r w:rsidRPr="004267B4">
        <w:rPr>
          <w:lang w:val="fr-BE"/>
        </w:rPr>
        <w:t>considère qu’il n’est plus possible de reporter les investissements spécifiques visant à encourager les femmes à fréquenter les instituts techniques et scientifiques et à suivre les cours universitaires techniques et scientifiques concernant les sciences, les technologies, l’ingénierie et les mathématiques, car ces investissements sont susceptibles, dans une vision à moyen et à long terme, de favoriser l’emploi féminin, y compris dans les secteurs aujourd’hui à prédominance masculine;</w:t>
      </w:r>
      <w:bookmarkEnd w:id="10"/>
      <w:r w:rsidRPr="004267B4">
        <w:rPr>
          <w:lang w:val="fr-BE"/>
        </w:rPr>
        <w:t xml:space="preserve"> </w:t>
      </w:r>
    </w:p>
    <w:p w14:paraId="3FA71934" w14:textId="77777777" w:rsidR="00414EFB" w:rsidRPr="004267B4" w:rsidRDefault="00414EFB" w:rsidP="00FF013B">
      <w:pPr>
        <w:pStyle w:val="Heading2"/>
        <w:numPr>
          <w:ilvl w:val="0"/>
          <w:numId w:val="22"/>
        </w:numPr>
        <w:ind w:left="357" w:hanging="357"/>
        <w:rPr>
          <w:lang w:val="fr-BE"/>
        </w:rPr>
      </w:pPr>
      <w:bookmarkStart w:id="11" w:name="_Toc124863692"/>
      <w:r w:rsidRPr="004267B4">
        <w:rPr>
          <w:lang w:val="fr-BE"/>
        </w:rPr>
        <w:lastRenderedPageBreak/>
        <w:t>recommande que l’intégration de la dimension de genre dans l’établissement des budgets à tous les niveaux de l’administration publique devienne une obligation au titre du Semestre européen.</w:t>
      </w:r>
      <w:bookmarkEnd w:id="11"/>
    </w:p>
    <w:p w14:paraId="087EAD85" w14:textId="77777777" w:rsidR="00414EFB" w:rsidRPr="004267B4" w:rsidRDefault="00414EFB" w:rsidP="00DA2729">
      <w:pPr>
        <w:spacing w:line="240" w:lineRule="auto"/>
        <w:rPr>
          <w:sz w:val="16"/>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14EFB" w:rsidRPr="004267B4" w14:paraId="414AE35A" w14:textId="77777777" w:rsidTr="0059328F">
        <w:tc>
          <w:tcPr>
            <w:tcW w:w="1418" w:type="dxa"/>
          </w:tcPr>
          <w:p w14:paraId="7ED381AF" w14:textId="77777777" w:rsidR="00414EFB" w:rsidRPr="004267B4" w:rsidRDefault="00414EFB" w:rsidP="00DA2729">
            <w:pPr>
              <w:keepNext/>
              <w:spacing w:line="240" w:lineRule="auto"/>
              <w:rPr>
                <w:i/>
                <w:lang w:val="fr-BE"/>
              </w:rPr>
            </w:pPr>
            <w:r w:rsidRPr="004267B4">
              <w:rPr>
                <w:b/>
                <w:i/>
                <w:lang w:val="fr-BE"/>
              </w:rPr>
              <w:t>Contact</w:t>
            </w:r>
          </w:p>
        </w:tc>
        <w:tc>
          <w:tcPr>
            <w:tcW w:w="5670" w:type="dxa"/>
          </w:tcPr>
          <w:p w14:paraId="13230386" w14:textId="6AD110EC" w:rsidR="00414EFB" w:rsidRPr="004267B4" w:rsidRDefault="00414EFB" w:rsidP="00DA2729">
            <w:pPr>
              <w:keepNext/>
              <w:spacing w:line="240" w:lineRule="auto"/>
              <w:rPr>
                <w:i/>
                <w:iCs/>
                <w:lang w:val="fr-BE"/>
              </w:rPr>
            </w:pPr>
            <w:r w:rsidRPr="004267B4">
              <w:rPr>
                <w:i/>
                <w:lang w:val="fr-BE"/>
              </w:rPr>
              <w:t>Colombe G</w:t>
            </w:r>
            <w:r w:rsidR="004466E9" w:rsidRPr="004267B4">
              <w:rPr>
                <w:i/>
                <w:lang w:val="fr-BE"/>
              </w:rPr>
              <w:t>régoire</w:t>
            </w:r>
          </w:p>
        </w:tc>
      </w:tr>
      <w:tr w:rsidR="00414EFB" w:rsidRPr="004267B4" w14:paraId="21A462D0" w14:textId="77777777" w:rsidTr="0059328F">
        <w:tc>
          <w:tcPr>
            <w:tcW w:w="1418" w:type="dxa"/>
          </w:tcPr>
          <w:p w14:paraId="7100CBF5" w14:textId="77777777" w:rsidR="00414EFB" w:rsidRPr="004267B4" w:rsidRDefault="00414EFB" w:rsidP="00DA2729">
            <w:pPr>
              <w:keepNext/>
              <w:spacing w:line="240" w:lineRule="auto"/>
              <w:rPr>
                <w:i/>
                <w:lang w:val="fr-BE"/>
              </w:rPr>
            </w:pPr>
            <w:r w:rsidRPr="004267B4">
              <w:rPr>
                <w:i/>
                <w:lang w:val="fr-BE"/>
              </w:rPr>
              <w:t>Tél.</w:t>
            </w:r>
          </w:p>
        </w:tc>
        <w:tc>
          <w:tcPr>
            <w:tcW w:w="5670" w:type="dxa"/>
          </w:tcPr>
          <w:p w14:paraId="469D7528" w14:textId="77777777" w:rsidR="00414EFB" w:rsidRPr="004267B4" w:rsidRDefault="00414EFB" w:rsidP="00DA2729">
            <w:pPr>
              <w:keepNext/>
              <w:spacing w:line="240" w:lineRule="auto"/>
              <w:rPr>
                <w:i/>
                <w:iCs/>
                <w:lang w:val="fr-BE"/>
              </w:rPr>
            </w:pPr>
            <w:r w:rsidRPr="004267B4">
              <w:rPr>
                <w:i/>
                <w:lang w:val="fr-BE"/>
              </w:rPr>
              <w:t>+32 25469286</w:t>
            </w:r>
          </w:p>
        </w:tc>
      </w:tr>
      <w:tr w:rsidR="00414EFB" w:rsidRPr="004267B4" w14:paraId="2111AC02" w14:textId="77777777" w:rsidTr="0059328F">
        <w:tc>
          <w:tcPr>
            <w:tcW w:w="1418" w:type="dxa"/>
          </w:tcPr>
          <w:p w14:paraId="3A6F92E4" w14:textId="77777777" w:rsidR="00414EFB" w:rsidRPr="004267B4" w:rsidRDefault="00414EFB" w:rsidP="00DA2729">
            <w:pPr>
              <w:keepNext/>
              <w:spacing w:line="240" w:lineRule="auto"/>
              <w:rPr>
                <w:i/>
                <w:lang w:val="fr-BE"/>
              </w:rPr>
            </w:pPr>
            <w:r w:rsidRPr="004267B4">
              <w:rPr>
                <w:i/>
                <w:lang w:val="fr-BE"/>
              </w:rPr>
              <w:t>Courriel:</w:t>
            </w:r>
          </w:p>
        </w:tc>
        <w:tc>
          <w:tcPr>
            <w:tcW w:w="5670" w:type="dxa"/>
          </w:tcPr>
          <w:p w14:paraId="6562F9AF" w14:textId="7E26C157" w:rsidR="00414EFB" w:rsidRPr="004466E9" w:rsidRDefault="004466E9" w:rsidP="00DA2729">
            <w:pPr>
              <w:keepNext/>
              <w:spacing w:line="240" w:lineRule="auto"/>
              <w:rPr>
                <w:i/>
                <w:iCs/>
                <w:lang w:val="fr-BE"/>
              </w:rPr>
            </w:pPr>
            <w:hyperlink r:id="rId18" w:history="1">
              <w:r w:rsidRPr="00B94544">
                <w:rPr>
                  <w:rStyle w:val="Hyperlink"/>
                  <w:i/>
                  <w:lang w:val="fr-BE"/>
                </w:rPr>
                <w:t>Colombe.gregoire@eesc.europa.eu</w:t>
              </w:r>
            </w:hyperlink>
            <w:r w:rsidR="00414EFB" w:rsidRPr="004466E9">
              <w:rPr>
                <w:i/>
                <w:lang w:val="fr-BE"/>
              </w:rPr>
              <w:t xml:space="preserve"> </w:t>
            </w:r>
          </w:p>
        </w:tc>
      </w:tr>
    </w:tbl>
    <w:p w14:paraId="58CFB761" w14:textId="6438AA21" w:rsidR="00F4549F" w:rsidRPr="004267B4" w:rsidRDefault="00F4549F" w:rsidP="00DA2729">
      <w:pPr>
        <w:spacing w:line="259" w:lineRule="auto"/>
        <w:jc w:val="left"/>
        <w:rPr>
          <w:lang w:val="fr-BE"/>
        </w:rPr>
      </w:pPr>
    </w:p>
    <w:p w14:paraId="4FFF5C53" w14:textId="5FA16004" w:rsidR="00B67EDA" w:rsidRPr="004267B4" w:rsidRDefault="00F4549F" w:rsidP="00DA2729">
      <w:pPr>
        <w:spacing w:line="259" w:lineRule="auto"/>
        <w:jc w:val="left"/>
        <w:rPr>
          <w:lang w:val="fr-BE"/>
        </w:rPr>
      </w:pPr>
      <w:r w:rsidRPr="004267B4">
        <w:rPr>
          <w:lang w:val="fr-BE"/>
        </w:rPr>
        <w:br w:type="page"/>
      </w:r>
    </w:p>
    <w:p w14:paraId="4CED6D4B" w14:textId="4B86B481" w:rsidR="00FF013B" w:rsidRPr="004267B4" w:rsidRDefault="00FF013B" w:rsidP="00DA2729">
      <w:pPr>
        <w:spacing w:line="259" w:lineRule="auto"/>
        <w:jc w:val="left"/>
        <w:rPr>
          <w:lang w:val="fr-BE"/>
        </w:rPr>
      </w:pPr>
    </w:p>
    <w:p w14:paraId="0C112544" w14:textId="4F1877C9" w:rsidR="00FF013B" w:rsidRPr="004267B4" w:rsidRDefault="004466E9" w:rsidP="00FF013B">
      <w:pPr>
        <w:numPr>
          <w:ilvl w:val="0"/>
          <w:numId w:val="3"/>
        </w:numPr>
        <w:overflowPunct w:val="0"/>
        <w:autoSpaceDE w:val="0"/>
        <w:autoSpaceDN w:val="0"/>
        <w:adjustRightInd w:val="0"/>
        <w:ind w:left="567" w:hanging="567"/>
        <w:textAlignment w:val="baseline"/>
        <w:rPr>
          <w:b/>
          <w:bCs/>
          <w:i/>
          <w:iCs/>
          <w:sz w:val="28"/>
          <w:szCs w:val="28"/>
          <w:lang w:val="fr-BE"/>
        </w:rPr>
      </w:pPr>
      <w:hyperlink r:id="rId19" w:history="1">
        <w:r w:rsidR="00FF013B" w:rsidRPr="004267B4">
          <w:rPr>
            <w:b/>
            <w:bCs/>
            <w:i/>
            <w:iCs/>
            <w:sz w:val="28"/>
            <w:szCs w:val="28"/>
            <w:lang w:val="fr-BE"/>
          </w:rPr>
          <w:t>Échange d’informations conservées dans les registres électroniques</w:t>
        </w:r>
      </w:hyperlink>
    </w:p>
    <w:p w14:paraId="08CF5EC6" w14:textId="77777777" w:rsidR="00FF013B" w:rsidRPr="004267B4" w:rsidRDefault="00FF013B" w:rsidP="00FF013B">
      <w:pPr>
        <w:tabs>
          <w:tab w:val="center" w:pos="284"/>
        </w:tabs>
        <w:ind w:left="266" w:hanging="266"/>
        <w:rPr>
          <w:bCs/>
          <w:lang w:val="fr-BE"/>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0"/>
      </w:tblGrid>
      <w:tr w:rsidR="004267B4" w:rsidRPr="004267B4" w14:paraId="573CF9B6" w14:textId="77777777" w:rsidTr="00CA531B">
        <w:tc>
          <w:tcPr>
            <w:tcW w:w="7371" w:type="dxa"/>
            <w:gridSpan w:val="2"/>
          </w:tcPr>
          <w:p w14:paraId="79B95D4B" w14:textId="0356DFCF" w:rsidR="004267B4" w:rsidRPr="004267B4" w:rsidRDefault="004267B4" w:rsidP="0059328F">
            <w:pPr>
              <w:tabs>
                <w:tab w:val="center" w:pos="284"/>
              </w:tabs>
              <w:ind w:left="266" w:hanging="266"/>
              <w:rPr>
                <w:lang w:val="fr-BE"/>
              </w:rPr>
            </w:pPr>
            <w:r w:rsidRPr="004267B4">
              <w:rPr>
                <w:b/>
                <w:lang w:val="fr-BE"/>
              </w:rPr>
              <w:t xml:space="preserve">  Catégorie C</w:t>
            </w:r>
          </w:p>
        </w:tc>
      </w:tr>
      <w:tr w:rsidR="00FF013B" w:rsidRPr="004267B4" w14:paraId="0E410CB1" w14:textId="77777777" w:rsidTr="0059328F">
        <w:tc>
          <w:tcPr>
            <w:tcW w:w="1701" w:type="dxa"/>
            <w:vMerge w:val="restart"/>
          </w:tcPr>
          <w:p w14:paraId="7FD7EF73" w14:textId="77777777" w:rsidR="00FF013B" w:rsidRPr="004267B4" w:rsidRDefault="00FF013B" w:rsidP="0059328F">
            <w:pPr>
              <w:tabs>
                <w:tab w:val="center" w:pos="563"/>
              </w:tabs>
              <w:ind w:left="266" w:hanging="129"/>
              <w:rPr>
                <w:b/>
                <w:lang w:val="fr-BE"/>
              </w:rPr>
            </w:pPr>
            <w:r w:rsidRPr="004267B4">
              <w:rPr>
                <w:b/>
                <w:lang w:val="fr-BE"/>
              </w:rPr>
              <w:t>Références</w:t>
            </w:r>
          </w:p>
        </w:tc>
        <w:tc>
          <w:tcPr>
            <w:tcW w:w="5670" w:type="dxa"/>
          </w:tcPr>
          <w:p w14:paraId="1A0A0A7D" w14:textId="3648CD2A" w:rsidR="00FF013B" w:rsidRPr="004267B4" w:rsidRDefault="00FF013B" w:rsidP="0059328F">
            <w:pPr>
              <w:tabs>
                <w:tab w:val="center" w:pos="284"/>
              </w:tabs>
              <w:ind w:left="266" w:hanging="266"/>
              <w:rPr>
                <w:lang w:val="fr-BE"/>
              </w:rPr>
            </w:pPr>
            <w:r w:rsidRPr="004267B4">
              <w:rPr>
                <w:lang w:val="fr-BE"/>
              </w:rPr>
              <w:t>COM(2022) 539 final</w:t>
            </w:r>
          </w:p>
        </w:tc>
      </w:tr>
      <w:tr w:rsidR="00FF013B" w:rsidRPr="004267B4" w14:paraId="490B5CC1" w14:textId="77777777" w:rsidTr="0059328F">
        <w:tc>
          <w:tcPr>
            <w:tcW w:w="1701" w:type="dxa"/>
            <w:vMerge/>
          </w:tcPr>
          <w:p w14:paraId="7090AD60" w14:textId="77777777" w:rsidR="00FF013B" w:rsidRPr="004267B4" w:rsidRDefault="00FF013B" w:rsidP="0059328F">
            <w:pPr>
              <w:tabs>
                <w:tab w:val="center" w:pos="284"/>
              </w:tabs>
              <w:ind w:left="266" w:hanging="266"/>
              <w:rPr>
                <w:b/>
                <w:lang w:val="fr-BE"/>
              </w:rPr>
            </w:pPr>
          </w:p>
        </w:tc>
        <w:tc>
          <w:tcPr>
            <w:tcW w:w="5670" w:type="dxa"/>
          </w:tcPr>
          <w:p w14:paraId="79583C39" w14:textId="77777777" w:rsidR="00FF013B" w:rsidRPr="004267B4" w:rsidRDefault="00FF013B" w:rsidP="0059328F">
            <w:pPr>
              <w:tabs>
                <w:tab w:val="center" w:pos="284"/>
              </w:tabs>
              <w:ind w:left="266" w:hanging="266"/>
              <w:rPr>
                <w:lang w:val="fr-BE"/>
              </w:rPr>
            </w:pPr>
            <w:r w:rsidRPr="004267B4">
              <w:rPr>
                <w:lang w:val="fr-BE"/>
              </w:rPr>
              <w:t>EESC-2022-05652-00-00-AC-TRA</w:t>
            </w:r>
          </w:p>
        </w:tc>
      </w:tr>
    </w:tbl>
    <w:p w14:paraId="53F2304E" w14:textId="77777777" w:rsidR="00FF013B" w:rsidRPr="004267B4" w:rsidRDefault="00FF013B" w:rsidP="00FF013B">
      <w:pPr>
        <w:tabs>
          <w:tab w:val="center" w:pos="284"/>
        </w:tabs>
        <w:ind w:left="266" w:hanging="266"/>
        <w:rPr>
          <w:lang w:val="fr-BE"/>
        </w:rPr>
      </w:pPr>
    </w:p>
    <w:p w14:paraId="0D33F229" w14:textId="77777777" w:rsidR="00FF013B" w:rsidRPr="004267B4" w:rsidRDefault="00FF013B" w:rsidP="00FF013B">
      <w:pPr>
        <w:keepNext/>
        <w:keepLines/>
        <w:tabs>
          <w:tab w:val="center" w:pos="284"/>
        </w:tabs>
        <w:ind w:left="266" w:hanging="266"/>
        <w:rPr>
          <w:b/>
          <w:lang w:val="fr-BE"/>
        </w:rPr>
      </w:pPr>
      <w:r w:rsidRPr="004267B4">
        <w:rPr>
          <w:b/>
          <w:lang w:val="fr-BE"/>
        </w:rPr>
        <w:t>Points clés</w:t>
      </w:r>
    </w:p>
    <w:p w14:paraId="1CDDCFDC" w14:textId="77777777" w:rsidR="00FF013B" w:rsidRPr="004267B4" w:rsidRDefault="00FF013B" w:rsidP="00FF013B">
      <w:pPr>
        <w:keepNext/>
        <w:keepLines/>
        <w:tabs>
          <w:tab w:val="center" w:pos="284"/>
        </w:tabs>
        <w:ind w:left="266" w:hanging="266"/>
        <w:rPr>
          <w:bCs/>
          <w:lang w:val="fr-BE"/>
        </w:rPr>
      </w:pPr>
    </w:p>
    <w:p w14:paraId="2051A3F5" w14:textId="335FA882" w:rsidR="00FF013B" w:rsidRPr="004267B4" w:rsidRDefault="00FF013B" w:rsidP="00FF013B">
      <w:pPr>
        <w:rPr>
          <w:bCs/>
          <w:iCs/>
          <w:lang w:val="fr-BE"/>
        </w:rPr>
      </w:pPr>
      <w:r w:rsidRPr="004267B4">
        <w:rPr>
          <w:lang w:val="fr-BE"/>
        </w:rPr>
        <w:t>Le CESE estime que le contenu de la proposition de règlement du Conseil modifiant le règlement (UE) nº 389/2012 en ce qui concerne l’échange des informations contenues dans les registres électroniques relatifs aux opérateurs économiques qui déplacent des produits soumis à accise entre les États membres à des fins commerciales</w:t>
      </w:r>
      <w:r w:rsidRPr="004267B4">
        <w:rPr>
          <w:rStyle w:val="FootnoteReference"/>
          <w:lang w:val="fr-BE"/>
        </w:rPr>
        <w:footnoteReference w:id="1"/>
      </w:r>
      <w:r w:rsidRPr="004267B4">
        <w:rPr>
          <w:lang w:val="fr-BE"/>
        </w:rPr>
        <w:t xml:space="preserve"> est satisfaisant.</w:t>
      </w:r>
    </w:p>
    <w:p w14:paraId="770BA5AC" w14:textId="77777777" w:rsidR="00FF013B" w:rsidRPr="004267B4" w:rsidRDefault="00FF013B" w:rsidP="00FF013B">
      <w:pPr>
        <w:pStyle w:val="ListParagraph"/>
        <w:ind w:left="0"/>
        <w:rPr>
          <w:color w:val="000000" w:themeColor="text1"/>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FF013B" w:rsidRPr="004267B4" w14:paraId="54A7C619" w14:textId="77777777" w:rsidTr="0059328F">
        <w:tc>
          <w:tcPr>
            <w:tcW w:w="1418" w:type="dxa"/>
          </w:tcPr>
          <w:p w14:paraId="14DFB61E" w14:textId="77777777" w:rsidR="00FF013B" w:rsidRPr="004267B4" w:rsidRDefault="00FF013B" w:rsidP="0059328F">
            <w:pPr>
              <w:spacing w:line="240" w:lineRule="auto"/>
              <w:rPr>
                <w:i/>
                <w:lang w:val="fr-BE"/>
              </w:rPr>
            </w:pPr>
            <w:r w:rsidRPr="004267B4">
              <w:rPr>
                <w:b/>
                <w:i/>
                <w:lang w:val="fr-BE"/>
              </w:rPr>
              <w:t>Contact</w:t>
            </w:r>
          </w:p>
        </w:tc>
        <w:tc>
          <w:tcPr>
            <w:tcW w:w="5670" w:type="dxa"/>
          </w:tcPr>
          <w:p w14:paraId="655A4F79" w14:textId="77777777" w:rsidR="00FF013B" w:rsidRPr="004267B4" w:rsidRDefault="00FF013B" w:rsidP="0059328F">
            <w:pPr>
              <w:spacing w:line="240" w:lineRule="auto"/>
              <w:rPr>
                <w:i/>
                <w:lang w:val="fr-BE"/>
              </w:rPr>
            </w:pPr>
            <w:r w:rsidRPr="004267B4">
              <w:rPr>
                <w:i/>
                <w:lang w:val="fr-BE"/>
              </w:rPr>
              <w:t>Jüri Soosaar</w:t>
            </w:r>
          </w:p>
        </w:tc>
      </w:tr>
      <w:tr w:rsidR="00FF013B" w:rsidRPr="004267B4" w14:paraId="21DC74A6" w14:textId="77777777" w:rsidTr="0059328F">
        <w:tc>
          <w:tcPr>
            <w:tcW w:w="1418" w:type="dxa"/>
          </w:tcPr>
          <w:p w14:paraId="43679190" w14:textId="77777777" w:rsidR="00FF013B" w:rsidRPr="004267B4" w:rsidRDefault="00FF013B" w:rsidP="0059328F">
            <w:pPr>
              <w:spacing w:line="240" w:lineRule="auto"/>
              <w:rPr>
                <w:i/>
                <w:lang w:val="fr-BE"/>
              </w:rPr>
            </w:pPr>
            <w:r w:rsidRPr="004267B4">
              <w:rPr>
                <w:i/>
                <w:lang w:val="fr-BE"/>
              </w:rPr>
              <w:t>Tél.</w:t>
            </w:r>
          </w:p>
        </w:tc>
        <w:tc>
          <w:tcPr>
            <w:tcW w:w="5670" w:type="dxa"/>
          </w:tcPr>
          <w:p w14:paraId="77480B0A" w14:textId="77777777" w:rsidR="00FF013B" w:rsidRPr="004267B4" w:rsidRDefault="00FF013B" w:rsidP="0059328F">
            <w:pPr>
              <w:spacing w:line="240" w:lineRule="auto"/>
              <w:rPr>
                <w:i/>
                <w:lang w:val="fr-BE"/>
              </w:rPr>
            </w:pPr>
            <w:r w:rsidRPr="004267B4">
              <w:rPr>
                <w:i/>
                <w:lang w:val="fr-BE"/>
              </w:rPr>
              <w:t>+32 2 546 9628</w:t>
            </w:r>
          </w:p>
        </w:tc>
      </w:tr>
      <w:tr w:rsidR="00FF013B" w:rsidRPr="004267B4" w14:paraId="4FF9DB81" w14:textId="77777777" w:rsidTr="0059328F">
        <w:tc>
          <w:tcPr>
            <w:tcW w:w="1418" w:type="dxa"/>
          </w:tcPr>
          <w:p w14:paraId="2173BB14" w14:textId="77777777" w:rsidR="00FF013B" w:rsidRPr="004267B4" w:rsidRDefault="00FF013B" w:rsidP="0059328F">
            <w:pPr>
              <w:spacing w:line="240" w:lineRule="auto"/>
              <w:rPr>
                <w:i/>
                <w:lang w:val="fr-BE"/>
              </w:rPr>
            </w:pPr>
            <w:r w:rsidRPr="004267B4">
              <w:rPr>
                <w:i/>
                <w:lang w:val="fr-BE"/>
              </w:rPr>
              <w:t>Courriel</w:t>
            </w:r>
          </w:p>
        </w:tc>
        <w:tc>
          <w:tcPr>
            <w:tcW w:w="5670" w:type="dxa"/>
          </w:tcPr>
          <w:p w14:paraId="02B0B419" w14:textId="77D052F2" w:rsidR="00FF013B" w:rsidRPr="004267B4" w:rsidRDefault="004466E9" w:rsidP="0059328F">
            <w:pPr>
              <w:spacing w:line="240" w:lineRule="auto"/>
              <w:rPr>
                <w:i/>
                <w:lang w:val="fr-BE"/>
              </w:rPr>
            </w:pPr>
            <w:hyperlink r:id="rId20" w:history="1">
              <w:r w:rsidR="00FF013B" w:rsidRPr="004267B4">
                <w:rPr>
                  <w:rStyle w:val="Hyperlink"/>
                  <w:i/>
                  <w:lang w:val="fr-BE"/>
                </w:rPr>
                <w:t>Juri.Soosaar@eesc.europa.eu</w:t>
              </w:r>
            </w:hyperlink>
            <w:r w:rsidR="00FF013B" w:rsidRPr="004267B4">
              <w:rPr>
                <w:i/>
                <w:lang w:val="fr-BE"/>
              </w:rPr>
              <w:t xml:space="preserve"> </w:t>
            </w:r>
          </w:p>
        </w:tc>
      </w:tr>
    </w:tbl>
    <w:p w14:paraId="09C7A60A" w14:textId="1EF48D6F" w:rsidR="00FF013B" w:rsidRPr="004267B4" w:rsidRDefault="00FF013B" w:rsidP="00DA2729">
      <w:pPr>
        <w:spacing w:line="259" w:lineRule="auto"/>
        <w:jc w:val="left"/>
        <w:rPr>
          <w:lang w:val="fr-BE"/>
        </w:rPr>
      </w:pPr>
    </w:p>
    <w:p w14:paraId="26E28D01" w14:textId="78B829F7" w:rsidR="00FF013B" w:rsidRPr="004267B4" w:rsidRDefault="00FF013B">
      <w:pPr>
        <w:spacing w:after="160" w:line="259" w:lineRule="auto"/>
        <w:jc w:val="left"/>
        <w:rPr>
          <w:lang w:val="fr-BE"/>
        </w:rPr>
      </w:pPr>
      <w:r w:rsidRPr="004267B4">
        <w:rPr>
          <w:lang w:val="fr-BE"/>
        </w:rPr>
        <w:br w:type="page"/>
      </w:r>
    </w:p>
    <w:p w14:paraId="4C2EE1AA" w14:textId="77777777" w:rsidR="00FF013B" w:rsidRPr="004267B4" w:rsidRDefault="00FF013B" w:rsidP="00DA2729">
      <w:pPr>
        <w:spacing w:line="259" w:lineRule="auto"/>
        <w:jc w:val="left"/>
        <w:rPr>
          <w:lang w:val="fr-BE"/>
        </w:rPr>
      </w:pPr>
    </w:p>
    <w:p w14:paraId="73D829D0" w14:textId="77777777" w:rsidR="004D7AC0" w:rsidRPr="004267B4" w:rsidRDefault="004D7AC0">
      <w:pPr>
        <w:pStyle w:val="Heading1"/>
        <w:rPr>
          <w:b/>
          <w:lang w:val="fr-BE"/>
        </w:rPr>
      </w:pPr>
      <w:bookmarkStart w:id="12" w:name="_Toc75527081"/>
      <w:bookmarkStart w:id="13" w:name="_Toc124863693"/>
      <w:r w:rsidRPr="004267B4">
        <w:rPr>
          <w:b/>
          <w:lang w:val="fr-BE"/>
        </w:rPr>
        <w:t>EMPLOI, AFFAIRES SOCIALES ET CITOYENNETÉ</w:t>
      </w:r>
      <w:bookmarkEnd w:id="12"/>
      <w:bookmarkEnd w:id="13"/>
    </w:p>
    <w:p w14:paraId="187F194C" w14:textId="59504090" w:rsidR="00276CC9" w:rsidRPr="004267B4" w:rsidRDefault="00276CC9" w:rsidP="00DA2729">
      <w:pPr>
        <w:spacing w:line="259" w:lineRule="auto"/>
        <w:jc w:val="left"/>
        <w:rPr>
          <w:lang w:val="fr-BE"/>
        </w:rPr>
      </w:pPr>
    </w:p>
    <w:p w14:paraId="6AF5ACF6" w14:textId="457E82F4" w:rsidR="00414EFB" w:rsidRPr="004267B4" w:rsidRDefault="004466E9" w:rsidP="00FF013B">
      <w:pPr>
        <w:numPr>
          <w:ilvl w:val="0"/>
          <w:numId w:val="3"/>
        </w:numPr>
        <w:overflowPunct w:val="0"/>
        <w:autoSpaceDE w:val="0"/>
        <w:autoSpaceDN w:val="0"/>
        <w:adjustRightInd w:val="0"/>
        <w:ind w:left="567" w:hanging="567"/>
        <w:textAlignment w:val="baseline"/>
        <w:rPr>
          <w:lang w:val="fr-BE"/>
        </w:rPr>
      </w:pPr>
      <w:hyperlink r:id="rId21" w:history="1">
        <w:r w:rsidR="00414EFB" w:rsidRPr="004267B4">
          <w:rPr>
            <w:b/>
            <w:bCs/>
            <w:i/>
            <w:iCs/>
            <w:sz w:val="28"/>
            <w:szCs w:val="28"/>
            <w:lang w:val="fr-BE"/>
          </w:rPr>
          <w:t>L’investissement réalisé dans une optique de genre comme moyen d’améliorer l’égalité entre les hommes et les femmes dans l’Union européenne</w:t>
        </w:r>
      </w:hyperlink>
    </w:p>
    <w:p w14:paraId="6DF94CAE" w14:textId="77777777" w:rsidR="00414EFB" w:rsidRPr="004267B4" w:rsidRDefault="00414EFB" w:rsidP="00414EFB">
      <w:pPr>
        <w:ind w:right="-283"/>
        <w:rPr>
          <w:sz w:val="16"/>
          <w:szCs w:val="16"/>
          <w:lang w:val="fr-B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63"/>
      </w:tblGrid>
      <w:tr w:rsidR="00414EFB" w:rsidRPr="004267B4" w14:paraId="2C5F7257" w14:textId="77777777" w:rsidTr="00074BCE">
        <w:tc>
          <w:tcPr>
            <w:tcW w:w="1701" w:type="dxa"/>
          </w:tcPr>
          <w:p w14:paraId="0FFF9E08" w14:textId="77777777" w:rsidR="00414EFB" w:rsidRPr="004267B4" w:rsidRDefault="00414EFB" w:rsidP="0059328F">
            <w:pPr>
              <w:tabs>
                <w:tab w:val="center" w:pos="284"/>
              </w:tabs>
              <w:ind w:left="266" w:hanging="266"/>
              <w:rPr>
                <w:b/>
                <w:lang w:val="fr-BE"/>
              </w:rPr>
            </w:pPr>
            <w:r w:rsidRPr="004267B4">
              <w:rPr>
                <w:b/>
                <w:lang w:val="fr-BE"/>
              </w:rPr>
              <w:t>Rapporteure</w:t>
            </w:r>
          </w:p>
        </w:tc>
        <w:tc>
          <w:tcPr>
            <w:tcW w:w="7763" w:type="dxa"/>
          </w:tcPr>
          <w:p w14:paraId="5C5E6542" w14:textId="4D562B33" w:rsidR="00414EFB" w:rsidRPr="004267B4" w:rsidRDefault="00414EFB" w:rsidP="0059328F">
            <w:pPr>
              <w:tabs>
                <w:tab w:val="center" w:pos="284"/>
              </w:tabs>
              <w:ind w:left="266" w:hanging="266"/>
              <w:rPr>
                <w:bCs/>
                <w:lang w:val="fr-BE"/>
              </w:rPr>
            </w:pPr>
            <w:r w:rsidRPr="004267B4">
              <w:rPr>
                <w:bCs/>
                <w:lang w:val="fr-BE"/>
              </w:rPr>
              <w:t>Ody NEISINGH (</w:t>
            </w:r>
            <w:r w:rsidR="00F13412">
              <w:rPr>
                <w:lang w:val="fr-BE"/>
              </w:rPr>
              <w:t xml:space="preserve">groupe </w:t>
            </w:r>
            <w:r w:rsidR="004267B4" w:rsidRPr="004267B4">
              <w:rPr>
                <w:lang w:val="fr-BE"/>
              </w:rPr>
              <w:t>des organisations de la société civile</w:t>
            </w:r>
            <w:r w:rsidR="004267B4" w:rsidRPr="004267B4">
              <w:rPr>
                <w:bCs/>
                <w:lang w:val="fr-BE"/>
              </w:rPr>
              <w:t xml:space="preserve"> — NL</w:t>
            </w:r>
            <w:r w:rsidRPr="004267B4">
              <w:rPr>
                <w:bCs/>
                <w:lang w:val="fr-BE"/>
              </w:rPr>
              <w:t>)</w:t>
            </w:r>
          </w:p>
        </w:tc>
      </w:tr>
      <w:tr w:rsidR="00414EFB" w:rsidRPr="004267B4" w14:paraId="7FE36735" w14:textId="77777777" w:rsidTr="00074BCE">
        <w:tc>
          <w:tcPr>
            <w:tcW w:w="1701" w:type="dxa"/>
          </w:tcPr>
          <w:p w14:paraId="64B23384" w14:textId="77777777" w:rsidR="00414EFB" w:rsidRPr="004267B4" w:rsidRDefault="00414EFB" w:rsidP="0059328F">
            <w:pPr>
              <w:tabs>
                <w:tab w:val="center" w:pos="284"/>
              </w:tabs>
              <w:ind w:left="266" w:hanging="266"/>
              <w:rPr>
                <w:b/>
                <w:lang w:val="fr-BE"/>
              </w:rPr>
            </w:pPr>
            <w:r w:rsidRPr="004267B4">
              <w:rPr>
                <w:b/>
                <w:lang w:val="fr-BE"/>
              </w:rPr>
              <w:t>Corapporteure</w:t>
            </w:r>
          </w:p>
        </w:tc>
        <w:tc>
          <w:tcPr>
            <w:tcW w:w="7763" w:type="dxa"/>
          </w:tcPr>
          <w:p w14:paraId="236F4CD6" w14:textId="66C17B2A" w:rsidR="00414EFB" w:rsidRPr="004267B4" w:rsidRDefault="00414EFB" w:rsidP="0059328F">
            <w:pPr>
              <w:tabs>
                <w:tab w:val="center" w:pos="284"/>
              </w:tabs>
              <w:ind w:left="266" w:hanging="266"/>
              <w:rPr>
                <w:bCs/>
                <w:lang w:val="fr-BE"/>
              </w:rPr>
            </w:pPr>
            <w:r w:rsidRPr="004267B4">
              <w:rPr>
                <w:bCs/>
                <w:lang w:val="fr-BE"/>
              </w:rPr>
              <w:t>Maria NIKOLOPOULOU (</w:t>
            </w:r>
            <w:r w:rsidR="00F13412">
              <w:rPr>
                <w:lang w:val="fr-BE"/>
              </w:rPr>
              <w:t xml:space="preserve">groupe </w:t>
            </w:r>
            <w:r w:rsidR="004267B4" w:rsidRPr="004267B4">
              <w:rPr>
                <w:lang w:val="fr-BE"/>
              </w:rPr>
              <w:t>des travailleurs —</w:t>
            </w:r>
            <w:r w:rsidRPr="004267B4">
              <w:rPr>
                <w:bCs/>
                <w:lang w:val="fr-BE"/>
              </w:rPr>
              <w:t>ES)</w:t>
            </w:r>
          </w:p>
        </w:tc>
      </w:tr>
      <w:tr w:rsidR="00414EFB" w:rsidRPr="004267B4" w14:paraId="34EB513F" w14:textId="77777777" w:rsidTr="00074BCE">
        <w:tc>
          <w:tcPr>
            <w:tcW w:w="9464" w:type="dxa"/>
            <w:gridSpan w:val="2"/>
          </w:tcPr>
          <w:p w14:paraId="51FB68AB" w14:textId="77777777" w:rsidR="00414EFB" w:rsidRPr="004267B4" w:rsidRDefault="00414EFB" w:rsidP="0059328F">
            <w:pPr>
              <w:tabs>
                <w:tab w:val="center" w:pos="284"/>
              </w:tabs>
              <w:spacing w:line="160" w:lineRule="exact"/>
              <w:ind w:left="266" w:hanging="266"/>
              <w:rPr>
                <w:lang w:val="fr-BE"/>
              </w:rPr>
            </w:pPr>
          </w:p>
        </w:tc>
      </w:tr>
      <w:tr w:rsidR="00414EFB" w:rsidRPr="004267B4" w14:paraId="30DF9EC5" w14:textId="77777777" w:rsidTr="00074BCE">
        <w:tc>
          <w:tcPr>
            <w:tcW w:w="1701" w:type="dxa"/>
          </w:tcPr>
          <w:p w14:paraId="4298B1A8" w14:textId="77777777" w:rsidR="00414EFB" w:rsidRPr="004267B4" w:rsidRDefault="00414EFB" w:rsidP="0059328F">
            <w:pPr>
              <w:tabs>
                <w:tab w:val="center" w:pos="284"/>
              </w:tabs>
              <w:ind w:left="266" w:hanging="266"/>
              <w:rPr>
                <w:b/>
                <w:lang w:val="fr-BE"/>
              </w:rPr>
            </w:pPr>
            <w:r w:rsidRPr="004267B4">
              <w:rPr>
                <w:b/>
                <w:lang w:val="fr-BE"/>
              </w:rPr>
              <w:t>Référence</w:t>
            </w:r>
          </w:p>
        </w:tc>
        <w:tc>
          <w:tcPr>
            <w:tcW w:w="7763" w:type="dxa"/>
          </w:tcPr>
          <w:p w14:paraId="3AD7EAA1" w14:textId="28F62910" w:rsidR="00FF013B" w:rsidRPr="004267B4" w:rsidRDefault="00FF013B" w:rsidP="0059328F">
            <w:pPr>
              <w:tabs>
                <w:tab w:val="center" w:pos="284"/>
              </w:tabs>
              <w:ind w:left="266" w:hanging="266"/>
              <w:rPr>
                <w:lang w:val="fr-BE"/>
              </w:rPr>
            </w:pPr>
            <w:r w:rsidRPr="004267B4">
              <w:rPr>
                <w:lang w:val="fr-BE"/>
              </w:rPr>
              <w:t>Avis d'initiative</w:t>
            </w:r>
          </w:p>
          <w:p w14:paraId="76E456B7" w14:textId="0EA23910" w:rsidR="00414EFB" w:rsidRPr="004267B4" w:rsidRDefault="00414EFB" w:rsidP="0059328F">
            <w:pPr>
              <w:tabs>
                <w:tab w:val="center" w:pos="284"/>
              </w:tabs>
              <w:ind w:left="266" w:hanging="266"/>
              <w:rPr>
                <w:lang w:val="fr-BE"/>
              </w:rPr>
            </w:pPr>
            <w:r w:rsidRPr="004267B4">
              <w:rPr>
                <w:lang w:val="fr-BE"/>
              </w:rPr>
              <w:t>EESC-2022-02263-00-00-A</w:t>
            </w:r>
            <w:r w:rsidR="004267B4" w:rsidRPr="004267B4">
              <w:rPr>
                <w:lang w:val="fr-BE"/>
              </w:rPr>
              <w:t>C</w:t>
            </w:r>
          </w:p>
        </w:tc>
      </w:tr>
    </w:tbl>
    <w:p w14:paraId="0DDAC1D0" w14:textId="77777777" w:rsidR="00414EFB" w:rsidRPr="004267B4" w:rsidRDefault="00414EFB" w:rsidP="00414EFB">
      <w:pPr>
        <w:ind w:right="-283"/>
        <w:rPr>
          <w:sz w:val="16"/>
          <w:szCs w:val="16"/>
          <w:lang w:val="fr-BE"/>
        </w:rPr>
      </w:pPr>
    </w:p>
    <w:p w14:paraId="1C49FEAA" w14:textId="77777777" w:rsidR="00414EFB" w:rsidRPr="004267B4" w:rsidRDefault="00414EFB" w:rsidP="00414EFB">
      <w:pPr>
        <w:keepNext/>
        <w:keepLines/>
        <w:tabs>
          <w:tab w:val="center" w:pos="284"/>
        </w:tabs>
        <w:ind w:left="266" w:hanging="266"/>
        <w:rPr>
          <w:b/>
          <w:lang w:val="fr-BE"/>
        </w:rPr>
      </w:pPr>
      <w:r w:rsidRPr="004267B4">
        <w:rPr>
          <w:b/>
          <w:lang w:val="fr-BE"/>
        </w:rPr>
        <w:t>Points clés</w:t>
      </w:r>
    </w:p>
    <w:p w14:paraId="5DBB78C7" w14:textId="77777777" w:rsidR="00414EFB" w:rsidRPr="004267B4" w:rsidRDefault="00414EFB" w:rsidP="00414EFB">
      <w:pPr>
        <w:keepNext/>
        <w:overflowPunct w:val="0"/>
        <w:autoSpaceDE w:val="0"/>
        <w:autoSpaceDN w:val="0"/>
        <w:adjustRightInd w:val="0"/>
        <w:ind w:right="-283"/>
        <w:textAlignment w:val="baseline"/>
        <w:rPr>
          <w:sz w:val="16"/>
          <w:szCs w:val="16"/>
          <w:lang w:val="fr-BE"/>
        </w:rPr>
      </w:pPr>
    </w:p>
    <w:p w14:paraId="7C154CE5" w14:textId="77777777" w:rsidR="00414EFB" w:rsidRPr="004267B4" w:rsidRDefault="00414EFB" w:rsidP="00414EFB">
      <w:pPr>
        <w:keepNext/>
        <w:overflowPunct w:val="0"/>
        <w:autoSpaceDE w:val="0"/>
        <w:autoSpaceDN w:val="0"/>
        <w:adjustRightInd w:val="0"/>
        <w:ind w:right="-283"/>
        <w:textAlignment w:val="baseline"/>
        <w:rPr>
          <w:lang w:val="fr-BE"/>
        </w:rPr>
      </w:pPr>
      <w:r w:rsidRPr="004267B4">
        <w:rPr>
          <w:lang w:val="fr-BE"/>
        </w:rPr>
        <w:t>Le CESE:</w:t>
      </w:r>
    </w:p>
    <w:p w14:paraId="5833EEE4" w14:textId="77777777" w:rsidR="00414EFB" w:rsidRPr="004267B4" w:rsidRDefault="00414EFB" w:rsidP="00FF013B">
      <w:pPr>
        <w:pStyle w:val="ListParagraph"/>
        <w:numPr>
          <w:ilvl w:val="0"/>
          <w:numId w:val="23"/>
        </w:numPr>
        <w:ind w:left="357" w:hanging="357"/>
        <w:rPr>
          <w:lang w:val="fr-BE"/>
        </w:rPr>
      </w:pPr>
      <w:r w:rsidRPr="004267B4">
        <w:rPr>
          <w:lang w:val="fr-BE"/>
        </w:rPr>
        <w:t xml:space="preserve">est fermement convaincu qu’en créant un terrain fertile pour l’entrepreneuriat féminin et des instruments financiers et législatifs appropriés, tels que l’intégration d’une perspective de genre dans le processus budgétaire, il est possible d’instaurer </w:t>
      </w:r>
      <w:r w:rsidRPr="004267B4">
        <w:rPr>
          <w:b/>
          <w:lang w:val="fr-BE"/>
        </w:rPr>
        <w:t>un écosystème financier inclusif dans l’UE et ses États membres</w:t>
      </w:r>
      <w:r w:rsidRPr="004267B4">
        <w:rPr>
          <w:lang w:val="fr-BE"/>
        </w:rPr>
        <w:t xml:space="preserve"> tout en progressant plus rapidement vers l’égalité entre les hommes et les femmes.</w:t>
      </w:r>
    </w:p>
    <w:p w14:paraId="5B608ADA" w14:textId="77777777" w:rsidR="00414EFB" w:rsidRPr="004267B4" w:rsidRDefault="00414EFB" w:rsidP="00FF013B">
      <w:pPr>
        <w:pStyle w:val="ListParagraph"/>
        <w:numPr>
          <w:ilvl w:val="0"/>
          <w:numId w:val="23"/>
        </w:numPr>
        <w:ind w:left="357" w:hanging="357"/>
        <w:rPr>
          <w:lang w:val="fr-BE"/>
        </w:rPr>
      </w:pPr>
      <w:r w:rsidRPr="004267B4">
        <w:rPr>
          <w:lang w:val="fr-BE"/>
        </w:rPr>
        <w:t xml:space="preserve">souligne que l’Union européenne devrait collecter </w:t>
      </w:r>
      <w:r w:rsidRPr="004267B4">
        <w:rPr>
          <w:b/>
          <w:lang w:val="fr-BE"/>
        </w:rPr>
        <w:t>des données ventilées par sexe dans le contexte européen des investissements</w:t>
      </w:r>
      <w:r w:rsidRPr="004267B4">
        <w:rPr>
          <w:lang w:val="fr-BE"/>
        </w:rPr>
        <w:t xml:space="preserve"> et les intégrer dans l’indice annuel d’égalité de genre. </w:t>
      </w:r>
    </w:p>
    <w:p w14:paraId="21BBA7DC" w14:textId="77777777" w:rsidR="00414EFB" w:rsidRPr="004267B4" w:rsidRDefault="00414EFB" w:rsidP="00FF013B">
      <w:pPr>
        <w:pStyle w:val="ListParagraph"/>
        <w:numPr>
          <w:ilvl w:val="0"/>
          <w:numId w:val="23"/>
        </w:numPr>
        <w:ind w:left="357" w:hanging="357"/>
        <w:rPr>
          <w:lang w:val="fr-BE"/>
        </w:rPr>
      </w:pPr>
      <w:r w:rsidRPr="004267B4">
        <w:rPr>
          <w:lang w:val="fr-BE"/>
        </w:rPr>
        <w:t xml:space="preserve">juge important de proposer aux femmes davantage de </w:t>
      </w:r>
      <w:r w:rsidRPr="004267B4">
        <w:rPr>
          <w:b/>
          <w:lang w:val="fr-BE"/>
        </w:rPr>
        <w:t>possibilités de mise en réseau et de formation, ainsi que des programmes de tutorat</w:t>
      </w:r>
      <w:r w:rsidRPr="004267B4">
        <w:rPr>
          <w:lang w:val="fr-BE"/>
        </w:rPr>
        <w:t>. En outre, le Comité souligne l’importance de l’éducation pour lutter contre les stéréotypes sexistes et de construire une culture entrepreneuriale qui prépare les femmes à voir grand.</w:t>
      </w:r>
    </w:p>
    <w:p w14:paraId="37237485" w14:textId="77777777" w:rsidR="00414EFB" w:rsidRPr="004267B4" w:rsidRDefault="00414EFB" w:rsidP="00FF013B">
      <w:pPr>
        <w:pStyle w:val="ListParagraph"/>
        <w:numPr>
          <w:ilvl w:val="0"/>
          <w:numId w:val="23"/>
        </w:numPr>
        <w:ind w:left="357" w:hanging="357"/>
        <w:rPr>
          <w:lang w:val="fr-BE"/>
        </w:rPr>
      </w:pPr>
      <w:r w:rsidRPr="004267B4">
        <w:rPr>
          <w:lang w:val="fr-BE"/>
        </w:rPr>
        <w:t xml:space="preserve">suggère que </w:t>
      </w:r>
      <w:r w:rsidRPr="004267B4">
        <w:rPr>
          <w:b/>
          <w:lang w:val="fr-BE"/>
        </w:rPr>
        <w:t>la diversité des équipes, avec une attention particulière accordée à la présence des femmes, soit un critère pour bénéficier d’un financement public</w:t>
      </w:r>
      <w:r w:rsidRPr="004267B4">
        <w:rPr>
          <w:lang w:val="fr-BE"/>
        </w:rPr>
        <w:t xml:space="preserve">. Il est important de fixer des normes spécifiques pour éviter le </w:t>
      </w:r>
      <w:r w:rsidRPr="004267B4">
        <w:rPr>
          <w:i/>
          <w:iCs/>
          <w:lang w:val="fr-BE"/>
        </w:rPr>
        <w:t>pinkwashing</w:t>
      </w:r>
      <w:r w:rsidRPr="004267B4">
        <w:rPr>
          <w:lang w:val="fr-BE"/>
        </w:rPr>
        <w:t>.</w:t>
      </w:r>
    </w:p>
    <w:p w14:paraId="6639E4BC" w14:textId="77777777" w:rsidR="00414EFB" w:rsidRPr="004267B4" w:rsidRDefault="00414EFB" w:rsidP="00FF013B">
      <w:pPr>
        <w:pStyle w:val="ListParagraph"/>
        <w:numPr>
          <w:ilvl w:val="0"/>
          <w:numId w:val="23"/>
        </w:numPr>
        <w:ind w:left="357" w:hanging="357"/>
        <w:rPr>
          <w:lang w:val="fr-BE"/>
        </w:rPr>
      </w:pPr>
      <w:r w:rsidRPr="004267B4">
        <w:rPr>
          <w:lang w:val="fr-BE"/>
        </w:rPr>
        <w:t xml:space="preserve">recommande que toutes les institutions européennes et l’ensemble des États membres utilisent </w:t>
      </w:r>
      <w:r w:rsidRPr="004267B4">
        <w:rPr>
          <w:b/>
          <w:lang w:val="fr-BE"/>
        </w:rPr>
        <w:t>des outils de budgétisation tenant compte de la dimension hommes-femmes à tous les niveaux du processus budgétaire</w:t>
      </w:r>
      <w:r w:rsidRPr="004267B4">
        <w:rPr>
          <w:lang w:val="fr-BE"/>
        </w:rPr>
        <w:t>. La participation de la société civile et le dialogue social revêtent également une importance capitale pour détecter les domaines qui doivent être traités par la voie budgétaire.</w:t>
      </w:r>
    </w:p>
    <w:p w14:paraId="5608F901" w14:textId="77777777" w:rsidR="00414EFB" w:rsidRPr="004267B4" w:rsidRDefault="00414EFB" w:rsidP="00FF013B">
      <w:pPr>
        <w:pStyle w:val="ListParagraph"/>
        <w:numPr>
          <w:ilvl w:val="0"/>
          <w:numId w:val="23"/>
        </w:numPr>
        <w:ind w:left="357" w:hanging="357"/>
        <w:rPr>
          <w:lang w:val="fr-BE"/>
        </w:rPr>
      </w:pPr>
      <w:r w:rsidRPr="004267B4">
        <w:rPr>
          <w:lang w:val="fr-BE"/>
        </w:rPr>
        <w:t xml:space="preserve">estime que </w:t>
      </w:r>
      <w:r w:rsidRPr="004267B4">
        <w:rPr>
          <w:b/>
          <w:lang w:val="fr-BE"/>
        </w:rPr>
        <w:t>tous les jurys des institutions financières européennes devraient parvenir</w:t>
      </w:r>
      <w:r w:rsidRPr="004267B4">
        <w:rPr>
          <w:lang w:val="fr-BE"/>
        </w:rPr>
        <w:t xml:space="preserve"> dès que possible </w:t>
      </w:r>
      <w:r w:rsidRPr="004267B4">
        <w:rPr>
          <w:b/>
          <w:lang w:val="fr-BE"/>
        </w:rPr>
        <w:t>à un équilibre hommes-femmes</w:t>
      </w:r>
      <w:r w:rsidRPr="004267B4">
        <w:rPr>
          <w:lang w:val="fr-BE"/>
        </w:rPr>
        <w:t xml:space="preserve">, afin d’éviter l’homophilie et les préjugés faisant que nous sommes attirés par des personnes qui nous ressemblent. En outre, il est important de mettre en place des campagnes de sensibilisation et des formations à l’intention des investisseurs et des jurys. </w:t>
      </w:r>
    </w:p>
    <w:p w14:paraId="31458D1B" w14:textId="5366E31E" w:rsidR="00414EFB" w:rsidRPr="004267B4" w:rsidRDefault="00414EFB" w:rsidP="00FF013B">
      <w:pPr>
        <w:pStyle w:val="ListParagraph"/>
        <w:numPr>
          <w:ilvl w:val="0"/>
          <w:numId w:val="23"/>
        </w:numPr>
        <w:ind w:left="357" w:hanging="357"/>
        <w:rPr>
          <w:lang w:val="fr-BE"/>
        </w:rPr>
      </w:pPr>
      <w:r w:rsidRPr="004267B4">
        <w:rPr>
          <w:lang w:val="fr-BE"/>
        </w:rPr>
        <w:t xml:space="preserve">suggère que la Commission européenne publie </w:t>
      </w:r>
      <w:r w:rsidRPr="004267B4">
        <w:rPr>
          <w:b/>
          <w:lang w:val="fr-BE"/>
        </w:rPr>
        <w:t>une évaluation de l’impact selon le genre du budget annuel de l’Union</w:t>
      </w:r>
      <w:r w:rsidRPr="004267B4">
        <w:rPr>
          <w:lang w:val="fr-BE"/>
        </w:rPr>
        <w:t xml:space="preserve"> et crée un </w:t>
      </w:r>
      <w:r w:rsidR="00F13412">
        <w:rPr>
          <w:lang w:val="fr-BE"/>
        </w:rPr>
        <w:t xml:space="preserve">groupe </w:t>
      </w:r>
      <w:r w:rsidRPr="004267B4">
        <w:rPr>
          <w:lang w:val="fr-BE"/>
        </w:rPr>
        <w:t>de travail chargé d’aligner et d’inclure les objectifs de l’UE en matière d’intégration de la dimension de genre dans l’actuel et le prochain CFP.</w:t>
      </w:r>
    </w:p>
    <w:p w14:paraId="5443144E" w14:textId="77777777" w:rsidR="00414EFB" w:rsidRPr="004267B4" w:rsidRDefault="00414EFB" w:rsidP="00FF013B">
      <w:pPr>
        <w:pStyle w:val="ListParagraph"/>
        <w:numPr>
          <w:ilvl w:val="0"/>
          <w:numId w:val="23"/>
        </w:numPr>
        <w:ind w:left="357" w:hanging="357"/>
        <w:rPr>
          <w:lang w:val="fr-BE"/>
        </w:rPr>
      </w:pPr>
      <w:r w:rsidRPr="004267B4">
        <w:rPr>
          <w:lang w:val="fr-BE"/>
        </w:rPr>
        <w:t xml:space="preserve">demande de </w:t>
      </w:r>
      <w:r w:rsidRPr="004267B4">
        <w:rPr>
          <w:b/>
          <w:lang w:val="fr-BE"/>
        </w:rPr>
        <w:t>veiller à ce que les organisations de femmes aient un meilleur accès aux fonds de l’UE</w:t>
      </w:r>
      <w:r w:rsidRPr="004267B4">
        <w:rPr>
          <w:lang w:val="fr-BE"/>
        </w:rPr>
        <w:t xml:space="preserve"> en simplifiant les procédures et en octroyant des subventions pour leur activité principale.</w:t>
      </w:r>
    </w:p>
    <w:p w14:paraId="2C6EE9D3" w14:textId="77777777" w:rsidR="00414EFB" w:rsidRPr="004267B4" w:rsidRDefault="00414EFB" w:rsidP="00FF013B">
      <w:pPr>
        <w:pStyle w:val="ListParagraph"/>
        <w:numPr>
          <w:ilvl w:val="0"/>
          <w:numId w:val="6"/>
        </w:numPr>
        <w:ind w:left="357" w:hanging="357"/>
        <w:rPr>
          <w:lang w:val="fr-BE"/>
        </w:rPr>
      </w:pPr>
      <w:r w:rsidRPr="004267B4">
        <w:rPr>
          <w:lang w:val="fr-BE"/>
        </w:rPr>
        <w:t xml:space="preserve">appelle de ses vœux </w:t>
      </w:r>
      <w:r w:rsidRPr="004267B4">
        <w:rPr>
          <w:b/>
          <w:lang w:val="fr-BE"/>
        </w:rPr>
        <w:t>une vision ambitieuse de la part de la Commission et des institutions européennes en ce qui concerne l’intégration de la dimension de genre dans le processus budgétaire et l’investissement réalisé dans une optique de genre</w:t>
      </w:r>
      <w:r w:rsidRPr="004267B4">
        <w:rPr>
          <w:lang w:val="fr-BE"/>
        </w:rPr>
        <w:t>.</w:t>
      </w:r>
    </w:p>
    <w:p w14:paraId="360D164D" w14:textId="77777777" w:rsidR="00414EFB" w:rsidRPr="004267B4" w:rsidRDefault="00414EFB" w:rsidP="00414EFB">
      <w:pPr>
        <w:rPr>
          <w:sz w:val="16"/>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14EFB" w:rsidRPr="004267B4" w14:paraId="1DB52B99" w14:textId="77777777" w:rsidTr="0059328F">
        <w:tc>
          <w:tcPr>
            <w:tcW w:w="1418" w:type="dxa"/>
          </w:tcPr>
          <w:p w14:paraId="2F1D48DD" w14:textId="77777777" w:rsidR="00414EFB" w:rsidRPr="004267B4" w:rsidRDefault="00414EFB" w:rsidP="00FF556D">
            <w:pPr>
              <w:keepNext/>
              <w:spacing w:line="240" w:lineRule="auto"/>
              <w:rPr>
                <w:i/>
                <w:lang w:val="fr-BE"/>
              </w:rPr>
            </w:pPr>
            <w:r w:rsidRPr="004267B4">
              <w:rPr>
                <w:b/>
                <w:i/>
                <w:lang w:val="fr-BE"/>
              </w:rPr>
              <w:lastRenderedPageBreak/>
              <w:t>Contact:</w:t>
            </w:r>
          </w:p>
        </w:tc>
        <w:tc>
          <w:tcPr>
            <w:tcW w:w="5670" w:type="dxa"/>
          </w:tcPr>
          <w:p w14:paraId="1181054E" w14:textId="77777777" w:rsidR="00414EFB" w:rsidRPr="004267B4" w:rsidRDefault="00414EFB" w:rsidP="00FF556D">
            <w:pPr>
              <w:keepNext/>
              <w:spacing w:line="240" w:lineRule="auto"/>
              <w:rPr>
                <w:i/>
                <w:lang w:val="fr-BE"/>
              </w:rPr>
            </w:pPr>
            <w:r w:rsidRPr="004267B4">
              <w:rPr>
                <w:i/>
                <w:lang w:val="fr-BE"/>
              </w:rPr>
              <w:t>Margherita Logrillo</w:t>
            </w:r>
          </w:p>
        </w:tc>
      </w:tr>
      <w:tr w:rsidR="00414EFB" w:rsidRPr="004267B4" w14:paraId="2DBF3AB9" w14:textId="77777777" w:rsidTr="0059328F">
        <w:tc>
          <w:tcPr>
            <w:tcW w:w="1418" w:type="dxa"/>
          </w:tcPr>
          <w:p w14:paraId="4A565124" w14:textId="77777777" w:rsidR="00414EFB" w:rsidRPr="004267B4" w:rsidRDefault="00414EFB" w:rsidP="00FF556D">
            <w:pPr>
              <w:keepNext/>
              <w:spacing w:line="240" w:lineRule="auto"/>
              <w:rPr>
                <w:i/>
                <w:lang w:val="fr-BE"/>
              </w:rPr>
            </w:pPr>
            <w:r w:rsidRPr="004267B4">
              <w:rPr>
                <w:i/>
                <w:lang w:val="fr-BE"/>
              </w:rPr>
              <w:t>Tél.:</w:t>
            </w:r>
          </w:p>
        </w:tc>
        <w:tc>
          <w:tcPr>
            <w:tcW w:w="5670" w:type="dxa"/>
          </w:tcPr>
          <w:p w14:paraId="6C73B3A2" w14:textId="77777777" w:rsidR="00414EFB" w:rsidRPr="004267B4" w:rsidRDefault="00414EFB" w:rsidP="00FF556D">
            <w:pPr>
              <w:keepNext/>
              <w:spacing w:line="240" w:lineRule="auto"/>
              <w:rPr>
                <w:i/>
                <w:lang w:val="fr-BE"/>
              </w:rPr>
            </w:pPr>
            <w:r w:rsidRPr="004267B4">
              <w:rPr>
                <w:i/>
                <w:lang w:val="fr-BE"/>
              </w:rPr>
              <w:t>+32 2 546 9099</w:t>
            </w:r>
          </w:p>
        </w:tc>
      </w:tr>
      <w:tr w:rsidR="00414EFB" w:rsidRPr="004267B4" w14:paraId="48CC4773" w14:textId="77777777" w:rsidTr="0059328F">
        <w:tc>
          <w:tcPr>
            <w:tcW w:w="1418" w:type="dxa"/>
          </w:tcPr>
          <w:p w14:paraId="1C3CA234" w14:textId="77777777" w:rsidR="00414EFB" w:rsidRPr="004267B4" w:rsidRDefault="00414EFB" w:rsidP="00FF556D">
            <w:pPr>
              <w:keepNext/>
              <w:spacing w:line="240" w:lineRule="auto"/>
              <w:rPr>
                <w:i/>
                <w:lang w:val="fr-BE"/>
              </w:rPr>
            </w:pPr>
            <w:r w:rsidRPr="004267B4">
              <w:rPr>
                <w:i/>
                <w:lang w:val="fr-BE"/>
              </w:rPr>
              <w:t>Courriel:</w:t>
            </w:r>
          </w:p>
        </w:tc>
        <w:tc>
          <w:tcPr>
            <w:tcW w:w="5670" w:type="dxa"/>
          </w:tcPr>
          <w:p w14:paraId="5D2753F2" w14:textId="77777777" w:rsidR="00414EFB" w:rsidRPr="004267B4" w:rsidRDefault="00414EFB" w:rsidP="00FF556D">
            <w:pPr>
              <w:keepNext/>
              <w:spacing w:line="240" w:lineRule="auto"/>
              <w:rPr>
                <w:i/>
                <w:color w:val="0563C1" w:themeColor="hyperlink"/>
                <w:szCs w:val="20"/>
                <w:u w:val="single"/>
                <w:lang w:val="fr-BE"/>
              </w:rPr>
            </w:pPr>
            <w:r w:rsidRPr="004267B4">
              <w:rPr>
                <w:rStyle w:val="Hyperlink"/>
                <w:i/>
                <w:lang w:val="fr-BE"/>
              </w:rPr>
              <w:t>Margherita.Logrillo@eesc.europa.eu</w:t>
            </w:r>
          </w:p>
        </w:tc>
      </w:tr>
    </w:tbl>
    <w:p w14:paraId="40D49385" w14:textId="77777777" w:rsidR="001760E9" w:rsidRPr="004267B4" w:rsidRDefault="001760E9" w:rsidP="00DA2729">
      <w:pPr>
        <w:spacing w:line="259" w:lineRule="auto"/>
        <w:jc w:val="left"/>
        <w:rPr>
          <w:sz w:val="2"/>
          <w:szCs w:val="2"/>
          <w:lang w:val="fr-BE"/>
        </w:rPr>
      </w:pPr>
      <w:r w:rsidRPr="004267B4">
        <w:rPr>
          <w:lang w:val="fr-BE"/>
        </w:rPr>
        <w:br w:type="page"/>
      </w:r>
    </w:p>
    <w:p w14:paraId="01D7631B" w14:textId="77777777" w:rsidR="002C0E2F" w:rsidRPr="004267B4" w:rsidRDefault="002C0E2F" w:rsidP="00DA2729">
      <w:pPr>
        <w:spacing w:line="259" w:lineRule="auto"/>
        <w:jc w:val="left"/>
        <w:rPr>
          <w:lang w:val="fr-BE"/>
        </w:rPr>
      </w:pPr>
    </w:p>
    <w:p w14:paraId="0B4D8BCC" w14:textId="278BC089" w:rsidR="00454018" w:rsidRPr="004267B4" w:rsidRDefault="004466E9" w:rsidP="00FF013B">
      <w:pPr>
        <w:numPr>
          <w:ilvl w:val="0"/>
          <w:numId w:val="3"/>
        </w:numPr>
        <w:overflowPunct w:val="0"/>
        <w:autoSpaceDE w:val="0"/>
        <w:autoSpaceDN w:val="0"/>
        <w:adjustRightInd w:val="0"/>
        <w:ind w:left="567" w:hanging="567"/>
        <w:textAlignment w:val="baseline"/>
        <w:rPr>
          <w:b/>
          <w:bCs/>
          <w:i/>
          <w:iCs/>
          <w:sz w:val="28"/>
          <w:szCs w:val="28"/>
          <w:lang w:val="fr-BE"/>
        </w:rPr>
      </w:pPr>
      <w:hyperlink r:id="rId22" w:history="1">
        <w:r w:rsidR="00454018" w:rsidRPr="004267B4">
          <w:rPr>
            <w:b/>
            <w:bCs/>
            <w:i/>
            <w:iCs/>
            <w:sz w:val="28"/>
            <w:szCs w:val="28"/>
            <w:lang w:val="fr-BE"/>
          </w:rPr>
          <w:t>Recouvrement et confiscation d’avoirs</w:t>
        </w:r>
      </w:hyperlink>
    </w:p>
    <w:p w14:paraId="38F8DA9D" w14:textId="77777777" w:rsidR="00454018" w:rsidRPr="004267B4" w:rsidRDefault="00454018" w:rsidP="00454018">
      <w:pPr>
        <w:widowControl w:val="0"/>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6687"/>
      </w:tblGrid>
      <w:tr w:rsidR="00454018" w:rsidRPr="004267B4" w14:paraId="2572B21C" w14:textId="77777777" w:rsidTr="0059328F">
        <w:trPr>
          <w:trHeight w:val="449"/>
        </w:trPr>
        <w:tc>
          <w:tcPr>
            <w:tcW w:w="2006" w:type="dxa"/>
          </w:tcPr>
          <w:p w14:paraId="3DE79A25" w14:textId="77777777" w:rsidR="00454018" w:rsidRPr="004267B4" w:rsidRDefault="00454018" w:rsidP="0059328F">
            <w:pPr>
              <w:tabs>
                <w:tab w:val="center" w:pos="284"/>
              </w:tabs>
              <w:ind w:left="266" w:hanging="266"/>
              <w:rPr>
                <w:b/>
                <w:lang w:val="fr-BE"/>
              </w:rPr>
            </w:pPr>
            <w:r w:rsidRPr="004267B4">
              <w:rPr>
                <w:b/>
                <w:lang w:val="fr-BE"/>
              </w:rPr>
              <w:t>Rapporteur</w:t>
            </w:r>
          </w:p>
          <w:p w14:paraId="79114080" w14:textId="77777777" w:rsidR="00454018" w:rsidRPr="004267B4" w:rsidRDefault="00454018" w:rsidP="0059328F">
            <w:pPr>
              <w:tabs>
                <w:tab w:val="center" w:pos="284"/>
              </w:tabs>
              <w:ind w:left="266" w:hanging="266"/>
              <w:rPr>
                <w:b/>
                <w:lang w:val="fr-BE"/>
              </w:rPr>
            </w:pPr>
          </w:p>
        </w:tc>
        <w:tc>
          <w:tcPr>
            <w:tcW w:w="6687" w:type="dxa"/>
          </w:tcPr>
          <w:p w14:paraId="25E45E25" w14:textId="1699EDF5" w:rsidR="00454018" w:rsidRPr="004267B4" w:rsidRDefault="00454018" w:rsidP="0059328F">
            <w:pPr>
              <w:tabs>
                <w:tab w:val="center" w:pos="284"/>
              </w:tabs>
              <w:ind w:left="266" w:hanging="266"/>
              <w:rPr>
                <w:lang w:val="fr-BE"/>
              </w:rPr>
            </w:pPr>
            <w:r w:rsidRPr="004267B4">
              <w:rPr>
                <w:lang w:val="fr-BE"/>
              </w:rPr>
              <w:t>Ionuț SIBIAN (</w:t>
            </w:r>
            <w:r w:rsidR="00F13412">
              <w:rPr>
                <w:lang w:val="fr-BE"/>
              </w:rPr>
              <w:t xml:space="preserve">groupe </w:t>
            </w:r>
            <w:r w:rsidRPr="004267B4">
              <w:rPr>
                <w:lang w:val="fr-BE"/>
              </w:rPr>
              <w:t>des organisations de la société civile — RO)</w:t>
            </w:r>
          </w:p>
          <w:p w14:paraId="44FC7DCB" w14:textId="77777777" w:rsidR="00454018" w:rsidRPr="004267B4" w:rsidRDefault="00454018" w:rsidP="0059328F">
            <w:pPr>
              <w:tabs>
                <w:tab w:val="center" w:pos="284"/>
              </w:tabs>
              <w:ind w:left="266" w:hanging="266"/>
              <w:rPr>
                <w:lang w:val="fr-BE"/>
              </w:rPr>
            </w:pPr>
          </w:p>
        </w:tc>
      </w:tr>
      <w:tr w:rsidR="00454018" w:rsidRPr="004267B4" w14:paraId="569BCF82" w14:textId="77777777" w:rsidTr="0059328F">
        <w:trPr>
          <w:trHeight w:val="184"/>
        </w:trPr>
        <w:tc>
          <w:tcPr>
            <w:tcW w:w="8693" w:type="dxa"/>
            <w:gridSpan w:val="2"/>
          </w:tcPr>
          <w:p w14:paraId="3C279C16" w14:textId="77777777" w:rsidR="00454018" w:rsidRPr="004267B4" w:rsidRDefault="00454018" w:rsidP="0059328F">
            <w:pPr>
              <w:tabs>
                <w:tab w:val="center" w:pos="284"/>
              </w:tabs>
              <w:spacing w:line="160" w:lineRule="exact"/>
              <w:ind w:left="266" w:hanging="266"/>
              <w:rPr>
                <w:lang w:val="fr-BE"/>
              </w:rPr>
            </w:pPr>
          </w:p>
        </w:tc>
      </w:tr>
      <w:tr w:rsidR="00454018" w:rsidRPr="004267B4" w14:paraId="569D3C27" w14:textId="77777777" w:rsidTr="0059328F">
        <w:trPr>
          <w:trHeight w:val="220"/>
        </w:trPr>
        <w:tc>
          <w:tcPr>
            <w:tcW w:w="2006" w:type="dxa"/>
          </w:tcPr>
          <w:p w14:paraId="32748E10" w14:textId="77777777" w:rsidR="00454018" w:rsidRPr="004267B4" w:rsidRDefault="00454018" w:rsidP="0059328F">
            <w:pPr>
              <w:tabs>
                <w:tab w:val="center" w:pos="284"/>
              </w:tabs>
              <w:ind w:left="266" w:hanging="266"/>
              <w:rPr>
                <w:b/>
                <w:lang w:val="fr-BE"/>
              </w:rPr>
            </w:pPr>
            <w:r w:rsidRPr="004267B4">
              <w:rPr>
                <w:b/>
                <w:lang w:val="fr-BE"/>
              </w:rPr>
              <w:t xml:space="preserve">Références </w:t>
            </w:r>
          </w:p>
        </w:tc>
        <w:tc>
          <w:tcPr>
            <w:tcW w:w="6687" w:type="dxa"/>
          </w:tcPr>
          <w:p w14:paraId="67595F26" w14:textId="6FF67295" w:rsidR="00FF556D" w:rsidRPr="004267B4" w:rsidRDefault="00FF556D" w:rsidP="00FF556D">
            <w:pPr>
              <w:pStyle w:val="ListParagraph"/>
              <w:ind w:left="-61" w:firstLine="61"/>
              <w:rPr>
                <w:lang w:val="fr-BE"/>
              </w:rPr>
            </w:pPr>
            <w:r w:rsidRPr="004267B4">
              <w:rPr>
                <w:lang w:val="fr-BE"/>
              </w:rPr>
              <w:t>COM(2022) 245 final</w:t>
            </w:r>
          </w:p>
          <w:p w14:paraId="4B780679" w14:textId="6AA414A3" w:rsidR="00454018" w:rsidRPr="004267B4" w:rsidRDefault="00FF556D" w:rsidP="00FF556D">
            <w:pPr>
              <w:tabs>
                <w:tab w:val="center" w:pos="284"/>
              </w:tabs>
              <w:ind w:left="266" w:hanging="266"/>
              <w:rPr>
                <w:lang w:val="fr-BE"/>
              </w:rPr>
            </w:pPr>
            <w:r w:rsidRPr="004267B4">
              <w:rPr>
                <w:lang w:val="fr-BE"/>
              </w:rPr>
              <w:t>EESC-2022-03642-00-00-AC</w:t>
            </w:r>
          </w:p>
        </w:tc>
      </w:tr>
    </w:tbl>
    <w:p w14:paraId="1E44524D" w14:textId="77777777" w:rsidR="00FF556D" w:rsidRPr="004267B4" w:rsidRDefault="00FF556D" w:rsidP="00454018">
      <w:pPr>
        <w:keepNext/>
        <w:keepLines/>
        <w:tabs>
          <w:tab w:val="center" w:pos="284"/>
        </w:tabs>
        <w:ind w:left="266" w:hanging="266"/>
        <w:rPr>
          <w:b/>
          <w:lang w:val="fr-BE"/>
        </w:rPr>
      </w:pPr>
    </w:p>
    <w:p w14:paraId="7B132E42" w14:textId="5C96BFAE" w:rsidR="00454018" w:rsidRPr="004267B4" w:rsidRDefault="00454018" w:rsidP="00454018">
      <w:pPr>
        <w:keepNext/>
        <w:keepLines/>
        <w:tabs>
          <w:tab w:val="center" w:pos="284"/>
        </w:tabs>
        <w:ind w:left="266" w:hanging="266"/>
        <w:rPr>
          <w:b/>
          <w:lang w:val="fr-BE"/>
        </w:rPr>
      </w:pPr>
      <w:r w:rsidRPr="004267B4">
        <w:rPr>
          <w:b/>
          <w:lang w:val="fr-BE"/>
        </w:rPr>
        <w:t>Points clés</w:t>
      </w:r>
    </w:p>
    <w:p w14:paraId="29E29FA6" w14:textId="77777777" w:rsidR="00454018" w:rsidRPr="004267B4" w:rsidRDefault="00454018" w:rsidP="00FF556D">
      <w:pPr>
        <w:keepNext/>
        <w:rPr>
          <w:bCs/>
          <w:iCs/>
          <w:lang w:val="fr-BE"/>
        </w:rPr>
      </w:pPr>
    </w:p>
    <w:p w14:paraId="76137EF0" w14:textId="3E161084" w:rsidR="00454018" w:rsidRPr="004267B4" w:rsidRDefault="00454018" w:rsidP="00FF556D">
      <w:pPr>
        <w:keepNext/>
        <w:rPr>
          <w:lang w:val="fr-BE"/>
        </w:rPr>
      </w:pPr>
      <w:r w:rsidRPr="004267B4">
        <w:rPr>
          <w:lang w:val="fr-BE"/>
        </w:rPr>
        <w:t>Le CESE:</w:t>
      </w:r>
    </w:p>
    <w:p w14:paraId="6F8468CC" w14:textId="77777777" w:rsidR="00FF556D" w:rsidRPr="004267B4" w:rsidRDefault="00FF556D" w:rsidP="00FF556D">
      <w:pPr>
        <w:keepNext/>
        <w:rPr>
          <w:bCs/>
          <w:iCs/>
          <w:lang w:val="fr-BE"/>
        </w:rPr>
      </w:pPr>
    </w:p>
    <w:p w14:paraId="64F9C302" w14:textId="77777777" w:rsidR="00454018" w:rsidRPr="004267B4" w:rsidRDefault="00454018" w:rsidP="00FF556D">
      <w:pPr>
        <w:pStyle w:val="ListParagraph"/>
        <w:widowControl w:val="0"/>
        <w:numPr>
          <w:ilvl w:val="0"/>
          <w:numId w:val="24"/>
        </w:numPr>
        <w:spacing w:line="276" w:lineRule="auto"/>
        <w:ind w:left="357" w:hanging="357"/>
        <w:rPr>
          <w:lang w:val="fr-BE"/>
        </w:rPr>
      </w:pPr>
      <w:r w:rsidRPr="004267B4">
        <w:rPr>
          <w:lang w:val="fr-BE"/>
        </w:rPr>
        <w:t xml:space="preserve">juge que la proposition de directive </w:t>
      </w:r>
      <w:r w:rsidRPr="004267B4">
        <w:rPr>
          <w:b/>
          <w:lang w:val="fr-BE"/>
        </w:rPr>
        <w:t>répond</w:t>
      </w:r>
      <w:r w:rsidRPr="004267B4">
        <w:rPr>
          <w:lang w:val="fr-BE"/>
        </w:rPr>
        <w:t xml:space="preserve"> à la nécessité d’élargir le champ d’application des mécanismes de confiscation, renforce les compétences des autorités nationales et met en place des mécanismes de coopération transfrontière pour améliorer le taux de recouvrement des avoirs;</w:t>
      </w:r>
    </w:p>
    <w:p w14:paraId="5CBB0D73" w14:textId="77777777" w:rsidR="00454018" w:rsidRPr="004267B4" w:rsidRDefault="00454018" w:rsidP="00FF556D">
      <w:pPr>
        <w:pStyle w:val="ListParagraph"/>
        <w:widowControl w:val="0"/>
        <w:numPr>
          <w:ilvl w:val="0"/>
          <w:numId w:val="24"/>
        </w:numPr>
        <w:spacing w:line="276" w:lineRule="auto"/>
        <w:ind w:left="357" w:hanging="357"/>
        <w:rPr>
          <w:lang w:val="fr-BE"/>
        </w:rPr>
      </w:pPr>
      <w:r w:rsidRPr="004267B4">
        <w:rPr>
          <w:lang w:val="fr-BE"/>
        </w:rPr>
        <w:t xml:space="preserve">recommande à la Commission européenne de préciser et de garantir que le trafic de migrants et le commerce illicite du tabac </w:t>
      </w:r>
      <w:r w:rsidRPr="004267B4">
        <w:rPr>
          <w:b/>
          <w:lang w:val="fr-BE"/>
        </w:rPr>
        <w:t>entrent dans le champ d’application</w:t>
      </w:r>
      <w:r w:rsidRPr="004267B4">
        <w:rPr>
          <w:lang w:val="fr-BE"/>
        </w:rPr>
        <w:t xml:space="preserve"> de la directive proposée;</w:t>
      </w:r>
    </w:p>
    <w:p w14:paraId="0EFFD9EF" w14:textId="77777777" w:rsidR="00454018" w:rsidRPr="004267B4" w:rsidRDefault="00454018" w:rsidP="00FF556D">
      <w:pPr>
        <w:pStyle w:val="ListParagraph"/>
        <w:widowControl w:val="0"/>
        <w:numPr>
          <w:ilvl w:val="0"/>
          <w:numId w:val="24"/>
        </w:numPr>
        <w:spacing w:line="276" w:lineRule="auto"/>
        <w:ind w:left="357" w:hanging="357"/>
        <w:rPr>
          <w:lang w:val="fr-BE"/>
        </w:rPr>
      </w:pPr>
      <w:r w:rsidRPr="004267B4">
        <w:rPr>
          <w:lang w:val="fr-BE"/>
        </w:rPr>
        <w:t xml:space="preserve">invite la Commission à examiner comment la directive peut s’appliquer aux violations des mesures restrictives de l’UE, et juge que ce domaine doit faire l’objet d’une </w:t>
      </w:r>
      <w:r w:rsidRPr="004267B4">
        <w:rPr>
          <w:b/>
          <w:lang w:val="fr-BE"/>
        </w:rPr>
        <w:t>législation distincte</w:t>
      </w:r>
      <w:r w:rsidRPr="004267B4">
        <w:rPr>
          <w:lang w:val="fr-BE"/>
        </w:rPr>
        <w:t xml:space="preserve">; </w:t>
      </w:r>
    </w:p>
    <w:p w14:paraId="0858618C" w14:textId="77777777" w:rsidR="00454018" w:rsidRPr="004267B4" w:rsidRDefault="00454018" w:rsidP="00FF556D">
      <w:pPr>
        <w:pStyle w:val="ListParagraph"/>
        <w:widowControl w:val="0"/>
        <w:numPr>
          <w:ilvl w:val="0"/>
          <w:numId w:val="24"/>
        </w:numPr>
        <w:spacing w:line="276" w:lineRule="auto"/>
        <w:ind w:left="357" w:hanging="357"/>
        <w:rPr>
          <w:lang w:val="fr-BE"/>
        </w:rPr>
      </w:pPr>
      <w:r w:rsidRPr="004267B4">
        <w:rPr>
          <w:lang w:val="fr-BE"/>
        </w:rPr>
        <w:t xml:space="preserve">suggère que la proposition de directive indique explicitement que les autorités nationales et la Commission sont tenues de </w:t>
      </w:r>
      <w:r w:rsidRPr="004267B4">
        <w:rPr>
          <w:b/>
          <w:lang w:val="fr-BE"/>
        </w:rPr>
        <w:t>publier régulièrement</w:t>
      </w:r>
      <w:r w:rsidRPr="004267B4">
        <w:rPr>
          <w:lang w:val="fr-BE"/>
        </w:rPr>
        <w:t xml:space="preserve"> des statistiques complètes quant aux mesures prises au titre de la directive et de </w:t>
      </w:r>
      <w:r w:rsidRPr="004267B4">
        <w:rPr>
          <w:b/>
          <w:lang w:val="fr-BE"/>
        </w:rPr>
        <w:t>garantir l’accès du public</w:t>
      </w:r>
      <w:r w:rsidRPr="004267B4">
        <w:rPr>
          <w:lang w:val="fr-BE"/>
        </w:rPr>
        <w:t xml:space="preserve"> à l’information;</w:t>
      </w:r>
    </w:p>
    <w:p w14:paraId="41A2E26B" w14:textId="77777777" w:rsidR="00454018" w:rsidRPr="004267B4" w:rsidRDefault="00454018" w:rsidP="00FF556D">
      <w:pPr>
        <w:pStyle w:val="ListParagraph"/>
        <w:widowControl w:val="0"/>
        <w:numPr>
          <w:ilvl w:val="0"/>
          <w:numId w:val="24"/>
        </w:numPr>
        <w:spacing w:line="276" w:lineRule="auto"/>
        <w:ind w:left="357" w:hanging="357"/>
        <w:rPr>
          <w:lang w:val="fr-BE"/>
        </w:rPr>
      </w:pPr>
      <w:r w:rsidRPr="004267B4">
        <w:rPr>
          <w:lang w:val="fr-BE"/>
        </w:rPr>
        <w:t xml:space="preserve">demande instamment à la Commission de réexaminer la </w:t>
      </w:r>
      <w:r w:rsidRPr="004267B4">
        <w:rPr>
          <w:b/>
          <w:lang w:val="fr-BE"/>
        </w:rPr>
        <w:t>disposition en matière de réutilisation sociale</w:t>
      </w:r>
      <w:r w:rsidRPr="004267B4">
        <w:rPr>
          <w:lang w:val="fr-BE"/>
        </w:rPr>
        <w:t xml:space="preserve"> prévue par la proposition de directive, et d’encourager les États membres à concevoir des mécanismes qui associent les organisations de la société civile de manière prioritaire à la gestion et à l’aliénation des avoirs confisqués; </w:t>
      </w:r>
    </w:p>
    <w:p w14:paraId="20D5034E" w14:textId="77777777" w:rsidR="00454018" w:rsidRPr="004267B4" w:rsidRDefault="00454018" w:rsidP="00FF556D">
      <w:pPr>
        <w:pStyle w:val="ListParagraph"/>
        <w:widowControl w:val="0"/>
        <w:numPr>
          <w:ilvl w:val="0"/>
          <w:numId w:val="24"/>
        </w:numPr>
        <w:spacing w:line="276" w:lineRule="auto"/>
        <w:ind w:left="357" w:hanging="357"/>
        <w:rPr>
          <w:lang w:val="fr-BE"/>
        </w:rPr>
      </w:pPr>
      <w:r w:rsidRPr="004267B4">
        <w:rPr>
          <w:lang w:val="fr-BE"/>
        </w:rPr>
        <w:t xml:space="preserve">appelle la Commission à définir plus précisément le droit des victimes à une indemnisation et à accorder la </w:t>
      </w:r>
      <w:r w:rsidRPr="004267B4">
        <w:rPr>
          <w:b/>
          <w:lang w:val="fr-BE"/>
        </w:rPr>
        <w:t>priorité aux victimes</w:t>
      </w:r>
      <w:r w:rsidRPr="004267B4">
        <w:rPr>
          <w:lang w:val="fr-BE"/>
        </w:rPr>
        <w:t xml:space="preserve"> dans le classement des créanciers;</w:t>
      </w:r>
    </w:p>
    <w:p w14:paraId="26EC9869" w14:textId="77777777" w:rsidR="00454018" w:rsidRPr="004267B4" w:rsidRDefault="00454018" w:rsidP="00FF556D">
      <w:pPr>
        <w:pStyle w:val="ListParagraph"/>
        <w:widowControl w:val="0"/>
        <w:numPr>
          <w:ilvl w:val="0"/>
          <w:numId w:val="24"/>
        </w:numPr>
        <w:spacing w:line="276" w:lineRule="auto"/>
        <w:ind w:left="357" w:hanging="357"/>
        <w:rPr>
          <w:lang w:val="fr-BE"/>
        </w:rPr>
      </w:pPr>
      <w:r w:rsidRPr="004267B4">
        <w:rPr>
          <w:lang w:val="fr-BE"/>
        </w:rPr>
        <w:t xml:space="preserve">recommande à la Commission européenne d’exiger des comptes rendus réguliers sur les ressources allouées dans chaque État membre, de manière à garantir des </w:t>
      </w:r>
      <w:r w:rsidRPr="004267B4">
        <w:rPr>
          <w:b/>
          <w:lang w:val="fr-BE"/>
        </w:rPr>
        <w:t>normes minimales</w:t>
      </w:r>
      <w:r w:rsidRPr="004267B4">
        <w:rPr>
          <w:lang w:val="fr-BE"/>
        </w:rPr>
        <w:t xml:space="preserve"> pour le fonctionnement des bureaux de recouvrement des avoirs dans l’ensemble de l’Union;</w:t>
      </w:r>
    </w:p>
    <w:p w14:paraId="5D9FBC26" w14:textId="77777777" w:rsidR="00454018" w:rsidRPr="004267B4" w:rsidRDefault="00454018" w:rsidP="00FF556D">
      <w:pPr>
        <w:pStyle w:val="ListParagraph"/>
        <w:widowControl w:val="0"/>
        <w:numPr>
          <w:ilvl w:val="0"/>
          <w:numId w:val="24"/>
        </w:numPr>
        <w:spacing w:line="276" w:lineRule="auto"/>
        <w:ind w:left="357" w:hanging="357"/>
        <w:rPr>
          <w:lang w:val="fr-BE"/>
        </w:rPr>
      </w:pPr>
      <w:r w:rsidRPr="004267B4">
        <w:rPr>
          <w:lang w:val="fr-BE"/>
        </w:rPr>
        <w:t xml:space="preserve">estime qu’il convient d’inclure des outils plus concrets pour aider les </w:t>
      </w:r>
      <w:r w:rsidRPr="004267B4">
        <w:rPr>
          <w:b/>
          <w:lang w:val="fr-BE"/>
        </w:rPr>
        <w:t>fonctionnaires des pays tiers</w:t>
      </w:r>
      <w:r w:rsidRPr="004267B4">
        <w:rPr>
          <w:lang w:val="fr-BE"/>
        </w:rPr>
        <w:t xml:space="preserve"> et d’encourager activement les États membres à développer la coopération avec ces pays pour optimiser les mécanismes de recouvrement des avoirs prévus dans la proposition de directive, considérant que les victimes d’infractions pénales ont </w:t>
      </w:r>
      <w:r w:rsidRPr="004267B4">
        <w:rPr>
          <w:b/>
          <w:lang w:val="fr-BE"/>
        </w:rPr>
        <w:t>pleinement droit à une indemnisation</w:t>
      </w:r>
      <w:r w:rsidRPr="004267B4">
        <w:rPr>
          <w:lang w:val="fr-BE"/>
        </w:rPr>
        <w:t xml:space="preserve"> dans ces pays.</w:t>
      </w:r>
    </w:p>
    <w:p w14:paraId="5401ECFF" w14:textId="77777777" w:rsidR="00454018" w:rsidRPr="004267B4" w:rsidRDefault="00454018" w:rsidP="00DA2729">
      <w:pPr>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54018" w:rsidRPr="004267B4" w14:paraId="0FA3A39D" w14:textId="77777777" w:rsidTr="0059328F">
        <w:tc>
          <w:tcPr>
            <w:tcW w:w="1418" w:type="dxa"/>
          </w:tcPr>
          <w:p w14:paraId="68EDE1C1" w14:textId="77777777" w:rsidR="00454018" w:rsidRPr="004267B4" w:rsidRDefault="00454018" w:rsidP="0059328F">
            <w:pPr>
              <w:spacing w:line="240" w:lineRule="auto"/>
              <w:rPr>
                <w:i/>
                <w:lang w:val="fr-BE"/>
              </w:rPr>
            </w:pPr>
            <w:r w:rsidRPr="004267B4">
              <w:rPr>
                <w:b/>
                <w:i/>
                <w:lang w:val="fr-BE"/>
              </w:rPr>
              <w:t>Contact</w:t>
            </w:r>
          </w:p>
        </w:tc>
        <w:tc>
          <w:tcPr>
            <w:tcW w:w="5670" w:type="dxa"/>
          </w:tcPr>
          <w:p w14:paraId="08FA9144" w14:textId="77777777" w:rsidR="00454018" w:rsidRPr="004267B4" w:rsidRDefault="00454018" w:rsidP="0059328F">
            <w:pPr>
              <w:spacing w:line="240" w:lineRule="auto"/>
              <w:rPr>
                <w:i/>
                <w:lang w:val="fr-BE"/>
              </w:rPr>
            </w:pPr>
            <w:r w:rsidRPr="004267B4">
              <w:rPr>
                <w:i/>
                <w:lang w:val="fr-BE"/>
              </w:rPr>
              <w:t>Gemma Amran</w:t>
            </w:r>
          </w:p>
        </w:tc>
      </w:tr>
      <w:tr w:rsidR="00454018" w:rsidRPr="004267B4" w14:paraId="6A0A1360" w14:textId="77777777" w:rsidTr="0059328F">
        <w:tc>
          <w:tcPr>
            <w:tcW w:w="1418" w:type="dxa"/>
          </w:tcPr>
          <w:p w14:paraId="13C88392" w14:textId="77777777" w:rsidR="00454018" w:rsidRPr="004267B4" w:rsidRDefault="00454018" w:rsidP="0059328F">
            <w:pPr>
              <w:spacing w:line="240" w:lineRule="auto"/>
              <w:rPr>
                <w:i/>
                <w:lang w:val="fr-BE"/>
              </w:rPr>
            </w:pPr>
            <w:r w:rsidRPr="004267B4">
              <w:rPr>
                <w:i/>
                <w:lang w:val="fr-BE"/>
              </w:rPr>
              <w:t>Tél.</w:t>
            </w:r>
          </w:p>
        </w:tc>
        <w:tc>
          <w:tcPr>
            <w:tcW w:w="5670" w:type="dxa"/>
          </w:tcPr>
          <w:p w14:paraId="0E6C4119" w14:textId="77777777" w:rsidR="00454018" w:rsidRPr="004267B4" w:rsidRDefault="00454018" w:rsidP="0059328F">
            <w:pPr>
              <w:spacing w:line="240" w:lineRule="auto"/>
              <w:rPr>
                <w:i/>
                <w:lang w:val="fr-BE"/>
              </w:rPr>
            </w:pPr>
            <w:r w:rsidRPr="004267B4">
              <w:rPr>
                <w:i/>
                <w:lang w:val="fr-BE"/>
              </w:rPr>
              <w:t>+32 2 546 9415</w:t>
            </w:r>
          </w:p>
        </w:tc>
      </w:tr>
      <w:tr w:rsidR="00454018" w:rsidRPr="004267B4" w14:paraId="73983BBB" w14:textId="77777777" w:rsidTr="0059328F">
        <w:tc>
          <w:tcPr>
            <w:tcW w:w="1418" w:type="dxa"/>
          </w:tcPr>
          <w:p w14:paraId="1F964C07" w14:textId="77777777" w:rsidR="00454018" w:rsidRPr="004267B4" w:rsidRDefault="00454018" w:rsidP="0059328F">
            <w:pPr>
              <w:spacing w:line="240" w:lineRule="auto"/>
              <w:rPr>
                <w:i/>
                <w:lang w:val="fr-BE"/>
              </w:rPr>
            </w:pPr>
            <w:r w:rsidRPr="004267B4">
              <w:rPr>
                <w:i/>
                <w:lang w:val="fr-BE"/>
              </w:rPr>
              <w:t>Courriel</w:t>
            </w:r>
          </w:p>
        </w:tc>
        <w:tc>
          <w:tcPr>
            <w:tcW w:w="5670" w:type="dxa"/>
          </w:tcPr>
          <w:p w14:paraId="63EF6F93" w14:textId="77777777" w:rsidR="00454018" w:rsidRPr="004267B4" w:rsidRDefault="004466E9" w:rsidP="0059328F">
            <w:pPr>
              <w:spacing w:line="240" w:lineRule="auto"/>
              <w:rPr>
                <w:i/>
                <w:lang w:val="fr-BE"/>
              </w:rPr>
            </w:pPr>
            <w:hyperlink r:id="rId23" w:history="1">
              <w:r w:rsidR="00454018" w:rsidRPr="004267B4">
                <w:rPr>
                  <w:rStyle w:val="Hyperlink"/>
                  <w:i/>
                  <w:lang w:val="fr-BE"/>
                </w:rPr>
                <w:t>Gemma.Amran@eesc.europa.eu</w:t>
              </w:r>
            </w:hyperlink>
          </w:p>
        </w:tc>
      </w:tr>
    </w:tbl>
    <w:p w14:paraId="5F1674CB" w14:textId="170EDBEE" w:rsidR="003C4172" w:rsidRPr="004267B4" w:rsidRDefault="003C4172" w:rsidP="00DA2729">
      <w:pPr>
        <w:rPr>
          <w:lang w:val="fr-BE"/>
        </w:rPr>
      </w:pPr>
    </w:p>
    <w:p w14:paraId="1D2B0942" w14:textId="0103544F" w:rsidR="00276CC9" w:rsidRPr="004267B4" w:rsidRDefault="003C4172" w:rsidP="00DA2729">
      <w:pPr>
        <w:spacing w:line="259" w:lineRule="auto"/>
        <w:jc w:val="left"/>
        <w:rPr>
          <w:sz w:val="28"/>
          <w:lang w:val="fr-BE"/>
        </w:rPr>
      </w:pPr>
      <w:r w:rsidRPr="004267B4">
        <w:rPr>
          <w:lang w:val="fr-BE"/>
        </w:rPr>
        <w:br w:type="page"/>
      </w:r>
    </w:p>
    <w:p w14:paraId="77C6004F" w14:textId="77777777" w:rsidR="001760E9" w:rsidRPr="004267B4" w:rsidRDefault="001760E9" w:rsidP="00DA2729">
      <w:pPr>
        <w:spacing w:line="259" w:lineRule="auto"/>
        <w:jc w:val="left"/>
        <w:rPr>
          <w:lang w:val="fr-BE"/>
        </w:rPr>
      </w:pPr>
    </w:p>
    <w:p w14:paraId="36045BD2" w14:textId="21C556E2" w:rsidR="00644A58" w:rsidRPr="004267B4" w:rsidRDefault="004466E9" w:rsidP="00FF013B">
      <w:pPr>
        <w:numPr>
          <w:ilvl w:val="0"/>
          <w:numId w:val="3"/>
        </w:numPr>
        <w:overflowPunct w:val="0"/>
        <w:autoSpaceDE w:val="0"/>
        <w:autoSpaceDN w:val="0"/>
        <w:adjustRightInd w:val="0"/>
        <w:ind w:left="567" w:hanging="567"/>
        <w:textAlignment w:val="baseline"/>
        <w:rPr>
          <w:b/>
          <w:bCs/>
          <w:i/>
          <w:iCs/>
          <w:sz w:val="28"/>
          <w:szCs w:val="28"/>
          <w:lang w:val="fr-BE"/>
        </w:rPr>
      </w:pPr>
      <w:hyperlink r:id="rId24" w:history="1">
        <w:r w:rsidR="00644A58" w:rsidRPr="004267B4">
          <w:rPr>
            <w:b/>
            <w:bCs/>
            <w:i/>
            <w:iCs/>
            <w:sz w:val="28"/>
            <w:szCs w:val="28"/>
            <w:lang w:val="fr-BE"/>
          </w:rPr>
          <w:t>Protection contre l’exposition à l’amiante pendant le travail</w:t>
        </w:r>
      </w:hyperlink>
    </w:p>
    <w:p w14:paraId="60436745" w14:textId="1BC31309" w:rsidR="00644A58" w:rsidRPr="004267B4" w:rsidRDefault="00644A58" w:rsidP="00644A58">
      <w:pPr>
        <w:ind w:right="-283"/>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7"/>
        <w:gridCol w:w="6143"/>
      </w:tblGrid>
      <w:tr w:rsidR="00FF556D" w:rsidRPr="004267B4" w14:paraId="1F9BA8C6" w14:textId="77777777" w:rsidTr="0059328F">
        <w:tc>
          <w:tcPr>
            <w:tcW w:w="1657" w:type="dxa"/>
            <w:gridSpan w:val="2"/>
          </w:tcPr>
          <w:p w14:paraId="0F8FD93A" w14:textId="4516221F" w:rsidR="00FF556D" w:rsidRPr="004267B4" w:rsidRDefault="00FF556D" w:rsidP="0059328F">
            <w:pPr>
              <w:pStyle w:val="ListParagraph"/>
              <w:ind w:left="0"/>
              <w:rPr>
                <w:b/>
                <w:lang w:val="fr-BE"/>
              </w:rPr>
            </w:pPr>
            <w:r w:rsidRPr="004267B4">
              <w:rPr>
                <w:b/>
                <w:lang w:val="fr-BE"/>
              </w:rPr>
              <w:t>Rapporteure</w:t>
            </w:r>
          </w:p>
          <w:p w14:paraId="1C8D5040" w14:textId="77777777" w:rsidR="00FF556D" w:rsidRPr="004267B4" w:rsidRDefault="00FF556D" w:rsidP="0059328F">
            <w:pPr>
              <w:pStyle w:val="ListParagraph"/>
              <w:ind w:left="0"/>
              <w:rPr>
                <w:b/>
                <w:sz w:val="20"/>
                <w:szCs w:val="20"/>
                <w:lang w:val="fr-BE"/>
              </w:rPr>
            </w:pPr>
          </w:p>
        </w:tc>
        <w:tc>
          <w:tcPr>
            <w:tcW w:w="6143" w:type="dxa"/>
          </w:tcPr>
          <w:p w14:paraId="744C7A58" w14:textId="0C03E4EC" w:rsidR="00FF556D" w:rsidRPr="004267B4" w:rsidRDefault="00FF556D" w:rsidP="0059328F">
            <w:pPr>
              <w:pStyle w:val="ListParagraph"/>
              <w:ind w:left="-108" w:right="-195"/>
              <w:rPr>
                <w:lang w:val="fr-BE"/>
              </w:rPr>
            </w:pPr>
            <w:r w:rsidRPr="004267B4">
              <w:rPr>
                <w:lang w:val="fr-BE"/>
              </w:rPr>
              <w:t>Ellen NYGREN (</w:t>
            </w:r>
            <w:r w:rsidR="00F13412">
              <w:rPr>
                <w:lang w:val="fr-BE"/>
              </w:rPr>
              <w:t xml:space="preserve">groupe </w:t>
            </w:r>
            <w:r w:rsidRPr="004267B4">
              <w:rPr>
                <w:lang w:val="fr-BE"/>
              </w:rPr>
              <w:t>des travailleurs — SE)</w:t>
            </w:r>
          </w:p>
          <w:p w14:paraId="34FE6CAB" w14:textId="77777777" w:rsidR="00FF556D" w:rsidRPr="004267B4" w:rsidRDefault="00FF556D" w:rsidP="0059328F">
            <w:pPr>
              <w:pStyle w:val="ListParagraph"/>
              <w:ind w:left="-108"/>
              <w:rPr>
                <w:lang w:val="fr-BE"/>
              </w:rPr>
            </w:pPr>
          </w:p>
        </w:tc>
      </w:tr>
      <w:tr w:rsidR="00FF556D" w:rsidRPr="004267B4" w14:paraId="4FD5C597" w14:textId="77777777" w:rsidTr="0059328F">
        <w:tblPrEx>
          <w:tblCellMar>
            <w:left w:w="57" w:type="dxa"/>
            <w:right w:w="57" w:type="dxa"/>
          </w:tblCellMar>
        </w:tblPrEx>
        <w:tc>
          <w:tcPr>
            <w:tcW w:w="1560" w:type="dxa"/>
          </w:tcPr>
          <w:p w14:paraId="31A686CD" w14:textId="2F5947D3" w:rsidR="00FF556D" w:rsidRPr="004267B4" w:rsidRDefault="00FF556D" w:rsidP="0059328F">
            <w:pPr>
              <w:pStyle w:val="ListParagraph"/>
              <w:ind w:left="79"/>
              <w:rPr>
                <w:b/>
                <w:lang w:val="fr-BE"/>
              </w:rPr>
            </w:pPr>
            <w:r w:rsidRPr="004267B4">
              <w:rPr>
                <w:b/>
                <w:lang w:val="fr-BE"/>
              </w:rPr>
              <w:t xml:space="preserve">Références </w:t>
            </w:r>
          </w:p>
        </w:tc>
        <w:tc>
          <w:tcPr>
            <w:tcW w:w="6237" w:type="dxa"/>
            <w:gridSpan w:val="2"/>
          </w:tcPr>
          <w:p w14:paraId="5C8E3C44" w14:textId="3094ABA0" w:rsidR="00FF556D" w:rsidRPr="004267B4" w:rsidRDefault="00FF556D" w:rsidP="0059328F">
            <w:pPr>
              <w:pStyle w:val="ListParagraph"/>
              <w:ind w:left="0" w:firstLine="56"/>
              <w:rPr>
                <w:lang w:val="fr-BE"/>
              </w:rPr>
            </w:pPr>
            <w:r w:rsidRPr="004267B4">
              <w:rPr>
                <w:lang w:val="fr-BE"/>
              </w:rPr>
              <w:t>COM(2022) 489 final</w:t>
            </w:r>
          </w:p>
          <w:p w14:paraId="57AAD5B8" w14:textId="77777777" w:rsidR="00FF556D" w:rsidRPr="004267B4" w:rsidRDefault="00FF556D" w:rsidP="0059328F">
            <w:pPr>
              <w:pStyle w:val="ListParagraph"/>
              <w:ind w:left="0" w:firstLine="56"/>
              <w:rPr>
                <w:lang w:val="fr-BE"/>
              </w:rPr>
            </w:pPr>
            <w:r w:rsidRPr="004267B4">
              <w:rPr>
                <w:lang w:val="fr-BE"/>
              </w:rPr>
              <w:t>EESC-2022-04829-00-00-AC</w:t>
            </w:r>
          </w:p>
        </w:tc>
      </w:tr>
    </w:tbl>
    <w:p w14:paraId="6A77C365" w14:textId="77777777" w:rsidR="00FF556D" w:rsidRPr="004267B4" w:rsidRDefault="00FF556D" w:rsidP="00644A58">
      <w:pPr>
        <w:ind w:right="-283"/>
        <w:rPr>
          <w:lang w:val="fr-BE"/>
        </w:rPr>
      </w:pPr>
    </w:p>
    <w:p w14:paraId="3F8FDDE6" w14:textId="77777777" w:rsidR="00644A58" w:rsidRPr="004267B4" w:rsidRDefault="00644A58" w:rsidP="00644A58">
      <w:pPr>
        <w:keepNext/>
        <w:keepLines/>
        <w:tabs>
          <w:tab w:val="center" w:pos="284"/>
        </w:tabs>
        <w:ind w:left="266" w:hanging="266"/>
        <w:rPr>
          <w:b/>
          <w:lang w:val="fr-BE"/>
        </w:rPr>
      </w:pPr>
      <w:r w:rsidRPr="004267B4">
        <w:rPr>
          <w:b/>
          <w:lang w:val="fr-BE"/>
        </w:rPr>
        <w:t>Points clés</w:t>
      </w:r>
    </w:p>
    <w:p w14:paraId="0D408AE3" w14:textId="77777777" w:rsidR="00644A58" w:rsidRPr="004267B4" w:rsidRDefault="00644A58" w:rsidP="00FF556D">
      <w:pPr>
        <w:keepNext/>
        <w:overflowPunct w:val="0"/>
        <w:autoSpaceDE w:val="0"/>
        <w:autoSpaceDN w:val="0"/>
        <w:adjustRightInd w:val="0"/>
        <w:ind w:right="-283"/>
        <w:textAlignment w:val="baseline"/>
        <w:rPr>
          <w:lang w:val="fr-BE"/>
        </w:rPr>
      </w:pPr>
    </w:p>
    <w:p w14:paraId="001CE123" w14:textId="77777777" w:rsidR="00644A58" w:rsidRPr="004267B4" w:rsidRDefault="00644A58" w:rsidP="00FF556D">
      <w:pPr>
        <w:keepNext/>
        <w:overflowPunct w:val="0"/>
        <w:autoSpaceDE w:val="0"/>
        <w:autoSpaceDN w:val="0"/>
        <w:adjustRightInd w:val="0"/>
        <w:ind w:right="-283"/>
        <w:textAlignment w:val="baseline"/>
        <w:rPr>
          <w:lang w:val="fr-BE"/>
        </w:rPr>
      </w:pPr>
      <w:r w:rsidRPr="004267B4">
        <w:rPr>
          <w:lang w:val="fr-BE"/>
        </w:rPr>
        <w:t>Le CESE:</w:t>
      </w:r>
    </w:p>
    <w:p w14:paraId="6EF5B7CE" w14:textId="77777777" w:rsidR="00644A58" w:rsidRPr="004267B4" w:rsidRDefault="00644A58" w:rsidP="00FF556D">
      <w:pPr>
        <w:keepNext/>
        <w:rPr>
          <w:lang w:val="fr-BE"/>
        </w:rPr>
      </w:pPr>
    </w:p>
    <w:p w14:paraId="63994D9A" w14:textId="77777777" w:rsidR="00644A58" w:rsidRPr="004267B4" w:rsidRDefault="00644A58" w:rsidP="00FF556D">
      <w:pPr>
        <w:pStyle w:val="ListParagraph"/>
        <w:numPr>
          <w:ilvl w:val="0"/>
          <w:numId w:val="25"/>
        </w:numPr>
        <w:ind w:left="357" w:hanging="357"/>
        <w:rPr>
          <w:lang w:val="fr-BE"/>
        </w:rPr>
      </w:pPr>
      <w:r w:rsidRPr="004267B4">
        <w:rPr>
          <w:lang w:val="fr-BE"/>
        </w:rPr>
        <w:t xml:space="preserve">salue </w:t>
      </w:r>
      <w:r w:rsidRPr="004267B4">
        <w:rPr>
          <w:b/>
          <w:lang w:val="fr-BE"/>
        </w:rPr>
        <w:t>l’ambition de la Commission de faire baisser l’incidence du cancer</w:t>
      </w:r>
      <w:r w:rsidRPr="004267B4">
        <w:rPr>
          <w:lang w:val="fr-BE"/>
        </w:rPr>
        <w:t xml:space="preserve"> et les efforts spécifiques qui sont déployés pour réduire au minimum les occurrences d’exposition à l’amiante pendant le travail;</w:t>
      </w:r>
    </w:p>
    <w:p w14:paraId="0B42E73D" w14:textId="77777777" w:rsidR="00644A58" w:rsidRPr="004267B4" w:rsidRDefault="00644A58" w:rsidP="00FF556D">
      <w:pPr>
        <w:pStyle w:val="ListParagraph"/>
        <w:numPr>
          <w:ilvl w:val="0"/>
          <w:numId w:val="25"/>
        </w:numPr>
        <w:ind w:left="357" w:hanging="357"/>
        <w:rPr>
          <w:lang w:val="fr-BE"/>
        </w:rPr>
      </w:pPr>
      <w:r w:rsidRPr="004267B4">
        <w:rPr>
          <w:lang w:val="fr-BE"/>
        </w:rPr>
        <w:t xml:space="preserve">préconise que </w:t>
      </w:r>
      <w:r w:rsidRPr="004267B4">
        <w:rPr>
          <w:b/>
          <w:lang w:val="fr-BE"/>
        </w:rPr>
        <w:t>la valeur limite pour l’exposition à l’amiante</w:t>
      </w:r>
      <w:r w:rsidRPr="004267B4">
        <w:rPr>
          <w:lang w:val="fr-BE"/>
        </w:rPr>
        <w:t xml:space="preserve"> prévue par la directive concernant la protection des travailleurs contre les risques liés à une exposition à l’amiante pendant le travail soit, à terme, fixée à un niveau plus bas que la Commission ne le propose pour l’heure;</w:t>
      </w:r>
    </w:p>
    <w:p w14:paraId="20ADBDEB" w14:textId="77777777" w:rsidR="00644A58" w:rsidRPr="004267B4" w:rsidRDefault="00644A58" w:rsidP="00FF556D">
      <w:pPr>
        <w:pStyle w:val="ListParagraph"/>
        <w:numPr>
          <w:ilvl w:val="0"/>
          <w:numId w:val="25"/>
        </w:numPr>
        <w:ind w:left="357" w:hanging="357"/>
        <w:rPr>
          <w:lang w:val="fr-BE"/>
        </w:rPr>
      </w:pPr>
      <w:r w:rsidRPr="004267B4">
        <w:rPr>
          <w:lang w:val="fr-BE"/>
        </w:rPr>
        <w:t xml:space="preserve">recommande que pour atteindre ce but, il soit procédé à l’élaboration d’une </w:t>
      </w:r>
      <w:r w:rsidRPr="004267B4">
        <w:rPr>
          <w:b/>
          <w:lang w:val="fr-BE"/>
        </w:rPr>
        <w:t>feuille de route qui comportera des mesures complémentaires</w:t>
      </w:r>
      <w:r w:rsidRPr="004267B4">
        <w:rPr>
          <w:lang w:val="fr-BE"/>
        </w:rPr>
        <w:t xml:space="preserve"> aux propositions actuelles de la Commission et devra prévoir un soutien financier aux entreprises et aux régions qui en ont besoin pour atteindre les objectifs fixés;</w:t>
      </w:r>
    </w:p>
    <w:p w14:paraId="445BA109" w14:textId="77777777" w:rsidR="00644A58" w:rsidRPr="004267B4" w:rsidRDefault="00644A58" w:rsidP="00FF556D">
      <w:pPr>
        <w:pStyle w:val="ListParagraph"/>
        <w:numPr>
          <w:ilvl w:val="0"/>
          <w:numId w:val="25"/>
        </w:numPr>
        <w:ind w:left="357" w:hanging="357"/>
        <w:rPr>
          <w:lang w:val="fr-BE"/>
        </w:rPr>
      </w:pPr>
      <w:r w:rsidRPr="004267B4">
        <w:rPr>
          <w:lang w:val="fr-BE"/>
        </w:rPr>
        <w:t xml:space="preserve">propose de </w:t>
      </w:r>
      <w:r w:rsidRPr="004267B4">
        <w:rPr>
          <w:b/>
          <w:lang w:val="fr-BE"/>
        </w:rPr>
        <w:t>lancer, à l’intention du grand public, une vaste campagne d’information sur l’amiante</w:t>
      </w:r>
      <w:r w:rsidRPr="004267B4">
        <w:rPr>
          <w:lang w:val="fr-BE"/>
        </w:rPr>
        <w:t xml:space="preserve"> et ses risques mortels. En outre, il y a lieu de dispenser à tous les travailleurs qui sont susceptibles d’être exposés à l’amiante une formation qui sera assurée soit dans leur langue maternelle, soit dans une autre qu’ils maîtrisent;</w:t>
      </w:r>
    </w:p>
    <w:p w14:paraId="0A3DA6BF" w14:textId="77777777" w:rsidR="00644A58" w:rsidRPr="004267B4" w:rsidRDefault="00644A58" w:rsidP="00FF556D">
      <w:pPr>
        <w:pStyle w:val="ListParagraph"/>
        <w:numPr>
          <w:ilvl w:val="0"/>
          <w:numId w:val="25"/>
        </w:numPr>
        <w:ind w:left="357" w:hanging="357"/>
        <w:rPr>
          <w:lang w:val="fr-BE"/>
        </w:rPr>
      </w:pPr>
      <w:r w:rsidRPr="004267B4">
        <w:rPr>
          <w:lang w:val="fr-BE"/>
        </w:rPr>
        <w:t xml:space="preserve">prône que </w:t>
      </w:r>
      <w:r w:rsidRPr="004267B4">
        <w:rPr>
          <w:b/>
          <w:lang w:val="fr-BE"/>
        </w:rPr>
        <w:t>tous les travailleurs dont on soupçonne qu’ils risquent d’être exposés à l’amiante soient soumis à des contrôles</w:t>
      </w:r>
      <w:r w:rsidRPr="004267B4">
        <w:rPr>
          <w:lang w:val="fr-BE"/>
        </w:rPr>
        <w:t xml:space="preserve"> et qu’un registre ou un passeport fournissant des informations sur cette exposition les accompagne lorsqu’ils changent d’emploi, de manière à assurer un suivi de leur santé;</w:t>
      </w:r>
    </w:p>
    <w:p w14:paraId="7A32A402" w14:textId="77777777" w:rsidR="00644A58" w:rsidRPr="004267B4" w:rsidRDefault="00644A58" w:rsidP="00FF556D">
      <w:pPr>
        <w:pStyle w:val="ListParagraph"/>
        <w:numPr>
          <w:ilvl w:val="0"/>
          <w:numId w:val="25"/>
        </w:numPr>
        <w:ind w:left="357" w:hanging="357"/>
        <w:rPr>
          <w:lang w:val="fr-BE"/>
        </w:rPr>
      </w:pPr>
      <w:r w:rsidRPr="004267B4">
        <w:rPr>
          <w:lang w:val="fr-BE"/>
        </w:rPr>
        <w:t xml:space="preserve">met particulièrement l’accent sur la </w:t>
      </w:r>
      <w:r w:rsidRPr="004267B4">
        <w:rPr>
          <w:b/>
          <w:lang w:val="fr-BE"/>
        </w:rPr>
        <w:t>convention nº 162 de l’Organisation internationale du travail et la convention de Rotterdam</w:t>
      </w:r>
      <w:r w:rsidRPr="004267B4">
        <w:rPr>
          <w:lang w:val="fr-BE"/>
        </w:rPr>
        <w:t xml:space="preserve">. Dans le contexte de leur négociation et de leur application, l’Union européenne et ses États membres devraient jouer un rôle actif et primordial pour encourager des évolutions plus favorables dans tous les pays du monde et dans les chaînes d’échanges internationales; </w:t>
      </w:r>
    </w:p>
    <w:p w14:paraId="03CACA88" w14:textId="77777777" w:rsidR="00644A58" w:rsidRPr="004267B4" w:rsidRDefault="00644A58" w:rsidP="00FF556D">
      <w:pPr>
        <w:pStyle w:val="ListParagraph"/>
        <w:numPr>
          <w:ilvl w:val="0"/>
          <w:numId w:val="25"/>
        </w:numPr>
        <w:ind w:left="357" w:hanging="357"/>
        <w:rPr>
          <w:lang w:val="fr-BE"/>
        </w:rPr>
      </w:pPr>
      <w:r w:rsidRPr="004267B4">
        <w:rPr>
          <w:lang w:val="fr-BE"/>
        </w:rPr>
        <w:t xml:space="preserve">exhorte l’Union européenne et ses États membres à </w:t>
      </w:r>
      <w:r w:rsidRPr="004267B4">
        <w:rPr>
          <w:b/>
          <w:lang w:val="fr-BE"/>
        </w:rPr>
        <w:t>œuvrer énergiquement pour que l’utilisation de l’amiante soit interdite internationalement</w:t>
      </w:r>
      <w:r w:rsidRPr="004267B4">
        <w:rPr>
          <w:lang w:val="fr-BE"/>
        </w:rPr>
        <w:t xml:space="preserve"> et qu’une protection soit assurée aux travailleurs qui doivent manipuler ce matériau qui est déjà en place, par exemple dans des chantiers de rénovation et de démolition ou dans le cadre de la gestion de déchets.</w:t>
      </w:r>
    </w:p>
    <w:p w14:paraId="15C862CE" w14:textId="77777777" w:rsidR="00644A58" w:rsidRPr="004267B4" w:rsidRDefault="00644A58" w:rsidP="00DA2729">
      <w:pPr>
        <w:rPr>
          <w:lang w:val="fr-BE"/>
        </w:rPr>
      </w:pPr>
    </w:p>
    <w:p w14:paraId="4383306F" w14:textId="77777777" w:rsidR="00644A58" w:rsidRPr="004267B4" w:rsidRDefault="00644A58" w:rsidP="00DA2729">
      <w:pPr>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644A58" w:rsidRPr="004267B4" w14:paraId="1DB0D451" w14:textId="77777777" w:rsidTr="0059328F">
        <w:tc>
          <w:tcPr>
            <w:tcW w:w="1418" w:type="dxa"/>
          </w:tcPr>
          <w:p w14:paraId="1AE5E3A0" w14:textId="77777777" w:rsidR="00644A58" w:rsidRPr="004267B4" w:rsidRDefault="00644A58" w:rsidP="0059328F">
            <w:pPr>
              <w:spacing w:line="240" w:lineRule="auto"/>
              <w:rPr>
                <w:i/>
                <w:lang w:val="fr-BE"/>
              </w:rPr>
            </w:pPr>
            <w:r w:rsidRPr="004267B4">
              <w:rPr>
                <w:b/>
                <w:i/>
                <w:lang w:val="fr-BE"/>
              </w:rPr>
              <w:t>Contact:</w:t>
            </w:r>
          </w:p>
        </w:tc>
        <w:tc>
          <w:tcPr>
            <w:tcW w:w="5670" w:type="dxa"/>
          </w:tcPr>
          <w:p w14:paraId="005A27AD" w14:textId="45EAF37E" w:rsidR="00644A58" w:rsidRPr="004267B4" w:rsidRDefault="00644A58" w:rsidP="0059328F">
            <w:pPr>
              <w:spacing w:line="240" w:lineRule="auto"/>
              <w:rPr>
                <w:i/>
                <w:lang w:val="fr-BE"/>
              </w:rPr>
            </w:pPr>
            <w:r w:rsidRPr="004267B4">
              <w:rPr>
                <w:i/>
                <w:lang w:val="fr-BE"/>
              </w:rPr>
              <w:t>Margherita L</w:t>
            </w:r>
            <w:r w:rsidR="004466E9" w:rsidRPr="004267B4">
              <w:rPr>
                <w:i/>
                <w:lang w:val="fr-BE"/>
              </w:rPr>
              <w:t>ogrillo</w:t>
            </w:r>
          </w:p>
        </w:tc>
      </w:tr>
      <w:tr w:rsidR="00644A58" w:rsidRPr="004267B4" w14:paraId="10D08BBA" w14:textId="77777777" w:rsidTr="0059328F">
        <w:tc>
          <w:tcPr>
            <w:tcW w:w="1418" w:type="dxa"/>
          </w:tcPr>
          <w:p w14:paraId="23CDF14F" w14:textId="77777777" w:rsidR="00644A58" w:rsidRPr="004267B4" w:rsidRDefault="00644A58" w:rsidP="0059328F">
            <w:pPr>
              <w:spacing w:line="240" w:lineRule="auto"/>
              <w:rPr>
                <w:i/>
                <w:lang w:val="fr-BE"/>
              </w:rPr>
            </w:pPr>
            <w:r w:rsidRPr="004267B4">
              <w:rPr>
                <w:i/>
                <w:lang w:val="fr-BE"/>
              </w:rPr>
              <w:t>Tél.</w:t>
            </w:r>
          </w:p>
        </w:tc>
        <w:tc>
          <w:tcPr>
            <w:tcW w:w="5670" w:type="dxa"/>
          </w:tcPr>
          <w:p w14:paraId="2EAF294F" w14:textId="36293323" w:rsidR="00644A58" w:rsidRPr="004267B4" w:rsidRDefault="00AA11E1" w:rsidP="0059328F">
            <w:pPr>
              <w:spacing w:line="240" w:lineRule="auto"/>
              <w:rPr>
                <w:i/>
                <w:lang w:val="fr-BE"/>
              </w:rPr>
            </w:pPr>
            <w:r w:rsidRPr="004267B4">
              <w:rPr>
                <w:i/>
                <w:lang w:val="fr-BE"/>
              </w:rPr>
              <w:t>+</w:t>
            </w:r>
            <w:r w:rsidR="00644A58" w:rsidRPr="004267B4">
              <w:rPr>
                <w:i/>
                <w:lang w:val="fr-BE"/>
              </w:rPr>
              <w:t>32 2 546 90 99</w:t>
            </w:r>
          </w:p>
        </w:tc>
      </w:tr>
      <w:tr w:rsidR="00644A58" w:rsidRPr="004267B4" w14:paraId="48BAB506" w14:textId="77777777" w:rsidTr="0059328F">
        <w:tc>
          <w:tcPr>
            <w:tcW w:w="1418" w:type="dxa"/>
          </w:tcPr>
          <w:p w14:paraId="2B8D11BF" w14:textId="77777777" w:rsidR="00644A58" w:rsidRPr="004267B4" w:rsidRDefault="00644A58" w:rsidP="0059328F">
            <w:pPr>
              <w:spacing w:line="240" w:lineRule="auto"/>
              <w:rPr>
                <w:i/>
                <w:lang w:val="fr-BE"/>
              </w:rPr>
            </w:pPr>
            <w:r w:rsidRPr="004267B4">
              <w:rPr>
                <w:i/>
                <w:lang w:val="fr-BE"/>
              </w:rPr>
              <w:t>Courriel:</w:t>
            </w:r>
          </w:p>
        </w:tc>
        <w:tc>
          <w:tcPr>
            <w:tcW w:w="5670" w:type="dxa"/>
          </w:tcPr>
          <w:p w14:paraId="27C4ECBC" w14:textId="064666FF" w:rsidR="00644A58" w:rsidRPr="004267B4" w:rsidRDefault="00644A58" w:rsidP="0059328F">
            <w:pPr>
              <w:spacing w:line="240" w:lineRule="auto"/>
              <w:rPr>
                <w:i/>
                <w:color w:val="0000FF"/>
                <w:szCs w:val="20"/>
                <w:u w:val="single"/>
                <w:lang w:val="fr-BE"/>
              </w:rPr>
            </w:pPr>
            <w:r w:rsidRPr="004267B4">
              <w:rPr>
                <w:rStyle w:val="Hyperlink"/>
                <w:i/>
                <w:lang w:val="fr-BE"/>
              </w:rPr>
              <w:t>Margherita.Logrillo@eesc.europa.eu</w:t>
            </w:r>
          </w:p>
        </w:tc>
      </w:tr>
    </w:tbl>
    <w:p w14:paraId="41A831BA" w14:textId="0F24FAB9" w:rsidR="00467BE4" w:rsidRPr="004267B4" w:rsidRDefault="00467BE4" w:rsidP="00DA2729">
      <w:pPr>
        <w:spacing w:line="259" w:lineRule="auto"/>
        <w:jc w:val="left"/>
        <w:rPr>
          <w:sz w:val="28"/>
          <w:lang w:val="fr-BE"/>
        </w:rPr>
      </w:pPr>
      <w:r w:rsidRPr="004267B4">
        <w:rPr>
          <w:lang w:val="fr-BE"/>
        </w:rPr>
        <w:br w:type="page"/>
      </w:r>
    </w:p>
    <w:p w14:paraId="4A34F75D" w14:textId="77777777" w:rsidR="003C4172" w:rsidRPr="004267B4" w:rsidRDefault="003C4172" w:rsidP="00DA2729">
      <w:pPr>
        <w:spacing w:line="259" w:lineRule="auto"/>
        <w:jc w:val="left"/>
        <w:rPr>
          <w:lang w:val="fr-BE"/>
        </w:rPr>
      </w:pPr>
    </w:p>
    <w:p w14:paraId="4D1A4370" w14:textId="2A762561" w:rsidR="00A50760" w:rsidRPr="004267B4" w:rsidRDefault="004466E9" w:rsidP="00FF013B">
      <w:pPr>
        <w:widowControl w:val="0"/>
        <w:numPr>
          <w:ilvl w:val="0"/>
          <w:numId w:val="4"/>
        </w:numPr>
        <w:overflowPunct w:val="0"/>
        <w:autoSpaceDE w:val="0"/>
        <w:autoSpaceDN w:val="0"/>
        <w:adjustRightInd w:val="0"/>
        <w:ind w:hanging="567"/>
        <w:textAlignment w:val="baseline"/>
        <w:rPr>
          <w:b/>
          <w:i/>
          <w:sz w:val="28"/>
          <w:lang w:val="fr-BE"/>
        </w:rPr>
      </w:pPr>
      <w:hyperlink r:id="rId25" w:history="1">
        <w:r w:rsidR="00A50760" w:rsidRPr="004267B4">
          <w:rPr>
            <w:b/>
            <w:i/>
            <w:sz w:val="28"/>
            <w:lang w:val="fr-BE"/>
          </w:rPr>
          <w:t>Communiquer sur les droits fondamentaux et l’état de droit</w:t>
        </w:r>
      </w:hyperlink>
    </w:p>
    <w:p w14:paraId="039A02F9" w14:textId="77777777" w:rsidR="00A50760" w:rsidRPr="004267B4" w:rsidRDefault="00A50760" w:rsidP="00A50760">
      <w:pPr>
        <w:tabs>
          <w:tab w:val="center" w:pos="284"/>
        </w:tabs>
        <w:ind w:left="266" w:hanging="266"/>
        <w:rPr>
          <w:b/>
          <w:sz w:val="18"/>
          <w:szCs w:val="18"/>
          <w:lang w:val="fr-B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63"/>
      </w:tblGrid>
      <w:tr w:rsidR="00A50760" w:rsidRPr="004267B4" w14:paraId="50F50CC9" w14:textId="77777777" w:rsidTr="00074BCE">
        <w:tc>
          <w:tcPr>
            <w:tcW w:w="1701" w:type="dxa"/>
          </w:tcPr>
          <w:p w14:paraId="4670B16B" w14:textId="77777777" w:rsidR="00A50760" w:rsidRPr="004267B4" w:rsidRDefault="00A50760" w:rsidP="0059328F">
            <w:pPr>
              <w:tabs>
                <w:tab w:val="center" w:pos="284"/>
              </w:tabs>
              <w:ind w:left="266" w:hanging="266"/>
              <w:rPr>
                <w:b/>
                <w:lang w:val="fr-BE"/>
              </w:rPr>
            </w:pPr>
            <w:r w:rsidRPr="004267B4">
              <w:rPr>
                <w:b/>
                <w:lang w:val="fr-BE"/>
              </w:rPr>
              <w:t>Rapporteur</w:t>
            </w:r>
          </w:p>
        </w:tc>
        <w:tc>
          <w:tcPr>
            <w:tcW w:w="7763" w:type="dxa"/>
          </w:tcPr>
          <w:p w14:paraId="6C534117" w14:textId="08FD1416" w:rsidR="00A50760" w:rsidRPr="004267B4" w:rsidRDefault="00A50760" w:rsidP="0059328F">
            <w:pPr>
              <w:tabs>
                <w:tab w:val="center" w:pos="284"/>
              </w:tabs>
              <w:ind w:left="266" w:hanging="266"/>
              <w:rPr>
                <w:bCs/>
                <w:lang w:val="fr-BE"/>
              </w:rPr>
            </w:pPr>
            <w:r w:rsidRPr="004267B4">
              <w:rPr>
                <w:bCs/>
                <w:lang w:val="fr-BE"/>
              </w:rPr>
              <w:t>Cristian PÎRVULESCU</w:t>
            </w:r>
            <w:r w:rsidR="004267B4">
              <w:rPr>
                <w:bCs/>
                <w:lang w:val="fr-BE"/>
              </w:rPr>
              <w:t xml:space="preserve"> (</w:t>
            </w:r>
            <w:r w:rsidR="00F13412">
              <w:t xml:space="preserve">groupe </w:t>
            </w:r>
            <w:r w:rsidR="004267B4" w:rsidRPr="00DA2729">
              <w:t>des organisations de la société civile</w:t>
            </w:r>
            <w:r w:rsidR="004267B4">
              <w:t xml:space="preserve"> — RO)</w:t>
            </w:r>
          </w:p>
        </w:tc>
      </w:tr>
      <w:tr w:rsidR="00A50760" w:rsidRPr="004267B4" w14:paraId="48807DAC" w14:textId="77777777" w:rsidTr="00074BCE">
        <w:tc>
          <w:tcPr>
            <w:tcW w:w="1701" w:type="dxa"/>
          </w:tcPr>
          <w:p w14:paraId="63F8578E" w14:textId="77777777" w:rsidR="00A50760" w:rsidRPr="004267B4" w:rsidRDefault="00A50760" w:rsidP="0059328F">
            <w:pPr>
              <w:tabs>
                <w:tab w:val="center" w:pos="284"/>
              </w:tabs>
              <w:ind w:left="266" w:hanging="266"/>
              <w:rPr>
                <w:b/>
                <w:lang w:val="fr-BE"/>
              </w:rPr>
            </w:pPr>
            <w:r w:rsidRPr="004267B4">
              <w:rPr>
                <w:b/>
                <w:lang w:val="fr-BE"/>
              </w:rPr>
              <w:t>Corapporteur</w:t>
            </w:r>
          </w:p>
        </w:tc>
        <w:tc>
          <w:tcPr>
            <w:tcW w:w="7763" w:type="dxa"/>
          </w:tcPr>
          <w:p w14:paraId="4943C8F0" w14:textId="2149EF64" w:rsidR="00A50760" w:rsidRPr="004267B4" w:rsidRDefault="00A50760" w:rsidP="004267B4">
            <w:pPr>
              <w:ind w:left="-2" w:firstLine="2"/>
              <w:rPr>
                <w:bCs/>
                <w:lang w:val="fr-BE"/>
              </w:rPr>
            </w:pPr>
            <w:r w:rsidRPr="004267B4">
              <w:rPr>
                <w:bCs/>
                <w:lang w:val="fr-BE"/>
              </w:rPr>
              <w:t>José Antonio MORENO DÍAZ</w:t>
            </w:r>
            <w:r w:rsidR="004267B4">
              <w:rPr>
                <w:bCs/>
                <w:lang w:val="fr-BE"/>
              </w:rPr>
              <w:t xml:space="preserve"> (</w:t>
            </w:r>
            <w:r w:rsidR="00F13412">
              <w:t xml:space="preserve">groupe </w:t>
            </w:r>
            <w:r w:rsidR="004267B4" w:rsidRPr="00DA2729">
              <w:t>des travailleurs</w:t>
            </w:r>
            <w:r w:rsidR="004267B4">
              <w:t xml:space="preserve"> — ES)</w:t>
            </w:r>
          </w:p>
        </w:tc>
      </w:tr>
      <w:tr w:rsidR="00A50760" w:rsidRPr="004267B4" w14:paraId="40546397" w14:textId="77777777" w:rsidTr="00074BCE">
        <w:tc>
          <w:tcPr>
            <w:tcW w:w="9464" w:type="dxa"/>
            <w:gridSpan w:val="2"/>
          </w:tcPr>
          <w:p w14:paraId="04620B33" w14:textId="77777777" w:rsidR="00A50760" w:rsidRPr="004267B4" w:rsidRDefault="00A50760" w:rsidP="0059328F">
            <w:pPr>
              <w:tabs>
                <w:tab w:val="center" w:pos="284"/>
              </w:tabs>
              <w:spacing w:line="160" w:lineRule="exact"/>
              <w:ind w:left="266" w:hanging="266"/>
              <w:rPr>
                <w:sz w:val="18"/>
                <w:szCs w:val="18"/>
                <w:lang w:val="fr-BE"/>
              </w:rPr>
            </w:pPr>
          </w:p>
        </w:tc>
      </w:tr>
      <w:tr w:rsidR="00A50760" w:rsidRPr="004267B4" w14:paraId="67B358AF" w14:textId="77777777" w:rsidTr="00074BCE">
        <w:tc>
          <w:tcPr>
            <w:tcW w:w="1701" w:type="dxa"/>
          </w:tcPr>
          <w:p w14:paraId="007D7D50" w14:textId="77777777" w:rsidR="00A50760" w:rsidRPr="004267B4" w:rsidRDefault="00A50760" w:rsidP="0059328F">
            <w:pPr>
              <w:tabs>
                <w:tab w:val="center" w:pos="284"/>
              </w:tabs>
              <w:ind w:left="266" w:hanging="266"/>
              <w:rPr>
                <w:b/>
                <w:lang w:val="fr-BE"/>
              </w:rPr>
            </w:pPr>
            <w:r w:rsidRPr="004267B4">
              <w:rPr>
                <w:b/>
                <w:lang w:val="fr-BE"/>
              </w:rPr>
              <w:t>Référence</w:t>
            </w:r>
          </w:p>
        </w:tc>
        <w:tc>
          <w:tcPr>
            <w:tcW w:w="7763" w:type="dxa"/>
          </w:tcPr>
          <w:p w14:paraId="4F420CD0" w14:textId="0322A473" w:rsidR="00ED7332" w:rsidRDefault="00ED7332" w:rsidP="0059328F">
            <w:pPr>
              <w:tabs>
                <w:tab w:val="center" w:pos="284"/>
              </w:tabs>
              <w:ind w:left="266" w:hanging="266"/>
              <w:rPr>
                <w:lang w:val="fr-BE"/>
              </w:rPr>
            </w:pPr>
            <w:r>
              <w:rPr>
                <w:lang w:val="fr-BE"/>
              </w:rPr>
              <w:t>Avis d'initiative</w:t>
            </w:r>
          </w:p>
          <w:p w14:paraId="693D174A" w14:textId="2F1B8ECD" w:rsidR="00A50760" w:rsidRPr="004267B4" w:rsidRDefault="00A50760" w:rsidP="0059328F">
            <w:pPr>
              <w:tabs>
                <w:tab w:val="center" w:pos="284"/>
              </w:tabs>
              <w:ind w:left="266" w:hanging="266"/>
              <w:rPr>
                <w:lang w:val="fr-BE"/>
              </w:rPr>
            </w:pPr>
            <w:r w:rsidRPr="004267B4">
              <w:rPr>
                <w:lang w:val="fr-BE"/>
              </w:rPr>
              <w:t>EESC-2022-03263-00-00-A</w:t>
            </w:r>
            <w:r w:rsidR="00ED7332">
              <w:rPr>
                <w:lang w:val="fr-BE"/>
              </w:rPr>
              <w:t>C</w:t>
            </w:r>
          </w:p>
        </w:tc>
      </w:tr>
    </w:tbl>
    <w:p w14:paraId="665E1EF8" w14:textId="77777777" w:rsidR="00A50760" w:rsidRPr="004267B4" w:rsidRDefault="00A50760" w:rsidP="00A50760">
      <w:pPr>
        <w:keepNext/>
        <w:keepLines/>
        <w:tabs>
          <w:tab w:val="center" w:pos="284"/>
        </w:tabs>
        <w:ind w:left="266" w:hanging="266"/>
        <w:rPr>
          <w:b/>
          <w:lang w:val="fr-BE"/>
        </w:rPr>
      </w:pPr>
    </w:p>
    <w:p w14:paraId="43D6F16D" w14:textId="77777777" w:rsidR="00A50760" w:rsidRPr="004267B4" w:rsidRDefault="00A50760" w:rsidP="00A50760">
      <w:pPr>
        <w:keepNext/>
        <w:keepLines/>
        <w:tabs>
          <w:tab w:val="center" w:pos="284"/>
        </w:tabs>
        <w:ind w:left="266" w:hanging="266"/>
        <w:rPr>
          <w:b/>
          <w:lang w:val="fr-BE"/>
        </w:rPr>
      </w:pPr>
      <w:r w:rsidRPr="004267B4">
        <w:rPr>
          <w:b/>
          <w:lang w:val="fr-BE"/>
        </w:rPr>
        <w:t>Points clés</w:t>
      </w:r>
    </w:p>
    <w:p w14:paraId="27F8BA91" w14:textId="77777777" w:rsidR="00A50760" w:rsidRPr="004267B4" w:rsidRDefault="00A50760" w:rsidP="00AA11E1">
      <w:pPr>
        <w:keepNext/>
        <w:keepLines/>
        <w:tabs>
          <w:tab w:val="center" w:pos="284"/>
        </w:tabs>
        <w:ind w:left="266" w:hanging="266"/>
        <w:rPr>
          <w:b/>
          <w:lang w:val="fr-BE"/>
        </w:rPr>
      </w:pPr>
    </w:p>
    <w:p w14:paraId="0C1A0999" w14:textId="77777777" w:rsidR="00A50760" w:rsidRPr="004267B4" w:rsidRDefault="00A50760" w:rsidP="00AA11E1">
      <w:pPr>
        <w:keepNext/>
        <w:rPr>
          <w:bCs/>
          <w:iCs/>
          <w:lang w:val="fr-BE"/>
        </w:rPr>
      </w:pPr>
      <w:r w:rsidRPr="004267B4">
        <w:rPr>
          <w:lang w:val="fr-BE"/>
        </w:rPr>
        <w:t>Le CESE:</w:t>
      </w:r>
    </w:p>
    <w:p w14:paraId="5DEED98B" w14:textId="77777777" w:rsidR="00A50760" w:rsidRPr="004267B4" w:rsidRDefault="00A50760" w:rsidP="00AA11E1">
      <w:pPr>
        <w:keepNext/>
        <w:rPr>
          <w:bCs/>
          <w:iCs/>
          <w:lang w:val="fr-BE"/>
        </w:rPr>
      </w:pPr>
    </w:p>
    <w:p w14:paraId="2F1C94B8" w14:textId="77777777" w:rsidR="00A50760" w:rsidRPr="004267B4" w:rsidRDefault="00A50760" w:rsidP="00FF556D">
      <w:pPr>
        <w:pStyle w:val="ListParagraph"/>
        <w:numPr>
          <w:ilvl w:val="0"/>
          <w:numId w:val="27"/>
        </w:numPr>
        <w:spacing w:line="240" w:lineRule="auto"/>
        <w:ind w:left="357" w:hanging="357"/>
        <w:rPr>
          <w:lang w:val="fr-BE"/>
        </w:rPr>
      </w:pPr>
      <w:r w:rsidRPr="004267B4">
        <w:rPr>
          <w:lang w:val="fr-BE"/>
        </w:rPr>
        <w:t xml:space="preserve">rappelle que l’Union se fonde sur des valeurs communes, comme indiqué à l’article 2 du traité UE, et que l’état de droit et les droits de l’homme font partie de l’identité européenne; </w:t>
      </w:r>
    </w:p>
    <w:p w14:paraId="76822DE8" w14:textId="77777777" w:rsidR="00A50760" w:rsidRPr="004267B4" w:rsidRDefault="00A50760" w:rsidP="00FF556D">
      <w:pPr>
        <w:spacing w:line="240" w:lineRule="auto"/>
        <w:ind w:left="357" w:hanging="357"/>
        <w:rPr>
          <w:lang w:val="fr-BE"/>
        </w:rPr>
      </w:pPr>
    </w:p>
    <w:p w14:paraId="7B282007" w14:textId="77777777" w:rsidR="00A50760" w:rsidRPr="004267B4" w:rsidRDefault="00A50760" w:rsidP="00FF556D">
      <w:pPr>
        <w:pStyle w:val="ListParagraph"/>
        <w:numPr>
          <w:ilvl w:val="0"/>
          <w:numId w:val="27"/>
        </w:numPr>
        <w:spacing w:line="240" w:lineRule="auto"/>
        <w:ind w:left="357" w:hanging="357"/>
        <w:rPr>
          <w:lang w:val="fr-BE"/>
        </w:rPr>
      </w:pPr>
      <w:r w:rsidRPr="004267B4">
        <w:rPr>
          <w:lang w:val="fr-BE"/>
        </w:rPr>
        <w:t>invite instamment toutes les institutions européennes à faire preuve d’une tolérance zéro à l’égard des violations de l’état de droit dans les États membres. L’Union a l’obligation juridique de respecter l’état de droit et de protéger les droits fondamentaux;</w:t>
      </w:r>
    </w:p>
    <w:p w14:paraId="4D61AB65" w14:textId="77777777" w:rsidR="00A50760" w:rsidRPr="004267B4" w:rsidRDefault="00A50760" w:rsidP="00FF556D">
      <w:pPr>
        <w:spacing w:line="240" w:lineRule="auto"/>
        <w:ind w:left="357" w:hanging="357"/>
        <w:rPr>
          <w:lang w:val="fr-BE"/>
        </w:rPr>
      </w:pPr>
    </w:p>
    <w:p w14:paraId="36F92F76" w14:textId="77777777" w:rsidR="00A50760" w:rsidRPr="004267B4" w:rsidRDefault="00A50760" w:rsidP="00FF556D">
      <w:pPr>
        <w:pStyle w:val="ListParagraph"/>
        <w:numPr>
          <w:ilvl w:val="0"/>
          <w:numId w:val="27"/>
        </w:numPr>
        <w:spacing w:line="240" w:lineRule="auto"/>
        <w:ind w:left="357" w:hanging="357"/>
        <w:rPr>
          <w:lang w:val="fr-BE"/>
        </w:rPr>
      </w:pPr>
      <w:r w:rsidRPr="004267B4">
        <w:rPr>
          <w:lang w:val="fr-BE"/>
        </w:rPr>
        <w:t xml:space="preserve">observe que l’état de droit et les droits fondamentaux peuvent être perçus par certains comme des concepts excessivement abstraits, lointains, jargonnants et associés à un juridisme abusif; </w:t>
      </w:r>
    </w:p>
    <w:p w14:paraId="109E9FAE" w14:textId="77777777" w:rsidR="00A50760" w:rsidRPr="004267B4" w:rsidRDefault="00A50760" w:rsidP="00FF556D">
      <w:pPr>
        <w:spacing w:line="240" w:lineRule="auto"/>
        <w:ind w:left="357" w:hanging="357"/>
        <w:rPr>
          <w:lang w:val="fr-BE"/>
        </w:rPr>
      </w:pPr>
    </w:p>
    <w:p w14:paraId="30609993" w14:textId="77777777" w:rsidR="00A50760" w:rsidRPr="004267B4" w:rsidRDefault="00A50760" w:rsidP="00FF556D">
      <w:pPr>
        <w:pStyle w:val="ListParagraph"/>
        <w:numPr>
          <w:ilvl w:val="0"/>
          <w:numId w:val="27"/>
        </w:numPr>
        <w:spacing w:line="240" w:lineRule="auto"/>
        <w:ind w:left="357" w:hanging="357"/>
        <w:rPr>
          <w:lang w:val="fr-BE"/>
        </w:rPr>
      </w:pPr>
      <w:r w:rsidRPr="004267B4">
        <w:rPr>
          <w:lang w:val="fr-BE"/>
        </w:rPr>
        <w:t>rappelle toutefois que la Commission de Venise du Conseil de l’Europe fournit une description claire des principes clés couverts par l’état de droit. Ce sont là des critères précis pour évaluer la conformité de toute action de l’État avec ces principes;</w:t>
      </w:r>
    </w:p>
    <w:p w14:paraId="04F05B32" w14:textId="77777777" w:rsidR="00A50760" w:rsidRPr="004267B4" w:rsidRDefault="00A50760" w:rsidP="00FF556D">
      <w:pPr>
        <w:spacing w:line="240" w:lineRule="auto"/>
        <w:ind w:left="357" w:hanging="357"/>
        <w:rPr>
          <w:lang w:val="fr-BE"/>
        </w:rPr>
      </w:pPr>
    </w:p>
    <w:p w14:paraId="13E748E3" w14:textId="77777777" w:rsidR="00A50760" w:rsidRPr="004267B4" w:rsidRDefault="00A50760" w:rsidP="00FF556D">
      <w:pPr>
        <w:pStyle w:val="ListParagraph"/>
        <w:numPr>
          <w:ilvl w:val="0"/>
          <w:numId w:val="27"/>
        </w:numPr>
        <w:spacing w:line="240" w:lineRule="auto"/>
        <w:ind w:left="357" w:hanging="357"/>
        <w:rPr>
          <w:lang w:val="fr-BE"/>
        </w:rPr>
      </w:pPr>
      <w:r w:rsidRPr="004267B4">
        <w:rPr>
          <w:lang w:val="fr-BE"/>
        </w:rPr>
        <w:t xml:space="preserve">insiste sur la nécessité pour toutes les institutions de l’Union de communiquer activement auprès du grand public sur la Charte des droits fondamentaux et l’état de droit, en insistant sur des valeurs communes et des concepts auxquels chacun peut s’identifier d’équité et de justice, et en produisant un récit humain; </w:t>
      </w:r>
    </w:p>
    <w:p w14:paraId="2AE3D707" w14:textId="77777777" w:rsidR="00A50760" w:rsidRPr="004267B4" w:rsidRDefault="00A50760" w:rsidP="00FF556D">
      <w:pPr>
        <w:spacing w:line="240" w:lineRule="auto"/>
        <w:ind w:left="357" w:hanging="357"/>
        <w:rPr>
          <w:lang w:val="fr-BE"/>
        </w:rPr>
      </w:pPr>
    </w:p>
    <w:p w14:paraId="01BCE19E" w14:textId="77777777" w:rsidR="00A50760" w:rsidRPr="004267B4" w:rsidRDefault="00A50760" w:rsidP="00FF556D">
      <w:pPr>
        <w:pStyle w:val="ListParagraph"/>
        <w:numPr>
          <w:ilvl w:val="0"/>
          <w:numId w:val="27"/>
        </w:numPr>
        <w:spacing w:line="240" w:lineRule="auto"/>
        <w:ind w:left="357" w:hanging="357"/>
        <w:rPr>
          <w:lang w:val="fr-BE"/>
        </w:rPr>
      </w:pPr>
      <w:r w:rsidRPr="004267B4">
        <w:rPr>
          <w:lang w:val="fr-BE"/>
        </w:rPr>
        <w:t>estime que la protection des droits de l’homme et l’état de droit ne sont pas possibles en l’absence de l’État-providence et de l’interconnexion est reconnue par le socle européen des droits sociaux, qui apparaît comme un outil politique essentiel pour construire une Union plus inclusive;</w:t>
      </w:r>
    </w:p>
    <w:p w14:paraId="4628151C" w14:textId="77777777" w:rsidR="00A50760" w:rsidRPr="004267B4" w:rsidRDefault="00A50760" w:rsidP="00FF556D">
      <w:pPr>
        <w:spacing w:line="240" w:lineRule="auto"/>
        <w:ind w:left="357" w:hanging="357"/>
        <w:rPr>
          <w:lang w:val="fr-BE"/>
        </w:rPr>
      </w:pPr>
    </w:p>
    <w:p w14:paraId="0ABE9B2F" w14:textId="77777777" w:rsidR="00A50760" w:rsidRPr="004267B4" w:rsidRDefault="00A50760" w:rsidP="00FF556D">
      <w:pPr>
        <w:pStyle w:val="ListParagraph"/>
        <w:numPr>
          <w:ilvl w:val="0"/>
          <w:numId w:val="27"/>
        </w:numPr>
        <w:spacing w:line="240" w:lineRule="auto"/>
        <w:ind w:left="357" w:hanging="357"/>
        <w:rPr>
          <w:lang w:val="fr-BE"/>
        </w:rPr>
      </w:pPr>
      <w:r w:rsidRPr="004267B4">
        <w:rPr>
          <w:lang w:val="fr-BE"/>
        </w:rPr>
        <w:t>juge que la société civile joue un rôle essentiel dans la préservation de la démocratie libérale contre l’autoritarisme. Il y aurait lieu d’associer davantage de parties prenantes aux actions visant à faire de l’état de droit une réalité plus tangible: les partenaires sociaux, les organisations professionnelles telles que les barreaux, et les organisations de terrain;</w:t>
      </w:r>
    </w:p>
    <w:p w14:paraId="4D54138B" w14:textId="77777777" w:rsidR="00A50760" w:rsidRPr="004267B4" w:rsidRDefault="00A50760" w:rsidP="00FF556D">
      <w:pPr>
        <w:spacing w:line="240" w:lineRule="auto"/>
        <w:ind w:left="357" w:hanging="357"/>
        <w:rPr>
          <w:lang w:val="fr-BE"/>
        </w:rPr>
      </w:pPr>
    </w:p>
    <w:p w14:paraId="2D7EA18D" w14:textId="77777777" w:rsidR="00A50760" w:rsidRPr="004267B4" w:rsidRDefault="00A50760" w:rsidP="00FF556D">
      <w:pPr>
        <w:widowControl w:val="0"/>
        <w:numPr>
          <w:ilvl w:val="0"/>
          <w:numId w:val="27"/>
        </w:numPr>
        <w:overflowPunct w:val="0"/>
        <w:autoSpaceDE w:val="0"/>
        <w:autoSpaceDN w:val="0"/>
        <w:adjustRightInd w:val="0"/>
        <w:spacing w:line="240" w:lineRule="auto"/>
        <w:ind w:left="357" w:hanging="357"/>
        <w:textAlignment w:val="baseline"/>
        <w:rPr>
          <w:bCs/>
          <w:iCs/>
          <w:lang w:val="fr-BE"/>
        </w:rPr>
      </w:pPr>
      <w:r w:rsidRPr="004267B4">
        <w:rPr>
          <w:lang w:val="fr-BE"/>
        </w:rPr>
        <w:t>invite les États membres à intégrer l’état de droit et les droits fondamentaux dans les établissements scolaires et l’enseignement supérieur.</w:t>
      </w:r>
    </w:p>
    <w:p w14:paraId="6E0860D5" w14:textId="77777777" w:rsidR="00A50760" w:rsidRPr="004267B4" w:rsidRDefault="00A50760" w:rsidP="00A50760">
      <w:pPr>
        <w:widowControl w:val="0"/>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A50760" w:rsidRPr="004267B4" w14:paraId="50EAF50E" w14:textId="77777777" w:rsidTr="0059328F">
        <w:tc>
          <w:tcPr>
            <w:tcW w:w="1418" w:type="dxa"/>
          </w:tcPr>
          <w:p w14:paraId="5277B793" w14:textId="77777777" w:rsidR="00A50760" w:rsidRPr="004267B4" w:rsidRDefault="00A50760" w:rsidP="0059328F">
            <w:pPr>
              <w:spacing w:line="240" w:lineRule="auto"/>
              <w:rPr>
                <w:i/>
                <w:lang w:val="fr-BE"/>
              </w:rPr>
            </w:pPr>
            <w:r w:rsidRPr="004267B4">
              <w:rPr>
                <w:b/>
                <w:i/>
                <w:lang w:val="fr-BE"/>
              </w:rPr>
              <w:t>Contact</w:t>
            </w:r>
          </w:p>
        </w:tc>
        <w:tc>
          <w:tcPr>
            <w:tcW w:w="5670" w:type="dxa"/>
          </w:tcPr>
          <w:p w14:paraId="55CA6754" w14:textId="77777777" w:rsidR="00A50760" w:rsidRPr="004466E9" w:rsidRDefault="00A50760" w:rsidP="0059328F">
            <w:pPr>
              <w:spacing w:line="240" w:lineRule="auto"/>
              <w:rPr>
                <w:i/>
                <w:lang w:val="fr-BE"/>
              </w:rPr>
            </w:pPr>
            <w:r w:rsidRPr="004466E9">
              <w:rPr>
                <w:i/>
                <w:lang w:val="fr-BE"/>
              </w:rPr>
              <w:t>Jean-Marie Rogue</w:t>
            </w:r>
          </w:p>
        </w:tc>
      </w:tr>
      <w:tr w:rsidR="00A50760" w:rsidRPr="004267B4" w14:paraId="616311ED" w14:textId="77777777" w:rsidTr="0059328F">
        <w:tc>
          <w:tcPr>
            <w:tcW w:w="1418" w:type="dxa"/>
          </w:tcPr>
          <w:p w14:paraId="60C7F75F" w14:textId="77777777" w:rsidR="00A50760" w:rsidRPr="004267B4" w:rsidRDefault="00A50760" w:rsidP="0059328F">
            <w:pPr>
              <w:spacing w:line="240" w:lineRule="auto"/>
              <w:rPr>
                <w:i/>
                <w:lang w:val="fr-BE"/>
              </w:rPr>
            </w:pPr>
            <w:r w:rsidRPr="004267B4">
              <w:rPr>
                <w:i/>
                <w:lang w:val="fr-BE"/>
              </w:rPr>
              <w:t>Tél.</w:t>
            </w:r>
          </w:p>
        </w:tc>
        <w:tc>
          <w:tcPr>
            <w:tcW w:w="5670" w:type="dxa"/>
          </w:tcPr>
          <w:p w14:paraId="7269D6D1" w14:textId="77777777" w:rsidR="00A50760" w:rsidRPr="004267B4" w:rsidRDefault="00A50760" w:rsidP="0059328F">
            <w:pPr>
              <w:spacing w:line="240" w:lineRule="auto"/>
              <w:rPr>
                <w:i/>
                <w:lang w:val="fr-BE"/>
              </w:rPr>
            </w:pPr>
            <w:r w:rsidRPr="004267B4">
              <w:rPr>
                <w:i/>
                <w:lang w:val="fr-BE"/>
              </w:rPr>
              <w:t>+32 2 546 8909</w:t>
            </w:r>
          </w:p>
        </w:tc>
      </w:tr>
      <w:tr w:rsidR="00A50760" w:rsidRPr="004267B4" w14:paraId="36574301" w14:textId="77777777" w:rsidTr="0059328F">
        <w:tc>
          <w:tcPr>
            <w:tcW w:w="1418" w:type="dxa"/>
          </w:tcPr>
          <w:p w14:paraId="30B390A2" w14:textId="77777777" w:rsidR="00A50760" w:rsidRPr="004267B4" w:rsidRDefault="00A50760" w:rsidP="0059328F">
            <w:pPr>
              <w:spacing w:line="240" w:lineRule="auto"/>
              <w:rPr>
                <w:i/>
                <w:lang w:val="fr-BE"/>
              </w:rPr>
            </w:pPr>
            <w:r w:rsidRPr="004267B4">
              <w:rPr>
                <w:i/>
                <w:lang w:val="fr-BE"/>
              </w:rPr>
              <w:t>Courriel</w:t>
            </w:r>
          </w:p>
        </w:tc>
        <w:tc>
          <w:tcPr>
            <w:tcW w:w="5670" w:type="dxa"/>
          </w:tcPr>
          <w:p w14:paraId="73C06107" w14:textId="77777777" w:rsidR="00A50760" w:rsidRPr="004267B4" w:rsidRDefault="004466E9" w:rsidP="0059328F">
            <w:pPr>
              <w:spacing w:line="240" w:lineRule="auto"/>
              <w:rPr>
                <w:i/>
                <w:lang w:val="fr-BE"/>
              </w:rPr>
            </w:pPr>
            <w:hyperlink r:id="rId26" w:history="1">
              <w:r w:rsidR="00A50760" w:rsidRPr="004267B4">
                <w:rPr>
                  <w:rStyle w:val="Hyperlink"/>
                  <w:i/>
                  <w:lang w:val="fr-BE"/>
                </w:rPr>
                <w:t>JeanMarie.Rogue@eesc.europa.eu</w:t>
              </w:r>
            </w:hyperlink>
          </w:p>
        </w:tc>
      </w:tr>
    </w:tbl>
    <w:p w14:paraId="6E1B9CF6" w14:textId="06E7399B" w:rsidR="00A61524" w:rsidRPr="004267B4" w:rsidRDefault="00A61524" w:rsidP="00DA2729">
      <w:pPr>
        <w:spacing w:line="259" w:lineRule="auto"/>
        <w:jc w:val="left"/>
        <w:rPr>
          <w:sz w:val="28"/>
          <w:lang w:val="fr-BE"/>
        </w:rPr>
      </w:pPr>
      <w:r w:rsidRPr="004267B4">
        <w:rPr>
          <w:lang w:val="fr-BE"/>
        </w:rPr>
        <w:br w:type="page"/>
      </w:r>
    </w:p>
    <w:p w14:paraId="6F99A57B" w14:textId="77777777" w:rsidR="001760E9" w:rsidRPr="004267B4" w:rsidRDefault="001760E9" w:rsidP="00DA2729">
      <w:pPr>
        <w:spacing w:line="259" w:lineRule="auto"/>
        <w:jc w:val="left"/>
        <w:rPr>
          <w:lang w:val="fr-BE"/>
        </w:rPr>
      </w:pPr>
    </w:p>
    <w:p w14:paraId="66922F0D" w14:textId="5BD9B45D" w:rsidR="00594F5A" w:rsidRPr="004267B4" w:rsidRDefault="004466E9" w:rsidP="00FF013B">
      <w:pPr>
        <w:widowControl w:val="0"/>
        <w:numPr>
          <w:ilvl w:val="0"/>
          <w:numId w:val="9"/>
        </w:numPr>
        <w:overflowPunct w:val="0"/>
        <w:autoSpaceDE w:val="0"/>
        <w:autoSpaceDN w:val="0"/>
        <w:adjustRightInd w:val="0"/>
        <w:ind w:hanging="567"/>
        <w:textAlignment w:val="baseline"/>
        <w:rPr>
          <w:rStyle w:val="Hyperlink"/>
          <w:b/>
          <w:lang w:val="fr-BE"/>
        </w:rPr>
      </w:pPr>
      <w:hyperlink r:id="rId27" w:history="1">
        <w:r w:rsidR="00594F5A" w:rsidRPr="004267B4">
          <w:rPr>
            <w:b/>
            <w:i/>
            <w:sz w:val="28"/>
            <w:lang w:val="fr-BE"/>
          </w:rPr>
          <w:t>Législation européenne sur la liberté des médias</w:t>
        </w:r>
      </w:hyperlink>
    </w:p>
    <w:p w14:paraId="1123E88E" w14:textId="77777777" w:rsidR="00594F5A" w:rsidRPr="004267B4" w:rsidRDefault="00594F5A" w:rsidP="00594F5A">
      <w:pPr>
        <w:tabs>
          <w:tab w:val="center" w:pos="284"/>
        </w:tabs>
        <w:ind w:left="266" w:hanging="266"/>
        <w:rPr>
          <w:sz w:val="16"/>
          <w:szCs w:val="16"/>
          <w:lang w:val="fr-B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63"/>
      </w:tblGrid>
      <w:tr w:rsidR="00594F5A" w:rsidRPr="004267B4" w14:paraId="0ED795BB" w14:textId="77777777" w:rsidTr="00074BCE">
        <w:tc>
          <w:tcPr>
            <w:tcW w:w="1701" w:type="dxa"/>
          </w:tcPr>
          <w:p w14:paraId="299D5978" w14:textId="77777777" w:rsidR="00594F5A" w:rsidRPr="004267B4" w:rsidRDefault="00594F5A" w:rsidP="0059328F">
            <w:pPr>
              <w:tabs>
                <w:tab w:val="center" w:pos="284"/>
              </w:tabs>
              <w:ind w:left="266" w:hanging="266"/>
              <w:rPr>
                <w:b/>
                <w:lang w:val="fr-BE"/>
              </w:rPr>
            </w:pPr>
            <w:r w:rsidRPr="004267B4">
              <w:rPr>
                <w:b/>
                <w:lang w:val="fr-BE"/>
              </w:rPr>
              <w:t>Rapporteur</w:t>
            </w:r>
          </w:p>
          <w:p w14:paraId="147E07D2" w14:textId="77777777" w:rsidR="00594F5A" w:rsidRPr="004267B4" w:rsidRDefault="00594F5A" w:rsidP="0059328F">
            <w:pPr>
              <w:tabs>
                <w:tab w:val="center" w:pos="284"/>
              </w:tabs>
              <w:ind w:left="266" w:hanging="266"/>
              <w:rPr>
                <w:b/>
                <w:lang w:val="fr-BE"/>
              </w:rPr>
            </w:pPr>
          </w:p>
          <w:p w14:paraId="41FEB1BF" w14:textId="77777777" w:rsidR="00594F5A" w:rsidRPr="004267B4" w:rsidRDefault="00594F5A" w:rsidP="0059328F">
            <w:pPr>
              <w:tabs>
                <w:tab w:val="center" w:pos="284"/>
              </w:tabs>
              <w:ind w:left="266" w:hanging="266"/>
              <w:rPr>
                <w:b/>
                <w:lang w:val="fr-BE"/>
              </w:rPr>
            </w:pPr>
            <w:r w:rsidRPr="004267B4">
              <w:rPr>
                <w:b/>
                <w:lang w:val="fr-BE"/>
              </w:rPr>
              <w:t>Corapporteur</w:t>
            </w:r>
          </w:p>
        </w:tc>
        <w:tc>
          <w:tcPr>
            <w:tcW w:w="7763" w:type="dxa"/>
          </w:tcPr>
          <w:p w14:paraId="078F0A18" w14:textId="1B015B82" w:rsidR="00594F5A" w:rsidRPr="004267B4" w:rsidRDefault="00594F5A" w:rsidP="0059328F">
            <w:pPr>
              <w:tabs>
                <w:tab w:val="center" w:pos="284"/>
              </w:tabs>
              <w:ind w:left="266" w:hanging="266"/>
              <w:rPr>
                <w:lang w:val="fr-BE"/>
              </w:rPr>
            </w:pPr>
            <w:r w:rsidRPr="004267B4">
              <w:rPr>
                <w:lang w:val="fr-BE"/>
              </w:rPr>
              <w:t>Christian MOOS</w:t>
            </w:r>
            <w:r w:rsidR="000C7B16">
              <w:rPr>
                <w:lang w:val="fr-BE"/>
              </w:rPr>
              <w:t xml:space="preserve"> </w:t>
            </w:r>
            <w:r w:rsidRPr="004267B4">
              <w:rPr>
                <w:lang w:val="fr-BE"/>
              </w:rPr>
              <w:t>(</w:t>
            </w:r>
            <w:r w:rsidR="00F13412">
              <w:rPr>
                <w:lang w:val="fr-BE"/>
              </w:rPr>
              <w:t xml:space="preserve">groupe </w:t>
            </w:r>
            <w:r w:rsidRPr="004267B4">
              <w:rPr>
                <w:lang w:val="fr-BE"/>
              </w:rPr>
              <w:t xml:space="preserve">des organisations de la société civile — </w:t>
            </w:r>
            <w:r w:rsidR="000C7B16">
              <w:rPr>
                <w:lang w:val="fr-BE"/>
              </w:rPr>
              <w:t>DE</w:t>
            </w:r>
          </w:p>
          <w:p w14:paraId="5B3802FD" w14:textId="58F41125" w:rsidR="00594F5A" w:rsidRPr="004267B4" w:rsidRDefault="00594F5A" w:rsidP="000C7B16">
            <w:pPr>
              <w:ind w:left="-2" w:firstLine="2"/>
              <w:rPr>
                <w:lang w:val="fr-BE"/>
              </w:rPr>
            </w:pPr>
            <w:r w:rsidRPr="004267B4">
              <w:rPr>
                <w:lang w:val="fr-BE"/>
              </w:rPr>
              <w:t>Tomasz Andrzej WRÓBLEWSKI</w:t>
            </w:r>
            <w:r w:rsidR="000C7B16">
              <w:rPr>
                <w:lang w:val="fr-BE"/>
              </w:rPr>
              <w:t xml:space="preserve"> </w:t>
            </w:r>
            <w:r w:rsidRPr="004267B4">
              <w:rPr>
                <w:lang w:val="fr-BE"/>
              </w:rPr>
              <w:t>(</w:t>
            </w:r>
            <w:r w:rsidR="00F13412">
              <w:rPr>
                <w:lang w:val="fr-BE"/>
              </w:rPr>
              <w:t xml:space="preserve">groupe </w:t>
            </w:r>
            <w:r w:rsidRPr="004267B4">
              <w:rPr>
                <w:lang w:val="fr-BE"/>
              </w:rPr>
              <w:t>des employeurs — P</w:t>
            </w:r>
            <w:r w:rsidR="000C7B16">
              <w:rPr>
                <w:lang w:val="fr-BE"/>
              </w:rPr>
              <w:t>L</w:t>
            </w:r>
            <w:r w:rsidRPr="004267B4">
              <w:rPr>
                <w:lang w:val="fr-BE"/>
              </w:rPr>
              <w:t>)</w:t>
            </w:r>
          </w:p>
        </w:tc>
      </w:tr>
      <w:tr w:rsidR="00594F5A" w:rsidRPr="004267B4" w14:paraId="554D3B84" w14:textId="77777777" w:rsidTr="00074BCE">
        <w:tc>
          <w:tcPr>
            <w:tcW w:w="1701" w:type="dxa"/>
          </w:tcPr>
          <w:p w14:paraId="3F44F150" w14:textId="77777777" w:rsidR="00594F5A" w:rsidRPr="004267B4" w:rsidRDefault="00594F5A" w:rsidP="0059328F">
            <w:pPr>
              <w:tabs>
                <w:tab w:val="center" w:pos="284"/>
              </w:tabs>
              <w:ind w:left="266" w:hanging="266"/>
              <w:rPr>
                <w:b/>
                <w:lang w:val="fr-BE"/>
              </w:rPr>
            </w:pPr>
            <w:r w:rsidRPr="004267B4">
              <w:rPr>
                <w:b/>
                <w:lang w:val="fr-BE"/>
              </w:rPr>
              <w:t>Références</w:t>
            </w:r>
          </w:p>
        </w:tc>
        <w:tc>
          <w:tcPr>
            <w:tcW w:w="7763" w:type="dxa"/>
          </w:tcPr>
          <w:p w14:paraId="174AD56C" w14:textId="31D01510" w:rsidR="00AA11E1" w:rsidRPr="004267B4" w:rsidRDefault="00AA11E1" w:rsidP="00AA11E1">
            <w:pPr>
              <w:ind w:left="-56"/>
              <w:contextualSpacing/>
              <w:rPr>
                <w:lang w:val="fr-BE"/>
              </w:rPr>
            </w:pPr>
            <w:r w:rsidRPr="004267B4">
              <w:rPr>
                <w:lang w:val="fr-BE"/>
              </w:rPr>
              <w:t>COM(2022) 457 final</w:t>
            </w:r>
          </w:p>
          <w:p w14:paraId="01D14B95" w14:textId="2CEA607C" w:rsidR="00594F5A" w:rsidRPr="004267B4" w:rsidRDefault="00AA11E1" w:rsidP="00AA11E1">
            <w:pPr>
              <w:tabs>
                <w:tab w:val="center" w:pos="284"/>
              </w:tabs>
              <w:ind w:left="266" w:hanging="266"/>
              <w:rPr>
                <w:lang w:val="fr-BE"/>
              </w:rPr>
            </w:pPr>
            <w:r w:rsidRPr="004267B4">
              <w:rPr>
                <w:lang w:val="fr-BE"/>
              </w:rPr>
              <w:t>EESC-2022-04748-00-00-AC</w:t>
            </w:r>
          </w:p>
        </w:tc>
      </w:tr>
    </w:tbl>
    <w:p w14:paraId="761F9C40" w14:textId="77777777" w:rsidR="00AA11E1" w:rsidRPr="004267B4" w:rsidRDefault="00AA11E1" w:rsidP="00594F5A">
      <w:pPr>
        <w:keepNext/>
        <w:keepLines/>
        <w:tabs>
          <w:tab w:val="center" w:pos="284"/>
        </w:tabs>
        <w:ind w:left="266" w:hanging="266"/>
        <w:rPr>
          <w:b/>
          <w:lang w:val="fr-BE"/>
        </w:rPr>
      </w:pPr>
    </w:p>
    <w:p w14:paraId="6E27CA0F" w14:textId="6C9047CE" w:rsidR="00594F5A" w:rsidRPr="004267B4" w:rsidRDefault="00594F5A" w:rsidP="00594F5A">
      <w:pPr>
        <w:keepNext/>
        <w:keepLines/>
        <w:tabs>
          <w:tab w:val="center" w:pos="284"/>
        </w:tabs>
        <w:ind w:left="266" w:hanging="266"/>
        <w:rPr>
          <w:b/>
          <w:lang w:val="fr-BE"/>
        </w:rPr>
      </w:pPr>
      <w:r w:rsidRPr="004267B4">
        <w:rPr>
          <w:b/>
          <w:lang w:val="fr-BE"/>
        </w:rPr>
        <w:t>Points clés</w:t>
      </w:r>
    </w:p>
    <w:p w14:paraId="077FA6C0" w14:textId="77777777" w:rsidR="00594F5A" w:rsidRPr="004267B4" w:rsidRDefault="00594F5A" w:rsidP="00594F5A">
      <w:pPr>
        <w:keepNext/>
        <w:keepLines/>
        <w:tabs>
          <w:tab w:val="center" w:pos="284"/>
        </w:tabs>
        <w:ind w:left="266" w:hanging="266"/>
        <w:rPr>
          <w:b/>
          <w:sz w:val="16"/>
          <w:szCs w:val="16"/>
          <w:lang w:val="fr-BE"/>
        </w:rPr>
      </w:pPr>
    </w:p>
    <w:p w14:paraId="472CCC9F" w14:textId="77777777" w:rsidR="00594F5A" w:rsidRPr="004267B4" w:rsidRDefault="00594F5A" w:rsidP="00594F5A">
      <w:pPr>
        <w:keepNext/>
        <w:rPr>
          <w:bCs/>
          <w:iCs/>
          <w:lang w:val="fr-BE"/>
        </w:rPr>
      </w:pPr>
      <w:r w:rsidRPr="004267B4">
        <w:rPr>
          <w:lang w:val="fr-BE"/>
        </w:rPr>
        <w:t>Le CESE:</w:t>
      </w:r>
    </w:p>
    <w:p w14:paraId="1CB2C46F" w14:textId="77777777" w:rsidR="00594F5A" w:rsidRPr="004267B4" w:rsidRDefault="00594F5A" w:rsidP="00594F5A">
      <w:pPr>
        <w:keepNext/>
        <w:rPr>
          <w:sz w:val="16"/>
          <w:szCs w:val="16"/>
          <w:lang w:val="fr-BE"/>
        </w:rPr>
      </w:pPr>
    </w:p>
    <w:p w14:paraId="1126938B" w14:textId="77777777" w:rsidR="00594F5A" w:rsidRPr="004267B4" w:rsidRDefault="00594F5A" w:rsidP="00AA11E1">
      <w:pPr>
        <w:pStyle w:val="Heading2"/>
        <w:numPr>
          <w:ilvl w:val="0"/>
          <w:numId w:val="28"/>
        </w:numPr>
        <w:spacing w:line="240" w:lineRule="auto"/>
        <w:ind w:left="357" w:hanging="357"/>
        <w:contextualSpacing/>
        <w:rPr>
          <w:lang w:val="fr-BE"/>
        </w:rPr>
      </w:pPr>
      <w:bookmarkStart w:id="14" w:name="_Toc124863694"/>
      <w:r w:rsidRPr="004267B4">
        <w:rPr>
          <w:lang w:val="fr-BE"/>
        </w:rPr>
        <w:t>réaffirme que la liberté et le pluralisme des médias sont essentiels pour l’état de droit et la démocratie libérale;</w:t>
      </w:r>
      <w:bookmarkEnd w:id="14"/>
      <w:r w:rsidRPr="004267B4">
        <w:rPr>
          <w:lang w:val="fr-BE"/>
        </w:rPr>
        <w:t xml:space="preserve"> </w:t>
      </w:r>
    </w:p>
    <w:p w14:paraId="0FF6FE56" w14:textId="77777777" w:rsidR="00594F5A" w:rsidRPr="004267B4" w:rsidRDefault="00594F5A" w:rsidP="00AA11E1">
      <w:pPr>
        <w:spacing w:line="240" w:lineRule="auto"/>
        <w:ind w:left="357" w:hanging="357"/>
        <w:rPr>
          <w:sz w:val="16"/>
          <w:lang w:val="fr-BE"/>
        </w:rPr>
      </w:pPr>
    </w:p>
    <w:p w14:paraId="1187DD9F" w14:textId="77777777" w:rsidR="00594F5A" w:rsidRPr="004267B4" w:rsidRDefault="00594F5A" w:rsidP="00AA11E1">
      <w:pPr>
        <w:pStyle w:val="Heading2"/>
        <w:numPr>
          <w:ilvl w:val="0"/>
          <w:numId w:val="28"/>
        </w:numPr>
        <w:spacing w:line="240" w:lineRule="auto"/>
        <w:ind w:left="357" w:hanging="357"/>
        <w:contextualSpacing/>
        <w:rPr>
          <w:lang w:val="fr-BE"/>
        </w:rPr>
      </w:pPr>
      <w:bookmarkStart w:id="15" w:name="_Toc124863695"/>
      <w:r w:rsidRPr="004267B4">
        <w:rPr>
          <w:lang w:val="fr-BE"/>
        </w:rPr>
        <w:t>déplore les évolutions inquiétantes à cet égard à l’œuvre au sein de l’Union et se félicite des initiatives de la Commission européenne en faveur de la liberté des médias;</w:t>
      </w:r>
      <w:bookmarkEnd w:id="15"/>
      <w:r w:rsidRPr="004267B4">
        <w:rPr>
          <w:lang w:val="fr-BE"/>
        </w:rPr>
        <w:t xml:space="preserve"> </w:t>
      </w:r>
    </w:p>
    <w:p w14:paraId="244DCEF7" w14:textId="77777777" w:rsidR="00594F5A" w:rsidRPr="004267B4" w:rsidRDefault="00594F5A" w:rsidP="00AA11E1">
      <w:pPr>
        <w:spacing w:line="240" w:lineRule="auto"/>
        <w:ind w:left="357" w:hanging="357"/>
        <w:contextualSpacing/>
        <w:rPr>
          <w:sz w:val="16"/>
          <w:szCs w:val="16"/>
          <w:lang w:val="fr-BE"/>
        </w:rPr>
      </w:pPr>
    </w:p>
    <w:p w14:paraId="5809A808" w14:textId="77777777" w:rsidR="00594F5A" w:rsidRPr="004267B4" w:rsidRDefault="00594F5A" w:rsidP="00AA11E1">
      <w:pPr>
        <w:pStyle w:val="Heading2"/>
        <w:numPr>
          <w:ilvl w:val="0"/>
          <w:numId w:val="28"/>
        </w:numPr>
        <w:spacing w:line="240" w:lineRule="auto"/>
        <w:ind w:left="357" w:hanging="357"/>
        <w:contextualSpacing/>
        <w:rPr>
          <w:lang w:val="fr-BE"/>
        </w:rPr>
      </w:pPr>
      <w:bookmarkStart w:id="16" w:name="_Toc124863696"/>
      <w:r w:rsidRPr="004267B4">
        <w:rPr>
          <w:lang w:val="fr-BE"/>
        </w:rPr>
        <w:t>estime que se contenter de recommandations et d’une approche non contraignante ne suffit pas et que la liberté et l’indépendance des médias doivent constituer un critère obligatoire dans le cadre des rapports et du mécanisme pour l’état de droit;</w:t>
      </w:r>
      <w:bookmarkEnd w:id="16"/>
    </w:p>
    <w:p w14:paraId="05800DA2" w14:textId="77777777" w:rsidR="00594F5A" w:rsidRPr="004267B4" w:rsidRDefault="00594F5A" w:rsidP="00AA11E1">
      <w:pPr>
        <w:spacing w:line="240" w:lineRule="auto"/>
        <w:ind w:left="357" w:hanging="357"/>
        <w:contextualSpacing/>
        <w:rPr>
          <w:sz w:val="16"/>
          <w:szCs w:val="16"/>
          <w:lang w:val="fr-BE"/>
        </w:rPr>
      </w:pPr>
    </w:p>
    <w:p w14:paraId="1C97A159" w14:textId="77777777" w:rsidR="00594F5A" w:rsidRPr="004267B4" w:rsidRDefault="00594F5A" w:rsidP="00AA11E1">
      <w:pPr>
        <w:pStyle w:val="Heading2"/>
        <w:numPr>
          <w:ilvl w:val="0"/>
          <w:numId w:val="28"/>
        </w:numPr>
        <w:spacing w:line="240" w:lineRule="auto"/>
        <w:ind w:left="357" w:hanging="357"/>
        <w:contextualSpacing/>
        <w:rPr>
          <w:lang w:val="fr-BE"/>
        </w:rPr>
      </w:pPr>
      <w:bookmarkStart w:id="17" w:name="_Toc124863697"/>
      <w:r w:rsidRPr="004267B4">
        <w:rPr>
          <w:lang w:val="fr-BE"/>
        </w:rPr>
        <w:t>se demande si l’approche liée à l’achèvement du marché intérieur des médias peut suffire pour protéger la liberté et le pluralisme des médias;</w:t>
      </w:r>
      <w:bookmarkEnd w:id="17"/>
      <w:r w:rsidRPr="004267B4">
        <w:rPr>
          <w:lang w:val="fr-BE"/>
        </w:rPr>
        <w:t xml:space="preserve"> </w:t>
      </w:r>
    </w:p>
    <w:p w14:paraId="00158E3B" w14:textId="77777777" w:rsidR="00594F5A" w:rsidRPr="004267B4" w:rsidRDefault="00594F5A" w:rsidP="00AA11E1">
      <w:pPr>
        <w:spacing w:line="240" w:lineRule="auto"/>
        <w:ind w:left="357" w:hanging="357"/>
        <w:contextualSpacing/>
        <w:rPr>
          <w:sz w:val="16"/>
          <w:szCs w:val="16"/>
          <w:lang w:val="fr-BE"/>
        </w:rPr>
      </w:pPr>
    </w:p>
    <w:p w14:paraId="55FE1811" w14:textId="77777777" w:rsidR="00594F5A" w:rsidRPr="004267B4" w:rsidRDefault="00594F5A" w:rsidP="00AA11E1">
      <w:pPr>
        <w:pStyle w:val="Heading2"/>
        <w:numPr>
          <w:ilvl w:val="0"/>
          <w:numId w:val="28"/>
        </w:numPr>
        <w:spacing w:line="240" w:lineRule="auto"/>
        <w:ind w:left="357" w:hanging="357"/>
        <w:contextualSpacing/>
        <w:rPr>
          <w:lang w:val="fr-BE"/>
        </w:rPr>
      </w:pPr>
      <w:bookmarkStart w:id="18" w:name="_Toc124863698"/>
      <w:r w:rsidRPr="004267B4">
        <w:rPr>
          <w:lang w:val="fr-BE"/>
        </w:rPr>
        <w:t>se félicite que la Commission européenne ait conscience que la concentration du marché des médias, qui engendre des situations de monopole, peut constituer une menace importante pour la liberté et la pluralité des médias. Toutefois, cette concentration peut s’avérer judicieuse et ne doit pas forcément produire de telles conséquences négatives;</w:t>
      </w:r>
      <w:bookmarkEnd w:id="18"/>
    </w:p>
    <w:p w14:paraId="0FEE2B95" w14:textId="77777777" w:rsidR="00594F5A" w:rsidRPr="004267B4" w:rsidRDefault="00594F5A" w:rsidP="00AA11E1">
      <w:pPr>
        <w:spacing w:line="240" w:lineRule="auto"/>
        <w:ind w:left="357" w:hanging="357"/>
        <w:contextualSpacing/>
        <w:rPr>
          <w:sz w:val="16"/>
          <w:szCs w:val="16"/>
          <w:lang w:val="fr-BE"/>
        </w:rPr>
      </w:pPr>
    </w:p>
    <w:p w14:paraId="3F0AA75B" w14:textId="77777777" w:rsidR="00594F5A" w:rsidRPr="004267B4" w:rsidRDefault="00594F5A" w:rsidP="00AA11E1">
      <w:pPr>
        <w:pStyle w:val="Heading2"/>
        <w:numPr>
          <w:ilvl w:val="0"/>
          <w:numId w:val="28"/>
        </w:numPr>
        <w:spacing w:line="240" w:lineRule="auto"/>
        <w:ind w:left="357" w:hanging="357"/>
        <w:contextualSpacing/>
        <w:rPr>
          <w:lang w:val="fr-BE"/>
        </w:rPr>
      </w:pPr>
      <w:bookmarkStart w:id="19" w:name="_Toc124863699"/>
      <w:r w:rsidRPr="004267B4">
        <w:rPr>
          <w:lang w:val="fr-BE"/>
        </w:rPr>
        <w:t>accueille favorablement les propositions destinées à renforcer et à défendre l’indépendance éditoriale, tout en insistant sur la nécessité de préserver celle des journalistes et des éditeurs;</w:t>
      </w:r>
      <w:bookmarkEnd w:id="19"/>
    </w:p>
    <w:p w14:paraId="16C318B1" w14:textId="77777777" w:rsidR="00594F5A" w:rsidRPr="004267B4" w:rsidRDefault="00594F5A" w:rsidP="00AA11E1">
      <w:pPr>
        <w:spacing w:line="240" w:lineRule="auto"/>
        <w:ind w:left="357" w:hanging="357"/>
        <w:contextualSpacing/>
        <w:rPr>
          <w:sz w:val="16"/>
          <w:szCs w:val="16"/>
          <w:lang w:val="fr-BE"/>
        </w:rPr>
      </w:pPr>
    </w:p>
    <w:p w14:paraId="5596EE7B" w14:textId="77777777" w:rsidR="00594F5A" w:rsidRPr="004267B4" w:rsidRDefault="00594F5A" w:rsidP="00AA11E1">
      <w:pPr>
        <w:pStyle w:val="Heading2"/>
        <w:numPr>
          <w:ilvl w:val="0"/>
          <w:numId w:val="28"/>
        </w:numPr>
        <w:spacing w:line="240" w:lineRule="auto"/>
        <w:ind w:left="357" w:hanging="357"/>
        <w:contextualSpacing/>
        <w:rPr>
          <w:lang w:val="fr-BE"/>
        </w:rPr>
      </w:pPr>
      <w:bookmarkStart w:id="20" w:name="_Toc124863700"/>
      <w:r w:rsidRPr="004267B4">
        <w:rPr>
          <w:lang w:val="fr-BE"/>
        </w:rPr>
        <w:t>souligne la nécessité pour les médias publics de disposer de ressources financières suffisantes et stables afin d’en garantir l’impartialité et la complète indépendance;</w:t>
      </w:r>
      <w:bookmarkEnd w:id="20"/>
    </w:p>
    <w:p w14:paraId="1A47B6A8" w14:textId="77777777" w:rsidR="00594F5A" w:rsidRPr="004267B4" w:rsidRDefault="00594F5A" w:rsidP="00AA11E1">
      <w:pPr>
        <w:spacing w:line="240" w:lineRule="auto"/>
        <w:ind w:left="357" w:hanging="357"/>
        <w:contextualSpacing/>
        <w:rPr>
          <w:sz w:val="16"/>
          <w:szCs w:val="16"/>
          <w:lang w:val="fr-BE"/>
        </w:rPr>
      </w:pPr>
    </w:p>
    <w:p w14:paraId="4C3719EE" w14:textId="77777777" w:rsidR="00594F5A" w:rsidRPr="004267B4" w:rsidRDefault="00594F5A" w:rsidP="00AA11E1">
      <w:pPr>
        <w:pStyle w:val="Heading2"/>
        <w:numPr>
          <w:ilvl w:val="0"/>
          <w:numId w:val="28"/>
        </w:numPr>
        <w:spacing w:line="240" w:lineRule="auto"/>
        <w:ind w:left="357" w:hanging="357"/>
        <w:contextualSpacing/>
        <w:rPr>
          <w:lang w:val="fr-BE"/>
        </w:rPr>
      </w:pPr>
      <w:bookmarkStart w:id="21" w:name="_Toc124863701"/>
      <w:r w:rsidRPr="004267B4">
        <w:rPr>
          <w:lang w:val="fr-BE"/>
        </w:rPr>
        <w:t>estime qu’il importe de disposer d’exigences contraignantes en matière de transparence de la propriété des médias, mais que les petits médias devraient en être exemptés;</w:t>
      </w:r>
      <w:bookmarkEnd w:id="21"/>
    </w:p>
    <w:p w14:paraId="78EAA390" w14:textId="77777777" w:rsidR="00594F5A" w:rsidRPr="004267B4" w:rsidRDefault="00594F5A" w:rsidP="00AA11E1">
      <w:pPr>
        <w:spacing w:line="240" w:lineRule="auto"/>
        <w:ind w:left="357" w:hanging="357"/>
        <w:contextualSpacing/>
        <w:rPr>
          <w:sz w:val="16"/>
          <w:szCs w:val="16"/>
          <w:lang w:val="fr-BE"/>
        </w:rPr>
      </w:pPr>
    </w:p>
    <w:p w14:paraId="5C91BEED" w14:textId="77777777" w:rsidR="00594F5A" w:rsidRPr="004267B4" w:rsidRDefault="00594F5A" w:rsidP="00AA11E1">
      <w:pPr>
        <w:pStyle w:val="Heading2"/>
        <w:numPr>
          <w:ilvl w:val="0"/>
          <w:numId w:val="28"/>
        </w:numPr>
        <w:spacing w:line="240" w:lineRule="auto"/>
        <w:ind w:left="357" w:hanging="357"/>
        <w:contextualSpacing/>
        <w:rPr>
          <w:lang w:val="fr-BE"/>
        </w:rPr>
      </w:pPr>
      <w:bookmarkStart w:id="22" w:name="_Toc124863702"/>
      <w:r w:rsidRPr="004267B4">
        <w:rPr>
          <w:lang w:val="fr-BE"/>
        </w:rPr>
        <w:t>s’inquiète du manque d’indépendance de certains organismes nationaux de régulation et demande un cadre qui permette d’asseoir leur indépendance;</w:t>
      </w:r>
      <w:bookmarkEnd w:id="22"/>
      <w:r w:rsidRPr="004267B4">
        <w:rPr>
          <w:lang w:val="fr-BE"/>
        </w:rPr>
        <w:t xml:space="preserve"> </w:t>
      </w:r>
    </w:p>
    <w:p w14:paraId="5E566E6D" w14:textId="77777777" w:rsidR="00594F5A" w:rsidRPr="004267B4" w:rsidRDefault="00594F5A" w:rsidP="00AA11E1">
      <w:pPr>
        <w:spacing w:line="240" w:lineRule="auto"/>
        <w:ind w:left="357" w:hanging="357"/>
        <w:contextualSpacing/>
        <w:rPr>
          <w:sz w:val="16"/>
          <w:szCs w:val="16"/>
          <w:lang w:val="fr-BE"/>
        </w:rPr>
      </w:pPr>
    </w:p>
    <w:p w14:paraId="34D72DC1" w14:textId="77777777" w:rsidR="00594F5A" w:rsidRPr="004267B4" w:rsidRDefault="00594F5A" w:rsidP="00AA11E1">
      <w:pPr>
        <w:pStyle w:val="Heading2"/>
        <w:numPr>
          <w:ilvl w:val="0"/>
          <w:numId w:val="28"/>
        </w:numPr>
        <w:spacing w:line="240" w:lineRule="auto"/>
        <w:ind w:left="357" w:hanging="357"/>
        <w:contextualSpacing/>
        <w:rPr>
          <w:lang w:val="fr-BE"/>
        </w:rPr>
      </w:pPr>
      <w:bookmarkStart w:id="23" w:name="_Toc124863703"/>
      <w:r w:rsidRPr="004267B4">
        <w:rPr>
          <w:lang w:val="fr-BE"/>
        </w:rPr>
        <w:t>se félicite de l’institution d’un comité européen pour les services de médias, tout en insistant sur sa pleine indépendance et sur celle des organismes nationaux de régulation qui y participent;</w:t>
      </w:r>
      <w:bookmarkEnd w:id="23"/>
    </w:p>
    <w:p w14:paraId="3E031D01" w14:textId="77777777" w:rsidR="00594F5A" w:rsidRPr="004267B4" w:rsidRDefault="00594F5A" w:rsidP="00AA11E1">
      <w:pPr>
        <w:spacing w:line="240" w:lineRule="auto"/>
        <w:ind w:left="357" w:hanging="357"/>
        <w:contextualSpacing/>
        <w:rPr>
          <w:sz w:val="16"/>
          <w:szCs w:val="16"/>
          <w:lang w:val="fr-BE"/>
        </w:rPr>
      </w:pPr>
    </w:p>
    <w:p w14:paraId="187C8BAD" w14:textId="77777777" w:rsidR="00594F5A" w:rsidRPr="004267B4" w:rsidRDefault="00594F5A" w:rsidP="00AA11E1">
      <w:pPr>
        <w:pStyle w:val="Heading2"/>
        <w:numPr>
          <w:ilvl w:val="0"/>
          <w:numId w:val="28"/>
        </w:numPr>
        <w:spacing w:line="240" w:lineRule="auto"/>
        <w:ind w:left="357" w:hanging="357"/>
        <w:contextualSpacing/>
        <w:rPr>
          <w:lang w:val="fr-BE"/>
        </w:rPr>
      </w:pPr>
      <w:bookmarkStart w:id="24" w:name="_Toc124863704"/>
      <w:r w:rsidRPr="004267B4">
        <w:rPr>
          <w:lang w:val="fr-BE"/>
        </w:rPr>
        <w:t>demande à la Commission européenne d’intervenir et d’agir conformément aux dispositions en vigueur de la législation de l’Union en matière de contrôle des concentrations, lorsque les organismes nationaux de régulation s’abstiennent de traiter de la concentration du marché des médias;</w:t>
      </w:r>
      <w:bookmarkEnd w:id="24"/>
    </w:p>
    <w:p w14:paraId="7D073D4B" w14:textId="77777777" w:rsidR="00594F5A" w:rsidRPr="004267B4" w:rsidRDefault="00594F5A" w:rsidP="00AA11E1">
      <w:pPr>
        <w:spacing w:line="240" w:lineRule="auto"/>
        <w:ind w:left="357" w:hanging="357"/>
        <w:rPr>
          <w:sz w:val="16"/>
          <w:lang w:val="fr-BE"/>
        </w:rPr>
      </w:pPr>
    </w:p>
    <w:p w14:paraId="19C75119" w14:textId="77777777" w:rsidR="00594F5A" w:rsidRPr="004267B4" w:rsidRDefault="00594F5A" w:rsidP="00AA11E1">
      <w:pPr>
        <w:pStyle w:val="Heading2"/>
        <w:numPr>
          <w:ilvl w:val="0"/>
          <w:numId w:val="28"/>
        </w:numPr>
        <w:spacing w:line="240" w:lineRule="auto"/>
        <w:ind w:left="357" w:hanging="357"/>
        <w:contextualSpacing/>
        <w:rPr>
          <w:lang w:val="fr-BE"/>
        </w:rPr>
      </w:pPr>
      <w:bookmarkStart w:id="25" w:name="_Toc124863705"/>
      <w:r w:rsidRPr="004267B4">
        <w:rPr>
          <w:lang w:val="fr-BE"/>
        </w:rPr>
        <w:t>salue le caractère contraignant des dispositions relatives à la transparence en matière d’allocation des dépenses pour la publicité d’État;</w:t>
      </w:r>
      <w:bookmarkEnd w:id="25"/>
    </w:p>
    <w:p w14:paraId="0E7EE076" w14:textId="77777777" w:rsidR="00594F5A" w:rsidRPr="004267B4" w:rsidRDefault="00594F5A" w:rsidP="00AA11E1">
      <w:pPr>
        <w:spacing w:line="240" w:lineRule="auto"/>
        <w:ind w:left="357" w:hanging="357"/>
        <w:contextualSpacing/>
        <w:rPr>
          <w:sz w:val="16"/>
          <w:szCs w:val="16"/>
          <w:lang w:val="fr-BE"/>
        </w:rPr>
      </w:pPr>
    </w:p>
    <w:p w14:paraId="3475C112" w14:textId="77777777" w:rsidR="00594F5A" w:rsidRPr="004267B4" w:rsidRDefault="00594F5A" w:rsidP="00AA11E1">
      <w:pPr>
        <w:pStyle w:val="Heading2"/>
        <w:numPr>
          <w:ilvl w:val="0"/>
          <w:numId w:val="28"/>
        </w:numPr>
        <w:spacing w:line="240" w:lineRule="auto"/>
        <w:ind w:left="357" w:hanging="357"/>
        <w:contextualSpacing/>
        <w:rPr>
          <w:lang w:val="fr-BE"/>
        </w:rPr>
      </w:pPr>
      <w:bookmarkStart w:id="26" w:name="_Toc124863706"/>
      <w:r w:rsidRPr="004267B4">
        <w:rPr>
          <w:lang w:val="fr-BE"/>
        </w:rPr>
        <w:t>se félicite de la surveillance annuelle prévue; demande que la société civile et les parties prenantes concernées soient consultées au cours de cet exercice et propose d’en élargir le champ d’application de manière à traiter d’autres aspects de la liberté et de la pluralité des médias.</w:t>
      </w:r>
      <w:bookmarkEnd w:id="26"/>
    </w:p>
    <w:p w14:paraId="247C9DD7" w14:textId="77777777" w:rsidR="00594F5A" w:rsidRPr="004267B4" w:rsidRDefault="00594F5A" w:rsidP="00594F5A">
      <w:pPr>
        <w:spacing w:line="240" w:lineRule="auto"/>
        <w:rPr>
          <w:sz w:val="16"/>
          <w:szCs w:val="16"/>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4493"/>
      </w:tblGrid>
      <w:tr w:rsidR="00594F5A" w:rsidRPr="004267B4" w14:paraId="1BFB1345" w14:textId="77777777" w:rsidTr="0059328F">
        <w:tc>
          <w:tcPr>
            <w:tcW w:w="1210" w:type="dxa"/>
          </w:tcPr>
          <w:p w14:paraId="5BC013D3" w14:textId="77777777" w:rsidR="00594F5A" w:rsidRPr="004267B4" w:rsidRDefault="00594F5A" w:rsidP="0059328F">
            <w:pPr>
              <w:spacing w:line="240" w:lineRule="auto"/>
              <w:rPr>
                <w:i/>
                <w:lang w:val="fr-BE"/>
              </w:rPr>
            </w:pPr>
            <w:r w:rsidRPr="004267B4">
              <w:rPr>
                <w:b/>
                <w:i/>
                <w:lang w:val="fr-BE"/>
              </w:rPr>
              <w:lastRenderedPageBreak/>
              <w:t>Contact</w:t>
            </w:r>
          </w:p>
        </w:tc>
        <w:tc>
          <w:tcPr>
            <w:tcW w:w="4493" w:type="dxa"/>
          </w:tcPr>
          <w:p w14:paraId="72C573DE" w14:textId="17617CF0" w:rsidR="00594F5A" w:rsidRPr="004267B4" w:rsidRDefault="00594F5A" w:rsidP="0059328F">
            <w:pPr>
              <w:spacing w:line="240" w:lineRule="auto"/>
              <w:ind w:hanging="12"/>
              <w:rPr>
                <w:i/>
                <w:lang w:val="fr-BE"/>
              </w:rPr>
            </w:pPr>
            <w:r w:rsidRPr="004267B4">
              <w:rPr>
                <w:i/>
                <w:lang w:val="fr-BE"/>
              </w:rPr>
              <w:t>Jean Marie R</w:t>
            </w:r>
            <w:r w:rsidR="004466E9" w:rsidRPr="004267B4">
              <w:rPr>
                <w:i/>
                <w:lang w:val="fr-BE"/>
              </w:rPr>
              <w:t>ogue</w:t>
            </w:r>
          </w:p>
        </w:tc>
      </w:tr>
      <w:tr w:rsidR="00594F5A" w:rsidRPr="004267B4" w14:paraId="23149EB7" w14:textId="77777777" w:rsidTr="0059328F">
        <w:tc>
          <w:tcPr>
            <w:tcW w:w="1210" w:type="dxa"/>
          </w:tcPr>
          <w:p w14:paraId="0A1F0F38" w14:textId="77777777" w:rsidR="00594F5A" w:rsidRPr="004267B4" w:rsidRDefault="00594F5A" w:rsidP="0059328F">
            <w:pPr>
              <w:spacing w:line="240" w:lineRule="auto"/>
              <w:rPr>
                <w:i/>
                <w:lang w:val="fr-BE"/>
              </w:rPr>
            </w:pPr>
            <w:r w:rsidRPr="004267B4">
              <w:rPr>
                <w:i/>
                <w:lang w:val="fr-BE"/>
              </w:rPr>
              <w:t>Tél.</w:t>
            </w:r>
          </w:p>
        </w:tc>
        <w:tc>
          <w:tcPr>
            <w:tcW w:w="4493" w:type="dxa"/>
          </w:tcPr>
          <w:p w14:paraId="64977FF4" w14:textId="77777777" w:rsidR="00594F5A" w:rsidRPr="004267B4" w:rsidRDefault="00594F5A" w:rsidP="0059328F">
            <w:pPr>
              <w:spacing w:line="240" w:lineRule="auto"/>
              <w:rPr>
                <w:i/>
                <w:lang w:val="fr-BE"/>
              </w:rPr>
            </w:pPr>
            <w:r w:rsidRPr="004267B4">
              <w:rPr>
                <w:i/>
                <w:lang w:val="fr-BE"/>
              </w:rPr>
              <w:t>+32 25468909</w:t>
            </w:r>
          </w:p>
        </w:tc>
      </w:tr>
      <w:tr w:rsidR="00594F5A" w:rsidRPr="004267B4" w14:paraId="6B0D25A3" w14:textId="77777777" w:rsidTr="0059328F">
        <w:tc>
          <w:tcPr>
            <w:tcW w:w="1210" w:type="dxa"/>
          </w:tcPr>
          <w:p w14:paraId="69199B9C" w14:textId="77777777" w:rsidR="00594F5A" w:rsidRPr="004267B4" w:rsidRDefault="00594F5A" w:rsidP="0059328F">
            <w:pPr>
              <w:spacing w:line="240" w:lineRule="auto"/>
              <w:rPr>
                <w:i/>
                <w:lang w:val="fr-BE"/>
              </w:rPr>
            </w:pPr>
            <w:r w:rsidRPr="004267B4">
              <w:rPr>
                <w:i/>
                <w:lang w:val="fr-BE"/>
              </w:rPr>
              <w:t>Courriel</w:t>
            </w:r>
          </w:p>
        </w:tc>
        <w:tc>
          <w:tcPr>
            <w:tcW w:w="4493" w:type="dxa"/>
          </w:tcPr>
          <w:p w14:paraId="1673944E" w14:textId="77777777" w:rsidR="00594F5A" w:rsidRPr="004267B4" w:rsidRDefault="00594F5A" w:rsidP="0059328F">
            <w:pPr>
              <w:spacing w:line="240" w:lineRule="auto"/>
              <w:rPr>
                <w:i/>
                <w:lang w:val="fr-BE"/>
              </w:rPr>
            </w:pPr>
            <w:r w:rsidRPr="004267B4">
              <w:rPr>
                <w:rStyle w:val="Hyperlink"/>
                <w:i/>
                <w:lang w:val="fr-BE"/>
              </w:rPr>
              <w:t>jeanmarie.rogue@eesc.europa.eu</w:t>
            </w:r>
          </w:p>
        </w:tc>
      </w:tr>
    </w:tbl>
    <w:p w14:paraId="12963615" w14:textId="711DD885" w:rsidR="00002061" w:rsidRPr="004267B4" w:rsidRDefault="00AB0B62" w:rsidP="00DA2729">
      <w:pPr>
        <w:spacing w:line="259" w:lineRule="auto"/>
        <w:jc w:val="left"/>
        <w:rPr>
          <w:lang w:val="fr-BE"/>
        </w:rPr>
      </w:pPr>
      <w:r w:rsidRPr="004267B4">
        <w:rPr>
          <w:lang w:val="fr-BE"/>
        </w:rPr>
        <w:br w:type="page"/>
      </w:r>
    </w:p>
    <w:p w14:paraId="210857C3" w14:textId="77777777" w:rsidR="009A3E0E" w:rsidRPr="004267B4" w:rsidRDefault="009A3E0E" w:rsidP="00DA2729">
      <w:pPr>
        <w:spacing w:line="259" w:lineRule="auto"/>
        <w:jc w:val="left"/>
        <w:rPr>
          <w:lang w:val="fr-BE"/>
        </w:rPr>
      </w:pPr>
    </w:p>
    <w:p w14:paraId="5D7E2557" w14:textId="1665B273" w:rsidR="006706CF" w:rsidRPr="004267B4" w:rsidRDefault="004466E9" w:rsidP="00AA11E1">
      <w:pPr>
        <w:widowControl w:val="0"/>
        <w:numPr>
          <w:ilvl w:val="0"/>
          <w:numId w:val="9"/>
        </w:numPr>
        <w:overflowPunct w:val="0"/>
        <w:autoSpaceDE w:val="0"/>
        <w:autoSpaceDN w:val="0"/>
        <w:adjustRightInd w:val="0"/>
        <w:ind w:hanging="567"/>
        <w:textAlignment w:val="baseline"/>
        <w:rPr>
          <w:b/>
          <w:i/>
          <w:sz w:val="28"/>
          <w:lang w:val="fr-BE"/>
        </w:rPr>
      </w:pPr>
      <w:hyperlink r:id="rId28" w:history="1">
        <w:r w:rsidR="006706CF" w:rsidRPr="004267B4">
          <w:rPr>
            <w:b/>
            <w:i/>
            <w:sz w:val="28"/>
            <w:lang w:val="fr-BE"/>
          </w:rPr>
          <w:t>Année européenne des compétences 2023</w:t>
        </w:r>
      </w:hyperlink>
    </w:p>
    <w:p w14:paraId="4B6B6A79" w14:textId="77777777" w:rsidR="006706CF" w:rsidRPr="004267B4" w:rsidRDefault="006706CF" w:rsidP="006706CF">
      <w:pPr>
        <w:tabs>
          <w:tab w:val="center" w:pos="284"/>
        </w:tabs>
        <w:ind w:left="266" w:hanging="266"/>
        <w:rPr>
          <w:b/>
          <w:lang w:val="fr-BE"/>
        </w:rPr>
      </w:pPr>
    </w:p>
    <w:tbl>
      <w:tblPr>
        <w:tblStyle w:val="TableGrid"/>
        <w:tblW w:w="471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539"/>
      </w:tblGrid>
      <w:tr w:rsidR="006706CF" w:rsidRPr="004267B4" w14:paraId="64D90D83" w14:textId="77777777" w:rsidTr="00074BCE">
        <w:tc>
          <w:tcPr>
            <w:tcW w:w="1325" w:type="pct"/>
          </w:tcPr>
          <w:p w14:paraId="72E08510" w14:textId="77777777" w:rsidR="006706CF" w:rsidRPr="004267B4" w:rsidRDefault="006706CF" w:rsidP="0059328F">
            <w:pPr>
              <w:tabs>
                <w:tab w:val="center" w:pos="0"/>
              </w:tabs>
              <w:rPr>
                <w:b/>
                <w:lang w:val="fr-BE"/>
              </w:rPr>
            </w:pPr>
            <w:bookmarkStart w:id="27" w:name="_Hlk120870277"/>
            <w:r w:rsidRPr="004267B4">
              <w:rPr>
                <w:b/>
                <w:lang w:val="fr-BE"/>
              </w:rPr>
              <w:t>Rapporteure générale</w:t>
            </w:r>
          </w:p>
        </w:tc>
        <w:tc>
          <w:tcPr>
            <w:tcW w:w="3675" w:type="pct"/>
          </w:tcPr>
          <w:p w14:paraId="2A5DA03D" w14:textId="62DBA6DC" w:rsidR="006706CF" w:rsidRPr="004267B4" w:rsidRDefault="006706CF" w:rsidP="0059328F">
            <w:pPr>
              <w:tabs>
                <w:tab w:val="center" w:pos="284"/>
              </w:tabs>
              <w:ind w:left="266" w:hanging="266"/>
              <w:rPr>
                <w:lang w:val="fr-BE"/>
              </w:rPr>
            </w:pPr>
            <w:r w:rsidRPr="004267B4">
              <w:rPr>
                <w:lang w:val="fr-BE"/>
              </w:rPr>
              <w:t>Tatjana BABRAUSKIENĖ (</w:t>
            </w:r>
            <w:r w:rsidR="00F13412">
              <w:t xml:space="preserve">groupe </w:t>
            </w:r>
            <w:r w:rsidR="004C2CF1" w:rsidRPr="00DA2729">
              <w:t>des travailleurs</w:t>
            </w:r>
            <w:r w:rsidR="004C2CF1">
              <w:t xml:space="preserve"> — </w:t>
            </w:r>
            <w:r w:rsidRPr="004267B4">
              <w:rPr>
                <w:lang w:val="fr-BE"/>
              </w:rPr>
              <w:t>LT)</w:t>
            </w:r>
          </w:p>
        </w:tc>
      </w:tr>
      <w:tr w:rsidR="006706CF" w:rsidRPr="004267B4" w14:paraId="5245E511" w14:textId="77777777" w:rsidTr="00074BCE">
        <w:tc>
          <w:tcPr>
            <w:tcW w:w="1325" w:type="pct"/>
          </w:tcPr>
          <w:p w14:paraId="75E8541F" w14:textId="77777777" w:rsidR="006706CF" w:rsidRPr="004267B4" w:rsidRDefault="006706CF" w:rsidP="0059328F">
            <w:pPr>
              <w:tabs>
                <w:tab w:val="center" w:pos="284"/>
              </w:tabs>
              <w:ind w:left="266" w:hanging="266"/>
              <w:rPr>
                <w:b/>
                <w:lang w:val="fr-BE"/>
              </w:rPr>
            </w:pPr>
            <w:r w:rsidRPr="004267B4">
              <w:rPr>
                <w:b/>
                <w:lang w:val="fr-BE"/>
              </w:rPr>
              <w:t>Référence</w:t>
            </w:r>
          </w:p>
        </w:tc>
        <w:tc>
          <w:tcPr>
            <w:tcW w:w="3675" w:type="pct"/>
          </w:tcPr>
          <w:p w14:paraId="6CF01AED" w14:textId="61AF6B97" w:rsidR="006706CF" w:rsidRPr="004267B4" w:rsidRDefault="006706CF" w:rsidP="0059328F">
            <w:pPr>
              <w:tabs>
                <w:tab w:val="center" w:pos="284"/>
              </w:tabs>
              <w:ind w:left="266" w:hanging="266"/>
              <w:rPr>
                <w:lang w:val="fr-BE"/>
              </w:rPr>
            </w:pPr>
            <w:r w:rsidRPr="004267B4">
              <w:rPr>
                <w:lang w:val="fr-BE"/>
              </w:rPr>
              <w:t>EESC-2022-05883-00-0</w:t>
            </w:r>
            <w:r w:rsidR="004C2CF1">
              <w:rPr>
                <w:lang w:val="fr-BE"/>
              </w:rPr>
              <w:t>1</w:t>
            </w:r>
            <w:r w:rsidRPr="004267B4">
              <w:rPr>
                <w:lang w:val="fr-BE"/>
              </w:rPr>
              <w:t>-AC</w:t>
            </w:r>
          </w:p>
        </w:tc>
      </w:tr>
      <w:bookmarkEnd w:id="27"/>
    </w:tbl>
    <w:p w14:paraId="5E719776" w14:textId="77777777" w:rsidR="006706CF" w:rsidRPr="004267B4" w:rsidRDefault="006706CF" w:rsidP="006706CF">
      <w:pPr>
        <w:tabs>
          <w:tab w:val="center" w:pos="284"/>
        </w:tabs>
        <w:ind w:left="266" w:hanging="266"/>
        <w:rPr>
          <w:lang w:val="fr-BE"/>
        </w:rPr>
      </w:pPr>
    </w:p>
    <w:p w14:paraId="46CC8559" w14:textId="77777777" w:rsidR="006706CF" w:rsidRPr="004267B4" w:rsidRDefault="006706CF" w:rsidP="006706CF">
      <w:pPr>
        <w:keepNext/>
        <w:keepLines/>
        <w:tabs>
          <w:tab w:val="center" w:pos="284"/>
        </w:tabs>
        <w:ind w:left="266" w:hanging="266"/>
        <w:rPr>
          <w:b/>
          <w:lang w:val="fr-BE"/>
        </w:rPr>
      </w:pPr>
      <w:r w:rsidRPr="004267B4">
        <w:rPr>
          <w:b/>
          <w:lang w:val="fr-BE"/>
        </w:rPr>
        <w:t>Points clés</w:t>
      </w:r>
    </w:p>
    <w:p w14:paraId="2F248E5C" w14:textId="77777777" w:rsidR="006706CF" w:rsidRPr="004267B4" w:rsidRDefault="006706CF" w:rsidP="006706CF">
      <w:pPr>
        <w:keepNext/>
        <w:keepLines/>
        <w:tabs>
          <w:tab w:val="center" w:pos="284"/>
        </w:tabs>
        <w:ind w:left="266" w:hanging="266"/>
        <w:rPr>
          <w:b/>
          <w:lang w:val="fr-BE"/>
        </w:rPr>
      </w:pPr>
    </w:p>
    <w:p w14:paraId="28762FE6" w14:textId="77777777" w:rsidR="006706CF" w:rsidRPr="004267B4" w:rsidRDefault="006706CF" w:rsidP="004C2CF1">
      <w:pPr>
        <w:keepNext/>
        <w:rPr>
          <w:bCs/>
          <w:iCs/>
          <w:lang w:val="fr-BE"/>
        </w:rPr>
      </w:pPr>
      <w:r w:rsidRPr="004267B4">
        <w:rPr>
          <w:lang w:val="fr-BE"/>
        </w:rPr>
        <w:t>Le CESE:</w:t>
      </w:r>
    </w:p>
    <w:p w14:paraId="5918412D" w14:textId="77777777" w:rsidR="006706CF" w:rsidRPr="004267B4" w:rsidRDefault="006706CF" w:rsidP="006706CF">
      <w:pPr>
        <w:keepNext/>
        <w:rPr>
          <w:bCs/>
          <w:iCs/>
          <w:lang w:val="fr-BE"/>
        </w:rPr>
      </w:pPr>
    </w:p>
    <w:p w14:paraId="12894526" w14:textId="77777777" w:rsidR="006706CF" w:rsidRPr="004267B4" w:rsidRDefault="006706CF" w:rsidP="004C2CF1">
      <w:pPr>
        <w:widowControl w:val="0"/>
        <w:numPr>
          <w:ilvl w:val="0"/>
          <w:numId w:val="47"/>
        </w:numPr>
        <w:overflowPunct w:val="0"/>
        <w:autoSpaceDE w:val="0"/>
        <w:autoSpaceDN w:val="0"/>
        <w:adjustRightInd w:val="0"/>
        <w:ind w:left="357" w:hanging="357"/>
        <w:textAlignment w:val="baseline"/>
        <w:rPr>
          <w:bCs/>
          <w:iCs/>
          <w:lang w:val="fr-BE"/>
        </w:rPr>
      </w:pPr>
      <w:r w:rsidRPr="004267B4">
        <w:rPr>
          <w:lang w:val="fr-BE"/>
        </w:rPr>
        <w:t>se félicite de voir l’année 2023 proclamée «Année européenne des compétences»; s’inquiète cependant de constater que l’ordre du jour et les priorités de l’année semblent surchargés, au risque que cette année thématique prenne davantage la forme d’annonces politiques médiatisées que d’évolutions systématiques sur le long terme; réitère sa recommandation selon laquelle les années européennes thématiques devraient aller au-delà des simples effets d’annonce et contribuer à des projets clairs et à un engagement réel;</w:t>
      </w:r>
    </w:p>
    <w:p w14:paraId="372E8890" w14:textId="77777777" w:rsidR="006706CF" w:rsidRPr="004267B4" w:rsidRDefault="006706CF" w:rsidP="004C2CF1">
      <w:pPr>
        <w:widowControl w:val="0"/>
        <w:numPr>
          <w:ilvl w:val="0"/>
          <w:numId w:val="47"/>
        </w:numPr>
        <w:overflowPunct w:val="0"/>
        <w:autoSpaceDE w:val="0"/>
        <w:autoSpaceDN w:val="0"/>
        <w:adjustRightInd w:val="0"/>
        <w:ind w:left="357" w:hanging="357"/>
        <w:textAlignment w:val="baseline"/>
        <w:rPr>
          <w:bCs/>
          <w:iCs/>
          <w:lang w:val="fr-BE"/>
        </w:rPr>
      </w:pPr>
      <w:r w:rsidRPr="004267B4">
        <w:rPr>
          <w:lang w:val="fr-BE"/>
        </w:rPr>
        <w:t>estime que toutes les activités menées dans le cadre de l’Année européenne des compétences 2023 doivent viser les meilleurs progrès possibles dans tous les domaines de l’éducation et de la formation; demande que l’application et la mise en œuvre de la recommandation du Conseil relative à des parcours de renforcement des compétences constituent un objectif important de cette année thématique;</w:t>
      </w:r>
    </w:p>
    <w:p w14:paraId="0F39DA47" w14:textId="77777777" w:rsidR="006706CF" w:rsidRPr="004267B4" w:rsidRDefault="006706CF" w:rsidP="004C2CF1">
      <w:pPr>
        <w:widowControl w:val="0"/>
        <w:numPr>
          <w:ilvl w:val="0"/>
          <w:numId w:val="47"/>
        </w:numPr>
        <w:overflowPunct w:val="0"/>
        <w:autoSpaceDE w:val="0"/>
        <w:autoSpaceDN w:val="0"/>
        <w:adjustRightInd w:val="0"/>
        <w:ind w:left="357" w:hanging="357"/>
        <w:textAlignment w:val="baseline"/>
        <w:rPr>
          <w:bCs/>
          <w:iCs/>
          <w:lang w:val="fr-BE"/>
        </w:rPr>
      </w:pPr>
      <w:r w:rsidRPr="004267B4">
        <w:rPr>
          <w:lang w:val="fr-BE"/>
        </w:rPr>
        <w:t>préconise que toutes les parties prenantes dans le domaine de l’éducation et de la formation aient voix au chapitre lors de la sélection du point de coordination national;</w:t>
      </w:r>
    </w:p>
    <w:p w14:paraId="397780BA" w14:textId="77777777" w:rsidR="006706CF" w:rsidRPr="004267B4" w:rsidRDefault="006706CF" w:rsidP="004C2CF1">
      <w:pPr>
        <w:widowControl w:val="0"/>
        <w:numPr>
          <w:ilvl w:val="0"/>
          <w:numId w:val="47"/>
        </w:numPr>
        <w:overflowPunct w:val="0"/>
        <w:autoSpaceDE w:val="0"/>
        <w:autoSpaceDN w:val="0"/>
        <w:adjustRightInd w:val="0"/>
        <w:ind w:left="357" w:hanging="357"/>
        <w:textAlignment w:val="baseline"/>
        <w:rPr>
          <w:bCs/>
          <w:iCs/>
          <w:lang w:val="fr-BE"/>
        </w:rPr>
      </w:pPr>
      <w:r w:rsidRPr="004267B4">
        <w:rPr>
          <w:lang w:val="fr-BE"/>
        </w:rPr>
        <w:t>invite les partenaires sociaux à prendre des mesures efficaces pour participer au dialogue social afin que tous les travailleurs accèdent sur un pied d’égalité à une formation inclusive et de qualité, conformément au socle européen des droits sociaux; souligne la nécessité d’engagements forts de la part des entreprises et des pouvoirs publics, en particulier pour garantir des ressources suffisantes, y compris un financement adéquat de l’éducation et de la formation;</w:t>
      </w:r>
    </w:p>
    <w:p w14:paraId="38923C7B" w14:textId="77777777" w:rsidR="006706CF" w:rsidRPr="004267B4" w:rsidRDefault="006706CF" w:rsidP="004C2CF1">
      <w:pPr>
        <w:widowControl w:val="0"/>
        <w:numPr>
          <w:ilvl w:val="0"/>
          <w:numId w:val="47"/>
        </w:numPr>
        <w:overflowPunct w:val="0"/>
        <w:autoSpaceDE w:val="0"/>
        <w:autoSpaceDN w:val="0"/>
        <w:adjustRightInd w:val="0"/>
        <w:ind w:left="357" w:hanging="357"/>
        <w:textAlignment w:val="baseline"/>
        <w:rPr>
          <w:bCs/>
          <w:iCs/>
          <w:lang w:val="fr-BE"/>
        </w:rPr>
      </w:pPr>
      <w:r w:rsidRPr="004267B4">
        <w:rPr>
          <w:lang w:val="fr-BE"/>
        </w:rPr>
        <w:t xml:space="preserve">propose que soit mise en œuvre une garantie de compétences afin d’offrir à tous le droit d’accéder à une formation inclusive et de qualité; </w:t>
      </w:r>
    </w:p>
    <w:p w14:paraId="5D271D83" w14:textId="77777777" w:rsidR="006706CF" w:rsidRPr="004267B4" w:rsidRDefault="006706CF" w:rsidP="004C2CF1">
      <w:pPr>
        <w:widowControl w:val="0"/>
        <w:numPr>
          <w:ilvl w:val="0"/>
          <w:numId w:val="47"/>
        </w:numPr>
        <w:overflowPunct w:val="0"/>
        <w:autoSpaceDE w:val="0"/>
        <w:autoSpaceDN w:val="0"/>
        <w:adjustRightInd w:val="0"/>
        <w:ind w:left="357" w:hanging="357"/>
        <w:textAlignment w:val="baseline"/>
        <w:rPr>
          <w:bCs/>
          <w:iCs/>
          <w:lang w:val="fr-BE"/>
        </w:rPr>
      </w:pPr>
      <w:r w:rsidRPr="004267B4">
        <w:rPr>
          <w:lang w:val="fr-BE"/>
        </w:rPr>
        <w:t>est d’avis que les compétences sociales et transversales devraient également figurer parmi les «bonnes compétences» requises pour les citoyens, y compris les travailleurs et futurs travailleurs; les investissements durables dans la participation des adultes à l’apprentissage tout au long de la vie et à la formation des salariés devraient être mis en avant en tant que priorités dans le cadre du processus du Semestre européen;</w:t>
      </w:r>
    </w:p>
    <w:p w14:paraId="40A41AD5" w14:textId="77777777" w:rsidR="006706CF" w:rsidRPr="004267B4" w:rsidRDefault="006706CF" w:rsidP="004C2CF1">
      <w:pPr>
        <w:widowControl w:val="0"/>
        <w:numPr>
          <w:ilvl w:val="0"/>
          <w:numId w:val="47"/>
        </w:numPr>
        <w:overflowPunct w:val="0"/>
        <w:autoSpaceDE w:val="0"/>
        <w:autoSpaceDN w:val="0"/>
        <w:adjustRightInd w:val="0"/>
        <w:ind w:left="357" w:hanging="357"/>
        <w:textAlignment w:val="baseline"/>
        <w:rPr>
          <w:bCs/>
          <w:iCs/>
          <w:lang w:val="fr-BE"/>
        </w:rPr>
      </w:pPr>
      <w:r w:rsidRPr="004267B4">
        <w:rPr>
          <w:lang w:val="fr-BE"/>
        </w:rPr>
        <w:t>estime qu’il convient de renforcer les mécanismes de consultation entre les établissements d’enseignement, les pouvoirs publics, les entreprises et les syndicats afin de contribuer à l’élaboration de stratégies réalistes et efficaces en ce qui concerne le passage du système éducatif au monde du travail;</w:t>
      </w:r>
    </w:p>
    <w:p w14:paraId="72A63AF6" w14:textId="77777777" w:rsidR="006706CF" w:rsidRPr="004267B4" w:rsidRDefault="006706CF" w:rsidP="004C2CF1">
      <w:pPr>
        <w:widowControl w:val="0"/>
        <w:numPr>
          <w:ilvl w:val="0"/>
          <w:numId w:val="47"/>
        </w:numPr>
        <w:overflowPunct w:val="0"/>
        <w:autoSpaceDE w:val="0"/>
        <w:autoSpaceDN w:val="0"/>
        <w:adjustRightInd w:val="0"/>
        <w:ind w:left="357" w:hanging="357"/>
        <w:textAlignment w:val="baseline"/>
        <w:rPr>
          <w:rFonts w:asciiTheme="minorHAnsi" w:hAnsiTheme="minorHAnsi"/>
          <w:lang w:val="fr-BE"/>
        </w:rPr>
      </w:pPr>
      <w:r w:rsidRPr="004267B4">
        <w:rPr>
          <w:lang w:val="fr-BE"/>
        </w:rPr>
        <w:t>encourage la Commission à élaborer des actions visant à garantir que les réfugiés et les demandeurs d’asile puissent valider leurs aptitudes et compétences et se voir proposer des apprentissages et des possibilités de perfectionnement et de reconversion professionnels en vue de s’insérer sur le marché du travail.</w:t>
      </w:r>
    </w:p>
    <w:p w14:paraId="6E30EA8C" w14:textId="77777777" w:rsidR="006706CF" w:rsidRPr="004267B4" w:rsidRDefault="006706CF" w:rsidP="006706CF">
      <w:pPr>
        <w:widowControl w:val="0"/>
        <w:ind w:left="709"/>
        <w:rPr>
          <w:lang w:val="fr-BE"/>
        </w:rPr>
      </w:pPr>
    </w:p>
    <w:tbl>
      <w:tblPr>
        <w:tblStyle w:val="TableGrid"/>
        <w:tblW w:w="3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5451"/>
      </w:tblGrid>
      <w:tr w:rsidR="006706CF" w:rsidRPr="004267B4" w14:paraId="28ABDBBD" w14:textId="77777777" w:rsidTr="0059328F">
        <w:tc>
          <w:tcPr>
            <w:tcW w:w="889" w:type="pct"/>
          </w:tcPr>
          <w:p w14:paraId="65A2EE60" w14:textId="77777777" w:rsidR="006706CF" w:rsidRPr="004267B4" w:rsidRDefault="006706CF" w:rsidP="0059328F">
            <w:pPr>
              <w:spacing w:line="240" w:lineRule="auto"/>
              <w:rPr>
                <w:i/>
                <w:lang w:val="fr-BE"/>
              </w:rPr>
            </w:pPr>
            <w:r w:rsidRPr="004267B4">
              <w:rPr>
                <w:b/>
                <w:i/>
                <w:lang w:val="fr-BE"/>
              </w:rPr>
              <w:t>Contact</w:t>
            </w:r>
          </w:p>
        </w:tc>
        <w:tc>
          <w:tcPr>
            <w:tcW w:w="4111" w:type="pct"/>
          </w:tcPr>
          <w:p w14:paraId="369FB9E8" w14:textId="77777777" w:rsidR="006706CF" w:rsidRPr="004267B4" w:rsidRDefault="006706CF" w:rsidP="0059328F">
            <w:pPr>
              <w:spacing w:line="240" w:lineRule="auto"/>
              <w:rPr>
                <w:i/>
                <w:lang w:val="fr-BE"/>
              </w:rPr>
            </w:pPr>
            <w:r w:rsidRPr="004267B4">
              <w:rPr>
                <w:i/>
                <w:lang w:val="fr-BE"/>
              </w:rPr>
              <w:t>Sabrina Borg</w:t>
            </w:r>
          </w:p>
        </w:tc>
      </w:tr>
      <w:tr w:rsidR="006706CF" w:rsidRPr="004267B4" w14:paraId="504D9A86" w14:textId="77777777" w:rsidTr="0059328F">
        <w:tc>
          <w:tcPr>
            <w:tcW w:w="889" w:type="pct"/>
          </w:tcPr>
          <w:p w14:paraId="6419AF0F" w14:textId="77777777" w:rsidR="006706CF" w:rsidRPr="004267B4" w:rsidRDefault="006706CF" w:rsidP="0059328F">
            <w:pPr>
              <w:spacing w:line="240" w:lineRule="auto"/>
              <w:rPr>
                <w:i/>
                <w:lang w:val="fr-BE"/>
              </w:rPr>
            </w:pPr>
            <w:r w:rsidRPr="004267B4">
              <w:rPr>
                <w:i/>
                <w:lang w:val="fr-BE"/>
              </w:rPr>
              <w:t>Tél.</w:t>
            </w:r>
          </w:p>
        </w:tc>
        <w:tc>
          <w:tcPr>
            <w:tcW w:w="4111" w:type="pct"/>
          </w:tcPr>
          <w:p w14:paraId="485DC4A4" w14:textId="77777777" w:rsidR="006706CF" w:rsidRPr="004267B4" w:rsidRDefault="006706CF" w:rsidP="0059328F">
            <w:pPr>
              <w:spacing w:line="240" w:lineRule="auto"/>
              <w:rPr>
                <w:i/>
                <w:lang w:val="fr-BE"/>
              </w:rPr>
            </w:pPr>
            <w:r w:rsidRPr="004267B4">
              <w:rPr>
                <w:i/>
                <w:lang w:val="fr-BE"/>
              </w:rPr>
              <w:t>+32 25469727</w:t>
            </w:r>
          </w:p>
        </w:tc>
      </w:tr>
      <w:tr w:rsidR="006706CF" w:rsidRPr="004267B4" w14:paraId="6D912808" w14:textId="77777777" w:rsidTr="0059328F">
        <w:tc>
          <w:tcPr>
            <w:tcW w:w="889" w:type="pct"/>
          </w:tcPr>
          <w:p w14:paraId="4C2DE371" w14:textId="77777777" w:rsidR="006706CF" w:rsidRPr="004267B4" w:rsidRDefault="006706CF" w:rsidP="0059328F">
            <w:pPr>
              <w:spacing w:line="240" w:lineRule="auto"/>
              <w:rPr>
                <w:i/>
                <w:lang w:val="fr-BE"/>
              </w:rPr>
            </w:pPr>
            <w:r w:rsidRPr="004267B4">
              <w:rPr>
                <w:i/>
                <w:lang w:val="fr-BE"/>
              </w:rPr>
              <w:t>Courriel</w:t>
            </w:r>
          </w:p>
        </w:tc>
        <w:tc>
          <w:tcPr>
            <w:tcW w:w="4111" w:type="pct"/>
          </w:tcPr>
          <w:p w14:paraId="177B3AF3" w14:textId="77777777" w:rsidR="006706CF" w:rsidRPr="004267B4" w:rsidRDefault="004466E9" w:rsidP="0059328F">
            <w:pPr>
              <w:spacing w:line="240" w:lineRule="auto"/>
              <w:rPr>
                <w:i/>
                <w:lang w:val="fr-BE"/>
              </w:rPr>
            </w:pPr>
            <w:hyperlink r:id="rId29" w:history="1">
              <w:r w:rsidR="006706CF" w:rsidRPr="004267B4">
                <w:rPr>
                  <w:rStyle w:val="Hyperlink"/>
                  <w:i/>
                  <w:lang w:val="fr-BE"/>
                </w:rPr>
                <w:t>Sabrina.Borg@eesc.europa.eu</w:t>
              </w:r>
            </w:hyperlink>
            <w:r w:rsidR="006706CF" w:rsidRPr="004267B4">
              <w:rPr>
                <w:i/>
                <w:lang w:val="fr-BE"/>
              </w:rPr>
              <w:t xml:space="preserve"> </w:t>
            </w:r>
          </w:p>
        </w:tc>
      </w:tr>
    </w:tbl>
    <w:p w14:paraId="2725609E" w14:textId="77777777" w:rsidR="002326F4" w:rsidRPr="004267B4" w:rsidRDefault="002326F4" w:rsidP="00DA2729">
      <w:pPr>
        <w:spacing w:line="259" w:lineRule="auto"/>
        <w:jc w:val="left"/>
        <w:rPr>
          <w:lang w:val="fr-BE"/>
        </w:rPr>
      </w:pPr>
    </w:p>
    <w:p w14:paraId="3F8FA026" w14:textId="77777777" w:rsidR="004D7AC0" w:rsidRPr="004267B4" w:rsidRDefault="004D7AC0">
      <w:pPr>
        <w:pStyle w:val="Heading1"/>
        <w:rPr>
          <w:b/>
          <w:lang w:val="fr-BE"/>
        </w:rPr>
      </w:pPr>
      <w:bookmarkStart w:id="28" w:name="_Toc75527083"/>
      <w:bookmarkStart w:id="29" w:name="_Toc124863707"/>
      <w:r w:rsidRPr="004267B4">
        <w:rPr>
          <w:b/>
          <w:lang w:val="fr-BE"/>
        </w:rPr>
        <w:lastRenderedPageBreak/>
        <w:t>MARCHÉ UNIQUE, PRODUCTION ET CONSOMMATION</w:t>
      </w:r>
      <w:bookmarkEnd w:id="28"/>
      <w:bookmarkEnd w:id="29"/>
    </w:p>
    <w:p w14:paraId="03FF9505" w14:textId="77777777" w:rsidR="004D7AC0" w:rsidRPr="004267B4" w:rsidRDefault="004D7AC0">
      <w:pPr>
        <w:rPr>
          <w:lang w:val="fr-BE"/>
        </w:rPr>
      </w:pPr>
    </w:p>
    <w:p w14:paraId="2BFEAE06" w14:textId="060C5CB3" w:rsidR="006706CF" w:rsidRPr="004267B4" w:rsidRDefault="004466E9" w:rsidP="00AA11E1">
      <w:pPr>
        <w:widowControl w:val="0"/>
        <w:numPr>
          <w:ilvl w:val="0"/>
          <w:numId w:val="9"/>
        </w:numPr>
        <w:overflowPunct w:val="0"/>
        <w:autoSpaceDE w:val="0"/>
        <w:autoSpaceDN w:val="0"/>
        <w:adjustRightInd w:val="0"/>
        <w:ind w:hanging="567"/>
        <w:textAlignment w:val="baseline"/>
        <w:rPr>
          <w:b/>
          <w:i/>
          <w:sz w:val="28"/>
          <w:lang w:val="fr-BE"/>
        </w:rPr>
      </w:pPr>
      <w:hyperlink r:id="rId30" w:history="1">
        <w:r w:rsidR="006706CF" w:rsidRPr="004267B4">
          <w:rPr>
            <w:b/>
            <w:i/>
            <w:sz w:val="28"/>
            <w:lang w:val="fr-BE"/>
          </w:rPr>
          <w:t>Rapport sur la politique de concurrence</w:t>
        </w:r>
      </w:hyperlink>
    </w:p>
    <w:p w14:paraId="6466E203" w14:textId="77777777" w:rsidR="006706CF" w:rsidRPr="004267B4" w:rsidRDefault="006706CF" w:rsidP="006706CF">
      <w:pPr>
        <w:tabs>
          <w:tab w:val="center" w:pos="284"/>
        </w:tabs>
        <w:ind w:left="266" w:hanging="266"/>
        <w:rPr>
          <w:b/>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63"/>
      </w:tblGrid>
      <w:tr w:rsidR="006706CF" w:rsidRPr="004267B4" w14:paraId="0C5C47FF" w14:textId="77777777" w:rsidTr="0059328F">
        <w:tc>
          <w:tcPr>
            <w:tcW w:w="1701" w:type="dxa"/>
          </w:tcPr>
          <w:p w14:paraId="59F98905" w14:textId="77777777" w:rsidR="006706CF" w:rsidRPr="004267B4" w:rsidRDefault="006706CF" w:rsidP="0059328F">
            <w:pPr>
              <w:tabs>
                <w:tab w:val="center" w:pos="284"/>
              </w:tabs>
              <w:ind w:left="266" w:hanging="266"/>
              <w:rPr>
                <w:b/>
                <w:lang w:val="fr-BE"/>
              </w:rPr>
            </w:pPr>
            <w:r w:rsidRPr="004267B4">
              <w:rPr>
                <w:b/>
                <w:lang w:val="fr-BE"/>
              </w:rPr>
              <w:t>Rapporteur</w:t>
            </w:r>
          </w:p>
        </w:tc>
        <w:tc>
          <w:tcPr>
            <w:tcW w:w="6663" w:type="dxa"/>
          </w:tcPr>
          <w:p w14:paraId="550A6F4A" w14:textId="05F2AFEA" w:rsidR="006706CF" w:rsidRPr="004267B4" w:rsidRDefault="006706CF" w:rsidP="0059328F">
            <w:pPr>
              <w:tabs>
                <w:tab w:val="center" w:pos="284"/>
              </w:tabs>
              <w:ind w:left="266" w:hanging="266"/>
              <w:rPr>
                <w:lang w:val="fr-BE"/>
              </w:rPr>
            </w:pPr>
            <w:r w:rsidRPr="004267B4">
              <w:rPr>
                <w:lang w:val="fr-BE"/>
              </w:rPr>
              <w:t>Philip VON BROCKDORFF (</w:t>
            </w:r>
            <w:r w:rsidR="00F13412">
              <w:rPr>
                <w:lang w:val="fr-BE"/>
              </w:rPr>
              <w:t xml:space="preserve">groupe </w:t>
            </w:r>
            <w:r w:rsidRPr="004267B4">
              <w:rPr>
                <w:lang w:val="fr-BE"/>
              </w:rPr>
              <w:t>des travailleurs — MT)</w:t>
            </w:r>
          </w:p>
        </w:tc>
      </w:tr>
      <w:tr w:rsidR="006706CF" w:rsidRPr="004267B4" w14:paraId="59F9E1E5" w14:textId="77777777" w:rsidTr="0059328F">
        <w:tc>
          <w:tcPr>
            <w:tcW w:w="8364" w:type="dxa"/>
            <w:gridSpan w:val="2"/>
          </w:tcPr>
          <w:p w14:paraId="4B42BA82" w14:textId="77777777" w:rsidR="006706CF" w:rsidRPr="004267B4" w:rsidRDefault="006706CF" w:rsidP="0059328F">
            <w:pPr>
              <w:tabs>
                <w:tab w:val="center" w:pos="284"/>
              </w:tabs>
              <w:spacing w:line="160" w:lineRule="exact"/>
              <w:ind w:left="266" w:hanging="266"/>
              <w:rPr>
                <w:lang w:val="fr-BE"/>
              </w:rPr>
            </w:pPr>
          </w:p>
        </w:tc>
      </w:tr>
      <w:tr w:rsidR="006706CF" w:rsidRPr="004267B4" w14:paraId="5A97BE31" w14:textId="77777777" w:rsidTr="0059328F">
        <w:tc>
          <w:tcPr>
            <w:tcW w:w="1701" w:type="dxa"/>
          </w:tcPr>
          <w:p w14:paraId="625BF1C5" w14:textId="77777777" w:rsidR="006706CF" w:rsidRPr="004267B4" w:rsidRDefault="006706CF" w:rsidP="0059328F">
            <w:pPr>
              <w:tabs>
                <w:tab w:val="center" w:pos="284"/>
              </w:tabs>
              <w:ind w:left="266" w:hanging="266"/>
              <w:rPr>
                <w:b/>
                <w:lang w:val="fr-BE"/>
              </w:rPr>
            </w:pPr>
            <w:r w:rsidRPr="004267B4">
              <w:rPr>
                <w:b/>
                <w:lang w:val="fr-BE"/>
              </w:rPr>
              <w:t>Références</w:t>
            </w:r>
          </w:p>
        </w:tc>
        <w:tc>
          <w:tcPr>
            <w:tcW w:w="6663" w:type="dxa"/>
          </w:tcPr>
          <w:p w14:paraId="7C56FBC3" w14:textId="77777777" w:rsidR="006706CF" w:rsidRPr="004267B4" w:rsidRDefault="006706CF" w:rsidP="0059328F">
            <w:pPr>
              <w:tabs>
                <w:tab w:val="center" w:pos="284"/>
              </w:tabs>
              <w:ind w:left="266" w:hanging="266"/>
              <w:rPr>
                <w:lang w:val="fr-BE"/>
              </w:rPr>
            </w:pPr>
            <w:r w:rsidRPr="004267B4">
              <w:rPr>
                <w:lang w:val="fr-BE"/>
              </w:rPr>
              <w:t>COM(2022) 337 final</w:t>
            </w:r>
          </w:p>
          <w:p w14:paraId="300568F1" w14:textId="305F9B9B" w:rsidR="006706CF" w:rsidRPr="004267B4" w:rsidRDefault="006706CF" w:rsidP="0059328F">
            <w:pPr>
              <w:tabs>
                <w:tab w:val="center" w:pos="284"/>
              </w:tabs>
              <w:ind w:left="266" w:hanging="266"/>
              <w:rPr>
                <w:lang w:val="fr-BE"/>
              </w:rPr>
            </w:pPr>
            <w:r w:rsidRPr="004267B4">
              <w:rPr>
                <w:lang w:val="fr-BE"/>
              </w:rPr>
              <w:t>EESC-2022-03908-00-00-A</w:t>
            </w:r>
            <w:r w:rsidR="004C2CF1">
              <w:rPr>
                <w:lang w:val="fr-BE"/>
              </w:rPr>
              <w:t>C</w:t>
            </w:r>
          </w:p>
        </w:tc>
      </w:tr>
    </w:tbl>
    <w:p w14:paraId="0A683313" w14:textId="77777777" w:rsidR="006706CF" w:rsidRPr="004267B4" w:rsidRDefault="006706CF" w:rsidP="006706CF">
      <w:pPr>
        <w:tabs>
          <w:tab w:val="center" w:pos="284"/>
        </w:tabs>
        <w:ind w:left="266" w:hanging="266"/>
        <w:rPr>
          <w:lang w:val="fr-BE"/>
        </w:rPr>
      </w:pPr>
    </w:p>
    <w:p w14:paraId="5A7C0823" w14:textId="77777777" w:rsidR="006706CF" w:rsidRPr="004267B4" w:rsidRDefault="006706CF" w:rsidP="006706CF">
      <w:pPr>
        <w:keepNext/>
        <w:keepLines/>
        <w:tabs>
          <w:tab w:val="center" w:pos="284"/>
        </w:tabs>
        <w:ind w:left="266" w:hanging="266"/>
        <w:rPr>
          <w:b/>
          <w:lang w:val="fr-BE"/>
        </w:rPr>
      </w:pPr>
      <w:r w:rsidRPr="004267B4">
        <w:rPr>
          <w:b/>
          <w:bCs/>
          <w:lang w:val="fr-BE"/>
        </w:rPr>
        <w:t>Points clés</w:t>
      </w:r>
    </w:p>
    <w:p w14:paraId="6351154F" w14:textId="77777777" w:rsidR="006706CF" w:rsidRPr="004267B4" w:rsidRDefault="006706CF" w:rsidP="006706CF">
      <w:pPr>
        <w:keepNext/>
        <w:keepLines/>
        <w:tabs>
          <w:tab w:val="center" w:pos="284"/>
        </w:tabs>
        <w:ind w:left="266" w:hanging="266"/>
        <w:rPr>
          <w:b/>
          <w:lang w:val="fr-BE"/>
        </w:rPr>
      </w:pPr>
    </w:p>
    <w:p w14:paraId="38AB556F" w14:textId="77777777" w:rsidR="006706CF" w:rsidRPr="004267B4" w:rsidRDefault="006706CF" w:rsidP="004C2CF1">
      <w:pPr>
        <w:keepNext/>
        <w:rPr>
          <w:bCs/>
          <w:iCs/>
          <w:lang w:val="fr-BE"/>
        </w:rPr>
      </w:pPr>
      <w:r w:rsidRPr="004267B4">
        <w:rPr>
          <w:lang w:val="fr-BE"/>
        </w:rPr>
        <w:t>Le CESE:</w:t>
      </w:r>
    </w:p>
    <w:p w14:paraId="1FF96615" w14:textId="77777777" w:rsidR="006706CF" w:rsidRPr="004267B4" w:rsidRDefault="006706CF" w:rsidP="004C2CF1">
      <w:pPr>
        <w:keepNext/>
        <w:rPr>
          <w:bCs/>
          <w:iCs/>
          <w:lang w:val="fr-BE"/>
        </w:rPr>
      </w:pPr>
    </w:p>
    <w:p w14:paraId="3DCDF68A" w14:textId="77777777" w:rsidR="006706CF" w:rsidRPr="004267B4" w:rsidRDefault="006706CF" w:rsidP="00AA11E1">
      <w:pPr>
        <w:widowControl w:val="0"/>
        <w:numPr>
          <w:ilvl w:val="0"/>
          <w:numId w:val="29"/>
        </w:numPr>
        <w:overflowPunct w:val="0"/>
        <w:autoSpaceDE w:val="0"/>
        <w:autoSpaceDN w:val="0"/>
        <w:adjustRightInd w:val="0"/>
        <w:ind w:left="357" w:hanging="357"/>
        <w:textAlignment w:val="baseline"/>
        <w:rPr>
          <w:bCs/>
          <w:iCs/>
          <w:lang w:val="fr-BE"/>
        </w:rPr>
      </w:pPr>
      <w:r w:rsidRPr="004267B4">
        <w:rPr>
          <w:lang w:val="fr-BE"/>
        </w:rPr>
        <w:t xml:space="preserve">est fermement convaincu que le </w:t>
      </w:r>
      <w:r w:rsidRPr="004267B4">
        <w:rPr>
          <w:b/>
          <w:lang w:val="fr-BE"/>
        </w:rPr>
        <w:t>programme de l’UE pour une économie verte et numérique</w:t>
      </w:r>
      <w:r w:rsidRPr="004267B4">
        <w:rPr>
          <w:lang w:val="fr-BE"/>
        </w:rPr>
        <w:t xml:space="preserve"> fondée sur les bases d’une économie sociale de marché </w:t>
      </w:r>
      <w:r w:rsidRPr="004267B4">
        <w:rPr>
          <w:b/>
          <w:lang w:val="fr-BE"/>
        </w:rPr>
        <w:t>ne doit pas être modifié en raison de la guerre en Ukraine</w:t>
      </w:r>
      <w:r w:rsidRPr="004267B4">
        <w:rPr>
          <w:lang w:val="fr-BE"/>
        </w:rPr>
        <w:t>;</w:t>
      </w:r>
    </w:p>
    <w:p w14:paraId="2177EDD7" w14:textId="77777777" w:rsidR="006706CF" w:rsidRPr="004267B4" w:rsidRDefault="006706CF" w:rsidP="00AA11E1">
      <w:pPr>
        <w:widowControl w:val="0"/>
        <w:numPr>
          <w:ilvl w:val="0"/>
          <w:numId w:val="29"/>
        </w:numPr>
        <w:overflowPunct w:val="0"/>
        <w:autoSpaceDE w:val="0"/>
        <w:autoSpaceDN w:val="0"/>
        <w:adjustRightInd w:val="0"/>
        <w:ind w:left="357" w:hanging="357"/>
        <w:textAlignment w:val="baseline"/>
        <w:rPr>
          <w:bCs/>
          <w:iCs/>
          <w:lang w:val="fr-BE"/>
        </w:rPr>
      </w:pPr>
      <w:r w:rsidRPr="004267B4">
        <w:rPr>
          <w:lang w:val="fr-BE"/>
        </w:rPr>
        <w:t xml:space="preserve">recommande l’application des </w:t>
      </w:r>
      <w:r w:rsidRPr="004267B4">
        <w:rPr>
          <w:b/>
          <w:lang w:val="fr-BE"/>
        </w:rPr>
        <w:t>aides d’État</w:t>
      </w:r>
      <w:r w:rsidRPr="004267B4">
        <w:rPr>
          <w:lang w:val="fr-BE"/>
        </w:rPr>
        <w:t xml:space="preserve">, comme le permet la législation de l’UE, pour </w:t>
      </w:r>
      <w:r w:rsidRPr="004267B4">
        <w:rPr>
          <w:b/>
          <w:lang w:val="fr-BE"/>
        </w:rPr>
        <w:t>contrer les conséquences socio-économiques de cette guerre</w:t>
      </w:r>
      <w:r w:rsidRPr="004267B4">
        <w:rPr>
          <w:lang w:val="fr-BE"/>
        </w:rPr>
        <w:t>, en accordant une attention particulière à l’</w:t>
      </w:r>
      <w:r w:rsidRPr="004267B4">
        <w:rPr>
          <w:b/>
          <w:lang w:val="fr-BE"/>
        </w:rPr>
        <w:t>égalité entre les femmes et les hommes</w:t>
      </w:r>
      <w:r w:rsidRPr="004267B4">
        <w:rPr>
          <w:lang w:val="fr-BE"/>
        </w:rPr>
        <w:t xml:space="preserve"> et à la perspective de genre plus large, en particulier dans le cas des réfugiés dans les États membres voisins de l’Ukraine;</w:t>
      </w:r>
    </w:p>
    <w:p w14:paraId="10EC258E" w14:textId="77777777" w:rsidR="006706CF" w:rsidRPr="004267B4" w:rsidRDefault="006706CF" w:rsidP="00AA11E1">
      <w:pPr>
        <w:widowControl w:val="0"/>
        <w:numPr>
          <w:ilvl w:val="0"/>
          <w:numId w:val="29"/>
        </w:numPr>
        <w:overflowPunct w:val="0"/>
        <w:autoSpaceDE w:val="0"/>
        <w:autoSpaceDN w:val="0"/>
        <w:adjustRightInd w:val="0"/>
        <w:ind w:left="357" w:hanging="357"/>
        <w:textAlignment w:val="baseline"/>
        <w:rPr>
          <w:bCs/>
          <w:iCs/>
          <w:lang w:val="fr-BE"/>
        </w:rPr>
      </w:pPr>
      <w:r w:rsidRPr="004267B4">
        <w:rPr>
          <w:lang w:val="fr-BE"/>
        </w:rPr>
        <w:t xml:space="preserve">soutient la proposition de règlement de la Commission sur les subventions étrangères qui sont octroyées à des entreprises de pays tiers opérant dans l’UE et qui ont des effets de distorsion sur le marché, mais invite la Commission à se pencher également sur les </w:t>
      </w:r>
      <w:r w:rsidRPr="004267B4">
        <w:rPr>
          <w:b/>
          <w:lang w:val="fr-BE"/>
        </w:rPr>
        <w:t>subventions qui faussent le marché</w:t>
      </w:r>
      <w:r w:rsidRPr="004267B4">
        <w:rPr>
          <w:lang w:val="fr-BE"/>
        </w:rPr>
        <w:t xml:space="preserve"> et d’autres pratiques anticoncurrentielles,</w:t>
      </w:r>
      <w:r w:rsidRPr="004267B4">
        <w:rPr>
          <w:b/>
          <w:lang w:val="fr-BE"/>
        </w:rPr>
        <w:t xml:space="preserve"> tant dans les entreprises publiques que dans les entreprises privées en dehors de l’UE</w:t>
      </w:r>
      <w:r w:rsidRPr="004267B4">
        <w:rPr>
          <w:lang w:val="fr-BE"/>
        </w:rPr>
        <w:t>;</w:t>
      </w:r>
    </w:p>
    <w:p w14:paraId="4E6960E6" w14:textId="77777777" w:rsidR="006706CF" w:rsidRPr="004267B4" w:rsidRDefault="006706CF" w:rsidP="00AA11E1">
      <w:pPr>
        <w:widowControl w:val="0"/>
        <w:numPr>
          <w:ilvl w:val="0"/>
          <w:numId w:val="29"/>
        </w:numPr>
        <w:overflowPunct w:val="0"/>
        <w:autoSpaceDE w:val="0"/>
        <w:autoSpaceDN w:val="0"/>
        <w:adjustRightInd w:val="0"/>
        <w:ind w:left="357" w:hanging="357"/>
        <w:textAlignment w:val="baseline"/>
        <w:rPr>
          <w:bCs/>
          <w:iCs/>
          <w:lang w:val="fr-BE"/>
        </w:rPr>
      </w:pPr>
      <w:r w:rsidRPr="004267B4">
        <w:rPr>
          <w:lang w:val="fr-BE"/>
        </w:rPr>
        <w:t xml:space="preserve">met en garde contre d’éventuels accords anticoncurrentiels ou abus de position dominante dans le </w:t>
      </w:r>
      <w:r w:rsidRPr="004267B4">
        <w:rPr>
          <w:b/>
          <w:lang w:val="fr-BE"/>
        </w:rPr>
        <w:t>secteur de la grande distribution</w:t>
      </w:r>
      <w:r w:rsidRPr="004267B4">
        <w:rPr>
          <w:lang w:val="fr-BE"/>
        </w:rPr>
        <w:t>, qui ont une incidence à la fois sur les consommateurs et sur les producteurs, en raison de prix de vente plus élevés et de prix d’approvisionnement plus bas;</w:t>
      </w:r>
    </w:p>
    <w:p w14:paraId="3BB726C1" w14:textId="77777777" w:rsidR="006706CF" w:rsidRPr="004267B4" w:rsidRDefault="006706CF" w:rsidP="00AA11E1">
      <w:pPr>
        <w:widowControl w:val="0"/>
        <w:numPr>
          <w:ilvl w:val="0"/>
          <w:numId w:val="29"/>
        </w:numPr>
        <w:overflowPunct w:val="0"/>
        <w:autoSpaceDE w:val="0"/>
        <w:autoSpaceDN w:val="0"/>
        <w:adjustRightInd w:val="0"/>
        <w:ind w:left="357" w:hanging="357"/>
        <w:textAlignment w:val="baseline"/>
        <w:rPr>
          <w:bCs/>
          <w:iCs/>
          <w:lang w:val="fr-BE"/>
        </w:rPr>
      </w:pPr>
      <w:r w:rsidRPr="004267B4">
        <w:rPr>
          <w:lang w:val="fr-BE"/>
        </w:rPr>
        <w:t xml:space="preserve">plaide pour une égalité des conditions de concurrence dans l’ensemble du </w:t>
      </w:r>
      <w:r w:rsidRPr="004267B4">
        <w:rPr>
          <w:b/>
          <w:lang w:val="fr-BE"/>
        </w:rPr>
        <w:t>secteur de l’aviation</w:t>
      </w:r>
      <w:r w:rsidRPr="004267B4">
        <w:rPr>
          <w:lang w:val="fr-BE"/>
        </w:rPr>
        <w:t>, mais lance toutefois une mise en garde contre l’évolution d’un marché de l’aviation susceptible, à terme, d’être dominé par un petit nombre de compagnies aériennes.</w:t>
      </w:r>
    </w:p>
    <w:p w14:paraId="7C5693B9" w14:textId="77777777" w:rsidR="006706CF" w:rsidRPr="004267B4" w:rsidRDefault="006706CF" w:rsidP="006706CF">
      <w:pPr>
        <w:widowControl w:val="0"/>
        <w:ind w:left="709"/>
        <w:rPr>
          <w:rFonts w:asciiTheme="minorHAnsi" w:hAnsiTheme="minorHAnsi"/>
          <w:lang w:val="fr-BE"/>
        </w:rPr>
      </w:pPr>
    </w:p>
    <w:p w14:paraId="206E29B4" w14:textId="77777777" w:rsidR="006706CF" w:rsidRPr="004267B4" w:rsidRDefault="006706CF" w:rsidP="006706CF">
      <w:pPr>
        <w:widowControl w:val="0"/>
        <w:ind w:left="709"/>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6706CF" w:rsidRPr="004267B4" w14:paraId="2B6E28B0" w14:textId="77777777" w:rsidTr="0059328F">
        <w:tc>
          <w:tcPr>
            <w:tcW w:w="1418" w:type="dxa"/>
          </w:tcPr>
          <w:p w14:paraId="3D429DDB" w14:textId="77777777" w:rsidR="006706CF" w:rsidRPr="004267B4" w:rsidRDefault="006706CF" w:rsidP="0059328F">
            <w:pPr>
              <w:spacing w:line="240" w:lineRule="auto"/>
              <w:rPr>
                <w:i/>
                <w:lang w:val="fr-BE"/>
              </w:rPr>
            </w:pPr>
            <w:r w:rsidRPr="004267B4">
              <w:rPr>
                <w:b/>
                <w:i/>
                <w:lang w:val="fr-BE"/>
              </w:rPr>
              <w:t>Contact</w:t>
            </w:r>
          </w:p>
        </w:tc>
        <w:tc>
          <w:tcPr>
            <w:tcW w:w="5670" w:type="dxa"/>
          </w:tcPr>
          <w:p w14:paraId="3FAEAEA1" w14:textId="48AB5F53" w:rsidR="006706CF" w:rsidRPr="004267B4" w:rsidRDefault="006706CF" w:rsidP="0059328F">
            <w:pPr>
              <w:spacing w:line="240" w:lineRule="auto"/>
              <w:rPr>
                <w:i/>
                <w:lang w:val="fr-BE"/>
              </w:rPr>
            </w:pPr>
            <w:r w:rsidRPr="004267B4">
              <w:rPr>
                <w:i/>
                <w:lang w:val="fr-BE"/>
              </w:rPr>
              <w:t>Silvia S</w:t>
            </w:r>
            <w:r w:rsidR="004466E9" w:rsidRPr="004267B4">
              <w:rPr>
                <w:i/>
                <w:lang w:val="fr-BE"/>
              </w:rPr>
              <w:t>taffa</w:t>
            </w:r>
          </w:p>
        </w:tc>
      </w:tr>
      <w:tr w:rsidR="006706CF" w:rsidRPr="004267B4" w14:paraId="39E9D88F" w14:textId="77777777" w:rsidTr="0059328F">
        <w:tc>
          <w:tcPr>
            <w:tcW w:w="1418" w:type="dxa"/>
          </w:tcPr>
          <w:p w14:paraId="3C1BA561" w14:textId="77777777" w:rsidR="006706CF" w:rsidRPr="004267B4" w:rsidRDefault="006706CF" w:rsidP="0059328F">
            <w:pPr>
              <w:spacing w:line="240" w:lineRule="auto"/>
              <w:rPr>
                <w:i/>
                <w:lang w:val="fr-BE"/>
              </w:rPr>
            </w:pPr>
            <w:r w:rsidRPr="004267B4">
              <w:rPr>
                <w:i/>
                <w:lang w:val="fr-BE"/>
              </w:rPr>
              <w:t>Tél.</w:t>
            </w:r>
          </w:p>
        </w:tc>
        <w:tc>
          <w:tcPr>
            <w:tcW w:w="5670" w:type="dxa"/>
          </w:tcPr>
          <w:p w14:paraId="0BA451FC" w14:textId="77777777" w:rsidR="006706CF" w:rsidRPr="004267B4" w:rsidRDefault="006706CF" w:rsidP="0059328F">
            <w:pPr>
              <w:spacing w:line="240" w:lineRule="auto"/>
              <w:rPr>
                <w:i/>
                <w:lang w:val="fr-BE"/>
              </w:rPr>
            </w:pPr>
            <w:r w:rsidRPr="004267B4">
              <w:rPr>
                <w:i/>
                <w:lang w:val="fr-BE"/>
              </w:rPr>
              <w:t>+32 25468378</w:t>
            </w:r>
          </w:p>
        </w:tc>
      </w:tr>
      <w:tr w:rsidR="006706CF" w:rsidRPr="004267B4" w14:paraId="723970B1" w14:textId="77777777" w:rsidTr="0059328F">
        <w:tc>
          <w:tcPr>
            <w:tcW w:w="1418" w:type="dxa"/>
          </w:tcPr>
          <w:p w14:paraId="5B25BFA3" w14:textId="77777777" w:rsidR="006706CF" w:rsidRPr="004267B4" w:rsidRDefault="006706CF" w:rsidP="0059328F">
            <w:pPr>
              <w:spacing w:line="240" w:lineRule="auto"/>
              <w:rPr>
                <w:i/>
                <w:lang w:val="fr-BE"/>
              </w:rPr>
            </w:pPr>
            <w:r w:rsidRPr="004267B4">
              <w:rPr>
                <w:i/>
                <w:lang w:val="fr-BE"/>
              </w:rPr>
              <w:t>Courriel</w:t>
            </w:r>
          </w:p>
        </w:tc>
        <w:tc>
          <w:tcPr>
            <w:tcW w:w="5670" w:type="dxa"/>
          </w:tcPr>
          <w:p w14:paraId="5235BA50" w14:textId="77777777" w:rsidR="006706CF" w:rsidRPr="004267B4" w:rsidRDefault="004466E9" w:rsidP="0059328F">
            <w:pPr>
              <w:spacing w:line="240" w:lineRule="auto"/>
              <w:rPr>
                <w:i/>
                <w:lang w:val="fr-BE"/>
              </w:rPr>
            </w:pPr>
            <w:hyperlink r:id="rId31" w:history="1">
              <w:r w:rsidR="006706CF" w:rsidRPr="004267B4">
                <w:rPr>
                  <w:rStyle w:val="Hyperlink"/>
                  <w:i/>
                  <w:lang w:val="fr-BE"/>
                </w:rPr>
                <w:t>silvia.staffa@eesc.europa.eu</w:t>
              </w:r>
            </w:hyperlink>
          </w:p>
        </w:tc>
      </w:tr>
    </w:tbl>
    <w:p w14:paraId="20A52A24" w14:textId="77777777" w:rsidR="006706CF" w:rsidRPr="004267B4" w:rsidRDefault="006706CF" w:rsidP="006706CF">
      <w:pPr>
        <w:jc w:val="center"/>
        <w:rPr>
          <w:lang w:val="fr-BE"/>
        </w:rPr>
      </w:pPr>
    </w:p>
    <w:p w14:paraId="2469D4FC" w14:textId="77777777" w:rsidR="004429E2" w:rsidRPr="004267B4" w:rsidRDefault="004429E2" w:rsidP="00DA2729">
      <w:pPr>
        <w:rPr>
          <w:lang w:val="fr-BE"/>
        </w:rPr>
      </w:pPr>
    </w:p>
    <w:p w14:paraId="3C139696" w14:textId="624721DC" w:rsidR="00353D37" w:rsidRPr="004267B4" w:rsidRDefault="00353D37" w:rsidP="00DA2729">
      <w:pPr>
        <w:spacing w:line="259" w:lineRule="auto"/>
        <w:jc w:val="left"/>
        <w:rPr>
          <w:b/>
          <w:bCs/>
          <w:i/>
          <w:iCs/>
          <w:sz w:val="28"/>
          <w:szCs w:val="28"/>
          <w:lang w:val="fr-BE"/>
        </w:rPr>
      </w:pPr>
      <w:r w:rsidRPr="004267B4">
        <w:rPr>
          <w:lang w:val="fr-BE"/>
        </w:rPr>
        <w:br w:type="page"/>
      </w:r>
    </w:p>
    <w:p w14:paraId="5DEAD760" w14:textId="77777777" w:rsidR="00467BE4" w:rsidRPr="004267B4" w:rsidRDefault="00467BE4" w:rsidP="00DA2729">
      <w:pPr>
        <w:spacing w:line="259" w:lineRule="auto"/>
        <w:jc w:val="left"/>
        <w:rPr>
          <w:b/>
          <w:bCs/>
          <w:i/>
          <w:iCs/>
          <w:lang w:val="fr-BE"/>
        </w:rPr>
      </w:pPr>
    </w:p>
    <w:p w14:paraId="7FD81FED" w14:textId="7727D163" w:rsidR="00F77B9C" w:rsidRPr="004267B4" w:rsidRDefault="004466E9" w:rsidP="00AA11E1">
      <w:pPr>
        <w:widowControl w:val="0"/>
        <w:numPr>
          <w:ilvl w:val="0"/>
          <w:numId w:val="9"/>
        </w:numPr>
        <w:overflowPunct w:val="0"/>
        <w:autoSpaceDE w:val="0"/>
        <w:autoSpaceDN w:val="0"/>
        <w:adjustRightInd w:val="0"/>
        <w:ind w:hanging="567"/>
        <w:textAlignment w:val="baseline"/>
        <w:rPr>
          <w:b/>
          <w:i/>
          <w:sz w:val="28"/>
          <w:lang w:val="fr-BE"/>
        </w:rPr>
      </w:pPr>
      <w:hyperlink r:id="rId32" w:history="1">
        <w:r w:rsidR="00F77B9C" w:rsidRPr="004267B4">
          <w:rPr>
            <w:b/>
            <w:i/>
            <w:sz w:val="28"/>
            <w:lang w:val="fr-BE"/>
          </w:rPr>
          <w:t>Un nouveau programme européen d’innovation</w:t>
        </w:r>
      </w:hyperlink>
    </w:p>
    <w:p w14:paraId="214DBF49" w14:textId="77777777" w:rsidR="00F77B9C" w:rsidRPr="004267B4" w:rsidRDefault="00F77B9C" w:rsidP="00F77B9C">
      <w:pPr>
        <w:tabs>
          <w:tab w:val="center" w:pos="284"/>
        </w:tabs>
        <w:spacing w:line="240" w:lineRule="auto"/>
        <w:ind w:left="266" w:hanging="266"/>
        <w:rPr>
          <w:b/>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63"/>
      </w:tblGrid>
      <w:tr w:rsidR="00F77B9C" w:rsidRPr="004267B4" w14:paraId="11520C4E" w14:textId="77777777" w:rsidTr="0059328F">
        <w:tc>
          <w:tcPr>
            <w:tcW w:w="1701" w:type="dxa"/>
          </w:tcPr>
          <w:p w14:paraId="3EB0147C" w14:textId="77777777" w:rsidR="00F77B9C" w:rsidRPr="004267B4" w:rsidRDefault="00F77B9C" w:rsidP="0059328F">
            <w:pPr>
              <w:tabs>
                <w:tab w:val="center" w:pos="284"/>
              </w:tabs>
              <w:spacing w:line="240" w:lineRule="auto"/>
              <w:ind w:left="266" w:hanging="266"/>
              <w:rPr>
                <w:b/>
                <w:lang w:val="fr-BE"/>
              </w:rPr>
            </w:pPr>
            <w:r w:rsidRPr="004267B4">
              <w:rPr>
                <w:b/>
                <w:lang w:val="fr-BE"/>
              </w:rPr>
              <w:t>Rapporteur</w:t>
            </w:r>
          </w:p>
          <w:p w14:paraId="040E9F09" w14:textId="77777777" w:rsidR="00F77B9C" w:rsidRPr="004267B4" w:rsidRDefault="00F77B9C" w:rsidP="0059328F">
            <w:pPr>
              <w:tabs>
                <w:tab w:val="center" w:pos="284"/>
              </w:tabs>
              <w:spacing w:line="240" w:lineRule="auto"/>
              <w:ind w:left="266" w:hanging="266"/>
              <w:rPr>
                <w:b/>
                <w:lang w:val="fr-BE"/>
              </w:rPr>
            </w:pPr>
            <w:r w:rsidRPr="004267B4">
              <w:rPr>
                <w:b/>
                <w:lang w:val="fr-BE"/>
              </w:rPr>
              <w:t>Corapporteur</w:t>
            </w:r>
          </w:p>
        </w:tc>
        <w:tc>
          <w:tcPr>
            <w:tcW w:w="6663" w:type="dxa"/>
          </w:tcPr>
          <w:p w14:paraId="3FF7C269" w14:textId="7CC2A586" w:rsidR="00F77B9C" w:rsidRPr="004267B4" w:rsidRDefault="00F77B9C" w:rsidP="0059328F">
            <w:pPr>
              <w:tabs>
                <w:tab w:val="center" w:pos="284"/>
              </w:tabs>
              <w:spacing w:line="240" w:lineRule="auto"/>
              <w:ind w:left="266" w:hanging="266"/>
              <w:rPr>
                <w:lang w:val="fr-BE"/>
              </w:rPr>
            </w:pPr>
            <w:r w:rsidRPr="004267B4">
              <w:rPr>
                <w:lang w:val="fr-BE"/>
              </w:rPr>
              <w:t>Maurizio MENSI (</w:t>
            </w:r>
            <w:r w:rsidR="00F13412">
              <w:rPr>
                <w:lang w:val="fr-BE"/>
              </w:rPr>
              <w:t xml:space="preserve">groupe </w:t>
            </w:r>
            <w:r w:rsidRPr="004267B4">
              <w:rPr>
                <w:lang w:val="fr-BE"/>
              </w:rPr>
              <w:t>des organisations de la société civile — I</w:t>
            </w:r>
            <w:r w:rsidR="004C2CF1">
              <w:rPr>
                <w:lang w:val="fr-BE"/>
              </w:rPr>
              <w:t>T</w:t>
            </w:r>
            <w:r w:rsidRPr="004267B4">
              <w:rPr>
                <w:lang w:val="fr-BE"/>
              </w:rPr>
              <w:t>)</w:t>
            </w:r>
          </w:p>
          <w:p w14:paraId="1EE9FB15" w14:textId="20571D4D" w:rsidR="00F77B9C" w:rsidRPr="004267B4" w:rsidRDefault="00F77B9C" w:rsidP="0059328F">
            <w:pPr>
              <w:tabs>
                <w:tab w:val="center" w:pos="284"/>
              </w:tabs>
              <w:spacing w:line="240" w:lineRule="auto"/>
              <w:ind w:left="266" w:hanging="266"/>
              <w:rPr>
                <w:lang w:val="fr-BE"/>
              </w:rPr>
            </w:pPr>
            <w:r w:rsidRPr="004267B4">
              <w:rPr>
                <w:lang w:val="fr-BE"/>
              </w:rPr>
              <w:t>Christophe LEFÈVRE (</w:t>
            </w:r>
            <w:r w:rsidR="00F13412">
              <w:rPr>
                <w:lang w:val="fr-BE"/>
              </w:rPr>
              <w:t xml:space="preserve">groupe </w:t>
            </w:r>
            <w:r w:rsidRPr="004267B4">
              <w:rPr>
                <w:lang w:val="fr-BE"/>
              </w:rPr>
              <w:t>des travailleurs — F</w:t>
            </w:r>
            <w:r w:rsidR="004C2CF1">
              <w:rPr>
                <w:lang w:val="fr-BE"/>
              </w:rPr>
              <w:t>R</w:t>
            </w:r>
            <w:r w:rsidRPr="004267B4">
              <w:rPr>
                <w:lang w:val="fr-BE"/>
              </w:rPr>
              <w:t>)</w:t>
            </w:r>
          </w:p>
        </w:tc>
      </w:tr>
      <w:tr w:rsidR="00F77B9C" w:rsidRPr="004267B4" w14:paraId="31C502F4" w14:textId="77777777" w:rsidTr="0059328F">
        <w:tc>
          <w:tcPr>
            <w:tcW w:w="8364" w:type="dxa"/>
            <w:gridSpan w:val="2"/>
          </w:tcPr>
          <w:p w14:paraId="13AEBE3E" w14:textId="77777777" w:rsidR="00F77B9C" w:rsidRPr="004267B4" w:rsidRDefault="00F77B9C" w:rsidP="0059328F">
            <w:pPr>
              <w:tabs>
                <w:tab w:val="center" w:pos="284"/>
              </w:tabs>
              <w:spacing w:line="240" w:lineRule="auto"/>
              <w:ind w:left="266" w:hanging="266"/>
              <w:rPr>
                <w:lang w:val="fr-BE"/>
              </w:rPr>
            </w:pPr>
          </w:p>
        </w:tc>
      </w:tr>
      <w:tr w:rsidR="00F77B9C" w:rsidRPr="004267B4" w14:paraId="29FFAB67" w14:textId="77777777" w:rsidTr="0059328F">
        <w:tc>
          <w:tcPr>
            <w:tcW w:w="1701" w:type="dxa"/>
          </w:tcPr>
          <w:p w14:paraId="6E0F077B" w14:textId="77777777" w:rsidR="00F77B9C" w:rsidRPr="004267B4" w:rsidRDefault="00F77B9C" w:rsidP="0059328F">
            <w:pPr>
              <w:tabs>
                <w:tab w:val="center" w:pos="284"/>
              </w:tabs>
              <w:spacing w:line="240" w:lineRule="auto"/>
              <w:ind w:left="266" w:hanging="266"/>
              <w:rPr>
                <w:b/>
                <w:lang w:val="fr-BE"/>
              </w:rPr>
            </w:pPr>
            <w:r w:rsidRPr="004267B4">
              <w:rPr>
                <w:b/>
                <w:lang w:val="fr-BE"/>
              </w:rPr>
              <w:t>Références</w:t>
            </w:r>
          </w:p>
        </w:tc>
        <w:tc>
          <w:tcPr>
            <w:tcW w:w="6663" w:type="dxa"/>
          </w:tcPr>
          <w:p w14:paraId="519EE667" w14:textId="006ABDF6" w:rsidR="00F77B9C" w:rsidRPr="004267B4" w:rsidRDefault="00F77B9C" w:rsidP="0059328F">
            <w:pPr>
              <w:tabs>
                <w:tab w:val="center" w:pos="284"/>
              </w:tabs>
              <w:spacing w:line="240" w:lineRule="auto"/>
              <w:ind w:left="266" w:hanging="266"/>
              <w:rPr>
                <w:lang w:val="fr-BE"/>
              </w:rPr>
            </w:pPr>
            <w:r w:rsidRPr="004267B4">
              <w:rPr>
                <w:lang w:val="fr-BE"/>
              </w:rPr>
              <w:t>COM(2022)</w:t>
            </w:r>
            <w:r w:rsidR="004C2CF1">
              <w:rPr>
                <w:lang w:val="fr-BE"/>
              </w:rPr>
              <w:t> </w:t>
            </w:r>
            <w:r w:rsidRPr="004267B4">
              <w:rPr>
                <w:lang w:val="fr-BE"/>
              </w:rPr>
              <w:t>332</w:t>
            </w:r>
            <w:r w:rsidR="004C2CF1">
              <w:rPr>
                <w:lang w:val="fr-BE"/>
              </w:rPr>
              <w:t> </w:t>
            </w:r>
            <w:r w:rsidRPr="004267B4">
              <w:rPr>
                <w:lang w:val="fr-BE"/>
              </w:rPr>
              <w:t>final</w:t>
            </w:r>
          </w:p>
          <w:p w14:paraId="57F9ECD6" w14:textId="763B7FFB" w:rsidR="00F77B9C" w:rsidRPr="004267B4" w:rsidRDefault="00F77B9C" w:rsidP="0059328F">
            <w:pPr>
              <w:tabs>
                <w:tab w:val="center" w:pos="284"/>
              </w:tabs>
              <w:spacing w:line="240" w:lineRule="auto"/>
              <w:ind w:left="266" w:hanging="266"/>
              <w:rPr>
                <w:lang w:val="fr-BE"/>
              </w:rPr>
            </w:pPr>
            <w:r w:rsidRPr="004267B4">
              <w:rPr>
                <w:lang w:val="fr-BE"/>
              </w:rPr>
              <w:t>EESC-2022-03551-00-00-AC</w:t>
            </w:r>
          </w:p>
        </w:tc>
      </w:tr>
    </w:tbl>
    <w:p w14:paraId="505F6A34" w14:textId="77777777" w:rsidR="00F77B9C" w:rsidRPr="004267B4" w:rsidRDefault="00F77B9C" w:rsidP="00F77B9C">
      <w:pPr>
        <w:tabs>
          <w:tab w:val="center" w:pos="284"/>
        </w:tabs>
        <w:spacing w:line="240" w:lineRule="auto"/>
        <w:ind w:left="266" w:hanging="266"/>
        <w:rPr>
          <w:lang w:val="fr-BE"/>
        </w:rPr>
      </w:pPr>
    </w:p>
    <w:p w14:paraId="777A3A48" w14:textId="77777777" w:rsidR="00F77B9C" w:rsidRPr="004267B4" w:rsidRDefault="00F77B9C" w:rsidP="00F77B9C">
      <w:pPr>
        <w:keepNext/>
        <w:keepLines/>
        <w:tabs>
          <w:tab w:val="center" w:pos="284"/>
        </w:tabs>
        <w:spacing w:line="240" w:lineRule="auto"/>
        <w:ind w:left="266" w:hanging="266"/>
        <w:rPr>
          <w:b/>
          <w:lang w:val="fr-BE"/>
        </w:rPr>
      </w:pPr>
      <w:r w:rsidRPr="004267B4">
        <w:rPr>
          <w:b/>
          <w:lang w:val="fr-BE"/>
        </w:rPr>
        <w:t>Points clés</w:t>
      </w:r>
    </w:p>
    <w:p w14:paraId="271AE3DA" w14:textId="77777777" w:rsidR="00F77B9C" w:rsidRPr="004267B4" w:rsidRDefault="00F77B9C" w:rsidP="00F77B9C">
      <w:pPr>
        <w:keepNext/>
        <w:keepLines/>
        <w:tabs>
          <w:tab w:val="center" w:pos="284"/>
        </w:tabs>
        <w:spacing w:line="240" w:lineRule="auto"/>
        <w:ind w:left="266" w:hanging="266"/>
        <w:rPr>
          <w:b/>
          <w:lang w:val="fr-BE"/>
        </w:rPr>
      </w:pPr>
    </w:p>
    <w:p w14:paraId="4DA3FA3C" w14:textId="77777777" w:rsidR="00F77B9C" w:rsidRPr="004267B4" w:rsidRDefault="00F77B9C" w:rsidP="00E2006D">
      <w:pPr>
        <w:keepNext/>
        <w:spacing w:line="240" w:lineRule="auto"/>
        <w:rPr>
          <w:bCs/>
          <w:iCs/>
          <w:lang w:val="fr-BE"/>
        </w:rPr>
      </w:pPr>
      <w:r w:rsidRPr="004267B4">
        <w:rPr>
          <w:lang w:val="fr-BE"/>
        </w:rPr>
        <w:t>Le CESE:</w:t>
      </w:r>
    </w:p>
    <w:p w14:paraId="26C3BA0C" w14:textId="77777777" w:rsidR="00F77B9C" w:rsidRPr="004267B4" w:rsidRDefault="00F77B9C" w:rsidP="00E2006D">
      <w:pPr>
        <w:keepNext/>
        <w:spacing w:line="240" w:lineRule="auto"/>
        <w:rPr>
          <w:bCs/>
          <w:iCs/>
          <w:lang w:val="fr-BE"/>
        </w:rPr>
      </w:pPr>
    </w:p>
    <w:p w14:paraId="3DC52791" w14:textId="77777777"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bCs/>
          <w:iCs/>
          <w:lang w:val="fr-BE"/>
        </w:rPr>
      </w:pPr>
      <w:r w:rsidRPr="004267B4">
        <w:rPr>
          <w:lang w:val="fr-BE"/>
        </w:rPr>
        <w:t>accueille favorablement le programme européen d’innovation présenté par la Commission et approuve en particulier son double objectif, à savoir, stimuler la compétitivité de l’Europe tout en garantissant le bien-être de ses citoyens;</w:t>
      </w:r>
    </w:p>
    <w:p w14:paraId="4F8BAAE9" w14:textId="77777777"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lang w:val="fr-BE"/>
        </w:rPr>
      </w:pPr>
      <w:r w:rsidRPr="004267B4">
        <w:rPr>
          <w:lang w:val="fr-BE"/>
        </w:rPr>
        <w:t>se félicite de la priorité accordée par la Commission à la nécessité de combler le déficit européen actuel en matière de scale-up (entreprises en expansion) et de deep tech (entreprises à fort contenu technologique) par rapport aux pays tiers et suggère à la Commission de mettre davantage l’accent sur le rôle que jouent les entreprises, les PME et les start-up en particulier, ainsi que les réseaux d’innovation qu’elles animent, dans la réalisation de la transition écologique et numérique;</w:t>
      </w:r>
    </w:p>
    <w:p w14:paraId="3C288031" w14:textId="2C2F5943"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lang w:val="fr-BE"/>
        </w:rPr>
      </w:pPr>
      <w:r w:rsidRPr="004267B4">
        <w:rPr>
          <w:lang w:val="fr-BE"/>
        </w:rPr>
        <w:t xml:space="preserve">approuve la proposition de création d’un </w:t>
      </w:r>
      <w:r w:rsidR="00F13412">
        <w:rPr>
          <w:lang w:val="fr-BE"/>
        </w:rPr>
        <w:t xml:space="preserve">groupe </w:t>
      </w:r>
      <w:r w:rsidRPr="004267B4">
        <w:rPr>
          <w:lang w:val="fr-BE"/>
        </w:rPr>
        <w:t>consultatif pour l’élaboration d’une réglementation favorable à l’innovation dans les services publics et propose qu’un représentant du Comité y soit associé en tant que membre à part entière;</w:t>
      </w:r>
    </w:p>
    <w:p w14:paraId="78CA9F94" w14:textId="77777777"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lang w:val="fr-BE"/>
        </w:rPr>
      </w:pPr>
      <w:r w:rsidRPr="004267B4">
        <w:rPr>
          <w:lang w:val="fr-BE"/>
        </w:rPr>
        <w:t>souligne l’importance de financer des infrastructures d’expérimentation et d’essai afin d’aider les start-up et de combler le fossé entre les laboratoires et les applications commerciales;</w:t>
      </w:r>
    </w:p>
    <w:p w14:paraId="1058F16C" w14:textId="77777777"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lang w:val="fr-BE"/>
        </w:rPr>
      </w:pPr>
      <w:r w:rsidRPr="004267B4">
        <w:rPr>
          <w:lang w:val="fr-BE"/>
        </w:rPr>
        <w:t>se félicite de l’initiative liée aux marchés publics et suggère, dans ce contexte, de prévoir la participation d’une jeune pousse à des procédures de passation de marchés innovantes;</w:t>
      </w:r>
    </w:p>
    <w:p w14:paraId="3F326B11" w14:textId="77777777"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lang w:val="fr-BE"/>
        </w:rPr>
      </w:pPr>
      <w:r w:rsidRPr="004267B4">
        <w:rPr>
          <w:lang w:val="fr-BE"/>
        </w:rPr>
        <w:t>souligne l’importance d’un régime de propriété intellectuelle solide applicable aux inventions des start-up;</w:t>
      </w:r>
    </w:p>
    <w:p w14:paraId="0C4232D0" w14:textId="77777777"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lang w:val="fr-BE"/>
        </w:rPr>
      </w:pPr>
      <w:r w:rsidRPr="004267B4">
        <w:rPr>
          <w:lang w:val="fr-BE"/>
        </w:rPr>
        <w:t>invite instamment la Commission à encourager la dimension interrégionale des investissements, avec la participation conjointe de régions présentant des capacités d’innovation plus ou moins développées;</w:t>
      </w:r>
    </w:p>
    <w:p w14:paraId="62A3FB8D" w14:textId="77777777"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lang w:val="fr-BE"/>
        </w:rPr>
      </w:pPr>
      <w:r w:rsidRPr="004267B4">
        <w:rPr>
          <w:lang w:val="fr-BE"/>
        </w:rPr>
        <w:t>fait observer que l’enseignement supérieur et les laboratoires d’innovation devraient également bénéficier d’un soutien public;</w:t>
      </w:r>
    </w:p>
    <w:p w14:paraId="47F62D95" w14:textId="77777777"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lang w:val="fr-BE"/>
        </w:rPr>
      </w:pPr>
      <w:r w:rsidRPr="004267B4">
        <w:rPr>
          <w:lang w:val="fr-BE"/>
        </w:rPr>
        <w:t>se félicite du soutien apporté par la Commission aux États membres dans la réalisation de projets d’intérêt européen commun transfrontières;</w:t>
      </w:r>
    </w:p>
    <w:p w14:paraId="4A3F9368" w14:textId="77777777" w:rsidR="00F77B9C" w:rsidRPr="004267B4" w:rsidRDefault="00F77B9C" w:rsidP="00AA11E1">
      <w:pPr>
        <w:pStyle w:val="ListParagraph"/>
        <w:widowControl w:val="0"/>
        <w:numPr>
          <w:ilvl w:val="0"/>
          <w:numId w:val="30"/>
        </w:numPr>
        <w:overflowPunct w:val="0"/>
        <w:autoSpaceDE w:val="0"/>
        <w:autoSpaceDN w:val="0"/>
        <w:adjustRightInd w:val="0"/>
        <w:spacing w:line="264" w:lineRule="auto"/>
        <w:ind w:left="357" w:hanging="357"/>
        <w:textAlignment w:val="baseline"/>
        <w:rPr>
          <w:lang w:val="fr-BE"/>
        </w:rPr>
      </w:pPr>
      <w:r w:rsidRPr="004267B4">
        <w:rPr>
          <w:lang w:val="fr-BE"/>
        </w:rPr>
        <w:t>salue l’idée d’envisager un traitement fiscal plus favorable aux options sur titres, ainsi qu’un régime fiscal pour les talents mobiles au niveau international; invite la Commission à coordonner les initiatives nationales visant à cultiver les talents.</w:t>
      </w:r>
    </w:p>
    <w:p w14:paraId="0406D44D" w14:textId="77777777" w:rsidR="00F77B9C" w:rsidRPr="004267B4" w:rsidRDefault="00F77B9C" w:rsidP="00F77B9C">
      <w:pPr>
        <w:widowControl w:val="0"/>
        <w:spacing w:line="240" w:lineRule="auto"/>
        <w:ind w:left="709"/>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F77B9C" w:rsidRPr="004267B4" w14:paraId="34CAEE6C" w14:textId="77777777" w:rsidTr="0059328F">
        <w:tc>
          <w:tcPr>
            <w:tcW w:w="1418" w:type="dxa"/>
          </w:tcPr>
          <w:p w14:paraId="150B4772" w14:textId="77777777" w:rsidR="00F77B9C" w:rsidRPr="004267B4" w:rsidRDefault="00F77B9C" w:rsidP="0059328F">
            <w:pPr>
              <w:spacing w:line="240" w:lineRule="auto"/>
              <w:rPr>
                <w:i/>
                <w:lang w:val="fr-BE"/>
              </w:rPr>
            </w:pPr>
            <w:r w:rsidRPr="004267B4">
              <w:rPr>
                <w:b/>
                <w:i/>
                <w:lang w:val="fr-BE"/>
              </w:rPr>
              <w:t>Contact</w:t>
            </w:r>
          </w:p>
        </w:tc>
        <w:tc>
          <w:tcPr>
            <w:tcW w:w="5670" w:type="dxa"/>
          </w:tcPr>
          <w:p w14:paraId="6CC0A01A" w14:textId="77777777" w:rsidR="00F77B9C" w:rsidRPr="004267B4" w:rsidRDefault="00F77B9C" w:rsidP="0059328F">
            <w:pPr>
              <w:spacing w:line="240" w:lineRule="auto"/>
              <w:rPr>
                <w:i/>
                <w:lang w:val="fr-BE"/>
              </w:rPr>
            </w:pPr>
            <w:r w:rsidRPr="004267B4">
              <w:rPr>
                <w:i/>
                <w:lang w:val="fr-BE"/>
              </w:rPr>
              <w:t>Radoslava Stefankova</w:t>
            </w:r>
          </w:p>
        </w:tc>
      </w:tr>
      <w:tr w:rsidR="00F77B9C" w:rsidRPr="004267B4" w14:paraId="5A3D52E0" w14:textId="77777777" w:rsidTr="0059328F">
        <w:tc>
          <w:tcPr>
            <w:tcW w:w="1418" w:type="dxa"/>
          </w:tcPr>
          <w:p w14:paraId="68296B24" w14:textId="77777777" w:rsidR="00F77B9C" w:rsidRPr="004267B4" w:rsidRDefault="00F77B9C" w:rsidP="0059328F">
            <w:pPr>
              <w:spacing w:line="240" w:lineRule="auto"/>
              <w:rPr>
                <w:i/>
                <w:lang w:val="fr-BE"/>
              </w:rPr>
            </w:pPr>
            <w:r w:rsidRPr="004267B4">
              <w:rPr>
                <w:i/>
                <w:lang w:val="fr-BE"/>
              </w:rPr>
              <w:t>Tél.</w:t>
            </w:r>
          </w:p>
        </w:tc>
        <w:tc>
          <w:tcPr>
            <w:tcW w:w="5670" w:type="dxa"/>
          </w:tcPr>
          <w:p w14:paraId="18002FFA" w14:textId="77777777" w:rsidR="00F77B9C" w:rsidRPr="004267B4" w:rsidRDefault="00F77B9C" w:rsidP="0059328F">
            <w:pPr>
              <w:spacing w:line="240" w:lineRule="auto"/>
              <w:rPr>
                <w:i/>
                <w:lang w:val="fr-BE"/>
              </w:rPr>
            </w:pPr>
            <w:r w:rsidRPr="004267B4">
              <w:rPr>
                <w:i/>
                <w:lang w:val="fr-BE"/>
              </w:rPr>
              <w:t>02 546 81 88</w:t>
            </w:r>
          </w:p>
        </w:tc>
      </w:tr>
      <w:tr w:rsidR="00F77B9C" w:rsidRPr="004267B4" w14:paraId="3CC1088F" w14:textId="77777777" w:rsidTr="0059328F">
        <w:tc>
          <w:tcPr>
            <w:tcW w:w="1418" w:type="dxa"/>
          </w:tcPr>
          <w:p w14:paraId="7DA13908" w14:textId="77777777" w:rsidR="00F77B9C" w:rsidRPr="004267B4" w:rsidRDefault="00F77B9C" w:rsidP="0059328F">
            <w:pPr>
              <w:spacing w:line="240" w:lineRule="auto"/>
              <w:rPr>
                <w:i/>
                <w:lang w:val="fr-BE"/>
              </w:rPr>
            </w:pPr>
            <w:r w:rsidRPr="004267B4">
              <w:rPr>
                <w:i/>
                <w:lang w:val="fr-BE"/>
              </w:rPr>
              <w:t>Courriel:</w:t>
            </w:r>
          </w:p>
        </w:tc>
        <w:tc>
          <w:tcPr>
            <w:tcW w:w="5670" w:type="dxa"/>
          </w:tcPr>
          <w:p w14:paraId="2D15EA0F" w14:textId="77777777" w:rsidR="00F77B9C" w:rsidRPr="004466E9" w:rsidRDefault="004466E9" w:rsidP="0059328F">
            <w:pPr>
              <w:spacing w:line="240" w:lineRule="auto"/>
              <w:rPr>
                <w:i/>
                <w:lang w:val="fr-BE"/>
              </w:rPr>
            </w:pPr>
            <w:hyperlink r:id="rId33" w:history="1">
              <w:r w:rsidR="00F77B9C" w:rsidRPr="004466E9">
                <w:rPr>
                  <w:rStyle w:val="Hyperlink"/>
                  <w:i/>
                  <w:lang w:val="fr-BE"/>
                </w:rPr>
                <w:t>Radoslava.Stefankova@eesc.europa.eu</w:t>
              </w:r>
            </w:hyperlink>
            <w:r w:rsidR="00F77B9C" w:rsidRPr="004466E9">
              <w:rPr>
                <w:i/>
                <w:lang w:val="fr-BE"/>
              </w:rPr>
              <w:t xml:space="preserve"> </w:t>
            </w:r>
          </w:p>
        </w:tc>
      </w:tr>
    </w:tbl>
    <w:p w14:paraId="29EC3A77" w14:textId="22A9C39D" w:rsidR="003C3F66" w:rsidRPr="004267B4" w:rsidRDefault="00467BE4" w:rsidP="00DA2729">
      <w:pPr>
        <w:spacing w:line="259" w:lineRule="auto"/>
        <w:jc w:val="left"/>
        <w:rPr>
          <w:sz w:val="28"/>
          <w:lang w:val="fr-BE"/>
        </w:rPr>
      </w:pPr>
      <w:r w:rsidRPr="004267B4">
        <w:rPr>
          <w:lang w:val="fr-BE"/>
        </w:rPr>
        <w:br w:type="page"/>
      </w:r>
    </w:p>
    <w:p w14:paraId="65C22C7C" w14:textId="77777777" w:rsidR="009A3E0E" w:rsidRPr="004267B4" w:rsidRDefault="009A3E0E" w:rsidP="00DA2729">
      <w:pPr>
        <w:spacing w:line="259" w:lineRule="auto"/>
        <w:jc w:val="left"/>
        <w:rPr>
          <w:lang w:val="fr-BE"/>
        </w:rPr>
      </w:pPr>
    </w:p>
    <w:p w14:paraId="240E0D9D" w14:textId="07EE446C" w:rsidR="00F77B9C" w:rsidRPr="00F77B9C" w:rsidRDefault="004466E9" w:rsidP="00FF013B">
      <w:pPr>
        <w:widowControl w:val="0"/>
        <w:numPr>
          <w:ilvl w:val="0"/>
          <w:numId w:val="4"/>
        </w:numPr>
        <w:overflowPunct w:val="0"/>
        <w:autoSpaceDE w:val="0"/>
        <w:autoSpaceDN w:val="0"/>
        <w:adjustRightInd w:val="0"/>
        <w:ind w:hanging="567"/>
        <w:textAlignment w:val="baseline"/>
        <w:rPr>
          <w:sz w:val="20"/>
          <w:szCs w:val="20"/>
          <w:lang w:val="fr-BE"/>
        </w:rPr>
      </w:pPr>
      <w:hyperlink r:id="rId34" w:tgtFrame="_blank" w:history="1">
        <w:r w:rsidR="00F77B9C" w:rsidRPr="00F77B9C">
          <w:rPr>
            <w:b/>
            <w:i/>
            <w:sz w:val="28"/>
            <w:szCs w:val="20"/>
            <w:lang w:val="fr-BE"/>
          </w:rPr>
          <w:t>Instrument du marché unique pour les situations d’urgence</w:t>
        </w:r>
      </w:hyperlink>
    </w:p>
    <w:p w14:paraId="4A2D0D10" w14:textId="77777777" w:rsidR="00F77B9C" w:rsidRPr="00F77B9C" w:rsidRDefault="00F77B9C" w:rsidP="00F77B9C">
      <w:pPr>
        <w:tabs>
          <w:tab w:val="center" w:pos="284"/>
        </w:tabs>
        <w:overflowPunct w:val="0"/>
        <w:autoSpaceDE w:val="0"/>
        <w:autoSpaceDN w:val="0"/>
        <w:adjustRightInd w:val="0"/>
        <w:ind w:left="266" w:hanging="266"/>
        <w:textAlignment w:val="baseline"/>
        <w:rPr>
          <w:b/>
          <w:lang w:val="fr-BE"/>
        </w:rPr>
      </w:pPr>
    </w:p>
    <w:tbl>
      <w:tblPr>
        <w:tblStyle w:val="TableGrid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F77B9C" w:rsidRPr="00F77B9C" w14:paraId="24EC2A4E" w14:textId="77777777" w:rsidTr="0059328F">
        <w:tc>
          <w:tcPr>
            <w:tcW w:w="1701" w:type="dxa"/>
          </w:tcPr>
          <w:p w14:paraId="3D5AEE29" w14:textId="77777777" w:rsidR="00F77B9C" w:rsidRPr="00F77B9C" w:rsidRDefault="00F77B9C" w:rsidP="00F77B9C">
            <w:pPr>
              <w:tabs>
                <w:tab w:val="center" w:pos="284"/>
              </w:tabs>
              <w:overflowPunct w:val="0"/>
              <w:autoSpaceDE w:val="0"/>
              <w:autoSpaceDN w:val="0"/>
              <w:adjustRightInd w:val="0"/>
              <w:ind w:left="266" w:hanging="266"/>
              <w:textAlignment w:val="baseline"/>
              <w:rPr>
                <w:b/>
                <w:sz w:val="22"/>
                <w:szCs w:val="22"/>
                <w:lang w:val="fr-BE"/>
              </w:rPr>
            </w:pPr>
            <w:r w:rsidRPr="00F77B9C">
              <w:rPr>
                <w:b/>
                <w:sz w:val="22"/>
                <w:szCs w:val="22"/>
                <w:lang w:val="fr-BE"/>
              </w:rPr>
              <w:t>Rapporteur</w:t>
            </w:r>
          </w:p>
        </w:tc>
        <w:tc>
          <w:tcPr>
            <w:tcW w:w="5387" w:type="dxa"/>
          </w:tcPr>
          <w:p w14:paraId="646F8272" w14:textId="6866664B" w:rsidR="00F77B9C" w:rsidRPr="00F77B9C" w:rsidRDefault="00F77B9C" w:rsidP="00F77B9C">
            <w:pPr>
              <w:tabs>
                <w:tab w:val="center" w:pos="284"/>
              </w:tabs>
              <w:overflowPunct w:val="0"/>
              <w:autoSpaceDE w:val="0"/>
              <w:autoSpaceDN w:val="0"/>
              <w:adjustRightInd w:val="0"/>
              <w:ind w:left="266" w:hanging="266"/>
              <w:textAlignment w:val="baseline"/>
              <w:rPr>
                <w:sz w:val="22"/>
                <w:szCs w:val="22"/>
                <w:lang w:val="fr-BE"/>
              </w:rPr>
            </w:pPr>
            <w:r w:rsidRPr="00F77B9C">
              <w:rPr>
                <w:sz w:val="22"/>
                <w:szCs w:val="22"/>
                <w:lang w:val="fr-BE"/>
              </w:rPr>
              <w:t>Andrej ZORKO (</w:t>
            </w:r>
            <w:r w:rsidR="00F13412">
              <w:rPr>
                <w:sz w:val="22"/>
                <w:szCs w:val="22"/>
              </w:rPr>
              <w:t xml:space="preserve">groupe </w:t>
            </w:r>
            <w:r w:rsidR="00E2006D" w:rsidRPr="00E2006D">
              <w:rPr>
                <w:sz w:val="22"/>
                <w:szCs w:val="22"/>
              </w:rPr>
              <w:t>des travailleurs —</w:t>
            </w:r>
            <w:r w:rsidRPr="00F77B9C">
              <w:rPr>
                <w:sz w:val="22"/>
                <w:szCs w:val="22"/>
                <w:lang w:val="fr-BE"/>
              </w:rPr>
              <w:t>SI)</w:t>
            </w:r>
          </w:p>
        </w:tc>
      </w:tr>
      <w:tr w:rsidR="00F77B9C" w:rsidRPr="00F77B9C" w14:paraId="49C434B5" w14:textId="77777777" w:rsidTr="0059328F">
        <w:tc>
          <w:tcPr>
            <w:tcW w:w="1701" w:type="dxa"/>
          </w:tcPr>
          <w:p w14:paraId="131FB27A" w14:textId="77777777" w:rsidR="00F77B9C" w:rsidRPr="00F77B9C" w:rsidRDefault="00F77B9C" w:rsidP="00F77B9C">
            <w:pPr>
              <w:tabs>
                <w:tab w:val="center" w:pos="284"/>
              </w:tabs>
              <w:overflowPunct w:val="0"/>
              <w:autoSpaceDE w:val="0"/>
              <w:autoSpaceDN w:val="0"/>
              <w:adjustRightInd w:val="0"/>
              <w:ind w:left="266" w:hanging="266"/>
              <w:textAlignment w:val="baseline"/>
              <w:rPr>
                <w:b/>
                <w:sz w:val="22"/>
                <w:szCs w:val="22"/>
                <w:lang w:val="fr-BE"/>
              </w:rPr>
            </w:pPr>
            <w:r w:rsidRPr="00F77B9C">
              <w:rPr>
                <w:b/>
                <w:sz w:val="22"/>
                <w:szCs w:val="22"/>
                <w:lang w:val="fr-BE"/>
              </w:rPr>
              <w:t>Corapporteure</w:t>
            </w:r>
          </w:p>
        </w:tc>
        <w:tc>
          <w:tcPr>
            <w:tcW w:w="5387" w:type="dxa"/>
          </w:tcPr>
          <w:p w14:paraId="420EB861" w14:textId="36BFB72F" w:rsidR="00F77B9C" w:rsidRPr="00F77B9C" w:rsidRDefault="00F77B9C" w:rsidP="00F77B9C">
            <w:pPr>
              <w:tabs>
                <w:tab w:val="center" w:pos="284"/>
              </w:tabs>
              <w:overflowPunct w:val="0"/>
              <w:autoSpaceDE w:val="0"/>
              <w:autoSpaceDN w:val="0"/>
              <w:adjustRightInd w:val="0"/>
              <w:ind w:left="266" w:hanging="266"/>
              <w:textAlignment w:val="baseline"/>
              <w:rPr>
                <w:sz w:val="22"/>
                <w:szCs w:val="22"/>
                <w:lang w:val="fr-BE"/>
              </w:rPr>
            </w:pPr>
            <w:r w:rsidRPr="00F77B9C">
              <w:rPr>
                <w:sz w:val="22"/>
                <w:szCs w:val="22"/>
                <w:lang w:val="fr-BE"/>
              </w:rPr>
              <w:t>Janica YLIKARJULA (</w:t>
            </w:r>
            <w:r w:rsidR="00F13412">
              <w:rPr>
                <w:sz w:val="22"/>
                <w:szCs w:val="22"/>
              </w:rPr>
              <w:t xml:space="preserve">groupe </w:t>
            </w:r>
            <w:r w:rsidR="00E2006D" w:rsidRPr="00E2006D">
              <w:rPr>
                <w:sz w:val="22"/>
                <w:szCs w:val="22"/>
              </w:rPr>
              <w:t xml:space="preserve">des employeurs — </w:t>
            </w:r>
            <w:r w:rsidRPr="00F77B9C">
              <w:rPr>
                <w:sz w:val="22"/>
                <w:szCs w:val="22"/>
                <w:lang w:val="fr-BE"/>
              </w:rPr>
              <w:t>FI)</w:t>
            </w:r>
          </w:p>
        </w:tc>
      </w:tr>
      <w:tr w:rsidR="00F77B9C" w:rsidRPr="00F77B9C" w14:paraId="7B0F8ADE" w14:textId="77777777" w:rsidTr="0059328F">
        <w:tc>
          <w:tcPr>
            <w:tcW w:w="7088" w:type="dxa"/>
            <w:gridSpan w:val="2"/>
          </w:tcPr>
          <w:p w14:paraId="0726EAEF" w14:textId="77777777" w:rsidR="00F77B9C" w:rsidRPr="00F77B9C" w:rsidRDefault="00F77B9C" w:rsidP="00F77B9C">
            <w:pPr>
              <w:tabs>
                <w:tab w:val="center" w:pos="284"/>
              </w:tabs>
              <w:overflowPunct w:val="0"/>
              <w:autoSpaceDE w:val="0"/>
              <w:autoSpaceDN w:val="0"/>
              <w:adjustRightInd w:val="0"/>
              <w:spacing w:line="160" w:lineRule="exact"/>
              <w:ind w:left="266" w:hanging="266"/>
              <w:textAlignment w:val="baseline"/>
              <w:rPr>
                <w:sz w:val="22"/>
                <w:szCs w:val="22"/>
                <w:lang w:val="fr-BE"/>
              </w:rPr>
            </w:pPr>
          </w:p>
        </w:tc>
      </w:tr>
      <w:tr w:rsidR="00F77B9C" w:rsidRPr="00F77B9C" w14:paraId="4A5C17DC" w14:textId="77777777" w:rsidTr="0059328F">
        <w:tc>
          <w:tcPr>
            <w:tcW w:w="1701" w:type="dxa"/>
            <w:vMerge w:val="restart"/>
          </w:tcPr>
          <w:p w14:paraId="1E4F61C2" w14:textId="77777777" w:rsidR="00F77B9C" w:rsidRPr="00F77B9C" w:rsidRDefault="00F77B9C" w:rsidP="00F77B9C">
            <w:pPr>
              <w:tabs>
                <w:tab w:val="center" w:pos="284"/>
              </w:tabs>
              <w:overflowPunct w:val="0"/>
              <w:autoSpaceDE w:val="0"/>
              <w:autoSpaceDN w:val="0"/>
              <w:adjustRightInd w:val="0"/>
              <w:ind w:left="266" w:hanging="266"/>
              <w:textAlignment w:val="baseline"/>
              <w:rPr>
                <w:b/>
                <w:sz w:val="22"/>
                <w:szCs w:val="22"/>
                <w:lang w:val="fr-BE"/>
              </w:rPr>
            </w:pPr>
            <w:r w:rsidRPr="00F77B9C">
              <w:rPr>
                <w:b/>
                <w:sz w:val="22"/>
                <w:szCs w:val="22"/>
                <w:lang w:val="fr-BE"/>
              </w:rPr>
              <w:t>Références</w:t>
            </w:r>
          </w:p>
        </w:tc>
        <w:tc>
          <w:tcPr>
            <w:tcW w:w="5387" w:type="dxa"/>
          </w:tcPr>
          <w:p w14:paraId="01C3A9F7" w14:textId="1409B4CE" w:rsidR="00F77B9C" w:rsidRPr="00F77B9C" w:rsidRDefault="00F77B9C" w:rsidP="00E2006D">
            <w:pPr>
              <w:tabs>
                <w:tab w:val="center" w:pos="284"/>
              </w:tabs>
              <w:overflowPunct w:val="0"/>
              <w:autoSpaceDE w:val="0"/>
              <w:autoSpaceDN w:val="0"/>
              <w:adjustRightInd w:val="0"/>
              <w:ind w:left="266" w:hanging="266"/>
              <w:textAlignment w:val="baseline"/>
              <w:rPr>
                <w:sz w:val="22"/>
                <w:szCs w:val="22"/>
                <w:lang w:val="fr-BE"/>
              </w:rPr>
            </w:pPr>
            <w:r w:rsidRPr="00F77B9C">
              <w:rPr>
                <w:sz w:val="22"/>
                <w:szCs w:val="22"/>
                <w:lang w:val="fr-BE"/>
              </w:rPr>
              <w:t>COM(2022) 459</w:t>
            </w:r>
            <w:r w:rsidR="00E2006D">
              <w:rPr>
                <w:sz w:val="22"/>
                <w:szCs w:val="22"/>
                <w:lang w:val="fr-BE"/>
              </w:rPr>
              <w:t>-461-462 </w:t>
            </w:r>
            <w:r w:rsidRPr="00F77B9C">
              <w:rPr>
                <w:sz w:val="22"/>
                <w:szCs w:val="22"/>
                <w:lang w:val="fr-BE"/>
              </w:rPr>
              <w:t>final</w:t>
            </w:r>
          </w:p>
        </w:tc>
      </w:tr>
      <w:tr w:rsidR="00F77B9C" w:rsidRPr="00F77B9C" w14:paraId="3FDA7D2C" w14:textId="77777777" w:rsidTr="0059328F">
        <w:tc>
          <w:tcPr>
            <w:tcW w:w="1701" w:type="dxa"/>
            <w:vMerge/>
          </w:tcPr>
          <w:p w14:paraId="4A0C366E" w14:textId="77777777" w:rsidR="00F77B9C" w:rsidRPr="00F77B9C" w:rsidRDefault="00F77B9C" w:rsidP="00F77B9C">
            <w:pPr>
              <w:tabs>
                <w:tab w:val="center" w:pos="284"/>
              </w:tabs>
              <w:overflowPunct w:val="0"/>
              <w:autoSpaceDE w:val="0"/>
              <w:autoSpaceDN w:val="0"/>
              <w:adjustRightInd w:val="0"/>
              <w:ind w:left="266" w:hanging="266"/>
              <w:textAlignment w:val="baseline"/>
              <w:rPr>
                <w:b/>
                <w:sz w:val="22"/>
                <w:szCs w:val="22"/>
                <w:lang w:val="fr-BE"/>
              </w:rPr>
            </w:pPr>
          </w:p>
        </w:tc>
        <w:tc>
          <w:tcPr>
            <w:tcW w:w="5387" w:type="dxa"/>
          </w:tcPr>
          <w:p w14:paraId="5190ECD5" w14:textId="77777777" w:rsidR="00F77B9C" w:rsidRPr="00F77B9C" w:rsidRDefault="00F77B9C" w:rsidP="00F77B9C">
            <w:pPr>
              <w:tabs>
                <w:tab w:val="center" w:pos="284"/>
              </w:tabs>
              <w:overflowPunct w:val="0"/>
              <w:autoSpaceDE w:val="0"/>
              <w:autoSpaceDN w:val="0"/>
              <w:adjustRightInd w:val="0"/>
              <w:ind w:left="266" w:hanging="266"/>
              <w:textAlignment w:val="baseline"/>
              <w:rPr>
                <w:sz w:val="22"/>
                <w:szCs w:val="22"/>
                <w:lang w:val="fr-BE"/>
              </w:rPr>
            </w:pPr>
            <w:r w:rsidRPr="00F77B9C">
              <w:rPr>
                <w:sz w:val="22"/>
                <w:szCs w:val="22"/>
                <w:lang w:val="fr-BE"/>
              </w:rPr>
              <w:t>EESC-2022-04098-00-00-AC-TRA</w:t>
            </w:r>
          </w:p>
        </w:tc>
      </w:tr>
    </w:tbl>
    <w:p w14:paraId="3C00DA00" w14:textId="77777777" w:rsidR="00F77B9C" w:rsidRPr="00F77B9C" w:rsidRDefault="00F77B9C" w:rsidP="00F77B9C">
      <w:pPr>
        <w:tabs>
          <w:tab w:val="center" w:pos="284"/>
        </w:tabs>
        <w:overflowPunct w:val="0"/>
        <w:autoSpaceDE w:val="0"/>
        <w:autoSpaceDN w:val="0"/>
        <w:adjustRightInd w:val="0"/>
        <w:ind w:left="266" w:hanging="266"/>
        <w:textAlignment w:val="baseline"/>
        <w:rPr>
          <w:lang w:val="fr-BE"/>
        </w:rPr>
      </w:pPr>
    </w:p>
    <w:p w14:paraId="07B803C0" w14:textId="77777777" w:rsidR="00F77B9C" w:rsidRPr="00F77B9C" w:rsidRDefault="00F77B9C" w:rsidP="00F77B9C">
      <w:pPr>
        <w:keepNext/>
        <w:keepLines/>
        <w:tabs>
          <w:tab w:val="center" w:pos="284"/>
        </w:tabs>
        <w:overflowPunct w:val="0"/>
        <w:autoSpaceDE w:val="0"/>
        <w:autoSpaceDN w:val="0"/>
        <w:adjustRightInd w:val="0"/>
        <w:ind w:left="266" w:hanging="266"/>
        <w:textAlignment w:val="baseline"/>
        <w:rPr>
          <w:b/>
          <w:lang w:val="fr-BE"/>
        </w:rPr>
      </w:pPr>
      <w:r w:rsidRPr="00F77B9C">
        <w:rPr>
          <w:b/>
          <w:szCs w:val="20"/>
          <w:lang w:val="fr-BE"/>
        </w:rPr>
        <w:t>Points clés</w:t>
      </w:r>
    </w:p>
    <w:p w14:paraId="397496BF" w14:textId="77777777" w:rsidR="00F77B9C" w:rsidRPr="00F77B9C" w:rsidRDefault="00F77B9C" w:rsidP="00F77B9C">
      <w:pPr>
        <w:keepNext/>
        <w:keepLines/>
        <w:tabs>
          <w:tab w:val="center" w:pos="284"/>
        </w:tabs>
        <w:overflowPunct w:val="0"/>
        <w:autoSpaceDE w:val="0"/>
        <w:autoSpaceDN w:val="0"/>
        <w:adjustRightInd w:val="0"/>
        <w:ind w:left="266" w:hanging="266"/>
        <w:textAlignment w:val="baseline"/>
        <w:rPr>
          <w:b/>
          <w:lang w:val="fr-BE"/>
        </w:rPr>
      </w:pPr>
    </w:p>
    <w:p w14:paraId="48C7E77E" w14:textId="600E7D9E" w:rsidR="00F77B9C" w:rsidRPr="004267B4" w:rsidRDefault="00F77B9C" w:rsidP="00B77BBE">
      <w:pPr>
        <w:keepNext/>
        <w:overflowPunct w:val="0"/>
        <w:autoSpaceDE w:val="0"/>
        <w:autoSpaceDN w:val="0"/>
        <w:adjustRightInd w:val="0"/>
        <w:textAlignment w:val="baseline"/>
        <w:rPr>
          <w:szCs w:val="20"/>
          <w:lang w:val="fr-BE"/>
        </w:rPr>
      </w:pPr>
      <w:r w:rsidRPr="00F77B9C">
        <w:rPr>
          <w:szCs w:val="20"/>
          <w:lang w:val="fr-BE"/>
        </w:rPr>
        <w:t>Le CESE:</w:t>
      </w:r>
    </w:p>
    <w:p w14:paraId="26F5EF7D" w14:textId="77777777" w:rsidR="00AA11E1" w:rsidRPr="00F77B9C" w:rsidRDefault="00AA11E1" w:rsidP="00B77BBE">
      <w:pPr>
        <w:keepNext/>
        <w:overflowPunct w:val="0"/>
        <w:autoSpaceDE w:val="0"/>
        <w:autoSpaceDN w:val="0"/>
        <w:adjustRightInd w:val="0"/>
        <w:textAlignment w:val="baseline"/>
        <w:rPr>
          <w:bCs/>
          <w:iCs/>
          <w:lang w:val="fr-BE"/>
        </w:rPr>
      </w:pPr>
    </w:p>
    <w:p w14:paraId="436E9527" w14:textId="61D56F2B" w:rsidR="00F77B9C" w:rsidRPr="00F77B9C" w:rsidRDefault="00F77B9C" w:rsidP="00AA11E1">
      <w:pPr>
        <w:numPr>
          <w:ilvl w:val="0"/>
          <w:numId w:val="32"/>
        </w:numPr>
        <w:overflowPunct w:val="0"/>
        <w:autoSpaceDE w:val="0"/>
        <w:autoSpaceDN w:val="0"/>
        <w:adjustRightInd w:val="0"/>
        <w:spacing w:line="276" w:lineRule="auto"/>
        <w:contextualSpacing/>
        <w:textAlignment w:val="baseline"/>
        <w:rPr>
          <w:bCs/>
          <w:iCs/>
          <w:lang w:val="fr-BE" w:eastAsia="zh-CN"/>
        </w:rPr>
      </w:pPr>
      <w:r w:rsidRPr="00F77B9C">
        <w:rPr>
          <w:lang w:val="fr-BE" w:eastAsia="zh-CN"/>
        </w:rPr>
        <w:t>soutient l’objectif de la Commission qui vise à créer un instrument du marché unique pour les situations d’urgence (IUMU) en vue d’affronter les futures crises susceptibles d’entraver le fonctionnement du marché unique et de ses entreprises, ainsi que le bien-être des citoyens de l’Union européenne. S’</w:t>
      </w:r>
      <w:r w:rsidRPr="00F77B9C">
        <w:rPr>
          <w:b/>
          <w:lang w:val="fr-BE" w:eastAsia="zh-CN"/>
        </w:rPr>
        <w:t>il est essentiel de parvenir à une meilleure coopération administrative et de mettre en place des mesures de transparence plus efficaces à l’intention des États membres</w:t>
      </w:r>
      <w:r w:rsidRPr="00F77B9C">
        <w:rPr>
          <w:lang w:val="fr-BE" w:eastAsia="zh-CN"/>
        </w:rPr>
        <w:t>, le CESE déplore qu’aucune conséquence n’ait été prévue dans le cas où l’un d’entre eux ne respecterait pas les exigences;</w:t>
      </w:r>
    </w:p>
    <w:p w14:paraId="77938B58" w14:textId="13A41C79" w:rsidR="00F77B9C" w:rsidRPr="00F77B9C" w:rsidRDefault="00F77B9C" w:rsidP="00AA11E1">
      <w:pPr>
        <w:numPr>
          <w:ilvl w:val="0"/>
          <w:numId w:val="32"/>
        </w:numPr>
        <w:overflowPunct w:val="0"/>
        <w:autoSpaceDE w:val="0"/>
        <w:autoSpaceDN w:val="0"/>
        <w:adjustRightInd w:val="0"/>
        <w:spacing w:line="276" w:lineRule="auto"/>
        <w:contextualSpacing/>
        <w:textAlignment w:val="baseline"/>
        <w:rPr>
          <w:bCs/>
          <w:iCs/>
          <w:lang w:val="fr-BE"/>
        </w:rPr>
      </w:pPr>
      <w:r w:rsidRPr="00F77B9C">
        <w:rPr>
          <w:lang w:val="fr-BE" w:eastAsia="zh-CN"/>
        </w:rPr>
        <w:t>est d’avis qu’</w:t>
      </w:r>
      <w:r w:rsidRPr="00F77B9C">
        <w:rPr>
          <w:b/>
          <w:lang w:val="fr-BE" w:eastAsia="zh-CN"/>
        </w:rPr>
        <w:t>il convient de veiller en priorité à la libre circulation des biens, des services et des personnes en période de crise et à l’atténuation des effets de la crise sur le bien-être des personnes</w:t>
      </w:r>
      <w:r w:rsidRPr="00F77B9C">
        <w:rPr>
          <w:lang w:val="fr-BE" w:eastAsia="zh-CN"/>
        </w:rPr>
        <w:t>, plutôt que d’intervenir dans la production et la fourniture de biens et de services et dans leurs chaînes d’approvisionnement;</w:t>
      </w:r>
    </w:p>
    <w:p w14:paraId="5BC68163" w14:textId="0106FDDE" w:rsidR="00F77B9C" w:rsidRPr="00F77B9C" w:rsidRDefault="00F77B9C" w:rsidP="00AA11E1">
      <w:pPr>
        <w:numPr>
          <w:ilvl w:val="0"/>
          <w:numId w:val="32"/>
        </w:numPr>
        <w:overflowPunct w:val="0"/>
        <w:autoSpaceDE w:val="0"/>
        <w:autoSpaceDN w:val="0"/>
        <w:adjustRightInd w:val="0"/>
        <w:spacing w:line="276" w:lineRule="auto"/>
        <w:contextualSpacing/>
        <w:textAlignment w:val="baseline"/>
        <w:rPr>
          <w:bCs/>
          <w:iCs/>
          <w:lang w:val="fr-BE"/>
        </w:rPr>
      </w:pPr>
      <w:r w:rsidRPr="00F77B9C">
        <w:rPr>
          <w:lang w:val="fr-BE" w:eastAsia="zh-CN"/>
        </w:rPr>
        <w:t xml:space="preserve">estime que </w:t>
      </w:r>
      <w:r w:rsidRPr="00F77B9C">
        <w:rPr>
          <w:b/>
          <w:lang w:val="fr-BE" w:eastAsia="zh-CN"/>
        </w:rPr>
        <w:t>les définitions des termes «crise», «domaine d’importance stratégique», «biens et services d’importance stratégique» et «biens et services utiles en temps de crise» sont trop vagues</w:t>
      </w:r>
      <w:r w:rsidRPr="00F77B9C">
        <w:rPr>
          <w:lang w:val="fr-BE" w:eastAsia="zh-CN"/>
        </w:rPr>
        <w:t xml:space="preserve"> pour écarter ces préoccupations et recommande à la Commission de les préciser davantage;</w:t>
      </w:r>
    </w:p>
    <w:p w14:paraId="6B8609EB" w14:textId="4A792FAC" w:rsidR="00F77B9C" w:rsidRPr="00F77B9C" w:rsidRDefault="00F77B9C" w:rsidP="00AA11E1">
      <w:pPr>
        <w:numPr>
          <w:ilvl w:val="0"/>
          <w:numId w:val="32"/>
        </w:numPr>
        <w:overflowPunct w:val="0"/>
        <w:autoSpaceDE w:val="0"/>
        <w:autoSpaceDN w:val="0"/>
        <w:adjustRightInd w:val="0"/>
        <w:spacing w:line="276" w:lineRule="auto"/>
        <w:contextualSpacing/>
        <w:textAlignment w:val="baseline"/>
        <w:rPr>
          <w:bCs/>
          <w:iCs/>
          <w:lang w:val="fr-BE"/>
        </w:rPr>
      </w:pPr>
      <w:r w:rsidRPr="00F77B9C">
        <w:rPr>
          <w:lang w:val="fr-BE" w:eastAsia="zh-CN"/>
        </w:rPr>
        <w:t xml:space="preserve">considère que </w:t>
      </w:r>
      <w:r w:rsidRPr="00F77B9C">
        <w:rPr>
          <w:b/>
          <w:lang w:val="fr-BE" w:eastAsia="zh-CN"/>
        </w:rPr>
        <w:t>les mesures d’urgence ne devraient pas porter atteinte aux droits fondamentaux des citoyens européens; de même, l’exercice de ces droits, y compris le droit de grève</w:t>
      </w:r>
      <w:r w:rsidRPr="00F77B9C">
        <w:rPr>
          <w:lang w:val="fr-BE" w:eastAsia="zh-CN"/>
        </w:rPr>
        <w:t>, dans quelque secteur que ce soit, ne peut justifier une réponse de crise. La Commission devrait indiquer clairement qu’une grève ou toute autre action industrielle entreprise en vertu de la législation nationale ne peut constituer une crise aux termes de l’IUMU. De même, toutes les mesures d’atténuation des crises doivent respecter les principes de nécessité et de proportionnalité en ce qui concerne les entreprises, ce qui n’est pas le cas dans la proposition à l’examen;</w:t>
      </w:r>
    </w:p>
    <w:p w14:paraId="3AC72FC1" w14:textId="14B2F7E1" w:rsidR="00F77B9C" w:rsidRPr="00F77B9C" w:rsidRDefault="00F77B9C" w:rsidP="00AA11E1">
      <w:pPr>
        <w:numPr>
          <w:ilvl w:val="0"/>
          <w:numId w:val="32"/>
        </w:numPr>
        <w:overflowPunct w:val="0"/>
        <w:autoSpaceDE w:val="0"/>
        <w:autoSpaceDN w:val="0"/>
        <w:adjustRightInd w:val="0"/>
        <w:spacing w:line="276" w:lineRule="auto"/>
        <w:contextualSpacing/>
        <w:textAlignment w:val="baseline"/>
        <w:rPr>
          <w:bCs/>
          <w:iCs/>
          <w:lang w:val="fr-BE"/>
        </w:rPr>
      </w:pPr>
      <w:r w:rsidRPr="00F77B9C">
        <w:rPr>
          <w:lang w:val="fr-BE" w:eastAsia="zh-CN"/>
        </w:rPr>
        <w:t xml:space="preserve">fait valoir que toute situation d’urgence nécessite une réaction rapide et efficace, et </w:t>
      </w:r>
      <w:r w:rsidRPr="00F77B9C">
        <w:rPr>
          <w:b/>
          <w:lang w:val="fr-BE" w:eastAsia="zh-CN"/>
        </w:rPr>
        <w:t>recommande</w:t>
      </w:r>
      <w:r w:rsidRPr="00F77B9C">
        <w:rPr>
          <w:lang w:val="fr-BE" w:eastAsia="zh-CN"/>
        </w:rPr>
        <w:t xml:space="preserve"> dès lors </w:t>
      </w:r>
      <w:r w:rsidRPr="00F77B9C">
        <w:rPr>
          <w:b/>
          <w:lang w:val="fr-BE" w:eastAsia="zh-CN"/>
        </w:rPr>
        <w:t>à la Commission de réexaminer la proposition en vue d’une approche suffisamment rapide et efficace pour faire face à une crise</w:t>
      </w:r>
      <w:r w:rsidRPr="00F77B9C">
        <w:rPr>
          <w:lang w:val="fr-BE" w:eastAsia="zh-CN"/>
        </w:rPr>
        <w:t>. Le Comité craint que l’approche progressive proposée ne soit trop alourdie par les contraintes administratives pour être performante;</w:t>
      </w:r>
    </w:p>
    <w:p w14:paraId="71933BBB" w14:textId="464C6F61" w:rsidR="00F77B9C" w:rsidRPr="00F77B9C" w:rsidRDefault="00F77B9C" w:rsidP="00AA11E1">
      <w:pPr>
        <w:numPr>
          <w:ilvl w:val="0"/>
          <w:numId w:val="32"/>
        </w:numPr>
        <w:overflowPunct w:val="0"/>
        <w:autoSpaceDE w:val="0"/>
        <w:autoSpaceDN w:val="0"/>
        <w:adjustRightInd w:val="0"/>
        <w:spacing w:line="276" w:lineRule="auto"/>
        <w:contextualSpacing/>
        <w:textAlignment w:val="baseline"/>
        <w:rPr>
          <w:bCs/>
          <w:iCs/>
          <w:lang w:val="fr-BE"/>
        </w:rPr>
      </w:pPr>
      <w:r w:rsidRPr="00F77B9C">
        <w:rPr>
          <w:b/>
          <w:lang w:val="fr-BE" w:eastAsia="zh-CN"/>
        </w:rPr>
        <w:t xml:space="preserve">propose que des représentants des partenaires sociaux et une organisation de la société civile concernée soient inclus parmi les observateurs du </w:t>
      </w:r>
      <w:r w:rsidR="00F13412">
        <w:rPr>
          <w:b/>
          <w:lang w:val="fr-BE" w:eastAsia="zh-CN"/>
        </w:rPr>
        <w:t xml:space="preserve">groupe </w:t>
      </w:r>
      <w:r w:rsidRPr="00F77B9C">
        <w:rPr>
          <w:b/>
          <w:lang w:val="fr-BE" w:eastAsia="zh-CN"/>
        </w:rPr>
        <w:t>consultatif sur l’instrument IUMU</w:t>
      </w:r>
      <w:r w:rsidRPr="00F77B9C">
        <w:rPr>
          <w:lang w:val="fr-BE" w:eastAsia="zh-CN"/>
        </w:rPr>
        <w:t>;</w:t>
      </w:r>
    </w:p>
    <w:p w14:paraId="38677BA8" w14:textId="1BC01C85" w:rsidR="00F77B9C" w:rsidRPr="004267B4" w:rsidRDefault="00F77B9C" w:rsidP="00AA11E1">
      <w:pPr>
        <w:numPr>
          <w:ilvl w:val="0"/>
          <w:numId w:val="32"/>
        </w:numPr>
        <w:overflowPunct w:val="0"/>
        <w:autoSpaceDE w:val="0"/>
        <w:autoSpaceDN w:val="0"/>
        <w:adjustRightInd w:val="0"/>
        <w:spacing w:line="276" w:lineRule="auto"/>
        <w:contextualSpacing/>
        <w:textAlignment w:val="baseline"/>
        <w:rPr>
          <w:bCs/>
          <w:iCs/>
          <w:lang w:val="fr-BE" w:eastAsia="zh-CN"/>
        </w:rPr>
      </w:pPr>
      <w:r w:rsidRPr="00F77B9C">
        <w:rPr>
          <w:lang w:val="fr-BE" w:eastAsia="zh-CN"/>
        </w:rPr>
        <w:t xml:space="preserve">estime que </w:t>
      </w:r>
      <w:r w:rsidRPr="00F77B9C">
        <w:rPr>
          <w:b/>
          <w:lang w:val="fr-BE" w:eastAsia="zh-CN"/>
        </w:rPr>
        <w:t>le risque existe que les pouvoirs interventionnistes attribués par la proposition à la Commission</w:t>
      </w:r>
      <w:r w:rsidRPr="00F77B9C">
        <w:rPr>
          <w:lang w:val="fr-BE" w:eastAsia="zh-CN"/>
        </w:rPr>
        <w:t xml:space="preserve">, tels que la hiérarchisation des commandes et la clause de dérogation contractuelle pouvant cibler des entreprises spécifiques, </w:t>
      </w:r>
      <w:r w:rsidRPr="00F77B9C">
        <w:rPr>
          <w:b/>
          <w:lang w:val="fr-BE" w:eastAsia="zh-CN"/>
        </w:rPr>
        <w:t>puissent s’avérer préjudiciables au fonctionnement du marché unique</w:t>
      </w:r>
      <w:r w:rsidRPr="00F77B9C">
        <w:rPr>
          <w:lang w:val="fr-BE" w:eastAsia="zh-CN"/>
        </w:rPr>
        <w:t xml:space="preserve">. Par leur existence même, ces pouvoirs introduisent un élément d’imprévisibilité. C’est pourquoi le CESE recommande à la Commission de réexaminer </w:t>
      </w:r>
      <w:r w:rsidRPr="00F77B9C">
        <w:rPr>
          <w:lang w:val="fr-BE" w:eastAsia="zh-CN"/>
        </w:rPr>
        <w:lastRenderedPageBreak/>
        <w:t>soigneusement la proposition, notamment en prenant en compte la question de savoir quelles entreprises seraient ciblées et qui assumerait les coûts d’une éventuelle réorganisation des chaînes de production.</w:t>
      </w:r>
      <w:bookmarkStart w:id="30" w:name="_Hlk119069924"/>
    </w:p>
    <w:p w14:paraId="3412DEBA" w14:textId="77777777" w:rsidR="00AA11E1" w:rsidRPr="00F77B9C" w:rsidRDefault="00AA11E1" w:rsidP="00AA11E1">
      <w:pPr>
        <w:numPr>
          <w:ilvl w:val="0"/>
          <w:numId w:val="32"/>
        </w:numPr>
        <w:overflowPunct w:val="0"/>
        <w:autoSpaceDE w:val="0"/>
        <w:autoSpaceDN w:val="0"/>
        <w:adjustRightInd w:val="0"/>
        <w:spacing w:line="276" w:lineRule="auto"/>
        <w:contextualSpacing/>
        <w:textAlignment w:val="baseline"/>
        <w:rPr>
          <w:bCs/>
          <w:iCs/>
          <w:lang w:val="fr-BE" w:eastAsia="zh-CN"/>
        </w:rPr>
      </w:pPr>
    </w:p>
    <w:tbl>
      <w:tblPr>
        <w:tblStyle w:val="TableGrid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F77B9C" w:rsidRPr="00F77B9C" w14:paraId="6F0AF2DA" w14:textId="77777777" w:rsidTr="0059328F">
        <w:tc>
          <w:tcPr>
            <w:tcW w:w="1418" w:type="dxa"/>
          </w:tcPr>
          <w:bookmarkEnd w:id="30"/>
          <w:p w14:paraId="74FFA648" w14:textId="77777777" w:rsidR="00F77B9C" w:rsidRPr="00F77B9C" w:rsidRDefault="00F77B9C" w:rsidP="00F77B9C">
            <w:pPr>
              <w:overflowPunct w:val="0"/>
              <w:autoSpaceDE w:val="0"/>
              <w:autoSpaceDN w:val="0"/>
              <w:adjustRightInd w:val="0"/>
              <w:spacing w:line="240" w:lineRule="auto"/>
              <w:textAlignment w:val="baseline"/>
              <w:rPr>
                <w:i/>
                <w:sz w:val="22"/>
                <w:szCs w:val="22"/>
                <w:lang w:val="fr-BE"/>
              </w:rPr>
            </w:pPr>
            <w:r w:rsidRPr="00F77B9C">
              <w:rPr>
                <w:b/>
                <w:i/>
                <w:sz w:val="22"/>
                <w:szCs w:val="22"/>
                <w:lang w:val="fr-BE"/>
              </w:rPr>
              <w:t>Contact</w:t>
            </w:r>
          </w:p>
        </w:tc>
        <w:tc>
          <w:tcPr>
            <w:tcW w:w="5670" w:type="dxa"/>
          </w:tcPr>
          <w:p w14:paraId="0E9B1896" w14:textId="0EB978DA" w:rsidR="00F77B9C" w:rsidRPr="00F77B9C" w:rsidRDefault="00F77B9C" w:rsidP="00F77B9C">
            <w:pPr>
              <w:overflowPunct w:val="0"/>
              <w:autoSpaceDE w:val="0"/>
              <w:autoSpaceDN w:val="0"/>
              <w:adjustRightInd w:val="0"/>
              <w:spacing w:line="240" w:lineRule="auto"/>
              <w:textAlignment w:val="baseline"/>
              <w:rPr>
                <w:i/>
                <w:sz w:val="22"/>
                <w:szCs w:val="22"/>
                <w:lang w:val="fr-BE"/>
              </w:rPr>
            </w:pPr>
            <w:r w:rsidRPr="00F77B9C">
              <w:rPr>
                <w:i/>
                <w:sz w:val="22"/>
                <w:szCs w:val="22"/>
                <w:lang w:val="fr-BE"/>
              </w:rPr>
              <w:t xml:space="preserve">Dalila </w:t>
            </w:r>
            <w:r w:rsidR="004466E9" w:rsidRPr="00F77B9C">
              <w:rPr>
                <w:i/>
                <w:sz w:val="22"/>
                <w:szCs w:val="22"/>
                <w:lang w:val="fr-BE"/>
              </w:rPr>
              <w:t>Bernard</w:t>
            </w:r>
          </w:p>
        </w:tc>
      </w:tr>
      <w:tr w:rsidR="00F77B9C" w:rsidRPr="00F77B9C" w14:paraId="67C11C0F" w14:textId="77777777" w:rsidTr="0059328F">
        <w:tc>
          <w:tcPr>
            <w:tcW w:w="1418" w:type="dxa"/>
          </w:tcPr>
          <w:p w14:paraId="12139686" w14:textId="77777777" w:rsidR="00F77B9C" w:rsidRPr="00F77B9C" w:rsidRDefault="00F77B9C" w:rsidP="00F77B9C">
            <w:pPr>
              <w:overflowPunct w:val="0"/>
              <w:autoSpaceDE w:val="0"/>
              <w:autoSpaceDN w:val="0"/>
              <w:adjustRightInd w:val="0"/>
              <w:spacing w:line="240" w:lineRule="auto"/>
              <w:textAlignment w:val="baseline"/>
              <w:rPr>
                <w:i/>
                <w:sz w:val="22"/>
                <w:szCs w:val="22"/>
                <w:lang w:val="fr-BE"/>
              </w:rPr>
            </w:pPr>
            <w:r w:rsidRPr="00F77B9C">
              <w:rPr>
                <w:i/>
                <w:sz w:val="22"/>
                <w:szCs w:val="22"/>
                <w:lang w:val="fr-BE"/>
              </w:rPr>
              <w:t>Tél.</w:t>
            </w:r>
          </w:p>
        </w:tc>
        <w:tc>
          <w:tcPr>
            <w:tcW w:w="5670" w:type="dxa"/>
          </w:tcPr>
          <w:p w14:paraId="148259F1" w14:textId="77777777" w:rsidR="00F77B9C" w:rsidRPr="00F77B9C" w:rsidRDefault="00F77B9C" w:rsidP="00F77B9C">
            <w:pPr>
              <w:overflowPunct w:val="0"/>
              <w:autoSpaceDE w:val="0"/>
              <w:autoSpaceDN w:val="0"/>
              <w:adjustRightInd w:val="0"/>
              <w:spacing w:line="240" w:lineRule="auto"/>
              <w:textAlignment w:val="baseline"/>
              <w:rPr>
                <w:i/>
                <w:sz w:val="22"/>
                <w:szCs w:val="22"/>
                <w:lang w:val="fr-BE"/>
              </w:rPr>
            </w:pPr>
            <w:r w:rsidRPr="00F77B9C">
              <w:rPr>
                <w:i/>
                <w:sz w:val="22"/>
                <w:szCs w:val="22"/>
                <w:lang w:val="fr-BE"/>
              </w:rPr>
              <w:t>+32 2 5468438</w:t>
            </w:r>
          </w:p>
        </w:tc>
      </w:tr>
      <w:tr w:rsidR="00F77B9C" w:rsidRPr="00F77B9C" w14:paraId="37C7C6C5" w14:textId="77777777" w:rsidTr="0059328F">
        <w:tc>
          <w:tcPr>
            <w:tcW w:w="1418" w:type="dxa"/>
          </w:tcPr>
          <w:p w14:paraId="765E5D6A" w14:textId="77777777" w:rsidR="00F77B9C" w:rsidRPr="00F77B9C" w:rsidRDefault="00F77B9C" w:rsidP="00F77B9C">
            <w:pPr>
              <w:overflowPunct w:val="0"/>
              <w:autoSpaceDE w:val="0"/>
              <w:autoSpaceDN w:val="0"/>
              <w:adjustRightInd w:val="0"/>
              <w:spacing w:line="240" w:lineRule="auto"/>
              <w:textAlignment w:val="baseline"/>
              <w:rPr>
                <w:i/>
                <w:sz w:val="22"/>
                <w:szCs w:val="22"/>
                <w:lang w:val="fr-BE"/>
              </w:rPr>
            </w:pPr>
            <w:r w:rsidRPr="00F77B9C">
              <w:rPr>
                <w:i/>
                <w:sz w:val="22"/>
                <w:szCs w:val="22"/>
                <w:lang w:val="fr-BE"/>
              </w:rPr>
              <w:t>Courriel</w:t>
            </w:r>
          </w:p>
        </w:tc>
        <w:tc>
          <w:tcPr>
            <w:tcW w:w="5670" w:type="dxa"/>
          </w:tcPr>
          <w:p w14:paraId="1D328FEA" w14:textId="77777777" w:rsidR="00F77B9C" w:rsidRPr="00F77B9C" w:rsidRDefault="004466E9" w:rsidP="00F77B9C">
            <w:pPr>
              <w:overflowPunct w:val="0"/>
              <w:autoSpaceDE w:val="0"/>
              <w:autoSpaceDN w:val="0"/>
              <w:adjustRightInd w:val="0"/>
              <w:spacing w:line="240" w:lineRule="auto"/>
              <w:textAlignment w:val="baseline"/>
              <w:rPr>
                <w:i/>
                <w:sz w:val="22"/>
                <w:szCs w:val="22"/>
                <w:lang w:val="fr-BE"/>
              </w:rPr>
            </w:pPr>
            <w:hyperlink r:id="rId35" w:history="1">
              <w:r w:rsidR="00F77B9C" w:rsidRPr="00F77B9C">
                <w:rPr>
                  <w:i/>
                  <w:color w:val="0000FF"/>
                  <w:sz w:val="22"/>
                  <w:szCs w:val="22"/>
                  <w:u w:val="single"/>
                  <w:lang w:val="fr-BE"/>
                </w:rPr>
                <w:t>Dalila.Bernard@eesc.europa.eu</w:t>
              </w:r>
            </w:hyperlink>
          </w:p>
        </w:tc>
      </w:tr>
    </w:tbl>
    <w:p w14:paraId="4488C3DC" w14:textId="77777777" w:rsidR="009A3E0E" w:rsidRPr="004267B4" w:rsidRDefault="009A3E0E" w:rsidP="00DA2729">
      <w:pPr>
        <w:spacing w:line="259" w:lineRule="auto"/>
        <w:jc w:val="left"/>
        <w:rPr>
          <w:b/>
          <w:bCs/>
          <w:i/>
          <w:iCs/>
          <w:sz w:val="28"/>
          <w:szCs w:val="28"/>
          <w:lang w:val="fr-BE"/>
        </w:rPr>
      </w:pPr>
      <w:r w:rsidRPr="004267B4">
        <w:rPr>
          <w:lang w:val="fr-BE"/>
        </w:rPr>
        <w:br w:type="page"/>
      </w:r>
    </w:p>
    <w:p w14:paraId="70F6FDB7" w14:textId="77777777" w:rsidR="009A3E0E" w:rsidRPr="004267B4" w:rsidRDefault="009A3E0E" w:rsidP="00DA2729">
      <w:pPr>
        <w:rPr>
          <w:lang w:val="fr-BE"/>
        </w:rPr>
      </w:pPr>
    </w:p>
    <w:p w14:paraId="61B2A7F6" w14:textId="3743807A" w:rsidR="00F72E3F" w:rsidRPr="004267B4" w:rsidRDefault="004466E9" w:rsidP="00BA7FBA">
      <w:pPr>
        <w:pStyle w:val="ListParagraph"/>
        <w:numPr>
          <w:ilvl w:val="0"/>
          <w:numId w:val="2"/>
        </w:numPr>
        <w:ind w:left="567" w:hanging="567"/>
        <w:rPr>
          <w:sz w:val="28"/>
          <w:szCs w:val="28"/>
          <w:lang w:val="fr-BE"/>
        </w:rPr>
      </w:pPr>
      <w:hyperlink r:id="rId36" w:history="1">
        <w:r w:rsidR="00F72E3F" w:rsidRPr="004267B4">
          <w:rPr>
            <w:b/>
            <w:i/>
            <w:sz w:val="28"/>
            <w:lang w:val="fr-BE"/>
          </w:rPr>
          <w:t>Législation sur la cyberrésilience</w:t>
        </w:r>
      </w:hyperlink>
    </w:p>
    <w:p w14:paraId="1DE26475" w14:textId="77777777" w:rsidR="00F72E3F" w:rsidRPr="004267B4" w:rsidRDefault="00F72E3F" w:rsidP="00F72E3F">
      <w:pPr>
        <w:tabs>
          <w:tab w:val="center" w:pos="284"/>
        </w:tabs>
        <w:spacing w:line="240" w:lineRule="auto"/>
        <w:ind w:left="266" w:hanging="266"/>
        <w:rPr>
          <w:b/>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6375"/>
      </w:tblGrid>
      <w:tr w:rsidR="00F72E3F" w:rsidRPr="004267B4" w14:paraId="18F2F4B9" w14:textId="77777777" w:rsidTr="0059328F">
        <w:trPr>
          <w:trHeight w:val="578"/>
        </w:trPr>
        <w:tc>
          <w:tcPr>
            <w:tcW w:w="0" w:type="auto"/>
          </w:tcPr>
          <w:p w14:paraId="1134990D" w14:textId="77777777" w:rsidR="00F72E3F" w:rsidRPr="004267B4" w:rsidRDefault="00F72E3F" w:rsidP="0059328F">
            <w:pPr>
              <w:tabs>
                <w:tab w:val="center" w:pos="284"/>
              </w:tabs>
              <w:spacing w:line="240" w:lineRule="auto"/>
              <w:ind w:left="266" w:hanging="266"/>
              <w:rPr>
                <w:b/>
                <w:lang w:val="fr-BE"/>
              </w:rPr>
            </w:pPr>
            <w:r w:rsidRPr="004267B4">
              <w:rPr>
                <w:b/>
                <w:lang w:val="fr-BE"/>
              </w:rPr>
              <w:t>Rapporteur</w:t>
            </w:r>
          </w:p>
        </w:tc>
        <w:tc>
          <w:tcPr>
            <w:tcW w:w="0" w:type="auto"/>
          </w:tcPr>
          <w:p w14:paraId="29E03235" w14:textId="77DB75B7" w:rsidR="00F72E3F" w:rsidRPr="004267B4" w:rsidRDefault="00F72E3F" w:rsidP="0059328F">
            <w:pPr>
              <w:tabs>
                <w:tab w:val="center" w:pos="284"/>
              </w:tabs>
              <w:spacing w:line="240" w:lineRule="auto"/>
              <w:ind w:left="266" w:hanging="266"/>
              <w:rPr>
                <w:lang w:val="fr-BE"/>
              </w:rPr>
            </w:pPr>
            <w:r w:rsidRPr="004267B4">
              <w:rPr>
                <w:lang w:val="fr-BE"/>
              </w:rPr>
              <w:t>Maurizio MENSI (</w:t>
            </w:r>
            <w:r w:rsidR="00F13412">
              <w:rPr>
                <w:lang w:val="fr-BE"/>
              </w:rPr>
              <w:t xml:space="preserve">groupe </w:t>
            </w:r>
            <w:r w:rsidRPr="004267B4">
              <w:rPr>
                <w:lang w:val="fr-BE"/>
              </w:rPr>
              <w:t>des organisations de la société civile — IT)</w:t>
            </w:r>
          </w:p>
        </w:tc>
      </w:tr>
      <w:tr w:rsidR="00F72E3F" w:rsidRPr="004267B4" w14:paraId="34B1340E" w14:textId="77777777" w:rsidTr="0059328F">
        <w:trPr>
          <w:trHeight w:val="301"/>
        </w:trPr>
        <w:tc>
          <w:tcPr>
            <w:tcW w:w="0" w:type="auto"/>
          </w:tcPr>
          <w:p w14:paraId="3BA30C0A" w14:textId="77777777" w:rsidR="00F72E3F" w:rsidRPr="004267B4" w:rsidRDefault="00F72E3F" w:rsidP="0059328F">
            <w:pPr>
              <w:tabs>
                <w:tab w:val="center" w:pos="284"/>
              </w:tabs>
              <w:spacing w:line="240" w:lineRule="auto"/>
              <w:ind w:left="266" w:hanging="266"/>
              <w:rPr>
                <w:b/>
                <w:lang w:val="fr-BE"/>
              </w:rPr>
            </w:pPr>
            <w:r w:rsidRPr="004267B4">
              <w:rPr>
                <w:b/>
                <w:lang w:val="fr-BE"/>
              </w:rPr>
              <w:t>Corapporteur</w:t>
            </w:r>
          </w:p>
        </w:tc>
        <w:tc>
          <w:tcPr>
            <w:tcW w:w="0" w:type="auto"/>
          </w:tcPr>
          <w:p w14:paraId="7911A343" w14:textId="64CD6179" w:rsidR="00F72E3F" w:rsidRPr="004267B4" w:rsidRDefault="00F72E3F" w:rsidP="0059328F">
            <w:pPr>
              <w:tabs>
                <w:tab w:val="center" w:pos="284"/>
              </w:tabs>
              <w:spacing w:line="240" w:lineRule="auto"/>
              <w:ind w:left="266" w:hanging="266"/>
              <w:rPr>
                <w:lang w:val="fr-BE"/>
              </w:rPr>
            </w:pPr>
            <w:r w:rsidRPr="004267B4">
              <w:rPr>
                <w:lang w:val="fr-BE"/>
              </w:rPr>
              <w:t>Marinel Dănuț MURESAN (</w:t>
            </w:r>
            <w:r w:rsidR="00F13412">
              <w:rPr>
                <w:lang w:val="fr-BE"/>
              </w:rPr>
              <w:t xml:space="preserve">groupe </w:t>
            </w:r>
            <w:r w:rsidRPr="004267B4">
              <w:rPr>
                <w:lang w:val="fr-BE"/>
              </w:rPr>
              <w:t>des employeurs — RO)</w:t>
            </w:r>
          </w:p>
        </w:tc>
      </w:tr>
      <w:tr w:rsidR="00F72E3F" w:rsidRPr="004267B4" w14:paraId="269A0D90" w14:textId="77777777" w:rsidTr="0059328F">
        <w:trPr>
          <w:trHeight w:val="156"/>
        </w:trPr>
        <w:tc>
          <w:tcPr>
            <w:tcW w:w="0" w:type="auto"/>
            <w:gridSpan w:val="2"/>
          </w:tcPr>
          <w:p w14:paraId="0D26DA86" w14:textId="77777777" w:rsidR="00F72E3F" w:rsidRPr="004267B4" w:rsidRDefault="00F72E3F" w:rsidP="0059328F">
            <w:pPr>
              <w:tabs>
                <w:tab w:val="center" w:pos="284"/>
              </w:tabs>
              <w:spacing w:line="240" w:lineRule="auto"/>
              <w:ind w:left="266" w:hanging="266"/>
              <w:rPr>
                <w:lang w:val="fr-BE"/>
              </w:rPr>
            </w:pPr>
          </w:p>
        </w:tc>
      </w:tr>
      <w:tr w:rsidR="00F72E3F" w:rsidRPr="004267B4" w14:paraId="656985EC" w14:textId="77777777" w:rsidTr="0059328F">
        <w:trPr>
          <w:trHeight w:val="289"/>
        </w:trPr>
        <w:tc>
          <w:tcPr>
            <w:tcW w:w="0" w:type="auto"/>
          </w:tcPr>
          <w:p w14:paraId="7F0720B4" w14:textId="77777777" w:rsidR="00F72E3F" w:rsidRPr="004267B4" w:rsidRDefault="00F72E3F" w:rsidP="0059328F">
            <w:pPr>
              <w:tabs>
                <w:tab w:val="center" w:pos="284"/>
              </w:tabs>
              <w:spacing w:line="240" w:lineRule="auto"/>
              <w:ind w:left="266" w:hanging="266"/>
              <w:rPr>
                <w:b/>
                <w:lang w:val="fr-BE"/>
              </w:rPr>
            </w:pPr>
            <w:r w:rsidRPr="004267B4">
              <w:rPr>
                <w:b/>
                <w:lang w:val="fr-BE"/>
              </w:rPr>
              <w:t>Références</w:t>
            </w:r>
          </w:p>
        </w:tc>
        <w:tc>
          <w:tcPr>
            <w:tcW w:w="0" w:type="auto"/>
          </w:tcPr>
          <w:p w14:paraId="4F7E9FF6" w14:textId="64B4F131" w:rsidR="00F72E3F" w:rsidRPr="004267B4" w:rsidRDefault="00F72E3F" w:rsidP="0059328F">
            <w:pPr>
              <w:tabs>
                <w:tab w:val="center" w:pos="284"/>
              </w:tabs>
              <w:spacing w:line="240" w:lineRule="auto"/>
              <w:ind w:left="266" w:hanging="266"/>
              <w:rPr>
                <w:lang w:val="fr-BE"/>
              </w:rPr>
            </w:pPr>
            <w:r w:rsidRPr="004267B4">
              <w:rPr>
                <w:lang w:val="fr-BE"/>
              </w:rPr>
              <w:t>COM(2022)</w:t>
            </w:r>
            <w:r w:rsidR="00B77BBE">
              <w:rPr>
                <w:lang w:val="fr-BE"/>
              </w:rPr>
              <w:t> </w:t>
            </w:r>
            <w:r w:rsidRPr="004267B4">
              <w:rPr>
                <w:lang w:val="fr-BE"/>
              </w:rPr>
              <w:t>454</w:t>
            </w:r>
            <w:r w:rsidR="00B77BBE">
              <w:rPr>
                <w:lang w:val="fr-BE"/>
              </w:rPr>
              <w:t> </w:t>
            </w:r>
            <w:r w:rsidRPr="004267B4">
              <w:rPr>
                <w:lang w:val="fr-BE"/>
              </w:rPr>
              <w:t>final</w:t>
            </w:r>
          </w:p>
          <w:p w14:paraId="47CB82E6" w14:textId="0C95C4CA" w:rsidR="00F72E3F" w:rsidRPr="004267B4" w:rsidRDefault="00F72E3F" w:rsidP="0059328F">
            <w:pPr>
              <w:tabs>
                <w:tab w:val="center" w:pos="284"/>
              </w:tabs>
              <w:spacing w:line="240" w:lineRule="auto"/>
              <w:ind w:left="266" w:hanging="266"/>
              <w:rPr>
                <w:lang w:val="fr-BE"/>
              </w:rPr>
            </w:pPr>
            <w:r w:rsidRPr="004267B4">
              <w:rPr>
                <w:lang w:val="fr-BE"/>
              </w:rPr>
              <w:t>EESC-2022-04103-00-00-AC</w:t>
            </w:r>
          </w:p>
        </w:tc>
      </w:tr>
    </w:tbl>
    <w:p w14:paraId="228C1F98" w14:textId="77777777" w:rsidR="00F57898" w:rsidRPr="004267B4" w:rsidRDefault="00F57898" w:rsidP="00F72E3F">
      <w:pPr>
        <w:keepNext/>
        <w:keepLines/>
        <w:tabs>
          <w:tab w:val="center" w:pos="284"/>
        </w:tabs>
        <w:spacing w:line="240" w:lineRule="auto"/>
        <w:ind w:left="266" w:hanging="266"/>
        <w:rPr>
          <w:b/>
          <w:lang w:val="fr-BE"/>
        </w:rPr>
      </w:pPr>
    </w:p>
    <w:p w14:paraId="1C439CCE" w14:textId="69ACBAEE" w:rsidR="00F72E3F" w:rsidRPr="004267B4" w:rsidRDefault="00F72E3F" w:rsidP="00F72E3F">
      <w:pPr>
        <w:keepNext/>
        <w:keepLines/>
        <w:tabs>
          <w:tab w:val="center" w:pos="284"/>
        </w:tabs>
        <w:spacing w:line="240" w:lineRule="auto"/>
        <w:ind w:left="266" w:hanging="266"/>
        <w:rPr>
          <w:b/>
          <w:lang w:val="fr-BE"/>
        </w:rPr>
      </w:pPr>
      <w:r w:rsidRPr="004267B4">
        <w:rPr>
          <w:b/>
          <w:lang w:val="fr-BE"/>
        </w:rPr>
        <w:t>Points clés:</w:t>
      </w:r>
    </w:p>
    <w:p w14:paraId="68E35E27" w14:textId="77777777" w:rsidR="00F72E3F" w:rsidRPr="004267B4" w:rsidRDefault="00F72E3F" w:rsidP="00F72E3F">
      <w:pPr>
        <w:keepNext/>
        <w:keepLines/>
        <w:tabs>
          <w:tab w:val="center" w:pos="284"/>
        </w:tabs>
        <w:spacing w:line="240" w:lineRule="auto"/>
        <w:ind w:left="266" w:hanging="266"/>
        <w:rPr>
          <w:b/>
          <w:lang w:val="fr-BE"/>
        </w:rPr>
      </w:pPr>
    </w:p>
    <w:p w14:paraId="759FFDC5" w14:textId="77777777" w:rsidR="00F72E3F" w:rsidRPr="004267B4" w:rsidRDefault="00F72E3F" w:rsidP="00B77BBE">
      <w:pPr>
        <w:keepNext/>
        <w:spacing w:line="240" w:lineRule="auto"/>
        <w:rPr>
          <w:bCs/>
          <w:iCs/>
          <w:lang w:val="fr-BE"/>
        </w:rPr>
      </w:pPr>
      <w:r w:rsidRPr="004267B4">
        <w:rPr>
          <w:lang w:val="fr-BE"/>
        </w:rPr>
        <w:t>Le CESE:</w:t>
      </w:r>
    </w:p>
    <w:p w14:paraId="15D75539" w14:textId="77777777" w:rsidR="00F72E3F" w:rsidRPr="004267B4" w:rsidRDefault="00F72E3F" w:rsidP="00B77BBE">
      <w:pPr>
        <w:keepNext/>
        <w:spacing w:line="240" w:lineRule="auto"/>
        <w:rPr>
          <w:bCs/>
          <w:iCs/>
          <w:lang w:val="fr-BE"/>
        </w:rPr>
      </w:pPr>
    </w:p>
    <w:p w14:paraId="00ED197E" w14:textId="77777777" w:rsidR="00F72E3F" w:rsidRPr="004267B4" w:rsidRDefault="00F72E3F" w:rsidP="00372D8B">
      <w:pPr>
        <w:widowControl w:val="0"/>
        <w:numPr>
          <w:ilvl w:val="0"/>
          <w:numId w:val="33"/>
        </w:numPr>
        <w:overflowPunct w:val="0"/>
        <w:autoSpaceDE w:val="0"/>
        <w:autoSpaceDN w:val="0"/>
        <w:adjustRightInd w:val="0"/>
        <w:spacing w:line="264" w:lineRule="auto"/>
        <w:ind w:left="357" w:hanging="357"/>
        <w:textAlignment w:val="baseline"/>
        <w:rPr>
          <w:bCs/>
          <w:iCs/>
          <w:lang w:val="fr-BE"/>
        </w:rPr>
      </w:pPr>
      <w:r w:rsidRPr="004267B4">
        <w:rPr>
          <w:lang w:val="fr-BE"/>
        </w:rPr>
        <w:t xml:space="preserve">estime qu’il est essentiel de </w:t>
      </w:r>
      <w:r w:rsidRPr="004267B4">
        <w:rPr>
          <w:b/>
          <w:bCs/>
          <w:lang w:val="fr-BE"/>
        </w:rPr>
        <w:t>renforcer la réponse collective aux cyberattaques et de consolider le processus d’harmonisation en matière de cybersécurité</w:t>
      </w:r>
      <w:r w:rsidRPr="004267B4">
        <w:rPr>
          <w:lang w:val="fr-BE"/>
        </w:rPr>
        <w:t xml:space="preserve"> au niveau national en ce qui concerne les règles et les outils opérationnels, afin d’éviter que des approches nationales différenciées ne créent des incertitudes et des obstacles juridiques;</w:t>
      </w:r>
    </w:p>
    <w:p w14:paraId="22F7A994" w14:textId="77777777" w:rsidR="00F72E3F" w:rsidRPr="004267B4" w:rsidRDefault="00F72E3F" w:rsidP="00372D8B">
      <w:pPr>
        <w:widowControl w:val="0"/>
        <w:numPr>
          <w:ilvl w:val="0"/>
          <w:numId w:val="33"/>
        </w:numPr>
        <w:overflowPunct w:val="0"/>
        <w:autoSpaceDE w:val="0"/>
        <w:autoSpaceDN w:val="0"/>
        <w:adjustRightInd w:val="0"/>
        <w:spacing w:line="264" w:lineRule="auto"/>
        <w:ind w:left="357" w:hanging="357"/>
        <w:textAlignment w:val="baseline"/>
        <w:rPr>
          <w:bCs/>
          <w:iCs/>
          <w:lang w:val="fr-BE"/>
        </w:rPr>
      </w:pPr>
      <w:r w:rsidRPr="004267B4">
        <w:rPr>
          <w:lang w:val="fr-BE"/>
        </w:rPr>
        <w:t xml:space="preserve">juge important de souligner que, s’il est appréciable que la législation sur la cyberrésilience couvre pratiquement tous les produits numériques, </w:t>
      </w:r>
      <w:r w:rsidRPr="004267B4">
        <w:rPr>
          <w:b/>
          <w:bCs/>
          <w:lang w:val="fr-BE"/>
        </w:rPr>
        <w:t>sa mise en œuvre concrète pourrait soulever des problèmes</w:t>
      </w:r>
      <w:r w:rsidRPr="004267B4">
        <w:rPr>
          <w:lang w:val="fr-BE"/>
        </w:rPr>
        <w:t>, compte tenu de l’importante et complexe activité de vérification et de contrôle qu’elle suppose;</w:t>
      </w:r>
    </w:p>
    <w:p w14:paraId="12314C17" w14:textId="77777777" w:rsidR="00F72E3F" w:rsidRPr="004267B4" w:rsidRDefault="00F72E3F" w:rsidP="00372D8B">
      <w:pPr>
        <w:widowControl w:val="0"/>
        <w:numPr>
          <w:ilvl w:val="0"/>
          <w:numId w:val="33"/>
        </w:numPr>
        <w:overflowPunct w:val="0"/>
        <w:autoSpaceDE w:val="0"/>
        <w:autoSpaceDN w:val="0"/>
        <w:adjustRightInd w:val="0"/>
        <w:spacing w:line="264" w:lineRule="auto"/>
        <w:ind w:left="357" w:hanging="357"/>
        <w:textAlignment w:val="baseline"/>
        <w:rPr>
          <w:bCs/>
          <w:iCs/>
          <w:lang w:val="fr-BE"/>
        </w:rPr>
      </w:pPr>
      <w:r w:rsidRPr="004267B4">
        <w:rPr>
          <w:lang w:val="fr-BE"/>
        </w:rPr>
        <w:t xml:space="preserve">souligne la </w:t>
      </w:r>
      <w:r w:rsidRPr="004267B4">
        <w:rPr>
          <w:b/>
          <w:bCs/>
          <w:lang w:val="fr-BE"/>
        </w:rPr>
        <w:t>nécessité de clarifier avec précision le champ d’application matériel de la législation</w:t>
      </w:r>
      <w:r w:rsidRPr="004267B4">
        <w:rPr>
          <w:lang w:val="fr-BE"/>
        </w:rPr>
        <w:t xml:space="preserve"> envisagée, notamment en ce qui concerne les produits comportant des éléments numériques et les logiciels;</w:t>
      </w:r>
    </w:p>
    <w:p w14:paraId="0840CB9D" w14:textId="77777777" w:rsidR="00F72E3F" w:rsidRPr="004267B4" w:rsidRDefault="00F72E3F" w:rsidP="00372D8B">
      <w:pPr>
        <w:widowControl w:val="0"/>
        <w:numPr>
          <w:ilvl w:val="0"/>
          <w:numId w:val="33"/>
        </w:numPr>
        <w:overflowPunct w:val="0"/>
        <w:autoSpaceDE w:val="0"/>
        <w:autoSpaceDN w:val="0"/>
        <w:adjustRightInd w:val="0"/>
        <w:spacing w:line="264" w:lineRule="auto"/>
        <w:ind w:left="357" w:hanging="357"/>
        <w:textAlignment w:val="baseline"/>
        <w:rPr>
          <w:bCs/>
          <w:iCs/>
          <w:lang w:val="fr-BE"/>
        </w:rPr>
      </w:pPr>
      <w:r w:rsidRPr="004267B4">
        <w:rPr>
          <w:lang w:val="fr-BE"/>
        </w:rPr>
        <w:t xml:space="preserve">souligne la nécessité de </w:t>
      </w:r>
      <w:r w:rsidRPr="004267B4">
        <w:rPr>
          <w:b/>
          <w:bCs/>
          <w:lang w:val="fr-BE"/>
        </w:rPr>
        <w:t>clarifier les critères applicables aux services fournis par les autorités de certification</w:t>
      </w:r>
      <w:r w:rsidRPr="004267B4">
        <w:rPr>
          <w:lang w:val="fr-BE"/>
        </w:rPr>
        <w:t xml:space="preserve"> afin de tenir compte des besoins spécifiques des PME;</w:t>
      </w:r>
    </w:p>
    <w:p w14:paraId="38CFF92D" w14:textId="77777777" w:rsidR="00F72E3F" w:rsidRPr="004267B4" w:rsidRDefault="00F72E3F" w:rsidP="00372D8B">
      <w:pPr>
        <w:widowControl w:val="0"/>
        <w:numPr>
          <w:ilvl w:val="0"/>
          <w:numId w:val="33"/>
        </w:numPr>
        <w:overflowPunct w:val="0"/>
        <w:autoSpaceDE w:val="0"/>
        <w:autoSpaceDN w:val="0"/>
        <w:adjustRightInd w:val="0"/>
        <w:spacing w:line="264" w:lineRule="auto"/>
        <w:ind w:left="357" w:hanging="357"/>
        <w:textAlignment w:val="baseline"/>
        <w:rPr>
          <w:lang w:val="fr-BE"/>
        </w:rPr>
      </w:pPr>
      <w:r w:rsidRPr="004267B4">
        <w:rPr>
          <w:lang w:val="fr-BE"/>
        </w:rPr>
        <w:t xml:space="preserve">note que les producteurs seront tenus de signaler, d’une part, les vulnérabilités des produits et, d’autre part, les éventuels incidents de sécurité, en informant l’Agence de l’Union européenne pour la cybersécurité (ENISA). En conséquence, </w:t>
      </w:r>
      <w:r w:rsidRPr="004267B4">
        <w:rPr>
          <w:b/>
          <w:bCs/>
          <w:lang w:val="fr-BE"/>
        </w:rPr>
        <w:t>il importe que cette agence soit dotée des ressources nécessaires</w:t>
      </w:r>
      <w:r w:rsidRPr="004267B4">
        <w:rPr>
          <w:lang w:val="fr-BE"/>
        </w:rPr>
        <w:t xml:space="preserve"> pour accomplir promptement et efficacement les tâches importantes et délicates qui lui seront confiées;</w:t>
      </w:r>
    </w:p>
    <w:p w14:paraId="1D96F8D9" w14:textId="77777777" w:rsidR="00F72E3F" w:rsidRPr="004267B4" w:rsidRDefault="00F72E3F" w:rsidP="00372D8B">
      <w:pPr>
        <w:widowControl w:val="0"/>
        <w:numPr>
          <w:ilvl w:val="0"/>
          <w:numId w:val="33"/>
        </w:numPr>
        <w:overflowPunct w:val="0"/>
        <w:autoSpaceDE w:val="0"/>
        <w:autoSpaceDN w:val="0"/>
        <w:adjustRightInd w:val="0"/>
        <w:spacing w:line="264" w:lineRule="auto"/>
        <w:ind w:left="357" w:hanging="357"/>
        <w:textAlignment w:val="baseline"/>
        <w:rPr>
          <w:rFonts w:asciiTheme="minorHAnsi" w:hAnsiTheme="minorHAnsi"/>
          <w:lang w:val="fr-BE"/>
        </w:rPr>
      </w:pPr>
      <w:r w:rsidRPr="004267B4">
        <w:rPr>
          <w:lang w:val="fr-BE"/>
        </w:rPr>
        <w:t xml:space="preserve">suggère à la Commission d’élaborer des </w:t>
      </w:r>
      <w:r w:rsidRPr="004267B4">
        <w:rPr>
          <w:b/>
          <w:bCs/>
          <w:lang w:val="fr-BE"/>
        </w:rPr>
        <w:t>lignes directrices spécifiques qui orientent les producteurs et les consommateurs</w:t>
      </w:r>
      <w:r w:rsidRPr="004267B4">
        <w:rPr>
          <w:lang w:val="fr-BE"/>
        </w:rPr>
        <w:t xml:space="preserve"> quant aux règles et procédures concrètement applicables, afin d’éviter toute incertitude quant à l’interprétation de cette proposition législative par rapport à d’autres textes législatifs en matière de cybersécurité;</w:t>
      </w:r>
    </w:p>
    <w:p w14:paraId="43D54F2F" w14:textId="77777777" w:rsidR="00F72E3F" w:rsidRPr="004267B4" w:rsidRDefault="00F72E3F" w:rsidP="00372D8B">
      <w:pPr>
        <w:widowControl w:val="0"/>
        <w:numPr>
          <w:ilvl w:val="0"/>
          <w:numId w:val="33"/>
        </w:numPr>
        <w:overflowPunct w:val="0"/>
        <w:autoSpaceDE w:val="0"/>
        <w:autoSpaceDN w:val="0"/>
        <w:adjustRightInd w:val="0"/>
        <w:spacing w:line="264" w:lineRule="auto"/>
        <w:ind w:left="357" w:hanging="357"/>
        <w:textAlignment w:val="baseline"/>
        <w:rPr>
          <w:rFonts w:asciiTheme="minorHAnsi" w:hAnsiTheme="minorHAnsi"/>
          <w:lang w:val="fr-BE"/>
        </w:rPr>
      </w:pPr>
      <w:r w:rsidRPr="004267B4">
        <w:rPr>
          <w:lang w:val="fr-BE"/>
        </w:rPr>
        <w:t xml:space="preserve">constate que la </w:t>
      </w:r>
      <w:r w:rsidRPr="004267B4">
        <w:rPr>
          <w:b/>
          <w:bCs/>
          <w:lang w:val="fr-BE"/>
        </w:rPr>
        <w:t>relation</w:t>
      </w:r>
      <w:r w:rsidRPr="004267B4">
        <w:rPr>
          <w:lang w:val="fr-BE"/>
        </w:rPr>
        <w:t xml:space="preserve"> entre les </w:t>
      </w:r>
      <w:r w:rsidRPr="004267B4">
        <w:rPr>
          <w:b/>
          <w:bCs/>
          <w:lang w:val="fr-BE"/>
        </w:rPr>
        <w:t>autorités de certification relevant de la législation sur la cyberrésilience</w:t>
      </w:r>
      <w:r w:rsidRPr="004267B4">
        <w:rPr>
          <w:lang w:val="fr-BE"/>
        </w:rPr>
        <w:t xml:space="preserve"> et d’</w:t>
      </w:r>
      <w:r w:rsidRPr="004267B4">
        <w:rPr>
          <w:b/>
          <w:bCs/>
          <w:lang w:val="fr-BE"/>
        </w:rPr>
        <w:t>autres organismes</w:t>
      </w:r>
      <w:r w:rsidRPr="004267B4">
        <w:rPr>
          <w:lang w:val="fr-BE"/>
        </w:rPr>
        <w:t xml:space="preserve"> habilités à certifier la cybersécurité au titre d’autres actes législatifs, ainsi que la </w:t>
      </w:r>
      <w:r w:rsidRPr="004267B4">
        <w:rPr>
          <w:b/>
          <w:bCs/>
          <w:lang w:val="fr-BE"/>
        </w:rPr>
        <w:t>coordination opérationnelle</w:t>
      </w:r>
      <w:r w:rsidRPr="004267B4">
        <w:rPr>
          <w:lang w:val="fr-BE"/>
        </w:rPr>
        <w:t xml:space="preserve"> entre les </w:t>
      </w:r>
      <w:r w:rsidRPr="004267B4">
        <w:rPr>
          <w:b/>
          <w:bCs/>
          <w:lang w:val="fr-BE"/>
        </w:rPr>
        <w:t>autorités de surveillance</w:t>
      </w:r>
      <w:r w:rsidRPr="004267B4">
        <w:rPr>
          <w:lang w:val="fr-BE"/>
        </w:rPr>
        <w:t xml:space="preserve"> prévues dans la présente proposition et </w:t>
      </w:r>
      <w:r w:rsidRPr="004267B4">
        <w:rPr>
          <w:b/>
          <w:bCs/>
          <w:lang w:val="fr-BE"/>
        </w:rPr>
        <w:t>celles</w:t>
      </w:r>
      <w:r w:rsidRPr="004267B4">
        <w:rPr>
          <w:lang w:val="fr-BE"/>
        </w:rPr>
        <w:t xml:space="preserve"> qui opèrent déjà conformément à d’autres législations applicables aux mêmes produits, ne sont pas tout à fait claires.</w:t>
      </w:r>
    </w:p>
    <w:p w14:paraId="694B9A4F" w14:textId="77777777" w:rsidR="00F72E3F" w:rsidRPr="004267B4" w:rsidRDefault="00F72E3F" w:rsidP="00F72E3F">
      <w:pPr>
        <w:widowControl w:val="0"/>
        <w:spacing w:line="240" w:lineRule="auto"/>
        <w:ind w:left="709"/>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F72E3F" w:rsidRPr="004267B4" w14:paraId="0ABE09AA" w14:textId="77777777" w:rsidTr="0059328F">
        <w:tc>
          <w:tcPr>
            <w:tcW w:w="1418" w:type="dxa"/>
          </w:tcPr>
          <w:p w14:paraId="146BB98B" w14:textId="77777777" w:rsidR="00F72E3F" w:rsidRPr="004267B4" w:rsidRDefault="00F72E3F" w:rsidP="0059328F">
            <w:pPr>
              <w:spacing w:line="240" w:lineRule="auto"/>
              <w:rPr>
                <w:i/>
                <w:lang w:val="fr-BE"/>
              </w:rPr>
            </w:pPr>
            <w:r w:rsidRPr="004267B4">
              <w:rPr>
                <w:b/>
                <w:i/>
                <w:lang w:val="fr-BE"/>
              </w:rPr>
              <w:t>Contact</w:t>
            </w:r>
          </w:p>
        </w:tc>
        <w:tc>
          <w:tcPr>
            <w:tcW w:w="5670" w:type="dxa"/>
          </w:tcPr>
          <w:p w14:paraId="03B9D21B" w14:textId="370530BB" w:rsidR="00F72E3F" w:rsidRPr="004267B4" w:rsidRDefault="00F72E3F" w:rsidP="0059328F">
            <w:pPr>
              <w:spacing w:line="240" w:lineRule="auto"/>
              <w:rPr>
                <w:i/>
                <w:lang w:val="fr-BE"/>
              </w:rPr>
            </w:pPr>
            <w:r w:rsidRPr="004267B4">
              <w:rPr>
                <w:i/>
                <w:lang w:val="fr-BE"/>
              </w:rPr>
              <w:t xml:space="preserve">Marco </w:t>
            </w:r>
            <w:r w:rsidR="004466E9" w:rsidRPr="004267B4">
              <w:rPr>
                <w:i/>
                <w:lang w:val="fr-BE"/>
              </w:rPr>
              <w:t>Manfroni</w:t>
            </w:r>
          </w:p>
        </w:tc>
      </w:tr>
      <w:tr w:rsidR="00F72E3F" w:rsidRPr="004267B4" w14:paraId="26CD030B" w14:textId="77777777" w:rsidTr="0059328F">
        <w:tc>
          <w:tcPr>
            <w:tcW w:w="1418" w:type="dxa"/>
          </w:tcPr>
          <w:p w14:paraId="3785668C" w14:textId="77777777" w:rsidR="00F72E3F" w:rsidRPr="004267B4" w:rsidRDefault="00F72E3F" w:rsidP="0059328F">
            <w:pPr>
              <w:spacing w:line="240" w:lineRule="auto"/>
              <w:rPr>
                <w:i/>
                <w:lang w:val="fr-BE"/>
              </w:rPr>
            </w:pPr>
            <w:r w:rsidRPr="004267B4">
              <w:rPr>
                <w:i/>
                <w:lang w:val="fr-BE"/>
              </w:rPr>
              <w:t>Tél.</w:t>
            </w:r>
          </w:p>
        </w:tc>
        <w:tc>
          <w:tcPr>
            <w:tcW w:w="5670" w:type="dxa"/>
          </w:tcPr>
          <w:p w14:paraId="13BBCDA6" w14:textId="3202D16C" w:rsidR="00F72E3F" w:rsidRPr="004267B4" w:rsidRDefault="00372D8B" w:rsidP="0059328F">
            <w:pPr>
              <w:spacing w:line="240" w:lineRule="auto"/>
              <w:rPr>
                <w:i/>
                <w:lang w:val="fr-BE"/>
              </w:rPr>
            </w:pPr>
            <w:r>
              <w:rPr>
                <w:i/>
                <w:lang w:val="fr-BE"/>
              </w:rPr>
              <w:t>+32 2</w:t>
            </w:r>
            <w:r w:rsidR="00F72E3F" w:rsidRPr="004267B4">
              <w:rPr>
                <w:i/>
                <w:lang w:val="fr-BE"/>
              </w:rPr>
              <w:t xml:space="preserve"> 546 91 40</w:t>
            </w:r>
          </w:p>
        </w:tc>
      </w:tr>
      <w:tr w:rsidR="00F72E3F" w:rsidRPr="004267B4" w14:paraId="06420127" w14:textId="77777777" w:rsidTr="0059328F">
        <w:tc>
          <w:tcPr>
            <w:tcW w:w="1418" w:type="dxa"/>
          </w:tcPr>
          <w:p w14:paraId="21FA7725" w14:textId="77777777" w:rsidR="00F72E3F" w:rsidRPr="004267B4" w:rsidRDefault="00F72E3F" w:rsidP="0059328F">
            <w:pPr>
              <w:spacing w:line="240" w:lineRule="auto"/>
              <w:rPr>
                <w:i/>
                <w:lang w:val="fr-BE"/>
              </w:rPr>
            </w:pPr>
            <w:r w:rsidRPr="004267B4">
              <w:rPr>
                <w:i/>
                <w:lang w:val="fr-BE"/>
              </w:rPr>
              <w:t>Courriel:</w:t>
            </w:r>
          </w:p>
        </w:tc>
        <w:tc>
          <w:tcPr>
            <w:tcW w:w="5670" w:type="dxa"/>
          </w:tcPr>
          <w:p w14:paraId="20B9781F" w14:textId="77777777" w:rsidR="00F72E3F" w:rsidRPr="004267B4" w:rsidRDefault="004466E9" w:rsidP="0059328F">
            <w:pPr>
              <w:spacing w:line="240" w:lineRule="auto"/>
              <w:rPr>
                <w:i/>
                <w:lang w:val="fr-BE"/>
              </w:rPr>
            </w:pPr>
            <w:hyperlink r:id="rId37" w:history="1">
              <w:r w:rsidR="00F72E3F" w:rsidRPr="004267B4">
                <w:rPr>
                  <w:rStyle w:val="Hyperlink"/>
                  <w:i/>
                  <w:lang w:val="fr-BE"/>
                </w:rPr>
                <w:t>marco.manfroni@eesc.europa.eu</w:t>
              </w:r>
            </w:hyperlink>
          </w:p>
        </w:tc>
      </w:tr>
    </w:tbl>
    <w:p w14:paraId="3313A1BE" w14:textId="77777777" w:rsidR="009A3E0E" w:rsidRPr="004267B4" w:rsidRDefault="009A3E0E" w:rsidP="00DA2729">
      <w:pPr>
        <w:spacing w:line="259" w:lineRule="auto"/>
        <w:jc w:val="left"/>
        <w:rPr>
          <w:lang w:val="fr-BE"/>
        </w:rPr>
      </w:pPr>
      <w:r w:rsidRPr="004267B4">
        <w:rPr>
          <w:lang w:val="fr-BE"/>
        </w:rPr>
        <w:br w:type="page"/>
      </w:r>
    </w:p>
    <w:p w14:paraId="1761995B" w14:textId="77777777" w:rsidR="009A3E0E" w:rsidRPr="004267B4" w:rsidRDefault="009A3E0E" w:rsidP="00DA2729">
      <w:pPr>
        <w:spacing w:line="259" w:lineRule="auto"/>
        <w:jc w:val="left"/>
        <w:rPr>
          <w:lang w:val="fr-BE"/>
        </w:rPr>
      </w:pPr>
    </w:p>
    <w:p w14:paraId="4B650B5C" w14:textId="013C9A33" w:rsidR="00F72E3F" w:rsidRPr="004267B4" w:rsidRDefault="004466E9" w:rsidP="00FF013B">
      <w:pPr>
        <w:widowControl w:val="0"/>
        <w:numPr>
          <w:ilvl w:val="0"/>
          <w:numId w:val="4"/>
        </w:numPr>
        <w:overflowPunct w:val="0"/>
        <w:autoSpaceDE w:val="0"/>
        <w:autoSpaceDN w:val="0"/>
        <w:adjustRightInd w:val="0"/>
        <w:ind w:hanging="567"/>
        <w:textAlignment w:val="baseline"/>
        <w:rPr>
          <w:sz w:val="20"/>
          <w:lang w:val="fr-BE"/>
        </w:rPr>
      </w:pPr>
      <w:hyperlink r:id="rId38" w:history="1">
        <w:r w:rsidR="00F72E3F" w:rsidRPr="00372D8B">
          <w:rPr>
            <w:b/>
            <w:i/>
            <w:sz w:val="28"/>
            <w:lang w:val="fr-BE"/>
          </w:rPr>
          <w:t>Contrôle de compétitivité</w:t>
        </w:r>
      </w:hyperlink>
    </w:p>
    <w:p w14:paraId="7E71B3A4" w14:textId="77777777" w:rsidR="00F72E3F" w:rsidRPr="004267B4" w:rsidRDefault="00F72E3F" w:rsidP="00F72E3F">
      <w:pPr>
        <w:tabs>
          <w:tab w:val="center" w:pos="284"/>
        </w:tabs>
        <w:ind w:left="266" w:hanging="266"/>
        <w:rPr>
          <w:b/>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21"/>
      </w:tblGrid>
      <w:tr w:rsidR="00F72E3F" w:rsidRPr="004267B4" w14:paraId="73912DC4" w14:textId="77777777" w:rsidTr="00074BCE">
        <w:tc>
          <w:tcPr>
            <w:tcW w:w="1701" w:type="dxa"/>
          </w:tcPr>
          <w:p w14:paraId="6B059801" w14:textId="77777777" w:rsidR="00F72E3F" w:rsidRPr="004267B4" w:rsidRDefault="00F72E3F" w:rsidP="0059328F">
            <w:pPr>
              <w:tabs>
                <w:tab w:val="center" w:pos="284"/>
              </w:tabs>
              <w:ind w:left="266" w:hanging="266"/>
              <w:rPr>
                <w:bCs/>
                <w:lang w:val="fr-BE"/>
              </w:rPr>
            </w:pPr>
            <w:r w:rsidRPr="004267B4">
              <w:rPr>
                <w:b/>
                <w:lang w:val="fr-BE"/>
              </w:rPr>
              <w:t xml:space="preserve">Rapporteur </w:t>
            </w:r>
          </w:p>
        </w:tc>
        <w:tc>
          <w:tcPr>
            <w:tcW w:w="7621" w:type="dxa"/>
          </w:tcPr>
          <w:p w14:paraId="50A56143" w14:textId="74568C04" w:rsidR="00F72E3F" w:rsidRPr="004267B4" w:rsidRDefault="00F72E3F" w:rsidP="0059328F">
            <w:pPr>
              <w:tabs>
                <w:tab w:val="center" w:pos="284"/>
              </w:tabs>
              <w:ind w:left="266" w:hanging="266"/>
              <w:rPr>
                <w:lang w:val="fr-BE"/>
              </w:rPr>
            </w:pPr>
            <w:r w:rsidRPr="004267B4">
              <w:rPr>
                <w:lang w:val="fr-BE"/>
              </w:rPr>
              <w:t>Christian ARDHE (</w:t>
            </w:r>
            <w:r w:rsidR="00F13412">
              <w:t xml:space="preserve">groupe </w:t>
            </w:r>
            <w:r w:rsidR="00372D8B">
              <w:t xml:space="preserve">des employeurs </w:t>
            </w:r>
            <w:r w:rsidRPr="004267B4">
              <w:rPr>
                <w:lang w:val="fr-BE"/>
              </w:rPr>
              <w:t>— S</w:t>
            </w:r>
            <w:r w:rsidR="00372D8B">
              <w:rPr>
                <w:lang w:val="fr-BE"/>
              </w:rPr>
              <w:t>E</w:t>
            </w:r>
            <w:r w:rsidRPr="004267B4">
              <w:rPr>
                <w:lang w:val="fr-BE"/>
              </w:rPr>
              <w:t>)</w:t>
            </w:r>
          </w:p>
        </w:tc>
      </w:tr>
      <w:tr w:rsidR="00F72E3F" w:rsidRPr="004267B4" w14:paraId="24F3334F" w14:textId="77777777" w:rsidTr="00074BCE">
        <w:tc>
          <w:tcPr>
            <w:tcW w:w="1701" w:type="dxa"/>
          </w:tcPr>
          <w:p w14:paraId="23959DA8" w14:textId="77777777" w:rsidR="00F72E3F" w:rsidRPr="004267B4" w:rsidRDefault="00F72E3F" w:rsidP="0059328F">
            <w:pPr>
              <w:tabs>
                <w:tab w:val="center" w:pos="284"/>
              </w:tabs>
              <w:ind w:left="266" w:hanging="266"/>
              <w:rPr>
                <w:b/>
                <w:lang w:val="fr-BE"/>
              </w:rPr>
            </w:pPr>
            <w:r w:rsidRPr="004267B4">
              <w:rPr>
                <w:b/>
                <w:lang w:val="fr-BE"/>
              </w:rPr>
              <w:t>Corapporteur</w:t>
            </w:r>
          </w:p>
        </w:tc>
        <w:tc>
          <w:tcPr>
            <w:tcW w:w="7621" w:type="dxa"/>
          </w:tcPr>
          <w:p w14:paraId="3DCE0DC6" w14:textId="20D2712F" w:rsidR="00F72E3F" w:rsidRPr="004267B4" w:rsidRDefault="00F72E3F" w:rsidP="00372D8B">
            <w:pPr>
              <w:ind w:left="-2" w:firstLine="2"/>
              <w:rPr>
                <w:lang w:val="fr-BE"/>
              </w:rPr>
            </w:pPr>
            <w:r w:rsidRPr="004267B4">
              <w:rPr>
                <w:lang w:val="fr-BE"/>
              </w:rPr>
              <w:t>Giuseppe GUERINI (</w:t>
            </w:r>
            <w:r w:rsidR="00F13412">
              <w:t xml:space="preserve">groupe </w:t>
            </w:r>
            <w:r w:rsidR="00372D8B" w:rsidRPr="00DA2729">
              <w:t>des organisations de la société civile</w:t>
            </w:r>
            <w:r w:rsidR="00372D8B">
              <w:t xml:space="preserve"> —</w:t>
            </w:r>
            <w:r w:rsidRPr="004267B4">
              <w:rPr>
                <w:lang w:val="fr-BE"/>
              </w:rPr>
              <w:t>I</w:t>
            </w:r>
            <w:r w:rsidR="00372D8B">
              <w:rPr>
                <w:lang w:val="fr-BE"/>
              </w:rPr>
              <w:t>T</w:t>
            </w:r>
            <w:r w:rsidRPr="004267B4">
              <w:rPr>
                <w:lang w:val="fr-BE"/>
              </w:rPr>
              <w:t>)</w:t>
            </w:r>
          </w:p>
        </w:tc>
      </w:tr>
      <w:tr w:rsidR="00F72E3F" w:rsidRPr="004267B4" w14:paraId="340DFD47" w14:textId="77777777" w:rsidTr="00074BCE">
        <w:tc>
          <w:tcPr>
            <w:tcW w:w="9322" w:type="dxa"/>
            <w:gridSpan w:val="2"/>
          </w:tcPr>
          <w:p w14:paraId="21041107" w14:textId="77777777" w:rsidR="00F72E3F" w:rsidRPr="004267B4" w:rsidRDefault="00F72E3F" w:rsidP="0059328F">
            <w:pPr>
              <w:tabs>
                <w:tab w:val="center" w:pos="284"/>
              </w:tabs>
              <w:spacing w:line="160" w:lineRule="exact"/>
              <w:ind w:left="266" w:hanging="266"/>
              <w:rPr>
                <w:lang w:val="fr-BE"/>
              </w:rPr>
            </w:pPr>
          </w:p>
        </w:tc>
      </w:tr>
      <w:tr w:rsidR="00F72E3F" w:rsidRPr="004267B4" w14:paraId="1E6DC0B3" w14:textId="77777777" w:rsidTr="00074BCE">
        <w:tc>
          <w:tcPr>
            <w:tcW w:w="1701" w:type="dxa"/>
            <w:vMerge w:val="restart"/>
          </w:tcPr>
          <w:p w14:paraId="17BA6E6D" w14:textId="77777777" w:rsidR="00F72E3F" w:rsidRPr="004267B4" w:rsidRDefault="00F72E3F" w:rsidP="0059328F">
            <w:pPr>
              <w:tabs>
                <w:tab w:val="center" w:pos="284"/>
              </w:tabs>
              <w:ind w:left="266" w:hanging="266"/>
              <w:rPr>
                <w:b/>
                <w:lang w:val="fr-BE"/>
              </w:rPr>
            </w:pPr>
            <w:r w:rsidRPr="004267B4">
              <w:rPr>
                <w:b/>
                <w:lang w:val="fr-BE"/>
              </w:rPr>
              <w:t>Références</w:t>
            </w:r>
          </w:p>
        </w:tc>
        <w:tc>
          <w:tcPr>
            <w:tcW w:w="7621" w:type="dxa"/>
          </w:tcPr>
          <w:p w14:paraId="662B1912" w14:textId="6A636165" w:rsidR="00F72E3F" w:rsidRPr="004267B4" w:rsidRDefault="00F72E3F" w:rsidP="0059328F">
            <w:pPr>
              <w:tabs>
                <w:tab w:val="center" w:pos="284"/>
              </w:tabs>
              <w:ind w:left="266" w:hanging="266"/>
              <w:rPr>
                <w:lang w:val="fr-BE"/>
              </w:rPr>
            </w:pPr>
            <w:r w:rsidRPr="004267B4">
              <w:rPr>
                <w:lang w:val="fr-BE"/>
              </w:rPr>
              <w:t>Avis exploratoire</w:t>
            </w:r>
            <w:r w:rsidR="00372D8B">
              <w:rPr>
                <w:lang w:val="fr-BE"/>
              </w:rPr>
              <w:t xml:space="preserve"> à la demande de la présidence tchèque</w:t>
            </w:r>
          </w:p>
        </w:tc>
      </w:tr>
      <w:tr w:rsidR="00F72E3F" w:rsidRPr="004267B4" w14:paraId="05F31F54" w14:textId="77777777" w:rsidTr="00074BCE">
        <w:tc>
          <w:tcPr>
            <w:tcW w:w="1701" w:type="dxa"/>
            <w:vMerge/>
          </w:tcPr>
          <w:p w14:paraId="738661D9" w14:textId="77777777" w:rsidR="00F72E3F" w:rsidRPr="004267B4" w:rsidRDefault="00F72E3F" w:rsidP="0059328F">
            <w:pPr>
              <w:tabs>
                <w:tab w:val="center" w:pos="284"/>
              </w:tabs>
              <w:ind w:left="266" w:hanging="266"/>
              <w:rPr>
                <w:b/>
                <w:lang w:val="fr-BE"/>
              </w:rPr>
            </w:pPr>
          </w:p>
        </w:tc>
        <w:tc>
          <w:tcPr>
            <w:tcW w:w="7621" w:type="dxa"/>
          </w:tcPr>
          <w:p w14:paraId="0564C556" w14:textId="558B9D3A" w:rsidR="00F72E3F" w:rsidRPr="004267B4" w:rsidRDefault="00F72E3F" w:rsidP="0059328F">
            <w:pPr>
              <w:tabs>
                <w:tab w:val="center" w:pos="284"/>
              </w:tabs>
              <w:ind w:left="266" w:hanging="266"/>
              <w:rPr>
                <w:lang w:val="fr-BE"/>
              </w:rPr>
            </w:pPr>
            <w:r w:rsidRPr="004267B4">
              <w:rPr>
                <w:lang w:val="fr-BE"/>
              </w:rPr>
              <w:t>EESC-2022-03972-00-00-A</w:t>
            </w:r>
            <w:r w:rsidR="00372D8B">
              <w:rPr>
                <w:lang w:val="fr-BE"/>
              </w:rPr>
              <w:t>C</w:t>
            </w:r>
          </w:p>
        </w:tc>
      </w:tr>
    </w:tbl>
    <w:p w14:paraId="5B059E00" w14:textId="77777777" w:rsidR="00F72E3F" w:rsidRPr="004267B4" w:rsidRDefault="00F72E3F" w:rsidP="00F72E3F">
      <w:pPr>
        <w:tabs>
          <w:tab w:val="center" w:pos="284"/>
        </w:tabs>
        <w:ind w:left="266" w:hanging="266"/>
        <w:rPr>
          <w:lang w:val="fr-BE"/>
        </w:rPr>
      </w:pPr>
    </w:p>
    <w:p w14:paraId="018B4098" w14:textId="77777777" w:rsidR="00F72E3F" w:rsidRPr="004267B4" w:rsidRDefault="00F72E3F" w:rsidP="00F72E3F">
      <w:pPr>
        <w:keepNext/>
        <w:keepLines/>
        <w:tabs>
          <w:tab w:val="center" w:pos="284"/>
        </w:tabs>
        <w:ind w:left="266" w:hanging="266"/>
        <w:rPr>
          <w:b/>
          <w:lang w:val="fr-BE"/>
        </w:rPr>
      </w:pPr>
      <w:r w:rsidRPr="004267B4">
        <w:rPr>
          <w:b/>
          <w:lang w:val="fr-BE"/>
        </w:rPr>
        <w:t>Points clés</w:t>
      </w:r>
    </w:p>
    <w:p w14:paraId="5639AB7C" w14:textId="77777777" w:rsidR="00F72E3F" w:rsidRPr="004267B4" w:rsidRDefault="00F72E3F" w:rsidP="00F72E3F">
      <w:pPr>
        <w:keepNext/>
        <w:keepLines/>
        <w:tabs>
          <w:tab w:val="center" w:pos="284"/>
        </w:tabs>
        <w:ind w:left="266" w:hanging="266"/>
        <w:rPr>
          <w:b/>
          <w:lang w:val="fr-BE"/>
        </w:rPr>
      </w:pPr>
    </w:p>
    <w:p w14:paraId="7D748A96" w14:textId="77777777" w:rsidR="00F72E3F" w:rsidRPr="004267B4" w:rsidRDefault="00F72E3F" w:rsidP="00F72E3F">
      <w:pPr>
        <w:keepNext/>
        <w:rPr>
          <w:bCs/>
          <w:iCs/>
          <w:lang w:val="fr-BE"/>
        </w:rPr>
      </w:pPr>
      <w:r w:rsidRPr="004267B4">
        <w:rPr>
          <w:lang w:val="fr-BE"/>
        </w:rPr>
        <w:t>Le CESE:</w:t>
      </w:r>
    </w:p>
    <w:p w14:paraId="7AF5A04A" w14:textId="77777777" w:rsidR="00F72E3F" w:rsidRPr="004267B4" w:rsidRDefault="00F72E3F" w:rsidP="00372D8B">
      <w:pPr>
        <w:keepNext/>
        <w:rPr>
          <w:lang w:val="fr-BE"/>
        </w:rPr>
      </w:pPr>
    </w:p>
    <w:p w14:paraId="3C132434" w14:textId="77777777" w:rsidR="00F72E3F" w:rsidRPr="004267B4" w:rsidRDefault="00F72E3F" w:rsidP="00853EC1">
      <w:pPr>
        <w:pStyle w:val="Heading2"/>
        <w:numPr>
          <w:ilvl w:val="0"/>
          <w:numId w:val="34"/>
        </w:numPr>
        <w:ind w:left="357" w:hanging="357"/>
        <w:rPr>
          <w:lang w:val="fr-BE"/>
        </w:rPr>
      </w:pPr>
      <w:bookmarkStart w:id="31" w:name="_Toc124863708"/>
      <w:r w:rsidRPr="004267B4">
        <w:rPr>
          <w:lang w:val="fr-BE"/>
        </w:rPr>
        <w:t xml:space="preserve">conscient que le marché unique et l’économie sociale de marché de l’Union en constituent les atouts maîtres pour obtenir la croissance économique et le bien-être social, </w:t>
      </w:r>
      <w:r w:rsidRPr="004267B4">
        <w:rPr>
          <w:b/>
          <w:lang w:val="fr-BE"/>
        </w:rPr>
        <w:t>demande donc un contrôle de la compétitivité qui favorise l’esprit d’entreprise, la création d’emplois et l’amélioration des conditions de travail</w:t>
      </w:r>
      <w:r w:rsidRPr="004267B4">
        <w:rPr>
          <w:lang w:val="fr-BE"/>
        </w:rPr>
        <w:t>, ainsi qu’une croissance économique durable et la cohésion sociale;</w:t>
      </w:r>
      <w:bookmarkEnd w:id="31"/>
    </w:p>
    <w:p w14:paraId="4560B954" w14:textId="77777777" w:rsidR="00F72E3F" w:rsidRPr="004267B4" w:rsidRDefault="00F72E3F" w:rsidP="00853EC1">
      <w:pPr>
        <w:widowControl w:val="0"/>
        <w:numPr>
          <w:ilvl w:val="0"/>
          <w:numId w:val="34"/>
        </w:numPr>
        <w:overflowPunct w:val="0"/>
        <w:autoSpaceDE w:val="0"/>
        <w:autoSpaceDN w:val="0"/>
        <w:adjustRightInd w:val="0"/>
        <w:ind w:left="357" w:hanging="357"/>
        <w:textAlignment w:val="baseline"/>
        <w:rPr>
          <w:bCs/>
          <w:iCs/>
          <w:lang w:val="fr-BE"/>
        </w:rPr>
      </w:pPr>
      <w:r w:rsidRPr="004267B4">
        <w:rPr>
          <w:lang w:val="fr-BE"/>
        </w:rPr>
        <w:t xml:space="preserve">souligne que le </w:t>
      </w:r>
      <w:r w:rsidRPr="004267B4">
        <w:rPr>
          <w:b/>
          <w:lang w:val="fr-BE"/>
        </w:rPr>
        <w:t>contrôle de la compétitivité devrait constituer une partie essentielle d’un processus décisionnel de l’Union équilibré</w:t>
      </w:r>
      <w:r w:rsidRPr="004267B4">
        <w:rPr>
          <w:lang w:val="fr-BE"/>
        </w:rPr>
        <w:t xml:space="preserve"> et être appliqué dans le cadre de tout processus d’élaboration de ses politiques et de sa législation. Il devrait s’appliquer aux initiatives législatives, au droit dérivé, aux mesures budgétaires, aux stratégies et aux programmes, ainsi qu’aux accords internationaux;</w:t>
      </w:r>
    </w:p>
    <w:p w14:paraId="2AB2AE93" w14:textId="77777777" w:rsidR="00F72E3F" w:rsidRPr="004267B4" w:rsidRDefault="00F72E3F" w:rsidP="00853EC1">
      <w:pPr>
        <w:widowControl w:val="0"/>
        <w:numPr>
          <w:ilvl w:val="0"/>
          <w:numId w:val="34"/>
        </w:numPr>
        <w:overflowPunct w:val="0"/>
        <w:autoSpaceDE w:val="0"/>
        <w:autoSpaceDN w:val="0"/>
        <w:adjustRightInd w:val="0"/>
        <w:ind w:left="357" w:hanging="357"/>
        <w:textAlignment w:val="baseline"/>
        <w:rPr>
          <w:bCs/>
          <w:iCs/>
          <w:lang w:val="fr-BE"/>
        </w:rPr>
      </w:pPr>
      <w:r w:rsidRPr="004267B4">
        <w:rPr>
          <w:lang w:val="fr-BE"/>
        </w:rPr>
        <w:t xml:space="preserve">tient pour </w:t>
      </w:r>
      <w:r w:rsidRPr="004267B4">
        <w:rPr>
          <w:b/>
          <w:lang w:val="fr-BE"/>
        </w:rPr>
        <w:t>essentiel de veiller à ce que l’analyse d’impact sur la compétitivité soit obligatoire, efficace et pleinement appliquée, à chaque étape du processus décisionnel</w:t>
      </w:r>
      <w:r w:rsidRPr="004267B4">
        <w:rPr>
          <w:lang w:val="fr-BE"/>
        </w:rPr>
        <w:t>; se félicite des lignes directrices et de la boîte à outils existantes pour une meilleure réglementation, mais fait valoir que, comme relevé par le comité d’examen de la réglementation, des améliorations sont manifestement nécessaires, en particulier en ce qui concerne la mise en œuvre des outils;</w:t>
      </w:r>
    </w:p>
    <w:p w14:paraId="23DFF5D3" w14:textId="77777777" w:rsidR="00F72E3F" w:rsidRPr="004267B4" w:rsidRDefault="00F72E3F" w:rsidP="00853EC1">
      <w:pPr>
        <w:widowControl w:val="0"/>
        <w:numPr>
          <w:ilvl w:val="0"/>
          <w:numId w:val="34"/>
        </w:numPr>
        <w:overflowPunct w:val="0"/>
        <w:autoSpaceDE w:val="0"/>
        <w:autoSpaceDN w:val="0"/>
        <w:adjustRightInd w:val="0"/>
        <w:ind w:left="357" w:hanging="357"/>
        <w:textAlignment w:val="baseline"/>
        <w:rPr>
          <w:bCs/>
          <w:iCs/>
          <w:lang w:val="fr-BE"/>
        </w:rPr>
      </w:pPr>
      <w:r w:rsidRPr="004267B4">
        <w:rPr>
          <w:lang w:val="fr-BE"/>
        </w:rPr>
        <w:t xml:space="preserve">invite la Commission à élaborer </w:t>
      </w:r>
      <w:r w:rsidRPr="004267B4">
        <w:rPr>
          <w:b/>
          <w:lang w:val="fr-BE"/>
        </w:rPr>
        <w:t>un programme spécifique d’action en faveur de la compétitivité</w:t>
      </w:r>
      <w:r w:rsidRPr="004267B4">
        <w:rPr>
          <w:lang w:val="fr-BE"/>
        </w:rPr>
        <w:t>, avec pour objectif premier à long terme de renforcer la compétitivité de l’UE;</w:t>
      </w:r>
    </w:p>
    <w:p w14:paraId="61E670DF" w14:textId="77777777" w:rsidR="00F72E3F" w:rsidRPr="004267B4" w:rsidRDefault="00F72E3F" w:rsidP="00853EC1">
      <w:pPr>
        <w:widowControl w:val="0"/>
        <w:numPr>
          <w:ilvl w:val="0"/>
          <w:numId w:val="34"/>
        </w:numPr>
        <w:overflowPunct w:val="0"/>
        <w:autoSpaceDE w:val="0"/>
        <w:autoSpaceDN w:val="0"/>
        <w:adjustRightInd w:val="0"/>
        <w:ind w:left="357" w:hanging="357"/>
        <w:textAlignment w:val="baseline"/>
        <w:rPr>
          <w:bCs/>
          <w:iCs/>
          <w:lang w:val="fr-BE"/>
        </w:rPr>
      </w:pPr>
      <w:r w:rsidRPr="004267B4">
        <w:rPr>
          <w:lang w:val="fr-BE"/>
        </w:rPr>
        <w:t>estime qu’</w:t>
      </w:r>
      <w:r w:rsidRPr="004267B4">
        <w:rPr>
          <w:b/>
          <w:lang w:val="fr-BE"/>
        </w:rPr>
        <w:t>un tel programme de compétitivité devrait s’appuyer sur l’économie sociale de marché de l’Union</w:t>
      </w:r>
      <w:r w:rsidRPr="004267B4">
        <w:rPr>
          <w:lang w:val="fr-BE"/>
        </w:rPr>
        <w:t xml:space="preserve"> et se concentrer sur des questions fondamentales telles que le marché unique et le commerce extérieur, les investissements et l’accès au financement, les systèmes fiscaux, la recherche et l’innovation, les compétences et les marchés du travail, ainsi que les micro, petites et moyennes entreprises et la double transition, en tenant compte du cadre pour une finance durable qui prévoit une compétitivité cohérente avec les objectifs sociaux et environnementaux.</w:t>
      </w:r>
    </w:p>
    <w:p w14:paraId="60851751" w14:textId="4F3EA183" w:rsidR="00F72E3F" w:rsidRPr="004267B4" w:rsidRDefault="00F72E3F" w:rsidP="004466E9">
      <w:pPr>
        <w:widowControl w:val="0"/>
        <w:tabs>
          <w:tab w:val="left" w:pos="2467"/>
        </w:tabs>
        <w:ind w:left="357" w:hanging="357"/>
        <w:rPr>
          <w:lang w:val="fr-BE"/>
        </w:rPr>
      </w:pPr>
    </w:p>
    <w:tbl>
      <w:tblPr>
        <w:tblStyle w:val="TableGrid"/>
        <w:tblW w:w="8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3089"/>
        <w:gridCol w:w="4394"/>
      </w:tblGrid>
      <w:tr w:rsidR="00F72E3F" w:rsidRPr="004267B4" w14:paraId="4CA9C848" w14:textId="77777777" w:rsidTr="0059328F">
        <w:tc>
          <w:tcPr>
            <w:tcW w:w="1303" w:type="dxa"/>
          </w:tcPr>
          <w:p w14:paraId="6CDC6560" w14:textId="77777777" w:rsidR="00F72E3F" w:rsidRPr="004267B4" w:rsidRDefault="00F72E3F" w:rsidP="0059328F">
            <w:pPr>
              <w:spacing w:line="240" w:lineRule="auto"/>
              <w:rPr>
                <w:b/>
                <w:i/>
                <w:lang w:val="fr-BE"/>
              </w:rPr>
            </w:pPr>
            <w:r w:rsidRPr="004267B4">
              <w:rPr>
                <w:b/>
                <w:i/>
                <w:lang w:val="fr-BE"/>
              </w:rPr>
              <w:t>Contact</w:t>
            </w:r>
          </w:p>
        </w:tc>
        <w:tc>
          <w:tcPr>
            <w:tcW w:w="3089" w:type="dxa"/>
          </w:tcPr>
          <w:p w14:paraId="5E2A03BE" w14:textId="6A47109D" w:rsidR="00F72E3F" w:rsidRPr="004267B4" w:rsidRDefault="00F72E3F" w:rsidP="0059328F">
            <w:pPr>
              <w:spacing w:line="240" w:lineRule="auto"/>
              <w:rPr>
                <w:b/>
                <w:i/>
                <w:lang w:val="fr-BE"/>
              </w:rPr>
            </w:pPr>
            <w:r w:rsidRPr="004267B4">
              <w:rPr>
                <w:i/>
                <w:lang w:val="fr-BE"/>
              </w:rPr>
              <w:t xml:space="preserve">Dalila </w:t>
            </w:r>
            <w:r w:rsidR="004466E9" w:rsidRPr="004267B4">
              <w:rPr>
                <w:i/>
                <w:lang w:val="fr-BE"/>
              </w:rPr>
              <w:t>Bernard</w:t>
            </w:r>
          </w:p>
        </w:tc>
        <w:tc>
          <w:tcPr>
            <w:tcW w:w="4394" w:type="dxa"/>
          </w:tcPr>
          <w:p w14:paraId="0CDE7135" w14:textId="77777777" w:rsidR="00F72E3F" w:rsidRPr="004267B4" w:rsidRDefault="00F72E3F" w:rsidP="0059328F">
            <w:pPr>
              <w:spacing w:line="240" w:lineRule="auto"/>
              <w:rPr>
                <w:i/>
                <w:lang w:val="fr-BE"/>
              </w:rPr>
            </w:pPr>
          </w:p>
        </w:tc>
      </w:tr>
      <w:tr w:rsidR="00F72E3F" w:rsidRPr="004267B4" w14:paraId="655DDF6E" w14:textId="77777777" w:rsidTr="0059328F">
        <w:tc>
          <w:tcPr>
            <w:tcW w:w="1303" w:type="dxa"/>
          </w:tcPr>
          <w:p w14:paraId="28755DAE" w14:textId="77777777" w:rsidR="00F72E3F" w:rsidRPr="004267B4" w:rsidRDefault="00F72E3F" w:rsidP="0059328F">
            <w:pPr>
              <w:spacing w:line="240" w:lineRule="auto"/>
              <w:rPr>
                <w:i/>
                <w:lang w:val="fr-BE"/>
              </w:rPr>
            </w:pPr>
            <w:r w:rsidRPr="004267B4">
              <w:rPr>
                <w:i/>
                <w:lang w:val="fr-BE"/>
              </w:rPr>
              <w:t>Tél.</w:t>
            </w:r>
          </w:p>
        </w:tc>
        <w:tc>
          <w:tcPr>
            <w:tcW w:w="3089" w:type="dxa"/>
          </w:tcPr>
          <w:p w14:paraId="3997A8CA" w14:textId="77777777" w:rsidR="00F72E3F" w:rsidRPr="004267B4" w:rsidRDefault="00F72E3F" w:rsidP="0059328F">
            <w:pPr>
              <w:spacing w:line="240" w:lineRule="auto"/>
              <w:rPr>
                <w:i/>
                <w:lang w:val="fr-BE"/>
              </w:rPr>
            </w:pPr>
            <w:r w:rsidRPr="004267B4">
              <w:rPr>
                <w:i/>
                <w:lang w:val="fr-BE"/>
              </w:rPr>
              <w:t>+32 2 546 8438</w:t>
            </w:r>
          </w:p>
        </w:tc>
        <w:tc>
          <w:tcPr>
            <w:tcW w:w="4394" w:type="dxa"/>
          </w:tcPr>
          <w:p w14:paraId="0A33194A" w14:textId="77777777" w:rsidR="00F72E3F" w:rsidRPr="004267B4" w:rsidRDefault="00F72E3F" w:rsidP="0059328F">
            <w:pPr>
              <w:spacing w:line="240" w:lineRule="auto"/>
              <w:rPr>
                <w:i/>
                <w:lang w:val="fr-BE"/>
              </w:rPr>
            </w:pPr>
          </w:p>
        </w:tc>
      </w:tr>
      <w:tr w:rsidR="00F72E3F" w:rsidRPr="004267B4" w14:paraId="66F6842D" w14:textId="77777777" w:rsidTr="0059328F">
        <w:tc>
          <w:tcPr>
            <w:tcW w:w="1303" w:type="dxa"/>
          </w:tcPr>
          <w:p w14:paraId="5D517DF7" w14:textId="77777777" w:rsidR="00F72E3F" w:rsidRPr="004267B4" w:rsidRDefault="00F72E3F" w:rsidP="0059328F">
            <w:pPr>
              <w:spacing w:line="240" w:lineRule="auto"/>
              <w:rPr>
                <w:i/>
                <w:lang w:val="fr-BE"/>
              </w:rPr>
            </w:pPr>
            <w:r w:rsidRPr="004267B4">
              <w:rPr>
                <w:i/>
                <w:lang w:val="fr-BE"/>
              </w:rPr>
              <w:t>Courriel</w:t>
            </w:r>
          </w:p>
        </w:tc>
        <w:tc>
          <w:tcPr>
            <w:tcW w:w="3089" w:type="dxa"/>
          </w:tcPr>
          <w:p w14:paraId="1A5A4200" w14:textId="77777777" w:rsidR="00F72E3F" w:rsidRPr="004267B4" w:rsidRDefault="004466E9" w:rsidP="0059328F">
            <w:pPr>
              <w:spacing w:line="240" w:lineRule="auto"/>
              <w:rPr>
                <w:i/>
                <w:lang w:val="fr-BE"/>
              </w:rPr>
            </w:pPr>
            <w:hyperlink r:id="rId39" w:history="1">
              <w:r w:rsidR="00F72E3F" w:rsidRPr="004267B4">
                <w:rPr>
                  <w:rStyle w:val="Hyperlink"/>
                  <w:i/>
                  <w:lang w:val="fr-BE"/>
                </w:rPr>
                <w:t>Dalila.Bernard@eesc.europa.eu</w:t>
              </w:r>
            </w:hyperlink>
          </w:p>
        </w:tc>
        <w:tc>
          <w:tcPr>
            <w:tcW w:w="4394" w:type="dxa"/>
          </w:tcPr>
          <w:p w14:paraId="13A2C89A" w14:textId="77777777" w:rsidR="00F72E3F" w:rsidRPr="004267B4" w:rsidRDefault="00F72E3F" w:rsidP="0059328F">
            <w:pPr>
              <w:spacing w:line="240" w:lineRule="auto"/>
              <w:rPr>
                <w:i/>
                <w:lang w:val="fr-BE"/>
              </w:rPr>
            </w:pPr>
          </w:p>
        </w:tc>
      </w:tr>
    </w:tbl>
    <w:p w14:paraId="37E69EA5" w14:textId="79A18294" w:rsidR="005D55F5" w:rsidRPr="004267B4" w:rsidRDefault="00467BE4" w:rsidP="00DA2729">
      <w:pPr>
        <w:spacing w:line="259" w:lineRule="auto"/>
        <w:jc w:val="left"/>
        <w:rPr>
          <w:sz w:val="28"/>
          <w:lang w:val="fr-BE"/>
        </w:rPr>
      </w:pPr>
      <w:r w:rsidRPr="004267B4">
        <w:rPr>
          <w:lang w:val="fr-BE"/>
        </w:rPr>
        <w:br w:type="page"/>
      </w:r>
    </w:p>
    <w:p w14:paraId="6C52985F" w14:textId="77777777" w:rsidR="002E01B5" w:rsidRPr="004267B4" w:rsidRDefault="004D7AC0" w:rsidP="0018231C">
      <w:pPr>
        <w:pStyle w:val="Heading1"/>
        <w:keepNext/>
        <w:rPr>
          <w:b/>
          <w:lang w:val="fr-BE"/>
        </w:rPr>
      </w:pPr>
      <w:bookmarkStart w:id="32" w:name="_Toc70322234"/>
      <w:bookmarkStart w:id="33" w:name="_Toc75527084"/>
      <w:bookmarkStart w:id="34" w:name="_Toc124863709"/>
      <w:r w:rsidRPr="004267B4">
        <w:rPr>
          <w:b/>
          <w:lang w:val="fr-BE"/>
        </w:rPr>
        <w:lastRenderedPageBreak/>
        <w:t>AGRICULTURE, DÉVELOPPEMENT RURAL ET ENVIRONNEMENT</w:t>
      </w:r>
      <w:bookmarkEnd w:id="32"/>
      <w:bookmarkEnd w:id="33"/>
      <w:bookmarkEnd w:id="34"/>
    </w:p>
    <w:p w14:paraId="37AC66EE" w14:textId="77777777" w:rsidR="009173E7" w:rsidRPr="004267B4" w:rsidRDefault="009173E7" w:rsidP="1EBA916B">
      <w:pPr>
        <w:keepNext/>
        <w:rPr>
          <w:lang w:val="fr-BE"/>
        </w:rPr>
      </w:pPr>
    </w:p>
    <w:p w14:paraId="6DA2B984" w14:textId="3AECF92C" w:rsidR="00BF691A" w:rsidRPr="004267B4" w:rsidRDefault="00BF691A" w:rsidP="00FF013B">
      <w:pPr>
        <w:pStyle w:val="ListParagraph"/>
        <w:widowControl w:val="0"/>
        <w:numPr>
          <w:ilvl w:val="0"/>
          <w:numId w:val="16"/>
        </w:numPr>
        <w:spacing w:line="276" w:lineRule="auto"/>
        <w:ind w:left="426" w:hanging="426"/>
        <w:jc w:val="left"/>
        <w:rPr>
          <w:sz w:val="20"/>
          <w:lang w:val="fr-BE"/>
        </w:rPr>
      </w:pPr>
      <w:r w:rsidRPr="004267B4">
        <w:rPr>
          <w:noProof/>
          <w:sz w:val="20"/>
          <w:lang w:val="en-US"/>
        </w:rPr>
        <mc:AlternateContent>
          <mc:Choice Requires="wps">
            <w:drawing>
              <wp:anchor distT="0" distB="0" distL="114300" distR="114300" simplePos="0" relativeHeight="251658752" behindDoc="1" locked="0" layoutInCell="0" allowOverlap="1" wp14:anchorId="665121B1" wp14:editId="51867AE3">
                <wp:simplePos x="0" y="0"/>
                <wp:positionH relativeFrom="page">
                  <wp:posOffset>6769100</wp:posOffset>
                </wp:positionH>
                <wp:positionV relativeFrom="page">
                  <wp:posOffset>10081260</wp:posOffset>
                </wp:positionV>
                <wp:extent cx="647700" cy="396240"/>
                <wp:effectExtent l="0" t="3810" r="317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888F" w14:textId="77777777" w:rsidR="00BF691A" w:rsidRPr="00DA2729" w:rsidRDefault="00BF691A" w:rsidP="00BF691A">
                            <w:pPr>
                              <w:jc w:val="center"/>
                              <w:rPr>
                                <w:rFonts w:ascii="Arial" w:hAnsi="Arial" w:cs="Arial"/>
                                <w:b/>
                                <w:bCs/>
                                <w:sz w:val="48"/>
                              </w:rPr>
                            </w:pPr>
                            <w:r w:rsidRPr="00DA2729">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21B1" id="_x0000_s1028" type="#_x0000_t202"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TC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" o:allowincell="f" filled="f" stroked="f">
                <v:textbox>
                  <w:txbxContent>
                    <w:p w14:paraId="3496888F" w14:textId="77777777" w:rsidR="00BF691A" w:rsidRPr="00DA2729" w:rsidRDefault="00BF691A" w:rsidP="00BF691A">
                      <w:pPr>
                        <w:jc w:val="center"/>
                        <w:rPr>
                          <w:rFonts w:ascii="Arial" w:hAnsi="Arial" w:cs="Arial"/>
                          <w:b/>
                          <w:bCs/>
                          <w:sz w:val="48"/>
                        </w:rPr>
                      </w:pPr>
                      <w:r w:rsidRPr="00DA2729">
                        <w:rPr>
                          <w:rFonts w:ascii="Arial" w:hAnsi="Arial"/>
                          <w:b/>
                          <w:sz w:val="48"/>
                        </w:rPr>
                        <w:t>FR</w:t>
                      </w:r>
                    </w:p>
                  </w:txbxContent>
                </v:textbox>
                <w10:wrap anchorx="page" anchory="page"/>
              </v:shape>
            </w:pict>
          </mc:Fallback>
        </mc:AlternateContent>
      </w:r>
      <w:hyperlink r:id="rId40" w:history="1">
        <w:r w:rsidRPr="004267B4">
          <w:rPr>
            <w:b/>
            <w:i/>
            <w:sz w:val="28"/>
            <w:lang w:val="fr-BE"/>
          </w:rPr>
          <w:t>Donner aux jeunes les moyens de réaliser le développement durable grâce à l’éducation</w:t>
        </w:r>
      </w:hyperlink>
    </w:p>
    <w:p w14:paraId="16B3E69B" w14:textId="77777777" w:rsidR="00BF691A" w:rsidRPr="004267B4" w:rsidRDefault="00BF691A" w:rsidP="00BF691A">
      <w:pPr>
        <w:tabs>
          <w:tab w:val="center" w:pos="284"/>
        </w:tabs>
        <w:ind w:left="266" w:hanging="266"/>
        <w:rPr>
          <w:b/>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BF691A" w:rsidRPr="004267B4" w14:paraId="6942F421" w14:textId="77777777" w:rsidTr="0059328F">
        <w:tc>
          <w:tcPr>
            <w:tcW w:w="1701" w:type="dxa"/>
          </w:tcPr>
          <w:p w14:paraId="0EA28049" w14:textId="77777777" w:rsidR="00BF691A" w:rsidRPr="004267B4" w:rsidRDefault="00BF691A" w:rsidP="0059328F">
            <w:pPr>
              <w:tabs>
                <w:tab w:val="center" w:pos="284"/>
              </w:tabs>
              <w:ind w:left="266" w:hanging="266"/>
              <w:rPr>
                <w:b/>
                <w:lang w:val="fr-BE"/>
              </w:rPr>
            </w:pPr>
            <w:r w:rsidRPr="004267B4">
              <w:rPr>
                <w:b/>
                <w:lang w:val="fr-BE"/>
              </w:rPr>
              <w:t>Rapporteure</w:t>
            </w:r>
          </w:p>
        </w:tc>
        <w:tc>
          <w:tcPr>
            <w:tcW w:w="5387" w:type="dxa"/>
          </w:tcPr>
          <w:p w14:paraId="0B2017EF" w14:textId="52578451" w:rsidR="00BF691A" w:rsidRPr="004267B4" w:rsidRDefault="00BF691A" w:rsidP="0059328F">
            <w:pPr>
              <w:tabs>
                <w:tab w:val="center" w:pos="284"/>
              </w:tabs>
              <w:ind w:left="266" w:hanging="266"/>
              <w:rPr>
                <w:bCs/>
                <w:lang w:val="fr-BE"/>
              </w:rPr>
            </w:pPr>
            <w:r w:rsidRPr="004267B4">
              <w:rPr>
                <w:lang w:val="fr-BE"/>
              </w:rPr>
              <w:t>Tatjana BABRAUSKIENĖ (</w:t>
            </w:r>
            <w:r w:rsidR="00F13412">
              <w:rPr>
                <w:lang w:val="fr-BE"/>
              </w:rPr>
              <w:t xml:space="preserve">groupe </w:t>
            </w:r>
            <w:r w:rsidRPr="004267B4">
              <w:rPr>
                <w:lang w:val="fr-BE"/>
              </w:rPr>
              <w:t>des travailleurs – LT)</w:t>
            </w:r>
          </w:p>
        </w:tc>
      </w:tr>
      <w:tr w:rsidR="00BF691A" w:rsidRPr="004267B4" w14:paraId="361BB6F0" w14:textId="77777777" w:rsidTr="0059328F">
        <w:tc>
          <w:tcPr>
            <w:tcW w:w="7088" w:type="dxa"/>
            <w:gridSpan w:val="2"/>
          </w:tcPr>
          <w:p w14:paraId="489C7AB1" w14:textId="77777777" w:rsidR="00BF691A" w:rsidRPr="004267B4" w:rsidRDefault="00BF691A" w:rsidP="0059328F">
            <w:pPr>
              <w:tabs>
                <w:tab w:val="center" w:pos="284"/>
              </w:tabs>
              <w:spacing w:line="160" w:lineRule="exact"/>
              <w:ind w:left="266" w:hanging="266"/>
              <w:rPr>
                <w:lang w:val="fr-BE"/>
              </w:rPr>
            </w:pPr>
          </w:p>
        </w:tc>
      </w:tr>
      <w:tr w:rsidR="00BF691A" w:rsidRPr="004267B4" w14:paraId="5EA3E347" w14:textId="77777777" w:rsidTr="0059328F">
        <w:tc>
          <w:tcPr>
            <w:tcW w:w="1701" w:type="dxa"/>
          </w:tcPr>
          <w:p w14:paraId="6045D879" w14:textId="77777777" w:rsidR="00BF691A" w:rsidRPr="004267B4" w:rsidRDefault="00BF691A" w:rsidP="0059328F">
            <w:pPr>
              <w:tabs>
                <w:tab w:val="center" w:pos="284"/>
              </w:tabs>
              <w:ind w:left="266" w:hanging="266"/>
              <w:rPr>
                <w:b/>
                <w:lang w:val="fr-BE"/>
              </w:rPr>
            </w:pPr>
            <w:r w:rsidRPr="004267B4">
              <w:rPr>
                <w:b/>
                <w:lang w:val="fr-BE"/>
              </w:rPr>
              <w:t>Référence</w:t>
            </w:r>
          </w:p>
        </w:tc>
        <w:tc>
          <w:tcPr>
            <w:tcW w:w="5387" w:type="dxa"/>
          </w:tcPr>
          <w:p w14:paraId="04A0B752" w14:textId="178A6A25" w:rsidR="00AB19B0" w:rsidRDefault="00AB19B0" w:rsidP="0059328F">
            <w:pPr>
              <w:tabs>
                <w:tab w:val="center" w:pos="284"/>
              </w:tabs>
              <w:ind w:left="266" w:hanging="266"/>
              <w:rPr>
                <w:lang w:val="fr-BE"/>
              </w:rPr>
            </w:pPr>
            <w:r>
              <w:rPr>
                <w:lang w:val="fr-BE"/>
              </w:rPr>
              <w:t>Avis d'initiative</w:t>
            </w:r>
          </w:p>
          <w:p w14:paraId="728E7824" w14:textId="21842F04" w:rsidR="00BF691A" w:rsidRPr="004267B4" w:rsidRDefault="00BF691A" w:rsidP="0059328F">
            <w:pPr>
              <w:tabs>
                <w:tab w:val="center" w:pos="284"/>
              </w:tabs>
              <w:ind w:left="266" w:hanging="266"/>
              <w:rPr>
                <w:lang w:val="fr-BE"/>
              </w:rPr>
            </w:pPr>
            <w:r w:rsidRPr="004267B4">
              <w:rPr>
                <w:lang w:val="fr-BE"/>
              </w:rPr>
              <w:t>EESC-2022-01278-00-00-AC</w:t>
            </w:r>
          </w:p>
        </w:tc>
      </w:tr>
    </w:tbl>
    <w:p w14:paraId="505311B4" w14:textId="77777777" w:rsidR="00BF691A" w:rsidRPr="004267B4" w:rsidRDefault="00BF691A" w:rsidP="00BF691A">
      <w:pPr>
        <w:tabs>
          <w:tab w:val="center" w:pos="284"/>
        </w:tabs>
        <w:ind w:left="266" w:hanging="266"/>
        <w:rPr>
          <w:lang w:val="fr-BE"/>
        </w:rPr>
      </w:pPr>
    </w:p>
    <w:p w14:paraId="1DDB0A59" w14:textId="77777777" w:rsidR="00BF691A" w:rsidRPr="004267B4" w:rsidRDefault="00BF691A" w:rsidP="00BF691A">
      <w:pPr>
        <w:keepNext/>
        <w:keepLines/>
        <w:tabs>
          <w:tab w:val="center" w:pos="284"/>
        </w:tabs>
        <w:ind w:left="266" w:hanging="266"/>
        <w:rPr>
          <w:b/>
          <w:lang w:val="fr-BE"/>
        </w:rPr>
      </w:pPr>
      <w:r w:rsidRPr="004267B4">
        <w:rPr>
          <w:b/>
          <w:lang w:val="fr-BE"/>
        </w:rPr>
        <w:t>Points clés</w:t>
      </w:r>
    </w:p>
    <w:p w14:paraId="7728B7A5" w14:textId="77777777" w:rsidR="00BF691A" w:rsidRPr="004267B4" w:rsidRDefault="00BF691A" w:rsidP="00BF691A">
      <w:pPr>
        <w:keepNext/>
        <w:keepLines/>
        <w:tabs>
          <w:tab w:val="center" w:pos="284"/>
        </w:tabs>
        <w:ind w:left="266" w:hanging="266"/>
        <w:rPr>
          <w:b/>
          <w:lang w:val="fr-BE"/>
        </w:rPr>
      </w:pPr>
    </w:p>
    <w:p w14:paraId="701A216F" w14:textId="77777777" w:rsidR="00BF691A" w:rsidRPr="004267B4" w:rsidRDefault="00BF691A" w:rsidP="00BF691A">
      <w:pPr>
        <w:keepNext/>
        <w:rPr>
          <w:bCs/>
          <w:iCs/>
          <w:lang w:val="fr-BE"/>
        </w:rPr>
      </w:pPr>
      <w:r w:rsidRPr="004267B4">
        <w:rPr>
          <w:lang w:val="fr-BE"/>
        </w:rPr>
        <w:t>Le CESE:</w:t>
      </w:r>
    </w:p>
    <w:p w14:paraId="3581A020" w14:textId="77777777" w:rsidR="00BF691A" w:rsidRPr="004267B4" w:rsidRDefault="00BF691A" w:rsidP="00BF691A">
      <w:pPr>
        <w:keepNext/>
        <w:rPr>
          <w:bCs/>
          <w:iCs/>
          <w:lang w:val="fr-BE"/>
        </w:rPr>
      </w:pPr>
    </w:p>
    <w:p w14:paraId="48E8CEC1" w14:textId="77777777" w:rsidR="00BF691A" w:rsidRPr="004267B4" w:rsidRDefault="00BF691A" w:rsidP="006D2E2F">
      <w:pPr>
        <w:widowControl w:val="0"/>
        <w:numPr>
          <w:ilvl w:val="0"/>
          <w:numId w:val="35"/>
        </w:numPr>
        <w:overflowPunct w:val="0"/>
        <w:autoSpaceDE w:val="0"/>
        <w:autoSpaceDN w:val="0"/>
        <w:adjustRightInd w:val="0"/>
        <w:ind w:left="357" w:hanging="357"/>
        <w:textAlignment w:val="baseline"/>
        <w:rPr>
          <w:bCs/>
          <w:iCs/>
          <w:lang w:val="fr-BE"/>
        </w:rPr>
      </w:pPr>
      <w:r w:rsidRPr="004267B4">
        <w:rPr>
          <w:lang w:val="fr-BE"/>
        </w:rPr>
        <w:t xml:space="preserve">invite les États membres à </w:t>
      </w:r>
      <w:r w:rsidRPr="004267B4">
        <w:rPr>
          <w:b/>
          <w:lang w:val="fr-BE"/>
        </w:rPr>
        <w:t>faire de l’action pour le climat et du développement durable une composante essentielle du programme éducatif</w:t>
      </w:r>
      <w:r w:rsidRPr="004267B4">
        <w:rPr>
          <w:lang w:val="fr-BE"/>
        </w:rPr>
        <w:t>, non seulement en théorie, mais aussi dans la pratique;</w:t>
      </w:r>
    </w:p>
    <w:p w14:paraId="2650A7DE" w14:textId="77777777" w:rsidR="00BF691A" w:rsidRPr="004267B4" w:rsidRDefault="00BF691A" w:rsidP="006D2E2F">
      <w:pPr>
        <w:widowControl w:val="0"/>
        <w:numPr>
          <w:ilvl w:val="0"/>
          <w:numId w:val="35"/>
        </w:numPr>
        <w:overflowPunct w:val="0"/>
        <w:autoSpaceDE w:val="0"/>
        <w:autoSpaceDN w:val="0"/>
        <w:adjustRightInd w:val="0"/>
        <w:ind w:left="357" w:hanging="357"/>
        <w:textAlignment w:val="baseline"/>
        <w:rPr>
          <w:bCs/>
          <w:iCs/>
          <w:lang w:val="fr-BE"/>
        </w:rPr>
      </w:pPr>
      <w:r w:rsidRPr="004267B4">
        <w:rPr>
          <w:lang w:val="fr-BE"/>
        </w:rPr>
        <w:t xml:space="preserve">souligne la nécessité de </w:t>
      </w:r>
      <w:r w:rsidRPr="004267B4">
        <w:rPr>
          <w:b/>
          <w:lang w:val="fr-BE"/>
        </w:rPr>
        <w:t>réinventer l’avenir avec les jeunes</w:t>
      </w:r>
      <w:r w:rsidRPr="004267B4">
        <w:rPr>
          <w:lang w:val="fr-BE"/>
        </w:rPr>
        <w:t xml:space="preserve"> et de concevoir un nouveau contrat social qui </w:t>
      </w:r>
      <w:r w:rsidRPr="004267B4">
        <w:rPr>
          <w:b/>
          <w:lang w:val="fr-BE"/>
        </w:rPr>
        <w:t>transforme l’éducation de manière positive</w:t>
      </w:r>
      <w:r w:rsidRPr="004267B4">
        <w:rPr>
          <w:lang w:val="fr-BE"/>
        </w:rPr>
        <w:t>;</w:t>
      </w:r>
    </w:p>
    <w:p w14:paraId="7F44BCBF" w14:textId="77777777" w:rsidR="00BF691A" w:rsidRPr="004267B4" w:rsidRDefault="00BF691A" w:rsidP="006D2E2F">
      <w:pPr>
        <w:widowControl w:val="0"/>
        <w:numPr>
          <w:ilvl w:val="0"/>
          <w:numId w:val="35"/>
        </w:numPr>
        <w:overflowPunct w:val="0"/>
        <w:autoSpaceDE w:val="0"/>
        <w:autoSpaceDN w:val="0"/>
        <w:adjustRightInd w:val="0"/>
        <w:ind w:left="357" w:hanging="357"/>
        <w:textAlignment w:val="baseline"/>
        <w:rPr>
          <w:bCs/>
          <w:iCs/>
          <w:lang w:val="fr-BE"/>
        </w:rPr>
      </w:pPr>
      <w:r w:rsidRPr="004267B4">
        <w:rPr>
          <w:lang w:val="fr-BE"/>
        </w:rPr>
        <w:t xml:space="preserve">plaide pour </w:t>
      </w:r>
      <w:r w:rsidRPr="004267B4">
        <w:rPr>
          <w:b/>
          <w:lang w:val="fr-BE"/>
        </w:rPr>
        <w:t>une approche transversale globale</w:t>
      </w:r>
      <w:r w:rsidRPr="004267B4">
        <w:rPr>
          <w:lang w:val="fr-BE"/>
        </w:rPr>
        <w:t>, garantissant la coopération entre les différentes parties prenantes, les partenaires sociaux et les organisations de la société civile;</w:t>
      </w:r>
    </w:p>
    <w:p w14:paraId="0B09E812" w14:textId="77777777" w:rsidR="00BF691A" w:rsidRPr="004267B4" w:rsidRDefault="00BF691A" w:rsidP="006D2E2F">
      <w:pPr>
        <w:widowControl w:val="0"/>
        <w:numPr>
          <w:ilvl w:val="0"/>
          <w:numId w:val="35"/>
        </w:numPr>
        <w:overflowPunct w:val="0"/>
        <w:autoSpaceDE w:val="0"/>
        <w:autoSpaceDN w:val="0"/>
        <w:adjustRightInd w:val="0"/>
        <w:ind w:left="357" w:hanging="357"/>
        <w:textAlignment w:val="baseline"/>
        <w:rPr>
          <w:bCs/>
          <w:iCs/>
          <w:lang w:val="fr-BE"/>
        </w:rPr>
      </w:pPr>
      <w:r w:rsidRPr="004267B4">
        <w:rPr>
          <w:lang w:val="fr-BE"/>
        </w:rPr>
        <w:t xml:space="preserve">encourage la Commission européenne à </w:t>
      </w:r>
      <w:r w:rsidRPr="004267B4">
        <w:rPr>
          <w:b/>
          <w:lang w:val="fr-BE"/>
        </w:rPr>
        <w:t>continuer à se concentrer sur les besoins des jeunes dans le cadre de l’Année européenne des compétences 2023, en établissant un lien entre celle-ci et le développement durable</w:t>
      </w:r>
      <w:r w:rsidRPr="004267B4">
        <w:rPr>
          <w:lang w:val="fr-BE"/>
        </w:rPr>
        <w:t xml:space="preserve"> et les défis auxquels les jeunes sont confrontés dans un monde en mutation;</w:t>
      </w:r>
    </w:p>
    <w:p w14:paraId="1618B79C" w14:textId="77777777" w:rsidR="00BF691A" w:rsidRPr="004267B4" w:rsidRDefault="00BF691A" w:rsidP="006D2E2F">
      <w:pPr>
        <w:pStyle w:val="ListParagraph"/>
        <w:numPr>
          <w:ilvl w:val="0"/>
          <w:numId w:val="35"/>
        </w:numPr>
        <w:spacing w:line="276" w:lineRule="auto"/>
        <w:ind w:left="357" w:hanging="357"/>
        <w:rPr>
          <w:bCs/>
          <w:iCs/>
          <w:lang w:val="fr-BE"/>
        </w:rPr>
      </w:pPr>
      <w:r w:rsidRPr="004267B4">
        <w:rPr>
          <w:b/>
          <w:lang w:val="fr-BE"/>
        </w:rPr>
        <w:t>se félicite du rôle de coordination joué par la Commission</w:t>
      </w:r>
      <w:r w:rsidRPr="004267B4">
        <w:rPr>
          <w:lang w:val="fr-BE"/>
        </w:rPr>
        <w:t xml:space="preserve">, mais souligne que </w:t>
      </w:r>
      <w:r w:rsidRPr="004267B4">
        <w:rPr>
          <w:b/>
          <w:lang w:val="fr-BE"/>
        </w:rPr>
        <w:t>les stratégies en faveur d’une éducation transformatrice au développement durable devraient être conçues aux niveaux national, régional et local</w:t>
      </w:r>
      <w:r w:rsidRPr="004267B4">
        <w:rPr>
          <w:lang w:val="fr-BE"/>
        </w:rPr>
        <w:t>, et reposer sur des recherches cohérentes et des plans d’action clairs;</w:t>
      </w:r>
    </w:p>
    <w:p w14:paraId="4D489092" w14:textId="77777777" w:rsidR="00BF691A" w:rsidRPr="004267B4" w:rsidRDefault="00BF691A" w:rsidP="006D2E2F">
      <w:pPr>
        <w:pStyle w:val="ListParagraph"/>
        <w:numPr>
          <w:ilvl w:val="0"/>
          <w:numId w:val="35"/>
        </w:numPr>
        <w:spacing w:line="276" w:lineRule="auto"/>
        <w:ind w:left="357" w:hanging="357"/>
        <w:rPr>
          <w:bCs/>
          <w:iCs/>
          <w:lang w:val="fr-BE"/>
        </w:rPr>
      </w:pPr>
      <w:r w:rsidRPr="004267B4">
        <w:rPr>
          <w:lang w:val="fr-BE"/>
        </w:rPr>
        <w:t xml:space="preserve">demande que </w:t>
      </w:r>
      <w:r w:rsidRPr="004267B4">
        <w:rPr>
          <w:b/>
          <w:lang w:val="fr-BE"/>
        </w:rPr>
        <w:t>les investissements de l’UE soient mieux liés à l’éducation au développement durable dans le cadre de l’utilisation de fonds européens</w:t>
      </w:r>
      <w:r w:rsidRPr="004267B4">
        <w:rPr>
          <w:lang w:val="fr-BE"/>
        </w:rPr>
        <w:t>, tels que la facilité pour la reprise et la résilience (FRR), Erasmus+, Horizon, le Fonds européen de développement régional (FEDER) et le Fonds social européen plus (FSE+);</w:t>
      </w:r>
    </w:p>
    <w:p w14:paraId="73DF1404" w14:textId="77777777" w:rsidR="00BF691A" w:rsidRPr="004267B4" w:rsidRDefault="00BF691A" w:rsidP="006D2E2F">
      <w:pPr>
        <w:pStyle w:val="ListParagraph"/>
        <w:numPr>
          <w:ilvl w:val="0"/>
          <w:numId w:val="35"/>
        </w:numPr>
        <w:spacing w:line="276" w:lineRule="auto"/>
        <w:ind w:left="357" w:hanging="357"/>
        <w:jc w:val="left"/>
        <w:rPr>
          <w:bCs/>
          <w:iCs/>
          <w:lang w:val="fr-BE"/>
        </w:rPr>
      </w:pPr>
      <w:r w:rsidRPr="004267B4">
        <w:rPr>
          <w:lang w:val="fr-BE"/>
        </w:rPr>
        <w:t>demande aux États membres d’</w:t>
      </w:r>
      <w:r w:rsidRPr="004267B4">
        <w:rPr>
          <w:b/>
          <w:lang w:val="fr-BE"/>
        </w:rPr>
        <w:t>apporter un soutien efficace aux enseignants</w:t>
      </w:r>
      <w:r w:rsidRPr="004267B4">
        <w:rPr>
          <w:lang w:val="fr-BE"/>
        </w:rPr>
        <w:t xml:space="preserve"> afin de rendre la profession plus attrayante;</w:t>
      </w:r>
    </w:p>
    <w:p w14:paraId="500FDBA2" w14:textId="77777777" w:rsidR="00BF691A" w:rsidRPr="004267B4" w:rsidRDefault="00BF691A" w:rsidP="006D2E2F">
      <w:pPr>
        <w:pStyle w:val="ListParagraph"/>
        <w:numPr>
          <w:ilvl w:val="0"/>
          <w:numId w:val="35"/>
        </w:numPr>
        <w:spacing w:line="276" w:lineRule="auto"/>
        <w:ind w:left="357" w:hanging="357"/>
        <w:rPr>
          <w:bCs/>
          <w:iCs/>
          <w:lang w:val="fr-BE"/>
        </w:rPr>
      </w:pPr>
      <w:r w:rsidRPr="004267B4">
        <w:rPr>
          <w:lang w:val="fr-BE"/>
        </w:rPr>
        <w:t xml:space="preserve">suggère de </w:t>
      </w:r>
      <w:r w:rsidRPr="004267B4">
        <w:rPr>
          <w:b/>
          <w:lang w:val="fr-BE"/>
        </w:rPr>
        <w:t>mettre en place une plateforme ou un tableau de bord en ligne spécifique pour l’échange de bonnes pratiques</w:t>
      </w:r>
      <w:r w:rsidRPr="004267B4">
        <w:rPr>
          <w:lang w:val="fr-BE"/>
        </w:rPr>
        <w:t>;</w:t>
      </w:r>
    </w:p>
    <w:p w14:paraId="0B69AB33" w14:textId="77777777" w:rsidR="00BF691A" w:rsidRPr="004267B4" w:rsidRDefault="00BF691A" w:rsidP="006D2E2F">
      <w:pPr>
        <w:pStyle w:val="ListParagraph"/>
        <w:numPr>
          <w:ilvl w:val="0"/>
          <w:numId w:val="35"/>
        </w:numPr>
        <w:spacing w:line="276" w:lineRule="auto"/>
        <w:ind w:left="357" w:hanging="357"/>
        <w:rPr>
          <w:bCs/>
          <w:iCs/>
          <w:lang w:val="fr-BE"/>
        </w:rPr>
      </w:pPr>
      <w:r w:rsidRPr="004267B4">
        <w:rPr>
          <w:lang w:val="fr-BE"/>
        </w:rPr>
        <w:t xml:space="preserve">invite la Commission européenne à œuvrer à </w:t>
      </w:r>
      <w:r w:rsidRPr="004267B4">
        <w:rPr>
          <w:b/>
          <w:lang w:val="fr-BE"/>
        </w:rPr>
        <w:t>la mise en place d’un indicateur européen de réduction de la pauvreté et du décrochage scolaire, dans l’esprit de l’éducation au développement durable</w:t>
      </w:r>
      <w:r w:rsidRPr="004267B4">
        <w:rPr>
          <w:lang w:val="fr-BE"/>
        </w:rPr>
        <w:t>.</w:t>
      </w:r>
    </w:p>
    <w:p w14:paraId="6FD972BB" w14:textId="77777777" w:rsidR="00BF691A" w:rsidRPr="004267B4" w:rsidRDefault="00BF691A" w:rsidP="00BF691A">
      <w:pPr>
        <w:widowControl w:val="0"/>
        <w:ind w:left="709"/>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BF691A" w:rsidRPr="004267B4" w14:paraId="503D5AEF" w14:textId="77777777" w:rsidTr="0059328F">
        <w:tc>
          <w:tcPr>
            <w:tcW w:w="1418" w:type="dxa"/>
          </w:tcPr>
          <w:p w14:paraId="04135A69" w14:textId="77777777" w:rsidR="00BF691A" w:rsidRPr="004267B4" w:rsidRDefault="00BF691A" w:rsidP="0059328F">
            <w:pPr>
              <w:spacing w:line="240" w:lineRule="auto"/>
              <w:rPr>
                <w:i/>
                <w:lang w:val="fr-BE"/>
              </w:rPr>
            </w:pPr>
            <w:r w:rsidRPr="004267B4">
              <w:rPr>
                <w:b/>
                <w:i/>
                <w:lang w:val="fr-BE"/>
              </w:rPr>
              <w:t>Contact</w:t>
            </w:r>
          </w:p>
        </w:tc>
        <w:tc>
          <w:tcPr>
            <w:tcW w:w="5670" w:type="dxa"/>
          </w:tcPr>
          <w:p w14:paraId="758025F7" w14:textId="4AE3533D" w:rsidR="00BF691A" w:rsidRPr="004267B4" w:rsidRDefault="00BF691A" w:rsidP="0059328F">
            <w:pPr>
              <w:spacing w:line="240" w:lineRule="auto"/>
              <w:rPr>
                <w:i/>
                <w:lang w:val="fr-BE"/>
              </w:rPr>
            </w:pPr>
            <w:r w:rsidRPr="004267B4">
              <w:rPr>
                <w:i/>
                <w:lang w:val="fr-BE"/>
              </w:rPr>
              <w:t xml:space="preserve">Ulrike </w:t>
            </w:r>
            <w:r w:rsidR="004466E9" w:rsidRPr="004267B4">
              <w:rPr>
                <w:i/>
                <w:lang w:val="fr-BE"/>
              </w:rPr>
              <w:t>Meissner</w:t>
            </w:r>
          </w:p>
        </w:tc>
      </w:tr>
      <w:tr w:rsidR="00BF691A" w:rsidRPr="004267B4" w14:paraId="074785E9" w14:textId="77777777" w:rsidTr="0059328F">
        <w:tc>
          <w:tcPr>
            <w:tcW w:w="1418" w:type="dxa"/>
          </w:tcPr>
          <w:p w14:paraId="5CD6535F" w14:textId="77777777" w:rsidR="00BF691A" w:rsidRPr="004267B4" w:rsidRDefault="00BF691A" w:rsidP="0059328F">
            <w:pPr>
              <w:spacing w:line="240" w:lineRule="auto"/>
              <w:rPr>
                <w:i/>
                <w:lang w:val="fr-BE"/>
              </w:rPr>
            </w:pPr>
            <w:r w:rsidRPr="004267B4">
              <w:rPr>
                <w:i/>
                <w:lang w:val="fr-BE"/>
              </w:rPr>
              <w:t>Tél.</w:t>
            </w:r>
          </w:p>
        </w:tc>
        <w:tc>
          <w:tcPr>
            <w:tcW w:w="5670" w:type="dxa"/>
          </w:tcPr>
          <w:p w14:paraId="25494778" w14:textId="77777777" w:rsidR="00BF691A" w:rsidRPr="004267B4" w:rsidRDefault="00BF691A" w:rsidP="0059328F">
            <w:pPr>
              <w:spacing w:line="240" w:lineRule="auto"/>
              <w:rPr>
                <w:i/>
                <w:lang w:val="fr-BE"/>
              </w:rPr>
            </w:pPr>
            <w:r w:rsidRPr="004267B4">
              <w:rPr>
                <w:i/>
                <w:lang w:val="fr-BE"/>
              </w:rPr>
              <w:t>0032 2 546 9466</w:t>
            </w:r>
          </w:p>
        </w:tc>
      </w:tr>
      <w:tr w:rsidR="00BF691A" w:rsidRPr="004267B4" w14:paraId="4FE02DFD" w14:textId="77777777" w:rsidTr="0059328F">
        <w:tc>
          <w:tcPr>
            <w:tcW w:w="1418" w:type="dxa"/>
          </w:tcPr>
          <w:p w14:paraId="5DE901C7" w14:textId="77777777" w:rsidR="00BF691A" w:rsidRPr="004267B4" w:rsidRDefault="00BF691A" w:rsidP="0059328F">
            <w:pPr>
              <w:spacing w:line="240" w:lineRule="auto"/>
              <w:rPr>
                <w:i/>
                <w:lang w:val="fr-BE"/>
              </w:rPr>
            </w:pPr>
            <w:r w:rsidRPr="004267B4">
              <w:rPr>
                <w:i/>
                <w:lang w:val="fr-BE"/>
              </w:rPr>
              <w:t>Courriel</w:t>
            </w:r>
          </w:p>
        </w:tc>
        <w:tc>
          <w:tcPr>
            <w:tcW w:w="5670" w:type="dxa"/>
          </w:tcPr>
          <w:p w14:paraId="4EF609BB" w14:textId="77777777" w:rsidR="00BF691A" w:rsidRPr="004267B4" w:rsidRDefault="004466E9" w:rsidP="0059328F">
            <w:pPr>
              <w:spacing w:line="240" w:lineRule="auto"/>
              <w:rPr>
                <w:i/>
                <w:lang w:val="fr-BE"/>
              </w:rPr>
            </w:pPr>
            <w:hyperlink r:id="rId41" w:history="1">
              <w:r w:rsidR="00BF691A" w:rsidRPr="004267B4">
                <w:rPr>
                  <w:rStyle w:val="Hyperlink"/>
                  <w:i/>
                  <w:lang w:val="fr-BE"/>
                </w:rPr>
                <w:t>Ulrike.Meissner@eesc.europa.eu</w:t>
              </w:r>
            </w:hyperlink>
          </w:p>
        </w:tc>
      </w:tr>
    </w:tbl>
    <w:p w14:paraId="302A5568" w14:textId="60260031" w:rsidR="00A10A98" w:rsidRPr="004267B4" w:rsidRDefault="00D979E8" w:rsidP="00DA2729">
      <w:pPr>
        <w:spacing w:line="259" w:lineRule="auto"/>
        <w:jc w:val="left"/>
        <w:rPr>
          <w:sz w:val="28"/>
          <w:szCs w:val="28"/>
          <w:lang w:val="fr-BE"/>
        </w:rPr>
      </w:pPr>
      <w:r w:rsidRPr="004267B4">
        <w:rPr>
          <w:lang w:val="fr-BE"/>
        </w:rPr>
        <w:br w:type="page"/>
      </w:r>
    </w:p>
    <w:p w14:paraId="2CE23490" w14:textId="77777777" w:rsidR="009A3E0E" w:rsidRPr="004267B4" w:rsidRDefault="009A3E0E" w:rsidP="00DA2729">
      <w:pPr>
        <w:spacing w:line="259" w:lineRule="auto"/>
        <w:jc w:val="left"/>
        <w:rPr>
          <w:lang w:val="fr-BE"/>
        </w:rPr>
      </w:pPr>
    </w:p>
    <w:p w14:paraId="64C15D85" w14:textId="23E32732" w:rsidR="008D3567" w:rsidRPr="004267B4" w:rsidRDefault="004466E9" w:rsidP="00FF013B">
      <w:pPr>
        <w:widowControl w:val="0"/>
        <w:numPr>
          <w:ilvl w:val="0"/>
          <w:numId w:val="4"/>
        </w:numPr>
        <w:ind w:hanging="567"/>
        <w:rPr>
          <w:b/>
          <w:i/>
          <w:sz w:val="28"/>
          <w:lang w:val="fr-BE"/>
        </w:rPr>
      </w:pPr>
      <w:hyperlink r:id="rId42" w:history="1">
        <w:r w:rsidR="008D3567" w:rsidRPr="004267B4">
          <w:rPr>
            <w:b/>
            <w:i/>
            <w:sz w:val="28"/>
            <w:lang w:val="fr-BE"/>
          </w:rPr>
          <w:t>Initiative citoyenne européenne — Sauvons les abeilles et les agriculteurs</w:t>
        </w:r>
      </w:hyperlink>
    </w:p>
    <w:p w14:paraId="692D931A" w14:textId="77777777" w:rsidR="008D3567" w:rsidRPr="004267B4" w:rsidRDefault="008D3567" w:rsidP="008D3567">
      <w:pPr>
        <w:tabs>
          <w:tab w:val="center" w:pos="284"/>
        </w:tabs>
        <w:ind w:left="266" w:hanging="266"/>
        <w:rPr>
          <w:b/>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54"/>
      </w:tblGrid>
      <w:tr w:rsidR="008D3567" w:rsidRPr="004267B4" w14:paraId="573076A7" w14:textId="77777777" w:rsidTr="00074BCE">
        <w:tc>
          <w:tcPr>
            <w:tcW w:w="1701" w:type="dxa"/>
          </w:tcPr>
          <w:p w14:paraId="147139D8" w14:textId="77777777" w:rsidR="008D3567" w:rsidRPr="004267B4" w:rsidRDefault="008D3567" w:rsidP="0059328F">
            <w:pPr>
              <w:tabs>
                <w:tab w:val="center" w:pos="284"/>
              </w:tabs>
              <w:ind w:left="266" w:hanging="266"/>
              <w:rPr>
                <w:b/>
                <w:lang w:val="fr-BE"/>
              </w:rPr>
            </w:pPr>
            <w:r w:rsidRPr="004267B4">
              <w:rPr>
                <w:b/>
                <w:lang w:val="fr-BE"/>
              </w:rPr>
              <w:t>Rapporteur</w:t>
            </w:r>
          </w:p>
        </w:tc>
        <w:tc>
          <w:tcPr>
            <w:tcW w:w="7054" w:type="dxa"/>
          </w:tcPr>
          <w:p w14:paraId="56C4CE70" w14:textId="663742A4" w:rsidR="008D3567" w:rsidRPr="004267B4" w:rsidRDefault="008D3567" w:rsidP="0075736F">
            <w:pPr>
              <w:ind w:left="-2" w:firstLine="2"/>
              <w:rPr>
                <w:lang w:val="fr-BE"/>
              </w:rPr>
            </w:pPr>
            <w:r w:rsidRPr="004267B4">
              <w:rPr>
                <w:lang w:val="fr-BE"/>
              </w:rPr>
              <w:t>Arnold PUECH D’ALISSAC (</w:t>
            </w:r>
            <w:r w:rsidR="00F13412">
              <w:rPr>
                <w:lang w:val="fr-BE"/>
              </w:rPr>
              <w:t xml:space="preserve">groupe </w:t>
            </w:r>
            <w:r w:rsidR="0075736F">
              <w:rPr>
                <w:lang w:val="fr-BE"/>
              </w:rPr>
              <w:t>des e</w:t>
            </w:r>
            <w:r w:rsidRPr="004267B4">
              <w:rPr>
                <w:lang w:val="fr-BE"/>
              </w:rPr>
              <w:t>mployeurs — FR)</w:t>
            </w:r>
          </w:p>
        </w:tc>
      </w:tr>
      <w:tr w:rsidR="008D3567" w:rsidRPr="004267B4" w14:paraId="5EB7829A" w14:textId="77777777" w:rsidTr="00074BCE">
        <w:tc>
          <w:tcPr>
            <w:tcW w:w="8755" w:type="dxa"/>
            <w:gridSpan w:val="2"/>
          </w:tcPr>
          <w:p w14:paraId="7944C7F2" w14:textId="77777777" w:rsidR="008D3567" w:rsidRPr="004267B4" w:rsidRDefault="008D3567" w:rsidP="0059328F">
            <w:pPr>
              <w:tabs>
                <w:tab w:val="center" w:pos="284"/>
              </w:tabs>
              <w:spacing w:line="160" w:lineRule="exact"/>
              <w:ind w:left="266" w:hanging="266"/>
              <w:rPr>
                <w:lang w:val="fr-BE"/>
              </w:rPr>
            </w:pPr>
          </w:p>
        </w:tc>
      </w:tr>
      <w:tr w:rsidR="008D3567" w:rsidRPr="004267B4" w14:paraId="4E842553" w14:textId="77777777" w:rsidTr="00074BCE">
        <w:tc>
          <w:tcPr>
            <w:tcW w:w="1701" w:type="dxa"/>
            <w:vMerge w:val="restart"/>
          </w:tcPr>
          <w:p w14:paraId="411A392B" w14:textId="77777777" w:rsidR="008D3567" w:rsidRPr="004267B4" w:rsidRDefault="008D3567" w:rsidP="0059328F">
            <w:pPr>
              <w:tabs>
                <w:tab w:val="center" w:pos="284"/>
              </w:tabs>
              <w:ind w:left="266" w:hanging="266"/>
              <w:rPr>
                <w:b/>
                <w:lang w:val="fr-BE"/>
              </w:rPr>
            </w:pPr>
            <w:r w:rsidRPr="004267B4">
              <w:rPr>
                <w:b/>
                <w:lang w:val="fr-BE"/>
              </w:rPr>
              <w:t>Références</w:t>
            </w:r>
          </w:p>
        </w:tc>
        <w:tc>
          <w:tcPr>
            <w:tcW w:w="7054" w:type="dxa"/>
          </w:tcPr>
          <w:p w14:paraId="260FFDB1" w14:textId="77777777" w:rsidR="008D3567" w:rsidRPr="004267B4" w:rsidRDefault="008D3567" w:rsidP="0059328F">
            <w:pPr>
              <w:tabs>
                <w:tab w:val="center" w:pos="284"/>
              </w:tabs>
              <w:ind w:left="266" w:hanging="266"/>
              <w:rPr>
                <w:lang w:val="fr-BE"/>
              </w:rPr>
            </w:pPr>
            <w:r w:rsidRPr="004267B4">
              <w:rPr>
                <w:lang w:val="fr-BE"/>
              </w:rPr>
              <w:t>Avis d’initiative</w:t>
            </w:r>
          </w:p>
        </w:tc>
      </w:tr>
      <w:tr w:rsidR="008D3567" w:rsidRPr="004267B4" w14:paraId="08150862" w14:textId="77777777" w:rsidTr="00074BCE">
        <w:tc>
          <w:tcPr>
            <w:tcW w:w="1701" w:type="dxa"/>
            <w:vMerge/>
          </w:tcPr>
          <w:p w14:paraId="3E98B991" w14:textId="77777777" w:rsidR="008D3567" w:rsidRPr="004267B4" w:rsidRDefault="008D3567" w:rsidP="0059328F">
            <w:pPr>
              <w:tabs>
                <w:tab w:val="center" w:pos="284"/>
              </w:tabs>
              <w:ind w:left="266" w:hanging="266"/>
              <w:rPr>
                <w:b/>
                <w:lang w:val="fr-BE"/>
              </w:rPr>
            </w:pPr>
          </w:p>
        </w:tc>
        <w:tc>
          <w:tcPr>
            <w:tcW w:w="7054" w:type="dxa"/>
          </w:tcPr>
          <w:p w14:paraId="0413D668" w14:textId="0125E8DD" w:rsidR="008D3567" w:rsidRPr="004267B4" w:rsidRDefault="008D3567" w:rsidP="0059328F">
            <w:pPr>
              <w:tabs>
                <w:tab w:val="center" w:pos="284"/>
              </w:tabs>
              <w:ind w:left="266" w:hanging="266"/>
              <w:rPr>
                <w:lang w:val="fr-BE"/>
              </w:rPr>
            </w:pPr>
            <w:r w:rsidRPr="004267B4">
              <w:rPr>
                <w:lang w:val="fr-BE"/>
              </w:rPr>
              <w:t>EESC-2022-03162-00-00-A</w:t>
            </w:r>
            <w:r w:rsidR="0075736F">
              <w:rPr>
                <w:lang w:val="fr-BE"/>
              </w:rPr>
              <w:t>C</w:t>
            </w:r>
          </w:p>
        </w:tc>
      </w:tr>
    </w:tbl>
    <w:p w14:paraId="29EF5EB6" w14:textId="77777777" w:rsidR="008D3567" w:rsidRPr="004267B4" w:rsidRDefault="008D3567" w:rsidP="008D3567">
      <w:pPr>
        <w:tabs>
          <w:tab w:val="center" w:pos="284"/>
        </w:tabs>
        <w:ind w:left="266" w:hanging="266"/>
        <w:rPr>
          <w:lang w:val="fr-BE"/>
        </w:rPr>
      </w:pPr>
    </w:p>
    <w:p w14:paraId="5F112E0D" w14:textId="77777777" w:rsidR="008D3567" w:rsidRPr="004267B4" w:rsidRDefault="008D3567" w:rsidP="008D3567">
      <w:pPr>
        <w:keepNext/>
        <w:keepLines/>
        <w:tabs>
          <w:tab w:val="center" w:pos="284"/>
        </w:tabs>
        <w:ind w:left="266" w:hanging="266"/>
        <w:rPr>
          <w:b/>
          <w:lang w:val="fr-BE"/>
        </w:rPr>
      </w:pPr>
      <w:r w:rsidRPr="004267B4">
        <w:rPr>
          <w:b/>
          <w:lang w:val="fr-BE"/>
        </w:rPr>
        <w:t>Points clés</w:t>
      </w:r>
    </w:p>
    <w:p w14:paraId="3120A2EF" w14:textId="77777777" w:rsidR="008D3567" w:rsidRPr="004267B4" w:rsidRDefault="008D3567" w:rsidP="008D3567">
      <w:pPr>
        <w:keepNext/>
        <w:keepLines/>
        <w:tabs>
          <w:tab w:val="center" w:pos="284"/>
        </w:tabs>
        <w:ind w:left="266" w:hanging="266"/>
        <w:rPr>
          <w:b/>
          <w:lang w:val="fr-BE"/>
        </w:rPr>
      </w:pPr>
    </w:p>
    <w:p w14:paraId="4C17681D" w14:textId="77777777" w:rsidR="008D3567" w:rsidRPr="004267B4" w:rsidRDefault="008D3567" w:rsidP="0075736F">
      <w:pPr>
        <w:keepNext/>
        <w:rPr>
          <w:bCs/>
          <w:iCs/>
          <w:lang w:val="fr-BE"/>
        </w:rPr>
      </w:pPr>
      <w:r w:rsidRPr="004267B4">
        <w:rPr>
          <w:lang w:val="fr-BE"/>
        </w:rPr>
        <w:t>Le CESE:</w:t>
      </w:r>
    </w:p>
    <w:p w14:paraId="390210B4" w14:textId="77777777" w:rsidR="008D3567" w:rsidRPr="004267B4" w:rsidRDefault="008D3567" w:rsidP="0075736F">
      <w:pPr>
        <w:keepNext/>
        <w:rPr>
          <w:bCs/>
          <w:iCs/>
          <w:lang w:val="fr-BE"/>
        </w:rPr>
      </w:pPr>
    </w:p>
    <w:p w14:paraId="19D245AB" w14:textId="27FFDCE3" w:rsidR="008D3567" w:rsidRPr="004267B4" w:rsidRDefault="008D3567" w:rsidP="006D2E2F">
      <w:pPr>
        <w:widowControl w:val="0"/>
        <w:numPr>
          <w:ilvl w:val="0"/>
          <w:numId w:val="36"/>
        </w:numPr>
        <w:ind w:left="357" w:hanging="357"/>
        <w:rPr>
          <w:bCs/>
          <w:iCs/>
          <w:lang w:val="fr-BE"/>
        </w:rPr>
      </w:pPr>
      <w:r w:rsidRPr="004267B4">
        <w:rPr>
          <w:lang w:val="fr-BE"/>
        </w:rPr>
        <w:t>tient tout d’abord à féliciter l’organisateur et à saluer l’engagement des citoyens pour ce succès, étant donné la difficulté à collecter toutes les signatures nécessaires. Il invite donc la CE à apporter des réponses précises et concrètes aux demandes formulées par cette ICE;</w:t>
      </w:r>
    </w:p>
    <w:p w14:paraId="29E90B09" w14:textId="72EB9FE7" w:rsidR="008D3567" w:rsidRPr="004267B4" w:rsidRDefault="008D3567" w:rsidP="006D2E2F">
      <w:pPr>
        <w:widowControl w:val="0"/>
        <w:numPr>
          <w:ilvl w:val="0"/>
          <w:numId w:val="36"/>
        </w:numPr>
        <w:ind w:left="357" w:hanging="357"/>
        <w:rPr>
          <w:bCs/>
          <w:iCs/>
          <w:lang w:val="fr-BE"/>
        </w:rPr>
      </w:pPr>
      <w:r w:rsidRPr="004267B4">
        <w:rPr>
          <w:lang w:val="fr-BE"/>
        </w:rPr>
        <w:t>déplore que la principale proposition de l’ICE, qui consiste à renoncer progressivement aux pesticides de synthèse jusqu’à leur interdiction complète en 2035, ne soit pas mise en lumière dans le titre retenu: «Sauvons les abeilles et les agriculteurs». Il souligne par ailleurs que de nombreux actes juridiques sont en cours d’élaboration ou ont déjà été adoptés par la CE en faveur des abeilles, des pollinisateurs, de la biodiversité, de l’utilisation durable des pesticides et de l’accompagnement des agriculteurs dans la transition agroécologique, mais reconnaît néanmoins que ces mesures n’ont pas permis d’atteindre pleinement leurs objectifs. C’est pourquoi il appelle la CE à prendre des mesures complémentaires pour atteindre concrètement et avec plus d’efficacité les objectifs ambitieux qu’elle se fixe. Il recommande par exemple que soient soutenus plus fortement l’agriculture de précision, l’agriculture numérique, le biocontrôle, la robotique, mais aussi l’agroécologie;</w:t>
      </w:r>
    </w:p>
    <w:p w14:paraId="327A29A6" w14:textId="6A66D71B" w:rsidR="008D3567" w:rsidRPr="004267B4" w:rsidRDefault="008D3567" w:rsidP="006D2E2F">
      <w:pPr>
        <w:widowControl w:val="0"/>
        <w:numPr>
          <w:ilvl w:val="0"/>
          <w:numId w:val="36"/>
        </w:numPr>
        <w:ind w:left="357" w:hanging="357"/>
        <w:rPr>
          <w:bCs/>
          <w:iCs/>
          <w:lang w:val="fr-BE"/>
        </w:rPr>
      </w:pPr>
      <w:r w:rsidRPr="004267B4">
        <w:rPr>
          <w:lang w:val="fr-BE"/>
        </w:rPr>
        <w:t>insiste sur la nécessité de prendre en compte l’ensemble des trois piliers de la durabilité (environnemental, social et économique), sans omettre l’économique qui est souvent mis de côté, dans un contexte essentiel de durabilité des systèmes et de souveraineté alimentaire;</w:t>
      </w:r>
    </w:p>
    <w:p w14:paraId="139CA272" w14:textId="77777777" w:rsidR="008D3567" w:rsidRPr="004267B4" w:rsidRDefault="008D3567" w:rsidP="006D2E2F">
      <w:pPr>
        <w:widowControl w:val="0"/>
        <w:numPr>
          <w:ilvl w:val="0"/>
          <w:numId w:val="36"/>
        </w:numPr>
        <w:ind w:left="357" w:hanging="357"/>
        <w:rPr>
          <w:lang w:val="fr-BE"/>
        </w:rPr>
      </w:pPr>
      <w:r w:rsidRPr="004267B4">
        <w:rPr>
          <w:lang w:val="fr-BE"/>
        </w:rPr>
        <w:t>invite la CE à réaliser des études d’impact avant de prendre toute décision, pour évaluer notamment les coûts de l’initiative sur la production agricole et sur l’économie, à mettre en parallèle du coût économique que représente la perte de la biodiversité pour les agriculteurs.</w:t>
      </w:r>
    </w:p>
    <w:p w14:paraId="7B109A6B" w14:textId="77777777" w:rsidR="008D3567" w:rsidRPr="004267B4" w:rsidRDefault="008D3567" w:rsidP="008D3567">
      <w:pPr>
        <w:widowControl w:val="0"/>
        <w:ind w:left="709"/>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8D3567" w:rsidRPr="004267B4" w14:paraId="3A020303" w14:textId="77777777" w:rsidTr="0059328F">
        <w:tc>
          <w:tcPr>
            <w:tcW w:w="1418" w:type="dxa"/>
          </w:tcPr>
          <w:p w14:paraId="4701051D" w14:textId="77777777" w:rsidR="008D3567" w:rsidRPr="004267B4" w:rsidRDefault="008D3567" w:rsidP="0059328F">
            <w:pPr>
              <w:spacing w:line="240" w:lineRule="auto"/>
              <w:rPr>
                <w:i/>
                <w:lang w:val="fr-BE"/>
              </w:rPr>
            </w:pPr>
            <w:r w:rsidRPr="004267B4">
              <w:rPr>
                <w:b/>
                <w:i/>
                <w:lang w:val="fr-BE"/>
              </w:rPr>
              <w:t>Contact</w:t>
            </w:r>
          </w:p>
        </w:tc>
        <w:tc>
          <w:tcPr>
            <w:tcW w:w="5670" w:type="dxa"/>
          </w:tcPr>
          <w:p w14:paraId="0D2E0853" w14:textId="77777777" w:rsidR="008D3567" w:rsidRPr="004267B4" w:rsidRDefault="008D3567" w:rsidP="0059328F">
            <w:pPr>
              <w:spacing w:line="240" w:lineRule="auto"/>
              <w:rPr>
                <w:i/>
                <w:lang w:val="fr-BE"/>
              </w:rPr>
            </w:pPr>
            <w:r w:rsidRPr="004267B4">
              <w:rPr>
                <w:i/>
                <w:lang w:val="fr-BE"/>
              </w:rPr>
              <w:t>Gaia Bottoni</w:t>
            </w:r>
          </w:p>
        </w:tc>
      </w:tr>
      <w:tr w:rsidR="008D3567" w:rsidRPr="004267B4" w14:paraId="37B83694" w14:textId="77777777" w:rsidTr="0059328F">
        <w:tc>
          <w:tcPr>
            <w:tcW w:w="1418" w:type="dxa"/>
          </w:tcPr>
          <w:p w14:paraId="7A3A6008" w14:textId="77777777" w:rsidR="008D3567" w:rsidRPr="004267B4" w:rsidRDefault="008D3567" w:rsidP="0059328F">
            <w:pPr>
              <w:spacing w:line="240" w:lineRule="auto"/>
              <w:rPr>
                <w:i/>
                <w:lang w:val="fr-BE"/>
              </w:rPr>
            </w:pPr>
            <w:r w:rsidRPr="004267B4">
              <w:rPr>
                <w:i/>
                <w:lang w:val="fr-BE"/>
              </w:rPr>
              <w:t>Tél.</w:t>
            </w:r>
          </w:p>
        </w:tc>
        <w:tc>
          <w:tcPr>
            <w:tcW w:w="5670" w:type="dxa"/>
          </w:tcPr>
          <w:p w14:paraId="2C82F9DC" w14:textId="44FC8733" w:rsidR="008D3567" w:rsidRPr="004267B4" w:rsidRDefault="0075736F" w:rsidP="0059328F">
            <w:pPr>
              <w:spacing w:line="240" w:lineRule="auto"/>
              <w:rPr>
                <w:i/>
                <w:lang w:val="fr-BE"/>
              </w:rPr>
            </w:pPr>
            <w:r>
              <w:rPr>
                <w:i/>
                <w:lang w:val="fr-BE"/>
              </w:rPr>
              <w:t>+</w:t>
            </w:r>
            <w:r w:rsidR="008D3567" w:rsidRPr="004267B4">
              <w:rPr>
                <w:i/>
                <w:lang w:val="fr-BE"/>
              </w:rPr>
              <w:t>32 2 546 94 47</w:t>
            </w:r>
          </w:p>
        </w:tc>
      </w:tr>
      <w:tr w:rsidR="008D3567" w:rsidRPr="004267B4" w14:paraId="1264499D" w14:textId="77777777" w:rsidTr="0059328F">
        <w:tc>
          <w:tcPr>
            <w:tcW w:w="1418" w:type="dxa"/>
          </w:tcPr>
          <w:p w14:paraId="31129473" w14:textId="77777777" w:rsidR="008D3567" w:rsidRPr="004267B4" w:rsidRDefault="008D3567" w:rsidP="0059328F">
            <w:pPr>
              <w:spacing w:line="240" w:lineRule="auto"/>
              <w:rPr>
                <w:i/>
                <w:lang w:val="fr-BE"/>
              </w:rPr>
            </w:pPr>
            <w:r w:rsidRPr="004267B4">
              <w:rPr>
                <w:i/>
                <w:lang w:val="fr-BE"/>
              </w:rPr>
              <w:t>Courriel</w:t>
            </w:r>
          </w:p>
        </w:tc>
        <w:tc>
          <w:tcPr>
            <w:tcW w:w="5670" w:type="dxa"/>
          </w:tcPr>
          <w:p w14:paraId="30D5BA99" w14:textId="77777777" w:rsidR="008D3567" w:rsidRPr="004267B4" w:rsidRDefault="004466E9" w:rsidP="0059328F">
            <w:pPr>
              <w:spacing w:line="240" w:lineRule="auto"/>
              <w:rPr>
                <w:i/>
                <w:lang w:val="fr-BE"/>
              </w:rPr>
            </w:pPr>
            <w:hyperlink r:id="rId43" w:history="1">
              <w:r w:rsidR="008D3567" w:rsidRPr="004267B4">
                <w:rPr>
                  <w:rStyle w:val="Hyperlink"/>
                  <w:i/>
                  <w:lang w:val="fr-BE"/>
                </w:rPr>
                <w:t>Gaia.Bottoni@eesc.europa.eu</w:t>
              </w:r>
            </w:hyperlink>
            <w:r w:rsidR="008D3567" w:rsidRPr="004267B4">
              <w:rPr>
                <w:i/>
                <w:lang w:val="fr-BE"/>
              </w:rPr>
              <w:t xml:space="preserve"> </w:t>
            </w:r>
          </w:p>
        </w:tc>
      </w:tr>
    </w:tbl>
    <w:p w14:paraId="3D4A5F95" w14:textId="32C53814" w:rsidR="000247C5" w:rsidRPr="004267B4" w:rsidRDefault="000247C5" w:rsidP="00DA2729">
      <w:pPr>
        <w:spacing w:line="240" w:lineRule="auto"/>
        <w:jc w:val="left"/>
        <w:rPr>
          <w:lang w:val="fr-BE"/>
        </w:rPr>
      </w:pPr>
    </w:p>
    <w:p w14:paraId="530529E9" w14:textId="77777777" w:rsidR="000247C5" w:rsidRPr="004267B4" w:rsidRDefault="000247C5" w:rsidP="00DA2729">
      <w:pPr>
        <w:spacing w:line="259" w:lineRule="auto"/>
        <w:jc w:val="left"/>
        <w:rPr>
          <w:sz w:val="28"/>
          <w:szCs w:val="16"/>
          <w:lang w:val="fr-BE"/>
        </w:rPr>
      </w:pPr>
      <w:r w:rsidRPr="004267B4">
        <w:rPr>
          <w:lang w:val="fr-BE"/>
        </w:rPr>
        <w:br w:type="page"/>
      </w:r>
    </w:p>
    <w:p w14:paraId="408B1584" w14:textId="77777777" w:rsidR="00F2127E" w:rsidRPr="004267B4" w:rsidRDefault="00F2127E" w:rsidP="00DA2729">
      <w:pPr>
        <w:spacing w:line="240" w:lineRule="auto"/>
        <w:jc w:val="left"/>
        <w:rPr>
          <w:lang w:val="fr-BE"/>
        </w:rPr>
      </w:pPr>
    </w:p>
    <w:p w14:paraId="772A2FFB" w14:textId="2875F267" w:rsidR="00FA2DC1" w:rsidRPr="004267B4" w:rsidRDefault="004466E9" w:rsidP="00FF013B">
      <w:pPr>
        <w:widowControl w:val="0"/>
        <w:numPr>
          <w:ilvl w:val="0"/>
          <w:numId w:val="4"/>
        </w:numPr>
        <w:ind w:hanging="567"/>
        <w:rPr>
          <w:lang w:val="fr-BE"/>
        </w:rPr>
      </w:pPr>
      <w:hyperlink r:id="rId44" w:history="1">
        <w:r w:rsidR="00FA2DC1" w:rsidRPr="0075736F">
          <w:rPr>
            <w:b/>
            <w:i/>
            <w:sz w:val="28"/>
            <w:lang w:val="fr-BE"/>
          </w:rPr>
          <w:t>La crise des prix des denrées alimentaires: rôle de la spéculation et propositions concrètes d’action à la suite de la guerre en Ukraine</w:t>
        </w:r>
      </w:hyperlink>
    </w:p>
    <w:p w14:paraId="287FB748" w14:textId="77777777" w:rsidR="00FA2DC1" w:rsidRPr="004267B4" w:rsidRDefault="00FA2DC1" w:rsidP="00FA2DC1">
      <w:pPr>
        <w:widowControl w:val="0"/>
        <w:ind w:left="567"/>
        <w:rPr>
          <w:b/>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FA2DC1" w:rsidRPr="004267B4" w14:paraId="05C54215" w14:textId="77777777" w:rsidTr="0059328F">
        <w:tc>
          <w:tcPr>
            <w:tcW w:w="1701" w:type="dxa"/>
          </w:tcPr>
          <w:p w14:paraId="46A70BD0" w14:textId="77777777" w:rsidR="00FA2DC1" w:rsidRPr="004267B4" w:rsidRDefault="00FA2DC1" w:rsidP="0059328F">
            <w:pPr>
              <w:tabs>
                <w:tab w:val="center" w:pos="284"/>
              </w:tabs>
              <w:ind w:left="266" w:hanging="266"/>
              <w:rPr>
                <w:b/>
                <w:lang w:val="fr-BE"/>
              </w:rPr>
            </w:pPr>
            <w:r w:rsidRPr="004267B4">
              <w:rPr>
                <w:b/>
                <w:lang w:val="fr-BE"/>
              </w:rPr>
              <w:t>Rapporteur</w:t>
            </w:r>
          </w:p>
        </w:tc>
        <w:tc>
          <w:tcPr>
            <w:tcW w:w="5387" w:type="dxa"/>
          </w:tcPr>
          <w:p w14:paraId="117D0F6B" w14:textId="56B77AB8" w:rsidR="00FA2DC1" w:rsidRPr="00454578" w:rsidRDefault="00FA2DC1" w:rsidP="0059328F">
            <w:pPr>
              <w:tabs>
                <w:tab w:val="center" w:pos="284"/>
              </w:tabs>
              <w:ind w:left="266" w:hanging="266"/>
              <w:rPr>
                <w:bCs/>
                <w:lang w:val="fr-BE"/>
              </w:rPr>
            </w:pPr>
            <w:r w:rsidRPr="00454578">
              <w:rPr>
                <w:bCs/>
                <w:lang w:val="fr-BE"/>
              </w:rPr>
              <w:t xml:space="preserve">Peter </w:t>
            </w:r>
            <w:r w:rsidR="00454578" w:rsidRPr="00454578">
              <w:rPr>
                <w:bCs/>
                <w:lang w:val="fr-BE"/>
              </w:rPr>
              <w:t>SCHMIDT</w:t>
            </w:r>
            <w:r w:rsidRPr="00454578">
              <w:rPr>
                <w:bCs/>
                <w:lang w:val="fr-BE"/>
              </w:rPr>
              <w:t xml:space="preserve"> (</w:t>
            </w:r>
            <w:r w:rsidR="00F13412">
              <w:rPr>
                <w:bCs/>
              </w:rPr>
              <w:t xml:space="preserve">groupe </w:t>
            </w:r>
            <w:r w:rsidR="00454578" w:rsidRPr="00454578">
              <w:rPr>
                <w:bCs/>
              </w:rPr>
              <w:t>des travailleurs —</w:t>
            </w:r>
            <w:r w:rsidRPr="00454578">
              <w:rPr>
                <w:bCs/>
                <w:lang w:val="fr-BE"/>
              </w:rPr>
              <w:t>DE)</w:t>
            </w:r>
          </w:p>
        </w:tc>
      </w:tr>
      <w:tr w:rsidR="00FA2DC1" w:rsidRPr="004267B4" w14:paraId="6AE6031A" w14:textId="77777777" w:rsidTr="0059328F">
        <w:tc>
          <w:tcPr>
            <w:tcW w:w="1701" w:type="dxa"/>
            <w:vMerge w:val="restart"/>
          </w:tcPr>
          <w:p w14:paraId="7B84DAAB" w14:textId="77777777" w:rsidR="00FA2DC1" w:rsidRPr="004267B4" w:rsidRDefault="00FA2DC1" w:rsidP="0059328F">
            <w:pPr>
              <w:tabs>
                <w:tab w:val="center" w:pos="284"/>
              </w:tabs>
              <w:ind w:left="266" w:hanging="266"/>
              <w:rPr>
                <w:b/>
                <w:lang w:val="fr-BE"/>
              </w:rPr>
            </w:pPr>
            <w:r w:rsidRPr="004267B4">
              <w:rPr>
                <w:b/>
                <w:lang w:val="fr-BE"/>
              </w:rPr>
              <w:t>Référence</w:t>
            </w:r>
          </w:p>
        </w:tc>
        <w:tc>
          <w:tcPr>
            <w:tcW w:w="5387" w:type="dxa"/>
          </w:tcPr>
          <w:p w14:paraId="32C5D76B" w14:textId="77777777" w:rsidR="00FA2DC1" w:rsidRPr="004267B4" w:rsidRDefault="00FA2DC1" w:rsidP="0059328F">
            <w:pPr>
              <w:tabs>
                <w:tab w:val="center" w:pos="284"/>
              </w:tabs>
              <w:ind w:left="266" w:hanging="266"/>
              <w:rPr>
                <w:lang w:val="fr-BE"/>
              </w:rPr>
            </w:pPr>
            <w:r w:rsidRPr="004267B4">
              <w:rPr>
                <w:lang w:val="fr-BE"/>
              </w:rPr>
              <w:t>Avis d’initiative</w:t>
            </w:r>
          </w:p>
        </w:tc>
      </w:tr>
      <w:tr w:rsidR="00FA2DC1" w:rsidRPr="004267B4" w14:paraId="2D5FAE7F" w14:textId="77777777" w:rsidTr="0059328F">
        <w:tc>
          <w:tcPr>
            <w:tcW w:w="1701" w:type="dxa"/>
            <w:vMerge/>
          </w:tcPr>
          <w:p w14:paraId="1511F77B" w14:textId="77777777" w:rsidR="00FA2DC1" w:rsidRPr="004267B4" w:rsidRDefault="00FA2DC1" w:rsidP="0059328F">
            <w:pPr>
              <w:tabs>
                <w:tab w:val="center" w:pos="284"/>
              </w:tabs>
              <w:ind w:left="266" w:hanging="266"/>
              <w:rPr>
                <w:b/>
                <w:lang w:val="fr-BE"/>
              </w:rPr>
            </w:pPr>
          </w:p>
        </w:tc>
        <w:tc>
          <w:tcPr>
            <w:tcW w:w="5387" w:type="dxa"/>
          </w:tcPr>
          <w:p w14:paraId="6D4FE70C" w14:textId="6E15A9C0" w:rsidR="00FA2DC1" w:rsidRPr="004267B4" w:rsidRDefault="00FA2DC1" w:rsidP="0059328F">
            <w:pPr>
              <w:tabs>
                <w:tab w:val="center" w:pos="284"/>
              </w:tabs>
              <w:ind w:left="266" w:hanging="266"/>
              <w:rPr>
                <w:lang w:val="fr-BE"/>
              </w:rPr>
            </w:pPr>
            <w:r w:rsidRPr="004267B4">
              <w:rPr>
                <w:lang w:val="fr-BE"/>
              </w:rPr>
              <w:t>EESC-2022-03878-00-00-A</w:t>
            </w:r>
            <w:r w:rsidR="00454578">
              <w:rPr>
                <w:lang w:val="fr-BE"/>
              </w:rPr>
              <w:t>C</w:t>
            </w:r>
          </w:p>
        </w:tc>
      </w:tr>
    </w:tbl>
    <w:p w14:paraId="4AB610C8" w14:textId="77777777" w:rsidR="00FA2DC1" w:rsidRPr="004267B4" w:rsidRDefault="00FA2DC1" w:rsidP="00FA2DC1">
      <w:pPr>
        <w:keepNext/>
        <w:keepLines/>
        <w:tabs>
          <w:tab w:val="center" w:pos="284"/>
        </w:tabs>
        <w:ind w:left="266" w:hanging="266"/>
        <w:rPr>
          <w:b/>
          <w:lang w:val="fr-BE"/>
        </w:rPr>
      </w:pPr>
      <w:r w:rsidRPr="004267B4">
        <w:rPr>
          <w:b/>
          <w:lang w:val="fr-BE"/>
        </w:rPr>
        <w:t>Points clés</w:t>
      </w:r>
    </w:p>
    <w:p w14:paraId="45AEAFE8" w14:textId="77777777" w:rsidR="00FA2DC1" w:rsidRPr="004267B4" w:rsidRDefault="00FA2DC1" w:rsidP="00454578">
      <w:pPr>
        <w:keepNext/>
        <w:keepLines/>
        <w:tabs>
          <w:tab w:val="center" w:pos="284"/>
        </w:tabs>
        <w:ind w:left="266" w:hanging="266"/>
        <w:rPr>
          <w:b/>
          <w:lang w:val="fr-BE"/>
        </w:rPr>
      </w:pPr>
    </w:p>
    <w:p w14:paraId="599F3CA8" w14:textId="501E2ABA" w:rsidR="00FA2DC1" w:rsidRDefault="00FA2DC1" w:rsidP="00454578">
      <w:pPr>
        <w:keepNext/>
        <w:rPr>
          <w:lang w:val="fr-BE"/>
        </w:rPr>
      </w:pPr>
      <w:r w:rsidRPr="004267B4">
        <w:rPr>
          <w:lang w:val="fr-BE"/>
        </w:rPr>
        <w:t>Le CESE:</w:t>
      </w:r>
    </w:p>
    <w:p w14:paraId="305A04B4" w14:textId="77777777" w:rsidR="00454578" w:rsidRPr="004267B4" w:rsidRDefault="00454578" w:rsidP="00454578">
      <w:pPr>
        <w:keepNext/>
        <w:rPr>
          <w:bCs/>
          <w:iCs/>
          <w:lang w:val="fr-BE"/>
        </w:rPr>
      </w:pPr>
    </w:p>
    <w:p w14:paraId="4CE6F004" w14:textId="77777777" w:rsidR="00FA2DC1" w:rsidRPr="004267B4" w:rsidRDefault="00FA2DC1" w:rsidP="006D2E2F">
      <w:pPr>
        <w:pStyle w:val="Heading2"/>
        <w:numPr>
          <w:ilvl w:val="1"/>
          <w:numId w:val="37"/>
        </w:numPr>
        <w:ind w:left="357" w:hanging="357"/>
        <w:rPr>
          <w:lang w:val="fr-BE"/>
        </w:rPr>
      </w:pPr>
      <w:bookmarkStart w:id="35" w:name="_Toc124863710"/>
      <w:r w:rsidRPr="004267B4">
        <w:rPr>
          <w:lang w:val="fr-BE"/>
        </w:rPr>
        <w:t>attire l’attention sur la crise mondiale des prix alimentaires, qui a été exacerbée par la guerre en Ukraine. Les denrées alimentaires ne devraient pas être traitées comme un actif financier, étant donné qu’il ne s’agit pas d’un simple produit de base au même titre que beaucoup d’autres;</w:t>
      </w:r>
      <w:bookmarkEnd w:id="35"/>
    </w:p>
    <w:p w14:paraId="5292B460" w14:textId="77777777" w:rsidR="00FA2DC1" w:rsidRPr="004267B4" w:rsidRDefault="00FA2DC1" w:rsidP="006D2E2F">
      <w:pPr>
        <w:pStyle w:val="Heading2"/>
        <w:numPr>
          <w:ilvl w:val="1"/>
          <w:numId w:val="37"/>
        </w:numPr>
        <w:ind w:left="357" w:hanging="357"/>
        <w:rPr>
          <w:b/>
          <w:bCs/>
          <w:lang w:val="fr-BE"/>
        </w:rPr>
      </w:pPr>
      <w:bookmarkStart w:id="36" w:name="_Toc124863711"/>
      <w:r w:rsidRPr="004267B4">
        <w:rPr>
          <w:lang w:val="fr-BE"/>
        </w:rPr>
        <w:t xml:space="preserve">fait observer que la structure actuelle du marché des produits de base n’est pas à la hauteur de l’«économie durable dont nous avons besoin». Elle ne permettra pas d’atteindre les objectifs liés au développement durable, à l’ambition climatique et à la transition juste inscrits dans le programme des Nations unies à l’horizon 2030 et le pacte vert pour l’Europe, et joue en fait activement en leur défaveur. </w:t>
      </w:r>
      <w:r w:rsidRPr="004267B4">
        <w:rPr>
          <w:b/>
          <w:lang w:val="fr-BE"/>
        </w:rPr>
        <w:t>Il convient donc de la modifier par voie de réglementation afin de contribuer au bien-être de la population et au développement sociétal, en vue de la mise en œuvre des objectifs de développement durable (ODD)</w:t>
      </w:r>
      <w:r w:rsidRPr="004267B4">
        <w:rPr>
          <w:lang w:val="fr-BE"/>
        </w:rPr>
        <w:t>;</w:t>
      </w:r>
      <w:bookmarkEnd w:id="36"/>
      <w:r w:rsidRPr="004267B4">
        <w:rPr>
          <w:lang w:val="fr-BE"/>
        </w:rPr>
        <w:t xml:space="preserve"> </w:t>
      </w:r>
    </w:p>
    <w:p w14:paraId="611EA86E" w14:textId="77777777" w:rsidR="00FA2DC1" w:rsidRPr="004267B4" w:rsidRDefault="00FA2DC1" w:rsidP="006D2E2F">
      <w:pPr>
        <w:pStyle w:val="Heading2"/>
        <w:numPr>
          <w:ilvl w:val="1"/>
          <w:numId w:val="37"/>
        </w:numPr>
        <w:ind w:left="357" w:hanging="357"/>
        <w:rPr>
          <w:lang w:val="fr-BE"/>
        </w:rPr>
      </w:pPr>
      <w:bookmarkStart w:id="37" w:name="_Toc124863712"/>
      <w:r w:rsidRPr="004267B4">
        <w:rPr>
          <w:lang w:val="fr-BE"/>
        </w:rPr>
        <w:t xml:space="preserve">insiste sur la nécessité de traiter la question de la concentration dans la chaîne alimentaire et de la propriété financière; souligne que </w:t>
      </w:r>
      <w:r w:rsidRPr="004267B4">
        <w:rPr>
          <w:b/>
          <w:lang w:val="fr-BE"/>
        </w:rPr>
        <w:t>le commerce physique mondial de céréales est très concentré</w:t>
      </w:r>
      <w:r w:rsidRPr="004267B4">
        <w:rPr>
          <w:lang w:val="fr-BE"/>
        </w:rPr>
        <w:t>;</w:t>
      </w:r>
      <w:bookmarkEnd w:id="37"/>
      <w:r w:rsidRPr="004267B4">
        <w:rPr>
          <w:lang w:val="fr-BE"/>
        </w:rPr>
        <w:t xml:space="preserve"> </w:t>
      </w:r>
    </w:p>
    <w:p w14:paraId="703070D4" w14:textId="77777777" w:rsidR="00FA2DC1" w:rsidRPr="004267B4" w:rsidRDefault="00FA2DC1" w:rsidP="006D2E2F">
      <w:pPr>
        <w:pStyle w:val="Heading2"/>
        <w:numPr>
          <w:ilvl w:val="1"/>
          <w:numId w:val="37"/>
        </w:numPr>
        <w:ind w:left="357" w:hanging="357"/>
        <w:rPr>
          <w:lang w:val="fr-BE"/>
        </w:rPr>
      </w:pPr>
      <w:bookmarkStart w:id="38" w:name="_Toc124863713"/>
      <w:r w:rsidRPr="004267B4">
        <w:rPr>
          <w:lang w:val="fr-BE"/>
        </w:rPr>
        <w:t>note que les fonds indiciels cotés et les fonds indiciels mutualisés, y compris ceux qui sont spécifiquement liés à l’alimentation et à l’agriculture, ouvrent de nouvelles filières d’investissements et de bénéfices financiers largement utilisées;</w:t>
      </w:r>
      <w:bookmarkEnd w:id="38"/>
    </w:p>
    <w:p w14:paraId="0D65724D" w14:textId="77777777" w:rsidR="00FA2DC1" w:rsidRPr="004267B4" w:rsidRDefault="00FA2DC1" w:rsidP="006D2E2F">
      <w:pPr>
        <w:pStyle w:val="Heading2"/>
        <w:numPr>
          <w:ilvl w:val="1"/>
          <w:numId w:val="37"/>
        </w:numPr>
        <w:ind w:left="357" w:hanging="357"/>
        <w:rPr>
          <w:lang w:val="fr-BE"/>
        </w:rPr>
      </w:pPr>
      <w:bookmarkStart w:id="39" w:name="_Toc124863714"/>
      <w:r w:rsidRPr="004267B4">
        <w:rPr>
          <w:lang w:val="fr-BE"/>
        </w:rPr>
        <w:t xml:space="preserve">constate que </w:t>
      </w:r>
      <w:r w:rsidRPr="004267B4">
        <w:rPr>
          <w:b/>
          <w:lang w:val="fr-BE"/>
        </w:rPr>
        <w:t>les prix élevés et en hausse rapide ainsi que le secret qui entoure les actifs de stock créent de l’incertitude et alimentent la peur et la panique</w:t>
      </w:r>
      <w:r w:rsidRPr="004267B4">
        <w:rPr>
          <w:lang w:val="fr-BE"/>
        </w:rPr>
        <w:t>;</w:t>
      </w:r>
      <w:bookmarkEnd w:id="39"/>
    </w:p>
    <w:p w14:paraId="07DE9C10" w14:textId="77777777" w:rsidR="00FA2DC1" w:rsidRPr="004267B4" w:rsidRDefault="00FA2DC1" w:rsidP="006D2E2F">
      <w:pPr>
        <w:pStyle w:val="Heading2"/>
        <w:numPr>
          <w:ilvl w:val="1"/>
          <w:numId w:val="37"/>
        </w:numPr>
        <w:ind w:left="357" w:hanging="357"/>
        <w:rPr>
          <w:lang w:val="fr-BE"/>
        </w:rPr>
      </w:pPr>
      <w:bookmarkStart w:id="40" w:name="_Toc124863715"/>
      <w:r w:rsidRPr="004267B4">
        <w:rPr>
          <w:lang w:val="fr-BE"/>
        </w:rPr>
        <w:t>invite les États membres et les institutions de l’UE à renforcer la transparence du marché, notamment en incitant les acteurs participant à la spéculation à publier des déclarations ESG et des informations non financières, en s’assurant que chaque acteur à l’échelle mondiale fournisse des informations au système d’information sur les marchés agricoles (AMIS), y compris les pays et les acteurs privés, et en examinant plus en détail les transactions de gré à gré;</w:t>
      </w:r>
      <w:bookmarkEnd w:id="40"/>
    </w:p>
    <w:p w14:paraId="0215CC1C" w14:textId="77777777" w:rsidR="00FA2DC1" w:rsidRPr="004267B4" w:rsidRDefault="00FA2DC1" w:rsidP="006D2E2F">
      <w:pPr>
        <w:pStyle w:val="Heading2"/>
        <w:numPr>
          <w:ilvl w:val="1"/>
          <w:numId w:val="37"/>
        </w:numPr>
        <w:ind w:left="357" w:hanging="357"/>
        <w:rPr>
          <w:lang w:val="fr-BE"/>
        </w:rPr>
      </w:pPr>
      <w:bookmarkStart w:id="41" w:name="_Toc124863716"/>
      <w:r w:rsidRPr="004267B4">
        <w:rPr>
          <w:lang w:val="fr-BE"/>
        </w:rPr>
        <w:t xml:space="preserve">attire l’attention sur le fait que les marchés dérivés sur produits de base fournissent des services essentiels aux producteurs et aux utilisateurs de produits alimentaires de base, s’agissant notamment de la gestion des risques et de la fixation des prix, et que le fonctionnement de ces marchés est compromis par des activités spéculatives; invite instamment les États membres et les institutions de l’Union à prendre les mesures nécessaires pour enrayer la </w:t>
      </w:r>
      <w:r w:rsidRPr="004267B4">
        <w:rPr>
          <w:b/>
          <w:lang w:val="fr-BE"/>
        </w:rPr>
        <w:t>spéculation excessive sur les produits de base</w:t>
      </w:r>
      <w:r w:rsidRPr="004267B4">
        <w:rPr>
          <w:lang w:val="fr-BE"/>
        </w:rPr>
        <w:t>, notamment en:</w:t>
      </w:r>
      <w:bookmarkEnd w:id="41"/>
    </w:p>
    <w:p w14:paraId="19440DCA" w14:textId="77777777" w:rsidR="00FA2DC1" w:rsidRPr="004267B4" w:rsidRDefault="00FA2DC1" w:rsidP="006D2E2F">
      <w:pPr>
        <w:pStyle w:val="Heading3"/>
        <w:numPr>
          <w:ilvl w:val="2"/>
          <w:numId w:val="39"/>
        </w:numPr>
        <w:ind w:left="714" w:hanging="357"/>
        <w:rPr>
          <w:lang w:val="fr-BE"/>
        </w:rPr>
      </w:pPr>
      <w:bookmarkStart w:id="42" w:name="_Toc124863717"/>
      <w:r w:rsidRPr="004267B4">
        <w:rPr>
          <w:b/>
          <w:lang w:val="fr-BE"/>
        </w:rPr>
        <w:t>réglementant le marché à terme</w:t>
      </w:r>
      <w:r w:rsidRPr="004267B4">
        <w:rPr>
          <w:lang w:val="fr-BE"/>
        </w:rPr>
        <w:t xml:space="preserve">, par exemple: réintroduire un marché réglementé pour les instruments dérivés basés sur des denrées alimentaires; introduire des restrictions strictes aux mouvements de prix et des limites de position quotidiennes dès que les activités de négoce sur les marchés à terme de produits de base présentent des anomalies; limiter l’accès aux instruments dérivés/à la couverture aux investisseurs et opérateurs du marché qualifiés et avertis qui sont réellement préoccupés par les produits de base agricoles sous-jacents; introduire des obligations contractuelles à court/moyen/long terme afin d’accroître la stabilité; et mettre en </w:t>
      </w:r>
      <w:r w:rsidRPr="004267B4">
        <w:rPr>
          <w:lang w:val="fr-BE"/>
        </w:rPr>
        <w:lastRenderedPageBreak/>
        <w:t>place des mesures d’incitation visant à encourager un renoncement des banques et des sociétés de fonds de gestion à toute spéculation financière sur les produits alimentaires de base;</w:t>
      </w:r>
      <w:bookmarkEnd w:id="42"/>
      <w:r w:rsidRPr="004267B4">
        <w:rPr>
          <w:lang w:val="fr-BE"/>
        </w:rPr>
        <w:t xml:space="preserve"> </w:t>
      </w:r>
    </w:p>
    <w:p w14:paraId="62D1BA07" w14:textId="77777777" w:rsidR="00FA2DC1" w:rsidRPr="004267B4" w:rsidRDefault="00FA2DC1" w:rsidP="006D2E2F">
      <w:pPr>
        <w:pStyle w:val="Heading3"/>
        <w:numPr>
          <w:ilvl w:val="2"/>
          <w:numId w:val="39"/>
        </w:numPr>
        <w:ind w:left="714" w:hanging="357"/>
        <w:rPr>
          <w:lang w:val="fr-BE"/>
        </w:rPr>
      </w:pPr>
      <w:bookmarkStart w:id="43" w:name="_Toc124863718"/>
      <w:r w:rsidRPr="004267B4">
        <w:rPr>
          <w:b/>
          <w:lang w:val="fr-BE"/>
        </w:rPr>
        <w:t>réglementant les indices (indices de produits de base et indices alimentaires)</w:t>
      </w:r>
      <w:r w:rsidRPr="004267B4">
        <w:rPr>
          <w:lang w:val="fr-BE"/>
        </w:rPr>
        <w:t>, par exemple: réglementer et interdire les fonds indiciels sur les matières premières et la reproduction au moyen d’opérations d’échange et de produits indiciels cotés; mettre un terme à l’accès des acteurs impliqués dans la spéculation sur les denrées alimentaires aux fonds de placement publics/fonds mutualisés</w:t>
      </w:r>
      <w:r w:rsidRPr="004267B4">
        <w:rPr>
          <w:rStyle w:val="FootnoteReference"/>
          <w:lang w:val="fr-BE"/>
        </w:rPr>
        <w:footnoteReference w:id="2"/>
      </w:r>
      <w:r w:rsidRPr="004267B4">
        <w:rPr>
          <w:lang w:val="fr-BE"/>
        </w:rPr>
        <w:t>; et interdire les opérations sur des produits de base d’origine agricole (par exemple les fonds, les fonds indiciels cotés) dans les portefeuilles d’acteurs institutionnels (par exemple les fonds de pension, les compagnies d’assurances);</w:t>
      </w:r>
      <w:bookmarkEnd w:id="43"/>
    </w:p>
    <w:p w14:paraId="22DA7F81" w14:textId="77777777" w:rsidR="00FA2DC1" w:rsidRPr="004267B4" w:rsidRDefault="00FA2DC1" w:rsidP="006D2E2F">
      <w:pPr>
        <w:pStyle w:val="Heading3"/>
        <w:numPr>
          <w:ilvl w:val="0"/>
          <w:numId w:val="38"/>
        </w:numPr>
        <w:ind w:left="714" w:hanging="357"/>
        <w:rPr>
          <w:lang w:val="fr-BE"/>
        </w:rPr>
      </w:pPr>
      <w:bookmarkStart w:id="44" w:name="_Toc124863719"/>
      <w:r w:rsidRPr="004267B4">
        <w:rPr>
          <w:b/>
          <w:lang w:val="fr-BE"/>
        </w:rPr>
        <w:t>s’attaquant au problème de la financiarisation du secteur alimentaire</w:t>
      </w:r>
      <w:r w:rsidRPr="004267B4">
        <w:rPr>
          <w:lang w:val="fr-BE"/>
        </w:rPr>
        <w:t>, une activité extrêmement lucrative qui se fait au détriment des populations, par exemple en instaurant une taxation des bénéfices exceptionnels avant dividendes réalisés par les sociétés et une taxe sur la spéculation alimentaire</w:t>
      </w:r>
      <w:r w:rsidRPr="004267B4">
        <w:rPr>
          <w:rStyle w:val="FootnoteReference"/>
          <w:lang w:val="fr-BE"/>
        </w:rPr>
        <w:footnoteReference w:id="3"/>
      </w:r>
      <w:r w:rsidRPr="004267B4">
        <w:rPr>
          <w:lang w:val="fr-BE"/>
        </w:rPr>
        <w:t xml:space="preserve"> afin d’endiguer les transactions à haute fréquence, et en brisant les oligopoles à tous les niveaux de la chaîne et des intérêts financiers.</w:t>
      </w:r>
      <w:bookmarkEnd w:id="44"/>
    </w:p>
    <w:p w14:paraId="335A2CFD" w14:textId="77777777" w:rsidR="00FA2DC1" w:rsidRPr="004267B4" w:rsidRDefault="00FA2DC1" w:rsidP="00FA2DC1">
      <w:pPr>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5670"/>
      </w:tblGrid>
      <w:tr w:rsidR="00FA2DC1" w:rsidRPr="004267B4" w14:paraId="5E0FF0C2" w14:textId="77777777" w:rsidTr="0059328F">
        <w:tc>
          <w:tcPr>
            <w:tcW w:w="1634" w:type="dxa"/>
          </w:tcPr>
          <w:p w14:paraId="257CB76F" w14:textId="77777777" w:rsidR="00FA2DC1" w:rsidRPr="004267B4" w:rsidRDefault="00FA2DC1" w:rsidP="0059328F">
            <w:pPr>
              <w:ind w:left="709"/>
              <w:rPr>
                <w:i/>
                <w:lang w:val="fr-BE"/>
              </w:rPr>
            </w:pPr>
            <w:r w:rsidRPr="004267B4">
              <w:rPr>
                <w:b/>
                <w:i/>
                <w:lang w:val="fr-BE"/>
              </w:rPr>
              <w:t>Contact</w:t>
            </w:r>
          </w:p>
        </w:tc>
        <w:tc>
          <w:tcPr>
            <w:tcW w:w="5670" w:type="dxa"/>
          </w:tcPr>
          <w:p w14:paraId="3C95E8C7" w14:textId="299141C5" w:rsidR="00FA2DC1" w:rsidRPr="004267B4" w:rsidRDefault="00FA2DC1" w:rsidP="0059328F">
            <w:pPr>
              <w:ind w:left="709"/>
              <w:rPr>
                <w:i/>
                <w:lang w:val="fr-BE"/>
              </w:rPr>
            </w:pPr>
            <w:r w:rsidRPr="004267B4">
              <w:rPr>
                <w:i/>
                <w:lang w:val="fr-BE"/>
              </w:rPr>
              <w:t xml:space="preserve">Monica </w:t>
            </w:r>
            <w:r w:rsidR="004466E9" w:rsidRPr="004267B4">
              <w:rPr>
                <w:i/>
                <w:lang w:val="fr-BE"/>
              </w:rPr>
              <w:t>Guarinoni</w:t>
            </w:r>
          </w:p>
        </w:tc>
      </w:tr>
      <w:tr w:rsidR="00FA2DC1" w:rsidRPr="004267B4" w14:paraId="5ED37723" w14:textId="77777777" w:rsidTr="0059328F">
        <w:tc>
          <w:tcPr>
            <w:tcW w:w="1634" w:type="dxa"/>
          </w:tcPr>
          <w:p w14:paraId="249433D8" w14:textId="77777777" w:rsidR="00FA2DC1" w:rsidRPr="004267B4" w:rsidRDefault="00FA2DC1" w:rsidP="0059328F">
            <w:pPr>
              <w:ind w:left="709"/>
              <w:rPr>
                <w:i/>
                <w:lang w:val="fr-BE"/>
              </w:rPr>
            </w:pPr>
            <w:r w:rsidRPr="004267B4">
              <w:rPr>
                <w:i/>
                <w:lang w:val="fr-BE"/>
              </w:rPr>
              <w:t>Tél.</w:t>
            </w:r>
          </w:p>
        </w:tc>
        <w:tc>
          <w:tcPr>
            <w:tcW w:w="5670" w:type="dxa"/>
          </w:tcPr>
          <w:p w14:paraId="6495B87D" w14:textId="77777777" w:rsidR="00FA2DC1" w:rsidRPr="004267B4" w:rsidRDefault="00FA2DC1" w:rsidP="0059328F">
            <w:pPr>
              <w:ind w:left="709"/>
              <w:rPr>
                <w:i/>
                <w:iCs/>
                <w:lang w:val="fr-BE"/>
              </w:rPr>
            </w:pPr>
            <w:r w:rsidRPr="004267B4">
              <w:rPr>
                <w:i/>
                <w:lang w:val="fr-BE"/>
              </w:rPr>
              <w:t>+32 25468127</w:t>
            </w:r>
          </w:p>
        </w:tc>
      </w:tr>
      <w:tr w:rsidR="00FA2DC1" w:rsidRPr="004267B4" w14:paraId="1CC1B8B1" w14:textId="77777777" w:rsidTr="0059328F">
        <w:tc>
          <w:tcPr>
            <w:tcW w:w="1634" w:type="dxa"/>
          </w:tcPr>
          <w:p w14:paraId="718E70D9" w14:textId="77777777" w:rsidR="00FA2DC1" w:rsidRPr="004267B4" w:rsidRDefault="00FA2DC1" w:rsidP="0059328F">
            <w:pPr>
              <w:ind w:left="709"/>
              <w:rPr>
                <w:i/>
                <w:lang w:val="fr-BE"/>
              </w:rPr>
            </w:pPr>
            <w:r w:rsidRPr="004267B4">
              <w:rPr>
                <w:i/>
                <w:lang w:val="fr-BE"/>
              </w:rPr>
              <w:t>Courriel</w:t>
            </w:r>
          </w:p>
        </w:tc>
        <w:tc>
          <w:tcPr>
            <w:tcW w:w="5670" w:type="dxa"/>
          </w:tcPr>
          <w:p w14:paraId="008C2DB2" w14:textId="77777777" w:rsidR="00FA2DC1" w:rsidRPr="004267B4" w:rsidRDefault="004466E9" w:rsidP="0059328F">
            <w:pPr>
              <w:ind w:left="709"/>
              <w:rPr>
                <w:i/>
                <w:lang w:val="fr-BE"/>
              </w:rPr>
            </w:pPr>
            <w:hyperlink r:id="rId45" w:history="1">
              <w:r w:rsidR="00FA2DC1" w:rsidRPr="004267B4">
                <w:rPr>
                  <w:rStyle w:val="Hyperlink"/>
                  <w:i/>
                  <w:lang w:val="fr-BE"/>
                </w:rPr>
                <w:t>Monica.Guarinoni@eesc.europa.eu</w:t>
              </w:r>
            </w:hyperlink>
          </w:p>
        </w:tc>
      </w:tr>
    </w:tbl>
    <w:p w14:paraId="1E862E43" w14:textId="77777777" w:rsidR="009A3E0E" w:rsidRPr="004267B4" w:rsidRDefault="009A3E0E" w:rsidP="00DA2729">
      <w:pPr>
        <w:spacing w:line="259" w:lineRule="auto"/>
        <w:jc w:val="left"/>
        <w:rPr>
          <w:sz w:val="28"/>
          <w:szCs w:val="16"/>
          <w:lang w:val="fr-BE"/>
        </w:rPr>
      </w:pPr>
      <w:r w:rsidRPr="004267B4">
        <w:rPr>
          <w:lang w:val="fr-BE"/>
        </w:rPr>
        <w:br w:type="page"/>
      </w:r>
    </w:p>
    <w:p w14:paraId="184B5240" w14:textId="77777777" w:rsidR="00F2127E" w:rsidRPr="004267B4" w:rsidRDefault="00F2127E" w:rsidP="00DA2729">
      <w:pPr>
        <w:spacing w:line="259" w:lineRule="auto"/>
        <w:jc w:val="left"/>
        <w:rPr>
          <w:lang w:val="fr-BE"/>
        </w:rPr>
      </w:pPr>
    </w:p>
    <w:p w14:paraId="74CC2220" w14:textId="3B63B2FE" w:rsidR="006E0492" w:rsidRPr="004267B4" w:rsidRDefault="004466E9" w:rsidP="00FF013B">
      <w:pPr>
        <w:pStyle w:val="ListParagraph"/>
        <w:numPr>
          <w:ilvl w:val="0"/>
          <w:numId w:val="4"/>
        </w:numPr>
        <w:rPr>
          <w:b/>
          <w:bCs/>
          <w:i/>
          <w:iCs/>
          <w:sz w:val="28"/>
          <w:szCs w:val="28"/>
          <w:lang w:val="fr-BE"/>
        </w:rPr>
      </w:pPr>
      <w:hyperlink r:id="rId46" w:history="1">
        <w:r w:rsidR="006E0492" w:rsidRPr="004267B4">
          <w:rPr>
            <w:b/>
            <w:i/>
            <w:sz w:val="28"/>
            <w:lang w:val="fr-BE"/>
          </w:rPr>
          <w:t>Évaluation du programme de l’UE à destination des écoles</w:t>
        </w:r>
      </w:hyperlink>
    </w:p>
    <w:p w14:paraId="56462693" w14:textId="77777777" w:rsidR="006E0492" w:rsidRPr="004267B4" w:rsidRDefault="006E0492" w:rsidP="00DA2729">
      <w:pPr>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71"/>
      </w:tblGrid>
      <w:tr w:rsidR="006E0492" w:rsidRPr="004267B4" w14:paraId="001724AA" w14:textId="77777777" w:rsidTr="00074BCE">
        <w:tc>
          <w:tcPr>
            <w:tcW w:w="1701" w:type="dxa"/>
          </w:tcPr>
          <w:p w14:paraId="5C42C678" w14:textId="77777777" w:rsidR="006E0492" w:rsidRPr="004267B4" w:rsidRDefault="006E0492" w:rsidP="0059328F">
            <w:pPr>
              <w:tabs>
                <w:tab w:val="center" w:pos="284"/>
              </w:tabs>
              <w:ind w:left="266" w:hanging="266"/>
              <w:rPr>
                <w:b/>
                <w:lang w:val="fr-BE"/>
              </w:rPr>
            </w:pPr>
            <w:r w:rsidRPr="004267B4">
              <w:rPr>
                <w:b/>
                <w:lang w:val="fr-BE"/>
              </w:rPr>
              <w:t>Rapporteur</w:t>
            </w:r>
          </w:p>
        </w:tc>
        <w:tc>
          <w:tcPr>
            <w:tcW w:w="6771" w:type="dxa"/>
          </w:tcPr>
          <w:p w14:paraId="08C4C71C" w14:textId="0A720C14" w:rsidR="006E0492" w:rsidRPr="004267B4" w:rsidRDefault="006E0492" w:rsidP="0059328F">
            <w:pPr>
              <w:rPr>
                <w:lang w:val="fr-BE"/>
              </w:rPr>
            </w:pPr>
            <w:r w:rsidRPr="004267B4">
              <w:rPr>
                <w:lang w:val="fr-BE"/>
              </w:rPr>
              <w:t>Arnold PUECH D’ALISSAC (</w:t>
            </w:r>
            <w:r w:rsidR="00F13412">
              <w:rPr>
                <w:lang w:val="fr-BE"/>
              </w:rPr>
              <w:t xml:space="preserve">groupe </w:t>
            </w:r>
            <w:r w:rsidR="00900529">
              <w:rPr>
                <w:lang w:val="fr-BE"/>
              </w:rPr>
              <w:t>des e</w:t>
            </w:r>
            <w:r w:rsidRPr="004267B4">
              <w:rPr>
                <w:lang w:val="fr-BE"/>
              </w:rPr>
              <w:t>mployeurs — F</w:t>
            </w:r>
            <w:r w:rsidR="00900529">
              <w:rPr>
                <w:lang w:val="fr-BE"/>
              </w:rPr>
              <w:t>R</w:t>
            </w:r>
            <w:r w:rsidRPr="004267B4">
              <w:rPr>
                <w:lang w:val="fr-BE"/>
              </w:rPr>
              <w:t>)</w:t>
            </w:r>
          </w:p>
        </w:tc>
      </w:tr>
      <w:tr w:rsidR="006E0492" w:rsidRPr="004267B4" w14:paraId="24CC1EB5" w14:textId="77777777" w:rsidTr="00074BCE">
        <w:tc>
          <w:tcPr>
            <w:tcW w:w="8472" w:type="dxa"/>
            <w:gridSpan w:val="2"/>
          </w:tcPr>
          <w:p w14:paraId="12E636AC" w14:textId="77777777" w:rsidR="006E0492" w:rsidRPr="004267B4" w:rsidRDefault="006E0492" w:rsidP="0059328F">
            <w:pPr>
              <w:tabs>
                <w:tab w:val="center" w:pos="284"/>
              </w:tabs>
              <w:spacing w:line="160" w:lineRule="exact"/>
              <w:ind w:left="266" w:hanging="266"/>
              <w:rPr>
                <w:lang w:val="fr-BE"/>
              </w:rPr>
            </w:pPr>
          </w:p>
        </w:tc>
      </w:tr>
      <w:tr w:rsidR="006E0492" w:rsidRPr="004267B4" w14:paraId="73184042" w14:textId="77777777" w:rsidTr="00074BCE">
        <w:tc>
          <w:tcPr>
            <w:tcW w:w="1701" w:type="dxa"/>
            <w:vMerge w:val="restart"/>
          </w:tcPr>
          <w:p w14:paraId="45C2CC0E" w14:textId="77777777" w:rsidR="006E0492" w:rsidRPr="004267B4" w:rsidRDefault="006E0492" w:rsidP="0059328F">
            <w:pPr>
              <w:tabs>
                <w:tab w:val="center" w:pos="284"/>
              </w:tabs>
              <w:ind w:left="266" w:hanging="266"/>
              <w:rPr>
                <w:b/>
                <w:lang w:val="fr-BE"/>
              </w:rPr>
            </w:pPr>
            <w:r w:rsidRPr="004267B4">
              <w:rPr>
                <w:b/>
                <w:lang w:val="fr-BE"/>
              </w:rPr>
              <w:t xml:space="preserve">Références </w:t>
            </w:r>
          </w:p>
        </w:tc>
        <w:tc>
          <w:tcPr>
            <w:tcW w:w="6771" w:type="dxa"/>
          </w:tcPr>
          <w:p w14:paraId="5D1B1598" w14:textId="77777777" w:rsidR="006E0492" w:rsidRPr="004267B4" w:rsidRDefault="006E0492" w:rsidP="0059328F">
            <w:pPr>
              <w:tabs>
                <w:tab w:val="center" w:pos="284"/>
              </w:tabs>
              <w:ind w:left="266" w:hanging="266"/>
              <w:rPr>
                <w:lang w:val="fr-BE"/>
              </w:rPr>
            </w:pPr>
            <w:r w:rsidRPr="004267B4">
              <w:rPr>
                <w:lang w:val="fr-BE"/>
              </w:rPr>
              <w:t>Rapport d’évaluation</w:t>
            </w:r>
          </w:p>
        </w:tc>
      </w:tr>
      <w:tr w:rsidR="006E0492" w:rsidRPr="004267B4" w14:paraId="607D78C4" w14:textId="77777777" w:rsidTr="00074BCE">
        <w:tc>
          <w:tcPr>
            <w:tcW w:w="1701" w:type="dxa"/>
            <w:vMerge/>
          </w:tcPr>
          <w:p w14:paraId="04660E3B" w14:textId="77777777" w:rsidR="006E0492" w:rsidRPr="004267B4" w:rsidRDefault="006E0492" w:rsidP="0059328F">
            <w:pPr>
              <w:tabs>
                <w:tab w:val="center" w:pos="284"/>
              </w:tabs>
              <w:ind w:left="266" w:hanging="266"/>
              <w:rPr>
                <w:b/>
                <w:lang w:val="fr-BE"/>
              </w:rPr>
            </w:pPr>
          </w:p>
        </w:tc>
        <w:tc>
          <w:tcPr>
            <w:tcW w:w="6771" w:type="dxa"/>
          </w:tcPr>
          <w:p w14:paraId="5A3C906D" w14:textId="25915A1B" w:rsidR="006E0492" w:rsidRPr="004267B4" w:rsidRDefault="006E0492" w:rsidP="0059328F">
            <w:pPr>
              <w:tabs>
                <w:tab w:val="center" w:pos="284"/>
              </w:tabs>
              <w:ind w:left="266" w:hanging="266"/>
              <w:rPr>
                <w:lang w:val="fr-BE"/>
              </w:rPr>
            </w:pPr>
            <w:r w:rsidRPr="004267B4">
              <w:rPr>
                <w:lang w:val="fr-BE"/>
              </w:rPr>
              <w:t>EESC-2022-01724-00-00-RE</w:t>
            </w:r>
          </w:p>
        </w:tc>
      </w:tr>
    </w:tbl>
    <w:p w14:paraId="488EE8DF" w14:textId="77777777" w:rsidR="006E0492" w:rsidRPr="004267B4" w:rsidRDefault="006E0492" w:rsidP="006E0492">
      <w:pPr>
        <w:ind w:left="-5"/>
        <w:rPr>
          <w:lang w:val="fr-BE"/>
        </w:rPr>
      </w:pPr>
    </w:p>
    <w:p w14:paraId="2D887B8B" w14:textId="77777777" w:rsidR="006E0492" w:rsidRPr="004267B4" w:rsidRDefault="006E0492" w:rsidP="006E0492">
      <w:pPr>
        <w:keepNext/>
        <w:ind w:left="-5"/>
        <w:rPr>
          <w:b/>
          <w:lang w:val="fr-BE"/>
        </w:rPr>
      </w:pPr>
      <w:r w:rsidRPr="004267B4">
        <w:rPr>
          <w:b/>
          <w:bCs/>
          <w:lang w:val="fr-BE"/>
        </w:rPr>
        <w:t>Points clés</w:t>
      </w:r>
    </w:p>
    <w:p w14:paraId="67F856BD" w14:textId="77777777" w:rsidR="006E0492" w:rsidRPr="004267B4" w:rsidRDefault="006E0492" w:rsidP="006E0492">
      <w:pPr>
        <w:keepNext/>
        <w:ind w:left="-5"/>
        <w:rPr>
          <w:b/>
          <w:lang w:val="fr-BE"/>
        </w:rPr>
      </w:pPr>
    </w:p>
    <w:p w14:paraId="3D24894C" w14:textId="543A818B" w:rsidR="006E0492" w:rsidRDefault="006E0492" w:rsidP="006E0492">
      <w:pPr>
        <w:keepNext/>
        <w:ind w:left="-5"/>
        <w:rPr>
          <w:lang w:val="fr-BE"/>
        </w:rPr>
      </w:pPr>
      <w:r w:rsidRPr="004267B4">
        <w:rPr>
          <w:lang w:val="fr-BE"/>
        </w:rPr>
        <w:t xml:space="preserve">Le CESE: </w:t>
      </w:r>
    </w:p>
    <w:p w14:paraId="63889320" w14:textId="77777777" w:rsidR="00900529" w:rsidRPr="004267B4" w:rsidRDefault="00900529" w:rsidP="006E0492">
      <w:pPr>
        <w:keepNext/>
        <w:ind w:left="-5"/>
        <w:rPr>
          <w:lang w:val="fr-BE"/>
        </w:rPr>
      </w:pPr>
    </w:p>
    <w:p w14:paraId="3DB3ED05" w14:textId="77777777" w:rsidR="006E0492" w:rsidRPr="004267B4" w:rsidRDefault="006E0492" w:rsidP="006D2E2F">
      <w:pPr>
        <w:pStyle w:val="ListParagraph"/>
        <w:numPr>
          <w:ilvl w:val="0"/>
          <w:numId w:val="40"/>
        </w:numPr>
        <w:ind w:left="357" w:hanging="357"/>
        <w:rPr>
          <w:lang w:val="fr-BE"/>
        </w:rPr>
      </w:pPr>
      <w:r w:rsidRPr="004267B4">
        <w:rPr>
          <w:lang w:val="fr-BE"/>
        </w:rPr>
        <w:t xml:space="preserve">se félicite du programme de l’Union européenne en faveur des fruits, des légumes et des produits laitiers dans les écoles; </w:t>
      </w:r>
    </w:p>
    <w:p w14:paraId="3A98AC70" w14:textId="77777777" w:rsidR="006E0492" w:rsidRPr="004267B4" w:rsidRDefault="006E0492" w:rsidP="006D2E2F">
      <w:pPr>
        <w:pStyle w:val="ListParagraph"/>
        <w:numPr>
          <w:ilvl w:val="0"/>
          <w:numId w:val="40"/>
        </w:numPr>
        <w:ind w:left="357" w:hanging="357"/>
        <w:rPr>
          <w:lang w:val="fr-BE"/>
        </w:rPr>
      </w:pPr>
      <w:r w:rsidRPr="004267B4">
        <w:rPr>
          <w:lang w:val="fr-BE"/>
        </w:rPr>
        <w:t>formule des recommandations aux niveaux national et européen pour améliorer l’efficacité et la pertinence du programme, ainsi que l’inclusion de la société civile, en s’appuyant sur des consultations exhaustives menées auprès des parties prenantes dans cinq États membres, et préconise notamment des mesures afin:</w:t>
      </w:r>
    </w:p>
    <w:p w14:paraId="0E1C1371" w14:textId="77777777" w:rsidR="006E0492" w:rsidRPr="004267B4" w:rsidRDefault="006E0492" w:rsidP="00FF013B">
      <w:pPr>
        <w:pStyle w:val="ListParagraph"/>
        <w:numPr>
          <w:ilvl w:val="1"/>
          <w:numId w:val="5"/>
        </w:numPr>
        <w:rPr>
          <w:lang w:val="fr-BE"/>
        </w:rPr>
      </w:pPr>
      <w:r w:rsidRPr="004267B4">
        <w:rPr>
          <w:lang w:val="fr-BE"/>
        </w:rPr>
        <w:t xml:space="preserve">de simplifier notablement les </w:t>
      </w:r>
      <w:r w:rsidRPr="004267B4">
        <w:rPr>
          <w:b/>
          <w:lang w:val="fr-BE"/>
        </w:rPr>
        <w:t>procédures administratives</w:t>
      </w:r>
      <w:r w:rsidRPr="004267B4">
        <w:rPr>
          <w:lang w:val="fr-BE"/>
        </w:rPr>
        <w:t xml:space="preserve"> des États membres;</w:t>
      </w:r>
    </w:p>
    <w:p w14:paraId="662285DA" w14:textId="77777777" w:rsidR="006E0492" w:rsidRPr="004267B4" w:rsidRDefault="006E0492" w:rsidP="00FF013B">
      <w:pPr>
        <w:pStyle w:val="ListParagraph"/>
        <w:numPr>
          <w:ilvl w:val="1"/>
          <w:numId w:val="5"/>
        </w:numPr>
        <w:rPr>
          <w:lang w:val="fr-BE"/>
        </w:rPr>
      </w:pPr>
      <w:r w:rsidRPr="004267B4">
        <w:rPr>
          <w:lang w:val="fr-BE"/>
        </w:rPr>
        <w:t xml:space="preserve">d’améliorer </w:t>
      </w:r>
      <w:r w:rsidRPr="004267B4">
        <w:rPr>
          <w:b/>
          <w:lang w:val="fr-BE"/>
        </w:rPr>
        <w:t>la promotion et la communication</w:t>
      </w:r>
      <w:r w:rsidRPr="004267B4">
        <w:rPr>
          <w:lang w:val="fr-BE"/>
        </w:rPr>
        <w:t xml:space="preserve"> du programme auprès des parties prenantes concernées; </w:t>
      </w:r>
    </w:p>
    <w:p w14:paraId="5575F80D" w14:textId="77777777" w:rsidR="006E0492" w:rsidRPr="004267B4" w:rsidRDefault="006E0492" w:rsidP="00FF013B">
      <w:pPr>
        <w:pStyle w:val="ListParagraph"/>
        <w:numPr>
          <w:ilvl w:val="1"/>
          <w:numId w:val="5"/>
        </w:numPr>
        <w:rPr>
          <w:lang w:val="fr-BE"/>
        </w:rPr>
      </w:pPr>
      <w:r w:rsidRPr="004267B4">
        <w:rPr>
          <w:lang w:val="fr-BE"/>
        </w:rPr>
        <w:t xml:space="preserve">d’intégrer le programme dans les </w:t>
      </w:r>
      <w:r w:rsidRPr="004267B4">
        <w:rPr>
          <w:b/>
          <w:lang w:val="fr-BE"/>
        </w:rPr>
        <w:t>politiques alimentaires régionales ou nationales</w:t>
      </w:r>
      <w:r w:rsidRPr="004267B4">
        <w:rPr>
          <w:lang w:val="fr-BE"/>
        </w:rPr>
        <w:t xml:space="preserve">; </w:t>
      </w:r>
    </w:p>
    <w:p w14:paraId="29B9EE3B" w14:textId="77777777" w:rsidR="006E0492" w:rsidRPr="004267B4" w:rsidRDefault="006E0492" w:rsidP="006D2E2F">
      <w:pPr>
        <w:pStyle w:val="ListParagraph"/>
        <w:numPr>
          <w:ilvl w:val="0"/>
          <w:numId w:val="5"/>
        </w:numPr>
        <w:ind w:left="357" w:hanging="357"/>
        <w:rPr>
          <w:lang w:val="fr-BE"/>
        </w:rPr>
      </w:pPr>
      <w:r w:rsidRPr="004267B4">
        <w:rPr>
          <w:lang w:val="fr-BE"/>
        </w:rPr>
        <w:t>souligne en particulier la nécessité:</w:t>
      </w:r>
    </w:p>
    <w:p w14:paraId="5CF5094D" w14:textId="77777777" w:rsidR="006E0492" w:rsidRPr="004267B4" w:rsidRDefault="006E0492" w:rsidP="00FF013B">
      <w:pPr>
        <w:pStyle w:val="ListParagraph"/>
        <w:numPr>
          <w:ilvl w:val="1"/>
          <w:numId w:val="5"/>
        </w:numPr>
        <w:rPr>
          <w:lang w:val="fr-BE"/>
        </w:rPr>
      </w:pPr>
      <w:r w:rsidRPr="004267B4">
        <w:rPr>
          <w:lang w:val="fr-BE"/>
        </w:rPr>
        <w:t xml:space="preserve">de mettre en place, au sein des États membres, </w:t>
      </w:r>
      <w:r w:rsidRPr="004267B4">
        <w:rPr>
          <w:b/>
          <w:lang w:val="fr-BE"/>
        </w:rPr>
        <w:t>un comité de suivi et d’évaluation</w:t>
      </w:r>
      <w:r w:rsidRPr="004267B4">
        <w:rPr>
          <w:lang w:val="fr-BE"/>
        </w:rPr>
        <w:t xml:space="preserve">; </w:t>
      </w:r>
    </w:p>
    <w:p w14:paraId="3F72ADD5" w14:textId="77777777" w:rsidR="006E0492" w:rsidRPr="004267B4" w:rsidRDefault="006E0492" w:rsidP="00FF013B">
      <w:pPr>
        <w:pStyle w:val="ListParagraph"/>
        <w:numPr>
          <w:ilvl w:val="1"/>
          <w:numId w:val="5"/>
        </w:numPr>
        <w:rPr>
          <w:lang w:val="fr-BE"/>
        </w:rPr>
      </w:pPr>
      <w:r w:rsidRPr="004267B4">
        <w:rPr>
          <w:lang w:val="fr-BE"/>
        </w:rPr>
        <w:t xml:space="preserve">de créer un </w:t>
      </w:r>
      <w:r w:rsidRPr="004267B4">
        <w:rPr>
          <w:b/>
          <w:lang w:val="fr-BE"/>
        </w:rPr>
        <w:t>«Guide des meilleures pratiques»</w:t>
      </w:r>
      <w:r w:rsidRPr="004267B4">
        <w:rPr>
          <w:lang w:val="fr-BE"/>
        </w:rPr>
        <w:t xml:space="preserve"> supervisé par la Commission européenne;</w:t>
      </w:r>
    </w:p>
    <w:p w14:paraId="2D839C92" w14:textId="77777777" w:rsidR="006E0492" w:rsidRPr="004267B4" w:rsidRDefault="006E0492" w:rsidP="00FF013B">
      <w:pPr>
        <w:pStyle w:val="ListParagraph"/>
        <w:numPr>
          <w:ilvl w:val="1"/>
          <w:numId w:val="5"/>
        </w:numPr>
        <w:rPr>
          <w:lang w:val="fr-BE"/>
        </w:rPr>
      </w:pPr>
      <w:r w:rsidRPr="004267B4">
        <w:rPr>
          <w:lang w:val="fr-BE"/>
        </w:rPr>
        <w:t xml:space="preserve">de demander aux autorités sanitaires des États membres d’élargir </w:t>
      </w:r>
      <w:r w:rsidRPr="004267B4">
        <w:rPr>
          <w:b/>
          <w:lang w:val="fr-BE"/>
        </w:rPr>
        <w:t>la liste des produits autorisés</w:t>
      </w:r>
      <w:r w:rsidRPr="004267B4">
        <w:rPr>
          <w:lang w:val="fr-BE"/>
        </w:rPr>
        <w:t xml:space="preserve"> (par exemple certains produits sucrés pour les yaourts et des matières grasses pour les légumes crus) afin de lutter contre le gaspillage alimentaire; ainsi que de promouvoir un emballage plus respectueux de l’environnement; </w:t>
      </w:r>
    </w:p>
    <w:p w14:paraId="2D1A5EDD" w14:textId="77777777" w:rsidR="006E0492" w:rsidRPr="004267B4" w:rsidRDefault="006E0492" w:rsidP="00FF013B">
      <w:pPr>
        <w:pStyle w:val="ListParagraph"/>
        <w:numPr>
          <w:ilvl w:val="1"/>
          <w:numId w:val="5"/>
        </w:numPr>
        <w:rPr>
          <w:lang w:val="fr-BE"/>
        </w:rPr>
      </w:pPr>
      <w:r w:rsidRPr="004267B4">
        <w:rPr>
          <w:lang w:val="fr-BE"/>
        </w:rPr>
        <w:t xml:space="preserve">d’élargir les possibilités de dépense des </w:t>
      </w:r>
      <w:r w:rsidRPr="004267B4">
        <w:rPr>
          <w:b/>
          <w:lang w:val="fr-BE"/>
        </w:rPr>
        <w:t>fonds alloués</w:t>
      </w:r>
      <w:r w:rsidRPr="004267B4">
        <w:rPr>
          <w:lang w:val="fr-BE"/>
        </w:rPr>
        <w:t>, notamment s’agissant de l’éducation à l’alimentation saine sûre et durable;</w:t>
      </w:r>
    </w:p>
    <w:p w14:paraId="67B6053F" w14:textId="77777777" w:rsidR="006E0492" w:rsidRPr="004267B4" w:rsidRDefault="006E0492" w:rsidP="00FF013B">
      <w:pPr>
        <w:pStyle w:val="ListParagraph"/>
        <w:numPr>
          <w:ilvl w:val="1"/>
          <w:numId w:val="5"/>
        </w:numPr>
        <w:rPr>
          <w:lang w:val="fr-BE"/>
        </w:rPr>
      </w:pPr>
      <w:r w:rsidRPr="004267B4">
        <w:rPr>
          <w:lang w:val="fr-BE"/>
        </w:rPr>
        <w:t xml:space="preserve">de prendre en compte des facteurs sociaux dans le programme afin d’améliorer le soutien aux </w:t>
      </w:r>
      <w:r w:rsidRPr="004267B4">
        <w:rPr>
          <w:b/>
          <w:lang w:val="fr-BE"/>
        </w:rPr>
        <w:t>enfants défavorisés</w:t>
      </w:r>
      <w:r w:rsidRPr="004267B4">
        <w:rPr>
          <w:lang w:val="fr-BE"/>
        </w:rPr>
        <w:t xml:space="preserve">; </w:t>
      </w:r>
    </w:p>
    <w:p w14:paraId="4CF42E3C" w14:textId="77777777" w:rsidR="006E0492" w:rsidRPr="004267B4" w:rsidRDefault="006E0492" w:rsidP="00FF013B">
      <w:pPr>
        <w:pStyle w:val="ListParagraph"/>
        <w:numPr>
          <w:ilvl w:val="1"/>
          <w:numId w:val="5"/>
        </w:numPr>
        <w:rPr>
          <w:lang w:val="fr-BE"/>
        </w:rPr>
      </w:pPr>
      <w:r w:rsidRPr="004267B4">
        <w:rPr>
          <w:lang w:val="fr-BE"/>
        </w:rPr>
        <w:t xml:space="preserve">de renforcer le soutien des États membres aux </w:t>
      </w:r>
      <w:r w:rsidRPr="004267B4">
        <w:rPr>
          <w:b/>
          <w:lang w:val="fr-BE"/>
        </w:rPr>
        <w:t>producteurs</w:t>
      </w:r>
      <w:r w:rsidRPr="004267B4">
        <w:rPr>
          <w:lang w:val="fr-BE"/>
        </w:rPr>
        <w:t xml:space="preserve"> (actualiser les prix, fournir des produits locaux ou encore mettre en avant les associations de groupement de producteurs);</w:t>
      </w:r>
    </w:p>
    <w:p w14:paraId="4E9E804C" w14:textId="77777777" w:rsidR="006E0492" w:rsidRPr="004267B4" w:rsidRDefault="006E0492" w:rsidP="00FF013B">
      <w:pPr>
        <w:pStyle w:val="ListParagraph"/>
        <w:numPr>
          <w:ilvl w:val="1"/>
          <w:numId w:val="5"/>
        </w:numPr>
        <w:rPr>
          <w:lang w:val="fr-BE"/>
        </w:rPr>
      </w:pPr>
      <w:r w:rsidRPr="004267B4">
        <w:rPr>
          <w:lang w:val="fr-BE"/>
        </w:rPr>
        <w:t xml:space="preserve">de fournir des </w:t>
      </w:r>
      <w:r w:rsidRPr="004267B4">
        <w:rPr>
          <w:b/>
          <w:lang w:val="fr-BE"/>
        </w:rPr>
        <w:t>outils techniques</w:t>
      </w:r>
      <w:r w:rsidRPr="004267B4">
        <w:rPr>
          <w:lang w:val="fr-BE"/>
        </w:rPr>
        <w:t xml:space="preserve"> destinés aux enseignants et au personnel scolaire responsables du programme pour leur permettre d’associer les parents;</w:t>
      </w:r>
    </w:p>
    <w:p w14:paraId="31ACCEE8" w14:textId="77777777" w:rsidR="006E0492" w:rsidRPr="004267B4" w:rsidRDefault="006E0492" w:rsidP="00FF013B">
      <w:pPr>
        <w:pStyle w:val="ListParagraph"/>
        <w:numPr>
          <w:ilvl w:val="1"/>
          <w:numId w:val="5"/>
        </w:numPr>
        <w:rPr>
          <w:lang w:val="fr-BE"/>
        </w:rPr>
      </w:pPr>
      <w:r w:rsidRPr="004267B4">
        <w:rPr>
          <w:lang w:val="fr-BE"/>
        </w:rPr>
        <w:t xml:space="preserve">d’améliorer la participation de la </w:t>
      </w:r>
      <w:r w:rsidRPr="004267B4">
        <w:rPr>
          <w:b/>
          <w:lang w:val="fr-BE"/>
        </w:rPr>
        <w:t>société civile</w:t>
      </w:r>
      <w:r w:rsidRPr="004267B4">
        <w:rPr>
          <w:lang w:val="fr-BE"/>
        </w:rPr>
        <w:t xml:space="preserve">; il convient que les États membres identifient les organisations représentatives de la société civile et les partenaires sociaux et les informent, et organisent au niveau des écoles des </w:t>
      </w:r>
      <w:r w:rsidRPr="004267B4">
        <w:rPr>
          <w:b/>
          <w:lang w:val="fr-BE"/>
        </w:rPr>
        <w:t>réunions régulières</w:t>
      </w:r>
      <w:r w:rsidRPr="004267B4">
        <w:rPr>
          <w:lang w:val="fr-BE"/>
        </w:rPr>
        <w:t xml:space="preserve"> pour informer et consulter les parents sur le programme.</w:t>
      </w:r>
    </w:p>
    <w:p w14:paraId="4D8A7851" w14:textId="77777777" w:rsidR="006E0492" w:rsidRPr="004267B4" w:rsidRDefault="006E0492" w:rsidP="00DA2729">
      <w:pPr>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402"/>
        <w:gridCol w:w="3118"/>
      </w:tblGrid>
      <w:tr w:rsidR="006E0492" w:rsidRPr="004267B4" w14:paraId="11A4B1AC" w14:textId="77777777" w:rsidTr="0059328F">
        <w:tc>
          <w:tcPr>
            <w:tcW w:w="1418" w:type="dxa"/>
          </w:tcPr>
          <w:p w14:paraId="543693B1" w14:textId="77777777" w:rsidR="006E0492" w:rsidRPr="004267B4" w:rsidRDefault="006E0492" w:rsidP="0059328F">
            <w:pPr>
              <w:spacing w:line="240" w:lineRule="auto"/>
              <w:rPr>
                <w:i/>
                <w:lang w:val="fr-BE"/>
              </w:rPr>
            </w:pPr>
            <w:r w:rsidRPr="004267B4">
              <w:rPr>
                <w:b/>
                <w:i/>
                <w:lang w:val="fr-BE"/>
              </w:rPr>
              <w:t>Contact:</w:t>
            </w:r>
          </w:p>
        </w:tc>
        <w:tc>
          <w:tcPr>
            <w:tcW w:w="3402" w:type="dxa"/>
          </w:tcPr>
          <w:p w14:paraId="4CCCC617" w14:textId="517EDA3B" w:rsidR="006E0492" w:rsidRPr="004267B4" w:rsidRDefault="006E0492" w:rsidP="0059328F">
            <w:pPr>
              <w:spacing w:line="240" w:lineRule="auto"/>
              <w:rPr>
                <w:i/>
                <w:lang w:val="fr-BE"/>
              </w:rPr>
            </w:pPr>
            <w:r w:rsidRPr="004267B4">
              <w:rPr>
                <w:i/>
                <w:lang w:val="fr-BE"/>
              </w:rPr>
              <w:t xml:space="preserve">Martine </w:t>
            </w:r>
            <w:r w:rsidR="004466E9" w:rsidRPr="004267B4">
              <w:rPr>
                <w:i/>
                <w:lang w:val="fr-BE"/>
              </w:rPr>
              <w:t>Delanoy</w:t>
            </w:r>
          </w:p>
        </w:tc>
        <w:tc>
          <w:tcPr>
            <w:tcW w:w="3118" w:type="dxa"/>
          </w:tcPr>
          <w:p w14:paraId="66D8438F" w14:textId="3495D03E" w:rsidR="006E0492" w:rsidRPr="004267B4" w:rsidRDefault="006E0492" w:rsidP="0059328F">
            <w:pPr>
              <w:spacing w:line="240" w:lineRule="auto"/>
              <w:rPr>
                <w:i/>
                <w:lang w:val="fr-BE"/>
              </w:rPr>
            </w:pPr>
            <w:r w:rsidRPr="004267B4">
              <w:rPr>
                <w:i/>
                <w:lang w:val="fr-BE"/>
              </w:rPr>
              <w:t>Laura </w:t>
            </w:r>
            <w:r w:rsidR="004466E9" w:rsidRPr="004267B4">
              <w:rPr>
                <w:i/>
                <w:lang w:val="fr-BE"/>
              </w:rPr>
              <w:t>Ernšteina</w:t>
            </w:r>
          </w:p>
        </w:tc>
      </w:tr>
      <w:tr w:rsidR="006E0492" w:rsidRPr="004267B4" w14:paraId="78341877" w14:textId="77777777" w:rsidTr="0059328F">
        <w:tc>
          <w:tcPr>
            <w:tcW w:w="1418" w:type="dxa"/>
          </w:tcPr>
          <w:p w14:paraId="7640DC76" w14:textId="77777777" w:rsidR="006E0492" w:rsidRPr="004267B4" w:rsidRDefault="006E0492" w:rsidP="0059328F">
            <w:pPr>
              <w:spacing w:line="240" w:lineRule="auto"/>
              <w:rPr>
                <w:i/>
                <w:lang w:val="fr-BE"/>
              </w:rPr>
            </w:pPr>
            <w:r w:rsidRPr="004267B4">
              <w:rPr>
                <w:i/>
                <w:lang w:val="fr-BE"/>
              </w:rPr>
              <w:t>Tél.:</w:t>
            </w:r>
          </w:p>
        </w:tc>
        <w:tc>
          <w:tcPr>
            <w:tcW w:w="3402" w:type="dxa"/>
          </w:tcPr>
          <w:p w14:paraId="315697EC" w14:textId="77777777" w:rsidR="006E0492" w:rsidRPr="004267B4" w:rsidRDefault="006E0492" w:rsidP="0059328F">
            <w:pPr>
              <w:spacing w:line="240" w:lineRule="auto"/>
              <w:rPr>
                <w:i/>
                <w:lang w:val="fr-BE"/>
              </w:rPr>
            </w:pPr>
            <w:r w:rsidRPr="004267B4">
              <w:rPr>
                <w:i/>
                <w:lang w:val="fr-BE"/>
              </w:rPr>
              <w:t>+32 25469802</w:t>
            </w:r>
          </w:p>
        </w:tc>
        <w:tc>
          <w:tcPr>
            <w:tcW w:w="3118" w:type="dxa"/>
          </w:tcPr>
          <w:p w14:paraId="620F18B7" w14:textId="77777777" w:rsidR="006E0492" w:rsidRPr="004267B4" w:rsidRDefault="006E0492" w:rsidP="0059328F">
            <w:pPr>
              <w:spacing w:line="240" w:lineRule="auto"/>
              <w:rPr>
                <w:i/>
                <w:iCs/>
                <w:lang w:val="fr-BE"/>
              </w:rPr>
            </w:pPr>
            <w:r w:rsidRPr="004267B4">
              <w:rPr>
                <w:i/>
                <w:lang w:val="fr-BE"/>
              </w:rPr>
              <w:t>+32 25469194</w:t>
            </w:r>
          </w:p>
        </w:tc>
      </w:tr>
      <w:tr w:rsidR="006E0492" w:rsidRPr="004267B4" w14:paraId="48E5FEC7" w14:textId="77777777" w:rsidTr="0059328F">
        <w:tc>
          <w:tcPr>
            <w:tcW w:w="1418" w:type="dxa"/>
          </w:tcPr>
          <w:p w14:paraId="019B9455" w14:textId="77777777" w:rsidR="006E0492" w:rsidRPr="004267B4" w:rsidRDefault="006E0492" w:rsidP="0059328F">
            <w:pPr>
              <w:spacing w:line="240" w:lineRule="auto"/>
              <w:rPr>
                <w:i/>
                <w:lang w:val="fr-BE"/>
              </w:rPr>
            </w:pPr>
            <w:r w:rsidRPr="004267B4">
              <w:rPr>
                <w:i/>
                <w:lang w:val="fr-BE"/>
              </w:rPr>
              <w:t>Courriel:</w:t>
            </w:r>
          </w:p>
        </w:tc>
        <w:tc>
          <w:tcPr>
            <w:tcW w:w="3402" w:type="dxa"/>
          </w:tcPr>
          <w:p w14:paraId="4896212C" w14:textId="77777777" w:rsidR="006E0492" w:rsidRPr="004267B4" w:rsidRDefault="004466E9" w:rsidP="0059328F">
            <w:pPr>
              <w:spacing w:line="240" w:lineRule="auto"/>
              <w:rPr>
                <w:i/>
                <w:lang w:val="fr-BE"/>
              </w:rPr>
            </w:pPr>
            <w:hyperlink r:id="rId47" w:history="1">
              <w:r w:rsidR="006E0492" w:rsidRPr="004267B4">
                <w:rPr>
                  <w:rStyle w:val="Hyperlink"/>
                  <w:i/>
                  <w:lang w:val="fr-BE"/>
                </w:rPr>
                <w:t>Martine.Delanoy@eesc.europa.eu</w:t>
              </w:r>
            </w:hyperlink>
          </w:p>
        </w:tc>
        <w:tc>
          <w:tcPr>
            <w:tcW w:w="3118" w:type="dxa"/>
          </w:tcPr>
          <w:p w14:paraId="428379D7" w14:textId="77777777" w:rsidR="006E0492" w:rsidRPr="004267B4" w:rsidRDefault="004466E9" w:rsidP="0059328F">
            <w:pPr>
              <w:spacing w:line="240" w:lineRule="auto"/>
              <w:rPr>
                <w:lang w:val="fr-BE"/>
              </w:rPr>
            </w:pPr>
            <w:hyperlink r:id="rId48" w:history="1">
              <w:r w:rsidR="006E0492" w:rsidRPr="004267B4">
                <w:rPr>
                  <w:rStyle w:val="Hyperlink"/>
                  <w:i/>
                  <w:lang w:val="fr-BE"/>
                </w:rPr>
                <w:t>laura.ernsteina@eesc.europa.eu</w:t>
              </w:r>
            </w:hyperlink>
          </w:p>
        </w:tc>
      </w:tr>
    </w:tbl>
    <w:p w14:paraId="757788EB" w14:textId="77777777" w:rsidR="00EA1181" w:rsidRPr="004267B4" w:rsidRDefault="00EA1181" w:rsidP="00DA2729">
      <w:pPr>
        <w:spacing w:line="259" w:lineRule="auto"/>
        <w:jc w:val="left"/>
        <w:rPr>
          <w:lang w:val="fr-BE"/>
        </w:rPr>
      </w:pPr>
    </w:p>
    <w:p w14:paraId="05A08DE5" w14:textId="3484E09E" w:rsidR="006E0492" w:rsidRPr="004267B4" w:rsidRDefault="004466E9" w:rsidP="00FF013B">
      <w:pPr>
        <w:widowControl w:val="0"/>
        <w:numPr>
          <w:ilvl w:val="0"/>
          <w:numId w:val="4"/>
        </w:numPr>
        <w:overflowPunct w:val="0"/>
        <w:autoSpaceDE w:val="0"/>
        <w:autoSpaceDN w:val="0"/>
        <w:adjustRightInd w:val="0"/>
        <w:textAlignment w:val="baseline"/>
        <w:rPr>
          <w:b/>
          <w:bCs/>
          <w:lang w:val="fr-BE"/>
        </w:rPr>
      </w:pPr>
      <w:hyperlink r:id="rId49" w:history="1">
        <w:r w:rsidR="006E0492" w:rsidRPr="004267B4">
          <w:rPr>
            <w:b/>
            <w:i/>
            <w:sz w:val="28"/>
            <w:lang w:val="fr-BE"/>
          </w:rPr>
          <w:t>Révision de la directive sur une utilisation des pesticides compatible avec le développement durable</w:t>
        </w:r>
      </w:hyperlink>
    </w:p>
    <w:p w14:paraId="7B70392B" w14:textId="77777777" w:rsidR="006E0492" w:rsidRPr="004267B4" w:rsidRDefault="006E0492" w:rsidP="006E0492">
      <w:pPr>
        <w:widowControl w:val="0"/>
        <w:ind w:left="567"/>
        <w:rPr>
          <w:b/>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21"/>
      </w:tblGrid>
      <w:tr w:rsidR="006E0492" w:rsidRPr="004267B4" w14:paraId="019FFB85" w14:textId="77777777" w:rsidTr="00074BCE">
        <w:tc>
          <w:tcPr>
            <w:tcW w:w="1701" w:type="dxa"/>
          </w:tcPr>
          <w:p w14:paraId="1B4E228E" w14:textId="77777777" w:rsidR="006E0492" w:rsidRPr="004267B4" w:rsidRDefault="006E0492" w:rsidP="0059328F">
            <w:pPr>
              <w:tabs>
                <w:tab w:val="center" w:pos="284"/>
              </w:tabs>
              <w:ind w:left="266" w:hanging="266"/>
              <w:rPr>
                <w:b/>
                <w:lang w:val="fr-BE"/>
              </w:rPr>
            </w:pPr>
            <w:r w:rsidRPr="004267B4">
              <w:rPr>
                <w:b/>
                <w:lang w:val="fr-BE"/>
              </w:rPr>
              <w:t>Rapporteur</w:t>
            </w:r>
            <w:r w:rsidRPr="004267B4">
              <w:rPr>
                <w:lang w:val="fr-BE"/>
              </w:rPr>
              <w:t xml:space="preserve"> </w:t>
            </w:r>
          </w:p>
        </w:tc>
        <w:tc>
          <w:tcPr>
            <w:tcW w:w="7621" w:type="dxa"/>
          </w:tcPr>
          <w:p w14:paraId="1F9065D9" w14:textId="1CEA3522" w:rsidR="006E0492" w:rsidRPr="004267B4" w:rsidRDefault="006E0492" w:rsidP="0059328F">
            <w:pPr>
              <w:tabs>
                <w:tab w:val="center" w:pos="284"/>
              </w:tabs>
              <w:ind w:left="266" w:hanging="266"/>
              <w:rPr>
                <w:bCs/>
                <w:lang w:val="fr-BE"/>
              </w:rPr>
            </w:pPr>
            <w:r w:rsidRPr="004267B4">
              <w:rPr>
                <w:bCs/>
                <w:lang w:val="fr-BE"/>
              </w:rPr>
              <w:t>José Manuel ROCHE RAMO</w:t>
            </w:r>
            <w:r w:rsidR="00900529">
              <w:rPr>
                <w:bCs/>
                <w:lang w:val="fr-BE"/>
              </w:rPr>
              <w:t xml:space="preserve"> (</w:t>
            </w:r>
            <w:r w:rsidR="00F13412">
              <w:t xml:space="preserve">groupe </w:t>
            </w:r>
            <w:r w:rsidR="00900529" w:rsidRPr="00DA2729">
              <w:t>des organisations de la société civile</w:t>
            </w:r>
            <w:r w:rsidR="00900529">
              <w:t xml:space="preserve"> — ES)</w:t>
            </w:r>
          </w:p>
        </w:tc>
      </w:tr>
      <w:tr w:rsidR="006E0492" w:rsidRPr="004267B4" w14:paraId="6E1FAEF4" w14:textId="77777777" w:rsidTr="00074BCE">
        <w:tc>
          <w:tcPr>
            <w:tcW w:w="1701" w:type="dxa"/>
          </w:tcPr>
          <w:p w14:paraId="7180CDF1" w14:textId="77777777" w:rsidR="006E0492" w:rsidRPr="004267B4" w:rsidRDefault="006E0492" w:rsidP="0059328F">
            <w:pPr>
              <w:tabs>
                <w:tab w:val="center" w:pos="284"/>
              </w:tabs>
              <w:ind w:left="266" w:hanging="266"/>
              <w:rPr>
                <w:b/>
                <w:bCs/>
                <w:lang w:val="fr-BE"/>
              </w:rPr>
            </w:pPr>
            <w:r w:rsidRPr="004267B4">
              <w:rPr>
                <w:b/>
                <w:lang w:val="fr-BE"/>
              </w:rPr>
              <w:t xml:space="preserve">Corapporteur </w:t>
            </w:r>
          </w:p>
        </w:tc>
        <w:tc>
          <w:tcPr>
            <w:tcW w:w="7621" w:type="dxa"/>
          </w:tcPr>
          <w:p w14:paraId="75699255" w14:textId="3C907546" w:rsidR="006E0492" w:rsidRPr="004267B4" w:rsidRDefault="006E0492" w:rsidP="00900529">
            <w:pPr>
              <w:rPr>
                <w:bCs/>
                <w:lang w:val="fr-BE"/>
              </w:rPr>
            </w:pPr>
            <w:r w:rsidRPr="004267B4">
              <w:rPr>
                <w:bCs/>
                <w:lang w:val="fr-BE"/>
              </w:rPr>
              <w:t>Arnold PUECH D’ALISSAC</w:t>
            </w:r>
            <w:r w:rsidR="00900529">
              <w:rPr>
                <w:bCs/>
                <w:lang w:val="fr-BE"/>
              </w:rPr>
              <w:t xml:space="preserve"> (</w:t>
            </w:r>
            <w:r w:rsidR="00F13412">
              <w:t xml:space="preserve">groupe </w:t>
            </w:r>
            <w:r w:rsidR="00900529">
              <w:t>des employeurs — FR)</w:t>
            </w:r>
          </w:p>
        </w:tc>
      </w:tr>
      <w:tr w:rsidR="006E0492" w:rsidRPr="004267B4" w14:paraId="7FDF0C83" w14:textId="77777777" w:rsidTr="00074BCE">
        <w:tc>
          <w:tcPr>
            <w:tcW w:w="9322" w:type="dxa"/>
            <w:gridSpan w:val="2"/>
          </w:tcPr>
          <w:p w14:paraId="5087AC05" w14:textId="77777777" w:rsidR="006E0492" w:rsidRPr="004267B4" w:rsidRDefault="006E0492" w:rsidP="0059328F">
            <w:pPr>
              <w:tabs>
                <w:tab w:val="center" w:pos="284"/>
              </w:tabs>
              <w:spacing w:line="160" w:lineRule="exact"/>
              <w:ind w:left="266" w:hanging="266"/>
              <w:rPr>
                <w:lang w:val="fr-BE"/>
              </w:rPr>
            </w:pPr>
          </w:p>
        </w:tc>
      </w:tr>
      <w:tr w:rsidR="006E0492" w:rsidRPr="004267B4" w14:paraId="458DAF25" w14:textId="77777777" w:rsidTr="00074BCE">
        <w:tc>
          <w:tcPr>
            <w:tcW w:w="1701" w:type="dxa"/>
            <w:vMerge w:val="restart"/>
          </w:tcPr>
          <w:p w14:paraId="2AEFEF7C" w14:textId="77777777" w:rsidR="006E0492" w:rsidRPr="004267B4" w:rsidRDefault="006E0492" w:rsidP="0059328F">
            <w:pPr>
              <w:tabs>
                <w:tab w:val="center" w:pos="284"/>
              </w:tabs>
              <w:ind w:left="266" w:hanging="266"/>
              <w:rPr>
                <w:b/>
                <w:lang w:val="fr-BE"/>
              </w:rPr>
            </w:pPr>
            <w:r w:rsidRPr="004267B4">
              <w:rPr>
                <w:b/>
                <w:lang w:val="fr-BE"/>
              </w:rPr>
              <w:t>Références</w:t>
            </w:r>
          </w:p>
        </w:tc>
        <w:tc>
          <w:tcPr>
            <w:tcW w:w="7621" w:type="dxa"/>
          </w:tcPr>
          <w:p w14:paraId="51C31F1E" w14:textId="4A514CD9" w:rsidR="006E0492" w:rsidRPr="00900529" w:rsidRDefault="006E0492" w:rsidP="0059328F">
            <w:pPr>
              <w:tabs>
                <w:tab w:val="center" w:pos="284"/>
              </w:tabs>
              <w:ind w:left="266" w:hanging="266"/>
              <w:rPr>
                <w:bCs/>
                <w:lang w:val="fr-BE"/>
              </w:rPr>
            </w:pPr>
            <w:r w:rsidRPr="00900529">
              <w:rPr>
                <w:bCs/>
                <w:lang w:val="fr-BE"/>
              </w:rPr>
              <w:t>COM(2022) 305 final</w:t>
            </w:r>
          </w:p>
        </w:tc>
      </w:tr>
      <w:tr w:rsidR="006E0492" w:rsidRPr="004267B4" w14:paraId="629912CE" w14:textId="77777777" w:rsidTr="00074BCE">
        <w:tc>
          <w:tcPr>
            <w:tcW w:w="1701" w:type="dxa"/>
            <w:vMerge/>
          </w:tcPr>
          <w:p w14:paraId="6784F1D6" w14:textId="77777777" w:rsidR="006E0492" w:rsidRPr="004267B4" w:rsidRDefault="006E0492" w:rsidP="0059328F">
            <w:pPr>
              <w:tabs>
                <w:tab w:val="center" w:pos="284"/>
              </w:tabs>
              <w:ind w:left="266" w:hanging="266"/>
              <w:rPr>
                <w:b/>
                <w:lang w:val="fr-BE"/>
              </w:rPr>
            </w:pPr>
          </w:p>
        </w:tc>
        <w:tc>
          <w:tcPr>
            <w:tcW w:w="7621" w:type="dxa"/>
          </w:tcPr>
          <w:p w14:paraId="723E7EF3" w14:textId="741B700E" w:rsidR="006E0492" w:rsidRPr="004267B4" w:rsidRDefault="006E0492" w:rsidP="0059328F">
            <w:pPr>
              <w:tabs>
                <w:tab w:val="center" w:pos="284"/>
              </w:tabs>
              <w:ind w:left="266" w:hanging="266"/>
              <w:rPr>
                <w:lang w:val="fr-BE"/>
              </w:rPr>
            </w:pPr>
            <w:r w:rsidRPr="004267B4">
              <w:rPr>
                <w:lang w:val="fr-BE"/>
              </w:rPr>
              <w:t>EESC-2022-03220-00-00-A</w:t>
            </w:r>
            <w:r w:rsidR="00900529">
              <w:rPr>
                <w:lang w:val="fr-BE"/>
              </w:rPr>
              <w:t>C</w:t>
            </w:r>
          </w:p>
        </w:tc>
      </w:tr>
    </w:tbl>
    <w:p w14:paraId="592A200E" w14:textId="77777777" w:rsidR="00260610" w:rsidRPr="004267B4" w:rsidRDefault="00260610" w:rsidP="006E0492">
      <w:pPr>
        <w:keepNext/>
        <w:keepLines/>
        <w:tabs>
          <w:tab w:val="center" w:pos="284"/>
        </w:tabs>
        <w:ind w:left="266" w:hanging="266"/>
        <w:rPr>
          <w:b/>
          <w:lang w:val="fr-BE"/>
        </w:rPr>
      </w:pPr>
    </w:p>
    <w:p w14:paraId="257363A5" w14:textId="68A9E7AF" w:rsidR="006E0492" w:rsidRPr="004267B4" w:rsidRDefault="006E0492" w:rsidP="006E0492">
      <w:pPr>
        <w:keepNext/>
        <w:keepLines/>
        <w:tabs>
          <w:tab w:val="center" w:pos="284"/>
        </w:tabs>
        <w:ind w:left="266" w:hanging="266"/>
        <w:rPr>
          <w:b/>
          <w:lang w:val="fr-BE"/>
        </w:rPr>
      </w:pPr>
      <w:r w:rsidRPr="004267B4">
        <w:rPr>
          <w:b/>
          <w:lang w:val="fr-BE"/>
        </w:rPr>
        <w:t>Points clés</w:t>
      </w:r>
    </w:p>
    <w:p w14:paraId="56C27F9D" w14:textId="77777777" w:rsidR="006E0492" w:rsidRPr="00900529" w:rsidRDefault="006E0492" w:rsidP="00900529">
      <w:pPr>
        <w:keepNext/>
        <w:spacing w:line="240" w:lineRule="auto"/>
        <w:rPr>
          <w:bCs/>
          <w:iCs/>
          <w:lang w:val="fr-BE"/>
        </w:rPr>
      </w:pPr>
    </w:p>
    <w:p w14:paraId="7EA69F98" w14:textId="401CA01D" w:rsidR="006E0492" w:rsidRPr="004267B4" w:rsidRDefault="006E0492" w:rsidP="00900529">
      <w:pPr>
        <w:keepNext/>
        <w:spacing w:line="240" w:lineRule="auto"/>
        <w:rPr>
          <w:lang w:val="fr-BE"/>
        </w:rPr>
      </w:pPr>
      <w:r w:rsidRPr="004267B4">
        <w:rPr>
          <w:lang w:val="fr-BE"/>
        </w:rPr>
        <w:t>Le CESE:</w:t>
      </w:r>
    </w:p>
    <w:p w14:paraId="25374903" w14:textId="77777777" w:rsidR="00260610" w:rsidRPr="004267B4" w:rsidRDefault="00260610" w:rsidP="00900529">
      <w:pPr>
        <w:keepNext/>
        <w:spacing w:line="240" w:lineRule="auto"/>
        <w:rPr>
          <w:bCs/>
          <w:iCs/>
          <w:lang w:val="fr-BE"/>
        </w:rPr>
      </w:pPr>
    </w:p>
    <w:p w14:paraId="59458A32" w14:textId="77777777" w:rsidR="006E0492" w:rsidRPr="004267B4" w:rsidRDefault="006E0492" w:rsidP="00260610">
      <w:pPr>
        <w:pStyle w:val="Heading2"/>
        <w:numPr>
          <w:ilvl w:val="1"/>
          <w:numId w:val="41"/>
        </w:numPr>
        <w:ind w:left="357" w:hanging="357"/>
        <w:rPr>
          <w:lang w:val="fr-BE"/>
        </w:rPr>
      </w:pPr>
      <w:bookmarkStart w:id="45" w:name="_Toc124863720"/>
      <w:r w:rsidRPr="004267B4">
        <w:rPr>
          <w:lang w:val="fr-BE"/>
        </w:rPr>
        <w:t>estime non seulement que cette révision est nécessaire mais relève avec satisfaction que bon nombre des lacunes détectées dans la directive en vigueur et des initiatives envisagées dans cette nouvelle proposition avaient déjà été évoquées dans les observations et recommandations qu’il avait émises dans le cadre de son rapport d’information</w:t>
      </w:r>
      <w:r w:rsidRPr="004267B4">
        <w:rPr>
          <w:rStyle w:val="FootnoteReference"/>
          <w:lang w:val="fr-BE"/>
        </w:rPr>
        <w:footnoteReference w:id="4"/>
      </w:r>
      <w:r w:rsidRPr="004267B4">
        <w:rPr>
          <w:lang w:val="fr-BE"/>
        </w:rPr>
        <w:t>. La proposition vise à améliorer la durabilité environnementale, économique et sociale des systèmes alimentaires et le CESE reconnaît les avancées qu’elle apporte pour améliorer tant la santé du citoyen et du consommateur que le bon état de l’environnement;</w:t>
      </w:r>
      <w:bookmarkEnd w:id="45"/>
    </w:p>
    <w:p w14:paraId="5BD3834B" w14:textId="77777777" w:rsidR="006E0492" w:rsidRPr="004267B4" w:rsidRDefault="006E0492" w:rsidP="00260610">
      <w:pPr>
        <w:pStyle w:val="Heading2"/>
        <w:numPr>
          <w:ilvl w:val="1"/>
          <w:numId w:val="41"/>
        </w:numPr>
        <w:ind w:left="357" w:hanging="357"/>
        <w:rPr>
          <w:lang w:val="fr-BE"/>
        </w:rPr>
      </w:pPr>
      <w:bookmarkStart w:id="46" w:name="_Toc124863721"/>
      <w:r w:rsidRPr="004267B4">
        <w:rPr>
          <w:lang w:val="fr-BE"/>
        </w:rPr>
        <w:t>reconnaît que, s’agissant de réduire, d’ici à 2030, l’utilisation des pesticides et les risques qui y sont liés, la nouvelle stratégie européenne instaure des objectifs quantitatifs. Ils sont assurément ambitieux, de sorte qu’il est nécessaire de définir des périodes de transition raisonnables, qui devront tenir compte</w:t>
      </w:r>
      <w:r w:rsidRPr="004267B4">
        <w:rPr>
          <w:rStyle w:val="FootnoteReference"/>
          <w:lang w:val="fr-BE"/>
        </w:rPr>
        <w:footnoteReference w:id="5"/>
      </w:r>
      <w:r w:rsidRPr="004267B4">
        <w:rPr>
          <w:lang w:val="fr-BE"/>
        </w:rPr>
        <w:t xml:space="preserve"> de l’historique des réductions d’utilisation de ces produits, ainsi que du contexte géographique, agronomique et socio-économique propre à chaque État membre, et qui donneront aux agriculteurs la possibilité de commencer à recourir à de nouveaux produits de substitution. Il conviendra de faire preuve de souplesse pour veiller à ce que personne ne soit laissé de côté;</w:t>
      </w:r>
      <w:bookmarkEnd w:id="46"/>
    </w:p>
    <w:p w14:paraId="5C60B9FF" w14:textId="77777777" w:rsidR="006E0492" w:rsidRPr="004267B4" w:rsidRDefault="006E0492" w:rsidP="00260610">
      <w:pPr>
        <w:pStyle w:val="Heading2"/>
        <w:numPr>
          <w:ilvl w:val="1"/>
          <w:numId w:val="41"/>
        </w:numPr>
        <w:ind w:left="357" w:hanging="357"/>
        <w:rPr>
          <w:lang w:val="fr-BE"/>
        </w:rPr>
      </w:pPr>
      <w:bookmarkStart w:id="47" w:name="_Toc124863722"/>
      <w:r w:rsidRPr="004267B4">
        <w:rPr>
          <w:lang w:val="fr-BE"/>
        </w:rPr>
        <w:t>souligne qu’en ce qui concerne les «indicateurs de risque harmonisés», il est indispensable de pouvoir tabler sur des lignes directrices claires et des indicateurs qui doivent être adéquats. Du fait des lacunes qui affectent les données actuelles, notamment en ce qui concerne l’utilisation des pesticides chimiques, il conviendra de faire preuve de la plus grande prudence à propos de la méthode utilisée. Cette circonspection est tout particulièrement de mise pour ce qui est d’utiliser les ventes effectuées dans le commerce comme point de référence pour la définition de l’indicateur de risque harmonisé 1 (IRH1). De même, il convient d’accorder une attention spécifique au laps de temps qui sert à son calcul. Sur ce point, il serait possible d’améliorer les estimations concernant la commercialisation des pesticides, par exemple en faisant intervenir une distinction entre les autorisations professionnelles et celles pour «la maison et le jardin»;</w:t>
      </w:r>
      <w:bookmarkEnd w:id="47"/>
    </w:p>
    <w:p w14:paraId="05CC5F1B" w14:textId="77777777" w:rsidR="006E0492" w:rsidRPr="004267B4" w:rsidRDefault="006E0492" w:rsidP="00260610">
      <w:pPr>
        <w:pStyle w:val="Heading2"/>
        <w:numPr>
          <w:ilvl w:val="1"/>
          <w:numId w:val="41"/>
        </w:numPr>
        <w:ind w:left="357" w:hanging="357"/>
        <w:rPr>
          <w:lang w:val="fr-BE"/>
        </w:rPr>
      </w:pPr>
      <w:bookmarkStart w:id="48" w:name="_Toc124863723"/>
      <w:r w:rsidRPr="004267B4">
        <w:rPr>
          <w:lang w:val="fr-BE"/>
        </w:rPr>
        <w:t>reconnaît que les crises les plus récentes ont produit des effets délétères, en raison desquels l’Union européenne a dû placer la production d’aliments et la sécurité alimentaire au tout premier rang des priorités de ses interventions stratégiques. Elle n’en doit pas moins continuer à exécuter la feuille de route qu’elle s’est assignée pour atteindre ses engagements en rapport avec le climat et la durabilité;</w:t>
      </w:r>
      <w:bookmarkEnd w:id="48"/>
      <w:r w:rsidRPr="004267B4">
        <w:rPr>
          <w:lang w:val="fr-BE"/>
        </w:rPr>
        <w:t xml:space="preserve"> </w:t>
      </w:r>
    </w:p>
    <w:p w14:paraId="0C693EC4" w14:textId="77777777" w:rsidR="006E0492" w:rsidRPr="004267B4" w:rsidRDefault="006E0492" w:rsidP="00260610">
      <w:pPr>
        <w:pStyle w:val="Heading2"/>
        <w:numPr>
          <w:ilvl w:val="1"/>
          <w:numId w:val="41"/>
        </w:numPr>
        <w:ind w:left="357" w:hanging="357"/>
        <w:rPr>
          <w:lang w:val="fr-BE"/>
        </w:rPr>
      </w:pPr>
      <w:bookmarkStart w:id="49" w:name="_Toc124863724"/>
      <w:r w:rsidRPr="004267B4">
        <w:rPr>
          <w:lang w:val="fr-BE"/>
        </w:rPr>
        <w:lastRenderedPageBreak/>
        <w:t>souligne qu’il importe de favoriser des démarches de substitution, sous la forme d’une «boîte à outils», en ce qu’elle s’assignera pour priorité de progresser dans la mise en œuvre et le respect des impératifs régissant la lutte intégrée contre les ennemis des cultures, et entreprendra d’intensifier et de soutenir le recours à ces dispositifs de remplacement destinés à garder lesdits ennemis sous contrôle, comme les produits phytosanitaires à faible risque ou à base biologique. La boîte à outils susmentionnée doit être axée sur l’utilisation des diverses méthodes et moyens qui ont pour base la science et l’innovation: le recours à des variétés plus résistantes, les semences certifiées, l’agriculture de conservation, la production intégrée, les nouvelles techniques d’édition génomique, l’agriculture biologique, la rotation des cultures, les technologies numériques, ou encore l’appui à la pratique de cultures mineures posent autant de jalons sur la voie d’une transition réussie vers un modèle où l’utilisation des produits phytopharmaceutiques sera plus réduite.</w:t>
      </w:r>
      <w:bookmarkEnd w:id="49"/>
    </w:p>
    <w:p w14:paraId="3C99A245" w14:textId="77777777" w:rsidR="006E0492" w:rsidRPr="004267B4" w:rsidRDefault="006E0492" w:rsidP="00260610">
      <w:pPr>
        <w:pStyle w:val="Heading2"/>
        <w:numPr>
          <w:ilvl w:val="1"/>
          <w:numId w:val="41"/>
        </w:numPr>
        <w:ind w:left="357" w:hanging="357"/>
        <w:rPr>
          <w:lang w:val="fr-BE"/>
        </w:rPr>
      </w:pPr>
      <w:bookmarkStart w:id="50" w:name="_Toc124863725"/>
      <w:r w:rsidRPr="004267B4">
        <w:rPr>
          <w:lang w:val="fr-BE"/>
        </w:rPr>
        <w:t>rappelle la nécessité d’une réciprocité des règles, afin de veiller à ce que les importations en provenance de pays tiers soient soumises à des règles au moins équivalentes à celles applicables dans l’Union, et d’éviter une augmentation disproportionnée de la charge administrative pesant sur les agriculteurs, qui affecterait avec plus de force encore les exploitations de petite ou moyenne taille;</w:t>
      </w:r>
      <w:bookmarkEnd w:id="50"/>
    </w:p>
    <w:p w14:paraId="6CF30C54" w14:textId="77777777" w:rsidR="006E0492" w:rsidRPr="004267B4" w:rsidRDefault="006E0492" w:rsidP="00260610">
      <w:pPr>
        <w:pStyle w:val="Heading2"/>
        <w:numPr>
          <w:ilvl w:val="1"/>
          <w:numId w:val="41"/>
        </w:numPr>
        <w:ind w:left="357" w:hanging="357"/>
        <w:rPr>
          <w:lang w:val="fr-BE"/>
        </w:rPr>
      </w:pPr>
      <w:bookmarkStart w:id="51" w:name="_Toc124863726"/>
      <w:r w:rsidRPr="004267B4">
        <w:rPr>
          <w:lang w:val="fr-BE"/>
        </w:rPr>
        <w:t>se réjouit de constater qu’une disposition spécifique a été prévue pour que les frais encourus par les agriculteurs soient compensés grâce à une aide financière. Il estime toutefois qu’il reste nécessaire de préciser plus en détail certains aspects concernant l’insertion de ce concours financier au sein de la politique agricole commune, en apportant notamment des clarifications touchant à son calendrier et à sa mise à exécution, étant donné que la nouvelle version de cette politique et les plans stratégiques afférents de chaque État membre devront avoir été approuvés pour le 1</w:t>
      </w:r>
      <w:r w:rsidRPr="004267B4">
        <w:rPr>
          <w:vertAlign w:val="superscript"/>
          <w:lang w:val="fr-BE"/>
        </w:rPr>
        <w:t>er</w:t>
      </w:r>
      <w:r w:rsidRPr="004267B4">
        <w:rPr>
          <w:lang w:val="fr-BE"/>
        </w:rPr>
        <w:t> janvier 2023 et entrer en vigueur à cette date.</w:t>
      </w:r>
      <w:bookmarkEnd w:id="51"/>
    </w:p>
    <w:p w14:paraId="432CD57F" w14:textId="77777777" w:rsidR="006E0492" w:rsidRPr="004267B4" w:rsidRDefault="006E0492" w:rsidP="006E0492">
      <w:pPr>
        <w:spacing w:line="240" w:lineRule="auto"/>
        <w:ind w:left="284" w:hanging="284"/>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5670"/>
      </w:tblGrid>
      <w:tr w:rsidR="006E0492" w:rsidRPr="004267B4" w14:paraId="5959F401" w14:textId="77777777" w:rsidTr="0059328F">
        <w:tc>
          <w:tcPr>
            <w:tcW w:w="1634" w:type="dxa"/>
          </w:tcPr>
          <w:p w14:paraId="2A074107" w14:textId="77777777" w:rsidR="006E0492" w:rsidRPr="004267B4" w:rsidRDefault="006E0492" w:rsidP="0059328F">
            <w:pPr>
              <w:spacing w:line="240" w:lineRule="auto"/>
              <w:ind w:left="709"/>
              <w:rPr>
                <w:i/>
                <w:lang w:val="fr-BE"/>
              </w:rPr>
            </w:pPr>
            <w:r w:rsidRPr="004267B4">
              <w:rPr>
                <w:b/>
                <w:i/>
                <w:lang w:val="fr-BE"/>
              </w:rPr>
              <w:t>Contact</w:t>
            </w:r>
          </w:p>
        </w:tc>
        <w:tc>
          <w:tcPr>
            <w:tcW w:w="5670" w:type="dxa"/>
          </w:tcPr>
          <w:p w14:paraId="735685DA" w14:textId="77777777" w:rsidR="006E0492" w:rsidRPr="004267B4" w:rsidRDefault="006E0492" w:rsidP="0059328F">
            <w:pPr>
              <w:spacing w:line="240" w:lineRule="auto"/>
              <w:ind w:left="709"/>
              <w:rPr>
                <w:i/>
                <w:lang w:val="fr-BE"/>
              </w:rPr>
            </w:pPr>
            <w:r w:rsidRPr="004267B4">
              <w:rPr>
                <w:lang w:val="fr-BE"/>
              </w:rPr>
              <w:t>Gaia Bottoni</w:t>
            </w:r>
          </w:p>
        </w:tc>
      </w:tr>
      <w:tr w:rsidR="006E0492" w:rsidRPr="004267B4" w14:paraId="2F142CED" w14:textId="77777777" w:rsidTr="0059328F">
        <w:tc>
          <w:tcPr>
            <w:tcW w:w="1634" w:type="dxa"/>
          </w:tcPr>
          <w:p w14:paraId="6AF2B549" w14:textId="77777777" w:rsidR="006E0492" w:rsidRPr="004267B4" w:rsidRDefault="006E0492" w:rsidP="0059328F">
            <w:pPr>
              <w:spacing w:line="240" w:lineRule="auto"/>
              <w:ind w:left="709"/>
              <w:rPr>
                <w:i/>
                <w:lang w:val="fr-BE"/>
              </w:rPr>
            </w:pPr>
            <w:r w:rsidRPr="004267B4">
              <w:rPr>
                <w:i/>
                <w:lang w:val="fr-BE"/>
              </w:rPr>
              <w:t>Tél.</w:t>
            </w:r>
          </w:p>
        </w:tc>
        <w:tc>
          <w:tcPr>
            <w:tcW w:w="5670" w:type="dxa"/>
          </w:tcPr>
          <w:p w14:paraId="7C219313" w14:textId="77777777" w:rsidR="006E0492" w:rsidRPr="004267B4" w:rsidRDefault="006E0492" w:rsidP="0059328F">
            <w:pPr>
              <w:spacing w:line="240" w:lineRule="auto"/>
              <w:ind w:left="709"/>
              <w:rPr>
                <w:i/>
                <w:iCs/>
                <w:lang w:val="fr-BE"/>
              </w:rPr>
            </w:pPr>
            <w:r w:rsidRPr="004267B4">
              <w:rPr>
                <w:i/>
                <w:lang w:val="fr-BE"/>
              </w:rPr>
              <w:t>+32 2 546 9447</w:t>
            </w:r>
          </w:p>
        </w:tc>
      </w:tr>
      <w:tr w:rsidR="006E0492" w:rsidRPr="004267B4" w14:paraId="4FDECA1C" w14:textId="77777777" w:rsidTr="0059328F">
        <w:tc>
          <w:tcPr>
            <w:tcW w:w="1634" w:type="dxa"/>
          </w:tcPr>
          <w:p w14:paraId="340C3EAA" w14:textId="77777777" w:rsidR="006E0492" w:rsidRPr="004267B4" w:rsidRDefault="006E0492" w:rsidP="0059328F">
            <w:pPr>
              <w:spacing w:line="240" w:lineRule="auto"/>
              <w:ind w:left="709"/>
              <w:rPr>
                <w:i/>
                <w:lang w:val="fr-BE"/>
              </w:rPr>
            </w:pPr>
            <w:r w:rsidRPr="004267B4">
              <w:rPr>
                <w:i/>
                <w:lang w:val="fr-BE"/>
              </w:rPr>
              <w:t>Courriel</w:t>
            </w:r>
          </w:p>
        </w:tc>
        <w:tc>
          <w:tcPr>
            <w:tcW w:w="5670" w:type="dxa"/>
          </w:tcPr>
          <w:p w14:paraId="54CCCCEF" w14:textId="77777777" w:rsidR="006E0492" w:rsidRPr="004466E9" w:rsidRDefault="004466E9" w:rsidP="0059328F">
            <w:pPr>
              <w:spacing w:line="240" w:lineRule="auto"/>
              <w:ind w:left="709"/>
              <w:rPr>
                <w:i/>
                <w:lang w:val="fr-BE"/>
              </w:rPr>
            </w:pPr>
            <w:hyperlink r:id="rId50" w:history="1">
              <w:r w:rsidR="006E0492" w:rsidRPr="004466E9">
                <w:rPr>
                  <w:rStyle w:val="Hyperlink"/>
                  <w:i/>
                  <w:lang w:val="fr-BE"/>
                </w:rPr>
                <w:t>Gaia.bottoni@eesc.europa.eu</w:t>
              </w:r>
            </w:hyperlink>
          </w:p>
        </w:tc>
      </w:tr>
    </w:tbl>
    <w:p w14:paraId="32D27593" w14:textId="734B7F3B" w:rsidR="00687C49" w:rsidRPr="004267B4" w:rsidRDefault="00687C49" w:rsidP="00B42E2F">
      <w:pPr>
        <w:contextualSpacing/>
        <w:rPr>
          <w:lang w:val="fr-BE"/>
        </w:rPr>
      </w:pPr>
    </w:p>
    <w:p w14:paraId="325CEF8C" w14:textId="77777777" w:rsidR="00687C49" w:rsidRPr="004267B4" w:rsidRDefault="00687C49" w:rsidP="00DA2729">
      <w:pPr>
        <w:spacing w:line="259" w:lineRule="auto"/>
        <w:jc w:val="left"/>
        <w:rPr>
          <w:sz w:val="28"/>
          <w:szCs w:val="16"/>
          <w:lang w:val="fr-BE"/>
        </w:rPr>
      </w:pPr>
      <w:r w:rsidRPr="004267B4">
        <w:rPr>
          <w:lang w:val="fr-BE"/>
        </w:rPr>
        <w:br w:type="page"/>
      </w:r>
    </w:p>
    <w:p w14:paraId="4A1DC641" w14:textId="77777777" w:rsidR="005C6297" w:rsidRPr="004267B4" w:rsidRDefault="005C6297" w:rsidP="00B42E2F">
      <w:pPr>
        <w:contextualSpacing/>
        <w:rPr>
          <w:sz w:val="28"/>
          <w:szCs w:val="16"/>
          <w:lang w:val="fr-BE"/>
        </w:rPr>
      </w:pPr>
    </w:p>
    <w:p w14:paraId="0F37851E" w14:textId="417730FD" w:rsidR="004964ED" w:rsidRPr="004267B4" w:rsidRDefault="004964ED" w:rsidP="00FF013B">
      <w:pPr>
        <w:pStyle w:val="ListParagraph"/>
        <w:widowControl w:val="0"/>
        <w:numPr>
          <w:ilvl w:val="0"/>
          <w:numId w:val="18"/>
        </w:numPr>
        <w:spacing w:line="276" w:lineRule="auto"/>
        <w:ind w:left="567" w:hanging="567"/>
        <w:rPr>
          <w:sz w:val="20"/>
          <w:lang w:val="fr-BE"/>
        </w:rPr>
      </w:pPr>
      <w:r w:rsidRPr="004267B4">
        <w:rPr>
          <w:b/>
          <w:i/>
          <w:sz w:val="28"/>
          <w:lang w:val="fr-BE"/>
        </w:rPr>
        <w:t>Pêche/Accord relatif aux pêches dans le sud de l’océan Indien</w:t>
      </w:r>
    </w:p>
    <w:p w14:paraId="5FFA8505" w14:textId="0FD29F11" w:rsidR="004964ED" w:rsidRPr="004267B4" w:rsidRDefault="004964ED" w:rsidP="004964ED">
      <w:pPr>
        <w:tabs>
          <w:tab w:val="center" w:pos="284"/>
        </w:tabs>
        <w:ind w:left="266" w:hanging="266"/>
        <w:rPr>
          <w:b/>
          <w:lang w:val="fr-BE"/>
        </w:rPr>
      </w:pPr>
    </w:p>
    <w:tbl>
      <w:tblPr>
        <w:tblStyle w:val="TableGrid"/>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1"/>
        <w:gridCol w:w="1650"/>
        <w:gridCol w:w="6572"/>
        <w:gridCol w:w="57"/>
      </w:tblGrid>
      <w:tr w:rsidR="00900529" w:rsidRPr="009B70E7" w14:paraId="007A7314" w14:textId="77777777" w:rsidTr="00900529">
        <w:trPr>
          <w:gridBefore w:val="1"/>
          <w:gridAfter w:val="1"/>
          <w:wBefore w:w="51" w:type="dxa"/>
          <w:wAfter w:w="57" w:type="dxa"/>
        </w:trPr>
        <w:tc>
          <w:tcPr>
            <w:tcW w:w="8222" w:type="dxa"/>
            <w:gridSpan w:val="2"/>
          </w:tcPr>
          <w:p w14:paraId="01320D74" w14:textId="7F80B712" w:rsidR="00900529" w:rsidRPr="00D0461E" w:rsidRDefault="00900529" w:rsidP="0059328F">
            <w:pPr>
              <w:pStyle w:val="ListParagraph"/>
              <w:ind w:left="0"/>
              <w:rPr>
                <w:b/>
                <w:bCs/>
              </w:rPr>
            </w:pPr>
            <w:r>
              <w:rPr>
                <w:b/>
                <w:bCs/>
              </w:rPr>
              <w:t xml:space="preserve">Avis catégorie </w:t>
            </w:r>
            <w:r w:rsidRPr="00D0461E">
              <w:rPr>
                <w:b/>
                <w:bCs/>
              </w:rPr>
              <w:t xml:space="preserve">C </w:t>
            </w:r>
          </w:p>
          <w:p w14:paraId="783ABD3B" w14:textId="77777777" w:rsidR="00900529" w:rsidRPr="009B70E7" w:rsidRDefault="00900529" w:rsidP="0059328F">
            <w:pPr>
              <w:pStyle w:val="ListParagraph"/>
              <w:ind w:left="0"/>
            </w:pPr>
          </w:p>
        </w:tc>
      </w:tr>
      <w:tr w:rsidR="004964ED" w:rsidRPr="004267B4" w14:paraId="14CBEBD4" w14:textId="77777777" w:rsidTr="00900529">
        <w:tblPrEx>
          <w:tblCellMar>
            <w:left w:w="108" w:type="dxa"/>
            <w:right w:w="108" w:type="dxa"/>
          </w:tblCellMar>
        </w:tblPrEx>
        <w:tc>
          <w:tcPr>
            <w:tcW w:w="1701" w:type="dxa"/>
            <w:gridSpan w:val="2"/>
          </w:tcPr>
          <w:p w14:paraId="7D63B0EF" w14:textId="77777777" w:rsidR="004964ED" w:rsidRPr="004267B4" w:rsidRDefault="004964ED" w:rsidP="0059328F">
            <w:pPr>
              <w:tabs>
                <w:tab w:val="center" w:pos="284"/>
              </w:tabs>
              <w:ind w:left="266" w:hanging="266"/>
              <w:rPr>
                <w:b/>
                <w:lang w:val="fr-BE"/>
              </w:rPr>
            </w:pPr>
            <w:r w:rsidRPr="004267B4">
              <w:rPr>
                <w:b/>
                <w:lang w:val="fr-BE"/>
              </w:rPr>
              <w:t>Référence:</w:t>
            </w:r>
          </w:p>
        </w:tc>
        <w:tc>
          <w:tcPr>
            <w:tcW w:w="6629" w:type="dxa"/>
            <w:gridSpan w:val="2"/>
          </w:tcPr>
          <w:p w14:paraId="29CD0CAB" w14:textId="28AFD938" w:rsidR="00900529" w:rsidRPr="00627B8F" w:rsidRDefault="00900529" w:rsidP="00900529">
            <w:pPr>
              <w:pStyle w:val="ListParagraph"/>
              <w:ind w:left="-61"/>
              <w:rPr>
                <w:bCs/>
                <w:lang w:val="pt-PT"/>
              </w:rPr>
            </w:pPr>
            <w:r>
              <w:rPr>
                <w:bCs/>
                <w:lang w:val="pt-PT"/>
              </w:rPr>
              <w:t>COM(2022) 563 final</w:t>
            </w:r>
          </w:p>
          <w:p w14:paraId="7487B231" w14:textId="3A6BBCB6" w:rsidR="004964ED" w:rsidRPr="004267B4" w:rsidRDefault="00900529" w:rsidP="00900529">
            <w:pPr>
              <w:ind w:left="-2" w:firstLine="2"/>
              <w:rPr>
                <w:lang w:val="fr-BE"/>
              </w:rPr>
            </w:pPr>
            <w:r w:rsidRPr="006125A8">
              <w:t>EESC-2022-0</w:t>
            </w:r>
            <w:r>
              <w:t>6024</w:t>
            </w:r>
            <w:r w:rsidRPr="006125A8">
              <w:t>-00-00</w:t>
            </w:r>
            <w:r w:rsidRPr="007179BC">
              <w:t>-</w:t>
            </w:r>
            <w:r>
              <w:t>AC</w:t>
            </w:r>
          </w:p>
        </w:tc>
      </w:tr>
    </w:tbl>
    <w:p w14:paraId="6E22D863" w14:textId="77777777" w:rsidR="004964ED" w:rsidRPr="004267B4" w:rsidRDefault="004964ED" w:rsidP="004964ED">
      <w:pPr>
        <w:tabs>
          <w:tab w:val="center" w:pos="284"/>
        </w:tabs>
        <w:ind w:left="266" w:hanging="266"/>
        <w:rPr>
          <w:lang w:val="fr-BE"/>
        </w:rPr>
      </w:pPr>
    </w:p>
    <w:p w14:paraId="49D44CE5" w14:textId="77777777" w:rsidR="004964ED" w:rsidRPr="004267B4" w:rsidRDefault="004964ED" w:rsidP="004964ED">
      <w:pPr>
        <w:keepNext/>
        <w:keepLines/>
        <w:tabs>
          <w:tab w:val="center" w:pos="284"/>
        </w:tabs>
        <w:ind w:left="266" w:hanging="266"/>
        <w:rPr>
          <w:b/>
          <w:lang w:val="fr-BE"/>
        </w:rPr>
      </w:pPr>
      <w:r w:rsidRPr="004267B4">
        <w:rPr>
          <w:b/>
          <w:lang w:val="fr-BE"/>
        </w:rPr>
        <w:t>Points clés</w:t>
      </w:r>
    </w:p>
    <w:p w14:paraId="7096BBA4" w14:textId="77777777" w:rsidR="004964ED" w:rsidRPr="004267B4" w:rsidRDefault="004964ED" w:rsidP="00900529">
      <w:pPr>
        <w:keepNext/>
        <w:rPr>
          <w:bCs/>
          <w:iCs/>
          <w:lang w:val="fr-BE"/>
        </w:rPr>
      </w:pPr>
    </w:p>
    <w:p w14:paraId="61A9633C" w14:textId="77777777" w:rsidR="004964ED" w:rsidRPr="004267B4" w:rsidRDefault="004964ED" w:rsidP="00900529">
      <w:pPr>
        <w:keepNext/>
        <w:outlineLvl w:val="1"/>
        <w:rPr>
          <w:bCs/>
          <w:iCs/>
          <w:lang w:val="fr-BE"/>
        </w:rPr>
      </w:pPr>
      <w:bookmarkStart w:id="52" w:name="_Toc124863727"/>
      <w:r w:rsidRPr="004267B4">
        <w:rPr>
          <w:lang w:val="fr-BE"/>
        </w:rPr>
        <w:t>Le CESE:</w:t>
      </w:r>
      <w:bookmarkEnd w:id="52"/>
    </w:p>
    <w:p w14:paraId="3A50DAED" w14:textId="77777777" w:rsidR="004964ED" w:rsidRPr="004267B4" w:rsidRDefault="004964ED" w:rsidP="00900529">
      <w:pPr>
        <w:keepNext/>
        <w:outlineLvl w:val="1"/>
        <w:rPr>
          <w:bCs/>
          <w:iCs/>
          <w:lang w:val="fr-BE"/>
        </w:rPr>
      </w:pPr>
    </w:p>
    <w:p w14:paraId="4AEB7FAD" w14:textId="77777777" w:rsidR="004964ED" w:rsidRPr="004267B4" w:rsidRDefault="004964ED" w:rsidP="00191D08">
      <w:pPr>
        <w:pStyle w:val="ListParagraph"/>
        <w:numPr>
          <w:ilvl w:val="0"/>
          <w:numId w:val="42"/>
        </w:numPr>
        <w:spacing w:line="276" w:lineRule="auto"/>
        <w:ind w:left="357" w:hanging="357"/>
        <w:outlineLvl w:val="1"/>
        <w:rPr>
          <w:lang w:val="fr-BE"/>
        </w:rPr>
      </w:pPr>
      <w:bookmarkStart w:id="53" w:name="_Toc124863728"/>
      <w:r w:rsidRPr="004267B4">
        <w:rPr>
          <w:lang w:val="fr-BE"/>
        </w:rPr>
        <w:t>approuve totalement le contenu de la proposition et estime qu’elle n’appelle aucun commentaire de sa part.</w:t>
      </w:r>
      <w:bookmarkEnd w:id="53"/>
    </w:p>
    <w:p w14:paraId="478DF7EC" w14:textId="77777777" w:rsidR="004964ED" w:rsidRPr="004267B4" w:rsidRDefault="004964ED" w:rsidP="004964ED">
      <w:pPr>
        <w:ind w:left="567" w:hanging="567"/>
        <w:contextualSpacing/>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964ED" w:rsidRPr="004267B4" w14:paraId="6937D290" w14:textId="77777777" w:rsidTr="0059328F">
        <w:tc>
          <w:tcPr>
            <w:tcW w:w="1418" w:type="dxa"/>
          </w:tcPr>
          <w:p w14:paraId="2C6CFE0A" w14:textId="77777777" w:rsidR="004964ED" w:rsidRPr="004267B4" w:rsidRDefault="004964ED" w:rsidP="0059328F">
            <w:pPr>
              <w:spacing w:line="240" w:lineRule="auto"/>
              <w:rPr>
                <w:i/>
                <w:lang w:val="fr-BE"/>
              </w:rPr>
            </w:pPr>
            <w:r w:rsidRPr="004267B4">
              <w:rPr>
                <w:b/>
                <w:i/>
                <w:lang w:val="fr-BE"/>
              </w:rPr>
              <w:t>Contact</w:t>
            </w:r>
          </w:p>
        </w:tc>
        <w:tc>
          <w:tcPr>
            <w:tcW w:w="5670" w:type="dxa"/>
          </w:tcPr>
          <w:p w14:paraId="6C5A8F49" w14:textId="77777777" w:rsidR="004964ED" w:rsidRPr="004267B4" w:rsidRDefault="004964ED" w:rsidP="0059328F">
            <w:pPr>
              <w:spacing w:line="240" w:lineRule="auto"/>
              <w:rPr>
                <w:i/>
                <w:lang w:val="fr-BE"/>
              </w:rPr>
            </w:pPr>
            <w:r w:rsidRPr="004267B4">
              <w:rPr>
                <w:i/>
                <w:lang w:val="fr-BE"/>
              </w:rPr>
              <w:t>Arturo Iniguez</w:t>
            </w:r>
          </w:p>
        </w:tc>
      </w:tr>
      <w:tr w:rsidR="004964ED" w:rsidRPr="004267B4" w14:paraId="54F14B8F" w14:textId="77777777" w:rsidTr="0059328F">
        <w:tc>
          <w:tcPr>
            <w:tcW w:w="1418" w:type="dxa"/>
          </w:tcPr>
          <w:p w14:paraId="1D95BFA6" w14:textId="77777777" w:rsidR="004964ED" w:rsidRPr="004267B4" w:rsidRDefault="004964ED" w:rsidP="0059328F">
            <w:pPr>
              <w:spacing w:line="240" w:lineRule="auto"/>
              <w:rPr>
                <w:i/>
                <w:lang w:val="fr-BE"/>
              </w:rPr>
            </w:pPr>
            <w:r w:rsidRPr="004267B4">
              <w:rPr>
                <w:i/>
                <w:lang w:val="fr-BE"/>
              </w:rPr>
              <w:t>Tél.</w:t>
            </w:r>
          </w:p>
        </w:tc>
        <w:tc>
          <w:tcPr>
            <w:tcW w:w="5670" w:type="dxa"/>
          </w:tcPr>
          <w:p w14:paraId="14E5F4E9" w14:textId="77777777" w:rsidR="004964ED" w:rsidRPr="004267B4" w:rsidRDefault="004964ED" w:rsidP="0059328F">
            <w:pPr>
              <w:spacing w:line="240" w:lineRule="auto"/>
              <w:rPr>
                <w:i/>
                <w:lang w:val="fr-BE"/>
              </w:rPr>
            </w:pPr>
            <w:r w:rsidRPr="004267B4">
              <w:rPr>
                <w:i/>
                <w:lang w:val="fr-BE"/>
              </w:rPr>
              <w:t>+32 25468768</w:t>
            </w:r>
          </w:p>
        </w:tc>
      </w:tr>
      <w:tr w:rsidR="004964ED" w:rsidRPr="004267B4" w14:paraId="096FC381" w14:textId="77777777" w:rsidTr="0059328F">
        <w:tc>
          <w:tcPr>
            <w:tcW w:w="1418" w:type="dxa"/>
          </w:tcPr>
          <w:p w14:paraId="47ECA0A3" w14:textId="77777777" w:rsidR="004964ED" w:rsidRPr="004267B4" w:rsidRDefault="004964ED" w:rsidP="0059328F">
            <w:pPr>
              <w:spacing w:line="240" w:lineRule="auto"/>
              <w:rPr>
                <w:i/>
                <w:lang w:val="fr-BE"/>
              </w:rPr>
            </w:pPr>
            <w:r w:rsidRPr="004267B4">
              <w:rPr>
                <w:i/>
                <w:lang w:val="fr-BE"/>
              </w:rPr>
              <w:t>Courriel:</w:t>
            </w:r>
          </w:p>
        </w:tc>
        <w:tc>
          <w:tcPr>
            <w:tcW w:w="5670" w:type="dxa"/>
          </w:tcPr>
          <w:p w14:paraId="0DA837C2" w14:textId="669126DE" w:rsidR="004964ED" w:rsidRPr="004267B4" w:rsidRDefault="004466E9" w:rsidP="004466E9">
            <w:pPr>
              <w:spacing w:line="240" w:lineRule="auto"/>
              <w:rPr>
                <w:i/>
                <w:lang w:val="fr-BE"/>
              </w:rPr>
            </w:pPr>
            <w:hyperlink r:id="rId51" w:history="1">
              <w:r w:rsidR="004964ED" w:rsidRPr="004267B4">
                <w:rPr>
                  <w:rStyle w:val="Hyperlink"/>
                  <w:i/>
                  <w:lang w:val="fr-BE"/>
                </w:rPr>
                <w:t>Arturo.Iniguez@eesc.europa.eu</w:t>
              </w:r>
            </w:hyperlink>
          </w:p>
        </w:tc>
      </w:tr>
    </w:tbl>
    <w:p w14:paraId="2597412D" w14:textId="475D1F2C" w:rsidR="00687C49" w:rsidRPr="004267B4" w:rsidRDefault="00687C49" w:rsidP="00DA2729">
      <w:pPr>
        <w:spacing w:line="259" w:lineRule="auto"/>
        <w:jc w:val="left"/>
        <w:rPr>
          <w:sz w:val="28"/>
          <w:szCs w:val="16"/>
          <w:lang w:val="fr-BE"/>
        </w:rPr>
      </w:pPr>
      <w:r w:rsidRPr="004267B4">
        <w:rPr>
          <w:lang w:val="fr-BE"/>
        </w:rPr>
        <w:br w:type="page"/>
      </w:r>
    </w:p>
    <w:p w14:paraId="5A81B7BF" w14:textId="77777777" w:rsidR="00B42E2F" w:rsidRPr="004267B4" w:rsidRDefault="00B42E2F" w:rsidP="00B42E2F">
      <w:pPr>
        <w:contextualSpacing/>
        <w:rPr>
          <w:lang w:val="fr-BE"/>
        </w:rPr>
      </w:pPr>
    </w:p>
    <w:p w14:paraId="59E3367D" w14:textId="34622217" w:rsidR="005A6946" w:rsidRPr="004267B4" w:rsidRDefault="00931584" w:rsidP="00CB3335">
      <w:pPr>
        <w:pStyle w:val="Heading1"/>
        <w:keepNext/>
        <w:rPr>
          <w:b/>
          <w:lang w:val="fr-BE"/>
        </w:rPr>
      </w:pPr>
      <w:bookmarkStart w:id="54" w:name="_Toc90469310"/>
      <w:bookmarkStart w:id="55" w:name="_Toc124863729"/>
      <w:r w:rsidRPr="004267B4">
        <w:rPr>
          <w:b/>
          <w:lang w:val="fr-BE"/>
        </w:rPr>
        <w:t>RELATIONS EXTÉRIEURES</w:t>
      </w:r>
      <w:bookmarkEnd w:id="54"/>
      <w:bookmarkEnd w:id="55"/>
    </w:p>
    <w:p w14:paraId="33C2A9DE" w14:textId="77777777" w:rsidR="00EE1E04" w:rsidRPr="004267B4" w:rsidRDefault="00EE1E04" w:rsidP="00EE1E04">
      <w:pPr>
        <w:rPr>
          <w:lang w:val="fr-BE"/>
        </w:rPr>
      </w:pPr>
    </w:p>
    <w:p w14:paraId="7DD6C473" w14:textId="41F10059" w:rsidR="004964ED" w:rsidRPr="004267B4" w:rsidRDefault="004466E9" w:rsidP="00FF013B">
      <w:pPr>
        <w:widowControl w:val="0"/>
        <w:numPr>
          <w:ilvl w:val="0"/>
          <w:numId w:val="4"/>
        </w:numPr>
        <w:overflowPunct w:val="0"/>
        <w:autoSpaceDE w:val="0"/>
        <w:autoSpaceDN w:val="0"/>
        <w:adjustRightInd w:val="0"/>
        <w:ind w:hanging="567"/>
        <w:textAlignment w:val="baseline"/>
        <w:rPr>
          <w:sz w:val="20"/>
          <w:lang w:val="fr-BE"/>
        </w:rPr>
      </w:pPr>
      <w:hyperlink r:id="rId52" w:history="1">
        <w:r w:rsidR="004964ED" w:rsidRPr="004267B4">
          <w:rPr>
            <w:b/>
            <w:i/>
            <w:sz w:val="28"/>
            <w:lang w:val="fr-BE"/>
          </w:rPr>
          <w:t>Transition numérique dans la région euro-méditerranéenne</w:t>
        </w:r>
      </w:hyperlink>
    </w:p>
    <w:p w14:paraId="333B7081" w14:textId="77777777" w:rsidR="004964ED" w:rsidRPr="004267B4" w:rsidRDefault="004964ED" w:rsidP="004964ED">
      <w:pPr>
        <w:tabs>
          <w:tab w:val="center" w:pos="284"/>
        </w:tabs>
        <w:ind w:left="266" w:hanging="266"/>
        <w:rPr>
          <w:b/>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21"/>
      </w:tblGrid>
      <w:tr w:rsidR="004964ED" w:rsidRPr="004267B4" w14:paraId="495688B4" w14:textId="77777777" w:rsidTr="0055030C">
        <w:tc>
          <w:tcPr>
            <w:tcW w:w="1701" w:type="dxa"/>
          </w:tcPr>
          <w:p w14:paraId="0A57E11B" w14:textId="77777777" w:rsidR="004964ED" w:rsidRPr="004267B4" w:rsidRDefault="004964ED" w:rsidP="0059328F">
            <w:pPr>
              <w:tabs>
                <w:tab w:val="center" w:pos="284"/>
              </w:tabs>
              <w:ind w:left="266" w:hanging="266"/>
              <w:rPr>
                <w:b/>
                <w:lang w:val="fr-BE"/>
              </w:rPr>
            </w:pPr>
            <w:r w:rsidRPr="004267B4">
              <w:rPr>
                <w:b/>
                <w:lang w:val="fr-BE"/>
              </w:rPr>
              <w:t>Rapporteure</w:t>
            </w:r>
          </w:p>
        </w:tc>
        <w:tc>
          <w:tcPr>
            <w:tcW w:w="7621" w:type="dxa"/>
          </w:tcPr>
          <w:p w14:paraId="68636CEC" w14:textId="6911D7AF" w:rsidR="004964ED" w:rsidRPr="004267B4" w:rsidRDefault="004964ED" w:rsidP="0055030C">
            <w:pPr>
              <w:ind w:left="-2" w:firstLine="2"/>
              <w:rPr>
                <w:lang w:val="fr-BE"/>
              </w:rPr>
            </w:pPr>
            <w:r w:rsidRPr="004267B4">
              <w:rPr>
                <w:lang w:val="fr-BE"/>
              </w:rPr>
              <w:t>Dolores SAMMUT BONNICI (</w:t>
            </w:r>
            <w:r w:rsidR="00F13412">
              <w:rPr>
                <w:lang w:val="fr-BE"/>
              </w:rPr>
              <w:t xml:space="preserve">groupe </w:t>
            </w:r>
            <w:r w:rsidRPr="004267B4">
              <w:rPr>
                <w:lang w:val="fr-BE"/>
              </w:rPr>
              <w:t>des employeurs</w:t>
            </w:r>
            <w:r w:rsidR="0055030C">
              <w:rPr>
                <w:lang w:val="fr-BE"/>
              </w:rPr>
              <w:t xml:space="preserve"> —</w:t>
            </w:r>
            <w:r w:rsidRPr="004267B4">
              <w:rPr>
                <w:lang w:val="fr-BE"/>
              </w:rPr>
              <w:t>MT)</w:t>
            </w:r>
          </w:p>
        </w:tc>
      </w:tr>
      <w:tr w:rsidR="004964ED" w:rsidRPr="004267B4" w14:paraId="51467775" w14:textId="77777777" w:rsidTr="0055030C">
        <w:tc>
          <w:tcPr>
            <w:tcW w:w="9322" w:type="dxa"/>
            <w:gridSpan w:val="2"/>
          </w:tcPr>
          <w:p w14:paraId="17C73B9B" w14:textId="77777777" w:rsidR="004964ED" w:rsidRPr="004267B4" w:rsidRDefault="004964ED" w:rsidP="0059328F">
            <w:pPr>
              <w:tabs>
                <w:tab w:val="center" w:pos="284"/>
              </w:tabs>
              <w:spacing w:line="160" w:lineRule="exact"/>
              <w:ind w:left="266" w:hanging="266"/>
              <w:rPr>
                <w:lang w:val="fr-BE"/>
              </w:rPr>
            </w:pPr>
          </w:p>
        </w:tc>
      </w:tr>
      <w:tr w:rsidR="004964ED" w:rsidRPr="004267B4" w14:paraId="60D49BB6" w14:textId="77777777" w:rsidTr="0055030C">
        <w:tc>
          <w:tcPr>
            <w:tcW w:w="1701" w:type="dxa"/>
          </w:tcPr>
          <w:p w14:paraId="1761AEA7" w14:textId="77777777" w:rsidR="004964ED" w:rsidRPr="004267B4" w:rsidRDefault="004964ED" w:rsidP="0059328F">
            <w:pPr>
              <w:tabs>
                <w:tab w:val="center" w:pos="284"/>
              </w:tabs>
              <w:ind w:left="266" w:hanging="266"/>
              <w:rPr>
                <w:b/>
                <w:lang w:val="fr-BE"/>
              </w:rPr>
            </w:pPr>
            <w:r w:rsidRPr="004267B4">
              <w:rPr>
                <w:b/>
                <w:lang w:val="fr-BE"/>
              </w:rPr>
              <w:t>Référence</w:t>
            </w:r>
          </w:p>
        </w:tc>
        <w:tc>
          <w:tcPr>
            <w:tcW w:w="7621" w:type="dxa"/>
          </w:tcPr>
          <w:p w14:paraId="19760CC5" w14:textId="32B551F5" w:rsidR="004964ED" w:rsidRPr="004267B4" w:rsidRDefault="004964ED" w:rsidP="0059328F">
            <w:pPr>
              <w:tabs>
                <w:tab w:val="center" w:pos="284"/>
              </w:tabs>
              <w:ind w:left="266" w:hanging="266"/>
              <w:rPr>
                <w:lang w:val="fr-BE"/>
              </w:rPr>
            </w:pPr>
            <w:r w:rsidRPr="004267B4">
              <w:rPr>
                <w:lang w:val="fr-BE"/>
              </w:rPr>
              <w:t>EESC-2022-01584-00-00-</w:t>
            </w:r>
            <w:r w:rsidR="0055030C">
              <w:rPr>
                <w:lang w:val="fr-BE"/>
              </w:rPr>
              <w:t>AC</w:t>
            </w:r>
          </w:p>
        </w:tc>
      </w:tr>
    </w:tbl>
    <w:p w14:paraId="57666D28" w14:textId="77777777" w:rsidR="004964ED" w:rsidRPr="004267B4" w:rsidRDefault="004964ED" w:rsidP="004964ED">
      <w:pPr>
        <w:keepNext/>
        <w:keepLines/>
        <w:tabs>
          <w:tab w:val="center" w:pos="284"/>
        </w:tabs>
        <w:ind w:left="266" w:hanging="266"/>
        <w:rPr>
          <w:b/>
          <w:lang w:val="fr-BE"/>
        </w:rPr>
      </w:pPr>
    </w:p>
    <w:p w14:paraId="0F7681C8" w14:textId="77777777" w:rsidR="004964ED" w:rsidRPr="004267B4" w:rsidRDefault="004964ED" w:rsidP="004964ED">
      <w:pPr>
        <w:keepNext/>
        <w:keepLines/>
        <w:tabs>
          <w:tab w:val="center" w:pos="284"/>
        </w:tabs>
        <w:ind w:left="266" w:hanging="266"/>
        <w:rPr>
          <w:b/>
          <w:lang w:val="fr-BE"/>
        </w:rPr>
      </w:pPr>
      <w:r w:rsidRPr="004267B4">
        <w:rPr>
          <w:b/>
          <w:lang w:val="fr-BE"/>
        </w:rPr>
        <w:t>Points clés</w:t>
      </w:r>
    </w:p>
    <w:p w14:paraId="505D9EDC" w14:textId="77777777" w:rsidR="004964ED" w:rsidRPr="004267B4" w:rsidRDefault="004964ED" w:rsidP="004964ED">
      <w:pPr>
        <w:keepNext/>
        <w:keepLines/>
        <w:tabs>
          <w:tab w:val="center" w:pos="284"/>
        </w:tabs>
        <w:ind w:left="266" w:hanging="266"/>
        <w:rPr>
          <w:b/>
          <w:lang w:val="fr-BE"/>
        </w:rPr>
      </w:pPr>
    </w:p>
    <w:p w14:paraId="32A44985" w14:textId="77777777" w:rsidR="004964ED" w:rsidRPr="004267B4" w:rsidRDefault="004964ED" w:rsidP="0055030C">
      <w:pPr>
        <w:keepNext/>
        <w:rPr>
          <w:bCs/>
          <w:iCs/>
          <w:lang w:val="fr-BE"/>
        </w:rPr>
      </w:pPr>
      <w:r w:rsidRPr="004267B4">
        <w:rPr>
          <w:lang w:val="fr-BE"/>
        </w:rPr>
        <w:t>Le CESE:</w:t>
      </w:r>
    </w:p>
    <w:p w14:paraId="63A546DC" w14:textId="77777777" w:rsidR="004964ED" w:rsidRPr="004267B4" w:rsidRDefault="004964ED" w:rsidP="0055030C">
      <w:pPr>
        <w:keepNext/>
        <w:rPr>
          <w:bCs/>
          <w:iCs/>
          <w:lang w:val="fr-BE"/>
        </w:rPr>
      </w:pPr>
    </w:p>
    <w:p w14:paraId="569C5411" w14:textId="77777777" w:rsidR="004964ED" w:rsidRPr="004267B4" w:rsidRDefault="004964ED" w:rsidP="0055030C">
      <w:pPr>
        <w:keepNext/>
        <w:widowControl w:val="0"/>
        <w:numPr>
          <w:ilvl w:val="0"/>
          <w:numId w:val="43"/>
        </w:numPr>
        <w:overflowPunct w:val="0"/>
        <w:autoSpaceDE w:val="0"/>
        <w:autoSpaceDN w:val="0"/>
        <w:adjustRightInd w:val="0"/>
        <w:ind w:left="357" w:hanging="357"/>
        <w:textAlignment w:val="baseline"/>
        <w:rPr>
          <w:bCs/>
          <w:iCs/>
          <w:lang w:val="fr-BE"/>
        </w:rPr>
      </w:pPr>
      <w:r w:rsidRPr="004267B4">
        <w:rPr>
          <w:lang w:val="fr-BE"/>
        </w:rPr>
        <w:tab/>
        <w:t xml:space="preserve">évalue </w:t>
      </w:r>
      <w:r w:rsidRPr="004267B4">
        <w:rPr>
          <w:b/>
          <w:lang w:val="fr-BE"/>
        </w:rPr>
        <w:t>l’état actuel de la transition numérique</w:t>
      </w:r>
      <w:r w:rsidRPr="004267B4">
        <w:rPr>
          <w:lang w:val="fr-BE"/>
        </w:rPr>
        <w:t xml:space="preserve"> dans la région euro-méditerranéenne, les programmes et les progrès réalisés;</w:t>
      </w:r>
    </w:p>
    <w:p w14:paraId="4651EA77" w14:textId="77777777" w:rsidR="004964ED" w:rsidRPr="004267B4" w:rsidRDefault="004964ED" w:rsidP="00191D08">
      <w:pPr>
        <w:widowControl w:val="0"/>
        <w:numPr>
          <w:ilvl w:val="0"/>
          <w:numId w:val="43"/>
        </w:numPr>
        <w:overflowPunct w:val="0"/>
        <w:autoSpaceDE w:val="0"/>
        <w:autoSpaceDN w:val="0"/>
        <w:adjustRightInd w:val="0"/>
        <w:ind w:left="357" w:hanging="357"/>
        <w:textAlignment w:val="baseline"/>
        <w:rPr>
          <w:bCs/>
          <w:iCs/>
          <w:lang w:val="fr-BE"/>
        </w:rPr>
      </w:pPr>
      <w:r w:rsidRPr="004267B4">
        <w:rPr>
          <w:lang w:val="fr-BE"/>
        </w:rPr>
        <w:tab/>
        <w:t xml:space="preserve">met en évidence les </w:t>
      </w:r>
      <w:r w:rsidRPr="004267B4">
        <w:rPr>
          <w:b/>
          <w:lang w:val="fr-BE"/>
        </w:rPr>
        <w:t>avantages potentiels de la numérisation</w:t>
      </w:r>
      <w:r w:rsidRPr="004267B4">
        <w:rPr>
          <w:lang w:val="fr-BE"/>
        </w:rPr>
        <w:t xml:space="preserve"> et, en particulier, les nouvelles possibilités pour les PME, grâce au commerce électronique, à l’éducation en ligne, à l’administration en ligne, à la santé en ligne et à la banque numérique;</w:t>
      </w:r>
    </w:p>
    <w:p w14:paraId="4F9CAC59" w14:textId="77777777" w:rsidR="004964ED" w:rsidRPr="004267B4" w:rsidRDefault="004964ED" w:rsidP="00191D08">
      <w:pPr>
        <w:widowControl w:val="0"/>
        <w:numPr>
          <w:ilvl w:val="0"/>
          <w:numId w:val="43"/>
        </w:numPr>
        <w:overflowPunct w:val="0"/>
        <w:autoSpaceDE w:val="0"/>
        <w:autoSpaceDN w:val="0"/>
        <w:adjustRightInd w:val="0"/>
        <w:ind w:left="357" w:hanging="357"/>
        <w:textAlignment w:val="baseline"/>
        <w:rPr>
          <w:bCs/>
          <w:iCs/>
          <w:lang w:val="fr-BE"/>
        </w:rPr>
      </w:pPr>
      <w:r w:rsidRPr="004267B4">
        <w:rPr>
          <w:lang w:val="fr-BE"/>
        </w:rPr>
        <w:tab/>
        <w:t xml:space="preserve">recense les </w:t>
      </w:r>
      <w:r w:rsidRPr="004267B4">
        <w:rPr>
          <w:b/>
          <w:lang w:val="fr-BE"/>
        </w:rPr>
        <w:t>obstacles à la numérisation</w:t>
      </w:r>
      <w:r w:rsidRPr="004267B4">
        <w:rPr>
          <w:lang w:val="fr-BE"/>
        </w:rPr>
        <w:t>, notamment les principales difficultés liées aux infrastructures et à l’accès numériques, à la fracture numérique tant au sein d’un pays (rural/urbain, femmes/hommes, jeunes/personnes âgées) qu’entre les pays (nord/sud), au manque de compétences numériques essentielles et d’habileté numérique. Par conséquent, la transition numérique peut conduire à une augmentation des inégalités dans un pays, ainsi qu’à des divergences dans les schémas de développement entre les pays de la région;</w:t>
      </w:r>
    </w:p>
    <w:p w14:paraId="488CB95C" w14:textId="77777777" w:rsidR="004964ED" w:rsidRPr="004267B4" w:rsidRDefault="004964ED" w:rsidP="00191D08">
      <w:pPr>
        <w:widowControl w:val="0"/>
        <w:numPr>
          <w:ilvl w:val="0"/>
          <w:numId w:val="43"/>
        </w:numPr>
        <w:overflowPunct w:val="0"/>
        <w:autoSpaceDE w:val="0"/>
        <w:autoSpaceDN w:val="0"/>
        <w:adjustRightInd w:val="0"/>
        <w:ind w:left="357" w:hanging="357"/>
        <w:textAlignment w:val="baseline"/>
        <w:rPr>
          <w:bCs/>
          <w:iCs/>
          <w:lang w:val="fr-BE"/>
        </w:rPr>
      </w:pPr>
      <w:r w:rsidRPr="004267B4">
        <w:rPr>
          <w:lang w:val="fr-BE"/>
        </w:rPr>
        <w:tab/>
        <w:t xml:space="preserve">souligne les </w:t>
      </w:r>
      <w:r w:rsidRPr="004267B4">
        <w:rPr>
          <w:b/>
          <w:lang w:val="fr-BE"/>
        </w:rPr>
        <w:t>risques associés à la numérisation</w:t>
      </w:r>
      <w:r w:rsidRPr="004267B4">
        <w:rPr>
          <w:lang w:val="fr-BE"/>
        </w:rPr>
        <w:t>, allant des risques liés à la cybersécurité, à la souveraineté numérique, à la protection des données et au piratage numérique, à ceux liés à la liberté civile;</w:t>
      </w:r>
    </w:p>
    <w:p w14:paraId="59AFCEE5" w14:textId="77777777" w:rsidR="004964ED" w:rsidRPr="004267B4" w:rsidRDefault="004964ED" w:rsidP="00191D08">
      <w:pPr>
        <w:widowControl w:val="0"/>
        <w:numPr>
          <w:ilvl w:val="0"/>
          <w:numId w:val="43"/>
        </w:numPr>
        <w:overflowPunct w:val="0"/>
        <w:autoSpaceDE w:val="0"/>
        <w:autoSpaceDN w:val="0"/>
        <w:adjustRightInd w:val="0"/>
        <w:ind w:left="357" w:hanging="357"/>
        <w:textAlignment w:val="baseline"/>
        <w:rPr>
          <w:bCs/>
          <w:iCs/>
          <w:lang w:val="fr-BE"/>
        </w:rPr>
      </w:pPr>
      <w:r w:rsidRPr="004267B4">
        <w:rPr>
          <w:lang w:val="fr-BE"/>
        </w:rPr>
        <w:t xml:space="preserve">insiste explicitement sur la mise en œuvre des conventions des Nations unies sur les droits de l’homme et des conventions fondamentales de l’OIT qui doit être ambitieuse dans tous les États de la région méditerranéenne de sorte que </w:t>
      </w:r>
      <w:r w:rsidRPr="004267B4">
        <w:rPr>
          <w:b/>
          <w:lang w:val="fr-BE"/>
        </w:rPr>
        <w:t>la transition numérique puisse véritablement contribuer à un développement écologique, économique et social prospère</w:t>
      </w:r>
      <w:r w:rsidRPr="004267B4">
        <w:rPr>
          <w:lang w:val="fr-BE"/>
        </w:rPr>
        <w:t>.</w:t>
      </w:r>
    </w:p>
    <w:p w14:paraId="48A1042D" w14:textId="77777777" w:rsidR="004964ED" w:rsidRPr="004267B4" w:rsidRDefault="004964ED" w:rsidP="004964ED">
      <w:pPr>
        <w:widowControl w:val="0"/>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964ED" w:rsidRPr="004267B4" w14:paraId="4E3DA946" w14:textId="77777777" w:rsidTr="0059328F">
        <w:tc>
          <w:tcPr>
            <w:tcW w:w="1418" w:type="dxa"/>
          </w:tcPr>
          <w:p w14:paraId="642A1C25" w14:textId="77777777" w:rsidR="004964ED" w:rsidRPr="004267B4" w:rsidRDefault="004964ED" w:rsidP="0059328F">
            <w:pPr>
              <w:spacing w:line="240" w:lineRule="auto"/>
              <w:rPr>
                <w:i/>
                <w:lang w:val="fr-BE"/>
              </w:rPr>
            </w:pPr>
            <w:r w:rsidRPr="004267B4">
              <w:rPr>
                <w:b/>
                <w:i/>
                <w:lang w:val="fr-BE"/>
              </w:rPr>
              <w:t>Contact</w:t>
            </w:r>
          </w:p>
        </w:tc>
        <w:tc>
          <w:tcPr>
            <w:tcW w:w="5670" w:type="dxa"/>
          </w:tcPr>
          <w:p w14:paraId="3E86A390" w14:textId="77777777" w:rsidR="004964ED" w:rsidRPr="004267B4" w:rsidRDefault="004964ED" w:rsidP="0059328F">
            <w:pPr>
              <w:spacing w:line="240" w:lineRule="auto"/>
              <w:rPr>
                <w:i/>
                <w:lang w:val="fr-BE"/>
              </w:rPr>
            </w:pPr>
            <w:r w:rsidRPr="004267B4">
              <w:rPr>
                <w:i/>
                <w:lang w:val="fr-BE"/>
              </w:rPr>
              <w:t>Maarit Laurila</w:t>
            </w:r>
          </w:p>
        </w:tc>
      </w:tr>
      <w:tr w:rsidR="004964ED" w:rsidRPr="004267B4" w14:paraId="2EF22884" w14:textId="77777777" w:rsidTr="0059328F">
        <w:tc>
          <w:tcPr>
            <w:tcW w:w="1418" w:type="dxa"/>
          </w:tcPr>
          <w:p w14:paraId="2E93B3BA" w14:textId="77777777" w:rsidR="004964ED" w:rsidRPr="004267B4" w:rsidRDefault="004964ED" w:rsidP="0059328F">
            <w:pPr>
              <w:spacing w:line="240" w:lineRule="auto"/>
              <w:rPr>
                <w:i/>
                <w:lang w:val="fr-BE"/>
              </w:rPr>
            </w:pPr>
            <w:r w:rsidRPr="004267B4">
              <w:rPr>
                <w:i/>
                <w:lang w:val="fr-BE"/>
              </w:rPr>
              <w:t>Tél.</w:t>
            </w:r>
          </w:p>
        </w:tc>
        <w:tc>
          <w:tcPr>
            <w:tcW w:w="5670" w:type="dxa"/>
          </w:tcPr>
          <w:p w14:paraId="7362C37B" w14:textId="77777777" w:rsidR="004964ED" w:rsidRPr="004267B4" w:rsidRDefault="004964ED" w:rsidP="0059328F">
            <w:pPr>
              <w:spacing w:line="240" w:lineRule="auto"/>
              <w:rPr>
                <w:i/>
                <w:lang w:val="fr-BE"/>
              </w:rPr>
            </w:pPr>
            <w:r w:rsidRPr="004267B4">
              <w:rPr>
                <w:i/>
                <w:lang w:val="fr-BE"/>
              </w:rPr>
              <w:t>+32 2 546 9739</w:t>
            </w:r>
          </w:p>
        </w:tc>
      </w:tr>
      <w:tr w:rsidR="004964ED" w:rsidRPr="004267B4" w14:paraId="27068B71" w14:textId="77777777" w:rsidTr="0059328F">
        <w:tc>
          <w:tcPr>
            <w:tcW w:w="1418" w:type="dxa"/>
          </w:tcPr>
          <w:p w14:paraId="1B0919E9" w14:textId="77777777" w:rsidR="004964ED" w:rsidRPr="004267B4" w:rsidRDefault="004964ED" w:rsidP="0059328F">
            <w:pPr>
              <w:spacing w:line="240" w:lineRule="auto"/>
              <w:rPr>
                <w:i/>
                <w:lang w:val="fr-BE"/>
              </w:rPr>
            </w:pPr>
            <w:r w:rsidRPr="004267B4">
              <w:rPr>
                <w:i/>
                <w:lang w:val="fr-BE"/>
              </w:rPr>
              <w:t>Courriel</w:t>
            </w:r>
          </w:p>
        </w:tc>
        <w:tc>
          <w:tcPr>
            <w:tcW w:w="5670" w:type="dxa"/>
          </w:tcPr>
          <w:p w14:paraId="4733BDD6" w14:textId="77777777" w:rsidR="004964ED" w:rsidRPr="004267B4" w:rsidRDefault="004466E9" w:rsidP="0059328F">
            <w:pPr>
              <w:spacing w:line="240" w:lineRule="auto"/>
              <w:rPr>
                <w:i/>
                <w:lang w:val="fr-BE"/>
              </w:rPr>
            </w:pPr>
            <w:hyperlink r:id="rId53" w:history="1">
              <w:r w:rsidR="004964ED" w:rsidRPr="004267B4">
                <w:rPr>
                  <w:rStyle w:val="Hyperlink"/>
                  <w:i/>
                  <w:lang w:val="fr-BE"/>
                </w:rPr>
                <w:t>Maarit.Laurila@eesc.europa.eu</w:t>
              </w:r>
            </w:hyperlink>
          </w:p>
        </w:tc>
      </w:tr>
    </w:tbl>
    <w:p w14:paraId="064E838D" w14:textId="7030B7A8" w:rsidR="00EE1E04" w:rsidRPr="004267B4" w:rsidRDefault="00EE1E04" w:rsidP="00CB3335">
      <w:pPr>
        <w:rPr>
          <w:lang w:val="fr-BE"/>
        </w:rPr>
      </w:pPr>
    </w:p>
    <w:p w14:paraId="1802A9A9" w14:textId="77777777" w:rsidR="00EE1E04" w:rsidRPr="004267B4" w:rsidRDefault="00EE1E04" w:rsidP="00DA2729">
      <w:pPr>
        <w:spacing w:line="259" w:lineRule="auto"/>
        <w:jc w:val="left"/>
        <w:rPr>
          <w:lang w:val="fr-BE"/>
        </w:rPr>
      </w:pPr>
      <w:r w:rsidRPr="004267B4">
        <w:rPr>
          <w:lang w:val="fr-BE"/>
        </w:rPr>
        <w:br w:type="page"/>
      </w:r>
    </w:p>
    <w:p w14:paraId="125C0B78" w14:textId="77777777" w:rsidR="005A6946" w:rsidRPr="004267B4" w:rsidRDefault="005A6946" w:rsidP="00CB3335">
      <w:pPr>
        <w:rPr>
          <w:lang w:val="fr-BE"/>
        </w:rPr>
      </w:pPr>
    </w:p>
    <w:p w14:paraId="5471BB1A" w14:textId="46511F1A" w:rsidR="004964ED" w:rsidRPr="004267B4" w:rsidRDefault="004466E9" w:rsidP="00FF013B">
      <w:pPr>
        <w:widowControl w:val="0"/>
        <w:numPr>
          <w:ilvl w:val="0"/>
          <w:numId w:val="4"/>
        </w:numPr>
        <w:overflowPunct w:val="0"/>
        <w:autoSpaceDE w:val="0"/>
        <w:autoSpaceDN w:val="0"/>
        <w:adjustRightInd w:val="0"/>
        <w:ind w:hanging="567"/>
        <w:textAlignment w:val="baseline"/>
        <w:rPr>
          <w:sz w:val="28"/>
          <w:szCs w:val="28"/>
          <w:lang w:val="fr-BE"/>
        </w:rPr>
      </w:pPr>
      <w:hyperlink r:id="rId54" w:history="1">
        <w:r w:rsidR="004964ED" w:rsidRPr="004267B4">
          <w:rPr>
            <w:b/>
            <w:i/>
            <w:sz w:val="28"/>
            <w:lang w:val="fr-BE"/>
          </w:rPr>
          <w:t>La situation socio-économique en Amérique latine à la suite de la crise de la COVID-19 — Le rôle de la société civile dans le processus de relance</w:t>
        </w:r>
      </w:hyperlink>
    </w:p>
    <w:p w14:paraId="2A23B148" w14:textId="77777777" w:rsidR="004964ED" w:rsidRPr="004267B4" w:rsidRDefault="004964ED" w:rsidP="004964ED">
      <w:pPr>
        <w:tabs>
          <w:tab w:val="center" w:pos="284"/>
        </w:tabs>
        <w:ind w:left="266" w:hanging="266"/>
        <w:rPr>
          <w:b/>
          <w:lang w:val="fr-BE"/>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21"/>
      </w:tblGrid>
      <w:tr w:rsidR="004964ED" w:rsidRPr="004267B4" w14:paraId="1F203324" w14:textId="77777777" w:rsidTr="0059328F">
        <w:tc>
          <w:tcPr>
            <w:tcW w:w="1701" w:type="dxa"/>
          </w:tcPr>
          <w:p w14:paraId="3654F305" w14:textId="77777777" w:rsidR="004964ED" w:rsidRPr="004267B4" w:rsidRDefault="004964ED" w:rsidP="0059328F">
            <w:pPr>
              <w:tabs>
                <w:tab w:val="center" w:pos="284"/>
              </w:tabs>
              <w:ind w:left="266" w:hanging="266"/>
              <w:rPr>
                <w:b/>
                <w:lang w:val="fr-BE"/>
              </w:rPr>
            </w:pPr>
            <w:r w:rsidRPr="004267B4">
              <w:rPr>
                <w:b/>
                <w:lang w:val="fr-BE"/>
              </w:rPr>
              <w:t>Rapporteur</w:t>
            </w:r>
          </w:p>
        </w:tc>
        <w:tc>
          <w:tcPr>
            <w:tcW w:w="7621" w:type="dxa"/>
          </w:tcPr>
          <w:p w14:paraId="73FBD4D0" w14:textId="5B8F4B24" w:rsidR="004964ED" w:rsidRPr="004267B4" w:rsidRDefault="004964ED" w:rsidP="0059328F">
            <w:pPr>
              <w:tabs>
                <w:tab w:val="center" w:pos="284"/>
              </w:tabs>
              <w:ind w:left="266" w:hanging="266"/>
              <w:rPr>
                <w:lang w:val="fr-BE"/>
              </w:rPr>
            </w:pPr>
            <w:r w:rsidRPr="004267B4">
              <w:rPr>
                <w:lang w:val="fr-BE"/>
              </w:rPr>
              <w:t>Josep PUXEU ROCAMORA (</w:t>
            </w:r>
            <w:r w:rsidR="00F13412">
              <w:rPr>
                <w:lang w:val="fr-BE"/>
              </w:rPr>
              <w:t xml:space="preserve">groupe </w:t>
            </w:r>
            <w:r w:rsidRPr="004267B4">
              <w:rPr>
                <w:lang w:val="fr-BE"/>
              </w:rPr>
              <w:t>des employeurs — ES)</w:t>
            </w:r>
          </w:p>
        </w:tc>
      </w:tr>
      <w:tr w:rsidR="004964ED" w:rsidRPr="004267B4" w14:paraId="62FA5ED8" w14:textId="77777777" w:rsidTr="0059328F">
        <w:tc>
          <w:tcPr>
            <w:tcW w:w="9322" w:type="dxa"/>
            <w:gridSpan w:val="2"/>
          </w:tcPr>
          <w:p w14:paraId="31569E0E" w14:textId="77777777" w:rsidR="004964ED" w:rsidRPr="004267B4" w:rsidRDefault="004964ED" w:rsidP="0059328F">
            <w:pPr>
              <w:tabs>
                <w:tab w:val="center" w:pos="284"/>
              </w:tabs>
              <w:spacing w:line="160" w:lineRule="exact"/>
              <w:ind w:left="266" w:hanging="266"/>
              <w:rPr>
                <w:lang w:val="fr-BE"/>
              </w:rPr>
            </w:pPr>
          </w:p>
        </w:tc>
      </w:tr>
      <w:tr w:rsidR="004964ED" w:rsidRPr="004267B4" w14:paraId="466DE03F" w14:textId="77777777" w:rsidTr="0059328F">
        <w:tc>
          <w:tcPr>
            <w:tcW w:w="1701" w:type="dxa"/>
            <w:vMerge w:val="restart"/>
          </w:tcPr>
          <w:p w14:paraId="3A15638E" w14:textId="77777777" w:rsidR="004964ED" w:rsidRPr="004267B4" w:rsidRDefault="004964ED" w:rsidP="0059328F">
            <w:pPr>
              <w:tabs>
                <w:tab w:val="center" w:pos="284"/>
              </w:tabs>
              <w:ind w:left="266" w:hanging="266"/>
              <w:rPr>
                <w:b/>
                <w:lang w:val="fr-BE"/>
              </w:rPr>
            </w:pPr>
            <w:r w:rsidRPr="004267B4">
              <w:rPr>
                <w:b/>
                <w:lang w:val="fr-BE"/>
              </w:rPr>
              <w:t xml:space="preserve">Référence </w:t>
            </w:r>
          </w:p>
        </w:tc>
        <w:tc>
          <w:tcPr>
            <w:tcW w:w="7621" w:type="dxa"/>
          </w:tcPr>
          <w:p w14:paraId="61990551" w14:textId="77777777" w:rsidR="004964ED" w:rsidRPr="004267B4" w:rsidRDefault="004964ED" w:rsidP="0059328F">
            <w:pPr>
              <w:tabs>
                <w:tab w:val="center" w:pos="284"/>
              </w:tabs>
              <w:ind w:left="266" w:hanging="266"/>
              <w:rPr>
                <w:lang w:val="fr-BE"/>
              </w:rPr>
            </w:pPr>
            <w:r w:rsidRPr="004267B4">
              <w:rPr>
                <w:lang w:val="fr-BE"/>
              </w:rPr>
              <w:t>Avis d’initiative</w:t>
            </w:r>
          </w:p>
        </w:tc>
      </w:tr>
      <w:tr w:rsidR="004964ED" w:rsidRPr="004267B4" w14:paraId="490E9398" w14:textId="77777777" w:rsidTr="0059328F">
        <w:tc>
          <w:tcPr>
            <w:tcW w:w="1701" w:type="dxa"/>
            <w:vMerge/>
          </w:tcPr>
          <w:p w14:paraId="0040B957" w14:textId="77777777" w:rsidR="004964ED" w:rsidRPr="004267B4" w:rsidRDefault="004964ED" w:rsidP="0059328F">
            <w:pPr>
              <w:tabs>
                <w:tab w:val="center" w:pos="284"/>
              </w:tabs>
              <w:ind w:left="266" w:hanging="266"/>
              <w:rPr>
                <w:b/>
                <w:lang w:val="fr-BE"/>
              </w:rPr>
            </w:pPr>
          </w:p>
        </w:tc>
        <w:tc>
          <w:tcPr>
            <w:tcW w:w="7621" w:type="dxa"/>
          </w:tcPr>
          <w:p w14:paraId="4E12FA06" w14:textId="77777777" w:rsidR="004964ED" w:rsidRPr="004267B4" w:rsidRDefault="004964ED" w:rsidP="0059328F">
            <w:pPr>
              <w:tabs>
                <w:tab w:val="center" w:pos="284"/>
              </w:tabs>
              <w:ind w:left="266" w:hanging="266"/>
              <w:rPr>
                <w:lang w:val="fr-BE"/>
              </w:rPr>
            </w:pPr>
            <w:r w:rsidRPr="004267B4">
              <w:rPr>
                <w:lang w:val="fr-BE"/>
              </w:rPr>
              <w:t>EESC-2022-01331-00-00-AS-TRA</w:t>
            </w:r>
          </w:p>
        </w:tc>
      </w:tr>
    </w:tbl>
    <w:p w14:paraId="4F410728" w14:textId="77777777" w:rsidR="004964ED" w:rsidRPr="004267B4" w:rsidRDefault="004964ED" w:rsidP="004964ED">
      <w:pPr>
        <w:tabs>
          <w:tab w:val="center" w:pos="284"/>
        </w:tabs>
        <w:ind w:left="266" w:hanging="266"/>
        <w:rPr>
          <w:lang w:val="fr-BE"/>
        </w:rPr>
      </w:pPr>
    </w:p>
    <w:p w14:paraId="0CBC7AAD" w14:textId="77777777" w:rsidR="004964ED" w:rsidRPr="004267B4" w:rsidRDefault="004964ED" w:rsidP="004964ED">
      <w:pPr>
        <w:keepNext/>
        <w:keepLines/>
        <w:tabs>
          <w:tab w:val="center" w:pos="284"/>
        </w:tabs>
        <w:ind w:left="266" w:hanging="266"/>
        <w:rPr>
          <w:b/>
          <w:lang w:val="fr-BE"/>
        </w:rPr>
      </w:pPr>
      <w:r w:rsidRPr="004267B4">
        <w:rPr>
          <w:b/>
          <w:lang w:val="fr-BE"/>
        </w:rPr>
        <w:t>Points clés</w:t>
      </w:r>
    </w:p>
    <w:p w14:paraId="35BAFCF7" w14:textId="77777777" w:rsidR="004964ED" w:rsidRPr="004267B4" w:rsidRDefault="004964ED" w:rsidP="004964ED">
      <w:pPr>
        <w:keepNext/>
        <w:keepLines/>
        <w:tabs>
          <w:tab w:val="center" w:pos="284"/>
        </w:tabs>
        <w:ind w:left="266" w:hanging="266"/>
        <w:rPr>
          <w:b/>
          <w:lang w:val="fr-BE"/>
        </w:rPr>
      </w:pPr>
    </w:p>
    <w:p w14:paraId="61875975" w14:textId="3122F759" w:rsidR="004964ED" w:rsidRPr="004267B4" w:rsidRDefault="004964ED" w:rsidP="0055030C">
      <w:pPr>
        <w:keepNext/>
        <w:rPr>
          <w:lang w:val="fr-BE"/>
        </w:rPr>
      </w:pPr>
      <w:r w:rsidRPr="004267B4">
        <w:rPr>
          <w:lang w:val="fr-BE"/>
        </w:rPr>
        <w:t>Le CESE:</w:t>
      </w:r>
    </w:p>
    <w:p w14:paraId="2577CF13" w14:textId="77777777" w:rsidR="00191D08" w:rsidRPr="004267B4" w:rsidRDefault="00191D08" w:rsidP="0055030C">
      <w:pPr>
        <w:keepNext/>
        <w:rPr>
          <w:bCs/>
          <w:iCs/>
          <w:lang w:val="fr-BE"/>
        </w:rPr>
      </w:pPr>
    </w:p>
    <w:p w14:paraId="207FD385" w14:textId="77777777" w:rsidR="004964ED" w:rsidRPr="004267B4" w:rsidRDefault="004964ED" w:rsidP="00191D08">
      <w:pPr>
        <w:pStyle w:val="ListParagraph"/>
        <w:numPr>
          <w:ilvl w:val="0"/>
          <w:numId w:val="44"/>
        </w:numPr>
        <w:ind w:left="357" w:hanging="357"/>
        <w:rPr>
          <w:lang w:val="fr-BE"/>
        </w:rPr>
      </w:pPr>
      <w:r w:rsidRPr="004267B4">
        <w:rPr>
          <w:lang w:val="fr-BE"/>
        </w:rPr>
        <w:t xml:space="preserve">constate que la pandémie de COVID-19 a frappé particulièrement durement l’Amérique latine, avec un nombre de décès supérieur à la moyenne mondiale, une pression extrême sur les systèmes de santé et un ralentissement économique. Ce sont quelque 22 millions d’emplois qui ont été perdus dans la région en 2020: la région a perdu plus d’une décennie pour ce qui est de la réduction de la pauvreté, et elle est l’une des plus inégalitaires au monde. Plusieurs effets de la pandémie ont été aggravés par la guerre menée par la Russie contre l’Ukraine, du fait de l’augmentation du prix des combustibles fossiles, des intrants agricoles et des denrées alimentaires; </w:t>
      </w:r>
    </w:p>
    <w:p w14:paraId="62E24C03" w14:textId="77777777" w:rsidR="004964ED" w:rsidRPr="004267B4" w:rsidRDefault="004964ED" w:rsidP="00191D08">
      <w:pPr>
        <w:pStyle w:val="ListParagraph"/>
        <w:numPr>
          <w:ilvl w:val="0"/>
          <w:numId w:val="44"/>
        </w:numPr>
        <w:ind w:left="357" w:hanging="357"/>
        <w:rPr>
          <w:lang w:val="fr-BE"/>
        </w:rPr>
      </w:pPr>
      <w:r w:rsidRPr="004267B4">
        <w:rPr>
          <w:lang w:val="fr-BE"/>
        </w:rPr>
        <w:t>souligne que la double crise sanitaire et de l’inflation a aggravé l’exclusion sociale, le manque de sécurité et la vulnérabilité d’une classe moyenne constamment exposée au risque de tomber dans la pauvreté. Tout cela a entraîné des tensions sociales et un manque de confiance dans les institutions, tandis que d’importantes migrations internes à travers le continent ont engendré une crise humanitaire dans certains pays;</w:t>
      </w:r>
    </w:p>
    <w:p w14:paraId="1E8AFFDC" w14:textId="77777777" w:rsidR="004964ED" w:rsidRPr="004267B4" w:rsidRDefault="004964ED" w:rsidP="00191D08">
      <w:pPr>
        <w:pStyle w:val="ListParagraph"/>
        <w:numPr>
          <w:ilvl w:val="0"/>
          <w:numId w:val="44"/>
        </w:numPr>
        <w:ind w:left="357" w:hanging="357"/>
        <w:rPr>
          <w:lang w:val="fr-BE"/>
        </w:rPr>
      </w:pPr>
      <w:r w:rsidRPr="004267B4">
        <w:rPr>
          <w:lang w:val="fr-BE"/>
        </w:rPr>
        <w:t>estime que l’Amérique latine a besoin d’un nouveau contrat social entre groupes socio-économiques, entre régions et entre générations. Il est essentiel de renforcer la responsabilité politique, de garantir l’inclusion et la protection, de créer des emplois de qualité et de favoriser la transition écologique et numérique. Des systèmes de protection sociale efficaces et un modèle plus durable de financement du développement doivent être créés, avec des dépenses publiques viables sur le plan budgétaire et un système plus efficace de perception de l’impôt, en assignant un rôle particulier à la fiscalité verte;</w:t>
      </w:r>
    </w:p>
    <w:p w14:paraId="55865C8F" w14:textId="77777777" w:rsidR="004964ED" w:rsidRPr="004267B4" w:rsidRDefault="004964ED" w:rsidP="00191D08">
      <w:pPr>
        <w:pStyle w:val="ListParagraph"/>
        <w:numPr>
          <w:ilvl w:val="0"/>
          <w:numId w:val="44"/>
        </w:numPr>
        <w:ind w:left="357" w:hanging="357"/>
        <w:rPr>
          <w:lang w:val="fr-BE"/>
        </w:rPr>
      </w:pPr>
      <w:r w:rsidRPr="004267B4">
        <w:rPr>
          <w:lang w:val="fr-BE"/>
        </w:rPr>
        <w:t>rappelle que tout cela nécessite une forte participation des citoyens et une véritable autonomisation des jeunes et des femmes. Il est indispensable de promouvoir un modèle de dialogue social institutionnalisé, comme celui qui existe déjà en Europe, et de consolider la coopération existante avec le Comité économique et social européen et l’Association internationale des conseils économiques et sociaux et institutions similaires;</w:t>
      </w:r>
    </w:p>
    <w:p w14:paraId="1E99B849" w14:textId="77777777" w:rsidR="004964ED" w:rsidRPr="004267B4" w:rsidRDefault="004964ED" w:rsidP="00191D08">
      <w:pPr>
        <w:pStyle w:val="ListParagraph"/>
        <w:numPr>
          <w:ilvl w:val="0"/>
          <w:numId w:val="44"/>
        </w:numPr>
        <w:ind w:left="357" w:hanging="357"/>
        <w:rPr>
          <w:lang w:val="fr-BE"/>
        </w:rPr>
      </w:pPr>
      <w:r w:rsidRPr="004267B4">
        <w:rPr>
          <w:lang w:val="fr-BE"/>
        </w:rPr>
        <w:t>estime que les initiatives de coopération internationale sont essentielles pour la relance post-COVID de l’Amérique latine, comme dans le domaine de l’allégement et de la restructuration de la dette, et surtout une approche allant au-delà de l’ancien paradigme nord-sud, en adoptant de nouvelles formes de partenariat multi-acteurs et à plusieurs niveaux;</w:t>
      </w:r>
    </w:p>
    <w:p w14:paraId="0A3F964C" w14:textId="77777777" w:rsidR="004964ED" w:rsidRPr="004267B4" w:rsidRDefault="004964ED" w:rsidP="00191D08">
      <w:pPr>
        <w:pStyle w:val="ListParagraph"/>
        <w:numPr>
          <w:ilvl w:val="0"/>
          <w:numId w:val="44"/>
        </w:numPr>
        <w:ind w:left="357" w:hanging="357"/>
        <w:rPr>
          <w:lang w:val="fr-BE"/>
        </w:rPr>
      </w:pPr>
      <w:r w:rsidRPr="004267B4">
        <w:rPr>
          <w:lang w:val="fr-BE"/>
        </w:rPr>
        <w:t>note qu’après avoir apporté de l’aide via l’initiative COVAX, l’UE utilise désormais dans ses politiques à l’égard de l’Amérique latine tout un ensemble d’instruments, tels que l’instrument de voisinage, de coopération au développement et de coopération internationale (IVCDCI), le programme EUROCLIMA+, la stratégie «Global Gateway» et la boussole stratégique;</w:t>
      </w:r>
    </w:p>
    <w:p w14:paraId="4475A9EA" w14:textId="77777777" w:rsidR="004964ED" w:rsidRPr="004267B4" w:rsidRDefault="004964ED" w:rsidP="00191D08">
      <w:pPr>
        <w:pStyle w:val="ListParagraph"/>
        <w:numPr>
          <w:ilvl w:val="0"/>
          <w:numId w:val="44"/>
        </w:numPr>
        <w:ind w:left="357" w:hanging="357"/>
        <w:rPr>
          <w:lang w:val="fr-BE"/>
        </w:rPr>
      </w:pPr>
      <w:r w:rsidRPr="004267B4">
        <w:rPr>
          <w:lang w:val="fr-BE"/>
        </w:rPr>
        <w:t xml:space="preserve">estime que l’accent devrait être mis sur la transition écologique — l’Amérique latine étant l’une des régions du monde les plus touchées par le changement climatique — et la transition numérique — </w:t>
      </w:r>
      <w:r w:rsidRPr="004267B4">
        <w:rPr>
          <w:lang w:val="fr-BE"/>
        </w:rPr>
        <w:lastRenderedPageBreak/>
        <w:t>qui présente un potentiel de développement très élevé —, ainsi que sur un développement durable et inclusif: les pays d’Amérique latine devraient respecter les principes de démocratie, de droits de l’homme et de droits des travailleurs consacrés par les conventions de l’OIT, d’où l’importance des groupes consultatifs internes (GCI) dans le suivi des accords de libre-échange, y compris celui avec le Mercosur, dont la ratification est nécessaire pour asseoir le partenariat de l’Union européenne avec l’Amérique latine;</w:t>
      </w:r>
    </w:p>
    <w:p w14:paraId="71045AB5" w14:textId="77777777" w:rsidR="004964ED" w:rsidRPr="004267B4" w:rsidRDefault="004964ED" w:rsidP="00191D08">
      <w:pPr>
        <w:pStyle w:val="ListParagraph"/>
        <w:numPr>
          <w:ilvl w:val="0"/>
          <w:numId w:val="44"/>
        </w:numPr>
        <w:ind w:left="357" w:hanging="357"/>
        <w:rPr>
          <w:lang w:val="fr-BE"/>
        </w:rPr>
      </w:pPr>
      <w:r w:rsidRPr="004267B4">
        <w:rPr>
          <w:lang w:val="fr-BE"/>
        </w:rPr>
        <w:t>estime que l’Europe et l’Amérique latine peuvent être des partenaires dans le cadre d’une alliance pour la démocratie, la durabilité, la justice sociale et le multilatéralisme, afin de soutenir une reprise qui associe la société civile, d’attirer des investissements compatibles avec les objectifs de développement durable (ODD) et de promouvoir un partenariat commercial qui se distingue de celui avec d’autres partenaires, par sa qualité et sa durabilité à long terme, par opposition à d’autres modèles de relations internationales prédateurs et irresponsables.</w:t>
      </w:r>
    </w:p>
    <w:p w14:paraId="4F18D6C0" w14:textId="77777777" w:rsidR="004964ED" w:rsidRPr="004267B4" w:rsidRDefault="004964ED" w:rsidP="004964ED">
      <w:pPr>
        <w:widowControl w:val="0"/>
        <w:ind w:left="709"/>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964ED" w:rsidRPr="004267B4" w14:paraId="0FFA3442" w14:textId="77777777" w:rsidTr="0059328F">
        <w:tc>
          <w:tcPr>
            <w:tcW w:w="1418" w:type="dxa"/>
          </w:tcPr>
          <w:p w14:paraId="06F36D7A" w14:textId="77777777" w:rsidR="004964ED" w:rsidRPr="004267B4" w:rsidRDefault="004964ED" w:rsidP="0059328F">
            <w:pPr>
              <w:spacing w:line="240" w:lineRule="auto"/>
              <w:rPr>
                <w:i/>
                <w:lang w:val="fr-BE"/>
              </w:rPr>
            </w:pPr>
            <w:r w:rsidRPr="004267B4">
              <w:rPr>
                <w:b/>
                <w:i/>
                <w:lang w:val="fr-BE"/>
              </w:rPr>
              <w:t>Contact</w:t>
            </w:r>
          </w:p>
        </w:tc>
        <w:tc>
          <w:tcPr>
            <w:tcW w:w="5670" w:type="dxa"/>
          </w:tcPr>
          <w:p w14:paraId="43BBA01C" w14:textId="77777777" w:rsidR="004964ED" w:rsidRPr="004267B4" w:rsidRDefault="004964ED" w:rsidP="0059328F">
            <w:pPr>
              <w:spacing w:line="240" w:lineRule="auto"/>
              <w:rPr>
                <w:i/>
                <w:lang w:val="fr-BE"/>
              </w:rPr>
            </w:pPr>
            <w:r w:rsidRPr="004267B4">
              <w:rPr>
                <w:i/>
                <w:lang w:val="fr-BE"/>
              </w:rPr>
              <w:t>Ewa Tomaszewska</w:t>
            </w:r>
          </w:p>
        </w:tc>
      </w:tr>
      <w:tr w:rsidR="004964ED" w:rsidRPr="004267B4" w14:paraId="6DB5E5F6" w14:textId="77777777" w:rsidTr="0059328F">
        <w:tc>
          <w:tcPr>
            <w:tcW w:w="1418" w:type="dxa"/>
          </w:tcPr>
          <w:p w14:paraId="0CB3728A" w14:textId="77777777" w:rsidR="004964ED" w:rsidRPr="004267B4" w:rsidRDefault="004964ED" w:rsidP="0059328F">
            <w:pPr>
              <w:spacing w:line="240" w:lineRule="auto"/>
              <w:rPr>
                <w:i/>
                <w:lang w:val="fr-BE"/>
              </w:rPr>
            </w:pPr>
            <w:r w:rsidRPr="004267B4">
              <w:rPr>
                <w:i/>
                <w:lang w:val="fr-BE"/>
              </w:rPr>
              <w:t>Tél.</w:t>
            </w:r>
          </w:p>
        </w:tc>
        <w:tc>
          <w:tcPr>
            <w:tcW w:w="5670" w:type="dxa"/>
          </w:tcPr>
          <w:p w14:paraId="5B3DD233" w14:textId="77777777" w:rsidR="004964ED" w:rsidRPr="004267B4" w:rsidRDefault="004964ED" w:rsidP="0059328F">
            <w:pPr>
              <w:spacing w:line="240" w:lineRule="auto"/>
              <w:rPr>
                <w:i/>
                <w:lang w:val="fr-BE"/>
              </w:rPr>
            </w:pPr>
            <w:r w:rsidRPr="004267B4">
              <w:rPr>
                <w:i/>
                <w:lang w:val="fr-BE"/>
              </w:rPr>
              <w:t>+32 2 546 97 24</w:t>
            </w:r>
          </w:p>
        </w:tc>
      </w:tr>
      <w:tr w:rsidR="004964ED" w:rsidRPr="004267B4" w14:paraId="2380357A" w14:textId="77777777" w:rsidTr="0059328F">
        <w:tc>
          <w:tcPr>
            <w:tcW w:w="1418" w:type="dxa"/>
          </w:tcPr>
          <w:p w14:paraId="7643FCBC" w14:textId="77777777" w:rsidR="004964ED" w:rsidRPr="004267B4" w:rsidRDefault="004964ED" w:rsidP="0059328F">
            <w:pPr>
              <w:spacing w:line="240" w:lineRule="auto"/>
              <w:rPr>
                <w:i/>
                <w:lang w:val="fr-BE"/>
              </w:rPr>
            </w:pPr>
            <w:r w:rsidRPr="004267B4">
              <w:rPr>
                <w:i/>
                <w:lang w:val="fr-BE"/>
              </w:rPr>
              <w:t>Courriel</w:t>
            </w:r>
          </w:p>
        </w:tc>
        <w:tc>
          <w:tcPr>
            <w:tcW w:w="5670" w:type="dxa"/>
          </w:tcPr>
          <w:p w14:paraId="2943A791" w14:textId="77777777" w:rsidR="004964ED" w:rsidRPr="004267B4" w:rsidRDefault="004466E9" w:rsidP="0059328F">
            <w:pPr>
              <w:spacing w:line="240" w:lineRule="auto"/>
              <w:rPr>
                <w:rStyle w:val="Hyperlink"/>
                <w:i/>
                <w:lang w:val="fr-BE"/>
              </w:rPr>
            </w:pPr>
            <w:hyperlink r:id="rId55" w:history="1">
              <w:r w:rsidR="004964ED" w:rsidRPr="004267B4">
                <w:rPr>
                  <w:rStyle w:val="Hyperlink"/>
                  <w:i/>
                  <w:lang w:val="fr-BE"/>
                </w:rPr>
                <w:t>Ewa.Tomaszewska@eesc.europa.eu</w:t>
              </w:r>
            </w:hyperlink>
          </w:p>
        </w:tc>
      </w:tr>
    </w:tbl>
    <w:p w14:paraId="2044F7F6" w14:textId="5A49C044" w:rsidR="00EE1E04" w:rsidRPr="004267B4" w:rsidRDefault="00467BE4" w:rsidP="00DA2729">
      <w:pPr>
        <w:spacing w:line="259" w:lineRule="auto"/>
        <w:jc w:val="left"/>
        <w:rPr>
          <w:lang w:val="fr-BE"/>
        </w:rPr>
      </w:pPr>
      <w:r w:rsidRPr="004267B4">
        <w:rPr>
          <w:lang w:val="fr-BE"/>
        </w:rPr>
        <w:br w:type="page"/>
      </w:r>
    </w:p>
    <w:p w14:paraId="09A83A57" w14:textId="77777777" w:rsidR="00EE1E04" w:rsidRPr="004267B4" w:rsidRDefault="00EE1E04" w:rsidP="00CB3335">
      <w:pPr>
        <w:rPr>
          <w:lang w:val="fr-BE"/>
        </w:rPr>
      </w:pPr>
    </w:p>
    <w:p w14:paraId="4A27BE14" w14:textId="57107498" w:rsidR="006E3F60" w:rsidRPr="004267B4" w:rsidRDefault="00745EAA" w:rsidP="00B339AC">
      <w:pPr>
        <w:pStyle w:val="Heading1"/>
        <w:keepNext/>
        <w:rPr>
          <w:b/>
          <w:lang w:val="fr-BE"/>
        </w:rPr>
      </w:pPr>
      <w:bookmarkStart w:id="56" w:name="_Toc124863730"/>
      <w:bookmarkStart w:id="57" w:name="_GoBack"/>
      <w:bookmarkEnd w:id="57"/>
      <w:r w:rsidRPr="004267B4">
        <w:rPr>
          <w:b/>
          <w:lang w:val="fr-BE"/>
        </w:rPr>
        <w:t>COMMISSION CONSULTATIVE DES MUTATIONS INDUSTRIELLES</w:t>
      </w:r>
      <w:bookmarkEnd w:id="56"/>
    </w:p>
    <w:p w14:paraId="78C15869" w14:textId="50F27F2F" w:rsidR="000E41AE" w:rsidRPr="004267B4" w:rsidRDefault="000E41AE" w:rsidP="0055030C">
      <w:pPr>
        <w:widowControl w:val="0"/>
        <w:jc w:val="left"/>
        <w:rPr>
          <w:bCs/>
          <w:iCs/>
          <w:lang w:val="fr-BE"/>
        </w:rPr>
      </w:pPr>
    </w:p>
    <w:p w14:paraId="2C69A763" w14:textId="6AB3A9BB" w:rsidR="000E41AE" w:rsidRPr="004267B4" w:rsidRDefault="004466E9" w:rsidP="00FF013B">
      <w:pPr>
        <w:widowControl w:val="0"/>
        <w:numPr>
          <w:ilvl w:val="0"/>
          <w:numId w:val="4"/>
        </w:numPr>
        <w:overflowPunct w:val="0"/>
        <w:autoSpaceDE w:val="0"/>
        <w:autoSpaceDN w:val="0"/>
        <w:adjustRightInd w:val="0"/>
        <w:ind w:hanging="567"/>
        <w:textAlignment w:val="baseline"/>
        <w:rPr>
          <w:sz w:val="20"/>
          <w:lang w:val="fr-BE"/>
        </w:rPr>
      </w:pPr>
      <w:hyperlink r:id="rId56" w:history="1">
        <w:r w:rsidR="000E41AE" w:rsidRPr="004267B4">
          <w:rPr>
            <w:b/>
            <w:i/>
            <w:sz w:val="28"/>
            <w:lang w:val="fr-BE"/>
          </w:rPr>
          <w:t>Stratégie industrielle maritime</w:t>
        </w:r>
      </w:hyperlink>
    </w:p>
    <w:p w14:paraId="6C474286" w14:textId="77777777" w:rsidR="000E41AE" w:rsidRPr="004267B4" w:rsidRDefault="000E41AE" w:rsidP="000E41AE">
      <w:pPr>
        <w:tabs>
          <w:tab w:val="center" w:pos="284"/>
        </w:tabs>
        <w:ind w:left="266" w:hanging="266"/>
        <w:rPr>
          <w:b/>
          <w:lang w:val="fr-B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63"/>
      </w:tblGrid>
      <w:tr w:rsidR="000E41AE" w:rsidRPr="004267B4" w14:paraId="05BD2FAC" w14:textId="77777777" w:rsidTr="00074BCE">
        <w:tc>
          <w:tcPr>
            <w:tcW w:w="1701" w:type="dxa"/>
          </w:tcPr>
          <w:p w14:paraId="04D00C6A" w14:textId="77777777" w:rsidR="000E41AE" w:rsidRPr="004267B4" w:rsidRDefault="000E41AE" w:rsidP="0059328F">
            <w:pPr>
              <w:tabs>
                <w:tab w:val="center" w:pos="284"/>
              </w:tabs>
              <w:ind w:left="266" w:hanging="266"/>
              <w:rPr>
                <w:b/>
                <w:lang w:val="fr-BE"/>
              </w:rPr>
            </w:pPr>
            <w:r w:rsidRPr="004267B4">
              <w:rPr>
                <w:b/>
                <w:lang w:val="fr-BE"/>
              </w:rPr>
              <w:t>Rapporteur</w:t>
            </w:r>
          </w:p>
        </w:tc>
        <w:tc>
          <w:tcPr>
            <w:tcW w:w="7763" w:type="dxa"/>
          </w:tcPr>
          <w:p w14:paraId="3C78EA31" w14:textId="4A1BE413" w:rsidR="000E41AE" w:rsidRPr="0055030C" w:rsidRDefault="000E41AE" w:rsidP="0055030C">
            <w:pPr>
              <w:rPr>
                <w:bCs/>
                <w:lang w:val="fr-BE"/>
              </w:rPr>
            </w:pPr>
            <w:r w:rsidRPr="0055030C">
              <w:rPr>
                <w:bCs/>
                <w:lang w:val="fr-BE"/>
              </w:rPr>
              <w:t>Anastasis YIAPANIS (</w:t>
            </w:r>
            <w:r w:rsidR="00F13412">
              <w:rPr>
                <w:bCs/>
              </w:rPr>
              <w:t xml:space="preserve">groupe </w:t>
            </w:r>
            <w:r w:rsidR="0055030C" w:rsidRPr="0055030C">
              <w:rPr>
                <w:bCs/>
              </w:rPr>
              <w:t>des organisations de la société civile — CY</w:t>
            </w:r>
            <w:r w:rsidRPr="0055030C">
              <w:rPr>
                <w:bCs/>
                <w:lang w:val="fr-BE"/>
              </w:rPr>
              <w:t>)</w:t>
            </w:r>
          </w:p>
        </w:tc>
      </w:tr>
      <w:tr w:rsidR="000E41AE" w:rsidRPr="004267B4" w14:paraId="5496C30E" w14:textId="77777777" w:rsidTr="00074BCE">
        <w:tc>
          <w:tcPr>
            <w:tcW w:w="1701" w:type="dxa"/>
          </w:tcPr>
          <w:p w14:paraId="45DA931B" w14:textId="77777777" w:rsidR="000E41AE" w:rsidRPr="004267B4" w:rsidRDefault="000E41AE" w:rsidP="0059328F">
            <w:pPr>
              <w:tabs>
                <w:tab w:val="center" w:pos="284"/>
              </w:tabs>
              <w:ind w:left="266" w:hanging="266"/>
              <w:rPr>
                <w:b/>
                <w:lang w:val="fr-BE"/>
              </w:rPr>
            </w:pPr>
            <w:r w:rsidRPr="004267B4">
              <w:rPr>
                <w:b/>
                <w:lang w:val="fr-BE"/>
              </w:rPr>
              <w:t>Corapporteur</w:t>
            </w:r>
          </w:p>
        </w:tc>
        <w:tc>
          <w:tcPr>
            <w:tcW w:w="7763" w:type="dxa"/>
          </w:tcPr>
          <w:p w14:paraId="6D4A406F" w14:textId="35A11C7E" w:rsidR="000E41AE" w:rsidRPr="0055030C" w:rsidRDefault="000E41AE" w:rsidP="0055030C">
            <w:pPr>
              <w:rPr>
                <w:bCs/>
                <w:lang w:val="fr-BE"/>
              </w:rPr>
            </w:pPr>
            <w:r w:rsidRPr="0055030C">
              <w:rPr>
                <w:bCs/>
                <w:lang w:val="fr-BE"/>
              </w:rPr>
              <w:t>Christophe TYTGAT (</w:t>
            </w:r>
            <w:r w:rsidR="0055030C" w:rsidRPr="0055030C">
              <w:rPr>
                <w:bCs/>
              </w:rPr>
              <w:t>Cat.1 – BE</w:t>
            </w:r>
            <w:r w:rsidRPr="0055030C">
              <w:rPr>
                <w:bCs/>
                <w:lang w:val="fr-BE"/>
              </w:rPr>
              <w:t>)</w:t>
            </w:r>
          </w:p>
        </w:tc>
      </w:tr>
      <w:tr w:rsidR="000E41AE" w:rsidRPr="004267B4" w14:paraId="5FC039A9" w14:textId="77777777" w:rsidTr="00074BCE">
        <w:tc>
          <w:tcPr>
            <w:tcW w:w="9464" w:type="dxa"/>
            <w:gridSpan w:val="2"/>
          </w:tcPr>
          <w:p w14:paraId="36C5DD1C" w14:textId="77777777" w:rsidR="000E41AE" w:rsidRPr="004267B4" w:rsidRDefault="000E41AE" w:rsidP="0059328F">
            <w:pPr>
              <w:tabs>
                <w:tab w:val="center" w:pos="284"/>
              </w:tabs>
              <w:spacing w:line="160" w:lineRule="exact"/>
              <w:ind w:left="266" w:hanging="266"/>
              <w:rPr>
                <w:lang w:val="fr-BE"/>
              </w:rPr>
            </w:pPr>
          </w:p>
        </w:tc>
      </w:tr>
      <w:tr w:rsidR="000E41AE" w:rsidRPr="004267B4" w14:paraId="7903E2A5" w14:textId="77777777" w:rsidTr="00074BCE">
        <w:tc>
          <w:tcPr>
            <w:tcW w:w="1701" w:type="dxa"/>
          </w:tcPr>
          <w:p w14:paraId="6C70F4F7" w14:textId="77777777" w:rsidR="000E41AE" w:rsidRPr="004267B4" w:rsidRDefault="000E41AE" w:rsidP="0059328F">
            <w:pPr>
              <w:tabs>
                <w:tab w:val="center" w:pos="284"/>
              </w:tabs>
              <w:ind w:left="266" w:hanging="266"/>
              <w:rPr>
                <w:b/>
                <w:lang w:val="fr-BE"/>
              </w:rPr>
            </w:pPr>
            <w:r w:rsidRPr="004267B4">
              <w:rPr>
                <w:b/>
                <w:lang w:val="fr-BE"/>
              </w:rPr>
              <w:t>Référence</w:t>
            </w:r>
          </w:p>
        </w:tc>
        <w:tc>
          <w:tcPr>
            <w:tcW w:w="7763" w:type="dxa"/>
          </w:tcPr>
          <w:p w14:paraId="44728923" w14:textId="77777777" w:rsidR="000E41AE" w:rsidRPr="004267B4" w:rsidRDefault="000E41AE" w:rsidP="0059328F">
            <w:pPr>
              <w:tabs>
                <w:tab w:val="center" w:pos="284"/>
              </w:tabs>
              <w:ind w:left="266" w:hanging="266"/>
              <w:rPr>
                <w:lang w:val="fr-BE"/>
              </w:rPr>
            </w:pPr>
            <w:r w:rsidRPr="004267B4">
              <w:rPr>
                <w:lang w:val="fr-BE"/>
              </w:rPr>
              <w:t>CCMI/193 – EESC-2022-03568-00-00-AC</w:t>
            </w:r>
          </w:p>
        </w:tc>
      </w:tr>
    </w:tbl>
    <w:p w14:paraId="251AD977" w14:textId="77777777" w:rsidR="000E41AE" w:rsidRPr="004267B4" w:rsidRDefault="000E41AE" w:rsidP="000E41AE">
      <w:pPr>
        <w:tabs>
          <w:tab w:val="center" w:pos="284"/>
        </w:tabs>
        <w:ind w:left="266" w:hanging="266"/>
        <w:rPr>
          <w:lang w:val="fr-BE"/>
        </w:rPr>
      </w:pPr>
    </w:p>
    <w:p w14:paraId="12157816" w14:textId="77777777" w:rsidR="000E41AE" w:rsidRPr="004267B4" w:rsidRDefault="000E41AE" w:rsidP="000E41AE">
      <w:pPr>
        <w:keepNext/>
        <w:keepLines/>
        <w:tabs>
          <w:tab w:val="center" w:pos="284"/>
        </w:tabs>
        <w:ind w:left="266" w:hanging="266"/>
        <w:rPr>
          <w:b/>
          <w:lang w:val="fr-BE"/>
        </w:rPr>
      </w:pPr>
      <w:r w:rsidRPr="004267B4">
        <w:rPr>
          <w:b/>
          <w:lang w:val="fr-BE"/>
        </w:rPr>
        <w:t>Points clés</w:t>
      </w:r>
    </w:p>
    <w:p w14:paraId="5CAC8CE7" w14:textId="77777777" w:rsidR="000E41AE" w:rsidRPr="004267B4" w:rsidRDefault="000E41AE" w:rsidP="000E41AE">
      <w:pPr>
        <w:keepNext/>
        <w:keepLines/>
        <w:tabs>
          <w:tab w:val="center" w:pos="284"/>
        </w:tabs>
        <w:ind w:left="266" w:hanging="266"/>
        <w:rPr>
          <w:b/>
          <w:lang w:val="fr-BE"/>
        </w:rPr>
      </w:pPr>
    </w:p>
    <w:p w14:paraId="62A65A80" w14:textId="77777777" w:rsidR="000E41AE" w:rsidRPr="004267B4" w:rsidRDefault="000E41AE" w:rsidP="0055030C">
      <w:pPr>
        <w:keepNext/>
        <w:rPr>
          <w:bCs/>
          <w:iCs/>
          <w:lang w:val="fr-BE"/>
        </w:rPr>
      </w:pPr>
      <w:r w:rsidRPr="004267B4">
        <w:rPr>
          <w:lang w:val="fr-BE"/>
        </w:rPr>
        <w:t>Le CESE:</w:t>
      </w:r>
    </w:p>
    <w:p w14:paraId="22EABF83" w14:textId="77777777" w:rsidR="000E41AE" w:rsidRPr="004267B4" w:rsidRDefault="000E41AE" w:rsidP="0055030C">
      <w:pPr>
        <w:keepNext/>
        <w:rPr>
          <w:lang w:val="fr-BE"/>
        </w:rPr>
      </w:pPr>
    </w:p>
    <w:p w14:paraId="22C1C45B" w14:textId="77777777" w:rsidR="000E41AE" w:rsidRPr="004267B4" w:rsidRDefault="000E41AE" w:rsidP="00A46CA4">
      <w:pPr>
        <w:pStyle w:val="ListParagraph"/>
        <w:numPr>
          <w:ilvl w:val="0"/>
          <w:numId w:val="45"/>
        </w:numPr>
        <w:spacing w:line="276" w:lineRule="auto"/>
        <w:ind w:left="357" w:hanging="357"/>
        <w:rPr>
          <w:lang w:val="fr-BE"/>
        </w:rPr>
      </w:pPr>
      <w:r w:rsidRPr="004267B4">
        <w:rPr>
          <w:lang w:val="fr-BE"/>
        </w:rPr>
        <w:t>se déclare préoccupé par l’avenir du secteur des technologies maritimes en Europe qui est confronté à une concurrence déloyale, notamment en provenance d’Asie;</w:t>
      </w:r>
    </w:p>
    <w:p w14:paraId="7E96A0A2" w14:textId="77777777" w:rsidR="000E41AE" w:rsidRPr="004267B4" w:rsidRDefault="000E41AE" w:rsidP="00A46CA4">
      <w:pPr>
        <w:pStyle w:val="ListParagraph"/>
        <w:numPr>
          <w:ilvl w:val="0"/>
          <w:numId w:val="45"/>
        </w:numPr>
        <w:spacing w:line="276" w:lineRule="auto"/>
        <w:ind w:left="357" w:hanging="357"/>
        <w:rPr>
          <w:lang w:val="fr-BE"/>
        </w:rPr>
      </w:pPr>
      <w:r w:rsidRPr="004267B4">
        <w:rPr>
          <w:lang w:val="fr-BE"/>
        </w:rPr>
        <w:t>demande que les technologies maritimes soient considérées, dans les meilleurs délais, comme un secteur stratégique de l’UE dont les activités sont des «infrastructures critiques», et préconise une stratégie en faveur de l’industrie maritime ainsi que des ressources suffisantes pour les services de la Commission européenne. Une stratégie maritime européenne pérenne se doit de tenir compte de la propriété des ports européens et d’autres infrastructures critiques connexes et de la reconsidérer;</w:t>
      </w:r>
    </w:p>
    <w:p w14:paraId="739D754A" w14:textId="77777777" w:rsidR="000E41AE" w:rsidRPr="004267B4" w:rsidRDefault="000E41AE" w:rsidP="00A46CA4">
      <w:pPr>
        <w:pStyle w:val="ListParagraph"/>
        <w:numPr>
          <w:ilvl w:val="0"/>
          <w:numId w:val="45"/>
        </w:numPr>
        <w:spacing w:line="276" w:lineRule="auto"/>
        <w:ind w:left="357" w:hanging="357"/>
        <w:rPr>
          <w:lang w:val="fr-BE"/>
        </w:rPr>
      </w:pPr>
      <w:r w:rsidRPr="004267B4">
        <w:rPr>
          <w:lang w:val="fr-BE"/>
        </w:rPr>
        <w:t>plaide en faveur de mesures urgentes pour stimuler la demande intérieure de navires écologiques et de haute technologie, grâce notamment à un programme européen de renouvellement des flottes et de modernisation des navires existants conformément aux objectifs du pacte vert pour l’Europe; préconise des investissements immédiats dans les infrastructures et les carburants alternatifs;</w:t>
      </w:r>
    </w:p>
    <w:p w14:paraId="7AA97D42" w14:textId="77777777" w:rsidR="000E41AE" w:rsidRPr="004267B4" w:rsidRDefault="000E41AE" w:rsidP="00A46CA4">
      <w:pPr>
        <w:pStyle w:val="ListParagraph"/>
        <w:numPr>
          <w:ilvl w:val="0"/>
          <w:numId w:val="45"/>
        </w:numPr>
        <w:spacing w:line="276" w:lineRule="auto"/>
        <w:ind w:left="357" w:hanging="357"/>
        <w:rPr>
          <w:lang w:val="fr-BE"/>
        </w:rPr>
      </w:pPr>
      <w:r w:rsidRPr="004267B4">
        <w:rPr>
          <w:lang w:val="fr-BE"/>
        </w:rPr>
        <w:t>demande que des clauses spécifiques dans les accords bilatéraux et de libre-échange garantissent le libre accès au marché pour les entreprises maritimes de l’UE, interdisent les obstacles au commerce, exigent la réciprocité et garantissent le devoir de diligence;</w:t>
      </w:r>
    </w:p>
    <w:p w14:paraId="53374409" w14:textId="77777777" w:rsidR="000E41AE" w:rsidRPr="004267B4" w:rsidRDefault="000E41AE" w:rsidP="00A46CA4">
      <w:pPr>
        <w:pStyle w:val="ListParagraph"/>
        <w:numPr>
          <w:ilvl w:val="0"/>
          <w:numId w:val="45"/>
        </w:numPr>
        <w:spacing w:line="276" w:lineRule="auto"/>
        <w:ind w:left="357" w:hanging="357"/>
        <w:rPr>
          <w:lang w:val="fr-BE"/>
        </w:rPr>
      </w:pPr>
      <w:r w:rsidRPr="004267B4">
        <w:rPr>
          <w:lang w:val="fr-BE"/>
        </w:rPr>
        <w:t>estime qu’il faut prévoir des mesures d’incitation, tant pour la relocalisation des installations de production dans l’UE, avec des technologies européennes, que pour le maintien des chaînes d’approvisionnement et de la production de sous-composants dans l’UE, afin de garantir un développement économique et social durable, de préserver la défense et l’autonomie maritime stratégique européenne et de sécuriser les emplois et les capacités critiques;</w:t>
      </w:r>
    </w:p>
    <w:p w14:paraId="0A39FF3D" w14:textId="77777777" w:rsidR="000E41AE" w:rsidRPr="004267B4" w:rsidRDefault="000E41AE" w:rsidP="00A46CA4">
      <w:pPr>
        <w:pStyle w:val="ListParagraph"/>
        <w:numPr>
          <w:ilvl w:val="0"/>
          <w:numId w:val="45"/>
        </w:numPr>
        <w:spacing w:line="276" w:lineRule="auto"/>
        <w:ind w:left="357" w:hanging="357"/>
        <w:rPr>
          <w:lang w:val="fr-BE"/>
        </w:rPr>
      </w:pPr>
      <w:r w:rsidRPr="004267B4">
        <w:rPr>
          <w:lang w:val="fr-BE"/>
        </w:rPr>
        <w:t>invite instamment la Commission et les États membres à mettre en œuvre des programmes de reconversion, de perfectionnement et de formation professionnels à grande échelle;</w:t>
      </w:r>
    </w:p>
    <w:p w14:paraId="6E018533" w14:textId="77777777" w:rsidR="000E41AE" w:rsidRPr="004267B4" w:rsidRDefault="000E41AE" w:rsidP="00A46CA4">
      <w:pPr>
        <w:pStyle w:val="ListParagraph"/>
        <w:numPr>
          <w:ilvl w:val="0"/>
          <w:numId w:val="45"/>
        </w:numPr>
        <w:spacing w:line="276" w:lineRule="auto"/>
        <w:ind w:left="357" w:hanging="357"/>
        <w:rPr>
          <w:lang w:val="fr-BE"/>
        </w:rPr>
      </w:pPr>
      <w:r w:rsidRPr="004267B4">
        <w:rPr>
          <w:lang w:val="fr-BE"/>
        </w:rPr>
        <w:t>se félicite de l’adoption du partenariat coprogrammé sur le transport par voie d’eau à émissions nulles. Pour parvenir à une décarbonation complète du secteur des technologies maritimes, il convient d’opérer une conversion complète aux carburants et aux technologies alternatifs;</w:t>
      </w:r>
    </w:p>
    <w:p w14:paraId="4B5FDEA7" w14:textId="0809AFF3" w:rsidR="000E41AE" w:rsidRPr="004267B4" w:rsidRDefault="000E41AE" w:rsidP="00A46CA4">
      <w:pPr>
        <w:pStyle w:val="ListParagraph"/>
        <w:numPr>
          <w:ilvl w:val="0"/>
          <w:numId w:val="45"/>
        </w:numPr>
        <w:spacing w:line="276" w:lineRule="auto"/>
        <w:ind w:left="357" w:hanging="357"/>
        <w:rPr>
          <w:lang w:val="fr-BE"/>
        </w:rPr>
      </w:pPr>
      <w:r w:rsidRPr="004267B4">
        <w:rPr>
          <w:lang w:val="fr-BE"/>
        </w:rPr>
        <w:t>estime qu’un «</w:t>
      </w:r>
      <w:r w:rsidR="00F13412">
        <w:rPr>
          <w:lang w:val="fr-BE"/>
        </w:rPr>
        <w:t xml:space="preserve">groupe </w:t>
      </w:r>
      <w:r w:rsidRPr="004267B4">
        <w:rPr>
          <w:lang w:val="fr-BE"/>
        </w:rPr>
        <w:t>d’experts maritimes» et une «alliance industrielle européenne pour le secteur des technologies maritimes» pourraient contribuer à améliorer et à rétablir la compétitivité mondiale du secteur des technologies maritimes.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0E41AE" w:rsidRPr="004267B4" w14:paraId="0A9E0BB2" w14:textId="77777777" w:rsidTr="0059328F">
        <w:tc>
          <w:tcPr>
            <w:tcW w:w="1418" w:type="dxa"/>
          </w:tcPr>
          <w:p w14:paraId="37ED8083" w14:textId="77777777" w:rsidR="000E41AE" w:rsidRPr="004267B4" w:rsidRDefault="000E41AE" w:rsidP="0059328F">
            <w:pPr>
              <w:keepNext/>
              <w:spacing w:line="240" w:lineRule="auto"/>
              <w:rPr>
                <w:i/>
                <w:lang w:val="fr-BE"/>
              </w:rPr>
            </w:pPr>
            <w:r w:rsidRPr="004267B4">
              <w:rPr>
                <w:b/>
                <w:i/>
                <w:lang w:val="fr-BE"/>
              </w:rPr>
              <w:t>Contact</w:t>
            </w:r>
          </w:p>
        </w:tc>
        <w:tc>
          <w:tcPr>
            <w:tcW w:w="5670" w:type="dxa"/>
          </w:tcPr>
          <w:p w14:paraId="2D68053F" w14:textId="14F74513" w:rsidR="000E41AE" w:rsidRPr="004267B4" w:rsidRDefault="000E41AE" w:rsidP="0059328F">
            <w:pPr>
              <w:keepNext/>
              <w:spacing w:line="240" w:lineRule="auto"/>
              <w:rPr>
                <w:i/>
                <w:lang w:val="fr-BE"/>
              </w:rPr>
            </w:pPr>
            <w:r w:rsidRPr="004267B4">
              <w:rPr>
                <w:lang w:val="fr-BE"/>
              </w:rPr>
              <w:t xml:space="preserve">Ioannis </w:t>
            </w:r>
            <w:r w:rsidR="004466E9" w:rsidRPr="004267B4">
              <w:rPr>
                <w:lang w:val="fr-BE"/>
              </w:rPr>
              <w:t>Diamantopoulos</w:t>
            </w:r>
          </w:p>
        </w:tc>
      </w:tr>
      <w:tr w:rsidR="000E41AE" w:rsidRPr="004267B4" w14:paraId="61700AEA" w14:textId="77777777" w:rsidTr="0059328F">
        <w:tc>
          <w:tcPr>
            <w:tcW w:w="1418" w:type="dxa"/>
          </w:tcPr>
          <w:p w14:paraId="6C335BEA" w14:textId="77777777" w:rsidR="000E41AE" w:rsidRPr="004267B4" w:rsidRDefault="000E41AE" w:rsidP="0059328F">
            <w:pPr>
              <w:keepNext/>
              <w:spacing w:line="240" w:lineRule="auto"/>
              <w:rPr>
                <w:i/>
                <w:lang w:val="fr-BE"/>
              </w:rPr>
            </w:pPr>
            <w:r w:rsidRPr="004267B4">
              <w:rPr>
                <w:i/>
                <w:lang w:val="fr-BE"/>
              </w:rPr>
              <w:t>Tél.</w:t>
            </w:r>
          </w:p>
        </w:tc>
        <w:tc>
          <w:tcPr>
            <w:tcW w:w="5670" w:type="dxa"/>
          </w:tcPr>
          <w:p w14:paraId="095A1F51" w14:textId="77777777" w:rsidR="000E41AE" w:rsidRPr="004267B4" w:rsidRDefault="000E41AE" w:rsidP="0059328F">
            <w:pPr>
              <w:keepNext/>
              <w:spacing w:line="240" w:lineRule="auto"/>
              <w:rPr>
                <w:i/>
                <w:lang w:val="fr-BE"/>
              </w:rPr>
            </w:pPr>
            <w:r w:rsidRPr="004267B4">
              <w:rPr>
                <w:i/>
                <w:lang w:val="fr-BE"/>
              </w:rPr>
              <w:t>+32 25469170</w:t>
            </w:r>
          </w:p>
        </w:tc>
      </w:tr>
      <w:tr w:rsidR="000E41AE" w:rsidRPr="004267B4" w14:paraId="6B608C8E" w14:textId="77777777" w:rsidTr="0059328F">
        <w:tc>
          <w:tcPr>
            <w:tcW w:w="1418" w:type="dxa"/>
          </w:tcPr>
          <w:p w14:paraId="225F9E75" w14:textId="77777777" w:rsidR="000E41AE" w:rsidRPr="004267B4" w:rsidRDefault="000E41AE" w:rsidP="0059328F">
            <w:pPr>
              <w:keepNext/>
              <w:spacing w:line="240" w:lineRule="auto"/>
              <w:rPr>
                <w:i/>
                <w:lang w:val="fr-BE"/>
              </w:rPr>
            </w:pPr>
            <w:r w:rsidRPr="004267B4">
              <w:rPr>
                <w:i/>
                <w:lang w:val="fr-BE"/>
              </w:rPr>
              <w:t>Courriel</w:t>
            </w:r>
          </w:p>
        </w:tc>
        <w:tc>
          <w:tcPr>
            <w:tcW w:w="5670" w:type="dxa"/>
          </w:tcPr>
          <w:p w14:paraId="494EB41D" w14:textId="77777777" w:rsidR="000E41AE" w:rsidRPr="004267B4" w:rsidRDefault="004466E9" w:rsidP="0059328F">
            <w:pPr>
              <w:keepNext/>
              <w:spacing w:line="240" w:lineRule="auto"/>
              <w:rPr>
                <w:i/>
                <w:lang w:val="fr-BE"/>
              </w:rPr>
            </w:pPr>
            <w:hyperlink r:id="rId57" w:history="1">
              <w:r w:rsidR="000E41AE" w:rsidRPr="004267B4">
                <w:rPr>
                  <w:rStyle w:val="Hyperlink"/>
                  <w:i/>
                  <w:lang w:val="fr-BE"/>
                </w:rPr>
                <w:t>Ioannis.Diamantopoulos@eesc.europa.eu</w:t>
              </w:r>
            </w:hyperlink>
          </w:p>
        </w:tc>
      </w:tr>
    </w:tbl>
    <w:p w14:paraId="52288089" w14:textId="536FE55E" w:rsidR="00835925" w:rsidRPr="004267B4" w:rsidRDefault="00835925" w:rsidP="00DA2729">
      <w:pPr>
        <w:spacing w:line="259" w:lineRule="auto"/>
        <w:jc w:val="left"/>
        <w:rPr>
          <w:lang w:val="fr-BE"/>
        </w:rPr>
      </w:pPr>
      <w:r w:rsidRPr="004267B4">
        <w:rPr>
          <w:lang w:val="fr-BE"/>
        </w:rPr>
        <w:br w:type="page"/>
      </w:r>
    </w:p>
    <w:p w14:paraId="06BF31C6" w14:textId="77777777" w:rsidR="009A3E0E" w:rsidRPr="004267B4" w:rsidRDefault="009A3E0E" w:rsidP="00120215">
      <w:pPr>
        <w:spacing w:line="259" w:lineRule="auto"/>
        <w:jc w:val="left"/>
        <w:rPr>
          <w:lang w:val="fr-BE"/>
        </w:rPr>
      </w:pPr>
    </w:p>
    <w:p w14:paraId="5FD29A3D" w14:textId="2BD889A0" w:rsidR="00371940" w:rsidRPr="004267B4" w:rsidRDefault="004466E9" w:rsidP="00FF013B">
      <w:pPr>
        <w:widowControl w:val="0"/>
        <w:numPr>
          <w:ilvl w:val="0"/>
          <w:numId w:val="4"/>
        </w:numPr>
        <w:overflowPunct w:val="0"/>
        <w:autoSpaceDE w:val="0"/>
        <w:autoSpaceDN w:val="0"/>
        <w:adjustRightInd w:val="0"/>
        <w:ind w:hanging="567"/>
        <w:textAlignment w:val="baseline"/>
        <w:rPr>
          <w:sz w:val="20"/>
          <w:lang w:val="fr-BE"/>
        </w:rPr>
      </w:pPr>
      <w:hyperlink r:id="rId58" w:history="1">
        <w:r w:rsidR="00371940" w:rsidRPr="004267B4">
          <w:rPr>
            <w:b/>
            <w:i/>
            <w:sz w:val="28"/>
            <w:lang w:val="fr-BE"/>
          </w:rPr>
          <w:t>Analyse des déficits d’investissement dans le domaine de la défense</w:t>
        </w:r>
      </w:hyperlink>
    </w:p>
    <w:p w14:paraId="2D740D4C" w14:textId="77777777" w:rsidR="00371940" w:rsidRPr="004267B4" w:rsidRDefault="00371940" w:rsidP="00371940">
      <w:pPr>
        <w:tabs>
          <w:tab w:val="center" w:pos="284"/>
        </w:tabs>
        <w:spacing w:line="240" w:lineRule="auto"/>
        <w:ind w:left="266" w:hanging="266"/>
        <w:rPr>
          <w:b/>
          <w:sz w:val="12"/>
          <w:szCs w:val="12"/>
          <w:lang w:val="fr-BE"/>
        </w:rPr>
      </w:pPr>
    </w:p>
    <w:tbl>
      <w:tblPr>
        <w:tblStyle w:val="TableGrid"/>
        <w:tblW w:w="9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7389"/>
      </w:tblGrid>
      <w:tr w:rsidR="00371940" w:rsidRPr="004267B4" w14:paraId="267F6AE2" w14:textId="77777777" w:rsidTr="00074BCE">
        <w:trPr>
          <w:trHeight w:val="658"/>
        </w:trPr>
        <w:tc>
          <w:tcPr>
            <w:tcW w:w="2333" w:type="dxa"/>
          </w:tcPr>
          <w:p w14:paraId="582EEF1B" w14:textId="77777777" w:rsidR="00371940" w:rsidRPr="004267B4" w:rsidRDefault="00371940" w:rsidP="0059328F">
            <w:pPr>
              <w:tabs>
                <w:tab w:val="center" w:pos="284"/>
              </w:tabs>
              <w:ind w:left="266" w:hanging="266"/>
              <w:rPr>
                <w:b/>
                <w:lang w:val="fr-BE"/>
              </w:rPr>
            </w:pPr>
            <w:r w:rsidRPr="004267B4">
              <w:rPr>
                <w:b/>
                <w:lang w:val="fr-BE"/>
              </w:rPr>
              <w:t>Rapporteur</w:t>
            </w:r>
          </w:p>
        </w:tc>
        <w:tc>
          <w:tcPr>
            <w:tcW w:w="7389" w:type="dxa"/>
          </w:tcPr>
          <w:p w14:paraId="1B97B820" w14:textId="29BC1F17" w:rsidR="00371940" w:rsidRPr="00074BCE" w:rsidRDefault="00371940" w:rsidP="0059328F">
            <w:pPr>
              <w:tabs>
                <w:tab w:val="center" w:pos="284"/>
              </w:tabs>
              <w:ind w:left="266" w:hanging="266"/>
              <w:rPr>
                <w:bCs/>
                <w:lang w:val="fr-BE"/>
              </w:rPr>
            </w:pPr>
            <w:r w:rsidRPr="00074BCE">
              <w:rPr>
                <w:bCs/>
                <w:lang w:val="fr-BE"/>
              </w:rPr>
              <w:t>Panagiotis GKOFAS (</w:t>
            </w:r>
            <w:r w:rsidR="00F13412">
              <w:rPr>
                <w:bCs/>
              </w:rPr>
              <w:t xml:space="preserve">groupe </w:t>
            </w:r>
            <w:r w:rsidR="007603C4" w:rsidRPr="00074BCE">
              <w:rPr>
                <w:bCs/>
              </w:rPr>
              <w:t xml:space="preserve">des organisations de la société civile — </w:t>
            </w:r>
            <w:r w:rsidRPr="00074BCE">
              <w:rPr>
                <w:bCs/>
                <w:lang w:val="fr-BE"/>
              </w:rPr>
              <w:t>EL)</w:t>
            </w:r>
          </w:p>
        </w:tc>
      </w:tr>
      <w:tr w:rsidR="00371940" w:rsidRPr="004267B4" w14:paraId="7BD6F4A3" w14:textId="77777777" w:rsidTr="00074BCE">
        <w:trPr>
          <w:trHeight w:val="343"/>
        </w:trPr>
        <w:tc>
          <w:tcPr>
            <w:tcW w:w="2333" w:type="dxa"/>
          </w:tcPr>
          <w:p w14:paraId="01342FFB" w14:textId="77777777" w:rsidR="00371940" w:rsidRPr="004267B4" w:rsidRDefault="00371940" w:rsidP="0059328F">
            <w:pPr>
              <w:tabs>
                <w:tab w:val="center" w:pos="284"/>
              </w:tabs>
              <w:ind w:left="266" w:hanging="266"/>
              <w:rPr>
                <w:b/>
                <w:lang w:val="fr-BE"/>
              </w:rPr>
            </w:pPr>
            <w:r w:rsidRPr="004267B4">
              <w:rPr>
                <w:b/>
                <w:lang w:val="fr-BE"/>
              </w:rPr>
              <w:t>Corapporteur</w:t>
            </w:r>
          </w:p>
        </w:tc>
        <w:tc>
          <w:tcPr>
            <w:tcW w:w="7389" w:type="dxa"/>
          </w:tcPr>
          <w:p w14:paraId="4A21556C" w14:textId="7BF89535" w:rsidR="00371940" w:rsidRPr="00074BCE" w:rsidRDefault="00371940" w:rsidP="0059328F">
            <w:pPr>
              <w:tabs>
                <w:tab w:val="center" w:pos="284"/>
              </w:tabs>
              <w:ind w:left="266" w:hanging="266"/>
              <w:rPr>
                <w:bCs/>
                <w:lang w:val="fr-BE"/>
              </w:rPr>
            </w:pPr>
            <w:r w:rsidRPr="00074BCE">
              <w:rPr>
                <w:bCs/>
                <w:lang w:val="fr-BE"/>
              </w:rPr>
              <w:t>Jan PIE (</w:t>
            </w:r>
            <w:r w:rsidR="007603C4" w:rsidRPr="00074BCE">
              <w:rPr>
                <w:bCs/>
              </w:rPr>
              <w:t>Cat 1 — SE</w:t>
            </w:r>
            <w:r w:rsidRPr="00074BCE">
              <w:rPr>
                <w:bCs/>
                <w:lang w:val="fr-BE"/>
              </w:rPr>
              <w:t>)</w:t>
            </w:r>
          </w:p>
        </w:tc>
      </w:tr>
      <w:tr w:rsidR="00371940" w:rsidRPr="004267B4" w14:paraId="7E0F7B96" w14:textId="77777777" w:rsidTr="00074BCE">
        <w:trPr>
          <w:trHeight w:val="151"/>
        </w:trPr>
        <w:tc>
          <w:tcPr>
            <w:tcW w:w="9722" w:type="dxa"/>
            <w:gridSpan w:val="2"/>
          </w:tcPr>
          <w:p w14:paraId="007405CF" w14:textId="77777777" w:rsidR="00371940" w:rsidRPr="004267B4" w:rsidRDefault="00371940" w:rsidP="0059328F">
            <w:pPr>
              <w:tabs>
                <w:tab w:val="center" w:pos="284"/>
              </w:tabs>
              <w:spacing w:line="240" w:lineRule="auto"/>
              <w:ind w:left="266" w:hanging="266"/>
              <w:rPr>
                <w:sz w:val="12"/>
                <w:szCs w:val="12"/>
                <w:lang w:val="fr-BE"/>
              </w:rPr>
            </w:pPr>
          </w:p>
        </w:tc>
      </w:tr>
      <w:tr w:rsidR="00371940" w:rsidRPr="004267B4" w14:paraId="1B50D9F2" w14:textId="77777777" w:rsidTr="00074BCE">
        <w:trPr>
          <w:trHeight w:val="273"/>
        </w:trPr>
        <w:tc>
          <w:tcPr>
            <w:tcW w:w="2333" w:type="dxa"/>
            <w:vMerge w:val="restart"/>
          </w:tcPr>
          <w:p w14:paraId="33051BD6" w14:textId="77777777" w:rsidR="00371940" w:rsidRPr="004267B4" w:rsidRDefault="00371940" w:rsidP="0059328F">
            <w:pPr>
              <w:tabs>
                <w:tab w:val="center" w:pos="284"/>
              </w:tabs>
              <w:spacing w:line="240" w:lineRule="auto"/>
              <w:ind w:left="266" w:hanging="266"/>
              <w:rPr>
                <w:b/>
                <w:lang w:val="fr-BE"/>
              </w:rPr>
            </w:pPr>
            <w:r w:rsidRPr="004267B4">
              <w:rPr>
                <w:b/>
                <w:lang w:val="fr-BE"/>
              </w:rPr>
              <w:t>Référence</w:t>
            </w:r>
          </w:p>
        </w:tc>
        <w:tc>
          <w:tcPr>
            <w:tcW w:w="7389" w:type="dxa"/>
          </w:tcPr>
          <w:p w14:paraId="6609A6CC" w14:textId="16AAAD4A" w:rsidR="00371940" w:rsidRPr="004267B4" w:rsidRDefault="00371940" w:rsidP="0059328F">
            <w:pPr>
              <w:tabs>
                <w:tab w:val="center" w:pos="284"/>
              </w:tabs>
              <w:spacing w:line="240" w:lineRule="auto"/>
              <w:ind w:left="266" w:hanging="266"/>
              <w:rPr>
                <w:lang w:val="fr-BE"/>
              </w:rPr>
            </w:pPr>
            <w:r w:rsidRPr="004267B4">
              <w:rPr>
                <w:lang w:val="fr-BE"/>
              </w:rPr>
              <w:t>CCMI/198 — EESC-2022-03560-00-00-A</w:t>
            </w:r>
            <w:r w:rsidR="007603C4">
              <w:rPr>
                <w:lang w:val="fr-BE"/>
              </w:rPr>
              <w:t>C</w:t>
            </w:r>
          </w:p>
        </w:tc>
      </w:tr>
      <w:tr w:rsidR="00371940" w:rsidRPr="004267B4" w14:paraId="17997BEE" w14:textId="77777777" w:rsidTr="00074BCE">
        <w:trPr>
          <w:trHeight w:val="151"/>
        </w:trPr>
        <w:tc>
          <w:tcPr>
            <w:tcW w:w="2333" w:type="dxa"/>
            <w:vMerge/>
          </w:tcPr>
          <w:p w14:paraId="07C5D9BB" w14:textId="77777777" w:rsidR="00371940" w:rsidRPr="004267B4" w:rsidRDefault="00371940" w:rsidP="0059328F">
            <w:pPr>
              <w:tabs>
                <w:tab w:val="center" w:pos="284"/>
              </w:tabs>
              <w:ind w:left="266" w:hanging="266"/>
              <w:rPr>
                <w:b/>
                <w:lang w:val="fr-BE"/>
              </w:rPr>
            </w:pPr>
          </w:p>
        </w:tc>
        <w:tc>
          <w:tcPr>
            <w:tcW w:w="7389" w:type="dxa"/>
          </w:tcPr>
          <w:p w14:paraId="4C3E92FB" w14:textId="77777777" w:rsidR="00371940" w:rsidRPr="004267B4" w:rsidRDefault="00371940" w:rsidP="0059328F">
            <w:pPr>
              <w:tabs>
                <w:tab w:val="center" w:pos="284"/>
              </w:tabs>
              <w:spacing w:line="240" w:lineRule="auto"/>
              <w:ind w:left="266" w:hanging="266"/>
              <w:rPr>
                <w:sz w:val="12"/>
                <w:szCs w:val="12"/>
                <w:lang w:val="fr-BE"/>
              </w:rPr>
            </w:pPr>
          </w:p>
        </w:tc>
      </w:tr>
    </w:tbl>
    <w:p w14:paraId="76341DA5" w14:textId="77777777" w:rsidR="00371940" w:rsidRPr="007603C4" w:rsidRDefault="00371940" w:rsidP="00371940">
      <w:pPr>
        <w:keepNext/>
        <w:keepLines/>
        <w:tabs>
          <w:tab w:val="center" w:pos="284"/>
        </w:tabs>
        <w:spacing w:line="240" w:lineRule="auto"/>
        <w:ind w:left="266" w:hanging="266"/>
        <w:rPr>
          <w:b/>
          <w:lang w:val="fr-BE"/>
        </w:rPr>
      </w:pPr>
    </w:p>
    <w:p w14:paraId="48622805" w14:textId="77777777" w:rsidR="00371940" w:rsidRPr="007603C4" w:rsidRDefault="00371940" w:rsidP="00371940">
      <w:pPr>
        <w:keepNext/>
        <w:keepLines/>
        <w:tabs>
          <w:tab w:val="center" w:pos="284"/>
        </w:tabs>
        <w:spacing w:line="240" w:lineRule="auto"/>
        <w:ind w:left="266" w:hanging="266"/>
        <w:rPr>
          <w:b/>
          <w:lang w:val="fr-BE"/>
        </w:rPr>
      </w:pPr>
      <w:r w:rsidRPr="007603C4">
        <w:rPr>
          <w:b/>
          <w:lang w:val="fr-BE"/>
        </w:rPr>
        <w:t>Points clés</w:t>
      </w:r>
    </w:p>
    <w:p w14:paraId="78A62300" w14:textId="77777777" w:rsidR="00371940" w:rsidRPr="007603C4" w:rsidRDefault="00371940" w:rsidP="007603C4">
      <w:pPr>
        <w:keepNext/>
        <w:keepLines/>
        <w:tabs>
          <w:tab w:val="center" w:pos="284"/>
        </w:tabs>
        <w:spacing w:line="240" w:lineRule="auto"/>
        <w:ind w:left="266" w:hanging="266"/>
        <w:rPr>
          <w:b/>
          <w:lang w:val="fr-BE"/>
        </w:rPr>
      </w:pPr>
    </w:p>
    <w:p w14:paraId="1899B961" w14:textId="77777777" w:rsidR="00371940" w:rsidRPr="004267B4" w:rsidRDefault="00371940" w:rsidP="007603C4">
      <w:pPr>
        <w:keepNext/>
        <w:spacing w:line="240" w:lineRule="auto"/>
        <w:rPr>
          <w:bCs/>
          <w:iCs/>
          <w:lang w:val="fr-BE"/>
        </w:rPr>
      </w:pPr>
      <w:r w:rsidRPr="004267B4">
        <w:rPr>
          <w:lang w:val="fr-BE"/>
        </w:rPr>
        <w:t>Le CESE:</w:t>
      </w:r>
    </w:p>
    <w:p w14:paraId="5C6973D0" w14:textId="77777777" w:rsidR="00371940" w:rsidRPr="007603C4" w:rsidRDefault="00371940" w:rsidP="007603C4">
      <w:pPr>
        <w:keepNext/>
        <w:spacing w:line="240" w:lineRule="auto"/>
        <w:rPr>
          <w:bCs/>
          <w:iCs/>
          <w:lang w:val="fr-BE"/>
        </w:rPr>
      </w:pPr>
    </w:p>
    <w:p w14:paraId="548CC788" w14:textId="77777777" w:rsidR="00371940" w:rsidRPr="004267B4" w:rsidRDefault="00371940" w:rsidP="00A46CA4">
      <w:pPr>
        <w:widowControl w:val="0"/>
        <w:numPr>
          <w:ilvl w:val="0"/>
          <w:numId w:val="46"/>
        </w:numPr>
        <w:overflowPunct w:val="0"/>
        <w:autoSpaceDE w:val="0"/>
        <w:autoSpaceDN w:val="0"/>
        <w:adjustRightInd w:val="0"/>
        <w:ind w:left="357" w:hanging="357"/>
        <w:textAlignment w:val="baseline"/>
        <w:rPr>
          <w:bCs/>
          <w:iCs/>
          <w:lang w:val="fr-BE"/>
        </w:rPr>
      </w:pPr>
      <w:r w:rsidRPr="004267B4">
        <w:rPr>
          <w:lang w:val="fr-BE"/>
        </w:rPr>
        <w:t xml:space="preserve"> appuie les initiatives que propose la communication conjointe sur l’analyse des déficits d’investissement dans le domaine de la défense et sur la voie à suivre, et partage l’évaluation qu’elle contient concernant les déficits dont souffre l’Union européenne en matière d’investissements de défense. Le texte représente une avancée importante pour stimuler, entre les États membres, cette coopération dans le domaine de la défense qui est indispensable pour réduire les doubles emplois, fort coûteux, en matière de capacités militaires, éviter que le marché européen de ce secteur ne soit morcelé et accroître de manière générale la sécurité de l’Europe; </w:t>
      </w:r>
    </w:p>
    <w:p w14:paraId="37CF857F" w14:textId="77777777" w:rsidR="00371940" w:rsidRPr="004267B4" w:rsidRDefault="00371940" w:rsidP="00A46CA4">
      <w:pPr>
        <w:widowControl w:val="0"/>
        <w:numPr>
          <w:ilvl w:val="0"/>
          <w:numId w:val="46"/>
        </w:numPr>
        <w:overflowPunct w:val="0"/>
        <w:autoSpaceDE w:val="0"/>
        <w:autoSpaceDN w:val="0"/>
        <w:adjustRightInd w:val="0"/>
        <w:ind w:left="357" w:hanging="357"/>
        <w:textAlignment w:val="baseline"/>
        <w:rPr>
          <w:bCs/>
          <w:iCs/>
          <w:lang w:val="fr-BE"/>
        </w:rPr>
      </w:pPr>
      <w:r w:rsidRPr="004267B4">
        <w:rPr>
          <w:lang w:val="fr-BE"/>
        </w:rPr>
        <w:t xml:space="preserve">se félicite que plusieurs États membres aient annoncé leur intention d’augmenter leurs budgets de défense, et les exhorte à tenir leur engagement d’investir non seulement davantage mais mieux et de façon coordonnée. Cette coordination renforcée à l’échelle européenne devrait également être considérée comme un moyen de consolider les capacités globales de l’OTAN; </w:t>
      </w:r>
    </w:p>
    <w:p w14:paraId="2F4131DA" w14:textId="77777777" w:rsidR="00371940" w:rsidRPr="004267B4" w:rsidRDefault="00371940" w:rsidP="00A46CA4">
      <w:pPr>
        <w:widowControl w:val="0"/>
        <w:numPr>
          <w:ilvl w:val="0"/>
          <w:numId w:val="46"/>
        </w:numPr>
        <w:overflowPunct w:val="0"/>
        <w:autoSpaceDE w:val="0"/>
        <w:autoSpaceDN w:val="0"/>
        <w:adjustRightInd w:val="0"/>
        <w:ind w:left="357" w:hanging="357"/>
        <w:textAlignment w:val="baseline"/>
        <w:rPr>
          <w:bCs/>
          <w:iCs/>
          <w:lang w:val="fr-BE"/>
        </w:rPr>
      </w:pPr>
      <w:r w:rsidRPr="004267B4">
        <w:rPr>
          <w:lang w:val="fr-BE"/>
        </w:rPr>
        <w:t>exprime son soutien à l’idée de renforcer le cadre européen de coopération en matière de défense, en particulier grâce aux acquisitions conjointes. À cet égard, il est totalement favorable à la création immédiate de la task force pour les acquisitions conjointes dans le domaine de la défense;</w:t>
      </w:r>
    </w:p>
    <w:p w14:paraId="7322546E" w14:textId="77777777" w:rsidR="00371940" w:rsidRPr="004267B4" w:rsidRDefault="00371940" w:rsidP="00A46CA4">
      <w:pPr>
        <w:widowControl w:val="0"/>
        <w:numPr>
          <w:ilvl w:val="0"/>
          <w:numId w:val="46"/>
        </w:numPr>
        <w:overflowPunct w:val="0"/>
        <w:autoSpaceDE w:val="0"/>
        <w:autoSpaceDN w:val="0"/>
        <w:adjustRightInd w:val="0"/>
        <w:ind w:left="357" w:hanging="357"/>
        <w:textAlignment w:val="baseline"/>
        <w:rPr>
          <w:bCs/>
          <w:iCs/>
          <w:lang w:val="fr-BE"/>
        </w:rPr>
      </w:pPr>
      <w:r w:rsidRPr="004267B4">
        <w:rPr>
          <w:lang w:val="fr-BE"/>
        </w:rPr>
        <w:t xml:space="preserve">se félicite de l’annonce d’un programme européen d’investissement dans le domaine de la défense (EDIP), visant des projets de défense développés de manière conjointe, et incite la Commission à présenter rapidement une proposition ambitieuse, qui aille au-delà d’une éventuelle exemption de TVA et reprenne des mesures énergiques destinées à aider l’industrie (y compris les PME) à s’adapter aux nouveaux défis stratégiques; </w:t>
      </w:r>
    </w:p>
    <w:p w14:paraId="070DF0CF" w14:textId="77777777" w:rsidR="00371940" w:rsidRPr="004267B4" w:rsidRDefault="00371940" w:rsidP="00A46CA4">
      <w:pPr>
        <w:widowControl w:val="0"/>
        <w:numPr>
          <w:ilvl w:val="0"/>
          <w:numId w:val="46"/>
        </w:numPr>
        <w:overflowPunct w:val="0"/>
        <w:autoSpaceDE w:val="0"/>
        <w:autoSpaceDN w:val="0"/>
        <w:adjustRightInd w:val="0"/>
        <w:ind w:left="357" w:hanging="357"/>
        <w:textAlignment w:val="baseline"/>
        <w:rPr>
          <w:bCs/>
          <w:iCs/>
          <w:lang w:val="fr-BE"/>
        </w:rPr>
      </w:pPr>
      <w:r w:rsidRPr="004267B4">
        <w:rPr>
          <w:lang w:val="fr-BE"/>
        </w:rPr>
        <w:t>estime qu’il est nécessaire de disposer, dans le domaine des industries de défense, d’une stratégie européenne globale, qui agencera toutes les mesures de politique industrielle de telle manière qu’elles renforcent les performances de la base industrielle et technologique de défense européenne, en conformité avec ses missions premières;</w:t>
      </w:r>
    </w:p>
    <w:p w14:paraId="3CDBD798" w14:textId="77777777" w:rsidR="00371940" w:rsidRPr="004267B4" w:rsidRDefault="00371940" w:rsidP="00A46CA4">
      <w:pPr>
        <w:widowControl w:val="0"/>
        <w:numPr>
          <w:ilvl w:val="0"/>
          <w:numId w:val="46"/>
        </w:numPr>
        <w:overflowPunct w:val="0"/>
        <w:autoSpaceDE w:val="0"/>
        <w:autoSpaceDN w:val="0"/>
        <w:adjustRightInd w:val="0"/>
        <w:ind w:left="357" w:hanging="357"/>
        <w:textAlignment w:val="baseline"/>
        <w:rPr>
          <w:bCs/>
          <w:iCs/>
          <w:lang w:val="fr-BE"/>
        </w:rPr>
      </w:pPr>
      <w:r w:rsidRPr="004267B4">
        <w:rPr>
          <w:lang w:val="fr-BE"/>
        </w:rPr>
        <w:t xml:space="preserve">s’accorde à considérer que pour affronter les nouvelles formes de guerre hybrides, il importe de constituer un pôle solide de cybersécurité; </w:t>
      </w:r>
    </w:p>
    <w:p w14:paraId="58EAA401" w14:textId="77777777" w:rsidR="00371940" w:rsidRPr="004267B4" w:rsidRDefault="00371940" w:rsidP="00A46CA4">
      <w:pPr>
        <w:widowControl w:val="0"/>
        <w:numPr>
          <w:ilvl w:val="0"/>
          <w:numId w:val="46"/>
        </w:numPr>
        <w:overflowPunct w:val="0"/>
        <w:autoSpaceDE w:val="0"/>
        <w:autoSpaceDN w:val="0"/>
        <w:adjustRightInd w:val="0"/>
        <w:ind w:left="357" w:hanging="357"/>
        <w:textAlignment w:val="baseline"/>
        <w:rPr>
          <w:bCs/>
          <w:iCs/>
          <w:lang w:val="fr-BE"/>
        </w:rPr>
      </w:pPr>
      <w:r w:rsidRPr="004267B4">
        <w:rPr>
          <w:lang w:val="fr-BE"/>
        </w:rPr>
        <w:t xml:space="preserve">recommande de créer un comité scientifique ou une agence qui, sous le contrôle politique du Parlement européen, assure en continu un suivi et une évaluation des investissements de défense sous leurs principaux aspects et fournisse des orientations pour une répartition efficace des ressources financières et militaires. </w:t>
      </w:r>
    </w:p>
    <w:p w14:paraId="3CA2A6A3" w14:textId="77777777" w:rsidR="00371940" w:rsidRPr="004267B4" w:rsidRDefault="00371940" w:rsidP="00371940">
      <w:pPr>
        <w:widowControl w:val="0"/>
        <w:spacing w:line="240" w:lineRule="auto"/>
        <w:ind w:left="709"/>
        <w:rPr>
          <w:sz w:val="12"/>
          <w:szCs w:val="12"/>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371940" w:rsidRPr="004267B4" w14:paraId="4B53D27F" w14:textId="77777777" w:rsidTr="0059328F">
        <w:tc>
          <w:tcPr>
            <w:tcW w:w="1418" w:type="dxa"/>
          </w:tcPr>
          <w:p w14:paraId="46DF80C0" w14:textId="77777777" w:rsidR="00371940" w:rsidRPr="004267B4" w:rsidRDefault="00371940" w:rsidP="0059328F">
            <w:pPr>
              <w:spacing w:line="240" w:lineRule="auto"/>
              <w:rPr>
                <w:i/>
                <w:lang w:val="fr-BE"/>
              </w:rPr>
            </w:pPr>
            <w:r w:rsidRPr="004267B4">
              <w:rPr>
                <w:b/>
                <w:i/>
                <w:lang w:val="fr-BE"/>
              </w:rPr>
              <w:t>Contact</w:t>
            </w:r>
          </w:p>
        </w:tc>
        <w:tc>
          <w:tcPr>
            <w:tcW w:w="5670" w:type="dxa"/>
          </w:tcPr>
          <w:p w14:paraId="075B0ECF" w14:textId="3C6AD390" w:rsidR="00371940" w:rsidRPr="004466E9" w:rsidRDefault="00371940" w:rsidP="0059328F">
            <w:pPr>
              <w:spacing w:line="240" w:lineRule="auto"/>
              <w:rPr>
                <w:bCs/>
                <w:i/>
                <w:lang w:val="fr-BE"/>
              </w:rPr>
            </w:pPr>
            <w:r w:rsidRPr="004466E9">
              <w:rPr>
                <w:i/>
                <w:lang w:val="fr-BE"/>
              </w:rPr>
              <w:t xml:space="preserve">Laia </w:t>
            </w:r>
            <w:r w:rsidR="004466E9" w:rsidRPr="004466E9">
              <w:rPr>
                <w:i/>
                <w:lang w:val="fr-BE"/>
              </w:rPr>
              <w:t>Tomas Vinardell</w:t>
            </w:r>
          </w:p>
        </w:tc>
      </w:tr>
      <w:tr w:rsidR="00371940" w:rsidRPr="004267B4" w14:paraId="65126751" w14:textId="77777777" w:rsidTr="0059328F">
        <w:trPr>
          <w:trHeight w:val="130"/>
        </w:trPr>
        <w:tc>
          <w:tcPr>
            <w:tcW w:w="1418" w:type="dxa"/>
          </w:tcPr>
          <w:p w14:paraId="69BF2DEC" w14:textId="77777777" w:rsidR="00371940" w:rsidRPr="004267B4" w:rsidRDefault="00371940" w:rsidP="0059328F">
            <w:pPr>
              <w:spacing w:line="240" w:lineRule="auto"/>
              <w:rPr>
                <w:i/>
                <w:lang w:val="fr-BE"/>
              </w:rPr>
            </w:pPr>
            <w:r w:rsidRPr="004267B4">
              <w:rPr>
                <w:i/>
                <w:lang w:val="fr-BE"/>
              </w:rPr>
              <w:t>Tél.</w:t>
            </w:r>
          </w:p>
        </w:tc>
        <w:tc>
          <w:tcPr>
            <w:tcW w:w="5670" w:type="dxa"/>
          </w:tcPr>
          <w:p w14:paraId="6651A421" w14:textId="1B90C26C" w:rsidR="00371940" w:rsidRPr="004267B4" w:rsidRDefault="00A46CA4" w:rsidP="0059328F">
            <w:pPr>
              <w:spacing w:line="240" w:lineRule="auto"/>
              <w:rPr>
                <w:b/>
                <w:bCs/>
                <w:i/>
                <w:lang w:val="fr-BE"/>
              </w:rPr>
            </w:pPr>
            <w:r w:rsidRPr="004267B4">
              <w:rPr>
                <w:b/>
                <w:i/>
                <w:lang w:val="fr-BE"/>
              </w:rPr>
              <w:t>+</w:t>
            </w:r>
            <w:r w:rsidR="00371940" w:rsidRPr="004267B4">
              <w:rPr>
                <w:b/>
                <w:i/>
                <w:lang w:val="fr-BE"/>
              </w:rPr>
              <w:t>32 2 546 91 49</w:t>
            </w:r>
          </w:p>
        </w:tc>
      </w:tr>
      <w:tr w:rsidR="00371940" w:rsidRPr="004267B4" w14:paraId="5FF20F04" w14:textId="77777777" w:rsidTr="0059328F">
        <w:tc>
          <w:tcPr>
            <w:tcW w:w="1418" w:type="dxa"/>
          </w:tcPr>
          <w:p w14:paraId="0E128CC2" w14:textId="77777777" w:rsidR="00371940" w:rsidRPr="004267B4" w:rsidRDefault="00371940" w:rsidP="0059328F">
            <w:pPr>
              <w:spacing w:line="240" w:lineRule="auto"/>
              <w:rPr>
                <w:i/>
                <w:lang w:val="fr-BE"/>
              </w:rPr>
            </w:pPr>
            <w:r w:rsidRPr="004267B4">
              <w:rPr>
                <w:i/>
                <w:lang w:val="fr-BE"/>
              </w:rPr>
              <w:t>Courriel</w:t>
            </w:r>
          </w:p>
        </w:tc>
        <w:tc>
          <w:tcPr>
            <w:tcW w:w="5670" w:type="dxa"/>
          </w:tcPr>
          <w:p w14:paraId="78AEAB64" w14:textId="77777777" w:rsidR="00371940" w:rsidRPr="004466E9" w:rsidRDefault="004466E9" w:rsidP="0059328F">
            <w:pPr>
              <w:spacing w:line="240" w:lineRule="auto"/>
              <w:rPr>
                <w:bCs/>
                <w:i/>
                <w:lang w:val="fr-BE"/>
              </w:rPr>
            </w:pPr>
            <w:hyperlink r:id="rId59" w:history="1">
              <w:r w:rsidR="00371940" w:rsidRPr="004466E9">
                <w:rPr>
                  <w:rStyle w:val="Hyperlink"/>
                  <w:i/>
                  <w:lang w:val="fr-BE"/>
                </w:rPr>
                <w:t>Laia.TomasVinardell@eesc.europa.eu</w:t>
              </w:r>
            </w:hyperlink>
            <w:r w:rsidR="00371940" w:rsidRPr="004466E9">
              <w:rPr>
                <w:i/>
                <w:lang w:val="fr-BE"/>
              </w:rPr>
              <w:t xml:space="preserve"> </w:t>
            </w:r>
          </w:p>
        </w:tc>
      </w:tr>
    </w:tbl>
    <w:p w14:paraId="5E62A09A" w14:textId="77777777" w:rsidR="00D67CAD" w:rsidRPr="004267B4" w:rsidRDefault="00D67CAD" w:rsidP="00A46CA4">
      <w:pPr>
        <w:keepNext/>
        <w:keepLines/>
        <w:contextualSpacing/>
        <w:rPr>
          <w:sz w:val="2"/>
          <w:szCs w:val="2"/>
          <w:lang w:val="fr-BE"/>
        </w:rPr>
      </w:pPr>
    </w:p>
    <w:sectPr w:rsidR="00D67CAD" w:rsidRPr="004267B4" w:rsidSect="0040654F">
      <w:headerReference w:type="even" r:id="rId60"/>
      <w:headerReference w:type="default" r:id="rId61"/>
      <w:footerReference w:type="even" r:id="rId62"/>
      <w:footerReference w:type="default" r:id="rId63"/>
      <w:headerReference w:type="first" r:id="rId64"/>
      <w:footerReference w:type="first" r:id="rId65"/>
      <w:pgSz w:w="11907" w:h="16839"/>
      <w:pgMar w:top="1191"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07EF" w14:textId="77777777" w:rsidR="00765C4F" w:rsidRDefault="00765C4F" w:rsidP="003B0516">
      <w:pPr>
        <w:spacing w:line="240" w:lineRule="auto"/>
      </w:pPr>
      <w:r>
        <w:separator/>
      </w:r>
    </w:p>
  </w:endnote>
  <w:endnote w:type="continuationSeparator" w:id="0">
    <w:p w14:paraId="7657AFA9" w14:textId="77777777" w:rsidR="00765C4F" w:rsidRDefault="00765C4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29767080" w:rsidR="00765C4F" w:rsidRPr="0040654F" w:rsidRDefault="0040654F" w:rsidP="0040654F">
    <w:pPr>
      <w:pStyle w:val="Footer"/>
    </w:pPr>
    <w:r>
      <w:t xml:space="preserve">EESC-2022-05401-00-01-TCD-TRA (EN) </w:t>
    </w:r>
    <w:r>
      <w:fldChar w:fldCharType="begin"/>
    </w:r>
    <w:r>
      <w:instrText xml:space="preserve"> PAGE  \* Arabic  \* MERGEFORMAT </w:instrText>
    </w:r>
    <w:r>
      <w:fldChar w:fldCharType="separate"/>
    </w:r>
    <w:r w:rsidR="004466E9">
      <w:rPr>
        <w:noProof/>
      </w:rPr>
      <w:t>1</w:t>
    </w:r>
    <w:r>
      <w:fldChar w:fldCharType="end"/>
    </w:r>
    <w:r>
      <w:t>/</w:t>
    </w:r>
    <w:r w:rsidR="004466E9">
      <w:fldChar w:fldCharType="begin"/>
    </w:r>
    <w:r w:rsidR="004466E9">
      <w:instrText xml:space="preserve"> NUMPAGES </w:instrText>
    </w:r>
    <w:r w:rsidR="004466E9">
      <w:fldChar w:fldCharType="separate"/>
    </w:r>
    <w:r w:rsidR="004466E9">
      <w:rPr>
        <w:noProof/>
      </w:rPr>
      <w:t>33</w:t>
    </w:r>
    <w:r w:rsidR="004466E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765C4F" w:rsidRPr="0040654F" w:rsidRDefault="00765C4F" w:rsidP="00406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613685CB" w:rsidR="00765C4F" w:rsidRPr="0040654F" w:rsidRDefault="0040654F" w:rsidP="0040654F">
    <w:pPr>
      <w:pStyle w:val="Footer"/>
    </w:pPr>
    <w:r>
      <w:t xml:space="preserve">EESC-2022-05401-00-01-TCD-TRA (EN) </w:t>
    </w:r>
    <w:r>
      <w:fldChar w:fldCharType="begin"/>
    </w:r>
    <w:r>
      <w:instrText xml:space="preserve"> PAGE  \* Arabic  \* MERGEFORMAT </w:instrText>
    </w:r>
    <w:r>
      <w:fldChar w:fldCharType="separate"/>
    </w:r>
    <w:r w:rsidR="004466E9">
      <w:rPr>
        <w:noProof/>
      </w:rPr>
      <w:t>32</w:t>
    </w:r>
    <w:r>
      <w:fldChar w:fldCharType="end"/>
    </w:r>
    <w:r>
      <w:t>/</w:t>
    </w:r>
    <w:r w:rsidR="004466E9">
      <w:fldChar w:fldCharType="begin"/>
    </w:r>
    <w:r w:rsidR="004466E9">
      <w:instrText xml:space="preserve"> NUMPAGES </w:instrText>
    </w:r>
    <w:r w:rsidR="004466E9">
      <w:fldChar w:fldCharType="separate"/>
    </w:r>
    <w:r w:rsidR="004466E9">
      <w:rPr>
        <w:noProof/>
      </w:rPr>
      <w:t>33</w:t>
    </w:r>
    <w:r w:rsidR="004466E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765C4F" w:rsidRPr="0040654F" w:rsidRDefault="00765C4F" w:rsidP="0040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0787" w14:textId="77777777" w:rsidR="00765C4F" w:rsidRDefault="00765C4F" w:rsidP="003B0516">
      <w:pPr>
        <w:spacing w:line="240" w:lineRule="auto"/>
      </w:pPr>
      <w:r>
        <w:separator/>
      </w:r>
    </w:p>
  </w:footnote>
  <w:footnote w:type="continuationSeparator" w:id="0">
    <w:p w14:paraId="7CEDF243" w14:textId="77777777" w:rsidR="00765C4F" w:rsidRDefault="00765C4F" w:rsidP="003B0516">
      <w:pPr>
        <w:spacing w:line="240" w:lineRule="auto"/>
      </w:pPr>
      <w:r>
        <w:continuationSeparator/>
      </w:r>
    </w:p>
  </w:footnote>
  <w:footnote w:id="1">
    <w:p w14:paraId="3F66B517" w14:textId="77777777" w:rsidR="00FF013B" w:rsidRPr="00C71932" w:rsidRDefault="00FF013B" w:rsidP="00FF013B">
      <w:pPr>
        <w:pStyle w:val="FootnoteText"/>
      </w:pPr>
      <w:r>
        <w:rPr>
          <w:rStyle w:val="FootnoteReference"/>
        </w:rPr>
        <w:footnoteRef/>
      </w:r>
      <w:r>
        <w:tab/>
        <w:t>COM(2022) 539 final.</w:t>
      </w:r>
    </w:p>
  </w:footnote>
  <w:footnote w:id="2">
    <w:p w14:paraId="4ED72C87" w14:textId="77777777" w:rsidR="00FA2DC1" w:rsidRPr="00DA2729" w:rsidRDefault="00FA2DC1" w:rsidP="00FA2DC1">
      <w:pPr>
        <w:pStyle w:val="FootnoteText"/>
      </w:pPr>
      <w:r w:rsidRPr="00DA2729">
        <w:rPr>
          <w:rStyle w:val="FootnoteReference"/>
        </w:rPr>
        <w:footnoteRef/>
      </w:r>
      <w:r w:rsidRPr="00DA2729">
        <w:tab/>
        <w:t>Organismes de placement collectif en valeurs mobilières (OPCVM).</w:t>
      </w:r>
    </w:p>
  </w:footnote>
  <w:footnote w:id="3">
    <w:p w14:paraId="2FD40E4C" w14:textId="77777777" w:rsidR="00FA2DC1" w:rsidRPr="00DA2729" w:rsidRDefault="00FA2DC1" w:rsidP="00FA2DC1">
      <w:pPr>
        <w:pStyle w:val="FootnoteText"/>
      </w:pPr>
      <w:r w:rsidRPr="00DA2729">
        <w:rPr>
          <w:rStyle w:val="FootnoteReference"/>
        </w:rPr>
        <w:footnoteRef/>
      </w:r>
      <w:r w:rsidRPr="00DA2729">
        <w:tab/>
        <w:t>Une taxe sur les transactions financières portant exclusivement sur la spéculation sur les denrées alimentaires. Voir ECO/321 «Taxe sur les transactions financières».</w:t>
      </w:r>
    </w:p>
  </w:footnote>
  <w:footnote w:id="4">
    <w:p w14:paraId="30FC737B" w14:textId="77777777" w:rsidR="006E0492" w:rsidRPr="00DA2729" w:rsidRDefault="006E0492" w:rsidP="006E0492">
      <w:pPr>
        <w:pStyle w:val="FootnoteText"/>
      </w:pPr>
      <w:r w:rsidRPr="00DA2729">
        <w:rPr>
          <w:rStyle w:val="FootnoteReference"/>
        </w:rPr>
        <w:footnoteRef/>
      </w:r>
      <w:r w:rsidRPr="00DA2729">
        <w:tab/>
      </w:r>
      <w:hyperlink r:id="rId1" w:history="1">
        <w:r w:rsidRPr="00DA2729">
          <w:rPr>
            <w:rStyle w:val="Hyperlink"/>
          </w:rPr>
          <w:t>Rapport d’information du CESE, «Évaluation de la directive sur une utilisation des pesticides compatible avec le développement durable»</w:t>
        </w:r>
      </w:hyperlink>
      <w:r w:rsidRPr="00DA2729">
        <w:t>.</w:t>
      </w:r>
    </w:p>
  </w:footnote>
  <w:footnote w:id="5">
    <w:p w14:paraId="5FE71152" w14:textId="77777777" w:rsidR="006E0492" w:rsidRPr="00DA2729" w:rsidRDefault="006E0492" w:rsidP="006E0492">
      <w:pPr>
        <w:ind w:left="567" w:hanging="567"/>
      </w:pPr>
      <w:r w:rsidRPr="00DA2729">
        <w:rPr>
          <w:rStyle w:val="FootnoteReference"/>
        </w:rPr>
        <w:footnoteRef/>
      </w:r>
      <w:r w:rsidRPr="00DA2729">
        <w:tab/>
      </w:r>
      <w:r w:rsidRPr="00DA2729">
        <w:rPr>
          <w:sz w:val="16"/>
        </w:rPr>
        <w:t xml:space="preserve">Eurostat, </w:t>
      </w:r>
      <w:hyperlink w:anchor=":~:text=In%202019%2C%20the%20volume%20of,year%20(2011%2D2018)" w:history="1">
        <w:r w:rsidRPr="00DA2729">
          <w:rPr>
            <w:rStyle w:val="Hyperlink"/>
            <w:sz w:val="16"/>
          </w:rPr>
          <w:t>Pesticides sales in the EU («Ventes de pesticides dans l’Union européenne»)</w:t>
        </w:r>
      </w:hyperlink>
      <w:r w:rsidRPr="00DA272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765C4F" w:rsidRPr="0040654F" w:rsidRDefault="00765C4F" w:rsidP="00406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32A1A260" w:rsidR="00765C4F" w:rsidRPr="0040654F" w:rsidRDefault="00765C4F" w:rsidP="00406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765C4F" w:rsidRPr="0040654F" w:rsidRDefault="00765C4F" w:rsidP="0040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0B66E03"/>
    <w:multiLevelType w:val="hybridMultilevel"/>
    <w:tmpl w:val="53F8DEE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A0344CE"/>
    <w:multiLevelType w:val="hybridMultilevel"/>
    <w:tmpl w:val="C64CDA46"/>
    <w:lvl w:ilvl="0" w:tplc="0C22A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2CC6"/>
    <w:multiLevelType w:val="hybridMultilevel"/>
    <w:tmpl w:val="BD40B310"/>
    <w:lvl w:ilvl="0" w:tplc="0C22A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D6AE5"/>
    <w:multiLevelType w:val="hybridMultilevel"/>
    <w:tmpl w:val="54F477B4"/>
    <w:lvl w:ilvl="0" w:tplc="0C22AE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35433AC"/>
    <w:multiLevelType w:val="hybridMultilevel"/>
    <w:tmpl w:val="A0322B54"/>
    <w:lvl w:ilvl="0" w:tplc="0C22A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5B616E"/>
    <w:multiLevelType w:val="hybridMultilevel"/>
    <w:tmpl w:val="F708A750"/>
    <w:lvl w:ilvl="0" w:tplc="0C22AE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E1F44EA"/>
    <w:multiLevelType w:val="hybridMultilevel"/>
    <w:tmpl w:val="2EAE335A"/>
    <w:lvl w:ilvl="0" w:tplc="0C22A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E607B58"/>
    <w:multiLevelType w:val="hybridMultilevel"/>
    <w:tmpl w:val="5560B0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0BB7123"/>
    <w:multiLevelType w:val="singleLevel"/>
    <w:tmpl w:val="DDE088C8"/>
    <w:lvl w:ilvl="0">
      <w:numFmt w:val="decimal"/>
      <w:lvlText w:val="*"/>
      <w:lvlJc w:val="left"/>
    </w:lvl>
  </w:abstractNum>
  <w:abstractNum w:abstractNumId="11" w15:restartNumberingAfterBreak="0">
    <w:nsid w:val="2305281D"/>
    <w:multiLevelType w:val="hybridMultilevel"/>
    <w:tmpl w:val="142C5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0E118E"/>
    <w:multiLevelType w:val="hybridMultilevel"/>
    <w:tmpl w:val="355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4277A"/>
    <w:multiLevelType w:val="hybridMultilevel"/>
    <w:tmpl w:val="7668CF9C"/>
    <w:lvl w:ilvl="0" w:tplc="0C22AE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7082200"/>
    <w:multiLevelType w:val="hybridMultilevel"/>
    <w:tmpl w:val="1FB84566"/>
    <w:lvl w:ilvl="0" w:tplc="0C22AE38">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28307C96"/>
    <w:multiLevelType w:val="hybridMultilevel"/>
    <w:tmpl w:val="BF84A204"/>
    <w:lvl w:ilvl="0" w:tplc="0C22A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8840554"/>
    <w:multiLevelType w:val="hybridMultilevel"/>
    <w:tmpl w:val="2726421A"/>
    <w:lvl w:ilvl="0" w:tplc="0C22A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E7F89"/>
    <w:multiLevelType w:val="hybridMultilevel"/>
    <w:tmpl w:val="F6D2A052"/>
    <w:lvl w:ilvl="0" w:tplc="0C22AE38">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2A861250"/>
    <w:multiLevelType w:val="hybridMultilevel"/>
    <w:tmpl w:val="5F3E2F3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E3A3385"/>
    <w:multiLevelType w:val="hybridMultilevel"/>
    <w:tmpl w:val="61EA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B3F59"/>
    <w:multiLevelType w:val="hybridMultilevel"/>
    <w:tmpl w:val="D1F2A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EBF6817"/>
    <w:multiLevelType w:val="hybridMultilevel"/>
    <w:tmpl w:val="FCD4E25A"/>
    <w:lvl w:ilvl="0" w:tplc="0C22A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EEF1C36"/>
    <w:multiLevelType w:val="hybridMultilevel"/>
    <w:tmpl w:val="199CD7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1C27C41"/>
    <w:multiLevelType w:val="hybridMultilevel"/>
    <w:tmpl w:val="1B2A6B52"/>
    <w:lvl w:ilvl="0" w:tplc="0C22AE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5691469"/>
    <w:multiLevelType w:val="hybridMultilevel"/>
    <w:tmpl w:val="86060FBE"/>
    <w:lvl w:ilvl="0" w:tplc="0C22A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B45E7"/>
    <w:multiLevelType w:val="hybridMultilevel"/>
    <w:tmpl w:val="E864C52C"/>
    <w:lvl w:ilvl="0" w:tplc="0C22AE38">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6" w15:restartNumberingAfterBreak="0">
    <w:nsid w:val="49743B28"/>
    <w:multiLevelType w:val="hybridMultilevel"/>
    <w:tmpl w:val="452ACC26"/>
    <w:lvl w:ilvl="0" w:tplc="0C22A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D77CC7"/>
    <w:multiLevelType w:val="hybridMultilevel"/>
    <w:tmpl w:val="41A6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9404A"/>
    <w:multiLevelType w:val="hybridMultilevel"/>
    <w:tmpl w:val="3FEA4FA8"/>
    <w:lvl w:ilvl="0" w:tplc="0C22A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BD90EF4"/>
    <w:multiLevelType w:val="hybridMultilevel"/>
    <w:tmpl w:val="94589DBE"/>
    <w:lvl w:ilvl="0" w:tplc="0C22AE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8347CEF"/>
    <w:multiLevelType w:val="hybridMultilevel"/>
    <w:tmpl w:val="556A5BBA"/>
    <w:lvl w:ilvl="0" w:tplc="0C22AE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9D57B3E"/>
    <w:multiLevelType w:val="hybridMultilevel"/>
    <w:tmpl w:val="B5421BF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A2A4F07"/>
    <w:multiLevelType w:val="hybridMultilevel"/>
    <w:tmpl w:val="E610B1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34" w15:restartNumberingAfterBreak="0">
    <w:nsid w:val="633D6159"/>
    <w:multiLevelType w:val="multilevel"/>
    <w:tmpl w:val="C5B2ED70"/>
    <w:lvl w:ilvl="0">
      <w:start w:val="1"/>
      <w:numFmt w:val="decimal"/>
      <w:lvlText w:val="%1."/>
      <w:legacy w:legacy="1" w:legacySpace="0" w:legacyIndent="0"/>
      <w:lvlJc w:val="left"/>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5" w15:restartNumberingAfterBreak="0">
    <w:nsid w:val="63D95100"/>
    <w:multiLevelType w:val="hybridMultilevel"/>
    <w:tmpl w:val="80920840"/>
    <w:lvl w:ilvl="0" w:tplc="0C22AE38">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6" w15:restartNumberingAfterBreak="0">
    <w:nsid w:val="654C5E6A"/>
    <w:multiLevelType w:val="hybridMultilevel"/>
    <w:tmpl w:val="C5B4FF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1">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90067D3"/>
    <w:multiLevelType w:val="hybridMultilevel"/>
    <w:tmpl w:val="A8CA00BE"/>
    <w:lvl w:ilvl="0" w:tplc="0C22AE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9" w15:restartNumberingAfterBreak="0">
    <w:nsid w:val="6BEA2F5F"/>
    <w:multiLevelType w:val="hybridMultilevel"/>
    <w:tmpl w:val="3432EE56"/>
    <w:lvl w:ilvl="0" w:tplc="0C22AE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6E6F55E0"/>
    <w:multiLevelType w:val="hybridMultilevel"/>
    <w:tmpl w:val="706434BE"/>
    <w:lvl w:ilvl="0" w:tplc="0C22A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F5385"/>
    <w:multiLevelType w:val="hybridMultilevel"/>
    <w:tmpl w:val="B8CCE0F4"/>
    <w:lvl w:ilvl="0" w:tplc="0C22AE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6F61229B"/>
    <w:multiLevelType w:val="hybridMultilevel"/>
    <w:tmpl w:val="BB7C3DA8"/>
    <w:lvl w:ilvl="0" w:tplc="0C22A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1D2593D"/>
    <w:multiLevelType w:val="multilevel"/>
    <w:tmpl w:val="79D2F4AA"/>
    <w:lvl w:ilvl="0">
      <w:start w:val="1"/>
      <w:numFmt w:val="decimal"/>
      <w:lvlText w:val="%1."/>
      <w:legacy w:legacy="1" w:legacySpace="0" w:legacyIndent="0"/>
      <w:lvlJc w:val="left"/>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4" w15:restartNumberingAfterBreak="0">
    <w:nsid w:val="76E87847"/>
    <w:multiLevelType w:val="singleLevel"/>
    <w:tmpl w:val="DDE088C8"/>
    <w:lvl w:ilvl="0">
      <w:numFmt w:val="decimal"/>
      <w:lvlText w:val="*"/>
      <w:lvlJc w:val="left"/>
    </w:lvl>
  </w:abstractNum>
  <w:abstractNum w:abstractNumId="45" w15:restartNumberingAfterBreak="0">
    <w:nsid w:val="7CB741EA"/>
    <w:multiLevelType w:val="hybridMultilevel"/>
    <w:tmpl w:val="DF4CEC04"/>
    <w:lvl w:ilvl="0" w:tplc="0C22A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3"/>
  </w:num>
  <w:num w:numId="4">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5">
    <w:abstractNumId w:val="25"/>
  </w:num>
  <w:num w:numId="6">
    <w:abstractNumId w:val="6"/>
  </w:num>
  <w:num w:numId="7">
    <w:abstractNumId w:val="2"/>
  </w:num>
  <w:num w:numId="8">
    <w:abstractNumId w:val="32"/>
  </w:num>
  <w:num w:numId="9">
    <w:abstractNumId w:val="1"/>
    <w:lvlOverride w:ilvl="0">
      <w:lvl w:ilvl="0">
        <w:start w:val="1"/>
        <w:numFmt w:val="bullet"/>
        <w:lvlText w:val=""/>
        <w:lvlJc w:val="left"/>
        <w:pPr>
          <w:ind w:left="720" w:hanging="360"/>
        </w:pPr>
        <w:rPr>
          <w:rFonts w:ascii="Symbol" w:hAnsi="Symbol" w:hint="default"/>
          <w:color w:val="auto"/>
        </w:rPr>
      </w:lvl>
    </w:lvlOverride>
  </w:num>
  <w:num w:numId="10">
    <w:abstractNumId w:val="19"/>
  </w:num>
  <w:num w:numId="11">
    <w:abstractNumId w:val="44"/>
  </w:num>
  <w:num w:numId="12">
    <w:abstractNumId w:val="10"/>
  </w:num>
  <w:num w:numId="13">
    <w:abstractNumId w:val="22"/>
  </w:num>
  <w:num w:numId="14">
    <w:abstractNumId w:val="18"/>
  </w:num>
  <w:num w:numId="15">
    <w:abstractNumId w:val="31"/>
  </w:num>
  <w:num w:numId="16">
    <w:abstractNumId w:val="20"/>
  </w:num>
  <w:num w:numId="17">
    <w:abstractNumId w:val="4"/>
  </w:num>
  <w:num w:numId="18">
    <w:abstractNumId w:val="12"/>
  </w:num>
  <w:num w:numId="19">
    <w:abstractNumId w:val="11"/>
  </w:num>
  <w:num w:numId="20">
    <w:abstractNumId w:val="27"/>
  </w:num>
  <w:num w:numId="21">
    <w:abstractNumId w:val="26"/>
  </w:num>
  <w:num w:numId="22">
    <w:abstractNumId w:val="15"/>
  </w:num>
  <w:num w:numId="23">
    <w:abstractNumId w:val="42"/>
  </w:num>
  <w:num w:numId="24">
    <w:abstractNumId w:val="17"/>
  </w:num>
  <w:num w:numId="25">
    <w:abstractNumId w:val="28"/>
  </w:num>
  <w:num w:numId="26">
    <w:abstractNumId w:val="41"/>
  </w:num>
  <w:num w:numId="27">
    <w:abstractNumId w:val="23"/>
  </w:num>
  <w:num w:numId="28">
    <w:abstractNumId w:val="40"/>
  </w:num>
  <w:num w:numId="29">
    <w:abstractNumId w:val="3"/>
  </w:num>
  <w:num w:numId="30">
    <w:abstractNumId w:val="35"/>
  </w:num>
  <w:num w:numId="31">
    <w:abstractNumId w:val="8"/>
  </w:num>
  <w:num w:numId="32">
    <w:abstractNumId w:val="16"/>
  </w:num>
  <w:num w:numId="33">
    <w:abstractNumId w:val="37"/>
  </w:num>
  <w:num w:numId="34">
    <w:abstractNumId w:val="45"/>
  </w:num>
  <w:num w:numId="35">
    <w:abstractNumId w:val="7"/>
  </w:num>
  <w:num w:numId="36">
    <w:abstractNumId w:val="13"/>
  </w:num>
  <w:num w:numId="37">
    <w:abstractNumId w:val="43"/>
  </w:num>
  <w:num w:numId="38">
    <w:abstractNumId w:val="9"/>
  </w:num>
  <w:num w:numId="39">
    <w:abstractNumId w:val="36"/>
  </w:num>
  <w:num w:numId="40">
    <w:abstractNumId w:val="14"/>
  </w:num>
  <w:num w:numId="41">
    <w:abstractNumId w:val="34"/>
  </w:num>
  <w:num w:numId="42">
    <w:abstractNumId w:val="21"/>
  </w:num>
  <w:num w:numId="43">
    <w:abstractNumId w:val="29"/>
  </w:num>
  <w:num w:numId="44">
    <w:abstractNumId w:val="5"/>
  </w:num>
  <w:num w:numId="45">
    <w:abstractNumId w:val="24"/>
  </w:num>
  <w:num w:numId="46">
    <w:abstractNumId w:val="30"/>
  </w:num>
  <w:num w:numId="4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fr-B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02061"/>
    <w:rsid w:val="000142E0"/>
    <w:rsid w:val="00014C93"/>
    <w:rsid w:val="00015983"/>
    <w:rsid w:val="00015E18"/>
    <w:rsid w:val="00017B56"/>
    <w:rsid w:val="000232FA"/>
    <w:rsid w:val="00023DE9"/>
    <w:rsid w:val="0002450A"/>
    <w:rsid w:val="000247C5"/>
    <w:rsid w:val="000257FE"/>
    <w:rsid w:val="00027072"/>
    <w:rsid w:val="00027441"/>
    <w:rsid w:val="00032038"/>
    <w:rsid w:val="0003271A"/>
    <w:rsid w:val="00032BAA"/>
    <w:rsid w:val="00034E35"/>
    <w:rsid w:val="00036505"/>
    <w:rsid w:val="00037A85"/>
    <w:rsid w:val="000402AE"/>
    <w:rsid w:val="00041C4A"/>
    <w:rsid w:val="0004205F"/>
    <w:rsid w:val="000421E0"/>
    <w:rsid w:val="0005110E"/>
    <w:rsid w:val="0005170F"/>
    <w:rsid w:val="0005495B"/>
    <w:rsid w:val="00055D63"/>
    <w:rsid w:val="00056079"/>
    <w:rsid w:val="00056B3E"/>
    <w:rsid w:val="00057592"/>
    <w:rsid w:val="00063DFF"/>
    <w:rsid w:val="00063F30"/>
    <w:rsid w:val="00064EDE"/>
    <w:rsid w:val="00070AAE"/>
    <w:rsid w:val="00070FEE"/>
    <w:rsid w:val="0007146F"/>
    <w:rsid w:val="00071F4C"/>
    <w:rsid w:val="00073491"/>
    <w:rsid w:val="00074BCE"/>
    <w:rsid w:val="000764E8"/>
    <w:rsid w:val="00076BA9"/>
    <w:rsid w:val="00083845"/>
    <w:rsid w:val="000911BF"/>
    <w:rsid w:val="00092425"/>
    <w:rsid w:val="000951A1"/>
    <w:rsid w:val="000956DB"/>
    <w:rsid w:val="00096786"/>
    <w:rsid w:val="000A007B"/>
    <w:rsid w:val="000A03BD"/>
    <w:rsid w:val="000A1218"/>
    <w:rsid w:val="000A74DC"/>
    <w:rsid w:val="000A7BA8"/>
    <w:rsid w:val="000B01F7"/>
    <w:rsid w:val="000B19C4"/>
    <w:rsid w:val="000B1AE6"/>
    <w:rsid w:val="000B5831"/>
    <w:rsid w:val="000B7D8A"/>
    <w:rsid w:val="000C18CA"/>
    <w:rsid w:val="000C3942"/>
    <w:rsid w:val="000C43E2"/>
    <w:rsid w:val="000C6D0B"/>
    <w:rsid w:val="000C7B16"/>
    <w:rsid w:val="000D2F8F"/>
    <w:rsid w:val="000D65AC"/>
    <w:rsid w:val="000E37FD"/>
    <w:rsid w:val="000E41AE"/>
    <w:rsid w:val="000E447F"/>
    <w:rsid w:val="000E56EA"/>
    <w:rsid w:val="000E5FFD"/>
    <w:rsid w:val="000E6108"/>
    <w:rsid w:val="000F2BDB"/>
    <w:rsid w:val="000F53B7"/>
    <w:rsid w:val="000F679A"/>
    <w:rsid w:val="001000A8"/>
    <w:rsid w:val="001016BE"/>
    <w:rsid w:val="00106358"/>
    <w:rsid w:val="001106FB"/>
    <w:rsid w:val="001167A1"/>
    <w:rsid w:val="00116A1C"/>
    <w:rsid w:val="001179DB"/>
    <w:rsid w:val="00117AA8"/>
    <w:rsid w:val="00120215"/>
    <w:rsid w:val="00120BA5"/>
    <w:rsid w:val="00124D7C"/>
    <w:rsid w:val="001271C3"/>
    <w:rsid w:val="001400C7"/>
    <w:rsid w:val="001445A7"/>
    <w:rsid w:val="001455A1"/>
    <w:rsid w:val="00150AD8"/>
    <w:rsid w:val="001513FD"/>
    <w:rsid w:val="00153032"/>
    <w:rsid w:val="001543FE"/>
    <w:rsid w:val="00163106"/>
    <w:rsid w:val="00164813"/>
    <w:rsid w:val="001744F9"/>
    <w:rsid w:val="00174763"/>
    <w:rsid w:val="001760E9"/>
    <w:rsid w:val="0018231C"/>
    <w:rsid w:val="00182F92"/>
    <w:rsid w:val="001861B4"/>
    <w:rsid w:val="00191597"/>
    <w:rsid w:val="00191D08"/>
    <w:rsid w:val="001951FD"/>
    <w:rsid w:val="0019715D"/>
    <w:rsid w:val="001A0AD4"/>
    <w:rsid w:val="001A2273"/>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56CE"/>
    <w:rsid w:val="001F6FD5"/>
    <w:rsid w:val="001F773D"/>
    <w:rsid w:val="00200222"/>
    <w:rsid w:val="0020062C"/>
    <w:rsid w:val="002037FC"/>
    <w:rsid w:val="002043D7"/>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C82"/>
    <w:rsid w:val="00245CD4"/>
    <w:rsid w:val="00247E02"/>
    <w:rsid w:val="00255669"/>
    <w:rsid w:val="00256F0A"/>
    <w:rsid w:val="00260610"/>
    <w:rsid w:val="00261903"/>
    <w:rsid w:val="00261FDB"/>
    <w:rsid w:val="00267F8F"/>
    <w:rsid w:val="00270828"/>
    <w:rsid w:val="002737D4"/>
    <w:rsid w:val="00276CC9"/>
    <w:rsid w:val="002776B9"/>
    <w:rsid w:val="00291154"/>
    <w:rsid w:val="00292D44"/>
    <w:rsid w:val="00293E9C"/>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E62B0"/>
    <w:rsid w:val="002F32E6"/>
    <w:rsid w:val="002F63EB"/>
    <w:rsid w:val="00305834"/>
    <w:rsid w:val="00311562"/>
    <w:rsid w:val="003123CB"/>
    <w:rsid w:val="003165A9"/>
    <w:rsid w:val="003166A6"/>
    <w:rsid w:val="0032154F"/>
    <w:rsid w:val="0032266E"/>
    <w:rsid w:val="003227CC"/>
    <w:rsid w:val="0032340F"/>
    <w:rsid w:val="00323A05"/>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548"/>
    <w:rsid w:val="00370CCB"/>
    <w:rsid w:val="00371940"/>
    <w:rsid w:val="00372D8B"/>
    <w:rsid w:val="00376574"/>
    <w:rsid w:val="00394949"/>
    <w:rsid w:val="00396061"/>
    <w:rsid w:val="003965BB"/>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F68"/>
    <w:rsid w:val="003D5339"/>
    <w:rsid w:val="003D57BD"/>
    <w:rsid w:val="003D76E2"/>
    <w:rsid w:val="003E2757"/>
    <w:rsid w:val="003E5137"/>
    <w:rsid w:val="003E674F"/>
    <w:rsid w:val="003E692C"/>
    <w:rsid w:val="003F0159"/>
    <w:rsid w:val="003F2D36"/>
    <w:rsid w:val="003F510A"/>
    <w:rsid w:val="003F6382"/>
    <w:rsid w:val="0040019C"/>
    <w:rsid w:val="00400A1F"/>
    <w:rsid w:val="00403406"/>
    <w:rsid w:val="004047A6"/>
    <w:rsid w:val="004047B1"/>
    <w:rsid w:val="00405802"/>
    <w:rsid w:val="00405FD9"/>
    <w:rsid w:val="0040654F"/>
    <w:rsid w:val="00407760"/>
    <w:rsid w:val="00413EA0"/>
    <w:rsid w:val="00414EFB"/>
    <w:rsid w:val="004267B4"/>
    <w:rsid w:val="00426ECD"/>
    <w:rsid w:val="004331B4"/>
    <w:rsid w:val="004415E2"/>
    <w:rsid w:val="00441E45"/>
    <w:rsid w:val="004429E2"/>
    <w:rsid w:val="004442D3"/>
    <w:rsid w:val="004466E9"/>
    <w:rsid w:val="004511AE"/>
    <w:rsid w:val="00454018"/>
    <w:rsid w:val="00454578"/>
    <w:rsid w:val="00456E3C"/>
    <w:rsid w:val="00462B31"/>
    <w:rsid w:val="00463300"/>
    <w:rsid w:val="004646AF"/>
    <w:rsid w:val="0046631E"/>
    <w:rsid w:val="00467BE4"/>
    <w:rsid w:val="00470719"/>
    <w:rsid w:val="00472A79"/>
    <w:rsid w:val="00472E72"/>
    <w:rsid w:val="004734C7"/>
    <w:rsid w:val="004755C3"/>
    <w:rsid w:val="00477361"/>
    <w:rsid w:val="004904F9"/>
    <w:rsid w:val="0049347F"/>
    <w:rsid w:val="004964ED"/>
    <w:rsid w:val="004A46D9"/>
    <w:rsid w:val="004A5CD7"/>
    <w:rsid w:val="004B2250"/>
    <w:rsid w:val="004B344F"/>
    <w:rsid w:val="004B7248"/>
    <w:rsid w:val="004B72DD"/>
    <w:rsid w:val="004C1E12"/>
    <w:rsid w:val="004C2872"/>
    <w:rsid w:val="004C2CF1"/>
    <w:rsid w:val="004C40E4"/>
    <w:rsid w:val="004C6A59"/>
    <w:rsid w:val="004D2E64"/>
    <w:rsid w:val="004D65FF"/>
    <w:rsid w:val="004D7AC0"/>
    <w:rsid w:val="004E0FA3"/>
    <w:rsid w:val="004E114D"/>
    <w:rsid w:val="004E3304"/>
    <w:rsid w:val="004F2430"/>
    <w:rsid w:val="004F68A8"/>
    <w:rsid w:val="00502B04"/>
    <w:rsid w:val="00502C82"/>
    <w:rsid w:val="005030F7"/>
    <w:rsid w:val="00510903"/>
    <w:rsid w:val="00516FB9"/>
    <w:rsid w:val="005224FE"/>
    <w:rsid w:val="00530644"/>
    <w:rsid w:val="00531E0B"/>
    <w:rsid w:val="00533BF2"/>
    <w:rsid w:val="0053502B"/>
    <w:rsid w:val="0054010D"/>
    <w:rsid w:val="00542C6F"/>
    <w:rsid w:val="005445DD"/>
    <w:rsid w:val="00546842"/>
    <w:rsid w:val="005475DA"/>
    <w:rsid w:val="0055030C"/>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4F5A"/>
    <w:rsid w:val="0059647B"/>
    <w:rsid w:val="005A3E6D"/>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271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4A58"/>
    <w:rsid w:val="00645723"/>
    <w:rsid w:val="00650DB1"/>
    <w:rsid w:val="006568C8"/>
    <w:rsid w:val="006604D8"/>
    <w:rsid w:val="00662436"/>
    <w:rsid w:val="006669FA"/>
    <w:rsid w:val="00666A72"/>
    <w:rsid w:val="00670347"/>
    <w:rsid w:val="006706CF"/>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D2E2F"/>
    <w:rsid w:val="006D32E3"/>
    <w:rsid w:val="006D4847"/>
    <w:rsid w:val="006D6086"/>
    <w:rsid w:val="006E0492"/>
    <w:rsid w:val="006E0E88"/>
    <w:rsid w:val="006E3078"/>
    <w:rsid w:val="006E3F60"/>
    <w:rsid w:val="006E6434"/>
    <w:rsid w:val="006F2BFD"/>
    <w:rsid w:val="006F3409"/>
    <w:rsid w:val="00700030"/>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5736F"/>
    <w:rsid w:val="007603C4"/>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02E2"/>
    <w:rsid w:val="008103DE"/>
    <w:rsid w:val="00812594"/>
    <w:rsid w:val="00813A00"/>
    <w:rsid w:val="00814E33"/>
    <w:rsid w:val="008159E1"/>
    <w:rsid w:val="008172B0"/>
    <w:rsid w:val="00822ED8"/>
    <w:rsid w:val="00824647"/>
    <w:rsid w:val="00824DCF"/>
    <w:rsid w:val="0082509A"/>
    <w:rsid w:val="00827B0E"/>
    <w:rsid w:val="008327B1"/>
    <w:rsid w:val="00833E27"/>
    <w:rsid w:val="00835925"/>
    <w:rsid w:val="00841374"/>
    <w:rsid w:val="00841FC9"/>
    <w:rsid w:val="0084226D"/>
    <w:rsid w:val="00842465"/>
    <w:rsid w:val="00842BDD"/>
    <w:rsid w:val="00842C71"/>
    <w:rsid w:val="00844B87"/>
    <w:rsid w:val="00847288"/>
    <w:rsid w:val="0085096C"/>
    <w:rsid w:val="00853EC1"/>
    <w:rsid w:val="00855196"/>
    <w:rsid w:val="00855772"/>
    <w:rsid w:val="0086045C"/>
    <w:rsid w:val="008608BA"/>
    <w:rsid w:val="00861942"/>
    <w:rsid w:val="00862DC9"/>
    <w:rsid w:val="0086458A"/>
    <w:rsid w:val="008737C0"/>
    <w:rsid w:val="008745F7"/>
    <w:rsid w:val="00881E9B"/>
    <w:rsid w:val="0088219D"/>
    <w:rsid w:val="00883682"/>
    <w:rsid w:val="0088465F"/>
    <w:rsid w:val="00884879"/>
    <w:rsid w:val="008854AE"/>
    <w:rsid w:val="00886448"/>
    <w:rsid w:val="008946BF"/>
    <w:rsid w:val="008A0B15"/>
    <w:rsid w:val="008A4C14"/>
    <w:rsid w:val="008B2544"/>
    <w:rsid w:val="008B26C6"/>
    <w:rsid w:val="008B2708"/>
    <w:rsid w:val="008B47C5"/>
    <w:rsid w:val="008B66DD"/>
    <w:rsid w:val="008B7198"/>
    <w:rsid w:val="008B72DD"/>
    <w:rsid w:val="008C18DE"/>
    <w:rsid w:val="008C3E09"/>
    <w:rsid w:val="008C5DFD"/>
    <w:rsid w:val="008D2131"/>
    <w:rsid w:val="008D3567"/>
    <w:rsid w:val="008D5213"/>
    <w:rsid w:val="008E0C2F"/>
    <w:rsid w:val="008E5076"/>
    <w:rsid w:val="008E7C2A"/>
    <w:rsid w:val="008F1627"/>
    <w:rsid w:val="00900529"/>
    <w:rsid w:val="00900BFC"/>
    <w:rsid w:val="009011ED"/>
    <w:rsid w:val="009049FC"/>
    <w:rsid w:val="009109F5"/>
    <w:rsid w:val="00912E0E"/>
    <w:rsid w:val="00912F6B"/>
    <w:rsid w:val="00914265"/>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7880"/>
    <w:rsid w:val="00A45EC3"/>
    <w:rsid w:val="00A46122"/>
    <w:rsid w:val="00A46CA4"/>
    <w:rsid w:val="00A50760"/>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11E1"/>
    <w:rsid w:val="00AA22BE"/>
    <w:rsid w:val="00AA5C1D"/>
    <w:rsid w:val="00AA5C61"/>
    <w:rsid w:val="00AA69BF"/>
    <w:rsid w:val="00AB0B62"/>
    <w:rsid w:val="00AB19B0"/>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233"/>
    <w:rsid w:val="00AF2C37"/>
    <w:rsid w:val="00AF45AD"/>
    <w:rsid w:val="00AF4F10"/>
    <w:rsid w:val="00B00DCF"/>
    <w:rsid w:val="00B0229E"/>
    <w:rsid w:val="00B02467"/>
    <w:rsid w:val="00B0753C"/>
    <w:rsid w:val="00B10934"/>
    <w:rsid w:val="00B11964"/>
    <w:rsid w:val="00B13B9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45C71"/>
    <w:rsid w:val="00B51AF6"/>
    <w:rsid w:val="00B51B20"/>
    <w:rsid w:val="00B51EBC"/>
    <w:rsid w:val="00B5317E"/>
    <w:rsid w:val="00B53791"/>
    <w:rsid w:val="00B539C0"/>
    <w:rsid w:val="00B53E01"/>
    <w:rsid w:val="00B54D49"/>
    <w:rsid w:val="00B56041"/>
    <w:rsid w:val="00B61819"/>
    <w:rsid w:val="00B62D22"/>
    <w:rsid w:val="00B6406F"/>
    <w:rsid w:val="00B656FE"/>
    <w:rsid w:val="00B67EDA"/>
    <w:rsid w:val="00B73746"/>
    <w:rsid w:val="00B7530C"/>
    <w:rsid w:val="00B76922"/>
    <w:rsid w:val="00B77513"/>
    <w:rsid w:val="00B77BBE"/>
    <w:rsid w:val="00B77F1B"/>
    <w:rsid w:val="00B83A51"/>
    <w:rsid w:val="00B83E7B"/>
    <w:rsid w:val="00B85573"/>
    <w:rsid w:val="00B876EC"/>
    <w:rsid w:val="00B90D85"/>
    <w:rsid w:val="00B92B86"/>
    <w:rsid w:val="00B9776A"/>
    <w:rsid w:val="00B97AA6"/>
    <w:rsid w:val="00BA051D"/>
    <w:rsid w:val="00BA494E"/>
    <w:rsid w:val="00BA579D"/>
    <w:rsid w:val="00BA7FBA"/>
    <w:rsid w:val="00BB054C"/>
    <w:rsid w:val="00BB1EE2"/>
    <w:rsid w:val="00BB37C1"/>
    <w:rsid w:val="00BB3A55"/>
    <w:rsid w:val="00BB739D"/>
    <w:rsid w:val="00BC1767"/>
    <w:rsid w:val="00BC29C8"/>
    <w:rsid w:val="00BC3670"/>
    <w:rsid w:val="00BC375B"/>
    <w:rsid w:val="00BC3FCE"/>
    <w:rsid w:val="00BC41D9"/>
    <w:rsid w:val="00BD00EB"/>
    <w:rsid w:val="00BD4DBF"/>
    <w:rsid w:val="00BD6E79"/>
    <w:rsid w:val="00BD7550"/>
    <w:rsid w:val="00BD7A8C"/>
    <w:rsid w:val="00BE12B3"/>
    <w:rsid w:val="00BE5754"/>
    <w:rsid w:val="00BE6D5A"/>
    <w:rsid w:val="00BF27C9"/>
    <w:rsid w:val="00BF6653"/>
    <w:rsid w:val="00BF691A"/>
    <w:rsid w:val="00C005B2"/>
    <w:rsid w:val="00C00B1F"/>
    <w:rsid w:val="00C0119D"/>
    <w:rsid w:val="00C10C77"/>
    <w:rsid w:val="00C23683"/>
    <w:rsid w:val="00C259DF"/>
    <w:rsid w:val="00C25DB3"/>
    <w:rsid w:val="00C331A1"/>
    <w:rsid w:val="00C34B35"/>
    <w:rsid w:val="00C37AC2"/>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3848"/>
    <w:rsid w:val="00CA44BC"/>
    <w:rsid w:val="00CA684E"/>
    <w:rsid w:val="00CA685D"/>
    <w:rsid w:val="00CA6928"/>
    <w:rsid w:val="00CB0CBA"/>
    <w:rsid w:val="00CB1D03"/>
    <w:rsid w:val="00CB2A8A"/>
    <w:rsid w:val="00CB3335"/>
    <w:rsid w:val="00CB3574"/>
    <w:rsid w:val="00CB4448"/>
    <w:rsid w:val="00CB6509"/>
    <w:rsid w:val="00CC25F9"/>
    <w:rsid w:val="00CC521C"/>
    <w:rsid w:val="00CD1982"/>
    <w:rsid w:val="00CD7E1B"/>
    <w:rsid w:val="00CD7F66"/>
    <w:rsid w:val="00CE23CC"/>
    <w:rsid w:val="00CE48CB"/>
    <w:rsid w:val="00CF2F88"/>
    <w:rsid w:val="00CF32E7"/>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61CD"/>
    <w:rsid w:val="00D76363"/>
    <w:rsid w:val="00D80558"/>
    <w:rsid w:val="00D80C88"/>
    <w:rsid w:val="00D84FBD"/>
    <w:rsid w:val="00D85838"/>
    <w:rsid w:val="00D85D67"/>
    <w:rsid w:val="00D86432"/>
    <w:rsid w:val="00D91EA9"/>
    <w:rsid w:val="00D92EBC"/>
    <w:rsid w:val="00D944B2"/>
    <w:rsid w:val="00D979E8"/>
    <w:rsid w:val="00DA2729"/>
    <w:rsid w:val="00DA2D88"/>
    <w:rsid w:val="00DA608B"/>
    <w:rsid w:val="00DB2B61"/>
    <w:rsid w:val="00DB34D6"/>
    <w:rsid w:val="00DB6D98"/>
    <w:rsid w:val="00DC057E"/>
    <w:rsid w:val="00DC097D"/>
    <w:rsid w:val="00DC17CF"/>
    <w:rsid w:val="00DC28F0"/>
    <w:rsid w:val="00DC3563"/>
    <w:rsid w:val="00DC53E9"/>
    <w:rsid w:val="00DD23A2"/>
    <w:rsid w:val="00DD289C"/>
    <w:rsid w:val="00DD53BD"/>
    <w:rsid w:val="00DE010C"/>
    <w:rsid w:val="00DE308B"/>
    <w:rsid w:val="00DE3CA7"/>
    <w:rsid w:val="00DE78E2"/>
    <w:rsid w:val="00DF25DF"/>
    <w:rsid w:val="00DF2640"/>
    <w:rsid w:val="00DF2B94"/>
    <w:rsid w:val="00DF349B"/>
    <w:rsid w:val="00DF3AB5"/>
    <w:rsid w:val="00DF590D"/>
    <w:rsid w:val="00E00CD3"/>
    <w:rsid w:val="00E02E1A"/>
    <w:rsid w:val="00E060CF"/>
    <w:rsid w:val="00E0620E"/>
    <w:rsid w:val="00E06456"/>
    <w:rsid w:val="00E074E2"/>
    <w:rsid w:val="00E119DF"/>
    <w:rsid w:val="00E11C18"/>
    <w:rsid w:val="00E15330"/>
    <w:rsid w:val="00E2006D"/>
    <w:rsid w:val="00E20579"/>
    <w:rsid w:val="00E207F0"/>
    <w:rsid w:val="00E20FC5"/>
    <w:rsid w:val="00E211D9"/>
    <w:rsid w:val="00E21482"/>
    <w:rsid w:val="00E227B2"/>
    <w:rsid w:val="00E24CDF"/>
    <w:rsid w:val="00E26F29"/>
    <w:rsid w:val="00E302BC"/>
    <w:rsid w:val="00E31954"/>
    <w:rsid w:val="00E33923"/>
    <w:rsid w:val="00E33D03"/>
    <w:rsid w:val="00E34279"/>
    <w:rsid w:val="00E36EA1"/>
    <w:rsid w:val="00E4196E"/>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403A"/>
    <w:rsid w:val="00EA76FF"/>
    <w:rsid w:val="00EB051C"/>
    <w:rsid w:val="00EC533C"/>
    <w:rsid w:val="00EC6B43"/>
    <w:rsid w:val="00EC7156"/>
    <w:rsid w:val="00EC78C3"/>
    <w:rsid w:val="00EC79EC"/>
    <w:rsid w:val="00ED2A6A"/>
    <w:rsid w:val="00ED377B"/>
    <w:rsid w:val="00ED441B"/>
    <w:rsid w:val="00ED7332"/>
    <w:rsid w:val="00ED7BC2"/>
    <w:rsid w:val="00EE1E04"/>
    <w:rsid w:val="00EF0853"/>
    <w:rsid w:val="00EF6631"/>
    <w:rsid w:val="00EF688F"/>
    <w:rsid w:val="00F00603"/>
    <w:rsid w:val="00F0060E"/>
    <w:rsid w:val="00F01CF2"/>
    <w:rsid w:val="00F01E91"/>
    <w:rsid w:val="00F03155"/>
    <w:rsid w:val="00F03950"/>
    <w:rsid w:val="00F049D6"/>
    <w:rsid w:val="00F13412"/>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45CF"/>
    <w:rsid w:val="00F57898"/>
    <w:rsid w:val="00F63F2A"/>
    <w:rsid w:val="00F646EF"/>
    <w:rsid w:val="00F71666"/>
    <w:rsid w:val="00F72D85"/>
    <w:rsid w:val="00F72E3F"/>
    <w:rsid w:val="00F77B9C"/>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A2DC1"/>
    <w:rsid w:val="00FB044B"/>
    <w:rsid w:val="00FB1C7A"/>
    <w:rsid w:val="00FB24BA"/>
    <w:rsid w:val="00FB55E3"/>
    <w:rsid w:val="00FD3685"/>
    <w:rsid w:val="00FD3A69"/>
    <w:rsid w:val="00FD3EB9"/>
    <w:rsid w:val="00FE044C"/>
    <w:rsid w:val="00FE68B2"/>
    <w:rsid w:val="00FE7250"/>
    <w:rsid w:val="00FF013B"/>
    <w:rsid w:val="00FF16D1"/>
    <w:rsid w:val="00FF2BA0"/>
    <w:rsid w:val="00FF556D"/>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2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A2729"/>
    <w:pPr>
      <w:numPr>
        <w:numId w:val="1"/>
      </w:numPr>
      <w:ind w:left="567" w:hanging="567"/>
      <w:outlineLvl w:val="0"/>
    </w:pPr>
    <w:rPr>
      <w:kern w:val="28"/>
    </w:rPr>
  </w:style>
  <w:style w:type="paragraph" w:styleId="Heading2">
    <w:name w:val="heading 2"/>
    <w:basedOn w:val="Normal"/>
    <w:next w:val="Normal"/>
    <w:link w:val="Heading2Char"/>
    <w:qFormat/>
    <w:rsid w:val="00DA2729"/>
    <w:pPr>
      <w:numPr>
        <w:ilvl w:val="1"/>
        <w:numId w:val="1"/>
      </w:numPr>
      <w:ind w:left="567" w:hanging="567"/>
      <w:outlineLvl w:val="1"/>
    </w:pPr>
  </w:style>
  <w:style w:type="paragraph" w:styleId="Heading3">
    <w:name w:val="heading 3"/>
    <w:basedOn w:val="Normal"/>
    <w:next w:val="Normal"/>
    <w:link w:val="Heading3Char"/>
    <w:qFormat/>
    <w:rsid w:val="00DA2729"/>
    <w:pPr>
      <w:numPr>
        <w:ilvl w:val="2"/>
        <w:numId w:val="1"/>
      </w:numPr>
      <w:ind w:left="567" w:hanging="567"/>
      <w:outlineLvl w:val="2"/>
    </w:pPr>
  </w:style>
  <w:style w:type="paragraph" w:styleId="Heading4">
    <w:name w:val="heading 4"/>
    <w:basedOn w:val="Normal"/>
    <w:next w:val="Normal"/>
    <w:link w:val="Heading4Char"/>
    <w:qFormat/>
    <w:rsid w:val="00DA2729"/>
    <w:pPr>
      <w:numPr>
        <w:ilvl w:val="3"/>
        <w:numId w:val="1"/>
      </w:numPr>
      <w:ind w:left="567" w:hanging="567"/>
      <w:outlineLvl w:val="3"/>
    </w:pPr>
  </w:style>
  <w:style w:type="paragraph" w:styleId="Heading5">
    <w:name w:val="heading 5"/>
    <w:basedOn w:val="Normal"/>
    <w:next w:val="Normal"/>
    <w:link w:val="Heading5Char"/>
    <w:qFormat/>
    <w:rsid w:val="00DA2729"/>
    <w:pPr>
      <w:numPr>
        <w:ilvl w:val="4"/>
        <w:numId w:val="1"/>
      </w:numPr>
      <w:ind w:left="567" w:hanging="567"/>
      <w:outlineLvl w:val="4"/>
    </w:pPr>
  </w:style>
  <w:style w:type="paragraph" w:styleId="Heading6">
    <w:name w:val="heading 6"/>
    <w:basedOn w:val="Normal"/>
    <w:next w:val="Normal"/>
    <w:link w:val="Heading6Char"/>
    <w:qFormat/>
    <w:rsid w:val="00DA2729"/>
    <w:pPr>
      <w:numPr>
        <w:ilvl w:val="5"/>
        <w:numId w:val="1"/>
      </w:numPr>
      <w:ind w:left="567" w:hanging="567"/>
      <w:outlineLvl w:val="5"/>
    </w:pPr>
  </w:style>
  <w:style w:type="paragraph" w:styleId="Heading7">
    <w:name w:val="heading 7"/>
    <w:basedOn w:val="Normal"/>
    <w:next w:val="Normal"/>
    <w:link w:val="Heading7Char"/>
    <w:qFormat/>
    <w:rsid w:val="00DA2729"/>
    <w:pPr>
      <w:numPr>
        <w:ilvl w:val="6"/>
        <w:numId w:val="1"/>
      </w:numPr>
      <w:ind w:left="567" w:hanging="567"/>
      <w:outlineLvl w:val="6"/>
    </w:pPr>
  </w:style>
  <w:style w:type="paragraph" w:styleId="Heading8">
    <w:name w:val="heading 8"/>
    <w:basedOn w:val="Normal"/>
    <w:next w:val="Normal"/>
    <w:link w:val="Heading8Char"/>
    <w:qFormat/>
    <w:rsid w:val="00DA2729"/>
    <w:pPr>
      <w:numPr>
        <w:ilvl w:val="7"/>
        <w:numId w:val="1"/>
      </w:numPr>
      <w:ind w:left="567" w:hanging="567"/>
      <w:outlineLvl w:val="7"/>
    </w:pPr>
  </w:style>
  <w:style w:type="paragraph" w:styleId="Heading9">
    <w:name w:val="heading 9"/>
    <w:basedOn w:val="Normal"/>
    <w:next w:val="Normal"/>
    <w:link w:val="Heading9Char"/>
    <w:qFormat/>
    <w:rsid w:val="00DA272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DA2729"/>
  </w:style>
  <w:style w:type="character" w:customStyle="1" w:styleId="FooterChar">
    <w:name w:val="Footer Char"/>
    <w:basedOn w:val="DefaultParagraphFont"/>
    <w:link w:val="Footer"/>
    <w:rsid w:val="004D7AC0"/>
    <w:rPr>
      <w:rFonts w:ascii="Times New Roman" w:eastAsia="Times New Roman" w:hAnsi="Times New Roman" w:cs="Times New Roman"/>
      <w:lang w:val="en-US"/>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DA2729"/>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lang w:val="en-US"/>
    </w:rPr>
  </w:style>
  <w:style w:type="paragraph" w:styleId="Header">
    <w:name w:val="header"/>
    <w:basedOn w:val="Normal"/>
    <w:link w:val="HeaderChar"/>
    <w:qFormat/>
    <w:rsid w:val="00DA2729"/>
  </w:style>
  <w:style w:type="character" w:customStyle="1" w:styleId="HeaderChar">
    <w:name w:val="Header Char"/>
    <w:basedOn w:val="DefaultParagraphFont"/>
    <w:link w:val="Header"/>
    <w:rsid w:val="004D7AC0"/>
    <w:rPr>
      <w:rFonts w:ascii="Times New Roman" w:eastAsia="Times New Roman" w:hAnsi="Times New Roman" w:cs="Times New Roman"/>
      <w:lang w:val="en-US"/>
    </w:rPr>
  </w:style>
  <w:style w:type="paragraph" w:customStyle="1" w:styleId="quotes">
    <w:name w:val="quotes"/>
    <w:basedOn w:val="Normal"/>
    <w:next w:val="Normal"/>
    <w:rsid w:val="00DA2729"/>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DA2729"/>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4C6A59"/>
    <w:pPr>
      <w:tabs>
        <w:tab w:val="left" w:pos="440"/>
        <w:tab w:val="right" w:leader="dot" w:pos="9063"/>
      </w:tabs>
      <w:spacing w:before="240"/>
      <w:ind w:left="426" w:hanging="426"/>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fr-F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F77B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yperlink" Target="mailto:Colombe.gregoire@eesc.europa.eu" TargetMode="External"/><Relationship Id="rId26" Type="http://schemas.openxmlformats.org/officeDocument/2006/relationships/hyperlink" Target="mailto:JeanMarie.Rogue@eesc.europa.eu" TargetMode="External"/><Relationship Id="rId39" Type="http://schemas.openxmlformats.org/officeDocument/2006/relationships/hyperlink" Target="mailto:Dalila.Bernard@eesc.europa.eu" TargetMode="External"/><Relationship Id="rId21" Type="http://schemas.openxmlformats.org/officeDocument/2006/relationships/hyperlink" Target="https://www.eesc.europa.eu/fr/our-work/opinions-information-reports/opinions/linvestissement-realise-dans-une-optique-de-genre-comme-moyen-dameliorer-legalite-entre-les-hommes-et-les-femmes-dans" TargetMode="External"/><Relationship Id="rId34" Type="http://schemas.openxmlformats.org/officeDocument/2006/relationships/hyperlink" Target="https://www.eesc.europa.eu/fr/our-work/opinions-information-reports/opinions/instrument-du-marche-unique-pour-les-situations-durgence" TargetMode="External"/><Relationship Id="rId42" Type="http://schemas.openxmlformats.org/officeDocument/2006/relationships/hyperlink" Target="https://www.eesc.europa.eu/fr/our-work/opinions-information-reports/opinions/initiative-citoyenne-europeenne-sauvons-les-abeilles-et-les-agriculteurs" TargetMode="External"/><Relationship Id="rId47" Type="http://schemas.openxmlformats.org/officeDocument/2006/relationships/hyperlink" Target="mailto:Martine.Delanoy@eesc.europa.eu" TargetMode="External"/><Relationship Id="rId50" Type="http://schemas.openxmlformats.org/officeDocument/2006/relationships/hyperlink" Target="mailto:Gaia.bottoni@eesc.europa.eu" TargetMode="External"/><Relationship Id="rId55" Type="http://schemas.openxmlformats.org/officeDocument/2006/relationships/hyperlink" Target="mailto:Ewa.Tomaszewska@eesc.europa.eu"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abrina.Borg@eesc.europa.eu" TargetMode="External"/><Relationship Id="rId29" Type="http://schemas.openxmlformats.org/officeDocument/2006/relationships/hyperlink" Target="mailto:Sabrina.Borg@ees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fr/our-work/opinions-information-reports/opinions/protection-contre-lexposition-lamiante-pendant-le-travail" TargetMode="External"/><Relationship Id="rId32" Type="http://schemas.openxmlformats.org/officeDocument/2006/relationships/hyperlink" Target="https://www.eesc.europa.eu/fr/our-work/opinions-information-reports/opinions/un-nouveau-programme-europeen-dinnovation" TargetMode="External"/><Relationship Id="rId37" Type="http://schemas.openxmlformats.org/officeDocument/2006/relationships/hyperlink" Target="mailto:marco.manfroni@eesc.europa.eu" TargetMode="External"/><Relationship Id="rId40" Type="http://schemas.openxmlformats.org/officeDocument/2006/relationships/hyperlink" Target="https://www.eesc.europa.eu/fr/our-work/opinions-information-reports/opinions/donner-aux-jeunes-les-moyens-de-realiser-le-developpement-durable-grace-leducation" TargetMode="External"/><Relationship Id="rId45" Type="http://schemas.openxmlformats.org/officeDocument/2006/relationships/hyperlink" Target="mailto:Monica.Guarinoni@eesc.europa.eu" TargetMode="External"/><Relationship Id="rId53" Type="http://schemas.openxmlformats.org/officeDocument/2006/relationships/hyperlink" Target="mailto:Maarit.Laurila@eesc.europa.eu" TargetMode="External"/><Relationship Id="rId58" Type="http://schemas.openxmlformats.org/officeDocument/2006/relationships/hyperlink" Target="https://www.eesc.europa.eu/fr/our-work/opinions-information-reports/opinions/analyse-des-deficits-dinvestissement-dans-le-domaine-de-la-defense-et-la-voie-suivre"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fr/documents/resolution/long-lasting-legacy-european-year-youth-youth-mainstreaming-and-empowerment" TargetMode="External"/><Relationship Id="rId23" Type="http://schemas.openxmlformats.org/officeDocument/2006/relationships/hyperlink" Target="mailto:Gemma.Amran@eesc.europa.eu" TargetMode="External"/><Relationship Id="rId28" Type="http://schemas.openxmlformats.org/officeDocument/2006/relationships/hyperlink" Target="https://www.eesc.europa.eu/fr/our-work/opinions-information-reports/opinions/annee-europeenne-des-talents-2023" TargetMode="External"/><Relationship Id="rId36" Type="http://schemas.openxmlformats.org/officeDocument/2006/relationships/hyperlink" Target="https://www.eesc.europa.eu/fr/our-work/opinions-information-reports/opinions/legislation-sur-la-cyberesillience" TargetMode="External"/><Relationship Id="rId49" Type="http://schemas.openxmlformats.org/officeDocument/2006/relationships/hyperlink" Target="https://www.eesc.europa.eu/fr/our-work/opinions-information-reports/opinions/revision-de-la-directive-sur-une-utilisation-des-pesticides-compatible-avec-le-developpement-durable" TargetMode="External"/><Relationship Id="rId57" Type="http://schemas.openxmlformats.org/officeDocument/2006/relationships/hyperlink" Target="mailto:Ioannis.Diamantopoulos@eesc.europa.eu"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esc.europa.eu/fr/our-work/opinions-information-reports/opinions/exchange-information-maintained-electronic-registers" TargetMode="External"/><Relationship Id="rId31" Type="http://schemas.openxmlformats.org/officeDocument/2006/relationships/hyperlink" Target="mailto:silvia.staffa@eesc.europa.eu" TargetMode="External"/><Relationship Id="rId44" Type="http://schemas.openxmlformats.org/officeDocument/2006/relationships/hyperlink" Target="https://www.eesc.europa.eu/fr/our-work/opinions-information-reports/opinions/la-crise-des-prix-des-denrees-alimentaires-role-de-la-speculation-et-propositions-concretes-daction-dans-un-contexte-de" TargetMode="External"/><Relationship Id="rId52" Type="http://schemas.openxmlformats.org/officeDocument/2006/relationships/hyperlink" Target="https://www.eesc.europa.eu/fr/our-work/opinions-information-reports/information-reports/transition-numerique-dans-la-region-euro-mediterraneenne" TargetMode="External"/><Relationship Id="rId60" Type="http://schemas.openxmlformats.org/officeDocument/2006/relationships/header" Target="header1.xm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esc.europa.eu/fr/our-work/opinions-information-reports/opinions/recouvrement-et-confiscation-davoirs" TargetMode="External"/><Relationship Id="rId27" Type="http://schemas.openxmlformats.org/officeDocument/2006/relationships/hyperlink" Target="https://www.eesc.europa.eu/fr/our-work/opinions-information-reports/opinions/legislation-europeenne-sur-la-liberte-des-medias" TargetMode="External"/><Relationship Id="rId30" Type="http://schemas.openxmlformats.org/officeDocument/2006/relationships/hyperlink" Target="https://www.eesc.europa.eu/fr/our-work/opinions-information-reports/opinions/rapport-sur-la-politique-de-concurrence" TargetMode="External"/><Relationship Id="rId35" Type="http://schemas.openxmlformats.org/officeDocument/2006/relationships/hyperlink" Target="mailto:Dalila.Bernard@eesc.europa.eu" TargetMode="External"/><Relationship Id="rId43" Type="http://schemas.openxmlformats.org/officeDocument/2006/relationships/hyperlink" Target="mailto:Gaia.Bottoni@eesc.europa.eu" TargetMode="External"/><Relationship Id="rId48" Type="http://schemas.openxmlformats.org/officeDocument/2006/relationships/hyperlink" Target="mailto:laura.ernsteina@eesc.europa.eu" TargetMode="External"/><Relationship Id="rId56" Type="http://schemas.openxmlformats.org/officeDocument/2006/relationships/hyperlink" Target="https://www.eesc.europa.eu/fr/our-work/opinions-information-reports/opinions/une-strategie-industrielle-pour-le-secteur-des-technologies-maritimes"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Arturo.Iniguez@eesc.europa.eu" TargetMode="External"/><Relationship Id="rId3" Type="http://schemas.openxmlformats.org/officeDocument/2006/relationships/customXml" Target="../customXml/item3.xml"/><Relationship Id="rId12" Type="http://schemas.openxmlformats.org/officeDocument/2006/relationships/hyperlink" Target="https://www.eesc.europa.eu/fr/our-work/opinions-information-reports/plenary-session-summaries" TargetMode="External"/><Relationship Id="rId17" Type="http://schemas.openxmlformats.org/officeDocument/2006/relationships/hyperlink" Target="https://www.eesc.europa.eu/fr/our-work/opinions-information-reports/opinions/investissements-fondes-sur-le-sexe-dans-les-plans-nationaux-pour-la-reprise-et-la-resilience" TargetMode="External"/><Relationship Id="rId25" Type="http://schemas.openxmlformats.org/officeDocument/2006/relationships/hyperlink" Target="https://www.eesc.europa.eu/fr/our-work/opinions-information-reports/opinions/communiquer-sur-les-droits-fondamentaux-et-letat-de-droit" TargetMode="External"/><Relationship Id="rId33" Type="http://schemas.openxmlformats.org/officeDocument/2006/relationships/hyperlink" Target="mailto:Radoslava.Stefankova@eesc.europa.eu" TargetMode="External"/><Relationship Id="rId38" Type="http://schemas.openxmlformats.org/officeDocument/2006/relationships/hyperlink" Target="https://www.eesc.europa.eu/fr/our-work/opinions-information-reports/opinions/un-controle-de-competitivite-pour-construire-une-economie-de-lunion-europeenne-plus-forte-et-resiliente" TargetMode="External"/><Relationship Id="rId46" Type="http://schemas.openxmlformats.org/officeDocument/2006/relationships/hyperlink" Target="https://www.eesc.europa.eu/fr/our-work/opinions-information-reports/information-reports/evaluation-du-programme-de-lue-destination-des-ecoles" TargetMode="External"/><Relationship Id="rId59" Type="http://schemas.openxmlformats.org/officeDocument/2006/relationships/hyperlink" Target="mailto:Laia.TomasVinardell@eesc.europa.eu" TargetMode="External"/><Relationship Id="rId67" Type="http://schemas.openxmlformats.org/officeDocument/2006/relationships/theme" Target="theme/theme1.xml"/><Relationship Id="rId20" Type="http://schemas.openxmlformats.org/officeDocument/2006/relationships/hyperlink" Target="mailto:Juri.Soosaar@eesc.europa.eu" TargetMode="External"/><Relationship Id="rId41" Type="http://schemas.openxmlformats.org/officeDocument/2006/relationships/hyperlink" Target="mailto:Ulrike.Meissner@eesc.europa.eu" TargetMode="External"/><Relationship Id="rId54" Type="http://schemas.openxmlformats.org/officeDocument/2006/relationships/hyperlink" Target="https://www.eesc.europa.eu/fr/our-work/opinions-information-reports/opinions/la-situation-socio-economique-en-amerique-latine-la-suite-de-la-crise-de-la-covid-19-le-role-de-la-societe-civile-dans" TargetMode="External"/><Relationship Id="rId6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fr/our-work/opinions-information-reports/information-reports/evaluation-de-la-directive-sur-une-utilisation-des-pesticides-compatible-avec-le-developpement-durable-ra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P6FJPSUHKDC2-371278765-6046</_dlc_DocId>
    <_dlc_DocIdUrl xmlns="1299d781-265f-4ceb-999e-e1eca3df2c90">
      <Url>http://dm2016/eesc/2022/_layouts/15/DocIdRedir.aspx?ID=P6FJPSUHKDC2-371278765-6046</Url>
      <Description>P6FJPSUHKDC2-371278765-6046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2023-01-17T12:00:00+00:00</ProductionDate>
    <DocumentNumber xmlns="281c40f8-cf82-492d-ab76-d64788f6d6e7">5401</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2023-01-24T12:00:00+00:00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289</FicheNumber>
    <OriginalSender xmlns="1299d781-265f-4ceb-999e-e1eca3df2c90">
      <UserInfo>
        <DisplayName>Cade Catherine</DisplayName>
        <AccountId>1704</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575</MeetingNumber>
    <DossierName_0 xmlns="http://schemas.microsoft.com/sharepoint/v3/fields">
      <Terms xmlns="http://schemas.microsoft.com/office/infopath/2007/PartnerControl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8317C-49AB-497E-8456-DA9A7D7E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64693-3E5E-4866-933F-35A0127AA4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281c40f8-cf82-492d-ab76-d64788f6d6e7"/>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3E5BABF-FCA3-435A-B108-FFF59E29289A}">
  <ds:schemaRefs>
    <ds:schemaRef ds:uri="http://schemas.microsoft.com/sharepoint/events"/>
  </ds:schemaRefs>
</ds:datastoreItem>
</file>

<file path=customXml/itemProps4.xml><?xml version="1.0" encoding="utf-8"?>
<ds:datastoreItem xmlns:ds="http://schemas.openxmlformats.org/officeDocument/2006/customXml" ds:itemID="{744D5BBD-B255-4C47-907D-8D416E658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10667</Words>
  <Characters>60808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 Plénière de décembre 2022</dc:title>
  <dc:subject>TCD</dc:subject>
  <dc:creator>Nieddu Emma</dc:creator>
  <cp:keywords>EESC-2022-05401-00-01-TCD-TRA-EN</cp:keywords>
  <dc:description>Rapporteur:  - Original language: EN - Date of document: 17/01/2023 - Date of meeting: 30/24/2023 14:30 - External documents:  - Administrator: Mme DAMYANOVA-KERESTELIEVA Ani Alexieva</dc:description>
  <cp:lastModifiedBy>Hvizdosova Jana</cp:lastModifiedBy>
  <cp:revision>51</cp:revision>
  <cp:lastPrinted>2022-12-02T08:55:00Z</cp:lastPrinted>
  <dcterms:created xsi:type="dcterms:W3CDTF">2023-01-11T09:49:00Z</dcterms:created>
  <dcterms:modified xsi:type="dcterms:W3CDTF">2023-01-18T08:50:00Z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11/01/2023, 10/01/2023, 29/03/2022, 04/03/2022, 15/12/2021, 13/09/2021, 03/09/2021, 28/06/2021</vt:lpwstr>
  </property>
  <property fmtid="{D5CDD505-2E9C-101B-9397-08002B2CF9AE}" pid="4" name="Pref_Time">
    <vt:lpwstr>10:12:15, 11:41:25, 14:21:50, 16:54:06, 17:56:36, 14:13:00, 10:08:10, 08:41:48</vt:lpwstr>
  </property>
  <property fmtid="{D5CDD505-2E9C-101B-9397-08002B2CF9AE}" pid="5" name="Pref_User">
    <vt:lpwstr>pacup, enied, jhvi, enied, hnic, amett, enied, enied</vt:lpwstr>
  </property>
  <property fmtid="{D5CDD505-2E9C-101B-9397-08002B2CF9AE}" pid="6" name="Pref_FileName">
    <vt:lpwstr>EESC-2022-05401-00-01-TCD-TRA.docx, EESC-2022-05401-00-00-TCD-ORI.docx, EESC-2022-01223-00-00-TCD-ORI.docx, EESC-2022-00391-00-00-TCD-ORI.docx, EESC-2021-05445-00-00-TCD-ORI.docx, EESC-2021-03366-00-01-TCD-ORI.docx, EESC-2021-03366-00-00-TCD-ORI.docx, Syn</vt:lpwstr>
  </property>
  <property fmtid="{D5CDD505-2E9C-101B-9397-08002B2CF9AE}" pid="7" name="ContentTypeId">
    <vt:lpwstr>0x010100EA97B91038054C99906057A708A1480A00DD3FA595162D7E46B831C309E09FD749</vt:lpwstr>
  </property>
  <property fmtid="{D5CDD505-2E9C-101B-9397-08002B2CF9AE}" pid="8" name="_dlc_DocIdItemGuid">
    <vt:lpwstr>83dcfc9b-4768-482f-8c5d-45807ac430ff</vt:lpwstr>
  </property>
  <property fmtid="{D5CDD505-2E9C-101B-9397-08002B2CF9AE}" pid="9" name="AvailableTranslations">
    <vt:lpwstr>45;#RO|feb747a2-64cd-4299-af12-4833ddc30497;#46;#EL|6d4f4d51-af9b-4650-94b4-4276bee85c91;#32;#DA|5d49c027-8956-412b-aa16-e85a0f96ad0e;#44;#LT|a7ff5ce7-6123-4f68-865a-a57c31810414;#43;#NL|55c6556c-b4f4-441d-9acf-c498d4f838bd;#33;#IT|0774613c-01ed-4e5d-a25d-11d2388de825;#11;#FR|d2afafd3-4c81-4f60-8f52-ee33f2f54ff3;#31;#ES|e7a6b05b-ae16-40c8-add9-68b64b03aeba;#42;#SL|98a412ae-eb01-49e9-ae3d-585a81724cfc;#37;#PT|50ccc04a-eadd-42ae-a0cb-acaf45f812ba;#22;#DE|f6b31e5a-26fa-4935-b661-318e46daf27e;#34;#SK|46d9fce0-ef79-4f71-b89b-cd6aa82426b8;#41;#CS|72f9705b-0217-4fd3-bea2-cbc7ed80e26e;#38;#FI|87606a43-d45f-42d6-b8c9-e1a3457db5b7;#55;#HR|2f555653-ed1a-4fe6-8362-9082d95989e5;#29;#SV|c2ed69e7-a339-43d7-8f22-d93680a92aa0;#40;#BG|1a1b3951-7821-4e6a-85f5-5673fc08bd2c;#36;#HU|6b229040-c589-4408-b4c1-4285663d20a8;#4;#EN|f2175f21-25d7-44a3-96da-d6a61b075e1b;#26;#LV|46f7e311-5d9f-4663-b433-18aeccb7ace7;#30;#PL|1e03da61-4678-4e07-b136-b5024ca9197b;#54;#ET|ff6c3f4c-b02c-4c3c-ab07-2c37995a7a0a</vt:lpwstr>
  </property>
  <property fmtid="{D5CDD505-2E9C-101B-9397-08002B2CF9AE}" pid="10" name="DocumentType_0">
    <vt:lpwstr>TCD|cd9d6eb6-3f4f-424a-b2d1-57c9d450eaaf</vt:lpwstr>
  </property>
  <property fmtid="{D5CDD505-2E9C-101B-9397-08002B2CF9AE}" pid="11" name="MeetingNumber">
    <vt:i4>575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5401</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25;#TCD|cd9d6eb6-3f4f-424a-b2d1-57c9d450eaaf</vt:lpwstr>
  </property>
  <property fmtid="{D5CDD505-2E9C-101B-9397-08002B2CF9AE}" pid="21" name="RequestingService">
    <vt:lpwstr>Greffe</vt:lpwstr>
  </property>
  <property fmtid="{D5CDD505-2E9C-101B-9397-08002B2CF9AE}" pid="22" name="Confidentiality">
    <vt:lpwstr>9;#Unrestricted|826e22d7-d029-4ec0-a450-0c28ff673572</vt:lpwstr>
  </property>
  <property fmtid="{D5CDD505-2E9C-101B-9397-08002B2CF9AE}" pid="23" name="MeetingName_0">
    <vt:lpwstr>SPL-CES|32d8cb1f-c9ec-4365-95c7-8385a18618ac</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51;#SPL-CES|32d8cb1f-c9ec-4365-95c7-8385a18618ac</vt:lpwstr>
  </property>
  <property fmtid="{D5CDD505-2E9C-101B-9397-08002B2CF9AE}" pid="27" name="MeetingDate">
    <vt:filetime>2023-01-24T12:00:00Z</vt:filetime>
  </property>
  <property fmtid="{D5CDD505-2E9C-101B-9397-08002B2CF9AE}" pid="28" name="AvailableTranslations_0">
    <vt:lpwstr>RO|feb747a2-64cd-4299-af12-4833ddc30497;EL|6d4f4d51-af9b-4650-94b4-4276bee85c91;DA|5d49c027-8956-412b-aa16-e85a0f96ad0e;NL|55c6556c-b4f4-441d-9acf-c498d4f838bd;IT|0774613c-01ed-4e5d-a25d-11d2388de825;ES|e7a6b05b-ae16-40c8-add9-68b64b03aeba;SL|98a412ae-eb0</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36;#HU|6b229040-c589-4408-b4c1-4285663d20a8;#33;#IT|0774613c-01ed-4e5d-a25d-11d2388de825;#32;#DA|5d49c027-8956-412b-aa16-e85a0f96ad0e;#31;#ES|e7a6b05b-ae16-40c8-add9-68b64b03aeba;#43;#NL|55c6556c-b4f4-441d-9acf-c498d4f838bd;#29;#SV|c2ed69e7-a339-43d7-8f22</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289</vt:i4>
  </property>
  <property fmtid="{D5CDD505-2E9C-101B-9397-08002B2CF9AE}" pid="36" name="DocumentLanguage">
    <vt:lpwstr>11;#FR|d2afafd3-4c81-4f60-8f52-ee33f2f54ff3</vt:lpwstr>
  </property>
</Properties>
</file>