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E44C" w14:textId="66478AEB" w:rsidR="004D7AC0" w:rsidRPr="009B70E7" w:rsidRDefault="003A111C" w:rsidP="00116A1C">
      <w:pPr>
        <w:jc w:val="center"/>
      </w:pPr>
      <w:r>
        <w:rPr>
          <w:noProof/>
          <w:lang w:val="en-US"/>
        </w:rPr>
        <w:drawing>
          <wp:inline distT="0" distB="0" distL="0" distR="0" wp14:anchorId="42D62E54" wp14:editId="77E64DE3">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A21849">
        <w:rPr>
          <w:noProof/>
          <w:sz w:val="20"/>
          <w:lang w:val="en-US"/>
        </w:rPr>
        <mc:AlternateContent>
          <mc:Choice Requires="wps">
            <w:drawing>
              <wp:anchor distT="0" distB="0" distL="114300" distR="114300" simplePos="0" relativeHeight="251659264" behindDoc="1" locked="0" layoutInCell="0" allowOverlap="1" wp14:anchorId="60050413" wp14:editId="61A936A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0ECF" w14:textId="77777777" w:rsidR="00576060" w:rsidRPr="00260E65" w:rsidRDefault="00576060" w:rsidP="004D7AC0">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5041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2AA40ECF" w14:textId="77777777" w:rsidR="00576060" w:rsidRPr="00260E65" w:rsidRDefault="00576060" w:rsidP="004D7AC0">
                      <w:pPr>
                        <w:jc w:val="center"/>
                        <w:rPr>
                          <w:rFonts w:ascii="Arial" w:hAnsi="Arial" w:cs="Arial"/>
                          <w:b/>
                          <w:bCs/>
                          <w:sz w:val="48"/>
                        </w:rPr>
                      </w:pPr>
                      <w:r>
                        <w:rPr>
                          <w:rFonts w:ascii="Arial" w:hAnsi="Arial"/>
                          <w:b/>
                          <w:sz w:val="48"/>
                        </w:rPr>
                        <w:t>LV</w:t>
                      </w:r>
                    </w:p>
                  </w:txbxContent>
                </v:textbox>
                <w10:wrap anchorx="page" anchory="page"/>
              </v:shape>
            </w:pict>
          </mc:Fallback>
        </mc:AlternateContent>
      </w:r>
    </w:p>
    <w:p w14:paraId="51F52D79" w14:textId="77777777" w:rsidR="004D7AC0" w:rsidRPr="009B70E7" w:rsidRDefault="004D7AC0" w:rsidP="00116A1C"/>
    <w:p w14:paraId="45DE4A28" w14:textId="729B9B9A" w:rsidR="004D7AC0" w:rsidRPr="009B70E7" w:rsidRDefault="00014C93" w:rsidP="00116A1C">
      <w:pPr>
        <w:jc w:val="right"/>
      </w:pPr>
      <w:r>
        <w:t>Briselē, 2022.</w:t>
      </w:r>
      <w:r w:rsidR="00B80604">
        <w:t> </w:t>
      </w:r>
      <w:r>
        <w:t>gada 17.</w:t>
      </w:r>
      <w:r w:rsidR="00B80604">
        <w:t> </w:t>
      </w:r>
      <w:r>
        <w:t>novembrī</w:t>
      </w:r>
    </w:p>
    <w:p w14:paraId="7BCFBA24" w14:textId="77777777" w:rsidR="004D7AC0" w:rsidRPr="009B70E7" w:rsidRDefault="004D7AC0"/>
    <w:p w14:paraId="6B250092" w14:textId="77777777" w:rsidR="004D7AC0" w:rsidRPr="009B70E7" w:rsidRDefault="004D7AC0"/>
    <w:p w14:paraId="0593C6DF" w14:textId="77777777" w:rsidR="004D7AC0" w:rsidRPr="009B70E7" w:rsidRDefault="004D7AC0"/>
    <w:tbl>
      <w:tblPr>
        <w:tblW w:w="0" w:type="auto"/>
        <w:tblLook w:val="04A0" w:firstRow="1" w:lastRow="0" w:firstColumn="1" w:lastColumn="0" w:noHBand="0" w:noVBand="1"/>
      </w:tblPr>
      <w:tblGrid>
        <w:gridCol w:w="9289"/>
      </w:tblGrid>
      <w:tr w:rsidR="004D7AC0" w:rsidRPr="009B70E7" w14:paraId="6D7B3453" w14:textId="77777777" w:rsidTr="00662436">
        <w:tc>
          <w:tcPr>
            <w:tcW w:w="9289" w:type="dxa"/>
            <w:tcBorders>
              <w:bottom w:val="double" w:sz="4" w:space="0" w:color="auto"/>
            </w:tcBorders>
          </w:tcPr>
          <w:p w14:paraId="114106CC" w14:textId="5476BDEA" w:rsidR="004D7AC0" w:rsidRPr="009B70E7" w:rsidRDefault="00DA2D88">
            <w:pPr>
              <w:snapToGrid w:val="0"/>
              <w:jc w:val="center"/>
              <w:rPr>
                <w:rFonts w:eastAsia="MS Mincho"/>
                <w:b/>
                <w:sz w:val="32"/>
                <w:szCs w:val="32"/>
              </w:rPr>
            </w:pPr>
            <w:r>
              <w:rPr>
                <w:b/>
                <w:sz w:val="32"/>
              </w:rPr>
              <w:t>573. PLENĀRĀ SESIJA</w:t>
            </w:r>
            <w:r>
              <w:rPr>
                <w:b/>
                <w:sz w:val="32"/>
              </w:rPr>
              <w:br/>
            </w:r>
            <w:r>
              <w:rPr>
                <w:b/>
                <w:sz w:val="32"/>
              </w:rPr>
              <w:br/>
              <w:t>2022. gada 26. un 27.</w:t>
            </w:r>
            <w:r w:rsidR="00B80604">
              <w:rPr>
                <w:b/>
                <w:sz w:val="32"/>
              </w:rPr>
              <w:t> </w:t>
            </w:r>
            <w:r>
              <w:rPr>
                <w:b/>
                <w:sz w:val="32"/>
              </w:rPr>
              <w:t>oktobrī</w:t>
            </w:r>
            <w:r>
              <w:rPr>
                <w:b/>
                <w:sz w:val="32"/>
              </w:rPr>
              <w:br/>
            </w:r>
            <w:r>
              <w:rPr>
                <w:b/>
                <w:sz w:val="32"/>
              </w:rPr>
              <w:br/>
              <w:t xml:space="preserve">PIEŅEMTO ATZINUMU UN REZOLŪCIJU, KĀ ARĪ INFORMATĪVO / NOVĒRTĒJUMA ZIŅOJUMU KOPSAVILKUMS </w:t>
            </w:r>
          </w:p>
          <w:p w14:paraId="06AE72EA" w14:textId="77777777" w:rsidR="004D7AC0" w:rsidRPr="009B70E7" w:rsidRDefault="004D7AC0">
            <w:pPr>
              <w:snapToGrid w:val="0"/>
            </w:pPr>
          </w:p>
        </w:tc>
      </w:tr>
      <w:tr w:rsidR="004D7AC0" w:rsidRPr="009B70E7" w14:paraId="45EAB22F" w14:textId="77777777" w:rsidTr="00662436">
        <w:tc>
          <w:tcPr>
            <w:tcW w:w="9289" w:type="dxa"/>
            <w:tcBorders>
              <w:top w:val="double" w:sz="4" w:space="0" w:color="auto"/>
              <w:left w:val="double" w:sz="4" w:space="0" w:color="auto"/>
              <w:bottom w:val="double" w:sz="4" w:space="0" w:color="auto"/>
              <w:right w:val="double" w:sz="4" w:space="0" w:color="auto"/>
            </w:tcBorders>
          </w:tcPr>
          <w:p w14:paraId="2A9352A2" w14:textId="77777777" w:rsidR="004D7AC0" w:rsidRPr="009B70E7" w:rsidRDefault="004D7AC0">
            <w:pPr>
              <w:snapToGrid w:val="0"/>
              <w:jc w:val="center"/>
            </w:pPr>
            <w:r>
              <w:t>Šis dokuments oficiālajās valodās ir pieejams EESK tīmekļa vietnē:</w:t>
            </w:r>
            <w:r>
              <w:br/>
            </w:r>
            <w:r>
              <w:br/>
            </w:r>
            <w:hyperlink r:id="rId12" w:history="1">
              <w:r>
                <w:rPr>
                  <w:rStyle w:val="Hyperlink"/>
                  <w:highlight w:val="yellow"/>
                </w:rPr>
                <w:t>https://www.eesc.europa.eu/en/our-work/opinions-information-reports/plenary-session-summaries</w:t>
              </w:r>
            </w:hyperlink>
          </w:p>
          <w:p w14:paraId="70D5DBB4" w14:textId="77777777" w:rsidR="004D7AC0" w:rsidRPr="009B70E7" w:rsidRDefault="004D7AC0">
            <w:pPr>
              <w:snapToGrid w:val="0"/>
              <w:jc w:val="center"/>
            </w:pPr>
          </w:p>
          <w:p w14:paraId="575A73D6" w14:textId="77777777" w:rsidR="004D7AC0" w:rsidRPr="009B70E7" w:rsidRDefault="004D7AC0">
            <w:pPr>
              <w:snapToGrid w:val="0"/>
              <w:jc w:val="center"/>
              <w:rPr>
                <w:rFonts w:eastAsia="SimSun"/>
              </w:rPr>
            </w:pPr>
          </w:p>
          <w:p w14:paraId="441AC4DD" w14:textId="77777777" w:rsidR="004D7AC0" w:rsidRPr="009B70E7" w:rsidRDefault="004D7AC0">
            <w:pPr>
              <w:snapToGrid w:val="0"/>
              <w:jc w:val="center"/>
            </w:pPr>
            <w:r>
              <w:t>Ar atzinumiem var iepazīties tiešsaistē, izmantojot EESK meklētājprogrammu:</w:t>
            </w:r>
            <w:r>
              <w:br/>
            </w:r>
            <w:r>
              <w:br/>
            </w:r>
            <w:hyperlink r:id="rId13" w:history="1">
              <w:r>
                <w:rPr>
                  <w:rStyle w:val="Hyperlink"/>
                </w:rPr>
                <w:t>https://dmsearch.eesc.europa.eu/search/opinion</w:t>
              </w:r>
            </w:hyperlink>
          </w:p>
          <w:p w14:paraId="51FF303F" w14:textId="77777777" w:rsidR="004D7AC0" w:rsidRPr="009B70E7" w:rsidRDefault="004D7AC0">
            <w:pPr>
              <w:snapToGrid w:val="0"/>
              <w:jc w:val="center"/>
            </w:pPr>
          </w:p>
        </w:tc>
      </w:tr>
    </w:tbl>
    <w:p w14:paraId="57C291FC" w14:textId="77777777" w:rsidR="004D7AC0" w:rsidRPr="009B70E7" w:rsidRDefault="004D7AC0"/>
    <w:p w14:paraId="5E675360" w14:textId="77777777" w:rsidR="004D7AC0" w:rsidRPr="009B70E7" w:rsidRDefault="004D7AC0"/>
    <w:p w14:paraId="3CF67A1E" w14:textId="77777777" w:rsidR="007B7C40" w:rsidRDefault="007B7C40">
      <w:pPr>
        <w:sectPr w:rsidR="007B7C40" w:rsidSect="0015149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56B7AE7C" w14:textId="77777777" w:rsidR="004D7AC0" w:rsidRPr="009B70E7" w:rsidRDefault="004D7AC0">
      <w:pPr>
        <w:rPr>
          <w:b/>
        </w:rPr>
      </w:pPr>
    </w:p>
    <w:sdt>
      <w:sdtPr>
        <w:rPr>
          <w:rFonts w:ascii="Times New Roman" w:eastAsia="Times New Roman" w:hAnsi="Times New Roman" w:cs="Times New Roman"/>
          <w:color w:val="auto"/>
          <w:sz w:val="22"/>
          <w:szCs w:val="22"/>
        </w:rPr>
        <w:id w:val="-1759744941"/>
        <w:docPartObj>
          <w:docPartGallery w:val="Table of Contents"/>
          <w:docPartUnique/>
        </w:docPartObj>
      </w:sdtPr>
      <w:sdtEndPr>
        <w:rPr>
          <w:b/>
          <w:bCs/>
          <w:noProof/>
        </w:rPr>
      </w:sdtEndPr>
      <w:sdtContent>
        <w:p w14:paraId="5FAD9FDD" w14:textId="77777777" w:rsidR="001E6413" w:rsidRDefault="001E6413">
          <w:pPr>
            <w:pStyle w:val="TOCHeading"/>
          </w:pPr>
          <w:r>
            <w:t>Satura rādītājs</w:t>
          </w:r>
        </w:p>
        <w:p w14:paraId="666D1ED7" w14:textId="3E8BD5BA" w:rsidR="009220F3" w:rsidRDefault="001E6413">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20000276" w:history="1">
            <w:r w:rsidR="009220F3" w:rsidRPr="004C5C02">
              <w:rPr>
                <w:rStyle w:val="Hyperlink"/>
                <w:noProof/>
                <w14:scene3d>
                  <w14:camera w14:prst="orthographicFront"/>
                  <w14:lightRig w14:rig="threePt" w14:dir="t">
                    <w14:rot w14:lat="0" w14:lon="0" w14:rev="0"/>
                  </w14:lightRig>
                </w14:scene3d>
              </w:rPr>
              <w:t>1.</w:t>
            </w:r>
            <w:r w:rsidR="009220F3">
              <w:rPr>
                <w:rFonts w:asciiTheme="minorHAnsi" w:eastAsiaTheme="minorEastAsia" w:hAnsiTheme="minorHAnsi" w:cstheme="minorBidi"/>
                <w:noProof/>
                <w:lang w:val="en-US"/>
              </w:rPr>
              <w:tab/>
            </w:r>
            <w:r w:rsidR="009220F3" w:rsidRPr="004C5C02">
              <w:rPr>
                <w:rStyle w:val="Hyperlink"/>
                <w:b/>
                <w:noProof/>
              </w:rPr>
              <w:t>REZOLŪCIJA</w:t>
            </w:r>
            <w:r w:rsidR="009220F3">
              <w:rPr>
                <w:noProof/>
                <w:webHidden/>
              </w:rPr>
              <w:tab/>
            </w:r>
            <w:r w:rsidR="009220F3">
              <w:rPr>
                <w:noProof/>
                <w:webHidden/>
              </w:rPr>
              <w:fldChar w:fldCharType="begin"/>
            </w:r>
            <w:r w:rsidR="009220F3">
              <w:rPr>
                <w:noProof/>
                <w:webHidden/>
              </w:rPr>
              <w:instrText xml:space="preserve"> PAGEREF _Toc120000276 \h </w:instrText>
            </w:r>
            <w:r w:rsidR="009220F3">
              <w:rPr>
                <w:noProof/>
                <w:webHidden/>
              </w:rPr>
            </w:r>
            <w:r w:rsidR="009220F3">
              <w:rPr>
                <w:noProof/>
                <w:webHidden/>
              </w:rPr>
              <w:fldChar w:fldCharType="separate"/>
            </w:r>
            <w:r w:rsidR="009220F3">
              <w:rPr>
                <w:noProof/>
                <w:webHidden/>
              </w:rPr>
              <w:t>3</w:t>
            </w:r>
            <w:r w:rsidR="009220F3">
              <w:rPr>
                <w:noProof/>
                <w:webHidden/>
              </w:rPr>
              <w:fldChar w:fldCharType="end"/>
            </w:r>
          </w:hyperlink>
        </w:p>
        <w:p w14:paraId="03451326" w14:textId="0F965E7C" w:rsidR="009220F3" w:rsidRDefault="000062DB">
          <w:pPr>
            <w:pStyle w:val="TOC1"/>
            <w:rPr>
              <w:rFonts w:asciiTheme="minorHAnsi" w:eastAsiaTheme="minorEastAsia" w:hAnsiTheme="minorHAnsi" w:cstheme="minorBidi"/>
              <w:noProof/>
              <w:lang w:val="en-US"/>
            </w:rPr>
          </w:pPr>
          <w:hyperlink w:anchor="_Toc120000277" w:history="1">
            <w:r w:rsidR="009220F3" w:rsidRPr="004C5C02">
              <w:rPr>
                <w:rStyle w:val="Hyperlink"/>
                <w:noProof/>
                <w14:scene3d>
                  <w14:camera w14:prst="orthographicFront"/>
                  <w14:lightRig w14:rig="threePt" w14:dir="t">
                    <w14:rot w14:lat="0" w14:lon="0" w14:rev="0"/>
                  </w14:lightRig>
                </w14:scene3d>
              </w:rPr>
              <w:t>2.</w:t>
            </w:r>
            <w:r w:rsidR="009220F3">
              <w:rPr>
                <w:rFonts w:asciiTheme="minorHAnsi" w:eastAsiaTheme="minorEastAsia" w:hAnsiTheme="minorHAnsi" w:cstheme="minorBidi"/>
                <w:noProof/>
                <w:lang w:val="en-US"/>
              </w:rPr>
              <w:tab/>
            </w:r>
            <w:r w:rsidR="009220F3" w:rsidRPr="004C5C02">
              <w:rPr>
                <w:rStyle w:val="Hyperlink"/>
                <w:b/>
                <w:noProof/>
              </w:rPr>
              <w:t>EKONOMISKĀ UN MONETĀRĀ SAVIENĪBA, EKONOMISKĀ UN SOCIĀLĀ KOHĒZIJA</w:t>
            </w:r>
            <w:r w:rsidR="009220F3">
              <w:rPr>
                <w:noProof/>
                <w:webHidden/>
              </w:rPr>
              <w:tab/>
            </w:r>
            <w:r w:rsidR="009220F3">
              <w:rPr>
                <w:noProof/>
                <w:webHidden/>
              </w:rPr>
              <w:fldChar w:fldCharType="begin"/>
            </w:r>
            <w:r w:rsidR="009220F3">
              <w:rPr>
                <w:noProof/>
                <w:webHidden/>
              </w:rPr>
              <w:instrText xml:space="preserve"> PAGEREF _Toc120000277 \h </w:instrText>
            </w:r>
            <w:r w:rsidR="009220F3">
              <w:rPr>
                <w:noProof/>
                <w:webHidden/>
              </w:rPr>
            </w:r>
            <w:r w:rsidR="009220F3">
              <w:rPr>
                <w:noProof/>
                <w:webHidden/>
              </w:rPr>
              <w:fldChar w:fldCharType="separate"/>
            </w:r>
            <w:r w:rsidR="009220F3">
              <w:rPr>
                <w:noProof/>
                <w:webHidden/>
              </w:rPr>
              <w:t>4</w:t>
            </w:r>
            <w:r w:rsidR="009220F3">
              <w:rPr>
                <w:noProof/>
                <w:webHidden/>
              </w:rPr>
              <w:fldChar w:fldCharType="end"/>
            </w:r>
          </w:hyperlink>
        </w:p>
        <w:p w14:paraId="0BFC41A5" w14:textId="6B583B0B" w:rsidR="009220F3" w:rsidRDefault="000062DB">
          <w:pPr>
            <w:pStyle w:val="TOC1"/>
            <w:rPr>
              <w:rFonts w:asciiTheme="minorHAnsi" w:eastAsiaTheme="minorEastAsia" w:hAnsiTheme="minorHAnsi" w:cstheme="minorBidi"/>
              <w:noProof/>
              <w:lang w:val="en-US"/>
            </w:rPr>
          </w:pPr>
          <w:hyperlink w:anchor="_Toc120000278" w:history="1">
            <w:r w:rsidR="009220F3" w:rsidRPr="004C5C02">
              <w:rPr>
                <w:rStyle w:val="Hyperlink"/>
                <w:noProof/>
                <w14:scene3d>
                  <w14:camera w14:prst="orthographicFront"/>
                  <w14:lightRig w14:rig="threePt" w14:dir="t">
                    <w14:rot w14:lat="0" w14:lon="0" w14:rev="0"/>
                  </w14:lightRig>
                </w14:scene3d>
              </w:rPr>
              <w:t>3.</w:t>
            </w:r>
            <w:r w:rsidR="009220F3">
              <w:rPr>
                <w:rFonts w:asciiTheme="minorHAnsi" w:eastAsiaTheme="minorEastAsia" w:hAnsiTheme="minorHAnsi" w:cstheme="minorBidi"/>
                <w:noProof/>
                <w:lang w:val="en-US"/>
              </w:rPr>
              <w:tab/>
            </w:r>
            <w:r w:rsidR="009220F3" w:rsidRPr="004C5C02">
              <w:rPr>
                <w:rStyle w:val="Hyperlink"/>
                <w:b/>
                <w:noProof/>
              </w:rPr>
              <w:t>NODARBINĀTĪBA, SOCIĀLĀS LIETAS UN PILSONISKUMS</w:t>
            </w:r>
            <w:r w:rsidR="009220F3">
              <w:rPr>
                <w:noProof/>
                <w:webHidden/>
              </w:rPr>
              <w:tab/>
            </w:r>
            <w:r w:rsidR="009220F3">
              <w:rPr>
                <w:noProof/>
                <w:webHidden/>
              </w:rPr>
              <w:fldChar w:fldCharType="begin"/>
            </w:r>
            <w:r w:rsidR="009220F3">
              <w:rPr>
                <w:noProof/>
                <w:webHidden/>
              </w:rPr>
              <w:instrText xml:space="preserve"> PAGEREF _Toc120000278 \h </w:instrText>
            </w:r>
            <w:r w:rsidR="009220F3">
              <w:rPr>
                <w:noProof/>
                <w:webHidden/>
              </w:rPr>
            </w:r>
            <w:r w:rsidR="009220F3">
              <w:rPr>
                <w:noProof/>
                <w:webHidden/>
              </w:rPr>
              <w:fldChar w:fldCharType="separate"/>
            </w:r>
            <w:r w:rsidR="009220F3">
              <w:rPr>
                <w:noProof/>
                <w:webHidden/>
              </w:rPr>
              <w:t>9</w:t>
            </w:r>
            <w:r w:rsidR="009220F3">
              <w:rPr>
                <w:noProof/>
                <w:webHidden/>
              </w:rPr>
              <w:fldChar w:fldCharType="end"/>
            </w:r>
          </w:hyperlink>
        </w:p>
        <w:p w14:paraId="676F0A31" w14:textId="7181B2DA" w:rsidR="009220F3" w:rsidRDefault="000062DB">
          <w:pPr>
            <w:pStyle w:val="TOC1"/>
            <w:rPr>
              <w:rFonts w:asciiTheme="minorHAnsi" w:eastAsiaTheme="minorEastAsia" w:hAnsiTheme="minorHAnsi" w:cstheme="minorBidi"/>
              <w:noProof/>
              <w:lang w:val="en-US"/>
            </w:rPr>
          </w:pPr>
          <w:hyperlink w:anchor="_Toc120000279" w:history="1">
            <w:r w:rsidR="009220F3" w:rsidRPr="004C5C02">
              <w:rPr>
                <w:rStyle w:val="Hyperlink"/>
                <w:noProof/>
                <w14:scene3d>
                  <w14:camera w14:prst="orthographicFront"/>
                  <w14:lightRig w14:rig="threePt" w14:dir="t">
                    <w14:rot w14:lat="0" w14:lon="0" w14:rev="0"/>
                  </w14:lightRig>
                </w14:scene3d>
              </w:rPr>
              <w:t>4.</w:t>
            </w:r>
            <w:r w:rsidR="009220F3">
              <w:rPr>
                <w:rFonts w:asciiTheme="minorHAnsi" w:eastAsiaTheme="minorEastAsia" w:hAnsiTheme="minorHAnsi" w:cstheme="minorBidi"/>
                <w:noProof/>
                <w:lang w:val="en-US"/>
              </w:rPr>
              <w:tab/>
            </w:r>
            <w:r w:rsidR="009220F3" w:rsidRPr="004C5C02">
              <w:rPr>
                <w:rStyle w:val="Hyperlink"/>
                <w:b/>
                <w:noProof/>
              </w:rPr>
              <w:t>TRANSPORTS, ENERĢĒTIKA, INFRASTRUKTŪRA UN INFORMĀCIJAS SABIEDRĪBA</w:t>
            </w:r>
            <w:r w:rsidR="009220F3">
              <w:rPr>
                <w:noProof/>
                <w:webHidden/>
              </w:rPr>
              <w:tab/>
            </w:r>
            <w:r w:rsidR="009220F3">
              <w:rPr>
                <w:noProof/>
                <w:webHidden/>
              </w:rPr>
              <w:fldChar w:fldCharType="begin"/>
            </w:r>
            <w:r w:rsidR="009220F3">
              <w:rPr>
                <w:noProof/>
                <w:webHidden/>
              </w:rPr>
              <w:instrText xml:space="preserve"> PAGEREF _Toc120000279 \h </w:instrText>
            </w:r>
            <w:r w:rsidR="009220F3">
              <w:rPr>
                <w:noProof/>
                <w:webHidden/>
              </w:rPr>
            </w:r>
            <w:r w:rsidR="009220F3">
              <w:rPr>
                <w:noProof/>
                <w:webHidden/>
              </w:rPr>
              <w:fldChar w:fldCharType="separate"/>
            </w:r>
            <w:r w:rsidR="009220F3">
              <w:rPr>
                <w:noProof/>
                <w:webHidden/>
              </w:rPr>
              <w:t>17</w:t>
            </w:r>
            <w:r w:rsidR="009220F3">
              <w:rPr>
                <w:noProof/>
                <w:webHidden/>
              </w:rPr>
              <w:fldChar w:fldCharType="end"/>
            </w:r>
          </w:hyperlink>
        </w:p>
        <w:p w14:paraId="29E6F3ED" w14:textId="386AFFF5" w:rsidR="009220F3" w:rsidRDefault="000062DB">
          <w:pPr>
            <w:pStyle w:val="TOC1"/>
            <w:rPr>
              <w:rFonts w:asciiTheme="minorHAnsi" w:eastAsiaTheme="minorEastAsia" w:hAnsiTheme="minorHAnsi" w:cstheme="minorBidi"/>
              <w:noProof/>
              <w:lang w:val="en-US"/>
            </w:rPr>
          </w:pPr>
          <w:hyperlink w:anchor="_Toc120000280" w:history="1">
            <w:r w:rsidR="009220F3" w:rsidRPr="004C5C02">
              <w:rPr>
                <w:rStyle w:val="Hyperlink"/>
                <w:noProof/>
                <w14:scene3d>
                  <w14:camera w14:prst="orthographicFront"/>
                  <w14:lightRig w14:rig="threePt" w14:dir="t">
                    <w14:rot w14:lat="0" w14:lon="0" w14:rev="0"/>
                  </w14:lightRig>
                </w14:scene3d>
              </w:rPr>
              <w:t>5.</w:t>
            </w:r>
            <w:r w:rsidR="009220F3">
              <w:rPr>
                <w:rFonts w:asciiTheme="minorHAnsi" w:eastAsiaTheme="minorEastAsia" w:hAnsiTheme="minorHAnsi" w:cstheme="minorBidi"/>
                <w:noProof/>
                <w:lang w:val="en-US"/>
              </w:rPr>
              <w:tab/>
            </w:r>
            <w:r w:rsidR="009220F3" w:rsidRPr="004C5C02">
              <w:rPr>
                <w:rStyle w:val="Hyperlink"/>
                <w:b/>
                <w:noProof/>
              </w:rPr>
              <w:t>VIENOTAIS TIRGUS, RAŽOŠANA UN PATĒRIŅŠ</w:t>
            </w:r>
            <w:r w:rsidR="009220F3">
              <w:rPr>
                <w:noProof/>
                <w:webHidden/>
              </w:rPr>
              <w:tab/>
            </w:r>
            <w:r w:rsidR="009220F3">
              <w:rPr>
                <w:noProof/>
                <w:webHidden/>
              </w:rPr>
              <w:fldChar w:fldCharType="begin"/>
            </w:r>
            <w:r w:rsidR="009220F3">
              <w:rPr>
                <w:noProof/>
                <w:webHidden/>
              </w:rPr>
              <w:instrText xml:space="preserve"> PAGEREF _Toc120000280 \h </w:instrText>
            </w:r>
            <w:r w:rsidR="009220F3">
              <w:rPr>
                <w:noProof/>
                <w:webHidden/>
              </w:rPr>
            </w:r>
            <w:r w:rsidR="009220F3">
              <w:rPr>
                <w:noProof/>
                <w:webHidden/>
              </w:rPr>
              <w:fldChar w:fldCharType="separate"/>
            </w:r>
            <w:r w:rsidR="009220F3">
              <w:rPr>
                <w:noProof/>
                <w:webHidden/>
              </w:rPr>
              <w:t>23</w:t>
            </w:r>
            <w:r w:rsidR="009220F3">
              <w:rPr>
                <w:noProof/>
                <w:webHidden/>
              </w:rPr>
              <w:fldChar w:fldCharType="end"/>
            </w:r>
          </w:hyperlink>
        </w:p>
        <w:p w14:paraId="1C289880" w14:textId="108ECA5D" w:rsidR="009220F3" w:rsidRDefault="000062DB">
          <w:pPr>
            <w:pStyle w:val="TOC1"/>
            <w:rPr>
              <w:rFonts w:asciiTheme="minorHAnsi" w:eastAsiaTheme="minorEastAsia" w:hAnsiTheme="minorHAnsi" w:cstheme="minorBidi"/>
              <w:noProof/>
              <w:lang w:val="en-US"/>
            </w:rPr>
          </w:pPr>
          <w:hyperlink w:anchor="_Toc120000281" w:history="1">
            <w:r w:rsidR="009220F3" w:rsidRPr="004C5C02">
              <w:rPr>
                <w:rStyle w:val="Hyperlink"/>
                <w:noProof/>
                <w14:scene3d>
                  <w14:camera w14:prst="orthographicFront"/>
                  <w14:lightRig w14:rig="threePt" w14:dir="t">
                    <w14:rot w14:lat="0" w14:lon="0" w14:rev="0"/>
                  </w14:lightRig>
                </w14:scene3d>
              </w:rPr>
              <w:t>6.</w:t>
            </w:r>
            <w:r w:rsidR="009220F3">
              <w:rPr>
                <w:rFonts w:asciiTheme="minorHAnsi" w:eastAsiaTheme="minorEastAsia" w:hAnsiTheme="minorHAnsi" w:cstheme="minorBidi"/>
                <w:noProof/>
                <w:lang w:val="en-US"/>
              </w:rPr>
              <w:tab/>
            </w:r>
            <w:r w:rsidR="009220F3" w:rsidRPr="004C5C02">
              <w:rPr>
                <w:rStyle w:val="Hyperlink"/>
                <w:b/>
                <w:noProof/>
              </w:rPr>
              <w:t>LAUKSAIMNIECĪBA, LAUKU ATTĪSTĪBA UN VIDE</w:t>
            </w:r>
            <w:r w:rsidR="009220F3">
              <w:rPr>
                <w:noProof/>
                <w:webHidden/>
              </w:rPr>
              <w:tab/>
            </w:r>
            <w:r w:rsidR="009220F3">
              <w:rPr>
                <w:noProof/>
                <w:webHidden/>
              </w:rPr>
              <w:fldChar w:fldCharType="begin"/>
            </w:r>
            <w:r w:rsidR="009220F3">
              <w:rPr>
                <w:noProof/>
                <w:webHidden/>
              </w:rPr>
              <w:instrText xml:space="preserve"> PAGEREF _Toc120000281 \h </w:instrText>
            </w:r>
            <w:r w:rsidR="009220F3">
              <w:rPr>
                <w:noProof/>
                <w:webHidden/>
              </w:rPr>
            </w:r>
            <w:r w:rsidR="009220F3">
              <w:rPr>
                <w:noProof/>
                <w:webHidden/>
              </w:rPr>
              <w:fldChar w:fldCharType="separate"/>
            </w:r>
            <w:r w:rsidR="009220F3">
              <w:rPr>
                <w:noProof/>
                <w:webHidden/>
              </w:rPr>
              <w:t>25</w:t>
            </w:r>
            <w:r w:rsidR="009220F3">
              <w:rPr>
                <w:noProof/>
                <w:webHidden/>
              </w:rPr>
              <w:fldChar w:fldCharType="end"/>
            </w:r>
          </w:hyperlink>
        </w:p>
        <w:p w14:paraId="5C6F3253" w14:textId="03B5B887" w:rsidR="009220F3" w:rsidRDefault="000062DB">
          <w:pPr>
            <w:pStyle w:val="TOC1"/>
            <w:rPr>
              <w:rFonts w:asciiTheme="minorHAnsi" w:eastAsiaTheme="minorEastAsia" w:hAnsiTheme="minorHAnsi" w:cstheme="minorBidi"/>
              <w:noProof/>
              <w:lang w:val="en-US"/>
            </w:rPr>
          </w:pPr>
          <w:hyperlink w:anchor="_Toc120000282" w:history="1">
            <w:r w:rsidR="009220F3" w:rsidRPr="004C5C02">
              <w:rPr>
                <w:rStyle w:val="Hyperlink"/>
                <w:noProof/>
                <w14:scene3d>
                  <w14:camera w14:prst="orthographicFront"/>
                  <w14:lightRig w14:rig="threePt" w14:dir="t">
                    <w14:rot w14:lat="0" w14:lon="0" w14:rev="0"/>
                  </w14:lightRig>
                </w14:scene3d>
              </w:rPr>
              <w:t>7.</w:t>
            </w:r>
            <w:r w:rsidR="009220F3">
              <w:rPr>
                <w:rFonts w:asciiTheme="minorHAnsi" w:eastAsiaTheme="minorEastAsia" w:hAnsiTheme="minorHAnsi" w:cstheme="minorBidi"/>
                <w:noProof/>
                <w:lang w:val="en-US"/>
              </w:rPr>
              <w:tab/>
            </w:r>
            <w:r w:rsidR="009220F3" w:rsidRPr="004C5C02">
              <w:rPr>
                <w:rStyle w:val="Hyperlink"/>
                <w:b/>
                <w:noProof/>
              </w:rPr>
              <w:t>ĀRĒJĀS ATTIECĪBAS</w:t>
            </w:r>
            <w:r w:rsidR="009220F3">
              <w:rPr>
                <w:noProof/>
                <w:webHidden/>
              </w:rPr>
              <w:tab/>
            </w:r>
            <w:r w:rsidR="009220F3">
              <w:rPr>
                <w:noProof/>
                <w:webHidden/>
              </w:rPr>
              <w:fldChar w:fldCharType="begin"/>
            </w:r>
            <w:r w:rsidR="009220F3">
              <w:rPr>
                <w:noProof/>
                <w:webHidden/>
              </w:rPr>
              <w:instrText xml:space="preserve"> PAGEREF _Toc120000282 \h </w:instrText>
            </w:r>
            <w:r w:rsidR="009220F3">
              <w:rPr>
                <w:noProof/>
                <w:webHidden/>
              </w:rPr>
            </w:r>
            <w:r w:rsidR="009220F3">
              <w:rPr>
                <w:noProof/>
                <w:webHidden/>
              </w:rPr>
              <w:fldChar w:fldCharType="separate"/>
            </w:r>
            <w:r w:rsidR="009220F3">
              <w:rPr>
                <w:noProof/>
                <w:webHidden/>
              </w:rPr>
              <w:t>29</w:t>
            </w:r>
            <w:r w:rsidR="009220F3">
              <w:rPr>
                <w:noProof/>
                <w:webHidden/>
              </w:rPr>
              <w:fldChar w:fldCharType="end"/>
            </w:r>
          </w:hyperlink>
        </w:p>
        <w:p w14:paraId="30EA9376" w14:textId="3F5F59C0" w:rsidR="009220F3" w:rsidRDefault="000062DB">
          <w:pPr>
            <w:pStyle w:val="TOC1"/>
            <w:rPr>
              <w:rFonts w:asciiTheme="minorHAnsi" w:eastAsiaTheme="minorEastAsia" w:hAnsiTheme="minorHAnsi" w:cstheme="minorBidi"/>
              <w:noProof/>
              <w:lang w:val="en-US"/>
            </w:rPr>
          </w:pPr>
          <w:hyperlink w:anchor="_Toc120000283" w:history="1">
            <w:r w:rsidR="009220F3" w:rsidRPr="004C5C02">
              <w:rPr>
                <w:rStyle w:val="Hyperlink"/>
                <w:noProof/>
                <w14:scene3d>
                  <w14:camera w14:prst="orthographicFront"/>
                  <w14:lightRig w14:rig="threePt" w14:dir="t">
                    <w14:rot w14:lat="0" w14:lon="0" w14:rev="0"/>
                  </w14:lightRig>
                </w14:scene3d>
              </w:rPr>
              <w:t>8.</w:t>
            </w:r>
            <w:r w:rsidR="009220F3">
              <w:rPr>
                <w:rFonts w:asciiTheme="minorHAnsi" w:eastAsiaTheme="minorEastAsia" w:hAnsiTheme="minorHAnsi" w:cstheme="minorBidi"/>
                <w:noProof/>
                <w:lang w:val="en-US"/>
              </w:rPr>
              <w:tab/>
            </w:r>
            <w:r w:rsidR="009220F3" w:rsidRPr="004C5C02">
              <w:rPr>
                <w:rStyle w:val="Hyperlink"/>
                <w:b/>
                <w:noProof/>
              </w:rPr>
              <w:t>RŪPNIECĪBAS PĀRMAIŅU KONSULTATĪVĀ KOMISIJA</w:t>
            </w:r>
            <w:r w:rsidR="009220F3">
              <w:rPr>
                <w:noProof/>
                <w:webHidden/>
              </w:rPr>
              <w:tab/>
            </w:r>
            <w:r w:rsidR="009220F3">
              <w:rPr>
                <w:noProof/>
                <w:webHidden/>
              </w:rPr>
              <w:fldChar w:fldCharType="begin"/>
            </w:r>
            <w:r w:rsidR="009220F3">
              <w:rPr>
                <w:noProof/>
                <w:webHidden/>
              </w:rPr>
              <w:instrText xml:space="preserve"> PAGEREF _Toc120000283 \h </w:instrText>
            </w:r>
            <w:r w:rsidR="009220F3">
              <w:rPr>
                <w:noProof/>
                <w:webHidden/>
              </w:rPr>
            </w:r>
            <w:r w:rsidR="009220F3">
              <w:rPr>
                <w:noProof/>
                <w:webHidden/>
              </w:rPr>
              <w:fldChar w:fldCharType="separate"/>
            </w:r>
            <w:r w:rsidR="009220F3">
              <w:rPr>
                <w:noProof/>
                <w:webHidden/>
              </w:rPr>
              <w:t>32</w:t>
            </w:r>
            <w:r w:rsidR="009220F3">
              <w:rPr>
                <w:noProof/>
                <w:webHidden/>
              </w:rPr>
              <w:fldChar w:fldCharType="end"/>
            </w:r>
          </w:hyperlink>
        </w:p>
        <w:p w14:paraId="684BFB9B" w14:textId="3907419E" w:rsidR="001E6413" w:rsidRDefault="001E6413">
          <w:r>
            <w:rPr>
              <w:b/>
            </w:rPr>
            <w:fldChar w:fldCharType="end"/>
          </w:r>
        </w:p>
      </w:sdtContent>
    </w:sdt>
    <w:p w14:paraId="4600634B" w14:textId="77777777" w:rsidR="004D7AC0" w:rsidRPr="009B70E7" w:rsidRDefault="004D7AC0"/>
    <w:p w14:paraId="68489C47" w14:textId="2FCA526B" w:rsidR="004D7AC0" w:rsidRPr="009B70E7" w:rsidRDefault="004D7AC0" w:rsidP="001A7476">
      <w:pPr>
        <w:pStyle w:val="Heading1"/>
        <w:numPr>
          <w:ilvl w:val="0"/>
          <w:numId w:val="0"/>
        </w:numPr>
      </w:pPr>
      <w:r>
        <w:br w:type="page"/>
      </w:r>
    </w:p>
    <w:p w14:paraId="6646A81C" w14:textId="77777777" w:rsidR="007B4C34" w:rsidRDefault="00477361" w:rsidP="00D13F40">
      <w:pPr>
        <w:pStyle w:val="Heading1"/>
        <w:rPr>
          <w:b/>
        </w:rPr>
      </w:pPr>
      <w:bookmarkStart w:id="0" w:name="_Toc120000276"/>
      <w:r>
        <w:rPr>
          <w:b/>
        </w:rPr>
        <w:lastRenderedPageBreak/>
        <w:t>REZOLŪCIJA</w:t>
      </w:r>
      <w:bookmarkEnd w:id="0"/>
      <w:r>
        <w:rPr>
          <w:b/>
        </w:rPr>
        <w:t xml:space="preserve"> </w:t>
      </w:r>
    </w:p>
    <w:p w14:paraId="0783F005" w14:textId="011CDD91" w:rsidR="00477361" w:rsidRPr="007B4C34" w:rsidRDefault="007B4C34" w:rsidP="007B4C34">
      <w:pPr>
        <w:keepNext/>
        <w:keepLines/>
        <w:numPr>
          <w:ilvl w:val="0"/>
          <w:numId w:val="5"/>
        </w:numPr>
        <w:overflowPunct w:val="0"/>
        <w:autoSpaceDE w:val="0"/>
        <w:autoSpaceDN w:val="0"/>
        <w:adjustRightInd w:val="0"/>
        <w:ind w:left="567" w:hanging="567"/>
        <w:textAlignment w:val="baseline"/>
        <w:rPr>
          <w:b/>
        </w:rPr>
      </w:pPr>
      <w:r>
        <w:rPr>
          <w:b/>
          <w:i/>
          <w:color w:val="000000" w:themeColor="text1"/>
          <w:sz w:val="28"/>
        </w:rPr>
        <w:t>Kopīga eksistenciālu draudu novēršana: sociālie partneri un pilsoniskā sabiedrība vērienīgas klimatrīcības īstenošanai</w:t>
      </w:r>
    </w:p>
    <w:p w14:paraId="4B6CB25B" w14:textId="5F4B2587" w:rsidR="007B4C34" w:rsidRDefault="007B4C34" w:rsidP="007B4C34">
      <w:pPr>
        <w:keepNext/>
        <w:keepLines/>
        <w:overflowPunct w:val="0"/>
        <w:autoSpaceDE w:val="0"/>
        <w:autoSpaceDN w:val="0"/>
        <w:adjustRightInd w:val="0"/>
        <w:textAlignment w:val="baseline"/>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B4C34" w:rsidRPr="00627B8F" w14:paraId="167553BD" w14:textId="77777777" w:rsidTr="00576060">
        <w:tc>
          <w:tcPr>
            <w:tcW w:w="1701" w:type="dxa"/>
          </w:tcPr>
          <w:p w14:paraId="62153B88" w14:textId="5C705631" w:rsidR="007B4C34" w:rsidRPr="009B70E7" w:rsidRDefault="007B4C34" w:rsidP="00576060">
            <w:pPr>
              <w:pStyle w:val="ListParagraph"/>
              <w:spacing w:line="240" w:lineRule="auto"/>
              <w:ind w:left="-142" w:firstLine="142"/>
              <w:rPr>
                <w:b/>
              </w:rPr>
            </w:pPr>
            <w:r>
              <w:rPr>
                <w:b/>
              </w:rPr>
              <w:t>Ziņotāji:</w:t>
            </w:r>
          </w:p>
        </w:tc>
        <w:tc>
          <w:tcPr>
            <w:tcW w:w="6521" w:type="dxa"/>
          </w:tcPr>
          <w:p w14:paraId="6399B64F" w14:textId="3FB4A062" w:rsidR="007B4C34" w:rsidRDefault="00C64EEF" w:rsidP="00576060">
            <w:pPr>
              <w:pStyle w:val="ListParagraph"/>
              <w:ind w:left="-60" w:right="-55"/>
            </w:pPr>
            <w:r>
              <w:t>Peter SCHMIDT (Darba ņēmēju grupa – DE)</w:t>
            </w:r>
          </w:p>
          <w:p w14:paraId="1AF3CFBD" w14:textId="775F3412" w:rsidR="007B4C34" w:rsidRPr="00627B8F" w:rsidRDefault="00C64EEF" w:rsidP="00576060">
            <w:pPr>
              <w:pStyle w:val="ListParagraph"/>
              <w:ind w:left="-60" w:right="-55"/>
            </w:pPr>
            <w:r>
              <w:t xml:space="preserve">Isabel </w:t>
            </w:r>
            <w:r w:rsidR="00B80604">
              <w:t xml:space="preserve">CAÑO AGUILAR </w:t>
            </w:r>
            <w:r>
              <w:t xml:space="preserve">(Darba ņēmēju grupa – ES) </w:t>
            </w:r>
          </w:p>
        </w:tc>
      </w:tr>
    </w:tbl>
    <w:p w14:paraId="60EB8595" w14:textId="3359BCDF" w:rsidR="007B4C34" w:rsidRDefault="00C64EEF" w:rsidP="007B4C34">
      <w:pPr>
        <w:keepNext/>
        <w:keepLines/>
        <w:overflowPunct w:val="0"/>
        <w:autoSpaceDE w:val="0"/>
        <w:autoSpaceDN w:val="0"/>
        <w:adjustRightInd w:val="0"/>
        <w:textAlignment w:val="baseline"/>
      </w:pPr>
      <w:r>
        <w:rPr>
          <w:b/>
        </w:rPr>
        <w:tab/>
      </w:r>
      <w:r>
        <w:rPr>
          <w:b/>
        </w:rPr>
        <w:tab/>
      </w:r>
      <w:r>
        <w:rPr>
          <w:b/>
        </w:rPr>
        <w:tab/>
      </w:r>
      <w:r>
        <w:t>Sandra PARTHIE (Darba devēju grupa – DE)</w:t>
      </w:r>
    </w:p>
    <w:p w14:paraId="14AF9041" w14:textId="4D1C1509" w:rsidR="00C64EEF" w:rsidRDefault="00C64EEF" w:rsidP="007B4C34">
      <w:pPr>
        <w:keepNext/>
        <w:keepLines/>
        <w:overflowPunct w:val="0"/>
        <w:autoSpaceDE w:val="0"/>
        <w:autoSpaceDN w:val="0"/>
        <w:adjustRightInd w:val="0"/>
        <w:textAlignment w:val="baseline"/>
      </w:pPr>
      <w:r>
        <w:tab/>
      </w:r>
      <w:r>
        <w:tab/>
      </w:r>
      <w:r>
        <w:tab/>
        <w:t>Josep PUXEU ROCAMORA (Darba devēju grupa – ES)</w:t>
      </w:r>
    </w:p>
    <w:p w14:paraId="23273CF1" w14:textId="74B9946A" w:rsidR="00C64EEF" w:rsidRDefault="00C64EEF" w:rsidP="007B4C34">
      <w:pPr>
        <w:keepNext/>
        <w:keepLines/>
        <w:overflowPunct w:val="0"/>
        <w:autoSpaceDE w:val="0"/>
        <w:autoSpaceDN w:val="0"/>
        <w:adjustRightInd w:val="0"/>
        <w:textAlignment w:val="baseline"/>
        <w:rPr>
          <w:bCs/>
        </w:rPr>
      </w:pPr>
      <w:r>
        <w:rPr>
          <w:b/>
        </w:rPr>
        <w:tab/>
      </w:r>
      <w:r>
        <w:rPr>
          <w:b/>
        </w:rPr>
        <w:tab/>
      </w:r>
      <w:r>
        <w:rPr>
          <w:b/>
        </w:rPr>
        <w:tab/>
      </w:r>
      <w:r>
        <w:t>Neža REPANŠEK (Pilsoniskās sabiedrības organizāciju grupa – SL)</w:t>
      </w:r>
    </w:p>
    <w:p w14:paraId="1DE56937" w14:textId="4214DD30" w:rsidR="00C64EEF" w:rsidRPr="000E447F" w:rsidRDefault="00C64EEF" w:rsidP="007B4C34">
      <w:pPr>
        <w:keepNext/>
        <w:keepLines/>
        <w:overflowPunct w:val="0"/>
        <w:autoSpaceDE w:val="0"/>
        <w:autoSpaceDN w:val="0"/>
        <w:adjustRightInd w:val="0"/>
        <w:textAlignment w:val="baseline"/>
        <w:rPr>
          <w:b/>
        </w:rPr>
      </w:pPr>
      <w:r>
        <w:tab/>
      </w:r>
      <w:r>
        <w:tab/>
      </w:r>
      <w:r>
        <w:tab/>
        <w:t>Lutz RIBBE (Pilsoniskās sabiedrības organizāciju grupa – DE)</w:t>
      </w:r>
    </w:p>
    <w:p w14:paraId="0FB003A7" w14:textId="6E88E359" w:rsidR="004E3304" w:rsidRDefault="004E3304" w:rsidP="007B4C34">
      <w:pPr>
        <w:keepNext/>
        <w:keepLines/>
        <w:overflowPunct w:val="0"/>
        <w:autoSpaceDE w:val="0"/>
        <w:autoSpaceDN w:val="0"/>
        <w:adjustRightInd w:val="0"/>
        <w:textAlignment w:val="baselin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847288" w:rsidRPr="00627B8F" w14:paraId="6A5F68B5" w14:textId="77777777" w:rsidTr="00576060">
        <w:tc>
          <w:tcPr>
            <w:tcW w:w="1701" w:type="dxa"/>
          </w:tcPr>
          <w:p w14:paraId="259FD2ED" w14:textId="34C590E0" w:rsidR="00847288" w:rsidRPr="009B70E7" w:rsidRDefault="00B80604" w:rsidP="00576060">
            <w:pPr>
              <w:pStyle w:val="ListParagraph"/>
              <w:spacing w:line="240" w:lineRule="auto"/>
              <w:ind w:left="-142" w:firstLine="142"/>
              <w:rPr>
                <w:b/>
              </w:rPr>
            </w:pPr>
            <w:r>
              <w:rPr>
                <w:b/>
              </w:rPr>
              <w:t>Atsauce:</w:t>
            </w:r>
            <w:r w:rsidR="00847288">
              <w:rPr>
                <w:b/>
              </w:rPr>
              <w:t xml:space="preserve"> </w:t>
            </w:r>
          </w:p>
        </w:tc>
        <w:tc>
          <w:tcPr>
            <w:tcW w:w="6521" w:type="dxa"/>
          </w:tcPr>
          <w:p w14:paraId="5E9DE4CD" w14:textId="1C5FDB10" w:rsidR="00847288" w:rsidRPr="00627B8F" w:rsidRDefault="00847288" w:rsidP="00576060">
            <w:pPr>
              <w:pStyle w:val="ListParagraph"/>
              <w:ind w:left="-61"/>
            </w:pPr>
            <w:r>
              <w:t>EESC-2022-04116-00-00-RES</w:t>
            </w:r>
          </w:p>
        </w:tc>
      </w:tr>
    </w:tbl>
    <w:p w14:paraId="6940D898" w14:textId="77777777" w:rsidR="00847288" w:rsidRPr="00627B8F" w:rsidRDefault="00847288" w:rsidP="00847288">
      <w:pPr>
        <w:pStyle w:val="ListParagraph"/>
        <w:spacing w:line="240" w:lineRule="auto"/>
        <w:ind w:left="0"/>
        <w:rPr>
          <w:lang w:val="pt-PT"/>
        </w:rPr>
      </w:pPr>
    </w:p>
    <w:p w14:paraId="77C22E2F" w14:textId="77777777" w:rsidR="00847288" w:rsidRPr="009B70E7" w:rsidRDefault="00847288" w:rsidP="00847288">
      <w:pPr>
        <w:pStyle w:val="ListParagraph"/>
        <w:spacing w:line="240" w:lineRule="auto"/>
        <w:ind w:left="0" w:firstLine="142"/>
        <w:rPr>
          <w:b/>
        </w:rPr>
      </w:pPr>
      <w:r>
        <w:rPr>
          <w:b/>
          <w:bCs/>
        </w:rPr>
        <w:t>Svarīgākie aspekti</w:t>
      </w:r>
    </w:p>
    <w:p w14:paraId="6F72C1A6" w14:textId="77777777" w:rsidR="00847288" w:rsidRPr="00804736" w:rsidRDefault="00847288" w:rsidP="00847288">
      <w:pPr>
        <w:pStyle w:val="ListParagraph"/>
        <w:spacing w:line="240" w:lineRule="auto"/>
        <w:ind w:left="-142" w:firstLine="142"/>
        <w:rPr>
          <w:b/>
        </w:rPr>
      </w:pPr>
    </w:p>
    <w:p w14:paraId="207BF1D2" w14:textId="77777777" w:rsidR="00847288" w:rsidRPr="00B67EDA" w:rsidRDefault="00847288" w:rsidP="00847288">
      <w:pPr>
        <w:pStyle w:val="ListParagraph"/>
        <w:spacing w:line="240" w:lineRule="auto"/>
        <w:ind w:left="0" w:firstLine="142"/>
        <w:rPr>
          <w:bCs/>
        </w:rPr>
      </w:pPr>
      <w:r>
        <w:t>EESK:</w:t>
      </w:r>
    </w:p>
    <w:p w14:paraId="4DF8CA26" w14:textId="6DD36B91" w:rsidR="00847288" w:rsidRDefault="00847288" w:rsidP="00847288">
      <w:pPr>
        <w:pStyle w:val="ListParagraph"/>
        <w:spacing w:line="276" w:lineRule="auto"/>
        <w:ind w:left="0"/>
      </w:pPr>
    </w:p>
    <w:p w14:paraId="189B61E8" w14:textId="1C435956" w:rsidR="00847288" w:rsidRPr="009B70E7" w:rsidRDefault="00847288" w:rsidP="00847288">
      <w:pPr>
        <w:pStyle w:val="ListParagraph"/>
        <w:numPr>
          <w:ilvl w:val="0"/>
          <w:numId w:val="3"/>
        </w:numPr>
        <w:spacing w:line="276" w:lineRule="auto"/>
        <w:ind w:left="357" w:hanging="357"/>
      </w:pPr>
      <w:r>
        <w:t xml:space="preserve">uzsver, ka </w:t>
      </w:r>
      <w:r>
        <w:rPr>
          <w:b/>
        </w:rPr>
        <w:t>mēs piedzīvojam klimata krīzi</w:t>
      </w:r>
      <w:r>
        <w:t xml:space="preserve"> un ir visnotaļ pārliecināta, ka politiskajiem lēmumiem ir jāatbilst zinātnes atziņām un zinātniskajai informācijai; mudina Eiropas Komisiju un ES dalībvalstis </w:t>
      </w:r>
      <w:r>
        <w:rPr>
          <w:b/>
        </w:rPr>
        <w:t xml:space="preserve">uzņemties vadošu lomu </w:t>
      </w:r>
      <w:r>
        <w:t xml:space="preserve">un </w:t>
      </w:r>
      <w:r>
        <w:rPr>
          <w:b/>
        </w:rPr>
        <w:t>atjaunināt nacionāli noteiktos devumus (NND)</w:t>
      </w:r>
      <w:r>
        <w:t xml:space="preserve"> saskaņā ar Glāzgovas Klimata paktu;</w:t>
      </w:r>
    </w:p>
    <w:p w14:paraId="1C07CD30" w14:textId="15E9E73B" w:rsidR="00847288" w:rsidRDefault="00847288" w:rsidP="00847288">
      <w:pPr>
        <w:pStyle w:val="ListParagraph"/>
        <w:numPr>
          <w:ilvl w:val="0"/>
          <w:numId w:val="3"/>
        </w:numPr>
        <w:spacing w:line="276" w:lineRule="auto"/>
        <w:ind w:left="357" w:hanging="357"/>
      </w:pPr>
      <w:r>
        <w:t xml:space="preserve">atzīst, ka Krievijas iebrukums Ukrainā ir dramatiski sarežģījis jau tā ekonomiski un sociāli sarežģīto situāciju, taču uzsver, ka </w:t>
      </w:r>
      <w:r>
        <w:rPr>
          <w:b/>
        </w:rPr>
        <w:t>izņēmuma atkāpes no saskaņotajiem mērķiem var pieļaut tikai uz ierobežotu laiku</w:t>
      </w:r>
      <w:r>
        <w:t>;</w:t>
      </w:r>
    </w:p>
    <w:p w14:paraId="72575DFC" w14:textId="12D30DB9" w:rsidR="00847288" w:rsidRDefault="00847288" w:rsidP="00847288">
      <w:pPr>
        <w:pStyle w:val="ListParagraph"/>
        <w:numPr>
          <w:ilvl w:val="0"/>
          <w:numId w:val="3"/>
        </w:numPr>
        <w:spacing w:line="276" w:lineRule="auto"/>
        <w:ind w:left="357" w:hanging="357"/>
      </w:pPr>
      <w:r>
        <w:t xml:space="preserve">ir pārliecināta, ka </w:t>
      </w:r>
      <w:r>
        <w:rPr>
          <w:b/>
        </w:rPr>
        <w:t>Eiropas zaļais kurss ir jāstiprina</w:t>
      </w:r>
      <w:r>
        <w:t xml:space="preserve">, un aicina </w:t>
      </w:r>
      <w:r>
        <w:rPr>
          <w:b/>
        </w:rPr>
        <w:t>pastiprināt ES diplomātiskos centienus</w:t>
      </w:r>
      <w:r>
        <w:t xml:space="preserve"> veicināt Eiropas zaļajam kursam līdzīgu politikas satvaru pieņemšanu starptautiskajā sabiedrībā;</w:t>
      </w:r>
    </w:p>
    <w:p w14:paraId="45C22EE6" w14:textId="5390A339" w:rsidR="00847288" w:rsidRDefault="00847288" w:rsidP="00847288">
      <w:pPr>
        <w:pStyle w:val="ListParagraph"/>
        <w:numPr>
          <w:ilvl w:val="0"/>
          <w:numId w:val="3"/>
        </w:numPr>
        <w:spacing w:line="276" w:lineRule="auto"/>
        <w:ind w:left="357" w:hanging="357"/>
      </w:pPr>
      <w:r>
        <w:t xml:space="preserve">aicina palielināt attīstīto valstu kopējo finansējumu klimata pārmaiņu jomā, </w:t>
      </w:r>
      <w:r>
        <w:rPr>
          <w:b/>
        </w:rPr>
        <w:t>vienādi lielu uzmanību pievēršot pārmaiņu mazināšanas un pielāgošanās pasākumu finansēšanai</w:t>
      </w:r>
      <w:r>
        <w:t xml:space="preserve">, un mudina ES dalībvalstis un Komisiju uzņemties saistības </w:t>
      </w:r>
      <w:r>
        <w:rPr>
          <w:b/>
        </w:rPr>
        <w:t>finanšu zaudējumu un kaitējuma mehānismā</w:t>
      </w:r>
      <w:r>
        <w:t>, kura mērķis ir nodrošināt līdzekļus klimata pārmaiņu seku pārvarēšanai;</w:t>
      </w:r>
    </w:p>
    <w:p w14:paraId="1486CAB1" w14:textId="4C6CF3F7" w:rsidR="004E3304" w:rsidRDefault="00847288" w:rsidP="00847288">
      <w:pPr>
        <w:pStyle w:val="ListParagraph"/>
        <w:numPr>
          <w:ilvl w:val="0"/>
          <w:numId w:val="3"/>
        </w:numPr>
        <w:spacing w:line="276" w:lineRule="auto"/>
        <w:ind w:left="357" w:hanging="357"/>
      </w:pPr>
      <w:r>
        <w:t xml:space="preserve">uzskata, ka </w:t>
      </w:r>
      <w:r>
        <w:rPr>
          <w:b/>
        </w:rPr>
        <w:t>nacionāli noteiktajos devumos būtu jāiekļauj valstu nodarbinātības plāni un taisnīgas pārkārtošanās stratēģijas; aicina dot iespēju pilsoniskajai sabiedrībai</w:t>
      </w:r>
      <w:r>
        <w:t xml:space="preserve"> paātrināt klimatrīcību un izstrādāt </w:t>
      </w:r>
      <w:r>
        <w:rPr>
          <w:b/>
        </w:rPr>
        <w:t>jaunu pārvaldības satvaru</w:t>
      </w:r>
      <w:r>
        <w:t xml:space="preserve"> šo pārveidojošo pārmaiņu attīstībai; mudina valdības un reģionu iestādes izveidot </w:t>
      </w:r>
      <w:r>
        <w:rPr>
          <w:b/>
        </w:rPr>
        <w:t>taisnīgas pārkārtošanās komisijas</w:t>
      </w:r>
      <w:r>
        <w:t>, lai sekmētu ar zaļo pārkārtošanos saistīto sociālo problēmu risināšanu.</w:t>
      </w:r>
    </w:p>
    <w:p w14:paraId="0AD8282B" w14:textId="77777777" w:rsidR="00847288" w:rsidRDefault="00847288" w:rsidP="00241F6A">
      <w:pPr>
        <w:pStyle w:val="ListParagraph"/>
        <w:spacing w:line="276" w:lineRule="auto"/>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847288" w:rsidRPr="009B70E7" w14:paraId="1A0E05BC" w14:textId="77777777" w:rsidTr="00576060">
        <w:tc>
          <w:tcPr>
            <w:tcW w:w="1418" w:type="dxa"/>
          </w:tcPr>
          <w:p w14:paraId="4E17985E" w14:textId="77777777" w:rsidR="00847288" w:rsidRPr="009B70E7" w:rsidRDefault="00847288" w:rsidP="00576060">
            <w:pPr>
              <w:pStyle w:val="ListParagraph"/>
              <w:spacing w:line="276" w:lineRule="auto"/>
              <w:ind w:left="0"/>
              <w:rPr>
                <w:i/>
              </w:rPr>
            </w:pPr>
            <w:r>
              <w:rPr>
                <w:b/>
                <w:i/>
              </w:rPr>
              <w:t>Kontaktpersona:</w:t>
            </w:r>
          </w:p>
        </w:tc>
        <w:tc>
          <w:tcPr>
            <w:tcW w:w="5670" w:type="dxa"/>
          </w:tcPr>
          <w:p w14:paraId="7A3D3B04" w14:textId="12E76DD4" w:rsidR="00847288" w:rsidRPr="009B70E7" w:rsidRDefault="00847288" w:rsidP="00576060">
            <w:pPr>
              <w:pStyle w:val="ListParagraph"/>
              <w:spacing w:line="276" w:lineRule="auto"/>
              <w:ind w:left="0"/>
              <w:rPr>
                <w:i/>
              </w:rPr>
            </w:pPr>
            <w:r>
              <w:rPr>
                <w:i/>
              </w:rPr>
              <w:t>Judit Carreras Garcia</w:t>
            </w:r>
          </w:p>
        </w:tc>
      </w:tr>
      <w:tr w:rsidR="00847288" w:rsidRPr="009B70E7" w14:paraId="510E6EF9" w14:textId="77777777" w:rsidTr="00576060">
        <w:tc>
          <w:tcPr>
            <w:tcW w:w="1418" w:type="dxa"/>
          </w:tcPr>
          <w:p w14:paraId="26FECBC0" w14:textId="77777777" w:rsidR="00847288" w:rsidRPr="009B70E7" w:rsidRDefault="00847288" w:rsidP="00576060">
            <w:pPr>
              <w:pStyle w:val="ListParagraph"/>
              <w:spacing w:line="276" w:lineRule="auto"/>
              <w:ind w:left="601"/>
              <w:rPr>
                <w:i/>
              </w:rPr>
            </w:pPr>
            <w:r>
              <w:rPr>
                <w:i/>
              </w:rPr>
              <w:t>Tālr.:</w:t>
            </w:r>
          </w:p>
        </w:tc>
        <w:tc>
          <w:tcPr>
            <w:tcW w:w="5670" w:type="dxa"/>
          </w:tcPr>
          <w:p w14:paraId="17DB3F0C" w14:textId="778D5F32" w:rsidR="00847288" w:rsidRPr="009B70E7" w:rsidRDefault="00847288" w:rsidP="00576060">
            <w:pPr>
              <w:pStyle w:val="ListParagraph"/>
              <w:spacing w:line="276" w:lineRule="auto"/>
              <w:ind w:left="0"/>
              <w:rPr>
                <w:i/>
              </w:rPr>
            </w:pPr>
            <w:r>
              <w:rPr>
                <w:i/>
              </w:rPr>
              <w:t>00 32 2 546 84 21</w:t>
            </w:r>
          </w:p>
        </w:tc>
      </w:tr>
      <w:tr w:rsidR="00847288" w:rsidRPr="009B70E7" w14:paraId="1E5F6330" w14:textId="77777777" w:rsidTr="00576060">
        <w:tc>
          <w:tcPr>
            <w:tcW w:w="1418" w:type="dxa"/>
          </w:tcPr>
          <w:p w14:paraId="31C42877" w14:textId="77777777" w:rsidR="00847288" w:rsidRPr="009B70E7" w:rsidRDefault="00847288" w:rsidP="00576060">
            <w:pPr>
              <w:pStyle w:val="ListParagraph"/>
              <w:spacing w:line="276" w:lineRule="auto"/>
              <w:ind w:left="601"/>
              <w:rPr>
                <w:i/>
              </w:rPr>
            </w:pPr>
            <w:r>
              <w:rPr>
                <w:i/>
              </w:rPr>
              <w:t>E-pasts:</w:t>
            </w:r>
          </w:p>
        </w:tc>
        <w:tc>
          <w:tcPr>
            <w:tcW w:w="5670" w:type="dxa"/>
          </w:tcPr>
          <w:p w14:paraId="4D51272F" w14:textId="589EBC97" w:rsidR="00847288" w:rsidRPr="00E31954" w:rsidRDefault="000062DB" w:rsidP="00576060">
            <w:pPr>
              <w:pStyle w:val="ListParagraph"/>
              <w:spacing w:line="276" w:lineRule="auto"/>
              <w:ind w:left="0"/>
              <w:rPr>
                <w:rStyle w:val="Hyperlink"/>
                <w:i/>
                <w:iCs/>
              </w:rPr>
            </w:pPr>
            <w:hyperlink r:id="rId20" w:history="1">
              <w:r w:rsidR="007B42E2">
                <w:rPr>
                  <w:rStyle w:val="Hyperlink"/>
                </w:rPr>
                <w:t>Judit.CarrerasGarcia</w:t>
              </w:r>
              <w:r w:rsidR="007B42E2">
                <w:rPr>
                  <w:rStyle w:val="Hyperlink"/>
                  <w:i/>
                </w:rPr>
                <w:t>@eesc.europa.eu</w:t>
              </w:r>
            </w:hyperlink>
          </w:p>
          <w:p w14:paraId="3D591AA1" w14:textId="77777777" w:rsidR="00847288" w:rsidRPr="009B70E7" w:rsidRDefault="00847288" w:rsidP="00576060">
            <w:pPr>
              <w:pStyle w:val="ListParagraph"/>
              <w:spacing w:line="276" w:lineRule="auto"/>
              <w:ind w:left="0"/>
              <w:rPr>
                <w:i/>
              </w:rPr>
            </w:pPr>
          </w:p>
        </w:tc>
      </w:tr>
    </w:tbl>
    <w:p w14:paraId="614CEB83" w14:textId="39570086" w:rsidR="004E3304" w:rsidRDefault="004E3304" w:rsidP="007B4C34">
      <w:pPr>
        <w:keepNext/>
        <w:keepLines/>
        <w:overflowPunct w:val="0"/>
        <w:autoSpaceDE w:val="0"/>
        <w:autoSpaceDN w:val="0"/>
        <w:adjustRightInd w:val="0"/>
        <w:textAlignment w:val="baseline"/>
        <w:rPr>
          <w:b/>
        </w:rPr>
      </w:pPr>
    </w:p>
    <w:p w14:paraId="59BBDBA3" w14:textId="16E5D695" w:rsidR="00057592" w:rsidRDefault="00057592">
      <w:pPr>
        <w:spacing w:after="160" w:line="259" w:lineRule="auto"/>
        <w:jc w:val="left"/>
        <w:rPr>
          <w:b/>
        </w:rPr>
      </w:pPr>
      <w:r>
        <w:br w:type="page"/>
      </w:r>
    </w:p>
    <w:p w14:paraId="1E329F25" w14:textId="77777777" w:rsidR="004D7AC0" w:rsidRPr="00D13F40" w:rsidRDefault="004D7AC0" w:rsidP="00D13F40">
      <w:pPr>
        <w:pStyle w:val="Heading1"/>
        <w:rPr>
          <w:b/>
        </w:rPr>
      </w:pPr>
      <w:bookmarkStart w:id="1" w:name="_Toc120000277"/>
      <w:r>
        <w:rPr>
          <w:b/>
        </w:rPr>
        <w:lastRenderedPageBreak/>
        <w:t>EKONOMISKĀ UN MONETĀRĀ SAVIENĪBA, EKONOMISKĀ UN SOCIĀLĀ KOHĒZIJA</w:t>
      </w:r>
      <w:bookmarkEnd w:id="1"/>
    </w:p>
    <w:p w14:paraId="1710091D" w14:textId="77777777" w:rsidR="00662436" w:rsidRDefault="00662436" w:rsidP="0018231C">
      <w:pPr>
        <w:spacing w:line="240" w:lineRule="auto"/>
      </w:pPr>
    </w:p>
    <w:p w14:paraId="228D42E4" w14:textId="4EBE2391" w:rsidR="00640656" w:rsidRPr="00017B56" w:rsidRDefault="00A26217" w:rsidP="00576060">
      <w:pPr>
        <w:keepNext/>
        <w:keepLines/>
        <w:numPr>
          <w:ilvl w:val="0"/>
          <w:numId w:val="5"/>
        </w:numPr>
        <w:overflowPunct w:val="0"/>
        <w:autoSpaceDE w:val="0"/>
        <w:autoSpaceDN w:val="0"/>
        <w:adjustRightInd w:val="0"/>
        <w:ind w:left="567" w:hanging="567"/>
        <w:textAlignment w:val="baseline"/>
        <w:rPr>
          <w:rStyle w:val="Hyperlink"/>
          <w:color w:val="auto"/>
          <w:spacing w:val="-2"/>
          <w:u w:val="none"/>
        </w:rPr>
      </w:pPr>
      <w:r>
        <w:rPr>
          <w:b/>
          <w:i/>
          <w:color w:val="000000" w:themeColor="text1"/>
          <w:sz w:val="28"/>
        </w:rPr>
        <w:t>Eiropas Savienības uzņēmumu rekapitalizācija – inovatīvs ilgtspējīgas un iekļaujošas atveseļošanas veids</w:t>
      </w:r>
    </w:p>
    <w:p w14:paraId="6939C94A" w14:textId="77777777" w:rsidR="00017B56" w:rsidRPr="00017B56" w:rsidRDefault="00017B56" w:rsidP="00017B56">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640656" w:rsidRPr="00627B8F" w14:paraId="17A96696" w14:textId="77777777" w:rsidTr="00B83E7B">
        <w:tc>
          <w:tcPr>
            <w:tcW w:w="1701" w:type="dxa"/>
          </w:tcPr>
          <w:p w14:paraId="204BF0A8" w14:textId="77777777" w:rsidR="00640656" w:rsidRPr="009B70E7" w:rsidRDefault="00640656" w:rsidP="002C4B6E">
            <w:pPr>
              <w:pStyle w:val="ListParagraph"/>
              <w:spacing w:line="240" w:lineRule="auto"/>
              <w:ind w:left="-142" w:firstLine="142"/>
              <w:rPr>
                <w:b/>
              </w:rPr>
            </w:pPr>
            <w:bookmarkStart w:id="2" w:name="_Hlk117003820"/>
            <w:r>
              <w:rPr>
                <w:b/>
              </w:rPr>
              <w:t>Ziņotājs:</w:t>
            </w:r>
          </w:p>
        </w:tc>
        <w:tc>
          <w:tcPr>
            <w:tcW w:w="6521" w:type="dxa"/>
          </w:tcPr>
          <w:p w14:paraId="1461617E" w14:textId="584C42E4" w:rsidR="00640656" w:rsidRDefault="00017B56" w:rsidP="00B83E7B">
            <w:pPr>
              <w:pStyle w:val="ListParagraph"/>
              <w:ind w:left="-60" w:right="-55"/>
            </w:pPr>
            <w:r>
              <w:t xml:space="preserve">Antonio </w:t>
            </w:r>
            <w:r w:rsidR="00241F6A">
              <w:t xml:space="preserve">GARCÌA DEL RIEGO </w:t>
            </w:r>
            <w:r>
              <w:t>(Darba devēju grupa – ES)</w:t>
            </w:r>
          </w:p>
          <w:p w14:paraId="1C5C2FFB" w14:textId="21B769C5" w:rsidR="004442D3" w:rsidRPr="00627B8F" w:rsidRDefault="004442D3" w:rsidP="00B83E7B">
            <w:pPr>
              <w:pStyle w:val="ListParagraph"/>
              <w:ind w:left="-60" w:right="-55"/>
            </w:pPr>
          </w:p>
        </w:tc>
      </w:tr>
      <w:bookmarkEnd w:id="2"/>
      <w:tr w:rsidR="00640656" w:rsidRPr="00627B8F" w14:paraId="3D93C3AA" w14:textId="77777777" w:rsidTr="00B83E7B">
        <w:tc>
          <w:tcPr>
            <w:tcW w:w="1701" w:type="dxa"/>
          </w:tcPr>
          <w:p w14:paraId="33436DCF" w14:textId="1A53B153" w:rsidR="00640656" w:rsidRPr="009B70E7" w:rsidRDefault="00B80604" w:rsidP="00804736">
            <w:pPr>
              <w:pStyle w:val="ListParagraph"/>
              <w:spacing w:line="240" w:lineRule="auto"/>
              <w:ind w:left="-142" w:firstLine="142"/>
              <w:rPr>
                <w:b/>
              </w:rPr>
            </w:pPr>
            <w:r>
              <w:rPr>
                <w:b/>
              </w:rPr>
              <w:t>Atsauce:</w:t>
            </w:r>
            <w:r w:rsidR="00640656">
              <w:rPr>
                <w:b/>
              </w:rPr>
              <w:t xml:space="preserve"> </w:t>
            </w:r>
          </w:p>
        </w:tc>
        <w:tc>
          <w:tcPr>
            <w:tcW w:w="6521" w:type="dxa"/>
          </w:tcPr>
          <w:p w14:paraId="3CD87A23" w14:textId="77777777" w:rsidR="00640656" w:rsidRPr="00627B8F" w:rsidRDefault="000A03BD" w:rsidP="00B83E7B">
            <w:pPr>
              <w:pStyle w:val="ListParagraph"/>
              <w:ind w:left="-61"/>
              <w:rPr>
                <w:bCs/>
              </w:rPr>
            </w:pPr>
            <w:r>
              <w:t>Pašiniciatīvas atzinums</w:t>
            </w:r>
          </w:p>
          <w:p w14:paraId="57D265AF" w14:textId="3B0375E8" w:rsidR="00640656" w:rsidRPr="00627B8F" w:rsidRDefault="00640656" w:rsidP="00B83E7B">
            <w:pPr>
              <w:pStyle w:val="ListParagraph"/>
              <w:ind w:left="-61"/>
            </w:pPr>
            <w:r>
              <w:t>EESC-2022-00362-00-00-AC</w:t>
            </w:r>
          </w:p>
        </w:tc>
      </w:tr>
    </w:tbl>
    <w:p w14:paraId="68C62979" w14:textId="77777777" w:rsidR="00640656" w:rsidRPr="00627B8F" w:rsidRDefault="00640656" w:rsidP="00640656">
      <w:pPr>
        <w:pStyle w:val="ListParagraph"/>
        <w:spacing w:line="240" w:lineRule="auto"/>
        <w:ind w:left="0"/>
        <w:rPr>
          <w:lang w:val="pt-PT"/>
        </w:rPr>
      </w:pPr>
    </w:p>
    <w:p w14:paraId="1531E332" w14:textId="43F60572" w:rsidR="00640656" w:rsidRPr="009B70E7" w:rsidRDefault="00640656" w:rsidP="00B67EDA">
      <w:pPr>
        <w:pStyle w:val="ListParagraph"/>
        <w:spacing w:line="240" w:lineRule="auto"/>
        <w:ind w:left="0" w:firstLine="142"/>
        <w:rPr>
          <w:b/>
        </w:rPr>
      </w:pPr>
      <w:r>
        <w:rPr>
          <w:b/>
          <w:bCs/>
        </w:rPr>
        <w:t>Svarīgākie aspekti</w:t>
      </w:r>
    </w:p>
    <w:p w14:paraId="35E5BFA5" w14:textId="77777777" w:rsidR="00640656" w:rsidRPr="00804736" w:rsidRDefault="00640656" w:rsidP="00804736">
      <w:pPr>
        <w:pStyle w:val="ListParagraph"/>
        <w:spacing w:line="240" w:lineRule="auto"/>
        <w:ind w:left="-142" w:firstLine="142"/>
        <w:rPr>
          <w:b/>
        </w:rPr>
      </w:pPr>
    </w:p>
    <w:p w14:paraId="49F5E58C" w14:textId="77777777" w:rsidR="00640656" w:rsidRPr="00B67EDA" w:rsidRDefault="00640656" w:rsidP="00B67EDA">
      <w:pPr>
        <w:pStyle w:val="ListParagraph"/>
        <w:spacing w:line="240" w:lineRule="auto"/>
        <w:ind w:left="0" w:firstLine="142"/>
        <w:rPr>
          <w:bCs/>
        </w:rPr>
      </w:pPr>
      <w:r>
        <w:t>EESK:</w:t>
      </w:r>
    </w:p>
    <w:p w14:paraId="79740612" w14:textId="77777777" w:rsidR="00640656" w:rsidRPr="009B70E7" w:rsidRDefault="00640656" w:rsidP="00640656">
      <w:pPr>
        <w:pStyle w:val="ListParagraph"/>
        <w:spacing w:line="276" w:lineRule="auto"/>
        <w:ind w:left="0"/>
      </w:pPr>
    </w:p>
    <w:p w14:paraId="7319D50D" w14:textId="002A12EB" w:rsidR="00640656" w:rsidRPr="009B70E7" w:rsidRDefault="00017B56" w:rsidP="00640656">
      <w:pPr>
        <w:pStyle w:val="ListParagraph"/>
        <w:numPr>
          <w:ilvl w:val="0"/>
          <w:numId w:val="3"/>
        </w:numPr>
        <w:spacing w:line="276" w:lineRule="auto"/>
        <w:ind w:left="357" w:hanging="357"/>
      </w:pPr>
      <w:bookmarkStart w:id="3" w:name="_Hlk118374349"/>
      <w:r>
        <w:t>konstatē, ka ES uzņēmumi pārmērīgi paļaujas uz banku finansējumu laikā, kad pašu kapitāla un kapitāla deficīts ir 450–600 miljardi EUR; tas apdraud uzņēmumus, īpaši ņemot vērā pašreiz augsto uzņēmumu parādu un ekonomiskās spriedzes augsto līmeni;</w:t>
      </w:r>
    </w:p>
    <w:p w14:paraId="7C4FC554" w14:textId="77777777" w:rsidR="00017B56" w:rsidRDefault="00017B56" w:rsidP="00017B56">
      <w:pPr>
        <w:pStyle w:val="ListParagraph"/>
        <w:numPr>
          <w:ilvl w:val="0"/>
          <w:numId w:val="3"/>
        </w:numPr>
        <w:spacing w:line="276" w:lineRule="auto"/>
        <w:ind w:left="357" w:hanging="357"/>
      </w:pPr>
      <w:r>
        <w:t>iesaka stimulēt jaunus finansējuma avotus, šajā nolūkā veidojot satvaru, kas pilnveidotu hibrīda finanšu instrumentus tā, lai tos būtu viegli īstenot, stiprināt uzņēmumu bilances un atbalstīt investīcijas;</w:t>
      </w:r>
      <w:bookmarkEnd w:id="3"/>
    </w:p>
    <w:p w14:paraId="5450339B" w14:textId="7E5ACBF7" w:rsidR="00017B56" w:rsidRPr="00017B56" w:rsidRDefault="00017B56" w:rsidP="00017B56">
      <w:pPr>
        <w:pStyle w:val="ListParagraph"/>
        <w:numPr>
          <w:ilvl w:val="0"/>
          <w:numId w:val="3"/>
        </w:numPr>
        <w:spacing w:line="276" w:lineRule="auto"/>
        <w:ind w:left="357" w:hanging="357"/>
      </w:pPr>
      <w:r>
        <w:t>uzskata, ka dziļi subordinētie instrumenti ir labākais iespējamais risinājums, jo:</w:t>
      </w:r>
      <w:bookmarkStart w:id="4" w:name="_Hlk116640634"/>
      <w:r>
        <w:rPr>
          <w:color w:val="000000" w:themeColor="text1"/>
        </w:rPr>
        <w:t xml:space="preserve"> </w:t>
      </w:r>
    </w:p>
    <w:p w14:paraId="231063BA" w14:textId="5AF6666C" w:rsidR="00017B56" w:rsidRPr="00017B56" w:rsidRDefault="00017B56" w:rsidP="00017B56">
      <w:pPr>
        <w:pStyle w:val="ListParagraph"/>
        <w:numPr>
          <w:ilvl w:val="0"/>
          <w:numId w:val="23"/>
        </w:numPr>
        <w:spacing w:line="276" w:lineRule="auto"/>
      </w:pPr>
      <w:r>
        <w:t>tie jau tiek regulēti dažās ES valstīs un līdz ar to tie ir droši instrumenti mikrouzņēmumiem, mazajiem un vidējiem uzņēmumiem;</w:t>
      </w:r>
    </w:p>
    <w:p w14:paraId="46CEA193" w14:textId="77777777" w:rsidR="00017B56" w:rsidRPr="00017B56" w:rsidRDefault="00017B56" w:rsidP="00017B56">
      <w:pPr>
        <w:pStyle w:val="ListParagraph"/>
        <w:numPr>
          <w:ilvl w:val="0"/>
          <w:numId w:val="23"/>
        </w:numPr>
      </w:pPr>
      <w:r>
        <w:t>tie ir ātri un viegli īstenojams ilgtermiņa risinājums;</w:t>
      </w:r>
    </w:p>
    <w:p w14:paraId="4D214574" w14:textId="640BC399" w:rsidR="00017B56" w:rsidRDefault="00017B56" w:rsidP="00017B56">
      <w:pPr>
        <w:pStyle w:val="ListParagraph"/>
        <w:numPr>
          <w:ilvl w:val="0"/>
          <w:numId w:val="23"/>
        </w:numPr>
        <w:spacing w:line="276" w:lineRule="auto"/>
      </w:pPr>
      <w:r>
        <w:t>tie ir saderīgi ar ģimenes uzņēmumiem, jo ģimenes vēlas saglabāt savu uzņēmumu kontroli;</w:t>
      </w:r>
      <w:bookmarkEnd w:id="4"/>
    </w:p>
    <w:p w14:paraId="56A8BCD2" w14:textId="63F9B35D" w:rsidR="00017B56" w:rsidRDefault="00017B56" w:rsidP="00640656">
      <w:pPr>
        <w:pStyle w:val="ListParagraph"/>
        <w:numPr>
          <w:ilvl w:val="0"/>
          <w:numId w:val="3"/>
        </w:numPr>
        <w:spacing w:line="276" w:lineRule="auto"/>
        <w:ind w:left="357" w:hanging="357"/>
      </w:pPr>
      <w:r>
        <w:t>iesaka šiem instrumentiem paredzēt kvazikapitāla statusu, lai bilancēs tos neuzskaitītu kā parādu, un ārkārtas maksājumos pēc ranga tos ierindot tieši pirms pašu kapitāla;</w:t>
      </w:r>
    </w:p>
    <w:p w14:paraId="7D62D857" w14:textId="0FB94550" w:rsidR="00017B56" w:rsidRDefault="00017B56" w:rsidP="00640656">
      <w:pPr>
        <w:pStyle w:val="ListParagraph"/>
        <w:numPr>
          <w:ilvl w:val="0"/>
          <w:numId w:val="3"/>
        </w:numPr>
        <w:spacing w:line="276" w:lineRule="auto"/>
        <w:ind w:left="357" w:hanging="357"/>
      </w:pPr>
      <w:r>
        <w:t>atbalsta shēmu, kurā pastāv sadarbība starp privātām un publiskām iestādēm, tostarp bankām, aktīvu pārvaldītājiem, publisko sektoru un institucionālajiem ieguldītājiem (apdrošinātājiem un pensiju fondiem);</w:t>
      </w:r>
    </w:p>
    <w:p w14:paraId="0D16AC6B" w14:textId="07C218C9" w:rsidR="00017B56" w:rsidRDefault="00017B56" w:rsidP="00017B56">
      <w:pPr>
        <w:pStyle w:val="ListParagraph"/>
        <w:numPr>
          <w:ilvl w:val="0"/>
          <w:numId w:val="3"/>
        </w:numPr>
        <w:spacing w:line="276" w:lineRule="auto"/>
        <w:ind w:left="357" w:hanging="357"/>
      </w:pPr>
      <w:r>
        <w:t>uzsver, ka ES mēroga instrumenta modelis varētu iegūt no atpazīstamības, likviditātes un vienotā tirgus mēroga, radīt plašu interesi institucionālo ieguldītāju vidū, veicināt investīcijas un kļūt par atbalstu kapitāla tirgu savienībai.</w:t>
      </w:r>
    </w:p>
    <w:p w14:paraId="6AC42931" w14:textId="77777777" w:rsidR="00577672" w:rsidRPr="009B70E7" w:rsidRDefault="00577672" w:rsidP="00577672">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640656" w:rsidRPr="009B70E7" w14:paraId="437B7156" w14:textId="77777777" w:rsidTr="00B83E7B">
        <w:tc>
          <w:tcPr>
            <w:tcW w:w="1418" w:type="dxa"/>
          </w:tcPr>
          <w:p w14:paraId="026D2B53" w14:textId="77777777" w:rsidR="00640656" w:rsidRPr="009B70E7" w:rsidRDefault="00640656" w:rsidP="00B83E7B">
            <w:pPr>
              <w:pStyle w:val="ListParagraph"/>
              <w:spacing w:line="276" w:lineRule="auto"/>
              <w:ind w:left="0"/>
              <w:rPr>
                <w:i/>
              </w:rPr>
            </w:pPr>
            <w:bookmarkStart w:id="5" w:name="_Hlk111561469"/>
            <w:r>
              <w:rPr>
                <w:b/>
                <w:i/>
              </w:rPr>
              <w:t>Kontaktpersona:</w:t>
            </w:r>
          </w:p>
        </w:tc>
        <w:tc>
          <w:tcPr>
            <w:tcW w:w="5670" w:type="dxa"/>
          </w:tcPr>
          <w:p w14:paraId="3123BFA2" w14:textId="67D615E8" w:rsidR="00640656" w:rsidRPr="009B70E7" w:rsidRDefault="00017B56" w:rsidP="00B83E7B">
            <w:pPr>
              <w:pStyle w:val="ListParagraph"/>
              <w:spacing w:line="276" w:lineRule="auto"/>
              <w:ind w:left="0"/>
              <w:rPr>
                <w:i/>
              </w:rPr>
            </w:pPr>
            <w:r>
              <w:rPr>
                <w:i/>
              </w:rPr>
              <w:t>Sergio Lorencio Matallana</w:t>
            </w:r>
          </w:p>
        </w:tc>
      </w:tr>
      <w:tr w:rsidR="00640656" w:rsidRPr="009B70E7" w14:paraId="13C450E4" w14:textId="77777777" w:rsidTr="00B83E7B">
        <w:tc>
          <w:tcPr>
            <w:tcW w:w="1418" w:type="dxa"/>
          </w:tcPr>
          <w:p w14:paraId="71B7C5A8" w14:textId="77777777" w:rsidR="00640656" w:rsidRPr="009B70E7" w:rsidRDefault="00640656" w:rsidP="00B83E7B">
            <w:pPr>
              <w:pStyle w:val="ListParagraph"/>
              <w:spacing w:line="276" w:lineRule="auto"/>
              <w:ind w:left="601"/>
              <w:rPr>
                <w:i/>
              </w:rPr>
            </w:pPr>
            <w:r>
              <w:rPr>
                <w:i/>
              </w:rPr>
              <w:t>Tālr.:</w:t>
            </w:r>
          </w:p>
        </w:tc>
        <w:tc>
          <w:tcPr>
            <w:tcW w:w="5670" w:type="dxa"/>
          </w:tcPr>
          <w:p w14:paraId="3226C0EF" w14:textId="75448236" w:rsidR="00640656" w:rsidRPr="009B70E7" w:rsidRDefault="00577672" w:rsidP="00B83E7B">
            <w:pPr>
              <w:pStyle w:val="ListParagraph"/>
              <w:spacing w:line="276" w:lineRule="auto"/>
              <w:ind w:left="0"/>
              <w:rPr>
                <w:i/>
              </w:rPr>
            </w:pPr>
            <w:r>
              <w:rPr>
                <w:i/>
              </w:rPr>
              <w:t>00 32 2 546 92 40</w:t>
            </w:r>
          </w:p>
        </w:tc>
      </w:tr>
      <w:tr w:rsidR="00640656" w:rsidRPr="009B70E7" w14:paraId="1FEA5B3F" w14:textId="77777777" w:rsidTr="00B83E7B">
        <w:tc>
          <w:tcPr>
            <w:tcW w:w="1418" w:type="dxa"/>
          </w:tcPr>
          <w:p w14:paraId="6D5FF9EA" w14:textId="77777777" w:rsidR="00640656" w:rsidRPr="009B70E7" w:rsidRDefault="00640656" w:rsidP="00B83E7B">
            <w:pPr>
              <w:pStyle w:val="ListParagraph"/>
              <w:spacing w:line="276" w:lineRule="auto"/>
              <w:ind w:left="601"/>
              <w:rPr>
                <w:i/>
              </w:rPr>
            </w:pPr>
            <w:r>
              <w:rPr>
                <w:i/>
              </w:rPr>
              <w:t>E-pasts:</w:t>
            </w:r>
          </w:p>
        </w:tc>
        <w:tc>
          <w:tcPr>
            <w:tcW w:w="5670" w:type="dxa"/>
          </w:tcPr>
          <w:p w14:paraId="29857EAF" w14:textId="711D156F" w:rsidR="00640656" w:rsidRPr="00E31954" w:rsidRDefault="000062DB" w:rsidP="00B83E7B">
            <w:pPr>
              <w:pStyle w:val="ListParagraph"/>
              <w:spacing w:line="276" w:lineRule="auto"/>
              <w:ind w:left="0"/>
              <w:rPr>
                <w:rStyle w:val="Hyperlink"/>
                <w:i/>
                <w:iCs/>
              </w:rPr>
            </w:pPr>
            <w:hyperlink r:id="rId21" w:history="1">
              <w:r w:rsidR="007B42E2">
                <w:rPr>
                  <w:rStyle w:val="Hyperlink"/>
                  <w:i/>
                </w:rPr>
                <w:t>Sergio.Lorencio.Matallana@eesc.europa.eu</w:t>
              </w:r>
            </w:hyperlink>
          </w:p>
          <w:p w14:paraId="160383F7" w14:textId="69E24BDE" w:rsidR="00063F30" w:rsidRPr="009B70E7" w:rsidRDefault="00063F30" w:rsidP="00B83E7B">
            <w:pPr>
              <w:pStyle w:val="ListParagraph"/>
              <w:spacing w:line="276" w:lineRule="auto"/>
              <w:ind w:left="0"/>
              <w:rPr>
                <w:i/>
              </w:rPr>
            </w:pPr>
          </w:p>
        </w:tc>
      </w:tr>
      <w:bookmarkEnd w:id="5"/>
    </w:tbl>
    <w:p w14:paraId="36F00E77" w14:textId="06858568" w:rsidR="00C71AB7" w:rsidRDefault="00C71AB7" w:rsidP="0018231C">
      <w:pPr>
        <w:spacing w:line="240" w:lineRule="auto"/>
      </w:pPr>
    </w:p>
    <w:p w14:paraId="099E8EC3" w14:textId="12371ECD" w:rsidR="005B5038" w:rsidRDefault="00C71AB7" w:rsidP="00C71AB7">
      <w:pPr>
        <w:spacing w:after="160" w:line="259" w:lineRule="auto"/>
        <w:jc w:val="left"/>
      </w:pPr>
      <w:r>
        <w:br w:type="page"/>
      </w:r>
    </w:p>
    <w:p w14:paraId="34EF7F8B" w14:textId="4B7902E2" w:rsidR="002D03B9" w:rsidRPr="00057592" w:rsidRDefault="002D03B9" w:rsidP="00057592">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Digitālais euro</w:t>
      </w:r>
    </w:p>
    <w:p w14:paraId="7C7066EC" w14:textId="77777777" w:rsidR="00057592" w:rsidRPr="00057592" w:rsidRDefault="00057592" w:rsidP="00057592">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627B8F" w14:paraId="691352BE" w14:textId="77777777" w:rsidTr="004A46D9">
        <w:tc>
          <w:tcPr>
            <w:tcW w:w="1701" w:type="dxa"/>
          </w:tcPr>
          <w:p w14:paraId="3B832BAF" w14:textId="77777777" w:rsidR="00705674" w:rsidRPr="009B70E7" w:rsidRDefault="00705674" w:rsidP="002C4B6E">
            <w:pPr>
              <w:pStyle w:val="ListParagraph"/>
              <w:spacing w:line="240" w:lineRule="auto"/>
              <w:ind w:left="-142" w:firstLine="142"/>
              <w:rPr>
                <w:b/>
              </w:rPr>
            </w:pPr>
            <w:r>
              <w:rPr>
                <w:b/>
              </w:rPr>
              <w:t>Ziņotājs:</w:t>
            </w:r>
          </w:p>
        </w:tc>
        <w:tc>
          <w:tcPr>
            <w:tcW w:w="6521" w:type="dxa"/>
          </w:tcPr>
          <w:p w14:paraId="322FA680" w14:textId="51842536" w:rsidR="00705674" w:rsidRPr="00627B8F" w:rsidRDefault="00063F30" w:rsidP="00ED2A6A">
            <w:pPr>
              <w:pStyle w:val="ListParagraph"/>
              <w:ind w:left="-60" w:right="-55"/>
            </w:pPr>
            <w:r>
              <w:t>Juraj SIPKO (Pilsoniskās sabiedrības organizāciju grupa – SK)</w:t>
            </w:r>
          </w:p>
        </w:tc>
      </w:tr>
      <w:tr w:rsidR="00986C7F" w:rsidRPr="009B70E7" w14:paraId="0AA03C0B" w14:textId="77777777" w:rsidTr="004A46D9">
        <w:tc>
          <w:tcPr>
            <w:tcW w:w="8222" w:type="dxa"/>
            <w:gridSpan w:val="2"/>
          </w:tcPr>
          <w:p w14:paraId="11126B04" w14:textId="77777777" w:rsidR="00986C7F" w:rsidRPr="009B70E7" w:rsidRDefault="00986C7F">
            <w:pPr>
              <w:pStyle w:val="ListParagraph"/>
              <w:ind w:left="0"/>
            </w:pPr>
          </w:p>
        </w:tc>
      </w:tr>
      <w:tr w:rsidR="004D7AC0" w:rsidRPr="00627B8F" w14:paraId="1499CE6A" w14:textId="77777777" w:rsidTr="004A46D9">
        <w:tc>
          <w:tcPr>
            <w:tcW w:w="1701" w:type="dxa"/>
          </w:tcPr>
          <w:p w14:paraId="402C1F54" w14:textId="17C68FBA" w:rsidR="004D7AC0" w:rsidRPr="009B70E7" w:rsidRDefault="00B80604">
            <w:pPr>
              <w:pStyle w:val="ListParagraph"/>
              <w:ind w:left="0"/>
              <w:rPr>
                <w:b/>
              </w:rPr>
            </w:pPr>
            <w:r>
              <w:rPr>
                <w:b/>
              </w:rPr>
              <w:t>Atsauce:</w:t>
            </w:r>
            <w:r w:rsidR="004D7AC0">
              <w:rPr>
                <w:b/>
              </w:rPr>
              <w:t xml:space="preserve"> </w:t>
            </w:r>
          </w:p>
        </w:tc>
        <w:tc>
          <w:tcPr>
            <w:tcW w:w="6521" w:type="dxa"/>
          </w:tcPr>
          <w:p w14:paraId="77BAAF3B" w14:textId="0A02AAD1" w:rsidR="00DC097D" w:rsidRPr="00627B8F" w:rsidRDefault="002D03B9" w:rsidP="0068241A">
            <w:pPr>
              <w:pStyle w:val="ListParagraph"/>
              <w:ind w:left="-61"/>
              <w:rPr>
                <w:bCs/>
              </w:rPr>
            </w:pPr>
            <w:r>
              <w:t>Pašiniciatīvas atzinums</w:t>
            </w:r>
          </w:p>
          <w:p w14:paraId="4FE162D8" w14:textId="649E1108" w:rsidR="004D7AC0" w:rsidRPr="00627B8F" w:rsidRDefault="006125A8" w:rsidP="0068241A">
            <w:pPr>
              <w:pStyle w:val="ListParagraph"/>
              <w:ind w:left="-61"/>
            </w:pPr>
            <w:r>
              <w:t>EESC-2022-00719-00-00-</w:t>
            </w:r>
          </w:p>
        </w:tc>
      </w:tr>
    </w:tbl>
    <w:p w14:paraId="6B907918" w14:textId="77777777" w:rsidR="00631509" w:rsidRPr="00D67CAD" w:rsidRDefault="00631509" w:rsidP="00D67CAD">
      <w:pPr>
        <w:pStyle w:val="ListParagraph"/>
        <w:ind w:left="0"/>
        <w:rPr>
          <w:b/>
        </w:rPr>
      </w:pPr>
    </w:p>
    <w:p w14:paraId="20827D97" w14:textId="41A9A491" w:rsidR="004D7AC0" w:rsidRPr="009B70E7" w:rsidRDefault="004D7AC0" w:rsidP="00E642C0">
      <w:pPr>
        <w:pStyle w:val="ListParagraph"/>
        <w:spacing w:line="240" w:lineRule="auto"/>
        <w:ind w:left="0" w:firstLine="142"/>
        <w:rPr>
          <w:b/>
        </w:rPr>
      </w:pPr>
      <w:r>
        <w:rPr>
          <w:b/>
          <w:bCs/>
        </w:rPr>
        <w:t>Svarīgākie aspekti</w:t>
      </w:r>
    </w:p>
    <w:p w14:paraId="4918C4AD" w14:textId="77777777" w:rsidR="004D7AC0" w:rsidRPr="009B70E7" w:rsidRDefault="004D7AC0" w:rsidP="0018231C">
      <w:pPr>
        <w:pStyle w:val="ListParagraph"/>
        <w:spacing w:line="240" w:lineRule="auto"/>
        <w:ind w:left="0"/>
      </w:pPr>
    </w:p>
    <w:p w14:paraId="563DEAE0" w14:textId="33FBC667" w:rsidR="004D7AC0" w:rsidRPr="00E642C0" w:rsidRDefault="004D7AC0" w:rsidP="00E642C0">
      <w:pPr>
        <w:pStyle w:val="ListParagraph"/>
        <w:spacing w:line="240" w:lineRule="auto"/>
        <w:ind w:left="0" w:firstLine="142"/>
        <w:rPr>
          <w:bCs/>
        </w:rPr>
      </w:pPr>
      <w:r>
        <w:t>EESK:</w:t>
      </w:r>
    </w:p>
    <w:p w14:paraId="20687EE6" w14:textId="72B5E50A" w:rsidR="004D7AC0" w:rsidRDefault="004D7AC0" w:rsidP="0018231C">
      <w:pPr>
        <w:pStyle w:val="ListParagraph"/>
        <w:spacing w:line="276" w:lineRule="auto"/>
        <w:ind w:left="0"/>
      </w:pPr>
    </w:p>
    <w:p w14:paraId="4720AA2B" w14:textId="19F43958" w:rsidR="008A0B15" w:rsidRPr="009B70E7" w:rsidRDefault="00C71AB7" w:rsidP="008A0B15">
      <w:pPr>
        <w:pStyle w:val="ListParagraph"/>
        <w:numPr>
          <w:ilvl w:val="0"/>
          <w:numId w:val="3"/>
        </w:numPr>
        <w:spacing w:line="276" w:lineRule="auto"/>
        <w:ind w:left="357" w:hanging="357"/>
      </w:pPr>
      <w:bookmarkStart w:id="6" w:name="_Hlk118374418"/>
      <w:r>
        <w:t>atbalsta Eiropas Centrālās bankas (ECB-Eurosistēma) pasākumus, kas īstenoti ar mērķi ieviest digitālo euro un arī turpmāk pārraudzīs ECB darbu šī projekta saistībā;</w:t>
      </w:r>
    </w:p>
    <w:p w14:paraId="176DA90D" w14:textId="5F7808BC" w:rsidR="003E692C" w:rsidRDefault="00057592" w:rsidP="003E692C">
      <w:pPr>
        <w:pStyle w:val="ListParagraph"/>
        <w:numPr>
          <w:ilvl w:val="0"/>
          <w:numId w:val="3"/>
        </w:numPr>
        <w:spacing w:line="276" w:lineRule="auto"/>
        <w:ind w:left="357" w:hanging="357"/>
      </w:pPr>
      <w:r>
        <w:t>uzskata, ka digitālā euro ieviešanā ļoti svarīga ir finansiālā un digitālā iekļautība; vēlas, lai eurozonā no digitālā euro ieviešanas ieguvēji būtu visi. Digitālajam euro būtu jāsekmē maksājumu darījumu ātrāka un efektīvāka veikšana;</w:t>
      </w:r>
    </w:p>
    <w:p w14:paraId="67EEF613" w14:textId="3214AE1D" w:rsidR="00C71AB7" w:rsidRDefault="00057592" w:rsidP="003E692C">
      <w:pPr>
        <w:pStyle w:val="ListParagraph"/>
        <w:numPr>
          <w:ilvl w:val="0"/>
          <w:numId w:val="3"/>
        </w:numPr>
        <w:spacing w:line="276" w:lineRule="auto"/>
        <w:ind w:left="357" w:hanging="357"/>
      </w:pPr>
      <w:r>
        <w:t>uzsver, ka, apsverot digitālā euro ieviešanu, ir jāņem vērā visi pozitīvie aspekti un iespējas, tomēr ir jāizceļ arī visi iespējamie riski un jo īpaši tie, kuri ir saistīti ar finanšu sektoru;</w:t>
      </w:r>
    </w:p>
    <w:bookmarkEnd w:id="6"/>
    <w:p w14:paraId="6E1093F2" w14:textId="44C97A14" w:rsidR="00C71AB7" w:rsidRDefault="00057592" w:rsidP="003E692C">
      <w:pPr>
        <w:pStyle w:val="ListParagraph"/>
        <w:numPr>
          <w:ilvl w:val="0"/>
          <w:numId w:val="3"/>
        </w:numPr>
        <w:spacing w:line="276" w:lineRule="auto"/>
        <w:ind w:left="357" w:hanging="357"/>
      </w:pPr>
      <w:r>
        <w:t>uzskata, ka, pietuvojoties digitālā euro ieviešanai, finanšu stabilitāte ir viens no galvenajiem jautājumiem un mudina ECB veikt visus pārraudzības pasākumus, kas nepieciešami, lai novērstu nelikumīgus darījumus, īpaši tos, kuru mērķis ir nelikumīgi iegūtu līdzekļu legalizēšana un teroristu finansēšana, kā arī lai apkarotu kiberuzbrukumus;</w:t>
      </w:r>
    </w:p>
    <w:p w14:paraId="1D1D6AEE" w14:textId="273A62D7" w:rsidR="00C71AB7" w:rsidRDefault="00057592" w:rsidP="003E692C">
      <w:pPr>
        <w:pStyle w:val="ListParagraph"/>
        <w:numPr>
          <w:ilvl w:val="0"/>
          <w:numId w:val="3"/>
        </w:numPr>
        <w:spacing w:line="276" w:lineRule="auto"/>
        <w:ind w:left="357" w:hanging="357"/>
      </w:pPr>
      <w:r>
        <w:t>saredz, ka ieviešot digitālo euro, kurš varētu samazināt riskus un uzlabot finanšu stabilitāti, varētu uzlaboties maksājumu sistēmas efektivitāte un konkurētspēja;</w:t>
      </w:r>
    </w:p>
    <w:p w14:paraId="09190A5A" w14:textId="574AB9F5" w:rsidR="00C71AB7" w:rsidRDefault="00057592" w:rsidP="003E692C">
      <w:pPr>
        <w:pStyle w:val="ListParagraph"/>
        <w:numPr>
          <w:ilvl w:val="0"/>
          <w:numId w:val="3"/>
        </w:numPr>
        <w:spacing w:line="276" w:lineRule="auto"/>
        <w:ind w:left="357" w:hanging="357"/>
      </w:pPr>
      <w:r>
        <w:t>aicina ECB, ņemot vērā projekta sarežģītību, kuru spēcīgi ietekmē pašreizējā inovatīvo tehnoloģiju dinamiskā attīstība, paredzēt dažādus variantus;</w:t>
      </w:r>
    </w:p>
    <w:p w14:paraId="6637E601" w14:textId="4F0F241D" w:rsidR="00C71AB7" w:rsidRPr="00057592" w:rsidRDefault="00C71AB7" w:rsidP="003E692C">
      <w:pPr>
        <w:pStyle w:val="ListParagraph"/>
        <w:numPr>
          <w:ilvl w:val="0"/>
          <w:numId w:val="3"/>
        </w:numPr>
        <w:spacing w:line="276" w:lineRule="auto"/>
        <w:ind w:left="357" w:hanging="357"/>
      </w:pPr>
      <w:r>
        <w:t>uzsver, ka ir svarīgi, lai būtu iespējami gan tiešsaistes, gan bezsaistes darījumi; turklāt pārrobežu maksājumu darījumu gadījumā sistēmām ir jābūt savstarpēji saderīgām;</w:t>
      </w:r>
    </w:p>
    <w:p w14:paraId="12E948ED" w14:textId="5E9056E7" w:rsidR="00057592" w:rsidRDefault="00057592" w:rsidP="003E692C">
      <w:pPr>
        <w:pStyle w:val="ListParagraph"/>
        <w:numPr>
          <w:ilvl w:val="0"/>
          <w:numId w:val="3"/>
        </w:numPr>
        <w:spacing w:line="276" w:lineRule="auto"/>
        <w:ind w:left="357" w:hanging="357"/>
      </w:pPr>
      <w:r>
        <w:t>uzsver, ka pilsoniskai sabiedrībai ir jābūt iesaistītai nākamajos digitālā euro sagatavošanas, sarunu un diskusiju posmos, jo šis projekts ir ļoti komplicēts un prasa lielu atdevi, turklāt tas skars ikvienu Eiropas Savienības dalībvalstu iedzīvotāju.</w:t>
      </w:r>
    </w:p>
    <w:p w14:paraId="64FB268C" w14:textId="77777777" w:rsidR="00AA05F8" w:rsidRPr="009B70E7" w:rsidRDefault="00AA05F8" w:rsidP="0004205F">
      <w:pPr>
        <w:pStyle w:val="ListParagraph"/>
        <w:spacing w:line="276" w:lineRule="auto"/>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04205F" w:rsidRPr="009B70E7" w14:paraId="42ABA59B" w14:textId="77777777" w:rsidTr="008B66DD">
        <w:tc>
          <w:tcPr>
            <w:tcW w:w="1418" w:type="dxa"/>
          </w:tcPr>
          <w:p w14:paraId="1202A600" w14:textId="77777777" w:rsidR="0004205F" w:rsidRPr="009B70E7" w:rsidRDefault="0004205F" w:rsidP="008B66DD">
            <w:pPr>
              <w:pStyle w:val="ListParagraph"/>
              <w:spacing w:line="276" w:lineRule="auto"/>
              <w:ind w:left="0"/>
              <w:rPr>
                <w:i/>
              </w:rPr>
            </w:pPr>
            <w:bookmarkStart w:id="7" w:name="_Hlk116644218"/>
            <w:r>
              <w:rPr>
                <w:b/>
                <w:i/>
              </w:rPr>
              <w:t>Kontaktpersona:</w:t>
            </w:r>
          </w:p>
        </w:tc>
        <w:tc>
          <w:tcPr>
            <w:tcW w:w="5670" w:type="dxa"/>
          </w:tcPr>
          <w:p w14:paraId="0AA6F903" w14:textId="672C1A39" w:rsidR="0004205F" w:rsidRPr="009B70E7" w:rsidRDefault="006125A8" w:rsidP="008B66DD">
            <w:pPr>
              <w:pStyle w:val="ListParagraph"/>
              <w:spacing w:line="276" w:lineRule="auto"/>
              <w:ind w:left="0"/>
              <w:rPr>
                <w:i/>
              </w:rPr>
            </w:pPr>
            <w:r>
              <w:rPr>
                <w:i/>
              </w:rPr>
              <w:t>Krisztina Perlaky-Toth</w:t>
            </w:r>
          </w:p>
        </w:tc>
      </w:tr>
      <w:tr w:rsidR="0004205F" w:rsidRPr="009B70E7" w14:paraId="7385889A" w14:textId="77777777" w:rsidTr="008B66DD">
        <w:tc>
          <w:tcPr>
            <w:tcW w:w="1418" w:type="dxa"/>
          </w:tcPr>
          <w:p w14:paraId="4DFD0A04" w14:textId="77777777" w:rsidR="0004205F" w:rsidRPr="009B70E7" w:rsidRDefault="0004205F" w:rsidP="008B66DD">
            <w:pPr>
              <w:pStyle w:val="ListParagraph"/>
              <w:spacing w:line="276" w:lineRule="auto"/>
              <w:ind w:left="601"/>
              <w:rPr>
                <w:i/>
              </w:rPr>
            </w:pPr>
            <w:r>
              <w:rPr>
                <w:i/>
              </w:rPr>
              <w:t>Tālr.:</w:t>
            </w:r>
          </w:p>
        </w:tc>
        <w:tc>
          <w:tcPr>
            <w:tcW w:w="5670" w:type="dxa"/>
          </w:tcPr>
          <w:p w14:paraId="7F762C11" w14:textId="5F0EF027" w:rsidR="0004205F" w:rsidRPr="009B70E7" w:rsidRDefault="0004205F" w:rsidP="008B66DD">
            <w:pPr>
              <w:pStyle w:val="ListParagraph"/>
              <w:spacing w:line="276" w:lineRule="auto"/>
              <w:ind w:left="0"/>
              <w:rPr>
                <w:i/>
              </w:rPr>
            </w:pPr>
            <w:r>
              <w:rPr>
                <w:i/>
              </w:rPr>
              <w:t>00 32 2 546 97 40</w:t>
            </w:r>
          </w:p>
        </w:tc>
      </w:tr>
      <w:tr w:rsidR="0004205F" w:rsidRPr="009B70E7" w14:paraId="44BC51C1" w14:textId="77777777" w:rsidTr="008B66DD">
        <w:tc>
          <w:tcPr>
            <w:tcW w:w="1418" w:type="dxa"/>
          </w:tcPr>
          <w:p w14:paraId="64D662AC" w14:textId="77777777" w:rsidR="0004205F" w:rsidRPr="009B70E7" w:rsidRDefault="0004205F" w:rsidP="008B66DD">
            <w:pPr>
              <w:pStyle w:val="ListParagraph"/>
              <w:spacing w:line="276" w:lineRule="auto"/>
              <w:ind w:left="601"/>
              <w:rPr>
                <w:i/>
              </w:rPr>
            </w:pPr>
            <w:r>
              <w:rPr>
                <w:i/>
              </w:rPr>
              <w:t>E-pasts:</w:t>
            </w:r>
          </w:p>
        </w:tc>
        <w:tc>
          <w:tcPr>
            <w:tcW w:w="5670" w:type="dxa"/>
          </w:tcPr>
          <w:p w14:paraId="0FFC9F0F" w14:textId="4F98941B" w:rsidR="0004205F" w:rsidRDefault="000062DB" w:rsidP="008B66DD">
            <w:pPr>
              <w:pStyle w:val="ListParagraph"/>
              <w:spacing w:line="276" w:lineRule="auto"/>
              <w:ind w:left="0"/>
              <w:rPr>
                <w:i/>
              </w:rPr>
            </w:pPr>
            <w:hyperlink r:id="rId22" w:history="1">
              <w:r w:rsidR="007B42E2">
                <w:rPr>
                  <w:rStyle w:val="Hyperlink"/>
                  <w:i/>
                </w:rPr>
                <w:t>Krisztina.PerlakyToth@eesc.europa.eu</w:t>
              </w:r>
            </w:hyperlink>
          </w:p>
          <w:p w14:paraId="0F943B87" w14:textId="32AF73DC" w:rsidR="006125A8" w:rsidRPr="009B70E7" w:rsidRDefault="006125A8" w:rsidP="008B66DD">
            <w:pPr>
              <w:pStyle w:val="ListParagraph"/>
              <w:spacing w:line="276" w:lineRule="auto"/>
              <w:ind w:left="0"/>
              <w:rPr>
                <w:i/>
              </w:rPr>
            </w:pPr>
          </w:p>
        </w:tc>
      </w:tr>
      <w:bookmarkEnd w:id="7"/>
    </w:tbl>
    <w:p w14:paraId="58CFB761" w14:textId="6438AA21" w:rsidR="00F4549F" w:rsidRDefault="00F4549F">
      <w:pPr>
        <w:spacing w:after="160" w:line="259" w:lineRule="auto"/>
        <w:jc w:val="left"/>
      </w:pPr>
    </w:p>
    <w:p w14:paraId="6E8DD903" w14:textId="05A7DB5C" w:rsidR="00B44BB9" w:rsidRDefault="00F4549F">
      <w:pPr>
        <w:spacing w:after="160" w:line="259" w:lineRule="auto"/>
        <w:jc w:val="left"/>
      </w:pPr>
      <w:r>
        <w:br w:type="page"/>
      </w:r>
    </w:p>
    <w:p w14:paraId="21BCC75E" w14:textId="7E699CC7" w:rsidR="0004205F" w:rsidRPr="00261903" w:rsidRDefault="00F4549F" w:rsidP="00576060">
      <w:pPr>
        <w:keepNext/>
        <w:numPr>
          <w:ilvl w:val="0"/>
          <w:numId w:val="2"/>
        </w:numPr>
        <w:ind w:left="567" w:hanging="567"/>
        <w:contextualSpacing/>
        <w:rPr>
          <w:b/>
          <w:i/>
          <w:sz w:val="28"/>
          <w:szCs w:val="28"/>
        </w:rPr>
      </w:pPr>
      <w:bookmarkStart w:id="8" w:name="_Hlk111561438"/>
      <w:bookmarkStart w:id="9" w:name="_Hlk111561002"/>
      <w:r>
        <w:rPr>
          <w:b/>
          <w:i/>
          <w:sz w:val="28"/>
        </w:rPr>
        <w:lastRenderedPageBreak/>
        <w:t>Papildu apsvērumi par 2022. gada ilgtspējīgas izaugsmes pētījumu</w:t>
      </w:r>
    </w:p>
    <w:p w14:paraId="43D43377" w14:textId="77777777" w:rsidR="00261903" w:rsidRPr="00261903" w:rsidRDefault="00261903" w:rsidP="00261903">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04205F" w:rsidRPr="00627B8F" w14:paraId="049361FD" w14:textId="77777777" w:rsidTr="008B66DD">
        <w:tc>
          <w:tcPr>
            <w:tcW w:w="1701" w:type="dxa"/>
          </w:tcPr>
          <w:p w14:paraId="62391659" w14:textId="77777777" w:rsidR="0004205F" w:rsidRPr="009B70E7" w:rsidRDefault="0004205F" w:rsidP="0004205F">
            <w:pPr>
              <w:pStyle w:val="ListParagraph"/>
              <w:spacing w:line="240" w:lineRule="auto"/>
              <w:ind w:left="-142" w:firstLine="142"/>
              <w:rPr>
                <w:b/>
              </w:rPr>
            </w:pPr>
            <w:r>
              <w:rPr>
                <w:b/>
              </w:rPr>
              <w:t>Ziņotāja:</w:t>
            </w:r>
          </w:p>
        </w:tc>
        <w:tc>
          <w:tcPr>
            <w:tcW w:w="6521" w:type="dxa"/>
            <w:gridSpan w:val="2"/>
          </w:tcPr>
          <w:p w14:paraId="0EE98F35" w14:textId="77777777" w:rsidR="0004205F" w:rsidRDefault="00F4549F" w:rsidP="0004205F">
            <w:pPr>
              <w:pStyle w:val="ListParagraph"/>
              <w:ind w:left="-60" w:right="-55"/>
            </w:pPr>
            <w:r>
              <w:t>Judith VORBACH (Darba ņēmēju grupa – AT)</w:t>
            </w:r>
          </w:p>
          <w:p w14:paraId="431B2CD3" w14:textId="00A9D8AA" w:rsidR="00F4549F" w:rsidRPr="00627B8F" w:rsidRDefault="00F4549F" w:rsidP="0004205F">
            <w:pPr>
              <w:pStyle w:val="ListParagraph"/>
              <w:ind w:left="-60" w:right="-55"/>
            </w:pPr>
          </w:p>
        </w:tc>
      </w:tr>
      <w:tr w:rsidR="0004205F" w:rsidRPr="009B70E7" w14:paraId="793D9F9A" w14:textId="77777777" w:rsidTr="00326919">
        <w:tblPrEx>
          <w:tblCellMar>
            <w:left w:w="108" w:type="dxa"/>
            <w:right w:w="108" w:type="dxa"/>
          </w:tblCellMar>
        </w:tblPrEx>
        <w:trPr>
          <w:gridAfter w:val="1"/>
          <w:wAfter w:w="755" w:type="dxa"/>
          <w:trHeight w:val="636"/>
        </w:trPr>
        <w:tc>
          <w:tcPr>
            <w:tcW w:w="1701" w:type="dxa"/>
          </w:tcPr>
          <w:p w14:paraId="3464C7C3" w14:textId="37848C7E" w:rsidR="0004205F" w:rsidRPr="009B70E7" w:rsidRDefault="00B80604" w:rsidP="00E642C0">
            <w:pPr>
              <w:pStyle w:val="ListParagraph"/>
              <w:ind w:left="29" w:hanging="108"/>
              <w:rPr>
                <w:b/>
              </w:rPr>
            </w:pPr>
            <w:r>
              <w:rPr>
                <w:b/>
              </w:rPr>
              <w:t>Atsauce:</w:t>
            </w:r>
            <w:r w:rsidR="0004205F">
              <w:rPr>
                <w:b/>
              </w:rPr>
              <w:t xml:space="preserve"> </w:t>
            </w:r>
          </w:p>
        </w:tc>
        <w:tc>
          <w:tcPr>
            <w:tcW w:w="5766" w:type="dxa"/>
          </w:tcPr>
          <w:p w14:paraId="19506267" w14:textId="764D3313" w:rsidR="0004205F" w:rsidRDefault="00261903" w:rsidP="0004205F">
            <w:pPr>
              <w:pStyle w:val="ListParagraph"/>
              <w:ind w:left="-108"/>
            </w:pPr>
            <w:r>
              <w:t>Pašiniciatīvas atzinums</w:t>
            </w:r>
          </w:p>
          <w:p w14:paraId="3BDBC5BC" w14:textId="7733329E" w:rsidR="0004205F" w:rsidRPr="009B70E7" w:rsidRDefault="00261903" w:rsidP="0004205F">
            <w:pPr>
              <w:pStyle w:val="ListParagraph"/>
              <w:ind w:left="-108"/>
            </w:pPr>
            <w:r>
              <w:t>EESC-2022-03044-00-00-AC</w:t>
            </w:r>
          </w:p>
        </w:tc>
      </w:tr>
    </w:tbl>
    <w:p w14:paraId="4C20BCC6" w14:textId="77777777" w:rsidR="00DC17CF" w:rsidRPr="00A30B84" w:rsidRDefault="00DC17CF" w:rsidP="00DC17CF">
      <w:pPr>
        <w:contextualSpacing/>
      </w:pPr>
    </w:p>
    <w:p w14:paraId="1EF6CC14" w14:textId="77777777" w:rsidR="00DC17CF" w:rsidRPr="00A30B84" w:rsidRDefault="00DC17CF" w:rsidP="00E642C0">
      <w:pPr>
        <w:pStyle w:val="ListParagraph"/>
        <w:spacing w:line="240" w:lineRule="auto"/>
        <w:ind w:left="0" w:firstLine="142"/>
        <w:rPr>
          <w:b/>
        </w:rPr>
      </w:pPr>
      <w:r>
        <w:rPr>
          <w:b/>
          <w:bCs/>
        </w:rPr>
        <w:t>Svarīgākie aspekti</w:t>
      </w:r>
    </w:p>
    <w:p w14:paraId="7CFFCE10" w14:textId="77777777" w:rsidR="00DC17CF" w:rsidRPr="00A30B84" w:rsidRDefault="00DC17CF" w:rsidP="00DC17CF">
      <w:pPr>
        <w:contextualSpacing/>
      </w:pPr>
    </w:p>
    <w:p w14:paraId="7C9141DB" w14:textId="77777777" w:rsidR="00DC17CF" w:rsidRPr="00E642C0" w:rsidRDefault="00DC17CF" w:rsidP="00E642C0">
      <w:pPr>
        <w:pStyle w:val="ListParagraph"/>
        <w:spacing w:line="240" w:lineRule="auto"/>
        <w:ind w:left="0" w:firstLine="142"/>
        <w:rPr>
          <w:bCs/>
        </w:rPr>
      </w:pPr>
      <w:r>
        <w:t>EESK:</w:t>
      </w:r>
    </w:p>
    <w:p w14:paraId="6B986D1C" w14:textId="77777777" w:rsidR="00DC17CF" w:rsidRPr="00A30B84" w:rsidRDefault="00DC17CF" w:rsidP="00DC17CF">
      <w:pPr>
        <w:contextualSpacing/>
        <w:rPr>
          <w:lang w:val="fr-FR"/>
        </w:rPr>
      </w:pPr>
    </w:p>
    <w:p w14:paraId="1B2322B6" w14:textId="1DD96007" w:rsidR="00DC17CF" w:rsidRPr="001445A7" w:rsidRDefault="00F4549F" w:rsidP="00DC17CF">
      <w:pPr>
        <w:numPr>
          <w:ilvl w:val="0"/>
          <w:numId w:val="3"/>
        </w:numPr>
        <w:ind w:left="357" w:hanging="357"/>
        <w:contextualSpacing/>
      </w:pPr>
      <w:r>
        <w:t>uzsver, ka pašreizējā krīze nedrīkst apdraudēt taisnīgumu un vides aizsardzības mērķus, un cenu pieauguma dēļ ir steidzami jāaizsargā visneaizsargātākie un īpaši apdraudētie uzņēmumi, it īpaši MVU, kā arī jāsaglabā mājsaimniecību ar zemiem un vidējiem ienākumiem pirktspēja, jo tās veido lielāko daļu no ekonomikas pieprasījuma;</w:t>
      </w:r>
    </w:p>
    <w:p w14:paraId="077F1B2A" w14:textId="71D4654E" w:rsidR="00A86E2C" w:rsidRPr="00F71666" w:rsidRDefault="00F4549F" w:rsidP="0004205F">
      <w:pPr>
        <w:numPr>
          <w:ilvl w:val="0"/>
          <w:numId w:val="3"/>
        </w:numPr>
        <w:ind w:left="357" w:hanging="357"/>
        <w:contextualSpacing/>
      </w:pPr>
      <w:r>
        <w:t>atkārtoti apstiprina, ka galvenā uzmanība jāpievērš solidaritātei ar Ukrainas iedzīvotājiem, ES stratēģiskās autonomijas palielināšanai un centieniem panākt mieru;</w:t>
      </w:r>
    </w:p>
    <w:p w14:paraId="41F7CB84" w14:textId="5C587C47" w:rsidR="00F71666" w:rsidRPr="00F71666" w:rsidRDefault="00F4549F" w:rsidP="0004205F">
      <w:pPr>
        <w:numPr>
          <w:ilvl w:val="0"/>
          <w:numId w:val="3"/>
        </w:numPr>
        <w:ind w:left="357" w:hanging="357"/>
        <w:contextualSpacing/>
      </w:pPr>
      <w:r>
        <w:t>aicina nacionālos atveseļošanas un noturības plānus īstenot tā, lai tiem būtu jūtama ietekme uz iedzīvotāju labklājību, rūpīgi uzraudzīt un piemērot līdzsvarotu pieeju konkrētām valstīm adresētajiem ieteikumiem, kā arī īstenot Eiropas pusgada reformu, kas nodrošinātu kvalitatīvu organizētas pilsoniskās sabiedrības līdzdalību;</w:t>
      </w:r>
    </w:p>
    <w:p w14:paraId="23413F80" w14:textId="4E4F3FFD" w:rsidR="007F292F" w:rsidRPr="00F4549F" w:rsidRDefault="00F4549F" w:rsidP="007F292F">
      <w:pPr>
        <w:numPr>
          <w:ilvl w:val="0"/>
          <w:numId w:val="3"/>
        </w:numPr>
        <w:ind w:left="357" w:hanging="357"/>
        <w:contextualSpacing/>
      </w:pPr>
      <w:r>
        <w:t>atzinīgi vērtē atjaunīgo energoresursu un energoefektivitātes mērķu paaugstināšanu un uzsver, ka prioritāra uzmanība jāpievērš vides ilgtspējai, un vienlaikus aicina steidzami un ātri virzīt Eiropas elektroenerģijas tirgus reformu;</w:t>
      </w:r>
    </w:p>
    <w:p w14:paraId="211F343A" w14:textId="35B52099" w:rsidR="00F71666" w:rsidRPr="00F71666" w:rsidRDefault="00F4549F" w:rsidP="0004205F">
      <w:pPr>
        <w:numPr>
          <w:ilvl w:val="0"/>
          <w:numId w:val="3"/>
        </w:numPr>
        <w:ind w:left="357" w:hanging="357"/>
        <w:contextualSpacing/>
      </w:pPr>
      <w:r>
        <w:t>uzskata, ka vienotā tirgus izveides pabeigšanai būtu jāveicina augšupēja konverģence starp dalībvalstīm un ka ir jānovērš traucējumi un šķēršļi un jāatbalsta reģioni, lai pilnībā atraisītu to potenciālu;</w:t>
      </w:r>
    </w:p>
    <w:bookmarkEnd w:id="8"/>
    <w:p w14:paraId="5E238A5C" w14:textId="5A361AA3" w:rsidR="00F71666" w:rsidRPr="007F292F" w:rsidRDefault="00F4549F" w:rsidP="0004205F">
      <w:pPr>
        <w:numPr>
          <w:ilvl w:val="0"/>
          <w:numId w:val="3"/>
        </w:numPr>
        <w:ind w:left="357" w:hanging="357"/>
        <w:contextualSpacing/>
      </w:pPr>
      <w:r>
        <w:t>uzsver, ka ir jāpanāk progress kapitāla tirgus un banku savienības izveides pabeigšanā, kā arī ilgtspējīgas finanšu stratēģijas īstenošanā, lai nodrošinātu finanšu tirgus stabilitāti, un aicina īstenot taisnīgu un līdzsvarotu pieeju darījumdarbības vides un ražīguma uzlabošanai;</w:t>
      </w:r>
    </w:p>
    <w:p w14:paraId="537AA38F" w14:textId="4C7A4AAD" w:rsidR="007F292F" w:rsidRPr="00F4549F" w:rsidRDefault="00F4549F" w:rsidP="0004205F">
      <w:pPr>
        <w:numPr>
          <w:ilvl w:val="0"/>
          <w:numId w:val="3"/>
        </w:numPr>
        <w:ind w:left="357" w:hanging="357"/>
        <w:contextualSpacing/>
      </w:pPr>
      <w:r>
        <w:t>atbalsta Komisijas ieteikumus atļaut automātisko stabilizatoru darbību, palielināt ieguldījumus un turpināt piemērot vispārējo izņēmuma klauzulu visu 2023. gadu, taču atturīgi vērtē valsts finansēto kārtējo izdevumu pieauguma ierobežošanu zem potenciālā ražošanas apjoma vidējā termiņā un nodomu izvērtēt, vai ir lietderīgi 2023. gada pavasarī sākt pārmērīga budžeta deficīta novēršanas procedūru;</w:t>
      </w:r>
    </w:p>
    <w:p w14:paraId="0A8FA445" w14:textId="439DA13D" w:rsidR="00F4549F" w:rsidRPr="00B44BB9" w:rsidRDefault="00F4549F" w:rsidP="0004205F">
      <w:pPr>
        <w:numPr>
          <w:ilvl w:val="0"/>
          <w:numId w:val="3"/>
        </w:numPr>
        <w:ind w:left="357" w:hanging="357"/>
        <w:contextualSpacing/>
      </w:pPr>
      <w:r>
        <w:t>atkārtoti aicina modernizēt fiskālo sistēmu: noteikt reālistiskus mērķus un iekļaut līdzsvarota budžeta normu, neapdraudot fiskālo ilgtspēju vidējā termiņā, un vienlaikus ierosināt pamatnostādnes pārejas periodam.</w:t>
      </w:r>
    </w:p>
    <w:p w14:paraId="3241E02B" w14:textId="77777777" w:rsidR="00DC17CF" w:rsidRPr="00A30B84" w:rsidRDefault="00DC17CF" w:rsidP="00DC17CF"/>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DC17CF" w:rsidRPr="00A30B84" w14:paraId="477A3227" w14:textId="77777777" w:rsidTr="00DC17CF">
        <w:tc>
          <w:tcPr>
            <w:tcW w:w="1418" w:type="dxa"/>
          </w:tcPr>
          <w:p w14:paraId="24419728" w14:textId="77777777" w:rsidR="00DC17CF" w:rsidRPr="00A30B84" w:rsidRDefault="00DC17CF" w:rsidP="00DC17CF">
            <w:pPr>
              <w:contextualSpacing/>
              <w:rPr>
                <w:i/>
              </w:rPr>
            </w:pPr>
            <w:r>
              <w:rPr>
                <w:b/>
                <w:i/>
              </w:rPr>
              <w:t>Kontaktpersona:</w:t>
            </w:r>
          </w:p>
        </w:tc>
        <w:tc>
          <w:tcPr>
            <w:tcW w:w="5670" w:type="dxa"/>
          </w:tcPr>
          <w:p w14:paraId="0350A297" w14:textId="7B56264A" w:rsidR="00DC17CF" w:rsidRPr="00A30B84" w:rsidRDefault="00F4549F" w:rsidP="00DC17CF">
            <w:pPr>
              <w:contextualSpacing/>
              <w:rPr>
                <w:i/>
              </w:rPr>
            </w:pPr>
            <w:r>
              <w:rPr>
                <w:i/>
              </w:rPr>
              <w:t>Colombe Grégoire</w:t>
            </w:r>
          </w:p>
        </w:tc>
      </w:tr>
      <w:tr w:rsidR="00DC17CF" w:rsidRPr="00A30B84" w14:paraId="0777FDE7" w14:textId="77777777" w:rsidTr="00DC17CF">
        <w:tc>
          <w:tcPr>
            <w:tcW w:w="1418" w:type="dxa"/>
          </w:tcPr>
          <w:p w14:paraId="35E2DDF5" w14:textId="77777777" w:rsidR="00DC17CF" w:rsidRPr="00A30B84" w:rsidRDefault="00DC17CF" w:rsidP="00DC17CF">
            <w:pPr>
              <w:ind w:left="601"/>
              <w:contextualSpacing/>
              <w:rPr>
                <w:i/>
              </w:rPr>
            </w:pPr>
            <w:r>
              <w:rPr>
                <w:i/>
              </w:rPr>
              <w:t>Tālr.:</w:t>
            </w:r>
          </w:p>
        </w:tc>
        <w:tc>
          <w:tcPr>
            <w:tcW w:w="5670" w:type="dxa"/>
          </w:tcPr>
          <w:p w14:paraId="5B69DE0A" w14:textId="139C3981" w:rsidR="00DC17CF" w:rsidRPr="00A30B84" w:rsidRDefault="00A86E2C" w:rsidP="00DC17CF">
            <w:pPr>
              <w:contextualSpacing/>
              <w:rPr>
                <w:i/>
              </w:rPr>
            </w:pPr>
            <w:r>
              <w:rPr>
                <w:i/>
              </w:rPr>
              <w:t>00 32 2 546 92 86</w:t>
            </w:r>
          </w:p>
        </w:tc>
      </w:tr>
      <w:tr w:rsidR="0004205F" w:rsidRPr="00A30B84" w14:paraId="32942CB5" w14:textId="77777777" w:rsidTr="008B66DD">
        <w:tc>
          <w:tcPr>
            <w:tcW w:w="1418" w:type="dxa"/>
          </w:tcPr>
          <w:p w14:paraId="21543959" w14:textId="77777777" w:rsidR="0004205F" w:rsidRPr="00A30B84" w:rsidRDefault="0004205F" w:rsidP="0004205F">
            <w:pPr>
              <w:ind w:left="601"/>
              <w:contextualSpacing/>
              <w:rPr>
                <w:i/>
              </w:rPr>
            </w:pPr>
            <w:r>
              <w:rPr>
                <w:i/>
              </w:rPr>
              <w:t>E-pasts:</w:t>
            </w:r>
          </w:p>
        </w:tc>
        <w:tc>
          <w:tcPr>
            <w:tcW w:w="5670" w:type="dxa"/>
          </w:tcPr>
          <w:p w14:paraId="3728C82D" w14:textId="2BBEC8DD" w:rsidR="0004205F" w:rsidRPr="00E31954" w:rsidRDefault="000062DB" w:rsidP="0004205F">
            <w:pPr>
              <w:spacing w:after="160" w:line="259" w:lineRule="auto"/>
              <w:jc w:val="left"/>
              <w:rPr>
                <w:i/>
                <w:iCs/>
              </w:rPr>
            </w:pPr>
            <w:hyperlink r:id="rId23" w:history="1">
              <w:r w:rsidR="007B42E2">
                <w:rPr>
                  <w:rStyle w:val="Hyperlink"/>
                  <w:i/>
                </w:rPr>
                <w:t>Colombe.Gregoire@eesc.europa.eu</w:t>
              </w:r>
            </w:hyperlink>
            <w:r w:rsidR="007B42E2">
              <w:rPr>
                <w:i/>
              </w:rPr>
              <w:t xml:space="preserve"> </w:t>
            </w:r>
          </w:p>
        </w:tc>
      </w:tr>
      <w:bookmarkEnd w:id="9"/>
    </w:tbl>
    <w:p w14:paraId="3680C27F" w14:textId="77777777" w:rsidR="005B5038" w:rsidRDefault="005B5038">
      <w:pPr>
        <w:spacing w:after="160" w:line="259" w:lineRule="auto"/>
        <w:jc w:val="left"/>
      </w:pPr>
    </w:p>
    <w:p w14:paraId="42A1D88A" w14:textId="3B4FE634" w:rsidR="00C70E54" w:rsidRPr="00C70E54" w:rsidRDefault="00F4549F" w:rsidP="00C70E54">
      <w:pPr>
        <w:keepNext/>
        <w:numPr>
          <w:ilvl w:val="0"/>
          <w:numId w:val="2"/>
        </w:numPr>
        <w:ind w:left="567" w:hanging="567"/>
        <w:contextualSpacing/>
        <w:rPr>
          <w:b/>
          <w:bCs/>
          <w:i/>
          <w:sz w:val="28"/>
          <w:szCs w:val="28"/>
        </w:rPr>
      </w:pPr>
      <w:r>
        <w:rPr>
          <w:b/>
          <w:i/>
          <w:sz w:val="28"/>
        </w:rPr>
        <w:lastRenderedPageBreak/>
        <w:t>Papildu apsvērumi par Eurozonas ekonomikas politiku 2022.</w:t>
      </w:r>
      <w:r w:rsidR="00241F6A">
        <w:rPr>
          <w:b/>
          <w:i/>
          <w:sz w:val="28"/>
        </w:rPr>
        <w:t> </w:t>
      </w:r>
      <w:r>
        <w:rPr>
          <w:b/>
          <w:i/>
          <w:sz w:val="28"/>
        </w:rPr>
        <w:t>gadā</w:t>
      </w:r>
    </w:p>
    <w:p w14:paraId="0D98A583" w14:textId="55FCEBF7" w:rsidR="00C70E54" w:rsidRPr="00C70E54" w:rsidRDefault="00C70E54" w:rsidP="00C70E54">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237"/>
        <w:gridCol w:w="756"/>
      </w:tblGrid>
      <w:tr w:rsidR="00C70E54" w:rsidRPr="00627B8F" w14:paraId="29F8D18E" w14:textId="77777777" w:rsidTr="00C70E54">
        <w:tc>
          <w:tcPr>
            <w:tcW w:w="1701" w:type="dxa"/>
          </w:tcPr>
          <w:p w14:paraId="34124F6F" w14:textId="77777777" w:rsidR="00C70E54" w:rsidRPr="009B70E7" w:rsidRDefault="00C70E54" w:rsidP="00E642C0">
            <w:pPr>
              <w:pStyle w:val="ListParagraph"/>
              <w:ind w:left="0"/>
              <w:rPr>
                <w:b/>
              </w:rPr>
            </w:pPr>
            <w:r>
              <w:rPr>
                <w:b/>
              </w:rPr>
              <w:t>Ziņotājs:</w:t>
            </w:r>
          </w:p>
        </w:tc>
        <w:tc>
          <w:tcPr>
            <w:tcW w:w="6993" w:type="dxa"/>
            <w:gridSpan w:val="2"/>
          </w:tcPr>
          <w:p w14:paraId="617E7EB4" w14:textId="00AF05B7" w:rsidR="00C70E54" w:rsidRDefault="00C70E54" w:rsidP="00576060">
            <w:pPr>
              <w:pStyle w:val="ListParagraph"/>
              <w:ind w:left="-60" w:right="-55"/>
            </w:pPr>
            <w:r>
              <w:t>Juraj SIPKO (Pilsoniskās sabiedrības organizāciju grupa – SK)</w:t>
            </w:r>
          </w:p>
          <w:p w14:paraId="3D7E1BAF" w14:textId="781BE71F" w:rsidR="00F4549F" w:rsidRPr="00627B8F" w:rsidRDefault="00F4549F" w:rsidP="00576060">
            <w:pPr>
              <w:pStyle w:val="ListParagraph"/>
              <w:ind w:left="-60" w:right="-55"/>
            </w:pPr>
          </w:p>
        </w:tc>
      </w:tr>
      <w:tr w:rsidR="00C70E54" w:rsidRPr="009B70E7" w14:paraId="75CEA093" w14:textId="77777777" w:rsidTr="00C70E54">
        <w:tblPrEx>
          <w:tblCellMar>
            <w:left w:w="108" w:type="dxa"/>
            <w:right w:w="108" w:type="dxa"/>
          </w:tblCellMar>
        </w:tblPrEx>
        <w:trPr>
          <w:gridAfter w:val="1"/>
          <w:wAfter w:w="756" w:type="dxa"/>
          <w:trHeight w:val="636"/>
        </w:trPr>
        <w:tc>
          <w:tcPr>
            <w:tcW w:w="1701" w:type="dxa"/>
          </w:tcPr>
          <w:p w14:paraId="2B369B31" w14:textId="730E80E8" w:rsidR="00C70E54" w:rsidRPr="009B70E7" w:rsidRDefault="00B80604" w:rsidP="00E642C0">
            <w:pPr>
              <w:pStyle w:val="ListParagraph"/>
              <w:ind w:left="29" w:hanging="108"/>
              <w:rPr>
                <w:b/>
              </w:rPr>
            </w:pPr>
            <w:r>
              <w:rPr>
                <w:b/>
              </w:rPr>
              <w:t>Atsauce:</w:t>
            </w:r>
            <w:r w:rsidR="00C70E54">
              <w:rPr>
                <w:b/>
              </w:rPr>
              <w:t xml:space="preserve"> </w:t>
            </w:r>
          </w:p>
        </w:tc>
        <w:tc>
          <w:tcPr>
            <w:tcW w:w="6237" w:type="dxa"/>
          </w:tcPr>
          <w:p w14:paraId="68EC61D8" w14:textId="485AF586" w:rsidR="00C70E54" w:rsidRDefault="00F4549F" w:rsidP="00576060">
            <w:pPr>
              <w:pStyle w:val="ListParagraph"/>
              <w:ind w:left="-108"/>
            </w:pPr>
            <w:r>
              <w:t>Pašiniciatīvas atzinums</w:t>
            </w:r>
          </w:p>
          <w:p w14:paraId="4F727A67" w14:textId="5BA3DCDE" w:rsidR="00C70E54" w:rsidRPr="009B70E7" w:rsidRDefault="00C70E54" w:rsidP="00576060">
            <w:pPr>
              <w:pStyle w:val="ListParagraph"/>
              <w:ind w:left="-108"/>
            </w:pPr>
            <w:r>
              <w:t>EESC-2022-02042-00-00-AC</w:t>
            </w:r>
          </w:p>
        </w:tc>
      </w:tr>
    </w:tbl>
    <w:p w14:paraId="12F31B78" w14:textId="77777777" w:rsidR="00C70E54" w:rsidRPr="00A30B84" w:rsidRDefault="00C70E54" w:rsidP="00C70E54">
      <w:pPr>
        <w:contextualSpacing/>
      </w:pPr>
    </w:p>
    <w:p w14:paraId="13718C02" w14:textId="77777777" w:rsidR="00C70E54" w:rsidRPr="00A30B84" w:rsidRDefault="00C70E54" w:rsidP="00E642C0">
      <w:pPr>
        <w:pStyle w:val="ListParagraph"/>
        <w:spacing w:line="240" w:lineRule="auto"/>
        <w:ind w:left="0" w:firstLine="142"/>
        <w:rPr>
          <w:b/>
        </w:rPr>
      </w:pPr>
      <w:r>
        <w:rPr>
          <w:b/>
          <w:bCs/>
        </w:rPr>
        <w:t>Svarīgākie aspekti</w:t>
      </w:r>
    </w:p>
    <w:p w14:paraId="0614F229" w14:textId="77777777" w:rsidR="00C70E54" w:rsidRPr="00A30B84" w:rsidRDefault="00C70E54" w:rsidP="00C70E54">
      <w:pPr>
        <w:contextualSpacing/>
      </w:pPr>
    </w:p>
    <w:p w14:paraId="6C9AC2AB" w14:textId="77777777" w:rsidR="00C70E54" w:rsidRPr="00E642C0" w:rsidRDefault="00C70E54" w:rsidP="00E642C0">
      <w:pPr>
        <w:pStyle w:val="ListParagraph"/>
        <w:spacing w:line="240" w:lineRule="auto"/>
        <w:ind w:left="0" w:firstLine="142"/>
        <w:rPr>
          <w:bCs/>
        </w:rPr>
      </w:pPr>
      <w:r>
        <w:t>EESK:</w:t>
      </w:r>
    </w:p>
    <w:p w14:paraId="082B07AC" w14:textId="77777777" w:rsidR="00C70E54" w:rsidRPr="00A30B84" w:rsidRDefault="00C70E54" w:rsidP="00C70E54">
      <w:pPr>
        <w:contextualSpacing/>
        <w:rPr>
          <w:lang w:val="fr-FR"/>
        </w:rPr>
      </w:pPr>
    </w:p>
    <w:p w14:paraId="12914003" w14:textId="1ACEAB73" w:rsidR="00C70E54" w:rsidRDefault="00F4549F" w:rsidP="00C70E54">
      <w:pPr>
        <w:numPr>
          <w:ilvl w:val="0"/>
          <w:numId w:val="3"/>
        </w:numPr>
        <w:ind w:left="357" w:hanging="357"/>
        <w:contextualSpacing/>
      </w:pPr>
      <w:r>
        <w:t>norāda, ka pašreizējo augsto ekonomisko, ģeoekonomisko un politisko nenoteiktību eurozonā un Eiropas Savienībā ir izraisījuši divi sistēmiskie satricinājumi: ieilgusī Covid-19 pandēmija un Krievijas iebrukums Ukrainā;</w:t>
      </w:r>
    </w:p>
    <w:p w14:paraId="595F584E" w14:textId="30BB2EB6" w:rsidR="007F292F" w:rsidRPr="00F4549F" w:rsidRDefault="00F4549F" w:rsidP="007F292F">
      <w:pPr>
        <w:numPr>
          <w:ilvl w:val="0"/>
          <w:numId w:val="3"/>
        </w:numPr>
        <w:ind w:left="357" w:hanging="357"/>
        <w:contextualSpacing/>
      </w:pPr>
      <w:r>
        <w:t>atkārtoti norāda, ka pandēmijas apkarošanas nolūkā ir jāveic visi būtiskie sistēmiskie pasākumi un vienlaikus uzsver augsto investīciju atdevi veselības aprūpes jomā;</w:t>
      </w:r>
    </w:p>
    <w:p w14:paraId="17FBD98E" w14:textId="74E6D4F6" w:rsidR="00F4549F" w:rsidRPr="00F4549F" w:rsidRDefault="00F4549F" w:rsidP="007F292F">
      <w:pPr>
        <w:numPr>
          <w:ilvl w:val="0"/>
          <w:numId w:val="3"/>
        </w:numPr>
        <w:ind w:left="357" w:hanging="357"/>
        <w:contextualSpacing/>
      </w:pPr>
      <w:r>
        <w:t>uzskata, ka Krievijas agresijai ir jāpieliek punkts, jāizbeidz Ukrainā notiekošais karš un jāatjauno Ukrainas teritoriālā integritāte. Rezultātā varētu veidoties apstākļi, kas nepieciešami noturīgai, iekļaujošai un ilgtspējīgai izaugsmei eurozonas valstīs un Eiropas Savienības dalībvalstīs;</w:t>
      </w:r>
    </w:p>
    <w:p w14:paraId="5684DB59" w14:textId="67AEA1DB" w:rsidR="00F4549F" w:rsidRPr="00F4549F" w:rsidRDefault="00F4549F" w:rsidP="007F292F">
      <w:pPr>
        <w:numPr>
          <w:ilvl w:val="0"/>
          <w:numId w:val="3"/>
        </w:numPr>
        <w:ind w:left="357" w:hanging="357"/>
        <w:contextualSpacing/>
      </w:pPr>
      <w:r>
        <w:t>iesaka ECB veikt atbilstīgu samērīguma novērtējumu, rūpīgi analizējot stingrākas monetārās politikas blakusietekmi un to, kā tā ietekmēs ilgtermiņa cenu stabilitātes mērķus. Normalizējot monetāro politiku, ECB būtu jārīkojas piesardzīgi</w:t>
      </w:r>
      <w:r w:rsidR="00241F6A">
        <w:t>;</w:t>
      </w:r>
    </w:p>
    <w:p w14:paraId="6FFEB149" w14:textId="0C981532" w:rsidR="00F4549F" w:rsidRPr="00F4549F" w:rsidRDefault="00F4549F" w:rsidP="007F292F">
      <w:pPr>
        <w:numPr>
          <w:ilvl w:val="0"/>
          <w:numId w:val="3"/>
        </w:numPr>
        <w:ind w:left="357" w:hanging="357"/>
        <w:contextualSpacing/>
      </w:pPr>
      <w:r>
        <w:t>ņemot vērā straujo enerģijas un pārtikas cenu pieaugumu, iesaka valstu ekonomikas politikas veidotājiem izveidot funkcionējošu un efektīvu sociālās drošības tīklu visneaizsargātākajām iedzīvotāju grupām, tostarp visvairāk skartajiem vidusslāņa segmentiem, lai neviens netiktu atstāts novārtā;</w:t>
      </w:r>
    </w:p>
    <w:p w14:paraId="4171C767" w14:textId="5AC15A48" w:rsidR="00F4549F" w:rsidRPr="00F4549F" w:rsidRDefault="00F4549F" w:rsidP="007F292F">
      <w:pPr>
        <w:numPr>
          <w:ilvl w:val="0"/>
          <w:numId w:val="3"/>
        </w:numPr>
        <w:ind w:left="357" w:hanging="357"/>
        <w:contextualSpacing/>
      </w:pPr>
      <w:r>
        <w:t>iesaka veikt pasākumus, lai panāktu vidēja termiņa fiskālo konsolidāciju. Lai papildinātu valstu budžetus, EESK uzskata, ka jāpanāk vienlīdzīga nodokļu uzlikšana un līdz ar to arī efektīvs publisko līdzekļu izlietojums;</w:t>
      </w:r>
    </w:p>
    <w:p w14:paraId="46B14FB4" w14:textId="0ABD9737" w:rsidR="00F4549F" w:rsidRPr="00F4549F" w:rsidRDefault="00F4549F" w:rsidP="007F292F">
      <w:pPr>
        <w:numPr>
          <w:ilvl w:val="0"/>
          <w:numId w:val="3"/>
        </w:numPr>
        <w:ind w:left="357" w:hanging="357"/>
        <w:contextualSpacing/>
      </w:pPr>
      <w:r>
        <w:t>aicina veikt konkrētus pasākumus Stabilitātes un izaugsmes pakta reformu īstenošanai;</w:t>
      </w:r>
    </w:p>
    <w:p w14:paraId="265ED081" w14:textId="0C632BC4" w:rsidR="00F4549F" w:rsidRPr="00F4549F" w:rsidRDefault="00F4549F" w:rsidP="007F292F">
      <w:pPr>
        <w:numPr>
          <w:ilvl w:val="0"/>
          <w:numId w:val="3"/>
        </w:numPr>
        <w:ind w:left="357" w:hanging="357"/>
        <w:contextualSpacing/>
      </w:pPr>
      <w:r>
        <w:t>mudina pabeigt banku savienības un kapitāla tirgu savienības izveidi;</w:t>
      </w:r>
    </w:p>
    <w:p w14:paraId="5392AB16" w14:textId="2076C6A5" w:rsidR="00F4549F" w:rsidRPr="00F4549F" w:rsidRDefault="00F4549F" w:rsidP="007F292F">
      <w:pPr>
        <w:numPr>
          <w:ilvl w:val="0"/>
          <w:numId w:val="3"/>
        </w:numPr>
        <w:ind w:left="357" w:hanging="357"/>
        <w:contextualSpacing/>
      </w:pPr>
      <w:r>
        <w:t>atzinīgi vērtē Eiropas Centrālās bankas 2022. gada 15. jūnija paziņojumu par pasākumu sagatavošanu, lai novērstu sadrumstalotību eurozonā;</w:t>
      </w:r>
    </w:p>
    <w:p w14:paraId="07AF7C3D" w14:textId="3035AD85" w:rsidR="00F4549F" w:rsidRPr="00F4549F" w:rsidRDefault="00F4549F" w:rsidP="007F292F">
      <w:pPr>
        <w:numPr>
          <w:ilvl w:val="0"/>
          <w:numId w:val="3"/>
        </w:numPr>
        <w:ind w:left="357" w:hanging="357"/>
        <w:contextualSpacing/>
      </w:pPr>
      <w:r>
        <w:t>atbalsta eurozonas ekonomikas pārkārtošanu un iesaka pāriet uz atjaunīgiem energoresursiem un izmantot gan finanšu resursus, kas pieejami saskaņā ar atveseļošanas plānu, gan arī citus finanšu resursus, tostarp privātā sektora finansējuma atbalstu;</w:t>
      </w:r>
    </w:p>
    <w:p w14:paraId="164E94CC" w14:textId="78A6AAA6" w:rsidR="00F4549F" w:rsidRPr="00F4549F" w:rsidRDefault="00F4549F" w:rsidP="007F292F">
      <w:pPr>
        <w:numPr>
          <w:ilvl w:val="0"/>
          <w:numId w:val="3"/>
        </w:numPr>
        <w:ind w:left="357" w:hanging="357"/>
        <w:contextualSpacing/>
      </w:pPr>
      <w:r>
        <w:t xml:space="preserve">aicina visas valstis un kompetentās starptautiskās iestādes sadarboties, lai risinātu problēmas, kuras rada visi iepriekš nepieredzētie sistēmiskie satricinājumi, riski un draudi, ar ko pašlaik saskaras pasaule. Kavēšanās ar pasākumu pieņemšanu un īstenošanu var radīt tālejošas sekas ne tikai materiālo zaudējumu ziņā, bet arī </w:t>
      </w:r>
      <w:r w:rsidR="00241F6A">
        <w:t>–</w:t>
      </w:r>
      <w:r>
        <w:t xml:space="preserve"> un galvenokārt </w:t>
      </w:r>
      <w:r w:rsidR="00241F6A">
        <w:t>–</w:t>
      </w:r>
      <w:r>
        <w:t xml:space="preserve"> cilvēku dzīvības ziņā.</w:t>
      </w:r>
    </w:p>
    <w:p w14:paraId="3E1CB8F8" w14:textId="77777777" w:rsidR="00F4549F" w:rsidRPr="005B5038" w:rsidRDefault="00F4549F" w:rsidP="000B1AE6">
      <w:pPr>
        <w:ind w:left="357"/>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F4549F" w:rsidRPr="009B70E7" w14:paraId="41AF5008" w14:textId="77777777" w:rsidTr="00576060">
        <w:tc>
          <w:tcPr>
            <w:tcW w:w="1418" w:type="dxa"/>
          </w:tcPr>
          <w:p w14:paraId="2433DEF8" w14:textId="77777777" w:rsidR="00F4549F" w:rsidRPr="009B70E7" w:rsidRDefault="00F4549F" w:rsidP="00576060">
            <w:pPr>
              <w:pStyle w:val="ListParagraph"/>
              <w:spacing w:line="276" w:lineRule="auto"/>
              <w:ind w:left="0"/>
              <w:rPr>
                <w:i/>
              </w:rPr>
            </w:pPr>
            <w:r>
              <w:rPr>
                <w:b/>
                <w:i/>
              </w:rPr>
              <w:t>Kontaktpersona:</w:t>
            </w:r>
          </w:p>
        </w:tc>
        <w:tc>
          <w:tcPr>
            <w:tcW w:w="5670" w:type="dxa"/>
          </w:tcPr>
          <w:p w14:paraId="74FDA4FC" w14:textId="77777777" w:rsidR="00F4549F" w:rsidRPr="009B70E7" w:rsidRDefault="00F4549F" w:rsidP="00576060">
            <w:pPr>
              <w:pStyle w:val="ListParagraph"/>
              <w:spacing w:line="276" w:lineRule="auto"/>
              <w:ind w:left="0"/>
              <w:rPr>
                <w:i/>
              </w:rPr>
            </w:pPr>
            <w:r>
              <w:rPr>
                <w:i/>
              </w:rPr>
              <w:t>Krisztina Perlaky-Toth</w:t>
            </w:r>
          </w:p>
        </w:tc>
      </w:tr>
      <w:tr w:rsidR="00F4549F" w:rsidRPr="009B70E7" w14:paraId="1AB3AD9E" w14:textId="77777777" w:rsidTr="00576060">
        <w:tc>
          <w:tcPr>
            <w:tcW w:w="1418" w:type="dxa"/>
          </w:tcPr>
          <w:p w14:paraId="7D9E1FBD" w14:textId="77777777" w:rsidR="00F4549F" w:rsidRPr="009B70E7" w:rsidRDefault="00F4549F" w:rsidP="00576060">
            <w:pPr>
              <w:pStyle w:val="ListParagraph"/>
              <w:spacing w:line="276" w:lineRule="auto"/>
              <w:ind w:left="601"/>
              <w:rPr>
                <w:i/>
              </w:rPr>
            </w:pPr>
            <w:r>
              <w:rPr>
                <w:i/>
              </w:rPr>
              <w:t>Tālr.:</w:t>
            </w:r>
          </w:p>
        </w:tc>
        <w:tc>
          <w:tcPr>
            <w:tcW w:w="5670" w:type="dxa"/>
          </w:tcPr>
          <w:p w14:paraId="363497E3" w14:textId="77777777" w:rsidR="00F4549F" w:rsidRPr="009B70E7" w:rsidRDefault="00F4549F" w:rsidP="00576060">
            <w:pPr>
              <w:pStyle w:val="ListParagraph"/>
              <w:spacing w:line="276" w:lineRule="auto"/>
              <w:ind w:left="0"/>
              <w:rPr>
                <w:i/>
              </w:rPr>
            </w:pPr>
            <w:r>
              <w:rPr>
                <w:i/>
              </w:rPr>
              <w:t>00 32 2 546 97 40</w:t>
            </w:r>
          </w:p>
        </w:tc>
      </w:tr>
      <w:tr w:rsidR="00F4549F" w:rsidRPr="009B70E7" w14:paraId="535C9BAF" w14:textId="77777777" w:rsidTr="00576060">
        <w:tc>
          <w:tcPr>
            <w:tcW w:w="1418" w:type="dxa"/>
          </w:tcPr>
          <w:p w14:paraId="7A184B2E" w14:textId="77777777" w:rsidR="00F4549F" w:rsidRPr="009B70E7" w:rsidRDefault="00F4549F" w:rsidP="00576060">
            <w:pPr>
              <w:pStyle w:val="ListParagraph"/>
              <w:spacing w:line="276" w:lineRule="auto"/>
              <w:ind w:left="601"/>
              <w:rPr>
                <w:i/>
              </w:rPr>
            </w:pPr>
            <w:r>
              <w:rPr>
                <w:i/>
              </w:rPr>
              <w:t>E-pasts:</w:t>
            </w:r>
          </w:p>
        </w:tc>
        <w:tc>
          <w:tcPr>
            <w:tcW w:w="5670" w:type="dxa"/>
          </w:tcPr>
          <w:p w14:paraId="253DEA92" w14:textId="679D0AC7" w:rsidR="00F4549F" w:rsidRPr="009B70E7" w:rsidRDefault="000062DB" w:rsidP="00A21849">
            <w:pPr>
              <w:pStyle w:val="ListParagraph"/>
              <w:spacing w:line="276" w:lineRule="auto"/>
              <w:ind w:left="0"/>
              <w:rPr>
                <w:i/>
              </w:rPr>
            </w:pPr>
            <w:hyperlink r:id="rId24" w:history="1">
              <w:r w:rsidR="007B42E2">
                <w:rPr>
                  <w:rStyle w:val="Hyperlink"/>
                  <w:i/>
                </w:rPr>
                <w:t>Krisztina.PerlakyToth@eesc.europa.eu</w:t>
              </w:r>
            </w:hyperlink>
          </w:p>
        </w:tc>
      </w:tr>
    </w:tbl>
    <w:p w14:paraId="060E2085" w14:textId="77777777" w:rsidR="00C70E54" w:rsidRPr="00A30B84" w:rsidRDefault="00C70E54" w:rsidP="00C70E54"/>
    <w:p w14:paraId="1B55E54F" w14:textId="653FC859" w:rsidR="0077792F" w:rsidRPr="0077792F" w:rsidRDefault="00E31954" w:rsidP="00576060">
      <w:pPr>
        <w:keepNext/>
        <w:numPr>
          <w:ilvl w:val="0"/>
          <w:numId w:val="2"/>
        </w:numPr>
        <w:ind w:left="567" w:hanging="567"/>
        <w:contextualSpacing/>
        <w:rPr>
          <w:b/>
          <w:i/>
          <w:sz w:val="28"/>
          <w:szCs w:val="28"/>
        </w:rPr>
      </w:pPr>
      <w:r>
        <w:rPr>
          <w:b/>
          <w:i/>
          <w:sz w:val="28"/>
        </w:rPr>
        <w:lastRenderedPageBreak/>
        <w:t>Atlaide, ar kuras palīdzību mazina priekšrokas došanu parāda finansēšanai</w:t>
      </w:r>
    </w:p>
    <w:p w14:paraId="4B03D864" w14:textId="77777777" w:rsidR="0077792F" w:rsidRPr="0077792F" w:rsidRDefault="0077792F" w:rsidP="0077792F">
      <w:pPr>
        <w:keepNext/>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77792F" w:rsidRPr="00627B8F" w14:paraId="717438AA" w14:textId="77777777" w:rsidTr="00576060">
        <w:tc>
          <w:tcPr>
            <w:tcW w:w="1701" w:type="dxa"/>
          </w:tcPr>
          <w:p w14:paraId="494AC9F0" w14:textId="77777777" w:rsidR="0077792F" w:rsidRPr="009B70E7" w:rsidRDefault="0077792F" w:rsidP="00E642C0">
            <w:pPr>
              <w:pStyle w:val="ListParagraph"/>
              <w:ind w:left="0"/>
              <w:rPr>
                <w:b/>
              </w:rPr>
            </w:pPr>
            <w:r>
              <w:rPr>
                <w:b/>
              </w:rPr>
              <w:t>Ziņotājs:</w:t>
            </w:r>
          </w:p>
        </w:tc>
        <w:tc>
          <w:tcPr>
            <w:tcW w:w="6521" w:type="dxa"/>
            <w:gridSpan w:val="2"/>
          </w:tcPr>
          <w:p w14:paraId="5531C58B" w14:textId="797526DD" w:rsidR="0077792F" w:rsidRPr="00627B8F" w:rsidRDefault="00E31954" w:rsidP="00576060">
            <w:pPr>
              <w:pStyle w:val="ListParagraph"/>
              <w:ind w:left="-60" w:right="-55"/>
            </w:pPr>
            <w:r>
              <w:t>Petru SORIN DANDEA (Darba ņēmēju grupa – RO)</w:t>
            </w:r>
          </w:p>
        </w:tc>
      </w:tr>
      <w:tr w:rsidR="0077792F" w:rsidRPr="009B70E7" w14:paraId="4BD327F5" w14:textId="77777777" w:rsidTr="00576060">
        <w:tc>
          <w:tcPr>
            <w:tcW w:w="1701" w:type="dxa"/>
          </w:tcPr>
          <w:p w14:paraId="12AEC36D" w14:textId="77777777" w:rsidR="0077792F" w:rsidRPr="009B70E7" w:rsidRDefault="0077792F" w:rsidP="00576060">
            <w:pPr>
              <w:pStyle w:val="ListParagraph"/>
              <w:ind w:left="0"/>
              <w:rPr>
                <w:b/>
              </w:rPr>
            </w:pPr>
            <w:r>
              <w:rPr>
                <w:b/>
              </w:rPr>
              <w:t>Līdzziņotājs:</w:t>
            </w:r>
          </w:p>
        </w:tc>
        <w:tc>
          <w:tcPr>
            <w:tcW w:w="6521" w:type="dxa"/>
            <w:gridSpan w:val="2"/>
          </w:tcPr>
          <w:p w14:paraId="558BF534" w14:textId="79C01D1C" w:rsidR="0077792F" w:rsidRDefault="00E31954" w:rsidP="00576060">
            <w:pPr>
              <w:pStyle w:val="ListParagraph"/>
              <w:tabs>
                <w:tab w:val="left" w:pos="838"/>
              </w:tabs>
              <w:ind w:left="-61"/>
            </w:pPr>
            <w:r>
              <w:t>Krister ANDERSSON (Darba devēju grupa – SE)</w:t>
            </w:r>
          </w:p>
          <w:p w14:paraId="754AA61A" w14:textId="77777777" w:rsidR="0077792F" w:rsidRPr="009B70E7" w:rsidRDefault="0077792F" w:rsidP="00576060">
            <w:pPr>
              <w:pStyle w:val="ListParagraph"/>
              <w:tabs>
                <w:tab w:val="left" w:pos="838"/>
              </w:tabs>
              <w:ind w:left="-61"/>
            </w:pPr>
          </w:p>
        </w:tc>
      </w:tr>
      <w:tr w:rsidR="0077792F" w:rsidRPr="009B70E7" w14:paraId="5298159A" w14:textId="77777777" w:rsidTr="00576060">
        <w:tblPrEx>
          <w:tblCellMar>
            <w:left w:w="108" w:type="dxa"/>
            <w:right w:w="108" w:type="dxa"/>
          </w:tblCellMar>
        </w:tblPrEx>
        <w:trPr>
          <w:gridAfter w:val="1"/>
          <w:wAfter w:w="755" w:type="dxa"/>
          <w:trHeight w:val="636"/>
        </w:trPr>
        <w:tc>
          <w:tcPr>
            <w:tcW w:w="1701" w:type="dxa"/>
          </w:tcPr>
          <w:p w14:paraId="7EB0CD39" w14:textId="2CED9ACA" w:rsidR="0077792F" w:rsidRPr="009B70E7" w:rsidRDefault="00B80604" w:rsidP="00576060">
            <w:pPr>
              <w:pStyle w:val="ListParagraph"/>
              <w:ind w:left="0" w:hanging="108"/>
              <w:rPr>
                <w:b/>
              </w:rPr>
            </w:pPr>
            <w:r>
              <w:rPr>
                <w:b/>
              </w:rPr>
              <w:t>Atsauces:</w:t>
            </w:r>
            <w:r w:rsidR="00E642C0">
              <w:rPr>
                <w:b/>
              </w:rPr>
              <w:t xml:space="preserve"> </w:t>
            </w:r>
          </w:p>
        </w:tc>
        <w:tc>
          <w:tcPr>
            <w:tcW w:w="5766" w:type="dxa"/>
          </w:tcPr>
          <w:p w14:paraId="5FBE0123" w14:textId="45649758" w:rsidR="0077792F" w:rsidRDefault="00E31954" w:rsidP="00576060">
            <w:pPr>
              <w:pStyle w:val="ListParagraph"/>
              <w:ind w:left="-108"/>
            </w:pPr>
            <w:r>
              <w:t>COM(2022) 216 final</w:t>
            </w:r>
          </w:p>
          <w:p w14:paraId="173E7841" w14:textId="72BA256D" w:rsidR="0077792F" w:rsidRPr="009B70E7" w:rsidRDefault="0077792F" w:rsidP="00576060">
            <w:pPr>
              <w:pStyle w:val="ListParagraph"/>
              <w:ind w:left="-108"/>
            </w:pPr>
            <w:r>
              <w:t>EESC-2022-02917-00-00-AC</w:t>
            </w:r>
          </w:p>
        </w:tc>
      </w:tr>
    </w:tbl>
    <w:p w14:paraId="2F81936E" w14:textId="77777777" w:rsidR="0077792F" w:rsidRPr="00A30B84" w:rsidRDefault="0077792F" w:rsidP="0077792F">
      <w:pPr>
        <w:contextualSpacing/>
      </w:pPr>
    </w:p>
    <w:p w14:paraId="1901BEAD" w14:textId="77777777" w:rsidR="0077792F" w:rsidRPr="00E642C0" w:rsidRDefault="0077792F" w:rsidP="00E642C0">
      <w:pPr>
        <w:pStyle w:val="ListParagraph"/>
        <w:spacing w:line="240" w:lineRule="auto"/>
        <w:ind w:left="0" w:firstLine="142"/>
        <w:rPr>
          <w:b/>
        </w:rPr>
      </w:pPr>
      <w:r>
        <w:rPr>
          <w:b/>
          <w:bCs/>
        </w:rPr>
        <w:t>Svarīgākie aspekti</w:t>
      </w:r>
    </w:p>
    <w:p w14:paraId="72FCB2E9" w14:textId="77777777" w:rsidR="0077792F" w:rsidRPr="00E642C0" w:rsidRDefault="0077792F" w:rsidP="00E642C0">
      <w:pPr>
        <w:pStyle w:val="ListParagraph"/>
        <w:ind w:left="0"/>
        <w:rPr>
          <w:b/>
        </w:rPr>
      </w:pPr>
    </w:p>
    <w:p w14:paraId="63687A18" w14:textId="77777777" w:rsidR="0077792F" w:rsidRPr="00E642C0" w:rsidRDefault="0077792F" w:rsidP="00E642C0">
      <w:pPr>
        <w:pStyle w:val="ListParagraph"/>
        <w:spacing w:line="240" w:lineRule="auto"/>
        <w:ind w:left="0" w:firstLine="142"/>
        <w:rPr>
          <w:bCs/>
        </w:rPr>
      </w:pPr>
      <w:r>
        <w:t>EESK:</w:t>
      </w:r>
    </w:p>
    <w:p w14:paraId="3A20E8D3" w14:textId="77777777" w:rsidR="0077792F" w:rsidRPr="00A30B84" w:rsidRDefault="0077792F" w:rsidP="0077792F">
      <w:pPr>
        <w:contextualSpacing/>
        <w:rPr>
          <w:lang w:val="fr-FR"/>
        </w:rPr>
      </w:pPr>
    </w:p>
    <w:p w14:paraId="1B90B508" w14:textId="2351D550" w:rsidR="0077792F" w:rsidRPr="001445A7" w:rsidRDefault="0019715D" w:rsidP="0077792F">
      <w:pPr>
        <w:numPr>
          <w:ilvl w:val="0"/>
          <w:numId w:val="3"/>
        </w:numPr>
        <w:ind w:left="357" w:hanging="357"/>
        <w:contextualSpacing/>
      </w:pPr>
      <w:r>
        <w:t>uzskata, ka Komisijas lēmums dot priekšroku pašu kapitāla izmantošanai salīdzinājumā ar parādu, ne tikai piešķirot atvieglojumu pašu kapitālam, ko uzņēmumi laika gaitā palielinājuši, bet arī par 15 % samazinot uzņēmumu parādu atskaitāmību, var kaitēt Eiropas uzņēmumiem, it īpaši MVU;</w:t>
      </w:r>
    </w:p>
    <w:p w14:paraId="197DA73C" w14:textId="09788194" w:rsidR="0077792F" w:rsidRDefault="0019715D" w:rsidP="0077792F">
      <w:pPr>
        <w:numPr>
          <w:ilvl w:val="0"/>
          <w:numId w:val="3"/>
        </w:numPr>
        <w:ind w:left="357" w:hanging="357"/>
        <w:contextualSpacing/>
      </w:pPr>
      <w:r>
        <w:t>pauž bažas par to, ka Komisijas priekšlikums var padarīt MVU un mikrouzņēmumus, kas ir Eiropas ekonomikas mugurkauls, finansiāli vājākus. Šādiem uzņēmumiem nav viegli piekļūt kapitāla tirgiem, tāpēc procentu izmaksu atskaitāmības ierobežošana varētu kavēt ieguldījumus, izaugsmi un darbvietu radīšanu visā Eiropā;</w:t>
      </w:r>
    </w:p>
    <w:p w14:paraId="146F859B" w14:textId="4CBC1CCD" w:rsidR="00F03155" w:rsidRPr="00E31954" w:rsidRDefault="0019715D" w:rsidP="0077792F">
      <w:pPr>
        <w:numPr>
          <w:ilvl w:val="0"/>
          <w:numId w:val="3"/>
        </w:numPr>
        <w:ind w:left="357" w:hanging="357"/>
        <w:contextualSpacing/>
      </w:pPr>
      <w:r>
        <w:t>uzskata, ka mazo uzņēmumu un mikrouzņēmumu gadījumā taisnīguma veicināšana būtu jāveic galvenokārt, ja ne tikai, ar pašu kapitāla nodokļu atvieglojumiem, nepiemērojot sodu par parāda procentu atskaitāmību;</w:t>
      </w:r>
    </w:p>
    <w:p w14:paraId="5C28BBBE" w14:textId="4286A93A" w:rsidR="00E31954" w:rsidRPr="00E31954" w:rsidRDefault="0019715D" w:rsidP="0077792F">
      <w:pPr>
        <w:numPr>
          <w:ilvl w:val="0"/>
          <w:numId w:val="3"/>
        </w:numPr>
        <w:ind w:left="357" w:hanging="357"/>
        <w:contextualSpacing/>
      </w:pPr>
      <w:r>
        <w:t>uzskata, ka Komisijas priekšlikumā paredzētā riska prēmija 1 līdz 1,5 % apmērā ir atrauta no tirgus realitātes un nav pietiekama, lai kompensētu procentu izmaksu atskaitāmības zaudējumu. Tirgus riska prēmija (TRP) 2021. gadā visās dalībvalstīs pārsniedza 5 %, un pašlaik tā joprojām ir šādā līmenī;</w:t>
      </w:r>
    </w:p>
    <w:p w14:paraId="54E0D827" w14:textId="656A23BE" w:rsidR="00E31954" w:rsidRPr="00E31954" w:rsidRDefault="0019715D" w:rsidP="0077792F">
      <w:pPr>
        <w:numPr>
          <w:ilvl w:val="0"/>
          <w:numId w:val="3"/>
        </w:numPr>
        <w:ind w:left="357" w:hanging="357"/>
        <w:contextualSpacing/>
      </w:pPr>
      <w:r>
        <w:t>pauž bažas par to, ka, neļaujot atskaitīt likumīgās darījumdarbības veikšanas izmaksas procentu maksājumu veidā, Eiropas uzņēmumi varētu nonākt neizdevīgākā konkurences situācijā salīdzinājumā ar uzņēmumiem citos lielākajos tirdzniecības blokos;</w:t>
      </w:r>
    </w:p>
    <w:p w14:paraId="54D3A63D" w14:textId="6F8AA0C7" w:rsidR="00E31954" w:rsidRPr="00E31954" w:rsidRDefault="0019715D" w:rsidP="0077792F">
      <w:pPr>
        <w:numPr>
          <w:ilvl w:val="0"/>
          <w:numId w:val="3"/>
        </w:numPr>
        <w:ind w:left="357" w:hanging="357"/>
        <w:contextualSpacing/>
      </w:pPr>
      <w:r>
        <w:t>atzīmē, ka procentu izdevumu atskaitīšanas iespējas liegšana Eiropas uzņēmumiem radītu stimulu izmantot līzinga līgumus, nevis tieši ieguldīt aprīkojumā un iekārtās;</w:t>
      </w:r>
    </w:p>
    <w:p w14:paraId="475E1DEA" w14:textId="0B707B82" w:rsidR="00E31954" w:rsidRPr="00F71666" w:rsidRDefault="0019715D" w:rsidP="0077792F">
      <w:pPr>
        <w:numPr>
          <w:ilvl w:val="0"/>
          <w:numId w:val="3"/>
        </w:numPr>
        <w:ind w:left="357" w:hanging="357"/>
        <w:contextualSpacing/>
      </w:pPr>
      <w:r>
        <w:t>ierosina Komisijai būtiski pārskatīt savu priekšlikumu, iekļaujot pilnīgu vai daļēju atbrīvojumu no parāda procentu atskaitāmības ierobežojumiem it īpaši par labu MVU un mikrouzņēmumiem.</w:t>
      </w:r>
    </w:p>
    <w:p w14:paraId="3477B253" w14:textId="77777777" w:rsidR="0077792F" w:rsidRDefault="0077792F">
      <w:pPr>
        <w:spacing w:after="160"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77792F" w:rsidRPr="009B70E7" w14:paraId="3FA42BAE" w14:textId="77777777" w:rsidTr="00576060">
        <w:tc>
          <w:tcPr>
            <w:tcW w:w="1418" w:type="dxa"/>
          </w:tcPr>
          <w:p w14:paraId="44ACEA21" w14:textId="77777777" w:rsidR="0077792F" w:rsidRPr="009B70E7" w:rsidRDefault="0077792F" w:rsidP="00576060">
            <w:pPr>
              <w:pStyle w:val="ListParagraph"/>
              <w:spacing w:line="276" w:lineRule="auto"/>
              <w:ind w:left="0"/>
              <w:rPr>
                <w:i/>
              </w:rPr>
            </w:pPr>
            <w:r>
              <w:rPr>
                <w:b/>
                <w:i/>
              </w:rPr>
              <w:t>Kontaktpersona:</w:t>
            </w:r>
          </w:p>
        </w:tc>
        <w:tc>
          <w:tcPr>
            <w:tcW w:w="5670" w:type="dxa"/>
          </w:tcPr>
          <w:p w14:paraId="389ED027" w14:textId="0141A1E7" w:rsidR="0077792F" w:rsidRPr="009B70E7" w:rsidRDefault="00E31954" w:rsidP="00576060">
            <w:pPr>
              <w:pStyle w:val="ListParagraph"/>
              <w:spacing w:line="276" w:lineRule="auto"/>
              <w:ind w:left="0"/>
              <w:rPr>
                <w:i/>
              </w:rPr>
            </w:pPr>
            <w:r>
              <w:rPr>
                <w:i/>
              </w:rPr>
              <w:t>Jüri </w:t>
            </w:r>
            <w:r w:rsidR="00241F6A">
              <w:rPr>
                <w:i/>
              </w:rPr>
              <w:t>Soosaar</w:t>
            </w:r>
          </w:p>
        </w:tc>
      </w:tr>
      <w:tr w:rsidR="0077792F" w:rsidRPr="009B70E7" w14:paraId="10C4B938" w14:textId="77777777" w:rsidTr="00576060">
        <w:tc>
          <w:tcPr>
            <w:tcW w:w="1418" w:type="dxa"/>
          </w:tcPr>
          <w:p w14:paraId="182C7EF1" w14:textId="77777777" w:rsidR="0077792F" w:rsidRPr="009B70E7" w:rsidRDefault="0077792F" w:rsidP="00576060">
            <w:pPr>
              <w:pStyle w:val="ListParagraph"/>
              <w:spacing w:line="276" w:lineRule="auto"/>
              <w:ind w:left="601"/>
              <w:rPr>
                <w:i/>
              </w:rPr>
            </w:pPr>
            <w:r>
              <w:rPr>
                <w:i/>
              </w:rPr>
              <w:t>Tālr.:</w:t>
            </w:r>
          </w:p>
        </w:tc>
        <w:tc>
          <w:tcPr>
            <w:tcW w:w="5670" w:type="dxa"/>
          </w:tcPr>
          <w:p w14:paraId="4AD5BD8C" w14:textId="2AD76D17" w:rsidR="0077792F" w:rsidRDefault="0077792F" w:rsidP="00576060">
            <w:pPr>
              <w:pStyle w:val="ListParagraph"/>
              <w:spacing w:line="276" w:lineRule="auto"/>
              <w:ind w:left="0"/>
              <w:rPr>
                <w:i/>
              </w:rPr>
            </w:pPr>
            <w:r>
              <w:rPr>
                <w:i/>
              </w:rPr>
              <w:t>00 32 2 546 96 28</w:t>
            </w:r>
          </w:p>
          <w:p w14:paraId="7E0E9706" w14:textId="4FF85673" w:rsidR="00D91EA9" w:rsidRPr="000062DB" w:rsidRDefault="000062DB" w:rsidP="000062DB">
            <w:pPr>
              <w:pStyle w:val="ListParagraph"/>
              <w:spacing w:line="276" w:lineRule="auto"/>
              <w:ind w:left="0"/>
              <w:jc w:val="left"/>
              <w:rPr>
                <w:i/>
                <w:iCs/>
              </w:rPr>
            </w:pPr>
            <w:hyperlink r:id="rId25" w:history="1">
              <w:r w:rsidR="007B42E2">
                <w:rPr>
                  <w:rStyle w:val="Hyperlink"/>
                  <w:i/>
                </w:rPr>
                <w:t>Juri.Soosaar@eesc.europa.eu</w:t>
              </w:r>
            </w:hyperlink>
          </w:p>
        </w:tc>
      </w:tr>
    </w:tbl>
    <w:p w14:paraId="4FFF5C53" w14:textId="77777777" w:rsidR="00B67EDA" w:rsidRDefault="00B67EDA">
      <w:pPr>
        <w:spacing w:after="160" w:line="259" w:lineRule="auto"/>
        <w:jc w:val="left"/>
      </w:pPr>
    </w:p>
    <w:p w14:paraId="3A570416" w14:textId="77777777" w:rsidR="006F6E46" w:rsidRDefault="006F6E46">
      <w:pPr>
        <w:spacing w:after="160" w:line="259" w:lineRule="auto"/>
        <w:jc w:val="left"/>
        <w:rPr>
          <w:b/>
          <w:kern w:val="28"/>
        </w:rPr>
      </w:pPr>
      <w:bookmarkStart w:id="10" w:name="_Toc75527081"/>
      <w:r>
        <w:rPr>
          <w:b/>
        </w:rPr>
        <w:br w:type="page"/>
      </w:r>
    </w:p>
    <w:p w14:paraId="73D829D0" w14:textId="1E804801" w:rsidR="004D7AC0" w:rsidRPr="009B70E7" w:rsidRDefault="004D7AC0" w:rsidP="00A21849">
      <w:pPr>
        <w:pStyle w:val="Heading1"/>
        <w:keepNext/>
        <w:keepLines/>
        <w:rPr>
          <w:b/>
        </w:rPr>
      </w:pPr>
      <w:bookmarkStart w:id="11" w:name="_Toc120000278"/>
      <w:r>
        <w:rPr>
          <w:b/>
        </w:rPr>
        <w:lastRenderedPageBreak/>
        <w:t>NODARBINĀTĪBA, SOCIĀLĀS LIETAS UN PILSONISKUMS</w:t>
      </w:r>
      <w:bookmarkEnd w:id="10"/>
      <w:bookmarkEnd w:id="11"/>
    </w:p>
    <w:p w14:paraId="46C917A8" w14:textId="77777777" w:rsidR="00775FDA" w:rsidRPr="00DA2D88" w:rsidRDefault="00775FDA" w:rsidP="00A21849">
      <w:pPr>
        <w:keepNext/>
        <w:keepLines/>
        <w:spacing w:line="259" w:lineRule="auto"/>
        <w:jc w:val="left"/>
        <w:rPr>
          <w:b/>
        </w:rPr>
      </w:pPr>
    </w:p>
    <w:p w14:paraId="2B9D750E" w14:textId="0A724A32" w:rsidR="00DA608B" w:rsidRPr="00DA2D88" w:rsidRDefault="00E31954" w:rsidP="00A21849">
      <w:pPr>
        <w:pStyle w:val="ListParagraph"/>
        <w:keepNext/>
        <w:keepLines/>
        <w:numPr>
          <w:ilvl w:val="0"/>
          <w:numId w:val="2"/>
        </w:numPr>
        <w:ind w:left="567" w:hanging="567"/>
        <w:rPr>
          <w:i/>
          <w:sz w:val="28"/>
          <w:szCs w:val="28"/>
        </w:rPr>
      </w:pPr>
      <w:r>
        <w:rPr>
          <w:b/>
          <w:i/>
          <w:sz w:val="28"/>
        </w:rPr>
        <w:t>Darbaspēka mobilitātes veicināšana ekonomikas atveseļošanas labā</w:t>
      </w:r>
    </w:p>
    <w:p w14:paraId="52A05893"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tblGrid>
      <w:tr w:rsidR="00DA608B" w:rsidRPr="009B70E7" w14:paraId="5CC43C80" w14:textId="77777777" w:rsidTr="00B9776A">
        <w:trPr>
          <w:trHeight w:val="309"/>
        </w:trPr>
        <w:tc>
          <w:tcPr>
            <w:tcW w:w="1701" w:type="dxa"/>
          </w:tcPr>
          <w:p w14:paraId="27FDCFCA" w14:textId="37BE6ACE" w:rsidR="00DA608B" w:rsidRDefault="00DA608B" w:rsidP="0070677E">
            <w:pPr>
              <w:pStyle w:val="ListParagraph"/>
              <w:ind w:left="0"/>
              <w:rPr>
                <w:b/>
              </w:rPr>
            </w:pPr>
            <w:r>
              <w:rPr>
                <w:b/>
              </w:rPr>
              <w:t>Ziņotājs:</w:t>
            </w:r>
          </w:p>
          <w:p w14:paraId="6C72EBF9" w14:textId="676EFD71" w:rsidR="000C43E2" w:rsidRPr="009B70E7" w:rsidRDefault="000C43E2" w:rsidP="00150AD8">
            <w:pPr>
              <w:pStyle w:val="ListParagraph"/>
              <w:ind w:left="0" w:right="-978" w:hanging="108"/>
              <w:rPr>
                <w:b/>
              </w:rPr>
            </w:pPr>
          </w:p>
        </w:tc>
        <w:tc>
          <w:tcPr>
            <w:tcW w:w="6521" w:type="dxa"/>
          </w:tcPr>
          <w:p w14:paraId="0FD390DE" w14:textId="53AB841A" w:rsidR="00DA608B" w:rsidRPr="009B70E7" w:rsidRDefault="00E31954">
            <w:pPr>
              <w:pStyle w:val="ListParagraph"/>
              <w:ind w:left="-105"/>
            </w:pPr>
            <w:r>
              <w:t>Philip VON BROCKDORFF (Darba ņēmēju grupa – MT)</w:t>
            </w:r>
          </w:p>
          <w:p w14:paraId="42694D38" w14:textId="77777777" w:rsidR="00DA608B" w:rsidRPr="009B70E7" w:rsidRDefault="00DA608B">
            <w:pPr>
              <w:pStyle w:val="ListParagraph"/>
              <w:ind w:left="0"/>
            </w:pPr>
          </w:p>
        </w:tc>
      </w:tr>
      <w:tr w:rsidR="00DA608B" w:rsidRPr="009B70E7" w14:paraId="0AB50045" w14:textId="77777777" w:rsidTr="00B9776A">
        <w:trPr>
          <w:trHeight w:val="636"/>
        </w:trPr>
        <w:tc>
          <w:tcPr>
            <w:tcW w:w="1701" w:type="dxa"/>
          </w:tcPr>
          <w:p w14:paraId="6F51EE90" w14:textId="0E743AE5" w:rsidR="00DA608B" w:rsidRPr="00765C4F" w:rsidRDefault="00B80604" w:rsidP="0070677E">
            <w:pPr>
              <w:pStyle w:val="ListParagraph"/>
              <w:ind w:left="0"/>
              <w:rPr>
                <w:b/>
              </w:rPr>
            </w:pPr>
            <w:r>
              <w:rPr>
                <w:b/>
              </w:rPr>
              <w:t>Atsauce:</w:t>
            </w:r>
            <w:r w:rsidR="00DA608B">
              <w:rPr>
                <w:b/>
              </w:rPr>
              <w:t xml:space="preserve"> </w:t>
            </w:r>
          </w:p>
        </w:tc>
        <w:tc>
          <w:tcPr>
            <w:tcW w:w="6521" w:type="dxa"/>
          </w:tcPr>
          <w:p w14:paraId="3539F204" w14:textId="7DEF1080" w:rsidR="00DA608B" w:rsidRPr="00765C4F" w:rsidRDefault="00E31954">
            <w:pPr>
              <w:pStyle w:val="ListParagraph"/>
              <w:ind w:left="-108"/>
            </w:pPr>
            <w:r>
              <w:t>Pašiniciatīvas atzinums</w:t>
            </w:r>
          </w:p>
          <w:p w14:paraId="0B0645EB" w14:textId="2AF4041D" w:rsidR="00DA608B" w:rsidRPr="00765C4F" w:rsidRDefault="00DA2D88">
            <w:pPr>
              <w:pStyle w:val="ListParagraph"/>
              <w:ind w:left="-108"/>
            </w:pPr>
            <w:r>
              <w:t>EESC-2022-02145-00-00-AC</w:t>
            </w:r>
          </w:p>
        </w:tc>
      </w:tr>
    </w:tbl>
    <w:p w14:paraId="5CD81DDF" w14:textId="77777777" w:rsidR="00DA608B" w:rsidRPr="009B70E7" w:rsidRDefault="00DA608B">
      <w:pPr>
        <w:pStyle w:val="ListParagraph"/>
        <w:ind w:left="0"/>
        <w:rPr>
          <w:b/>
        </w:rPr>
      </w:pPr>
    </w:p>
    <w:p w14:paraId="69FEE6CD" w14:textId="11565318" w:rsidR="00C76C46" w:rsidRDefault="00DA608B" w:rsidP="0070677E">
      <w:pPr>
        <w:pStyle w:val="ListParagraph"/>
        <w:spacing w:line="240" w:lineRule="auto"/>
        <w:ind w:left="0" w:firstLine="142"/>
        <w:rPr>
          <w:b/>
        </w:rPr>
      </w:pPr>
      <w:r>
        <w:rPr>
          <w:b/>
          <w:bCs/>
        </w:rPr>
        <w:t>Svarīgākie aspekti</w:t>
      </w:r>
    </w:p>
    <w:p w14:paraId="72E92ACD" w14:textId="77777777" w:rsidR="00C76C46" w:rsidRDefault="00C76C46" w:rsidP="00C76C46">
      <w:pPr>
        <w:pStyle w:val="ListParagraph"/>
        <w:ind w:left="0"/>
        <w:rPr>
          <w:b/>
        </w:rPr>
      </w:pPr>
    </w:p>
    <w:p w14:paraId="761BDCA0" w14:textId="77777777" w:rsidR="00813A00" w:rsidRPr="0070677E" w:rsidRDefault="001B6460" w:rsidP="0070677E">
      <w:pPr>
        <w:pStyle w:val="ListParagraph"/>
        <w:spacing w:line="240" w:lineRule="auto"/>
        <w:ind w:left="0" w:firstLine="142"/>
        <w:rPr>
          <w:bCs/>
        </w:rPr>
      </w:pPr>
      <w:r>
        <w:t>EESK:</w:t>
      </w:r>
    </w:p>
    <w:p w14:paraId="25EBE488" w14:textId="77777777" w:rsidR="00276CC9" w:rsidRDefault="00276CC9" w:rsidP="00C76C46">
      <w:pPr>
        <w:pStyle w:val="ListParagraph"/>
        <w:ind w:left="0"/>
      </w:pPr>
    </w:p>
    <w:p w14:paraId="65AAF95D" w14:textId="0AD21B45" w:rsidR="00813A00" w:rsidRDefault="004415E2" w:rsidP="0018231C">
      <w:pPr>
        <w:pStyle w:val="ListParagraph"/>
        <w:numPr>
          <w:ilvl w:val="0"/>
          <w:numId w:val="3"/>
        </w:numPr>
        <w:ind w:left="357" w:hanging="357"/>
      </w:pPr>
      <w:r>
        <w:t xml:space="preserve">uzskata, ka laikā, kad valda liela ekonomiskā nenoteiktība, </w:t>
      </w:r>
      <w:r>
        <w:rPr>
          <w:b/>
        </w:rPr>
        <w:t>darbaspēka mobilitātei ES varētu būt svarīga nozīme ES ekonomikas atveseļošanā un izaugsmes izredzēs</w:t>
      </w:r>
      <w:r>
        <w:t>;</w:t>
      </w:r>
    </w:p>
    <w:p w14:paraId="6B2D5B52" w14:textId="28C5D697" w:rsidR="00C76C46" w:rsidRDefault="004415E2" w:rsidP="0018231C">
      <w:pPr>
        <w:pStyle w:val="ListParagraph"/>
        <w:numPr>
          <w:ilvl w:val="0"/>
          <w:numId w:val="3"/>
        </w:numPr>
        <w:ind w:left="357" w:hanging="357"/>
      </w:pPr>
      <w:r>
        <w:t xml:space="preserve">uzskata, ka ir </w:t>
      </w:r>
      <w:r>
        <w:rPr>
          <w:b/>
        </w:rPr>
        <w:t>vajadzīga padziļināta analīze</w:t>
      </w:r>
      <w:r>
        <w:t xml:space="preserve"> par to, kāpēc </w:t>
      </w:r>
      <w:r w:rsidR="00241F6A">
        <w:t>–</w:t>
      </w:r>
      <w:r>
        <w:t xml:space="preserve"> izņemot pandēmijas radītos ierobežojumus </w:t>
      </w:r>
      <w:r w:rsidR="00241F6A">
        <w:t>–</w:t>
      </w:r>
      <w:r>
        <w:t xml:space="preserve"> darbspējīgā vecumā esošu ES mobilo iedzīvotāju skaits pieaug par mazāku procentuālo daļu nekā iepriekšējos gados;</w:t>
      </w:r>
    </w:p>
    <w:p w14:paraId="515F6F8A" w14:textId="0A84321C" w:rsidR="001B6460" w:rsidRDefault="004415E2" w:rsidP="0018231C">
      <w:pPr>
        <w:pStyle w:val="ListParagraph"/>
        <w:numPr>
          <w:ilvl w:val="0"/>
          <w:numId w:val="3"/>
        </w:numPr>
        <w:ind w:left="357" w:hanging="357"/>
      </w:pPr>
      <w:r>
        <w:t xml:space="preserve">aicina </w:t>
      </w:r>
      <w:r>
        <w:rPr>
          <w:b/>
        </w:rPr>
        <w:t>veikt pētījumu, lai noteiktu darba tirgus pašreizējā stāvokļa ekonomiskās izmaksas</w:t>
      </w:r>
      <w:r>
        <w:t>;</w:t>
      </w:r>
    </w:p>
    <w:p w14:paraId="0C83101A" w14:textId="61FCD965" w:rsidR="004415E2" w:rsidRDefault="004415E2" w:rsidP="0018231C">
      <w:pPr>
        <w:pStyle w:val="ListParagraph"/>
        <w:numPr>
          <w:ilvl w:val="0"/>
          <w:numId w:val="3"/>
        </w:numPr>
        <w:ind w:left="357" w:hanging="357"/>
      </w:pPr>
      <w:r>
        <w:t xml:space="preserve">iesaka īstenot </w:t>
      </w:r>
      <w:r>
        <w:rPr>
          <w:b/>
        </w:rPr>
        <w:t>efektīvākus valstu pasākumus</w:t>
      </w:r>
      <w:r>
        <w:t xml:space="preserve">, liekot uzsvaru </w:t>
      </w:r>
      <w:r>
        <w:rPr>
          <w:b/>
        </w:rPr>
        <w:t>uz aktīvu darba tirgus politiku</w:t>
      </w:r>
      <w:r>
        <w:t>;</w:t>
      </w:r>
    </w:p>
    <w:p w14:paraId="3C2CDE45" w14:textId="6EAC8512" w:rsidR="004415E2" w:rsidRPr="004415E2" w:rsidRDefault="004415E2" w:rsidP="0018231C">
      <w:pPr>
        <w:pStyle w:val="ListParagraph"/>
        <w:numPr>
          <w:ilvl w:val="0"/>
          <w:numId w:val="3"/>
        </w:numPr>
        <w:ind w:left="357" w:hanging="357"/>
      </w:pPr>
      <w:r>
        <w:t xml:space="preserve">aicina Eiropas Komisiju </w:t>
      </w:r>
      <w:r>
        <w:rPr>
          <w:b/>
        </w:rPr>
        <w:t>veikt pasākumus, kas gan novērstu intelektuālā darbaspēka emigrāciju, gan veicinātu augšupēju sociālo un ekonomisko konverģenci</w:t>
      </w:r>
      <w:r>
        <w:t>;</w:t>
      </w:r>
    </w:p>
    <w:p w14:paraId="6B79EBFD" w14:textId="749437B3" w:rsidR="004415E2" w:rsidRDefault="004415E2" w:rsidP="0018231C">
      <w:pPr>
        <w:pStyle w:val="ListParagraph"/>
        <w:numPr>
          <w:ilvl w:val="0"/>
          <w:numId w:val="3"/>
        </w:numPr>
        <w:ind w:left="357" w:hanging="357"/>
      </w:pPr>
      <w:r>
        <w:t xml:space="preserve">aicina dalībvalstis </w:t>
      </w:r>
      <w:r>
        <w:rPr>
          <w:b/>
        </w:rPr>
        <w:t>atvieglot personu ar invaliditāti mobilitāti</w:t>
      </w:r>
      <w:r>
        <w:t xml:space="preserve"> un uzskata, ka </w:t>
      </w:r>
      <w:r>
        <w:rPr>
          <w:b/>
        </w:rPr>
        <w:t xml:space="preserve">dzimumu līdztiesībai ir izšķiroša nozīme, lai palielinātu darbaspēka mobilitāti </w:t>
      </w:r>
      <w:r>
        <w:t>ES</w:t>
      </w:r>
      <w:r w:rsidR="00241F6A">
        <w:t>;</w:t>
      </w:r>
    </w:p>
    <w:p w14:paraId="78778385" w14:textId="5FC42FD1" w:rsidR="004415E2" w:rsidRDefault="004415E2" w:rsidP="0018231C">
      <w:pPr>
        <w:pStyle w:val="ListParagraph"/>
        <w:numPr>
          <w:ilvl w:val="0"/>
          <w:numId w:val="3"/>
        </w:numPr>
        <w:ind w:left="357" w:hanging="357"/>
      </w:pPr>
      <w:r>
        <w:t>mudina Eiropas Komisiju</w:t>
      </w:r>
      <w:r>
        <w:rPr>
          <w:b/>
        </w:rPr>
        <w:t xml:space="preserve"> uzraudzīt sociālā nodrošinājuma koordinēšanu</w:t>
      </w:r>
      <w:r>
        <w:t xml:space="preserve"> un nodrošināt, ka visi jaunie jautājumi, piemēram, tāldarbs no ārvalstīm, tiek risināti saskaņoti. Tā arī </w:t>
      </w:r>
      <w:r>
        <w:rPr>
          <w:b/>
        </w:rPr>
        <w:t>mudina pastiprināt centienus izveidot Eiropas sociālā nodrošinājuma numuru</w:t>
      </w:r>
      <w:r>
        <w:t xml:space="preserve"> kā iespēju pārvarēt šķēršļus piekļuvei sociālajam nodrošinājumam pārrobežu situācijās;</w:t>
      </w:r>
    </w:p>
    <w:p w14:paraId="046B4404" w14:textId="5C6E2393" w:rsidR="004415E2" w:rsidRDefault="004415E2" w:rsidP="0018231C">
      <w:pPr>
        <w:pStyle w:val="ListParagraph"/>
        <w:numPr>
          <w:ilvl w:val="0"/>
          <w:numId w:val="3"/>
        </w:numPr>
        <w:ind w:left="357" w:hanging="357"/>
      </w:pPr>
      <w:r>
        <w:t xml:space="preserve">norāda: lai uzņēmumi </w:t>
      </w:r>
      <w:r>
        <w:rPr>
          <w:b/>
        </w:rPr>
        <w:t>saglabātu konkurences priekšrocības un piesaistītu kvalificētus darbiniekus</w:t>
      </w:r>
      <w:r>
        <w:t xml:space="preserve">, ir būtiski nodrošināt </w:t>
      </w:r>
      <w:r>
        <w:rPr>
          <w:b/>
        </w:rPr>
        <w:t>pienācīgus darba un nodarbinātības apstākļus</w:t>
      </w:r>
      <w:r>
        <w:t xml:space="preserve">, kā arī </w:t>
      </w:r>
      <w:r>
        <w:rPr>
          <w:b/>
        </w:rPr>
        <w:t>dzīves kvalitātes aspektus</w:t>
      </w:r>
      <w:r>
        <w:t>, piemēram, labu skolu un atpūtas telpu pieejamību;</w:t>
      </w:r>
    </w:p>
    <w:p w14:paraId="08579D0A" w14:textId="6D79502F" w:rsidR="003505DD" w:rsidRDefault="003505DD" w:rsidP="0018231C">
      <w:pPr>
        <w:pStyle w:val="ListParagraph"/>
        <w:numPr>
          <w:ilvl w:val="0"/>
          <w:numId w:val="3"/>
        </w:numPr>
        <w:ind w:left="357" w:hanging="357"/>
      </w:pPr>
      <w:r>
        <w:rPr>
          <w:b/>
        </w:rPr>
        <w:t>lai risinātu prasmju neatbilstības problēmu ES darba tirgos un novērtētu tādu notikumu ietekmi</w:t>
      </w:r>
      <w:r>
        <w:t xml:space="preserve"> kā karš Ukrainā un darbspējīga vecuma personu migrācija ES dalībvalstīs un starp tām, uzsver, </w:t>
      </w:r>
      <w:r>
        <w:rPr>
          <w:b/>
        </w:rPr>
        <w:t>cik svarīga ir pastāvīga statistiskā analīze par darbaspēka mobilitātes plūsmām</w:t>
      </w:r>
      <w:r>
        <w:t>.</w:t>
      </w:r>
    </w:p>
    <w:p w14:paraId="1FD3A8FD" w14:textId="74C9FC15" w:rsidR="00DA2D88" w:rsidRPr="009B70E7" w:rsidRDefault="00DA2D88" w:rsidP="003C0E5B">
      <w:pPr>
        <w:pStyle w:val="ListParagraph"/>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B9776A" w:rsidRPr="009B70E7" w14:paraId="6D2BB312" w14:textId="77777777" w:rsidTr="00576060">
        <w:tc>
          <w:tcPr>
            <w:tcW w:w="1418" w:type="dxa"/>
          </w:tcPr>
          <w:p w14:paraId="40C0D5DD" w14:textId="77777777" w:rsidR="00B9776A" w:rsidRPr="009B70E7" w:rsidRDefault="00B9776A" w:rsidP="00576060">
            <w:pPr>
              <w:pStyle w:val="ListParagraph"/>
              <w:ind w:left="0"/>
              <w:rPr>
                <w:i/>
              </w:rPr>
            </w:pPr>
            <w:r>
              <w:rPr>
                <w:b/>
                <w:i/>
              </w:rPr>
              <w:t>Kontaktpersona:</w:t>
            </w:r>
          </w:p>
        </w:tc>
        <w:tc>
          <w:tcPr>
            <w:tcW w:w="5670" w:type="dxa"/>
          </w:tcPr>
          <w:p w14:paraId="40D958AD" w14:textId="6C037431" w:rsidR="00B9776A" w:rsidRPr="009B70E7" w:rsidRDefault="00E31954" w:rsidP="00576060">
            <w:pPr>
              <w:pStyle w:val="ListParagraph"/>
              <w:ind w:left="0"/>
              <w:rPr>
                <w:i/>
              </w:rPr>
            </w:pPr>
            <w:r>
              <w:rPr>
                <w:i/>
              </w:rPr>
              <w:t>Valeria Satta</w:t>
            </w:r>
          </w:p>
        </w:tc>
      </w:tr>
      <w:tr w:rsidR="00B9776A" w:rsidRPr="009B70E7" w14:paraId="10DFC57C" w14:textId="77777777" w:rsidTr="00576060">
        <w:tc>
          <w:tcPr>
            <w:tcW w:w="1418" w:type="dxa"/>
          </w:tcPr>
          <w:p w14:paraId="4081ABA8" w14:textId="77777777" w:rsidR="00B9776A" w:rsidRPr="009B70E7" w:rsidRDefault="00B9776A" w:rsidP="00576060">
            <w:pPr>
              <w:pStyle w:val="ListParagraph"/>
              <w:ind w:left="601"/>
              <w:rPr>
                <w:i/>
              </w:rPr>
            </w:pPr>
            <w:r>
              <w:rPr>
                <w:i/>
              </w:rPr>
              <w:t>Tālr.:</w:t>
            </w:r>
          </w:p>
        </w:tc>
        <w:tc>
          <w:tcPr>
            <w:tcW w:w="5670" w:type="dxa"/>
          </w:tcPr>
          <w:p w14:paraId="49A31815" w14:textId="29A0A23B" w:rsidR="00B9776A" w:rsidRPr="009B70E7" w:rsidRDefault="00B9776A" w:rsidP="00576060">
            <w:pPr>
              <w:pStyle w:val="ListParagraph"/>
              <w:ind w:left="0"/>
              <w:rPr>
                <w:i/>
              </w:rPr>
            </w:pPr>
            <w:r>
              <w:rPr>
                <w:i/>
              </w:rPr>
              <w:t>00 32 2 546 81 41</w:t>
            </w:r>
          </w:p>
        </w:tc>
      </w:tr>
      <w:tr w:rsidR="00B9776A" w:rsidRPr="001D770D" w14:paraId="328826DD" w14:textId="77777777" w:rsidTr="00576060">
        <w:tc>
          <w:tcPr>
            <w:tcW w:w="1418" w:type="dxa"/>
          </w:tcPr>
          <w:p w14:paraId="73A7D014" w14:textId="77777777" w:rsidR="00B9776A" w:rsidRPr="009B70E7" w:rsidRDefault="00B9776A" w:rsidP="00576060">
            <w:pPr>
              <w:pStyle w:val="ListParagraph"/>
              <w:ind w:left="601"/>
              <w:rPr>
                <w:i/>
              </w:rPr>
            </w:pPr>
            <w:r>
              <w:rPr>
                <w:i/>
              </w:rPr>
              <w:t>E-pasts:</w:t>
            </w:r>
          </w:p>
        </w:tc>
        <w:tc>
          <w:tcPr>
            <w:tcW w:w="5670" w:type="dxa"/>
          </w:tcPr>
          <w:p w14:paraId="07E68BA6" w14:textId="1261C2EC" w:rsidR="00B9776A" w:rsidRPr="00E31954" w:rsidRDefault="000062DB" w:rsidP="00576060">
            <w:pPr>
              <w:pStyle w:val="ListParagraph"/>
              <w:ind w:left="0"/>
              <w:rPr>
                <w:i/>
                <w:iCs/>
              </w:rPr>
            </w:pPr>
            <w:hyperlink r:id="rId26" w:history="1">
              <w:r w:rsidR="007B42E2">
                <w:rPr>
                  <w:rStyle w:val="Hyperlink"/>
                  <w:i/>
                </w:rPr>
                <w:t>Valeria.Satta@eesc.europa.eu</w:t>
              </w:r>
            </w:hyperlink>
          </w:p>
        </w:tc>
      </w:tr>
    </w:tbl>
    <w:p w14:paraId="15F12AD4" w14:textId="5EFA397F" w:rsidR="00B67EDA" w:rsidRDefault="00B67EDA" w:rsidP="0018231C">
      <w:pPr>
        <w:jc w:val="left"/>
        <w:rPr>
          <w:sz w:val="28"/>
        </w:rPr>
      </w:pPr>
    </w:p>
    <w:p w14:paraId="187F194C" w14:textId="57ADB204" w:rsidR="00276CC9" w:rsidRPr="00276CC9" w:rsidRDefault="00B67EDA" w:rsidP="00750BF7">
      <w:pPr>
        <w:spacing w:after="160" w:line="259" w:lineRule="auto"/>
        <w:jc w:val="left"/>
        <w:rPr>
          <w:sz w:val="28"/>
        </w:rPr>
      </w:pPr>
      <w:r>
        <w:br w:type="page"/>
      </w:r>
    </w:p>
    <w:p w14:paraId="6004B7F1" w14:textId="4524E389" w:rsidR="00775FDA" w:rsidRPr="009B70E7" w:rsidRDefault="008C5DFD" w:rsidP="0018231C">
      <w:pPr>
        <w:pStyle w:val="ListParagraph"/>
        <w:keepNext/>
        <w:numPr>
          <w:ilvl w:val="0"/>
          <w:numId w:val="2"/>
        </w:numPr>
        <w:ind w:left="567" w:hanging="567"/>
        <w:rPr>
          <w:b/>
          <w:i/>
          <w:sz w:val="28"/>
          <w:szCs w:val="28"/>
        </w:rPr>
      </w:pPr>
      <w:r>
        <w:rPr>
          <w:b/>
          <w:i/>
          <w:sz w:val="28"/>
        </w:rPr>
        <w:lastRenderedPageBreak/>
        <w:t>Panākt lielāku vienlīdzību Eiropas Savienībā</w:t>
      </w:r>
    </w:p>
    <w:p w14:paraId="301189D8"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7003"/>
        <w:gridCol w:w="424"/>
      </w:tblGrid>
      <w:tr w:rsidR="00B44BB9" w:rsidRPr="009B70E7" w14:paraId="5CC040D5" w14:textId="77777777" w:rsidTr="006F6E46">
        <w:trPr>
          <w:gridAfter w:val="1"/>
          <w:wAfter w:w="424" w:type="dxa"/>
          <w:cantSplit/>
          <w:trHeight w:hRule="exact" w:val="284"/>
        </w:trPr>
        <w:tc>
          <w:tcPr>
            <w:tcW w:w="1701" w:type="dxa"/>
          </w:tcPr>
          <w:p w14:paraId="2BE1EF86" w14:textId="77777777" w:rsidR="00B44BB9" w:rsidRDefault="00B44BB9" w:rsidP="0070677E">
            <w:pPr>
              <w:pStyle w:val="ListParagraph"/>
              <w:ind w:left="0"/>
              <w:rPr>
                <w:b/>
              </w:rPr>
            </w:pPr>
            <w:r>
              <w:rPr>
                <w:b/>
              </w:rPr>
              <w:t>Ziņotājs:</w:t>
            </w:r>
          </w:p>
          <w:p w14:paraId="15AEA92C" w14:textId="77777777" w:rsidR="00B44BB9" w:rsidRPr="009B70E7" w:rsidRDefault="00B44BB9" w:rsidP="00B44BB9">
            <w:pPr>
              <w:pStyle w:val="ListParagraph"/>
              <w:keepNext/>
              <w:ind w:left="0"/>
              <w:rPr>
                <w:b/>
              </w:rPr>
            </w:pPr>
          </w:p>
        </w:tc>
        <w:tc>
          <w:tcPr>
            <w:tcW w:w="7003" w:type="dxa"/>
          </w:tcPr>
          <w:p w14:paraId="689CA704" w14:textId="04AF7B41" w:rsidR="00B44BB9" w:rsidRPr="009B70E7" w:rsidRDefault="008C5DFD" w:rsidP="00E119DF">
            <w:pPr>
              <w:pStyle w:val="ListParagraph"/>
              <w:ind w:left="-52"/>
            </w:pPr>
            <w:r>
              <w:t xml:space="preserve">Özlem </w:t>
            </w:r>
            <w:r w:rsidR="001C55E2">
              <w:t xml:space="preserve">YILDIRIM </w:t>
            </w:r>
            <w:r>
              <w:t>(Darba ņēmēju grupa – FR)</w:t>
            </w:r>
          </w:p>
        </w:tc>
      </w:tr>
      <w:tr w:rsidR="00B44BB9" w:rsidRPr="009B70E7" w14:paraId="0BE10C0A" w14:textId="77777777" w:rsidTr="006F6E46">
        <w:trPr>
          <w:gridAfter w:val="1"/>
          <w:wAfter w:w="424" w:type="dxa"/>
          <w:cantSplit/>
          <w:trHeight w:hRule="exact" w:val="567"/>
        </w:trPr>
        <w:tc>
          <w:tcPr>
            <w:tcW w:w="1701" w:type="dxa"/>
          </w:tcPr>
          <w:p w14:paraId="5684194C" w14:textId="031E2B1F" w:rsidR="00B44BB9" w:rsidRDefault="008C5DFD" w:rsidP="0070677E">
            <w:pPr>
              <w:pStyle w:val="ListParagraph"/>
              <w:ind w:left="0"/>
              <w:rPr>
                <w:b/>
              </w:rPr>
            </w:pPr>
            <w:r>
              <w:rPr>
                <w:b/>
              </w:rPr>
              <w:t>Līdzziņotājs:</w:t>
            </w:r>
          </w:p>
          <w:p w14:paraId="24CB645C" w14:textId="77777777" w:rsidR="00B44BB9" w:rsidRPr="009B70E7" w:rsidRDefault="00B44BB9" w:rsidP="00B44BB9">
            <w:pPr>
              <w:pStyle w:val="ListParagraph"/>
              <w:keepNext/>
              <w:ind w:left="0"/>
              <w:rPr>
                <w:b/>
              </w:rPr>
            </w:pPr>
          </w:p>
        </w:tc>
        <w:tc>
          <w:tcPr>
            <w:tcW w:w="7003" w:type="dxa"/>
          </w:tcPr>
          <w:p w14:paraId="29D5D88B" w14:textId="49852DA7" w:rsidR="00B44BB9" w:rsidRPr="009B70E7" w:rsidRDefault="008C5DFD" w:rsidP="00E119DF">
            <w:pPr>
              <w:pStyle w:val="ListParagraph"/>
              <w:ind w:left="-52"/>
            </w:pPr>
            <w:r>
              <w:t xml:space="preserve">Cristian </w:t>
            </w:r>
            <w:r w:rsidR="001C55E2">
              <w:t xml:space="preserve">PÎRVULESCU </w:t>
            </w:r>
            <w:r>
              <w:t>(Pilsoniskās sabiedrības organizāciju grupa – RO)</w:t>
            </w:r>
          </w:p>
        </w:tc>
      </w:tr>
      <w:tr w:rsidR="00B44BB9" w:rsidRPr="00627B8F" w14:paraId="58C9EA77" w14:textId="77777777" w:rsidTr="006F6E46">
        <w:tc>
          <w:tcPr>
            <w:tcW w:w="1701" w:type="dxa"/>
          </w:tcPr>
          <w:p w14:paraId="5397904E" w14:textId="1C042B5A" w:rsidR="00B44BB9" w:rsidRPr="009B70E7" w:rsidRDefault="00B80604" w:rsidP="0070677E">
            <w:pPr>
              <w:pStyle w:val="ListParagraph"/>
              <w:ind w:left="0"/>
              <w:rPr>
                <w:b/>
              </w:rPr>
            </w:pPr>
            <w:r>
              <w:rPr>
                <w:b/>
              </w:rPr>
              <w:t>Atsauce:</w:t>
            </w:r>
            <w:r w:rsidR="00B44BB9">
              <w:rPr>
                <w:b/>
              </w:rPr>
              <w:t xml:space="preserve"> </w:t>
            </w:r>
          </w:p>
        </w:tc>
        <w:tc>
          <w:tcPr>
            <w:tcW w:w="7427" w:type="dxa"/>
            <w:gridSpan w:val="2"/>
          </w:tcPr>
          <w:p w14:paraId="7887F4C5" w14:textId="299FE874" w:rsidR="00B44BB9" w:rsidRPr="00E119DF" w:rsidRDefault="003C0E5B" w:rsidP="00E119DF">
            <w:pPr>
              <w:pStyle w:val="ListParagraph"/>
              <w:ind w:left="-52"/>
            </w:pPr>
            <w:r>
              <w:t>Pašiniciatīvas atzinums</w:t>
            </w:r>
          </w:p>
          <w:p w14:paraId="12C6341D" w14:textId="3BB892B2" w:rsidR="00B44BB9" w:rsidRPr="00E119DF" w:rsidRDefault="00B44BB9" w:rsidP="00E119DF">
            <w:pPr>
              <w:pStyle w:val="ListParagraph"/>
              <w:ind w:left="-52"/>
            </w:pPr>
            <w:r>
              <w:t>EESC-2022-01002-00-00-AC</w:t>
            </w:r>
          </w:p>
        </w:tc>
      </w:tr>
    </w:tbl>
    <w:p w14:paraId="5534BE55" w14:textId="77777777" w:rsidR="00631509" w:rsidRDefault="00631509" w:rsidP="00631509">
      <w:pPr>
        <w:pStyle w:val="ListParagraph"/>
        <w:spacing w:line="240" w:lineRule="auto"/>
        <w:ind w:left="-142" w:firstLine="284"/>
        <w:rPr>
          <w:b/>
        </w:rPr>
      </w:pPr>
    </w:p>
    <w:p w14:paraId="63769A52" w14:textId="3A0DA8C9" w:rsidR="00775FDA" w:rsidRPr="0070677E" w:rsidRDefault="00C76C46" w:rsidP="0070677E">
      <w:pPr>
        <w:pStyle w:val="ListParagraph"/>
        <w:spacing w:line="240" w:lineRule="auto"/>
        <w:ind w:left="0" w:firstLine="142"/>
        <w:rPr>
          <w:b/>
        </w:rPr>
      </w:pPr>
      <w:r>
        <w:rPr>
          <w:b/>
          <w:bCs/>
        </w:rPr>
        <w:t>Svarīgākie aspekti</w:t>
      </w:r>
    </w:p>
    <w:p w14:paraId="580B14A7" w14:textId="77777777" w:rsidR="005475DA" w:rsidRPr="009B70E7" w:rsidRDefault="005475DA">
      <w:pPr>
        <w:pStyle w:val="ListParagraph"/>
        <w:ind w:left="0"/>
      </w:pPr>
    </w:p>
    <w:p w14:paraId="3C2434D8" w14:textId="77777777" w:rsidR="00775FDA" w:rsidRPr="0070677E" w:rsidRDefault="008946BF" w:rsidP="0070677E">
      <w:pPr>
        <w:pStyle w:val="ListParagraph"/>
        <w:spacing w:line="240" w:lineRule="auto"/>
        <w:ind w:left="0" w:firstLine="142"/>
        <w:rPr>
          <w:bCs/>
        </w:rPr>
      </w:pPr>
      <w:r>
        <w:t>EESK:</w:t>
      </w:r>
    </w:p>
    <w:p w14:paraId="540C04B4" w14:textId="77777777" w:rsidR="00775FDA" w:rsidRPr="009B70E7" w:rsidRDefault="00775FDA" w:rsidP="0018231C">
      <w:pPr>
        <w:pStyle w:val="ListParagraph"/>
        <w:ind w:left="0"/>
      </w:pPr>
    </w:p>
    <w:p w14:paraId="3D89CE58" w14:textId="26A1E5B8" w:rsidR="00775FDA" w:rsidRPr="009B70E7" w:rsidRDefault="00750BF7" w:rsidP="0018231C">
      <w:pPr>
        <w:pStyle w:val="ListParagraph"/>
        <w:numPr>
          <w:ilvl w:val="0"/>
          <w:numId w:val="3"/>
        </w:numPr>
        <w:ind w:left="357" w:hanging="357"/>
      </w:pPr>
      <w:r>
        <w:t>atgādina, ka Eiropas Savienības Pamattiesību hartā ir nostiprināts princips par vienlīdzību likuma priekšā, un norāda, ka vienlīdzības principa piemērošana ne tikai aizliedz diskrimināciju, bet vienlaikus veicina arī tiesību normu konsekventu piemērošanu;</w:t>
      </w:r>
    </w:p>
    <w:p w14:paraId="6ABDD16B" w14:textId="3814EE56" w:rsidR="00B92B86" w:rsidRDefault="00750BF7" w:rsidP="0018231C">
      <w:pPr>
        <w:pStyle w:val="ListParagraph"/>
        <w:numPr>
          <w:ilvl w:val="0"/>
          <w:numId w:val="3"/>
        </w:numPr>
        <w:ind w:left="357" w:hanging="357"/>
      </w:pPr>
      <w:r>
        <w:t>uzskata, ka pamattiesību aizsardzības instrumenti būtu jāattīsta saskaņotā veidā visā Savienībā. Atšķirīgā tiesiskā aizsardzība rada nepieņemamu tiesību hierarhiju un atstāj bez aizsardzības vairākas personu grupas;</w:t>
      </w:r>
    </w:p>
    <w:p w14:paraId="0F17F2B4" w14:textId="23CF3B3A" w:rsidR="00B61819" w:rsidRPr="00750BF7" w:rsidRDefault="00750BF7" w:rsidP="00B61819">
      <w:pPr>
        <w:pStyle w:val="ListParagraph"/>
        <w:numPr>
          <w:ilvl w:val="0"/>
          <w:numId w:val="3"/>
        </w:numPr>
        <w:ind w:left="357" w:hanging="357"/>
      </w:pPr>
      <w:r>
        <w:t>mudina Padomi, Parlamentu un Komisiju turpināt veidot aizsardzību pret diskrimināciju piekļuvē precēm un pakalpojumiem, it īpaši, pieņemot 2008. gada 2. jūlija priekšlikumu direktīvai COM(2008) 426 par vienlīdzīgas attieksmes principa īstenošanu neatkarīgi no reliģijas vai pārliecības, invaliditātes, vecuma vai dzimumorientācijas.</w:t>
      </w:r>
    </w:p>
    <w:p w14:paraId="601FEAC6" w14:textId="77777777" w:rsidR="00750BF7" w:rsidRPr="00750BF7" w:rsidRDefault="00750BF7" w:rsidP="00750BF7"/>
    <w:p w14:paraId="14168BF2" w14:textId="1782368E" w:rsidR="00750BF7" w:rsidRPr="00750BF7" w:rsidRDefault="00750BF7" w:rsidP="00750BF7">
      <w:pPr>
        <w:rPr>
          <w:bCs/>
        </w:rPr>
      </w:pPr>
      <w:r>
        <w:t>Turklāt EESK:</w:t>
      </w:r>
    </w:p>
    <w:p w14:paraId="24C6AE65" w14:textId="0DED4D90" w:rsidR="00B61819" w:rsidRDefault="00750BF7" w:rsidP="0018231C">
      <w:pPr>
        <w:pStyle w:val="ListParagraph"/>
        <w:numPr>
          <w:ilvl w:val="0"/>
          <w:numId w:val="3"/>
        </w:numPr>
        <w:ind w:left="357" w:hanging="357"/>
      </w:pPr>
      <w:r>
        <w:t>pauž nožēlu, ka pašreizējā Eiropas aizsardzības sistēma ir galvenokārt balstīta uz cietušo tiesiskās aizsardzības līdzekļu un tiesību individuālu izmantošanu;</w:t>
      </w:r>
    </w:p>
    <w:p w14:paraId="751D2BB6" w14:textId="5A84875F" w:rsidR="00B61819" w:rsidRDefault="00750BF7" w:rsidP="0018231C">
      <w:pPr>
        <w:pStyle w:val="ListParagraph"/>
        <w:numPr>
          <w:ilvl w:val="0"/>
          <w:numId w:val="3"/>
        </w:numPr>
        <w:ind w:left="357" w:hanging="357"/>
      </w:pPr>
      <w:r>
        <w:t>uzsver, ka sociālo struktūru radīto komplekso nevienlīdzību un diskrimināciju var novērst tikai ar konsekventu un vispusīgu politiku, konkrētiem līdzekļiem un ilgtermiņa iesaisti;</w:t>
      </w:r>
    </w:p>
    <w:p w14:paraId="7B22C8D8" w14:textId="7AEB6A2E" w:rsidR="00C92102" w:rsidRPr="00AB5E6A" w:rsidRDefault="00750BF7" w:rsidP="00B7530C">
      <w:pPr>
        <w:pStyle w:val="ListParagraph"/>
        <w:numPr>
          <w:ilvl w:val="0"/>
          <w:numId w:val="3"/>
        </w:numPr>
        <w:ind w:left="357" w:hanging="357"/>
      </w:pPr>
      <w:r>
        <w:t>aicina izstrādāt nākamās paaudzes pasākumus līdztiesības veicināšanai Eiropā, pamatojoties uz vispārējā vienlīdzības principa atzīšanu un pozitīvajiem pienākumiem īstenot šo principu;</w:t>
      </w:r>
    </w:p>
    <w:p w14:paraId="3CD64D40" w14:textId="6486C52A" w:rsidR="00AB5E6A" w:rsidRPr="00750BF7" w:rsidRDefault="00750BF7" w:rsidP="00B7530C">
      <w:pPr>
        <w:pStyle w:val="ListParagraph"/>
        <w:numPr>
          <w:ilvl w:val="0"/>
          <w:numId w:val="3"/>
        </w:numPr>
        <w:ind w:left="357" w:hanging="357"/>
      </w:pPr>
      <w:r>
        <w:t>uzsver, ka tehnoloģiju attīstība var radīt jaunu nevienlīdzību, radot nepieciešamību iejaukties, lai nodrošinātu vienlīdzīgas attieksmes principa uzraudzību un piemērošanu;</w:t>
      </w:r>
    </w:p>
    <w:p w14:paraId="2146C516" w14:textId="644ED5F7" w:rsidR="00750BF7" w:rsidRPr="00750BF7" w:rsidRDefault="00750BF7" w:rsidP="00B7530C">
      <w:pPr>
        <w:pStyle w:val="ListParagraph"/>
        <w:numPr>
          <w:ilvl w:val="0"/>
          <w:numId w:val="3"/>
        </w:numPr>
        <w:ind w:left="357" w:hanging="357"/>
      </w:pPr>
      <w:r>
        <w:t>atbalsta ES standartus, kas atvieglo kolektīvās rīcības īstenošanu dalībvalstīs, uzlabojot gan piekļuvi tiesiskajai aizsardzībai, gan tās ietekmi uz diskriminācijas apkarošanu un vienlīdzīgas attieksmes uzturēšanu;</w:t>
      </w:r>
    </w:p>
    <w:p w14:paraId="3F733F52" w14:textId="530A41A0" w:rsidR="00750BF7" w:rsidRPr="00750BF7" w:rsidRDefault="00750BF7" w:rsidP="00B7530C">
      <w:pPr>
        <w:pStyle w:val="ListParagraph"/>
        <w:numPr>
          <w:ilvl w:val="0"/>
          <w:numId w:val="3"/>
        </w:numPr>
        <w:ind w:left="357" w:hanging="357"/>
      </w:pPr>
      <w:r>
        <w:t>uzskata, ka ES dalībvalstu iestādēm ir jānodrošina politiķu, arodbiedrību un apvienību pārstāvju drošība, vienlīdzīga attieksme un aizsardzība, kas izriet no ES vērtībām, proti, demokrātijas, tiesiskuma un nediskriminācijas politiskajiem uzskatiem;</w:t>
      </w:r>
    </w:p>
    <w:p w14:paraId="4B847037" w14:textId="5D232887" w:rsidR="00750BF7" w:rsidRPr="009B70E7" w:rsidRDefault="00750BF7" w:rsidP="00B7530C">
      <w:pPr>
        <w:pStyle w:val="ListParagraph"/>
        <w:numPr>
          <w:ilvl w:val="0"/>
          <w:numId w:val="3"/>
        </w:numPr>
        <w:ind w:left="357" w:hanging="357"/>
      </w:pPr>
      <w:r>
        <w:t>aicina uzlabot arī visu pilsoniskās sabiedrības dalībnieku, it īpaši cilvēktiesību aizsardzībā iesaistīto personu, spēju strādāt ar pašreizējiem juridiskajiem instrumentiem un sadarboties ar valsts iestādēm.</w:t>
      </w:r>
    </w:p>
    <w:p w14:paraId="007FFDAF" w14:textId="77777777"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B44BB9" w:rsidRPr="009B70E7" w14:paraId="502899FB" w14:textId="77777777" w:rsidTr="008B66DD">
        <w:tc>
          <w:tcPr>
            <w:tcW w:w="1418" w:type="dxa"/>
          </w:tcPr>
          <w:p w14:paraId="4933D5C0" w14:textId="77777777" w:rsidR="00B44BB9" w:rsidRPr="009B70E7" w:rsidRDefault="00B44BB9" w:rsidP="008B66DD">
            <w:pPr>
              <w:pStyle w:val="ListParagraph"/>
              <w:ind w:left="0"/>
              <w:rPr>
                <w:i/>
              </w:rPr>
            </w:pPr>
            <w:bookmarkStart w:id="12" w:name="_Hlk111620179"/>
            <w:r>
              <w:rPr>
                <w:b/>
                <w:i/>
              </w:rPr>
              <w:t>Kontaktpersona:</w:t>
            </w:r>
          </w:p>
        </w:tc>
        <w:tc>
          <w:tcPr>
            <w:tcW w:w="5670" w:type="dxa"/>
          </w:tcPr>
          <w:p w14:paraId="649C02E9" w14:textId="3D3B538F" w:rsidR="00B44BB9" w:rsidRPr="009B70E7" w:rsidRDefault="00750BF7" w:rsidP="008B66DD">
            <w:pPr>
              <w:pStyle w:val="ListParagraph"/>
              <w:ind w:left="0"/>
              <w:rPr>
                <w:i/>
              </w:rPr>
            </w:pPr>
            <w:r>
              <w:rPr>
                <w:i/>
              </w:rPr>
              <w:t>Jean-Marie Rogue</w:t>
            </w:r>
          </w:p>
        </w:tc>
      </w:tr>
      <w:tr w:rsidR="00B44BB9" w:rsidRPr="009B70E7" w14:paraId="54638E70" w14:textId="77777777" w:rsidTr="008B66DD">
        <w:tc>
          <w:tcPr>
            <w:tcW w:w="1418" w:type="dxa"/>
          </w:tcPr>
          <w:p w14:paraId="40A81D42" w14:textId="77777777" w:rsidR="00B44BB9" w:rsidRPr="009B70E7" w:rsidRDefault="00B44BB9" w:rsidP="008B66DD">
            <w:pPr>
              <w:pStyle w:val="ListParagraph"/>
              <w:ind w:left="601"/>
              <w:rPr>
                <w:i/>
              </w:rPr>
            </w:pPr>
            <w:r>
              <w:rPr>
                <w:i/>
              </w:rPr>
              <w:t>Tālr.:</w:t>
            </w:r>
          </w:p>
        </w:tc>
        <w:tc>
          <w:tcPr>
            <w:tcW w:w="5670" w:type="dxa"/>
          </w:tcPr>
          <w:p w14:paraId="0C77361C" w14:textId="07825389" w:rsidR="00B44BB9" w:rsidRPr="009B70E7" w:rsidRDefault="00B44BB9" w:rsidP="008B66DD">
            <w:pPr>
              <w:pStyle w:val="ListParagraph"/>
              <w:ind w:left="0"/>
              <w:rPr>
                <w:i/>
              </w:rPr>
            </w:pPr>
            <w:r>
              <w:rPr>
                <w:i/>
              </w:rPr>
              <w:t>00 32 2 546 89.09</w:t>
            </w:r>
          </w:p>
        </w:tc>
      </w:tr>
      <w:tr w:rsidR="00B44BB9" w:rsidRPr="001D770D" w14:paraId="5FB79B0A" w14:textId="77777777" w:rsidTr="008B66DD">
        <w:tc>
          <w:tcPr>
            <w:tcW w:w="1418" w:type="dxa"/>
          </w:tcPr>
          <w:p w14:paraId="0A5C365B" w14:textId="77777777" w:rsidR="00B44BB9" w:rsidRPr="009B70E7" w:rsidRDefault="00B44BB9" w:rsidP="008B66DD">
            <w:pPr>
              <w:pStyle w:val="ListParagraph"/>
              <w:ind w:left="601"/>
              <w:rPr>
                <w:i/>
              </w:rPr>
            </w:pPr>
            <w:r>
              <w:rPr>
                <w:i/>
              </w:rPr>
              <w:t>E-pasts:</w:t>
            </w:r>
          </w:p>
        </w:tc>
        <w:tc>
          <w:tcPr>
            <w:tcW w:w="5670" w:type="dxa"/>
          </w:tcPr>
          <w:p w14:paraId="0E9E0878" w14:textId="75F37B20" w:rsidR="003C0E5B" w:rsidRPr="00A23F52" w:rsidRDefault="000062DB" w:rsidP="008B66DD">
            <w:pPr>
              <w:pStyle w:val="ListParagraph"/>
              <w:ind w:left="0"/>
              <w:rPr>
                <w:i/>
                <w:iCs/>
                <w:color w:val="0000FF"/>
                <w:szCs w:val="20"/>
                <w:u w:val="single"/>
              </w:rPr>
            </w:pPr>
            <w:hyperlink r:id="rId27" w:history="1">
              <w:r w:rsidR="007B42E2">
                <w:rPr>
                  <w:rStyle w:val="Hyperlink"/>
                  <w:i/>
                </w:rPr>
                <w:t>Jeanmarie.Rogue@eesc.europa.eu</w:t>
              </w:r>
            </w:hyperlink>
          </w:p>
        </w:tc>
      </w:tr>
    </w:tbl>
    <w:p w14:paraId="026A1B9C" w14:textId="77777777" w:rsidR="006F6E46" w:rsidRDefault="006F6E46">
      <w:pPr>
        <w:spacing w:after="160" w:line="259" w:lineRule="auto"/>
        <w:jc w:val="left"/>
        <w:rPr>
          <w:b/>
          <w:i/>
          <w:sz w:val="28"/>
        </w:rPr>
      </w:pPr>
      <w:bookmarkStart w:id="13" w:name="_Hlk111623342"/>
      <w:bookmarkEnd w:id="12"/>
      <w:r>
        <w:rPr>
          <w:b/>
          <w:i/>
          <w:sz w:val="28"/>
        </w:rPr>
        <w:br w:type="page"/>
      </w:r>
    </w:p>
    <w:p w14:paraId="2D6BD9B3" w14:textId="1082BBC5" w:rsidR="00841374" w:rsidRPr="009B70E7" w:rsidRDefault="00A23F52">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Spēcīgas Eiropas solidaritātes nodrošināšana reto slimību pacientiem</w:t>
      </w:r>
    </w:p>
    <w:p w14:paraId="1D8B7907"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326"/>
        <w:gridCol w:w="794"/>
      </w:tblGrid>
      <w:tr w:rsidR="008946BF" w:rsidRPr="009B70E7" w14:paraId="6EA9204F" w14:textId="77777777" w:rsidTr="006F6E46">
        <w:trPr>
          <w:gridAfter w:val="1"/>
          <w:wAfter w:w="794" w:type="dxa"/>
        </w:trPr>
        <w:tc>
          <w:tcPr>
            <w:tcW w:w="1657" w:type="dxa"/>
          </w:tcPr>
          <w:p w14:paraId="0AAEC296" w14:textId="77777777" w:rsidR="008946BF" w:rsidRDefault="008946BF" w:rsidP="0070677E">
            <w:pPr>
              <w:pStyle w:val="ListParagraph"/>
              <w:ind w:left="0"/>
              <w:rPr>
                <w:b/>
              </w:rPr>
            </w:pPr>
            <w:r>
              <w:rPr>
                <w:b/>
              </w:rPr>
              <w:t>Ziņotājs:</w:t>
            </w:r>
          </w:p>
          <w:p w14:paraId="6D6B9B14" w14:textId="77777777" w:rsidR="008946BF" w:rsidRPr="00F63F2A" w:rsidRDefault="008946BF" w:rsidP="001513FD">
            <w:pPr>
              <w:pStyle w:val="ListParagraph"/>
              <w:ind w:left="0"/>
              <w:rPr>
                <w:b/>
                <w:sz w:val="20"/>
                <w:szCs w:val="20"/>
              </w:rPr>
            </w:pPr>
          </w:p>
        </w:tc>
        <w:tc>
          <w:tcPr>
            <w:tcW w:w="6370" w:type="dxa"/>
            <w:gridSpan w:val="2"/>
          </w:tcPr>
          <w:p w14:paraId="54293D02" w14:textId="383F0721" w:rsidR="008946BF" w:rsidRDefault="00A23F52" w:rsidP="00DF349B">
            <w:pPr>
              <w:pStyle w:val="ListParagraph"/>
              <w:ind w:left="-108" w:right="-195"/>
            </w:pPr>
            <w:r>
              <w:t xml:space="preserve">Alain </w:t>
            </w:r>
            <w:r w:rsidR="001C55E2">
              <w:t xml:space="preserve">COHEUR </w:t>
            </w:r>
            <w:r>
              <w:t>(Pilsoniskās sabiedrības organizāciju grupa – BE)</w:t>
            </w:r>
          </w:p>
          <w:p w14:paraId="4D16618C" w14:textId="77777777" w:rsidR="008946BF" w:rsidRPr="009B70E7" w:rsidRDefault="008946BF" w:rsidP="001513FD">
            <w:pPr>
              <w:pStyle w:val="ListParagraph"/>
              <w:ind w:left="-108"/>
            </w:pPr>
          </w:p>
        </w:tc>
      </w:tr>
      <w:tr w:rsidR="00841374" w:rsidRPr="009B70E7" w14:paraId="51253DAE" w14:textId="77777777" w:rsidTr="006F6E46">
        <w:tblPrEx>
          <w:tblCellMar>
            <w:left w:w="57" w:type="dxa"/>
            <w:right w:w="57" w:type="dxa"/>
          </w:tblCellMar>
        </w:tblPrEx>
        <w:tc>
          <w:tcPr>
            <w:tcW w:w="1701" w:type="dxa"/>
            <w:gridSpan w:val="2"/>
          </w:tcPr>
          <w:p w14:paraId="6949587A" w14:textId="66FFCC19" w:rsidR="00841374" w:rsidRPr="009B70E7" w:rsidRDefault="00B80604" w:rsidP="0070677E">
            <w:pPr>
              <w:pStyle w:val="ListParagraph"/>
              <w:ind w:left="79"/>
              <w:rPr>
                <w:b/>
              </w:rPr>
            </w:pPr>
            <w:r>
              <w:rPr>
                <w:b/>
              </w:rPr>
              <w:t>Atsauce:</w:t>
            </w:r>
            <w:r w:rsidR="00841374">
              <w:rPr>
                <w:b/>
              </w:rPr>
              <w:t xml:space="preserve"> </w:t>
            </w:r>
          </w:p>
        </w:tc>
        <w:tc>
          <w:tcPr>
            <w:tcW w:w="7120" w:type="dxa"/>
            <w:gridSpan w:val="2"/>
          </w:tcPr>
          <w:p w14:paraId="3DD4422C" w14:textId="4BC64330" w:rsidR="00841374" w:rsidRPr="009B70E7" w:rsidRDefault="004B2250" w:rsidP="00407760">
            <w:pPr>
              <w:pStyle w:val="ListParagraph"/>
              <w:ind w:left="-56"/>
            </w:pPr>
            <w:r>
              <w:t>Pašiniciatīvas atzinums</w:t>
            </w:r>
          </w:p>
          <w:p w14:paraId="12FB6382" w14:textId="71DDAEA0" w:rsidR="00841374" w:rsidRPr="009B70E7" w:rsidRDefault="002E5473" w:rsidP="00407760">
            <w:pPr>
              <w:pStyle w:val="ListParagraph"/>
              <w:ind w:left="-56"/>
            </w:pPr>
            <w:r>
              <w:t>EESC-2022-02323-00-00-AC</w:t>
            </w:r>
          </w:p>
        </w:tc>
      </w:tr>
    </w:tbl>
    <w:p w14:paraId="1CBC12AE" w14:textId="77777777" w:rsidR="00841374" w:rsidRPr="009B70E7" w:rsidRDefault="00841374">
      <w:pPr>
        <w:pStyle w:val="ListParagraph"/>
        <w:ind w:left="0"/>
        <w:rPr>
          <w:b/>
        </w:rPr>
      </w:pPr>
    </w:p>
    <w:p w14:paraId="76256836" w14:textId="77777777" w:rsidR="00841374" w:rsidRPr="00D85D67" w:rsidRDefault="00841374" w:rsidP="0070677E">
      <w:pPr>
        <w:pStyle w:val="ListParagraph"/>
        <w:spacing w:line="240" w:lineRule="auto"/>
        <w:ind w:left="0" w:firstLine="142"/>
        <w:rPr>
          <w:b/>
        </w:rPr>
      </w:pPr>
      <w:r>
        <w:rPr>
          <w:b/>
          <w:bCs/>
        </w:rPr>
        <w:t>Svarīgākie aspekti</w:t>
      </w:r>
    </w:p>
    <w:p w14:paraId="141BD901" w14:textId="77777777" w:rsidR="00841374" w:rsidRDefault="00841374">
      <w:pPr>
        <w:pStyle w:val="ListParagraph"/>
        <w:ind w:left="0"/>
      </w:pPr>
    </w:p>
    <w:p w14:paraId="0B60B8BC" w14:textId="77777777" w:rsidR="001D770D" w:rsidRPr="0070677E" w:rsidRDefault="001D770D" w:rsidP="0070677E">
      <w:pPr>
        <w:pStyle w:val="ListParagraph"/>
        <w:spacing w:line="240" w:lineRule="auto"/>
        <w:ind w:left="0" w:firstLine="142"/>
        <w:rPr>
          <w:bCs/>
        </w:rPr>
      </w:pPr>
      <w:r>
        <w:t>EESK:</w:t>
      </w:r>
    </w:p>
    <w:p w14:paraId="189BAEB6" w14:textId="77777777" w:rsidR="001D770D" w:rsidRPr="009B70E7" w:rsidRDefault="001D770D">
      <w:pPr>
        <w:pStyle w:val="ListParagraph"/>
        <w:ind w:left="0"/>
      </w:pPr>
    </w:p>
    <w:p w14:paraId="278A2840" w14:textId="538ACB4D" w:rsidR="00841374" w:rsidRPr="009B70E7" w:rsidRDefault="00A23F52" w:rsidP="0018231C">
      <w:pPr>
        <w:pStyle w:val="ListParagraph"/>
        <w:numPr>
          <w:ilvl w:val="0"/>
          <w:numId w:val="3"/>
        </w:numPr>
        <w:ind w:left="357" w:hanging="357"/>
      </w:pPr>
      <w:r>
        <w:t xml:space="preserve">atkārtoti apstiprina </w:t>
      </w:r>
      <w:r>
        <w:rPr>
          <w:b/>
          <w:bCs/>
        </w:rPr>
        <w:t>atbalstu un solidaritāti reto slimību pacientiem</w:t>
      </w:r>
      <w:r>
        <w:t xml:space="preserve"> un viņu ģimenēm un aicina Eiropas Savienībā pieņemt visaptverošu pieeju, lai mazinātu reto slimību ietekmi uz ikdienas, ģimenes un profesionālo dzīvi;</w:t>
      </w:r>
    </w:p>
    <w:p w14:paraId="7A36F890" w14:textId="03B32E0E" w:rsidR="00841374" w:rsidRPr="00A23F52" w:rsidRDefault="00A23F52" w:rsidP="0018231C">
      <w:pPr>
        <w:pStyle w:val="ListParagraph"/>
        <w:numPr>
          <w:ilvl w:val="0"/>
          <w:numId w:val="3"/>
        </w:numPr>
        <w:ind w:left="357" w:hanging="357"/>
      </w:pPr>
      <w:r>
        <w:t xml:space="preserve">lai pacienti varētu ātrāk saņemt diagnozi un ārstēšanu, ierosina </w:t>
      </w:r>
      <w:r>
        <w:rPr>
          <w:b/>
          <w:bCs/>
        </w:rPr>
        <w:t>atbalstīt fundamentālos pētījumus un Eiropas veselības datu telpu (</w:t>
      </w:r>
      <w:r>
        <w:rPr>
          <w:b/>
          <w:bCs/>
          <w:i/>
          <w:iCs/>
        </w:rPr>
        <w:t>EHDS</w:t>
      </w:r>
      <w:r>
        <w:rPr>
          <w:b/>
          <w:bCs/>
        </w:rPr>
        <w:t>), kuras pamatā būtu</w:t>
      </w:r>
      <w:r>
        <w:rPr>
          <w:b/>
          <w:bCs/>
          <w:i/>
          <w:iCs/>
        </w:rPr>
        <w:t xml:space="preserve"> FAIR</w:t>
      </w:r>
      <w:r>
        <w:t xml:space="preserve"> (</w:t>
      </w:r>
      <w:r>
        <w:rPr>
          <w:i/>
          <w:iCs/>
        </w:rPr>
        <w:t>findability, accessibility, interoperability, reusability</w:t>
      </w:r>
      <w:r>
        <w:t xml:space="preserve">) jeb atrodamu, piekļūstamu, savietojamu un atkalizmantojamu datu </w:t>
      </w:r>
      <w:r>
        <w:rPr>
          <w:b/>
          <w:bCs/>
        </w:rPr>
        <w:t>princips</w:t>
      </w:r>
      <w:r>
        <w:t xml:space="preserve">, atzīt un pilnībā popularizēt </w:t>
      </w:r>
      <w:r>
        <w:rPr>
          <w:i/>
          <w:iCs/>
        </w:rPr>
        <w:t>Orphanet</w:t>
      </w:r>
      <w:r>
        <w:t xml:space="preserve"> speciālās zināšanas un padarīt tā tīmekļa vietni pieejamu visās ES valodās, iesaka </w:t>
      </w:r>
      <w:r>
        <w:rPr>
          <w:b/>
          <w:bCs/>
        </w:rPr>
        <w:t xml:space="preserve">izstrādāt visaptverošu Eiropas rīcības plānu reto slimību jomā ar </w:t>
      </w:r>
      <w:r>
        <w:rPr>
          <w:b/>
          <w:bCs/>
          <w:i/>
          <w:iCs/>
        </w:rPr>
        <w:t>SMART</w:t>
      </w:r>
      <w:r>
        <w:rPr>
          <w:b/>
          <w:bCs/>
        </w:rPr>
        <w:t xml:space="preserve"> mērķiem, kas sasniedzami līdz 2030. gadam</w:t>
      </w:r>
      <w:r>
        <w:t>, lai nodrošinātu, ka visiem reto slimību pacientiem Eiropas Savienībā ir vienlīdzīgas iespējas uzzināt diagnozi un saņemt ārstēšanu un visaptverošu integrētu aprūpi. Mērķis ir panākt, lai retās slimības diagnozi pacienti saņemtu gada laikā, un uzsvērt perinatālā un jaundzimušo skrīninga nozīmi;</w:t>
      </w:r>
    </w:p>
    <w:p w14:paraId="440D2F81" w14:textId="4344CE57" w:rsidR="00A23F52" w:rsidRPr="009B70E7" w:rsidRDefault="00A23F52" w:rsidP="00A23F52">
      <w:pPr>
        <w:pStyle w:val="ListParagraph"/>
        <w:numPr>
          <w:ilvl w:val="0"/>
          <w:numId w:val="3"/>
        </w:numPr>
        <w:ind w:left="357" w:hanging="357"/>
      </w:pPr>
      <w:r>
        <w:t xml:space="preserve">ierosina </w:t>
      </w:r>
      <w:r>
        <w:rPr>
          <w:b/>
          <w:bCs/>
        </w:rPr>
        <w:t>paplašināt Veselības ārkārtas situāciju gatavības un reaģēšanas iestādes (</w:t>
      </w:r>
      <w:r>
        <w:rPr>
          <w:b/>
          <w:bCs/>
          <w:i/>
          <w:iCs/>
        </w:rPr>
        <w:t>HERA</w:t>
      </w:r>
      <w:r>
        <w:rPr>
          <w:b/>
          <w:bCs/>
        </w:rPr>
        <w:t>) pilnvaras</w:t>
      </w:r>
      <w:r>
        <w:t xml:space="preserve"> vai izmantot to kā paraugu, lai izveidotu jaunu Eiropas iestādi </w:t>
      </w:r>
      <w:r>
        <w:rPr>
          <w:b/>
          <w:bCs/>
        </w:rPr>
        <w:t>nepārnēsājamu slimību jomā</w:t>
      </w:r>
      <w:r>
        <w:t>, jo tas sekmētu saskaņotību un solidaritāti reto slimību jomā;</w:t>
      </w:r>
    </w:p>
    <w:p w14:paraId="6FC8968A" w14:textId="3F3A1F12" w:rsidR="00C65A95" w:rsidRDefault="00A23F52" w:rsidP="00D85D67">
      <w:pPr>
        <w:pStyle w:val="ListParagraph"/>
        <w:numPr>
          <w:ilvl w:val="0"/>
          <w:numId w:val="3"/>
        </w:numPr>
        <w:ind w:left="357" w:hanging="357"/>
      </w:pPr>
      <w:r>
        <w:t xml:space="preserve">iesaka nākamajām </w:t>
      </w:r>
      <w:r>
        <w:rPr>
          <w:b/>
        </w:rPr>
        <w:t>trim prezidentvalstīm 2023.–2024. gadā, proti,</w:t>
      </w:r>
      <w:r>
        <w:rPr>
          <w:b/>
          <w:bCs/>
        </w:rPr>
        <w:t xml:space="preserve"> Spānijai, Beļģijai un Ungārijai, saglabāt ar retajām slimībām saistīto politiku darba kārtīb</w:t>
      </w:r>
      <w:r>
        <w:t>ā, ņemot vērā 2022. gadā sākto Eiropas references tīklu (ERT) izvērtēšanu un Komisijas apņemšanos līdz 2023. gada sākumam pārskatīt savu stratēģiju reto slimību jomā;</w:t>
      </w:r>
    </w:p>
    <w:p w14:paraId="33C6C7AA" w14:textId="3C637EBA" w:rsidR="00A23F52" w:rsidRDefault="00A23F52" w:rsidP="00D85D67">
      <w:pPr>
        <w:pStyle w:val="ListParagraph"/>
        <w:numPr>
          <w:ilvl w:val="0"/>
          <w:numId w:val="3"/>
        </w:numPr>
        <w:ind w:left="357" w:hanging="357"/>
      </w:pPr>
      <w:r>
        <w:t xml:space="preserve">prasa </w:t>
      </w:r>
      <w:r>
        <w:rPr>
          <w:b/>
          <w:bCs/>
        </w:rPr>
        <w:t>optimizēt ERT darbību un aicina tos integrēt visās ES un</w:t>
      </w:r>
      <w:r>
        <w:t xml:space="preserve"> dalībvalstu </w:t>
      </w:r>
      <w:r>
        <w:rPr>
          <w:b/>
          <w:bCs/>
        </w:rPr>
        <w:t>veselības aprūpes sistēmās</w:t>
      </w:r>
      <w:r>
        <w:t>;</w:t>
      </w:r>
    </w:p>
    <w:p w14:paraId="50016F4D" w14:textId="52276776" w:rsidR="00A23F52" w:rsidRDefault="00A23F52" w:rsidP="00D85D67">
      <w:pPr>
        <w:pStyle w:val="ListParagraph"/>
        <w:numPr>
          <w:ilvl w:val="0"/>
          <w:numId w:val="3"/>
        </w:numPr>
        <w:ind w:left="357" w:hanging="357"/>
      </w:pPr>
      <w:r>
        <w:t xml:space="preserve">iesaka apsvērt iespēju </w:t>
      </w:r>
      <w:r>
        <w:rPr>
          <w:b/>
          <w:bCs/>
        </w:rPr>
        <w:t>izveidot īpašu ES finanšu fondu</w:t>
      </w:r>
      <w:r>
        <w:t>, kurā dalībvalstis iemaksātu no kura tās gūtu labumu atbilstoši to finansiālajām spējām, un tādējādi nodrošināt ārstēšanas pieejamību visiem Eiropas reto slimību pacientiem, it īpaši tiem, kuru medicīniskās vajadzības nav apmierinātas, un nodrošinātu patiesu solidaritāti Eiropas Savienībā;</w:t>
      </w:r>
    </w:p>
    <w:p w14:paraId="4CB8E937" w14:textId="60A289D2" w:rsidR="00A23F52" w:rsidRDefault="00A23F52" w:rsidP="00D85D67">
      <w:pPr>
        <w:pStyle w:val="ListParagraph"/>
        <w:numPr>
          <w:ilvl w:val="0"/>
          <w:numId w:val="3"/>
        </w:numPr>
        <w:ind w:left="357" w:hanging="357"/>
      </w:pPr>
      <w:r>
        <w:t xml:space="preserve">iesaka </w:t>
      </w:r>
      <w:r>
        <w:rPr>
          <w:b/>
          <w:bCs/>
        </w:rPr>
        <w:t>izpētīt iespēju izveidot solidaritātes fondu retajām slimībām, it īpaši tām, kas nav iekļautas Eiropas references tīklos</w:t>
      </w:r>
      <w:r>
        <w:t>. Šāds fonds var būt noderīgs papildinājums gadījumos, kad obligātā veselības apdrošināšana nesedz izmaksas par sarežģītu vai retu slimību ārstēšanu vai pārrobežu aprūpi, un EESK uzskata, ka šāda fonda savstarpēja izmantošana Eiropas līmenī ir nepieciešamība.</w:t>
      </w:r>
    </w:p>
    <w:p w14:paraId="3B0FA7A1"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841374" w:rsidRPr="009B70E7" w14:paraId="50A403EE" w14:textId="77777777" w:rsidTr="00841374">
        <w:tc>
          <w:tcPr>
            <w:tcW w:w="1418" w:type="dxa"/>
          </w:tcPr>
          <w:p w14:paraId="629E9BA9" w14:textId="77777777" w:rsidR="00841374" w:rsidRPr="009B70E7" w:rsidRDefault="00841374">
            <w:pPr>
              <w:pStyle w:val="ListParagraph"/>
              <w:ind w:left="0"/>
              <w:rPr>
                <w:i/>
              </w:rPr>
            </w:pPr>
            <w:r>
              <w:rPr>
                <w:b/>
                <w:i/>
              </w:rPr>
              <w:t>Kontaktpersona:</w:t>
            </w:r>
          </w:p>
        </w:tc>
        <w:tc>
          <w:tcPr>
            <w:tcW w:w="5670" w:type="dxa"/>
          </w:tcPr>
          <w:p w14:paraId="79C689DE" w14:textId="16C6445B" w:rsidR="00841374" w:rsidRPr="009B70E7" w:rsidRDefault="00A23F52">
            <w:pPr>
              <w:pStyle w:val="ListParagraph"/>
              <w:ind w:left="0"/>
              <w:rPr>
                <w:i/>
              </w:rPr>
            </w:pPr>
            <w:r>
              <w:rPr>
                <w:i/>
              </w:rPr>
              <w:t>Valeria Atzori</w:t>
            </w:r>
          </w:p>
        </w:tc>
      </w:tr>
      <w:tr w:rsidR="00841374" w:rsidRPr="009B70E7" w14:paraId="6334FCD6" w14:textId="77777777" w:rsidTr="00841374">
        <w:tc>
          <w:tcPr>
            <w:tcW w:w="1418" w:type="dxa"/>
          </w:tcPr>
          <w:p w14:paraId="3F37AC16" w14:textId="77777777" w:rsidR="00841374" w:rsidRPr="009B70E7" w:rsidRDefault="00841374">
            <w:pPr>
              <w:pStyle w:val="ListParagraph"/>
              <w:ind w:left="601"/>
              <w:rPr>
                <w:i/>
              </w:rPr>
            </w:pPr>
            <w:r>
              <w:rPr>
                <w:i/>
              </w:rPr>
              <w:t>Tālr.:</w:t>
            </w:r>
          </w:p>
        </w:tc>
        <w:tc>
          <w:tcPr>
            <w:tcW w:w="5670" w:type="dxa"/>
          </w:tcPr>
          <w:p w14:paraId="55D18DAD" w14:textId="3B3F5183" w:rsidR="00841374" w:rsidRPr="009B70E7" w:rsidRDefault="00A06E9E">
            <w:pPr>
              <w:pStyle w:val="ListParagraph"/>
              <w:ind w:left="0"/>
              <w:rPr>
                <w:i/>
              </w:rPr>
            </w:pPr>
            <w:r>
              <w:rPr>
                <w:i/>
              </w:rPr>
              <w:t>00 32 2 546 87 74</w:t>
            </w:r>
          </w:p>
        </w:tc>
      </w:tr>
      <w:tr w:rsidR="00841374" w:rsidRPr="001D770D" w14:paraId="2EB3D256" w14:textId="77777777" w:rsidTr="000062DB">
        <w:trPr>
          <w:trHeight w:val="430"/>
        </w:trPr>
        <w:tc>
          <w:tcPr>
            <w:tcW w:w="1418" w:type="dxa"/>
          </w:tcPr>
          <w:p w14:paraId="02D49987" w14:textId="77777777" w:rsidR="00841374" w:rsidRPr="009B70E7" w:rsidRDefault="00841374">
            <w:pPr>
              <w:pStyle w:val="ListParagraph"/>
              <w:ind w:left="601"/>
              <w:rPr>
                <w:i/>
              </w:rPr>
            </w:pPr>
            <w:r>
              <w:rPr>
                <w:i/>
              </w:rPr>
              <w:t>E-pasts:</w:t>
            </w:r>
          </w:p>
        </w:tc>
        <w:tc>
          <w:tcPr>
            <w:tcW w:w="5670" w:type="dxa"/>
          </w:tcPr>
          <w:p w14:paraId="31128638" w14:textId="65D5A912" w:rsidR="00841374" w:rsidRPr="00A23F52" w:rsidRDefault="000062DB">
            <w:pPr>
              <w:pStyle w:val="ListParagraph"/>
              <w:ind w:left="0"/>
              <w:rPr>
                <w:i/>
                <w:iCs/>
              </w:rPr>
            </w:pPr>
            <w:hyperlink r:id="rId28" w:history="1">
              <w:r w:rsidR="007B42E2">
                <w:rPr>
                  <w:rStyle w:val="Hyperlink"/>
                  <w:i/>
                </w:rPr>
                <w:t>Valeria.Atzori@eesc.europa.eu</w:t>
              </w:r>
            </w:hyperlink>
          </w:p>
        </w:tc>
      </w:tr>
      <w:bookmarkEnd w:id="13"/>
    </w:tbl>
    <w:p w14:paraId="5F1674CB" w14:textId="69AE4096" w:rsidR="00276CC9" w:rsidRDefault="00276CC9" w:rsidP="002A2F38">
      <w:pPr>
        <w:pStyle w:val="ListParagraph"/>
        <w:ind w:left="1134"/>
        <w:rPr>
          <w:sz w:val="28"/>
        </w:rPr>
      </w:pPr>
    </w:p>
    <w:p w14:paraId="098AF87E" w14:textId="6204C805" w:rsidR="004B2250" w:rsidRPr="009B70E7" w:rsidRDefault="00A23F52" w:rsidP="000062DB">
      <w:pPr>
        <w:pStyle w:val="ListParagraph"/>
        <w:keepNext/>
        <w:keepLines/>
        <w:numPr>
          <w:ilvl w:val="0"/>
          <w:numId w:val="4"/>
        </w:numPr>
        <w:overflowPunct w:val="0"/>
        <w:autoSpaceDE w:val="0"/>
        <w:autoSpaceDN w:val="0"/>
        <w:adjustRightInd w:val="0"/>
        <w:ind w:left="567" w:hanging="567"/>
        <w:textAlignment w:val="baseline"/>
        <w:rPr>
          <w:b/>
          <w:i/>
          <w:sz w:val="28"/>
          <w:szCs w:val="28"/>
        </w:rPr>
      </w:pPr>
      <w:bookmarkStart w:id="14" w:name="_Hlk113970131"/>
      <w:r>
        <w:rPr>
          <w:b/>
          <w:i/>
          <w:sz w:val="28"/>
        </w:rPr>
        <w:lastRenderedPageBreak/>
        <w:t>Ģimenes locekļi, kas aprūpē cilvēkus ar invaliditāti un vecus cilvēkus</w:t>
      </w:r>
    </w:p>
    <w:p w14:paraId="336BB3EB" w14:textId="77777777" w:rsidR="004B2250" w:rsidRPr="009B70E7" w:rsidRDefault="004B2250" w:rsidP="000062DB">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912"/>
        <w:gridCol w:w="799"/>
      </w:tblGrid>
      <w:tr w:rsidR="004B2250" w:rsidRPr="009B70E7" w14:paraId="38539BEE" w14:textId="77777777" w:rsidTr="006F6E46">
        <w:trPr>
          <w:gridAfter w:val="1"/>
          <w:wAfter w:w="799" w:type="dxa"/>
        </w:trPr>
        <w:tc>
          <w:tcPr>
            <w:tcW w:w="1657" w:type="dxa"/>
          </w:tcPr>
          <w:p w14:paraId="45E21669" w14:textId="77777777" w:rsidR="004B2250" w:rsidRDefault="004B2250" w:rsidP="0070677E">
            <w:pPr>
              <w:pStyle w:val="ListParagraph"/>
              <w:ind w:left="0"/>
              <w:rPr>
                <w:b/>
              </w:rPr>
            </w:pPr>
            <w:r>
              <w:rPr>
                <w:b/>
              </w:rPr>
              <w:t>Ziņotājs:</w:t>
            </w:r>
          </w:p>
          <w:p w14:paraId="0D82A465" w14:textId="77777777" w:rsidR="004B2250" w:rsidRPr="00F63F2A" w:rsidRDefault="004B2250" w:rsidP="00576060">
            <w:pPr>
              <w:pStyle w:val="ListParagraph"/>
              <w:ind w:left="0"/>
              <w:rPr>
                <w:b/>
                <w:sz w:val="20"/>
                <w:szCs w:val="20"/>
              </w:rPr>
            </w:pPr>
          </w:p>
        </w:tc>
        <w:tc>
          <w:tcPr>
            <w:tcW w:w="6956" w:type="dxa"/>
            <w:gridSpan w:val="2"/>
          </w:tcPr>
          <w:p w14:paraId="67E97FE5" w14:textId="7DFFC51C" w:rsidR="004B2250" w:rsidRDefault="004B2250" w:rsidP="00576060">
            <w:pPr>
              <w:pStyle w:val="ListParagraph"/>
              <w:ind w:left="-108" w:right="-195"/>
            </w:pPr>
            <w:r>
              <w:t xml:space="preserve"> Pietro Vittorio </w:t>
            </w:r>
            <w:r w:rsidR="001C55E2">
              <w:t xml:space="preserve">BARBIERI </w:t>
            </w:r>
            <w:r>
              <w:t>(Pilsoniskās sabiedrības organizāciju grupa – IT)</w:t>
            </w:r>
          </w:p>
          <w:p w14:paraId="03DC5FCB" w14:textId="77777777" w:rsidR="004B2250" w:rsidRPr="009B70E7" w:rsidRDefault="004B2250" w:rsidP="00576060">
            <w:pPr>
              <w:pStyle w:val="ListParagraph"/>
              <w:ind w:left="-108"/>
            </w:pPr>
          </w:p>
        </w:tc>
      </w:tr>
      <w:tr w:rsidR="004B2250" w:rsidRPr="009B70E7" w14:paraId="51BCE31B" w14:textId="77777777" w:rsidTr="006F6E46">
        <w:tblPrEx>
          <w:tblCellMar>
            <w:left w:w="57" w:type="dxa"/>
            <w:right w:w="57" w:type="dxa"/>
          </w:tblCellMar>
        </w:tblPrEx>
        <w:tc>
          <w:tcPr>
            <w:tcW w:w="1701" w:type="dxa"/>
            <w:gridSpan w:val="2"/>
          </w:tcPr>
          <w:p w14:paraId="7A91C13D" w14:textId="7E45C1F5" w:rsidR="004B2250" w:rsidRPr="009B70E7" w:rsidRDefault="00B80604" w:rsidP="0070677E">
            <w:pPr>
              <w:pStyle w:val="ListParagraph"/>
              <w:ind w:left="0"/>
              <w:rPr>
                <w:b/>
              </w:rPr>
            </w:pPr>
            <w:r>
              <w:rPr>
                <w:b/>
              </w:rPr>
              <w:t>Atsauce:</w:t>
            </w:r>
            <w:r w:rsidR="004B2250">
              <w:rPr>
                <w:b/>
              </w:rPr>
              <w:t xml:space="preserve"> </w:t>
            </w:r>
          </w:p>
        </w:tc>
        <w:tc>
          <w:tcPr>
            <w:tcW w:w="7711" w:type="dxa"/>
            <w:gridSpan w:val="2"/>
          </w:tcPr>
          <w:p w14:paraId="44AF41D0" w14:textId="2F9D2502" w:rsidR="004B2250" w:rsidRPr="009B70E7" w:rsidRDefault="00A23F52" w:rsidP="00576060">
            <w:pPr>
              <w:pStyle w:val="ListParagraph"/>
              <w:ind w:left="-56"/>
            </w:pPr>
            <w:r>
              <w:t>Pašiniciatīvas atzinums</w:t>
            </w:r>
          </w:p>
          <w:p w14:paraId="127C9DC2" w14:textId="10A57112" w:rsidR="004B2250" w:rsidRPr="009B70E7" w:rsidRDefault="004B2250" w:rsidP="00576060">
            <w:pPr>
              <w:pStyle w:val="ListParagraph"/>
              <w:ind w:left="-56"/>
            </w:pPr>
            <w:r>
              <w:t>EESC-2022-02936-00-00-AC</w:t>
            </w:r>
          </w:p>
        </w:tc>
      </w:tr>
    </w:tbl>
    <w:p w14:paraId="56617586" w14:textId="77777777" w:rsidR="004B2250" w:rsidRPr="009B70E7" w:rsidRDefault="004B2250" w:rsidP="004B2250">
      <w:pPr>
        <w:pStyle w:val="ListParagraph"/>
        <w:ind w:left="0"/>
        <w:rPr>
          <w:b/>
        </w:rPr>
      </w:pPr>
    </w:p>
    <w:p w14:paraId="6AD82CE8" w14:textId="22721BFB" w:rsidR="004B2250" w:rsidRDefault="004B2250" w:rsidP="0070677E">
      <w:pPr>
        <w:pStyle w:val="ListParagraph"/>
        <w:spacing w:line="240" w:lineRule="auto"/>
        <w:ind w:left="0" w:firstLine="142"/>
        <w:rPr>
          <w:b/>
        </w:rPr>
      </w:pPr>
      <w:r>
        <w:rPr>
          <w:b/>
          <w:bCs/>
        </w:rPr>
        <w:t>Svarīgākie aspekti</w:t>
      </w:r>
    </w:p>
    <w:p w14:paraId="0EA81E8A" w14:textId="77777777" w:rsidR="00D91EA9" w:rsidRPr="00C65A95" w:rsidRDefault="00D91EA9" w:rsidP="00C65A95">
      <w:pPr>
        <w:pStyle w:val="ListParagraph"/>
        <w:spacing w:line="240" w:lineRule="auto"/>
        <w:ind w:left="-142" w:firstLine="142"/>
        <w:rPr>
          <w:b/>
        </w:rPr>
      </w:pPr>
    </w:p>
    <w:p w14:paraId="023FBE3D" w14:textId="77777777" w:rsidR="004B2250" w:rsidRPr="0070677E" w:rsidRDefault="004B2250" w:rsidP="0070677E">
      <w:pPr>
        <w:pStyle w:val="ListParagraph"/>
        <w:spacing w:line="240" w:lineRule="auto"/>
        <w:ind w:left="0" w:firstLine="142"/>
        <w:rPr>
          <w:bCs/>
        </w:rPr>
      </w:pPr>
      <w:r>
        <w:t>EESK:</w:t>
      </w:r>
    </w:p>
    <w:p w14:paraId="6271EAAC" w14:textId="77777777" w:rsidR="004B2250" w:rsidRPr="009B70E7" w:rsidRDefault="004B2250" w:rsidP="004B2250">
      <w:pPr>
        <w:pStyle w:val="ListParagraph"/>
        <w:ind w:left="0"/>
      </w:pPr>
    </w:p>
    <w:p w14:paraId="4744B163" w14:textId="2151CD07" w:rsidR="004B2250" w:rsidRPr="009B70E7" w:rsidRDefault="00A23F52" w:rsidP="004B2250">
      <w:pPr>
        <w:pStyle w:val="ListParagraph"/>
        <w:numPr>
          <w:ilvl w:val="0"/>
          <w:numId w:val="3"/>
        </w:numPr>
        <w:ind w:left="357" w:hanging="357"/>
      </w:pPr>
      <w:r>
        <w:t xml:space="preserve">uzskata, ka Covid-19 pandēmijas dēļ ir radusies nepieciešamība </w:t>
      </w:r>
      <w:r>
        <w:rPr>
          <w:b/>
          <w:bCs/>
        </w:rPr>
        <w:t>veikt strukturālus pasākumus sociālajā politikā un pakalpojumos, lai uzlabotu to cilvēku dzīves apstākļus, kuri nodrošina ilgtermiņa aprūpi tuviniekiem</w:t>
      </w:r>
      <w:r>
        <w:t xml:space="preserve"> ar invaliditāti un hroniskām un deģeneratīvām slimībām;</w:t>
      </w:r>
    </w:p>
    <w:p w14:paraId="3155F8D5" w14:textId="35BABE66" w:rsidR="004B2250" w:rsidRPr="009B70E7" w:rsidRDefault="00A23F52" w:rsidP="004B2250">
      <w:pPr>
        <w:pStyle w:val="ListParagraph"/>
        <w:numPr>
          <w:ilvl w:val="0"/>
          <w:numId w:val="3"/>
        </w:numPr>
        <w:ind w:left="357" w:hanging="357"/>
      </w:pPr>
      <w:r>
        <w:t xml:space="preserve">uzsver, ka </w:t>
      </w:r>
      <w:r>
        <w:rPr>
          <w:b/>
          <w:bCs/>
        </w:rPr>
        <w:t>jāizstrādā vienota definīcija par tāda ģimenes locekļa lomu un statusu, kurš nodrošina ilgtermiņa aprūpi</w:t>
      </w:r>
      <w:r>
        <w:t xml:space="preserve"> tuviniekam, un ir vajadzīgi turpmāki socioloģiskie pētījumi un statistikas dati;</w:t>
      </w:r>
    </w:p>
    <w:p w14:paraId="35872D8A" w14:textId="3C819C12" w:rsidR="00C65A95" w:rsidRDefault="00A23F52" w:rsidP="004B2250">
      <w:pPr>
        <w:pStyle w:val="ListParagraph"/>
        <w:numPr>
          <w:ilvl w:val="0"/>
          <w:numId w:val="3"/>
        </w:numPr>
        <w:ind w:left="357" w:hanging="357"/>
      </w:pPr>
      <w:r>
        <w:t xml:space="preserve">uzskata, ka </w:t>
      </w:r>
      <w:r>
        <w:rPr>
          <w:b/>
          <w:bCs/>
        </w:rPr>
        <w:t>visi pasākumi</w:t>
      </w:r>
      <w:r>
        <w:t xml:space="preserve"> šajā jomā būtu kopīgi jāīsteno ar </w:t>
      </w:r>
      <w:r>
        <w:rPr>
          <w:b/>
          <w:bCs/>
        </w:rPr>
        <w:t>valsts politikas palīdzību, darba devējiem</w:t>
      </w:r>
      <w:r>
        <w:t xml:space="preserve"> ar sociālā dialoga palīdzību un </w:t>
      </w:r>
      <w:r>
        <w:rPr>
          <w:b/>
          <w:bCs/>
        </w:rPr>
        <w:t>ģimenes locekļu aprūpētājiem</w:t>
      </w:r>
      <w:r>
        <w:t xml:space="preserve"> un viņu pārstāvības organizācijām;</w:t>
      </w:r>
    </w:p>
    <w:p w14:paraId="534D3E85" w14:textId="4831200F" w:rsidR="00A23F52" w:rsidRPr="00A23F52" w:rsidRDefault="00A23F52" w:rsidP="004B2250">
      <w:pPr>
        <w:pStyle w:val="ListParagraph"/>
        <w:numPr>
          <w:ilvl w:val="0"/>
          <w:numId w:val="3"/>
        </w:numPr>
        <w:ind w:left="357" w:hanging="357"/>
      </w:pPr>
      <w:r>
        <w:t xml:space="preserve">uzskata, ka ir būtiski </w:t>
      </w:r>
      <w:r>
        <w:rPr>
          <w:b/>
          <w:bCs/>
        </w:rPr>
        <w:t>nodrošināt ģimenes locekļu aprūpētājiem pienācīgus veselības aizsardzības pakalpojumus</w:t>
      </w:r>
      <w:r>
        <w:t xml:space="preserve">, tostarp profilaktisko veselības aprūpi, kā arī īpašu </w:t>
      </w:r>
      <w:r>
        <w:rPr>
          <w:b/>
          <w:bCs/>
        </w:rPr>
        <w:t>apmācību</w:t>
      </w:r>
      <w:r>
        <w:t xml:space="preserve"> par to, kā rūpēties pašiem par savu veselību, </w:t>
      </w:r>
      <w:r>
        <w:rPr>
          <w:b/>
          <w:bCs/>
        </w:rPr>
        <w:t>atbalstu dzīvošanai un pakalpojumus mājās</w:t>
      </w:r>
      <w:r>
        <w:t xml:space="preserve">, īpašu uzmanību pievēršot veselības un aprūpes vajadzībām, kā arī </w:t>
      </w:r>
      <w:r>
        <w:rPr>
          <w:b/>
          <w:bCs/>
        </w:rPr>
        <w:t>psiholoģisko atbalstu aprūpētājam un ģimenei</w:t>
      </w:r>
      <w:r>
        <w:t>;</w:t>
      </w:r>
    </w:p>
    <w:p w14:paraId="1FA7ACDA" w14:textId="0E56EC9D" w:rsidR="00A23F52" w:rsidRDefault="00A23F52" w:rsidP="004B2250">
      <w:pPr>
        <w:pStyle w:val="ListParagraph"/>
        <w:numPr>
          <w:ilvl w:val="0"/>
          <w:numId w:val="3"/>
        </w:numPr>
        <w:ind w:left="357" w:hanging="357"/>
      </w:pPr>
      <w:r>
        <w:t xml:space="preserve">atbalsta iespēju diferencēt un pielāgot </w:t>
      </w:r>
      <w:r>
        <w:rPr>
          <w:b/>
          <w:bCs/>
        </w:rPr>
        <w:t>tiesības uz alternatīviem atalgojuma veidiem</w:t>
      </w:r>
      <w:r>
        <w:t xml:space="preserve"> tiem, kuri ir spiesti atteikties no darba sakarā ar nepieciešamību ilgstoši rūpēties par ģimenes locekli;</w:t>
      </w:r>
    </w:p>
    <w:p w14:paraId="37BFFC82" w14:textId="5B27DD00" w:rsidR="00A23F52" w:rsidRDefault="00A23F52" w:rsidP="004B2250">
      <w:pPr>
        <w:pStyle w:val="ListParagraph"/>
        <w:numPr>
          <w:ilvl w:val="0"/>
          <w:numId w:val="3"/>
        </w:numPr>
        <w:ind w:left="357" w:hanging="357"/>
      </w:pPr>
      <w:r>
        <w:t xml:space="preserve">aicina rīkoties, lai </w:t>
      </w:r>
      <w:r>
        <w:rPr>
          <w:b/>
          <w:bCs/>
        </w:rPr>
        <w:t>mazinātu dzimumu nevienlīdzību</w:t>
      </w:r>
      <w:r>
        <w:t xml:space="preserve"> ģimenes locekļu aprūpētāju vidū;</w:t>
      </w:r>
    </w:p>
    <w:p w14:paraId="235624A4" w14:textId="382DBDED" w:rsidR="00A23F52" w:rsidRDefault="00A23F52" w:rsidP="004B2250">
      <w:pPr>
        <w:pStyle w:val="ListParagraph"/>
        <w:numPr>
          <w:ilvl w:val="0"/>
          <w:numId w:val="3"/>
        </w:numPr>
        <w:ind w:left="357" w:hanging="357"/>
      </w:pPr>
      <w:r>
        <w:t xml:space="preserve">lai palielinātu informētību par šo parādību un veicinātu piemērotu politiku un pasākumus, aicina noteikt </w:t>
      </w:r>
      <w:r>
        <w:rPr>
          <w:b/>
          <w:bCs/>
        </w:rPr>
        <w:t>Eiropas dienu</w:t>
      </w:r>
      <w:r>
        <w:t xml:space="preserve">, kas veltīta </w:t>
      </w:r>
      <w:r>
        <w:rPr>
          <w:b/>
          <w:bCs/>
        </w:rPr>
        <w:t>ģimenes locekļu aprūpētājiem</w:t>
      </w:r>
      <w:r>
        <w:t>;</w:t>
      </w:r>
    </w:p>
    <w:p w14:paraId="4DDBFD92" w14:textId="545AD5C2" w:rsidR="00A23F52" w:rsidRDefault="00A23F52" w:rsidP="004B2250">
      <w:pPr>
        <w:pStyle w:val="ListParagraph"/>
        <w:numPr>
          <w:ilvl w:val="0"/>
          <w:numId w:val="3"/>
        </w:numPr>
        <w:ind w:left="357" w:hanging="357"/>
      </w:pPr>
      <w:r>
        <w:t xml:space="preserve">uzskata, ka ir ļoti svarīgi </w:t>
      </w:r>
      <w:r>
        <w:rPr>
          <w:b/>
          <w:bCs/>
        </w:rPr>
        <w:t>sniegt cilvēkiem ar invaliditāti pakalpojumus, kas viņiem ļautu dzīvot neatkarīgu dzīvi</w:t>
      </w:r>
      <w:r>
        <w:t xml:space="preserve"> ārpus savas izcelsmes ģimenes;</w:t>
      </w:r>
    </w:p>
    <w:p w14:paraId="3BC74C44" w14:textId="48CA0F20" w:rsidR="00A23F52" w:rsidRDefault="00A23F52" w:rsidP="004B2250">
      <w:pPr>
        <w:pStyle w:val="ListParagraph"/>
        <w:numPr>
          <w:ilvl w:val="0"/>
          <w:numId w:val="3"/>
        </w:numPr>
        <w:ind w:left="357" w:hanging="357"/>
      </w:pPr>
      <w:r>
        <w:t xml:space="preserve">aicina </w:t>
      </w:r>
      <w:r>
        <w:rPr>
          <w:b/>
          <w:bCs/>
        </w:rPr>
        <w:t>dalībvalstis apsvērt iespēju apstiprināt finansiālus pasākumus, kas ļautu novērst nabadzības risku ģimenes locekļu aprūpētājiem</w:t>
      </w:r>
      <w:r>
        <w:t>, kuri ir spiesti atteikties no algota darba vai samazināt darba slodzi, lai nodrošinātu savu tuvinieku ilgtermiņa aprūpi;</w:t>
      </w:r>
    </w:p>
    <w:p w14:paraId="0AB32B59" w14:textId="2E6F1499" w:rsidR="00A23F52" w:rsidRDefault="00A23F52" w:rsidP="004B2250">
      <w:pPr>
        <w:pStyle w:val="ListParagraph"/>
        <w:numPr>
          <w:ilvl w:val="0"/>
          <w:numId w:val="3"/>
        </w:numPr>
        <w:ind w:left="357" w:hanging="357"/>
      </w:pPr>
      <w:r>
        <w:rPr>
          <w:b/>
          <w:bCs/>
        </w:rPr>
        <w:t>aicina</w:t>
      </w:r>
      <w:r>
        <w:t xml:space="preserve"> dalībvalstu politikā </w:t>
      </w:r>
      <w:r>
        <w:rPr>
          <w:b/>
          <w:bCs/>
        </w:rPr>
        <w:t>veicināt kvalitatīvus ilgtermiņa aprūpes darbinieku pakalpojumus</w:t>
      </w:r>
      <w:r>
        <w:t>;</w:t>
      </w:r>
    </w:p>
    <w:p w14:paraId="5E5A5040" w14:textId="1C654747" w:rsidR="004B2250" w:rsidRPr="009B70E7" w:rsidRDefault="00A23F52" w:rsidP="004B2250">
      <w:pPr>
        <w:pStyle w:val="ListParagraph"/>
        <w:numPr>
          <w:ilvl w:val="0"/>
          <w:numId w:val="3"/>
        </w:numPr>
        <w:ind w:left="357" w:hanging="357"/>
      </w:pPr>
      <w:r>
        <w:t xml:space="preserve">aicina </w:t>
      </w:r>
      <w:r>
        <w:rPr>
          <w:b/>
          <w:bCs/>
        </w:rPr>
        <w:t>atbalstīt tos darba devējus, kuri veicina elastību darba dzīvē un arodlabbūtību</w:t>
      </w:r>
      <w:r>
        <w:t xml:space="preserve"> ģimenes locekļu aprūpētājiem.</w:t>
      </w:r>
    </w:p>
    <w:p w14:paraId="49C58F40" w14:textId="1C896192" w:rsidR="004B2250" w:rsidRDefault="004B2250" w:rsidP="004B22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A23F52" w:rsidRPr="009B70E7" w14:paraId="3A6D6E24" w14:textId="77777777" w:rsidTr="00576060">
        <w:tc>
          <w:tcPr>
            <w:tcW w:w="1418" w:type="dxa"/>
          </w:tcPr>
          <w:p w14:paraId="152A27CB" w14:textId="77777777" w:rsidR="00A23F52" w:rsidRPr="009B70E7" w:rsidRDefault="00A23F52" w:rsidP="00576060">
            <w:pPr>
              <w:pStyle w:val="ListParagraph"/>
              <w:ind w:left="0"/>
              <w:rPr>
                <w:i/>
              </w:rPr>
            </w:pPr>
            <w:r>
              <w:rPr>
                <w:b/>
                <w:i/>
              </w:rPr>
              <w:t>Kontaktpersona:</w:t>
            </w:r>
          </w:p>
        </w:tc>
        <w:tc>
          <w:tcPr>
            <w:tcW w:w="5670" w:type="dxa"/>
          </w:tcPr>
          <w:p w14:paraId="0D45662C" w14:textId="77777777" w:rsidR="00A23F52" w:rsidRPr="009B70E7" w:rsidRDefault="00A23F52" w:rsidP="00576060">
            <w:pPr>
              <w:pStyle w:val="ListParagraph"/>
              <w:ind w:left="0"/>
              <w:rPr>
                <w:i/>
              </w:rPr>
            </w:pPr>
            <w:r>
              <w:rPr>
                <w:i/>
              </w:rPr>
              <w:t>Valeria Atzori</w:t>
            </w:r>
          </w:p>
        </w:tc>
      </w:tr>
      <w:tr w:rsidR="00A23F52" w:rsidRPr="009B70E7" w14:paraId="3ABCA2DE" w14:textId="77777777" w:rsidTr="00576060">
        <w:tc>
          <w:tcPr>
            <w:tcW w:w="1418" w:type="dxa"/>
          </w:tcPr>
          <w:p w14:paraId="132731D9" w14:textId="77777777" w:rsidR="00A23F52" w:rsidRPr="009B70E7" w:rsidRDefault="00A23F52" w:rsidP="00576060">
            <w:pPr>
              <w:pStyle w:val="ListParagraph"/>
              <w:ind w:left="601"/>
              <w:rPr>
                <w:i/>
              </w:rPr>
            </w:pPr>
            <w:r>
              <w:rPr>
                <w:i/>
              </w:rPr>
              <w:t>Tālr.:</w:t>
            </w:r>
          </w:p>
        </w:tc>
        <w:tc>
          <w:tcPr>
            <w:tcW w:w="5670" w:type="dxa"/>
          </w:tcPr>
          <w:p w14:paraId="61B01258" w14:textId="77777777" w:rsidR="00A23F52" w:rsidRPr="009B70E7" w:rsidRDefault="00A23F52" w:rsidP="00576060">
            <w:pPr>
              <w:pStyle w:val="ListParagraph"/>
              <w:ind w:left="0"/>
              <w:rPr>
                <w:i/>
              </w:rPr>
            </w:pPr>
            <w:r>
              <w:rPr>
                <w:i/>
              </w:rPr>
              <w:t>00 32 2 546 87 74</w:t>
            </w:r>
          </w:p>
        </w:tc>
      </w:tr>
      <w:tr w:rsidR="00A23F52" w:rsidRPr="00A23F52" w14:paraId="6DDDCF8C" w14:textId="77777777" w:rsidTr="000062DB">
        <w:trPr>
          <w:trHeight w:val="333"/>
        </w:trPr>
        <w:tc>
          <w:tcPr>
            <w:tcW w:w="1418" w:type="dxa"/>
          </w:tcPr>
          <w:p w14:paraId="71C103E0" w14:textId="77777777" w:rsidR="00A23F52" w:rsidRPr="009B70E7" w:rsidRDefault="00A23F52" w:rsidP="00576060">
            <w:pPr>
              <w:pStyle w:val="ListParagraph"/>
              <w:ind w:left="601"/>
              <w:rPr>
                <w:i/>
              </w:rPr>
            </w:pPr>
            <w:r>
              <w:rPr>
                <w:i/>
              </w:rPr>
              <w:t>E-pasts:</w:t>
            </w:r>
          </w:p>
        </w:tc>
        <w:tc>
          <w:tcPr>
            <w:tcW w:w="5670" w:type="dxa"/>
          </w:tcPr>
          <w:p w14:paraId="14BE916D" w14:textId="77777777" w:rsidR="00A23F52" w:rsidRPr="00A23F52" w:rsidRDefault="000062DB" w:rsidP="00576060">
            <w:pPr>
              <w:pStyle w:val="ListParagraph"/>
              <w:ind w:left="0"/>
              <w:rPr>
                <w:i/>
                <w:iCs/>
              </w:rPr>
            </w:pPr>
            <w:hyperlink r:id="rId29" w:history="1">
              <w:r w:rsidR="007B42E2">
                <w:rPr>
                  <w:rStyle w:val="Hyperlink"/>
                  <w:i/>
                </w:rPr>
                <w:t>Valeria.Atzori@eesc.europa.eu</w:t>
              </w:r>
            </w:hyperlink>
          </w:p>
        </w:tc>
      </w:tr>
    </w:tbl>
    <w:p w14:paraId="02E43912" w14:textId="77777777" w:rsidR="006F6E46" w:rsidRDefault="006F6E46">
      <w:pPr>
        <w:spacing w:after="160" w:line="259" w:lineRule="auto"/>
        <w:jc w:val="left"/>
        <w:rPr>
          <w:b/>
          <w:i/>
          <w:sz w:val="28"/>
        </w:rPr>
      </w:pPr>
      <w:bookmarkStart w:id="15" w:name="_Hlk116652647"/>
      <w:bookmarkEnd w:id="14"/>
      <w:r>
        <w:rPr>
          <w:b/>
          <w:i/>
          <w:sz w:val="28"/>
        </w:rPr>
        <w:br w:type="page"/>
      </w:r>
    </w:p>
    <w:p w14:paraId="5C1741C1" w14:textId="298232D1" w:rsidR="00883682" w:rsidRPr="00883682" w:rsidRDefault="00A23F52" w:rsidP="00576060">
      <w:pPr>
        <w:pStyle w:val="ListParagraph"/>
        <w:numPr>
          <w:ilvl w:val="0"/>
          <w:numId w:val="4"/>
        </w:numPr>
        <w:overflowPunct w:val="0"/>
        <w:autoSpaceDE w:val="0"/>
        <w:autoSpaceDN w:val="0"/>
        <w:adjustRightInd w:val="0"/>
        <w:ind w:left="0" w:hanging="567"/>
        <w:textAlignment w:val="baseline"/>
      </w:pPr>
      <w:r>
        <w:rPr>
          <w:b/>
          <w:i/>
          <w:sz w:val="28"/>
        </w:rPr>
        <w:lastRenderedPageBreak/>
        <w:t>Legālā migrācija – Prasmju un talantu pakete</w:t>
      </w:r>
    </w:p>
    <w:p w14:paraId="045754EE" w14:textId="77777777" w:rsidR="00883682" w:rsidRPr="009B70E7" w:rsidRDefault="00883682" w:rsidP="00883682">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883682" w:rsidRPr="009B70E7" w14:paraId="3DEE809C" w14:textId="77777777" w:rsidTr="00883682">
        <w:trPr>
          <w:gridAfter w:val="1"/>
          <w:wAfter w:w="802" w:type="dxa"/>
        </w:trPr>
        <w:tc>
          <w:tcPr>
            <w:tcW w:w="1657" w:type="dxa"/>
          </w:tcPr>
          <w:p w14:paraId="03427D08" w14:textId="77777777" w:rsidR="00883682" w:rsidRDefault="00883682" w:rsidP="00027441">
            <w:pPr>
              <w:pStyle w:val="ListParagraph"/>
              <w:ind w:left="0"/>
              <w:rPr>
                <w:b/>
              </w:rPr>
            </w:pPr>
            <w:r>
              <w:rPr>
                <w:b/>
              </w:rPr>
              <w:t>Ziņotājs:</w:t>
            </w:r>
          </w:p>
          <w:p w14:paraId="28C34F4F" w14:textId="46806355" w:rsidR="00883682" w:rsidRPr="00F63F2A" w:rsidRDefault="00A23F52" w:rsidP="00576060">
            <w:pPr>
              <w:pStyle w:val="ListParagraph"/>
              <w:ind w:left="0"/>
              <w:rPr>
                <w:b/>
                <w:sz w:val="20"/>
                <w:szCs w:val="20"/>
              </w:rPr>
            </w:pPr>
            <w:r>
              <w:rPr>
                <w:b/>
                <w:sz w:val="20"/>
              </w:rPr>
              <w:t>Līdzziņotājs:</w:t>
            </w:r>
          </w:p>
        </w:tc>
        <w:tc>
          <w:tcPr>
            <w:tcW w:w="6707" w:type="dxa"/>
            <w:gridSpan w:val="2"/>
          </w:tcPr>
          <w:p w14:paraId="67C65467" w14:textId="7F0ABA71" w:rsidR="00883682" w:rsidRDefault="00A23F52" w:rsidP="00883682">
            <w:pPr>
              <w:pStyle w:val="ListParagraph"/>
              <w:ind w:left="-108" w:right="-813"/>
            </w:pPr>
            <w:r>
              <w:t>José Antonio MORENO DIAZ (Darba ņēmēju grupa – ES)</w:t>
            </w:r>
          </w:p>
          <w:p w14:paraId="2A9DF744" w14:textId="77777777" w:rsidR="00883682" w:rsidRDefault="00A23F52" w:rsidP="00576060">
            <w:pPr>
              <w:pStyle w:val="ListParagraph"/>
              <w:ind w:left="-108"/>
            </w:pPr>
            <w:r>
              <w:t>Milena ANGELOVA (Darba devēju grupa – BG)</w:t>
            </w:r>
          </w:p>
          <w:p w14:paraId="3EA0E7EF" w14:textId="01CCD898" w:rsidR="00A23F52" w:rsidRPr="009B70E7" w:rsidRDefault="00A23F52" w:rsidP="00576060">
            <w:pPr>
              <w:pStyle w:val="ListParagraph"/>
              <w:ind w:left="-108"/>
            </w:pPr>
          </w:p>
        </w:tc>
      </w:tr>
      <w:tr w:rsidR="00883682" w:rsidRPr="009B70E7" w14:paraId="620794CA" w14:textId="77777777" w:rsidTr="00883682">
        <w:tblPrEx>
          <w:tblCellMar>
            <w:left w:w="57" w:type="dxa"/>
            <w:right w:w="57" w:type="dxa"/>
          </w:tblCellMar>
        </w:tblPrEx>
        <w:tc>
          <w:tcPr>
            <w:tcW w:w="1701" w:type="dxa"/>
            <w:gridSpan w:val="2"/>
          </w:tcPr>
          <w:p w14:paraId="01C8B0C6" w14:textId="34EE4B25" w:rsidR="00883682" w:rsidRPr="009B70E7" w:rsidRDefault="00B80604" w:rsidP="00027441">
            <w:pPr>
              <w:pStyle w:val="ListParagraph"/>
              <w:ind w:left="79"/>
              <w:rPr>
                <w:b/>
              </w:rPr>
            </w:pPr>
            <w:r>
              <w:rPr>
                <w:b/>
              </w:rPr>
              <w:t>Atsauces:</w:t>
            </w:r>
            <w:r w:rsidR="00883682">
              <w:rPr>
                <w:b/>
              </w:rPr>
              <w:t xml:space="preserve"> </w:t>
            </w:r>
          </w:p>
        </w:tc>
        <w:tc>
          <w:tcPr>
            <w:tcW w:w="7465" w:type="dxa"/>
            <w:gridSpan w:val="2"/>
          </w:tcPr>
          <w:p w14:paraId="0B325614" w14:textId="297CB901" w:rsidR="00883682" w:rsidRPr="009B70E7" w:rsidRDefault="00883682" w:rsidP="00576060">
            <w:pPr>
              <w:pStyle w:val="ListParagraph"/>
              <w:ind w:left="-56"/>
            </w:pPr>
            <w:r>
              <w:t>COM(2022) 650 – 655 – 657 final</w:t>
            </w:r>
          </w:p>
          <w:p w14:paraId="251CEEF3" w14:textId="560DC774" w:rsidR="00883682" w:rsidRPr="009B70E7" w:rsidRDefault="00883682" w:rsidP="00576060">
            <w:pPr>
              <w:pStyle w:val="ListParagraph"/>
              <w:ind w:left="-56"/>
            </w:pPr>
            <w:r>
              <w:t>EESC-2022-02745-00-00-AC</w:t>
            </w:r>
          </w:p>
        </w:tc>
      </w:tr>
    </w:tbl>
    <w:p w14:paraId="57E40700" w14:textId="77777777" w:rsidR="00883682" w:rsidRPr="009B70E7" w:rsidRDefault="00883682" w:rsidP="00883682">
      <w:pPr>
        <w:pStyle w:val="ListParagraph"/>
        <w:ind w:left="0"/>
        <w:rPr>
          <w:b/>
        </w:rPr>
      </w:pPr>
    </w:p>
    <w:p w14:paraId="61ED65A9" w14:textId="32FB6FD2" w:rsidR="00883682" w:rsidRDefault="00883682" w:rsidP="00027441">
      <w:pPr>
        <w:pStyle w:val="ListParagraph"/>
        <w:spacing w:line="240" w:lineRule="auto"/>
        <w:ind w:left="0" w:firstLine="142"/>
        <w:rPr>
          <w:b/>
        </w:rPr>
      </w:pPr>
      <w:r>
        <w:rPr>
          <w:b/>
          <w:bCs/>
        </w:rPr>
        <w:t>Svarīgākie aspekti</w:t>
      </w:r>
    </w:p>
    <w:p w14:paraId="72FDA37A" w14:textId="77777777" w:rsidR="00883682" w:rsidRPr="00C65A95" w:rsidRDefault="00883682" w:rsidP="00883682">
      <w:pPr>
        <w:pStyle w:val="ListParagraph"/>
        <w:spacing w:line="240" w:lineRule="auto"/>
        <w:ind w:left="-142" w:firstLine="142"/>
        <w:rPr>
          <w:b/>
        </w:rPr>
      </w:pPr>
    </w:p>
    <w:p w14:paraId="6B61FC5A" w14:textId="77777777" w:rsidR="00883682" w:rsidRPr="00027441" w:rsidRDefault="00883682" w:rsidP="00027441">
      <w:pPr>
        <w:pStyle w:val="ListParagraph"/>
        <w:spacing w:line="240" w:lineRule="auto"/>
        <w:ind w:left="0" w:firstLine="142"/>
        <w:rPr>
          <w:bCs/>
        </w:rPr>
      </w:pPr>
      <w:r>
        <w:t>EESK:</w:t>
      </w:r>
    </w:p>
    <w:p w14:paraId="291B017B" w14:textId="77777777" w:rsidR="00883682" w:rsidRPr="009B70E7" w:rsidRDefault="00883682" w:rsidP="00883682">
      <w:pPr>
        <w:pStyle w:val="ListParagraph"/>
        <w:ind w:left="0"/>
      </w:pPr>
    </w:p>
    <w:p w14:paraId="0DFF644A" w14:textId="38E9C424" w:rsidR="00883682" w:rsidRPr="009B70E7" w:rsidRDefault="00A23F52" w:rsidP="00883682">
      <w:pPr>
        <w:pStyle w:val="ListParagraph"/>
        <w:numPr>
          <w:ilvl w:val="0"/>
          <w:numId w:val="3"/>
        </w:numPr>
        <w:ind w:left="357" w:hanging="357"/>
      </w:pPr>
      <w:r>
        <w:t>atzinīgi vērtē Prasmju un talantu paketi, kas paredz konstruktīvu un saskaņotu pieeju migrācijai un tiecas uzlabot Savienības instrumentus likumīgas migrācijas jomā. Tā kā digitālā un zaļā pārkārtošanās uzņem ātrumu un laikā, kad darbaspēka un prasmju trūkums ir vērojams visās saimnieciskās darbības nozarēs, EESK uzsver, ka likumīgai migrācijai var būt liela nozīme darbaspēka un prasmju trūkuma novēršanā jomās, kurās ir pierādīta vajadzība pēc tiem</w:t>
      </w:r>
      <w:r w:rsidR="001C55E2">
        <w:t>;</w:t>
      </w:r>
    </w:p>
    <w:p w14:paraId="19B71405" w14:textId="45C886DC" w:rsidR="00883682" w:rsidRPr="009B70E7" w:rsidRDefault="00A23F52" w:rsidP="00883682">
      <w:pPr>
        <w:pStyle w:val="ListParagraph"/>
        <w:numPr>
          <w:ilvl w:val="0"/>
          <w:numId w:val="3"/>
        </w:numPr>
        <w:ind w:left="357" w:hanging="357"/>
      </w:pPr>
      <w:r>
        <w:t>atzinīgi vērtē to, ka Komisija atzīst migrantu būtisko nozīmi Eiropas ekonomikā un sabiedrībā, jo viņi palīdz apmierināt mainīgā darba tirgus vajadzības un vajadzības gadījumā pārvarēt darbaspēka un prasmju trūkumu: ļoti svarīga ir perspektīvas maiņa ar normalizējošu un pozitīvu attieksmi;</w:t>
      </w:r>
    </w:p>
    <w:p w14:paraId="38B43A33" w14:textId="47C2D3FB" w:rsidR="00883682" w:rsidRDefault="00A23F52" w:rsidP="00883682">
      <w:pPr>
        <w:pStyle w:val="ListParagraph"/>
        <w:numPr>
          <w:ilvl w:val="0"/>
          <w:numId w:val="3"/>
        </w:numPr>
        <w:ind w:left="357" w:hanging="357"/>
      </w:pPr>
      <w:r>
        <w:t>atzinīgi vērtē to, ka tiek veicināts talantu pieplūdums no trešām valstīm, lai palīdzētu apmierināt šīs pieaugošās vajadzības, it īpaši nozarēs ar strukturāliem trūkumiem;</w:t>
      </w:r>
    </w:p>
    <w:p w14:paraId="52D702E3" w14:textId="7F19D566" w:rsidR="00883682" w:rsidRDefault="00A23F52" w:rsidP="00883682">
      <w:pPr>
        <w:pStyle w:val="ListParagraph"/>
        <w:numPr>
          <w:ilvl w:val="0"/>
          <w:numId w:val="3"/>
        </w:numPr>
        <w:ind w:left="357" w:hanging="357"/>
      </w:pPr>
      <w:r>
        <w:t>neapšaubot šo centienu svarīgumu, iesaka, ka būtu jāpārbauda informācija par to, kā trešo valstu darba ņēmēju uzņemšana ir saistīta ar dalībvalstu darba tirgus vajadzībām, lai novērstu nepietiekamu nodarbinātību un sliktus darba apstākļus tiem darba ņēmējiem, kas nesen ieradušies no trešām valstīm;</w:t>
      </w:r>
    </w:p>
    <w:p w14:paraId="1D968F2A" w14:textId="169ECFDD" w:rsidR="00883682" w:rsidRPr="00883682" w:rsidRDefault="00A23F52" w:rsidP="00883682">
      <w:pPr>
        <w:pStyle w:val="ListParagraph"/>
        <w:numPr>
          <w:ilvl w:val="0"/>
          <w:numId w:val="3"/>
        </w:numPr>
        <w:ind w:left="357" w:hanging="357"/>
      </w:pPr>
      <w:r>
        <w:t>uzskata, ka ir jāpanāk progress saistībā ar talantu fondu, un norāda, ka talantu fonda panākumi un ietekme būs atkarīga no tā, vai tiks izmantoti pietiekami resursi, lai instrumentu padarītu pieejamu un darboties spējīgu;</w:t>
      </w:r>
    </w:p>
    <w:p w14:paraId="4B130F68" w14:textId="623E011F" w:rsidR="00883682" w:rsidRPr="00883682" w:rsidRDefault="00A23F52" w:rsidP="00883682">
      <w:pPr>
        <w:pStyle w:val="ListParagraph"/>
        <w:numPr>
          <w:ilvl w:val="0"/>
          <w:numId w:val="3"/>
        </w:numPr>
        <w:ind w:left="357" w:hanging="357"/>
      </w:pPr>
      <w:r>
        <w:t>atzinīgi vērtē arī talantu partnerības un uzskata, ka tās jāattīsta sadarbībā ar trešām valstīm. Komiteja aicina ieviest piemērotus novērtēšanas mehānismus, kas nodrošina talantu partnerību darbības pamanāmību un pārredzamību;</w:t>
      </w:r>
    </w:p>
    <w:p w14:paraId="40B70FEA" w14:textId="102D26BA" w:rsidR="00883682" w:rsidRDefault="00A23F52" w:rsidP="00883682">
      <w:pPr>
        <w:pStyle w:val="ListParagraph"/>
        <w:numPr>
          <w:ilvl w:val="0"/>
          <w:numId w:val="3"/>
        </w:numPr>
        <w:ind w:left="357" w:hanging="357"/>
      </w:pPr>
      <w:r>
        <w:t>uzskata, ka sieviešu tiesību aizsardzībai un dzimumu perspektīvai ir jāvelta vairāk uzmanības;</w:t>
      </w:r>
    </w:p>
    <w:p w14:paraId="33FF09C9" w14:textId="45AF7204" w:rsidR="00883682" w:rsidRPr="009B70E7" w:rsidRDefault="00A23F52" w:rsidP="00883682">
      <w:pPr>
        <w:pStyle w:val="ListParagraph"/>
        <w:numPr>
          <w:ilvl w:val="0"/>
          <w:numId w:val="3"/>
        </w:numPr>
        <w:ind w:left="357" w:hanging="357"/>
      </w:pPr>
      <w:r>
        <w:t>uzsver, ka ir svarīgi iesaistīt sociālos partnerus un citas attiecīgās ieinteresētās personas diskusijās par darbaspēka migrācijas pārvaldības uzlabošanu ES līmenī. Šajā nolūkā Komiteja atzinīgi vērtē ierosinātās platformas izveidi dialogam ES līmenī.</w:t>
      </w:r>
    </w:p>
    <w:p w14:paraId="2F06EC63" w14:textId="77777777" w:rsidR="00883682" w:rsidRPr="009B70E7" w:rsidRDefault="00883682" w:rsidP="008836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883682" w:rsidRPr="009B70E7" w14:paraId="0BE9B506" w14:textId="77777777" w:rsidTr="00576060">
        <w:tc>
          <w:tcPr>
            <w:tcW w:w="1418" w:type="dxa"/>
          </w:tcPr>
          <w:p w14:paraId="37A7655C" w14:textId="77777777" w:rsidR="00883682" w:rsidRPr="009B70E7" w:rsidRDefault="00883682" w:rsidP="00576060">
            <w:pPr>
              <w:pStyle w:val="ListParagraph"/>
              <w:ind w:left="0"/>
              <w:rPr>
                <w:i/>
              </w:rPr>
            </w:pPr>
            <w:r>
              <w:rPr>
                <w:b/>
                <w:i/>
              </w:rPr>
              <w:t>Kontaktpersona:</w:t>
            </w:r>
          </w:p>
        </w:tc>
        <w:tc>
          <w:tcPr>
            <w:tcW w:w="5670" w:type="dxa"/>
          </w:tcPr>
          <w:p w14:paraId="2BE85AA2" w14:textId="6B1EC8D2" w:rsidR="00883682" w:rsidRPr="009B70E7" w:rsidRDefault="00A23F52" w:rsidP="00576060">
            <w:pPr>
              <w:pStyle w:val="ListParagraph"/>
              <w:ind w:left="0"/>
              <w:rPr>
                <w:i/>
              </w:rPr>
            </w:pPr>
            <w:r>
              <w:rPr>
                <w:i/>
                <w:iCs/>
              </w:rPr>
              <w:t>Triin Aasmaa</w:t>
            </w:r>
          </w:p>
        </w:tc>
      </w:tr>
      <w:tr w:rsidR="00883682" w:rsidRPr="009B70E7" w14:paraId="182F90C4" w14:textId="77777777" w:rsidTr="00576060">
        <w:tc>
          <w:tcPr>
            <w:tcW w:w="1418" w:type="dxa"/>
          </w:tcPr>
          <w:p w14:paraId="1FD25530" w14:textId="77777777" w:rsidR="00883682" w:rsidRPr="009B70E7" w:rsidRDefault="00883682" w:rsidP="00576060">
            <w:pPr>
              <w:pStyle w:val="ListParagraph"/>
              <w:ind w:left="601"/>
              <w:rPr>
                <w:i/>
              </w:rPr>
            </w:pPr>
            <w:r>
              <w:rPr>
                <w:i/>
              </w:rPr>
              <w:t>Tālr.:</w:t>
            </w:r>
          </w:p>
        </w:tc>
        <w:tc>
          <w:tcPr>
            <w:tcW w:w="5670" w:type="dxa"/>
          </w:tcPr>
          <w:p w14:paraId="631ADA24" w14:textId="0B13596F" w:rsidR="00883682" w:rsidRPr="009B70E7" w:rsidRDefault="00883682" w:rsidP="00576060">
            <w:pPr>
              <w:pStyle w:val="ListParagraph"/>
              <w:ind w:left="0"/>
              <w:rPr>
                <w:i/>
              </w:rPr>
            </w:pPr>
            <w:r>
              <w:rPr>
                <w:i/>
              </w:rPr>
              <w:t>00 32 2 546 95 24</w:t>
            </w:r>
          </w:p>
        </w:tc>
      </w:tr>
      <w:tr w:rsidR="00883682" w:rsidRPr="001D770D" w14:paraId="6EB42E83" w14:textId="77777777" w:rsidTr="00576060">
        <w:tc>
          <w:tcPr>
            <w:tcW w:w="1418" w:type="dxa"/>
          </w:tcPr>
          <w:p w14:paraId="73D16214" w14:textId="77777777" w:rsidR="00883682" w:rsidRPr="009B70E7" w:rsidRDefault="00883682" w:rsidP="00576060">
            <w:pPr>
              <w:pStyle w:val="ListParagraph"/>
              <w:ind w:left="601"/>
              <w:rPr>
                <w:i/>
              </w:rPr>
            </w:pPr>
            <w:r>
              <w:rPr>
                <w:i/>
              </w:rPr>
              <w:t>E-pasts:</w:t>
            </w:r>
          </w:p>
        </w:tc>
        <w:tc>
          <w:tcPr>
            <w:tcW w:w="5670" w:type="dxa"/>
          </w:tcPr>
          <w:p w14:paraId="42AC7FEB" w14:textId="2BB9CCA4" w:rsidR="00883682" w:rsidRPr="001D770D" w:rsidRDefault="000062DB" w:rsidP="00576060">
            <w:pPr>
              <w:pStyle w:val="ListParagraph"/>
              <w:ind w:left="0"/>
              <w:rPr>
                <w:i/>
              </w:rPr>
            </w:pPr>
            <w:hyperlink r:id="rId30" w:history="1">
              <w:r w:rsidR="007B42E2">
                <w:rPr>
                  <w:rStyle w:val="Hyperlink"/>
                  <w:i/>
                </w:rPr>
                <w:t xml:space="preserve"> Triin.Aasmaa@eesc.europa.eu</w:t>
              </w:r>
            </w:hyperlink>
          </w:p>
        </w:tc>
      </w:tr>
      <w:bookmarkEnd w:id="15"/>
    </w:tbl>
    <w:p w14:paraId="1C47283E" w14:textId="77777777" w:rsidR="006F6E46" w:rsidRDefault="006F6E46">
      <w:pPr>
        <w:spacing w:after="160" w:line="259" w:lineRule="auto"/>
        <w:jc w:val="left"/>
        <w:rPr>
          <w:b/>
          <w:i/>
          <w:sz w:val="28"/>
        </w:rPr>
      </w:pPr>
      <w:r>
        <w:rPr>
          <w:b/>
          <w:i/>
          <w:sz w:val="28"/>
        </w:rPr>
        <w:br w:type="page"/>
      </w:r>
    </w:p>
    <w:p w14:paraId="75028AE7" w14:textId="51D2BA6F" w:rsidR="002D3FFF" w:rsidRPr="002D3FFF" w:rsidRDefault="002D3FFF" w:rsidP="002D3FFF">
      <w:pPr>
        <w:numPr>
          <w:ilvl w:val="0"/>
          <w:numId w:val="4"/>
        </w:numPr>
        <w:overflowPunct w:val="0"/>
        <w:autoSpaceDE w:val="0"/>
        <w:autoSpaceDN w:val="0"/>
        <w:adjustRightInd w:val="0"/>
        <w:ind w:left="0" w:hanging="567"/>
        <w:contextualSpacing/>
        <w:textAlignment w:val="baseline"/>
      </w:pPr>
      <w:r>
        <w:rPr>
          <w:b/>
          <w:i/>
          <w:sz w:val="28"/>
        </w:rPr>
        <w:lastRenderedPageBreak/>
        <w:t>Iniciatīva pret ļaunprātīgu tiesvedību, kas vērsta pret žurnālistiem un tiesību aizstāvjiem</w:t>
      </w:r>
    </w:p>
    <w:p w14:paraId="7D97C703" w14:textId="77777777" w:rsidR="002D3FFF" w:rsidRPr="002D3FFF" w:rsidRDefault="002D3FFF" w:rsidP="002D3FFF">
      <w:pPr>
        <w:overflowPunct w:val="0"/>
        <w:autoSpaceDE w:val="0"/>
        <w:autoSpaceDN w:val="0"/>
        <w:adjustRightInd w:val="0"/>
        <w:textAlignment w:val="baseline"/>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2D3FFF" w:rsidRPr="002D3FFF" w14:paraId="4A5523C2" w14:textId="77777777" w:rsidTr="00576060">
        <w:trPr>
          <w:gridAfter w:val="1"/>
          <w:wAfter w:w="802" w:type="dxa"/>
        </w:trPr>
        <w:tc>
          <w:tcPr>
            <w:tcW w:w="1657" w:type="dxa"/>
          </w:tcPr>
          <w:p w14:paraId="42BAAB1C" w14:textId="77777777" w:rsidR="002D3FFF" w:rsidRPr="002D3FFF" w:rsidRDefault="002D3FFF" w:rsidP="002D3FFF">
            <w:pPr>
              <w:contextualSpacing/>
              <w:rPr>
                <w:b/>
              </w:rPr>
            </w:pPr>
            <w:r>
              <w:rPr>
                <w:b/>
              </w:rPr>
              <w:t>Ziņotājs:</w:t>
            </w:r>
          </w:p>
          <w:p w14:paraId="0E43361B" w14:textId="77777777" w:rsidR="002D3FFF" w:rsidRPr="002D3FFF" w:rsidRDefault="002D3FFF" w:rsidP="002D3FFF">
            <w:pPr>
              <w:contextualSpacing/>
              <w:rPr>
                <w:b/>
                <w:sz w:val="20"/>
                <w:szCs w:val="20"/>
              </w:rPr>
            </w:pPr>
            <w:r>
              <w:rPr>
                <w:b/>
                <w:sz w:val="20"/>
              </w:rPr>
              <w:t>Līdzziņotājs:</w:t>
            </w:r>
          </w:p>
        </w:tc>
        <w:tc>
          <w:tcPr>
            <w:tcW w:w="6707" w:type="dxa"/>
            <w:gridSpan w:val="2"/>
          </w:tcPr>
          <w:p w14:paraId="437F509F" w14:textId="593D765B" w:rsidR="002D3FFF" w:rsidRPr="002D3FFF" w:rsidRDefault="002D3FFF" w:rsidP="002D3FFF">
            <w:pPr>
              <w:ind w:left="-108" w:right="-813"/>
              <w:contextualSpacing/>
            </w:pPr>
            <w:r>
              <w:t>Tomasz Andrzej WRÓBLEWSKI (Darba devēju grupa – PL)</w:t>
            </w:r>
          </w:p>
          <w:p w14:paraId="0644C10D" w14:textId="7E937112" w:rsidR="002D3FFF" w:rsidRPr="002D3FFF" w:rsidRDefault="002D3FFF" w:rsidP="002D3FFF">
            <w:pPr>
              <w:ind w:left="-108"/>
              <w:contextualSpacing/>
            </w:pPr>
            <w:r>
              <w:t>Christian MOOS (Pilsoniskās sabiedrības organizāciju grupa – DE)</w:t>
            </w:r>
          </w:p>
          <w:p w14:paraId="16AEC8AC" w14:textId="77777777" w:rsidR="002D3FFF" w:rsidRPr="002D3FFF" w:rsidRDefault="002D3FFF" w:rsidP="002D3FFF">
            <w:pPr>
              <w:ind w:left="-108"/>
              <w:contextualSpacing/>
            </w:pPr>
          </w:p>
        </w:tc>
      </w:tr>
      <w:tr w:rsidR="002D3FFF" w:rsidRPr="002D3FFF" w14:paraId="79533363" w14:textId="77777777" w:rsidTr="00576060">
        <w:tblPrEx>
          <w:tblCellMar>
            <w:left w:w="57" w:type="dxa"/>
            <w:right w:w="57" w:type="dxa"/>
          </w:tblCellMar>
        </w:tblPrEx>
        <w:tc>
          <w:tcPr>
            <w:tcW w:w="1701" w:type="dxa"/>
            <w:gridSpan w:val="2"/>
          </w:tcPr>
          <w:p w14:paraId="3F49A8F0" w14:textId="57D80D6D" w:rsidR="002D3FFF" w:rsidRPr="002D3FFF" w:rsidRDefault="00B80604" w:rsidP="002D3FFF">
            <w:pPr>
              <w:ind w:left="79"/>
              <w:contextualSpacing/>
              <w:rPr>
                <w:b/>
              </w:rPr>
            </w:pPr>
            <w:r>
              <w:rPr>
                <w:b/>
              </w:rPr>
              <w:t>Atsauces:</w:t>
            </w:r>
            <w:r w:rsidR="002D3FFF">
              <w:rPr>
                <w:b/>
              </w:rPr>
              <w:t xml:space="preserve"> </w:t>
            </w:r>
          </w:p>
        </w:tc>
        <w:tc>
          <w:tcPr>
            <w:tcW w:w="7465" w:type="dxa"/>
            <w:gridSpan w:val="2"/>
          </w:tcPr>
          <w:p w14:paraId="07E2C267" w14:textId="6B13E7E8" w:rsidR="002D3FFF" w:rsidRPr="002D3FFF" w:rsidRDefault="002D3FFF" w:rsidP="002D3FFF">
            <w:pPr>
              <w:ind w:left="-56"/>
              <w:contextualSpacing/>
            </w:pPr>
            <w:r>
              <w:t>COM(2022) 177 final</w:t>
            </w:r>
          </w:p>
          <w:p w14:paraId="21489A46" w14:textId="310DB871" w:rsidR="002D3FFF" w:rsidRPr="002D3FFF" w:rsidRDefault="002D3FFF" w:rsidP="002D3FFF">
            <w:pPr>
              <w:ind w:left="-56"/>
              <w:contextualSpacing/>
            </w:pPr>
            <w:r>
              <w:t>EESC-2022-03173-00-00-AC</w:t>
            </w:r>
          </w:p>
        </w:tc>
      </w:tr>
    </w:tbl>
    <w:p w14:paraId="07E75381" w14:textId="77777777" w:rsidR="002D3FFF" w:rsidRPr="002D3FFF" w:rsidRDefault="002D3FFF" w:rsidP="002D3FFF">
      <w:pPr>
        <w:contextualSpacing/>
        <w:rPr>
          <w:b/>
        </w:rPr>
      </w:pPr>
    </w:p>
    <w:p w14:paraId="507B3D20" w14:textId="77777777" w:rsidR="002D3FFF" w:rsidRPr="002D3FFF" w:rsidRDefault="002D3FFF" w:rsidP="002D3FFF">
      <w:pPr>
        <w:spacing w:line="240" w:lineRule="auto"/>
        <w:ind w:firstLine="142"/>
        <w:contextualSpacing/>
        <w:rPr>
          <w:b/>
        </w:rPr>
      </w:pPr>
      <w:r>
        <w:rPr>
          <w:b/>
          <w:bCs/>
        </w:rPr>
        <w:t>Svarīgākie aspekti</w:t>
      </w:r>
    </w:p>
    <w:p w14:paraId="22E4D67C" w14:textId="77777777" w:rsidR="002D3FFF" w:rsidRPr="002D3FFF" w:rsidRDefault="002D3FFF" w:rsidP="002D3FFF">
      <w:pPr>
        <w:spacing w:line="240" w:lineRule="auto"/>
        <w:ind w:left="-142" w:firstLine="142"/>
        <w:contextualSpacing/>
        <w:rPr>
          <w:b/>
        </w:rPr>
      </w:pPr>
    </w:p>
    <w:p w14:paraId="40050F11" w14:textId="77777777" w:rsidR="002D3FFF" w:rsidRPr="002D3FFF" w:rsidRDefault="002D3FFF" w:rsidP="002D3FFF">
      <w:pPr>
        <w:spacing w:line="240" w:lineRule="auto"/>
        <w:ind w:firstLine="142"/>
        <w:contextualSpacing/>
        <w:rPr>
          <w:bCs/>
        </w:rPr>
      </w:pPr>
      <w:bookmarkStart w:id="16" w:name="_Hlk116652961"/>
      <w:r>
        <w:t>EESK:</w:t>
      </w:r>
      <w:bookmarkEnd w:id="16"/>
    </w:p>
    <w:p w14:paraId="1D1FC59C" w14:textId="77777777" w:rsidR="002D3FFF" w:rsidRPr="002D3FFF" w:rsidRDefault="002D3FFF" w:rsidP="002D3FFF">
      <w:pPr>
        <w:contextualSpacing/>
      </w:pPr>
    </w:p>
    <w:p w14:paraId="66ECC19E" w14:textId="06B89C01" w:rsidR="002D3FFF" w:rsidRPr="002D3FFF" w:rsidRDefault="002D3FFF" w:rsidP="002D3FFF">
      <w:pPr>
        <w:numPr>
          <w:ilvl w:val="0"/>
          <w:numId w:val="3"/>
        </w:numPr>
        <w:ind w:left="357" w:hanging="357"/>
        <w:contextualSpacing/>
      </w:pPr>
      <w:r>
        <w:t>uzskata, ka stratēģiska tiesvedība pret sabiedrības līdzdalību ir procedūra, kas ir pilnīgi vai daļēji nepamatota un kuras galvenais mērķis ir novērst un ierobežot sabiedrības līdzdalību un sodīt par to;</w:t>
      </w:r>
    </w:p>
    <w:p w14:paraId="23CCC356" w14:textId="1F25D3E9" w:rsidR="002D3FFF" w:rsidRPr="002D3FFF" w:rsidRDefault="002D3FFF" w:rsidP="002D3FFF">
      <w:pPr>
        <w:numPr>
          <w:ilvl w:val="0"/>
          <w:numId w:val="3"/>
        </w:numPr>
        <w:ind w:left="357" w:hanging="357"/>
        <w:contextualSpacing/>
      </w:pPr>
      <w:r>
        <w:t>uzskata, ka tā ir likuma pārkāpums un nevar būt pieņemama demokrātiskās valstīs, kurās valda tiesiskums. Žurnālisti, īpaši neatkarīgie žurnālisti, ir visneaizsargātākie pret šo apdraudējumu, tomēr šī problēma var skart arī visus pārējos publisko debašu dalībniekus;</w:t>
      </w:r>
    </w:p>
    <w:p w14:paraId="016E742A" w14:textId="6A7245EE" w:rsidR="002D3FFF" w:rsidRDefault="002D3FFF" w:rsidP="002D3FFF">
      <w:pPr>
        <w:numPr>
          <w:ilvl w:val="0"/>
          <w:numId w:val="3"/>
        </w:numPr>
        <w:ind w:left="357" w:hanging="357"/>
        <w:contextualSpacing/>
      </w:pPr>
      <w:r>
        <w:t>tāpēc atzinīgi vērtē Eiropas Komisijas iniciatīvu, kas pievēršas stratēģiskajai tiesvedībai pret sabiedrības līdzdalību – fenomenam, kas Eiropā pēdējos gados pieaug. Atzinīgi vērtējot Komisijas iniciatīvā ierosinātos mehānismus.</w:t>
      </w:r>
    </w:p>
    <w:p w14:paraId="3CF19AD8" w14:textId="77777777" w:rsidR="002D3FFF" w:rsidRDefault="002D3FFF" w:rsidP="002D3FFF">
      <w:pPr>
        <w:ind w:left="357"/>
        <w:contextualSpacing/>
      </w:pPr>
    </w:p>
    <w:p w14:paraId="3D79D1BE" w14:textId="1F896C9E" w:rsidR="002D3FFF" w:rsidRDefault="002D3FFF" w:rsidP="002D3FFF">
      <w:pPr>
        <w:contextualSpacing/>
        <w:rPr>
          <w:bCs/>
        </w:rPr>
      </w:pPr>
      <w:r>
        <w:t>EESK ierosina:</w:t>
      </w:r>
    </w:p>
    <w:p w14:paraId="7618A8DC" w14:textId="77777777" w:rsidR="002D3FFF" w:rsidRPr="002D3FFF" w:rsidRDefault="002D3FFF" w:rsidP="002D3FFF">
      <w:pPr>
        <w:contextualSpacing/>
      </w:pPr>
    </w:p>
    <w:p w14:paraId="056B3266" w14:textId="121B4768" w:rsidR="002D3FFF" w:rsidRPr="002D3FFF" w:rsidRDefault="002D3FFF" w:rsidP="002D3FFF">
      <w:pPr>
        <w:numPr>
          <w:ilvl w:val="0"/>
          <w:numId w:val="3"/>
        </w:numPr>
        <w:ind w:left="357" w:hanging="357"/>
        <w:contextualSpacing/>
      </w:pPr>
      <w:r>
        <w:t>ieviest prejudiciālu nolēmumu, ar kuru tiktu noslēgta tiesvedība, kas atzīta par neatbilstīgu, apvienot procedūras pēc atbildētāja prasības viņa/viņas norādītajā jurisdikcijā, noteikt laika ierobežojumus procedūrai vai ieviest paātrinājuma iespējas vai noteikumu, ka neviens cits, izņemot prasītāju, nevar finansēt prasību;</w:t>
      </w:r>
    </w:p>
    <w:p w14:paraId="7C791CF0" w14:textId="3A67140A" w:rsidR="002D3FFF" w:rsidRPr="002D3FFF" w:rsidRDefault="002D3FFF" w:rsidP="002D3FFF">
      <w:pPr>
        <w:numPr>
          <w:ilvl w:val="0"/>
          <w:numId w:val="3"/>
        </w:numPr>
        <w:ind w:left="357" w:hanging="357"/>
        <w:contextualSpacing/>
      </w:pPr>
      <w:r>
        <w:t>pārskatīt valstu tiesību aktus, lai noteiktu mehānismus, kas pašlaik varētu palīdzēt novērst stratēģisku tiesvedību pret sabiedrības līdzdalību;</w:t>
      </w:r>
    </w:p>
    <w:p w14:paraId="4D581D21" w14:textId="2C86FBF8" w:rsidR="002D3FFF" w:rsidRPr="002D3FFF" w:rsidRDefault="002D3FFF" w:rsidP="002D3FFF">
      <w:pPr>
        <w:numPr>
          <w:ilvl w:val="0"/>
          <w:numId w:val="3"/>
        </w:numPr>
        <w:ind w:left="357" w:hanging="357"/>
        <w:contextualSpacing/>
      </w:pPr>
      <w:r>
        <w:t>uzraudzīt stratēģisko tiesvedību pret sabiedrības līdzdalību un īstenoto risinājumu efektivitāti;</w:t>
      </w:r>
    </w:p>
    <w:p w14:paraId="486251D4" w14:textId="395DFDB0" w:rsidR="002D3FFF" w:rsidRPr="002D3FFF" w:rsidRDefault="002D3FFF" w:rsidP="002D3FFF">
      <w:pPr>
        <w:numPr>
          <w:ilvl w:val="0"/>
          <w:numId w:val="3"/>
        </w:numPr>
        <w:ind w:left="357" w:hanging="357"/>
        <w:contextualSpacing/>
      </w:pPr>
      <w:r>
        <w:t>izvērtēt direktīvu par stratēģisko tiesvedību pret sabiedrības līdzdalību pēc divu gadu, nevis ierosinātā piecu gadu perioda;</w:t>
      </w:r>
    </w:p>
    <w:p w14:paraId="7EEA1FDB" w14:textId="406BF930" w:rsidR="002D3FFF" w:rsidRDefault="002D3FFF" w:rsidP="002D3FFF">
      <w:pPr>
        <w:numPr>
          <w:ilvl w:val="0"/>
          <w:numId w:val="3"/>
        </w:numPr>
        <w:ind w:left="357" w:hanging="357"/>
        <w:contextualSpacing/>
      </w:pPr>
      <w:r>
        <w:t>strādāt pie vienotas pieejas gan pārrobežu, gan valstu stratēģiskās tiesvedības pret sabiedrības līdzdalību lietās;</w:t>
      </w:r>
    </w:p>
    <w:p w14:paraId="09438141" w14:textId="38E21D7F" w:rsidR="002D3FFF" w:rsidRDefault="000B7D8A" w:rsidP="002D3FFF">
      <w:pPr>
        <w:numPr>
          <w:ilvl w:val="0"/>
          <w:numId w:val="3"/>
        </w:numPr>
        <w:ind w:left="357" w:hanging="357"/>
        <w:contextualSpacing/>
      </w:pPr>
      <w:r>
        <w:t>pārskatīt valstu tiesību aktus, lai atceltu kriminālatbildību par neslavas celšanu;</w:t>
      </w:r>
    </w:p>
    <w:p w14:paraId="6876429A" w14:textId="76E4FC17" w:rsidR="000B7D8A" w:rsidRDefault="000B7D8A" w:rsidP="002D3FFF">
      <w:pPr>
        <w:numPr>
          <w:ilvl w:val="0"/>
          <w:numId w:val="3"/>
        </w:numPr>
        <w:ind w:left="357" w:hanging="357"/>
        <w:contextualSpacing/>
      </w:pPr>
      <w:r>
        <w:t>īstenot atbilstošus izglītības un apmācības pasākumus, kas paredzēti gan praktizējošiem juristiem (īpaši tiesnešiem un daļēji advokātiem) un publisko diskusiju dalībniekiem – žurnālistiem, sabiedrības aktīvistiem, cilvēktiesību aizstāvjiem, trauksmes cēlējiem un vienkāršiem pilsoņiem.</w:t>
      </w:r>
    </w:p>
    <w:p w14:paraId="0581871A" w14:textId="77777777" w:rsidR="000B7D8A" w:rsidRPr="002D3FFF" w:rsidRDefault="000B7D8A" w:rsidP="000B1AE6">
      <w:pPr>
        <w:ind w:left="357"/>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0B7D8A" w:rsidRPr="009B70E7" w14:paraId="40EEAC26" w14:textId="77777777" w:rsidTr="00576060">
        <w:tc>
          <w:tcPr>
            <w:tcW w:w="1418" w:type="dxa"/>
          </w:tcPr>
          <w:p w14:paraId="78813ECD" w14:textId="77777777" w:rsidR="000B7D8A" w:rsidRPr="009B70E7" w:rsidRDefault="000B7D8A" w:rsidP="00576060">
            <w:pPr>
              <w:pStyle w:val="ListParagraph"/>
              <w:ind w:left="0"/>
              <w:rPr>
                <w:i/>
              </w:rPr>
            </w:pPr>
            <w:r>
              <w:rPr>
                <w:b/>
                <w:i/>
              </w:rPr>
              <w:t>Kontaktpersona:</w:t>
            </w:r>
          </w:p>
        </w:tc>
        <w:tc>
          <w:tcPr>
            <w:tcW w:w="5670" w:type="dxa"/>
          </w:tcPr>
          <w:p w14:paraId="11533A42" w14:textId="77777777" w:rsidR="000B7D8A" w:rsidRPr="009B70E7" w:rsidRDefault="000B7D8A" w:rsidP="00576060">
            <w:pPr>
              <w:pStyle w:val="ListParagraph"/>
              <w:ind w:left="0"/>
              <w:rPr>
                <w:i/>
              </w:rPr>
            </w:pPr>
            <w:r>
              <w:rPr>
                <w:i/>
              </w:rPr>
              <w:t>Jean-Marie Rogue</w:t>
            </w:r>
          </w:p>
        </w:tc>
      </w:tr>
      <w:tr w:rsidR="000B7D8A" w:rsidRPr="009B70E7" w14:paraId="2090722B" w14:textId="77777777" w:rsidTr="00576060">
        <w:tc>
          <w:tcPr>
            <w:tcW w:w="1418" w:type="dxa"/>
          </w:tcPr>
          <w:p w14:paraId="1F4F1429" w14:textId="77777777" w:rsidR="000B7D8A" w:rsidRPr="009B70E7" w:rsidRDefault="000B7D8A" w:rsidP="00576060">
            <w:pPr>
              <w:pStyle w:val="ListParagraph"/>
              <w:ind w:left="601"/>
              <w:rPr>
                <w:i/>
              </w:rPr>
            </w:pPr>
            <w:r>
              <w:rPr>
                <w:i/>
              </w:rPr>
              <w:t>Tālr.:</w:t>
            </w:r>
          </w:p>
        </w:tc>
        <w:tc>
          <w:tcPr>
            <w:tcW w:w="5670" w:type="dxa"/>
          </w:tcPr>
          <w:p w14:paraId="37C52104" w14:textId="77777777" w:rsidR="000B7D8A" w:rsidRPr="009B70E7" w:rsidRDefault="000B7D8A" w:rsidP="00576060">
            <w:pPr>
              <w:pStyle w:val="ListParagraph"/>
              <w:ind w:left="0"/>
              <w:rPr>
                <w:i/>
              </w:rPr>
            </w:pPr>
            <w:r>
              <w:rPr>
                <w:i/>
              </w:rPr>
              <w:t>00 32 2 546 89.09</w:t>
            </w:r>
          </w:p>
        </w:tc>
      </w:tr>
      <w:tr w:rsidR="000B7D8A" w:rsidRPr="001D770D" w14:paraId="34FEDA23" w14:textId="77777777" w:rsidTr="00576060">
        <w:tc>
          <w:tcPr>
            <w:tcW w:w="1418" w:type="dxa"/>
          </w:tcPr>
          <w:p w14:paraId="60789BAF" w14:textId="77777777" w:rsidR="000B7D8A" w:rsidRPr="009B70E7" w:rsidRDefault="000B7D8A" w:rsidP="00576060">
            <w:pPr>
              <w:pStyle w:val="ListParagraph"/>
              <w:ind w:left="601"/>
              <w:rPr>
                <w:i/>
              </w:rPr>
            </w:pPr>
            <w:r>
              <w:rPr>
                <w:i/>
              </w:rPr>
              <w:t>E-pasts:</w:t>
            </w:r>
          </w:p>
        </w:tc>
        <w:tc>
          <w:tcPr>
            <w:tcW w:w="5670" w:type="dxa"/>
          </w:tcPr>
          <w:p w14:paraId="0DF96E08" w14:textId="77777777" w:rsidR="000B7D8A" w:rsidRPr="00A23F52" w:rsidRDefault="000062DB" w:rsidP="00576060">
            <w:pPr>
              <w:pStyle w:val="ListParagraph"/>
              <w:ind w:left="0"/>
              <w:rPr>
                <w:i/>
                <w:iCs/>
                <w:color w:val="0000FF"/>
                <w:szCs w:val="20"/>
                <w:u w:val="single"/>
              </w:rPr>
            </w:pPr>
            <w:hyperlink r:id="rId31" w:history="1">
              <w:r w:rsidR="007B42E2">
                <w:rPr>
                  <w:rStyle w:val="Hyperlink"/>
                  <w:i/>
                </w:rPr>
                <w:t>Jeanmarie.Rogue@eesc.europa.eu</w:t>
              </w:r>
            </w:hyperlink>
          </w:p>
        </w:tc>
      </w:tr>
    </w:tbl>
    <w:p w14:paraId="740A3B9E" w14:textId="77777777" w:rsidR="006F6E46" w:rsidRDefault="006F6E46">
      <w:pPr>
        <w:spacing w:after="160" w:line="259" w:lineRule="auto"/>
        <w:jc w:val="left"/>
        <w:rPr>
          <w:b/>
          <w:i/>
          <w:sz w:val="28"/>
        </w:rPr>
      </w:pPr>
      <w:bookmarkStart w:id="17" w:name="_Hlk116654884"/>
      <w:r>
        <w:rPr>
          <w:b/>
          <w:i/>
          <w:sz w:val="28"/>
        </w:rPr>
        <w:br w:type="page"/>
      </w:r>
    </w:p>
    <w:p w14:paraId="3FCAE421" w14:textId="32514D2B" w:rsidR="00002061" w:rsidRPr="00883682" w:rsidRDefault="00002061" w:rsidP="00002061">
      <w:pPr>
        <w:pStyle w:val="ListParagraph"/>
        <w:numPr>
          <w:ilvl w:val="0"/>
          <w:numId w:val="4"/>
        </w:numPr>
        <w:overflowPunct w:val="0"/>
        <w:autoSpaceDE w:val="0"/>
        <w:autoSpaceDN w:val="0"/>
        <w:adjustRightInd w:val="0"/>
        <w:ind w:left="0" w:hanging="567"/>
        <w:textAlignment w:val="baseline"/>
      </w:pPr>
      <w:r>
        <w:rPr>
          <w:b/>
          <w:i/>
          <w:sz w:val="28"/>
        </w:rPr>
        <w:lastRenderedPageBreak/>
        <w:t>Vīzu procedūru digitalizācija</w:t>
      </w:r>
    </w:p>
    <w:p w14:paraId="659E8ED1" w14:textId="77777777" w:rsidR="00002061" w:rsidRPr="009B70E7" w:rsidRDefault="00002061" w:rsidP="00002061">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002061" w:rsidRPr="009B70E7" w14:paraId="4FEA80E3" w14:textId="77777777" w:rsidTr="00576060">
        <w:trPr>
          <w:gridAfter w:val="1"/>
          <w:wAfter w:w="802" w:type="dxa"/>
        </w:trPr>
        <w:tc>
          <w:tcPr>
            <w:tcW w:w="1657" w:type="dxa"/>
          </w:tcPr>
          <w:p w14:paraId="0ED9D70C" w14:textId="77777777" w:rsidR="00002061" w:rsidRDefault="00002061" w:rsidP="00576060">
            <w:pPr>
              <w:pStyle w:val="ListParagraph"/>
              <w:ind w:left="0"/>
              <w:rPr>
                <w:b/>
              </w:rPr>
            </w:pPr>
            <w:r>
              <w:rPr>
                <w:b/>
              </w:rPr>
              <w:t>Ziņotājs:</w:t>
            </w:r>
          </w:p>
          <w:p w14:paraId="561BA925" w14:textId="07E00D3A" w:rsidR="00002061" w:rsidRPr="00F63F2A" w:rsidRDefault="00002061" w:rsidP="00576060">
            <w:pPr>
              <w:pStyle w:val="ListParagraph"/>
              <w:ind w:left="0"/>
              <w:rPr>
                <w:b/>
                <w:sz w:val="20"/>
                <w:szCs w:val="20"/>
              </w:rPr>
            </w:pPr>
          </w:p>
        </w:tc>
        <w:tc>
          <w:tcPr>
            <w:tcW w:w="6707" w:type="dxa"/>
            <w:gridSpan w:val="2"/>
          </w:tcPr>
          <w:p w14:paraId="4D041E03" w14:textId="473902A7" w:rsidR="00002061" w:rsidRPr="00002061" w:rsidRDefault="00002061" w:rsidP="00002061">
            <w:pPr>
              <w:pStyle w:val="ListParagraph"/>
              <w:ind w:left="-108" w:right="-813"/>
            </w:pPr>
            <w:r>
              <w:t>Ionuţ SIBIAN (Pilsoniskās sabiedrības organizāciju grupa – RO)</w:t>
            </w:r>
          </w:p>
          <w:p w14:paraId="32004882" w14:textId="77777777" w:rsidR="00002061" w:rsidRPr="009B70E7" w:rsidRDefault="00002061" w:rsidP="00576060">
            <w:pPr>
              <w:pStyle w:val="ListParagraph"/>
              <w:ind w:left="-108"/>
            </w:pPr>
          </w:p>
        </w:tc>
      </w:tr>
      <w:tr w:rsidR="00002061" w:rsidRPr="009B70E7" w14:paraId="4BC12865" w14:textId="77777777" w:rsidTr="00576060">
        <w:tblPrEx>
          <w:tblCellMar>
            <w:left w:w="57" w:type="dxa"/>
            <w:right w:w="57" w:type="dxa"/>
          </w:tblCellMar>
        </w:tblPrEx>
        <w:tc>
          <w:tcPr>
            <w:tcW w:w="1701" w:type="dxa"/>
            <w:gridSpan w:val="2"/>
          </w:tcPr>
          <w:p w14:paraId="725F6040" w14:textId="76A50597" w:rsidR="00002061" w:rsidRPr="009B70E7" w:rsidRDefault="00B80604" w:rsidP="00576060">
            <w:pPr>
              <w:pStyle w:val="ListParagraph"/>
              <w:ind w:left="79"/>
              <w:rPr>
                <w:b/>
              </w:rPr>
            </w:pPr>
            <w:r>
              <w:rPr>
                <w:b/>
              </w:rPr>
              <w:t>Atsauces:</w:t>
            </w:r>
            <w:r w:rsidR="00002061">
              <w:rPr>
                <w:b/>
              </w:rPr>
              <w:t xml:space="preserve"> </w:t>
            </w:r>
          </w:p>
        </w:tc>
        <w:tc>
          <w:tcPr>
            <w:tcW w:w="7465" w:type="dxa"/>
            <w:gridSpan w:val="2"/>
          </w:tcPr>
          <w:p w14:paraId="4FFC64A5" w14:textId="0A2BAF03" w:rsidR="00002061" w:rsidRPr="009B70E7" w:rsidRDefault="00002061" w:rsidP="00576060">
            <w:pPr>
              <w:pStyle w:val="ListParagraph"/>
              <w:ind w:left="-56"/>
            </w:pPr>
            <w:r>
              <w:t>COM(2022) 658 final</w:t>
            </w:r>
          </w:p>
          <w:p w14:paraId="20ADEF47" w14:textId="119202A9" w:rsidR="00002061" w:rsidRPr="009B70E7" w:rsidRDefault="00002061" w:rsidP="00576060">
            <w:pPr>
              <w:pStyle w:val="ListParagraph"/>
              <w:ind w:left="-56"/>
            </w:pPr>
            <w:r>
              <w:t>EESC-2022-02915-00-00-AC</w:t>
            </w:r>
          </w:p>
        </w:tc>
      </w:tr>
    </w:tbl>
    <w:p w14:paraId="4C378DF9" w14:textId="77777777" w:rsidR="00002061" w:rsidRPr="009B70E7" w:rsidRDefault="00002061" w:rsidP="00002061">
      <w:pPr>
        <w:pStyle w:val="ListParagraph"/>
        <w:ind w:left="0"/>
        <w:rPr>
          <w:b/>
        </w:rPr>
      </w:pPr>
    </w:p>
    <w:p w14:paraId="0A4E56C9" w14:textId="77777777" w:rsidR="00002061" w:rsidRDefault="00002061" w:rsidP="00002061">
      <w:pPr>
        <w:pStyle w:val="ListParagraph"/>
        <w:spacing w:line="240" w:lineRule="auto"/>
        <w:ind w:left="0" w:firstLine="142"/>
        <w:rPr>
          <w:b/>
        </w:rPr>
      </w:pPr>
      <w:r>
        <w:rPr>
          <w:b/>
          <w:bCs/>
        </w:rPr>
        <w:t>Svarīgākie aspekti</w:t>
      </w:r>
    </w:p>
    <w:p w14:paraId="7A6421E0" w14:textId="77777777" w:rsidR="00002061" w:rsidRPr="00C65A95" w:rsidRDefault="00002061" w:rsidP="00002061">
      <w:pPr>
        <w:pStyle w:val="ListParagraph"/>
        <w:spacing w:line="240" w:lineRule="auto"/>
        <w:ind w:left="-142" w:firstLine="142"/>
        <w:rPr>
          <w:b/>
        </w:rPr>
      </w:pPr>
    </w:p>
    <w:p w14:paraId="6E748BCD" w14:textId="77777777" w:rsidR="00002061" w:rsidRPr="00027441" w:rsidRDefault="00002061" w:rsidP="00002061">
      <w:pPr>
        <w:pStyle w:val="ListParagraph"/>
        <w:spacing w:line="240" w:lineRule="auto"/>
        <w:ind w:left="0" w:firstLine="142"/>
        <w:rPr>
          <w:bCs/>
        </w:rPr>
      </w:pPr>
      <w:r>
        <w:t>EESK:</w:t>
      </w:r>
    </w:p>
    <w:p w14:paraId="08243A60" w14:textId="77777777" w:rsidR="00002061" w:rsidRPr="009B70E7" w:rsidRDefault="00002061" w:rsidP="00002061">
      <w:pPr>
        <w:pStyle w:val="ListParagraph"/>
        <w:ind w:left="0"/>
      </w:pPr>
    </w:p>
    <w:p w14:paraId="70E034F0" w14:textId="2546A9F0" w:rsidR="00002061" w:rsidRPr="009B70E7" w:rsidRDefault="00002061" w:rsidP="00002061">
      <w:pPr>
        <w:pStyle w:val="ListParagraph"/>
        <w:numPr>
          <w:ilvl w:val="0"/>
          <w:numId w:val="3"/>
        </w:numPr>
        <w:ind w:left="357" w:hanging="357"/>
      </w:pPr>
      <w:bookmarkStart w:id="18" w:name="_Hlk116654998"/>
      <w:r>
        <w:t>atbalsta pilnībā digitalizētas vīzu procedūras ieviešanas iniciatīvu. Piekļūstama, ātra un uzticama digitālā vīza un imigrācijas sistēma, kas mazāk būtu balstīta uz dokumentiem papīra formātā, būtiski samazinātu ar imigrāciju saistīto administratīvo slogu</w:t>
      </w:r>
      <w:bookmarkEnd w:id="17"/>
      <w:r w:rsidR="001C55E2">
        <w:t>;</w:t>
      </w:r>
    </w:p>
    <w:p w14:paraId="32DD43AF" w14:textId="66CFDAA6" w:rsidR="00002061" w:rsidRDefault="00002061" w:rsidP="00002061">
      <w:pPr>
        <w:pStyle w:val="ListParagraph"/>
        <w:numPr>
          <w:ilvl w:val="0"/>
          <w:numId w:val="3"/>
        </w:numPr>
        <w:ind w:left="357" w:hanging="357"/>
      </w:pPr>
      <w:r>
        <w:t>atzinīgi vērtē digitalizācijas iniciatīvu, jo tā atbilst vispārējai Eiropas Savienības sabiedrisko pakalpojumu modernizācijas un digitalizācijas veicināšanas pieejai un Komisijas paziņojumam par Digitālo kompasu līdz 2030. gadam;</w:t>
      </w:r>
      <w:bookmarkEnd w:id="18"/>
    </w:p>
    <w:p w14:paraId="4F0402C5" w14:textId="3B557E2C" w:rsidR="00002061" w:rsidRDefault="00002061" w:rsidP="00002061">
      <w:pPr>
        <w:pStyle w:val="ListParagraph"/>
        <w:numPr>
          <w:ilvl w:val="0"/>
          <w:numId w:val="3"/>
        </w:numPr>
        <w:ind w:left="357" w:hanging="357"/>
      </w:pPr>
      <w:r>
        <w:t>uzskata, ka izskatāmais priekšlikums paver iespēju efektīvi uzlabot vīzas pieteikuma procesu, samazinot izmaksas un slogu dalībvalstīm un pieteikuma iesniedzējiem, un nodrošināt juridisko noteiktību, kā arī paaugstināt Šengenas zonas drošību</w:t>
      </w:r>
      <w:r w:rsidR="001C55E2">
        <w:t>;</w:t>
      </w:r>
    </w:p>
    <w:p w14:paraId="403596CA" w14:textId="7A8D4D95" w:rsidR="00002061" w:rsidRDefault="00002061" w:rsidP="00002061">
      <w:pPr>
        <w:pStyle w:val="ListParagraph"/>
        <w:numPr>
          <w:ilvl w:val="0"/>
          <w:numId w:val="3"/>
        </w:numPr>
        <w:ind w:left="357" w:hanging="357"/>
      </w:pPr>
      <w:r>
        <w:t>atzinīgi vērtē faktu, ka ierosinātā vīzu procedūras digitalizācija samazinās to trešo valstu pilsoņu mobilitātes ierobežojumus, kuri iesniedz vīzu pieteikumus (jo viņiem ceļošanas dokuments vairs nebūs jāiesniedz klātienē);</w:t>
      </w:r>
    </w:p>
    <w:p w14:paraId="19E645B1" w14:textId="797058B2" w:rsidR="00002061" w:rsidRDefault="00002061" w:rsidP="00002061">
      <w:pPr>
        <w:pStyle w:val="ListParagraph"/>
        <w:numPr>
          <w:ilvl w:val="0"/>
          <w:numId w:val="3"/>
        </w:numPr>
        <w:ind w:left="357" w:hanging="357"/>
      </w:pPr>
      <w:r>
        <w:t>vīzu pieteikumu procedūras digitalizācijā ir jāizvairās no jebkādas (netīšas) diskriminācijas: tajā ir jāievēro personu ar invaliditāti tiesības un to cilvēku tiesības, kuriem nav datora vai digitālo līdzekļu izmantošanas prasmju, vai piekļuves internetam;</w:t>
      </w:r>
    </w:p>
    <w:p w14:paraId="66079A60" w14:textId="60E9AF35" w:rsidR="00002061" w:rsidRDefault="00002061" w:rsidP="00002061">
      <w:pPr>
        <w:pStyle w:val="ListParagraph"/>
        <w:numPr>
          <w:ilvl w:val="0"/>
          <w:numId w:val="3"/>
        </w:numPr>
        <w:ind w:left="357" w:hanging="357"/>
      </w:pPr>
      <w:r>
        <w:t>stingri iesaka nodrošināt, lai IT risinājumi, kas tiks izmantoti Eiropas Savienības vīzu pieteikumu platformā, ietvertu instrumentus/līdzekļus bērna tiesību aizsardzībai un cilvēku tirdzniecības novēršanai;</w:t>
      </w:r>
    </w:p>
    <w:p w14:paraId="7FF36488" w14:textId="427B45DF" w:rsidR="00002061" w:rsidRDefault="00002061" w:rsidP="00002061">
      <w:pPr>
        <w:pStyle w:val="ListParagraph"/>
        <w:numPr>
          <w:ilvl w:val="0"/>
          <w:numId w:val="3"/>
        </w:numPr>
        <w:ind w:left="357" w:hanging="357"/>
      </w:pPr>
      <w:r>
        <w:t>uzskata, ka būtu jāizveido vienota “ES digitālā vēstniecība” ES līmenī, kas noteiktu saskaņotas ES līmeņa prasības apliecinošajiem dokumentiem un kas ceļotājiem sniegtu informāciju un norādes pieteikumu iesniegšanas procesā;</w:t>
      </w:r>
    </w:p>
    <w:p w14:paraId="0E3464C4" w14:textId="1413E946" w:rsidR="00002061" w:rsidRDefault="00002061" w:rsidP="00002061">
      <w:pPr>
        <w:pStyle w:val="ListParagraph"/>
        <w:numPr>
          <w:ilvl w:val="0"/>
          <w:numId w:val="3"/>
        </w:numPr>
        <w:ind w:left="357" w:hanging="357"/>
      </w:pPr>
      <w:r>
        <w:t>atzīst, ka vīzu procedūras digitalizācija varētu pozitīvi ietekmēt vidi un ka centralizētā pieteikumu platforma ir energoefektīvs risinājums;</w:t>
      </w:r>
    </w:p>
    <w:p w14:paraId="5AE8E9FC" w14:textId="25F29F7A" w:rsidR="00002061" w:rsidRPr="009B70E7" w:rsidRDefault="00002061" w:rsidP="00002061">
      <w:pPr>
        <w:pStyle w:val="ListParagraph"/>
        <w:numPr>
          <w:ilvl w:val="0"/>
          <w:numId w:val="3"/>
        </w:numPr>
        <w:ind w:left="357" w:hanging="357"/>
      </w:pPr>
      <w:r>
        <w:t>iesaka Komisijai stingri apņemties strādāt kopā ar trešo valstu valdībām, dalībvalstu vēstniecībām/konsulātiem un organizētu pilsonisko sabiedrību ar mērķi informēt un sagatavot pieteikumu iesniedzējus un palīdzēt viņiem visā vīzu pieteikumu procedūrā.</w:t>
      </w:r>
    </w:p>
    <w:p w14:paraId="6D7A635E" w14:textId="77777777" w:rsidR="00002061" w:rsidRPr="009B70E7" w:rsidRDefault="00002061" w:rsidP="000020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002061" w:rsidRPr="009B70E7" w14:paraId="140CAC9D" w14:textId="77777777" w:rsidTr="00576060">
        <w:tc>
          <w:tcPr>
            <w:tcW w:w="1418" w:type="dxa"/>
          </w:tcPr>
          <w:p w14:paraId="0B430257" w14:textId="77777777" w:rsidR="00002061" w:rsidRPr="009B70E7" w:rsidRDefault="00002061" w:rsidP="00576060">
            <w:pPr>
              <w:pStyle w:val="ListParagraph"/>
              <w:ind w:left="0"/>
              <w:rPr>
                <w:i/>
              </w:rPr>
            </w:pPr>
            <w:bookmarkStart w:id="19" w:name="_Hlk117166919"/>
            <w:r>
              <w:rPr>
                <w:b/>
                <w:i/>
              </w:rPr>
              <w:t>Kontaktpersona:</w:t>
            </w:r>
          </w:p>
        </w:tc>
        <w:tc>
          <w:tcPr>
            <w:tcW w:w="5670" w:type="dxa"/>
          </w:tcPr>
          <w:p w14:paraId="24BD7A61" w14:textId="77777777" w:rsidR="00002061" w:rsidRPr="009B70E7" w:rsidRDefault="00002061" w:rsidP="00576060">
            <w:pPr>
              <w:pStyle w:val="ListParagraph"/>
              <w:ind w:left="0"/>
              <w:rPr>
                <w:i/>
              </w:rPr>
            </w:pPr>
            <w:r>
              <w:rPr>
                <w:i/>
                <w:iCs/>
              </w:rPr>
              <w:t>Triin Aasmaa</w:t>
            </w:r>
          </w:p>
        </w:tc>
      </w:tr>
      <w:tr w:rsidR="00002061" w:rsidRPr="009B70E7" w14:paraId="62B0FE14" w14:textId="77777777" w:rsidTr="00576060">
        <w:tc>
          <w:tcPr>
            <w:tcW w:w="1418" w:type="dxa"/>
          </w:tcPr>
          <w:p w14:paraId="4546C08D" w14:textId="77777777" w:rsidR="00002061" w:rsidRPr="009B70E7" w:rsidRDefault="00002061" w:rsidP="00576060">
            <w:pPr>
              <w:pStyle w:val="ListParagraph"/>
              <w:ind w:left="601"/>
              <w:rPr>
                <w:i/>
              </w:rPr>
            </w:pPr>
            <w:r>
              <w:rPr>
                <w:i/>
              </w:rPr>
              <w:t>Tālr.:</w:t>
            </w:r>
          </w:p>
        </w:tc>
        <w:tc>
          <w:tcPr>
            <w:tcW w:w="5670" w:type="dxa"/>
          </w:tcPr>
          <w:p w14:paraId="4655BFEF" w14:textId="77777777" w:rsidR="00002061" w:rsidRPr="009B70E7" w:rsidRDefault="00002061" w:rsidP="00576060">
            <w:pPr>
              <w:pStyle w:val="ListParagraph"/>
              <w:ind w:left="0"/>
              <w:rPr>
                <w:i/>
              </w:rPr>
            </w:pPr>
            <w:r>
              <w:rPr>
                <w:i/>
              </w:rPr>
              <w:t>00 32 2 546 95 24</w:t>
            </w:r>
          </w:p>
        </w:tc>
      </w:tr>
      <w:tr w:rsidR="00002061" w:rsidRPr="001D770D" w14:paraId="236C25BF" w14:textId="77777777" w:rsidTr="00576060">
        <w:tc>
          <w:tcPr>
            <w:tcW w:w="1418" w:type="dxa"/>
          </w:tcPr>
          <w:p w14:paraId="3B101F54" w14:textId="77777777" w:rsidR="00002061" w:rsidRPr="009B70E7" w:rsidRDefault="00002061" w:rsidP="00576060">
            <w:pPr>
              <w:pStyle w:val="ListParagraph"/>
              <w:ind w:left="601"/>
              <w:rPr>
                <w:i/>
              </w:rPr>
            </w:pPr>
            <w:r>
              <w:rPr>
                <w:i/>
              </w:rPr>
              <w:t>E-pasts:</w:t>
            </w:r>
          </w:p>
        </w:tc>
        <w:tc>
          <w:tcPr>
            <w:tcW w:w="5670" w:type="dxa"/>
          </w:tcPr>
          <w:p w14:paraId="748EC017" w14:textId="77777777" w:rsidR="00002061" w:rsidRPr="001D770D" w:rsidRDefault="000062DB" w:rsidP="00576060">
            <w:pPr>
              <w:pStyle w:val="ListParagraph"/>
              <w:ind w:left="0"/>
              <w:rPr>
                <w:i/>
              </w:rPr>
            </w:pPr>
            <w:hyperlink r:id="rId32" w:history="1">
              <w:r w:rsidR="007B42E2">
                <w:rPr>
                  <w:rStyle w:val="Hyperlink"/>
                  <w:i/>
                </w:rPr>
                <w:t xml:space="preserve"> Triin.Aasmaa@eesc.europa.eu</w:t>
              </w:r>
            </w:hyperlink>
          </w:p>
        </w:tc>
      </w:tr>
      <w:bookmarkEnd w:id="19"/>
    </w:tbl>
    <w:p w14:paraId="38495326" w14:textId="77777777" w:rsidR="00002061" w:rsidRDefault="00002061">
      <w:pPr>
        <w:spacing w:after="160" w:line="259" w:lineRule="auto"/>
        <w:jc w:val="left"/>
        <w:rPr>
          <w:sz w:val="28"/>
        </w:rPr>
      </w:pPr>
    </w:p>
    <w:p w14:paraId="58AF24D9" w14:textId="77777777" w:rsidR="006F6E46" w:rsidRDefault="006F6E46">
      <w:pPr>
        <w:spacing w:after="160" w:line="259" w:lineRule="auto"/>
        <w:jc w:val="left"/>
        <w:rPr>
          <w:b/>
          <w:i/>
          <w:sz w:val="28"/>
        </w:rPr>
      </w:pPr>
      <w:r>
        <w:rPr>
          <w:b/>
          <w:i/>
          <w:sz w:val="28"/>
        </w:rPr>
        <w:br w:type="page"/>
      </w:r>
    </w:p>
    <w:p w14:paraId="5B7E001F" w14:textId="4CCFBDBF" w:rsidR="00002061" w:rsidRPr="00883682" w:rsidRDefault="00002061" w:rsidP="00002061">
      <w:pPr>
        <w:pStyle w:val="ListParagraph"/>
        <w:numPr>
          <w:ilvl w:val="0"/>
          <w:numId w:val="4"/>
        </w:numPr>
        <w:overflowPunct w:val="0"/>
        <w:autoSpaceDE w:val="0"/>
        <w:autoSpaceDN w:val="0"/>
        <w:adjustRightInd w:val="0"/>
        <w:ind w:left="0" w:hanging="567"/>
        <w:textAlignment w:val="baseline"/>
      </w:pPr>
      <w:r>
        <w:rPr>
          <w:b/>
          <w:i/>
          <w:sz w:val="28"/>
        </w:rPr>
        <w:lastRenderedPageBreak/>
        <w:t>Kvalitātes un drošības standarti cilvēku izcelsmes vielām</w:t>
      </w:r>
    </w:p>
    <w:p w14:paraId="0BD788C5" w14:textId="77777777" w:rsidR="00002061" w:rsidRPr="009B70E7" w:rsidRDefault="00002061" w:rsidP="00002061">
      <w:pPr>
        <w:overflowPunct w:val="0"/>
        <w:autoSpaceDE w:val="0"/>
        <w:autoSpaceDN w:val="0"/>
        <w:adjustRightInd w:val="0"/>
        <w:textAlignment w:val="baseline"/>
      </w:pP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97"/>
        <w:gridCol w:w="6565"/>
        <w:gridCol w:w="803"/>
      </w:tblGrid>
      <w:tr w:rsidR="00002061" w:rsidRPr="009B70E7" w14:paraId="0E676F02" w14:textId="77777777" w:rsidTr="001C55E2">
        <w:trPr>
          <w:gridAfter w:val="1"/>
          <w:wAfter w:w="803" w:type="dxa"/>
        </w:trPr>
        <w:tc>
          <w:tcPr>
            <w:tcW w:w="2093" w:type="dxa"/>
            <w:gridSpan w:val="2"/>
          </w:tcPr>
          <w:p w14:paraId="66A6A96F" w14:textId="59D62F21" w:rsidR="00002061" w:rsidRDefault="00002061" w:rsidP="00576060">
            <w:pPr>
              <w:pStyle w:val="ListParagraph"/>
              <w:ind w:left="0"/>
              <w:rPr>
                <w:b/>
              </w:rPr>
            </w:pPr>
            <w:r>
              <w:rPr>
                <w:b/>
              </w:rPr>
              <w:t>Galvenais ziņotājs</w:t>
            </w:r>
            <w:r w:rsidR="001C55E2">
              <w:rPr>
                <w:b/>
              </w:rPr>
              <w:t>:</w:t>
            </w:r>
          </w:p>
          <w:p w14:paraId="22BEE630" w14:textId="77777777" w:rsidR="00002061" w:rsidRPr="00F63F2A" w:rsidRDefault="00002061" w:rsidP="00576060">
            <w:pPr>
              <w:pStyle w:val="ListParagraph"/>
              <w:ind w:left="0"/>
              <w:rPr>
                <w:b/>
                <w:sz w:val="20"/>
                <w:szCs w:val="20"/>
              </w:rPr>
            </w:pPr>
          </w:p>
        </w:tc>
        <w:tc>
          <w:tcPr>
            <w:tcW w:w="6565" w:type="dxa"/>
          </w:tcPr>
          <w:p w14:paraId="10917145" w14:textId="0D72F153" w:rsidR="00002061" w:rsidRPr="00002061" w:rsidRDefault="00002061" w:rsidP="00576060">
            <w:pPr>
              <w:pStyle w:val="ListParagraph"/>
              <w:ind w:left="-108" w:right="-813"/>
            </w:pPr>
            <w:r>
              <w:t>Tymoteusz Adam ZYCH (Pilsoniskās sabiedrības organizāciju grupa – PL)</w:t>
            </w:r>
          </w:p>
          <w:p w14:paraId="36B30F87" w14:textId="77777777" w:rsidR="00002061" w:rsidRPr="009B70E7" w:rsidRDefault="00002061" w:rsidP="00576060">
            <w:pPr>
              <w:pStyle w:val="ListParagraph"/>
              <w:ind w:left="-108"/>
            </w:pPr>
          </w:p>
        </w:tc>
      </w:tr>
      <w:tr w:rsidR="00002061" w:rsidRPr="009B70E7" w14:paraId="0F2EDDB4" w14:textId="77777777" w:rsidTr="006F6E46">
        <w:tblPrEx>
          <w:tblCellMar>
            <w:left w:w="57" w:type="dxa"/>
            <w:right w:w="57" w:type="dxa"/>
          </w:tblCellMar>
        </w:tblPrEx>
        <w:tc>
          <w:tcPr>
            <w:tcW w:w="1996" w:type="dxa"/>
          </w:tcPr>
          <w:p w14:paraId="311A65B6" w14:textId="7A9C73F7" w:rsidR="00002061" w:rsidRPr="009B70E7" w:rsidRDefault="00B80604" w:rsidP="00576060">
            <w:pPr>
              <w:pStyle w:val="ListParagraph"/>
              <w:ind w:left="79"/>
              <w:rPr>
                <w:b/>
              </w:rPr>
            </w:pPr>
            <w:r>
              <w:rPr>
                <w:b/>
              </w:rPr>
              <w:t>Atsauces:</w:t>
            </w:r>
            <w:r w:rsidR="00002061">
              <w:rPr>
                <w:b/>
              </w:rPr>
              <w:t xml:space="preserve"> </w:t>
            </w:r>
          </w:p>
        </w:tc>
        <w:tc>
          <w:tcPr>
            <w:tcW w:w="7465" w:type="dxa"/>
            <w:gridSpan w:val="3"/>
          </w:tcPr>
          <w:p w14:paraId="5CBCC39E" w14:textId="2DC00CAA" w:rsidR="00002061" w:rsidRPr="009B70E7" w:rsidRDefault="00002061" w:rsidP="00576060">
            <w:pPr>
              <w:pStyle w:val="ListParagraph"/>
              <w:ind w:left="-56"/>
            </w:pPr>
            <w:r>
              <w:t>COM(2022) 338 final</w:t>
            </w:r>
          </w:p>
          <w:p w14:paraId="50A96FB2" w14:textId="7C93AA3B" w:rsidR="00002061" w:rsidRPr="009B70E7" w:rsidRDefault="00002061" w:rsidP="00576060">
            <w:pPr>
              <w:pStyle w:val="ListParagraph"/>
              <w:ind w:left="-56"/>
            </w:pPr>
            <w:r>
              <w:t>EESC-2022-04815-00-00-AC</w:t>
            </w:r>
          </w:p>
        </w:tc>
      </w:tr>
    </w:tbl>
    <w:p w14:paraId="13FBF44C" w14:textId="77777777" w:rsidR="00002061" w:rsidRPr="009B70E7" w:rsidRDefault="00002061" w:rsidP="00002061">
      <w:pPr>
        <w:pStyle w:val="ListParagraph"/>
        <w:ind w:left="0"/>
        <w:rPr>
          <w:b/>
        </w:rPr>
      </w:pPr>
    </w:p>
    <w:p w14:paraId="43D7BA09" w14:textId="77777777" w:rsidR="00002061" w:rsidRDefault="00002061" w:rsidP="00002061">
      <w:pPr>
        <w:pStyle w:val="ListParagraph"/>
        <w:spacing w:line="240" w:lineRule="auto"/>
        <w:ind w:left="0" w:firstLine="142"/>
        <w:rPr>
          <w:b/>
        </w:rPr>
      </w:pPr>
      <w:r>
        <w:rPr>
          <w:b/>
          <w:bCs/>
        </w:rPr>
        <w:t>Svarīgākie aspekti</w:t>
      </w:r>
    </w:p>
    <w:p w14:paraId="4608CE79" w14:textId="77777777" w:rsidR="00002061" w:rsidRPr="00C65A95" w:rsidRDefault="00002061" w:rsidP="00002061">
      <w:pPr>
        <w:pStyle w:val="ListParagraph"/>
        <w:spacing w:line="240" w:lineRule="auto"/>
        <w:ind w:left="-142" w:firstLine="142"/>
        <w:rPr>
          <w:b/>
        </w:rPr>
      </w:pPr>
    </w:p>
    <w:p w14:paraId="5AE5E4AD" w14:textId="77777777" w:rsidR="00002061" w:rsidRPr="00027441" w:rsidRDefault="00002061" w:rsidP="00002061">
      <w:pPr>
        <w:pStyle w:val="ListParagraph"/>
        <w:spacing w:line="240" w:lineRule="auto"/>
        <w:ind w:left="0" w:firstLine="142"/>
        <w:rPr>
          <w:bCs/>
        </w:rPr>
      </w:pPr>
      <w:r>
        <w:t>EESK:</w:t>
      </w:r>
    </w:p>
    <w:p w14:paraId="4082B031" w14:textId="77777777" w:rsidR="00002061" w:rsidRPr="009B70E7" w:rsidRDefault="00002061" w:rsidP="00002061">
      <w:pPr>
        <w:pStyle w:val="ListParagraph"/>
        <w:ind w:left="0"/>
      </w:pPr>
    </w:p>
    <w:p w14:paraId="745019BE" w14:textId="489375E0" w:rsidR="00002061" w:rsidRPr="00002061" w:rsidRDefault="00221313" w:rsidP="00002061">
      <w:pPr>
        <w:numPr>
          <w:ilvl w:val="0"/>
          <w:numId w:val="3"/>
        </w:numPr>
        <w:ind w:left="357" w:hanging="357"/>
        <w:contextualSpacing/>
      </w:pPr>
      <w:r>
        <w:rPr>
          <w:b/>
        </w:rPr>
        <w:t>atbalsta Eiropas Komisijas priekšlikumu</w:t>
      </w:r>
      <w:r>
        <w:t xml:space="preserve"> Eiropas Parlamenta un Padomes regulai par kvalitātes un drošības standartiem cilvēku izcelsmes vielām (CIV), kuras paredzēts izmantot cilvēkiem, un ar ko atceļ Direktīvu 2002/98/EK un Direktīvu 2004/23/EK;</w:t>
      </w:r>
    </w:p>
    <w:p w14:paraId="1641A92F" w14:textId="63CA8CD6" w:rsidR="000B7D8A" w:rsidRPr="00221313" w:rsidRDefault="00221313" w:rsidP="00002061">
      <w:pPr>
        <w:numPr>
          <w:ilvl w:val="0"/>
          <w:numId w:val="3"/>
        </w:numPr>
        <w:ind w:left="357" w:hanging="357"/>
        <w:contextualSpacing/>
        <w:rPr>
          <w:sz w:val="28"/>
        </w:rPr>
      </w:pPr>
      <w:r>
        <w:t>uzskata, ka ir lietderīgi definēt regulas darbības jomu tā, lai tajā tiktu ņemtas vērā ne tikai CIV, kas vēl nav reglamentētas ES līmenī (piemēram, mātes piens), bet arī jebkura </w:t>
      </w:r>
      <w:r>
        <w:rPr>
          <w:b/>
        </w:rPr>
        <w:t>CIV, ko varētu izmantot nākotnē</w:t>
      </w:r>
      <w:r>
        <w:t>;</w:t>
      </w:r>
    </w:p>
    <w:p w14:paraId="6C89C69B" w14:textId="286D8E4F" w:rsidR="00221313" w:rsidRPr="00221313" w:rsidRDefault="00221313" w:rsidP="00002061">
      <w:pPr>
        <w:numPr>
          <w:ilvl w:val="0"/>
          <w:numId w:val="3"/>
        </w:numPr>
        <w:ind w:left="357" w:hanging="357"/>
        <w:contextualSpacing/>
        <w:rPr>
          <w:sz w:val="28"/>
        </w:rPr>
      </w:pPr>
      <w:r>
        <w:rPr>
          <w:b/>
        </w:rPr>
        <w:t>atbalsta juridiskās izmaiņas, kas samazinās izmaksas</w:t>
      </w:r>
      <w:r>
        <w:t xml:space="preserve"> Eiropas Savienības iestādēm, dalībvalstīm un ES iedzīvotājiem, jo īpaši no tiesību aktiem svītrojot novecojušus testus un sistemātiskus skrīningus. Regulas noteikumu efektivitāte būtu pastāvīgi jāpārrauga, ņemot vērā vajadzību saglabāt CIV drošību un kvalitāti un ievērot Eiropas Savienības Pamattiesību hartas standartus;</w:t>
      </w:r>
    </w:p>
    <w:p w14:paraId="0DF943B2" w14:textId="6029133B" w:rsidR="00221313" w:rsidRPr="00221313" w:rsidRDefault="00221313" w:rsidP="00002061">
      <w:pPr>
        <w:numPr>
          <w:ilvl w:val="0"/>
          <w:numId w:val="3"/>
        </w:numPr>
        <w:ind w:left="357" w:hanging="357"/>
        <w:contextualSpacing/>
        <w:rPr>
          <w:sz w:val="28"/>
        </w:rPr>
      </w:pPr>
      <w:r>
        <w:rPr>
          <w:b/>
        </w:rPr>
        <w:t>atzinīgi vērtē to, ka ir ieviesti vienoti pamatstandarti to uzņēmēju reģistru uzturēšanai, kuri darbojas CIV jomā</w:t>
      </w:r>
      <w:r>
        <w:t>. Tos pastiprina ES CIV platformas izveide, kura, pateicoties pastāvīgai un ātrai informācijas apmaiņai, sekmēs ES drošības uzlabošanu sabiedrības veselības jomā;</w:t>
      </w:r>
    </w:p>
    <w:p w14:paraId="22D3AE01" w14:textId="7A834579" w:rsidR="00221313" w:rsidRPr="00221313" w:rsidRDefault="00221313" w:rsidP="00002061">
      <w:pPr>
        <w:numPr>
          <w:ilvl w:val="0"/>
          <w:numId w:val="3"/>
        </w:numPr>
        <w:ind w:left="357" w:hanging="357"/>
        <w:contextualSpacing/>
        <w:rPr>
          <w:sz w:val="28"/>
        </w:rPr>
      </w:pPr>
      <w:r>
        <w:rPr>
          <w:b/>
        </w:rPr>
        <w:t>atbalsta tādu pasākumu pieņemšanu, kuru mērķis ir stiprināt CIV donoru tiesības</w:t>
      </w:r>
      <w:r>
        <w:t xml:space="preserve"> un kuri papildina pašreizējos regulējuma trūkumus. Šajā sakarā EESK uzsver: lai novērstu CIV ļaunprātīgu izmantošanu un garantētu piesaistīšanas drošību, būtiski ir, lai priekšlikumā tiktu apstiprināts princips par bezmaksas CIV ziedojumu;</w:t>
      </w:r>
    </w:p>
    <w:p w14:paraId="190D2A9F" w14:textId="381B79FF" w:rsidR="00221313" w:rsidRPr="00002061" w:rsidRDefault="00221313" w:rsidP="00002061">
      <w:pPr>
        <w:numPr>
          <w:ilvl w:val="0"/>
          <w:numId w:val="3"/>
        </w:numPr>
        <w:ind w:left="357" w:hanging="357"/>
        <w:contextualSpacing/>
        <w:rPr>
          <w:sz w:val="28"/>
        </w:rPr>
      </w:pPr>
      <w:r>
        <w:t xml:space="preserve">uzskata, ka </w:t>
      </w:r>
      <w:r>
        <w:rPr>
          <w:b/>
        </w:rPr>
        <w:t>īpaša uzmanība būtu jāpievērš vajadzībai veikt CIV struktūru rūpīgu un sistemātisku kontroli</w:t>
      </w:r>
      <w:r>
        <w:t xml:space="preserve"> attiecībā uz drošību, kvalitāti un piesaistīšanas veidu. Īpaši svarīgi ir pastāvīgi uzraudzīt un kontrolēt to struktūru pareizu darbību, kuri importē CIV. CIV, ko importē no valstīm ārpus Eiropas Savienības, būtu jāatbilst tiem pašiem kvalitātes un drošības standartiem, kādi ir ES.</w:t>
      </w:r>
    </w:p>
    <w:p w14:paraId="56EC94EC" w14:textId="4D19FE6C" w:rsidR="00002061" w:rsidRDefault="00002061" w:rsidP="00002061">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221313" w:rsidRPr="009B70E7" w14:paraId="0696D062" w14:textId="77777777" w:rsidTr="00576060">
        <w:tc>
          <w:tcPr>
            <w:tcW w:w="1418" w:type="dxa"/>
          </w:tcPr>
          <w:p w14:paraId="697BE04F" w14:textId="77777777" w:rsidR="00221313" w:rsidRPr="009B70E7" w:rsidRDefault="00221313" w:rsidP="00576060">
            <w:pPr>
              <w:pStyle w:val="ListParagraph"/>
              <w:ind w:left="0"/>
              <w:rPr>
                <w:i/>
              </w:rPr>
            </w:pPr>
            <w:r>
              <w:rPr>
                <w:b/>
                <w:i/>
              </w:rPr>
              <w:t>Kontaktpersona:</w:t>
            </w:r>
          </w:p>
        </w:tc>
        <w:tc>
          <w:tcPr>
            <w:tcW w:w="5670" w:type="dxa"/>
          </w:tcPr>
          <w:p w14:paraId="505922BF" w14:textId="759BFFDA" w:rsidR="00221313" w:rsidRPr="009B70E7" w:rsidRDefault="00221313" w:rsidP="00576060">
            <w:pPr>
              <w:pStyle w:val="ListParagraph"/>
              <w:ind w:left="0"/>
              <w:rPr>
                <w:i/>
              </w:rPr>
            </w:pPr>
            <w:r>
              <w:rPr>
                <w:i/>
              </w:rPr>
              <w:t>Valeria Atzori</w:t>
            </w:r>
          </w:p>
        </w:tc>
      </w:tr>
      <w:tr w:rsidR="00221313" w:rsidRPr="009B70E7" w14:paraId="1F9EC408" w14:textId="77777777" w:rsidTr="00576060">
        <w:tc>
          <w:tcPr>
            <w:tcW w:w="1418" w:type="dxa"/>
          </w:tcPr>
          <w:p w14:paraId="62C4EEA8" w14:textId="77777777" w:rsidR="00221313" w:rsidRPr="009B70E7" w:rsidRDefault="00221313" w:rsidP="00576060">
            <w:pPr>
              <w:pStyle w:val="ListParagraph"/>
              <w:ind w:left="601"/>
              <w:rPr>
                <w:i/>
              </w:rPr>
            </w:pPr>
            <w:r>
              <w:rPr>
                <w:i/>
              </w:rPr>
              <w:t>Tālr.:</w:t>
            </w:r>
          </w:p>
        </w:tc>
        <w:tc>
          <w:tcPr>
            <w:tcW w:w="5670" w:type="dxa"/>
          </w:tcPr>
          <w:p w14:paraId="38047F92" w14:textId="2E5EBEDE" w:rsidR="00221313" w:rsidRPr="009B70E7" w:rsidRDefault="00221313" w:rsidP="00576060">
            <w:pPr>
              <w:pStyle w:val="ListParagraph"/>
              <w:ind w:left="0"/>
              <w:rPr>
                <w:i/>
              </w:rPr>
            </w:pPr>
            <w:r>
              <w:rPr>
                <w:i/>
              </w:rPr>
              <w:t>00 32 2 546 87 74</w:t>
            </w:r>
          </w:p>
        </w:tc>
      </w:tr>
      <w:tr w:rsidR="00221313" w:rsidRPr="001D770D" w14:paraId="0C3A430B" w14:textId="77777777" w:rsidTr="00576060">
        <w:tc>
          <w:tcPr>
            <w:tcW w:w="1418" w:type="dxa"/>
          </w:tcPr>
          <w:p w14:paraId="28D31F07" w14:textId="77777777" w:rsidR="00221313" w:rsidRPr="009B70E7" w:rsidRDefault="00221313" w:rsidP="00576060">
            <w:pPr>
              <w:pStyle w:val="ListParagraph"/>
              <w:ind w:left="601"/>
              <w:rPr>
                <w:i/>
              </w:rPr>
            </w:pPr>
            <w:r>
              <w:rPr>
                <w:i/>
              </w:rPr>
              <w:t>E-pasts:</w:t>
            </w:r>
          </w:p>
        </w:tc>
        <w:tc>
          <w:tcPr>
            <w:tcW w:w="5670" w:type="dxa"/>
          </w:tcPr>
          <w:p w14:paraId="465A2B41" w14:textId="7CD1AC9E" w:rsidR="00221313" w:rsidRPr="001D770D" w:rsidRDefault="000062DB" w:rsidP="00576060">
            <w:pPr>
              <w:pStyle w:val="ListParagraph"/>
              <w:ind w:left="0"/>
              <w:rPr>
                <w:i/>
              </w:rPr>
            </w:pPr>
            <w:hyperlink r:id="rId33" w:history="1">
              <w:r w:rsidR="007B42E2">
                <w:rPr>
                  <w:rStyle w:val="Hyperlink"/>
                  <w:i/>
                </w:rPr>
                <w:t xml:space="preserve"> Valeria.Atzori@eesc.europa.eu</w:t>
              </w:r>
            </w:hyperlink>
          </w:p>
        </w:tc>
      </w:tr>
    </w:tbl>
    <w:p w14:paraId="79424328" w14:textId="7E175222" w:rsidR="00002061" w:rsidRDefault="00002061" w:rsidP="00002061">
      <w:pPr>
        <w:contextualSpacing/>
      </w:pPr>
    </w:p>
    <w:p w14:paraId="4272493B" w14:textId="35704569" w:rsidR="00002061" w:rsidRDefault="00002061" w:rsidP="00002061">
      <w:pPr>
        <w:contextualSpacing/>
      </w:pPr>
    </w:p>
    <w:p w14:paraId="2F2392FB" w14:textId="02CA65C1" w:rsidR="00002061" w:rsidRDefault="00002061" w:rsidP="00002061">
      <w:pPr>
        <w:contextualSpacing/>
      </w:pPr>
    </w:p>
    <w:p w14:paraId="2D136F3C" w14:textId="0BAB9265" w:rsidR="00002061" w:rsidRPr="00276CC9" w:rsidRDefault="00002061">
      <w:pPr>
        <w:spacing w:after="160" w:line="259" w:lineRule="auto"/>
        <w:jc w:val="left"/>
        <w:rPr>
          <w:sz w:val="28"/>
        </w:rPr>
      </w:pPr>
    </w:p>
    <w:p w14:paraId="26DAAB1A" w14:textId="77777777" w:rsidR="006F6E46" w:rsidRDefault="006F6E46">
      <w:pPr>
        <w:spacing w:after="160" w:line="259" w:lineRule="auto"/>
        <w:jc w:val="left"/>
        <w:rPr>
          <w:b/>
          <w:kern w:val="28"/>
        </w:rPr>
      </w:pPr>
      <w:bookmarkStart w:id="20" w:name="_Toc24617160"/>
      <w:bookmarkStart w:id="21" w:name="_Toc75527082"/>
      <w:bookmarkStart w:id="22" w:name="_Toc108435210"/>
      <w:r>
        <w:rPr>
          <w:b/>
        </w:rPr>
        <w:br w:type="page"/>
      </w:r>
    </w:p>
    <w:p w14:paraId="13643C27" w14:textId="203B87EF" w:rsidR="004D7AC0" w:rsidRPr="00AD3DB1" w:rsidRDefault="004D7AC0">
      <w:pPr>
        <w:pStyle w:val="Heading1"/>
        <w:rPr>
          <w:b/>
        </w:rPr>
      </w:pPr>
      <w:bookmarkStart w:id="23" w:name="_Toc120000279"/>
      <w:r>
        <w:rPr>
          <w:b/>
        </w:rPr>
        <w:lastRenderedPageBreak/>
        <w:t>TRANSPORTS, ENERĢĒTIKA, INFRASTRUKTŪRA UN INFORMĀCIJAS SABIEDRĪBA</w:t>
      </w:r>
      <w:bookmarkEnd w:id="20"/>
      <w:bookmarkEnd w:id="21"/>
      <w:bookmarkEnd w:id="22"/>
      <w:bookmarkEnd w:id="23"/>
    </w:p>
    <w:p w14:paraId="07646FB3" w14:textId="77777777" w:rsidR="00961956" w:rsidRPr="00AD3DB1" w:rsidRDefault="00961956">
      <w:pPr>
        <w:pStyle w:val="ListParagraph"/>
        <w:ind w:left="0"/>
        <w:rPr>
          <w:lang w:val="en-US"/>
        </w:rPr>
      </w:pPr>
    </w:p>
    <w:p w14:paraId="331DDD1A" w14:textId="18BE2D4D" w:rsidR="00961956" w:rsidRPr="00413EA0" w:rsidRDefault="001543FE" w:rsidP="0018231C">
      <w:pPr>
        <w:pStyle w:val="ListParagraph"/>
        <w:keepNext/>
        <w:numPr>
          <w:ilvl w:val="0"/>
          <w:numId w:val="2"/>
        </w:numPr>
        <w:ind w:left="567" w:hanging="567"/>
        <w:rPr>
          <w:rStyle w:val="Hyperlink"/>
          <w:b/>
          <w:i/>
          <w:color w:val="auto"/>
          <w:sz w:val="28"/>
          <w:szCs w:val="28"/>
          <w:u w:val="none"/>
        </w:rPr>
      </w:pPr>
      <w:bookmarkStart w:id="24" w:name="_Hlk111625863"/>
      <w:r>
        <w:rPr>
          <w:b/>
          <w:i/>
          <w:sz w:val="28"/>
        </w:rPr>
        <w:t>Stratēģisks redzējums par enerģētikas pārkārtošanu Eiropas Savienības stratēģiskās autonomijas nodrošināšanai</w:t>
      </w:r>
    </w:p>
    <w:p w14:paraId="075EF839" w14:textId="77777777" w:rsidR="00413EA0" w:rsidRPr="00413EA0" w:rsidRDefault="00413EA0" w:rsidP="00413EA0">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413EA0" w:rsidRPr="007E7A4F" w14:paraId="07C36F8A" w14:textId="77777777" w:rsidTr="00576060">
        <w:tc>
          <w:tcPr>
            <w:tcW w:w="1701" w:type="dxa"/>
          </w:tcPr>
          <w:p w14:paraId="5169BBBA" w14:textId="525C3F39" w:rsidR="00413EA0" w:rsidRPr="009B70E7" w:rsidRDefault="00413EA0" w:rsidP="00576060">
            <w:pPr>
              <w:pStyle w:val="ListParagraph"/>
              <w:ind w:left="0"/>
              <w:rPr>
                <w:b/>
              </w:rPr>
            </w:pPr>
            <w:r>
              <w:rPr>
                <w:b/>
              </w:rPr>
              <w:t>Ziņotāji:</w:t>
            </w:r>
          </w:p>
        </w:tc>
        <w:tc>
          <w:tcPr>
            <w:tcW w:w="6096" w:type="dxa"/>
          </w:tcPr>
          <w:p w14:paraId="6053BE96" w14:textId="11C0DB0A" w:rsidR="00413EA0" w:rsidRPr="007E7A4F" w:rsidRDefault="00413EA0" w:rsidP="00576060">
            <w:pPr>
              <w:pStyle w:val="ListParagraph"/>
              <w:ind w:left="-108"/>
            </w:pPr>
            <w:r>
              <w:t>Thomas KATTNIG (Darba ņēmēju grupa – AT)</w:t>
            </w:r>
          </w:p>
        </w:tc>
      </w:tr>
      <w:tr w:rsidR="00413EA0" w:rsidRPr="00A74B4C" w14:paraId="30FC10A5" w14:textId="77777777" w:rsidTr="00576060">
        <w:tc>
          <w:tcPr>
            <w:tcW w:w="1701" w:type="dxa"/>
          </w:tcPr>
          <w:p w14:paraId="6F9ABBF3" w14:textId="53392564" w:rsidR="00413EA0" w:rsidRPr="009B70E7" w:rsidRDefault="00413EA0" w:rsidP="00027441">
            <w:pPr>
              <w:pStyle w:val="ListParagraph"/>
              <w:keepNext/>
              <w:ind w:left="0"/>
              <w:rPr>
                <w:b/>
              </w:rPr>
            </w:pPr>
          </w:p>
        </w:tc>
        <w:tc>
          <w:tcPr>
            <w:tcW w:w="6096" w:type="dxa"/>
          </w:tcPr>
          <w:p w14:paraId="1E2949AC" w14:textId="3EB2891A" w:rsidR="00413EA0" w:rsidRPr="00A74B4C" w:rsidRDefault="00413EA0" w:rsidP="00576060">
            <w:pPr>
              <w:pStyle w:val="ListParagraph"/>
              <w:ind w:left="-108"/>
            </w:pPr>
            <w:r>
              <w:t>Lutz RIBBE (Pilsoniskās sabiedrības organizāciju grupa – DE)</w:t>
            </w:r>
          </w:p>
        </w:tc>
      </w:tr>
    </w:tbl>
    <w:p w14:paraId="6B9898D3" w14:textId="15CFDCC8" w:rsidR="00413EA0" w:rsidRDefault="001543FE" w:rsidP="0018231C">
      <w:pPr>
        <w:pStyle w:val="ListParagraph"/>
        <w:keepNext/>
        <w:ind w:left="0"/>
      </w:pPr>
      <w:r>
        <w:tab/>
      </w:r>
      <w:r>
        <w:tab/>
      </w:r>
      <w:r w:rsidR="001C55E2">
        <w:t xml:space="preserve">        </w:t>
      </w:r>
      <w:r>
        <w:t>Tomasz Andrzej WRÓBLEWSKI (Darba devēju grupa – PL)</w:t>
      </w:r>
    </w:p>
    <w:p w14:paraId="714D274D" w14:textId="77777777" w:rsidR="00677979" w:rsidRPr="00824DCF" w:rsidRDefault="00677979" w:rsidP="0018231C">
      <w:pPr>
        <w:pStyle w:val="ListParagraph"/>
        <w:keepNext/>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857777C" w14:textId="77777777" w:rsidTr="0018231C">
        <w:tc>
          <w:tcPr>
            <w:tcW w:w="1701" w:type="dxa"/>
            <w:vMerge w:val="restart"/>
          </w:tcPr>
          <w:p w14:paraId="3DF2404C" w14:textId="552EBCE7" w:rsidR="00961956" w:rsidRPr="009B70E7" w:rsidRDefault="00B80604" w:rsidP="00027441">
            <w:pPr>
              <w:pStyle w:val="ListParagraph"/>
              <w:spacing w:line="240" w:lineRule="auto"/>
              <w:ind w:left="-63" w:firstLine="142"/>
              <w:rPr>
                <w:b/>
              </w:rPr>
            </w:pPr>
            <w:r>
              <w:rPr>
                <w:b/>
              </w:rPr>
              <w:t>Atsauce:</w:t>
            </w:r>
            <w:r w:rsidR="00961956">
              <w:rPr>
                <w:b/>
              </w:rPr>
              <w:t xml:space="preserve"> </w:t>
            </w:r>
          </w:p>
        </w:tc>
        <w:tc>
          <w:tcPr>
            <w:tcW w:w="5387" w:type="dxa"/>
          </w:tcPr>
          <w:p w14:paraId="11997CDA" w14:textId="77777777" w:rsidR="00961956" w:rsidRPr="009B70E7" w:rsidRDefault="002C0E2F" w:rsidP="00407760">
            <w:pPr>
              <w:pStyle w:val="ListParagraph"/>
              <w:keepNext/>
              <w:ind w:left="-56"/>
            </w:pPr>
            <w:r>
              <w:t>Pašiniciatīvas atzinums</w:t>
            </w:r>
          </w:p>
        </w:tc>
      </w:tr>
      <w:tr w:rsidR="00961956" w:rsidRPr="009B70E7" w14:paraId="3AF643A2" w14:textId="77777777" w:rsidTr="0018231C">
        <w:tc>
          <w:tcPr>
            <w:tcW w:w="1701" w:type="dxa"/>
            <w:vMerge/>
          </w:tcPr>
          <w:p w14:paraId="5E8FA40A" w14:textId="77777777" w:rsidR="00961956" w:rsidRPr="009B70E7" w:rsidRDefault="00961956" w:rsidP="0018231C">
            <w:pPr>
              <w:pStyle w:val="ListParagraph"/>
              <w:keepNext/>
              <w:ind w:left="0"/>
              <w:rPr>
                <w:b/>
              </w:rPr>
            </w:pPr>
          </w:p>
        </w:tc>
        <w:tc>
          <w:tcPr>
            <w:tcW w:w="5387" w:type="dxa"/>
          </w:tcPr>
          <w:p w14:paraId="47950539" w14:textId="66FD0303" w:rsidR="00961956" w:rsidRPr="009B70E7" w:rsidRDefault="00E65D01" w:rsidP="00407760">
            <w:pPr>
              <w:pStyle w:val="ListParagraph"/>
              <w:keepNext/>
              <w:ind w:left="-56"/>
            </w:pPr>
            <w:r>
              <w:t>EESC-2022-03403-00-00-AC</w:t>
            </w:r>
          </w:p>
        </w:tc>
      </w:tr>
    </w:tbl>
    <w:p w14:paraId="148D7539" w14:textId="77777777" w:rsidR="00961956" w:rsidRPr="009B70E7" w:rsidRDefault="00961956" w:rsidP="0018231C">
      <w:pPr>
        <w:pStyle w:val="ListParagraph"/>
        <w:keepNext/>
        <w:ind w:left="0"/>
      </w:pPr>
    </w:p>
    <w:p w14:paraId="11D6B73E" w14:textId="1A0B4F05" w:rsidR="00961956" w:rsidRPr="009B70E7" w:rsidRDefault="00961956" w:rsidP="00027441">
      <w:pPr>
        <w:pStyle w:val="ListParagraph"/>
        <w:spacing w:line="240" w:lineRule="auto"/>
        <w:ind w:left="0" w:firstLine="142"/>
        <w:rPr>
          <w:b/>
        </w:rPr>
      </w:pPr>
      <w:r>
        <w:rPr>
          <w:b/>
          <w:bCs/>
        </w:rPr>
        <w:t>Svarīgākie aspekti</w:t>
      </w:r>
    </w:p>
    <w:p w14:paraId="75408D74" w14:textId="77777777" w:rsidR="00961956" w:rsidRPr="00027441" w:rsidRDefault="00961956" w:rsidP="00027441">
      <w:pPr>
        <w:pStyle w:val="ListParagraph"/>
        <w:spacing w:line="240" w:lineRule="auto"/>
        <w:ind w:left="0" w:firstLine="142"/>
        <w:rPr>
          <w:bCs/>
        </w:rPr>
      </w:pPr>
    </w:p>
    <w:p w14:paraId="487F835E" w14:textId="77777777" w:rsidR="00824DCF" w:rsidRDefault="00824DCF" w:rsidP="00027441">
      <w:pPr>
        <w:pStyle w:val="ListParagraph"/>
        <w:spacing w:line="240" w:lineRule="auto"/>
        <w:ind w:left="0" w:firstLine="142"/>
      </w:pPr>
      <w:r>
        <w:t>EESK:</w:t>
      </w:r>
    </w:p>
    <w:p w14:paraId="5EDF7A19" w14:textId="77777777" w:rsidR="00824DCF" w:rsidRPr="009B70E7" w:rsidRDefault="00824DCF">
      <w:pPr>
        <w:pStyle w:val="ListParagraph"/>
        <w:ind w:left="0"/>
      </w:pPr>
    </w:p>
    <w:p w14:paraId="3E5BFFD4" w14:textId="06C1EC21" w:rsidR="00961956" w:rsidRPr="00F049D6" w:rsidRDefault="00677979" w:rsidP="00C86F74">
      <w:pPr>
        <w:pStyle w:val="ListParagraph"/>
        <w:numPr>
          <w:ilvl w:val="0"/>
          <w:numId w:val="3"/>
        </w:numPr>
        <w:ind w:left="357" w:hanging="357"/>
      </w:pPr>
      <w:r>
        <w:t xml:space="preserve">izklāsta </w:t>
      </w:r>
      <w:r>
        <w:rPr>
          <w:b/>
          <w:bCs/>
        </w:rPr>
        <w:t>visaptverošu redzējumu par enerģētikas pārkārtošanu</w:t>
      </w:r>
      <w:r>
        <w:t xml:space="preserve">, lai veidotu un veicinātu ES </w:t>
      </w:r>
      <w:r>
        <w:rPr>
          <w:b/>
          <w:bCs/>
        </w:rPr>
        <w:t>stratēģisko autonomiju enerģētikas jomā</w:t>
      </w:r>
      <w:r>
        <w:t>. Šis redzējums ir balstīts uz septiņiem pašiniciatīvas atzinumiem, kuros apskatīti vairāki enerģētikas pārkārtošanas aspekti</w:t>
      </w:r>
      <w:r w:rsidRPr="00677979">
        <w:rPr>
          <w:bCs/>
          <w:iCs/>
          <w:vertAlign w:val="superscript"/>
        </w:rPr>
        <w:footnoteReference w:id="1"/>
      </w:r>
      <w:r w:rsidR="001C55E2">
        <w:t>;</w:t>
      </w:r>
    </w:p>
    <w:p w14:paraId="6A722D52" w14:textId="548B0419" w:rsidR="002C24B9" w:rsidRPr="00F049D6" w:rsidRDefault="00677979" w:rsidP="0018231C">
      <w:pPr>
        <w:pStyle w:val="ListParagraph"/>
        <w:numPr>
          <w:ilvl w:val="0"/>
          <w:numId w:val="3"/>
        </w:numPr>
        <w:ind w:left="357" w:hanging="357"/>
      </w:pPr>
      <w:r>
        <w:t xml:space="preserve">atbalsta </w:t>
      </w:r>
      <w:r>
        <w:rPr>
          <w:b/>
          <w:bCs/>
        </w:rPr>
        <w:t>tūlītēju pasākumu īstenošanu</w:t>
      </w:r>
      <w:r>
        <w:t xml:space="preserve">, lai risinātu steidzamākās problēmas, it īpaši, lai nodrošinātu piegādes drošību par iespējami zemākām izmaksām gan patērētājiem, gan rūpniecībai, un lai </w:t>
      </w:r>
      <w:r>
        <w:rPr>
          <w:b/>
          <w:bCs/>
        </w:rPr>
        <w:t>kompensētu zaudēto enerģijas piegādi no Krievijas</w:t>
      </w:r>
      <w:r>
        <w:t>, neradot jaunu ilgtermiņa atkarību no fosilā kurināmā;</w:t>
      </w:r>
    </w:p>
    <w:p w14:paraId="3941A3AB" w14:textId="7E8D895D" w:rsidR="00394949" w:rsidRPr="00C80321" w:rsidRDefault="00F33DD2" w:rsidP="00394949">
      <w:pPr>
        <w:pStyle w:val="ListParagraph"/>
        <w:numPr>
          <w:ilvl w:val="0"/>
          <w:numId w:val="3"/>
        </w:numPr>
        <w:ind w:left="357" w:hanging="357"/>
      </w:pPr>
      <w:r>
        <w:t xml:space="preserve">uzskata, ka Eiropas enerģētikas savienības un zaļā kursa mērķi un pasākumi būtībā ir pareizi, bet </w:t>
      </w:r>
      <w:r>
        <w:rPr>
          <w:b/>
          <w:bCs/>
        </w:rPr>
        <w:t>nav pietiekami, lai Eiropa iegūtu drošu, ilgtspējīgu un konkurētspējīgu stratēģisku enerģētisko autonomiju</w:t>
      </w:r>
      <w:r>
        <w:t>;</w:t>
      </w:r>
    </w:p>
    <w:p w14:paraId="08DAB17C" w14:textId="7786A629" w:rsidR="00C80321" w:rsidRPr="00C80321" w:rsidRDefault="00F33DD2" w:rsidP="00394949">
      <w:pPr>
        <w:pStyle w:val="ListParagraph"/>
        <w:numPr>
          <w:ilvl w:val="0"/>
          <w:numId w:val="3"/>
        </w:numPr>
        <w:ind w:left="357" w:hanging="357"/>
      </w:pPr>
      <w:r>
        <w:t>aicina visos plānotajos ar enerģētikas pārkārtošanu saistītajos pasākumos ņemt vērā sociālo dimensiju. Tas ir nepieciešams, lai nezaudētu iedzīvotāju atbalstu nepieciešamajām pārmaiņām un nodrošinātu taisnīgu pārkārtošanos;</w:t>
      </w:r>
    </w:p>
    <w:p w14:paraId="59F75F05" w14:textId="3BC15CCF" w:rsidR="00C80321" w:rsidRPr="00C80321" w:rsidRDefault="00F33DD2" w:rsidP="00394949">
      <w:pPr>
        <w:pStyle w:val="ListParagraph"/>
        <w:numPr>
          <w:ilvl w:val="0"/>
          <w:numId w:val="3"/>
        </w:numPr>
        <w:ind w:left="357" w:hanging="357"/>
      </w:pPr>
      <w:r>
        <w:t>uzsver, ka “taisnīga pārkārtošanās” nozīmē ne tikai pārkārtošanās finansēšanu. Tā ietver arī mērķi aizsargāt darba ņēmēju tiesības, radīt pienācīgus darba apstākļus, kvalitatīvas darbvietas un sociālo nodrošinājumu, stiprināt demokrātisku līdzdalību lēmumu pieņemšanā (tostarp uzņēmumu līmenī) un saglabāt un palielināt Eiropas uzņēmumu konkurētspēju, un tāpēc vajadzīgi īpaši pasākumi visos līmeņos, it īpaši reģionālajā līmenī;</w:t>
      </w:r>
    </w:p>
    <w:p w14:paraId="388B333C" w14:textId="20943B06" w:rsidR="00C80321" w:rsidRPr="00F33DD2" w:rsidRDefault="00F33DD2" w:rsidP="00394949">
      <w:pPr>
        <w:pStyle w:val="ListParagraph"/>
        <w:numPr>
          <w:ilvl w:val="0"/>
          <w:numId w:val="3"/>
        </w:numPr>
        <w:ind w:left="357" w:hanging="357"/>
      </w:pPr>
      <w:r>
        <w:t xml:space="preserve">uzsver: lai veicinātu vienotu izpratni par to, cik lielā mērā ir iespējams panākt neatkarību no enerģijas importa, </w:t>
      </w:r>
      <w:r>
        <w:rPr>
          <w:b/>
          <w:bCs/>
        </w:rPr>
        <w:t>pēc iespējas precīzāk jānosaka un plaši jādara zināms Eiropas potenciāls atjaunīgo energoresursu jomā</w:t>
      </w:r>
      <w:r>
        <w:t xml:space="preserve">. Papildus tam, ka šis potenciāls jāizmanto pēc iespējas ātrāk, vēl enerģiskāk jāizmanto </w:t>
      </w:r>
      <w:r>
        <w:rPr>
          <w:b/>
          <w:bCs/>
        </w:rPr>
        <w:t>energotaupības potenciāls</w:t>
      </w:r>
      <w:r>
        <w:t>;</w:t>
      </w:r>
    </w:p>
    <w:p w14:paraId="35A2290F" w14:textId="50D4B8ED" w:rsidR="00C80321" w:rsidRDefault="00F33DD2" w:rsidP="00394949">
      <w:pPr>
        <w:pStyle w:val="ListParagraph"/>
        <w:numPr>
          <w:ilvl w:val="0"/>
          <w:numId w:val="3"/>
        </w:numPr>
        <w:ind w:left="357" w:hanging="357"/>
      </w:pPr>
      <w:r>
        <w:t xml:space="preserve">Komiteja daudzos atzinumos ir norādījusi, ka </w:t>
      </w:r>
      <w:r>
        <w:rPr>
          <w:b/>
          <w:bCs/>
        </w:rPr>
        <w:t>sabiedrības atbalsts ir būtisks priekšnoteikums straujas pārveides nodrošināšanai</w:t>
      </w:r>
      <w:r>
        <w:t xml:space="preserve">. Tādēļ vēlreiz aicina Eiropas Komisiju un dalībvalstis kopā ar uzņēmēju organizācijām, palātām, sociālajiem partneriem un citām ieinteresētajām personām koordinēti un savstarpēji papildinoši īstenot </w:t>
      </w:r>
      <w:r>
        <w:rPr>
          <w:b/>
          <w:bCs/>
        </w:rPr>
        <w:t>plaša mēroga un mērķtiecīgus informēšanas un izpratnes veicināšanas pasākumus</w:t>
      </w:r>
      <w:r>
        <w:t>;</w:t>
      </w:r>
    </w:p>
    <w:p w14:paraId="31E62463" w14:textId="712383CF" w:rsidR="00394949" w:rsidRPr="00F33DD2" w:rsidRDefault="00F33DD2" w:rsidP="00F33DD2">
      <w:pPr>
        <w:pStyle w:val="ListParagraph"/>
        <w:numPr>
          <w:ilvl w:val="0"/>
          <w:numId w:val="3"/>
        </w:numPr>
        <w:ind w:left="357" w:hanging="357"/>
      </w:pPr>
      <w:r>
        <w:lastRenderedPageBreak/>
        <w:t xml:space="preserve">atkārtoti norāda, ka ne tikai jānodrošina, ka sociālās un reģionālās kohēzijas, kā arī atveseļošanas palīdzības finansējums tiek izmantots klimata aizsardzības un enerģētikas pārkārtošanas atbalstam, bet arī </w:t>
      </w:r>
      <w:r>
        <w:rPr>
          <w:b/>
          <w:bCs/>
        </w:rPr>
        <w:t>klimata un enerģētikas politika jāveido tā, lai veicinātu</w:t>
      </w:r>
      <w:r>
        <w:t xml:space="preserve"> </w:t>
      </w:r>
      <w:r>
        <w:rPr>
          <w:b/>
        </w:rPr>
        <w:t>sociālo un reģionālo kohēziju</w:t>
      </w:r>
      <w:r>
        <w:t>.</w:t>
      </w:r>
    </w:p>
    <w:p w14:paraId="650EBC4F" w14:textId="77777777" w:rsidR="00961956" w:rsidRPr="00F049D6" w:rsidRDefault="0096195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961956" w:rsidRPr="009B70E7" w14:paraId="196AAA5A" w14:textId="77777777" w:rsidTr="00771110">
        <w:tc>
          <w:tcPr>
            <w:tcW w:w="1418" w:type="dxa"/>
          </w:tcPr>
          <w:p w14:paraId="015B1472" w14:textId="77777777" w:rsidR="00961956" w:rsidRPr="009B70E7" w:rsidRDefault="00961956">
            <w:pPr>
              <w:pStyle w:val="ListParagraph"/>
              <w:ind w:left="0"/>
              <w:rPr>
                <w:i/>
              </w:rPr>
            </w:pPr>
            <w:r>
              <w:rPr>
                <w:b/>
                <w:i/>
              </w:rPr>
              <w:t>Kontaktpersona:</w:t>
            </w:r>
          </w:p>
        </w:tc>
        <w:tc>
          <w:tcPr>
            <w:tcW w:w="5670" w:type="dxa"/>
          </w:tcPr>
          <w:p w14:paraId="1E2C028D" w14:textId="5829509D" w:rsidR="00961956" w:rsidRPr="009B70E7" w:rsidRDefault="00413EA0">
            <w:pPr>
              <w:pStyle w:val="ListParagraph"/>
              <w:ind w:left="0"/>
              <w:rPr>
                <w:i/>
              </w:rPr>
            </w:pPr>
            <w:r>
              <w:rPr>
                <w:i/>
              </w:rPr>
              <w:t>Layla Reiter</w:t>
            </w:r>
          </w:p>
        </w:tc>
      </w:tr>
      <w:tr w:rsidR="00961956" w:rsidRPr="009B70E7" w14:paraId="767EF621" w14:textId="77777777" w:rsidTr="00771110">
        <w:tc>
          <w:tcPr>
            <w:tcW w:w="1418" w:type="dxa"/>
          </w:tcPr>
          <w:p w14:paraId="2C15F67B" w14:textId="77777777" w:rsidR="00961956" w:rsidRPr="009B70E7" w:rsidRDefault="00961956">
            <w:pPr>
              <w:pStyle w:val="ListParagraph"/>
              <w:ind w:left="601"/>
              <w:rPr>
                <w:i/>
              </w:rPr>
            </w:pPr>
            <w:r>
              <w:rPr>
                <w:i/>
              </w:rPr>
              <w:t>Tālr.:</w:t>
            </w:r>
          </w:p>
        </w:tc>
        <w:tc>
          <w:tcPr>
            <w:tcW w:w="5670" w:type="dxa"/>
          </w:tcPr>
          <w:p w14:paraId="619D9C38" w14:textId="5732F18A" w:rsidR="00961956" w:rsidRPr="009B70E7" w:rsidRDefault="002C24B9">
            <w:pPr>
              <w:pStyle w:val="ListParagraph"/>
              <w:ind w:left="0"/>
              <w:rPr>
                <w:i/>
              </w:rPr>
            </w:pPr>
            <w:r>
              <w:rPr>
                <w:i/>
              </w:rPr>
              <w:t>00 32 2 546 93 68</w:t>
            </w:r>
          </w:p>
        </w:tc>
      </w:tr>
      <w:tr w:rsidR="00961956" w:rsidRPr="009B70E7" w14:paraId="0B88B3E2" w14:textId="77777777" w:rsidTr="00771110">
        <w:tc>
          <w:tcPr>
            <w:tcW w:w="1418" w:type="dxa"/>
          </w:tcPr>
          <w:p w14:paraId="7FB55A27" w14:textId="77777777" w:rsidR="00961956" w:rsidRPr="009B70E7" w:rsidRDefault="00961956">
            <w:pPr>
              <w:pStyle w:val="ListParagraph"/>
              <w:ind w:left="601"/>
              <w:rPr>
                <w:i/>
              </w:rPr>
            </w:pPr>
            <w:r>
              <w:rPr>
                <w:i/>
              </w:rPr>
              <w:t>E-pasts:</w:t>
            </w:r>
          </w:p>
        </w:tc>
        <w:tc>
          <w:tcPr>
            <w:tcW w:w="5670" w:type="dxa"/>
          </w:tcPr>
          <w:p w14:paraId="6B508845" w14:textId="5DBC54B5" w:rsidR="00F80F3B" w:rsidRPr="00F33DD2" w:rsidRDefault="000062DB">
            <w:pPr>
              <w:pStyle w:val="ListParagraph"/>
              <w:ind w:left="0"/>
              <w:rPr>
                <w:i/>
                <w:iCs/>
              </w:rPr>
            </w:pPr>
            <w:hyperlink r:id="rId34" w:history="1">
              <w:r w:rsidR="007B42E2">
                <w:rPr>
                  <w:rStyle w:val="Hyperlink"/>
                  <w:i/>
                </w:rPr>
                <w:t>Layla.Reiter@eesc.europa.eu</w:t>
              </w:r>
            </w:hyperlink>
          </w:p>
        </w:tc>
      </w:tr>
      <w:bookmarkEnd w:id="24"/>
    </w:tbl>
    <w:p w14:paraId="0BBF729C" w14:textId="77777777" w:rsidR="006F6E46" w:rsidRPr="00276CC9" w:rsidRDefault="006F6E46" w:rsidP="0018231C">
      <w:pPr>
        <w:jc w:val="left"/>
        <w:rPr>
          <w:sz w:val="28"/>
        </w:rPr>
      </w:pPr>
    </w:p>
    <w:p w14:paraId="73791747" w14:textId="2422A73A" w:rsidR="00E66A9B" w:rsidRPr="00413EA0" w:rsidRDefault="00F33DD2" w:rsidP="00E66A9B">
      <w:pPr>
        <w:pStyle w:val="ListParagraph"/>
        <w:keepNext/>
        <w:numPr>
          <w:ilvl w:val="0"/>
          <w:numId w:val="2"/>
        </w:numPr>
        <w:ind w:left="567" w:hanging="567"/>
        <w:rPr>
          <w:rStyle w:val="Hyperlink"/>
          <w:b/>
          <w:i/>
          <w:color w:val="auto"/>
          <w:sz w:val="28"/>
          <w:szCs w:val="28"/>
          <w:u w:val="none"/>
        </w:rPr>
      </w:pPr>
      <w:r>
        <w:rPr>
          <w:b/>
          <w:i/>
          <w:sz w:val="28"/>
        </w:rPr>
        <w:t>Sabiedriskā transporta ietekme uz Eiropas zaļo atveseļošanu</w:t>
      </w:r>
    </w:p>
    <w:p w14:paraId="077F0033" w14:textId="77777777" w:rsidR="00E66A9B" w:rsidRPr="00413EA0" w:rsidRDefault="00E66A9B" w:rsidP="00E66A9B">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87"/>
      </w:tblGrid>
      <w:tr w:rsidR="00E66A9B" w:rsidRPr="007E7A4F" w14:paraId="7617DBB6" w14:textId="77777777" w:rsidTr="006F6E46">
        <w:tc>
          <w:tcPr>
            <w:tcW w:w="1701" w:type="dxa"/>
          </w:tcPr>
          <w:p w14:paraId="2E374C51" w14:textId="77777777" w:rsidR="00E66A9B" w:rsidRPr="009B70E7" w:rsidRDefault="00E66A9B" w:rsidP="00027441">
            <w:pPr>
              <w:pStyle w:val="ListParagraph"/>
              <w:keepNext/>
              <w:ind w:left="0"/>
              <w:rPr>
                <w:b/>
              </w:rPr>
            </w:pPr>
            <w:r>
              <w:rPr>
                <w:b/>
              </w:rPr>
              <w:t>Ziņotāja:</w:t>
            </w:r>
          </w:p>
        </w:tc>
        <w:tc>
          <w:tcPr>
            <w:tcW w:w="6487" w:type="dxa"/>
          </w:tcPr>
          <w:p w14:paraId="1A778436" w14:textId="515BDB9B" w:rsidR="00E66A9B" w:rsidRPr="007E7A4F" w:rsidRDefault="00F33DD2" w:rsidP="00576060">
            <w:pPr>
              <w:pStyle w:val="ListParagraph"/>
              <w:ind w:left="-108"/>
            </w:pPr>
            <w:r>
              <w:t>Kristina KRUPAVIČIENĖ (Darba ņēmēju grupa – LT)</w:t>
            </w:r>
          </w:p>
        </w:tc>
      </w:tr>
      <w:tr w:rsidR="00E66A9B" w:rsidRPr="00A74B4C" w14:paraId="3E966487" w14:textId="77777777" w:rsidTr="006F6E46">
        <w:tc>
          <w:tcPr>
            <w:tcW w:w="1701" w:type="dxa"/>
          </w:tcPr>
          <w:p w14:paraId="0C54DBFE" w14:textId="77777777" w:rsidR="00E66A9B" w:rsidRPr="009B70E7" w:rsidRDefault="00E66A9B" w:rsidP="00576060">
            <w:pPr>
              <w:pStyle w:val="ListParagraph"/>
              <w:ind w:left="0"/>
              <w:rPr>
                <w:b/>
              </w:rPr>
            </w:pPr>
            <w:r>
              <w:rPr>
                <w:b/>
              </w:rPr>
              <w:t>Līdzziņotāja:</w:t>
            </w:r>
          </w:p>
        </w:tc>
        <w:tc>
          <w:tcPr>
            <w:tcW w:w="6487" w:type="dxa"/>
          </w:tcPr>
          <w:p w14:paraId="2E8850F4" w14:textId="1208D9F1" w:rsidR="00E66A9B" w:rsidRPr="00A74B4C" w:rsidRDefault="00F33DD2" w:rsidP="00576060">
            <w:pPr>
              <w:pStyle w:val="ListParagraph"/>
              <w:ind w:left="-108"/>
            </w:pPr>
            <w:r>
              <w:t>Dovilė JUODKAITĖ (Pilsoniskās sabiedrības organizāciju grupa – LT)</w:t>
            </w:r>
          </w:p>
        </w:tc>
      </w:tr>
    </w:tbl>
    <w:p w14:paraId="2495547C" w14:textId="77777777" w:rsidR="00E66A9B" w:rsidRPr="00824DCF" w:rsidRDefault="00E66A9B" w:rsidP="00E66A9B">
      <w:pPr>
        <w:pStyle w:val="ListParagraph"/>
        <w:keepNext/>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E66A9B" w:rsidRPr="009B70E7" w14:paraId="73A34406" w14:textId="77777777" w:rsidTr="00576060">
        <w:tc>
          <w:tcPr>
            <w:tcW w:w="1701" w:type="dxa"/>
            <w:vMerge w:val="restart"/>
          </w:tcPr>
          <w:p w14:paraId="6E2D1949" w14:textId="7D11CF25" w:rsidR="00E66A9B" w:rsidRPr="009B70E7" w:rsidRDefault="00B80604" w:rsidP="00576060">
            <w:pPr>
              <w:pStyle w:val="ListParagraph"/>
              <w:keepNext/>
              <w:ind w:left="0"/>
              <w:rPr>
                <w:b/>
              </w:rPr>
            </w:pPr>
            <w:r>
              <w:rPr>
                <w:b/>
              </w:rPr>
              <w:t>Atsauce:</w:t>
            </w:r>
            <w:r w:rsidR="00E66A9B">
              <w:rPr>
                <w:b/>
              </w:rPr>
              <w:t xml:space="preserve"> </w:t>
            </w:r>
          </w:p>
        </w:tc>
        <w:tc>
          <w:tcPr>
            <w:tcW w:w="5387" w:type="dxa"/>
          </w:tcPr>
          <w:p w14:paraId="53300100" w14:textId="77777777" w:rsidR="00E66A9B" w:rsidRPr="009B70E7" w:rsidRDefault="00E66A9B" w:rsidP="00576060">
            <w:pPr>
              <w:pStyle w:val="ListParagraph"/>
              <w:keepNext/>
              <w:ind w:left="-56"/>
            </w:pPr>
            <w:r>
              <w:t>Pašiniciatīvas atzinums</w:t>
            </w:r>
          </w:p>
        </w:tc>
      </w:tr>
      <w:tr w:rsidR="00E66A9B" w:rsidRPr="009B70E7" w14:paraId="26E7293B" w14:textId="77777777" w:rsidTr="00576060">
        <w:tc>
          <w:tcPr>
            <w:tcW w:w="1701" w:type="dxa"/>
            <w:vMerge/>
          </w:tcPr>
          <w:p w14:paraId="59759104" w14:textId="77777777" w:rsidR="00E66A9B" w:rsidRPr="009B70E7" w:rsidRDefault="00E66A9B" w:rsidP="00576060">
            <w:pPr>
              <w:pStyle w:val="ListParagraph"/>
              <w:keepNext/>
              <w:ind w:left="0"/>
              <w:rPr>
                <w:b/>
              </w:rPr>
            </w:pPr>
          </w:p>
        </w:tc>
        <w:tc>
          <w:tcPr>
            <w:tcW w:w="5387" w:type="dxa"/>
          </w:tcPr>
          <w:p w14:paraId="0E492398" w14:textId="5F2DEF0B" w:rsidR="00E66A9B" w:rsidRPr="009B70E7" w:rsidRDefault="00E66A9B" w:rsidP="00576060">
            <w:pPr>
              <w:pStyle w:val="ListParagraph"/>
              <w:keepNext/>
              <w:ind w:left="-56"/>
            </w:pPr>
            <w:r>
              <w:t>EESC-2022-00665-00-00-AC</w:t>
            </w:r>
          </w:p>
        </w:tc>
      </w:tr>
    </w:tbl>
    <w:p w14:paraId="0D2579F4" w14:textId="77777777" w:rsidR="00E66A9B" w:rsidRPr="009B70E7" w:rsidRDefault="00E66A9B" w:rsidP="00E66A9B">
      <w:pPr>
        <w:pStyle w:val="ListParagraph"/>
        <w:keepNext/>
        <w:ind w:left="0"/>
      </w:pPr>
    </w:p>
    <w:p w14:paraId="71C43DFC" w14:textId="22D53DCB" w:rsidR="00E66A9B" w:rsidRPr="00027441" w:rsidRDefault="00E66A9B" w:rsidP="00027441">
      <w:pPr>
        <w:pStyle w:val="ListParagraph"/>
        <w:spacing w:line="240" w:lineRule="auto"/>
        <w:ind w:left="0" w:firstLine="142"/>
        <w:rPr>
          <w:b/>
        </w:rPr>
      </w:pPr>
      <w:r>
        <w:rPr>
          <w:b/>
          <w:bCs/>
        </w:rPr>
        <w:t>Svarīgākie aspekti</w:t>
      </w:r>
    </w:p>
    <w:p w14:paraId="108ADD2B" w14:textId="77777777" w:rsidR="00E66A9B" w:rsidRDefault="00E66A9B" w:rsidP="00E66A9B">
      <w:pPr>
        <w:pStyle w:val="ListParagraph"/>
        <w:ind w:left="0"/>
      </w:pPr>
    </w:p>
    <w:p w14:paraId="3A536E66" w14:textId="77777777" w:rsidR="00E66A9B" w:rsidRDefault="00E66A9B" w:rsidP="00027441">
      <w:pPr>
        <w:pStyle w:val="ListParagraph"/>
        <w:spacing w:line="240" w:lineRule="auto"/>
        <w:ind w:left="0" w:firstLine="142"/>
      </w:pPr>
      <w:bookmarkStart w:id="25" w:name="_Hlk113974725"/>
      <w:r>
        <w:t>EESK:</w:t>
      </w:r>
      <w:bookmarkEnd w:id="25"/>
    </w:p>
    <w:p w14:paraId="2DBF063D" w14:textId="77777777" w:rsidR="00E66A9B" w:rsidRPr="009B70E7" w:rsidRDefault="00E66A9B" w:rsidP="00E66A9B">
      <w:pPr>
        <w:pStyle w:val="ListParagraph"/>
        <w:ind w:left="0"/>
      </w:pPr>
    </w:p>
    <w:p w14:paraId="145F1B12" w14:textId="2557BF13" w:rsidR="00E66A9B" w:rsidRPr="00F049D6" w:rsidRDefault="00F33DD2" w:rsidP="00E66A9B">
      <w:pPr>
        <w:pStyle w:val="ListParagraph"/>
        <w:numPr>
          <w:ilvl w:val="0"/>
          <w:numId w:val="3"/>
        </w:numPr>
        <w:ind w:left="357" w:hanging="357"/>
      </w:pPr>
      <w:r>
        <w:t xml:space="preserve">atzīst, ka Eiropas zaļās atveseļošanas procesā pēc pandēmijas sabiedriskais transports ir būtisks elements, jo ar to vienlaikus </w:t>
      </w:r>
      <w:r>
        <w:rPr>
          <w:b/>
        </w:rPr>
        <w:t>tiek risinātas klimata problēmas</w:t>
      </w:r>
      <w:r>
        <w:t xml:space="preserve"> un </w:t>
      </w:r>
      <w:r>
        <w:rPr>
          <w:b/>
        </w:rPr>
        <w:t>uzlabota dzīves kvalitāte</w:t>
      </w:r>
      <w:r>
        <w:t xml:space="preserve"> un piekļuve ekonomiskai, sabiedriskai un kultūras dzīvei;</w:t>
      </w:r>
    </w:p>
    <w:p w14:paraId="11E09D96" w14:textId="30A164A5" w:rsidR="00E66A9B" w:rsidRPr="00C80321" w:rsidRDefault="00F33DD2" w:rsidP="00E66A9B">
      <w:pPr>
        <w:pStyle w:val="ListParagraph"/>
        <w:numPr>
          <w:ilvl w:val="0"/>
          <w:numId w:val="3"/>
        </w:numPr>
        <w:ind w:left="357" w:hanging="357"/>
      </w:pPr>
      <w:r>
        <w:t xml:space="preserve">uzskata, ka ilgtspējīgas mobilitātes priekšnoteikums ir </w:t>
      </w:r>
      <w:r>
        <w:rPr>
          <w:b/>
        </w:rPr>
        <w:t>stingra visu līmeņu dalībnieku politiskā apņēmība</w:t>
      </w:r>
      <w:r>
        <w:t xml:space="preserve"> panākt, lai </w:t>
      </w:r>
      <w:r>
        <w:rPr>
          <w:b/>
        </w:rPr>
        <w:t>pakalpojumu kvalitāte būtu augsta</w:t>
      </w:r>
      <w:r>
        <w:t xml:space="preserve"> un darbiniekiem būtu optimāli </w:t>
      </w:r>
      <w:r>
        <w:rPr>
          <w:b/>
        </w:rPr>
        <w:t>apstākļi un sociālā aizsardzība</w:t>
      </w:r>
      <w:r>
        <w:t>;</w:t>
      </w:r>
    </w:p>
    <w:p w14:paraId="0EA64CAF" w14:textId="4F706AEA" w:rsidR="00C80321" w:rsidRPr="00C80321" w:rsidRDefault="00F33DD2" w:rsidP="00E66A9B">
      <w:pPr>
        <w:pStyle w:val="ListParagraph"/>
        <w:numPr>
          <w:ilvl w:val="0"/>
          <w:numId w:val="3"/>
        </w:numPr>
        <w:ind w:left="357" w:hanging="357"/>
      </w:pPr>
      <w:r>
        <w:t xml:space="preserve">vēlas </w:t>
      </w:r>
      <w:r>
        <w:rPr>
          <w:b/>
        </w:rPr>
        <w:t>spēcīgus sociālā dialoga mehānismus</w:t>
      </w:r>
      <w:r>
        <w:t xml:space="preserve">, kas dotu iespēju nodrošināt, lai atveseļošanas stratēģijas un pasākumi atbilstu visu cilvēku vajadzībām un vēlmēm un lai šī nozare kļūtu </w:t>
      </w:r>
      <w:r>
        <w:rPr>
          <w:b/>
        </w:rPr>
        <w:t>ekonomiski un sociāli ilgtspējīga</w:t>
      </w:r>
      <w:r>
        <w:t>;</w:t>
      </w:r>
    </w:p>
    <w:p w14:paraId="4C493D3B" w14:textId="1FCA97AE" w:rsidR="00C80321" w:rsidRPr="00C80321" w:rsidRDefault="00F33DD2" w:rsidP="00E66A9B">
      <w:pPr>
        <w:pStyle w:val="ListParagraph"/>
        <w:numPr>
          <w:ilvl w:val="0"/>
          <w:numId w:val="3"/>
        </w:numPr>
        <w:ind w:left="357" w:hanging="357"/>
      </w:pPr>
      <w:r>
        <w:t>aicina panākt pilnīgu publiskā iepirkuma procedūru ievērošanu un sabiedriskā transporta pakalpojumu līgumos iekļaut obligātus pakalpojumu kvalitātes un sociālos kritērijus;</w:t>
      </w:r>
    </w:p>
    <w:p w14:paraId="710A49C6" w14:textId="1D78E3E9" w:rsidR="00E66A9B" w:rsidRPr="00F33DD2" w:rsidRDefault="00F33DD2" w:rsidP="00F33DD2">
      <w:pPr>
        <w:pStyle w:val="ListParagraph"/>
        <w:numPr>
          <w:ilvl w:val="0"/>
          <w:numId w:val="3"/>
        </w:numPr>
        <w:ind w:left="357" w:hanging="357"/>
      </w:pPr>
      <w:r>
        <w:t xml:space="preserve">uzskata, ka labi darba apstākļi un motivēts un labi sagatavots personāls ir svarīgs augstas kvalitātes pakalpojumu sniegšanai; vienam no ES prioritārajiem mērķiem ir jābūt </w:t>
      </w:r>
      <w:r>
        <w:rPr>
          <w:b/>
        </w:rPr>
        <w:t>kvalitatīvu</w:t>
      </w:r>
      <w:r>
        <w:t xml:space="preserve"> sabiedriskā transporta pakalpojumu sniegšanai </w:t>
      </w:r>
      <w:r>
        <w:rPr>
          <w:b/>
        </w:rPr>
        <w:t>visiem cilvēkiem, nodrošinot pietiekamu skaitu darbinieku, piekļūstamību, cenas pieejamību un drošību</w:t>
      </w:r>
      <w:r>
        <w:t>.</w:t>
      </w:r>
    </w:p>
    <w:p w14:paraId="32BD194E" w14:textId="77777777" w:rsidR="00E66A9B" w:rsidRPr="00F049D6" w:rsidRDefault="00E66A9B" w:rsidP="00E66A9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E66A9B" w:rsidRPr="009B70E7" w14:paraId="0EC28AAE" w14:textId="77777777" w:rsidTr="00576060">
        <w:tc>
          <w:tcPr>
            <w:tcW w:w="1418" w:type="dxa"/>
          </w:tcPr>
          <w:p w14:paraId="1B80A03A" w14:textId="77777777" w:rsidR="00E66A9B" w:rsidRPr="009B70E7" w:rsidRDefault="00E66A9B" w:rsidP="00576060">
            <w:pPr>
              <w:pStyle w:val="ListParagraph"/>
              <w:ind w:left="0"/>
              <w:rPr>
                <w:i/>
              </w:rPr>
            </w:pPr>
            <w:bookmarkStart w:id="26" w:name="_Hlk116898525"/>
            <w:r>
              <w:rPr>
                <w:b/>
                <w:i/>
              </w:rPr>
              <w:t>Kontaktpersona:</w:t>
            </w:r>
          </w:p>
        </w:tc>
        <w:tc>
          <w:tcPr>
            <w:tcW w:w="5670" w:type="dxa"/>
          </w:tcPr>
          <w:p w14:paraId="308F9136" w14:textId="4F9B0795" w:rsidR="00E66A9B" w:rsidRPr="009B70E7" w:rsidRDefault="00F33DD2" w:rsidP="00576060">
            <w:pPr>
              <w:pStyle w:val="ListParagraph"/>
              <w:ind w:left="0"/>
              <w:rPr>
                <w:i/>
              </w:rPr>
            </w:pPr>
            <w:r>
              <w:rPr>
                <w:i/>
              </w:rPr>
              <w:t>Maja Radman</w:t>
            </w:r>
          </w:p>
        </w:tc>
      </w:tr>
      <w:tr w:rsidR="00E66A9B" w:rsidRPr="009B70E7" w14:paraId="5B82065B" w14:textId="77777777" w:rsidTr="00576060">
        <w:tc>
          <w:tcPr>
            <w:tcW w:w="1418" w:type="dxa"/>
          </w:tcPr>
          <w:p w14:paraId="584EE251" w14:textId="77777777" w:rsidR="00E66A9B" w:rsidRPr="009B70E7" w:rsidRDefault="00E66A9B" w:rsidP="00576060">
            <w:pPr>
              <w:pStyle w:val="ListParagraph"/>
              <w:ind w:left="601"/>
              <w:rPr>
                <w:i/>
              </w:rPr>
            </w:pPr>
            <w:r>
              <w:rPr>
                <w:i/>
              </w:rPr>
              <w:t>Tālr.:</w:t>
            </w:r>
          </w:p>
        </w:tc>
        <w:tc>
          <w:tcPr>
            <w:tcW w:w="5670" w:type="dxa"/>
          </w:tcPr>
          <w:p w14:paraId="654D249A" w14:textId="37F92ABE" w:rsidR="00E66A9B" w:rsidRPr="009B70E7" w:rsidRDefault="00E66A9B" w:rsidP="00576060">
            <w:pPr>
              <w:pStyle w:val="ListParagraph"/>
              <w:ind w:left="0"/>
              <w:rPr>
                <w:i/>
              </w:rPr>
            </w:pPr>
            <w:r>
              <w:rPr>
                <w:i/>
              </w:rPr>
              <w:t>00 32 2 546 90 51</w:t>
            </w:r>
          </w:p>
        </w:tc>
      </w:tr>
      <w:tr w:rsidR="00E66A9B" w:rsidRPr="009B70E7" w14:paraId="5EF668E5" w14:textId="77777777" w:rsidTr="00576060">
        <w:tc>
          <w:tcPr>
            <w:tcW w:w="1418" w:type="dxa"/>
          </w:tcPr>
          <w:p w14:paraId="263AA5CE" w14:textId="77777777" w:rsidR="00E66A9B" w:rsidRPr="009B70E7" w:rsidRDefault="00E66A9B" w:rsidP="00576060">
            <w:pPr>
              <w:pStyle w:val="ListParagraph"/>
              <w:ind w:left="601"/>
              <w:rPr>
                <w:i/>
              </w:rPr>
            </w:pPr>
            <w:r>
              <w:rPr>
                <w:i/>
              </w:rPr>
              <w:t>E-pasts:</w:t>
            </w:r>
          </w:p>
        </w:tc>
        <w:tc>
          <w:tcPr>
            <w:tcW w:w="5670" w:type="dxa"/>
          </w:tcPr>
          <w:p w14:paraId="32F79406" w14:textId="2838B5A3" w:rsidR="00E66A9B" w:rsidRPr="00F33DD2" w:rsidRDefault="000062DB" w:rsidP="00576060">
            <w:pPr>
              <w:pStyle w:val="ListParagraph"/>
              <w:ind w:left="0"/>
              <w:rPr>
                <w:i/>
                <w:iCs/>
              </w:rPr>
            </w:pPr>
            <w:hyperlink r:id="rId35" w:history="1">
              <w:r w:rsidR="007B42E2">
                <w:rPr>
                  <w:rStyle w:val="Hyperlink"/>
                  <w:i/>
                </w:rPr>
                <w:t>Maja.Radman@eesc.europa.eu</w:t>
              </w:r>
            </w:hyperlink>
          </w:p>
        </w:tc>
      </w:tr>
      <w:bookmarkEnd w:id="26"/>
    </w:tbl>
    <w:p w14:paraId="085FE399" w14:textId="77777777" w:rsidR="00037A85" w:rsidRPr="00276CC9" w:rsidRDefault="00037A85" w:rsidP="0018231C">
      <w:pPr>
        <w:jc w:val="left"/>
        <w:rPr>
          <w:sz w:val="28"/>
        </w:rPr>
      </w:pPr>
    </w:p>
    <w:p w14:paraId="401CAB05" w14:textId="01613FEA" w:rsidR="00D76363" w:rsidRPr="009B70E7" w:rsidRDefault="00676CBB" w:rsidP="00D76363">
      <w:pPr>
        <w:pStyle w:val="ListParagraph"/>
        <w:keepNext/>
        <w:numPr>
          <w:ilvl w:val="0"/>
          <w:numId w:val="2"/>
        </w:numPr>
        <w:ind w:left="567" w:hanging="567"/>
        <w:rPr>
          <w:b/>
          <w:i/>
          <w:sz w:val="28"/>
          <w:szCs w:val="28"/>
        </w:rPr>
      </w:pPr>
      <w:bookmarkStart w:id="27" w:name="_Hlk113975861"/>
      <w:r>
        <w:rPr>
          <w:b/>
          <w:i/>
          <w:sz w:val="28"/>
        </w:rPr>
        <w:lastRenderedPageBreak/>
        <w:t>ES un Ukrainas solidaritātes joslas</w:t>
      </w:r>
    </w:p>
    <w:p w14:paraId="26D9A939"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2"/>
      </w:tblGrid>
      <w:tr w:rsidR="00D76363" w:rsidRPr="009B70E7" w14:paraId="1BC08D1D" w14:textId="77777777" w:rsidTr="00F049D6">
        <w:tc>
          <w:tcPr>
            <w:tcW w:w="1701" w:type="dxa"/>
          </w:tcPr>
          <w:p w14:paraId="073DB159" w14:textId="77777777" w:rsidR="00D76363" w:rsidRPr="009B70E7" w:rsidRDefault="00D76363" w:rsidP="001513FD">
            <w:pPr>
              <w:pStyle w:val="ListParagraph"/>
              <w:keepNext/>
              <w:ind w:left="0"/>
              <w:rPr>
                <w:b/>
              </w:rPr>
            </w:pPr>
            <w:r>
              <w:rPr>
                <w:b/>
              </w:rPr>
              <w:t>Ziņotājs:</w:t>
            </w:r>
          </w:p>
        </w:tc>
        <w:tc>
          <w:tcPr>
            <w:tcW w:w="5812" w:type="dxa"/>
          </w:tcPr>
          <w:p w14:paraId="64C95B4D" w14:textId="5B53259E" w:rsidR="00D76363" w:rsidRPr="009B70E7" w:rsidRDefault="00676CBB" w:rsidP="00F049D6">
            <w:pPr>
              <w:pStyle w:val="ListParagraph"/>
              <w:keepNext/>
              <w:ind w:left="-56" w:right="-453"/>
            </w:pPr>
            <w:r>
              <w:t>Marcin NOWACKI (Darba devēju grupa – PL)</w:t>
            </w:r>
          </w:p>
        </w:tc>
      </w:tr>
      <w:tr w:rsidR="00D76363" w:rsidRPr="009B70E7" w14:paraId="206D71D0" w14:textId="77777777" w:rsidTr="00F049D6">
        <w:tc>
          <w:tcPr>
            <w:tcW w:w="7513" w:type="dxa"/>
            <w:gridSpan w:val="2"/>
          </w:tcPr>
          <w:p w14:paraId="44F259D7" w14:textId="77777777" w:rsidR="00D76363" w:rsidRPr="009B70E7" w:rsidRDefault="00D76363" w:rsidP="001513FD">
            <w:pPr>
              <w:pStyle w:val="ListParagraph"/>
              <w:keepNext/>
              <w:ind w:left="0"/>
            </w:pPr>
          </w:p>
        </w:tc>
      </w:tr>
      <w:tr w:rsidR="00D76363" w:rsidRPr="009B70E7" w14:paraId="006CBBBB" w14:textId="77777777" w:rsidTr="00F049D6">
        <w:tc>
          <w:tcPr>
            <w:tcW w:w="1701" w:type="dxa"/>
            <w:vMerge w:val="restart"/>
          </w:tcPr>
          <w:p w14:paraId="21B3F0D6" w14:textId="764870B7" w:rsidR="00D76363" w:rsidRPr="009B70E7" w:rsidRDefault="00B80604" w:rsidP="001513FD">
            <w:pPr>
              <w:pStyle w:val="ListParagraph"/>
              <w:keepNext/>
              <w:ind w:left="0"/>
              <w:rPr>
                <w:b/>
              </w:rPr>
            </w:pPr>
            <w:r>
              <w:rPr>
                <w:b/>
              </w:rPr>
              <w:t>Atsauces:</w:t>
            </w:r>
            <w:r w:rsidR="00D76363">
              <w:rPr>
                <w:b/>
              </w:rPr>
              <w:t xml:space="preserve"> </w:t>
            </w:r>
          </w:p>
        </w:tc>
        <w:tc>
          <w:tcPr>
            <w:tcW w:w="5812" w:type="dxa"/>
          </w:tcPr>
          <w:p w14:paraId="0F2B0508" w14:textId="72B582FE" w:rsidR="00D76363" w:rsidRPr="009B70E7" w:rsidRDefault="00D76363" w:rsidP="001513FD">
            <w:pPr>
              <w:pStyle w:val="ListParagraph"/>
              <w:keepNext/>
              <w:ind w:left="-56"/>
            </w:pPr>
            <w:r>
              <w:t>COM (2022) 217 final</w:t>
            </w:r>
          </w:p>
        </w:tc>
      </w:tr>
      <w:tr w:rsidR="00D76363" w:rsidRPr="009B70E7" w14:paraId="44A197BD" w14:textId="77777777" w:rsidTr="00F049D6">
        <w:tc>
          <w:tcPr>
            <w:tcW w:w="1701" w:type="dxa"/>
            <w:vMerge/>
          </w:tcPr>
          <w:p w14:paraId="666AB4C5" w14:textId="77777777" w:rsidR="00D76363" w:rsidRPr="009B70E7" w:rsidRDefault="00D76363" w:rsidP="001513FD">
            <w:pPr>
              <w:pStyle w:val="ListParagraph"/>
              <w:keepNext/>
              <w:ind w:left="0"/>
              <w:rPr>
                <w:b/>
              </w:rPr>
            </w:pPr>
          </w:p>
        </w:tc>
        <w:tc>
          <w:tcPr>
            <w:tcW w:w="5812" w:type="dxa"/>
          </w:tcPr>
          <w:p w14:paraId="26A5E07B" w14:textId="3989ED1B" w:rsidR="00D76363" w:rsidRPr="009B70E7" w:rsidRDefault="00E65D01" w:rsidP="001513FD">
            <w:pPr>
              <w:pStyle w:val="ListParagraph"/>
              <w:keepNext/>
              <w:ind w:left="-56"/>
            </w:pPr>
            <w:r>
              <w:t>EESC-2022-03296-00-00-AC</w:t>
            </w:r>
          </w:p>
        </w:tc>
      </w:tr>
    </w:tbl>
    <w:p w14:paraId="06470B53" w14:textId="77777777" w:rsidR="00D76363" w:rsidRPr="009B70E7" w:rsidRDefault="00D76363" w:rsidP="00D76363">
      <w:pPr>
        <w:pStyle w:val="ListParagraph"/>
        <w:keepNext/>
        <w:ind w:left="0"/>
      </w:pPr>
    </w:p>
    <w:p w14:paraId="6E8A2493" w14:textId="0ABC5100" w:rsidR="00F049D6" w:rsidRPr="00CE23CC" w:rsidRDefault="00CE23CC" w:rsidP="00027441">
      <w:pPr>
        <w:pStyle w:val="ListParagraph"/>
        <w:spacing w:line="240" w:lineRule="auto"/>
        <w:ind w:left="0" w:firstLine="142"/>
        <w:rPr>
          <w:b/>
        </w:rPr>
      </w:pPr>
      <w:r>
        <w:rPr>
          <w:b/>
          <w:bCs/>
        </w:rPr>
        <w:t>Svarīgākie aspekti</w:t>
      </w:r>
    </w:p>
    <w:p w14:paraId="44AA08CC" w14:textId="77106A21" w:rsidR="00F049D6" w:rsidRDefault="00F049D6" w:rsidP="00D76363">
      <w:pPr>
        <w:pStyle w:val="ListParagraph"/>
        <w:ind w:left="0"/>
      </w:pPr>
    </w:p>
    <w:p w14:paraId="4BC47BC2" w14:textId="4235E7EB" w:rsidR="003C5614" w:rsidRPr="00027441" w:rsidRDefault="003C5614" w:rsidP="00027441">
      <w:pPr>
        <w:pStyle w:val="ListParagraph"/>
        <w:spacing w:line="240" w:lineRule="auto"/>
        <w:ind w:left="0" w:firstLine="142"/>
        <w:rPr>
          <w:bCs/>
        </w:rPr>
      </w:pPr>
      <w:bookmarkStart w:id="28" w:name="_Hlk113974934"/>
      <w:r>
        <w:t>EESK:</w:t>
      </w:r>
      <w:bookmarkEnd w:id="28"/>
    </w:p>
    <w:p w14:paraId="290F00A2" w14:textId="77777777" w:rsidR="003C5614" w:rsidRPr="009B70E7" w:rsidRDefault="003C5614" w:rsidP="00D76363">
      <w:pPr>
        <w:pStyle w:val="ListParagraph"/>
        <w:ind w:left="0"/>
      </w:pPr>
    </w:p>
    <w:p w14:paraId="5660D604" w14:textId="41F6F536" w:rsidR="00D76363" w:rsidRPr="003527B4" w:rsidRDefault="00676CBB" w:rsidP="00D76363">
      <w:pPr>
        <w:pStyle w:val="ListParagraph"/>
        <w:numPr>
          <w:ilvl w:val="0"/>
          <w:numId w:val="3"/>
        </w:numPr>
        <w:ind w:left="357" w:hanging="357"/>
        <w:rPr>
          <w:bCs/>
        </w:rPr>
      </w:pPr>
      <w:r>
        <w:t xml:space="preserve">aicina veikt pasākumus, lai </w:t>
      </w:r>
      <w:r>
        <w:rPr>
          <w:b/>
        </w:rPr>
        <w:t>uzlabotos muitošana</w:t>
      </w:r>
      <w:r>
        <w:t xml:space="preserve"> robežšķērsošanas vietās un šajā nolūkā palielināt ierēdņu skaitu un pastiprināt ES un Ukrainas amatpersonu sadarbību;</w:t>
      </w:r>
    </w:p>
    <w:p w14:paraId="7D33BDFB" w14:textId="6C50912D" w:rsidR="00E24CDF" w:rsidRPr="00676CBB" w:rsidRDefault="00676CBB" w:rsidP="00D76363">
      <w:pPr>
        <w:pStyle w:val="ListParagraph"/>
        <w:numPr>
          <w:ilvl w:val="0"/>
          <w:numId w:val="3"/>
        </w:numPr>
        <w:ind w:left="357" w:hanging="357"/>
        <w:rPr>
          <w:bCs/>
        </w:rPr>
      </w:pPr>
      <w:r>
        <w:t xml:space="preserve">norāda, ka </w:t>
      </w:r>
      <w:r>
        <w:rPr>
          <w:b/>
        </w:rPr>
        <w:t>steidzami jāveic ieguldījumi infrastruktūrā</w:t>
      </w:r>
      <w:r>
        <w:t>, lai palielinātu robežšķērsošanas jaudu. Šajā nolūkā ar Eiropas fondu palīdzību ir jāatbalsta investīciju process, maksājumu garantijas un to uzņēmēju apdrošināšana, kuri ir iesaistīti preču pārvadāšanā starp ES un Ukrainu;</w:t>
      </w:r>
    </w:p>
    <w:p w14:paraId="69DE5991" w14:textId="0ADA2A7B" w:rsidR="00676CBB" w:rsidRPr="00676CBB" w:rsidRDefault="00676CBB" w:rsidP="00D76363">
      <w:pPr>
        <w:pStyle w:val="ListParagraph"/>
        <w:numPr>
          <w:ilvl w:val="0"/>
          <w:numId w:val="3"/>
        </w:numPr>
        <w:ind w:left="357" w:hanging="357"/>
        <w:rPr>
          <w:bCs/>
        </w:rPr>
      </w:pPr>
      <w:r>
        <w:t xml:space="preserve">uzskata, ka Eiropas dzelzceļa infrastruktūras paplašinājums ierosinātajā Polijas-Ukrainas-Rumānijas koridorā varētu būt jaunā </w:t>
      </w:r>
      <w:r>
        <w:rPr>
          <w:b/>
        </w:rPr>
        <w:t>Baltijas jūras/ Melnās jūras/ Egejas jūras TEN-T koridora austrumu atzars</w:t>
      </w:r>
      <w:r>
        <w:t>;</w:t>
      </w:r>
    </w:p>
    <w:p w14:paraId="6E9C685A" w14:textId="5FFD837F" w:rsidR="00676CBB" w:rsidRPr="00F049D6" w:rsidRDefault="00676CBB" w:rsidP="00D76363">
      <w:pPr>
        <w:pStyle w:val="ListParagraph"/>
        <w:numPr>
          <w:ilvl w:val="0"/>
          <w:numId w:val="3"/>
        </w:numPr>
        <w:ind w:left="357" w:hanging="357"/>
        <w:rPr>
          <w:bCs/>
        </w:rPr>
      </w:pPr>
      <w:r>
        <w:t>konstatē, ka galvenā problēma, veicot investīcijas graudu infrastruktūrā, ir nenoteiktība un pārmērīgu ieguldījumu risks, kā arī uzskata, ka ir nepieciešams radīt finanšu instrumentus, ar kuriem segt graudu transporta un uzglabāšanas infrastruktūras galveno investīciju risku privātiem uzņēmumiem.</w:t>
      </w:r>
    </w:p>
    <w:p w14:paraId="450C439D"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676CBB" w:rsidRPr="009B70E7" w14:paraId="6541B997" w14:textId="77777777" w:rsidTr="00576060">
        <w:tc>
          <w:tcPr>
            <w:tcW w:w="1418" w:type="dxa"/>
          </w:tcPr>
          <w:p w14:paraId="45A02EAA" w14:textId="77777777" w:rsidR="00676CBB" w:rsidRPr="009B70E7" w:rsidRDefault="00676CBB" w:rsidP="00576060">
            <w:pPr>
              <w:pStyle w:val="ListParagraph"/>
              <w:ind w:left="0"/>
              <w:rPr>
                <w:i/>
              </w:rPr>
            </w:pPr>
            <w:bookmarkStart w:id="29" w:name="_Hlk116900283"/>
            <w:bookmarkEnd w:id="27"/>
            <w:r>
              <w:rPr>
                <w:b/>
                <w:i/>
              </w:rPr>
              <w:t>Kontaktpersona:</w:t>
            </w:r>
          </w:p>
        </w:tc>
        <w:tc>
          <w:tcPr>
            <w:tcW w:w="5670" w:type="dxa"/>
          </w:tcPr>
          <w:p w14:paraId="2D2AFD3C" w14:textId="77777777" w:rsidR="00676CBB" w:rsidRPr="009B70E7" w:rsidRDefault="00676CBB" w:rsidP="00576060">
            <w:pPr>
              <w:pStyle w:val="ListParagraph"/>
              <w:ind w:left="0"/>
              <w:rPr>
                <w:i/>
              </w:rPr>
            </w:pPr>
            <w:r>
              <w:rPr>
                <w:i/>
              </w:rPr>
              <w:t>Maja Radman</w:t>
            </w:r>
          </w:p>
        </w:tc>
      </w:tr>
      <w:tr w:rsidR="00676CBB" w:rsidRPr="009B70E7" w14:paraId="6348E3B9" w14:textId="77777777" w:rsidTr="00576060">
        <w:tc>
          <w:tcPr>
            <w:tcW w:w="1418" w:type="dxa"/>
          </w:tcPr>
          <w:p w14:paraId="2579CB0C" w14:textId="77777777" w:rsidR="00676CBB" w:rsidRPr="009B70E7" w:rsidRDefault="00676CBB" w:rsidP="00576060">
            <w:pPr>
              <w:pStyle w:val="ListParagraph"/>
              <w:ind w:left="601"/>
              <w:rPr>
                <w:i/>
              </w:rPr>
            </w:pPr>
            <w:r>
              <w:rPr>
                <w:i/>
              </w:rPr>
              <w:t>Tālr.:</w:t>
            </w:r>
          </w:p>
        </w:tc>
        <w:tc>
          <w:tcPr>
            <w:tcW w:w="5670" w:type="dxa"/>
          </w:tcPr>
          <w:p w14:paraId="4C6F4222" w14:textId="77777777" w:rsidR="00676CBB" w:rsidRPr="009B70E7" w:rsidRDefault="00676CBB" w:rsidP="00576060">
            <w:pPr>
              <w:pStyle w:val="ListParagraph"/>
              <w:ind w:left="0"/>
              <w:rPr>
                <w:i/>
              </w:rPr>
            </w:pPr>
            <w:r>
              <w:rPr>
                <w:i/>
              </w:rPr>
              <w:t>00 32 2 546 90 51</w:t>
            </w:r>
          </w:p>
        </w:tc>
      </w:tr>
      <w:tr w:rsidR="00676CBB" w:rsidRPr="00F33DD2" w14:paraId="42D3B9A5" w14:textId="77777777" w:rsidTr="00576060">
        <w:tc>
          <w:tcPr>
            <w:tcW w:w="1418" w:type="dxa"/>
          </w:tcPr>
          <w:p w14:paraId="7E551415" w14:textId="77777777" w:rsidR="00676CBB" w:rsidRPr="009B70E7" w:rsidRDefault="00676CBB" w:rsidP="00576060">
            <w:pPr>
              <w:pStyle w:val="ListParagraph"/>
              <w:ind w:left="601"/>
              <w:rPr>
                <w:i/>
              </w:rPr>
            </w:pPr>
            <w:r>
              <w:rPr>
                <w:i/>
              </w:rPr>
              <w:t>E-pasts:</w:t>
            </w:r>
          </w:p>
        </w:tc>
        <w:tc>
          <w:tcPr>
            <w:tcW w:w="5670" w:type="dxa"/>
          </w:tcPr>
          <w:p w14:paraId="20F06EB4" w14:textId="77777777" w:rsidR="00676CBB" w:rsidRPr="00F33DD2" w:rsidRDefault="000062DB" w:rsidP="00576060">
            <w:pPr>
              <w:pStyle w:val="ListParagraph"/>
              <w:ind w:left="0"/>
              <w:rPr>
                <w:i/>
                <w:iCs/>
              </w:rPr>
            </w:pPr>
            <w:hyperlink r:id="rId36" w:history="1">
              <w:r w:rsidR="007B42E2">
                <w:rPr>
                  <w:rStyle w:val="Hyperlink"/>
                  <w:i/>
                </w:rPr>
                <w:t>Maja.Radman@eesc.europa.eu</w:t>
              </w:r>
            </w:hyperlink>
          </w:p>
        </w:tc>
      </w:tr>
      <w:bookmarkEnd w:id="29"/>
    </w:tbl>
    <w:p w14:paraId="7CDA08D3" w14:textId="77777777" w:rsidR="006F6E46" w:rsidRPr="00A10A98" w:rsidRDefault="006F6E46" w:rsidP="0018231C">
      <w:pPr>
        <w:jc w:val="left"/>
        <w:rPr>
          <w:sz w:val="28"/>
        </w:rPr>
      </w:pPr>
    </w:p>
    <w:p w14:paraId="1A4FDCD8" w14:textId="4BA3540F" w:rsidR="00676CBB" w:rsidRPr="00FE49FA" w:rsidRDefault="00676CBB" w:rsidP="00676CBB">
      <w:pPr>
        <w:widowControl w:val="0"/>
        <w:numPr>
          <w:ilvl w:val="0"/>
          <w:numId w:val="26"/>
        </w:numPr>
        <w:overflowPunct w:val="0"/>
        <w:autoSpaceDE w:val="0"/>
        <w:autoSpaceDN w:val="0"/>
        <w:adjustRightInd w:val="0"/>
        <w:ind w:hanging="567"/>
        <w:textAlignment w:val="baseline"/>
        <w:rPr>
          <w:sz w:val="24"/>
          <w:szCs w:val="24"/>
        </w:rPr>
      </w:pPr>
      <w:bookmarkStart w:id="30" w:name="_Hlk112076379"/>
      <w:r>
        <w:rPr>
          <w:b/>
          <w:i/>
          <w:sz w:val="28"/>
        </w:rPr>
        <w:t>Atjaunīgo energoresursu ieviešanas paātrināšana</w:t>
      </w:r>
    </w:p>
    <w:p w14:paraId="32247E5C"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6EE8C0C9" w14:textId="77777777" w:rsidTr="00552022">
        <w:tc>
          <w:tcPr>
            <w:tcW w:w="1701" w:type="dxa"/>
          </w:tcPr>
          <w:p w14:paraId="3D105EC5" w14:textId="77777777" w:rsidR="00552022" w:rsidRPr="009B70E7" w:rsidRDefault="00552022" w:rsidP="00576060">
            <w:pPr>
              <w:pStyle w:val="ListParagraph"/>
              <w:keepNext/>
              <w:ind w:left="0"/>
              <w:rPr>
                <w:b/>
              </w:rPr>
            </w:pPr>
            <w:r>
              <w:rPr>
                <w:b/>
              </w:rPr>
              <w:t>Ziņotājs:</w:t>
            </w:r>
          </w:p>
        </w:tc>
        <w:tc>
          <w:tcPr>
            <w:tcW w:w="6237" w:type="dxa"/>
          </w:tcPr>
          <w:p w14:paraId="3810931E" w14:textId="3A66A83B" w:rsidR="00552022" w:rsidRPr="009B70E7" w:rsidRDefault="00676CBB" w:rsidP="00576060">
            <w:pPr>
              <w:pStyle w:val="ListParagraph"/>
              <w:keepNext/>
              <w:ind w:left="-56" w:right="-453"/>
            </w:pPr>
            <w:r>
              <w:t>Kęstutis KUPŠYS (Pilsoniskās sabiedrības organizāciju grupa — LT)</w:t>
            </w:r>
          </w:p>
        </w:tc>
      </w:tr>
      <w:tr w:rsidR="00676CBB" w:rsidRPr="009B70E7" w14:paraId="7D050383" w14:textId="77777777" w:rsidTr="00552022">
        <w:tc>
          <w:tcPr>
            <w:tcW w:w="1701" w:type="dxa"/>
          </w:tcPr>
          <w:p w14:paraId="0C52637D" w14:textId="45F31440" w:rsidR="00676CBB" w:rsidRPr="009B70E7" w:rsidRDefault="00676CBB" w:rsidP="00676CBB">
            <w:pPr>
              <w:pStyle w:val="ListParagraph"/>
              <w:keepNext/>
              <w:ind w:left="0"/>
              <w:rPr>
                <w:b/>
              </w:rPr>
            </w:pPr>
            <w:r>
              <w:rPr>
                <w:b/>
              </w:rPr>
              <w:t>Līdzziņotājs</w:t>
            </w:r>
          </w:p>
        </w:tc>
        <w:tc>
          <w:tcPr>
            <w:tcW w:w="6237" w:type="dxa"/>
          </w:tcPr>
          <w:p w14:paraId="669B65CA" w14:textId="0DC680E6" w:rsidR="00676CBB" w:rsidRDefault="00676CBB" w:rsidP="00676CBB">
            <w:pPr>
              <w:pStyle w:val="ListParagraph"/>
              <w:keepNext/>
              <w:ind w:left="-56" w:right="-453"/>
            </w:pPr>
            <w:r>
              <w:t>Alena MASTANTUONO (Darba devēju grupa – CZ)</w:t>
            </w:r>
          </w:p>
          <w:p w14:paraId="4FBF67FC" w14:textId="2BE0B563" w:rsidR="00676CBB" w:rsidRPr="00935F81" w:rsidRDefault="00676CBB" w:rsidP="00676CBB">
            <w:pPr>
              <w:pStyle w:val="ListParagraph"/>
              <w:keepNext/>
              <w:ind w:left="-56" w:right="-453"/>
            </w:pPr>
          </w:p>
        </w:tc>
      </w:tr>
      <w:tr w:rsidR="00676CBB" w:rsidRPr="009B70E7" w14:paraId="2AF8558F" w14:textId="77777777" w:rsidTr="00552022">
        <w:tc>
          <w:tcPr>
            <w:tcW w:w="1701" w:type="dxa"/>
            <w:vMerge w:val="restart"/>
          </w:tcPr>
          <w:p w14:paraId="69780534" w14:textId="2E180A38" w:rsidR="00676CBB" w:rsidRPr="009B70E7" w:rsidRDefault="00B80604" w:rsidP="00676CBB">
            <w:pPr>
              <w:pStyle w:val="ListParagraph"/>
              <w:keepNext/>
              <w:ind w:left="0"/>
              <w:rPr>
                <w:b/>
              </w:rPr>
            </w:pPr>
            <w:r>
              <w:rPr>
                <w:b/>
              </w:rPr>
              <w:t>Atsauces:</w:t>
            </w:r>
            <w:r w:rsidR="00676CBB">
              <w:rPr>
                <w:b/>
              </w:rPr>
              <w:t xml:space="preserve"> </w:t>
            </w:r>
          </w:p>
        </w:tc>
        <w:tc>
          <w:tcPr>
            <w:tcW w:w="6237" w:type="dxa"/>
          </w:tcPr>
          <w:p w14:paraId="3C6C8A09" w14:textId="5375B480" w:rsidR="00676CBB" w:rsidRPr="009B70E7" w:rsidRDefault="00676CBB" w:rsidP="00676CBB">
            <w:pPr>
              <w:pStyle w:val="ListParagraph"/>
              <w:keepNext/>
              <w:ind w:left="-56"/>
            </w:pPr>
            <w:r>
              <w:t>COM(2022) 221 final</w:t>
            </w:r>
          </w:p>
        </w:tc>
      </w:tr>
      <w:tr w:rsidR="00676CBB" w:rsidRPr="009B70E7" w14:paraId="3962A65D" w14:textId="77777777" w:rsidTr="00552022">
        <w:tc>
          <w:tcPr>
            <w:tcW w:w="1701" w:type="dxa"/>
            <w:vMerge/>
          </w:tcPr>
          <w:p w14:paraId="13F72412" w14:textId="77777777" w:rsidR="00676CBB" w:rsidRPr="009B70E7" w:rsidRDefault="00676CBB" w:rsidP="00676CBB">
            <w:pPr>
              <w:pStyle w:val="ListParagraph"/>
              <w:keepNext/>
              <w:ind w:left="0"/>
              <w:rPr>
                <w:b/>
              </w:rPr>
            </w:pPr>
          </w:p>
        </w:tc>
        <w:tc>
          <w:tcPr>
            <w:tcW w:w="6237" w:type="dxa"/>
          </w:tcPr>
          <w:p w14:paraId="0B2F8735" w14:textId="48398535" w:rsidR="00676CBB" w:rsidRPr="009B70E7" w:rsidRDefault="00676CBB" w:rsidP="00676CBB">
            <w:pPr>
              <w:pStyle w:val="ListParagraph"/>
              <w:keepNext/>
              <w:ind w:left="-56"/>
            </w:pPr>
            <w:r>
              <w:t>EESC-2022-03515-00-00-AC</w:t>
            </w:r>
          </w:p>
        </w:tc>
      </w:tr>
    </w:tbl>
    <w:p w14:paraId="18951AC6" w14:textId="77777777" w:rsidR="00552022" w:rsidRPr="009B70E7" w:rsidRDefault="00552022" w:rsidP="00552022">
      <w:pPr>
        <w:pStyle w:val="ListParagraph"/>
        <w:keepNext/>
        <w:ind w:left="0"/>
      </w:pPr>
    </w:p>
    <w:p w14:paraId="2B30E15E" w14:textId="763FBC7A" w:rsidR="00552022" w:rsidRPr="00027441" w:rsidRDefault="00552022" w:rsidP="00027441">
      <w:pPr>
        <w:pStyle w:val="ListParagraph"/>
        <w:spacing w:line="240" w:lineRule="auto"/>
        <w:ind w:left="0" w:firstLine="142"/>
        <w:rPr>
          <w:b/>
        </w:rPr>
      </w:pPr>
      <w:r>
        <w:rPr>
          <w:b/>
          <w:bCs/>
        </w:rPr>
        <w:t>Svarīgākie aspekti</w:t>
      </w:r>
    </w:p>
    <w:p w14:paraId="0D4298E9" w14:textId="477EC84A" w:rsidR="00552022" w:rsidRDefault="00552022" w:rsidP="00552022">
      <w:pPr>
        <w:pStyle w:val="ListParagraph"/>
        <w:ind w:left="0"/>
      </w:pPr>
    </w:p>
    <w:p w14:paraId="65D692F3" w14:textId="363CCA57" w:rsidR="003C5614" w:rsidRPr="00027441" w:rsidRDefault="003C5614" w:rsidP="00027441">
      <w:pPr>
        <w:pStyle w:val="ListParagraph"/>
        <w:spacing w:line="240" w:lineRule="auto"/>
        <w:ind w:left="0" w:firstLine="142"/>
        <w:rPr>
          <w:bCs/>
        </w:rPr>
      </w:pPr>
      <w:bookmarkStart w:id="31" w:name="_Hlk113975344"/>
      <w:r>
        <w:t>EESK:</w:t>
      </w:r>
      <w:bookmarkEnd w:id="31"/>
    </w:p>
    <w:p w14:paraId="552B3E66" w14:textId="77777777" w:rsidR="003C5614" w:rsidRPr="009B70E7" w:rsidRDefault="003C5614" w:rsidP="00552022">
      <w:pPr>
        <w:pStyle w:val="ListParagraph"/>
        <w:ind w:left="0"/>
      </w:pPr>
    </w:p>
    <w:p w14:paraId="08F14DD3" w14:textId="6CBF67FB" w:rsidR="00552022" w:rsidRDefault="00676CBB" w:rsidP="00552022">
      <w:pPr>
        <w:pStyle w:val="ListParagraph"/>
        <w:numPr>
          <w:ilvl w:val="0"/>
          <w:numId w:val="3"/>
        </w:numPr>
        <w:ind w:left="357" w:hanging="357"/>
        <w:rPr>
          <w:bCs/>
        </w:rPr>
      </w:pPr>
      <w:r>
        <w:t xml:space="preserve">uzsver, ka ES ir steidzami </w:t>
      </w:r>
      <w:r>
        <w:rPr>
          <w:b/>
        </w:rPr>
        <w:t>jāveicina saules enerģijas izmantošana un Eiropas spēju veidošana</w:t>
      </w:r>
      <w:r>
        <w:t xml:space="preserve"> šajā jomā un vienlaikus </w:t>
      </w:r>
      <w:r>
        <w:rPr>
          <w:b/>
        </w:rPr>
        <w:t>jāatzīst, ka starp dalībvalstu energoresursu struktūru</w:t>
      </w:r>
      <w:r>
        <w:t xml:space="preserve"> pastāv atšķirības;</w:t>
      </w:r>
    </w:p>
    <w:p w14:paraId="06050B29" w14:textId="77777777" w:rsidR="00676CBB" w:rsidRPr="00676CBB" w:rsidRDefault="00676CBB" w:rsidP="00676CBB">
      <w:pPr>
        <w:rPr>
          <w:bCs/>
          <w:lang w:bidi="fr-FR"/>
        </w:rPr>
      </w:pPr>
    </w:p>
    <w:bookmarkEnd w:id="30"/>
    <w:p w14:paraId="7302689C" w14:textId="679AFD2D" w:rsidR="003C5614" w:rsidRPr="001C55E2" w:rsidRDefault="00676CBB" w:rsidP="00552022">
      <w:pPr>
        <w:pStyle w:val="ListParagraph"/>
        <w:numPr>
          <w:ilvl w:val="0"/>
          <w:numId w:val="3"/>
        </w:numPr>
        <w:ind w:left="357" w:hanging="357"/>
        <w:rPr>
          <w:bCs/>
        </w:rPr>
      </w:pPr>
      <w:r>
        <w:rPr>
          <w:b/>
        </w:rPr>
        <w:t>atzinīgi vērtē ES saules enerģijas stratēģiju, bet pauž nožēlu, ka tās rezultāti būs tik novēloti.</w:t>
      </w:r>
      <w:r>
        <w:t xml:space="preserve"> Komiteja </w:t>
      </w:r>
      <w:r w:rsidRPr="001C55E2">
        <w:t xml:space="preserve">aicina dalībvalstis negaidīt jauno ES noteikumu pieņemšanu un jau tagad sākt administratīvo procedūru vienkāršošanu un atļauju piešķiršanas procedūru saīsināšanu. Dalībvalstīm </w:t>
      </w:r>
      <w:r w:rsidRPr="001C55E2">
        <w:lastRenderedPageBreak/>
        <w:t xml:space="preserve">būtu </w:t>
      </w:r>
      <w:r w:rsidRPr="001C55E2">
        <w:rPr>
          <w:b/>
        </w:rPr>
        <w:t>jāuzlabo procedūras, lai atļaujas būtu iespējams saņemt vienuviet, tās būtu integrētas un vienotas, kā arī jāpaātrina atjaunīgās enerģijas ražošanai izdevīgu teritoriju noteikšana;</w:t>
      </w:r>
    </w:p>
    <w:p w14:paraId="2214D3A8" w14:textId="7B05AAAE" w:rsidR="00676CBB" w:rsidRPr="001C55E2" w:rsidRDefault="00676CBB" w:rsidP="00552022">
      <w:pPr>
        <w:pStyle w:val="ListParagraph"/>
        <w:numPr>
          <w:ilvl w:val="0"/>
          <w:numId w:val="3"/>
        </w:numPr>
        <w:ind w:left="357" w:hanging="357"/>
        <w:rPr>
          <w:bCs/>
        </w:rPr>
      </w:pPr>
      <w:r w:rsidRPr="001C55E2">
        <w:t xml:space="preserve">aicina politikas veidotājus </w:t>
      </w:r>
      <w:r w:rsidRPr="001C55E2">
        <w:rPr>
          <w:b/>
        </w:rPr>
        <w:t>mudināt un atbalstīt cilvēkus un dot viņiem iespēju kļūt par saules enerģijas ražojošiem patērētājiem</w:t>
      </w:r>
      <w:r w:rsidRPr="001C55E2">
        <w:t>, kā arī veidot enerģētikas kopienas;</w:t>
      </w:r>
    </w:p>
    <w:p w14:paraId="64461300" w14:textId="07BC5B71" w:rsidR="00676CBB" w:rsidRPr="00676CBB" w:rsidRDefault="00676CBB" w:rsidP="00552022">
      <w:pPr>
        <w:pStyle w:val="ListParagraph"/>
        <w:numPr>
          <w:ilvl w:val="0"/>
          <w:numId w:val="3"/>
        </w:numPr>
        <w:ind w:left="357" w:hanging="357"/>
        <w:rPr>
          <w:bCs/>
        </w:rPr>
      </w:pPr>
      <w:r w:rsidRPr="001C55E2">
        <w:t xml:space="preserve">norāda, ka </w:t>
      </w:r>
      <w:r w:rsidRPr="001C55E2">
        <w:rPr>
          <w:b/>
        </w:rPr>
        <w:t>plašāka siltumsūkņu izmantošana</w:t>
      </w:r>
      <w:r w:rsidRPr="001C55E2">
        <w:t xml:space="preserve"> arī būtu jāskata kopā ar </w:t>
      </w:r>
      <w:r w:rsidRPr="001C55E2">
        <w:rPr>
          <w:b/>
        </w:rPr>
        <w:t>saules fotoelementu pastiprinātu uzstādīšanu</w:t>
      </w:r>
      <w:r w:rsidRPr="001C55E2">
        <w:t xml:space="preserve">, jo tie abi divi kopā nodrošina </w:t>
      </w:r>
      <w:r w:rsidRPr="001C55E2">
        <w:rPr>
          <w:b/>
        </w:rPr>
        <w:t>visenergoefektīvāko un ekonomiski pieejamāko</w:t>
      </w:r>
      <w:r w:rsidRPr="001C55E2">
        <w:t xml:space="preserve"> risinājumu dzesēšanai</w:t>
      </w:r>
      <w:r>
        <w:t xml:space="preserve"> vietās, kur tam ir piemērots klimats, taču tā priekšnoteikums ir laba ēku izolācija;</w:t>
      </w:r>
    </w:p>
    <w:p w14:paraId="600CC442" w14:textId="7E0CB1D0" w:rsidR="00676CBB" w:rsidRPr="00676CBB" w:rsidRDefault="00676CBB" w:rsidP="00552022">
      <w:pPr>
        <w:pStyle w:val="ListParagraph"/>
        <w:numPr>
          <w:ilvl w:val="0"/>
          <w:numId w:val="3"/>
        </w:numPr>
        <w:ind w:left="357" w:hanging="357"/>
        <w:rPr>
          <w:bCs/>
        </w:rPr>
      </w:pPr>
      <w:r>
        <w:t xml:space="preserve">aicina lielāku uzsvaru likt uz </w:t>
      </w:r>
      <w:r>
        <w:rPr>
          <w:b/>
        </w:rPr>
        <w:t>agrosolāriem risinājumiem</w:t>
      </w:r>
      <w:r>
        <w:t>, kas lauksaimniekiem dod iespēju gūt papildu ienākumus no enerģijas ražošanas. Tomēr to ieviešana nedrīkst kropļot ražīgas lauksaimniecības zemes izmantošanu un kaitēt pārtikas ražošanai;</w:t>
      </w:r>
    </w:p>
    <w:p w14:paraId="480E6EA6" w14:textId="5496AE92" w:rsidR="00676CBB" w:rsidRPr="001C226F" w:rsidRDefault="001C226F" w:rsidP="00552022">
      <w:pPr>
        <w:pStyle w:val="ListParagraph"/>
        <w:numPr>
          <w:ilvl w:val="0"/>
          <w:numId w:val="3"/>
        </w:numPr>
        <w:ind w:left="357" w:hanging="357"/>
        <w:rPr>
          <w:bCs/>
        </w:rPr>
      </w:pPr>
      <w:r>
        <w:t xml:space="preserve">uzskata, ka ir svarīgi, lai ES atrastu veidus, kā </w:t>
      </w:r>
      <w:r>
        <w:rPr>
          <w:b/>
        </w:rPr>
        <w:t>saules fotoelementus ražot Eiropā, šajā nolūkā uzlabojot publisko un privāto investīciju vidi un veidojot uzņēmējdarbībai labvēlīgus apstākļus</w:t>
      </w:r>
      <w:r>
        <w:t xml:space="preserve">, tostarp optimālu piekļuvi finansējumam un spēcīgu uzsvaru liekot uz pētniecību un inovāciju. Ir svarīgi veidot </w:t>
      </w:r>
      <w:r>
        <w:rPr>
          <w:b/>
        </w:rPr>
        <w:t>vietējo ES rūpniecības spēju tādu ilgtspējīgu saules enerģijas produktu jomā, kuru cenas būtu mērenas</w:t>
      </w:r>
      <w:r>
        <w:t xml:space="preserve">, un mudina spēcīgi atbalstīt </w:t>
      </w:r>
      <w:r>
        <w:rPr>
          <w:b/>
        </w:rPr>
        <w:t>Saules fotoelementu nozares aliansi</w:t>
      </w:r>
      <w:r>
        <w:t>;</w:t>
      </w:r>
    </w:p>
    <w:p w14:paraId="33B3F5D3" w14:textId="71B50C4F" w:rsidR="001C226F" w:rsidRPr="000F2BDB" w:rsidRDefault="001C226F" w:rsidP="00552022">
      <w:pPr>
        <w:pStyle w:val="ListParagraph"/>
        <w:numPr>
          <w:ilvl w:val="0"/>
          <w:numId w:val="3"/>
        </w:numPr>
        <w:ind w:left="357" w:hanging="357"/>
        <w:rPr>
          <w:bCs/>
        </w:rPr>
      </w:pPr>
      <w:r>
        <w:t xml:space="preserve">mudina aktīvi, sadarbojoties ar attiecīgām ieinteresētajām personām, veicināt </w:t>
      </w:r>
      <w:r>
        <w:rPr>
          <w:b/>
        </w:rPr>
        <w:t>apmācību un prasmju veidošanu</w:t>
      </w:r>
      <w:r>
        <w:t>.</w:t>
      </w:r>
    </w:p>
    <w:p w14:paraId="49A61B26" w14:textId="77777777" w:rsidR="000F2BDB" w:rsidRPr="000F2BDB" w:rsidRDefault="000F2BDB" w:rsidP="000F2BDB">
      <w:pPr>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0F2BDB" w:rsidRPr="009B70E7" w14:paraId="51730CA0" w14:textId="77777777" w:rsidTr="00576060">
        <w:tc>
          <w:tcPr>
            <w:tcW w:w="1418" w:type="dxa"/>
          </w:tcPr>
          <w:p w14:paraId="3D1C7509" w14:textId="77777777" w:rsidR="000F2BDB" w:rsidRPr="009B70E7" w:rsidRDefault="000F2BDB" w:rsidP="00576060">
            <w:pPr>
              <w:pStyle w:val="ListParagraph"/>
              <w:ind w:left="0"/>
              <w:rPr>
                <w:i/>
              </w:rPr>
            </w:pPr>
            <w:r>
              <w:rPr>
                <w:b/>
                <w:i/>
              </w:rPr>
              <w:t>Kontaktpersona:</w:t>
            </w:r>
          </w:p>
        </w:tc>
        <w:tc>
          <w:tcPr>
            <w:tcW w:w="5670" w:type="dxa"/>
          </w:tcPr>
          <w:p w14:paraId="07C2A650" w14:textId="4370ADAF" w:rsidR="000F2BDB" w:rsidRPr="009B70E7" w:rsidRDefault="000F2BDB" w:rsidP="00576060">
            <w:pPr>
              <w:pStyle w:val="ListParagraph"/>
              <w:ind w:left="0"/>
              <w:rPr>
                <w:i/>
              </w:rPr>
            </w:pPr>
            <w:r>
              <w:rPr>
                <w:i/>
              </w:rPr>
              <w:t>Giorgia Bordignon</w:t>
            </w:r>
          </w:p>
        </w:tc>
      </w:tr>
      <w:tr w:rsidR="000F2BDB" w:rsidRPr="009B70E7" w14:paraId="7410EA6A" w14:textId="77777777" w:rsidTr="00576060">
        <w:tc>
          <w:tcPr>
            <w:tcW w:w="1418" w:type="dxa"/>
          </w:tcPr>
          <w:p w14:paraId="45B82D7E" w14:textId="77777777" w:rsidR="000F2BDB" w:rsidRPr="009B70E7" w:rsidRDefault="000F2BDB" w:rsidP="00576060">
            <w:pPr>
              <w:pStyle w:val="ListParagraph"/>
              <w:ind w:left="601"/>
              <w:rPr>
                <w:i/>
              </w:rPr>
            </w:pPr>
            <w:r>
              <w:rPr>
                <w:i/>
              </w:rPr>
              <w:t>Tālr.:</w:t>
            </w:r>
          </w:p>
        </w:tc>
        <w:tc>
          <w:tcPr>
            <w:tcW w:w="5670" w:type="dxa"/>
          </w:tcPr>
          <w:p w14:paraId="45B60CAC" w14:textId="0F5F0915" w:rsidR="000F2BDB" w:rsidRPr="009B70E7" w:rsidRDefault="000F2BDB" w:rsidP="00576060">
            <w:pPr>
              <w:pStyle w:val="ListParagraph"/>
              <w:ind w:left="0"/>
              <w:rPr>
                <w:i/>
              </w:rPr>
            </w:pPr>
            <w:r>
              <w:rPr>
                <w:i/>
              </w:rPr>
              <w:t>00 32 2 546 85 35</w:t>
            </w:r>
          </w:p>
        </w:tc>
      </w:tr>
      <w:tr w:rsidR="000F2BDB" w:rsidRPr="00F33DD2" w14:paraId="27D000A2" w14:textId="77777777" w:rsidTr="00576060">
        <w:tc>
          <w:tcPr>
            <w:tcW w:w="1418" w:type="dxa"/>
          </w:tcPr>
          <w:p w14:paraId="47FDCCBC" w14:textId="77777777" w:rsidR="000F2BDB" w:rsidRPr="009B70E7" w:rsidRDefault="000F2BDB" w:rsidP="00576060">
            <w:pPr>
              <w:pStyle w:val="ListParagraph"/>
              <w:ind w:left="601"/>
              <w:rPr>
                <w:i/>
              </w:rPr>
            </w:pPr>
            <w:r>
              <w:rPr>
                <w:i/>
              </w:rPr>
              <w:t>E-pasts:</w:t>
            </w:r>
          </w:p>
        </w:tc>
        <w:tc>
          <w:tcPr>
            <w:tcW w:w="5670" w:type="dxa"/>
          </w:tcPr>
          <w:p w14:paraId="6EA4153F" w14:textId="7CD7DA24" w:rsidR="000F2BDB" w:rsidRPr="000F2BDB" w:rsidRDefault="000062DB" w:rsidP="00576060">
            <w:pPr>
              <w:pStyle w:val="ListParagraph"/>
              <w:ind w:left="0"/>
              <w:rPr>
                <w:i/>
                <w:iCs/>
              </w:rPr>
            </w:pPr>
            <w:hyperlink r:id="rId37" w:history="1">
              <w:r w:rsidR="007B42E2">
                <w:rPr>
                  <w:rStyle w:val="Hyperlink"/>
                  <w:i/>
                </w:rPr>
                <w:t>Giorgia.Bordignon@eesc.europa.eu</w:t>
              </w:r>
            </w:hyperlink>
          </w:p>
        </w:tc>
      </w:tr>
    </w:tbl>
    <w:p w14:paraId="72B6D08A" w14:textId="77777777" w:rsidR="006F6E46" w:rsidRPr="009B70E7" w:rsidRDefault="006F6E46" w:rsidP="00552022"/>
    <w:p w14:paraId="42B8070D" w14:textId="5E13E419" w:rsidR="00552022" w:rsidRPr="009B70E7" w:rsidRDefault="001C226F" w:rsidP="00552022">
      <w:pPr>
        <w:pStyle w:val="ListParagraph"/>
        <w:keepNext/>
        <w:numPr>
          <w:ilvl w:val="0"/>
          <w:numId w:val="2"/>
        </w:numPr>
        <w:ind w:left="567" w:hanging="567"/>
        <w:rPr>
          <w:b/>
          <w:i/>
          <w:sz w:val="28"/>
          <w:szCs w:val="28"/>
        </w:rPr>
      </w:pPr>
      <w:r>
        <w:rPr>
          <w:b/>
          <w:i/>
          <w:sz w:val="28"/>
        </w:rPr>
        <w:t>Elektroenerģijas tirgi</w:t>
      </w:r>
    </w:p>
    <w:p w14:paraId="28F363B4"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41513243" w14:textId="77777777" w:rsidTr="00576060">
        <w:tc>
          <w:tcPr>
            <w:tcW w:w="1701" w:type="dxa"/>
          </w:tcPr>
          <w:p w14:paraId="1C44AC09" w14:textId="50D2251B" w:rsidR="00552022" w:rsidRPr="009B70E7" w:rsidRDefault="00552022" w:rsidP="00576060">
            <w:pPr>
              <w:pStyle w:val="ListParagraph"/>
              <w:keepNext/>
              <w:ind w:left="0"/>
              <w:rPr>
                <w:b/>
              </w:rPr>
            </w:pPr>
            <w:r>
              <w:rPr>
                <w:b/>
              </w:rPr>
              <w:t>Ziņotāja:</w:t>
            </w:r>
          </w:p>
        </w:tc>
        <w:tc>
          <w:tcPr>
            <w:tcW w:w="6237" w:type="dxa"/>
          </w:tcPr>
          <w:p w14:paraId="78219D61" w14:textId="77777777" w:rsidR="00552022" w:rsidRDefault="001C226F" w:rsidP="00552022">
            <w:pPr>
              <w:pStyle w:val="ListParagraph"/>
              <w:keepNext/>
              <w:ind w:left="-56" w:right="-453"/>
            </w:pPr>
            <w:r>
              <w:t>Alena MASTANTUONO (Darba devēju grupa – CZ)</w:t>
            </w:r>
          </w:p>
          <w:p w14:paraId="11889F3A" w14:textId="27FB8B74" w:rsidR="001C226F" w:rsidRPr="009B70E7" w:rsidRDefault="001C226F" w:rsidP="00552022">
            <w:pPr>
              <w:pStyle w:val="ListParagraph"/>
              <w:keepNext/>
              <w:ind w:left="-56" w:right="-453"/>
            </w:pPr>
          </w:p>
        </w:tc>
      </w:tr>
      <w:tr w:rsidR="00552022" w:rsidRPr="009B70E7" w14:paraId="4CCFC13C" w14:textId="77777777" w:rsidTr="00576060">
        <w:tc>
          <w:tcPr>
            <w:tcW w:w="1701" w:type="dxa"/>
            <w:vMerge w:val="restart"/>
          </w:tcPr>
          <w:p w14:paraId="03AD2E56" w14:textId="5DA73119" w:rsidR="00552022" w:rsidRPr="009B70E7" w:rsidRDefault="00B80604" w:rsidP="00576060">
            <w:pPr>
              <w:pStyle w:val="ListParagraph"/>
              <w:keepNext/>
              <w:ind w:left="0"/>
              <w:rPr>
                <w:b/>
              </w:rPr>
            </w:pPr>
            <w:r>
              <w:rPr>
                <w:b/>
              </w:rPr>
              <w:t>Atsauces:</w:t>
            </w:r>
            <w:r w:rsidR="00552022">
              <w:rPr>
                <w:b/>
              </w:rPr>
              <w:t xml:space="preserve"> </w:t>
            </w:r>
          </w:p>
        </w:tc>
        <w:tc>
          <w:tcPr>
            <w:tcW w:w="6237" w:type="dxa"/>
          </w:tcPr>
          <w:p w14:paraId="25D739C3" w14:textId="150D951E" w:rsidR="00552022" w:rsidRPr="009B70E7" w:rsidRDefault="00552022" w:rsidP="00576060">
            <w:pPr>
              <w:pStyle w:val="ListParagraph"/>
              <w:keepNext/>
              <w:ind w:left="-56"/>
            </w:pPr>
            <w:r>
              <w:t>COM(2022) 236 final</w:t>
            </w:r>
          </w:p>
        </w:tc>
      </w:tr>
      <w:tr w:rsidR="00552022" w:rsidRPr="009B70E7" w14:paraId="4B03208F" w14:textId="77777777" w:rsidTr="00576060">
        <w:tc>
          <w:tcPr>
            <w:tcW w:w="1701" w:type="dxa"/>
            <w:vMerge/>
          </w:tcPr>
          <w:p w14:paraId="5934FB01" w14:textId="77777777" w:rsidR="00552022" w:rsidRPr="009B70E7" w:rsidRDefault="00552022" w:rsidP="00576060">
            <w:pPr>
              <w:pStyle w:val="ListParagraph"/>
              <w:keepNext/>
              <w:ind w:left="0"/>
              <w:rPr>
                <w:b/>
              </w:rPr>
            </w:pPr>
          </w:p>
        </w:tc>
        <w:tc>
          <w:tcPr>
            <w:tcW w:w="6237" w:type="dxa"/>
          </w:tcPr>
          <w:p w14:paraId="608E37E4" w14:textId="2ABD46F1" w:rsidR="00552022" w:rsidRPr="009B70E7" w:rsidRDefault="00552022" w:rsidP="00576060">
            <w:pPr>
              <w:pStyle w:val="ListParagraph"/>
              <w:keepNext/>
              <w:ind w:left="-56"/>
            </w:pPr>
            <w:r>
              <w:t>EESC-2022-03219-00-00-AC</w:t>
            </w:r>
          </w:p>
        </w:tc>
      </w:tr>
    </w:tbl>
    <w:p w14:paraId="5204FC05" w14:textId="77777777" w:rsidR="00552022" w:rsidRPr="00A00F37" w:rsidRDefault="00552022" w:rsidP="00A00F37">
      <w:pPr>
        <w:pStyle w:val="ListParagraph"/>
        <w:spacing w:line="240" w:lineRule="auto"/>
        <w:ind w:left="0" w:firstLine="142"/>
        <w:rPr>
          <w:b/>
        </w:rPr>
      </w:pPr>
    </w:p>
    <w:p w14:paraId="24451F24" w14:textId="7A2B89B1" w:rsidR="00552022" w:rsidRDefault="00552022" w:rsidP="00A00F37">
      <w:pPr>
        <w:pStyle w:val="ListParagraph"/>
        <w:spacing w:line="240" w:lineRule="auto"/>
        <w:ind w:left="0" w:firstLine="142"/>
        <w:rPr>
          <w:b/>
        </w:rPr>
      </w:pPr>
      <w:r>
        <w:rPr>
          <w:b/>
          <w:bCs/>
        </w:rPr>
        <w:t>Svarīgākie aspekti</w:t>
      </w:r>
    </w:p>
    <w:p w14:paraId="6DD0E9D1" w14:textId="77777777" w:rsidR="00737766" w:rsidRPr="00CE23CC" w:rsidRDefault="00737766" w:rsidP="00552022">
      <w:pPr>
        <w:pStyle w:val="ListParagraph"/>
        <w:spacing w:line="240" w:lineRule="auto"/>
        <w:ind w:left="-142" w:firstLine="142"/>
        <w:rPr>
          <w:b/>
        </w:rPr>
      </w:pPr>
    </w:p>
    <w:p w14:paraId="0AC85AF5" w14:textId="633BFDE0" w:rsidR="00552022" w:rsidRDefault="00737766" w:rsidP="00A00F37">
      <w:pPr>
        <w:pStyle w:val="ListParagraph"/>
        <w:spacing w:line="240" w:lineRule="auto"/>
        <w:ind w:left="0" w:firstLine="142"/>
      </w:pPr>
      <w:r>
        <w:t>EESK:</w:t>
      </w:r>
    </w:p>
    <w:p w14:paraId="0F877662" w14:textId="77777777" w:rsidR="00037A85" w:rsidRPr="009B70E7" w:rsidRDefault="00037A85" w:rsidP="00552022">
      <w:pPr>
        <w:pStyle w:val="ListParagraph"/>
        <w:ind w:left="0"/>
      </w:pPr>
    </w:p>
    <w:p w14:paraId="4356294B" w14:textId="7F25EFE9" w:rsidR="00552022" w:rsidRPr="003527B4" w:rsidRDefault="001C226F" w:rsidP="00552022">
      <w:pPr>
        <w:pStyle w:val="ListParagraph"/>
        <w:numPr>
          <w:ilvl w:val="0"/>
          <w:numId w:val="3"/>
        </w:numPr>
        <w:ind w:left="357" w:hanging="357"/>
        <w:rPr>
          <w:bCs/>
        </w:rPr>
      </w:pPr>
      <w:r>
        <w:t>atzinīgi vērtē to, ka Komisijas paziņojumā ir apsvērts enerģijas tirgos veikt īstermiņa intervences un ilgtermiņa uzlabojumus elektroenerģijas tirgus modelī, un prasa, lai tiem sekotu tirgus modeļa pielāgojumi;</w:t>
      </w:r>
    </w:p>
    <w:p w14:paraId="5B7AF63D" w14:textId="4515017E" w:rsidR="00552022" w:rsidRDefault="001C226F" w:rsidP="00552022">
      <w:pPr>
        <w:pStyle w:val="ListParagraph"/>
        <w:numPr>
          <w:ilvl w:val="0"/>
          <w:numId w:val="3"/>
        </w:numPr>
        <w:ind w:left="357" w:hanging="357"/>
        <w:rPr>
          <w:bCs/>
        </w:rPr>
      </w:pPr>
      <w:r>
        <w:t>uzskata, ka labi funkcionējošiem enerģijas tirgiem ir izšķiroša nozīme, lai sasniegtu visus ilgtspējīgas energosistēmas pamatmērķus, t. i., piegādes drošību, saprātīgas izmaksas un cenas un klimatneitralitāti. Nekādi turpmāki pasākumi nedrīkst apdraudēt šos priekšnoteikumus;</w:t>
      </w:r>
    </w:p>
    <w:p w14:paraId="51E728A5" w14:textId="151832D5" w:rsidR="001C226F" w:rsidRPr="001C226F" w:rsidRDefault="001C226F" w:rsidP="00552022">
      <w:pPr>
        <w:pStyle w:val="ListParagraph"/>
        <w:numPr>
          <w:ilvl w:val="0"/>
          <w:numId w:val="3"/>
        </w:numPr>
        <w:ind w:left="357" w:hanging="357"/>
        <w:rPr>
          <w:bCs/>
        </w:rPr>
      </w:pPr>
      <w:r>
        <w:t>vienlaikus norāda, ka pašreizējā enerģijas cenu krīze negatīvi ietekmē Eiropas mājsaimniecības un uzņēmumus, un atbalsta Komisijas pieeju veikt īstermiņa pasākumus, lai tiem nodrošinātu pieņemamas cenas, tostarp tiešu finansiālu atbalstu neaizsargātiem patērētājiem, kā arī tiem MVU un energoietilpīgām nozarēm, kas cieš visvairāk;</w:t>
      </w:r>
    </w:p>
    <w:p w14:paraId="5C62CFE6" w14:textId="2FDBC803" w:rsidR="001C226F" w:rsidRPr="001C226F" w:rsidRDefault="001C226F" w:rsidP="00552022">
      <w:pPr>
        <w:pStyle w:val="ListParagraph"/>
        <w:numPr>
          <w:ilvl w:val="0"/>
          <w:numId w:val="3"/>
        </w:numPr>
        <w:ind w:left="357" w:hanging="357"/>
        <w:rPr>
          <w:bCs/>
        </w:rPr>
      </w:pPr>
      <w:r>
        <w:t>pozitīvi vērtē Eiropas Komisijas 2022. gada 14. septembrī ierosināto rīcību attiecībā uz pieprasījumu un aicina mājsaimniecības, publisko sektoru un uzņēmumus pielikt kopīgas pūles;</w:t>
      </w:r>
    </w:p>
    <w:p w14:paraId="1D94EDE3" w14:textId="3A98A89A" w:rsidR="001C226F" w:rsidRPr="001C226F" w:rsidRDefault="001C226F" w:rsidP="00552022">
      <w:pPr>
        <w:pStyle w:val="ListParagraph"/>
        <w:numPr>
          <w:ilvl w:val="0"/>
          <w:numId w:val="3"/>
        </w:numPr>
        <w:ind w:left="357" w:hanging="357"/>
        <w:rPr>
          <w:bCs/>
        </w:rPr>
      </w:pPr>
      <w:r>
        <w:lastRenderedPageBreak/>
        <w:t>uzskata, ka politikas veidotājiem vajadzētu iedrošināt un atbalstīt cilvēkus, kā arī radīt viņiem iespējas kļūt par enerģiju ražojošiem patērētājiem un veidot vietējās enerģētikas kopienas, un tādējādi viņiem palīdzēt būt neatkarīgākiem no kopējām tirgus cenām;</w:t>
      </w:r>
    </w:p>
    <w:p w14:paraId="5991D0DC" w14:textId="4A3F4793" w:rsidR="00037A85" w:rsidRPr="001C226F" w:rsidRDefault="001C226F" w:rsidP="00737766">
      <w:pPr>
        <w:pStyle w:val="ListParagraph"/>
        <w:numPr>
          <w:ilvl w:val="0"/>
          <w:numId w:val="3"/>
        </w:numPr>
        <w:ind w:left="357" w:hanging="357"/>
        <w:rPr>
          <w:bCs/>
        </w:rPr>
      </w:pPr>
      <w:r>
        <w:t>vēlas piedalīties debatēs un ietekmes analīzē, kas būtu jāveic pirms turpmākiem pasākumiem, un aicina Komisiju un dalībvalstis saglabāt vairumtirdzniecības tirgus darbību, kā arī iekšējā enerģijas tirgus integrāciju.</w:t>
      </w:r>
    </w:p>
    <w:p w14:paraId="78A9B681" w14:textId="77777777" w:rsidR="001C226F" w:rsidRPr="001C226F" w:rsidRDefault="001C226F" w:rsidP="000B1AE6">
      <w:pPr>
        <w:pStyle w:val="ListParagraph"/>
        <w:ind w:left="357"/>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552022" w:rsidRPr="009B70E7" w14:paraId="6B47FDE5" w14:textId="77777777" w:rsidTr="00576060">
        <w:tc>
          <w:tcPr>
            <w:tcW w:w="1418" w:type="dxa"/>
          </w:tcPr>
          <w:p w14:paraId="266CD4C4" w14:textId="77777777" w:rsidR="00552022" w:rsidRPr="009B70E7" w:rsidRDefault="00552022" w:rsidP="00576060">
            <w:pPr>
              <w:pStyle w:val="ListParagraph"/>
              <w:ind w:left="0"/>
              <w:rPr>
                <w:i/>
              </w:rPr>
            </w:pPr>
            <w:r>
              <w:rPr>
                <w:b/>
                <w:i/>
              </w:rPr>
              <w:t>Kontaktpersona:</w:t>
            </w:r>
          </w:p>
        </w:tc>
        <w:tc>
          <w:tcPr>
            <w:tcW w:w="5670" w:type="dxa"/>
          </w:tcPr>
          <w:p w14:paraId="382B2C1C" w14:textId="38B64E01" w:rsidR="00552022" w:rsidRPr="009B70E7" w:rsidRDefault="001C226F" w:rsidP="00576060">
            <w:pPr>
              <w:pStyle w:val="ListParagraph"/>
              <w:ind w:left="0"/>
              <w:rPr>
                <w:i/>
              </w:rPr>
            </w:pPr>
            <w:r>
              <w:rPr>
                <w:i/>
              </w:rPr>
              <w:t>Francesco Napolitano</w:t>
            </w:r>
          </w:p>
        </w:tc>
      </w:tr>
      <w:tr w:rsidR="00552022" w:rsidRPr="009B70E7" w14:paraId="36155028" w14:textId="77777777" w:rsidTr="00576060">
        <w:tc>
          <w:tcPr>
            <w:tcW w:w="1418" w:type="dxa"/>
          </w:tcPr>
          <w:p w14:paraId="43E41E39" w14:textId="77777777" w:rsidR="00552022" w:rsidRPr="009B70E7" w:rsidRDefault="00552022" w:rsidP="00576060">
            <w:pPr>
              <w:pStyle w:val="ListParagraph"/>
              <w:ind w:left="601"/>
              <w:rPr>
                <w:i/>
              </w:rPr>
            </w:pPr>
            <w:r>
              <w:rPr>
                <w:i/>
              </w:rPr>
              <w:t>Tālr.:</w:t>
            </w:r>
          </w:p>
        </w:tc>
        <w:tc>
          <w:tcPr>
            <w:tcW w:w="5670" w:type="dxa"/>
          </w:tcPr>
          <w:p w14:paraId="21683711" w14:textId="126151E9" w:rsidR="00552022" w:rsidRPr="009B70E7" w:rsidRDefault="00552022" w:rsidP="00576060">
            <w:pPr>
              <w:pStyle w:val="ListParagraph"/>
              <w:ind w:left="0"/>
              <w:rPr>
                <w:i/>
              </w:rPr>
            </w:pPr>
            <w:r>
              <w:rPr>
                <w:i/>
              </w:rPr>
              <w:t>00 32 2 546 89 21</w:t>
            </w:r>
          </w:p>
        </w:tc>
      </w:tr>
      <w:tr w:rsidR="00552022" w:rsidRPr="009B70E7" w14:paraId="10F3D4F1" w14:textId="77777777" w:rsidTr="00576060">
        <w:tc>
          <w:tcPr>
            <w:tcW w:w="1418" w:type="dxa"/>
          </w:tcPr>
          <w:p w14:paraId="6AB0E539" w14:textId="77777777" w:rsidR="00552022" w:rsidRPr="009B70E7" w:rsidRDefault="00552022" w:rsidP="00576060">
            <w:pPr>
              <w:pStyle w:val="ListParagraph"/>
              <w:ind w:left="601"/>
              <w:rPr>
                <w:i/>
              </w:rPr>
            </w:pPr>
            <w:r>
              <w:rPr>
                <w:i/>
              </w:rPr>
              <w:t>E-pasts:</w:t>
            </w:r>
          </w:p>
        </w:tc>
        <w:tc>
          <w:tcPr>
            <w:tcW w:w="5670" w:type="dxa"/>
          </w:tcPr>
          <w:p w14:paraId="589CC30E" w14:textId="247F5B42" w:rsidR="00552022" w:rsidRPr="000062DB" w:rsidRDefault="000062DB" w:rsidP="00576060">
            <w:pPr>
              <w:pStyle w:val="ListParagraph"/>
              <w:ind w:left="0"/>
              <w:rPr>
                <w:i/>
                <w:iCs/>
                <w:color w:val="0000FF"/>
                <w:u w:val="single"/>
              </w:rPr>
            </w:pPr>
            <w:hyperlink r:id="rId38" w:history="1">
              <w:r w:rsidR="007B42E2">
                <w:rPr>
                  <w:rStyle w:val="Hyperlink"/>
                  <w:i/>
                </w:rPr>
                <w:t>Francesco.Napolitano@eesc.europa.eu</w:t>
              </w:r>
            </w:hyperlink>
          </w:p>
        </w:tc>
      </w:tr>
    </w:tbl>
    <w:p w14:paraId="06B2B5BA" w14:textId="77777777" w:rsidR="006F6E46" w:rsidRDefault="006F6E46" w:rsidP="0018231C">
      <w:pPr>
        <w:jc w:val="left"/>
        <w:rPr>
          <w:sz w:val="28"/>
        </w:rPr>
      </w:pPr>
    </w:p>
    <w:p w14:paraId="3024F672" w14:textId="4AE6C153" w:rsidR="00510903" w:rsidRPr="000F2BDB" w:rsidRDefault="000F2BDB" w:rsidP="002326F4">
      <w:pPr>
        <w:pStyle w:val="ListParagraph"/>
        <w:keepNext/>
        <w:numPr>
          <w:ilvl w:val="0"/>
          <w:numId w:val="2"/>
        </w:numPr>
        <w:ind w:left="567" w:hanging="567"/>
      </w:pPr>
      <w:bookmarkStart w:id="32" w:name="_Hlk116900840"/>
      <w:r>
        <w:rPr>
          <w:b/>
          <w:i/>
          <w:sz w:val="28"/>
        </w:rPr>
        <w:t>Grozītais priekšlikums</w:t>
      </w:r>
      <w:r>
        <w:rPr>
          <w:b/>
          <w:i/>
          <w:iCs/>
          <w:sz w:val="28"/>
        </w:rPr>
        <w:t xml:space="preserve"> TEN-T</w:t>
      </w:r>
      <w:r>
        <w:rPr>
          <w:b/>
          <w:i/>
          <w:sz w:val="28"/>
        </w:rPr>
        <w:t xml:space="preserve"> un Dzelzceļa kravu pārvadājumu koridora regulas pārskatīšanai</w:t>
      </w:r>
    </w:p>
    <w:p w14:paraId="119359CF" w14:textId="77777777" w:rsidR="000F2BDB" w:rsidRPr="009B70E7" w:rsidRDefault="000F2BDB"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510903" w:rsidRPr="009B70E7" w14:paraId="1DFAAC31" w14:textId="77777777" w:rsidTr="00037A85">
        <w:tc>
          <w:tcPr>
            <w:tcW w:w="1701" w:type="dxa"/>
          </w:tcPr>
          <w:p w14:paraId="150F2EE9" w14:textId="5A8BDB07" w:rsidR="00510903" w:rsidRPr="009B70E7" w:rsidRDefault="00510903" w:rsidP="00576060">
            <w:pPr>
              <w:pStyle w:val="ListParagraph"/>
              <w:keepNext/>
              <w:ind w:left="0"/>
              <w:rPr>
                <w:b/>
              </w:rPr>
            </w:pPr>
            <w:r>
              <w:rPr>
                <w:b/>
              </w:rPr>
              <w:t>Ziņotājs:</w:t>
            </w:r>
          </w:p>
        </w:tc>
        <w:tc>
          <w:tcPr>
            <w:tcW w:w="5818" w:type="dxa"/>
          </w:tcPr>
          <w:p w14:paraId="02875CAB" w14:textId="5E2616F2" w:rsidR="00510903" w:rsidRPr="009B70E7" w:rsidRDefault="000F2BDB" w:rsidP="00576060">
            <w:pPr>
              <w:pStyle w:val="ListParagraph"/>
              <w:keepNext/>
              <w:ind w:left="-56" w:right="-453"/>
            </w:pPr>
            <w:r>
              <w:t>Stefan BACK (Darba devēju grupa – SE)</w:t>
            </w:r>
          </w:p>
        </w:tc>
      </w:tr>
      <w:tr w:rsidR="00510903" w:rsidRPr="009B70E7" w14:paraId="5E12E653" w14:textId="77777777" w:rsidTr="00037A85">
        <w:tc>
          <w:tcPr>
            <w:tcW w:w="7517" w:type="dxa"/>
            <w:gridSpan w:val="2"/>
          </w:tcPr>
          <w:p w14:paraId="34ACA3C1" w14:textId="77777777" w:rsidR="00510903" w:rsidRPr="009B70E7" w:rsidRDefault="00510903" w:rsidP="00576060">
            <w:pPr>
              <w:pStyle w:val="ListParagraph"/>
              <w:keepNext/>
              <w:ind w:left="0"/>
            </w:pPr>
          </w:p>
        </w:tc>
      </w:tr>
      <w:tr w:rsidR="00510903" w:rsidRPr="009B70E7" w14:paraId="0B402F22" w14:textId="77777777" w:rsidTr="00037A85">
        <w:tc>
          <w:tcPr>
            <w:tcW w:w="1701" w:type="dxa"/>
            <w:vMerge w:val="restart"/>
          </w:tcPr>
          <w:p w14:paraId="161AD55F" w14:textId="33E38656" w:rsidR="00510903" w:rsidRPr="009B70E7" w:rsidRDefault="00B80604" w:rsidP="00576060">
            <w:pPr>
              <w:pStyle w:val="ListParagraph"/>
              <w:keepNext/>
              <w:ind w:left="0"/>
              <w:rPr>
                <w:b/>
              </w:rPr>
            </w:pPr>
            <w:r>
              <w:rPr>
                <w:b/>
              </w:rPr>
              <w:t>Atsauces:</w:t>
            </w:r>
            <w:r w:rsidR="00510903">
              <w:rPr>
                <w:b/>
              </w:rPr>
              <w:t xml:space="preserve"> </w:t>
            </w:r>
          </w:p>
        </w:tc>
        <w:tc>
          <w:tcPr>
            <w:tcW w:w="5818" w:type="dxa"/>
          </w:tcPr>
          <w:p w14:paraId="1E786179" w14:textId="2B9CAD28" w:rsidR="00510903" w:rsidRPr="009B70E7" w:rsidRDefault="00510903" w:rsidP="00576060">
            <w:pPr>
              <w:pStyle w:val="ListParagraph"/>
              <w:keepNext/>
              <w:ind w:left="-56"/>
            </w:pPr>
            <w:r>
              <w:t>COM (2022) 384 final</w:t>
            </w:r>
          </w:p>
        </w:tc>
      </w:tr>
      <w:tr w:rsidR="00510903" w:rsidRPr="009B70E7" w14:paraId="717D4D6D" w14:textId="77777777" w:rsidTr="00037A85">
        <w:tc>
          <w:tcPr>
            <w:tcW w:w="1701" w:type="dxa"/>
            <w:vMerge/>
          </w:tcPr>
          <w:p w14:paraId="385CEC77" w14:textId="77777777" w:rsidR="00510903" w:rsidRPr="009B70E7" w:rsidRDefault="00510903" w:rsidP="00576060">
            <w:pPr>
              <w:pStyle w:val="ListParagraph"/>
              <w:keepNext/>
              <w:ind w:left="0"/>
              <w:rPr>
                <w:b/>
              </w:rPr>
            </w:pPr>
          </w:p>
        </w:tc>
        <w:tc>
          <w:tcPr>
            <w:tcW w:w="5818" w:type="dxa"/>
          </w:tcPr>
          <w:p w14:paraId="5FE86526" w14:textId="7EA9B157" w:rsidR="00510903" w:rsidRPr="009B70E7" w:rsidRDefault="00510903" w:rsidP="00576060">
            <w:pPr>
              <w:pStyle w:val="ListParagraph"/>
              <w:keepNext/>
              <w:ind w:left="-56"/>
            </w:pPr>
            <w:r>
              <w:t>EESC-2022-04145-00-00-AC</w:t>
            </w:r>
          </w:p>
        </w:tc>
      </w:tr>
    </w:tbl>
    <w:p w14:paraId="6F103AA4" w14:textId="77777777" w:rsidR="00510903" w:rsidRPr="009B70E7" w:rsidRDefault="00510903" w:rsidP="00510903">
      <w:pPr>
        <w:pStyle w:val="ListParagraph"/>
        <w:keepNext/>
        <w:ind w:left="0"/>
      </w:pPr>
    </w:p>
    <w:p w14:paraId="5CA6A315" w14:textId="6AD6534B" w:rsidR="00510903" w:rsidRPr="00CE23CC" w:rsidRDefault="00510903" w:rsidP="00A00F37">
      <w:pPr>
        <w:pStyle w:val="ListParagraph"/>
        <w:spacing w:line="240" w:lineRule="auto"/>
        <w:ind w:left="0" w:firstLine="142"/>
        <w:rPr>
          <w:b/>
        </w:rPr>
      </w:pPr>
      <w:r>
        <w:rPr>
          <w:b/>
          <w:bCs/>
        </w:rPr>
        <w:t>Svarīgākie aspekti</w:t>
      </w:r>
    </w:p>
    <w:p w14:paraId="7FCB400E" w14:textId="77777777" w:rsidR="00510903" w:rsidRDefault="00510903" w:rsidP="00510903">
      <w:pPr>
        <w:pStyle w:val="ListParagraph"/>
        <w:ind w:left="0"/>
      </w:pPr>
    </w:p>
    <w:p w14:paraId="33655AB7" w14:textId="77777777" w:rsidR="00510903" w:rsidRPr="00A00F37" w:rsidRDefault="00510903" w:rsidP="00A00F37">
      <w:pPr>
        <w:pStyle w:val="ListParagraph"/>
        <w:spacing w:line="240" w:lineRule="auto"/>
        <w:ind w:left="0" w:firstLine="142"/>
        <w:rPr>
          <w:bCs/>
        </w:rPr>
      </w:pPr>
      <w:r>
        <w:t>EESK:</w:t>
      </w:r>
    </w:p>
    <w:p w14:paraId="5255DB3F" w14:textId="77777777" w:rsidR="00510903" w:rsidRPr="009B70E7" w:rsidRDefault="00510903" w:rsidP="00510903">
      <w:pPr>
        <w:pStyle w:val="ListParagraph"/>
        <w:ind w:left="0"/>
      </w:pPr>
    </w:p>
    <w:p w14:paraId="42C8E5A4" w14:textId="618088D6" w:rsidR="00510903" w:rsidRPr="003527B4" w:rsidRDefault="002326F4" w:rsidP="00510903">
      <w:pPr>
        <w:pStyle w:val="ListParagraph"/>
        <w:numPr>
          <w:ilvl w:val="0"/>
          <w:numId w:val="3"/>
        </w:numPr>
        <w:ind w:left="357" w:hanging="357"/>
        <w:rPr>
          <w:bCs/>
        </w:rPr>
      </w:pPr>
      <w:r>
        <w:t>piekrīt, ka Krievijas uzbrukums Ukrainai ir pārveidojis ģeopolitisko ainavu, atklājis ES neaizsargātību pret neparedzētiem graujošiem notikumiem ārpus tās robežām un izcēlis, ka ES politikas veidošanā ES iekšējo tirgu un transporta tīklu nevar aplūkot nošķirti;</w:t>
      </w:r>
    </w:p>
    <w:p w14:paraId="301E91AE" w14:textId="5DE08B8B" w:rsidR="00510903" w:rsidRDefault="002326F4" w:rsidP="00510903">
      <w:pPr>
        <w:pStyle w:val="ListParagraph"/>
        <w:numPr>
          <w:ilvl w:val="0"/>
          <w:numId w:val="3"/>
        </w:numPr>
        <w:ind w:left="357" w:hanging="357"/>
        <w:rPr>
          <w:bCs/>
        </w:rPr>
      </w:pPr>
      <w:r>
        <w:t xml:space="preserve">pilnībā atbalsta </w:t>
      </w:r>
      <w:r>
        <w:rPr>
          <w:b/>
        </w:rPr>
        <w:t>TEN-T paplašināšanu, tajā ietverot arī Ukrainu un Moldovu</w:t>
      </w:r>
      <w:r>
        <w:t xml:space="preserve">; šis ir īstajā brīdī nācis ierosinājums, kurš ar laiku var dot pievienoto vērtību, proti, pavērt labākas iespējas izveidot </w:t>
      </w:r>
      <w:r>
        <w:rPr>
          <w:b/>
        </w:rPr>
        <w:t>vienmērīgas un netraucētas transporta plūsmas starp Ukrainu un ES</w:t>
      </w:r>
      <w:r>
        <w:t>;</w:t>
      </w:r>
    </w:p>
    <w:p w14:paraId="46E69C79" w14:textId="02B4FB12" w:rsidR="00510903" w:rsidRPr="00F049D6" w:rsidRDefault="002326F4" w:rsidP="00510903">
      <w:pPr>
        <w:pStyle w:val="ListParagraph"/>
        <w:numPr>
          <w:ilvl w:val="0"/>
          <w:numId w:val="3"/>
        </w:numPr>
        <w:ind w:left="357" w:hanging="357"/>
        <w:rPr>
          <w:bCs/>
        </w:rPr>
      </w:pPr>
      <w:r>
        <w:t xml:space="preserve">ierosina, ka </w:t>
      </w:r>
      <w:r>
        <w:rPr>
          <w:b/>
        </w:rPr>
        <w:t>prasība par pāreju</w:t>
      </w:r>
      <w:r>
        <w:t xml:space="preserve"> uz ES standarta sliežu ceļa platumu </w:t>
      </w:r>
      <w:r w:rsidR="001C55E2">
        <w:t>–</w:t>
      </w:r>
      <w:r>
        <w:t xml:space="preserve"> 1435 mm </w:t>
      </w:r>
      <w:r w:rsidR="001C55E2">
        <w:t>–</w:t>
      </w:r>
      <w:r>
        <w:t xml:space="preserve"> būtu </w:t>
      </w:r>
      <w:r>
        <w:rPr>
          <w:b/>
        </w:rPr>
        <w:t>jāattiecina tikai uz Eiropas transporta koridoriem</w:t>
      </w:r>
      <w:r>
        <w:t>, lai nodrošinātu konsekventu un labi koordinētu pāreju, ņemot vērā, ka dalībvalstu pienākums izstrādāt pārejas plānus attiecas tikai uz šiem koridoriem.</w:t>
      </w:r>
    </w:p>
    <w:p w14:paraId="180DA939" w14:textId="77777777" w:rsidR="00510903" w:rsidRPr="009B70E7" w:rsidRDefault="00510903" w:rsidP="005109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0F2BDB" w:rsidRPr="009B70E7" w14:paraId="71F7A3BE" w14:textId="77777777" w:rsidTr="00576060">
        <w:tc>
          <w:tcPr>
            <w:tcW w:w="1418" w:type="dxa"/>
          </w:tcPr>
          <w:p w14:paraId="318AC3A8" w14:textId="77777777" w:rsidR="000F2BDB" w:rsidRPr="009B70E7" w:rsidRDefault="000F2BDB" w:rsidP="00576060">
            <w:pPr>
              <w:pStyle w:val="ListParagraph"/>
              <w:ind w:left="0"/>
              <w:rPr>
                <w:i/>
              </w:rPr>
            </w:pPr>
            <w:r>
              <w:rPr>
                <w:b/>
                <w:i/>
              </w:rPr>
              <w:t>Kontaktpersona:</w:t>
            </w:r>
          </w:p>
        </w:tc>
        <w:tc>
          <w:tcPr>
            <w:tcW w:w="5670" w:type="dxa"/>
          </w:tcPr>
          <w:p w14:paraId="3380DEFF" w14:textId="77777777" w:rsidR="000F2BDB" w:rsidRPr="009B70E7" w:rsidRDefault="000F2BDB" w:rsidP="00576060">
            <w:pPr>
              <w:pStyle w:val="ListParagraph"/>
              <w:ind w:left="0"/>
              <w:rPr>
                <w:i/>
              </w:rPr>
            </w:pPr>
            <w:r>
              <w:rPr>
                <w:i/>
              </w:rPr>
              <w:t>Maja Radman</w:t>
            </w:r>
          </w:p>
        </w:tc>
      </w:tr>
      <w:tr w:rsidR="000F2BDB" w:rsidRPr="009B70E7" w14:paraId="7C9AC94A" w14:textId="77777777" w:rsidTr="00576060">
        <w:tc>
          <w:tcPr>
            <w:tcW w:w="1418" w:type="dxa"/>
          </w:tcPr>
          <w:p w14:paraId="44519853" w14:textId="77777777" w:rsidR="000F2BDB" w:rsidRPr="009B70E7" w:rsidRDefault="000F2BDB" w:rsidP="00576060">
            <w:pPr>
              <w:pStyle w:val="ListParagraph"/>
              <w:ind w:left="601"/>
              <w:rPr>
                <w:i/>
              </w:rPr>
            </w:pPr>
            <w:r>
              <w:rPr>
                <w:i/>
              </w:rPr>
              <w:t>Tālr.:</w:t>
            </w:r>
          </w:p>
        </w:tc>
        <w:tc>
          <w:tcPr>
            <w:tcW w:w="5670" w:type="dxa"/>
          </w:tcPr>
          <w:p w14:paraId="094D7C00" w14:textId="77777777" w:rsidR="000F2BDB" w:rsidRPr="009B70E7" w:rsidRDefault="000F2BDB" w:rsidP="00576060">
            <w:pPr>
              <w:pStyle w:val="ListParagraph"/>
              <w:ind w:left="0"/>
              <w:rPr>
                <w:i/>
              </w:rPr>
            </w:pPr>
            <w:r>
              <w:rPr>
                <w:i/>
              </w:rPr>
              <w:t>00 32 2 546 90 51</w:t>
            </w:r>
          </w:p>
        </w:tc>
      </w:tr>
      <w:tr w:rsidR="000F2BDB" w:rsidRPr="00F33DD2" w14:paraId="6468336A" w14:textId="77777777" w:rsidTr="00576060">
        <w:tc>
          <w:tcPr>
            <w:tcW w:w="1418" w:type="dxa"/>
          </w:tcPr>
          <w:p w14:paraId="59290C0D" w14:textId="77777777" w:rsidR="000F2BDB" w:rsidRPr="009B70E7" w:rsidRDefault="000F2BDB" w:rsidP="00576060">
            <w:pPr>
              <w:pStyle w:val="ListParagraph"/>
              <w:ind w:left="601"/>
              <w:rPr>
                <w:i/>
              </w:rPr>
            </w:pPr>
            <w:r>
              <w:rPr>
                <w:i/>
              </w:rPr>
              <w:t>E-pasts:</w:t>
            </w:r>
          </w:p>
        </w:tc>
        <w:tc>
          <w:tcPr>
            <w:tcW w:w="5670" w:type="dxa"/>
          </w:tcPr>
          <w:p w14:paraId="16C0256B" w14:textId="77777777" w:rsidR="000F2BDB" w:rsidRPr="00F33DD2" w:rsidRDefault="000062DB" w:rsidP="00576060">
            <w:pPr>
              <w:pStyle w:val="ListParagraph"/>
              <w:ind w:left="0"/>
              <w:rPr>
                <w:i/>
                <w:iCs/>
              </w:rPr>
            </w:pPr>
            <w:hyperlink r:id="rId39" w:history="1">
              <w:r w:rsidR="007B42E2">
                <w:rPr>
                  <w:rStyle w:val="Hyperlink"/>
                  <w:i/>
                </w:rPr>
                <w:t>Maja.Radman@eesc.europa.eu</w:t>
              </w:r>
            </w:hyperlink>
          </w:p>
        </w:tc>
      </w:tr>
      <w:bookmarkEnd w:id="32"/>
    </w:tbl>
    <w:p w14:paraId="4D226931" w14:textId="44DCB450" w:rsidR="00015E18" w:rsidRDefault="00015E18" w:rsidP="00510903">
      <w:pPr>
        <w:tabs>
          <w:tab w:val="left" w:pos="1440"/>
        </w:tabs>
        <w:spacing w:after="160" w:line="259" w:lineRule="auto"/>
        <w:jc w:val="left"/>
        <w:rPr>
          <w:sz w:val="28"/>
        </w:rPr>
      </w:pPr>
    </w:p>
    <w:bookmarkStart w:id="33" w:name="_Hlk116901176"/>
    <w:p w14:paraId="2BD5F062" w14:textId="46F86689" w:rsidR="002326F4" w:rsidRPr="000F2BDB" w:rsidRDefault="002326F4" w:rsidP="002326F4">
      <w:pPr>
        <w:pStyle w:val="ListParagraph"/>
        <w:keepNext/>
        <w:numPr>
          <w:ilvl w:val="0"/>
          <w:numId w:val="2"/>
        </w:numPr>
        <w:ind w:left="567" w:hanging="567"/>
      </w:pPr>
      <w:r w:rsidRPr="00366F20">
        <w:fldChar w:fldCharType="begin"/>
      </w:r>
      <w:r w:rsidRPr="00366F20">
        <w:instrText xml:space="preserve"> HYPERLINK "https://www.eesc.europa.eu/lv/opinion/documents/regulation-repealing-regulation-110870-and-regulation-ec-8512006/PAC" </w:instrText>
      </w:r>
      <w:r w:rsidRPr="00366F20">
        <w:fldChar w:fldCharType="separate"/>
      </w:r>
      <w:r>
        <w:rPr>
          <w:rStyle w:val="Hyperlink"/>
          <w:b/>
          <w:i/>
          <w:color w:val="auto"/>
          <w:sz w:val="28"/>
          <w:u w:val="none"/>
        </w:rPr>
        <w:t>Regula, ar ko atceļ Regulu 1108/70 un Regulu (EK) 851/2006</w:t>
      </w:r>
      <w:r w:rsidRPr="00366F20">
        <w:rPr>
          <w:rStyle w:val="Hyperlink"/>
          <w:b/>
          <w:i/>
          <w:color w:val="auto"/>
          <w:sz w:val="28"/>
          <w:u w:val="none"/>
        </w:rPr>
        <w:fldChar w:fldCharType="end"/>
      </w:r>
    </w:p>
    <w:p w14:paraId="4973BA90"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03EBD5DA" w14:textId="77777777" w:rsidTr="00576060">
        <w:tc>
          <w:tcPr>
            <w:tcW w:w="1701" w:type="dxa"/>
          </w:tcPr>
          <w:p w14:paraId="77C913C8" w14:textId="77777777" w:rsidR="002326F4" w:rsidRPr="009B70E7" w:rsidRDefault="002326F4" w:rsidP="00576060">
            <w:pPr>
              <w:pStyle w:val="ListParagraph"/>
              <w:keepNext/>
              <w:ind w:left="0"/>
              <w:rPr>
                <w:b/>
              </w:rPr>
            </w:pPr>
            <w:r>
              <w:rPr>
                <w:b/>
              </w:rPr>
              <w:t>Ziņotājs:</w:t>
            </w:r>
          </w:p>
        </w:tc>
        <w:tc>
          <w:tcPr>
            <w:tcW w:w="5818" w:type="dxa"/>
          </w:tcPr>
          <w:p w14:paraId="7808C7F4" w14:textId="3AF098B8" w:rsidR="002326F4" w:rsidRPr="009B70E7" w:rsidRDefault="002326F4" w:rsidP="00576060">
            <w:pPr>
              <w:pStyle w:val="ListParagraph"/>
              <w:keepNext/>
              <w:ind w:left="-56" w:right="-453"/>
            </w:pPr>
            <w:r>
              <w:t>C kategorijas atzinums</w:t>
            </w:r>
          </w:p>
        </w:tc>
      </w:tr>
      <w:tr w:rsidR="002326F4" w:rsidRPr="009B70E7" w14:paraId="537C6A16" w14:textId="77777777" w:rsidTr="00576060">
        <w:tc>
          <w:tcPr>
            <w:tcW w:w="7517" w:type="dxa"/>
            <w:gridSpan w:val="2"/>
          </w:tcPr>
          <w:p w14:paraId="0977C991" w14:textId="77777777" w:rsidR="002326F4" w:rsidRPr="009B70E7" w:rsidRDefault="002326F4" w:rsidP="00576060">
            <w:pPr>
              <w:pStyle w:val="ListParagraph"/>
              <w:keepNext/>
              <w:ind w:left="0"/>
            </w:pPr>
          </w:p>
        </w:tc>
      </w:tr>
      <w:tr w:rsidR="002326F4" w:rsidRPr="009B70E7" w14:paraId="5FA50AD3" w14:textId="77777777" w:rsidTr="00576060">
        <w:tc>
          <w:tcPr>
            <w:tcW w:w="1701" w:type="dxa"/>
            <w:vMerge w:val="restart"/>
          </w:tcPr>
          <w:p w14:paraId="66FEA07C" w14:textId="6EE34D43" w:rsidR="002326F4" w:rsidRPr="009B70E7" w:rsidRDefault="00B80604" w:rsidP="00576060">
            <w:pPr>
              <w:pStyle w:val="ListParagraph"/>
              <w:keepNext/>
              <w:ind w:left="0"/>
              <w:rPr>
                <w:b/>
              </w:rPr>
            </w:pPr>
            <w:r>
              <w:rPr>
                <w:b/>
              </w:rPr>
              <w:t>Atsauces:</w:t>
            </w:r>
            <w:r w:rsidR="002326F4">
              <w:rPr>
                <w:b/>
              </w:rPr>
              <w:t xml:space="preserve"> </w:t>
            </w:r>
          </w:p>
        </w:tc>
        <w:tc>
          <w:tcPr>
            <w:tcW w:w="5818" w:type="dxa"/>
          </w:tcPr>
          <w:p w14:paraId="515FB4B9" w14:textId="2E8EAFD4" w:rsidR="002326F4" w:rsidRPr="009B70E7" w:rsidRDefault="002326F4" w:rsidP="00576060">
            <w:pPr>
              <w:pStyle w:val="ListParagraph"/>
              <w:keepNext/>
              <w:ind w:left="-56"/>
            </w:pPr>
            <w:r>
              <w:t>COM (2022) 381 final</w:t>
            </w:r>
          </w:p>
        </w:tc>
      </w:tr>
      <w:tr w:rsidR="002326F4" w:rsidRPr="009B70E7" w14:paraId="2AFE245E" w14:textId="77777777" w:rsidTr="00576060">
        <w:tc>
          <w:tcPr>
            <w:tcW w:w="1701" w:type="dxa"/>
            <w:vMerge/>
          </w:tcPr>
          <w:p w14:paraId="599D36E3" w14:textId="77777777" w:rsidR="002326F4" w:rsidRPr="009B70E7" w:rsidRDefault="002326F4" w:rsidP="00576060">
            <w:pPr>
              <w:pStyle w:val="ListParagraph"/>
              <w:keepNext/>
              <w:ind w:left="0"/>
              <w:rPr>
                <w:b/>
              </w:rPr>
            </w:pPr>
          </w:p>
        </w:tc>
        <w:tc>
          <w:tcPr>
            <w:tcW w:w="5818" w:type="dxa"/>
          </w:tcPr>
          <w:p w14:paraId="7F4F946D" w14:textId="6CEE4E10" w:rsidR="002326F4" w:rsidRPr="009B70E7" w:rsidRDefault="002326F4" w:rsidP="00576060">
            <w:pPr>
              <w:pStyle w:val="ListParagraph"/>
              <w:keepNext/>
              <w:ind w:left="-56"/>
            </w:pPr>
            <w:r>
              <w:t>EESC-2022-04600-00-00-AC</w:t>
            </w:r>
          </w:p>
        </w:tc>
      </w:tr>
    </w:tbl>
    <w:p w14:paraId="72C5ECE8" w14:textId="77777777" w:rsidR="002326F4" w:rsidRPr="009B70E7" w:rsidRDefault="002326F4" w:rsidP="002326F4">
      <w:pPr>
        <w:pStyle w:val="ListParagraph"/>
        <w:keepNext/>
        <w:ind w:left="0"/>
      </w:pPr>
    </w:p>
    <w:p w14:paraId="2E1E7A6A" w14:textId="35C2C552" w:rsidR="002326F4" w:rsidRDefault="002326F4" w:rsidP="002326F4">
      <w:pPr>
        <w:pStyle w:val="ListParagraph"/>
        <w:spacing w:line="240" w:lineRule="auto"/>
        <w:ind w:left="0" w:firstLine="142"/>
        <w:rPr>
          <w:b/>
        </w:rPr>
      </w:pPr>
      <w:r>
        <w:rPr>
          <w:b/>
          <w:bCs/>
        </w:rPr>
        <w:t>Svarīgākie aspekti</w:t>
      </w:r>
    </w:p>
    <w:p w14:paraId="0C18B4B5" w14:textId="77777777" w:rsidR="002326F4" w:rsidRPr="00CE23CC" w:rsidRDefault="002326F4" w:rsidP="002326F4">
      <w:pPr>
        <w:pStyle w:val="ListParagraph"/>
        <w:spacing w:line="240" w:lineRule="auto"/>
        <w:ind w:left="0" w:firstLine="142"/>
        <w:rPr>
          <w:b/>
        </w:rPr>
      </w:pPr>
    </w:p>
    <w:p w14:paraId="624B1158" w14:textId="26A1CFC1" w:rsidR="002326F4" w:rsidRDefault="002326F4" w:rsidP="002326F4">
      <w:pPr>
        <w:pStyle w:val="ListParagraph"/>
        <w:ind w:left="0"/>
      </w:pPr>
      <w:bookmarkStart w:id="34" w:name="_Hlk116900971"/>
      <w:r>
        <w:lastRenderedPageBreak/>
        <w:t>Tā kā priekšlikuma saturs ir pilnībā pieņemams un attiecībā uz to nav nepieciešami nekādi Komitejas komentāri, Komiteja ir nolēmusi sniegt pozitīvu atzinumu par ierosināto dokumentu.</w:t>
      </w:r>
      <w:bookmarkEnd w:id="34"/>
    </w:p>
    <w:p w14:paraId="5F971564"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2326F4" w:rsidRPr="009B70E7" w14:paraId="07953183" w14:textId="77777777" w:rsidTr="00576060">
        <w:tc>
          <w:tcPr>
            <w:tcW w:w="1418" w:type="dxa"/>
          </w:tcPr>
          <w:p w14:paraId="421C8DDF" w14:textId="77777777" w:rsidR="002326F4" w:rsidRPr="009B70E7" w:rsidRDefault="002326F4" w:rsidP="00576060">
            <w:pPr>
              <w:pStyle w:val="ListParagraph"/>
              <w:ind w:left="0"/>
              <w:rPr>
                <w:i/>
              </w:rPr>
            </w:pPr>
            <w:r>
              <w:rPr>
                <w:b/>
                <w:i/>
              </w:rPr>
              <w:t>Kontaktpersona:</w:t>
            </w:r>
          </w:p>
        </w:tc>
        <w:tc>
          <w:tcPr>
            <w:tcW w:w="5670" w:type="dxa"/>
          </w:tcPr>
          <w:p w14:paraId="5C7B771B" w14:textId="77777777" w:rsidR="002326F4" w:rsidRPr="009B70E7" w:rsidRDefault="002326F4" w:rsidP="00576060">
            <w:pPr>
              <w:pStyle w:val="ListParagraph"/>
              <w:ind w:left="0"/>
              <w:rPr>
                <w:i/>
              </w:rPr>
            </w:pPr>
            <w:r>
              <w:rPr>
                <w:i/>
              </w:rPr>
              <w:t>Maja Radman</w:t>
            </w:r>
          </w:p>
        </w:tc>
      </w:tr>
      <w:tr w:rsidR="002326F4" w:rsidRPr="009B70E7" w14:paraId="147D0C78" w14:textId="77777777" w:rsidTr="00576060">
        <w:tc>
          <w:tcPr>
            <w:tcW w:w="1418" w:type="dxa"/>
          </w:tcPr>
          <w:p w14:paraId="019914E2" w14:textId="77777777" w:rsidR="002326F4" w:rsidRPr="009B70E7" w:rsidRDefault="002326F4" w:rsidP="00576060">
            <w:pPr>
              <w:pStyle w:val="ListParagraph"/>
              <w:ind w:left="601"/>
              <w:rPr>
                <w:i/>
              </w:rPr>
            </w:pPr>
            <w:r>
              <w:rPr>
                <w:i/>
              </w:rPr>
              <w:t>Tālr.:</w:t>
            </w:r>
          </w:p>
        </w:tc>
        <w:tc>
          <w:tcPr>
            <w:tcW w:w="5670" w:type="dxa"/>
          </w:tcPr>
          <w:p w14:paraId="68C2CE9B" w14:textId="77777777" w:rsidR="002326F4" w:rsidRPr="009B70E7" w:rsidRDefault="002326F4" w:rsidP="00576060">
            <w:pPr>
              <w:pStyle w:val="ListParagraph"/>
              <w:ind w:left="0"/>
              <w:rPr>
                <w:i/>
              </w:rPr>
            </w:pPr>
            <w:r>
              <w:rPr>
                <w:i/>
              </w:rPr>
              <w:t>00 32 2 546 90 51</w:t>
            </w:r>
          </w:p>
        </w:tc>
      </w:tr>
      <w:tr w:rsidR="002326F4" w:rsidRPr="00F33DD2" w14:paraId="677A447B" w14:textId="77777777" w:rsidTr="00576060">
        <w:tc>
          <w:tcPr>
            <w:tcW w:w="1418" w:type="dxa"/>
          </w:tcPr>
          <w:p w14:paraId="1C5415B6" w14:textId="77777777" w:rsidR="002326F4" w:rsidRPr="009B70E7" w:rsidRDefault="002326F4" w:rsidP="00576060">
            <w:pPr>
              <w:pStyle w:val="ListParagraph"/>
              <w:ind w:left="601"/>
              <w:rPr>
                <w:i/>
              </w:rPr>
            </w:pPr>
            <w:r>
              <w:rPr>
                <w:i/>
              </w:rPr>
              <w:t>E-pasts:</w:t>
            </w:r>
          </w:p>
        </w:tc>
        <w:tc>
          <w:tcPr>
            <w:tcW w:w="5670" w:type="dxa"/>
          </w:tcPr>
          <w:p w14:paraId="60D1B0D8" w14:textId="77777777" w:rsidR="002326F4" w:rsidRPr="00F33DD2" w:rsidRDefault="000062DB" w:rsidP="00576060">
            <w:pPr>
              <w:pStyle w:val="ListParagraph"/>
              <w:ind w:left="0"/>
              <w:rPr>
                <w:i/>
                <w:iCs/>
              </w:rPr>
            </w:pPr>
            <w:hyperlink r:id="rId40" w:history="1">
              <w:r w:rsidR="007B42E2">
                <w:rPr>
                  <w:rStyle w:val="Hyperlink"/>
                  <w:i/>
                </w:rPr>
                <w:t>Maja.Radman@eesc.europa.eu</w:t>
              </w:r>
            </w:hyperlink>
          </w:p>
        </w:tc>
      </w:tr>
      <w:bookmarkEnd w:id="33"/>
    </w:tbl>
    <w:p w14:paraId="496F90EF" w14:textId="77777777" w:rsidR="006F6E46" w:rsidRDefault="006F6E46" w:rsidP="0018231C">
      <w:pPr>
        <w:jc w:val="left"/>
        <w:rPr>
          <w:sz w:val="28"/>
        </w:rPr>
      </w:pPr>
    </w:p>
    <w:p w14:paraId="7F7AC86F" w14:textId="7639AD78" w:rsidR="002326F4" w:rsidRPr="000F2BDB" w:rsidRDefault="002326F4" w:rsidP="002326F4">
      <w:pPr>
        <w:pStyle w:val="ListParagraph"/>
        <w:keepNext/>
        <w:numPr>
          <w:ilvl w:val="0"/>
          <w:numId w:val="2"/>
        </w:numPr>
        <w:ind w:left="567" w:hanging="567"/>
      </w:pPr>
      <w:r>
        <w:rPr>
          <w:b/>
          <w:i/>
          <w:sz w:val="28"/>
        </w:rPr>
        <w:t>Lēmums par Direktīvas 89/629/EEK atcelšanu</w:t>
      </w:r>
    </w:p>
    <w:p w14:paraId="246839AB"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3E2F7E65" w14:textId="77777777" w:rsidTr="00576060">
        <w:tc>
          <w:tcPr>
            <w:tcW w:w="1701" w:type="dxa"/>
          </w:tcPr>
          <w:p w14:paraId="4D792BF6" w14:textId="77777777" w:rsidR="002326F4" w:rsidRPr="009B70E7" w:rsidRDefault="002326F4" w:rsidP="00576060">
            <w:pPr>
              <w:pStyle w:val="ListParagraph"/>
              <w:keepNext/>
              <w:ind w:left="0"/>
              <w:rPr>
                <w:b/>
              </w:rPr>
            </w:pPr>
            <w:r>
              <w:rPr>
                <w:b/>
              </w:rPr>
              <w:t>Ziņotājs:</w:t>
            </w:r>
          </w:p>
        </w:tc>
        <w:tc>
          <w:tcPr>
            <w:tcW w:w="5818" w:type="dxa"/>
          </w:tcPr>
          <w:p w14:paraId="3C986A36" w14:textId="77777777" w:rsidR="002326F4" w:rsidRPr="009B70E7" w:rsidRDefault="002326F4" w:rsidP="00576060">
            <w:pPr>
              <w:pStyle w:val="ListParagraph"/>
              <w:keepNext/>
              <w:ind w:left="-56" w:right="-453"/>
            </w:pPr>
            <w:r>
              <w:t>C kategorijas atzinums</w:t>
            </w:r>
          </w:p>
        </w:tc>
      </w:tr>
      <w:tr w:rsidR="002326F4" w:rsidRPr="009B70E7" w14:paraId="02C6F8C7" w14:textId="77777777" w:rsidTr="00576060">
        <w:tc>
          <w:tcPr>
            <w:tcW w:w="7517" w:type="dxa"/>
            <w:gridSpan w:val="2"/>
          </w:tcPr>
          <w:p w14:paraId="3F10CE4B" w14:textId="77777777" w:rsidR="002326F4" w:rsidRPr="009B70E7" w:rsidRDefault="002326F4" w:rsidP="00576060">
            <w:pPr>
              <w:pStyle w:val="ListParagraph"/>
              <w:keepNext/>
              <w:ind w:left="0"/>
            </w:pPr>
          </w:p>
        </w:tc>
      </w:tr>
      <w:tr w:rsidR="002326F4" w:rsidRPr="009B70E7" w14:paraId="40EC03AA" w14:textId="77777777" w:rsidTr="00576060">
        <w:tc>
          <w:tcPr>
            <w:tcW w:w="1701" w:type="dxa"/>
            <w:vMerge w:val="restart"/>
          </w:tcPr>
          <w:p w14:paraId="2642A27E" w14:textId="4EB0D218" w:rsidR="002326F4" w:rsidRPr="009B70E7" w:rsidRDefault="00B80604" w:rsidP="00576060">
            <w:pPr>
              <w:pStyle w:val="ListParagraph"/>
              <w:keepNext/>
              <w:ind w:left="0"/>
              <w:rPr>
                <w:b/>
              </w:rPr>
            </w:pPr>
            <w:r>
              <w:rPr>
                <w:b/>
              </w:rPr>
              <w:t>Atsauces:</w:t>
            </w:r>
            <w:r w:rsidR="002326F4">
              <w:rPr>
                <w:b/>
              </w:rPr>
              <w:t xml:space="preserve"> </w:t>
            </w:r>
          </w:p>
        </w:tc>
        <w:tc>
          <w:tcPr>
            <w:tcW w:w="5818" w:type="dxa"/>
          </w:tcPr>
          <w:p w14:paraId="65607817" w14:textId="1A6485C0" w:rsidR="002326F4" w:rsidRPr="009B70E7" w:rsidRDefault="002326F4" w:rsidP="00576060">
            <w:pPr>
              <w:pStyle w:val="ListParagraph"/>
              <w:keepNext/>
              <w:ind w:left="-56"/>
            </w:pPr>
            <w:r>
              <w:t>COM (2022) 465 final</w:t>
            </w:r>
          </w:p>
        </w:tc>
      </w:tr>
      <w:tr w:rsidR="002326F4" w:rsidRPr="009B70E7" w14:paraId="3B7955BD" w14:textId="77777777" w:rsidTr="00576060">
        <w:tc>
          <w:tcPr>
            <w:tcW w:w="1701" w:type="dxa"/>
            <w:vMerge/>
          </w:tcPr>
          <w:p w14:paraId="39556D85" w14:textId="77777777" w:rsidR="002326F4" w:rsidRPr="009B70E7" w:rsidRDefault="002326F4" w:rsidP="00576060">
            <w:pPr>
              <w:pStyle w:val="ListParagraph"/>
              <w:keepNext/>
              <w:ind w:left="0"/>
              <w:rPr>
                <w:b/>
              </w:rPr>
            </w:pPr>
          </w:p>
        </w:tc>
        <w:tc>
          <w:tcPr>
            <w:tcW w:w="5818" w:type="dxa"/>
          </w:tcPr>
          <w:p w14:paraId="1D575C36" w14:textId="79239B17" w:rsidR="002326F4" w:rsidRPr="009B70E7" w:rsidRDefault="002326F4" w:rsidP="00576060">
            <w:pPr>
              <w:pStyle w:val="ListParagraph"/>
              <w:keepNext/>
              <w:ind w:left="-56"/>
            </w:pPr>
            <w:r>
              <w:t>EESC-2022-04541-00-00-AC</w:t>
            </w:r>
          </w:p>
        </w:tc>
      </w:tr>
    </w:tbl>
    <w:p w14:paraId="38DB107F" w14:textId="77777777" w:rsidR="002326F4" w:rsidRPr="009B70E7" w:rsidRDefault="002326F4" w:rsidP="002326F4">
      <w:pPr>
        <w:pStyle w:val="ListParagraph"/>
        <w:keepNext/>
        <w:ind w:left="0"/>
      </w:pPr>
    </w:p>
    <w:p w14:paraId="4714B400" w14:textId="77777777" w:rsidR="002326F4" w:rsidRDefault="002326F4" w:rsidP="002326F4">
      <w:pPr>
        <w:pStyle w:val="ListParagraph"/>
        <w:spacing w:line="240" w:lineRule="auto"/>
        <w:ind w:left="0" w:firstLine="142"/>
        <w:rPr>
          <w:b/>
        </w:rPr>
      </w:pPr>
      <w:r>
        <w:rPr>
          <w:b/>
          <w:bCs/>
        </w:rPr>
        <w:t>Svarīgākie aspekti</w:t>
      </w:r>
    </w:p>
    <w:p w14:paraId="004A3201" w14:textId="77777777" w:rsidR="002326F4" w:rsidRPr="00CE23CC" w:rsidRDefault="002326F4" w:rsidP="002326F4">
      <w:pPr>
        <w:pStyle w:val="ListParagraph"/>
        <w:spacing w:line="240" w:lineRule="auto"/>
        <w:ind w:left="0" w:firstLine="142"/>
        <w:rPr>
          <w:b/>
        </w:rPr>
      </w:pPr>
    </w:p>
    <w:p w14:paraId="396D0736" w14:textId="77777777" w:rsidR="002326F4" w:rsidRDefault="002326F4" w:rsidP="002326F4">
      <w:pPr>
        <w:pStyle w:val="ListParagraph"/>
        <w:ind w:left="0"/>
      </w:pPr>
      <w:r>
        <w:t>Tā kā priekšlikuma saturs ir pilnībā pieņemams un attiecībā uz to nav nepieciešami nekādi Komitejas komentāri, Komiteja ir nolēmusi sniegt pozitīvu atzinumu par ierosināto dokumentu.</w:t>
      </w:r>
    </w:p>
    <w:p w14:paraId="26BA7AF6"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2326F4" w:rsidRPr="009B70E7" w14:paraId="4C5538D6" w14:textId="77777777" w:rsidTr="00576060">
        <w:tc>
          <w:tcPr>
            <w:tcW w:w="1418" w:type="dxa"/>
          </w:tcPr>
          <w:p w14:paraId="5B0BF726" w14:textId="77777777" w:rsidR="002326F4" w:rsidRPr="009B70E7" w:rsidRDefault="002326F4" w:rsidP="00576060">
            <w:pPr>
              <w:pStyle w:val="ListParagraph"/>
              <w:ind w:left="0"/>
              <w:rPr>
                <w:i/>
              </w:rPr>
            </w:pPr>
            <w:r>
              <w:rPr>
                <w:b/>
                <w:i/>
              </w:rPr>
              <w:t>Kontaktpersona:</w:t>
            </w:r>
          </w:p>
        </w:tc>
        <w:tc>
          <w:tcPr>
            <w:tcW w:w="5670" w:type="dxa"/>
          </w:tcPr>
          <w:p w14:paraId="75154717" w14:textId="44081BE3" w:rsidR="002326F4" w:rsidRPr="009B70E7" w:rsidRDefault="002326F4" w:rsidP="00576060">
            <w:pPr>
              <w:pStyle w:val="ListParagraph"/>
              <w:ind w:left="0"/>
              <w:rPr>
                <w:i/>
              </w:rPr>
            </w:pPr>
            <w:r>
              <w:rPr>
                <w:i/>
              </w:rPr>
              <w:t>Aleksandra Sarman Grilc</w:t>
            </w:r>
          </w:p>
        </w:tc>
      </w:tr>
      <w:tr w:rsidR="002326F4" w:rsidRPr="009B70E7" w14:paraId="0D046AC6" w14:textId="77777777" w:rsidTr="00576060">
        <w:tc>
          <w:tcPr>
            <w:tcW w:w="1418" w:type="dxa"/>
          </w:tcPr>
          <w:p w14:paraId="7C7250C4" w14:textId="77777777" w:rsidR="002326F4" w:rsidRPr="009B70E7" w:rsidRDefault="002326F4" w:rsidP="00576060">
            <w:pPr>
              <w:pStyle w:val="ListParagraph"/>
              <w:ind w:left="601"/>
              <w:rPr>
                <w:i/>
              </w:rPr>
            </w:pPr>
            <w:r>
              <w:rPr>
                <w:i/>
              </w:rPr>
              <w:t>Tālr.:</w:t>
            </w:r>
          </w:p>
        </w:tc>
        <w:tc>
          <w:tcPr>
            <w:tcW w:w="5670" w:type="dxa"/>
          </w:tcPr>
          <w:p w14:paraId="4891660A" w14:textId="5F195868" w:rsidR="002326F4" w:rsidRPr="009B70E7" w:rsidRDefault="002326F4" w:rsidP="00576060">
            <w:pPr>
              <w:pStyle w:val="ListParagraph"/>
              <w:ind w:left="0"/>
              <w:rPr>
                <w:i/>
              </w:rPr>
            </w:pPr>
            <w:r>
              <w:rPr>
                <w:i/>
              </w:rPr>
              <w:t>00 32 2 546 83 33</w:t>
            </w:r>
          </w:p>
        </w:tc>
      </w:tr>
      <w:tr w:rsidR="002326F4" w:rsidRPr="00F33DD2" w14:paraId="0DF291F7" w14:textId="77777777" w:rsidTr="00576060">
        <w:tc>
          <w:tcPr>
            <w:tcW w:w="1418" w:type="dxa"/>
          </w:tcPr>
          <w:p w14:paraId="7D80D8EF" w14:textId="77777777" w:rsidR="002326F4" w:rsidRPr="009B70E7" w:rsidRDefault="002326F4" w:rsidP="00576060">
            <w:pPr>
              <w:pStyle w:val="ListParagraph"/>
              <w:ind w:left="601"/>
              <w:rPr>
                <w:i/>
              </w:rPr>
            </w:pPr>
            <w:r>
              <w:rPr>
                <w:i/>
              </w:rPr>
              <w:t>E-pasts:</w:t>
            </w:r>
          </w:p>
        </w:tc>
        <w:tc>
          <w:tcPr>
            <w:tcW w:w="5670" w:type="dxa"/>
          </w:tcPr>
          <w:p w14:paraId="530F5311" w14:textId="6F7B7D1C" w:rsidR="002326F4" w:rsidRPr="002326F4" w:rsidRDefault="000062DB" w:rsidP="00576060">
            <w:pPr>
              <w:pStyle w:val="ListParagraph"/>
              <w:ind w:left="0"/>
              <w:rPr>
                <w:i/>
              </w:rPr>
            </w:pPr>
            <w:hyperlink r:id="rId41" w:history="1">
              <w:r w:rsidR="007B42E2">
                <w:rPr>
                  <w:rStyle w:val="Hyperlink"/>
                  <w:i/>
                </w:rPr>
                <w:t>Aleksandra.SarmanGrilc@eesc.europa.eu</w:t>
              </w:r>
            </w:hyperlink>
          </w:p>
        </w:tc>
      </w:tr>
    </w:tbl>
    <w:p w14:paraId="69D8DEA4" w14:textId="78427CDE" w:rsidR="002326F4" w:rsidRDefault="002326F4" w:rsidP="0018231C">
      <w:pPr>
        <w:jc w:val="left"/>
        <w:rPr>
          <w:sz w:val="28"/>
        </w:rPr>
      </w:pPr>
    </w:p>
    <w:p w14:paraId="29BD525A" w14:textId="14491161" w:rsidR="002326F4" w:rsidRDefault="002326F4">
      <w:pPr>
        <w:spacing w:after="160" w:line="259" w:lineRule="auto"/>
        <w:jc w:val="left"/>
        <w:rPr>
          <w:sz w:val="28"/>
        </w:rPr>
      </w:pPr>
    </w:p>
    <w:p w14:paraId="3F8FA026" w14:textId="77777777" w:rsidR="004D7AC0" w:rsidRPr="009B70E7" w:rsidRDefault="004D7AC0">
      <w:pPr>
        <w:pStyle w:val="Heading1"/>
        <w:rPr>
          <w:b/>
        </w:rPr>
      </w:pPr>
      <w:bookmarkStart w:id="35" w:name="_Toc75527083"/>
      <w:bookmarkStart w:id="36" w:name="_Toc120000280"/>
      <w:r>
        <w:rPr>
          <w:b/>
        </w:rPr>
        <w:t>VIENOTAIS TIRGUS, RAŽOŠANA UN PATĒRIŅŠ</w:t>
      </w:r>
      <w:bookmarkEnd w:id="35"/>
      <w:bookmarkEnd w:id="36"/>
    </w:p>
    <w:p w14:paraId="03FF9505" w14:textId="77777777" w:rsidR="004D7AC0" w:rsidRPr="009B70E7" w:rsidRDefault="004D7AC0"/>
    <w:p w14:paraId="12FD6239" w14:textId="3AF23145" w:rsidR="00164813" w:rsidRPr="007E7A4F" w:rsidRDefault="00002061" w:rsidP="00164813">
      <w:pPr>
        <w:pStyle w:val="ListParagraph"/>
        <w:numPr>
          <w:ilvl w:val="0"/>
          <w:numId w:val="2"/>
        </w:numPr>
        <w:ind w:left="567" w:hanging="567"/>
        <w:rPr>
          <w:b/>
          <w:i/>
          <w:sz w:val="28"/>
          <w:szCs w:val="28"/>
        </w:rPr>
      </w:pPr>
      <w:bookmarkStart w:id="37" w:name="_Hlk111801891"/>
      <w:r>
        <w:rPr>
          <w:b/>
          <w:i/>
          <w:sz w:val="28"/>
        </w:rPr>
        <w:t>Digitālā suverenitāte – Eiropas Savienības digitalizācijas un izaugsmes stūrakmens</w:t>
      </w:r>
    </w:p>
    <w:p w14:paraId="1DADE393" w14:textId="77777777" w:rsidR="00164813" w:rsidRPr="009B70E7" w:rsidRDefault="00164813" w:rsidP="00164813">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164813" w:rsidRPr="007E7A4F" w14:paraId="1383CB57" w14:textId="77777777" w:rsidTr="00B83E7B">
        <w:tc>
          <w:tcPr>
            <w:tcW w:w="1701" w:type="dxa"/>
          </w:tcPr>
          <w:p w14:paraId="33004117" w14:textId="77777777" w:rsidR="00164813" w:rsidRPr="009B70E7" w:rsidRDefault="00164813" w:rsidP="00B83E7B">
            <w:pPr>
              <w:pStyle w:val="ListParagraph"/>
              <w:ind w:left="0"/>
              <w:rPr>
                <w:b/>
              </w:rPr>
            </w:pPr>
            <w:r>
              <w:rPr>
                <w:b/>
              </w:rPr>
              <w:t>Ziņotājs:</w:t>
            </w:r>
          </w:p>
        </w:tc>
        <w:tc>
          <w:tcPr>
            <w:tcW w:w="6096" w:type="dxa"/>
          </w:tcPr>
          <w:p w14:paraId="2BCDDC29" w14:textId="2FED6A5E" w:rsidR="00164813" w:rsidRPr="007E7A4F" w:rsidRDefault="00E63571" w:rsidP="00B83E7B">
            <w:pPr>
              <w:pStyle w:val="ListParagraph"/>
              <w:ind w:left="-108"/>
            </w:pPr>
            <w:r>
              <w:t>Philip VON BROCKDORFF (Darba ņēmēju grupa – MT)</w:t>
            </w:r>
          </w:p>
        </w:tc>
      </w:tr>
      <w:tr w:rsidR="00164813" w:rsidRPr="007E7A4F" w14:paraId="5DB9564B" w14:textId="77777777" w:rsidTr="00B83E7B">
        <w:tc>
          <w:tcPr>
            <w:tcW w:w="7797" w:type="dxa"/>
            <w:gridSpan w:val="2"/>
          </w:tcPr>
          <w:p w14:paraId="421C9628" w14:textId="77777777" w:rsidR="00164813" w:rsidRPr="007E7A4F" w:rsidRDefault="00164813" w:rsidP="00B83E7B">
            <w:pPr>
              <w:pStyle w:val="ListParagraph"/>
              <w:ind w:left="0"/>
              <w:rPr>
                <w:lang w:val="fr-BE"/>
              </w:rPr>
            </w:pPr>
          </w:p>
        </w:tc>
      </w:tr>
      <w:tr w:rsidR="00164813" w:rsidRPr="009B70E7" w14:paraId="132333E4" w14:textId="77777777" w:rsidTr="00B83E7B">
        <w:tc>
          <w:tcPr>
            <w:tcW w:w="1701" w:type="dxa"/>
          </w:tcPr>
          <w:p w14:paraId="2A306C51" w14:textId="2F44A77E" w:rsidR="00164813" w:rsidRPr="009B70E7" w:rsidRDefault="00B80604" w:rsidP="00B83E7B">
            <w:pPr>
              <w:pStyle w:val="ListParagraph"/>
              <w:ind w:left="0"/>
              <w:rPr>
                <w:b/>
              </w:rPr>
            </w:pPr>
            <w:r>
              <w:rPr>
                <w:b/>
              </w:rPr>
              <w:t>Atsauce:</w:t>
            </w:r>
            <w:r w:rsidR="00164813">
              <w:rPr>
                <w:b/>
              </w:rPr>
              <w:t xml:space="preserve"> </w:t>
            </w:r>
          </w:p>
        </w:tc>
        <w:tc>
          <w:tcPr>
            <w:tcW w:w="6096" w:type="dxa"/>
          </w:tcPr>
          <w:p w14:paraId="1EB81693" w14:textId="61725A75" w:rsidR="00164813" w:rsidRPr="009B70E7" w:rsidRDefault="00E34279" w:rsidP="00B83E7B">
            <w:pPr>
              <w:tabs>
                <w:tab w:val="center" w:pos="284"/>
              </w:tabs>
              <w:ind w:left="266" w:hanging="374"/>
            </w:pPr>
            <w:r>
              <w:t>Pašiniciatīvas atzinums</w:t>
            </w:r>
          </w:p>
          <w:p w14:paraId="1746D341" w14:textId="154CF5D0" w:rsidR="00164813" w:rsidRPr="009B70E7" w:rsidRDefault="00ED377B" w:rsidP="00B83E7B">
            <w:pPr>
              <w:pStyle w:val="ListParagraph"/>
              <w:ind w:left="-108"/>
            </w:pPr>
            <w:r>
              <w:t>EESC-2022-02134-00-00-AC</w:t>
            </w:r>
          </w:p>
        </w:tc>
      </w:tr>
    </w:tbl>
    <w:p w14:paraId="488A6C0C" w14:textId="77777777" w:rsidR="00164813" w:rsidRPr="00A00F37" w:rsidRDefault="00164813" w:rsidP="00A00F37">
      <w:pPr>
        <w:pStyle w:val="ListParagraph"/>
        <w:spacing w:line="240" w:lineRule="auto"/>
        <w:ind w:left="0" w:firstLine="142"/>
        <w:rPr>
          <w:b/>
        </w:rPr>
      </w:pPr>
    </w:p>
    <w:p w14:paraId="015FE75F" w14:textId="4469FC57" w:rsidR="00164813" w:rsidRPr="0018231C" w:rsidRDefault="00164813" w:rsidP="00A00F37">
      <w:pPr>
        <w:pStyle w:val="ListParagraph"/>
        <w:spacing w:line="240" w:lineRule="auto"/>
        <w:ind w:left="0" w:firstLine="142"/>
        <w:rPr>
          <w:b/>
        </w:rPr>
      </w:pPr>
      <w:r>
        <w:rPr>
          <w:b/>
          <w:bCs/>
        </w:rPr>
        <w:t>Svarīgākie aspekti</w:t>
      </w:r>
    </w:p>
    <w:p w14:paraId="573BE746" w14:textId="77777777" w:rsidR="00164813" w:rsidRPr="0018231C" w:rsidRDefault="00164813" w:rsidP="00164813">
      <w:pPr>
        <w:pStyle w:val="ListParagraph"/>
        <w:ind w:left="0"/>
        <w:rPr>
          <w:lang w:val="fr-FR"/>
        </w:rPr>
      </w:pPr>
    </w:p>
    <w:p w14:paraId="30245860" w14:textId="77777777" w:rsidR="00164813" w:rsidRDefault="00164813" w:rsidP="00A00F37">
      <w:pPr>
        <w:pStyle w:val="ListParagraph"/>
        <w:spacing w:line="240" w:lineRule="auto"/>
        <w:ind w:left="0" w:firstLine="142"/>
      </w:pPr>
      <w:r>
        <w:t>EESK:</w:t>
      </w:r>
    </w:p>
    <w:p w14:paraId="7D5F280C" w14:textId="77777777" w:rsidR="00164813" w:rsidRPr="0018231C" w:rsidRDefault="00164813" w:rsidP="00164813">
      <w:pPr>
        <w:pStyle w:val="ListParagraph"/>
        <w:ind w:left="0"/>
        <w:rPr>
          <w:lang w:val="fr-FR"/>
        </w:rPr>
      </w:pPr>
    </w:p>
    <w:p w14:paraId="03AF28C8" w14:textId="5098A3E3" w:rsidR="00A3344B" w:rsidRPr="00A3344B" w:rsidRDefault="00E63571" w:rsidP="00164813">
      <w:pPr>
        <w:numPr>
          <w:ilvl w:val="0"/>
          <w:numId w:val="3"/>
        </w:numPr>
        <w:overflowPunct w:val="0"/>
        <w:autoSpaceDE w:val="0"/>
        <w:autoSpaceDN w:val="0"/>
        <w:adjustRightInd w:val="0"/>
        <w:ind w:left="357" w:hanging="357"/>
        <w:textAlignment w:val="baseline"/>
      </w:pPr>
      <w:r>
        <w:t>skatījumā nopietna ES atkarība no tehnoloģiju uzņēmumiem, kuri ir bāzēti ārpus tās, neļauj ES ieņemt vadošo lomu un ierobežo tās stratēģisko autonomiju digitālajā pasaulē, un tas savukārt ierobežo ekonomikas izaugsmes potenciālu;</w:t>
      </w:r>
    </w:p>
    <w:p w14:paraId="5C624B6F" w14:textId="6FECFEC2" w:rsidR="00A3344B" w:rsidRPr="00A3344B" w:rsidRDefault="00E63571" w:rsidP="00164813">
      <w:pPr>
        <w:numPr>
          <w:ilvl w:val="0"/>
          <w:numId w:val="3"/>
        </w:numPr>
        <w:overflowPunct w:val="0"/>
        <w:autoSpaceDE w:val="0"/>
        <w:autoSpaceDN w:val="0"/>
        <w:adjustRightInd w:val="0"/>
        <w:ind w:left="357" w:hanging="357"/>
        <w:textAlignment w:val="baseline"/>
      </w:pPr>
      <w:r>
        <w:t>uzskata, ka Eiropas Savienībai ir jāsamazina atkarība no trešo valstu tehnoloģiju gigantiem un divtik darba jāiegulda drošas, iekļaujošas un vērtībās balstītas digitālās ekonomikas veidošanā, kas spētu konkurēt ar trešo valstu tehnoloģiju gigantiem, un uzsvars jāliek uz uzticamu savienojamību, datu drošību un mākslīgo intelektu;</w:t>
      </w:r>
    </w:p>
    <w:bookmarkEnd w:id="37"/>
    <w:p w14:paraId="41F4DB88" w14:textId="08E3FB76" w:rsidR="00A3344B" w:rsidRPr="00CA6928" w:rsidRDefault="00E63571" w:rsidP="00164813">
      <w:pPr>
        <w:numPr>
          <w:ilvl w:val="0"/>
          <w:numId w:val="3"/>
        </w:numPr>
        <w:overflowPunct w:val="0"/>
        <w:autoSpaceDE w:val="0"/>
        <w:autoSpaceDN w:val="0"/>
        <w:adjustRightInd w:val="0"/>
        <w:ind w:left="357" w:hanging="357"/>
        <w:textAlignment w:val="baseline"/>
      </w:pPr>
      <w:r>
        <w:lastRenderedPageBreak/>
        <w:t>aicina ieguldījumus digitālajā sektorā novirzīt digitālās ekonomikas atvērtai stratēģiskajai autonomijai. Jānovirza būtu arī ieguldījumi digitālajās spējās, izglītībā un arodapmācībā, infrastruktūrā un tehnoloģijās;</w:t>
      </w:r>
    </w:p>
    <w:p w14:paraId="36F42D42" w14:textId="382B2F55" w:rsidR="00CA6928" w:rsidRPr="00CA6928" w:rsidRDefault="00E63571" w:rsidP="00164813">
      <w:pPr>
        <w:numPr>
          <w:ilvl w:val="0"/>
          <w:numId w:val="3"/>
        </w:numPr>
        <w:overflowPunct w:val="0"/>
        <w:autoSpaceDE w:val="0"/>
        <w:autoSpaceDN w:val="0"/>
        <w:adjustRightInd w:val="0"/>
        <w:ind w:left="357" w:hanging="357"/>
        <w:textAlignment w:val="baseline"/>
      </w:pPr>
      <w:r>
        <w:t>aicina digitālo tehnoloģiju jomā aktīvāk veidot publiskā un privātā sektora partnerības un atbalstīt plaša mēroga jauno tehnoloģiju pētniecību Eiropas Savienībā;</w:t>
      </w:r>
    </w:p>
    <w:p w14:paraId="00B8973C" w14:textId="29D3A1B4" w:rsidR="00CA6928" w:rsidRDefault="00E63571" w:rsidP="00164813">
      <w:pPr>
        <w:numPr>
          <w:ilvl w:val="0"/>
          <w:numId w:val="3"/>
        </w:numPr>
        <w:overflowPunct w:val="0"/>
        <w:autoSpaceDE w:val="0"/>
        <w:autoSpaceDN w:val="0"/>
        <w:adjustRightInd w:val="0"/>
        <w:ind w:left="357" w:hanging="357"/>
        <w:textAlignment w:val="baseline"/>
      </w:pPr>
      <w:r>
        <w:t>aicina Komisiju turpināt darbu pie digitālā regulējuma satvara, lai aizsargātu ES iedzīvotājus pret digitālās pasaules pārmērībām;</w:t>
      </w:r>
    </w:p>
    <w:p w14:paraId="36EF4045" w14:textId="51CBF67F" w:rsidR="00E63571" w:rsidRDefault="00E63571" w:rsidP="00164813">
      <w:pPr>
        <w:numPr>
          <w:ilvl w:val="0"/>
          <w:numId w:val="3"/>
        </w:numPr>
        <w:overflowPunct w:val="0"/>
        <w:autoSpaceDE w:val="0"/>
        <w:autoSpaceDN w:val="0"/>
        <w:adjustRightInd w:val="0"/>
        <w:ind w:left="357" w:hanging="357"/>
        <w:textAlignment w:val="baseline"/>
      </w:pPr>
      <w:r>
        <w:t>uzskata, ka ir svarīgi tiešsaistes platformas, ekosistēmas un tiešsaistes darbības padarīt atvērtākas, godīgākas un paredzamākas, un šajā nolūkā ir jāpieņem noteikumi par algoritmu pārredzamību un neitralitāti;</w:t>
      </w:r>
    </w:p>
    <w:p w14:paraId="18BC387C" w14:textId="2E00069B" w:rsidR="00E63571" w:rsidRDefault="00E63571" w:rsidP="00164813">
      <w:pPr>
        <w:numPr>
          <w:ilvl w:val="0"/>
          <w:numId w:val="3"/>
        </w:numPr>
        <w:overflowPunct w:val="0"/>
        <w:autoSpaceDE w:val="0"/>
        <w:autoSpaceDN w:val="0"/>
        <w:adjustRightInd w:val="0"/>
        <w:ind w:left="357" w:hanging="357"/>
        <w:textAlignment w:val="baseline"/>
      </w:pPr>
      <w:r>
        <w:t>atbalsta Eiropas Savienībai adresēto aicinājumu savas digitālās suverenitātes stiprināšanas nolūkā izveido mākoņpakalpojumu un datu infrastruktūru;</w:t>
      </w:r>
    </w:p>
    <w:p w14:paraId="520A2CDE" w14:textId="37CD16AB" w:rsidR="00E63571" w:rsidRPr="007E7DE3" w:rsidRDefault="00E63571" w:rsidP="00164813">
      <w:pPr>
        <w:numPr>
          <w:ilvl w:val="0"/>
          <w:numId w:val="3"/>
        </w:numPr>
        <w:overflowPunct w:val="0"/>
        <w:autoSpaceDE w:val="0"/>
        <w:autoSpaceDN w:val="0"/>
        <w:adjustRightInd w:val="0"/>
        <w:ind w:left="357" w:hanging="357"/>
        <w:textAlignment w:val="baseline"/>
      </w:pPr>
      <w:r>
        <w:t>aicina atjaunināt konkurences un patērētāju aizsardzības politiku vienotajā tirgū. Šajā saistībā būtu jāpievēršas arī trešo valstu tehnoloģiju uzņēmumu īstenotajai kropļojošajai praksei, kā arī Ķīnas digitālo uzņēmumu augošajai ietekmei Eiropas Savienībā.</w:t>
      </w:r>
    </w:p>
    <w:p w14:paraId="043E47D4" w14:textId="776D7173" w:rsidR="007E7DE3" w:rsidRPr="007E7A4F" w:rsidRDefault="007E7DE3" w:rsidP="00E34279">
      <w:pPr>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E34279" w:rsidRPr="00164813" w14:paraId="59E3F0D1" w14:textId="77777777" w:rsidTr="00576060">
        <w:tc>
          <w:tcPr>
            <w:tcW w:w="1418" w:type="dxa"/>
          </w:tcPr>
          <w:p w14:paraId="3F8C4AD7" w14:textId="77777777" w:rsidR="00E34279" w:rsidRPr="00164813" w:rsidRDefault="00E34279" w:rsidP="00576060">
            <w:pPr>
              <w:contextualSpacing/>
              <w:rPr>
                <w:i/>
              </w:rPr>
            </w:pPr>
            <w:r>
              <w:rPr>
                <w:b/>
                <w:i/>
              </w:rPr>
              <w:t>Kontaktpersona:</w:t>
            </w:r>
          </w:p>
        </w:tc>
        <w:tc>
          <w:tcPr>
            <w:tcW w:w="5670" w:type="dxa"/>
          </w:tcPr>
          <w:p w14:paraId="041FFAC4" w14:textId="006FC67A" w:rsidR="00E34279" w:rsidRPr="00164813" w:rsidRDefault="00E63571" w:rsidP="00576060">
            <w:pPr>
              <w:contextualSpacing/>
              <w:rPr>
                <w:i/>
              </w:rPr>
            </w:pPr>
            <w:r>
              <w:rPr>
                <w:i/>
              </w:rPr>
              <w:t xml:space="preserve">Silvia </w:t>
            </w:r>
            <w:r w:rsidR="001C55E2">
              <w:rPr>
                <w:i/>
              </w:rPr>
              <w:t>S</w:t>
            </w:r>
            <w:r>
              <w:rPr>
                <w:i/>
              </w:rPr>
              <w:t>taffa</w:t>
            </w:r>
          </w:p>
        </w:tc>
      </w:tr>
      <w:tr w:rsidR="00E34279" w:rsidRPr="00164813" w14:paraId="5BFD63D8" w14:textId="77777777" w:rsidTr="00576060">
        <w:tc>
          <w:tcPr>
            <w:tcW w:w="1418" w:type="dxa"/>
          </w:tcPr>
          <w:p w14:paraId="189A63EF" w14:textId="77777777" w:rsidR="00E34279" w:rsidRPr="00164813" w:rsidRDefault="00E34279" w:rsidP="00576060">
            <w:pPr>
              <w:ind w:left="601"/>
              <w:contextualSpacing/>
              <w:rPr>
                <w:i/>
              </w:rPr>
            </w:pPr>
            <w:r>
              <w:rPr>
                <w:i/>
              </w:rPr>
              <w:t>Tālr.:</w:t>
            </w:r>
          </w:p>
        </w:tc>
        <w:tc>
          <w:tcPr>
            <w:tcW w:w="5670" w:type="dxa"/>
          </w:tcPr>
          <w:p w14:paraId="75F891C7" w14:textId="6FFAE680" w:rsidR="00E34279" w:rsidRPr="00164813" w:rsidRDefault="00E34279" w:rsidP="00576060">
            <w:pPr>
              <w:contextualSpacing/>
              <w:rPr>
                <w:i/>
              </w:rPr>
            </w:pPr>
            <w:r>
              <w:rPr>
                <w:i/>
              </w:rPr>
              <w:t>00 32 2 546 83 78</w:t>
            </w:r>
          </w:p>
        </w:tc>
      </w:tr>
      <w:tr w:rsidR="00E34279" w:rsidRPr="00164813" w14:paraId="48B7AFA1" w14:textId="77777777" w:rsidTr="00A21849">
        <w:tc>
          <w:tcPr>
            <w:tcW w:w="1418" w:type="dxa"/>
          </w:tcPr>
          <w:p w14:paraId="22EC4CAF" w14:textId="77777777" w:rsidR="00E34279" w:rsidRPr="00164813" w:rsidRDefault="00E34279" w:rsidP="00576060">
            <w:pPr>
              <w:ind w:left="601"/>
              <w:contextualSpacing/>
              <w:rPr>
                <w:i/>
              </w:rPr>
            </w:pPr>
            <w:r>
              <w:rPr>
                <w:i/>
              </w:rPr>
              <w:t>E-pasts:</w:t>
            </w:r>
          </w:p>
        </w:tc>
        <w:tc>
          <w:tcPr>
            <w:tcW w:w="5670" w:type="dxa"/>
          </w:tcPr>
          <w:p w14:paraId="52F62A0A" w14:textId="4FC16C24" w:rsidR="00E63571" w:rsidRPr="00164813" w:rsidRDefault="000062DB" w:rsidP="00A21849">
            <w:pPr>
              <w:contextualSpacing/>
              <w:rPr>
                <w:i/>
              </w:rPr>
            </w:pPr>
            <w:hyperlink r:id="rId42" w:history="1">
              <w:r w:rsidR="007B42E2">
                <w:rPr>
                  <w:rStyle w:val="Hyperlink"/>
                  <w:i/>
                </w:rPr>
                <w:t>Silvia.Staffa@eesc.europa.eu</w:t>
              </w:r>
            </w:hyperlink>
          </w:p>
        </w:tc>
      </w:tr>
    </w:tbl>
    <w:p w14:paraId="6BAC2250" w14:textId="77777777" w:rsidR="00151492" w:rsidRDefault="00151492"/>
    <w:p w14:paraId="2EE2A332" w14:textId="60CC0998" w:rsidR="00AA5C1D" w:rsidRPr="00AA5C1D" w:rsidRDefault="000062DB" w:rsidP="00A21849">
      <w:pPr>
        <w:pStyle w:val="ListParagraph"/>
        <w:keepNext/>
        <w:keepLines/>
        <w:numPr>
          <w:ilvl w:val="0"/>
          <w:numId w:val="2"/>
        </w:numPr>
        <w:ind w:left="567" w:hanging="567"/>
        <w:rPr>
          <w:b/>
          <w:bCs/>
          <w:i/>
          <w:iCs/>
          <w:sz w:val="28"/>
          <w:szCs w:val="28"/>
        </w:rPr>
      </w:pPr>
      <w:hyperlink r:id="rId43" w:history="1">
        <w:r w:rsidR="007B42E2">
          <w:rPr>
            <w:rStyle w:val="Hyperlink"/>
            <w:b/>
            <w:i/>
            <w:color w:val="000000" w:themeColor="text1"/>
            <w:sz w:val="28"/>
            <w:u w:val="none"/>
          </w:rPr>
          <w:t>Gatavība ārkārtas situācijām</w:t>
        </w:r>
      </w:hyperlink>
    </w:p>
    <w:p w14:paraId="02288197" w14:textId="77777777" w:rsidR="00AA5C1D" w:rsidRPr="009B70E7" w:rsidRDefault="00AA5C1D" w:rsidP="00A21849">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AA5C1D" w:rsidRPr="007E7A4F" w14:paraId="377CFA40" w14:textId="77777777" w:rsidTr="00576060">
        <w:tc>
          <w:tcPr>
            <w:tcW w:w="1701" w:type="dxa"/>
          </w:tcPr>
          <w:p w14:paraId="6700269D" w14:textId="77777777" w:rsidR="00AA5C1D" w:rsidRPr="009B70E7" w:rsidRDefault="00AA5C1D" w:rsidP="00A21849">
            <w:pPr>
              <w:pStyle w:val="ListParagraph"/>
              <w:keepNext/>
              <w:keepLines/>
              <w:ind w:left="0"/>
              <w:rPr>
                <w:b/>
              </w:rPr>
            </w:pPr>
            <w:r>
              <w:rPr>
                <w:b/>
              </w:rPr>
              <w:t>Ziņotājs:</w:t>
            </w:r>
          </w:p>
        </w:tc>
        <w:tc>
          <w:tcPr>
            <w:tcW w:w="6096" w:type="dxa"/>
          </w:tcPr>
          <w:p w14:paraId="0BD64E0D" w14:textId="3096BEDA" w:rsidR="00AA5C1D" w:rsidRPr="007E7A4F" w:rsidRDefault="00E63571" w:rsidP="00A21849">
            <w:pPr>
              <w:pStyle w:val="ListParagraph"/>
              <w:keepNext/>
              <w:keepLines/>
              <w:ind w:left="-108"/>
            </w:pPr>
            <w:r>
              <w:t>Paul RÜBIG (Darba devēju grupa – AT)</w:t>
            </w:r>
          </w:p>
        </w:tc>
      </w:tr>
      <w:tr w:rsidR="00AA5C1D" w:rsidRPr="007E7A4F" w14:paraId="230E76C3" w14:textId="77777777" w:rsidTr="00576060">
        <w:tc>
          <w:tcPr>
            <w:tcW w:w="7797" w:type="dxa"/>
            <w:gridSpan w:val="2"/>
          </w:tcPr>
          <w:p w14:paraId="50994590" w14:textId="77777777" w:rsidR="00AA5C1D" w:rsidRPr="007E7A4F" w:rsidRDefault="00AA5C1D" w:rsidP="00A21849">
            <w:pPr>
              <w:pStyle w:val="ListParagraph"/>
              <w:keepNext/>
              <w:keepLines/>
              <w:ind w:left="0"/>
              <w:rPr>
                <w:lang w:val="fr-BE"/>
              </w:rPr>
            </w:pPr>
          </w:p>
        </w:tc>
      </w:tr>
      <w:tr w:rsidR="00AA5C1D" w:rsidRPr="009B70E7" w14:paraId="4E577528" w14:textId="77777777" w:rsidTr="00576060">
        <w:tc>
          <w:tcPr>
            <w:tcW w:w="1701" w:type="dxa"/>
          </w:tcPr>
          <w:p w14:paraId="7CEEDB52" w14:textId="77DA59B9" w:rsidR="00AA5C1D" w:rsidRPr="009B70E7" w:rsidRDefault="00B80604" w:rsidP="00A21849">
            <w:pPr>
              <w:pStyle w:val="ListParagraph"/>
              <w:keepNext/>
              <w:keepLines/>
              <w:ind w:left="0"/>
              <w:rPr>
                <w:b/>
              </w:rPr>
            </w:pPr>
            <w:r>
              <w:rPr>
                <w:b/>
              </w:rPr>
              <w:t>Atsauce:</w:t>
            </w:r>
            <w:r w:rsidR="00AA5C1D">
              <w:rPr>
                <w:b/>
              </w:rPr>
              <w:t xml:space="preserve"> </w:t>
            </w:r>
          </w:p>
        </w:tc>
        <w:tc>
          <w:tcPr>
            <w:tcW w:w="6096" w:type="dxa"/>
          </w:tcPr>
          <w:p w14:paraId="7260D9BD" w14:textId="4494DA09" w:rsidR="00AA5C1D" w:rsidRPr="009B70E7" w:rsidRDefault="00E63571" w:rsidP="00A21849">
            <w:pPr>
              <w:keepNext/>
              <w:keepLines/>
              <w:tabs>
                <w:tab w:val="center" w:pos="284"/>
              </w:tabs>
              <w:ind w:left="266" w:hanging="374"/>
            </w:pPr>
            <w:r>
              <w:t>Pašiniciatīvas atzinums</w:t>
            </w:r>
          </w:p>
          <w:p w14:paraId="088E18BB" w14:textId="1C8BF32D" w:rsidR="00AA5C1D" w:rsidRPr="009B70E7" w:rsidRDefault="00AA5C1D" w:rsidP="00A21849">
            <w:pPr>
              <w:pStyle w:val="ListParagraph"/>
              <w:keepNext/>
              <w:keepLines/>
              <w:ind w:left="-108"/>
            </w:pPr>
            <w:r>
              <w:t>EESC-2022-01516-00-00-AC</w:t>
            </w:r>
          </w:p>
        </w:tc>
      </w:tr>
    </w:tbl>
    <w:p w14:paraId="0C36545B" w14:textId="77777777" w:rsidR="00AA5C1D" w:rsidRPr="009B70E7" w:rsidRDefault="00AA5C1D" w:rsidP="00A21849">
      <w:pPr>
        <w:pStyle w:val="ListParagraph"/>
        <w:keepNext/>
        <w:keepLines/>
        <w:ind w:left="0"/>
        <w:rPr>
          <w:b/>
        </w:rPr>
      </w:pPr>
    </w:p>
    <w:p w14:paraId="1B4ECBDA" w14:textId="406DD5FE" w:rsidR="00AA5C1D" w:rsidRPr="00A00F37" w:rsidRDefault="00AA5C1D" w:rsidP="00A21849">
      <w:pPr>
        <w:pStyle w:val="ListParagraph"/>
        <w:keepNext/>
        <w:keepLines/>
        <w:spacing w:line="240" w:lineRule="auto"/>
        <w:ind w:left="0" w:firstLine="142"/>
        <w:rPr>
          <w:b/>
        </w:rPr>
      </w:pPr>
      <w:r>
        <w:rPr>
          <w:b/>
          <w:bCs/>
        </w:rPr>
        <w:t>Svarīgākie aspekti</w:t>
      </w:r>
    </w:p>
    <w:p w14:paraId="38EF24CA" w14:textId="77777777" w:rsidR="00AA5C1D" w:rsidRPr="0018231C" w:rsidRDefault="00AA5C1D" w:rsidP="00AA5C1D">
      <w:pPr>
        <w:pStyle w:val="ListParagraph"/>
        <w:ind w:left="0"/>
        <w:rPr>
          <w:lang w:val="fr-FR"/>
        </w:rPr>
      </w:pPr>
    </w:p>
    <w:p w14:paraId="496334DF" w14:textId="77777777" w:rsidR="00AA5C1D" w:rsidRDefault="00AA5C1D" w:rsidP="00A00F37">
      <w:pPr>
        <w:pStyle w:val="ListParagraph"/>
        <w:spacing w:line="240" w:lineRule="auto"/>
        <w:ind w:left="0" w:firstLine="142"/>
      </w:pPr>
      <w:r>
        <w:t>EESK:</w:t>
      </w:r>
    </w:p>
    <w:p w14:paraId="7DF02088" w14:textId="77777777" w:rsidR="00AA5C1D" w:rsidRPr="0018231C" w:rsidRDefault="00AA5C1D" w:rsidP="00AA5C1D">
      <w:pPr>
        <w:pStyle w:val="ListParagraph"/>
        <w:ind w:left="0"/>
        <w:rPr>
          <w:lang w:val="fr-FR"/>
        </w:rPr>
      </w:pPr>
    </w:p>
    <w:p w14:paraId="001CF33A" w14:textId="1DFD3B89" w:rsidR="00AA5C1D" w:rsidRPr="00A3344B" w:rsidRDefault="00E63571" w:rsidP="00AA5C1D">
      <w:pPr>
        <w:numPr>
          <w:ilvl w:val="0"/>
          <w:numId w:val="3"/>
        </w:numPr>
        <w:overflowPunct w:val="0"/>
        <w:autoSpaceDE w:val="0"/>
        <w:autoSpaceDN w:val="0"/>
        <w:adjustRightInd w:val="0"/>
        <w:ind w:left="357" w:hanging="357"/>
        <w:textAlignment w:val="baseline"/>
      </w:pPr>
      <w:r>
        <w:t xml:space="preserve">aicina Eiropas Komisiju un dalībvalstis steidzami izstrādāt </w:t>
      </w:r>
      <w:r>
        <w:rPr>
          <w:b/>
        </w:rPr>
        <w:t>plānu, lai būtiski palielinātu ES vienotā tirgus autonomiju/suverenitāti</w:t>
      </w:r>
      <w:r>
        <w:t xml:space="preserve"> attiecībā uz enerģijas ražošanas iekārtām, pārtikas un ūdens ražošanu un nepieciešamo izejvielu ieguvi, tostarp vajadzīgo tehnoloģiju suverenitāti/autonomiju;</w:t>
      </w:r>
    </w:p>
    <w:p w14:paraId="71ABA83F" w14:textId="08F3B8E5" w:rsidR="00AA5C1D" w:rsidRPr="00A3344B" w:rsidRDefault="00E63571" w:rsidP="00AA5C1D">
      <w:pPr>
        <w:numPr>
          <w:ilvl w:val="0"/>
          <w:numId w:val="3"/>
        </w:numPr>
        <w:overflowPunct w:val="0"/>
        <w:autoSpaceDE w:val="0"/>
        <w:autoSpaceDN w:val="0"/>
        <w:adjustRightInd w:val="0"/>
        <w:ind w:left="357" w:hanging="357"/>
        <w:textAlignment w:val="baseline"/>
      </w:pPr>
      <w:r>
        <w:t xml:space="preserve">iesaka ES steidzami </w:t>
      </w:r>
      <w:r>
        <w:rPr>
          <w:b/>
        </w:rPr>
        <w:t>noteikt īstermiņa pasākumus enerģijas ražošanas iekārtu būvniecībai ES vienotajā tirgū</w:t>
      </w:r>
      <w:r>
        <w:t>;</w:t>
      </w:r>
    </w:p>
    <w:p w14:paraId="61627139" w14:textId="4B60ED2E" w:rsidR="00AA5C1D" w:rsidRPr="00A3344B" w:rsidRDefault="00E63571" w:rsidP="00AA5C1D">
      <w:pPr>
        <w:numPr>
          <w:ilvl w:val="0"/>
          <w:numId w:val="3"/>
        </w:numPr>
        <w:overflowPunct w:val="0"/>
        <w:autoSpaceDE w:val="0"/>
        <w:autoSpaceDN w:val="0"/>
        <w:adjustRightInd w:val="0"/>
        <w:ind w:left="357" w:hanging="357"/>
        <w:textAlignment w:val="baseline"/>
      </w:pPr>
      <w:r>
        <w:t xml:space="preserve">iesaka </w:t>
      </w:r>
      <w:r>
        <w:rPr>
          <w:b/>
        </w:rPr>
        <w:t>mudināt un atbalstīt patērētājus ieguldīt savas enerģijas ražošanā un energoefektivitātē</w:t>
      </w:r>
      <w:r>
        <w:t>;</w:t>
      </w:r>
    </w:p>
    <w:p w14:paraId="57E13EFF" w14:textId="6C619B39" w:rsidR="00AB20C0" w:rsidRDefault="00E63571" w:rsidP="00AA5C1D">
      <w:pPr>
        <w:numPr>
          <w:ilvl w:val="0"/>
          <w:numId w:val="3"/>
        </w:numPr>
        <w:overflowPunct w:val="0"/>
        <w:autoSpaceDE w:val="0"/>
        <w:autoSpaceDN w:val="0"/>
        <w:adjustRightInd w:val="0"/>
        <w:ind w:left="357" w:hanging="357"/>
        <w:textAlignment w:val="baseline"/>
      </w:pPr>
      <w:r>
        <w:t xml:space="preserve">uzskata, ka ES būtu </w:t>
      </w:r>
      <w:r>
        <w:rPr>
          <w:b/>
        </w:rPr>
        <w:t>jāizveido jauna transporta infrastruktūra enerģijas un energoresursu pārvadei</w:t>
      </w:r>
      <w:r>
        <w:t>;</w:t>
      </w:r>
    </w:p>
    <w:p w14:paraId="778CBFD5" w14:textId="2DCCD4BA" w:rsidR="00E63571" w:rsidRPr="00E63571" w:rsidRDefault="00E63571" w:rsidP="00AA5C1D">
      <w:pPr>
        <w:numPr>
          <w:ilvl w:val="0"/>
          <w:numId w:val="3"/>
        </w:numPr>
        <w:overflowPunct w:val="0"/>
        <w:autoSpaceDE w:val="0"/>
        <w:autoSpaceDN w:val="0"/>
        <w:adjustRightInd w:val="0"/>
        <w:ind w:left="357" w:hanging="357"/>
        <w:textAlignment w:val="baseline"/>
      </w:pPr>
      <w:r>
        <w:t xml:space="preserve">aicina Eiropas Komisiju </w:t>
      </w:r>
      <w:r>
        <w:rPr>
          <w:b/>
        </w:rPr>
        <w:t>izstrādāt plānus</w:t>
      </w:r>
      <w:r>
        <w:t xml:space="preserve"> un </w:t>
      </w:r>
      <w:r>
        <w:rPr>
          <w:b/>
        </w:rPr>
        <w:t>veikt ES mērogā koordinētus pasākumus</w:t>
      </w:r>
      <w:r>
        <w:t>;</w:t>
      </w:r>
    </w:p>
    <w:p w14:paraId="2609BDB6" w14:textId="64D3B8AA" w:rsidR="00E63571" w:rsidRDefault="00E63571" w:rsidP="00AA5C1D">
      <w:pPr>
        <w:numPr>
          <w:ilvl w:val="0"/>
          <w:numId w:val="3"/>
        </w:numPr>
        <w:overflowPunct w:val="0"/>
        <w:autoSpaceDE w:val="0"/>
        <w:autoSpaceDN w:val="0"/>
        <w:adjustRightInd w:val="0"/>
        <w:ind w:left="357" w:hanging="357"/>
        <w:textAlignment w:val="baseline"/>
      </w:pPr>
      <w:r>
        <w:t xml:space="preserve">uzskata, ka ir svarīgi </w:t>
      </w:r>
      <w:r>
        <w:rPr>
          <w:b/>
        </w:rPr>
        <w:t>uzlabot</w:t>
      </w:r>
      <w:r>
        <w:t xml:space="preserve"> elektrotehniķu un lauksaimnieku </w:t>
      </w:r>
      <w:r>
        <w:rPr>
          <w:b/>
        </w:rPr>
        <w:t>profesionālo apmācību</w:t>
      </w:r>
      <w:r>
        <w:t xml:space="preserve"> un prasmes un </w:t>
      </w:r>
      <w:r>
        <w:rPr>
          <w:b/>
        </w:rPr>
        <w:t>radīt darbvietas</w:t>
      </w:r>
      <w:r>
        <w:t xml:space="preserve"> ūdens resursu pārvaldības jomā;</w:t>
      </w:r>
    </w:p>
    <w:p w14:paraId="2960399C" w14:textId="3DFA7450" w:rsidR="00E63571" w:rsidRDefault="00E63571" w:rsidP="00AA5C1D">
      <w:pPr>
        <w:numPr>
          <w:ilvl w:val="0"/>
          <w:numId w:val="3"/>
        </w:numPr>
        <w:overflowPunct w:val="0"/>
        <w:autoSpaceDE w:val="0"/>
        <w:autoSpaceDN w:val="0"/>
        <w:adjustRightInd w:val="0"/>
        <w:ind w:left="357" w:hanging="357"/>
        <w:textAlignment w:val="baseline"/>
      </w:pPr>
      <w:r>
        <w:t xml:space="preserve">iesaka </w:t>
      </w:r>
      <w:r>
        <w:rPr>
          <w:b/>
        </w:rPr>
        <w:t>izstrādāt iniciatīvas un stimulus</w:t>
      </w:r>
      <w:r>
        <w:t>, lai palielinātu inženieru, tehniķu un augsto tehnoloģiju papildu darbvietu skaitu Eiropā, un</w:t>
      </w:r>
    </w:p>
    <w:p w14:paraId="4C4CEA31" w14:textId="588A4AC9" w:rsidR="00E63571" w:rsidRPr="00A3344B" w:rsidRDefault="00E63571" w:rsidP="00AA5C1D">
      <w:pPr>
        <w:numPr>
          <w:ilvl w:val="0"/>
          <w:numId w:val="3"/>
        </w:numPr>
        <w:overflowPunct w:val="0"/>
        <w:autoSpaceDE w:val="0"/>
        <w:autoSpaceDN w:val="0"/>
        <w:adjustRightInd w:val="0"/>
        <w:ind w:left="357" w:hanging="357"/>
        <w:textAlignment w:val="baseline"/>
      </w:pPr>
      <w:r>
        <w:lastRenderedPageBreak/>
        <w:t xml:space="preserve">uzskata, ka ir svarīgi </w:t>
      </w:r>
      <w:r>
        <w:rPr>
          <w:b/>
        </w:rPr>
        <w:t>saglabāt augstu ES iedzīvotāju un patērētāju pirktspēju</w:t>
      </w:r>
      <w:r>
        <w:t>, galveno uzmanību pievēršot ES tehnoloģiju suverenitātei/autonomijai un tādējādi samazinot ES atkarību no importa (tehnoloģiju un enerģijas importa) un palielinot augsto‑ tehnoloģiju darbvietu skaitu Eiropā.</w:t>
      </w:r>
    </w:p>
    <w:p w14:paraId="11FB1396" w14:textId="77777777" w:rsidR="00AA5C1D" w:rsidRDefault="00AA5C1D" w:rsidP="00AA5C1D">
      <w:pPr>
        <w:spacing w:after="160" w:line="259" w:lineRule="auto"/>
        <w:jc w:val="left"/>
        <w:rPr>
          <w:sz w:val="28"/>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AA5C1D" w:rsidRPr="00164813" w14:paraId="41C508F8" w14:textId="77777777" w:rsidTr="00576060">
        <w:tc>
          <w:tcPr>
            <w:tcW w:w="1418" w:type="dxa"/>
          </w:tcPr>
          <w:p w14:paraId="682B16C4" w14:textId="77777777" w:rsidR="00AA5C1D" w:rsidRPr="00164813" w:rsidRDefault="00AA5C1D" w:rsidP="00576060">
            <w:pPr>
              <w:contextualSpacing/>
              <w:rPr>
                <w:i/>
              </w:rPr>
            </w:pPr>
            <w:r>
              <w:rPr>
                <w:b/>
                <w:i/>
              </w:rPr>
              <w:t>Kontaktpersona:</w:t>
            </w:r>
          </w:p>
        </w:tc>
        <w:tc>
          <w:tcPr>
            <w:tcW w:w="5670" w:type="dxa"/>
          </w:tcPr>
          <w:p w14:paraId="58153CA9" w14:textId="0AC5F3F0" w:rsidR="00AA5C1D" w:rsidRPr="00164813" w:rsidRDefault="00AA5C1D" w:rsidP="00576060">
            <w:pPr>
              <w:contextualSpacing/>
              <w:rPr>
                <w:i/>
              </w:rPr>
            </w:pPr>
            <w:r>
              <w:rPr>
                <w:i/>
              </w:rPr>
              <w:t>Marie-Laurence Drillon</w:t>
            </w:r>
          </w:p>
        </w:tc>
      </w:tr>
      <w:tr w:rsidR="00AA5C1D" w:rsidRPr="00164813" w14:paraId="72CAC45A" w14:textId="77777777" w:rsidTr="00576060">
        <w:tc>
          <w:tcPr>
            <w:tcW w:w="1418" w:type="dxa"/>
          </w:tcPr>
          <w:p w14:paraId="3EF5E950" w14:textId="77777777" w:rsidR="00AA5C1D" w:rsidRPr="00164813" w:rsidRDefault="00AA5C1D" w:rsidP="00576060">
            <w:pPr>
              <w:ind w:left="601"/>
              <w:contextualSpacing/>
              <w:rPr>
                <w:i/>
              </w:rPr>
            </w:pPr>
            <w:r>
              <w:rPr>
                <w:i/>
              </w:rPr>
              <w:t>Tālr.:</w:t>
            </w:r>
          </w:p>
        </w:tc>
        <w:tc>
          <w:tcPr>
            <w:tcW w:w="5670" w:type="dxa"/>
          </w:tcPr>
          <w:p w14:paraId="7B046605" w14:textId="1BCF99C6" w:rsidR="00AA5C1D" w:rsidRPr="00164813" w:rsidRDefault="00AA5C1D" w:rsidP="00576060">
            <w:pPr>
              <w:contextualSpacing/>
              <w:rPr>
                <w:i/>
              </w:rPr>
            </w:pPr>
            <w:r>
              <w:rPr>
                <w:i/>
              </w:rPr>
              <w:t>00 32 2 546 83 20</w:t>
            </w:r>
          </w:p>
        </w:tc>
      </w:tr>
      <w:tr w:rsidR="00AA5C1D" w:rsidRPr="00164813" w14:paraId="73DA6362" w14:textId="77777777" w:rsidTr="00576060">
        <w:tc>
          <w:tcPr>
            <w:tcW w:w="1418" w:type="dxa"/>
          </w:tcPr>
          <w:p w14:paraId="67DB9852" w14:textId="77777777" w:rsidR="00AA5C1D" w:rsidRPr="00164813" w:rsidRDefault="00AA5C1D" w:rsidP="00576060">
            <w:pPr>
              <w:ind w:left="601"/>
              <w:contextualSpacing/>
              <w:rPr>
                <w:i/>
              </w:rPr>
            </w:pPr>
            <w:r>
              <w:rPr>
                <w:i/>
              </w:rPr>
              <w:t>E-pasts:</w:t>
            </w:r>
          </w:p>
        </w:tc>
        <w:tc>
          <w:tcPr>
            <w:tcW w:w="5670" w:type="dxa"/>
          </w:tcPr>
          <w:p w14:paraId="49BD07A0" w14:textId="4D7E162B" w:rsidR="00AA5C1D" w:rsidRPr="00164813" w:rsidRDefault="000062DB" w:rsidP="00151492">
            <w:pPr>
              <w:contextualSpacing/>
              <w:rPr>
                <w:i/>
              </w:rPr>
            </w:pPr>
            <w:hyperlink r:id="rId44" w:history="1">
              <w:r w:rsidR="007B42E2">
                <w:rPr>
                  <w:rStyle w:val="Hyperlink"/>
                </w:rPr>
                <w:t>Marie-Laurence.Drillon@eesc.europa.eu</w:t>
              </w:r>
            </w:hyperlink>
          </w:p>
        </w:tc>
      </w:tr>
    </w:tbl>
    <w:p w14:paraId="4DA95868" w14:textId="522C82BD" w:rsidR="005D55F5" w:rsidRPr="000062DB" w:rsidRDefault="005D55F5">
      <w:pPr>
        <w:spacing w:after="160" w:line="259" w:lineRule="auto"/>
        <w:jc w:val="left"/>
      </w:pPr>
    </w:p>
    <w:p w14:paraId="10A077F6" w14:textId="77777777" w:rsidR="000062DB" w:rsidRPr="000062DB" w:rsidRDefault="000062DB">
      <w:pPr>
        <w:spacing w:after="160" w:line="259" w:lineRule="auto"/>
        <w:jc w:val="left"/>
      </w:pPr>
    </w:p>
    <w:p w14:paraId="6C52985F" w14:textId="77777777" w:rsidR="002E01B5" w:rsidRPr="009B70E7" w:rsidRDefault="004D7AC0" w:rsidP="00151492">
      <w:pPr>
        <w:pStyle w:val="Heading1"/>
        <w:keepNext/>
        <w:keepLines/>
        <w:rPr>
          <w:b/>
        </w:rPr>
      </w:pPr>
      <w:bookmarkStart w:id="38" w:name="_Toc70322234"/>
      <w:bookmarkStart w:id="39" w:name="_Toc75527084"/>
      <w:bookmarkStart w:id="40" w:name="_Toc120000281"/>
      <w:r>
        <w:rPr>
          <w:b/>
        </w:rPr>
        <w:t>LAUKSAIMNIECĪBA, LAUKU ATTĪSTĪBA UN VIDE</w:t>
      </w:r>
      <w:bookmarkEnd w:id="38"/>
      <w:bookmarkEnd w:id="39"/>
      <w:bookmarkEnd w:id="40"/>
    </w:p>
    <w:p w14:paraId="37AC66EE" w14:textId="77777777" w:rsidR="009173E7" w:rsidRPr="009B70E7" w:rsidRDefault="009173E7" w:rsidP="00151492">
      <w:pPr>
        <w:keepNext/>
        <w:keepLines/>
      </w:pPr>
    </w:p>
    <w:p w14:paraId="6BF57A05" w14:textId="58B6B6D7" w:rsidR="00AC7690" w:rsidRPr="009B70E7" w:rsidRDefault="005D55F5" w:rsidP="00151492">
      <w:pPr>
        <w:pStyle w:val="ListParagraph"/>
        <w:keepNext/>
        <w:keepLines/>
        <w:numPr>
          <w:ilvl w:val="0"/>
          <w:numId w:val="2"/>
        </w:numPr>
        <w:ind w:left="567" w:hanging="567"/>
        <w:rPr>
          <w:b/>
          <w:i/>
          <w:sz w:val="28"/>
          <w:szCs w:val="28"/>
        </w:rPr>
      </w:pPr>
      <w:bookmarkStart w:id="41" w:name="_Hlk116657716"/>
      <w:r>
        <w:rPr>
          <w:b/>
          <w:i/>
          <w:sz w:val="28"/>
        </w:rPr>
        <w:t>Ceļā uz ilgtspējīgu ES stratēģiju attiecībā uz augu izcelsmes proteīniem un augu eļļām</w:t>
      </w:r>
    </w:p>
    <w:p w14:paraId="43570F8C" w14:textId="77777777" w:rsidR="004D7AC0" w:rsidRPr="009B70E7" w:rsidRDefault="004D7AC0" w:rsidP="00151492">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04"/>
      </w:tblGrid>
      <w:tr w:rsidR="004D7AC0" w:rsidRPr="009B70E7" w14:paraId="32C9FAF0" w14:textId="77777777" w:rsidTr="006F6E46">
        <w:tc>
          <w:tcPr>
            <w:tcW w:w="1701" w:type="dxa"/>
          </w:tcPr>
          <w:p w14:paraId="7DFC3FE7" w14:textId="77777777" w:rsidR="004D7AC0" w:rsidRPr="009B70E7" w:rsidRDefault="004D7AC0" w:rsidP="00151492">
            <w:pPr>
              <w:pStyle w:val="ListParagraph"/>
              <w:keepNext/>
              <w:keepLines/>
              <w:ind w:left="0"/>
              <w:rPr>
                <w:b/>
              </w:rPr>
            </w:pPr>
            <w:bookmarkStart w:id="42" w:name="_Hlk111563809"/>
            <w:r>
              <w:rPr>
                <w:b/>
              </w:rPr>
              <w:t>Ziņotājs:</w:t>
            </w:r>
          </w:p>
        </w:tc>
        <w:tc>
          <w:tcPr>
            <w:tcW w:w="6204" w:type="dxa"/>
          </w:tcPr>
          <w:p w14:paraId="512C7D26" w14:textId="3008E8C5" w:rsidR="004D7AC0" w:rsidRPr="009B70E7" w:rsidRDefault="005D55F5" w:rsidP="00151492">
            <w:pPr>
              <w:pStyle w:val="ListParagraph"/>
              <w:keepNext/>
              <w:keepLines/>
              <w:ind w:left="-106"/>
            </w:pPr>
            <w:r>
              <w:t>Lutz RIBBE (Pilsoniskās sabiedrības organizāciju grupa – DE)</w:t>
            </w:r>
          </w:p>
        </w:tc>
      </w:tr>
      <w:tr w:rsidR="0005110E" w:rsidRPr="009B70E7" w14:paraId="37A4E77C" w14:textId="77777777" w:rsidTr="006F6E46">
        <w:tc>
          <w:tcPr>
            <w:tcW w:w="1701" w:type="dxa"/>
          </w:tcPr>
          <w:p w14:paraId="648A1766" w14:textId="4D70EE33" w:rsidR="0005110E" w:rsidRPr="007B231B" w:rsidRDefault="0005110E" w:rsidP="00151492">
            <w:pPr>
              <w:pStyle w:val="ListParagraph"/>
              <w:keepNext/>
              <w:keepLines/>
              <w:ind w:left="0"/>
              <w:rPr>
                <w:b/>
              </w:rPr>
            </w:pPr>
          </w:p>
        </w:tc>
        <w:tc>
          <w:tcPr>
            <w:tcW w:w="6204" w:type="dxa"/>
          </w:tcPr>
          <w:p w14:paraId="30DA0956" w14:textId="65B72FEF" w:rsidR="0005110E" w:rsidRPr="00E54548" w:rsidRDefault="0005110E" w:rsidP="00151492">
            <w:pPr>
              <w:pStyle w:val="ListParagraph"/>
              <w:keepNext/>
              <w:keepLines/>
              <w:ind w:left="-106"/>
              <w:rPr>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05110E" w:rsidRPr="00032038" w14:paraId="2F855FDD" w14:textId="77777777" w:rsidTr="00576060">
        <w:tc>
          <w:tcPr>
            <w:tcW w:w="1701" w:type="dxa"/>
          </w:tcPr>
          <w:bookmarkEnd w:id="42"/>
          <w:p w14:paraId="6DB55280" w14:textId="36E4E21A" w:rsidR="0005110E" w:rsidRPr="00032038" w:rsidRDefault="00B80604" w:rsidP="00576060">
            <w:pPr>
              <w:contextualSpacing/>
              <w:rPr>
                <w:b/>
              </w:rPr>
            </w:pPr>
            <w:r>
              <w:rPr>
                <w:b/>
              </w:rPr>
              <w:t>Atsauce</w:t>
            </w:r>
            <w:r w:rsidR="0005110E">
              <w:rPr>
                <w:b/>
              </w:rPr>
              <w:t xml:space="preserve">: </w:t>
            </w:r>
          </w:p>
        </w:tc>
        <w:tc>
          <w:tcPr>
            <w:tcW w:w="6379" w:type="dxa"/>
          </w:tcPr>
          <w:p w14:paraId="602AF089" w14:textId="51E3E044" w:rsidR="0005110E" w:rsidRPr="00032038" w:rsidRDefault="0005110E" w:rsidP="00576060">
            <w:pPr>
              <w:tabs>
                <w:tab w:val="center" w:pos="284"/>
              </w:tabs>
              <w:ind w:left="266" w:right="-534" w:hanging="374"/>
            </w:pPr>
            <w:r>
              <w:t>Pašiniciatīvas atzinums</w:t>
            </w:r>
          </w:p>
          <w:p w14:paraId="6A5A914E" w14:textId="7D4048D0" w:rsidR="0005110E" w:rsidRPr="00032038" w:rsidRDefault="0005110E" w:rsidP="00576060">
            <w:pPr>
              <w:ind w:left="-108"/>
              <w:contextualSpacing/>
            </w:pPr>
            <w:r>
              <w:t>EESC-2022-01100-00-00-AC</w:t>
            </w:r>
          </w:p>
        </w:tc>
      </w:tr>
    </w:tbl>
    <w:p w14:paraId="63F4FD2B" w14:textId="77777777" w:rsidR="0005110E" w:rsidRPr="002C4B6E" w:rsidRDefault="0005110E" w:rsidP="002C4B6E">
      <w:pPr>
        <w:pStyle w:val="ListParagraph"/>
        <w:spacing w:line="240" w:lineRule="auto"/>
        <w:ind w:left="-142" w:firstLine="142"/>
        <w:rPr>
          <w:b/>
        </w:rPr>
      </w:pPr>
    </w:p>
    <w:p w14:paraId="63F2D92D" w14:textId="5F76C7A8" w:rsidR="004D7AC0" w:rsidRPr="00A00F37" w:rsidRDefault="004D7AC0" w:rsidP="00A00F37">
      <w:pPr>
        <w:pStyle w:val="ListParagraph"/>
        <w:spacing w:line="240" w:lineRule="auto"/>
        <w:ind w:left="0" w:firstLine="142"/>
        <w:rPr>
          <w:b/>
        </w:rPr>
      </w:pPr>
      <w:r>
        <w:rPr>
          <w:b/>
          <w:bCs/>
        </w:rPr>
        <w:t>Svarīgākie aspekti</w:t>
      </w:r>
    </w:p>
    <w:p w14:paraId="76827606" w14:textId="77777777" w:rsidR="001513FD" w:rsidRPr="006F6E46" w:rsidRDefault="001513FD" w:rsidP="0018231C">
      <w:pPr>
        <w:pStyle w:val="ListParagraph"/>
        <w:keepNext/>
        <w:ind w:left="0"/>
        <w:rPr>
          <w:sz w:val="16"/>
          <w:szCs w:val="16"/>
        </w:rPr>
      </w:pPr>
    </w:p>
    <w:p w14:paraId="05F6CCDA" w14:textId="77777777" w:rsidR="00E54548" w:rsidRDefault="00E54548" w:rsidP="00A00F37">
      <w:pPr>
        <w:pStyle w:val="ListParagraph"/>
        <w:spacing w:line="240" w:lineRule="auto"/>
        <w:ind w:left="0" w:firstLine="142"/>
      </w:pPr>
      <w:r>
        <w:t>EESK:</w:t>
      </w:r>
    </w:p>
    <w:p w14:paraId="681D86A8" w14:textId="77777777" w:rsidR="00E54548" w:rsidRPr="006F6E46" w:rsidRDefault="00E54548" w:rsidP="0018231C">
      <w:pPr>
        <w:pStyle w:val="ListParagraph"/>
        <w:keepNext/>
        <w:ind w:left="0"/>
        <w:rPr>
          <w:sz w:val="16"/>
          <w:szCs w:val="16"/>
        </w:rPr>
      </w:pPr>
    </w:p>
    <w:p w14:paraId="4FC3D577" w14:textId="6B6E0E64" w:rsidR="00BE6D5A" w:rsidRDefault="005D55F5" w:rsidP="00BE6D5A">
      <w:pPr>
        <w:numPr>
          <w:ilvl w:val="0"/>
          <w:numId w:val="3"/>
        </w:numPr>
        <w:ind w:left="357" w:hanging="357"/>
        <w:contextualSpacing/>
      </w:pPr>
      <w:r>
        <w:t>norāda, ka ir daudz labu iemeslu, lai Eiropas Savienībā paplašinātu proteīna ražošanu un palielinātu zālāju nozīmi dzīvnieku barībā;</w:t>
      </w:r>
    </w:p>
    <w:p w14:paraId="6497B7B1" w14:textId="05C1518A" w:rsidR="0005110E" w:rsidRDefault="005D55F5" w:rsidP="0005110E">
      <w:pPr>
        <w:numPr>
          <w:ilvl w:val="0"/>
          <w:numId w:val="3"/>
        </w:numPr>
        <w:ind w:left="357" w:hanging="357"/>
        <w:contextualSpacing/>
      </w:pPr>
      <w:r>
        <w:t>uzsver, ka eļļas augu audzēšanas paplašināšana Eiropas Savienībā varētu arī pozitīvi ietekmēt, piemēram, pašpietiekamību attiecībā uz traktoru degvielu, lielāku augseku un eļļas raušu, kam ir izcils proteīnu saturošas barības potenciāls, plašāku pieejamību;</w:t>
      </w:r>
    </w:p>
    <w:p w14:paraId="6CC74428" w14:textId="3BA8FC35" w:rsidR="00071F4C" w:rsidRDefault="005D55F5" w:rsidP="0005110E">
      <w:pPr>
        <w:numPr>
          <w:ilvl w:val="0"/>
          <w:numId w:val="3"/>
        </w:numPr>
        <w:ind w:left="357" w:hanging="357"/>
        <w:contextualSpacing/>
      </w:pPr>
      <w:r>
        <w:t>tā kā pieejamās lauksaimniecības platības ir ierobežotas, uzskata, ka Eiropas Savienībai ir steidzami jāizstrādā pētījums par tādu proteīnaugu un eļļas augu potenciālu un</w:t>
      </w:r>
      <w:r>
        <w:rPr>
          <w:b/>
          <w:bCs/>
          <w:i/>
          <w:iCs/>
        </w:rPr>
        <w:t xml:space="preserve"> </w:t>
      </w:r>
      <w:r>
        <w:t>proporcionālo daļu Eiropas mērogā, kurus varētu audzēt ES teritorijā;</w:t>
      </w:r>
    </w:p>
    <w:p w14:paraId="5CE05F1C" w14:textId="43E9C402" w:rsidR="005D55F5" w:rsidRDefault="005D55F5" w:rsidP="0005110E">
      <w:pPr>
        <w:numPr>
          <w:ilvl w:val="0"/>
          <w:numId w:val="3"/>
        </w:numPr>
        <w:ind w:left="357" w:hanging="357"/>
        <w:contextualSpacing/>
      </w:pPr>
      <w:r>
        <w:t>uzskata, ka Eiropas stratēģijai attiecībā uz proteīniem un eļļām būtu jāveicina arī ilgtspējīga lauku apvidu attīstība atbilstīgi ES ilgtermiņa redzējumam par lauku apvidiem;</w:t>
      </w:r>
    </w:p>
    <w:p w14:paraId="7A115159" w14:textId="293A68A4" w:rsidR="005D55F5" w:rsidRDefault="005D55F5" w:rsidP="0005110E">
      <w:pPr>
        <w:numPr>
          <w:ilvl w:val="0"/>
          <w:numId w:val="3"/>
        </w:numPr>
        <w:ind w:left="357" w:hanging="357"/>
        <w:contextualSpacing/>
      </w:pPr>
      <w:r>
        <w:t>iesaka Eiropas Komisijai rūpīgāk izpētīt Vācijā federālās valdības izveidotā Lauksaimniecības nākotnes komisijas (</w:t>
      </w:r>
      <w:r>
        <w:rPr>
          <w:i/>
          <w:iCs/>
        </w:rPr>
        <w:t>Zukunftskommission Landwirtschaft</w:t>
      </w:r>
      <w:r>
        <w:t xml:space="preserve"> – </w:t>
      </w:r>
      <w:r>
        <w:rPr>
          <w:i/>
          <w:iCs/>
        </w:rPr>
        <w:t>ZKL</w:t>
      </w:r>
      <w:r>
        <w:t>) procesa formātu un apsvērt, vai tas nebūtu piemērots arī Eiropas proteīna ražošanas stratēģijas izstrādei;</w:t>
      </w:r>
    </w:p>
    <w:p w14:paraId="40CD1400" w14:textId="2395B3FC" w:rsidR="005D55F5" w:rsidRPr="00CA685D" w:rsidRDefault="005D55F5" w:rsidP="006F6E46">
      <w:pPr>
        <w:numPr>
          <w:ilvl w:val="0"/>
          <w:numId w:val="3"/>
        </w:numPr>
        <w:ind w:left="357" w:hanging="357"/>
        <w:contextualSpacing/>
      </w:pPr>
      <w:r>
        <w:t>formulē konkrētus ieteikumus attiecībā uz proteīna stratēģiju, kas atbilst arī stratēģiskās piegādes autonomijas mērķiem:</w:t>
      </w:r>
    </w:p>
    <w:p w14:paraId="7A3234DB" w14:textId="77777777" w:rsidR="005D55F5" w:rsidRPr="009B10AC" w:rsidRDefault="005D55F5" w:rsidP="006F6E46">
      <w:pPr>
        <w:pStyle w:val="ListParagraph"/>
        <w:widowControl w:val="0"/>
        <w:numPr>
          <w:ilvl w:val="3"/>
          <w:numId w:val="24"/>
        </w:numPr>
        <w:ind w:left="993"/>
        <w:contextualSpacing w:val="0"/>
      </w:pPr>
      <w:r>
        <w:t>veicināt pētniecību un inovāciju augu izcelsmes proteīnu jomā;</w:t>
      </w:r>
    </w:p>
    <w:p w14:paraId="7322AFB0" w14:textId="77777777" w:rsidR="005D55F5" w:rsidRPr="009B10AC" w:rsidRDefault="005D55F5" w:rsidP="006F6E46">
      <w:pPr>
        <w:pStyle w:val="ListParagraph"/>
        <w:widowControl w:val="0"/>
        <w:numPr>
          <w:ilvl w:val="3"/>
          <w:numId w:val="24"/>
        </w:numPr>
        <w:ind w:left="993"/>
        <w:contextualSpacing w:val="0"/>
      </w:pPr>
      <w:r>
        <w:t>attīstīt un aktīvāk veicināt proteīna potenciālu Eiropas Savienībā;</w:t>
      </w:r>
    </w:p>
    <w:p w14:paraId="14BAF624" w14:textId="77777777" w:rsidR="005D55F5" w:rsidRPr="009B10AC" w:rsidRDefault="005D55F5" w:rsidP="006F6E46">
      <w:pPr>
        <w:pStyle w:val="ListParagraph"/>
        <w:widowControl w:val="0"/>
        <w:numPr>
          <w:ilvl w:val="3"/>
          <w:numId w:val="24"/>
        </w:numPr>
        <w:ind w:left="993"/>
        <w:contextualSpacing w:val="0"/>
      </w:pPr>
      <w:r>
        <w:t>stiprināt augu izcelsmes proteīnu ilgtspējīgu vietējo ražošanu;</w:t>
      </w:r>
    </w:p>
    <w:p w14:paraId="638178A6" w14:textId="77777777" w:rsidR="005D55F5" w:rsidRPr="009B10AC" w:rsidRDefault="005D55F5" w:rsidP="006F6E46">
      <w:pPr>
        <w:pStyle w:val="ListParagraph"/>
        <w:widowControl w:val="0"/>
        <w:numPr>
          <w:ilvl w:val="3"/>
          <w:numId w:val="24"/>
        </w:numPr>
        <w:ind w:left="993"/>
        <w:contextualSpacing w:val="0"/>
      </w:pPr>
      <w:r>
        <w:t>attīstīt un paplašināt reģionālās vērtības ķēdes un reģionālo pārstrādes jaudu;</w:t>
      </w:r>
    </w:p>
    <w:p w14:paraId="78FE73A2" w14:textId="77777777" w:rsidR="005D55F5" w:rsidRPr="009B10AC" w:rsidRDefault="005D55F5" w:rsidP="006F6E46">
      <w:pPr>
        <w:pStyle w:val="ListParagraph"/>
        <w:widowControl w:val="0"/>
        <w:numPr>
          <w:ilvl w:val="3"/>
          <w:numId w:val="24"/>
        </w:numPr>
        <w:ind w:left="993"/>
        <w:contextualSpacing w:val="0"/>
      </w:pPr>
      <w:r>
        <w:t>pastāvīgi sadarboties ar iestādēm un lauksaimniecības organizācijām;</w:t>
      </w:r>
    </w:p>
    <w:p w14:paraId="54A70D4E" w14:textId="77777777" w:rsidR="005D55F5" w:rsidRPr="009B10AC" w:rsidRDefault="005D55F5" w:rsidP="006F6E46">
      <w:pPr>
        <w:pStyle w:val="ListParagraph"/>
        <w:widowControl w:val="0"/>
        <w:numPr>
          <w:ilvl w:val="3"/>
          <w:numId w:val="24"/>
        </w:numPr>
        <w:ind w:left="993"/>
        <w:contextualSpacing w:val="0"/>
      </w:pPr>
      <w:r>
        <w:t xml:space="preserve">vēl vairāk palielināt kultūraugu potenciālu, uzlabojot un paplašinot selekcijas stratēģijas; </w:t>
      </w:r>
    </w:p>
    <w:p w14:paraId="27B64221" w14:textId="77777777" w:rsidR="005D55F5" w:rsidRPr="009B10AC" w:rsidRDefault="005D55F5" w:rsidP="006F6E46">
      <w:pPr>
        <w:pStyle w:val="ListParagraph"/>
        <w:widowControl w:val="0"/>
        <w:numPr>
          <w:ilvl w:val="3"/>
          <w:numId w:val="24"/>
        </w:numPr>
        <w:ind w:left="993"/>
        <w:contextualSpacing w:val="0"/>
      </w:pPr>
      <w:r>
        <w:t xml:space="preserve">paplašināt izglītības un konsultāciju pakalpojumus un zināšanu pārnesi; </w:t>
      </w:r>
    </w:p>
    <w:p w14:paraId="1613A8D5" w14:textId="77777777" w:rsidR="005D55F5" w:rsidRPr="009B10AC" w:rsidRDefault="005D55F5" w:rsidP="006F6E46">
      <w:pPr>
        <w:pStyle w:val="ListParagraph"/>
        <w:widowControl w:val="0"/>
        <w:numPr>
          <w:ilvl w:val="3"/>
          <w:numId w:val="24"/>
        </w:numPr>
        <w:ind w:left="993"/>
        <w:contextualSpacing w:val="0"/>
      </w:pPr>
      <w:r>
        <w:t>atļaut un atvieglot proteīnaugu audzēšanu ekoloģiski nozīmīgās platībās;</w:t>
      </w:r>
    </w:p>
    <w:p w14:paraId="0B40B9BD" w14:textId="6D7DD75D" w:rsidR="005D55F5" w:rsidRPr="009B10AC" w:rsidRDefault="005D55F5" w:rsidP="006F6E46">
      <w:pPr>
        <w:pStyle w:val="ListParagraph"/>
        <w:widowControl w:val="0"/>
        <w:numPr>
          <w:ilvl w:val="3"/>
          <w:numId w:val="24"/>
        </w:numPr>
        <w:ind w:left="993"/>
        <w:contextualSpacing w:val="0"/>
      </w:pPr>
      <w:r>
        <w:lastRenderedPageBreak/>
        <w:t>ciešāk sasaistīt lopkopību ar reģionālo barības potenciālu;</w:t>
      </w:r>
    </w:p>
    <w:p w14:paraId="4D2250A4" w14:textId="77777777" w:rsidR="005D55F5" w:rsidRPr="009B10AC" w:rsidRDefault="005D55F5" w:rsidP="006F6E46">
      <w:pPr>
        <w:pStyle w:val="ListParagraph"/>
        <w:widowControl w:val="0"/>
        <w:numPr>
          <w:ilvl w:val="3"/>
          <w:numId w:val="24"/>
        </w:numPr>
        <w:ind w:left="993"/>
        <w:contextualSpacing w:val="0"/>
      </w:pPr>
      <w:r>
        <w:t xml:space="preserve">konsekventi ievērot pašreizējās emisiju radītā piesārņojuma robežvērtības; internalizēt ārējās izmaksas; </w:t>
      </w:r>
    </w:p>
    <w:p w14:paraId="387C7A45" w14:textId="77777777" w:rsidR="005D55F5" w:rsidRPr="009B10AC" w:rsidRDefault="005D55F5" w:rsidP="006F6E46">
      <w:pPr>
        <w:pStyle w:val="ListParagraph"/>
        <w:widowControl w:val="0"/>
        <w:numPr>
          <w:ilvl w:val="3"/>
          <w:numId w:val="24"/>
        </w:numPr>
        <w:ind w:left="993"/>
        <w:contextualSpacing w:val="0"/>
      </w:pPr>
      <w:r>
        <w:t>veicināt dzīvniekiem īpaši draudzīgu labturības praksi, izmantojot patērētāju informēšanu un produktu marķēšanu;</w:t>
      </w:r>
    </w:p>
    <w:p w14:paraId="7621105E" w14:textId="77777777" w:rsidR="005D55F5" w:rsidRDefault="005D55F5" w:rsidP="006F6E46">
      <w:pPr>
        <w:pStyle w:val="ListParagraph"/>
        <w:widowControl w:val="0"/>
        <w:numPr>
          <w:ilvl w:val="3"/>
          <w:numId w:val="24"/>
        </w:numPr>
        <w:ind w:left="993"/>
        <w:contextualSpacing w:val="0"/>
      </w:pPr>
      <w:r>
        <w:t>noteikt standartus tādu produktu importam, kas konkurē ar Eiropas Savienībā ražotajiem;</w:t>
      </w:r>
    </w:p>
    <w:p w14:paraId="338EA745" w14:textId="10E9CA77" w:rsidR="00CA685D" w:rsidRDefault="005D55F5" w:rsidP="006F6E46">
      <w:pPr>
        <w:pStyle w:val="ListParagraph"/>
        <w:widowControl w:val="0"/>
        <w:numPr>
          <w:ilvl w:val="3"/>
          <w:numId w:val="24"/>
        </w:numPr>
        <w:ind w:left="993"/>
        <w:contextualSpacing w:val="0"/>
      </w:pPr>
      <w:r>
        <w:t>rīkot papildu informācijas kampaņu par dažādu ēšanas paradumu ietekmi uz vidi un veselību.</w:t>
      </w:r>
    </w:p>
    <w:p w14:paraId="7408EE4D" w14:textId="77777777" w:rsidR="005D55F5" w:rsidRPr="009B70E7" w:rsidRDefault="005D55F5" w:rsidP="005D55F5">
      <w:pPr>
        <w:widowControl w:val="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4331B4" w:rsidRPr="009B70E7" w14:paraId="587E7E08" w14:textId="77777777" w:rsidTr="00BC41D9">
        <w:tc>
          <w:tcPr>
            <w:tcW w:w="1418" w:type="dxa"/>
          </w:tcPr>
          <w:p w14:paraId="02B3DBE9" w14:textId="77777777" w:rsidR="004331B4" w:rsidRPr="009B70E7" w:rsidRDefault="004331B4" w:rsidP="00BC41D9">
            <w:pPr>
              <w:pStyle w:val="ListParagraph"/>
              <w:ind w:left="0"/>
              <w:rPr>
                <w:i/>
              </w:rPr>
            </w:pPr>
            <w:r>
              <w:rPr>
                <w:b/>
                <w:i/>
              </w:rPr>
              <w:t>Kontaktpersona:</w:t>
            </w:r>
          </w:p>
        </w:tc>
        <w:tc>
          <w:tcPr>
            <w:tcW w:w="5670" w:type="dxa"/>
          </w:tcPr>
          <w:p w14:paraId="490824F4" w14:textId="651B3C9A" w:rsidR="004331B4" w:rsidRPr="009B70E7" w:rsidRDefault="005D55F5" w:rsidP="00BC41D9">
            <w:pPr>
              <w:pStyle w:val="ListParagraph"/>
              <w:ind w:left="0"/>
              <w:rPr>
                <w:i/>
              </w:rPr>
            </w:pPr>
            <w:r>
              <w:rPr>
                <w:i/>
              </w:rPr>
              <w:t>Martine Delanoy</w:t>
            </w:r>
          </w:p>
        </w:tc>
      </w:tr>
      <w:tr w:rsidR="004331B4" w:rsidRPr="009B70E7" w14:paraId="117DE739" w14:textId="77777777" w:rsidTr="00BC41D9">
        <w:tc>
          <w:tcPr>
            <w:tcW w:w="1418" w:type="dxa"/>
          </w:tcPr>
          <w:p w14:paraId="07B5DE23" w14:textId="77777777" w:rsidR="004331B4" w:rsidRPr="009B70E7" w:rsidRDefault="004331B4" w:rsidP="00BC41D9">
            <w:pPr>
              <w:pStyle w:val="ListParagraph"/>
              <w:ind w:left="601"/>
              <w:rPr>
                <w:i/>
              </w:rPr>
            </w:pPr>
            <w:r>
              <w:rPr>
                <w:i/>
              </w:rPr>
              <w:t>Tālr.:</w:t>
            </w:r>
          </w:p>
        </w:tc>
        <w:tc>
          <w:tcPr>
            <w:tcW w:w="5670" w:type="dxa"/>
          </w:tcPr>
          <w:p w14:paraId="6717A766" w14:textId="64309938" w:rsidR="004331B4" w:rsidRPr="009B70E7" w:rsidRDefault="00E54548" w:rsidP="00BC41D9">
            <w:pPr>
              <w:pStyle w:val="ListParagraph"/>
              <w:ind w:left="0"/>
              <w:rPr>
                <w:i/>
              </w:rPr>
            </w:pPr>
            <w:r>
              <w:rPr>
                <w:i/>
              </w:rPr>
              <w:t>00 32 2 546 98 02</w:t>
            </w:r>
          </w:p>
        </w:tc>
      </w:tr>
      <w:tr w:rsidR="004331B4" w:rsidRPr="009B70E7" w14:paraId="6D5CE45F" w14:textId="77777777" w:rsidTr="00BC41D9">
        <w:tc>
          <w:tcPr>
            <w:tcW w:w="1418" w:type="dxa"/>
          </w:tcPr>
          <w:p w14:paraId="261C3027" w14:textId="77777777" w:rsidR="004331B4" w:rsidRPr="009B70E7" w:rsidRDefault="004331B4" w:rsidP="00BC41D9">
            <w:pPr>
              <w:pStyle w:val="ListParagraph"/>
              <w:ind w:left="601"/>
              <w:rPr>
                <w:i/>
              </w:rPr>
            </w:pPr>
            <w:r>
              <w:rPr>
                <w:i/>
              </w:rPr>
              <w:t>E-pasts:</w:t>
            </w:r>
          </w:p>
        </w:tc>
        <w:tc>
          <w:tcPr>
            <w:tcW w:w="5670" w:type="dxa"/>
          </w:tcPr>
          <w:p w14:paraId="40FE0D9C" w14:textId="76F9E06D" w:rsidR="00CA685D" w:rsidRPr="005D55F5" w:rsidRDefault="000062DB" w:rsidP="00BC41D9">
            <w:pPr>
              <w:pStyle w:val="ListParagraph"/>
              <w:ind w:left="0"/>
              <w:rPr>
                <w:i/>
                <w:iCs/>
              </w:rPr>
            </w:pPr>
            <w:hyperlink r:id="rId45" w:history="1">
              <w:r w:rsidR="007B42E2">
                <w:rPr>
                  <w:rStyle w:val="Hyperlink"/>
                  <w:i/>
                </w:rPr>
                <w:t>Martine.Delanoy@eesc.europa.eu</w:t>
              </w:r>
            </w:hyperlink>
          </w:p>
        </w:tc>
      </w:tr>
      <w:bookmarkEnd w:id="41"/>
    </w:tbl>
    <w:p w14:paraId="240CD9AB" w14:textId="77777777" w:rsidR="000062DB" w:rsidRPr="000062DB" w:rsidRDefault="000062DB" w:rsidP="000062DB">
      <w:pPr>
        <w:pStyle w:val="ListParagraph"/>
        <w:ind w:left="0"/>
      </w:pPr>
    </w:p>
    <w:p w14:paraId="55FE0C33" w14:textId="4BAC1776" w:rsidR="00E54548" w:rsidRPr="009B70E7" w:rsidRDefault="005D55F5" w:rsidP="00576060">
      <w:pPr>
        <w:pStyle w:val="ListParagraph"/>
        <w:numPr>
          <w:ilvl w:val="0"/>
          <w:numId w:val="2"/>
        </w:numPr>
        <w:ind w:left="0" w:hanging="567"/>
      </w:pPr>
      <w:r>
        <w:rPr>
          <w:b/>
          <w:i/>
          <w:sz w:val="28"/>
        </w:rPr>
        <w:t>Ceļā uz ilgtspējīgas pārtikas marķējuma sistēmu, kas patērētājiem dotu iespēju izvēlēties ilgtspējīgu pārtiku</w:t>
      </w: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71"/>
        <w:gridCol w:w="1265"/>
      </w:tblGrid>
      <w:tr w:rsidR="00E54548" w:rsidRPr="007E7A4F" w14:paraId="6F341EA6" w14:textId="77777777" w:rsidTr="00576060">
        <w:tc>
          <w:tcPr>
            <w:tcW w:w="9737" w:type="dxa"/>
            <w:gridSpan w:val="3"/>
          </w:tcPr>
          <w:p w14:paraId="03D721B0" w14:textId="77777777" w:rsidR="00E54548" w:rsidRPr="007E7A4F" w:rsidRDefault="00E54548" w:rsidP="008B66DD">
            <w:pPr>
              <w:pStyle w:val="ListParagraph"/>
              <w:ind w:left="0"/>
              <w:rPr>
                <w:lang w:val="fr-BE"/>
              </w:rPr>
            </w:pPr>
          </w:p>
        </w:tc>
      </w:tr>
      <w:tr w:rsidR="000C18CA" w:rsidRPr="009B70E7" w14:paraId="4E01B598" w14:textId="77777777" w:rsidTr="00576060">
        <w:trPr>
          <w:gridAfter w:val="1"/>
          <w:wAfter w:w="1265" w:type="dxa"/>
        </w:trPr>
        <w:tc>
          <w:tcPr>
            <w:tcW w:w="1701" w:type="dxa"/>
          </w:tcPr>
          <w:p w14:paraId="3EE6EB4F" w14:textId="77777777" w:rsidR="000C18CA" w:rsidRPr="009B70E7" w:rsidRDefault="000C18CA" w:rsidP="00576060">
            <w:pPr>
              <w:pStyle w:val="ListParagraph"/>
              <w:keepNext/>
              <w:ind w:left="0"/>
              <w:rPr>
                <w:b/>
              </w:rPr>
            </w:pPr>
            <w:r>
              <w:rPr>
                <w:b/>
              </w:rPr>
              <w:t>Ziņotājs:</w:t>
            </w:r>
          </w:p>
        </w:tc>
        <w:tc>
          <w:tcPr>
            <w:tcW w:w="6771" w:type="dxa"/>
          </w:tcPr>
          <w:p w14:paraId="3B0EEFBE" w14:textId="32C70C5D" w:rsidR="000C18CA" w:rsidRDefault="005D55F5" w:rsidP="00576060">
            <w:pPr>
              <w:pStyle w:val="ListParagraph"/>
              <w:keepNext/>
              <w:ind w:left="-106"/>
            </w:pPr>
            <w:r>
              <w:t>Andreas THURNER (Pilsoniskās sabiedrības organizāciju grupa – DE)</w:t>
            </w:r>
          </w:p>
          <w:p w14:paraId="3BDDFB62" w14:textId="58B88D3B" w:rsidR="006A1317" w:rsidRPr="009B70E7" w:rsidRDefault="006A1317" w:rsidP="00576060">
            <w:pPr>
              <w:pStyle w:val="ListParagraph"/>
              <w:keepNext/>
              <w:ind w:left="-106"/>
            </w:pPr>
          </w:p>
        </w:tc>
      </w:tr>
      <w:tr w:rsidR="00E54548" w:rsidRPr="009B70E7" w14:paraId="7A103358" w14:textId="77777777" w:rsidTr="00576060">
        <w:tc>
          <w:tcPr>
            <w:tcW w:w="1701" w:type="dxa"/>
          </w:tcPr>
          <w:p w14:paraId="3D88AB9C" w14:textId="05C2C189" w:rsidR="00E54548" w:rsidRPr="009B70E7" w:rsidRDefault="00B80604" w:rsidP="008B66DD">
            <w:pPr>
              <w:pStyle w:val="ListParagraph"/>
              <w:ind w:left="0"/>
              <w:rPr>
                <w:b/>
              </w:rPr>
            </w:pPr>
            <w:r>
              <w:rPr>
                <w:b/>
              </w:rPr>
              <w:t>Atsauce:</w:t>
            </w:r>
            <w:r w:rsidR="00E54548">
              <w:rPr>
                <w:b/>
              </w:rPr>
              <w:t xml:space="preserve"> </w:t>
            </w:r>
          </w:p>
        </w:tc>
        <w:tc>
          <w:tcPr>
            <w:tcW w:w="8036" w:type="dxa"/>
            <w:gridSpan w:val="2"/>
          </w:tcPr>
          <w:p w14:paraId="3F2C4954" w14:textId="256F2E4C" w:rsidR="00E54548" w:rsidRPr="009B70E7" w:rsidRDefault="005D55F5" w:rsidP="008B66DD">
            <w:pPr>
              <w:tabs>
                <w:tab w:val="center" w:pos="284"/>
              </w:tabs>
              <w:ind w:left="266" w:hanging="374"/>
            </w:pPr>
            <w:r>
              <w:t>Pašiniciatīvas atzinums</w:t>
            </w:r>
          </w:p>
          <w:p w14:paraId="2105E433" w14:textId="6A8812D6" w:rsidR="00E54548" w:rsidRPr="009B70E7" w:rsidRDefault="00E54548" w:rsidP="008B66DD">
            <w:pPr>
              <w:pStyle w:val="ListParagraph"/>
              <w:ind w:left="-108"/>
            </w:pPr>
            <w:r>
              <w:t>EESC-2022-00878-00-00-AC</w:t>
            </w:r>
          </w:p>
        </w:tc>
      </w:tr>
    </w:tbl>
    <w:p w14:paraId="5A8EA75C" w14:textId="77777777" w:rsidR="00E54548" w:rsidRPr="009B70E7" w:rsidRDefault="00E54548" w:rsidP="00E54548">
      <w:pPr>
        <w:pStyle w:val="ListParagraph"/>
        <w:ind w:left="0"/>
        <w:rPr>
          <w:b/>
        </w:rPr>
      </w:pPr>
    </w:p>
    <w:p w14:paraId="2DB75FF2" w14:textId="5E95D69C" w:rsidR="00E54548" w:rsidRPr="0018231C" w:rsidRDefault="00E54548" w:rsidP="00A00F37">
      <w:pPr>
        <w:pStyle w:val="ListParagraph"/>
        <w:spacing w:line="240" w:lineRule="auto"/>
        <w:ind w:left="0" w:firstLine="142"/>
        <w:rPr>
          <w:b/>
        </w:rPr>
      </w:pPr>
      <w:r>
        <w:rPr>
          <w:b/>
          <w:bCs/>
        </w:rPr>
        <w:t>Svarīgākie aspekti</w:t>
      </w:r>
    </w:p>
    <w:p w14:paraId="6EE8937D" w14:textId="77777777" w:rsidR="00E54548" w:rsidRPr="0018231C" w:rsidRDefault="00E54548" w:rsidP="00E54548">
      <w:pPr>
        <w:pStyle w:val="ListParagraph"/>
        <w:ind w:left="0"/>
        <w:rPr>
          <w:lang w:val="fr-FR"/>
        </w:rPr>
      </w:pPr>
    </w:p>
    <w:p w14:paraId="6B6F14AC" w14:textId="77777777" w:rsidR="00E54548" w:rsidRPr="00A00F37" w:rsidRDefault="00E54548" w:rsidP="00A00F37">
      <w:pPr>
        <w:pStyle w:val="ListParagraph"/>
        <w:spacing w:line="240" w:lineRule="auto"/>
        <w:ind w:left="0" w:firstLine="142"/>
        <w:rPr>
          <w:bCs/>
        </w:rPr>
      </w:pPr>
      <w:r>
        <w:t>EESK:</w:t>
      </w:r>
    </w:p>
    <w:p w14:paraId="1F790AD7" w14:textId="77777777" w:rsidR="00E54548" w:rsidRPr="0018231C" w:rsidRDefault="00E54548" w:rsidP="00E54548">
      <w:pPr>
        <w:pStyle w:val="ListParagraph"/>
        <w:ind w:left="0"/>
        <w:rPr>
          <w:lang w:val="fr-FR"/>
        </w:rPr>
      </w:pPr>
    </w:p>
    <w:p w14:paraId="2EA194B7" w14:textId="4BA98ECB" w:rsidR="00E54548" w:rsidRPr="00A3344B" w:rsidRDefault="005D55F5" w:rsidP="00E54548">
      <w:pPr>
        <w:numPr>
          <w:ilvl w:val="0"/>
          <w:numId w:val="3"/>
        </w:numPr>
        <w:overflowPunct w:val="0"/>
        <w:autoSpaceDE w:val="0"/>
        <w:autoSpaceDN w:val="0"/>
        <w:adjustRightInd w:val="0"/>
        <w:ind w:left="357" w:hanging="357"/>
        <w:textAlignment w:val="baseline"/>
      </w:pPr>
      <w:r>
        <w:rPr>
          <w:b/>
        </w:rPr>
        <w:t xml:space="preserve">atzinīgi vērtē </w:t>
      </w:r>
      <w:r>
        <w:t>Eiropas Komisijas iniciatīvu izveidot tiesisku regulējumu ilgtspējīgas pārtikas sistēmām, tostarp noteikumus par ilgtspējīgas pārtikas marķējumu. Ir skaidrs, ka ir vajadzīgs regulējums un noteikts standartizācijas un saskaņotības līmenis, lai nodrošinātu uzticamību un vienlīdzīgus konkurences apstākļus;</w:t>
      </w:r>
    </w:p>
    <w:p w14:paraId="07D2FB57" w14:textId="7BB3581F" w:rsidR="00E54548" w:rsidRPr="00A3344B" w:rsidRDefault="005D55F5" w:rsidP="00E54548">
      <w:pPr>
        <w:numPr>
          <w:ilvl w:val="0"/>
          <w:numId w:val="3"/>
        </w:numPr>
        <w:overflowPunct w:val="0"/>
        <w:autoSpaceDE w:val="0"/>
        <w:autoSpaceDN w:val="0"/>
        <w:adjustRightInd w:val="0"/>
        <w:ind w:left="357" w:hanging="357"/>
        <w:textAlignment w:val="baseline"/>
      </w:pPr>
      <w:r>
        <w:rPr>
          <w:b/>
        </w:rPr>
        <w:t>uzsver</w:t>
      </w:r>
      <w:r>
        <w:t>, ka ilgtspēja ir daudzdimensionāls jēdziens, kurā vienmēr būtu vienlīdz jāņem vērā ekonomiskā, vides un sociālā dimensija;</w:t>
      </w:r>
    </w:p>
    <w:p w14:paraId="4400E2D4" w14:textId="3ACB429E" w:rsidR="00E54548" w:rsidRPr="00A3344B" w:rsidRDefault="005D55F5" w:rsidP="00E54548">
      <w:pPr>
        <w:numPr>
          <w:ilvl w:val="0"/>
          <w:numId w:val="3"/>
        </w:numPr>
        <w:overflowPunct w:val="0"/>
        <w:autoSpaceDE w:val="0"/>
        <w:autoSpaceDN w:val="0"/>
        <w:adjustRightInd w:val="0"/>
        <w:ind w:left="357" w:hanging="357"/>
        <w:textAlignment w:val="baseline"/>
      </w:pPr>
      <w:r>
        <w:rPr>
          <w:b/>
        </w:rPr>
        <w:t>norāda</w:t>
      </w:r>
      <w:r>
        <w:t>, ka cilvēku ēšanas paradumi ir ļoti atšķirīgi, atkarīgi no dažādiem faktoriem un ļoti noturīgi. Tāpēc ar ilgtspējas marķējuma sistēmu saistītajām cerībām jau no paša sākuma ir jābūt reālistiskām. Tomēr vērojama vispārēja interese par pāreju uz ilgtspējīgākiem patēriņa modeļiem;</w:t>
      </w:r>
    </w:p>
    <w:p w14:paraId="428C54E7" w14:textId="53D2DDC7" w:rsidR="00E54548" w:rsidRDefault="005D55F5" w:rsidP="00E54548">
      <w:pPr>
        <w:numPr>
          <w:ilvl w:val="0"/>
          <w:numId w:val="3"/>
        </w:numPr>
        <w:overflowPunct w:val="0"/>
        <w:autoSpaceDE w:val="0"/>
        <w:autoSpaceDN w:val="0"/>
        <w:adjustRightInd w:val="0"/>
        <w:ind w:left="357" w:hanging="357"/>
        <w:textAlignment w:val="baseline"/>
      </w:pPr>
      <w:r>
        <w:t xml:space="preserve">tādēļ </w:t>
      </w:r>
      <w:r>
        <w:rPr>
          <w:b/>
        </w:rPr>
        <w:t>iesaka</w:t>
      </w:r>
      <w:r>
        <w:t xml:space="preserve"> izveidot pārtikas ilgtspējas marķējuma sistēmu, kas būtu pārredzama, balstīta uz zinātni un pēc iespējas vienkārša un pragmatiska un kas gan palīdzētu ekonomikas dalībniekiem novērtēt un paaugstināt produktu ilgtspēju, gan sniegtu patērētājiem noderīgu informāciju, lai viņi varētu izdarīt apzinātu izvēli;</w:t>
      </w:r>
    </w:p>
    <w:p w14:paraId="0DC28D76" w14:textId="5B7A890C" w:rsidR="00C44A5C" w:rsidRDefault="005D55F5" w:rsidP="006A1317">
      <w:pPr>
        <w:numPr>
          <w:ilvl w:val="0"/>
          <w:numId w:val="3"/>
        </w:numPr>
        <w:overflowPunct w:val="0"/>
        <w:autoSpaceDE w:val="0"/>
        <w:autoSpaceDN w:val="0"/>
        <w:adjustRightInd w:val="0"/>
        <w:ind w:left="357" w:hanging="357"/>
        <w:textAlignment w:val="baseline"/>
      </w:pPr>
      <w:r>
        <w:t xml:space="preserve">vieglas un pragmatiskas pieejas labad </w:t>
      </w:r>
      <w:r>
        <w:rPr>
          <w:b/>
        </w:rPr>
        <w:t>ierosina</w:t>
      </w:r>
      <w:r>
        <w:t xml:space="preserve"> iztikt arī ar pilnībā definētas un vērtējamas ilgtspējas elementiem, piemēram, dzīvnieku labturības, sociālajiem vai vidiskajiem kritērijiem. Tomēr šajā gadījumā nevajadzētu lietot terminu “ilgtspējīgs”, jo tas būtu jāizmanto tikai visaptverošā novērtējuma pieejā;</w:t>
      </w:r>
    </w:p>
    <w:p w14:paraId="06E87937" w14:textId="7BC919CA" w:rsidR="005D55F5" w:rsidRDefault="005D55F5" w:rsidP="006A1317">
      <w:pPr>
        <w:numPr>
          <w:ilvl w:val="0"/>
          <w:numId w:val="3"/>
        </w:numPr>
        <w:overflowPunct w:val="0"/>
        <w:autoSpaceDE w:val="0"/>
        <w:autoSpaceDN w:val="0"/>
        <w:adjustRightInd w:val="0"/>
        <w:ind w:left="357" w:hanging="357"/>
        <w:textAlignment w:val="baseline"/>
      </w:pPr>
      <w:r>
        <w:rPr>
          <w:b/>
        </w:rPr>
        <w:t xml:space="preserve">pirmām kārtām atbalsta </w:t>
      </w:r>
      <w:r>
        <w:t>brīvprātīgu pieeju, kurā tās piemērošanas gadījumā tomēr būtu paredzēti daži obligāti nosacījumi. Tāpēc būtu jāaizliedz tāds ilgtspējas marķējums vai ilgtspējas norādes, kuru pamatā nebūtu šādi nosacījumi;</w:t>
      </w:r>
    </w:p>
    <w:p w14:paraId="6CEF6140" w14:textId="0DC99FAA" w:rsidR="005D55F5" w:rsidRDefault="005D55F5" w:rsidP="006A1317">
      <w:pPr>
        <w:numPr>
          <w:ilvl w:val="0"/>
          <w:numId w:val="3"/>
        </w:numPr>
        <w:overflowPunct w:val="0"/>
        <w:autoSpaceDE w:val="0"/>
        <w:autoSpaceDN w:val="0"/>
        <w:adjustRightInd w:val="0"/>
        <w:ind w:left="357" w:hanging="357"/>
        <w:textAlignment w:val="baseline"/>
      </w:pPr>
      <w:r>
        <w:rPr>
          <w:b/>
        </w:rPr>
        <w:t>uzskata</w:t>
      </w:r>
      <w:r>
        <w:t>, ka marķējuma sistēmas, kurās izmanto novērtējuma skalu (piemēram, luksofora sistēma), var palīdzēt patērētājiem izdarīt informācijā balstītu izvēli. Vienlaikus šāda novērtēšanas sistēma var arī veicināt līderību ilgtspējas jomā un mudināt uzņēmumus uzlabot procesus visā pārtikas ķēdē;</w:t>
      </w:r>
    </w:p>
    <w:p w14:paraId="0AFEE8F8" w14:textId="5E386F32" w:rsidR="005D55F5" w:rsidRDefault="005D55F5" w:rsidP="006A1317">
      <w:pPr>
        <w:numPr>
          <w:ilvl w:val="0"/>
          <w:numId w:val="3"/>
        </w:numPr>
        <w:overflowPunct w:val="0"/>
        <w:autoSpaceDE w:val="0"/>
        <w:autoSpaceDN w:val="0"/>
        <w:adjustRightInd w:val="0"/>
        <w:ind w:left="357" w:hanging="357"/>
        <w:textAlignment w:val="baseline"/>
      </w:pPr>
      <w:r>
        <w:rPr>
          <w:b/>
        </w:rPr>
        <w:lastRenderedPageBreak/>
        <w:t>norāda</w:t>
      </w:r>
      <w:r>
        <w:t>, ka mērogošanas modelī izšķiroša nozīme ir novērtējuma algoritmiem. Tiem ir jābūt zinātniski pamatotiem un tādiem, kas ir piemērotā veidā pārredzami patērētājiem;</w:t>
      </w:r>
    </w:p>
    <w:p w14:paraId="778651B7" w14:textId="41D5EE9C" w:rsidR="00576060" w:rsidRDefault="005D55F5" w:rsidP="00576060">
      <w:pPr>
        <w:numPr>
          <w:ilvl w:val="0"/>
          <w:numId w:val="3"/>
        </w:numPr>
        <w:overflowPunct w:val="0"/>
        <w:autoSpaceDE w:val="0"/>
        <w:autoSpaceDN w:val="0"/>
        <w:adjustRightInd w:val="0"/>
        <w:ind w:left="357" w:hanging="357"/>
        <w:textAlignment w:val="baseline"/>
      </w:pPr>
      <w:r w:rsidRPr="00576060">
        <w:rPr>
          <w:b/>
        </w:rPr>
        <w:t>uzskata</w:t>
      </w:r>
      <w:r>
        <w:t>, ka pašreizējās ES kvalitātes shēmās, piemēram, bioloģiskajā lauksaimniecībā un ģeogrāfiskās izcelsmes norādēs, jau ir iekļauti elementi, kas pārtikas sistēmā veicina lielāku ilgtspēju. Tas būtu attiecīgi jāatzīst. EESK arī iesaka veikt ilgtspējas pārbaudi attiecībā uz spēkā esošajiem noteikumiem un vajadzības gadījumā tos papildināt ar atbilstīgiem ilgtspējas nosacījumiem;</w:t>
      </w:r>
    </w:p>
    <w:p w14:paraId="7BB9A561" w14:textId="073DE39B" w:rsidR="005D55F5" w:rsidRDefault="005D55F5" w:rsidP="005D55F5">
      <w:pPr>
        <w:numPr>
          <w:ilvl w:val="0"/>
          <w:numId w:val="3"/>
        </w:numPr>
        <w:overflowPunct w:val="0"/>
        <w:autoSpaceDE w:val="0"/>
        <w:autoSpaceDN w:val="0"/>
        <w:adjustRightInd w:val="0"/>
        <w:ind w:left="357" w:hanging="357"/>
        <w:textAlignment w:val="baseline"/>
      </w:pPr>
      <w:r>
        <w:rPr>
          <w:b/>
        </w:rPr>
        <w:t>uzsver</w:t>
      </w:r>
      <w:r>
        <w:t>, ka izšķiroša nozīme ir izglītībai, kas sniedz pamatizpratni par ilgtspējas aspektiem, kuri saistīti ar pārtiku. Pāreju uz ilgtspējīgākām pārtikas sistēmām var veicināt arī izpratnes vairošanas kampaņas un atbilstīgi pasākumi, ar ko atbalsta ilgtspējīgu pārtikas produktu cenu pieejamību.</w:t>
      </w:r>
    </w:p>
    <w:p w14:paraId="34228F74" w14:textId="77777777" w:rsidR="00E54548" w:rsidRPr="007E7A4F" w:rsidRDefault="00E54548" w:rsidP="00E54548">
      <w:pPr>
        <w:widowControl w:val="0"/>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E54548" w:rsidRPr="00164813" w14:paraId="25A3FF7E" w14:textId="77777777" w:rsidTr="008B66DD">
        <w:tc>
          <w:tcPr>
            <w:tcW w:w="1418" w:type="dxa"/>
          </w:tcPr>
          <w:p w14:paraId="1C0A7F50" w14:textId="77777777" w:rsidR="00E54548" w:rsidRPr="00164813" w:rsidRDefault="00E54548" w:rsidP="008B66DD">
            <w:pPr>
              <w:contextualSpacing/>
              <w:rPr>
                <w:i/>
              </w:rPr>
            </w:pPr>
            <w:r>
              <w:rPr>
                <w:b/>
                <w:i/>
              </w:rPr>
              <w:t>Kontaktpersona:</w:t>
            </w:r>
          </w:p>
        </w:tc>
        <w:tc>
          <w:tcPr>
            <w:tcW w:w="5670" w:type="dxa"/>
          </w:tcPr>
          <w:p w14:paraId="59C2EA51" w14:textId="265C3C0A" w:rsidR="00E54548" w:rsidRPr="00164813" w:rsidRDefault="005D55F5" w:rsidP="008B66DD">
            <w:pPr>
              <w:contextualSpacing/>
              <w:rPr>
                <w:i/>
              </w:rPr>
            </w:pPr>
            <w:r>
              <w:rPr>
                <w:i/>
              </w:rPr>
              <w:t>Monica Guarinoni</w:t>
            </w:r>
          </w:p>
        </w:tc>
      </w:tr>
      <w:tr w:rsidR="00E54548" w:rsidRPr="00164813" w14:paraId="50BF4889" w14:textId="77777777" w:rsidTr="008B66DD">
        <w:tc>
          <w:tcPr>
            <w:tcW w:w="1418" w:type="dxa"/>
          </w:tcPr>
          <w:p w14:paraId="1F8D44FD" w14:textId="77777777" w:rsidR="00E54548" w:rsidRPr="00164813" w:rsidRDefault="00E54548" w:rsidP="008B66DD">
            <w:pPr>
              <w:ind w:left="601"/>
              <w:contextualSpacing/>
              <w:rPr>
                <w:i/>
              </w:rPr>
            </w:pPr>
            <w:r>
              <w:rPr>
                <w:i/>
              </w:rPr>
              <w:t>Tālr.:</w:t>
            </w:r>
          </w:p>
        </w:tc>
        <w:tc>
          <w:tcPr>
            <w:tcW w:w="5670" w:type="dxa"/>
          </w:tcPr>
          <w:p w14:paraId="099C6AF1" w14:textId="62CC5619" w:rsidR="00E54548" w:rsidRPr="00164813" w:rsidRDefault="00E54548" w:rsidP="008B66DD">
            <w:pPr>
              <w:contextualSpacing/>
              <w:rPr>
                <w:i/>
              </w:rPr>
            </w:pPr>
            <w:r>
              <w:rPr>
                <w:i/>
              </w:rPr>
              <w:t>00 32 2 546 81 27</w:t>
            </w:r>
          </w:p>
        </w:tc>
      </w:tr>
      <w:tr w:rsidR="00E54548" w:rsidRPr="00164813" w14:paraId="735920C0" w14:textId="77777777" w:rsidTr="008B66DD">
        <w:tc>
          <w:tcPr>
            <w:tcW w:w="1418" w:type="dxa"/>
          </w:tcPr>
          <w:p w14:paraId="554E9752" w14:textId="77777777" w:rsidR="00E54548" w:rsidRPr="00164813" w:rsidRDefault="00E54548" w:rsidP="008B66DD">
            <w:pPr>
              <w:ind w:left="601"/>
              <w:contextualSpacing/>
              <w:rPr>
                <w:i/>
              </w:rPr>
            </w:pPr>
            <w:r>
              <w:rPr>
                <w:i/>
              </w:rPr>
              <w:t>E-pasts:</w:t>
            </w:r>
          </w:p>
        </w:tc>
        <w:tc>
          <w:tcPr>
            <w:tcW w:w="5670" w:type="dxa"/>
          </w:tcPr>
          <w:p w14:paraId="430FFFAD" w14:textId="426FE01D" w:rsidR="00E54548" w:rsidRPr="005D55F5" w:rsidRDefault="000062DB" w:rsidP="008B66DD">
            <w:pPr>
              <w:contextualSpacing/>
              <w:rPr>
                <w:i/>
                <w:iCs/>
              </w:rPr>
            </w:pPr>
            <w:hyperlink r:id="rId46" w:history="1">
              <w:r w:rsidR="007B42E2">
                <w:rPr>
                  <w:rStyle w:val="Hyperlink"/>
                  <w:i/>
                </w:rPr>
                <w:t>Monica.Guarinoni@eesc.europa.eu</w:t>
              </w:r>
            </w:hyperlink>
          </w:p>
          <w:p w14:paraId="57D07659" w14:textId="77777777" w:rsidR="00E54548" w:rsidRPr="00164813" w:rsidRDefault="00E54548" w:rsidP="008B66DD">
            <w:pPr>
              <w:contextualSpacing/>
              <w:rPr>
                <w:i/>
              </w:rPr>
            </w:pPr>
          </w:p>
        </w:tc>
      </w:tr>
    </w:tbl>
    <w:p w14:paraId="3D4A5F95" w14:textId="178D72DA" w:rsidR="00F2127E" w:rsidRDefault="00F2127E" w:rsidP="0018231C">
      <w:pPr>
        <w:spacing w:after="160" w:line="240" w:lineRule="auto"/>
        <w:jc w:val="left"/>
        <w:rPr>
          <w:sz w:val="28"/>
          <w:szCs w:val="16"/>
        </w:rPr>
      </w:pPr>
    </w:p>
    <w:p w14:paraId="5D5EA24D" w14:textId="4BED5C8B" w:rsidR="005D55F5" w:rsidRPr="009B70E7" w:rsidRDefault="005D55F5" w:rsidP="005D55F5">
      <w:pPr>
        <w:pStyle w:val="ListParagraph"/>
        <w:keepNext/>
        <w:numPr>
          <w:ilvl w:val="0"/>
          <w:numId w:val="2"/>
        </w:numPr>
        <w:ind w:left="567" w:hanging="567"/>
        <w:rPr>
          <w:b/>
          <w:i/>
          <w:sz w:val="28"/>
          <w:szCs w:val="28"/>
        </w:rPr>
      </w:pPr>
      <w:r>
        <w:rPr>
          <w:b/>
          <w:i/>
          <w:sz w:val="28"/>
        </w:rPr>
        <w:t>Pāreja uz lauku saimniecību ilgtspējas datu tīklu</w:t>
      </w:r>
    </w:p>
    <w:p w14:paraId="12853D1A" w14:textId="77777777" w:rsidR="005D55F5" w:rsidRPr="009B70E7" w:rsidRDefault="005D55F5" w:rsidP="005D55F5">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5D55F5" w:rsidRPr="009B70E7" w14:paraId="6709C1CA" w14:textId="77777777" w:rsidTr="00576060">
        <w:tc>
          <w:tcPr>
            <w:tcW w:w="1701" w:type="dxa"/>
          </w:tcPr>
          <w:p w14:paraId="1C85D76E" w14:textId="77777777" w:rsidR="005D55F5" w:rsidRPr="009B70E7" w:rsidRDefault="005D55F5" w:rsidP="00576060">
            <w:pPr>
              <w:pStyle w:val="ListParagraph"/>
              <w:keepNext/>
              <w:ind w:left="0"/>
              <w:rPr>
                <w:b/>
              </w:rPr>
            </w:pPr>
            <w:r>
              <w:rPr>
                <w:b/>
              </w:rPr>
              <w:t>Ziņotājs:</w:t>
            </w:r>
          </w:p>
        </w:tc>
        <w:tc>
          <w:tcPr>
            <w:tcW w:w="5387" w:type="dxa"/>
          </w:tcPr>
          <w:p w14:paraId="55A6474A" w14:textId="7EA5FA4E" w:rsidR="005D55F5" w:rsidRPr="009B70E7" w:rsidRDefault="005D55F5" w:rsidP="00576060">
            <w:pPr>
              <w:pStyle w:val="ListParagraph"/>
              <w:keepNext/>
              <w:ind w:left="-106"/>
            </w:pPr>
            <w:r>
              <w:t>Florian MARIN (Darba ņēmēju grupa – RO)</w:t>
            </w:r>
          </w:p>
        </w:tc>
      </w:tr>
      <w:tr w:rsidR="005D55F5" w:rsidRPr="009B70E7" w14:paraId="64A6CEC9" w14:textId="77777777" w:rsidTr="00576060">
        <w:tc>
          <w:tcPr>
            <w:tcW w:w="1701" w:type="dxa"/>
          </w:tcPr>
          <w:p w14:paraId="7C5C4F66" w14:textId="77777777" w:rsidR="005D55F5" w:rsidRPr="007B231B" w:rsidRDefault="005D55F5" w:rsidP="00576060">
            <w:pPr>
              <w:pStyle w:val="ListParagraph"/>
              <w:keepNext/>
              <w:ind w:left="0"/>
              <w:rPr>
                <w:b/>
              </w:rPr>
            </w:pPr>
          </w:p>
        </w:tc>
        <w:tc>
          <w:tcPr>
            <w:tcW w:w="5387" w:type="dxa"/>
          </w:tcPr>
          <w:p w14:paraId="7C5F0745" w14:textId="77777777" w:rsidR="005D55F5" w:rsidRPr="00E54548" w:rsidRDefault="005D55F5" w:rsidP="00576060">
            <w:pPr>
              <w:pStyle w:val="ListParagraph"/>
              <w:keepNext/>
              <w:ind w:left="-106"/>
              <w:rPr>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5D55F5" w:rsidRPr="00032038" w14:paraId="1CB4200A" w14:textId="77777777" w:rsidTr="00576060">
        <w:tc>
          <w:tcPr>
            <w:tcW w:w="1701" w:type="dxa"/>
          </w:tcPr>
          <w:p w14:paraId="6E57E46F" w14:textId="06A71E4A" w:rsidR="005D55F5" w:rsidRPr="00032038" w:rsidRDefault="00B80604" w:rsidP="00576060">
            <w:pPr>
              <w:contextualSpacing/>
              <w:rPr>
                <w:b/>
              </w:rPr>
            </w:pPr>
            <w:r>
              <w:rPr>
                <w:b/>
              </w:rPr>
              <w:t>Atsauces:</w:t>
            </w:r>
            <w:r w:rsidR="005D55F5">
              <w:rPr>
                <w:b/>
              </w:rPr>
              <w:t xml:space="preserve"> </w:t>
            </w:r>
          </w:p>
        </w:tc>
        <w:tc>
          <w:tcPr>
            <w:tcW w:w="6379" w:type="dxa"/>
          </w:tcPr>
          <w:p w14:paraId="3CE37A59" w14:textId="25AE521D" w:rsidR="005D55F5" w:rsidRPr="00032038" w:rsidRDefault="005D55F5" w:rsidP="00576060">
            <w:pPr>
              <w:tabs>
                <w:tab w:val="center" w:pos="284"/>
              </w:tabs>
              <w:ind w:left="266" w:right="-534" w:hanging="374"/>
            </w:pPr>
            <w:r>
              <w:t>COM(2022) 296 final</w:t>
            </w:r>
          </w:p>
          <w:p w14:paraId="7DD98444" w14:textId="00AF9D92" w:rsidR="005D55F5" w:rsidRPr="00032038" w:rsidRDefault="005D55F5" w:rsidP="00576060">
            <w:pPr>
              <w:ind w:left="-108"/>
              <w:contextualSpacing/>
            </w:pPr>
            <w:r>
              <w:t>EESC-2022-03384-00-00-AC</w:t>
            </w:r>
          </w:p>
        </w:tc>
      </w:tr>
    </w:tbl>
    <w:p w14:paraId="453DD282" w14:textId="77777777" w:rsidR="005D55F5" w:rsidRPr="002C4B6E" w:rsidRDefault="005D55F5" w:rsidP="005D55F5">
      <w:pPr>
        <w:pStyle w:val="ListParagraph"/>
        <w:spacing w:line="240" w:lineRule="auto"/>
        <w:ind w:left="-142" w:firstLine="142"/>
        <w:rPr>
          <w:b/>
        </w:rPr>
      </w:pPr>
    </w:p>
    <w:p w14:paraId="6FC1ABE0" w14:textId="77777777" w:rsidR="005D55F5" w:rsidRPr="00A00F37" w:rsidRDefault="005D55F5" w:rsidP="005D55F5">
      <w:pPr>
        <w:pStyle w:val="ListParagraph"/>
        <w:spacing w:line="240" w:lineRule="auto"/>
        <w:ind w:left="0" w:firstLine="142"/>
        <w:rPr>
          <w:b/>
        </w:rPr>
      </w:pPr>
      <w:r>
        <w:rPr>
          <w:b/>
          <w:bCs/>
        </w:rPr>
        <w:t>Svarīgākie aspekti</w:t>
      </w:r>
    </w:p>
    <w:p w14:paraId="73EBAABB" w14:textId="77777777" w:rsidR="005D55F5" w:rsidRDefault="005D55F5" w:rsidP="005D55F5">
      <w:pPr>
        <w:pStyle w:val="ListParagraph"/>
        <w:keepNext/>
        <w:ind w:left="0"/>
      </w:pPr>
    </w:p>
    <w:p w14:paraId="3301B99A" w14:textId="77777777" w:rsidR="005D55F5" w:rsidRDefault="005D55F5" w:rsidP="00151492">
      <w:pPr>
        <w:pStyle w:val="ListParagraph"/>
        <w:ind w:left="0" w:firstLine="142"/>
      </w:pPr>
      <w:r>
        <w:t>EESK:</w:t>
      </w:r>
    </w:p>
    <w:p w14:paraId="643A118D" w14:textId="77777777" w:rsidR="005D55F5" w:rsidRDefault="005D55F5" w:rsidP="00151492">
      <w:pPr>
        <w:pStyle w:val="ListParagraph"/>
        <w:keepNext/>
        <w:ind w:left="0"/>
      </w:pPr>
    </w:p>
    <w:p w14:paraId="22C02870" w14:textId="44871E29" w:rsidR="005D55F5" w:rsidRDefault="005D55F5" w:rsidP="00151492">
      <w:pPr>
        <w:numPr>
          <w:ilvl w:val="0"/>
          <w:numId w:val="3"/>
        </w:numPr>
        <w:ind w:left="357" w:hanging="357"/>
        <w:contextualSpacing/>
      </w:pPr>
      <w:r>
        <w:t>atzinīgi vērtē un atbalsta to, ka stratēģijā “No lauka līdz galdam” ir paredzēts lauku saimniecību grāmatvedības datu tīklu (</w:t>
      </w:r>
      <w:r>
        <w:rPr>
          <w:i/>
          <w:iCs/>
        </w:rPr>
        <w:t>FADN</w:t>
      </w:r>
      <w:r>
        <w:t>) pārveidot par lauku saimniecību ilgtspējas datu tīklu (</w:t>
      </w:r>
      <w:r>
        <w:rPr>
          <w:i/>
          <w:iCs/>
        </w:rPr>
        <w:t>FSDN</w:t>
      </w:r>
      <w:r>
        <w:t>), kura uzdevums ir vākt ilgtspējas datus, uzlabot konsultāciju pakalpojumus un sniegt atgriezenisko saiti lauksaimniekiem;</w:t>
      </w:r>
    </w:p>
    <w:p w14:paraId="40DC1ED7" w14:textId="39A13300" w:rsidR="005D55F5" w:rsidRDefault="005D55F5" w:rsidP="00151492">
      <w:pPr>
        <w:numPr>
          <w:ilvl w:val="0"/>
          <w:numId w:val="3"/>
        </w:numPr>
        <w:ind w:left="357" w:hanging="357"/>
        <w:contextualSpacing/>
      </w:pPr>
      <w:r>
        <w:t xml:space="preserve">uzskata, ka </w:t>
      </w:r>
      <w:r>
        <w:rPr>
          <w:i/>
          <w:iCs/>
        </w:rPr>
        <w:t>FSDN</w:t>
      </w:r>
      <w:r>
        <w:t xml:space="preserve"> ir svarīgs uz gūtajām atziņām balstītas politikas instruments, un iesaka </w:t>
      </w:r>
      <w:r>
        <w:rPr>
          <w:i/>
          <w:iCs/>
        </w:rPr>
        <w:t>FSDN</w:t>
      </w:r>
      <w:r>
        <w:t xml:space="preserve"> vākt ne tikai ekonomikas datus, bet arī konkrētus vides un sociālos datus, kā arī iesaka:</w:t>
      </w:r>
    </w:p>
    <w:p w14:paraId="363A8A09" w14:textId="77777777" w:rsidR="005D55F5" w:rsidRPr="00C246D0" w:rsidRDefault="005D55F5" w:rsidP="00151492">
      <w:pPr>
        <w:pStyle w:val="ListParagraph"/>
        <w:numPr>
          <w:ilvl w:val="2"/>
          <w:numId w:val="25"/>
        </w:numPr>
        <w:ind w:left="851" w:hanging="284"/>
      </w:pPr>
      <w:r>
        <w:t xml:space="preserve">izmantot pieeju, kas saistīta ar integrēto administrācijas un kontroles sistēmu (IAKS) un datiem, kuri iegūti īstenojot kopējo lauksaimniecības politiku (KLP), kā arī ar </w:t>
      </w:r>
      <w:r>
        <w:rPr>
          <w:i/>
          <w:iCs/>
        </w:rPr>
        <w:t>Eurostat</w:t>
      </w:r>
      <w:r>
        <w:t>, īpaši attiecībā uz vides un sociālajiem datiem;</w:t>
      </w:r>
    </w:p>
    <w:p w14:paraId="7ECE51E2" w14:textId="77777777" w:rsidR="005D55F5" w:rsidRPr="00C246D0" w:rsidRDefault="005D55F5" w:rsidP="00151492">
      <w:pPr>
        <w:pStyle w:val="ListParagraph"/>
        <w:numPr>
          <w:ilvl w:val="2"/>
          <w:numId w:val="25"/>
        </w:numPr>
        <w:ind w:left="851" w:hanging="284"/>
      </w:pPr>
      <w:r>
        <w:t xml:space="preserve">dot iespēju visiem lauksaimniekiem, ja viņi to vēlas un spēj, sniegt ieguldījumu </w:t>
      </w:r>
      <w:r>
        <w:rPr>
          <w:i/>
          <w:iCs/>
        </w:rPr>
        <w:t>FSDN</w:t>
      </w:r>
      <w:r>
        <w:t xml:space="preserve">; </w:t>
      </w:r>
    </w:p>
    <w:p w14:paraId="4C284A68" w14:textId="77777777" w:rsidR="005D55F5" w:rsidRPr="00C246D0" w:rsidRDefault="005D55F5" w:rsidP="00151492">
      <w:pPr>
        <w:pStyle w:val="ListParagraph"/>
        <w:numPr>
          <w:ilvl w:val="2"/>
          <w:numId w:val="25"/>
        </w:numPr>
        <w:ind w:left="851" w:hanging="284"/>
      </w:pPr>
      <w:r>
        <w:t>galveno uzmanību vienmēr pievērst birokrātijas mazināšanai;</w:t>
      </w:r>
    </w:p>
    <w:p w14:paraId="40BB42A3" w14:textId="167B5835" w:rsidR="005D55F5" w:rsidRPr="00C246D0" w:rsidRDefault="005D55F5" w:rsidP="00151492">
      <w:pPr>
        <w:pStyle w:val="ListParagraph"/>
        <w:numPr>
          <w:ilvl w:val="2"/>
          <w:numId w:val="25"/>
        </w:numPr>
        <w:ind w:left="851" w:hanging="284"/>
      </w:pPr>
      <w:r>
        <w:t xml:space="preserve">ar </w:t>
      </w:r>
      <w:r>
        <w:rPr>
          <w:i/>
          <w:iCs/>
        </w:rPr>
        <w:t>FSDN</w:t>
      </w:r>
      <w:r>
        <w:t xml:space="preserve"> būtu jāpalīdz veidot labāku izpratni par lauku saimniecības ekosistēmu kopumā;</w:t>
      </w:r>
    </w:p>
    <w:p w14:paraId="6AF82C4C" w14:textId="77777777" w:rsidR="005D55F5" w:rsidRPr="00C246D0" w:rsidRDefault="005D55F5" w:rsidP="00151492">
      <w:pPr>
        <w:pStyle w:val="ListParagraph"/>
        <w:numPr>
          <w:ilvl w:val="2"/>
          <w:numId w:val="25"/>
        </w:numPr>
        <w:ind w:left="851" w:hanging="284"/>
      </w:pPr>
      <w:r>
        <w:t xml:space="preserve">paredzēt, ka </w:t>
      </w:r>
      <w:r>
        <w:rPr>
          <w:i/>
          <w:iCs/>
        </w:rPr>
        <w:t>FSDN</w:t>
      </w:r>
      <w:r>
        <w:t xml:space="preserve"> izlasē tiek iekļautas pašnodrošinājuma saimniecības un daļēji naturālas saimniecības;</w:t>
      </w:r>
    </w:p>
    <w:p w14:paraId="4DC84B95" w14:textId="77777777" w:rsidR="005D55F5" w:rsidRPr="00C246D0" w:rsidRDefault="005D55F5" w:rsidP="00151492">
      <w:pPr>
        <w:pStyle w:val="ListParagraph"/>
        <w:numPr>
          <w:ilvl w:val="2"/>
          <w:numId w:val="25"/>
        </w:numPr>
        <w:ind w:left="851" w:hanging="284"/>
      </w:pPr>
      <w:r>
        <w:t>iekļaut dažādus datu raksturlielumus, avotus, formātus, izmērus un detalizācijas pakāpi, ņemot vērā dalībvalstu atšķirīgo situāciju;</w:t>
      </w:r>
    </w:p>
    <w:p w14:paraId="1808633B" w14:textId="77777777" w:rsidR="005D55F5" w:rsidRPr="00C246D0" w:rsidRDefault="005D55F5" w:rsidP="00151492">
      <w:pPr>
        <w:pStyle w:val="ListParagraph"/>
        <w:numPr>
          <w:ilvl w:val="2"/>
          <w:numId w:val="25"/>
        </w:numPr>
        <w:ind w:left="851" w:hanging="284"/>
      </w:pPr>
      <w:r>
        <w:t xml:space="preserve">nodrošināt pastāvīgu lauksaimniecības paraugprakses apmaiņu starp dalībvalstīm un lauksaimniekiem; </w:t>
      </w:r>
    </w:p>
    <w:p w14:paraId="14D38895" w14:textId="77777777" w:rsidR="005D55F5" w:rsidRPr="00C246D0" w:rsidRDefault="005D55F5" w:rsidP="00151492">
      <w:pPr>
        <w:pStyle w:val="ListParagraph"/>
        <w:numPr>
          <w:ilvl w:val="2"/>
          <w:numId w:val="25"/>
        </w:numPr>
        <w:ind w:left="851" w:hanging="284"/>
      </w:pPr>
      <w:r>
        <w:t>lielāks atbalsts tam, lai konsolidētu datu vākšanas, kopīgošanas, pārvaldības un izmantošanas spējas lauku saimniecībās, it īpaši mazajās lauku saimniecībās;</w:t>
      </w:r>
    </w:p>
    <w:p w14:paraId="5BE983F7" w14:textId="77777777" w:rsidR="005D55F5" w:rsidRDefault="005D55F5" w:rsidP="00151492">
      <w:pPr>
        <w:pStyle w:val="ListParagraph"/>
        <w:numPr>
          <w:ilvl w:val="2"/>
          <w:numId w:val="25"/>
        </w:numPr>
        <w:ind w:left="851" w:hanging="284"/>
      </w:pPr>
      <w:r>
        <w:lastRenderedPageBreak/>
        <w:t xml:space="preserve">ar </w:t>
      </w:r>
      <w:r>
        <w:rPr>
          <w:i/>
          <w:iCs/>
        </w:rPr>
        <w:t>FSDN</w:t>
      </w:r>
      <w:r>
        <w:t xml:space="preserve"> būtu jāpalīdz uzlabot lauku saimniecību pārvaldību;</w:t>
      </w:r>
    </w:p>
    <w:p w14:paraId="782E4C88" w14:textId="23EA1C71" w:rsidR="005D55F5" w:rsidRDefault="005D55F5" w:rsidP="00151492">
      <w:pPr>
        <w:pStyle w:val="ListParagraph"/>
        <w:numPr>
          <w:ilvl w:val="2"/>
          <w:numId w:val="25"/>
        </w:numPr>
        <w:ind w:left="851" w:hanging="284"/>
      </w:pPr>
      <w:r>
        <w:t xml:space="preserve">būtu jānosaka īpaši kritēriji, kas saistīti ar </w:t>
      </w:r>
      <w:r>
        <w:rPr>
          <w:i/>
          <w:iCs/>
        </w:rPr>
        <w:t>FSDN</w:t>
      </w:r>
      <w:r>
        <w:t xml:space="preserve"> paredzēto procesu ilgtspēju, kā arī datu vācēju darba nosacījumu kritēriji</w:t>
      </w:r>
      <w:r w:rsidR="001C55E2">
        <w:t>;</w:t>
      </w:r>
    </w:p>
    <w:p w14:paraId="5797E2E3" w14:textId="442550F8" w:rsidR="005D55F5" w:rsidRDefault="005D55F5" w:rsidP="00151492">
      <w:pPr>
        <w:numPr>
          <w:ilvl w:val="0"/>
          <w:numId w:val="3"/>
        </w:numPr>
        <w:ind w:left="357" w:hanging="357"/>
        <w:contextualSpacing/>
      </w:pPr>
      <w:r>
        <w:t xml:space="preserve">uzskata, ka vienmēr būtu jānodrošina datu aizsardzība, piederība, privātums un konfidencialitāte, ka lauksaimnieki var pastāvīgi kontrolēt savus datus un ka </w:t>
      </w:r>
      <w:r>
        <w:rPr>
          <w:i/>
          <w:iCs/>
        </w:rPr>
        <w:t>FSDN</w:t>
      </w:r>
      <w:r>
        <w:t xml:space="preserve"> vajadzībām savāktos datus nekādā gadījumā nedrīkst izmantot lauksaimnieku kontrolei un sodīšanai;</w:t>
      </w:r>
    </w:p>
    <w:p w14:paraId="6713C6A7" w14:textId="50170429" w:rsidR="005D55F5" w:rsidRDefault="00EA1181" w:rsidP="00151492">
      <w:pPr>
        <w:numPr>
          <w:ilvl w:val="0"/>
          <w:numId w:val="3"/>
        </w:numPr>
        <w:ind w:left="357" w:hanging="357"/>
        <w:contextualSpacing/>
      </w:pPr>
      <w:r>
        <w:t>iesaka darīt vairāk, lai veidotu kopēju lauksaimniecības datu telpu, kas veicinātu kopīgu datu piederību un datu kooperatīvu izveidi lauksaimniecības pārtikas nozarē;</w:t>
      </w:r>
    </w:p>
    <w:p w14:paraId="1E0778A8" w14:textId="40CAF7C1" w:rsidR="00EA1181" w:rsidRDefault="00EA1181" w:rsidP="00151492">
      <w:pPr>
        <w:numPr>
          <w:ilvl w:val="0"/>
          <w:numId w:val="3"/>
        </w:numPr>
        <w:ind w:left="357" w:hanging="357"/>
        <w:contextualSpacing/>
      </w:pPr>
      <w:r>
        <w:t>iesaka izstrādāt īpašu integrētu programmu lauksaimniecības pārtikas nozares digitalizācijai;</w:t>
      </w:r>
    </w:p>
    <w:p w14:paraId="458F76B0" w14:textId="3D83375B" w:rsidR="00EA1181" w:rsidRDefault="00EA1181" w:rsidP="00151492">
      <w:pPr>
        <w:numPr>
          <w:ilvl w:val="0"/>
          <w:numId w:val="3"/>
        </w:numPr>
        <w:ind w:left="357" w:hanging="357"/>
        <w:contextualSpacing/>
      </w:pPr>
      <w:r>
        <w:t>ierosina pielikt lielākas pūles, lai samazinātu “baltās zonas” un nodrošinātu telefonu savienojamību un platjoslu lauku apvidos;</w:t>
      </w:r>
    </w:p>
    <w:p w14:paraId="6DEF7054" w14:textId="5EFF7E7B" w:rsidR="00EA1181" w:rsidRDefault="00EA1181" w:rsidP="00151492">
      <w:pPr>
        <w:numPr>
          <w:ilvl w:val="0"/>
          <w:numId w:val="3"/>
        </w:numPr>
        <w:ind w:left="357" w:hanging="357"/>
        <w:contextualSpacing/>
      </w:pPr>
      <w:r>
        <w:t xml:space="preserve">iesaka Komisijai un dalībvalstīm nodrošināt līdzekļus </w:t>
      </w:r>
      <w:r>
        <w:rPr>
          <w:i/>
          <w:iCs/>
        </w:rPr>
        <w:t>FSDN</w:t>
      </w:r>
      <w:r>
        <w:t xml:space="preserve"> ieviešanai un savāktajos datos ņemt vērā cenu svārstības un dažādās krīzes lauksaimniecības pārtikas piegādes ķēdē.</w:t>
      </w:r>
    </w:p>
    <w:p w14:paraId="7CB8DA1E" w14:textId="77777777" w:rsidR="005D55F5" w:rsidRPr="009B70E7" w:rsidRDefault="005D55F5" w:rsidP="00151492">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5D55F5" w:rsidRPr="009B70E7" w14:paraId="737C4370" w14:textId="77777777" w:rsidTr="00576060">
        <w:tc>
          <w:tcPr>
            <w:tcW w:w="1418" w:type="dxa"/>
          </w:tcPr>
          <w:p w14:paraId="5A94AEDA" w14:textId="77777777" w:rsidR="005D55F5" w:rsidRPr="009B70E7" w:rsidRDefault="005D55F5" w:rsidP="00151492">
            <w:pPr>
              <w:pStyle w:val="ListParagraph"/>
              <w:ind w:left="0"/>
              <w:rPr>
                <w:i/>
              </w:rPr>
            </w:pPr>
            <w:r>
              <w:rPr>
                <w:b/>
                <w:i/>
              </w:rPr>
              <w:t>Kontaktpersona:</w:t>
            </w:r>
          </w:p>
        </w:tc>
        <w:tc>
          <w:tcPr>
            <w:tcW w:w="5670" w:type="dxa"/>
          </w:tcPr>
          <w:p w14:paraId="1504C813" w14:textId="77777777" w:rsidR="005D55F5" w:rsidRPr="009B70E7" w:rsidRDefault="005D55F5" w:rsidP="00151492">
            <w:pPr>
              <w:pStyle w:val="ListParagraph"/>
              <w:ind w:left="0"/>
              <w:rPr>
                <w:i/>
              </w:rPr>
            </w:pPr>
            <w:r>
              <w:rPr>
                <w:i/>
              </w:rPr>
              <w:t>Martine Delanoy</w:t>
            </w:r>
          </w:p>
        </w:tc>
      </w:tr>
      <w:tr w:rsidR="005D55F5" w:rsidRPr="009B70E7" w14:paraId="6F66E21F" w14:textId="77777777" w:rsidTr="00576060">
        <w:tc>
          <w:tcPr>
            <w:tcW w:w="1418" w:type="dxa"/>
          </w:tcPr>
          <w:p w14:paraId="013404EB" w14:textId="77777777" w:rsidR="005D55F5" w:rsidRPr="009B70E7" w:rsidRDefault="005D55F5" w:rsidP="00151492">
            <w:pPr>
              <w:pStyle w:val="ListParagraph"/>
              <w:ind w:left="601"/>
              <w:rPr>
                <w:i/>
              </w:rPr>
            </w:pPr>
            <w:r>
              <w:rPr>
                <w:i/>
              </w:rPr>
              <w:t>Tālr.:</w:t>
            </w:r>
          </w:p>
        </w:tc>
        <w:tc>
          <w:tcPr>
            <w:tcW w:w="5670" w:type="dxa"/>
          </w:tcPr>
          <w:p w14:paraId="43AD6E22" w14:textId="77777777" w:rsidR="005D55F5" w:rsidRPr="009B70E7" w:rsidRDefault="005D55F5" w:rsidP="00151492">
            <w:pPr>
              <w:pStyle w:val="ListParagraph"/>
              <w:ind w:left="0"/>
              <w:rPr>
                <w:i/>
              </w:rPr>
            </w:pPr>
            <w:r>
              <w:rPr>
                <w:i/>
              </w:rPr>
              <w:t>00 32 2 546 98 02</w:t>
            </w:r>
          </w:p>
        </w:tc>
      </w:tr>
      <w:tr w:rsidR="005D55F5" w:rsidRPr="009B70E7" w14:paraId="71EEB525" w14:textId="77777777" w:rsidTr="00576060">
        <w:tc>
          <w:tcPr>
            <w:tcW w:w="1418" w:type="dxa"/>
          </w:tcPr>
          <w:p w14:paraId="58FDA769" w14:textId="77777777" w:rsidR="005D55F5" w:rsidRPr="009B70E7" w:rsidRDefault="005D55F5" w:rsidP="00151492">
            <w:pPr>
              <w:pStyle w:val="ListParagraph"/>
              <w:ind w:left="601"/>
              <w:rPr>
                <w:i/>
              </w:rPr>
            </w:pPr>
            <w:r>
              <w:rPr>
                <w:i/>
              </w:rPr>
              <w:t>E-pasts:</w:t>
            </w:r>
          </w:p>
        </w:tc>
        <w:tc>
          <w:tcPr>
            <w:tcW w:w="5670" w:type="dxa"/>
          </w:tcPr>
          <w:p w14:paraId="160C5392" w14:textId="77777777" w:rsidR="005D55F5" w:rsidRPr="005D55F5" w:rsidRDefault="000062DB" w:rsidP="00151492">
            <w:pPr>
              <w:pStyle w:val="ListParagraph"/>
              <w:ind w:left="0"/>
              <w:rPr>
                <w:i/>
                <w:iCs/>
              </w:rPr>
            </w:pPr>
            <w:hyperlink r:id="rId47" w:history="1">
              <w:r w:rsidR="007B42E2">
                <w:rPr>
                  <w:rStyle w:val="Hyperlink"/>
                  <w:i/>
                </w:rPr>
                <w:t>Martine.Delanoy@eesc.europa.eu</w:t>
              </w:r>
            </w:hyperlink>
          </w:p>
        </w:tc>
      </w:tr>
    </w:tbl>
    <w:p w14:paraId="287BC97F" w14:textId="58F57FF1" w:rsidR="00F2127E" w:rsidRDefault="00F2127E" w:rsidP="00151492">
      <w:pPr>
        <w:jc w:val="left"/>
        <w:rPr>
          <w:sz w:val="28"/>
          <w:szCs w:val="16"/>
        </w:rPr>
      </w:pPr>
    </w:p>
    <w:p w14:paraId="49E30748" w14:textId="4E936859" w:rsidR="00EA1181" w:rsidRDefault="00EA1181" w:rsidP="00151492">
      <w:pPr>
        <w:jc w:val="left"/>
        <w:rPr>
          <w:sz w:val="28"/>
          <w:szCs w:val="16"/>
        </w:rPr>
      </w:pPr>
    </w:p>
    <w:p w14:paraId="259B2927" w14:textId="77777777" w:rsidR="0005170F" w:rsidRPr="003E692C" w:rsidRDefault="00931584" w:rsidP="003E692C">
      <w:pPr>
        <w:pStyle w:val="Heading1"/>
        <w:keepNext/>
        <w:rPr>
          <w:b/>
        </w:rPr>
      </w:pPr>
      <w:bookmarkStart w:id="43" w:name="_Toc90469310"/>
      <w:bookmarkStart w:id="44" w:name="_Toc120000282"/>
      <w:r>
        <w:rPr>
          <w:b/>
        </w:rPr>
        <w:t>ĀRĒJĀS ATTIECĪBAS</w:t>
      </w:r>
      <w:bookmarkEnd w:id="43"/>
      <w:bookmarkEnd w:id="44"/>
    </w:p>
    <w:p w14:paraId="4C868865" w14:textId="0AB40322" w:rsidR="00CB3335" w:rsidRPr="00576060" w:rsidRDefault="00CB3335" w:rsidP="00CB3335">
      <w:pPr>
        <w:rPr>
          <w:sz w:val="16"/>
          <w:szCs w:val="16"/>
        </w:rPr>
      </w:pPr>
    </w:p>
    <w:p w14:paraId="18F82F09" w14:textId="07E767BA" w:rsidR="00B10934" w:rsidRPr="00092425" w:rsidRDefault="005A6946" w:rsidP="00B10934">
      <w:pPr>
        <w:keepNext/>
        <w:keepLines/>
        <w:numPr>
          <w:ilvl w:val="0"/>
          <w:numId w:val="2"/>
        </w:numPr>
        <w:ind w:left="567" w:hanging="567"/>
        <w:contextualSpacing/>
      </w:pPr>
      <w:bookmarkStart w:id="45" w:name="_Hlk116902212"/>
      <w:r>
        <w:rPr>
          <w:b/>
          <w:i/>
          <w:sz w:val="28"/>
        </w:rPr>
        <w:t>Kultūras diplomātija kā Eiropas Savienības ārējo attiecību ass. Jaunas partnerības un pilsoniskās sabiedrības organizāciju loma</w:t>
      </w:r>
    </w:p>
    <w:p w14:paraId="04311F99" w14:textId="77777777" w:rsidR="00B10934" w:rsidRPr="006E3F60" w:rsidRDefault="00B10934" w:rsidP="00B10934">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B10934" w:rsidRPr="006E3F60" w14:paraId="63C47200" w14:textId="77777777" w:rsidTr="00576060">
        <w:tc>
          <w:tcPr>
            <w:tcW w:w="1701" w:type="dxa"/>
          </w:tcPr>
          <w:p w14:paraId="6B95F451" w14:textId="77777777" w:rsidR="00B10934" w:rsidRPr="006E3F60" w:rsidRDefault="00B10934" w:rsidP="00576060">
            <w:pPr>
              <w:keepNext/>
              <w:contextualSpacing/>
              <w:rPr>
                <w:b/>
              </w:rPr>
            </w:pPr>
            <w:r>
              <w:rPr>
                <w:b/>
              </w:rPr>
              <w:t>Ziņotājs:</w:t>
            </w:r>
          </w:p>
        </w:tc>
        <w:tc>
          <w:tcPr>
            <w:tcW w:w="6946" w:type="dxa"/>
          </w:tcPr>
          <w:p w14:paraId="72CAA90E" w14:textId="487F3D25" w:rsidR="00B10934" w:rsidRPr="006E3F60" w:rsidRDefault="005A6946" w:rsidP="00576060">
            <w:pPr>
              <w:keepNext/>
              <w:ind w:left="-106"/>
              <w:contextualSpacing/>
            </w:pPr>
            <w:r>
              <w:t xml:space="preserve">Luca </w:t>
            </w:r>
            <w:r w:rsidR="001C55E2">
              <w:t xml:space="preserve">JAHIER </w:t>
            </w:r>
            <w:r>
              <w:t>(Pilsoniskās sabiedrības organizāciju grupa – IT)</w:t>
            </w:r>
          </w:p>
        </w:tc>
      </w:tr>
      <w:tr w:rsidR="00B10934" w:rsidRPr="006E3F60" w14:paraId="2C0E8BB0" w14:textId="77777777" w:rsidTr="00576060">
        <w:tc>
          <w:tcPr>
            <w:tcW w:w="1701" w:type="dxa"/>
          </w:tcPr>
          <w:p w14:paraId="025643D8" w14:textId="51B782D1" w:rsidR="00B10934" w:rsidRPr="006E3F60" w:rsidRDefault="00B10934" w:rsidP="00576060">
            <w:pPr>
              <w:keepNext/>
              <w:contextualSpacing/>
              <w:rPr>
                <w:b/>
              </w:rPr>
            </w:pPr>
          </w:p>
        </w:tc>
        <w:tc>
          <w:tcPr>
            <w:tcW w:w="6946" w:type="dxa"/>
          </w:tcPr>
          <w:p w14:paraId="427560C7" w14:textId="38ADD1CD" w:rsidR="00B10934" w:rsidRPr="006E3F60" w:rsidRDefault="00B10934" w:rsidP="00576060">
            <w:pPr>
              <w:keepNext/>
              <w:ind w:left="-106"/>
              <w:contextualSpacing/>
            </w:pPr>
          </w:p>
        </w:tc>
      </w:tr>
      <w:tr w:rsidR="00B10934" w:rsidRPr="006E3F60" w14:paraId="20EA12EB" w14:textId="77777777" w:rsidTr="00576060">
        <w:tc>
          <w:tcPr>
            <w:tcW w:w="1701" w:type="dxa"/>
          </w:tcPr>
          <w:p w14:paraId="529DA37B" w14:textId="1B876031" w:rsidR="00B10934" w:rsidRPr="006E3F60" w:rsidRDefault="00B80604" w:rsidP="00576060">
            <w:pPr>
              <w:keepNext/>
              <w:contextualSpacing/>
              <w:rPr>
                <w:b/>
              </w:rPr>
            </w:pPr>
            <w:r>
              <w:rPr>
                <w:b/>
              </w:rPr>
              <w:t>Atsauce:</w:t>
            </w:r>
            <w:r w:rsidR="00B10934">
              <w:rPr>
                <w:b/>
              </w:rPr>
              <w:t xml:space="preserve"> </w:t>
            </w:r>
          </w:p>
        </w:tc>
        <w:tc>
          <w:tcPr>
            <w:tcW w:w="6946" w:type="dxa"/>
          </w:tcPr>
          <w:p w14:paraId="0495867F" w14:textId="77777777" w:rsidR="00B10934" w:rsidRPr="006E3F60" w:rsidRDefault="00B10934" w:rsidP="00576060">
            <w:pPr>
              <w:keepNext/>
              <w:ind w:left="-106"/>
              <w:contextualSpacing/>
              <w:rPr>
                <w:iCs/>
                <w:color w:val="000000"/>
              </w:rPr>
            </w:pPr>
            <w:r>
              <w:rPr>
                <w:color w:val="000000"/>
              </w:rPr>
              <w:t>Pašiniciatīvas atzinums</w:t>
            </w:r>
          </w:p>
          <w:p w14:paraId="77555D52" w14:textId="26CF0E00" w:rsidR="00B10934" w:rsidRPr="006E3F60" w:rsidRDefault="00B10934" w:rsidP="00576060">
            <w:pPr>
              <w:keepNext/>
              <w:ind w:left="-106"/>
              <w:contextualSpacing/>
            </w:pPr>
            <w:r>
              <w:t>EESC-2022-01594-00-00-AC</w:t>
            </w:r>
          </w:p>
        </w:tc>
      </w:tr>
    </w:tbl>
    <w:p w14:paraId="4EE48C39" w14:textId="77777777" w:rsidR="00B10934" w:rsidRPr="006E3F60" w:rsidRDefault="00B10934" w:rsidP="00B10934">
      <w:pPr>
        <w:keepNext/>
        <w:ind w:left="567"/>
        <w:contextualSpacing/>
      </w:pPr>
    </w:p>
    <w:p w14:paraId="30E45228" w14:textId="3328F4E0" w:rsidR="00B10934" w:rsidRPr="00A00F37" w:rsidRDefault="00B10934" w:rsidP="00A00F37">
      <w:pPr>
        <w:pStyle w:val="ListParagraph"/>
        <w:spacing w:line="240" w:lineRule="auto"/>
        <w:ind w:left="0" w:firstLine="142"/>
        <w:rPr>
          <w:b/>
        </w:rPr>
      </w:pPr>
      <w:r>
        <w:rPr>
          <w:b/>
          <w:bCs/>
        </w:rPr>
        <w:t>Svarīgākie aspekti</w:t>
      </w:r>
    </w:p>
    <w:p w14:paraId="42308E24" w14:textId="77777777" w:rsidR="00B10934" w:rsidRPr="00C25DB3" w:rsidRDefault="00B10934" w:rsidP="00B10934">
      <w:pPr>
        <w:contextualSpacing/>
        <w:rPr>
          <w:b/>
        </w:rPr>
      </w:pPr>
    </w:p>
    <w:p w14:paraId="5BC9CB1A" w14:textId="77777777" w:rsidR="00B10934" w:rsidRDefault="00B10934" w:rsidP="00A00F37">
      <w:pPr>
        <w:ind w:left="142"/>
        <w:contextualSpacing/>
        <w:rPr>
          <w:bCs/>
          <w:iCs/>
        </w:rPr>
      </w:pPr>
      <w:r>
        <w:t>EESK:</w:t>
      </w:r>
    </w:p>
    <w:p w14:paraId="67817DFC" w14:textId="77777777" w:rsidR="00B10934" w:rsidRPr="006E3F60" w:rsidRDefault="00B10934" w:rsidP="00B10934">
      <w:pPr>
        <w:contextualSpacing/>
      </w:pPr>
    </w:p>
    <w:p w14:paraId="2119F1A1" w14:textId="4A72D0F1" w:rsidR="00B10934" w:rsidRDefault="005A6946" w:rsidP="00B10934">
      <w:pPr>
        <w:numPr>
          <w:ilvl w:val="0"/>
          <w:numId w:val="3"/>
        </w:numPr>
        <w:ind w:left="357" w:hanging="357"/>
        <w:contextualSpacing/>
      </w:pPr>
      <w:r>
        <w:t>uzskata, ka kultūra ir iekļaujoša. Kultūra ir tāda veida kapitāls, kas ļauj izgaismot gan ceļu, pa kuru ejam Eiropā, gan tēlu, ko projicējam pasaulē. Laikā, kad Eiropas kontinentā ir atgriezies karš, nodarot iznīcinošus postījumus un sagraujot cilvēku dzīves un vietas, kultūras attiecībām vairāk nekā jebkad agrāk jābūt dialoga, miera un nākotnes instrumentam. Patlaban par patiesu prioritāti jākļūst kultūras attiecību izvēršanai par stratēģisku un nozīmīgu Eiropas Savienības ārpolitikas virzītājspēku, kā tas pēdējo 17 gadu laikā vairākkārt aicināts daudzos dokumentos un svarīgās iniciatīvās;</w:t>
      </w:r>
    </w:p>
    <w:p w14:paraId="7B577A49" w14:textId="66416497" w:rsidR="00B10934" w:rsidRDefault="005A6946" w:rsidP="00B10934">
      <w:pPr>
        <w:numPr>
          <w:ilvl w:val="0"/>
          <w:numId w:val="3"/>
        </w:numPr>
        <w:ind w:left="357" w:hanging="357"/>
        <w:contextualSpacing/>
      </w:pPr>
      <w:r>
        <w:t xml:space="preserve">uzsver, ka pamatojoties uz Eiropas Komisijas 2016. gada paziņojumu, Padomes lēmumiem un pamatnostādnēm un Eiropas Parlamenta (EP) ieteikumiem, tagad ir pienācis laiks pieņemt </w:t>
      </w:r>
      <w:r>
        <w:rPr>
          <w:b/>
        </w:rPr>
        <w:t>pilnvērtīgu daudzgadu stratēģisko rīcības plānu</w:t>
      </w:r>
      <w:r>
        <w:t xml:space="preserve">, kas, Eiropas Ārējās darbības dienestam (EĀDD) koordinējot, radītu patiesu sinerģiju ar dažādām Eiropas Komisijas un dalībvalstu politikas jomām un struktūrām un nodrošinātu platformu efektīvai mijiedarbībai ar plašāku dalībnieku loku: gan ieinteresētajām teritoriālajām iestādēm, gan daudzajiem privātajiem </w:t>
      </w:r>
      <w:r>
        <w:lastRenderedPageBreak/>
        <w:t>vai institucionālajiem dalībniekiem, kas jau sekmīgi darbojas. Plāns ir jānodrošina ar nepieciešamajiem finanšu līdzekļiem;</w:t>
      </w:r>
    </w:p>
    <w:p w14:paraId="6E6233CA" w14:textId="02DE882E" w:rsidR="00B10934" w:rsidRDefault="005A6946" w:rsidP="001106FB">
      <w:pPr>
        <w:numPr>
          <w:ilvl w:val="0"/>
          <w:numId w:val="3"/>
        </w:numPr>
        <w:ind w:left="357" w:hanging="357"/>
        <w:contextualSpacing/>
      </w:pPr>
      <w:r>
        <w:t xml:space="preserve">uzskata, ka </w:t>
      </w:r>
      <w:r>
        <w:rPr>
          <w:b/>
        </w:rPr>
        <w:t>nekavējoties jāpastiprina pasākumi</w:t>
      </w:r>
      <w:r>
        <w:t xml:space="preserve"> mantojuma aizsardzībai, restaurācijai un atjaunošanai dabas katastrofu, krīžu un konfliktu zonās un jāstiprina vietējo dalībnieku apmācība un vietējo iestāžu un pilsoniskās sabiedrības organizāciju spēju veidošana. Vērienīgāki pasākumi jāveic </w:t>
      </w:r>
      <w:r>
        <w:rPr>
          <w:b/>
        </w:rPr>
        <w:t>radošo industriju</w:t>
      </w:r>
      <w:r>
        <w:t xml:space="preserve"> jomā. Būtu jāuzsāk nozīmīgi </w:t>
      </w:r>
      <w:r>
        <w:rPr>
          <w:b/>
        </w:rPr>
        <w:t>izmēģinājuma projekti</w:t>
      </w:r>
      <w:r>
        <w:t xml:space="preserve"> tādos reģionos kā Rietumbalkāni, Vidusjūras reģions un Tuvie Austrumi, Āfrikas kontinents un Ukraina;</w:t>
      </w:r>
    </w:p>
    <w:p w14:paraId="2E1B0E6D" w14:textId="30680DD6" w:rsidR="005A6946" w:rsidRPr="005A6946" w:rsidRDefault="005A6946" w:rsidP="001106FB">
      <w:pPr>
        <w:numPr>
          <w:ilvl w:val="0"/>
          <w:numId w:val="3"/>
        </w:numPr>
        <w:ind w:left="357" w:hanging="357"/>
        <w:contextualSpacing/>
      </w:pPr>
      <w:r>
        <w:t xml:space="preserve">Lai izveidotu </w:t>
      </w:r>
      <w:r>
        <w:rPr>
          <w:b/>
        </w:rPr>
        <w:t>ES platformu starptautiskajām kultūras attiecībām</w:t>
      </w:r>
      <w:r>
        <w:t>, iesaka veikt kartēšanu, kas aptvertu daudzveidīgās darbības un iniciatīvas, kuras jau īsteno ES iestādes un organizācijas, atsevišķas valstis un daudzas pilsoniskās sabiedrības organizācijas dalībvalstīs, kā arī tās, kuras izstrādātas dažādās starptautiskajās partnerībās;</w:t>
      </w:r>
    </w:p>
    <w:p w14:paraId="0AF954C2" w14:textId="556C994C" w:rsidR="005A6946" w:rsidRPr="006E3F60" w:rsidRDefault="005A6946" w:rsidP="00B10934">
      <w:pPr>
        <w:numPr>
          <w:ilvl w:val="0"/>
          <w:numId w:val="3"/>
        </w:numPr>
        <w:ind w:left="357" w:hanging="357"/>
        <w:contextualSpacing/>
      </w:pPr>
      <w:r>
        <w:t xml:space="preserve">Iesaka </w:t>
      </w:r>
      <w:r>
        <w:rPr>
          <w:b/>
        </w:rPr>
        <w:t>EĀDD ietvaros izveidot nozīmīgu, specializētu struktūru</w:t>
      </w:r>
      <w:r>
        <w:t>, kuru vadītu</w:t>
      </w:r>
      <w:r>
        <w:rPr>
          <w:b/>
        </w:rPr>
        <w:t xml:space="preserve"> ES īpašais sūtnis kultūras attiecībās,</w:t>
      </w:r>
      <w:r>
        <w:t xml:space="preserve"> kura izstrādātu visaptverošu politisku ievirzi, kuras rīcībā būtu nepieciešamais budžets un kura spētu veidot tīklus ar dalībvalstīm un dažādām organizācijām, kā arī nodrošināt instrumentus un nelielus finanšu piešķīrumus ES delegācijām, lai izvērstu iniciatīvas attiecīgajās valstīs.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B10934" w:rsidRPr="006E3F60" w14:paraId="0A17DE15" w14:textId="77777777" w:rsidTr="00576060">
        <w:tc>
          <w:tcPr>
            <w:tcW w:w="1418" w:type="dxa"/>
          </w:tcPr>
          <w:p w14:paraId="1AD80AE7" w14:textId="77777777" w:rsidR="00B10934" w:rsidRPr="006E3F60" w:rsidRDefault="00B10934" w:rsidP="00576060">
            <w:pPr>
              <w:contextualSpacing/>
              <w:rPr>
                <w:i/>
              </w:rPr>
            </w:pPr>
            <w:r>
              <w:rPr>
                <w:b/>
                <w:i/>
              </w:rPr>
              <w:t>Kontaktpersona:</w:t>
            </w:r>
          </w:p>
        </w:tc>
        <w:tc>
          <w:tcPr>
            <w:tcW w:w="5670" w:type="dxa"/>
          </w:tcPr>
          <w:p w14:paraId="6D26F1D1" w14:textId="214EB153" w:rsidR="00B10934" w:rsidRPr="006E3F60" w:rsidRDefault="005A6946" w:rsidP="00576060">
            <w:pPr>
              <w:contextualSpacing/>
              <w:rPr>
                <w:i/>
              </w:rPr>
            </w:pPr>
            <w:r>
              <w:rPr>
                <w:i/>
              </w:rPr>
              <w:t>Ewa Tomaszewska</w:t>
            </w:r>
          </w:p>
        </w:tc>
      </w:tr>
      <w:tr w:rsidR="00B10934" w:rsidRPr="006E3F60" w14:paraId="6343664B" w14:textId="77777777" w:rsidTr="00576060">
        <w:tc>
          <w:tcPr>
            <w:tcW w:w="1418" w:type="dxa"/>
          </w:tcPr>
          <w:p w14:paraId="50AF888B" w14:textId="77777777" w:rsidR="00B10934" w:rsidRPr="006E3F60" w:rsidRDefault="00B10934" w:rsidP="00576060">
            <w:pPr>
              <w:ind w:left="601"/>
              <w:contextualSpacing/>
              <w:rPr>
                <w:i/>
              </w:rPr>
            </w:pPr>
            <w:r>
              <w:rPr>
                <w:i/>
              </w:rPr>
              <w:t>Tālr.:</w:t>
            </w:r>
          </w:p>
        </w:tc>
        <w:tc>
          <w:tcPr>
            <w:tcW w:w="5670" w:type="dxa"/>
          </w:tcPr>
          <w:p w14:paraId="7916302F" w14:textId="4203DD70" w:rsidR="00B10934" w:rsidRPr="006E3F60" w:rsidRDefault="00B10934" w:rsidP="00576060">
            <w:pPr>
              <w:contextualSpacing/>
              <w:rPr>
                <w:i/>
              </w:rPr>
            </w:pPr>
            <w:r>
              <w:rPr>
                <w:i/>
              </w:rPr>
              <w:t>00 32 2 546 90 62</w:t>
            </w:r>
          </w:p>
        </w:tc>
      </w:tr>
      <w:tr w:rsidR="00B10934" w:rsidRPr="006E3F60" w14:paraId="4121CD1A" w14:textId="77777777" w:rsidTr="00576060">
        <w:tc>
          <w:tcPr>
            <w:tcW w:w="1418" w:type="dxa"/>
          </w:tcPr>
          <w:p w14:paraId="2BB848C1" w14:textId="77777777" w:rsidR="00B10934" w:rsidRPr="006E3F60" w:rsidRDefault="00B10934" w:rsidP="00576060">
            <w:pPr>
              <w:ind w:left="601"/>
              <w:contextualSpacing/>
              <w:rPr>
                <w:i/>
              </w:rPr>
            </w:pPr>
            <w:r>
              <w:rPr>
                <w:i/>
              </w:rPr>
              <w:t>E-pasts:</w:t>
            </w:r>
          </w:p>
        </w:tc>
        <w:tc>
          <w:tcPr>
            <w:tcW w:w="5670" w:type="dxa"/>
          </w:tcPr>
          <w:p w14:paraId="57CBD11B" w14:textId="7E7D1D65" w:rsidR="00B10934" w:rsidRPr="006E3F60" w:rsidRDefault="000062DB" w:rsidP="00576060">
            <w:pPr>
              <w:contextualSpacing/>
              <w:rPr>
                <w:i/>
              </w:rPr>
            </w:pPr>
            <w:hyperlink r:id="rId48" w:history="1">
              <w:r w:rsidR="007B42E2">
                <w:rPr>
                  <w:rStyle w:val="Hyperlink"/>
                  <w:i/>
                </w:rPr>
                <w:t>Ewa.Tomaszewska@eesc.europa.eu</w:t>
              </w:r>
            </w:hyperlink>
          </w:p>
        </w:tc>
      </w:tr>
      <w:bookmarkEnd w:id="45"/>
    </w:tbl>
    <w:p w14:paraId="73A8E840" w14:textId="77777777" w:rsidR="000062DB" w:rsidRPr="000062DB" w:rsidRDefault="000062DB" w:rsidP="000062DB">
      <w:pPr>
        <w:keepNext/>
        <w:keepLines/>
        <w:ind w:left="567"/>
        <w:contextualSpacing/>
        <w:rPr>
          <w:rStyle w:val="Hyperlink"/>
          <w:b/>
          <w:color w:val="auto"/>
          <w:u w:val="none"/>
        </w:rPr>
      </w:pPr>
    </w:p>
    <w:p w14:paraId="525521DC" w14:textId="0816F45A" w:rsidR="005A6946" w:rsidRPr="005A6946" w:rsidRDefault="005A6946" w:rsidP="005A6946">
      <w:pPr>
        <w:keepNext/>
        <w:keepLines/>
        <w:numPr>
          <w:ilvl w:val="0"/>
          <w:numId w:val="2"/>
        </w:numPr>
        <w:ind w:left="567" w:hanging="567"/>
        <w:contextualSpacing/>
        <w:rPr>
          <w:b/>
        </w:rPr>
      </w:pPr>
      <w:r>
        <w:rPr>
          <w:rStyle w:val="Hyperlink"/>
          <w:b/>
          <w:i/>
          <w:color w:val="auto"/>
          <w:sz w:val="28"/>
          <w:u w:val="none"/>
        </w:rPr>
        <w:t>Daudzpusēja ieguldītāju un valstu strīdu izšķiršanas tiesa: Apvienoto Nāciju Organizācijas Starptautisko tirdzniecības tiesību komisijas procesa novērtējums un tās sasniegumi, ņemot vērā pilsoniskās sabiedrības ieteikumus</w:t>
      </w:r>
    </w:p>
    <w:p w14:paraId="2700D3DC" w14:textId="77777777" w:rsidR="005A6946" w:rsidRPr="006E3F60" w:rsidRDefault="005A6946" w:rsidP="005A6946">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A6946" w:rsidRPr="006E3F60" w14:paraId="29B7EB33" w14:textId="77777777" w:rsidTr="00576060">
        <w:tc>
          <w:tcPr>
            <w:tcW w:w="1701" w:type="dxa"/>
          </w:tcPr>
          <w:p w14:paraId="65CC57B7" w14:textId="77777777" w:rsidR="005A6946" w:rsidRPr="006E3F60" w:rsidRDefault="005A6946" w:rsidP="00576060">
            <w:pPr>
              <w:keepNext/>
              <w:contextualSpacing/>
              <w:rPr>
                <w:b/>
              </w:rPr>
            </w:pPr>
            <w:r>
              <w:rPr>
                <w:b/>
              </w:rPr>
              <w:t>Ziņotājs:</w:t>
            </w:r>
          </w:p>
        </w:tc>
        <w:tc>
          <w:tcPr>
            <w:tcW w:w="6946" w:type="dxa"/>
          </w:tcPr>
          <w:p w14:paraId="6B4DFB8B" w14:textId="439C7393" w:rsidR="005A6946" w:rsidRPr="006E3F60" w:rsidRDefault="005A6946" w:rsidP="00576060">
            <w:pPr>
              <w:keepNext/>
              <w:ind w:left="-106"/>
              <w:contextualSpacing/>
            </w:pPr>
            <w:r>
              <w:t>Christophe QUAREZ (Darba ņēmēju grupa – FR)</w:t>
            </w:r>
          </w:p>
        </w:tc>
      </w:tr>
      <w:tr w:rsidR="005A6946" w:rsidRPr="006E3F60" w14:paraId="23B7B3CB" w14:textId="77777777" w:rsidTr="00576060">
        <w:tc>
          <w:tcPr>
            <w:tcW w:w="1701" w:type="dxa"/>
          </w:tcPr>
          <w:p w14:paraId="0FC6C5FE" w14:textId="77777777" w:rsidR="005A6946" w:rsidRPr="006E3F60" w:rsidRDefault="005A6946" w:rsidP="00576060">
            <w:pPr>
              <w:keepNext/>
              <w:contextualSpacing/>
              <w:rPr>
                <w:b/>
              </w:rPr>
            </w:pPr>
          </w:p>
        </w:tc>
        <w:tc>
          <w:tcPr>
            <w:tcW w:w="6946" w:type="dxa"/>
          </w:tcPr>
          <w:p w14:paraId="57A6592B" w14:textId="77777777" w:rsidR="005A6946" w:rsidRPr="006E3F60" w:rsidRDefault="005A6946" w:rsidP="00576060">
            <w:pPr>
              <w:keepNext/>
              <w:ind w:left="-106"/>
              <w:contextualSpacing/>
            </w:pPr>
          </w:p>
        </w:tc>
      </w:tr>
      <w:tr w:rsidR="005A6946" w:rsidRPr="006E3F60" w14:paraId="32A6D63C" w14:textId="77777777" w:rsidTr="00576060">
        <w:tc>
          <w:tcPr>
            <w:tcW w:w="1701" w:type="dxa"/>
          </w:tcPr>
          <w:p w14:paraId="59793F2C" w14:textId="3381ECDA" w:rsidR="005A6946" w:rsidRPr="006E3F60" w:rsidRDefault="00B80604" w:rsidP="00576060">
            <w:pPr>
              <w:keepNext/>
              <w:contextualSpacing/>
              <w:rPr>
                <w:b/>
              </w:rPr>
            </w:pPr>
            <w:r>
              <w:rPr>
                <w:b/>
              </w:rPr>
              <w:t>Atsauce:</w:t>
            </w:r>
            <w:r w:rsidR="005A6946">
              <w:rPr>
                <w:b/>
              </w:rPr>
              <w:t xml:space="preserve"> </w:t>
            </w:r>
          </w:p>
        </w:tc>
        <w:tc>
          <w:tcPr>
            <w:tcW w:w="6946" w:type="dxa"/>
          </w:tcPr>
          <w:p w14:paraId="1B795F51" w14:textId="48A733ED" w:rsidR="005A6946" w:rsidRPr="006E3F60" w:rsidRDefault="005A6946" w:rsidP="00576060">
            <w:pPr>
              <w:keepNext/>
              <w:ind w:left="-106"/>
              <w:contextualSpacing/>
              <w:rPr>
                <w:iCs/>
                <w:color w:val="000000"/>
              </w:rPr>
            </w:pPr>
            <w:r>
              <w:rPr>
                <w:color w:val="000000"/>
              </w:rPr>
              <w:t>Pašiniciatīvas atzinums</w:t>
            </w:r>
          </w:p>
          <w:p w14:paraId="1A4A6239" w14:textId="6C46DAB5" w:rsidR="005A6946" w:rsidRPr="006E3F60" w:rsidRDefault="005A6946" w:rsidP="00576060">
            <w:pPr>
              <w:keepNext/>
              <w:ind w:left="-106"/>
              <w:contextualSpacing/>
            </w:pPr>
            <w:r>
              <w:t>EESC-2022-01963-00-00-AC</w:t>
            </w:r>
          </w:p>
        </w:tc>
      </w:tr>
    </w:tbl>
    <w:p w14:paraId="4575981C" w14:textId="77777777" w:rsidR="005A6946" w:rsidRPr="006E3F60" w:rsidRDefault="005A6946" w:rsidP="005A6946">
      <w:pPr>
        <w:keepNext/>
        <w:ind w:left="567"/>
        <w:contextualSpacing/>
      </w:pPr>
    </w:p>
    <w:p w14:paraId="4B593B9E" w14:textId="77777777" w:rsidR="005A6946" w:rsidRPr="00A00F37" w:rsidRDefault="005A6946" w:rsidP="005A6946">
      <w:pPr>
        <w:pStyle w:val="ListParagraph"/>
        <w:spacing w:line="240" w:lineRule="auto"/>
        <w:ind w:left="0" w:firstLine="142"/>
        <w:rPr>
          <w:b/>
        </w:rPr>
      </w:pPr>
      <w:r>
        <w:rPr>
          <w:b/>
          <w:bCs/>
        </w:rPr>
        <w:t>Svarīgākie aspekti</w:t>
      </w:r>
    </w:p>
    <w:p w14:paraId="3951073F" w14:textId="77777777" w:rsidR="005A6946" w:rsidRPr="00C25DB3" w:rsidRDefault="005A6946" w:rsidP="005A6946">
      <w:pPr>
        <w:contextualSpacing/>
        <w:rPr>
          <w:b/>
        </w:rPr>
      </w:pPr>
    </w:p>
    <w:p w14:paraId="748FD679" w14:textId="77777777" w:rsidR="005A6946" w:rsidRDefault="005A6946" w:rsidP="005A6946">
      <w:pPr>
        <w:ind w:left="142"/>
        <w:contextualSpacing/>
        <w:rPr>
          <w:bCs/>
          <w:iCs/>
        </w:rPr>
      </w:pPr>
      <w:r>
        <w:t>EESK:</w:t>
      </w:r>
    </w:p>
    <w:p w14:paraId="4D23D0F3" w14:textId="77777777" w:rsidR="005A6946" w:rsidRPr="006E3F60" w:rsidRDefault="005A6946" w:rsidP="005A6946">
      <w:pPr>
        <w:contextualSpacing/>
      </w:pPr>
    </w:p>
    <w:p w14:paraId="7213D0D1" w14:textId="3688194E" w:rsidR="005A6946" w:rsidRDefault="005A6946" w:rsidP="005A6946">
      <w:pPr>
        <w:numPr>
          <w:ilvl w:val="0"/>
          <w:numId w:val="3"/>
        </w:numPr>
        <w:ind w:left="357" w:hanging="357"/>
        <w:contextualSpacing/>
      </w:pPr>
      <w:r>
        <w:t>pauž nožēlu par to, ka Apvienoto Nāciju Organizācijas Starptautisko tirdzniecības tiesību komisijas (</w:t>
      </w:r>
      <w:r>
        <w:rPr>
          <w:i/>
          <w:iCs/>
        </w:rPr>
        <w:t>UNCITRAL</w:t>
      </w:r>
      <w:r>
        <w:t>) III darba grupā notiekošajās sarunās par daudzpusējas ieguldījumu tiesas (</w:t>
      </w:r>
      <w:r>
        <w:rPr>
          <w:i/>
          <w:iCs/>
        </w:rPr>
        <w:t>MIC</w:t>
      </w:r>
      <w:r>
        <w:t xml:space="preserve">) iespējamu izveidi uzsvars tiek likts </w:t>
      </w:r>
      <w:r>
        <w:rPr>
          <w:b/>
          <w:bCs/>
        </w:rPr>
        <w:t>vairāk uz</w:t>
      </w:r>
      <w:r>
        <w:t xml:space="preserve"> </w:t>
      </w:r>
      <w:r>
        <w:rPr>
          <w:b/>
          <w:bCs/>
        </w:rPr>
        <w:t>procesuāliem jautājumiem, nevis būtiskām problēmām</w:t>
      </w:r>
      <w:r>
        <w:t>;</w:t>
      </w:r>
    </w:p>
    <w:p w14:paraId="7D3EDA42" w14:textId="617A98FD" w:rsidR="005A6946" w:rsidRPr="005A6946" w:rsidRDefault="005A6946" w:rsidP="005A6946">
      <w:pPr>
        <w:numPr>
          <w:ilvl w:val="0"/>
          <w:numId w:val="3"/>
        </w:numPr>
        <w:ind w:left="357" w:hanging="357"/>
        <w:contextualSpacing/>
      </w:pPr>
      <w:r>
        <w:t xml:space="preserve">mudina Eiropas Komisiju, īstenojot savas sarunu pilnvaras, turpināt pūliņus, kas saistīti ar materiālo tiesību jautājumu un procesuālo noteikumu reformu. Viens no materiālo tiesību jautājumiem ir </w:t>
      </w:r>
      <w:r>
        <w:rPr>
          <w:b/>
          <w:bCs/>
        </w:rPr>
        <w:t>neskaidri vai pārāk tālejoši</w:t>
      </w:r>
      <w:r>
        <w:t xml:space="preserve"> taisnīgas un vienlīdzīgas attieksmes </w:t>
      </w:r>
      <w:r>
        <w:rPr>
          <w:b/>
          <w:bCs/>
        </w:rPr>
        <w:t>noteikumi</w:t>
      </w:r>
      <w:r>
        <w:t xml:space="preserve">, kas </w:t>
      </w:r>
      <w:r>
        <w:rPr>
          <w:b/>
          <w:bCs/>
        </w:rPr>
        <w:t>būtu jāierobežo</w:t>
      </w:r>
      <w:r>
        <w:t>, un uzsvars būtu jāliek tikai uz nediskrimināciju un tiešu ekspropriāciju kā būtiskiem ieguldījumu aizsardzības elementiem;</w:t>
      </w:r>
    </w:p>
    <w:p w14:paraId="654F9DF8" w14:textId="1B80DD0F" w:rsidR="005A6946" w:rsidRPr="005A6946" w:rsidRDefault="005A6946" w:rsidP="005A6946">
      <w:pPr>
        <w:numPr>
          <w:ilvl w:val="0"/>
          <w:numId w:val="3"/>
        </w:numPr>
        <w:ind w:left="357" w:hanging="357"/>
        <w:contextualSpacing/>
      </w:pPr>
      <w:r>
        <w:t xml:space="preserve">atgādina Komisijai, ka tā vēlas </w:t>
      </w:r>
      <w:r>
        <w:rPr>
          <w:b/>
        </w:rPr>
        <w:t>būt vairāk iesaistīta</w:t>
      </w:r>
      <w:r>
        <w:t xml:space="preserve"> </w:t>
      </w:r>
      <w:r>
        <w:rPr>
          <w:i/>
          <w:iCs/>
        </w:rPr>
        <w:t>UNCITRAL</w:t>
      </w:r>
      <w:r>
        <w:t> darbā;</w:t>
      </w:r>
    </w:p>
    <w:p w14:paraId="7AB2069C" w14:textId="411F5550" w:rsidR="005A6946" w:rsidRPr="006E3F60" w:rsidRDefault="005A6946" w:rsidP="005A6946">
      <w:pPr>
        <w:numPr>
          <w:ilvl w:val="0"/>
          <w:numId w:val="3"/>
        </w:numPr>
        <w:ind w:left="357" w:hanging="357"/>
        <w:contextualSpacing/>
      </w:pPr>
      <w:r>
        <w:t xml:space="preserve">uzskata, ka </w:t>
      </w:r>
      <w:r>
        <w:rPr>
          <w:i/>
          <w:iCs/>
        </w:rPr>
        <w:t>amicus curiae</w:t>
      </w:r>
      <w:r>
        <w:t xml:space="preserve"> modelī būtu jāparedz </w:t>
      </w:r>
      <w:r>
        <w:rPr>
          <w:b/>
        </w:rPr>
        <w:t>visu ieinteresēto pušu</w:t>
      </w:r>
      <w:r>
        <w:t xml:space="preserve"> (piemēram, vietējo iedzīvotāju, darba ņēmēju, arodbiedrību, vides grupu vai patērētāju) kā trešo pušu iesaistīšanās un jānodrošina, ka tiesneši tās pienācīgi ņem vērā;</w:t>
      </w:r>
    </w:p>
    <w:p w14:paraId="58873CAE" w14:textId="26A48D57" w:rsidR="005A6946" w:rsidRPr="005A6946" w:rsidRDefault="005A6946" w:rsidP="005A6946">
      <w:pPr>
        <w:numPr>
          <w:ilvl w:val="0"/>
          <w:numId w:val="3"/>
        </w:numPr>
        <w:ind w:left="357" w:hanging="357"/>
        <w:contextualSpacing/>
      </w:pPr>
      <w:r>
        <w:lastRenderedPageBreak/>
        <w:t xml:space="preserve">aicina nodrošināt, ka tiek turpinātas sarunas par dažiem transversālākajiem jautājumiem, tostarp ieguldītāju un valstu strīdu izšķiršanas atturošo ietekmi, </w:t>
      </w:r>
      <w:r>
        <w:rPr>
          <w:b/>
        </w:rPr>
        <w:t>vietējo tiesiskās aizsardzības līdzekļu izsmelšanu</w:t>
      </w:r>
      <w:r>
        <w:t xml:space="preserve"> un trešo personu, piemēram, ieguldījumu ietekmēto vietējo kopienu, iesaisti;</w:t>
      </w:r>
    </w:p>
    <w:p w14:paraId="11CEFC9A" w14:textId="7018DD30" w:rsidR="005A6946" w:rsidRPr="005A6946" w:rsidRDefault="005A6946" w:rsidP="005A6946">
      <w:pPr>
        <w:numPr>
          <w:ilvl w:val="0"/>
          <w:numId w:val="3"/>
        </w:numPr>
        <w:ind w:left="357" w:hanging="357"/>
        <w:contextualSpacing/>
      </w:pPr>
      <w:r>
        <w:t xml:space="preserve">atzinīgi vērtē ESAO darbu, kura mērķis ir panākt </w:t>
      </w:r>
      <w:r>
        <w:rPr>
          <w:b/>
          <w:bCs/>
        </w:rPr>
        <w:t>ilgtspējīgas attīstības problēmu</w:t>
      </w:r>
      <w:r>
        <w:t xml:space="preserve"> atspoguļošanu ieguldījumu nolīgumos, taču mudina ESAO papildināt savu darbu, apsverot arī sociālos jautājumus, it īpaši nosakot, ka pienācīga rūpība ir ārvalstu investoru atbilstības kritērijs;</w:t>
      </w:r>
    </w:p>
    <w:p w14:paraId="04EA68A9" w14:textId="529808FE" w:rsidR="005A6946" w:rsidRDefault="005A6946" w:rsidP="005A6946">
      <w:pPr>
        <w:numPr>
          <w:ilvl w:val="0"/>
          <w:numId w:val="3"/>
        </w:numPr>
        <w:ind w:left="357" w:hanging="357"/>
        <w:contextualSpacing/>
      </w:pPr>
      <w:r>
        <w:t xml:space="preserve">norāda: pat ja III darba grupas centieni ir vērsti uz procesuāliem elementiem, nākotnē tam var būt pozitīva ietekme, piemēram, </w:t>
      </w:r>
      <w:r>
        <w:rPr>
          <w:b/>
        </w:rPr>
        <w:t>skaidrāka un stabilāka judikatūra</w:t>
      </w:r>
      <w:r>
        <w:t>, kas atvieglos arī ieguldījumu līgumos piemērojamo materiālo tiesību normu reformu;</w:t>
      </w:r>
    </w:p>
    <w:p w14:paraId="4FF88315" w14:textId="39C824CC" w:rsidR="005A6946" w:rsidRDefault="005A6946" w:rsidP="005A6946">
      <w:pPr>
        <w:numPr>
          <w:ilvl w:val="0"/>
          <w:numId w:val="3"/>
        </w:numPr>
        <w:ind w:left="357" w:hanging="357"/>
        <w:contextualSpacing/>
      </w:pPr>
      <w:r>
        <w:t xml:space="preserve">uzskata, ka ir būtiski ieguldītāju un valstu strīdu izšķiršanas institucionālas reformas gaitā </w:t>
      </w:r>
      <w:r>
        <w:rPr>
          <w:b/>
          <w:bCs/>
        </w:rPr>
        <w:t>atteikties no ad hoc šķīrējtiesas</w:t>
      </w:r>
      <w:r>
        <w:t>, izmantot holistiskāku pieeju starptautisko ieguldījumu pārvaldībai, nevis ieguldītāju un valstu strīdu izšķiršanas tiesu tikai aizstāt ar ieguldītāju un valstu tiesu;</w:t>
      </w:r>
    </w:p>
    <w:p w14:paraId="4F19F8CC" w14:textId="108A092C" w:rsidR="005A6946" w:rsidRDefault="005A6946" w:rsidP="005A6946">
      <w:pPr>
        <w:numPr>
          <w:ilvl w:val="0"/>
          <w:numId w:val="3"/>
        </w:numPr>
        <w:ind w:left="357" w:hanging="357"/>
        <w:contextualSpacing/>
      </w:pPr>
      <w:r>
        <w:t xml:space="preserve">vēlreiz norāda, ka </w:t>
      </w:r>
      <w:r>
        <w:rPr>
          <w:b/>
          <w:bCs/>
        </w:rPr>
        <w:t>jāpanāk saskaņotība</w:t>
      </w:r>
      <w:r>
        <w:t xml:space="preserve"> starp Eiropas Savienības izvirzītajiem vērienīgajiem ilgtspējīgas attīstības mērķiem un satvaru, kurā tiek reformēts ieguldītāju un valstu strīdu izšķiršanas modelis.</w:t>
      </w:r>
    </w:p>
    <w:p w14:paraId="653B5D94" w14:textId="77777777" w:rsidR="005A6946" w:rsidRPr="006348D3" w:rsidRDefault="005A6946" w:rsidP="005A6946">
      <w:pPr>
        <w:contextualSpacing/>
        <w:rPr>
          <w:sz w:val="16"/>
          <w:szCs w:val="16"/>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5A6946" w:rsidRPr="006E3F60" w14:paraId="650DCAA2" w14:textId="77777777" w:rsidTr="00576060">
        <w:tc>
          <w:tcPr>
            <w:tcW w:w="1418" w:type="dxa"/>
          </w:tcPr>
          <w:p w14:paraId="572FC70F" w14:textId="77777777" w:rsidR="005A6946" w:rsidRPr="006E3F60" w:rsidRDefault="005A6946" w:rsidP="00576060">
            <w:pPr>
              <w:contextualSpacing/>
              <w:rPr>
                <w:i/>
              </w:rPr>
            </w:pPr>
            <w:r>
              <w:rPr>
                <w:b/>
                <w:i/>
              </w:rPr>
              <w:t>Kontaktpersona:</w:t>
            </w:r>
          </w:p>
        </w:tc>
        <w:tc>
          <w:tcPr>
            <w:tcW w:w="5670" w:type="dxa"/>
          </w:tcPr>
          <w:p w14:paraId="5EF48136" w14:textId="4697236A" w:rsidR="005A6946" w:rsidRPr="006E3F60" w:rsidRDefault="005A6946" w:rsidP="00576060">
            <w:pPr>
              <w:contextualSpacing/>
              <w:rPr>
                <w:i/>
              </w:rPr>
            </w:pPr>
            <w:r>
              <w:rPr>
                <w:i/>
              </w:rPr>
              <w:t>Marco Ristori</w:t>
            </w:r>
          </w:p>
        </w:tc>
      </w:tr>
      <w:tr w:rsidR="005A6946" w:rsidRPr="006E3F60" w14:paraId="16F8B18C" w14:textId="77777777" w:rsidTr="00576060">
        <w:tc>
          <w:tcPr>
            <w:tcW w:w="1418" w:type="dxa"/>
          </w:tcPr>
          <w:p w14:paraId="5D2396C5" w14:textId="77777777" w:rsidR="005A6946" w:rsidRPr="006E3F60" w:rsidRDefault="005A6946" w:rsidP="00576060">
            <w:pPr>
              <w:ind w:left="601"/>
              <w:contextualSpacing/>
              <w:rPr>
                <w:i/>
              </w:rPr>
            </w:pPr>
            <w:r>
              <w:rPr>
                <w:i/>
              </w:rPr>
              <w:t>Tālr.:</w:t>
            </w:r>
          </w:p>
        </w:tc>
        <w:tc>
          <w:tcPr>
            <w:tcW w:w="5670" w:type="dxa"/>
          </w:tcPr>
          <w:p w14:paraId="395BEF50" w14:textId="6C807FB5" w:rsidR="005A6946" w:rsidRPr="006E3F60" w:rsidRDefault="005A6946" w:rsidP="00576060">
            <w:pPr>
              <w:contextualSpacing/>
              <w:rPr>
                <w:i/>
              </w:rPr>
            </w:pPr>
            <w:r>
              <w:rPr>
                <w:i/>
              </w:rPr>
              <w:t>00 32 2 546 99 69</w:t>
            </w:r>
          </w:p>
        </w:tc>
      </w:tr>
      <w:tr w:rsidR="005A6946" w:rsidRPr="006E3F60" w14:paraId="3B91F9CB" w14:textId="77777777" w:rsidTr="00576060">
        <w:tc>
          <w:tcPr>
            <w:tcW w:w="1418" w:type="dxa"/>
          </w:tcPr>
          <w:p w14:paraId="5DC00766" w14:textId="77777777" w:rsidR="005A6946" w:rsidRPr="006E3F60" w:rsidRDefault="005A6946" w:rsidP="00576060">
            <w:pPr>
              <w:ind w:left="601"/>
              <w:contextualSpacing/>
              <w:rPr>
                <w:i/>
              </w:rPr>
            </w:pPr>
            <w:r>
              <w:rPr>
                <w:i/>
              </w:rPr>
              <w:t>E-pasts:</w:t>
            </w:r>
          </w:p>
        </w:tc>
        <w:tc>
          <w:tcPr>
            <w:tcW w:w="5670" w:type="dxa"/>
          </w:tcPr>
          <w:p w14:paraId="2AE8AF18" w14:textId="2DB6F325" w:rsidR="005A6946" w:rsidRPr="006E3F60" w:rsidRDefault="000062DB" w:rsidP="00576060">
            <w:pPr>
              <w:contextualSpacing/>
              <w:rPr>
                <w:i/>
              </w:rPr>
            </w:pPr>
            <w:hyperlink r:id="rId49" w:history="1">
              <w:r w:rsidR="007B42E2">
                <w:rPr>
                  <w:rStyle w:val="Hyperlink"/>
                  <w:i/>
                </w:rPr>
                <w:t>Marco.Ristori@eesc.europa.eu</w:t>
              </w:r>
            </w:hyperlink>
          </w:p>
        </w:tc>
      </w:tr>
    </w:tbl>
    <w:p w14:paraId="064E838D" w14:textId="4255D796" w:rsidR="005A6946" w:rsidRDefault="005A6946" w:rsidP="00CB3335"/>
    <w:p w14:paraId="14F7D100" w14:textId="561ECA2C" w:rsidR="005445DD" w:rsidRPr="005445DD" w:rsidRDefault="005445DD" w:rsidP="005445DD">
      <w:pPr>
        <w:keepNext/>
        <w:keepLines/>
        <w:numPr>
          <w:ilvl w:val="0"/>
          <w:numId w:val="2"/>
        </w:numPr>
        <w:ind w:left="567" w:hanging="567"/>
        <w:contextualSpacing/>
        <w:rPr>
          <w:b/>
          <w:bCs/>
        </w:rPr>
      </w:pPr>
      <w:r>
        <w:rPr>
          <w:rStyle w:val="Hyperlink"/>
          <w:b/>
          <w:i/>
          <w:color w:val="auto"/>
          <w:sz w:val="28"/>
          <w:u w:val="none"/>
        </w:rPr>
        <w:t>Pēc programmas īstenošanas traucējumu rašanās noteiktie īpašie noteikumi sadarbības programmām 2014.–2020. gadā, kuras saņem atbalstu no Eiropas kaimiņattiecību instrumenta un saskaņā ar Eiropas teritoriālās sadarbības mērķi</w:t>
      </w:r>
    </w:p>
    <w:p w14:paraId="0219A9C5" w14:textId="77777777" w:rsidR="005445DD" w:rsidRPr="006E3F60" w:rsidRDefault="005445DD" w:rsidP="005445DD">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445DD" w:rsidRPr="006E3F60" w14:paraId="7B919E20" w14:textId="77777777" w:rsidTr="00576060">
        <w:tc>
          <w:tcPr>
            <w:tcW w:w="1701" w:type="dxa"/>
          </w:tcPr>
          <w:p w14:paraId="2D92A9F5" w14:textId="77777777" w:rsidR="005445DD" w:rsidRPr="006E3F60" w:rsidRDefault="005445DD" w:rsidP="00576060">
            <w:pPr>
              <w:keepNext/>
              <w:contextualSpacing/>
              <w:rPr>
                <w:b/>
              </w:rPr>
            </w:pPr>
            <w:r>
              <w:rPr>
                <w:b/>
              </w:rPr>
              <w:t>Ziņotājs:</w:t>
            </w:r>
          </w:p>
        </w:tc>
        <w:tc>
          <w:tcPr>
            <w:tcW w:w="6946" w:type="dxa"/>
          </w:tcPr>
          <w:p w14:paraId="6E8EE91B" w14:textId="258CC992" w:rsidR="005445DD" w:rsidRPr="006E3F60" w:rsidRDefault="005445DD" w:rsidP="00576060">
            <w:pPr>
              <w:keepNext/>
              <w:ind w:left="-106"/>
              <w:contextualSpacing/>
            </w:pPr>
            <w:r>
              <w:t>Andris GOBIŅŠ (Pilsoniskās sabiedrības organizāciju grupa – LV)</w:t>
            </w:r>
          </w:p>
        </w:tc>
      </w:tr>
      <w:tr w:rsidR="005445DD" w:rsidRPr="006E3F60" w14:paraId="4AF35F53" w14:textId="77777777" w:rsidTr="00576060">
        <w:tc>
          <w:tcPr>
            <w:tcW w:w="1701" w:type="dxa"/>
          </w:tcPr>
          <w:p w14:paraId="1C6C326E" w14:textId="77777777" w:rsidR="005445DD" w:rsidRPr="006E3F60" w:rsidRDefault="005445DD" w:rsidP="00576060">
            <w:pPr>
              <w:keepNext/>
              <w:contextualSpacing/>
              <w:rPr>
                <w:b/>
              </w:rPr>
            </w:pPr>
          </w:p>
        </w:tc>
        <w:tc>
          <w:tcPr>
            <w:tcW w:w="6946" w:type="dxa"/>
          </w:tcPr>
          <w:p w14:paraId="7DD762B9" w14:textId="77777777" w:rsidR="005445DD" w:rsidRPr="006E3F60" w:rsidRDefault="005445DD" w:rsidP="00576060">
            <w:pPr>
              <w:keepNext/>
              <w:ind w:left="-106"/>
              <w:contextualSpacing/>
            </w:pPr>
          </w:p>
        </w:tc>
      </w:tr>
      <w:tr w:rsidR="005445DD" w:rsidRPr="006E3F60" w14:paraId="55AECA3D" w14:textId="77777777" w:rsidTr="00576060">
        <w:tc>
          <w:tcPr>
            <w:tcW w:w="1701" w:type="dxa"/>
          </w:tcPr>
          <w:p w14:paraId="759CC067" w14:textId="77D28F50" w:rsidR="005445DD" w:rsidRPr="006E3F60" w:rsidRDefault="00B80604" w:rsidP="00576060">
            <w:pPr>
              <w:keepNext/>
              <w:contextualSpacing/>
              <w:rPr>
                <w:b/>
              </w:rPr>
            </w:pPr>
            <w:r>
              <w:rPr>
                <w:b/>
              </w:rPr>
              <w:t>Atsauces:</w:t>
            </w:r>
            <w:r w:rsidR="005445DD">
              <w:rPr>
                <w:b/>
              </w:rPr>
              <w:t xml:space="preserve"> </w:t>
            </w:r>
          </w:p>
        </w:tc>
        <w:tc>
          <w:tcPr>
            <w:tcW w:w="6946" w:type="dxa"/>
          </w:tcPr>
          <w:p w14:paraId="198E13AD" w14:textId="4DD2DC19" w:rsidR="005445DD" w:rsidRPr="006E3F60" w:rsidRDefault="005445DD" w:rsidP="00576060">
            <w:pPr>
              <w:keepNext/>
              <w:ind w:left="-106"/>
              <w:contextualSpacing/>
              <w:rPr>
                <w:iCs/>
                <w:color w:val="000000"/>
              </w:rPr>
            </w:pPr>
            <w:r>
              <w:rPr>
                <w:color w:val="000000"/>
              </w:rPr>
              <w:t>COM(2022) 362 final</w:t>
            </w:r>
          </w:p>
          <w:p w14:paraId="7A9588D2" w14:textId="085BDB4E" w:rsidR="005445DD" w:rsidRPr="006E3F60" w:rsidRDefault="005445DD" w:rsidP="00576060">
            <w:pPr>
              <w:keepNext/>
              <w:ind w:left="-106"/>
              <w:contextualSpacing/>
            </w:pPr>
            <w:r>
              <w:t>EESC-2022-05002-00-00-AC</w:t>
            </w:r>
          </w:p>
        </w:tc>
      </w:tr>
    </w:tbl>
    <w:p w14:paraId="2D915A02" w14:textId="77777777" w:rsidR="005445DD" w:rsidRPr="006E3F60" w:rsidRDefault="005445DD" w:rsidP="005445DD">
      <w:pPr>
        <w:keepNext/>
        <w:ind w:left="567"/>
        <w:contextualSpacing/>
      </w:pPr>
    </w:p>
    <w:p w14:paraId="652B0B60" w14:textId="1CAC2F67" w:rsidR="005445DD" w:rsidRPr="00A743EB" w:rsidRDefault="005445DD" w:rsidP="00A743EB">
      <w:pPr>
        <w:pStyle w:val="ListParagraph"/>
        <w:spacing w:line="240" w:lineRule="auto"/>
        <w:ind w:left="0" w:firstLine="142"/>
        <w:rPr>
          <w:b/>
        </w:rPr>
      </w:pPr>
      <w:r>
        <w:rPr>
          <w:b/>
          <w:bCs/>
        </w:rPr>
        <w:t>Svarīgākie aspekti</w:t>
      </w:r>
    </w:p>
    <w:p w14:paraId="3F60612E" w14:textId="77777777" w:rsidR="005445DD" w:rsidRPr="006E3F60" w:rsidRDefault="005445DD" w:rsidP="005445DD">
      <w:pPr>
        <w:contextualSpacing/>
      </w:pPr>
    </w:p>
    <w:p w14:paraId="6F7CEC7D" w14:textId="4191AA24" w:rsidR="005445DD" w:rsidRDefault="00A743EB" w:rsidP="005445DD">
      <w:pPr>
        <w:numPr>
          <w:ilvl w:val="0"/>
          <w:numId w:val="3"/>
        </w:numPr>
        <w:ind w:left="357" w:hanging="357"/>
        <w:contextualSpacing/>
      </w:pPr>
      <w:r>
        <w:t>Eiropas Ekonomikas un sociālo lietu komiteja (EESK) atbalsta Eiropas Komisijas, Parlamenta un Padomes pieeju, proti, darīt visu, kas ir nepieciešams, lai pēc iespējas ātrāk pieņemtu plānoto regulu, un mudina panākt, lai tā stājas spēkā ne vēlāk kā 2022. gada novembra sākumā</w:t>
      </w:r>
      <w:r w:rsidR="001C55E2">
        <w:t>.</w:t>
      </w:r>
    </w:p>
    <w:p w14:paraId="26895BE4" w14:textId="04466DA1" w:rsidR="005445DD" w:rsidRPr="005A6946" w:rsidRDefault="00A743EB" w:rsidP="005445DD">
      <w:pPr>
        <w:numPr>
          <w:ilvl w:val="0"/>
          <w:numId w:val="3"/>
        </w:numPr>
        <w:ind w:left="357" w:hanging="357"/>
        <w:contextualSpacing/>
      </w:pPr>
      <w:r>
        <w:t>EESK atzinīgi vērtē ES iestāžu ātro rīcību un nepieciešamo elastību attiecībā uz projektu īstenošanu uzreiz pēc neprovocētā un nepamatotā Krievijas iebrukuma Ukrainā. Ātra rīcība bija vienīgais veids, kā saglabāt atbilstību ES vērtībām un principiem</w:t>
      </w:r>
      <w:r w:rsidR="001C55E2">
        <w:t>.</w:t>
      </w:r>
    </w:p>
    <w:p w14:paraId="02733479" w14:textId="129998E7" w:rsidR="005445DD" w:rsidRPr="006E3F60" w:rsidRDefault="00A743EB" w:rsidP="005445DD">
      <w:pPr>
        <w:numPr>
          <w:ilvl w:val="0"/>
          <w:numId w:val="3"/>
        </w:numPr>
        <w:ind w:left="357" w:hanging="357"/>
        <w:contextualSpacing/>
      </w:pPr>
      <w:r>
        <w:t>EESK atbalsta ieceri nodrošināt elastīgumu notiekošo projektu mērķu grozīšanā, lai atspoguļotu jaunās vajadzības, piešķirot vadošajām iestādēm nepieciešamo elastību un nodrošinot tām juridisko noteiktību, ka projekti tiek īstenoti un izpildīti saskaņā ar noteikumiem un ka attiecībā uz revīziju nebūs daudz ierobežojumu. Tas ir īpaši svarīgi, jo regulu piemēros ar atpakaļejošu spēku no pilnā mēroga kara sākuma.</w:t>
      </w:r>
    </w:p>
    <w:p w14:paraId="18B0B889" w14:textId="73971BE9" w:rsidR="005445DD" w:rsidRPr="005A6946" w:rsidRDefault="00A743EB" w:rsidP="005445DD">
      <w:pPr>
        <w:numPr>
          <w:ilvl w:val="0"/>
          <w:numId w:val="3"/>
        </w:numPr>
        <w:ind w:left="357" w:hanging="357"/>
        <w:contextualSpacing/>
      </w:pPr>
      <w:r>
        <w:t xml:space="preserve">EESK atgādina par jaunajiem apstākļiem pret Ukrainu sāktā kara pēdējos mēnešos. Tā kā Ukrainai ir piešķirts ES kandidātvalsts statuss un pieaug vajadzība pēc atjaunošanas un sagatavošanās ziemai Ukrainā, attiecībā uz atbalsttiesīgām darbībām būtu jāpiešķir vēl lielāka elastība un plašāk jādefinē </w:t>
      </w:r>
      <w:r>
        <w:lastRenderedPageBreak/>
        <w:t>pārrobežu/reģionālās sadarbības pasākumi saistībā ar notiekošajiem un plānotajiem projektiem, kā paredzēts ierosinātajos regulas grozījumos.</w:t>
      </w:r>
    </w:p>
    <w:p w14:paraId="1F7E3F54" w14:textId="23250233" w:rsidR="005445DD" w:rsidRDefault="00A743EB" w:rsidP="00A743EB">
      <w:pPr>
        <w:numPr>
          <w:ilvl w:val="0"/>
          <w:numId w:val="3"/>
        </w:numPr>
        <w:ind w:left="357" w:hanging="357"/>
        <w:contextualSpacing/>
      </w:pPr>
      <w:r>
        <w:t>Ņemot vērā finansējuma apturēšanu Krievijas Federācijas un Baltkrievijas iestādēm un ar to saistīto pārrobežu sadarbības pārtraukšanu ar Krievijas Federāciju un Baltkrieviju, EESK uzskata, ka jādara viss iespējamais, lai līdzekļus, kas sākotnēji bija paredzēti minētajām sadarbības programmām, novirzītu sadarbībai ar Ukrainu.</w:t>
      </w:r>
    </w:p>
    <w:p w14:paraId="49503023" w14:textId="77777777" w:rsidR="005445DD" w:rsidRPr="006E3F60" w:rsidRDefault="005445DD" w:rsidP="005445DD">
      <w:pPr>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5445DD" w:rsidRPr="006E3F60" w14:paraId="6FC3B513" w14:textId="77777777" w:rsidTr="00576060">
        <w:tc>
          <w:tcPr>
            <w:tcW w:w="1418" w:type="dxa"/>
          </w:tcPr>
          <w:p w14:paraId="24539884" w14:textId="77777777" w:rsidR="005445DD" w:rsidRPr="006E3F60" w:rsidRDefault="005445DD" w:rsidP="00576060">
            <w:pPr>
              <w:contextualSpacing/>
              <w:rPr>
                <w:i/>
              </w:rPr>
            </w:pPr>
            <w:r>
              <w:rPr>
                <w:b/>
                <w:i/>
              </w:rPr>
              <w:t>Kontaktpersona:</w:t>
            </w:r>
          </w:p>
        </w:tc>
        <w:tc>
          <w:tcPr>
            <w:tcW w:w="5670" w:type="dxa"/>
          </w:tcPr>
          <w:p w14:paraId="360EC5B6" w14:textId="297F4554" w:rsidR="005445DD" w:rsidRPr="006E3F60" w:rsidRDefault="005445DD" w:rsidP="00576060">
            <w:pPr>
              <w:contextualSpacing/>
              <w:rPr>
                <w:i/>
              </w:rPr>
            </w:pPr>
            <w:r>
              <w:rPr>
                <w:i/>
              </w:rPr>
              <w:t>Katarina Grzeszczyk Albrechtova</w:t>
            </w:r>
          </w:p>
        </w:tc>
      </w:tr>
      <w:tr w:rsidR="005445DD" w:rsidRPr="006E3F60" w14:paraId="72963368" w14:textId="77777777" w:rsidTr="00576060">
        <w:tc>
          <w:tcPr>
            <w:tcW w:w="1418" w:type="dxa"/>
          </w:tcPr>
          <w:p w14:paraId="42069190" w14:textId="77777777" w:rsidR="005445DD" w:rsidRPr="006E3F60" w:rsidRDefault="005445DD" w:rsidP="00576060">
            <w:pPr>
              <w:ind w:left="601"/>
              <w:contextualSpacing/>
              <w:rPr>
                <w:i/>
              </w:rPr>
            </w:pPr>
            <w:r>
              <w:rPr>
                <w:i/>
              </w:rPr>
              <w:t>Tālr.:</w:t>
            </w:r>
          </w:p>
        </w:tc>
        <w:tc>
          <w:tcPr>
            <w:tcW w:w="5670" w:type="dxa"/>
          </w:tcPr>
          <w:p w14:paraId="110B1E4D" w14:textId="5D204AA5" w:rsidR="005445DD" w:rsidRPr="006E3F60" w:rsidRDefault="005445DD" w:rsidP="00576060">
            <w:pPr>
              <w:contextualSpacing/>
              <w:rPr>
                <w:i/>
              </w:rPr>
            </w:pPr>
            <w:r>
              <w:rPr>
                <w:i/>
              </w:rPr>
              <w:t>00 32 2 546 94 60</w:t>
            </w:r>
          </w:p>
        </w:tc>
      </w:tr>
      <w:tr w:rsidR="005445DD" w:rsidRPr="006E3F60" w14:paraId="39185FE8" w14:textId="77777777" w:rsidTr="00576060">
        <w:tc>
          <w:tcPr>
            <w:tcW w:w="1418" w:type="dxa"/>
          </w:tcPr>
          <w:p w14:paraId="073F08E8" w14:textId="77777777" w:rsidR="005445DD" w:rsidRPr="006E3F60" w:rsidRDefault="005445DD" w:rsidP="00576060">
            <w:pPr>
              <w:ind w:left="601"/>
              <w:contextualSpacing/>
              <w:rPr>
                <w:i/>
              </w:rPr>
            </w:pPr>
            <w:r>
              <w:rPr>
                <w:i/>
              </w:rPr>
              <w:t>E-pasts:</w:t>
            </w:r>
          </w:p>
        </w:tc>
        <w:tc>
          <w:tcPr>
            <w:tcW w:w="5670" w:type="dxa"/>
          </w:tcPr>
          <w:p w14:paraId="184563F5" w14:textId="5E9A8B7F" w:rsidR="005445DD" w:rsidRPr="006E3F60" w:rsidRDefault="000062DB" w:rsidP="00576060">
            <w:pPr>
              <w:contextualSpacing/>
              <w:rPr>
                <w:i/>
              </w:rPr>
            </w:pPr>
            <w:hyperlink r:id="rId50" w:history="1">
              <w:r w:rsidR="007B42E2">
                <w:rPr>
                  <w:rStyle w:val="Hyperlink"/>
                  <w:i/>
                </w:rPr>
                <w:t>Katarina.Albrechtova@eesc.europa.eu</w:t>
              </w:r>
            </w:hyperlink>
          </w:p>
        </w:tc>
      </w:tr>
    </w:tbl>
    <w:p w14:paraId="723C78EB" w14:textId="64927A44" w:rsidR="005445DD" w:rsidRDefault="005445DD" w:rsidP="00CB3335"/>
    <w:p w14:paraId="6269768A" w14:textId="77777777" w:rsidR="000062DB" w:rsidRPr="00CB3335" w:rsidRDefault="000062DB" w:rsidP="00CB3335"/>
    <w:p w14:paraId="43F93309" w14:textId="77777777" w:rsidR="00745EAA" w:rsidRPr="003E692C" w:rsidRDefault="00745EAA" w:rsidP="003E692C">
      <w:pPr>
        <w:pStyle w:val="Heading1"/>
        <w:keepNext/>
        <w:rPr>
          <w:b/>
        </w:rPr>
      </w:pPr>
      <w:bookmarkStart w:id="46" w:name="_Toc120000283"/>
      <w:r>
        <w:rPr>
          <w:b/>
        </w:rPr>
        <w:t>RŪPNIECĪBAS PĀRMAIŅU KONSULTATĪVĀ KOMISIJA</w:t>
      </w:r>
      <w:bookmarkEnd w:id="46"/>
    </w:p>
    <w:p w14:paraId="4A27BE14" w14:textId="31E2CB00" w:rsidR="006E3F60" w:rsidRPr="00745EAA" w:rsidRDefault="006E3F60" w:rsidP="00745EAA">
      <w:pPr>
        <w:keepNext/>
        <w:keepLines/>
        <w:contextualSpacing/>
        <w:rPr>
          <w:b/>
          <w:sz w:val="28"/>
          <w:szCs w:val="28"/>
        </w:rPr>
      </w:pPr>
    </w:p>
    <w:bookmarkStart w:id="47" w:name="_Hlk113971064"/>
    <w:p w14:paraId="4FF48D94" w14:textId="015C528B" w:rsidR="00092425" w:rsidRPr="00360C81" w:rsidRDefault="009B725C" w:rsidP="00576060">
      <w:pPr>
        <w:keepNext/>
        <w:keepLines/>
        <w:numPr>
          <w:ilvl w:val="0"/>
          <w:numId w:val="2"/>
        </w:numPr>
        <w:ind w:left="567" w:hanging="567"/>
        <w:contextualSpacing/>
        <w:rPr>
          <w:rStyle w:val="Hyperlink"/>
          <w:color w:val="auto"/>
          <w:u w:val="none"/>
        </w:rPr>
      </w:pPr>
      <w:r>
        <w:fldChar w:fldCharType="begin"/>
      </w:r>
      <w:r>
        <w:instrText xml:space="preserve"> HYPERLINK "https://www.eesc.europa.eu/lv/our-work/opinions-information-reports/opinions/harmonised-conditions-marketing-construction-products" </w:instrText>
      </w:r>
      <w:r>
        <w:fldChar w:fldCharType="separate"/>
      </w:r>
      <w:r w:rsidR="007B42E2">
        <w:rPr>
          <w:rStyle w:val="Hyperlink"/>
          <w:b/>
          <w:i/>
          <w:color w:val="auto"/>
          <w:sz w:val="28"/>
          <w:u w:val="none"/>
        </w:rPr>
        <w:t>Saskaņoti būvizstrādājumu tirdzniecības nosacījumi</w:t>
      </w:r>
      <w:r>
        <w:rPr>
          <w:rStyle w:val="Hyperlink"/>
          <w:b/>
          <w:i/>
          <w:color w:val="auto"/>
          <w:sz w:val="28"/>
          <w:u w:val="none"/>
        </w:rPr>
        <w:fldChar w:fldCharType="end"/>
      </w:r>
    </w:p>
    <w:p w14:paraId="4DD756C4" w14:textId="77777777" w:rsidR="00360C81" w:rsidRPr="006E3F60" w:rsidRDefault="00360C81" w:rsidP="00DC28F0">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6E3F60" w:rsidRPr="006E3F60" w14:paraId="25907EC0" w14:textId="77777777" w:rsidTr="00C25DB3">
        <w:tc>
          <w:tcPr>
            <w:tcW w:w="1701" w:type="dxa"/>
          </w:tcPr>
          <w:p w14:paraId="363A590B" w14:textId="77777777" w:rsidR="006E3F60" w:rsidRPr="006E3F60" w:rsidRDefault="006E3F60" w:rsidP="006E3F60">
            <w:pPr>
              <w:keepNext/>
              <w:contextualSpacing/>
              <w:rPr>
                <w:b/>
              </w:rPr>
            </w:pPr>
            <w:r>
              <w:rPr>
                <w:b/>
              </w:rPr>
              <w:t>Ziņotājs:</w:t>
            </w:r>
          </w:p>
        </w:tc>
        <w:tc>
          <w:tcPr>
            <w:tcW w:w="6946" w:type="dxa"/>
          </w:tcPr>
          <w:p w14:paraId="7776D9DA" w14:textId="7E9BF3C7" w:rsidR="006E3F60" w:rsidRPr="006E3F60" w:rsidRDefault="00360C81" w:rsidP="006E3F60">
            <w:pPr>
              <w:keepNext/>
              <w:ind w:left="-106"/>
              <w:contextualSpacing/>
            </w:pPr>
            <w:r>
              <w:t>Manuel García SALGADO (Darba ņēmēju grupa – ES)</w:t>
            </w:r>
          </w:p>
        </w:tc>
      </w:tr>
      <w:tr w:rsidR="006E3F60" w:rsidRPr="006E3F60" w14:paraId="3818F306" w14:textId="77777777" w:rsidTr="00C25DB3">
        <w:tc>
          <w:tcPr>
            <w:tcW w:w="1701" w:type="dxa"/>
          </w:tcPr>
          <w:p w14:paraId="335B5DA6" w14:textId="77777777" w:rsidR="006E3F60" w:rsidRPr="006E3F60" w:rsidRDefault="006E3F60" w:rsidP="006E3F60">
            <w:pPr>
              <w:keepNext/>
              <w:contextualSpacing/>
              <w:rPr>
                <w:b/>
              </w:rPr>
            </w:pPr>
            <w:r>
              <w:rPr>
                <w:b/>
              </w:rPr>
              <w:t>Līdzziņotājs</w:t>
            </w:r>
          </w:p>
        </w:tc>
        <w:tc>
          <w:tcPr>
            <w:tcW w:w="6946" w:type="dxa"/>
          </w:tcPr>
          <w:p w14:paraId="5324713C" w14:textId="0FD1B4DD" w:rsidR="006E3F60" w:rsidRPr="006E3F60" w:rsidRDefault="00360C81" w:rsidP="006E3F60">
            <w:pPr>
              <w:keepNext/>
              <w:ind w:left="-106"/>
              <w:contextualSpacing/>
            </w:pPr>
            <w:r>
              <w:t>Domenico CAMPOGRANDE (1. kat. – IT)</w:t>
            </w:r>
          </w:p>
        </w:tc>
      </w:tr>
      <w:tr w:rsidR="006E3F60" w:rsidRPr="006E3F60" w14:paraId="3B98D2DD" w14:textId="77777777" w:rsidTr="00C25DB3">
        <w:tc>
          <w:tcPr>
            <w:tcW w:w="8647" w:type="dxa"/>
            <w:gridSpan w:val="2"/>
          </w:tcPr>
          <w:p w14:paraId="302FFA0F" w14:textId="77777777" w:rsidR="006E3F60" w:rsidRPr="006E3F60" w:rsidRDefault="006E3F60" w:rsidP="006E3F60">
            <w:pPr>
              <w:keepNext/>
              <w:contextualSpacing/>
            </w:pPr>
          </w:p>
        </w:tc>
      </w:tr>
      <w:tr w:rsidR="006E3F60" w:rsidRPr="006E3F60" w14:paraId="5C47C9B0" w14:textId="77777777" w:rsidTr="00C25DB3">
        <w:tc>
          <w:tcPr>
            <w:tcW w:w="1701" w:type="dxa"/>
          </w:tcPr>
          <w:p w14:paraId="70DE31B6" w14:textId="618CF339" w:rsidR="006E3F60" w:rsidRPr="006E3F60" w:rsidRDefault="00B80604" w:rsidP="006E3F60">
            <w:pPr>
              <w:keepNext/>
              <w:contextualSpacing/>
              <w:rPr>
                <w:b/>
              </w:rPr>
            </w:pPr>
            <w:r>
              <w:rPr>
                <w:b/>
              </w:rPr>
              <w:t>Atsauces:</w:t>
            </w:r>
            <w:r w:rsidR="006E3F60">
              <w:rPr>
                <w:b/>
              </w:rPr>
              <w:t xml:space="preserve"> </w:t>
            </w:r>
          </w:p>
        </w:tc>
        <w:tc>
          <w:tcPr>
            <w:tcW w:w="6946" w:type="dxa"/>
          </w:tcPr>
          <w:p w14:paraId="1726139F" w14:textId="14611642" w:rsidR="006E3F60" w:rsidRPr="006E3F60" w:rsidRDefault="00E53870" w:rsidP="006E3F60">
            <w:pPr>
              <w:keepNext/>
              <w:ind w:left="-106"/>
              <w:contextualSpacing/>
              <w:rPr>
                <w:iCs/>
                <w:color w:val="000000"/>
              </w:rPr>
            </w:pPr>
            <w:r>
              <w:rPr>
                <w:color w:val="000000"/>
              </w:rPr>
              <w:t>COM(2022) 144 final</w:t>
            </w:r>
          </w:p>
          <w:p w14:paraId="2ACB8205" w14:textId="6FB20AAE" w:rsidR="006E3F60" w:rsidRPr="006E3F60" w:rsidRDefault="00C25DB3" w:rsidP="006E3F60">
            <w:pPr>
              <w:keepNext/>
              <w:ind w:left="-106"/>
              <w:contextualSpacing/>
            </w:pPr>
            <w:r>
              <w:t>EESC-2022-0276-00-00-AC</w:t>
            </w:r>
          </w:p>
        </w:tc>
      </w:tr>
    </w:tbl>
    <w:p w14:paraId="491156E7" w14:textId="77777777" w:rsidR="006E3F60" w:rsidRPr="006E3F60" w:rsidRDefault="006E3F60" w:rsidP="006E3F60">
      <w:pPr>
        <w:keepNext/>
        <w:ind w:left="567"/>
        <w:contextualSpacing/>
      </w:pPr>
    </w:p>
    <w:p w14:paraId="393FC053" w14:textId="7D463869" w:rsidR="006E3F60" w:rsidRDefault="006E3F60" w:rsidP="00A00F37">
      <w:pPr>
        <w:pStyle w:val="ListParagraph"/>
        <w:spacing w:line="240" w:lineRule="auto"/>
        <w:ind w:left="0" w:firstLine="142"/>
        <w:rPr>
          <w:b/>
        </w:rPr>
      </w:pPr>
      <w:r>
        <w:rPr>
          <w:b/>
          <w:bCs/>
        </w:rPr>
        <w:t>Svarīgākie aspekti</w:t>
      </w:r>
    </w:p>
    <w:p w14:paraId="5DC1F2E9" w14:textId="77777777" w:rsidR="00C25DB3" w:rsidRPr="00C25DB3" w:rsidRDefault="00C25DB3" w:rsidP="00C25DB3">
      <w:pPr>
        <w:contextualSpacing/>
        <w:rPr>
          <w:b/>
        </w:rPr>
      </w:pPr>
    </w:p>
    <w:p w14:paraId="7490CEC6" w14:textId="77777777" w:rsidR="006E3F60" w:rsidRPr="00A00F37" w:rsidRDefault="00C25DB3" w:rsidP="00A00F37">
      <w:pPr>
        <w:pStyle w:val="ListParagraph"/>
        <w:spacing w:line="240" w:lineRule="auto"/>
        <w:ind w:left="0" w:firstLine="142"/>
        <w:rPr>
          <w:bCs/>
          <w:iCs/>
        </w:rPr>
      </w:pPr>
      <w:r>
        <w:t>EESK:</w:t>
      </w:r>
    </w:p>
    <w:p w14:paraId="725984FA" w14:textId="77777777" w:rsidR="00C25DB3" w:rsidRPr="006E3F60" w:rsidRDefault="00C25DB3" w:rsidP="00C25DB3">
      <w:pPr>
        <w:contextualSpacing/>
      </w:pPr>
    </w:p>
    <w:p w14:paraId="23C73CEE" w14:textId="3B004ED9" w:rsidR="00070AAE" w:rsidRDefault="00360C81" w:rsidP="00070AAE">
      <w:pPr>
        <w:numPr>
          <w:ilvl w:val="0"/>
          <w:numId w:val="3"/>
        </w:numPr>
        <w:ind w:left="357" w:hanging="357"/>
        <w:contextualSpacing/>
      </w:pPr>
      <w:r>
        <w:t>uzskata, ka bez padziļinātas Regulas priekšlikuma pārskatīšanas nebūs iespējams sasniegt tā galvenos mērķus;</w:t>
      </w:r>
    </w:p>
    <w:p w14:paraId="1EBD51AB" w14:textId="5DEFE7AD" w:rsidR="00070AAE" w:rsidRDefault="00360C81" w:rsidP="0005110E">
      <w:pPr>
        <w:numPr>
          <w:ilvl w:val="0"/>
          <w:numId w:val="3"/>
        </w:numPr>
        <w:ind w:left="357" w:hanging="357"/>
        <w:contextualSpacing/>
      </w:pPr>
      <w:r>
        <w:t>ir pārliecināta, ka Regulā ierosinātais pārejas periods ir pārāk garš; turklāt Eiropas Komisija nepiedāvā nekādus īstermiņa risinājumus, kas novērstu pašreizējo kavēšanos ar jaunu standartu publicēšanu Oficiālajā Vēstnesī;</w:t>
      </w:r>
    </w:p>
    <w:p w14:paraId="27F7B8B2" w14:textId="2B69D301" w:rsidR="00C25DB3" w:rsidRDefault="00360C81" w:rsidP="0005110E">
      <w:pPr>
        <w:numPr>
          <w:ilvl w:val="0"/>
          <w:numId w:val="3"/>
        </w:numPr>
        <w:ind w:left="357" w:hanging="357"/>
        <w:contextualSpacing/>
      </w:pPr>
      <w:r>
        <w:t>ar bažām konstatē, ka EK atgriežas pie centralizētas pieejas standartizācijai un ka rezultātā tiks izslēgti nozares mazākie locekļi;</w:t>
      </w:r>
    </w:p>
    <w:p w14:paraId="15D0A0FC" w14:textId="45AABCA7" w:rsidR="00360C81" w:rsidRDefault="00360C81" w:rsidP="0005110E">
      <w:pPr>
        <w:numPr>
          <w:ilvl w:val="0"/>
          <w:numId w:val="3"/>
        </w:numPr>
        <w:ind w:left="357" w:hanging="357"/>
        <w:contextualSpacing/>
      </w:pPr>
      <w:r>
        <w:t>vēlas būvniecības nozares pieeju standartizācijas un būvizstrādājumu brīvas aprites jomā noteikt par tās pamatvērtību, jo šajā procesā vadība būtu jāuzņemas nozarei, un tam vajadzētu būt augšupējam procesam, kurā visas iesaistītās personas uz sadarbības un elastības pamata iegūst atjaunotus standartus;</w:t>
      </w:r>
    </w:p>
    <w:p w14:paraId="42143F50" w14:textId="2DFECDF9" w:rsidR="00360C81" w:rsidRDefault="00360C81" w:rsidP="0005110E">
      <w:pPr>
        <w:numPr>
          <w:ilvl w:val="0"/>
          <w:numId w:val="3"/>
        </w:numPr>
        <w:ind w:left="357" w:hanging="357"/>
        <w:contextualSpacing/>
      </w:pPr>
      <w:r>
        <w:t>ir pārliecināta, ka Būvizstrādājumu regulā ir jāietver skaidri un samērīgi noteikumi par atkalizmantotajiem un pārražotajiem produktiem;</w:t>
      </w:r>
    </w:p>
    <w:p w14:paraId="233098CF" w14:textId="5F9BEFB2" w:rsidR="00360C81" w:rsidRPr="00C25DB3" w:rsidRDefault="00360C81" w:rsidP="0005110E">
      <w:pPr>
        <w:numPr>
          <w:ilvl w:val="0"/>
          <w:numId w:val="3"/>
        </w:numPr>
        <w:ind w:left="357" w:hanging="357"/>
        <w:contextualSpacing/>
      </w:pPr>
      <w:r>
        <w:t>atbalsta EK priekšlikumu saistībā ar būvizstrādājumu funkcionālo un drošības prasību papildkritērijiem, kas vēl skaidrāku padara faktu par darba veselības un drošības labas pārvaldības pozitīvo ietekmi.</w:t>
      </w:r>
    </w:p>
    <w:p w14:paraId="6575574F" w14:textId="77777777" w:rsidR="00C25DB3" w:rsidRPr="006E3F60" w:rsidRDefault="00C25DB3" w:rsidP="006E3F60"/>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6E3F60" w:rsidRPr="006E3F60" w14:paraId="3701C8A8" w14:textId="77777777" w:rsidTr="00B83E7B">
        <w:tc>
          <w:tcPr>
            <w:tcW w:w="1418" w:type="dxa"/>
          </w:tcPr>
          <w:p w14:paraId="61A358F3" w14:textId="77777777" w:rsidR="006E3F60" w:rsidRPr="006E3F60" w:rsidRDefault="006E3F60" w:rsidP="006E3F60">
            <w:pPr>
              <w:contextualSpacing/>
              <w:rPr>
                <w:i/>
              </w:rPr>
            </w:pPr>
            <w:r>
              <w:rPr>
                <w:b/>
                <w:i/>
              </w:rPr>
              <w:t>Kontaktpersona:</w:t>
            </w:r>
          </w:p>
        </w:tc>
        <w:tc>
          <w:tcPr>
            <w:tcW w:w="5670" w:type="dxa"/>
          </w:tcPr>
          <w:p w14:paraId="529847A8" w14:textId="62C2F07E" w:rsidR="006E3F60" w:rsidRPr="006E3F60" w:rsidRDefault="00360C81" w:rsidP="006E3F60">
            <w:pPr>
              <w:contextualSpacing/>
              <w:rPr>
                <w:i/>
              </w:rPr>
            </w:pPr>
            <w:r>
              <w:rPr>
                <w:i/>
              </w:rPr>
              <w:t>Aleksandra Wieczorek</w:t>
            </w:r>
          </w:p>
        </w:tc>
      </w:tr>
      <w:tr w:rsidR="006E3F60" w:rsidRPr="006E3F60" w14:paraId="2E4F0404" w14:textId="77777777" w:rsidTr="00B83E7B">
        <w:tc>
          <w:tcPr>
            <w:tcW w:w="1418" w:type="dxa"/>
          </w:tcPr>
          <w:p w14:paraId="5A7B9997" w14:textId="77777777" w:rsidR="006E3F60" w:rsidRPr="006E3F60" w:rsidRDefault="006E3F60" w:rsidP="006E3F60">
            <w:pPr>
              <w:ind w:left="601"/>
              <w:contextualSpacing/>
              <w:rPr>
                <w:i/>
              </w:rPr>
            </w:pPr>
            <w:r>
              <w:rPr>
                <w:i/>
              </w:rPr>
              <w:t>Tālr.:</w:t>
            </w:r>
          </w:p>
        </w:tc>
        <w:tc>
          <w:tcPr>
            <w:tcW w:w="5670" w:type="dxa"/>
          </w:tcPr>
          <w:p w14:paraId="52C01769" w14:textId="133C2BFD" w:rsidR="006E3F60" w:rsidRPr="006E3F60" w:rsidRDefault="00F512BB" w:rsidP="006E3F60">
            <w:pPr>
              <w:contextualSpacing/>
              <w:rPr>
                <w:i/>
              </w:rPr>
            </w:pPr>
            <w:r>
              <w:rPr>
                <w:i/>
              </w:rPr>
              <w:t>00 32 2 546 91 70</w:t>
            </w:r>
          </w:p>
        </w:tc>
      </w:tr>
      <w:tr w:rsidR="006E3F60" w:rsidRPr="006E3F60" w14:paraId="1F686407" w14:textId="77777777" w:rsidTr="00B83E7B">
        <w:tc>
          <w:tcPr>
            <w:tcW w:w="1418" w:type="dxa"/>
          </w:tcPr>
          <w:p w14:paraId="2859E45F" w14:textId="77777777" w:rsidR="006E3F60" w:rsidRPr="006E3F60" w:rsidRDefault="006E3F60" w:rsidP="006E3F60">
            <w:pPr>
              <w:ind w:left="601"/>
              <w:contextualSpacing/>
              <w:rPr>
                <w:i/>
              </w:rPr>
            </w:pPr>
            <w:r>
              <w:rPr>
                <w:i/>
              </w:rPr>
              <w:t>E-pasts:</w:t>
            </w:r>
          </w:p>
        </w:tc>
        <w:tc>
          <w:tcPr>
            <w:tcW w:w="5670" w:type="dxa"/>
          </w:tcPr>
          <w:p w14:paraId="1B9ADEF7" w14:textId="39CF438B" w:rsidR="006E3F60" w:rsidRPr="006E3F60" w:rsidRDefault="000062DB" w:rsidP="006E3F60">
            <w:pPr>
              <w:contextualSpacing/>
              <w:rPr>
                <w:i/>
              </w:rPr>
            </w:pPr>
            <w:hyperlink r:id="rId51" w:history="1">
              <w:r w:rsidR="007B42E2">
                <w:rPr>
                  <w:rStyle w:val="Hyperlink"/>
                </w:rPr>
                <w:t>Aleksandra.Wieczorek@eesc.europa.eu</w:t>
              </w:r>
            </w:hyperlink>
          </w:p>
        </w:tc>
      </w:tr>
      <w:bookmarkEnd w:id="47"/>
    </w:tbl>
    <w:p w14:paraId="52288089" w14:textId="57BFD64F" w:rsidR="00835925" w:rsidRDefault="00835925">
      <w:pPr>
        <w:spacing w:after="160" w:line="259" w:lineRule="auto"/>
        <w:jc w:val="left"/>
      </w:pPr>
      <w:r>
        <w:br w:type="page"/>
      </w:r>
    </w:p>
    <w:p w14:paraId="3A8F76F3" w14:textId="0D5801C8" w:rsidR="00835925" w:rsidRPr="002D5A51" w:rsidRDefault="000062DB" w:rsidP="00576060">
      <w:pPr>
        <w:keepNext/>
        <w:keepLines/>
        <w:numPr>
          <w:ilvl w:val="0"/>
          <w:numId w:val="2"/>
        </w:numPr>
        <w:ind w:left="567" w:hanging="567"/>
        <w:contextualSpacing/>
        <w:rPr>
          <w:rStyle w:val="Hyperlink"/>
          <w:color w:val="auto"/>
          <w:u w:val="none"/>
        </w:rPr>
      </w:pPr>
      <w:hyperlink r:id="rId52" w:history="1">
        <w:r w:rsidR="007B42E2">
          <w:rPr>
            <w:rStyle w:val="Hyperlink"/>
            <w:b/>
            <w:i/>
            <w:color w:val="auto"/>
            <w:sz w:val="28"/>
            <w:u w:val="none"/>
          </w:rPr>
          <w:t>Digitālās inovācijas centri un MVU</w:t>
        </w:r>
      </w:hyperlink>
    </w:p>
    <w:p w14:paraId="0448FBB9" w14:textId="77777777" w:rsidR="002D5A51" w:rsidRPr="006E3F60" w:rsidRDefault="002D5A51" w:rsidP="002D5A51">
      <w:pPr>
        <w:keepNext/>
        <w:keepLines/>
        <w:contextualSpacing/>
      </w:pPr>
    </w:p>
    <w:tbl>
      <w:tblPr>
        <w:tblStyle w:val="TableGrid6"/>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9"/>
      </w:tblGrid>
      <w:tr w:rsidR="00835925" w:rsidRPr="006E3F60" w14:paraId="13E94984" w14:textId="77777777" w:rsidTr="00D67CAD">
        <w:tc>
          <w:tcPr>
            <w:tcW w:w="1701" w:type="dxa"/>
          </w:tcPr>
          <w:p w14:paraId="124EDC70" w14:textId="20D0D816" w:rsidR="00835925" w:rsidRPr="006E3F60" w:rsidRDefault="00835925" w:rsidP="00F01E91">
            <w:pPr>
              <w:keepNext/>
              <w:ind w:right="-253"/>
              <w:contextualSpacing/>
              <w:rPr>
                <w:b/>
              </w:rPr>
            </w:pPr>
            <w:r>
              <w:rPr>
                <w:b/>
              </w:rPr>
              <w:t>Ziņotājs:</w:t>
            </w:r>
          </w:p>
        </w:tc>
        <w:tc>
          <w:tcPr>
            <w:tcW w:w="6949" w:type="dxa"/>
          </w:tcPr>
          <w:p w14:paraId="766B780C" w14:textId="5FC8E2CC" w:rsidR="00835925" w:rsidRPr="006E3F60" w:rsidRDefault="002D5A51" w:rsidP="00D67CAD">
            <w:pPr>
              <w:keepNext/>
              <w:ind w:left="-810" w:firstLine="705"/>
              <w:contextualSpacing/>
            </w:pPr>
            <w:r>
              <w:t>Giuseppe GUERINI  (Pilsoniskās sabiedrības organizāciju grupa – IT)</w:t>
            </w:r>
          </w:p>
        </w:tc>
      </w:tr>
      <w:tr w:rsidR="00835925" w:rsidRPr="006E3F60" w14:paraId="68EC6D25" w14:textId="77777777" w:rsidTr="00D67CAD">
        <w:tc>
          <w:tcPr>
            <w:tcW w:w="1701" w:type="dxa"/>
          </w:tcPr>
          <w:p w14:paraId="77B608D1" w14:textId="10482A9D" w:rsidR="00835925" w:rsidRPr="006E3F60" w:rsidRDefault="00835925" w:rsidP="00576060">
            <w:pPr>
              <w:keepNext/>
              <w:contextualSpacing/>
              <w:rPr>
                <w:b/>
              </w:rPr>
            </w:pPr>
            <w:r>
              <w:rPr>
                <w:b/>
              </w:rPr>
              <w:t>Līdzziņotājs:</w:t>
            </w:r>
          </w:p>
        </w:tc>
        <w:tc>
          <w:tcPr>
            <w:tcW w:w="6949" w:type="dxa"/>
          </w:tcPr>
          <w:p w14:paraId="1D7D3F27" w14:textId="66681B3D" w:rsidR="00835925" w:rsidRPr="006E3F60" w:rsidRDefault="002D5A51" w:rsidP="00D67CAD">
            <w:pPr>
              <w:keepNext/>
              <w:ind w:left="-810" w:firstLine="705"/>
              <w:contextualSpacing/>
            </w:pPr>
            <w:r>
              <w:t>Nicos EPISTITHIOU (2. kat. – CY)</w:t>
            </w:r>
          </w:p>
        </w:tc>
      </w:tr>
      <w:tr w:rsidR="00835925" w:rsidRPr="006E3F60" w14:paraId="6DC1F79C" w14:textId="77777777" w:rsidTr="00D67CAD">
        <w:tc>
          <w:tcPr>
            <w:tcW w:w="8648" w:type="dxa"/>
            <w:gridSpan w:val="2"/>
          </w:tcPr>
          <w:p w14:paraId="51240433" w14:textId="77777777" w:rsidR="00835925" w:rsidRPr="006E3F60" w:rsidRDefault="00835925" w:rsidP="00576060">
            <w:pPr>
              <w:keepNext/>
              <w:contextualSpacing/>
            </w:pPr>
          </w:p>
        </w:tc>
      </w:tr>
      <w:tr w:rsidR="00835925" w:rsidRPr="006E3F60" w14:paraId="5EE9E345" w14:textId="77777777" w:rsidTr="00D67CAD">
        <w:tc>
          <w:tcPr>
            <w:tcW w:w="1701" w:type="dxa"/>
          </w:tcPr>
          <w:p w14:paraId="454508C4" w14:textId="1A6831C0" w:rsidR="00835925" w:rsidRPr="006E3F60" w:rsidRDefault="00B80604" w:rsidP="00576060">
            <w:pPr>
              <w:keepNext/>
              <w:contextualSpacing/>
              <w:rPr>
                <w:b/>
              </w:rPr>
            </w:pPr>
            <w:r>
              <w:rPr>
                <w:b/>
              </w:rPr>
              <w:t>Atsauce:</w:t>
            </w:r>
            <w:r w:rsidR="00835925">
              <w:rPr>
                <w:b/>
              </w:rPr>
              <w:t xml:space="preserve"> </w:t>
            </w:r>
          </w:p>
        </w:tc>
        <w:tc>
          <w:tcPr>
            <w:tcW w:w="6949" w:type="dxa"/>
          </w:tcPr>
          <w:p w14:paraId="046E3307" w14:textId="699B07B6" w:rsidR="00835925" w:rsidRPr="006E3F60" w:rsidRDefault="00E53870" w:rsidP="00576060">
            <w:pPr>
              <w:keepNext/>
              <w:ind w:left="-106"/>
              <w:contextualSpacing/>
              <w:rPr>
                <w:iCs/>
                <w:color w:val="000000"/>
              </w:rPr>
            </w:pPr>
            <w:r>
              <w:rPr>
                <w:color w:val="000000"/>
              </w:rPr>
              <w:t>Pašiniciatīvas atzinums</w:t>
            </w:r>
          </w:p>
          <w:p w14:paraId="12A855A2" w14:textId="154D8E38" w:rsidR="00835925" w:rsidRPr="006E3F60" w:rsidRDefault="00835925" w:rsidP="00576060">
            <w:pPr>
              <w:keepNext/>
              <w:ind w:left="-106"/>
              <w:contextualSpacing/>
            </w:pPr>
            <w:r>
              <w:t>EESC-2022-00730-00-00-AC</w:t>
            </w:r>
          </w:p>
        </w:tc>
      </w:tr>
    </w:tbl>
    <w:p w14:paraId="4DC0A97A" w14:textId="77777777" w:rsidR="00835925" w:rsidRPr="00A00F37" w:rsidRDefault="00835925" w:rsidP="00A00F37">
      <w:pPr>
        <w:keepNext/>
        <w:ind w:right="-253"/>
        <w:contextualSpacing/>
        <w:rPr>
          <w:b/>
        </w:rPr>
      </w:pPr>
    </w:p>
    <w:p w14:paraId="73329E3C" w14:textId="411C2E52" w:rsidR="00835925" w:rsidRDefault="00835925" w:rsidP="00A00F37">
      <w:pPr>
        <w:pStyle w:val="ListParagraph"/>
        <w:spacing w:line="240" w:lineRule="auto"/>
        <w:ind w:left="0" w:firstLine="142"/>
        <w:rPr>
          <w:b/>
        </w:rPr>
      </w:pPr>
      <w:r>
        <w:rPr>
          <w:b/>
          <w:bCs/>
        </w:rPr>
        <w:t>Svarīgākie aspekti</w:t>
      </w:r>
    </w:p>
    <w:p w14:paraId="77ED59BB" w14:textId="77777777" w:rsidR="00835925" w:rsidRPr="00C25DB3" w:rsidRDefault="00835925" w:rsidP="00835925">
      <w:pPr>
        <w:contextualSpacing/>
        <w:rPr>
          <w:b/>
        </w:rPr>
      </w:pPr>
    </w:p>
    <w:p w14:paraId="6798578A" w14:textId="77777777" w:rsidR="00835925" w:rsidRPr="00A00F37" w:rsidRDefault="00835925" w:rsidP="00A00F37">
      <w:pPr>
        <w:pStyle w:val="ListParagraph"/>
        <w:spacing w:line="240" w:lineRule="auto"/>
        <w:ind w:left="0" w:firstLine="142"/>
        <w:rPr>
          <w:bCs/>
          <w:iCs/>
        </w:rPr>
      </w:pPr>
      <w:r>
        <w:t>EESK:</w:t>
      </w:r>
    </w:p>
    <w:p w14:paraId="5A6325AB" w14:textId="77777777" w:rsidR="00835925" w:rsidRPr="006E3F60" w:rsidRDefault="00835925" w:rsidP="00835925">
      <w:pPr>
        <w:contextualSpacing/>
      </w:pPr>
    </w:p>
    <w:p w14:paraId="28A8F77A" w14:textId="03713F11" w:rsidR="00835925" w:rsidRDefault="002D5A51" w:rsidP="00835925">
      <w:pPr>
        <w:numPr>
          <w:ilvl w:val="0"/>
          <w:numId w:val="3"/>
        </w:numPr>
        <w:ind w:left="357" w:hanging="357"/>
        <w:contextualSpacing/>
      </w:pPr>
      <w:r>
        <w:t>ir stingri pārliecināta, ka Eiropas ekonomika var gūt labumu no digitālās un zaļās pārkārtošanās un kļūt konkurētspējīgāka, ilgtspējīgāka, noturīgāka un autonomāka. Tāpēc ES ir jāuzlabo savas pētniecības un izstrādes, kā arī inovācijas spējas un jāpalielina tehnoloģiju izplatība. ES ieguldījumi pētniecībā un izstrādē pēc iespējas ātrāk jāpalielina līdz 3 % no IKP. ES ir jāattīsta īpašs prasmju kopums saistībā ar jaunās paaudzes digitālajām tehnoloģijām un jānodrošina, ka tās kļūst par daļu no ES uzņēmumu darījumdarbības modeļiem;</w:t>
      </w:r>
    </w:p>
    <w:p w14:paraId="752ABB70" w14:textId="733D2CBC" w:rsidR="00835925" w:rsidRDefault="002D5A51" w:rsidP="00835925">
      <w:pPr>
        <w:numPr>
          <w:ilvl w:val="0"/>
          <w:numId w:val="3"/>
        </w:numPr>
        <w:ind w:left="357" w:hanging="357"/>
        <w:contextualSpacing/>
      </w:pPr>
      <w:r>
        <w:t>uzskata, ka, lai gan tradicionālie MVU var būt ārkārtīgi novatoriski, tiem ir grūtības pārvaldīt divējādo pārkārtošanos finansiālu un organizatorisku ierobežojumu dēļ, kā arī kompetences trūkuma dēļ. Katrā dalībvalstī ir radikāli jāuzlabo MVU piekļuve inovācijas finansējumam;</w:t>
      </w:r>
    </w:p>
    <w:p w14:paraId="05719A29" w14:textId="349478BC" w:rsidR="00835925" w:rsidRDefault="002D5A51" w:rsidP="00835925">
      <w:pPr>
        <w:numPr>
          <w:ilvl w:val="0"/>
          <w:numId w:val="3"/>
        </w:numPr>
        <w:ind w:left="357" w:hanging="357"/>
        <w:contextualSpacing/>
      </w:pPr>
      <w:r>
        <w:t>ir pārliecināta, ka digitālās inovācijas centri darbojas kā vienoti kontaktpunkti, kas uzņēmumiem nodrošina analīzi un risinājumus divējādās pārkārtošanās pārvarēšanai. Digitālās inovācijas centri var darboties kā platformas tehnoloģisko risinājumu pārbaudei pirms ieguldījumiem (“vispirms pārbaudīt, tad ieguldīt”), paraugprakšu apmaiņai un digitālo prasmju veidošanai;</w:t>
      </w:r>
    </w:p>
    <w:p w14:paraId="7233C845" w14:textId="314D8D9B" w:rsidR="00835925" w:rsidRDefault="002D5A51" w:rsidP="00835925">
      <w:pPr>
        <w:numPr>
          <w:ilvl w:val="0"/>
          <w:numId w:val="3"/>
        </w:numPr>
        <w:ind w:left="357" w:hanging="357"/>
        <w:contextualSpacing/>
      </w:pPr>
      <w:r>
        <w:t>uzskata, ka digitālās inovācijas centriem būtu jādarbojas kā starpposmam, kura uzdevums ir uzklausīt MVU prasības un noteikt instrumentus un risinājumus, lai tiem palīdzētu. Ļoti svarīgi ir uzlabot informētību par to, cik svarīgi var būt digitālās inovācijas centri. Vairākas ar MVU saistītas politikas jomas valstu līmenī netiek īstenotas un pastāv lielas atšķirības informēšanā par šādām MVU iespējām. ES un dalībvalstīm ir kopīgi jāiesaistās informētības uzlabošanā par esošajām Eiropas un valstu iniciatīvām, kas orientētas uz MVU, tostarp par ieguvumiem, ko sniedz pievienošanās digitālās inovācijas centru tīklam;</w:t>
      </w:r>
    </w:p>
    <w:p w14:paraId="4796F3CE" w14:textId="3E376125" w:rsidR="00835925" w:rsidRDefault="002D5A51" w:rsidP="00835925">
      <w:pPr>
        <w:numPr>
          <w:ilvl w:val="0"/>
          <w:numId w:val="3"/>
        </w:numPr>
        <w:ind w:left="357" w:hanging="357"/>
        <w:contextualSpacing/>
      </w:pPr>
      <w:r>
        <w:t>uzsver, ka digitālās inovācijas centriem galvenā uzmanība būtu jāpievērš reģionālās ekonomikas un vietējo MVU sistēmu atbalstam, un iesaka veikt esošo centru reģionālo kartēšanu un izstrādāt rīcības plānu, kurā galvenā uzmanība būtu pievērsta reģionālajai attīstībai un lielākai iekļaušanai un līdzdalībai;</w:t>
      </w:r>
    </w:p>
    <w:p w14:paraId="54498F93" w14:textId="0CB1B4E9" w:rsidR="003B2007" w:rsidRPr="00C25DB3" w:rsidRDefault="002D5A51" w:rsidP="002D5A51">
      <w:pPr>
        <w:numPr>
          <w:ilvl w:val="0"/>
          <w:numId w:val="3"/>
        </w:numPr>
        <w:ind w:left="357" w:hanging="357"/>
        <w:contextualSpacing/>
      </w:pPr>
      <w:r>
        <w:t>norāda, ka digitālās inovācijas centru sadalījums Eiropas reģionos atšķiras, Austrumeiropas un Dienvidaustrumeiropas valstīm atpaliekot. Atšķirību mazināšana starp dalībvalstīm un reģioniem ir būtiski svarīga Eiropas progresam.</w:t>
      </w:r>
    </w:p>
    <w:p w14:paraId="6B446184" w14:textId="77777777" w:rsidR="00835925" w:rsidRPr="006E3F60" w:rsidRDefault="00835925" w:rsidP="00835925"/>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670"/>
      </w:tblGrid>
      <w:tr w:rsidR="00835925" w:rsidRPr="006E3F60" w14:paraId="55A985CE" w14:textId="77777777" w:rsidTr="00576060">
        <w:tc>
          <w:tcPr>
            <w:tcW w:w="1418" w:type="dxa"/>
          </w:tcPr>
          <w:p w14:paraId="395E04B5" w14:textId="77777777" w:rsidR="00835925" w:rsidRPr="006E3F60" w:rsidRDefault="00835925" w:rsidP="00576060">
            <w:pPr>
              <w:contextualSpacing/>
              <w:rPr>
                <w:i/>
              </w:rPr>
            </w:pPr>
            <w:r>
              <w:rPr>
                <w:b/>
                <w:i/>
              </w:rPr>
              <w:t>Kontaktpersona:</w:t>
            </w:r>
          </w:p>
        </w:tc>
        <w:tc>
          <w:tcPr>
            <w:tcW w:w="5670" w:type="dxa"/>
          </w:tcPr>
          <w:p w14:paraId="66E7620D" w14:textId="30498078" w:rsidR="00835925" w:rsidRPr="003B2007" w:rsidRDefault="003B2007" w:rsidP="00576060">
            <w:pPr>
              <w:contextualSpacing/>
              <w:rPr>
                <w:i/>
              </w:rPr>
            </w:pPr>
            <w:r>
              <w:rPr>
                <w:i/>
              </w:rPr>
              <w:t>Adam Plezer</w:t>
            </w:r>
          </w:p>
        </w:tc>
      </w:tr>
      <w:tr w:rsidR="00835925" w:rsidRPr="006E3F60" w14:paraId="029B60F8" w14:textId="77777777" w:rsidTr="00576060">
        <w:tc>
          <w:tcPr>
            <w:tcW w:w="1418" w:type="dxa"/>
          </w:tcPr>
          <w:p w14:paraId="637F1E0E" w14:textId="77777777" w:rsidR="00835925" w:rsidRPr="006E3F60" w:rsidRDefault="00835925" w:rsidP="00576060">
            <w:pPr>
              <w:ind w:left="601"/>
              <w:contextualSpacing/>
              <w:rPr>
                <w:i/>
              </w:rPr>
            </w:pPr>
            <w:r>
              <w:rPr>
                <w:i/>
              </w:rPr>
              <w:t>Tālr.:</w:t>
            </w:r>
          </w:p>
        </w:tc>
        <w:tc>
          <w:tcPr>
            <w:tcW w:w="5670" w:type="dxa"/>
          </w:tcPr>
          <w:p w14:paraId="1EB0E058" w14:textId="7166A464" w:rsidR="00835925" w:rsidRPr="006E3F60" w:rsidRDefault="00835925" w:rsidP="00576060">
            <w:pPr>
              <w:contextualSpacing/>
              <w:rPr>
                <w:i/>
              </w:rPr>
            </w:pPr>
            <w:r>
              <w:rPr>
                <w:i/>
              </w:rPr>
              <w:t>00 32 2 546 86 28</w:t>
            </w:r>
          </w:p>
        </w:tc>
      </w:tr>
      <w:tr w:rsidR="00151492" w:rsidRPr="006E3F60" w14:paraId="6FD045E2" w14:textId="77777777" w:rsidTr="00576060">
        <w:tc>
          <w:tcPr>
            <w:tcW w:w="1418" w:type="dxa"/>
          </w:tcPr>
          <w:p w14:paraId="579006F6" w14:textId="0CD44CA0" w:rsidR="00151492" w:rsidRPr="006E3F60" w:rsidRDefault="00151492" w:rsidP="00576060">
            <w:pPr>
              <w:ind w:left="601"/>
              <w:contextualSpacing/>
              <w:rPr>
                <w:i/>
              </w:rPr>
            </w:pPr>
            <w:r>
              <w:rPr>
                <w:i/>
              </w:rPr>
              <w:t>E-pasts:</w:t>
            </w:r>
          </w:p>
        </w:tc>
        <w:tc>
          <w:tcPr>
            <w:tcW w:w="5670" w:type="dxa"/>
          </w:tcPr>
          <w:p w14:paraId="4B67FFE1" w14:textId="06538AFC" w:rsidR="00151492" w:rsidRDefault="000062DB" w:rsidP="00576060">
            <w:pPr>
              <w:contextualSpacing/>
              <w:rPr>
                <w:i/>
              </w:rPr>
            </w:pPr>
            <w:hyperlink r:id="rId53" w:history="1">
              <w:r w:rsidR="007B42E2">
                <w:rPr>
                  <w:rStyle w:val="Hyperlink"/>
                </w:rPr>
                <w:t>Adam.Plezer</w:t>
              </w:r>
              <w:r w:rsidR="007B42E2">
                <w:rPr>
                  <w:rStyle w:val="Hyperlink"/>
                  <w:i/>
                </w:rPr>
                <w:t>@eesc.europa.eu</w:t>
              </w:r>
            </w:hyperlink>
          </w:p>
        </w:tc>
      </w:tr>
    </w:tbl>
    <w:p w14:paraId="137DD8C1" w14:textId="02F5854C" w:rsidR="00151492" w:rsidRDefault="00151492" w:rsidP="000062DB">
      <w:pPr>
        <w:overflowPunct w:val="0"/>
        <w:autoSpaceDE w:val="0"/>
        <w:autoSpaceDN w:val="0"/>
        <w:adjustRightInd w:val="0"/>
        <w:jc w:val="center"/>
        <w:textAlignment w:val="baseline"/>
      </w:pPr>
      <w:r>
        <w:t>_____________</w:t>
      </w:r>
    </w:p>
    <w:p w14:paraId="5E62A09A" w14:textId="77777777" w:rsidR="00D67CAD" w:rsidRPr="0032340F" w:rsidRDefault="00D67CAD" w:rsidP="00D67CAD">
      <w:pPr>
        <w:rPr>
          <w:sz w:val="2"/>
          <w:szCs w:val="2"/>
        </w:rPr>
      </w:pPr>
    </w:p>
    <w:sectPr w:rsidR="00D67CAD" w:rsidRPr="0032340F" w:rsidSect="00151492">
      <w:headerReference w:type="even" r:id="rId54"/>
      <w:headerReference w:type="default" r:id="rId55"/>
      <w:footerReference w:type="even" r:id="rId56"/>
      <w:footerReference w:type="default" r:id="rId57"/>
      <w:headerReference w:type="first" r:id="rId58"/>
      <w:footerReference w:type="first" r:id="rId59"/>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576060" w:rsidRDefault="00576060" w:rsidP="003B0516">
      <w:pPr>
        <w:spacing w:line="240" w:lineRule="auto"/>
      </w:pPr>
      <w:r>
        <w:separator/>
      </w:r>
    </w:p>
  </w:endnote>
  <w:endnote w:type="continuationSeparator" w:id="0">
    <w:p w14:paraId="7657AFA9" w14:textId="77777777" w:rsidR="00576060" w:rsidRDefault="0057606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C1D6" w14:textId="77777777" w:rsidR="00576060" w:rsidRDefault="0057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8F0D" w14:textId="33649B64" w:rsidR="00576060" w:rsidRPr="00151492" w:rsidRDefault="00576060" w:rsidP="00151492">
    <w:pPr>
      <w:pStyle w:val="Footer"/>
    </w:pPr>
    <w:r>
      <w:t xml:space="preserve">EESC-2022-04734-00-00-TCD-TRA (EN) </w:t>
    </w:r>
    <w:r>
      <w:fldChar w:fldCharType="begin"/>
    </w:r>
    <w:r>
      <w:instrText xml:space="preserve"> PAGE  \* Arabic  \* MERGEFORMAT </w:instrText>
    </w:r>
    <w:r>
      <w:fldChar w:fldCharType="separate"/>
    </w:r>
    <w:r w:rsidR="009220F3">
      <w:rPr>
        <w:noProof/>
      </w:rPr>
      <w:t>1</w:t>
    </w:r>
    <w:r>
      <w:fldChar w:fldCharType="end"/>
    </w:r>
    <w:r>
      <w:t>/</w:t>
    </w:r>
    <w:r w:rsidR="000062DB">
      <w:fldChar w:fldCharType="begin"/>
    </w:r>
    <w:r w:rsidR="000062DB">
      <w:instrText xml:space="preserve"> NUMPAGES </w:instrText>
    </w:r>
    <w:r w:rsidR="000062DB">
      <w:fldChar w:fldCharType="separate"/>
    </w:r>
    <w:r w:rsidR="009220F3">
      <w:rPr>
        <w:noProof/>
      </w:rPr>
      <w:t>33</w:t>
    </w:r>
    <w:r w:rsidR="000062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6B7" w14:textId="77777777" w:rsidR="00576060" w:rsidRDefault="00576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576060" w:rsidRPr="00151492" w:rsidRDefault="00576060" w:rsidP="001514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65F0F865" w:rsidR="00576060" w:rsidRPr="00151492" w:rsidRDefault="00576060" w:rsidP="00151492">
    <w:pPr>
      <w:pStyle w:val="Footer"/>
    </w:pPr>
    <w:r>
      <w:t xml:space="preserve">EESC-2022-04734-00-00-TCD-TRA (EN) </w:t>
    </w:r>
    <w:r>
      <w:fldChar w:fldCharType="begin"/>
    </w:r>
    <w:r>
      <w:instrText xml:space="preserve"> PAGE  \* Arabic  \* MERGEFORMAT </w:instrText>
    </w:r>
    <w:r>
      <w:fldChar w:fldCharType="separate"/>
    </w:r>
    <w:r w:rsidR="009220F3">
      <w:rPr>
        <w:noProof/>
      </w:rPr>
      <w:t>4</w:t>
    </w:r>
    <w:r>
      <w:fldChar w:fldCharType="end"/>
    </w:r>
    <w:r>
      <w:t>/</w:t>
    </w:r>
    <w:r w:rsidR="000062DB">
      <w:fldChar w:fldCharType="begin"/>
    </w:r>
    <w:r w:rsidR="000062DB">
      <w:instrText xml:space="preserve"> NUMPAGES </w:instrText>
    </w:r>
    <w:r w:rsidR="000062DB">
      <w:fldChar w:fldCharType="separate"/>
    </w:r>
    <w:r w:rsidR="009220F3">
      <w:rPr>
        <w:noProof/>
      </w:rPr>
      <w:t>33</w:t>
    </w:r>
    <w:r w:rsidR="000062D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576060" w:rsidRPr="00151492" w:rsidRDefault="00576060" w:rsidP="0015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576060" w:rsidRDefault="00576060" w:rsidP="003B0516">
      <w:pPr>
        <w:spacing w:line="240" w:lineRule="auto"/>
      </w:pPr>
      <w:r>
        <w:separator/>
      </w:r>
    </w:p>
  </w:footnote>
  <w:footnote w:type="continuationSeparator" w:id="0">
    <w:p w14:paraId="7CEDF243" w14:textId="77777777" w:rsidR="00576060" w:rsidRDefault="00576060" w:rsidP="003B0516">
      <w:pPr>
        <w:spacing w:line="240" w:lineRule="auto"/>
      </w:pPr>
      <w:r>
        <w:continuationSeparator/>
      </w:r>
    </w:p>
  </w:footnote>
  <w:footnote w:id="1">
    <w:p w14:paraId="3CE78035" w14:textId="77777777" w:rsidR="00576060" w:rsidRPr="00FE2F04" w:rsidRDefault="00576060" w:rsidP="00677979">
      <w:pPr>
        <w:pStyle w:val="FootnoteText"/>
      </w:pPr>
      <w:r>
        <w:rPr>
          <w:rStyle w:val="FootnoteReference"/>
        </w:rPr>
        <w:footnoteRef/>
      </w:r>
      <w:r>
        <w:t xml:space="preserve"> </w:t>
      </w:r>
      <w:r>
        <w:tab/>
      </w:r>
      <w:hyperlink r:id="rId1" w:history="1">
        <w:r>
          <w:rPr>
            <w:rStyle w:val="Hyperlink"/>
          </w:rPr>
          <w:t>REX/550</w:t>
        </w:r>
      </w:hyperlink>
      <w:r>
        <w:t xml:space="preserve">, </w:t>
      </w:r>
      <w:hyperlink r:id="rId2" w:history="1">
        <w:r>
          <w:rPr>
            <w:rStyle w:val="Hyperlink"/>
          </w:rPr>
          <w:t>TEN/771</w:t>
        </w:r>
      </w:hyperlink>
      <w:r>
        <w:t xml:space="preserve">, </w:t>
      </w:r>
      <w:hyperlink r:id="rId3" w:history="1">
        <w:r>
          <w:rPr>
            <w:rStyle w:val="Hyperlink"/>
          </w:rPr>
          <w:t>INT/979</w:t>
        </w:r>
      </w:hyperlink>
      <w:r>
        <w:t xml:space="preserve">, </w:t>
      </w:r>
      <w:hyperlink r:id="rId4" w:history="1">
        <w:r>
          <w:rPr>
            <w:rStyle w:val="Hyperlink"/>
          </w:rPr>
          <w:t>SOC/717</w:t>
        </w:r>
      </w:hyperlink>
      <w:r>
        <w:t xml:space="preserve">, </w:t>
      </w:r>
      <w:hyperlink r:id="rId5" w:history="1">
        <w:r>
          <w:rPr>
            <w:rStyle w:val="Hyperlink"/>
          </w:rPr>
          <w:t>NAT/859</w:t>
        </w:r>
      </w:hyperlink>
      <w:r>
        <w:t xml:space="preserve">, </w:t>
      </w:r>
      <w:hyperlink r:id="rId6" w:history="1">
        <w:r>
          <w:rPr>
            <w:rStyle w:val="Hyperlink"/>
          </w:rPr>
          <w:t>ECO/853</w:t>
        </w:r>
      </w:hyperlink>
      <w:r>
        <w:t xml:space="preserve">, </w:t>
      </w:r>
      <w:hyperlink r:id="rId7" w:history="1">
        <w:r>
          <w:rPr>
            <w:rStyle w:val="Hyperlink"/>
          </w:rPr>
          <w:t>CCMI/190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815E" w14:textId="77777777" w:rsidR="00576060" w:rsidRDefault="0057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31E0" w14:textId="77777777" w:rsidR="00576060" w:rsidRDefault="00576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65CD" w14:textId="77777777" w:rsidR="00576060" w:rsidRDefault="00576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576060" w:rsidRPr="00151492" w:rsidRDefault="00576060" w:rsidP="001514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245F142D" w:rsidR="00576060" w:rsidRPr="00151492" w:rsidRDefault="00576060" w:rsidP="00151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576060" w:rsidRPr="00151492" w:rsidRDefault="00576060" w:rsidP="0015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3"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5"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9"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7"/>
  </w:num>
  <w:num w:numId="3">
    <w:abstractNumId w:val="19"/>
  </w:num>
  <w:num w:numId="4">
    <w:abstractNumId w:val="2"/>
  </w:num>
  <w:num w:numId="5">
    <w:abstractNumId w:val="14"/>
  </w:num>
  <w:num w:numId="6">
    <w:abstractNumId w:val="7"/>
  </w:num>
  <w:num w:numId="7">
    <w:abstractNumId w:val="3"/>
  </w:num>
  <w:num w:numId="8">
    <w:abstractNumId w:val="6"/>
  </w:num>
  <w:num w:numId="9">
    <w:abstractNumId w:val="5"/>
  </w:num>
  <w:num w:numId="10">
    <w:abstractNumId w:val="20"/>
  </w:num>
  <w:num w:numId="11">
    <w:abstractNumId w:val="10"/>
  </w:num>
  <w:num w:numId="12">
    <w:abstractNumId w:val="16"/>
  </w:num>
  <w:num w:numId="13">
    <w:abstractNumId w:val="0"/>
  </w:num>
  <w:num w:numId="14">
    <w:abstractNumId w:val="0"/>
  </w:num>
  <w:num w:numId="15">
    <w:abstractNumId w:val="15"/>
  </w:num>
  <w:num w:numId="16">
    <w:abstractNumId w:val="11"/>
  </w:num>
  <w:num w:numId="17">
    <w:abstractNumId w:val="0"/>
  </w:num>
  <w:num w:numId="18">
    <w:abstractNumId w:val="0"/>
  </w:num>
  <w:num w:numId="19">
    <w:abstractNumId w:val="18"/>
  </w:num>
  <w:num w:numId="20">
    <w:abstractNumId w:val="4"/>
  </w:num>
  <w:num w:numId="21">
    <w:abstractNumId w:val="13"/>
  </w:num>
  <w:num w:numId="22">
    <w:abstractNumId w:val="8"/>
  </w:num>
  <w:num w:numId="23">
    <w:abstractNumId w:val="9"/>
  </w:num>
  <w:num w:numId="24">
    <w:abstractNumId w:val="21"/>
  </w:num>
  <w:num w:numId="25">
    <w:abstractNumId w:val="12"/>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062DB"/>
    <w:rsid w:val="00014C93"/>
    <w:rsid w:val="00015E18"/>
    <w:rsid w:val="00017B56"/>
    <w:rsid w:val="000232FA"/>
    <w:rsid w:val="0002450A"/>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5D63"/>
    <w:rsid w:val="00056079"/>
    <w:rsid w:val="00056B3E"/>
    <w:rsid w:val="00057592"/>
    <w:rsid w:val="00063DFF"/>
    <w:rsid w:val="00063F30"/>
    <w:rsid w:val="00064EDE"/>
    <w:rsid w:val="00066475"/>
    <w:rsid w:val="00070AA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D2F8F"/>
    <w:rsid w:val="000D65AC"/>
    <w:rsid w:val="000E447F"/>
    <w:rsid w:val="000E5FFD"/>
    <w:rsid w:val="000E6108"/>
    <w:rsid w:val="000F2BDB"/>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51492"/>
    <w:rsid w:val="001543FE"/>
    <w:rsid w:val="00163106"/>
    <w:rsid w:val="00164813"/>
    <w:rsid w:val="00170DFD"/>
    <w:rsid w:val="001744F9"/>
    <w:rsid w:val="00174763"/>
    <w:rsid w:val="0018231C"/>
    <w:rsid w:val="00182F92"/>
    <w:rsid w:val="00191597"/>
    <w:rsid w:val="001951FD"/>
    <w:rsid w:val="0019715D"/>
    <w:rsid w:val="001A0AD4"/>
    <w:rsid w:val="001A2273"/>
    <w:rsid w:val="001A7476"/>
    <w:rsid w:val="001B10DA"/>
    <w:rsid w:val="001B6460"/>
    <w:rsid w:val="001C226F"/>
    <w:rsid w:val="001C4EDC"/>
    <w:rsid w:val="001C55E2"/>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1313"/>
    <w:rsid w:val="00224583"/>
    <w:rsid w:val="00225BCA"/>
    <w:rsid w:val="00225C52"/>
    <w:rsid w:val="00226DC1"/>
    <w:rsid w:val="00227E12"/>
    <w:rsid w:val="00232374"/>
    <w:rsid w:val="002326F4"/>
    <w:rsid w:val="002328D2"/>
    <w:rsid w:val="00237481"/>
    <w:rsid w:val="00241F6A"/>
    <w:rsid w:val="00242666"/>
    <w:rsid w:val="00247E02"/>
    <w:rsid w:val="00255669"/>
    <w:rsid w:val="00256F0A"/>
    <w:rsid w:val="00261903"/>
    <w:rsid w:val="00261FDB"/>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4ABC"/>
    <w:rsid w:val="002B5031"/>
    <w:rsid w:val="002B7545"/>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60C81"/>
    <w:rsid w:val="00361E48"/>
    <w:rsid w:val="0036641A"/>
    <w:rsid w:val="00370548"/>
    <w:rsid w:val="00370CCB"/>
    <w:rsid w:val="00376574"/>
    <w:rsid w:val="00394949"/>
    <w:rsid w:val="00396061"/>
    <w:rsid w:val="003965BB"/>
    <w:rsid w:val="003A0DB7"/>
    <w:rsid w:val="003A111C"/>
    <w:rsid w:val="003A7071"/>
    <w:rsid w:val="003B0516"/>
    <w:rsid w:val="003B2007"/>
    <w:rsid w:val="003B3C5F"/>
    <w:rsid w:val="003B3D68"/>
    <w:rsid w:val="003B6760"/>
    <w:rsid w:val="003C07C5"/>
    <w:rsid w:val="003C0E5B"/>
    <w:rsid w:val="003C0FF2"/>
    <w:rsid w:val="003C2647"/>
    <w:rsid w:val="003C4D5B"/>
    <w:rsid w:val="003C5614"/>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5E2"/>
    <w:rsid w:val="00441E45"/>
    <w:rsid w:val="004442D3"/>
    <w:rsid w:val="004511AE"/>
    <w:rsid w:val="00456E3C"/>
    <w:rsid w:val="00462B31"/>
    <w:rsid w:val="00463300"/>
    <w:rsid w:val="004646AF"/>
    <w:rsid w:val="0046631E"/>
    <w:rsid w:val="00470719"/>
    <w:rsid w:val="00472A79"/>
    <w:rsid w:val="00472E72"/>
    <w:rsid w:val="004755C3"/>
    <w:rsid w:val="00477361"/>
    <w:rsid w:val="004904F9"/>
    <w:rsid w:val="0049347F"/>
    <w:rsid w:val="004A46D9"/>
    <w:rsid w:val="004A5CD7"/>
    <w:rsid w:val="004B2250"/>
    <w:rsid w:val="004B344F"/>
    <w:rsid w:val="004B3DDD"/>
    <w:rsid w:val="004B7248"/>
    <w:rsid w:val="004B72DD"/>
    <w:rsid w:val="004C1E12"/>
    <w:rsid w:val="004C2872"/>
    <w:rsid w:val="004C40E4"/>
    <w:rsid w:val="004D2E64"/>
    <w:rsid w:val="004D65FF"/>
    <w:rsid w:val="004D7AC0"/>
    <w:rsid w:val="004E3304"/>
    <w:rsid w:val="004F2430"/>
    <w:rsid w:val="004F68A8"/>
    <w:rsid w:val="00502B04"/>
    <w:rsid w:val="00502C82"/>
    <w:rsid w:val="005030F7"/>
    <w:rsid w:val="00510903"/>
    <w:rsid w:val="00530644"/>
    <w:rsid w:val="00531E0B"/>
    <w:rsid w:val="00533BF2"/>
    <w:rsid w:val="0053502B"/>
    <w:rsid w:val="0054010D"/>
    <w:rsid w:val="00542C6F"/>
    <w:rsid w:val="005445DD"/>
    <w:rsid w:val="00546842"/>
    <w:rsid w:val="005475DA"/>
    <w:rsid w:val="00550800"/>
    <w:rsid w:val="00552022"/>
    <w:rsid w:val="00554499"/>
    <w:rsid w:val="00555A39"/>
    <w:rsid w:val="00560174"/>
    <w:rsid w:val="00564924"/>
    <w:rsid w:val="00565C6E"/>
    <w:rsid w:val="00571FEB"/>
    <w:rsid w:val="00576060"/>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7C47"/>
    <w:rsid w:val="005D55F5"/>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348D3"/>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91356"/>
    <w:rsid w:val="006967AE"/>
    <w:rsid w:val="006A1317"/>
    <w:rsid w:val="006A3A88"/>
    <w:rsid w:val="006A42C1"/>
    <w:rsid w:val="006A5AA8"/>
    <w:rsid w:val="006B106B"/>
    <w:rsid w:val="006B265F"/>
    <w:rsid w:val="006C4311"/>
    <w:rsid w:val="006C4ED2"/>
    <w:rsid w:val="006D1E2F"/>
    <w:rsid w:val="006D32E3"/>
    <w:rsid w:val="006D4847"/>
    <w:rsid w:val="006D6086"/>
    <w:rsid w:val="006E0E88"/>
    <w:rsid w:val="006E3078"/>
    <w:rsid w:val="006E3F60"/>
    <w:rsid w:val="006E6434"/>
    <w:rsid w:val="006F2BFD"/>
    <w:rsid w:val="006F3409"/>
    <w:rsid w:val="006F6E46"/>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2E2"/>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72DD"/>
    <w:rsid w:val="008C18DE"/>
    <w:rsid w:val="008C5DFD"/>
    <w:rsid w:val="008D2131"/>
    <w:rsid w:val="008D5213"/>
    <w:rsid w:val="008E0C2F"/>
    <w:rsid w:val="008E5076"/>
    <w:rsid w:val="008F1627"/>
    <w:rsid w:val="00900BFC"/>
    <w:rsid w:val="009011ED"/>
    <w:rsid w:val="00904994"/>
    <w:rsid w:val="009049FC"/>
    <w:rsid w:val="009109F5"/>
    <w:rsid w:val="00912E0E"/>
    <w:rsid w:val="00912F6B"/>
    <w:rsid w:val="00914265"/>
    <w:rsid w:val="009173E7"/>
    <w:rsid w:val="009177FF"/>
    <w:rsid w:val="009220F3"/>
    <w:rsid w:val="00931584"/>
    <w:rsid w:val="0093447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54A1"/>
    <w:rsid w:val="009B0E36"/>
    <w:rsid w:val="009B2ADD"/>
    <w:rsid w:val="009B37E5"/>
    <w:rsid w:val="009B70E7"/>
    <w:rsid w:val="009B725C"/>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5F78"/>
    <w:rsid w:val="009F706B"/>
    <w:rsid w:val="00A00F37"/>
    <w:rsid w:val="00A0410F"/>
    <w:rsid w:val="00A048E9"/>
    <w:rsid w:val="00A049D5"/>
    <w:rsid w:val="00A06E9E"/>
    <w:rsid w:val="00A10A98"/>
    <w:rsid w:val="00A20E9D"/>
    <w:rsid w:val="00A21849"/>
    <w:rsid w:val="00A23F52"/>
    <w:rsid w:val="00A26217"/>
    <w:rsid w:val="00A30792"/>
    <w:rsid w:val="00A30B84"/>
    <w:rsid w:val="00A3344B"/>
    <w:rsid w:val="00A37880"/>
    <w:rsid w:val="00A45EC3"/>
    <w:rsid w:val="00A46122"/>
    <w:rsid w:val="00A51F03"/>
    <w:rsid w:val="00A51F67"/>
    <w:rsid w:val="00A522D4"/>
    <w:rsid w:val="00A5507B"/>
    <w:rsid w:val="00A62F57"/>
    <w:rsid w:val="00A63413"/>
    <w:rsid w:val="00A6556C"/>
    <w:rsid w:val="00A659B5"/>
    <w:rsid w:val="00A661BB"/>
    <w:rsid w:val="00A720CF"/>
    <w:rsid w:val="00A743EB"/>
    <w:rsid w:val="00A74B4C"/>
    <w:rsid w:val="00A763E7"/>
    <w:rsid w:val="00A827D2"/>
    <w:rsid w:val="00A86E2C"/>
    <w:rsid w:val="00A9462E"/>
    <w:rsid w:val="00A94E45"/>
    <w:rsid w:val="00AA05F8"/>
    <w:rsid w:val="00AA5C1D"/>
    <w:rsid w:val="00AA5C61"/>
    <w:rsid w:val="00AA69BF"/>
    <w:rsid w:val="00AB20C0"/>
    <w:rsid w:val="00AB3045"/>
    <w:rsid w:val="00AB4D68"/>
    <w:rsid w:val="00AB5E6A"/>
    <w:rsid w:val="00AB72EB"/>
    <w:rsid w:val="00AC567A"/>
    <w:rsid w:val="00AC7690"/>
    <w:rsid w:val="00AD1524"/>
    <w:rsid w:val="00AD3DB1"/>
    <w:rsid w:val="00AD6708"/>
    <w:rsid w:val="00AD75EB"/>
    <w:rsid w:val="00AE0A52"/>
    <w:rsid w:val="00AE2E3C"/>
    <w:rsid w:val="00AF1233"/>
    <w:rsid w:val="00AF2C37"/>
    <w:rsid w:val="00AF45AD"/>
    <w:rsid w:val="00AF4F10"/>
    <w:rsid w:val="00B0753C"/>
    <w:rsid w:val="00B10934"/>
    <w:rsid w:val="00B11964"/>
    <w:rsid w:val="00B13B9C"/>
    <w:rsid w:val="00B24B60"/>
    <w:rsid w:val="00B24C28"/>
    <w:rsid w:val="00B30118"/>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0604"/>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167"/>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A2D88"/>
    <w:rsid w:val="00DA608B"/>
    <w:rsid w:val="00DB2B61"/>
    <w:rsid w:val="00DB34D6"/>
    <w:rsid w:val="00DB6D98"/>
    <w:rsid w:val="00DC057E"/>
    <w:rsid w:val="00DC097D"/>
    <w:rsid w:val="00DC17CF"/>
    <w:rsid w:val="00DC28F0"/>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1954"/>
    <w:rsid w:val="00E33923"/>
    <w:rsid w:val="00E33D03"/>
    <w:rsid w:val="00E34279"/>
    <w:rsid w:val="00E36EA1"/>
    <w:rsid w:val="00E4196E"/>
    <w:rsid w:val="00E461E1"/>
    <w:rsid w:val="00E53870"/>
    <w:rsid w:val="00E54548"/>
    <w:rsid w:val="00E61540"/>
    <w:rsid w:val="00E63571"/>
    <w:rsid w:val="00E642C0"/>
    <w:rsid w:val="00E64300"/>
    <w:rsid w:val="00E65D01"/>
    <w:rsid w:val="00E66A9B"/>
    <w:rsid w:val="00E72E7D"/>
    <w:rsid w:val="00E81FDD"/>
    <w:rsid w:val="00E86232"/>
    <w:rsid w:val="00E879A5"/>
    <w:rsid w:val="00E9792C"/>
    <w:rsid w:val="00EA1181"/>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619"/>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Valeria.Satta@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Sergio.Lorencio.Matallana@eesc.europa.eu" TargetMode="External"/><Relationship Id="rId34" Type="http://schemas.openxmlformats.org/officeDocument/2006/relationships/hyperlink" Target="mailto:Layla.Reiter@eesc.europa.eu" TargetMode="External"/><Relationship Id="rId42" Type="http://schemas.openxmlformats.org/officeDocument/2006/relationships/hyperlink" Target="mailto:Silvia.Staffa@eesc.europa.eu" TargetMode="External"/><Relationship Id="rId47" Type="http://schemas.openxmlformats.org/officeDocument/2006/relationships/hyperlink" Target="mailto:Martine.Delanoy@eesc.europa.eu" TargetMode="External"/><Relationship Id="rId50" Type="http://schemas.openxmlformats.org/officeDocument/2006/relationships/hyperlink" Target="mailto:%20Katarina.Albrechtova@eesc.europa.eu"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dit.CarrerasGarcia@eesc.europa.eu" TargetMode="External"/><Relationship Id="rId29" Type="http://schemas.openxmlformats.org/officeDocument/2006/relationships/hyperlink" Target="mailto:Valeria.Atzori@eesc.europa.eu" TargetMode="External"/><Relationship Id="rId41" Type="http://schemas.openxmlformats.org/officeDocument/2006/relationships/hyperlink" Target="mailto:Aleksandra.SarmanGrilc@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risztina.PerlakyToth@eesc.europa.eu" TargetMode="External"/><Relationship Id="rId32" Type="http://schemas.openxmlformats.org/officeDocument/2006/relationships/hyperlink" Target="mailto:%20Triin.Aasmaa@eesc.europa.eu" TargetMode="External"/><Relationship Id="rId37" Type="http://schemas.openxmlformats.org/officeDocument/2006/relationships/hyperlink" Target="mailto:Giorgia.Bordignon@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Martine.Delanoy@eesc.europa.eu" TargetMode="External"/><Relationship Id="rId53" Type="http://schemas.openxmlformats.org/officeDocument/2006/relationships/hyperlink" Target="mailto:Adam.Plezer@eesc.europa.eu"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Valeria.Atzori@eesc.europa.eu" TargetMode="External"/><Relationship Id="rId36" Type="http://schemas.openxmlformats.org/officeDocument/2006/relationships/hyperlink" Target="mailto:Maja.Radman@eesc.europa.eu" TargetMode="External"/><Relationship Id="rId49" Type="http://schemas.openxmlformats.org/officeDocument/2006/relationships/hyperlink" Target="mailto:%20Marco.Ristori@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eanmarie.Rogue@eesc.europa.eu" TargetMode="External"/><Relationship Id="rId44" Type="http://schemas.openxmlformats.org/officeDocument/2006/relationships/hyperlink" Target="mailto:Marie-Laurence.Drillon@eesc.europa.eu" TargetMode="External"/><Relationship Id="rId52" Type="http://schemas.openxmlformats.org/officeDocument/2006/relationships/hyperlink" Target="https://www.eesc.europa.eu/lv/our-work/opinions-information-reports/opinions/digital-innovation-hub-facilitator-green-and-digital-transition-industrial-smes-overview-main-experienc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Krisztina.PerlakyToth@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20Triin.Aasmaa@eesc.europa.eu" TargetMode="External"/><Relationship Id="rId35" Type="http://schemas.openxmlformats.org/officeDocument/2006/relationships/hyperlink" Target="mailto:Maja.Radman@eesc.europa.eu" TargetMode="External"/><Relationship Id="rId43" Type="http://schemas.openxmlformats.org/officeDocument/2006/relationships/hyperlink" Target="https://www.eesc.europa.eu/lv/our-work/opinions-information-reports/opinions/emergency-preparedness" TargetMode="External"/><Relationship Id="rId48" Type="http://schemas.openxmlformats.org/officeDocument/2006/relationships/hyperlink" Target="mailto:%20Ewa.Tomaszewska@eesc.europa.eu"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Aleksandra.Wieczorek@eesc.europa.eu" TargetMode="External"/><Relationship Id="rId3" Type="http://schemas.openxmlformats.org/officeDocument/2006/relationships/customXml" Target="../customXml/item3.xml"/><Relationship Id="rId12" Type="http://schemas.openxmlformats.org/officeDocument/2006/relationships/hyperlink" Target="https://www.eesc.europa.eu/lv/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uri.Soosaar@eesc.europa.eu" TargetMode="External"/><Relationship Id="rId33" Type="http://schemas.openxmlformats.org/officeDocument/2006/relationships/hyperlink" Target="mailto:%20Valeria.Atzori@eesc.europa.eu" TargetMode="External"/><Relationship Id="rId38" Type="http://schemas.openxmlformats.org/officeDocument/2006/relationships/hyperlink" Target="mailto:Francesco.Napolitano@eesc.europa.eu" TargetMode="External"/><Relationship Id="rId46" Type="http://schemas.openxmlformats.org/officeDocument/2006/relationships/hyperlink" Target="mailto:Monica.Guarinoni@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lv/our-work/opinions-information-reports/opinions/smes-social-economy-enterprises-crafts-and-liberal-professions-fit-55" TargetMode="External"/><Relationship Id="rId7" Type="http://schemas.openxmlformats.org/officeDocument/2006/relationships/hyperlink" Target="https://www.eesc.europa.eu/lv/our-work/opinions-information-reports/opinions/role-carbon-removal-technologies-decarbonising-european-industry" TargetMode="External"/><Relationship Id="rId2" Type="http://schemas.openxmlformats.org/officeDocument/2006/relationships/hyperlink" Target="https://www.eesc.europa.eu/lv/our-work/opinions-information-reports/opinions/public-investment-energy-infrastructure-part-solution-climate-issues" TargetMode="External"/><Relationship Id="rId1" Type="http://schemas.openxmlformats.org/officeDocument/2006/relationships/hyperlink" Target="https://www.eesc.europa.eu/lv/our-work/opinions-information-reports/opinions/geopolitical-impact-energy-transition" TargetMode="External"/><Relationship Id="rId6" Type="http://schemas.openxmlformats.org/officeDocument/2006/relationships/hyperlink" Target="https://www.eesc.europa.eu/lv/our-work/opinions-information-reports/opinions/climate-adjustment-fund-financed-cohesion-and-ngeu" TargetMode="External"/><Relationship Id="rId5" Type="http://schemas.openxmlformats.org/officeDocument/2006/relationships/hyperlink" Target="https://www.eesc.europa.eu/lv/our-work/opinions-information-reports/opinions/energy-and-digital-transition-rural-areas" TargetMode="External"/><Relationship Id="rId4" Type="http://schemas.openxmlformats.org/officeDocument/2006/relationships/hyperlink" Target="https://www.eesc.europa.eu/lv/our-work/opinions-information-reports/opinions/tackling-energy-poverty-and-eus-resilience-challenges-economic-and-soci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P6FJPSUHKDC2-813086739-4856</_dlc_DocId>
    <_dlc_DocIdUrl xmlns="1299d781-265f-4ceb-999e-e1eca3df2c90">
      <Url>http://dm2016/eesc/2022/_layouts/15/DocIdRedir.aspx?ID=P6FJPSUHKDC2-813086739-4856</Url>
      <Description>P6FJPSUHKDC2-813086739-4856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2022-11-23T12:00:00+00:00</ProductionDate>
    <DocumentNumber xmlns="78feecd2-a259-4a5c-b48b-4ffcf5b9c8b1">4734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2022-12-14T12:00:00+00:00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13425</FicheNumber>
    <OriginalSender xmlns="1299d781-265f-4ceb-999e-e1eca3df2c90">
      <UserInfo>
        <DisplayName>Skubina Ieva</DisplayName>
        <AccountId>2263</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F1A01-8D7B-490E-8560-DE96ED4A2CD3}">
  <ds:schemaRefs>
    <ds:schemaRef ds:uri="http://schemas.microsoft.com/sharepoint/events"/>
  </ds:schemaRefs>
</ds:datastoreItem>
</file>

<file path=customXml/itemProps2.xml><?xml version="1.0" encoding="utf-8"?>
<ds:datastoreItem xmlns:ds="http://schemas.openxmlformats.org/officeDocument/2006/customXml" ds:itemID="{03701533-DFE3-406C-86CA-0AA6AC5A5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66324-F30C-4182-B798-881925F1D279}">
  <ds:schemaRefs>
    <ds:schemaRef ds:uri="http://purl.org/dc/terms/"/>
    <ds:schemaRef ds:uri="http://schemas.microsoft.com/office/2006/documentManagement/types"/>
    <ds:schemaRef ds:uri="1299d781-265f-4ceb-999e-e1eca3df2c9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8feecd2-a259-4a5c-b48b-4ffcf5b9c8b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6FD5228-893D-429C-A15A-C9564CE1D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10790</Words>
  <Characters>61508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Oktobra plenārsesijas atzinumu kopsavilkums</dc:title>
  <dc:subject>TCD</dc:subject>
  <dc:creator>Nieddu Emma</dc:creator>
  <cp:keywords>EESC-2022-04734-00-00-TCD-TRA-EN</cp:keywords>
  <dc:description>Rapporteur:  - Original language: EN - Date of document: 23/11/2022 - Date of meeting: 30/14/2022 14:30 - External documents:  - Administrator: Mme DAMYANOVA-KERESTELIEVA Ani Alexieva</dc:description>
  <cp:lastModifiedBy>Mette Ausra</cp:lastModifiedBy>
  <cp:revision>17</cp:revision>
  <cp:lastPrinted>2022-05-02T09:48:00Z</cp:lastPrinted>
  <dcterms:created xsi:type="dcterms:W3CDTF">2022-11-15T11:18:00Z</dcterms:created>
  <dcterms:modified xsi:type="dcterms:W3CDTF">2022-11-28T14:20:00Z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29/03/2022, 04/03/2022, 15/12/2021, 13/09/2021, 03/09/2021, 28/06/2021</vt:lpwstr>
  </property>
  <property fmtid="{D5CDD505-2E9C-101B-9397-08002B2CF9AE}" pid="4" name="Pref_Time">
    <vt:lpwstr>11:47:41, 14:21:50, 16:54:06, 17:56:36, 14:13:00, 10:08:10, 08:41:48</vt:lpwstr>
  </property>
  <property fmtid="{D5CDD505-2E9C-101B-9397-08002B2CF9AE}" pid="5" name="Pref_User">
    <vt:lpwstr>jhvi, jhvi, enied, hnic, amett, enied, enied</vt:lpwstr>
  </property>
  <property fmtid="{D5CDD505-2E9C-101B-9397-08002B2CF9AE}" pid="6" name="Pref_FileName">
    <vt:lpwstr>EESC-2022-04734-00-00-TCD-ORI.docx,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0x010100EA97B91038054C99906057A708A1480A0048F447D380DEE94195D9369B0D252450</vt:lpwstr>
  </property>
  <property fmtid="{D5CDD505-2E9C-101B-9397-08002B2CF9AE}" pid="8" name="_dlc_DocIdItemGuid">
    <vt:lpwstr>2dde94f7-cd78-4816-acf3-eb159261d78c</vt:lpwstr>
  </property>
  <property fmtid="{D5CDD505-2E9C-101B-9397-08002B2CF9AE}" pid="9" name="AvailableTranslations">
    <vt:lpwstr>34;#SK|46d9fce0-ef79-4f71-b89b-cd6aa82426b8;#30;#PL|1e03da61-4678-4e07-b136-b5024ca9197b;#40;#BG|1a1b3951-7821-4e6a-85f5-5673fc08bd2c;#54;#ET|ff6c3f4c-b02c-4c3c-ab07-2c37995a7a0a;#29;#SV|c2ed69e7-a339-43d7-8f22-d93680a92aa0;#36;#HU|6b229040-c589-4408-b4c1-4285663d20a8;#22;#DE|f6b31e5a-26fa-4935-b661-318e46daf27e;#45;#RO|feb747a2-64cd-4299-af12-4833ddc30497;#55;#HR|2f555653-ed1a-4fe6-8362-9082d95989e5;#41;#CS|72f9705b-0217-4fd3-bea2-cbc7ed80e26e;#46;#EL|6d4f4d51-af9b-4650-94b4-4276bee85c91;#42;#SL|98a412ae-eb01-49e9-ae3d-585a81724cfc;#38;#FI|87606a43-d45f-42d6-b8c9-e1a3457db5b7;#11;#FR|d2afafd3-4c81-4f60-8f52-ee33f2f54ff3;#33;#IT|0774613c-01ed-4e5d-a25d-11d2388de825;#32;#DA|5d49c027-8956-412b-aa16-e85a0f96ad0e;#44;#LT|a7ff5ce7-6123-4f68-865a-a57c31810414;#31;#ES|e7a6b05b-ae16-40c8-add9-68b64b03aeba;#43;#NL|55c6556c-b4f4-441d-9acf-c498d4f838bd;#26;#LV|46f7e311-5d9f-4663-b433-18aeccb7ace7;#4;#EN|f2175f21-25d7-44a3-96da-d6a61b075e1b;#37;#PT|50ccc04a-eadd-42ae-a0cb-acaf45f812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4734</vt:i4>
  </property>
  <property fmtid="{D5CDD505-2E9C-101B-9397-08002B2CF9AE}" pid="14" name="DocumentYear">
    <vt:i4>2022</vt:i4>
  </property>
  <property fmtid="{D5CDD505-2E9C-101B-9397-08002B2CF9AE}" pid="15" name="DocumentVersion">
    <vt:i4>0</vt:i4>
  </property>
  <property fmtid="{D5CDD505-2E9C-101B-9397-08002B2CF9AE}" pid="16" name="FicheNumber">
    <vt:i4>13425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2022-12-14T12:00:00Z</vt:filetime>
  </property>
  <property fmtid="{D5CDD505-2E9C-101B-9397-08002B2CF9AE}" pid="29" name="AvailableTranslations_0">
    <vt:lpwstr>SV|c2ed69e7-a339-43d7-8f22-d93680a92aa0;DE|f6b31e5a-26fa-4935-b661-318e46daf27e;EL|6d4f4d51-af9b-4650-94b4-4276bee85c91;SL|98a412ae-eb01-49e9-ae3d-585a81724cfc;DA|5d49c027-8956-412b-aa16-e85a0f96ad0e;ES|e7a6b05b-ae16-40c8-add9-68b64b03aeba;EN|f2175f21-25d7-44a3-96da-d6a61b075e1b;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32;#DA|5d49c027-8956-412b-aa16-e85a0f96ad0e;#31;#ES|e7a6b05b-ae16-40c8-add9-68b64b03aeba;#29;#SV|c2ed69e7-a339-43d7-8f22-d93680a92aa0;#25;#TCD|cd9d6eb6-3f4f-424a-b2d1-57c9d450eaaf;#22;#DE|f6b31e5a-26fa-4935-b661-318e46daf27e;#9;#Unrestricted|826e22d7-d029-4ec0-a450-0c28ff673572;#51;#SPL-CES|32d8cb1f-c9ec-4365-95c7-8385a18618ac;#46;#EL|6d4f4d51-af9b-4650-94b4-4276bee85c91;#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26;#LV|46f7e311-5d9f-4663-b433-18aeccb7ace7</vt:lpwstr>
  </property>
  <property fmtid="{D5CDD505-2E9C-101B-9397-08002B2CF9AE}" pid="36" name="_docset_NoMedatataSyncRequired">
    <vt:lpwstr>False</vt:lpwstr>
  </property>
</Properties>
</file>