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E44C" w14:textId="1C730794" w:rsidR="004D7AC0" w:rsidRPr="009B70E7" w:rsidRDefault="00B3633E" w:rsidP="00116A1C">
      <w:pPr>
        <w:jc w:val="center"/>
      </w:pPr>
      <w:r>
        <w:rPr>
          <w:noProof/>
        </w:rPr>
        <w:drawing>
          <wp:inline distT="0" distB="0" distL="0" distR="0" wp14:anchorId="58D4982B" wp14:editId="0C43B492">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A21849">
        <w:rPr>
          <w:noProof/>
          <w:sz w:val="20"/>
        </w:rPr>
        <mc:AlternateContent>
          <mc:Choice Requires="wps">
            <w:drawing>
              <wp:anchor distT="0" distB="0" distL="114300" distR="114300" simplePos="0" relativeHeight="251659264" behindDoc="1" locked="0" layoutInCell="0" allowOverlap="1" wp14:anchorId="60050413" wp14:editId="03F677A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40ECF" w14:textId="77777777" w:rsidR="00765C4F" w:rsidRPr="00260E65" w:rsidRDefault="00765C4F" w:rsidP="004D7AC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5041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AA40ECF" w14:textId="77777777" w:rsidR="00765C4F" w:rsidRPr="00260E65" w:rsidRDefault="00765C4F" w:rsidP="004D7AC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51F52D79" w14:textId="77777777" w:rsidR="004D7AC0" w:rsidRPr="009B70E7" w:rsidRDefault="004D7AC0" w:rsidP="00116A1C"/>
    <w:p w14:paraId="45DE4A28" w14:textId="7A2C44C6" w:rsidR="004D7AC0" w:rsidRPr="009B70E7" w:rsidRDefault="00014C93" w:rsidP="00116A1C">
      <w:pPr>
        <w:jc w:val="right"/>
      </w:pPr>
      <w:r>
        <w:t>Bruxelles le 17 novembre 2022</w:t>
      </w:r>
    </w:p>
    <w:p w14:paraId="7BCFBA24" w14:textId="77777777" w:rsidR="004D7AC0" w:rsidRPr="009B70E7" w:rsidRDefault="004D7AC0"/>
    <w:p w14:paraId="6B250092" w14:textId="77777777" w:rsidR="004D7AC0" w:rsidRPr="009B70E7" w:rsidRDefault="004D7AC0"/>
    <w:p w14:paraId="0593C6DF" w14:textId="77777777" w:rsidR="004D7AC0" w:rsidRPr="009B70E7" w:rsidRDefault="004D7AC0"/>
    <w:tbl>
      <w:tblPr>
        <w:tblW w:w="0" w:type="auto"/>
        <w:tblLook w:val="04A0" w:firstRow="1" w:lastRow="0" w:firstColumn="1" w:lastColumn="0" w:noHBand="0" w:noVBand="1"/>
      </w:tblPr>
      <w:tblGrid>
        <w:gridCol w:w="9289"/>
      </w:tblGrid>
      <w:tr w:rsidR="004D7AC0" w:rsidRPr="009B70E7" w14:paraId="6D7B3453" w14:textId="77777777" w:rsidTr="00662436">
        <w:tc>
          <w:tcPr>
            <w:tcW w:w="9289" w:type="dxa"/>
            <w:tcBorders>
              <w:bottom w:val="double" w:sz="4" w:space="0" w:color="auto"/>
            </w:tcBorders>
          </w:tcPr>
          <w:p w14:paraId="114106CC" w14:textId="29B82800" w:rsidR="004D7AC0" w:rsidRPr="009B70E7" w:rsidRDefault="00DA2D88">
            <w:pPr>
              <w:snapToGrid w:val="0"/>
              <w:jc w:val="center"/>
              <w:rPr>
                <w:rFonts w:eastAsia="MS Mincho"/>
                <w:b/>
                <w:sz w:val="32"/>
                <w:szCs w:val="32"/>
              </w:rPr>
            </w:pPr>
            <w:r>
              <w:rPr>
                <w:b/>
                <w:sz w:val="32"/>
              </w:rPr>
              <w:t>573</w:t>
            </w:r>
            <w:r>
              <w:rPr>
                <w:b/>
                <w:sz w:val="32"/>
                <w:vertAlign w:val="superscript"/>
              </w:rPr>
              <w:t>e</w:t>
            </w:r>
            <w:r>
              <w:rPr>
                <w:b/>
                <w:sz w:val="32"/>
              </w:rPr>
              <w:t> SESSION PLÉNIÈRE</w:t>
            </w:r>
            <w:r>
              <w:rPr>
                <w:b/>
                <w:sz w:val="32"/>
              </w:rPr>
              <w:cr/>
            </w:r>
            <w:r>
              <w:rPr>
                <w:b/>
                <w:sz w:val="32"/>
              </w:rPr>
              <w:br/>
              <w:t>26 et 27 octobre 2022</w:t>
            </w:r>
            <w:r>
              <w:rPr>
                <w:b/>
                <w:sz w:val="32"/>
              </w:rPr>
              <w:cr/>
            </w:r>
            <w:r>
              <w:rPr>
                <w:b/>
                <w:sz w:val="32"/>
              </w:rPr>
              <w:br/>
              <w:t xml:space="preserve">SYNTHÈSE DES AVIS, RÉSOLUTIONS ET DES RAPPORTS D’INFORMATION/D’ÉVALUATION ADOPTÉS </w:t>
            </w:r>
          </w:p>
          <w:p w14:paraId="06AE72EA" w14:textId="77777777" w:rsidR="004D7AC0" w:rsidRPr="009B70E7" w:rsidRDefault="004D7AC0">
            <w:pPr>
              <w:snapToGrid w:val="0"/>
            </w:pPr>
          </w:p>
        </w:tc>
      </w:tr>
      <w:tr w:rsidR="004D7AC0" w:rsidRPr="009B70E7" w14:paraId="45EAB22F" w14:textId="77777777" w:rsidTr="00662436">
        <w:tc>
          <w:tcPr>
            <w:tcW w:w="9289" w:type="dxa"/>
            <w:tcBorders>
              <w:top w:val="double" w:sz="4" w:space="0" w:color="auto"/>
              <w:left w:val="double" w:sz="4" w:space="0" w:color="auto"/>
              <w:bottom w:val="double" w:sz="4" w:space="0" w:color="auto"/>
              <w:right w:val="double" w:sz="4" w:space="0" w:color="auto"/>
            </w:tcBorders>
          </w:tcPr>
          <w:p w14:paraId="2A9352A2" w14:textId="77777777" w:rsidR="004D7AC0" w:rsidRPr="009B70E7" w:rsidRDefault="004D7AC0">
            <w:pPr>
              <w:snapToGrid w:val="0"/>
              <w:jc w:val="center"/>
            </w:pPr>
            <w:r>
              <w:t>Ce document est disponible dans toutes les langues officielles de l’Union européenne sur le site internet du CESE à l’adresse suivante:</w:t>
            </w:r>
            <w:r>
              <w:br/>
            </w:r>
            <w:r>
              <w:br/>
            </w:r>
            <w:hyperlink r:id="rId12" w:history="1">
              <w:r>
                <w:rPr>
                  <w:rStyle w:val="Hyperlink"/>
                  <w:highlight w:val="yellow"/>
                </w:rPr>
                <w:t>https://www.eesc.europa.eu/fr/our-work/opinions-information-reports/plenary-session-summaries</w:t>
              </w:r>
            </w:hyperlink>
          </w:p>
          <w:p w14:paraId="70D5DBB4" w14:textId="77777777" w:rsidR="004D7AC0" w:rsidRPr="009B70E7" w:rsidRDefault="004D7AC0">
            <w:pPr>
              <w:snapToGrid w:val="0"/>
              <w:jc w:val="center"/>
            </w:pPr>
          </w:p>
          <w:p w14:paraId="575A73D6" w14:textId="77777777" w:rsidR="004D7AC0" w:rsidRPr="009B70E7" w:rsidRDefault="004D7AC0">
            <w:pPr>
              <w:snapToGrid w:val="0"/>
              <w:jc w:val="center"/>
              <w:rPr>
                <w:rFonts w:eastAsia="SimSun"/>
              </w:rPr>
            </w:pPr>
          </w:p>
          <w:p w14:paraId="441AC4DD" w14:textId="77777777" w:rsidR="004D7AC0" w:rsidRPr="009B70E7" w:rsidRDefault="004D7AC0">
            <w:pPr>
              <w:snapToGrid w:val="0"/>
              <w:jc w:val="center"/>
            </w:pPr>
            <w:r>
              <w:t>Les avis mentionnés peuvent être consultés en ligne au moyen du moteur de recherche du CESE:</w:t>
            </w:r>
            <w:r>
              <w:br/>
            </w:r>
            <w:r>
              <w:br/>
            </w:r>
            <w:hyperlink r:id="rId13" w:history="1">
              <w:r>
                <w:rPr>
                  <w:rStyle w:val="Hyperlink"/>
                </w:rPr>
                <w:t>https://dmsearch.eesc.europa.eu/search/opinion</w:t>
              </w:r>
            </w:hyperlink>
          </w:p>
          <w:p w14:paraId="51FF303F" w14:textId="77777777" w:rsidR="004D7AC0" w:rsidRPr="009B70E7" w:rsidRDefault="004D7AC0">
            <w:pPr>
              <w:snapToGrid w:val="0"/>
              <w:jc w:val="center"/>
            </w:pPr>
          </w:p>
        </w:tc>
      </w:tr>
    </w:tbl>
    <w:p w14:paraId="57C291FC" w14:textId="77777777" w:rsidR="004D7AC0" w:rsidRPr="009B70E7" w:rsidRDefault="004D7AC0"/>
    <w:p w14:paraId="5E675360" w14:textId="77777777" w:rsidR="004D7AC0" w:rsidRPr="009B70E7" w:rsidRDefault="004D7AC0"/>
    <w:p w14:paraId="3CF67A1E" w14:textId="77777777" w:rsidR="007B7C40" w:rsidRDefault="007B7C40">
      <w:pPr>
        <w:sectPr w:rsidR="007B7C40" w:rsidSect="0015149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56B7AE7C" w14:textId="77777777" w:rsidR="004D7AC0" w:rsidRPr="009B70E7" w:rsidRDefault="004D7AC0">
      <w:pPr>
        <w:rPr>
          <w:b/>
        </w:rPr>
      </w:pPr>
    </w:p>
    <w:sdt>
      <w:sdtPr>
        <w:rPr>
          <w:rFonts w:ascii="Times New Roman" w:eastAsia="Times New Roman" w:hAnsi="Times New Roman" w:cs="Times New Roman"/>
          <w:color w:val="auto"/>
          <w:sz w:val="22"/>
          <w:szCs w:val="22"/>
        </w:rPr>
        <w:id w:val="-1759744941"/>
        <w:docPartObj>
          <w:docPartGallery w:val="Table of Contents"/>
          <w:docPartUnique/>
        </w:docPartObj>
      </w:sdtPr>
      <w:sdtEndPr>
        <w:rPr>
          <w:b/>
          <w:bCs/>
          <w:noProof/>
        </w:rPr>
      </w:sdtEndPr>
      <w:sdtContent>
        <w:p w14:paraId="5FAD9FDD" w14:textId="77777777" w:rsidR="001E6413" w:rsidRDefault="001E6413">
          <w:pPr>
            <w:pStyle w:val="TOCHeading"/>
          </w:pPr>
          <w:r>
            <w:t>Table des matières</w:t>
          </w:r>
        </w:p>
        <w:p w14:paraId="6E35E273" w14:textId="0896C717" w:rsidR="00D9163C" w:rsidRDefault="001E6413" w:rsidP="00D9163C">
          <w:pPr>
            <w:pStyle w:val="TOC1"/>
            <w:rPr>
              <w:rFonts w:asciiTheme="minorHAnsi" w:eastAsiaTheme="minorEastAsia" w:hAnsiTheme="minorHAnsi" w:cstheme="minorBidi"/>
              <w:lang w:val="en-US"/>
            </w:rPr>
          </w:pPr>
          <w:r>
            <w:fldChar w:fldCharType="begin"/>
          </w:r>
          <w:r>
            <w:instrText xml:space="preserve"> TOC \o "1-3" \h \z \u </w:instrText>
          </w:r>
          <w:r>
            <w:fldChar w:fldCharType="separate"/>
          </w:r>
          <w:hyperlink w:anchor="_Toc120198244" w:history="1">
            <w:r w:rsidR="00D9163C" w:rsidRPr="00E211A8">
              <w:rPr>
                <w:rStyle w:val="Hyperlink"/>
                <w14:scene3d>
                  <w14:camera w14:prst="orthographicFront"/>
                  <w14:lightRig w14:rig="threePt" w14:dir="t">
                    <w14:rot w14:lat="0" w14:lon="0" w14:rev="0"/>
                  </w14:lightRig>
                </w14:scene3d>
              </w:rPr>
              <w:t>1.</w:t>
            </w:r>
            <w:r w:rsidR="00D9163C">
              <w:rPr>
                <w:rFonts w:asciiTheme="minorHAnsi" w:eastAsiaTheme="minorEastAsia" w:hAnsiTheme="minorHAnsi" w:cstheme="minorBidi"/>
                <w:lang w:val="en-US"/>
              </w:rPr>
              <w:tab/>
            </w:r>
            <w:r w:rsidR="00D9163C" w:rsidRPr="00E211A8">
              <w:rPr>
                <w:rStyle w:val="Hyperlink"/>
                <w:b/>
              </w:rPr>
              <w:t>RÉSOLUTION</w:t>
            </w:r>
            <w:r w:rsidR="00D9163C">
              <w:rPr>
                <w:webHidden/>
              </w:rPr>
              <w:tab/>
            </w:r>
            <w:r w:rsidR="00D9163C">
              <w:rPr>
                <w:webHidden/>
              </w:rPr>
              <w:fldChar w:fldCharType="begin"/>
            </w:r>
            <w:r w:rsidR="00D9163C">
              <w:rPr>
                <w:webHidden/>
              </w:rPr>
              <w:instrText xml:space="preserve"> PAGEREF _Toc120198244 \h </w:instrText>
            </w:r>
            <w:r w:rsidR="00D9163C">
              <w:rPr>
                <w:webHidden/>
              </w:rPr>
            </w:r>
            <w:r w:rsidR="00D9163C">
              <w:rPr>
                <w:webHidden/>
              </w:rPr>
              <w:fldChar w:fldCharType="separate"/>
            </w:r>
            <w:r w:rsidR="00D9163C">
              <w:rPr>
                <w:webHidden/>
              </w:rPr>
              <w:t>3</w:t>
            </w:r>
            <w:r w:rsidR="00D9163C">
              <w:rPr>
                <w:webHidden/>
              </w:rPr>
              <w:fldChar w:fldCharType="end"/>
            </w:r>
          </w:hyperlink>
        </w:p>
        <w:p w14:paraId="243D4C8A" w14:textId="5FC9968C" w:rsidR="00D9163C" w:rsidRDefault="009D65A9" w:rsidP="00D9163C">
          <w:pPr>
            <w:pStyle w:val="TOC1"/>
            <w:rPr>
              <w:rFonts w:asciiTheme="minorHAnsi" w:eastAsiaTheme="minorEastAsia" w:hAnsiTheme="minorHAnsi" w:cstheme="minorBidi"/>
              <w:lang w:val="en-US"/>
            </w:rPr>
          </w:pPr>
          <w:hyperlink w:anchor="_Toc120198245" w:history="1">
            <w:r w:rsidR="00D9163C" w:rsidRPr="00E211A8">
              <w:rPr>
                <w:rStyle w:val="Hyperlink"/>
                <w14:scene3d>
                  <w14:camera w14:prst="orthographicFront"/>
                  <w14:lightRig w14:rig="threePt" w14:dir="t">
                    <w14:rot w14:lat="0" w14:lon="0" w14:rev="0"/>
                  </w14:lightRig>
                </w14:scene3d>
              </w:rPr>
              <w:t>2.</w:t>
            </w:r>
            <w:r w:rsidR="00D9163C">
              <w:rPr>
                <w:rFonts w:asciiTheme="minorHAnsi" w:eastAsiaTheme="minorEastAsia" w:hAnsiTheme="minorHAnsi" w:cstheme="minorBidi"/>
                <w:lang w:val="en-US"/>
              </w:rPr>
              <w:tab/>
            </w:r>
            <w:r w:rsidR="00D9163C" w:rsidRPr="00E211A8">
              <w:rPr>
                <w:rStyle w:val="Hyperlink"/>
                <w:b/>
              </w:rPr>
              <w:t xml:space="preserve">UNION ÉCONOMIQUE ET MONÉTAIRE ET COHÉSION ÉCONOMIQUE </w:t>
            </w:r>
            <w:r w:rsidR="00D9163C">
              <w:rPr>
                <w:rStyle w:val="Hyperlink"/>
                <w:b/>
              </w:rPr>
              <w:br/>
            </w:r>
            <w:r w:rsidR="00D9163C" w:rsidRPr="00E211A8">
              <w:rPr>
                <w:rStyle w:val="Hyperlink"/>
                <w:b/>
              </w:rPr>
              <w:t>ET SOCIALE</w:t>
            </w:r>
            <w:r w:rsidR="00D9163C">
              <w:rPr>
                <w:webHidden/>
              </w:rPr>
              <w:tab/>
            </w:r>
            <w:r w:rsidR="00D9163C">
              <w:rPr>
                <w:webHidden/>
              </w:rPr>
              <w:fldChar w:fldCharType="begin"/>
            </w:r>
            <w:r w:rsidR="00D9163C">
              <w:rPr>
                <w:webHidden/>
              </w:rPr>
              <w:instrText xml:space="preserve"> PAGEREF _Toc120198245 \h </w:instrText>
            </w:r>
            <w:r w:rsidR="00D9163C">
              <w:rPr>
                <w:webHidden/>
              </w:rPr>
            </w:r>
            <w:r w:rsidR="00D9163C">
              <w:rPr>
                <w:webHidden/>
              </w:rPr>
              <w:fldChar w:fldCharType="separate"/>
            </w:r>
            <w:r w:rsidR="00D9163C">
              <w:rPr>
                <w:webHidden/>
              </w:rPr>
              <w:t>4</w:t>
            </w:r>
            <w:r w:rsidR="00D9163C">
              <w:rPr>
                <w:webHidden/>
              </w:rPr>
              <w:fldChar w:fldCharType="end"/>
            </w:r>
          </w:hyperlink>
        </w:p>
        <w:p w14:paraId="5EAE2039" w14:textId="70A35B0A" w:rsidR="00D9163C" w:rsidRDefault="009D65A9" w:rsidP="00D9163C">
          <w:pPr>
            <w:pStyle w:val="TOC1"/>
            <w:rPr>
              <w:rFonts w:asciiTheme="minorHAnsi" w:eastAsiaTheme="minorEastAsia" w:hAnsiTheme="minorHAnsi" w:cstheme="minorBidi"/>
              <w:lang w:val="en-US"/>
            </w:rPr>
          </w:pPr>
          <w:hyperlink w:anchor="_Toc120198246" w:history="1">
            <w:r w:rsidR="00D9163C" w:rsidRPr="00E211A8">
              <w:rPr>
                <w:rStyle w:val="Hyperlink"/>
                <w14:scene3d>
                  <w14:camera w14:prst="orthographicFront"/>
                  <w14:lightRig w14:rig="threePt" w14:dir="t">
                    <w14:rot w14:lat="0" w14:lon="0" w14:rev="0"/>
                  </w14:lightRig>
                </w14:scene3d>
              </w:rPr>
              <w:t>3.</w:t>
            </w:r>
            <w:r w:rsidR="00D9163C">
              <w:rPr>
                <w:rFonts w:asciiTheme="minorHAnsi" w:eastAsiaTheme="minorEastAsia" w:hAnsiTheme="minorHAnsi" w:cstheme="minorBidi"/>
                <w:lang w:val="en-US"/>
              </w:rPr>
              <w:tab/>
            </w:r>
            <w:r w:rsidR="00D9163C" w:rsidRPr="00E211A8">
              <w:rPr>
                <w:rStyle w:val="Hyperlink"/>
                <w:b/>
              </w:rPr>
              <w:t>EMPLOI, AFFAIRES SOCIALES ET CITOYENNETÉ</w:t>
            </w:r>
            <w:r w:rsidR="00D9163C">
              <w:rPr>
                <w:webHidden/>
              </w:rPr>
              <w:tab/>
            </w:r>
            <w:r w:rsidR="00D9163C">
              <w:rPr>
                <w:webHidden/>
              </w:rPr>
              <w:fldChar w:fldCharType="begin"/>
            </w:r>
            <w:r w:rsidR="00D9163C">
              <w:rPr>
                <w:webHidden/>
              </w:rPr>
              <w:instrText xml:space="preserve"> PAGEREF _Toc120198246 \h </w:instrText>
            </w:r>
            <w:r w:rsidR="00D9163C">
              <w:rPr>
                <w:webHidden/>
              </w:rPr>
            </w:r>
            <w:r w:rsidR="00D9163C">
              <w:rPr>
                <w:webHidden/>
              </w:rPr>
              <w:fldChar w:fldCharType="separate"/>
            </w:r>
            <w:r w:rsidR="00D9163C">
              <w:rPr>
                <w:webHidden/>
              </w:rPr>
              <w:t>10</w:t>
            </w:r>
            <w:r w:rsidR="00D9163C">
              <w:rPr>
                <w:webHidden/>
              </w:rPr>
              <w:fldChar w:fldCharType="end"/>
            </w:r>
          </w:hyperlink>
        </w:p>
        <w:p w14:paraId="4E587A13" w14:textId="03C84FFF" w:rsidR="00D9163C" w:rsidRPr="00D9163C" w:rsidRDefault="009D65A9" w:rsidP="00D9163C">
          <w:pPr>
            <w:pStyle w:val="TOC1"/>
            <w:rPr>
              <w:rStyle w:val="Hyperlink"/>
              <w:bCs w:val="0"/>
            </w:rPr>
          </w:pPr>
          <w:hyperlink w:anchor="_Toc120198254" w:history="1">
            <w:r w:rsidR="00D9163C" w:rsidRPr="00D9163C">
              <w:rPr>
                <w:rStyle w:val="Hyperlink"/>
                <w:bCs w:val="0"/>
              </w:rPr>
              <w:t>4.</w:t>
            </w:r>
            <w:r w:rsidR="00D9163C" w:rsidRPr="00D9163C">
              <w:rPr>
                <w:rStyle w:val="Hyperlink"/>
                <w:bCs w:val="0"/>
              </w:rPr>
              <w:tab/>
            </w:r>
            <w:r w:rsidR="00D9163C" w:rsidRPr="00D9163C">
              <w:rPr>
                <w:rStyle w:val="Hyperlink"/>
                <w:b/>
              </w:rPr>
              <w:t xml:space="preserve">TRANSPORTS, ÉNERGIE, INFRASTRUCTURES ET SOCIÉTÉ </w:t>
            </w:r>
            <w:r w:rsidR="00D9163C" w:rsidRPr="00D9163C">
              <w:rPr>
                <w:rStyle w:val="Hyperlink"/>
                <w:b/>
              </w:rPr>
              <w:br/>
              <w:t>DE L’INFORMATION</w:t>
            </w:r>
            <w:r w:rsidR="00D9163C" w:rsidRPr="00D9163C">
              <w:rPr>
                <w:rStyle w:val="Hyperlink"/>
                <w:bCs w:val="0"/>
                <w:webHidden/>
              </w:rPr>
              <w:tab/>
            </w:r>
            <w:r w:rsidR="00D9163C" w:rsidRPr="00D9163C">
              <w:rPr>
                <w:rStyle w:val="Hyperlink"/>
                <w:bCs w:val="0"/>
                <w:webHidden/>
              </w:rPr>
              <w:fldChar w:fldCharType="begin"/>
            </w:r>
            <w:r w:rsidR="00D9163C" w:rsidRPr="00D9163C">
              <w:rPr>
                <w:rStyle w:val="Hyperlink"/>
                <w:bCs w:val="0"/>
                <w:webHidden/>
              </w:rPr>
              <w:instrText xml:space="preserve"> PAGEREF _Toc120198254 \h </w:instrText>
            </w:r>
            <w:r w:rsidR="00D9163C" w:rsidRPr="00D9163C">
              <w:rPr>
                <w:rStyle w:val="Hyperlink"/>
                <w:bCs w:val="0"/>
                <w:webHidden/>
              </w:rPr>
            </w:r>
            <w:r w:rsidR="00D9163C" w:rsidRPr="00D9163C">
              <w:rPr>
                <w:rStyle w:val="Hyperlink"/>
                <w:bCs w:val="0"/>
                <w:webHidden/>
              </w:rPr>
              <w:fldChar w:fldCharType="separate"/>
            </w:r>
            <w:r w:rsidR="00D9163C" w:rsidRPr="00D9163C">
              <w:rPr>
                <w:rStyle w:val="Hyperlink"/>
                <w:bCs w:val="0"/>
                <w:webHidden/>
              </w:rPr>
              <w:t>19</w:t>
            </w:r>
            <w:r w:rsidR="00D9163C" w:rsidRPr="00D9163C">
              <w:rPr>
                <w:rStyle w:val="Hyperlink"/>
                <w:bCs w:val="0"/>
                <w:webHidden/>
              </w:rPr>
              <w:fldChar w:fldCharType="end"/>
            </w:r>
          </w:hyperlink>
        </w:p>
        <w:p w14:paraId="62806BF5" w14:textId="56191C63" w:rsidR="00D9163C" w:rsidRDefault="009D65A9" w:rsidP="00D9163C">
          <w:pPr>
            <w:pStyle w:val="TOC1"/>
            <w:rPr>
              <w:rFonts w:asciiTheme="minorHAnsi" w:eastAsiaTheme="minorEastAsia" w:hAnsiTheme="minorHAnsi" w:cstheme="minorBidi"/>
              <w:lang w:val="en-US"/>
            </w:rPr>
          </w:pPr>
          <w:hyperlink w:anchor="_Toc120198259" w:history="1">
            <w:r w:rsidR="00D9163C" w:rsidRPr="00E211A8">
              <w:rPr>
                <w:rStyle w:val="Hyperlink"/>
                <w14:scene3d>
                  <w14:camera w14:prst="orthographicFront"/>
                  <w14:lightRig w14:rig="threePt" w14:dir="t">
                    <w14:rot w14:lat="0" w14:lon="0" w14:rev="0"/>
                  </w14:lightRig>
                </w14:scene3d>
              </w:rPr>
              <w:t>5.</w:t>
            </w:r>
            <w:r w:rsidR="00D9163C">
              <w:rPr>
                <w:rFonts w:asciiTheme="minorHAnsi" w:eastAsiaTheme="minorEastAsia" w:hAnsiTheme="minorHAnsi" w:cstheme="minorBidi"/>
                <w:lang w:val="en-US"/>
              </w:rPr>
              <w:tab/>
            </w:r>
            <w:r w:rsidR="00D9163C" w:rsidRPr="00E211A8">
              <w:rPr>
                <w:rStyle w:val="Hyperlink"/>
                <w:b/>
              </w:rPr>
              <w:t>MARCHÉ UNIQUE, PRODUCTION ET CONSOMMATION</w:t>
            </w:r>
            <w:r w:rsidR="00D9163C">
              <w:rPr>
                <w:webHidden/>
              </w:rPr>
              <w:tab/>
            </w:r>
            <w:r w:rsidR="00D9163C">
              <w:rPr>
                <w:webHidden/>
              </w:rPr>
              <w:fldChar w:fldCharType="begin"/>
            </w:r>
            <w:r w:rsidR="00D9163C">
              <w:rPr>
                <w:webHidden/>
              </w:rPr>
              <w:instrText xml:space="preserve"> PAGEREF _Toc120198259 \h </w:instrText>
            </w:r>
            <w:r w:rsidR="00D9163C">
              <w:rPr>
                <w:webHidden/>
              </w:rPr>
            </w:r>
            <w:r w:rsidR="00D9163C">
              <w:rPr>
                <w:webHidden/>
              </w:rPr>
              <w:fldChar w:fldCharType="separate"/>
            </w:r>
            <w:r w:rsidR="00D9163C">
              <w:rPr>
                <w:webHidden/>
              </w:rPr>
              <w:t>25</w:t>
            </w:r>
            <w:r w:rsidR="00D9163C">
              <w:rPr>
                <w:webHidden/>
              </w:rPr>
              <w:fldChar w:fldCharType="end"/>
            </w:r>
          </w:hyperlink>
        </w:p>
        <w:p w14:paraId="73BA6ECB" w14:textId="1B20B6C6" w:rsidR="00D9163C" w:rsidRDefault="009D65A9" w:rsidP="00D9163C">
          <w:pPr>
            <w:pStyle w:val="TOC1"/>
            <w:rPr>
              <w:rFonts w:asciiTheme="minorHAnsi" w:eastAsiaTheme="minorEastAsia" w:hAnsiTheme="minorHAnsi" w:cstheme="minorBidi"/>
              <w:lang w:val="en-US"/>
            </w:rPr>
          </w:pPr>
          <w:hyperlink w:anchor="_Toc120198260" w:history="1">
            <w:r w:rsidR="00D9163C" w:rsidRPr="00E211A8">
              <w:rPr>
                <w:rStyle w:val="Hyperlink"/>
                <w14:scene3d>
                  <w14:camera w14:prst="orthographicFront"/>
                  <w14:lightRig w14:rig="threePt" w14:dir="t">
                    <w14:rot w14:lat="0" w14:lon="0" w14:rev="0"/>
                  </w14:lightRig>
                </w14:scene3d>
              </w:rPr>
              <w:t>6.</w:t>
            </w:r>
            <w:r w:rsidR="00D9163C">
              <w:rPr>
                <w:rFonts w:asciiTheme="minorHAnsi" w:eastAsiaTheme="minorEastAsia" w:hAnsiTheme="minorHAnsi" w:cstheme="minorBidi"/>
                <w:lang w:val="en-US"/>
              </w:rPr>
              <w:tab/>
            </w:r>
            <w:r w:rsidR="00D9163C" w:rsidRPr="00E211A8">
              <w:rPr>
                <w:rStyle w:val="Hyperlink"/>
                <w:b/>
              </w:rPr>
              <w:t>AGRICULTURE, DÉVELOPPEMENT RURAL ET ENVIRONNEMENT</w:t>
            </w:r>
            <w:r w:rsidR="00D9163C">
              <w:rPr>
                <w:webHidden/>
              </w:rPr>
              <w:tab/>
            </w:r>
            <w:r w:rsidR="00D9163C">
              <w:rPr>
                <w:webHidden/>
              </w:rPr>
              <w:fldChar w:fldCharType="begin"/>
            </w:r>
            <w:r w:rsidR="00D9163C">
              <w:rPr>
                <w:webHidden/>
              </w:rPr>
              <w:instrText xml:space="preserve"> PAGEREF _Toc120198260 \h </w:instrText>
            </w:r>
            <w:r w:rsidR="00D9163C">
              <w:rPr>
                <w:webHidden/>
              </w:rPr>
            </w:r>
            <w:r w:rsidR="00D9163C">
              <w:rPr>
                <w:webHidden/>
              </w:rPr>
              <w:fldChar w:fldCharType="separate"/>
            </w:r>
            <w:r w:rsidR="00D9163C">
              <w:rPr>
                <w:webHidden/>
              </w:rPr>
              <w:t>27</w:t>
            </w:r>
            <w:r w:rsidR="00D9163C">
              <w:rPr>
                <w:webHidden/>
              </w:rPr>
              <w:fldChar w:fldCharType="end"/>
            </w:r>
          </w:hyperlink>
        </w:p>
        <w:p w14:paraId="3EEDECF9" w14:textId="01852680" w:rsidR="00D9163C" w:rsidRDefault="009D65A9" w:rsidP="00D9163C">
          <w:pPr>
            <w:pStyle w:val="TOC1"/>
            <w:rPr>
              <w:rFonts w:asciiTheme="minorHAnsi" w:eastAsiaTheme="minorEastAsia" w:hAnsiTheme="minorHAnsi" w:cstheme="minorBidi"/>
              <w:lang w:val="en-US"/>
            </w:rPr>
          </w:pPr>
          <w:hyperlink w:anchor="_Toc120198271" w:history="1">
            <w:r w:rsidR="00D9163C" w:rsidRPr="00E211A8">
              <w:rPr>
                <w:rStyle w:val="Hyperlink"/>
                <w14:scene3d>
                  <w14:camera w14:prst="orthographicFront"/>
                  <w14:lightRig w14:rig="threePt" w14:dir="t">
                    <w14:rot w14:lat="0" w14:lon="0" w14:rev="0"/>
                  </w14:lightRig>
                </w14:scene3d>
              </w:rPr>
              <w:t>7.</w:t>
            </w:r>
            <w:r w:rsidR="00D9163C">
              <w:rPr>
                <w:rFonts w:asciiTheme="minorHAnsi" w:eastAsiaTheme="minorEastAsia" w:hAnsiTheme="minorHAnsi" w:cstheme="minorBidi"/>
                <w:lang w:val="en-US"/>
              </w:rPr>
              <w:tab/>
            </w:r>
            <w:r w:rsidR="00D9163C" w:rsidRPr="00E211A8">
              <w:rPr>
                <w:rStyle w:val="Hyperlink"/>
                <w:b/>
              </w:rPr>
              <w:t>RELATIONS EXTÉRIEURES</w:t>
            </w:r>
            <w:r w:rsidR="00D9163C">
              <w:rPr>
                <w:webHidden/>
              </w:rPr>
              <w:tab/>
            </w:r>
            <w:r w:rsidR="00D9163C">
              <w:rPr>
                <w:webHidden/>
              </w:rPr>
              <w:fldChar w:fldCharType="begin"/>
            </w:r>
            <w:r w:rsidR="00D9163C">
              <w:rPr>
                <w:webHidden/>
              </w:rPr>
              <w:instrText xml:space="preserve"> PAGEREF _Toc120198271 \h </w:instrText>
            </w:r>
            <w:r w:rsidR="00D9163C">
              <w:rPr>
                <w:webHidden/>
              </w:rPr>
            </w:r>
            <w:r w:rsidR="00D9163C">
              <w:rPr>
                <w:webHidden/>
              </w:rPr>
              <w:fldChar w:fldCharType="separate"/>
            </w:r>
            <w:r w:rsidR="00D9163C">
              <w:rPr>
                <w:webHidden/>
              </w:rPr>
              <w:t>31</w:t>
            </w:r>
            <w:r w:rsidR="00D9163C">
              <w:rPr>
                <w:webHidden/>
              </w:rPr>
              <w:fldChar w:fldCharType="end"/>
            </w:r>
          </w:hyperlink>
        </w:p>
        <w:p w14:paraId="1AE781C9" w14:textId="08250E40" w:rsidR="00D9163C" w:rsidRDefault="009D65A9" w:rsidP="00D9163C">
          <w:pPr>
            <w:pStyle w:val="TOC1"/>
            <w:rPr>
              <w:rFonts w:asciiTheme="minorHAnsi" w:eastAsiaTheme="minorEastAsia" w:hAnsiTheme="minorHAnsi" w:cstheme="minorBidi"/>
              <w:lang w:val="en-US"/>
            </w:rPr>
          </w:pPr>
          <w:hyperlink w:anchor="_Toc120198276" w:history="1">
            <w:r w:rsidR="00D9163C" w:rsidRPr="00E211A8">
              <w:rPr>
                <w:rStyle w:val="Hyperlink"/>
                <w14:scene3d>
                  <w14:camera w14:prst="orthographicFront"/>
                  <w14:lightRig w14:rig="threePt" w14:dir="t">
                    <w14:rot w14:lat="0" w14:lon="0" w14:rev="0"/>
                  </w14:lightRig>
                </w14:scene3d>
              </w:rPr>
              <w:t>8.</w:t>
            </w:r>
            <w:r w:rsidR="00D9163C">
              <w:rPr>
                <w:rFonts w:asciiTheme="minorHAnsi" w:eastAsiaTheme="minorEastAsia" w:hAnsiTheme="minorHAnsi" w:cstheme="minorBidi"/>
                <w:lang w:val="en-US"/>
              </w:rPr>
              <w:tab/>
            </w:r>
            <w:r w:rsidR="00D9163C" w:rsidRPr="00E211A8">
              <w:rPr>
                <w:rStyle w:val="Hyperlink"/>
                <w:b/>
              </w:rPr>
              <w:t>COMMISSION CONSULTATIVE DES MUTATIONS INDUSTRIELLES</w:t>
            </w:r>
            <w:r w:rsidR="00D9163C">
              <w:rPr>
                <w:webHidden/>
              </w:rPr>
              <w:tab/>
            </w:r>
            <w:r w:rsidR="00D9163C">
              <w:rPr>
                <w:webHidden/>
              </w:rPr>
              <w:fldChar w:fldCharType="begin"/>
            </w:r>
            <w:r w:rsidR="00D9163C">
              <w:rPr>
                <w:webHidden/>
              </w:rPr>
              <w:instrText xml:space="preserve"> PAGEREF _Toc120198276 \h </w:instrText>
            </w:r>
            <w:r w:rsidR="00D9163C">
              <w:rPr>
                <w:webHidden/>
              </w:rPr>
            </w:r>
            <w:r w:rsidR="00D9163C">
              <w:rPr>
                <w:webHidden/>
              </w:rPr>
              <w:fldChar w:fldCharType="separate"/>
            </w:r>
            <w:r w:rsidR="00D9163C">
              <w:rPr>
                <w:webHidden/>
              </w:rPr>
              <w:t>34</w:t>
            </w:r>
            <w:r w:rsidR="00D9163C">
              <w:rPr>
                <w:webHidden/>
              </w:rPr>
              <w:fldChar w:fldCharType="end"/>
            </w:r>
          </w:hyperlink>
        </w:p>
        <w:p w14:paraId="684BFB9B" w14:textId="3E6ACA65" w:rsidR="001E6413" w:rsidRDefault="001E6413">
          <w:r>
            <w:rPr>
              <w:b/>
            </w:rPr>
            <w:fldChar w:fldCharType="end"/>
          </w:r>
        </w:p>
      </w:sdtContent>
    </w:sdt>
    <w:p w14:paraId="4600634B" w14:textId="77777777" w:rsidR="004D7AC0" w:rsidRPr="009B70E7" w:rsidRDefault="004D7AC0"/>
    <w:p w14:paraId="68489C47" w14:textId="2FCA526B" w:rsidR="004D7AC0" w:rsidRPr="009B70E7" w:rsidRDefault="004D7AC0" w:rsidP="001A7476">
      <w:pPr>
        <w:pStyle w:val="Heading1"/>
        <w:numPr>
          <w:ilvl w:val="0"/>
          <w:numId w:val="0"/>
        </w:numPr>
      </w:pPr>
      <w:r>
        <w:br w:type="page"/>
      </w:r>
    </w:p>
    <w:p w14:paraId="6646A81C" w14:textId="183C930B" w:rsidR="007B4C34" w:rsidRDefault="00477361" w:rsidP="00D13F40">
      <w:pPr>
        <w:pStyle w:val="Heading1"/>
        <w:rPr>
          <w:b/>
        </w:rPr>
      </w:pPr>
      <w:bookmarkStart w:id="0" w:name="_Toc120198244"/>
      <w:r>
        <w:rPr>
          <w:b/>
        </w:rPr>
        <w:lastRenderedPageBreak/>
        <w:t>RÉSOLUTION</w:t>
      </w:r>
      <w:bookmarkEnd w:id="0"/>
      <w:r>
        <w:rPr>
          <w:b/>
        </w:rPr>
        <w:t xml:space="preserve"> </w:t>
      </w:r>
    </w:p>
    <w:p w14:paraId="66E1DCCB" w14:textId="77777777" w:rsidR="003E08CB" w:rsidRPr="003E08CB" w:rsidRDefault="003E08CB" w:rsidP="003E08CB"/>
    <w:p w14:paraId="0783F005" w14:textId="011CDD91" w:rsidR="00477361" w:rsidRPr="007B4C34" w:rsidRDefault="007B4C34" w:rsidP="007B4C34">
      <w:pPr>
        <w:keepNext/>
        <w:keepLines/>
        <w:numPr>
          <w:ilvl w:val="0"/>
          <w:numId w:val="5"/>
        </w:numPr>
        <w:overflowPunct w:val="0"/>
        <w:autoSpaceDE w:val="0"/>
        <w:autoSpaceDN w:val="0"/>
        <w:adjustRightInd w:val="0"/>
        <w:ind w:left="567" w:hanging="567"/>
        <w:textAlignment w:val="baseline"/>
        <w:rPr>
          <w:b/>
        </w:rPr>
      </w:pPr>
      <w:r>
        <w:rPr>
          <w:b/>
          <w:i/>
          <w:color w:val="000000" w:themeColor="text1"/>
          <w:sz w:val="28"/>
        </w:rPr>
        <w:t>Ensemble pour affronter une menace existentielle: les partenaires sociaux et la société civile défendent la mise en œuvre d’une action ambitieuse dans le domaine du climat</w:t>
      </w:r>
    </w:p>
    <w:p w14:paraId="4B6CB25B" w14:textId="5F4B2587" w:rsidR="007B4C34" w:rsidRDefault="007B4C34" w:rsidP="007B4C34">
      <w:pPr>
        <w:keepNext/>
        <w:keepLines/>
        <w:overflowPunct w:val="0"/>
        <w:autoSpaceDE w:val="0"/>
        <w:autoSpaceDN w:val="0"/>
        <w:adjustRightInd w:val="0"/>
        <w:textAlignment w:val="baseline"/>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7B4C34" w:rsidRPr="00627B8F" w14:paraId="167553BD" w14:textId="77777777" w:rsidTr="00E163B8">
        <w:tc>
          <w:tcPr>
            <w:tcW w:w="1701" w:type="dxa"/>
          </w:tcPr>
          <w:p w14:paraId="62153B88" w14:textId="5C705631" w:rsidR="007B4C34" w:rsidRPr="009B70E7" w:rsidRDefault="007B4C34" w:rsidP="00E163B8">
            <w:pPr>
              <w:pStyle w:val="ListParagraph"/>
              <w:spacing w:line="240" w:lineRule="auto"/>
              <w:ind w:left="-142" w:firstLine="142"/>
              <w:rPr>
                <w:b/>
              </w:rPr>
            </w:pPr>
            <w:r>
              <w:rPr>
                <w:b/>
              </w:rPr>
              <w:t>Rapporteur:</w:t>
            </w:r>
          </w:p>
        </w:tc>
        <w:tc>
          <w:tcPr>
            <w:tcW w:w="6521" w:type="dxa"/>
          </w:tcPr>
          <w:p w14:paraId="6399B64F" w14:textId="3FB4A062" w:rsidR="007B4C34" w:rsidRDefault="00C64EEF" w:rsidP="00E163B8">
            <w:pPr>
              <w:pStyle w:val="ListParagraph"/>
              <w:ind w:left="-60" w:right="-55"/>
            </w:pPr>
            <w:r>
              <w:t>Peter SCHMIDT (groupe des travailleurs — DE)</w:t>
            </w:r>
          </w:p>
          <w:p w14:paraId="136D5B8D" w14:textId="07951438" w:rsidR="007B4C34" w:rsidRDefault="00C64EEF" w:rsidP="00E163B8">
            <w:pPr>
              <w:pStyle w:val="ListParagraph"/>
              <w:ind w:left="-60" w:right="-55"/>
            </w:pPr>
            <w:r>
              <w:t>Isabel CAÑO AGUILAR (</w:t>
            </w:r>
            <w:proofErr w:type="spellStart"/>
            <w:r>
              <w:t>Employees</w:t>
            </w:r>
            <w:proofErr w:type="spellEnd"/>
            <w:r>
              <w:t xml:space="preserve"> </w:t>
            </w:r>
            <w:r w:rsidR="008B74A9">
              <w:t>—</w:t>
            </w:r>
            <w:r>
              <w:t xml:space="preserve"> ES </w:t>
            </w:r>
          </w:p>
          <w:p w14:paraId="5C03D183" w14:textId="3010FE6E" w:rsidR="003E08CB" w:rsidRDefault="003E08CB" w:rsidP="003E08CB">
            <w:pPr>
              <w:keepNext/>
              <w:keepLines/>
              <w:overflowPunct w:val="0"/>
              <w:autoSpaceDE w:val="0"/>
              <w:autoSpaceDN w:val="0"/>
              <w:adjustRightInd w:val="0"/>
              <w:textAlignment w:val="baseline"/>
            </w:pPr>
            <w:r>
              <w:t>Sandra PARTHIE (groupe des employeurs, Allemagne)</w:t>
            </w:r>
          </w:p>
          <w:p w14:paraId="19897E63" w14:textId="5E69AE42" w:rsidR="003E08CB" w:rsidRDefault="003E08CB" w:rsidP="003E08CB">
            <w:pPr>
              <w:keepNext/>
              <w:keepLines/>
              <w:overflowPunct w:val="0"/>
              <w:autoSpaceDE w:val="0"/>
              <w:autoSpaceDN w:val="0"/>
              <w:adjustRightInd w:val="0"/>
              <w:textAlignment w:val="baseline"/>
            </w:pPr>
            <w:r>
              <w:t>Josep PUXEU ROCAMORA (groupe des employeurs – ES)</w:t>
            </w:r>
          </w:p>
          <w:p w14:paraId="4AC24FBD" w14:textId="4F09CA1D" w:rsidR="003E08CB" w:rsidRDefault="003E08CB" w:rsidP="003E08CB">
            <w:pPr>
              <w:keepNext/>
              <w:keepLines/>
              <w:overflowPunct w:val="0"/>
              <w:autoSpaceDE w:val="0"/>
              <w:autoSpaceDN w:val="0"/>
              <w:adjustRightInd w:val="0"/>
              <w:textAlignment w:val="baseline"/>
              <w:rPr>
                <w:bCs/>
              </w:rPr>
            </w:pPr>
            <w:r>
              <w:t>Juraj SIPKO (groupe des organisations de la société civile — Slovaquie)</w:t>
            </w:r>
          </w:p>
          <w:p w14:paraId="1AF3CFBD" w14:textId="7F669836" w:rsidR="003E08CB" w:rsidRPr="00627B8F" w:rsidRDefault="003E08CB" w:rsidP="003E08CB">
            <w:pPr>
              <w:pStyle w:val="ListParagraph"/>
              <w:ind w:left="-60" w:right="-55"/>
            </w:pPr>
            <w:r>
              <w:tab/>
              <w:t>Lutz RIBBE (groupe des organisations de la société civile — DE)</w:t>
            </w:r>
          </w:p>
        </w:tc>
      </w:tr>
    </w:tbl>
    <w:p w14:paraId="0FB003A7" w14:textId="6E88E359" w:rsidR="004E3304" w:rsidRDefault="004E3304" w:rsidP="007B4C34">
      <w:pPr>
        <w:keepNext/>
        <w:keepLines/>
        <w:overflowPunct w:val="0"/>
        <w:autoSpaceDE w:val="0"/>
        <w:autoSpaceDN w:val="0"/>
        <w:adjustRightInd w:val="0"/>
        <w:textAlignment w:val="baseline"/>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847288" w:rsidRPr="00627B8F" w14:paraId="6A5F68B5" w14:textId="77777777" w:rsidTr="001779C0">
        <w:tc>
          <w:tcPr>
            <w:tcW w:w="1701" w:type="dxa"/>
          </w:tcPr>
          <w:p w14:paraId="259FD2ED" w14:textId="77777777" w:rsidR="00847288" w:rsidRPr="009B70E7" w:rsidRDefault="00847288" w:rsidP="001779C0">
            <w:pPr>
              <w:pStyle w:val="ListParagraph"/>
              <w:spacing w:line="240" w:lineRule="auto"/>
              <w:ind w:left="-142" w:firstLine="142"/>
              <w:rPr>
                <w:b/>
              </w:rPr>
            </w:pPr>
            <w:r>
              <w:rPr>
                <w:b/>
              </w:rPr>
              <w:t xml:space="preserve">Référence: </w:t>
            </w:r>
          </w:p>
        </w:tc>
        <w:tc>
          <w:tcPr>
            <w:tcW w:w="6521" w:type="dxa"/>
          </w:tcPr>
          <w:p w14:paraId="5E9DE4CD" w14:textId="1C5FDB10" w:rsidR="00847288" w:rsidRPr="00627B8F" w:rsidRDefault="00847288" w:rsidP="001779C0">
            <w:pPr>
              <w:pStyle w:val="ListParagraph"/>
              <w:ind w:left="-61"/>
            </w:pPr>
            <w:r>
              <w:t>EESC-2022-04116-00-00-RES</w:t>
            </w:r>
          </w:p>
        </w:tc>
      </w:tr>
    </w:tbl>
    <w:p w14:paraId="6940D898" w14:textId="77777777" w:rsidR="00847288" w:rsidRPr="00627B8F" w:rsidRDefault="00847288" w:rsidP="00847288">
      <w:pPr>
        <w:pStyle w:val="ListParagraph"/>
        <w:spacing w:line="240" w:lineRule="auto"/>
        <w:ind w:left="0"/>
        <w:rPr>
          <w:lang w:val="pt-PT"/>
        </w:rPr>
      </w:pPr>
    </w:p>
    <w:p w14:paraId="77C22E2F" w14:textId="77777777" w:rsidR="00847288" w:rsidRPr="009B70E7" w:rsidRDefault="00847288" w:rsidP="00847288">
      <w:pPr>
        <w:pStyle w:val="ListParagraph"/>
        <w:spacing w:line="240" w:lineRule="auto"/>
        <w:ind w:left="0" w:firstLine="142"/>
        <w:rPr>
          <w:b/>
        </w:rPr>
      </w:pPr>
      <w:r>
        <w:rPr>
          <w:b/>
        </w:rPr>
        <w:t>Points clés</w:t>
      </w:r>
    </w:p>
    <w:p w14:paraId="6F72C1A6" w14:textId="77777777" w:rsidR="00847288" w:rsidRPr="00804736" w:rsidRDefault="00847288" w:rsidP="00847288">
      <w:pPr>
        <w:pStyle w:val="ListParagraph"/>
        <w:spacing w:line="240" w:lineRule="auto"/>
        <w:ind w:left="-142" w:firstLine="142"/>
        <w:rPr>
          <w:b/>
        </w:rPr>
      </w:pPr>
    </w:p>
    <w:p w14:paraId="207BF1D2" w14:textId="77777777" w:rsidR="00847288" w:rsidRPr="00B67EDA" w:rsidRDefault="00847288" w:rsidP="00847288">
      <w:pPr>
        <w:pStyle w:val="ListParagraph"/>
        <w:spacing w:line="240" w:lineRule="auto"/>
        <w:ind w:left="0" w:firstLine="142"/>
        <w:rPr>
          <w:bCs/>
        </w:rPr>
      </w:pPr>
      <w:r>
        <w:t>Le CESE:</w:t>
      </w:r>
    </w:p>
    <w:p w14:paraId="4DF8CA26" w14:textId="6DD36B91" w:rsidR="00847288" w:rsidRDefault="00847288" w:rsidP="00847288">
      <w:pPr>
        <w:pStyle w:val="ListParagraph"/>
        <w:spacing w:line="276" w:lineRule="auto"/>
        <w:ind w:left="0"/>
      </w:pPr>
    </w:p>
    <w:p w14:paraId="189B61E8" w14:textId="1C435956" w:rsidR="00847288" w:rsidRPr="009B70E7" w:rsidRDefault="00847288" w:rsidP="00847288">
      <w:pPr>
        <w:pStyle w:val="ListParagraph"/>
        <w:numPr>
          <w:ilvl w:val="0"/>
          <w:numId w:val="3"/>
        </w:numPr>
        <w:spacing w:line="276" w:lineRule="auto"/>
        <w:ind w:left="357" w:hanging="357"/>
      </w:pPr>
      <w:r>
        <w:t xml:space="preserve">souligne que </w:t>
      </w:r>
      <w:r>
        <w:rPr>
          <w:b/>
        </w:rPr>
        <w:t>nous connaissons actuellement une urgence climatique</w:t>
      </w:r>
      <w:r>
        <w:t xml:space="preserve"> et a la ferme conviction que les décisions prises dans le cadre des politiques menées doivent correspondre aux données de la science et aux informations scientifiques; demande à la Commission européenne et aux États membres de l’Union d’</w:t>
      </w:r>
      <w:r>
        <w:rPr>
          <w:b/>
        </w:rPr>
        <w:t>assumer un rôle moteur</w:t>
      </w:r>
      <w:r>
        <w:t xml:space="preserve"> et d’</w:t>
      </w:r>
      <w:r>
        <w:rPr>
          <w:b/>
        </w:rPr>
        <w:t>actualiser les contributions déterminées au niveau national (CDN)</w:t>
      </w:r>
      <w:r>
        <w:t xml:space="preserve"> à la suite du pacte de Glasgow pour le climat;</w:t>
      </w:r>
    </w:p>
    <w:p w14:paraId="1C07CD30" w14:textId="15E9E73B" w:rsidR="00847288" w:rsidRDefault="00847288" w:rsidP="00847288">
      <w:pPr>
        <w:pStyle w:val="ListParagraph"/>
        <w:numPr>
          <w:ilvl w:val="0"/>
          <w:numId w:val="3"/>
        </w:numPr>
        <w:spacing w:line="276" w:lineRule="auto"/>
        <w:ind w:left="357" w:hanging="357"/>
      </w:pPr>
      <w:r>
        <w:t xml:space="preserve">reconnaît que l’invasion de l’Ukraine par la Russie est venue complexifier une situation qui était déjà difficile, mais souligne que </w:t>
      </w:r>
      <w:r>
        <w:rPr>
          <w:b/>
        </w:rPr>
        <w:t>des dérogations exceptionnelles aux objectifs convenus ne sauraient être accordées que pour un laps de temps limité</w:t>
      </w:r>
      <w:r>
        <w:t>;</w:t>
      </w:r>
    </w:p>
    <w:p w14:paraId="72575DFC" w14:textId="12D30DB9" w:rsidR="00847288" w:rsidRDefault="00847288" w:rsidP="00847288">
      <w:pPr>
        <w:pStyle w:val="ListParagraph"/>
        <w:numPr>
          <w:ilvl w:val="0"/>
          <w:numId w:val="3"/>
        </w:numPr>
        <w:spacing w:line="276" w:lineRule="auto"/>
        <w:ind w:left="357" w:hanging="357"/>
      </w:pPr>
      <w:r>
        <w:t xml:space="preserve">est convaincu que </w:t>
      </w:r>
      <w:r>
        <w:rPr>
          <w:b/>
        </w:rPr>
        <w:t>le pacte vert pour l’Europe doit être renforcé</w:t>
      </w:r>
      <w:r>
        <w:t xml:space="preserve"> et préconise une </w:t>
      </w:r>
      <w:r>
        <w:rPr>
          <w:b/>
        </w:rPr>
        <w:t>intensification des efforts diplomatiques de l’Union</w:t>
      </w:r>
      <w:r>
        <w:t xml:space="preserve"> pour promouvoir l’adoption par la communauté internationale de cadres stratégiques analogues au pacte vert pour l’Europe;</w:t>
      </w:r>
    </w:p>
    <w:p w14:paraId="45C22EE6" w14:textId="5390A339" w:rsidR="00847288" w:rsidRDefault="00847288" w:rsidP="00847288">
      <w:pPr>
        <w:pStyle w:val="ListParagraph"/>
        <w:numPr>
          <w:ilvl w:val="0"/>
          <w:numId w:val="3"/>
        </w:numPr>
        <w:spacing w:line="276" w:lineRule="auto"/>
        <w:ind w:left="357" w:hanging="357"/>
      </w:pPr>
      <w:r>
        <w:t>préconise une augmentation de l’enveloppe globale des contributions apportées par les pays développés au financement de l’action climatique et demande qu’</w:t>
      </w:r>
      <w:r>
        <w:rPr>
          <w:b/>
        </w:rPr>
        <w:t>une «importance égale» soit accordée au financement de l’atténuation et de l’adaptation</w:t>
      </w:r>
      <w:r>
        <w:t xml:space="preserve">; invite instamment les États membres de l’Union et la Commission à prendre des engagements dans le cadre du </w:t>
      </w:r>
      <w:r>
        <w:rPr>
          <w:b/>
        </w:rPr>
        <w:t>mécanisme relatif aux pertes et préjudices</w:t>
      </w:r>
      <w:r>
        <w:t xml:space="preserve"> afin de réparer les conséquences du changement climatique;</w:t>
      </w:r>
    </w:p>
    <w:p w14:paraId="1486CAB1" w14:textId="4C6CF3F7" w:rsidR="004E3304" w:rsidRDefault="00847288" w:rsidP="00847288">
      <w:pPr>
        <w:pStyle w:val="ListParagraph"/>
        <w:numPr>
          <w:ilvl w:val="0"/>
          <w:numId w:val="3"/>
        </w:numPr>
        <w:spacing w:line="276" w:lineRule="auto"/>
        <w:ind w:left="357" w:hanging="357"/>
      </w:pPr>
      <w:r>
        <w:t xml:space="preserve">considère que </w:t>
      </w:r>
      <w:r>
        <w:rPr>
          <w:b/>
        </w:rPr>
        <w:t>les CDN devraient s’accompagner de plans pour l’emploi et de stratégies pour une transition juste au niveau national</w:t>
      </w:r>
      <w:r>
        <w:t xml:space="preserve">; </w:t>
      </w:r>
      <w:r>
        <w:rPr>
          <w:b/>
        </w:rPr>
        <w:t>demande que l’on donne à la société civile les moyens</w:t>
      </w:r>
      <w:r>
        <w:t xml:space="preserve"> d’accélérer l’action climatique et propose un </w:t>
      </w:r>
      <w:r>
        <w:rPr>
          <w:b/>
        </w:rPr>
        <w:t>nouveau cadre de gouvernance</w:t>
      </w:r>
      <w:r>
        <w:t xml:space="preserve"> pour développer ces transformations radicales; encourage les gouvernements et les pouvoirs publics régionaux à créer des </w:t>
      </w:r>
      <w:r>
        <w:rPr>
          <w:b/>
        </w:rPr>
        <w:t>commissions de la transition juste</w:t>
      </w:r>
      <w:r>
        <w:t xml:space="preserve"> pour apporter des réponses aux défis sociaux de la transformation écologique.</w:t>
      </w:r>
    </w:p>
    <w:p w14:paraId="0AD8282B" w14:textId="77777777" w:rsidR="00847288" w:rsidRDefault="00847288" w:rsidP="00594D93">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847288" w:rsidRPr="009B70E7" w14:paraId="1A0E05BC" w14:textId="77777777" w:rsidTr="001779C0">
        <w:tc>
          <w:tcPr>
            <w:tcW w:w="1418" w:type="dxa"/>
          </w:tcPr>
          <w:p w14:paraId="4E17985E" w14:textId="255948B4" w:rsidR="00847288" w:rsidRPr="009B70E7" w:rsidRDefault="00140AB0" w:rsidP="001779C0">
            <w:pPr>
              <w:pStyle w:val="ListParagraph"/>
              <w:spacing w:line="276" w:lineRule="auto"/>
              <w:ind w:left="0"/>
              <w:rPr>
                <w:i/>
              </w:rPr>
            </w:pPr>
            <w:r>
              <w:rPr>
                <w:b/>
                <w:i/>
              </w:rPr>
              <w:t>Contact:</w:t>
            </w:r>
          </w:p>
        </w:tc>
        <w:tc>
          <w:tcPr>
            <w:tcW w:w="5670" w:type="dxa"/>
          </w:tcPr>
          <w:p w14:paraId="7A3D3B04" w14:textId="12E76DD4" w:rsidR="00847288" w:rsidRPr="009B70E7" w:rsidRDefault="00847288" w:rsidP="001779C0">
            <w:pPr>
              <w:pStyle w:val="ListParagraph"/>
              <w:spacing w:line="276" w:lineRule="auto"/>
              <w:ind w:left="0"/>
              <w:rPr>
                <w:i/>
              </w:rPr>
            </w:pPr>
            <w:r>
              <w:rPr>
                <w:i/>
              </w:rPr>
              <w:t>Judith CARRERAS GARCIA</w:t>
            </w:r>
          </w:p>
        </w:tc>
      </w:tr>
      <w:tr w:rsidR="00847288" w:rsidRPr="009B70E7" w14:paraId="510E6EF9" w14:textId="77777777" w:rsidTr="001779C0">
        <w:tc>
          <w:tcPr>
            <w:tcW w:w="1418" w:type="dxa"/>
          </w:tcPr>
          <w:p w14:paraId="26FECBC0" w14:textId="77777777" w:rsidR="00847288" w:rsidRPr="009B70E7" w:rsidRDefault="00847288" w:rsidP="001779C0">
            <w:pPr>
              <w:pStyle w:val="ListParagraph"/>
              <w:spacing w:line="276" w:lineRule="auto"/>
              <w:ind w:left="601"/>
              <w:rPr>
                <w:i/>
              </w:rPr>
            </w:pPr>
            <w:r>
              <w:rPr>
                <w:i/>
              </w:rPr>
              <w:t>Tél.:</w:t>
            </w:r>
          </w:p>
        </w:tc>
        <w:tc>
          <w:tcPr>
            <w:tcW w:w="5670" w:type="dxa"/>
          </w:tcPr>
          <w:p w14:paraId="17DB3F0C" w14:textId="778D5F32" w:rsidR="00847288" w:rsidRPr="009B70E7" w:rsidRDefault="00847288" w:rsidP="001779C0">
            <w:pPr>
              <w:pStyle w:val="ListParagraph"/>
              <w:spacing w:line="276" w:lineRule="auto"/>
              <w:ind w:left="0"/>
              <w:rPr>
                <w:i/>
              </w:rPr>
            </w:pPr>
            <w:r>
              <w:rPr>
                <w:i/>
              </w:rPr>
              <w:t>+32 2 546 8421</w:t>
            </w:r>
          </w:p>
        </w:tc>
      </w:tr>
      <w:tr w:rsidR="00847288" w:rsidRPr="009B70E7" w14:paraId="1E5F6330" w14:textId="77777777" w:rsidTr="001779C0">
        <w:tc>
          <w:tcPr>
            <w:tcW w:w="1418" w:type="dxa"/>
          </w:tcPr>
          <w:p w14:paraId="31C42877" w14:textId="77777777" w:rsidR="00847288" w:rsidRPr="009B70E7" w:rsidRDefault="00847288" w:rsidP="001779C0">
            <w:pPr>
              <w:pStyle w:val="ListParagraph"/>
              <w:spacing w:line="276" w:lineRule="auto"/>
              <w:ind w:left="601"/>
              <w:rPr>
                <w:i/>
              </w:rPr>
            </w:pPr>
            <w:r>
              <w:rPr>
                <w:i/>
              </w:rPr>
              <w:t>Courriel:</w:t>
            </w:r>
          </w:p>
        </w:tc>
        <w:tc>
          <w:tcPr>
            <w:tcW w:w="5670" w:type="dxa"/>
          </w:tcPr>
          <w:p w14:paraId="3D591AA1" w14:textId="3C19B536" w:rsidR="00847288" w:rsidRPr="009B12BE" w:rsidRDefault="009D65A9" w:rsidP="001779C0">
            <w:pPr>
              <w:pStyle w:val="ListParagraph"/>
              <w:spacing w:line="276" w:lineRule="auto"/>
              <w:ind w:left="0"/>
              <w:rPr>
                <w:i/>
                <w:iCs/>
                <w:color w:val="0000FF"/>
                <w:u w:val="single"/>
              </w:rPr>
            </w:pPr>
            <w:hyperlink r:id="rId20" w:history="1">
              <w:r w:rsidR="007B42E2" w:rsidRPr="00E71AA9">
                <w:rPr>
                  <w:rStyle w:val="Hyperlink"/>
                  <w:i/>
                  <w:iCs/>
                </w:rPr>
                <w:t>Judit.CarrerasGarcia@eesc.europa.eu</w:t>
              </w:r>
            </w:hyperlink>
          </w:p>
        </w:tc>
      </w:tr>
    </w:tbl>
    <w:p w14:paraId="59BBDBA3" w14:textId="16E5D695" w:rsidR="00057592" w:rsidRDefault="00057592">
      <w:pPr>
        <w:spacing w:after="160" w:line="259" w:lineRule="auto"/>
        <w:jc w:val="left"/>
        <w:rPr>
          <w:b/>
        </w:rPr>
      </w:pPr>
      <w:r>
        <w:br w:type="page"/>
      </w:r>
    </w:p>
    <w:p w14:paraId="0A65C7DB" w14:textId="77777777" w:rsidR="00057592" w:rsidRPr="007B4C34" w:rsidRDefault="00057592" w:rsidP="007B4C34">
      <w:pPr>
        <w:keepNext/>
        <w:keepLines/>
        <w:overflowPunct w:val="0"/>
        <w:autoSpaceDE w:val="0"/>
        <w:autoSpaceDN w:val="0"/>
        <w:adjustRightInd w:val="0"/>
        <w:textAlignment w:val="baseline"/>
        <w:rPr>
          <w:b/>
        </w:rPr>
      </w:pPr>
    </w:p>
    <w:p w14:paraId="1E329F25" w14:textId="77777777" w:rsidR="004D7AC0" w:rsidRPr="00D13F40" w:rsidRDefault="004D7AC0" w:rsidP="00E71AA9">
      <w:pPr>
        <w:pStyle w:val="Heading1"/>
        <w:ind w:left="567" w:hanging="567"/>
        <w:rPr>
          <w:b/>
        </w:rPr>
      </w:pPr>
      <w:bookmarkStart w:id="1" w:name="_Toc120198245"/>
      <w:r>
        <w:rPr>
          <w:b/>
        </w:rPr>
        <w:t>UNION ÉCONOMIQUE ET MONÉTAIRE ET COHÉSION ÉCONOMIQUE ET SOCIALE</w:t>
      </w:r>
      <w:bookmarkEnd w:id="1"/>
    </w:p>
    <w:p w14:paraId="1710091D" w14:textId="77777777" w:rsidR="00662436" w:rsidRDefault="00662436" w:rsidP="009B12BE">
      <w:pPr>
        <w:keepNext/>
        <w:spacing w:line="240" w:lineRule="auto"/>
      </w:pPr>
    </w:p>
    <w:p w14:paraId="228D42E4" w14:textId="4EBE2391" w:rsidR="00640656" w:rsidRPr="00017B56" w:rsidRDefault="00A26217" w:rsidP="00AB502C">
      <w:pPr>
        <w:keepNext/>
        <w:keepLines/>
        <w:numPr>
          <w:ilvl w:val="0"/>
          <w:numId w:val="5"/>
        </w:numPr>
        <w:overflowPunct w:val="0"/>
        <w:autoSpaceDE w:val="0"/>
        <w:autoSpaceDN w:val="0"/>
        <w:adjustRightInd w:val="0"/>
        <w:ind w:left="567" w:hanging="567"/>
        <w:textAlignment w:val="baseline"/>
        <w:rPr>
          <w:rStyle w:val="Hyperlink"/>
          <w:color w:val="auto"/>
          <w:spacing w:val="-2"/>
          <w:u w:val="none"/>
        </w:rPr>
      </w:pPr>
      <w:r>
        <w:rPr>
          <w:b/>
          <w:i/>
          <w:color w:val="000000" w:themeColor="text1"/>
          <w:sz w:val="28"/>
        </w:rPr>
        <w:t>Recapitalisation des entreprises de l’Union: une solution innovante pour une reprise durable et inclusive</w:t>
      </w:r>
    </w:p>
    <w:p w14:paraId="6939C94A" w14:textId="77777777" w:rsidR="00017B56" w:rsidRPr="00017B56" w:rsidRDefault="00017B56" w:rsidP="00017B56">
      <w:pPr>
        <w:keepNext/>
        <w:keepLines/>
        <w:overflowPunct w:val="0"/>
        <w:autoSpaceDE w:val="0"/>
        <w:autoSpaceDN w:val="0"/>
        <w:adjustRightInd w:val="0"/>
        <w:textAlignment w:val="baseline"/>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640656" w:rsidRPr="00627B8F" w14:paraId="17A96696" w14:textId="77777777" w:rsidTr="00B83E7B">
        <w:tc>
          <w:tcPr>
            <w:tcW w:w="1701" w:type="dxa"/>
          </w:tcPr>
          <w:p w14:paraId="204BF0A8" w14:textId="77777777" w:rsidR="00640656" w:rsidRPr="009B70E7" w:rsidRDefault="00640656" w:rsidP="002C4B6E">
            <w:pPr>
              <w:pStyle w:val="ListParagraph"/>
              <w:spacing w:line="240" w:lineRule="auto"/>
              <w:ind w:left="-142" w:firstLine="142"/>
              <w:rPr>
                <w:b/>
              </w:rPr>
            </w:pPr>
            <w:bookmarkStart w:id="2" w:name="_Hlk117003820"/>
            <w:r>
              <w:rPr>
                <w:b/>
              </w:rPr>
              <w:t>Rapporteur:</w:t>
            </w:r>
          </w:p>
        </w:tc>
        <w:tc>
          <w:tcPr>
            <w:tcW w:w="6521" w:type="dxa"/>
          </w:tcPr>
          <w:p w14:paraId="1461617E" w14:textId="4DA308D0" w:rsidR="00640656" w:rsidRDefault="00017B56" w:rsidP="00B83E7B">
            <w:pPr>
              <w:pStyle w:val="ListParagraph"/>
              <w:ind w:left="-60" w:right="-55"/>
            </w:pPr>
            <w:r>
              <w:t>Antonio GARCÍA DEL RIEGO (groupe des employeurs</w:t>
            </w:r>
            <w:r w:rsidR="008B74A9">
              <w:t xml:space="preserve"> — </w:t>
            </w:r>
            <w:r>
              <w:t>ES)</w:t>
            </w:r>
          </w:p>
          <w:p w14:paraId="1C5C2FFB" w14:textId="21B769C5" w:rsidR="004442D3" w:rsidRPr="00627B8F" w:rsidRDefault="004442D3" w:rsidP="00B83E7B">
            <w:pPr>
              <w:pStyle w:val="ListParagraph"/>
              <w:ind w:left="-60" w:right="-55"/>
            </w:pPr>
          </w:p>
        </w:tc>
      </w:tr>
      <w:bookmarkEnd w:id="2"/>
      <w:tr w:rsidR="00640656" w:rsidRPr="00627B8F" w14:paraId="3D93C3AA" w14:textId="77777777" w:rsidTr="00B83E7B">
        <w:tc>
          <w:tcPr>
            <w:tcW w:w="1701" w:type="dxa"/>
          </w:tcPr>
          <w:p w14:paraId="33436DCF" w14:textId="77777777" w:rsidR="00640656" w:rsidRPr="009B70E7" w:rsidRDefault="00640656" w:rsidP="00804736">
            <w:pPr>
              <w:pStyle w:val="ListParagraph"/>
              <w:spacing w:line="240" w:lineRule="auto"/>
              <w:ind w:left="-142" w:firstLine="142"/>
              <w:rPr>
                <w:b/>
              </w:rPr>
            </w:pPr>
            <w:r>
              <w:rPr>
                <w:b/>
              </w:rPr>
              <w:t xml:space="preserve">Référence: </w:t>
            </w:r>
          </w:p>
        </w:tc>
        <w:tc>
          <w:tcPr>
            <w:tcW w:w="6521" w:type="dxa"/>
          </w:tcPr>
          <w:p w14:paraId="3CD87A23" w14:textId="77777777" w:rsidR="00640656" w:rsidRPr="00627B8F" w:rsidRDefault="000A03BD" w:rsidP="00B83E7B">
            <w:pPr>
              <w:pStyle w:val="ListParagraph"/>
              <w:ind w:left="-61"/>
              <w:rPr>
                <w:bCs/>
              </w:rPr>
            </w:pPr>
            <w:r>
              <w:t>Avis d’initiative</w:t>
            </w:r>
          </w:p>
          <w:p w14:paraId="57D265AF" w14:textId="3B0375E8" w:rsidR="00640656" w:rsidRPr="00627B8F" w:rsidRDefault="00640656" w:rsidP="00B83E7B">
            <w:pPr>
              <w:pStyle w:val="ListParagraph"/>
              <w:ind w:left="-61"/>
            </w:pPr>
            <w:r>
              <w:t>EESC-2022-00362-00-00-AC</w:t>
            </w:r>
          </w:p>
        </w:tc>
      </w:tr>
    </w:tbl>
    <w:p w14:paraId="68C62979" w14:textId="77777777" w:rsidR="00640656" w:rsidRPr="00627B8F" w:rsidRDefault="00640656" w:rsidP="00640656">
      <w:pPr>
        <w:pStyle w:val="ListParagraph"/>
        <w:spacing w:line="240" w:lineRule="auto"/>
        <w:ind w:left="0"/>
        <w:rPr>
          <w:lang w:val="pt-PT"/>
        </w:rPr>
      </w:pPr>
    </w:p>
    <w:p w14:paraId="1531E332" w14:textId="43F60572" w:rsidR="00640656" w:rsidRPr="009B70E7" w:rsidRDefault="00640656" w:rsidP="009B12BE">
      <w:pPr>
        <w:pStyle w:val="ListParagraph"/>
        <w:keepNext/>
        <w:spacing w:line="240" w:lineRule="auto"/>
        <w:ind w:left="0" w:firstLine="142"/>
        <w:rPr>
          <w:b/>
        </w:rPr>
      </w:pPr>
      <w:r>
        <w:rPr>
          <w:b/>
        </w:rPr>
        <w:t>Points clés</w:t>
      </w:r>
    </w:p>
    <w:p w14:paraId="35E5BFA5" w14:textId="77777777" w:rsidR="00640656" w:rsidRPr="00804736" w:rsidRDefault="00640656" w:rsidP="00594D93">
      <w:pPr>
        <w:pStyle w:val="ListParagraph"/>
        <w:keepNext/>
        <w:spacing w:line="240" w:lineRule="auto"/>
        <w:ind w:left="-142" w:firstLine="142"/>
        <w:rPr>
          <w:b/>
        </w:rPr>
      </w:pPr>
    </w:p>
    <w:p w14:paraId="49F5E58C" w14:textId="77777777" w:rsidR="00640656" w:rsidRPr="00B67EDA" w:rsidRDefault="00640656" w:rsidP="00594D93">
      <w:pPr>
        <w:pStyle w:val="ListParagraph"/>
        <w:keepNext/>
        <w:spacing w:line="240" w:lineRule="auto"/>
        <w:ind w:left="0" w:firstLine="142"/>
        <w:rPr>
          <w:bCs/>
        </w:rPr>
      </w:pPr>
      <w:r>
        <w:t>Le CESE:</w:t>
      </w:r>
    </w:p>
    <w:p w14:paraId="79740612" w14:textId="77777777" w:rsidR="00640656" w:rsidRPr="009B70E7" w:rsidRDefault="00640656" w:rsidP="00594D93">
      <w:pPr>
        <w:pStyle w:val="ListParagraph"/>
        <w:keepNext/>
        <w:spacing w:line="276" w:lineRule="auto"/>
        <w:ind w:left="0"/>
      </w:pPr>
    </w:p>
    <w:p w14:paraId="7319D50D" w14:textId="002A12EB" w:rsidR="00640656" w:rsidRPr="009B70E7" w:rsidRDefault="00017B56" w:rsidP="00640656">
      <w:pPr>
        <w:pStyle w:val="ListParagraph"/>
        <w:numPr>
          <w:ilvl w:val="0"/>
          <w:numId w:val="3"/>
        </w:numPr>
        <w:spacing w:line="276" w:lineRule="auto"/>
        <w:ind w:left="357" w:hanging="357"/>
      </w:pPr>
      <w:bookmarkStart w:id="3" w:name="_Hlk118374349"/>
      <w:r>
        <w:t>constate que les entreprises de l’Union dépendent excessivement du financement bancaire, avec un déficit de fonds propres et de capital estimé entre 450 et 600 milliards d’EUR. Cela représente un risque pour les entreprises, compte tenu notamment des niveaux élevés actuels de leurs dettes et de leurs difficultés économiques;</w:t>
      </w:r>
    </w:p>
    <w:p w14:paraId="7C4FC554" w14:textId="77777777" w:rsidR="00017B56" w:rsidRDefault="00017B56" w:rsidP="00017B56">
      <w:pPr>
        <w:pStyle w:val="ListParagraph"/>
        <w:numPr>
          <w:ilvl w:val="0"/>
          <w:numId w:val="3"/>
        </w:numPr>
        <w:spacing w:line="276" w:lineRule="auto"/>
        <w:ind w:left="357" w:hanging="357"/>
      </w:pPr>
      <w:r>
        <w:t>recommande d’encourager de nouvelles sources de financement par l’élaboration d’un cadre qui renforce les instruments financiers hybrides, de sorte qu’ils soient faciles à mettre en œuvre, propres à renforcer les bilans des entreprises et à même de soutenir l’investissement;</w:t>
      </w:r>
      <w:bookmarkEnd w:id="3"/>
    </w:p>
    <w:p w14:paraId="5450339B" w14:textId="7E5ACBF7" w:rsidR="00017B56" w:rsidRPr="00017B56" w:rsidRDefault="00017B56" w:rsidP="00017B56">
      <w:pPr>
        <w:pStyle w:val="ListParagraph"/>
        <w:numPr>
          <w:ilvl w:val="0"/>
          <w:numId w:val="3"/>
        </w:numPr>
        <w:spacing w:line="276" w:lineRule="auto"/>
        <w:ind w:left="357" w:hanging="357"/>
      </w:pPr>
      <w:r>
        <w:t>considère que les instruments fortement subordonnés constituent la meilleure option possible, car ils:</w:t>
      </w:r>
      <w:bookmarkStart w:id="4" w:name="_Hlk116640634"/>
      <w:r>
        <w:rPr>
          <w:color w:val="000000" w:themeColor="text1"/>
        </w:rPr>
        <w:t xml:space="preserve"> </w:t>
      </w:r>
    </w:p>
    <w:p w14:paraId="231063BA" w14:textId="5AF6666C" w:rsidR="00017B56" w:rsidRPr="00017B56" w:rsidRDefault="00017B56" w:rsidP="003256C3">
      <w:pPr>
        <w:pStyle w:val="ListParagraph"/>
        <w:numPr>
          <w:ilvl w:val="0"/>
          <w:numId w:val="6"/>
        </w:numPr>
        <w:spacing w:line="276" w:lineRule="auto"/>
      </w:pPr>
      <w:r>
        <w:t>sont déjà réglementés dans différents pays européens, ce qui en fait un instrument sûr pour les micro, petites et moyennes entreprises;</w:t>
      </w:r>
    </w:p>
    <w:p w14:paraId="46CEA193" w14:textId="77777777" w:rsidR="00017B56" w:rsidRPr="00017B56" w:rsidRDefault="00017B56" w:rsidP="003256C3">
      <w:pPr>
        <w:pStyle w:val="ListParagraph"/>
        <w:numPr>
          <w:ilvl w:val="0"/>
          <w:numId w:val="6"/>
        </w:numPr>
      </w:pPr>
      <w:r>
        <w:t>constituent une solution souple et facile à mettre en œuvre sur le long terme;</w:t>
      </w:r>
    </w:p>
    <w:p w14:paraId="4D214574" w14:textId="640BC399" w:rsidR="00017B56" w:rsidRDefault="00017B56" w:rsidP="003256C3">
      <w:pPr>
        <w:pStyle w:val="ListParagraph"/>
        <w:numPr>
          <w:ilvl w:val="0"/>
          <w:numId w:val="6"/>
        </w:numPr>
        <w:spacing w:line="276" w:lineRule="auto"/>
      </w:pPr>
      <w:r>
        <w:t>sont compatibles avec les entreprises familiales, sachant que les familles souhaitent conserver le contrôle de leur entreprise;</w:t>
      </w:r>
      <w:bookmarkEnd w:id="4"/>
    </w:p>
    <w:p w14:paraId="56A8BCD2" w14:textId="63F9B35D" w:rsidR="00017B56" w:rsidRDefault="00017B56" w:rsidP="00640656">
      <w:pPr>
        <w:pStyle w:val="ListParagraph"/>
        <w:numPr>
          <w:ilvl w:val="0"/>
          <w:numId w:val="3"/>
        </w:numPr>
        <w:spacing w:line="276" w:lineRule="auto"/>
        <w:ind w:left="357" w:hanging="357"/>
      </w:pPr>
      <w:r>
        <w:t>recommande que ces instruments aient un statut de quasi-fonds propres, de sorte à ne pas être comptabilisés en tant que dette dans les bilans d’entreprise, et de se classer juste avant les fonds propres dans l’ordre des paiements en cascade;</w:t>
      </w:r>
    </w:p>
    <w:p w14:paraId="7D62D857" w14:textId="0FB94550" w:rsidR="00017B56" w:rsidRDefault="00017B56" w:rsidP="00640656">
      <w:pPr>
        <w:pStyle w:val="ListParagraph"/>
        <w:numPr>
          <w:ilvl w:val="0"/>
          <w:numId w:val="3"/>
        </w:numPr>
        <w:spacing w:line="276" w:lineRule="auto"/>
        <w:ind w:left="357" w:hanging="357"/>
      </w:pPr>
      <w:r>
        <w:t>encourage la mise en place d’un régime où il existe une collaboration entre les institutions privées et publiques, y compris les banques, les gestionnaires d’actifs, le secteur public et les investisseurs institutionnels (assureurs et fonds de pension);</w:t>
      </w:r>
    </w:p>
    <w:p w14:paraId="0D16AC6B" w14:textId="07C218C9" w:rsidR="00017B56" w:rsidRDefault="00017B56" w:rsidP="00017B56">
      <w:pPr>
        <w:pStyle w:val="ListParagraph"/>
        <w:numPr>
          <w:ilvl w:val="0"/>
          <w:numId w:val="3"/>
        </w:numPr>
        <w:spacing w:line="276" w:lineRule="auto"/>
        <w:ind w:left="357" w:hanging="357"/>
      </w:pPr>
      <w:r>
        <w:t>souligne qu’un modèle d’instrument à l’échelle de l’Union pourrait bénéficier de la visibilité, de la liquidité et de l’ampleur du marché unique et susciter un large attrait parmi les investisseurs institutionnels, en encourageant l’investissement et en soutenant l’union des marchés des capitaux.</w:t>
      </w:r>
    </w:p>
    <w:p w14:paraId="6AC42931" w14:textId="77777777" w:rsidR="00577672" w:rsidRPr="009B70E7" w:rsidRDefault="00577672" w:rsidP="0057767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640656" w:rsidRPr="009B70E7" w14:paraId="437B7156" w14:textId="77777777" w:rsidTr="00B83E7B">
        <w:tc>
          <w:tcPr>
            <w:tcW w:w="1418" w:type="dxa"/>
          </w:tcPr>
          <w:p w14:paraId="026D2B53" w14:textId="5318E688" w:rsidR="00640656" w:rsidRPr="009B70E7" w:rsidRDefault="00140AB0" w:rsidP="00B83E7B">
            <w:pPr>
              <w:pStyle w:val="ListParagraph"/>
              <w:spacing w:line="276" w:lineRule="auto"/>
              <w:ind w:left="0"/>
              <w:rPr>
                <w:i/>
              </w:rPr>
            </w:pPr>
            <w:bookmarkStart w:id="5" w:name="_Hlk111561469"/>
            <w:r>
              <w:rPr>
                <w:b/>
                <w:i/>
              </w:rPr>
              <w:t>Contact:</w:t>
            </w:r>
          </w:p>
        </w:tc>
        <w:tc>
          <w:tcPr>
            <w:tcW w:w="5670" w:type="dxa"/>
          </w:tcPr>
          <w:p w14:paraId="3123BFA2" w14:textId="67D615E8" w:rsidR="00640656" w:rsidRPr="009B70E7" w:rsidRDefault="00017B56" w:rsidP="00B83E7B">
            <w:pPr>
              <w:pStyle w:val="ListParagraph"/>
              <w:spacing w:line="276" w:lineRule="auto"/>
              <w:ind w:left="0"/>
              <w:rPr>
                <w:i/>
              </w:rPr>
            </w:pPr>
            <w:r>
              <w:rPr>
                <w:i/>
              </w:rPr>
              <w:t>Sergio Lorencio Matallana</w:t>
            </w:r>
          </w:p>
        </w:tc>
      </w:tr>
      <w:tr w:rsidR="00640656" w:rsidRPr="009B70E7" w14:paraId="13C450E4" w14:textId="77777777" w:rsidTr="00B83E7B">
        <w:tc>
          <w:tcPr>
            <w:tcW w:w="1418" w:type="dxa"/>
          </w:tcPr>
          <w:p w14:paraId="71B7C5A8" w14:textId="77777777" w:rsidR="00640656" w:rsidRPr="009B70E7" w:rsidRDefault="00640656" w:rsidP="00B83E7B">
            <w:pPr>
              <w:pStyle w:val="ListParagraph"/>
              <w:spacing w:line="276" w:lineRule="auto"/>
              <w:ind w:left="601"/>
              <w:rPr>
                <w:i/>
              </w:rPr>
            </w:pPr>
            <w:r>
              <w:rPr>
                <w:i/>
              </w:rPr>
              <w:t>Tél.:</w:t>
            </w:r>
          </w:p>
        </w:tc>
        <w:tc>
          <w:tcPr>
            <w:tcW w:w="5670" w:type="dxa"/>
          </w:tcPr>
          <w:p w14:paraId="3226C0EF" w14:textId="75448236" w:rsidR="00640656" w:rsidRPr="009B70E7" w:rsidRDefault="00577672" w:rsidP="00B83E7B">
            <w:pPr>
              <w:pStyle w:val="ListParagraph"/>
              <w:spacing w:line="276" w:lineRule="auto"/>
              <w:ind w:left="0"/>
              <w:rPr>
                <w:i/>
              </w:rPr>
            </w:pPr>
            <w:r>
              <w:rPr>
                <w:i/>
              </w:rPr>
              <w:t>+32 25469240</w:t>
            </w:r>
          </w:p>
        </w:tc>
      </w:tr>
      <w:tr w:rsidR="00640656" w:rsidRPr="009B70E7" w14:paraId="1FEA5B3F" w14:textId="77777777" w:rsidTr="00B83E7B">
        <w:tc>
          <w:tcPr>
            <w:tcW w:w="1418" w:type="dxa"/>
          </w:tcPr>
          <w:p w14:paraId="6D5FF9EA" w14:textId="77777777" w:rsidR="00640656" w:rsidRPr="009B70E7" w:rsidRDefault="00640656" w:rsidP="00B83E7B">
            <w:pPr>
              <w:pStyle w:val="ListParagraph"/>
              <w:spacing w:line="276" w:lineRule="auto"/>
              <w:ind w:left="601"/>
              <w:rPr>
                <w:i/>
              </w:rPr>
            </w:pPr>
            <w:r>
              <w:rPr>
                <w:i/>
              </w:rPr>
              <w:t>Courriel:</w:t>
            </w:r>
          </w:p>
        </w:tc>
        <w:tc>
          <w:tcPr>
            <w:tcW w:w="5670" w:type="dxa"/>
          </w:tcPr>
          <w:p w14:paraId="160383F7" w14:textId="6502E344" w:rsidR="00063F30" w:rsidRPr="00C26038" w:rsidRDefault="009D65A9" w:rsidP="00B83E7B">
            <w:pPr>
              <w:pStyle w:val="ListParagraph"/>
              <w:spacing w:line="276" w:lineRule="auto"/>
              <w:ind w:left="0"/>
              <w:rPr>
                <w:i/>
                <w:iCs/>
                <w:color w:val="0000FF"/>
                <w:u w:val="single"/>
              </w:rPr>
            </w:pPr>
            <w:hyperlink r:id="rId21" w:history="1">
              <w:r w:rsidR="007B42E2" w:rsidRPr="00E71AA9">
                <w:rPr>
                  <w:rStyle w:val="Hyperlink"/>
                  <w:i/>
                  <w:iCs/>
                </w:rPr>
                <w:t>Sergio.Lorencio.Matallana@eesc.europa.eu</w:t>
              </w:r>
            </w:hyperlink>
          </w:p>
        </w:tc>
      </w:tr>
      <w:bookmarkEnd w:id="5"/>
    </w:tbl>
    <w:p w14:paraId="36F00E77" w14:textId="06858568" w:rsidR="00C71AB7" w:rsidRDefault="00C71AB7" w:rsidP="0018231C">
      <w:pPr>
        <w:spacing w:line="240" w:lineRule="auto"/>
      </w:pPr>
    </w:p>
    <w:p w14:paraId="099E8EC3" w14:textId="12371ECD" w:rsidR="005B5038" w:rsidRDefault="00C71AB7" w:rsidP="00C71AB7">
      <w:pPr>
        <w:spacing w:after="160" w:line="259" w:lineRule="auto"/>
        <w:jc w:val="left"/>
      </w:pPr>
      <w:r>
        <w:br w:type="page"/>
      </w:r>
    </w:p>
    <w:p w14:paraId="34EF7F8B" w14:textId="4B7902E2" w:rsidR="002D03B9" w:rsidRPr="00057592" w:rsidRDefault="002D03B9" w:rsidP="00057592">
      <w:pPr>
        <w:keepNext/>
        <w:keepLines/>
        <w:numPr>
          <w:ilvl w:val="0"/>
          <w:numId w:val="5"/>
        </w:numPr>
        <w:overflowPunct w:val="0"/>
        <w:autoSpaceDE w:val="0"/>
        <w:autoSpaceDN w:val="0"/>
        <w:adjustRightInd w:val="0"/>
        <w:ind w:left="567" w:hanging="567"/>
        <w:textAlignment w:val="baseline"/>
        <w:rPr>
          <w:spacing w:val="-2"/>
        </w:rPr>
      </w:pPr>
      <w:r>
        <w:rPr>
          <w:b/>
          <w:i/>
          <w:sz w:val="28"/>
        </w:rPr>
        <w:lastRenderedPageBreak/>
        <w:t>Euro numérique</w:t>
      </w:r>
    </w:p>
    <w:p w14:paraId="7C7066EC" w14:textId="77777777" w:rsidR="00057592" w:rsidRPr="00057592" w:rsidRDefault="00057592" w:rsidP="00057592">
      <w:pPr>
        <w:keepNext/>
        <w:keepLines/>
        <w:overflowPunct w:val="0"/>
        <w:autoSpaceDE w:val="0"/>
        <w:autoSpaceDN w:val="0"/>
        <w:adjustRightInd w:val="0"/>
        <w:textAlignment w:val="baseline"/>
        <w:rPr>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705674" w:rsidRPr="00627B8F" w14:paraId="691352BE" w14:textId="77777777" w:rsidTr="004A46D9">
        <w:tc>
          <w:tcPr>
            <w:tcW w:w="1701" w:type="dxa"/>
          </w:tcPr>
          <w:p w14:paraId="3B832BAF" w14:textId="77777777" w:rsidR="00705674" w:rsidRPr="009B70E7" w:rsidRDefault="00705674" w:rsidP="002C4B6E">
            <w:pPr>
              <w:pStyle w:val="ListParagraph"/>
              <w:spacing w:line="240" w:lineRule="auto"/>
              <w:ind w:left="-142" w:firstLine="142"/>
              <w:rPr>
                <w:b/>
              </w:rPr>
            </w:pPr>
            <w:r>
              <w:rPr>
                <w:b/>
              </w:rPr>
              <w:t>Rapporteur:</w:t>
            </w:r>
          </w:p>
        </w:tc>
        <w:tc>
          <w:tcPr>
            <w:tcW w:w="6521" w:type="dxa"/>
          </w:tcPr>
          <w:p w14:paraId="322FA680" w14:textId="51842536" w:rsidR="00705674" w:rsidRPr="00627B8F" w:rsidRDefault="00063F30" w:rsidP="00ED2A6A">
            <w:pPr>
              <w:pStyle w:val="ListParagraph"/>
              <w:ind w:left="-60" w:right="-55"/>
            </w:pPr>
            <w:r>
              <w:t>Juraj SIPKO (groupe des organisations de la société civile — Slovaquie)</w:t>
            </w:r>
          </w:p>
        </w:tc>
      </w:tr>
      <w:tr w:rsidR="00986C7F" w:rsidRPr="009B70E7" w14:paraId="0AA03C0B" w14:textId="77777777" w:rsidTr="004A46D9">
        <w:tc>
          <w:tcPr>
            <w:tcW w:w="8222" w:type="dxa"/>
            <w:gridSpan w:val="2"/>
          </w:tcPr>
          <w:p w14:paraId="11126B04" w14:textId="77777777" w:rsidR="00986C7F" w:rsidRPr="009B70E7" w:rsidRDefault="00986C7F">
            <w:pPr>
              <w:pStyle w:val="ListParagraph"/>
              <w:ind w:left="0"/>
            </w:pPr>
          </w:p>
        </w:tc>
      </w:tr>
      <w:tr w:rsidR="004D7AC0" w:rsidRPr="00627B8F" w14:paraId="1499CE6A" w14:textId="77777777" w:rsidTr="004A46D9">
        <w:tc>
          <w:tcPr>
            <w:tcW w:w="1701" w:type="dxa"/>
          </w:tcPr>
          <w:p w14:paraId="402C1F54" w14:textId="77777777" w:rsidR="004D7AC0" w:rsidRPr="009B70E7" w:rsidRDefault="004D7AC0">
            <w:pPr>
              <w:pStyle w:val="ListParagraph"/>
              <w:ind w:left="0"/>
              <w:rPr>
                <w:b/>
              </w:rPr>
            </w:pPr>
            <w:r>
              <w:rPr>
                <w:b/>
              </w:rPr>
              <w:t xml:space="preserve">Référence: </w:t>
            </w:r>
          </w:p>
        </w:tc>
        <w:tc>
          <w:tcPr>
            <w:tcW w:w="6521" w:type="dxa"/>
          </w:tcPr>
          <w:p w14:paraId="77BAAF3B" w14:textId="0A02AAD1" w:rsidR="00DC097D" w:rsidRPr="00627B8F" w:rsidRDefault="002D03B9" w:rsidP="0068241A">
            <w:pPr>
              <w:pStyle w:val="ListParagraph"/>
              <w:ind w:left="-61"/>
              <w:rPr>
                <w:bCs/>
              </w:rPr>
            </w:pPr>
            <w:r>
              <w:t>Avis d’initiative</w:t>
            </w:r>
          </w:p>
          <w:p w14:paraId="4FE162D8" w14:textId="649E1108" w:rsidR="004D7AC0" w:rsidRPr="00627B8F" w:rsidRDefault="006125A8" w:rsidP="0068241A">
            <w:pPr>
              <w:pStyle w:val="ListParagraph"/>
              <w:ind w:left="-61"/>
            </w:pPr>
            <w:r>
              <w:t>EESC-2022-00719-00-00.</w:t>
            </w:r>
          </w:p>
        </w:tc>
      </w:tr>
    </w:tbl>
    <w:p w14:paraId="6B907918" w14:textId="77777777" w:rsidR="00631509" w:rsidRPr="00D67CAD" w:rsidRDefault="00631509" w:rsidP="00ED20C4">
      <w:pPr>
        <w:pStyle w:val="ListParagraph"/>
        <w:keepNext/>
        <w:ind w:left="0"/>
        <w:rPr>
          <w:b/>
        </w:rPr>
      </w:pPr>
    </w:p>
    <w:p w14:paraId="20827D97" w14:textId="41A9A491" w:rsidR="004D7AC0" w:rsidRPr="009B70E7" w:rsidRDefault="004D7AC0" w:rsidP="00ED20C4">
      <w:pPr>
        <w:pStyle w:val="ListParagraph"/>
        <w:keepNext/>
        <w:spacing w:line="240" w:lineRule="auto"/>
        <w:ind w:left="0" w:firstLine="142"/>
        <w:rPr>
          <w:b/>
        </w:rPr>
      </w:pPr>
      <w:r>
        <w:rPr>
          <w:b/>
        </w:rPr>
        <w:t>Points clés</w:t>
      </w:r>
    </w:p>
    <w:p w14:paraId="4918C4AD" w14:textId="77777777" w:rsidR="004D7AC0" w:rsidRPr="009B70E7" w:rsidRDefault="004D7AC0" w:rsidP="00ED20C4">
      <w:pPr>
        <w:pStyle w:val="ListParagraph"/>
        <w:keepNext/>
        <w:spacing w:line="240" w:lineRule="auto"/>
        <w:ind w:left="0"/>
      </w:pPr>
    </w:p>
    <w:p w14:paraId="563DEAE0" w14:textId="33FBC667" w:rsidR="004D7AC0" w:rsidRPr="00E642C0" w:rsidRDefault="004D7AC0" w:rsidP="00ED20C4">
      <w:pPr>
        <w:pStyle w:val="ListParagraph"/>
        <w:keepNext/>
        <w:spacing w:line="240" w:lineRule="auto"/>
        <w:ind w:left="0" w:firstLine="142"/>
        <w:rPr>
          <w:bCs/>
        </w:rPr>
      </w:pPr>
      <w:r>
        <w:t>Le CESE:</w:t>
      </w:r>
    </w:p>
    <w:p w14:paraId="20687EE6" w14:textId="72B5E50A" w:rsidR="004D7AC0" w:rsidRDefault="004D7AC0" w:rsidP="00ED20C4">
      <w:pPr>
        <w:pStyle w:val="ListParagraph"/>
        <w:keepNext/>
        <w:spacing w:line="276" w:lineRule="auto"/>
        <w:ind w:left="0"/>
      </w:pPr>
    </w:p>
    <w:p w14:paraId="63D77568" w14:textId="77777777" w:rsidR="00ED20C4" w:rsidRPr="00ED20C4" w:rsidRDefault="00ED20C4" w:rsidP="003256C3">
      <w:pPr>
        <w:pStyle w:val="ListParagraph"/>
        <w:numPr>
          <w:ilvl w:val="0"/>
          <w:numId w:val="9"/>
        </w:numPr>
      </w:pPr>
      <w:r w:rsidRPr="00ED20C4">
        <w:t xml:space="preserve">approuve les mesures de l’écosystème de la Banque centrale européenne (BCE) visant à émettre un euro numérique et continuera de suivre les travaux que mène la BCE sur ce projet; </w:t>
      </w:r>
    </w:p>
    <w:p w14:paraId="5BBFFF58" w14:textId="77777777" w:rsidR="00ED20C4" w:rsidRPr="00ED20C4" w:rsidRDefault="00ED20C4" w:rsidP="003256C3">
      <w:pPr>
        <w:pStyle w:val="ListParagraph"/>
        <w:numPr>
          <w:ilvl w:val="0"/>
          <w:numId w:val="9"/>
        </w:numPr>
      </w:pPr>
      <w:r w:rsidRPr="00ED20C4">
        <w:t>tient pour capital, lors de l’introduction de l’euro numérique, d’en assurer le caractère inclusif sur le plan financier et numérique. À cet égard, il escompte que cet euro numérique procurera des avantages à tous les résidents de la zone euro. Cela suppose que l’euro numérique permette de réaliser des opérations de paiement avec davantage de célérité et d’efficacité;</w:t>
      </w:r>
    </w:p>
    <w:p w14:paraId="6FB3ABFB" w14:textId="77777777" w:rsidR="00ED20C4" w:rsidRPr="00ED20C4" w:rsidRDefault="00ED20C4" w:rsidP="003256C3">
      <w:pPr>
        <w:pStyle w:val="ListParagraph"/>
        <w:numPr>
          <w:ilvl w:val="0"/>
          <w:numId w:val="9"/>
        </w:numPr>
      </w:pPr>
      <w:r w:rsidRPr="00ED20C4">
        <w:t>souligne la nécessité, dans le cadre des réflexions sur l’adoption d’un euro numérique, de prendre en compte tous ses aspects positifs et toutes les possibilités qu’il offre mais aussi de recenser simultanément tous les risques qu’il peut receler, principalement à l’égard du secteur financier;</w:t>
      </w:r>
    </w:p>
    <w:p w14:paraId="5AD9B44B" w14:textId="77777777" w:rsidR="00ED20C4" w:rsidRPr="00ED20C4" w:rsidRDefault="00ED20C4" w:rsidP="003256C3">
      <w:pPr>
        <w:pStyle w:val="ListParagraph"/>
        <w:numPr>
          <w:ilvl w:val="0"/>
          <w:numId w:val="9"/>
        </w:numPr>
      </w:pPr>
      <w:r w:rsidRPr="00ED20C4">
        <w:t>tient la stabilité financière pour l’une des questions vitales qui se posent sur la voie de l’introduction d’un euro numérique et presse la BCE d’adopter toutes les mesures nécessaires en matière de supervision dans la lutte contre les opérations illégales, principalement pour ce qui est du blanchiment des capitaux et du financement du terrorisme, tout comme dans la lutte contre les cyberattaques;</w:t>
      </w:r>
    </w:p>
    <w:p w14:paraId="6CE681AD" w14:textId="77777777" w:rsidR="00ED20C4" w:rsidRPr="00ED20C4" w:rsidRDefault="00ED20C4" w:rsidP="003256C3">
      <w:pPr>
        <w:pStyle w:val="ListParagraph"/>
        <w:numPr>
          <w:ilvl w:val="0"/>
          <w:numId w:val="9"/>
        </w:numPr>
      </w:pPr>
      <w:r w:rsidRPr="00ED20C4">
        <w:t>estime qu’il est encore possible d’améliorer l’efficacité et la compétitivité du système de paiement grâce à l’introduction d’un euro numérique, lequel est susceptible de réduire les risques tout en favorisant la stabilité financière;</w:t>
      </w:r>
    </w:p>
    <w:p w14:paraId="6209C148" w14:textId="77777777" w:rsidR="00ED20C4" w:rsidRPr="00ED20C4" w:rsidRDefault="00ED20C4" w:rsidP="003256C3">
      <w:pPr>
        <w:pStyle w:val="ListParagraph"/>
        <w:numPr>
          <w:ilvl w:val="0"/>
          <w:numId w:val="9"/>
        </w:numPr>
      </w:pPr>
      <w:r w:rsidRPr="00ED20C4">
        <w:t>demande à la BCE de présenter différents choix concernant la configuration de ce projet, lequel est complexe et tributaire dans une très large mesure de l’actuelle évolution rapide des technologies innovantes;</w:t>
      </w:r>
    </w:p>
    <w:p w14:paraId="2B48D5AD" w14:textId="77777777" w:rsidR="00ED20C4" w:rsidRPr="00ED20C4" w:rsidRDefault="00ED20C4" w:rsidP="003256C3">
      <w:pPr>
        <w:pStyle w:val="ListParagraph"/>
        <w:numPr>
          <w:ilvl w:val="0"/>
          <w:numId w:val="9"/>
        </w:numPr>
      </w:pPr>
      <w:r w:rsidRPr="00ED20C4">
        <w:t>fait valoir l’importance de permettre les transactions aussi bien dans la version en ligne que dans celle hors ligne. Il sera en outre nécessaire qu’aux fins des opérations de paiement transfrontières, les systèmes soient connectés de sorte qu’ils soient compatibles les uns avec les autres;</w:t>
      </w:r>
    </w:p>
    <w:p w14:paraId="243A249E" w14:textId="77777777" w:rsidR="00ED20C4" w:rsidRPr="00ED20C4" w:rsidRDefault="00ED20C4" w:rsidP="003256C3">
      <w:pPr>
        <w:pStyle w:val="ListParagraph"/>
        <w:numPr>
          <w:ilvl w:val="0"/>
          <w:numId w:val="9"/>
        </w:numPr>
      </w:pPr>
      <w:r w:rsidRPr="00ED20C4">
        <w:t xml:space="preserve">met en relief la nécessité d’associer la société civile à la suite des préparatifs, des négociations et des débats touchant à l’introduction d’un euro numérique, au regard du caractère complexe, mais avant tout exigeant, de ce projet qui concerne chaque personne qui réside dans les États membres de l’Union européenne. </w:t>
      </w:r>
    </w:p>
    <w:p w14:paraId="64FB268C" w14:textId="77777777" w:rsidR="00AA05F8" w:rsidRPr="009B70E7" w:rsidRDefault="00AA05F8" w:rsidP="0004205F">
      <w:pPr>
        <w:pStyle w:val="ListParagraph"/>
        <w:spacing w:line="276" w:lineRule="auto"/>
        <w:ind w:left="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04205F" w:rsidRPr="009B70E7" w14:paraId="42ABA59B" w14:textId="77777777" w:rsidTr="008B66DD">
        <w:tc>
          <w:tcPr>
            <w:tcW w:w="1418" w:type="dxa"/>
          </w:tcPr>
          <w:p w14:paraId="1202A600" w14:textId="2275A2D5" w:rsidR="0004205F" w:rsidRPr="009B70E7" w:rsidRDefault="00140AB0" w:rsidP="008B66DD">
            <w:pPr>
              <w:pStyle w:val="ListParagraph"/>
              <w:spacing w:line="276" w:lineRule="auto"/>
              <w:ind w:left="0"/>
              <w:rPr>
                <w:i/>
              </w:rPr>
            </w:pPr>
            <w:bookmarkStart w:id="6" w:name="_Hlk116644218"/>
            <w:r>
              <w:rPr>
                <w:b/>
                <w:i/>
              </w:rPr>
              <w:t>Contact:</w:t>
            </w:r>
          </w:p>
        </w:tc>
        <w:tc>
          <w:tcPr>
            <w:tcW w:w="5670" w:type="dxa"/>
          </w:tcPr>
          <w:p w14:paraId="0AA6F903" w14:textId="672C1A39" w:rsidR="0004205F" w:rsidRPr="009B70E7" w:rsidRDefault="006125A8" w:rsidP="008B66DD">
            <w:pPr>
              <w:pStyle w:val="ListParagraph"/>
              <w:spacing w:line="276" w:lineRule="auto"/>
              <w:ind w:left="0"/>
              <w:rPr>
                <w:i/>
              </w:rPr>
            </w:pPr>
            <w:r>
              <w:rPr>
                <w:i/>
              </w:rPr>
              <w:t xml:space="preserve">Krisztina </w:t>
            </w:r>
            <w:proofErr w:type="spellStart"/>
            <w:r>
              <w:rPr>
                <w:i/>
              </w:rPr>
              <w:t>Perlaky-Tóth</w:t>
            </w:r>
            <w:proofErr w:type="spellEnd"/>
          </w:p>
        </w:tc>
      </w:tr>
      <w:tr w:rsidR="0004205F" w:rsidRPr="009B70E7" w14:paraId="7385889A" w14:textId="77777777" w:rsidTr="008B66DD">
        <w:tc>
          <w:tcPr>
            <w:tcW w:w="1418" w:type="dxa"/>
          </w:tcPr>
          <w:p w14:paraId="4DFD0A04" w14:textId="77777777" w:rsidR="0004205F" w:rsidRPr="009B70E7" w:rsidRDefault="0004205F" w:rsidP="008B66DD">
            <w:pPr>
              <w:pStyle w:val="ListParagraph"/>
              <w:spacing w:line="276" w:lineRule="auto"/>
              <w:ind w:left="601"/>
              <w:rPr>
                <w:i/>
              </w:rPr>
            </w:pPr>
            <w:r>
              <w:rPr>
                <w:i/>
              </w:rPr>
              <w:t>Tél.:</w:t>
            </w:r>
          </w:p>
        </w:tc>
        <w:tc>
          <w:tcPr>
            <w:tcW w:w="5670" w:type="dxa"/>
          </w:tcPr>
          <w:p w14:paraId="7F762C11" w14:textId="5F0EF027" w:rsidR="0004205F" w:rsidRPr="009B70E7" w:rsidRDefault="0004205F" w:rsidP="008B66DD">
            <w:pPr>
              <w:pStyle w:val="ListParagraph"/>
              <w:spacing w:line="276" w:lineRule="auto"/>
              <w:ind w:left="0"/>
              <w:rPr>
                <w:i/>
              </w:rPr>
            </w:pPr>
            <w:r>
              <w:rPr>
                <w:i/>
              </w:rPr>
              <w:t>+32 2 546 9740</w:t>
            </w:r>
          </w:p>
        </w:tc>
      </w:tr>
      <w:tr w:rsidR="0004205F" w:rsidRPr="009B70E7" w14:paraId="44BC51C1" w14:textId="77777777" w:rsidTr="008B66DD">
        <w:tc>
          <w:tcPr>
            <w:tcW w:w="1418" w:type="dxa"/>
          </w:tcPr>
          <w:p w14:paraId="64D662AC" w14:textId="77777777" w:rsidR="0004205F" w:rsidRPr="009B70E7" w:rsidRDefault="0004205F" w:rsidP="008B66DD">
            <w:pPr>
              <w:pStyle w:val="ListParagraph"/>
              <w:spacing w:line="276" w:lineRule="auto"/>
              <w:ind w:left="601"/>
              <w:rPr>
                <w:i/>
              </w:rPr>
            </w:pPr>
            <w:r>
              <w:rPr>
                <w:i/>
              </w:rPr>
              <w:t>Courriel:</w:t>
            </w:r>
          </w:p>
        </w:tc>
        <w:tc>
          <w:tcPr>
            <w:tcW w:w="5670" w:type="dxa"/>
          </w:tcPr>
          <w:p w14:paraId="0F943B87" w14:textId="2D0EFD31" w:rsidR="006125A8" w:rsidRPr="009B70E7" w:rsidRDefault="009D65A9" w:rsidP="008B66DD">
            <w:pPr>
              <w:pStyle w:val="ListParagraph"/>
              <w:spacing w:line="276" w:lineRule="auto"/>
              <w:ind w:left="0"/>
              <w:rPr>
                <w:i/>
              </w:rPr>
            </w:pPr>
            <w:hyperlink r:id="rId22" w:history="1">
              <w:r w:rsidR="00ED20C4" w:rsidRPr="007A558C">
                <w:rPr>
                  <w:rStyle w:val="Hyperlink"/>
                  <w:i/>
                </w:rPr>
                <w:t>Krisztina.PerlakyToth@eesc.europa.eu</w:t>
              </w:r>
            </w:hyperlink>
          </w:p>
        </w:tc>
      </w:tr>
    </w:tbl>
    <w:p w14:paraId="21BCC75E" w14:textId="7E699CC7" w:rsidR="0004205F" w:rsidRPr="00261903" w:rsidRDefault="00F4549F" w:rsidP="004F4474">
      <w:pPr>
        <w:keepNext/>
        <w:numPr>
          <w:ilvl w:val="0"/>
          <w:numId w:val="2"/>
        </w:numPr>
        <w:ind w:left="567" w:hanging="567"/>
        <w:contextualSpacing/>
        <w:rPr>
          <w:b/>
          <w:i/>
          <w:sz w:val="28"/>
          <w:szCs w:val="28"/>
        </w:rPr>
      </w:pPr>
      <w:bookmarkStart w:id="7" w:name="_Hlk111561438"/>
      <w:bookmarkStart w:id="8" w:name="_Hlk111561002"/>
      <w:bookmarkEnd w:id="6"/>
      <w:r>
        <w:rPr>
          <w:b/>
          <w:i/>
          <w:sz w:val="28"/>
        </w:rPr>
        <w:lastRenderedPageBreak/>
        <w:t>Considérations supplémentaires sur l’examen annuel 2022 de la croissance durable</w:t>
      </w:r>
    </w:p>
    <w:p w14:paraId="43D43377" w14:textId="77777777" w:rsidR="00261903" w:rsidRPr="00261903" w:rsidRDefault="00261903" w:rsidP="00261903">
      <w:pPr>
        <w:keepNext/>
        <w:ind w:left="567"/>
        <w:contextualSpacing/>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78"/>
      </w:tblGrid>
      <w:tr w:rsidR="0004205F" w:rsidRPr="00627B8F" w14:paraId="049361FD" w14:textId="77777777" w:rsidTr="00747734">
        <w:tc>
          <w:tcPr>
            <w:tcW w:w="1701" w:type="dxa"/>
          </w:tcPr>
          <w:p w14:paraId="62391659" w14:textId="77777777" w:rsidR="0004205F" w:rsidRPr="009B70E7" w:rsidRDefault="0004205F" w:rsidP="0004205F">
            <w:pPr>
              <w:pStyle w:val="ListParagraph"/>
              <w:spacing w:line="240" w:lineRule="auto"/>
              <w:ind w:left="-142" w:firstLine="142"/>
              <w:rPr>
                <w:b/>
              </w:rPr>
            </w:pPr>
            <w:r>
              <w:rPr>
                <w:b/>
              </w:rPr>
              <w:t>Rapporteur:</w:t>
            </w:r>
          </w:p>
        </w:tc>
        <w:tc>
          <w:tcPr>
            <w:tcW w:w="6578" w:type="dxa"/>
          </w:tcPr>
          <w:p w14:paraId="0EE98F35" w14:textId="77777777" w:rsidR="0004205F" w:rsidRDefault="00F4549F" w:rsidP="0004205F">
            <w:pPr>
              <w:pStyle w:val="ListParagraph"/>
              <w:ind w:left="-60" w:right="-55"/>
            </w:pPr>
            <w:r>
              <w:t>Judith VORBACH (groupe des travailleurs — AT)</w:t>
            </w:r>
          </w:p>
          <w:p w14:paraId="431B2CD3" w14:textId="00A9D8AA" w:rsidR="00F4549F" w:rsidRPr="00627B8F" w:rsidRDefault="00F4549F" w:rsidP="0004205F">
            <w:pPr>
              <w:pStyle w:val="ListParagraph"/>
              <w:ind w:left="-60" w:right="-55"/>
            </w:pPr>
          </w:p>
        </w:tc>
      </w:tr>
      <w:tr w:rsidR="0004205F" w:rsidRPr="009B70E7" w14:paraId="793D9F9A" w14:textId="77777777" w:rsidTr="00747734">
        <w:tblPrEx>
          <w:tblCellMar>
            <w:left w:w="108" w:type="dxa"/>
            <w:right w:w="108" w:type="dxa"/>
          </w:tblCellMar>
        </w:tblPrEx>
        <w:trPr>
          <w:trHeight w:val="636"/>
        </w:trPr>
        <w:tc>
          <w:tcPr>
            <w:tcW w:w="1701" w:type="dxa"/>
          </w:tcPr>
          <w:p w14:paraId="3464C7C3" w14:textId="77777777" w:rsidR="0004205F" w:rsidRPr="009B70E7" w:rsidRDefault="0004205F" w:rsidP="00E642C0">
            <w:pPr>
              <w:pStyle w:val="ListParagraph"/>
              <w:ind w:left="29" w:hanging="108"/>
              <w:rPr>
                <w:b/>
              </w:rPr>
            </w:pPr>
            <w:r>
              <w:rPr>
                <w:b/>
              </w:rPr>
              <w:t xml:space="preserve">Référence: </w:t>
            </w:r>
          </w:p>
        </w:tc>
        <w:tc>
          <w:tcPr>
            <w:tcW w:w="6578" w:type="dxa"/>
          </w:tcPr>
          <w:p w14:paraId="19506267" w14:textId="764D3313" w:rsidR="0004205F" w:rsidRDefault="00261903" w:rsidP="0004205F">
            <w:pPr>
              <w:pStyle w:val="ListParagraph"/>
              <w:ind w:left="-108"/>
            </w:pPr>
            <w:r>
              <w:t>Avis d’initiative</w:t>
            </w:r>
          </w:p>
          <w:p w14:paraId="3BDBC5BC" w14:textId="7733329E" w:rsidR="0004205F" w:rsidRPr="009B70E7" w:rsidRDefault="00261903" w:rsidP="0004205F">
            <w:pPr>
              <w:pStyle w:val="ListParagraph"/>
              <w:ind w:left="-108"/>
            </w:pPr>
            <w:r>
              <w:t>EESC-2022-03044-00-00-AC</w:t>
            </w:r>
          </w:p>
        </w:tc>
      </w:tr>
    </w:tbl>
    <w:p w14:paraId="4C20BCC6" w14:textId="77777777" w:rsidR="00DC17CF" w:rsidRPr="00A30B84" w:rsidRDefault="00DC17CF" w:rsidP="00DC17CF">
      <w:pPr>
        <w:contextualSpacing/>
      </w:pPr>
    </w:p>
    <w:p w14:paraId="1EF6CC14" w14:textId="77777777" w:rsidR="00DC17CF" w:rsidRPr="00A30B84" w:rsidRDefault="00DC17CF" w:rsidP="005129EB">
      <w:pPr>
        <w:pStyle w:val="ListParagraph"/>
        <w:keepNext/>
        <w:spacing w:line="240" w:lineRule="auto"/>
        <w:ind w:left="0" w:firstLine="142"/>
        <w:rPr>
          <w:b/>
        </w:rPr>
      </w:pPr>
      <w:r>
        <w:rPr>
          <w:b/>
        </w:rPr>
        <w:t>Points clés</w:t>
      </w:r>
    </w:p>
    <w:p w14:paraId="7CFFCE10" w14:textId="77777777" w:rsidR="00DC17CF" w:rsidRPr="00A30B84" w:rsidRDefault="00DC17CF" w:rsidP="005129EB">
      <w:pPr>
        <w:keepNext/>
        <w:contextualSpacing/>
      </w:pPr>
    </w:p>
    <w:p w14:paraId="7C9141DB" w14:textId="77777777" w:rsidR="00DC17CF" w:rsidRPr="00E642C0" w:rsidRDefault="00DC17CF" w:rsidP="005129EB">
      <w:pPr>
        <w:pStyle w:val="ListParagraph"/>
        <w:keepNext/>
        <w:spacing w:line="240" w:lineRule="auto"/>
        <w:ind w:left="0" w:firstLine="142"/>
        <w:rPr>
          <w:bCs/>
        </w:rPr>
      </w:pPr>
      <w:r>
        <w:t>Le CESE:</w:t>
      </w:r>
    </w:p>
    <w:p w14:paraId="6B986D1C" w14:textId="77777777" w:rsidR="00DC17CF" w:rsidRPr="00A30B84" w:rsidRDefault="00DC17CF" w:rsidP="005129EB">
      <w:pPr>
        <w:keepNext/>
        <w:contextualSpacing/>
      </w:pPr>
    </w:p>
    <w:bookmarkEnd w:id="7"/>
    <w:p w14:paraId="31D03CE1"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souligne que la crise actuelle ne doit pas mettre en péril l’équité et les objectifs environnementaux, et qu’en ce qui concerne la hausse des prix, il est urgent de protéger les entreprises les plus vulnérables et particulièrement exposées, notamment les PME, ainsi que de préserver le pouvoir d’achat des ménages à revenus faibles et intermédiaires, qui représentent une part importante de la demande économique; </w:t>
      </w:r>
    </w:p>
    <w:p w14:paraId="1CBC61DA"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réaffirme que la solidarité avec la population ukrainienne, le renforcement de l’autonomie stratégique de l’UE et la recherche de la paix devraient également être au cœur des préoccupations;</w:t>
      </w:r>
    </w:p>
    <w:p w14:paraId="0202A112"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demande que les plans nationaux pour la reprise et la résilience soient mis en œuvre de manière à ce qu’ils aient une incidence tangible sur le bien-être de la population; plaide pour que les recommandations par pays fassent l’objet d’un suivi rigoureux et d’une approche équilibrée, et appelle de ses vœux une réforme du Semestre européen qui garantisse une participation de qualité de la société civile organisée; </w:t>
      </w:r>
    </w:p>
    <w:p w14:paraId="39E9DDD8"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se félicite du relèvement des objectifs en matière d’énergies renouvelables et d’efficacité énergétique; souligne que la durabilité environnementale doit occuper une place centrale, et appelle à une réforme du marché européen de l’électricité qu’il est urgent de soutenir rapidement; </w:t>
      </w:r>
    </w:p>
    <w:p w14:paraId="5BF08B0D"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estime que l’achèvement du marché unique devrait favoriser la convergence vers le haut entre les États membres et qu’il convient de s’attaquer aux distorsions et aux entraves tout en soutenant les régions pour libérer tout leur potentiel; </w:t>
      </w:r>
    </w:p>
    <w:p w14:paraId="36134B90"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note que des progrès semblent indispensables en vue d’achever l’union des marchés des capitaux et l’union bancaire, de mettre en œuvre de la stratégie en matière de finance durable, ainsi que d’assurer la stabilité des marchés financiers, et plaide en faveur d’une approche juste et équilibrée en ce qui concerne l’amélioration de l’environnement économique et de la productivité; </w:t>
      </w:r>
    </w:p>
    <w:p w14:paraId="1D46A4FD"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szCs w:val="20"/>
          <w:lang w:eastAsia="zh-CN"/>
        </w:rPr>
      </w:pPr>
      <w:r w:rsidRPr="00E71AA9">
        <w:rPr>
          <w:lang w:eastAsia="zh-CN"/>
        </w:rPr>
        <w:t xml:space="preserve">soutient les recommandations de la Commission visant à permettre le fonctionnement des stabilisateurs automatiques, à renforcer les investissements et à continuer d’appliquer la clause dérogatoire générale tout au long de l’année 2023, en émettant des réserves en ce qui concerne, d’une part, la limitation de la croissance des dépenses courantes financées à l’échelon national en dessous du niveau de la production potentielle à moyen terme et, d’autre part, l’intention d’évaluer s’il est opportun d’entamer des procédures concernant les déficits excessifs au printemps 2023; </w:t>
      </w:r>
    </w:p>
    <w:p w14:paraId="3A3430F0" w14:textId="77777777" w:rsidR="00E71AA9" w:rsidRPr="00E71AA9" w:rsidRDefault="00E71AA9" w:rsidP="003256C3">
      <w:pPr>
        <w:numPr>
          <w:ilvl w:val="0"/>
          <w:numId w:val="10"/>
        </w:numPr>
        <w:overflowPunct w:val="0"/>
        <w:autoSpaceDE w:val="0"/>
        <w:autoSpaceDN w:val="0"/>
        <w:adjustRightInd w:val="0"/>
        <w:spacing w:after="200"/>
        <w:ind w:left="357" w:hanging="357"/>
        <w:contextualSpacing/>
        <w:textAlignment w:val="baseline"/>
        <w:rPr>
          <w:lang w:eastAsia="zh-CN"/>
        </w:rPr>
      </w:pPr>
      <w:r w:rsidRPr="00E71AA9">
        <w:rPr>
          <w:lang w:eastAsia="zh-CN"/>
        </w:rPr>
        <w:t xml:space="preserve">demande une nouvelle fois de moderniser le cadre budgétaire en fixant des objectifs réalistes et en intégrant une règle d’or sans mettre en péril la viabilité budgétaire à moyen terme, et indique qu’il convient de proposer des lignes directrices pour une période de transition. </w:t>
      </w:r>
    </w:p>
    <w:p w14:paraId="3241E02B" w14:textId="77777777" w:rsidR="00DC17CF" w:rsidRPr="00A30B84" w:rsidRDefault="00DC17CF" w:rsidP="00DC17CF"/>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5670"/>
      </w:tblGrid>
      <w:tr w:rsidR="00DC17CF" w:rsidRPr="00A30B84" w14:paraId="477A3227" w14:textId="77777777" w:rsidTr="00DC17CF">
        <w:tc>
          <w:tcPr>
            <w:tcW w:w="1418" w:type="dxa"/>
          </w:tcPr>
          <w:p w14:paraId="24419728" w14:textId="61961B28" w:rsidR="00DC17CF" w:rsidRPr="00A30B84" w:rsidRDefault="00140AB0" w:rsidP="00DC17CF">
            <w:pPr>
              <w:contextualSpacing/>
              <w:rPr>
                <w:i/>
              </w:rPr>
            </w:pPr>
            <w:r>
              <w:rPr>
                <w:b/>
                <w:i/>
              </w:rPr>
              <w:t>Contact:</w:t>
            </w:r>
          </w:p>
        </w:tc>
        <w:tc>
          <w:tcPr>
            <w:tcW w:w="5670" w:type="dxa"/>
          </w:tcPr>
          <w:p w14:paraId="0350A297" w14:textId="7B56264A" w:rsidR="00DC17CF" w:rsidRPr="00A30B84" w:rsidRDefault="00F4549F" w:rsidP="00DC17CF">
            <w:pPr>
              <w:contextualSpacing/>
              <w:rPr>
                <w:i/>
              </w:rPr>
            </w:pPr>
            <w:r>
              <w:rPr>
                <w:i/>
              </w:rPr>
              <w:t>Colombe GREGOIRE</w:t>
            </w:r>
          </w:p>
        </w:tc>
      </w:tr>
      <w:tr w:rsidR="00DC17CF" w:rsidRPr="00A30B84" w14:paraId="0777FDE7" w14:textId="77777777" w:rsidTr="00DC17CF">
        <w:tc>
          <w:tcPr>
            <w:tcW w:w="1418" w:type="dxa"/>
          </w:tcPr>
          <w:p w14:paraId="35E2DDF5" w14:textId="77777777" w:rsidR="00DC17CF" w:rsidRPr="00A30B84" w:rsidRDefault="00DC17CF" w:rsidP="00DC17CF">
            <w:pPr>
              <w:ind w:left="601"/>
              <w:contextualSpacing/>
              <w:rPr>
                <w:i/>
              </w:rPr>
            </w:pPr>
            <w:r>
              <w:rPr>
                <w:i/>
              </w:rPr>
              <w:t>Tél.:</w:t>
            </w:r>
          </w:p>
        </w:tc>
        <w:tc>
          <w:tcPr>
            <w:tcW w:w="5670" w:type="dxa"/>
          </w:tcPr>
          <w:p w14:paraId="5B69DE0A" w14:textId="139C3981" w:rsidR="00DC17CF" w:rsidRPr="00A30B84" w:rsidRDefault="00A86E2C" w:rsidP="00DC17CF">
            <w:pPr>
              <w:contextualSpacing/>
              <w:rPr>
                <w:i/>
              </w:rPr>
            </w:pPr>
            <w:r>
              <w:rPr>
                <w:i/>
              </w:rPr>
              <w:t>+32 2 546 9240</w:t>
            </w:r>
          </w:p>
        </w:tc>
      </w:tr>
      <w:tr w:rsidR="0004205F" w:rsidRPr="00A30B84" w14:paraId="32942CB5" w14:textId="77777777" w:rsidTr="008B66DD">
        <w:tc>
          <w:tcPr>
            <w:tcW w:w="1418" w:type="dxa"/>
          </w:tcPr>
          <w:p w14:paraId="21543959" w14:textId="77777777" w:rsidR="0004205F" w:rsidRPr="00A30B84" w:rsidRDefault="0004205F" w:rsidP="0004205F">
            <w:pPr>
              <w:ind w:left="601"/>
              <w:contextualSpacing/>
              <w:rPr>
                <w:i/>
              </w:rPr>
            </w:pPr>
            <w:r>
              <w:rPr>
                <w:i/>
              </w:rPr>
              <w:t>Courriel</w:t>
            </w:r>
          </w:p>
        </w:tc>
        <w:tc>
          <w:tcPr>
            <w:tcW w:w="5670" w:type="dxa"/>
          </w:tcPr>
          <w:p w14:paraId="3728C82D" w14:textId="1A366C85" w:rsidR="0004205F" w:rsidRPr="00E31954" w:rsidRDefault="009D65A9" w:rsidP="0004205F">
            <w:pPr>
              <w:spacing w:after="160" w:line="259" w:lineRule="auto"/>
              <w:jc w:val="left"/>
              <w:rPr>
                <w:i/>
                <w:iCs/>
              </w:rPr>
            </w:pPr>
            <w:hyperlink r:id="rId23" w:history="1">
              <w:r w:rsidR="00E71AA9" w:rsidRPr="00E71AA9">
                <w:rPr>
                  <w:rStyle w:val="Hyperlink"/>
                  <w:i/>
                  <w:iCs/>
                </w:rPr>
                <w:t>Colombe</w:t>
              </w:r>
              <w:r w:rsidR="00E71AA9">
                <w:rPr>
                  <w:rStyle w:val="Hyperlink"/>
                </w:rPr>
                <w:t>.gregoire@eesc.europa.eu</w:t>
              </w:r>
            </w:hyperlink>
          </w:p>
        </w:tc>
      </w:tr>
    </w:tbl>
    <w:bookmarkEnd w:id="8"/>
    <w:p w14:paraId="42A1D88A" w14:textId="4BB0A3A7" w:rsidR="00C70E54" w:rsidRPr="00C70E54" w:rsidRDefault="00F4549F" w:rsidP="00C70E54">
      <w:pPr>
        <w:keepNext/>
        <w:numPr>
          <w:ilvl w:val="0"/>
          <w:numId w:val="2"/>
        </w:numPr>
        <w:ind w:left="567" w:hanging="567"/>
        <w:contextualSpacing/>
        <w:rPr>
          <w:b/>
          <w:bCs/>
          <w:i/>
          <w:sz w:val="28"/>
          <w:szCs w:val="28"/>
        </w:rPr>
      </w:pPr>
      <w:r>
        <w:rPr>
          <w:b/>
          <w:i/>
          <w:sz w:val="28"/>
        </w:rPr>
        <w:lastRenderedPageBreak/>
        <w:t>Considérations supplémentaires sur la politique économique de la zone euro (2022)</w:t>
      </w:r>
    </w:p>
    <w:p w14:paraId="0D98A583" w14:textId="55FCEBF7" w:rsidR="00C70E54" w:rsidRPr="00C70E54" w:rsidRDefault="00C70E54" w:rsidP="00C70E54">
      <w:pPr>
        <w:keepNext/>
        <w:ind w:left="567"/>
        <w:contextualSpacing/>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993"/>
        <w:gridCol w:w="10"/>
      </w:tblGrid>
      <w:tr w:rsidR="00C70E54" w:rsidRPr="00627B8F" w14:paraId="29F8D18E" w14:textId="77777777" w:rsidTr="00C70E54">
        <w:trPr>
          <w:gridAfter w:val="1"/>
          <w:wAfter w:w="10" w:type="dxa"/>
        </w:trPr>
        <w:tc>
          <w:tcPr>
            <w:tcW w:w="1701" w:type="dxa"/>
          </w:tcPr>
          <w:p w14:paraId="34124F6F" w14:textId="77777777" w:rsidR="00C70E54" w:rsidRPr="009B70E7" w:rsidRDefault="00C70E54" w:rsidP="00E642C0">
            <w:pPr>
              <w:pStyle w:val="ListParagraph"/>
              <w:ind w:left="0"/>
              <w:rPr>
                <w:b/>
              </w:rPr>
            </w:pPr>
            <w:r>
              <w:rPr>
                <w:b/>
              </w:rPr>
              <w:t>Rapporteur:</w:t>
            </w:r>
          </w:p>
        </w:tc>
        <w:tc>
          <w:tcPr>
            <w:tcW w:w="6993" w:type="dxa"/>
          </w:tcPr>
          <w:p w14:paraId="617E7EB4" w14:textId="4D729A9F" w:rsidR="00C70E54" w:rsidRDefault="00C70E54" w:rsidP="00533C08">
            <w:pPr>
              <w:pStyle w:val="ListParagraph"/>
              <w:ind w:left="-60" w:right="-55"/>
            </w:pPr>
            <w:r>
              <w:t>Juraj SIPKO (groupe des organisations de la société civile — Slovaquie)</w:t>
            </w:r>
          </w:p>
          <w:p w14:paraId="3D7E1BAF" w14:textId="781BE71F" w:rsidR="00F4549F" w:rsidRPr="00627B8F" w:rsidRDefault="00F4549F" w:rsidP="00533C08">
            <w:pPr>
              <w:pStyle w:val="ListParagraph"/>
              <w:ind w:left="-60" w:right="-55"/>
            </w:pPr>
          </w:p>
        </w:tc>
      </w:tr>
      <w:tr w:rsidR="00C70E54" w:rsidRPr="009B70E7" w14:paraId="75CEA093" w14:textId="77777777" w:rsidTr="00140AB0">
        <w:tblPrEx>
          <w:tblCellMar>
            <w:left w:w="108" w:type="dxa"/>
            <w:right w:w="108" w:type="dxa"/>
          </w:tblCellMar>
        </w:tblPrEx>
        <w:trPr>
          <w:trHeight w:val="636"/>
        </w:trPr>
        <w:tc>
          <w:tcPr>
            <w:tcW w:w="1701" w:type="dxa"/>
          </w:tcPr>
          <w:p w14:paraId="2B369B31" w14:textId="77777777" w:rsidR="00C70E54" w:rsidRPr="009B70E7" w:rsidRDefault="00C70E54" w:rsidP="00E642C0">
            <w:pPr>
              <w:pStyle w:val="ListParagraph"/>
              <w:ind w:left="29" w:hanging="108"/>
              <w:rPr>
                <w:b/>
              </w:rPr>
            </w:pPr>
            <w:r>
              <w:rPr>
                <w:b/>
              </w:rPr>
              <w:t xml:space="preserve">Référence: </w:t>
            </w:r>
          </w:p>
        </w:tc>
        <w:tc>
          <w:tcPr>
            <w:tcW w:w="7003" w:type="dxa"/>
            <w:gridSpan w:val="2"/>
          </w:tcPr>
          <w:p w14:paraId="68EC61D8" w14:textId="485AF586" w:rsidR="00C70E54" w:rsidRDefault="00F4549F" w:rsidP="00533C08">
            <w:pPr>
              <w:pStyle w:val="ListParagraph"/>
              <w:ind w:left="-108"/>
            </w:pPr>
            <w:r>
              <w:t>Avis d’initiative</w:t>
            </w:r>
          </w:p>
          <w:p w14:paraId="4F727A67" w14:textId="5BA3DCDE" w:rsidR="00C70E54" w:rsidRPr="009B70E7" w:rsidRDefault="00C70E54" w:rsidP="00533C08">
            <w:pPr>
              <w:pStyle w:val="ListParagraph"/>
              <w:ind w:left="-108"/>
            </w:pPr>
            <w:r>
              <w:t>EESC-2022-02042-00-00-AC</w:t>
            </w:r>
          </w:p>
        </w:tc>
      </w:tr>
    </w:tbl>
    <w:p w14:paraId="12F31B78" w14:textId="77777777" w:rsidR="00C70E54" w:rsidRPr="00A30B84" w:rsidRDefault="00C70E54" w:rsidP="00C70E54">
      <w:pPr>
        <w:contextualSpacing/>
      </w:pPr>
    </w:p>
    <w:p w14:paraId="13718C02" w14:textId="77777777" w:rsidR="00C70E54" w:rsidRPr="00A30B84" w:rsidRDefault="00C70E54" w:rsidP="00140AB0">
      <w:pPr>
        <w:pStyle w:val="ListParagraph"/>
        <w:keepNext/>
        <w:spacing w:line="240" w:lineRule="auto"/>
        <w:ind w:left="0" w:firstLine="142"/>
        <w:rPr>
          <w:b/>
        </w:rPr>
      </w:pPr>
      <w:r>
        <w:rPr>
          <w:b/>
        </w:rPr>
        <w:t>Points clés</w:t>
      </w:r>
    </w:p>
    <w:p w14:paraId="0614F229" w14:textId="77777777" w:rsidR="00C70E54" w:rsidRPr="00A30B84" w:rsidRDefault="00C70E54" w:rsidP="00140AB0">
      <w:pPr>
        <w:keepNext/>
        <w:contextualSpacing/>
      </w:pPr>
    </w:p>
    <w:p w14:paraId="6C9AC2AB" w14:textId="77777777" w:rsidR="00C70E54" w:rsidRPr="00E642C0" w:rsidRDefault="00C70E54" w:rsidP="00140AB0">
      <w:pPr>
        <w:pStyle w:val="ListParagraph"/>
        <w:keepNext/>
        <w:spacing w:line="240" w:lineRule="auto"/>
        <w:ind w:left="0" w:firstLine="142"/>
        <w:rPr>
          <w:bCs/>
        </w:rPr>
      </w:pPr>
      <w:r>
        <w:t>Le CESE:</w:t>
      </w:r>
    </w:p>
    <w:p w14:paraId="082B07AC" w14:textId="77777777" w:rsidR="00C70E54" w:rsidRPr="00A30B84" w:rsidRDefault="00C70E54" w:rsidP="00140AB0">
      <w:pPr>
        <w:keepNext/>
        <w:contextualSpacing/>
      </w:pPr>
    </w:p>
    <w:p w14:paraId="2A879AEC" w14:textId="77777777" w:rsidR="00244104" w:rsidRPr="00244104" w:rsidRDefault="00244104" w:rsidP="003256C3">
      <w:pPr>
        <w:numPr>
          <w:ilvl w:val="0"/>
          <w:numId w:val="11"/>
        </w:numPr>
        <w:contextualSpacing/>
        <w:rPr>
          <w:bCs/>
          <w:iCs/>
        </w:rPr>
      </w:pPr>
      <w:r w:rsidRPr="00244104">
        <w:t>note que le niveau élevé d’incertitude économique, géoéconomique et politique qui prévaut actuellement au sein de la zone euro et de l’Union européenne, résulte de deux chocs systémiques persistants, à savoir la prévalence continuelle de la COVID-19 et l’invasion russe en Ukraine;</w:t>
      </w:r>
    </w:p>
    <w:p w14:paraId="2F4F0BC1" w14:textId="77777777" w:rsidR="00244104" w:rsidRPr="00244104" w:rsidRDefault="00244104" w:rsidP="003256C3">
      <w:pPr>
        <w:numPr>
          <w:ilvl w:val="0"/>
          <w:numId w:val="11"/>
        </w:numPr>
        <w:contextualSpacing/>
        <w:rPr>
          <w:bCs/>
          <w:iCs/>
        </w:rPr>
      </w:pPr>
      <w:r w:rsidRPr="00244104">
        <w:t>réaffirme la nécessité de prendre toutes les mesures matérielles et systémiques pour lutter contre la pandémie en cours, tout en faisant valoir le retour sur investissement élevé que présente le secteur de la santé;</w:t>
      </w:r>
    </w:p>
    <w:p w14:paraId="0682B18D" w14:textId="77777777" w:rsidR="00244104" w:rsidRPr="00244104" w:rsidRDefault="00244104" w:rsidP="003256C3">
      <w:pPr>
        <w:numPr>
          <w:ilvl w:val="0"/>
          <w:numId w:val="11"/>
        </w:numPr>
        <w:contextualSpacing/>
        <w:rPr>
          <w:bCs/>
          <w:iCs/>
        </w:rPr>
      </w:pPr>
      <w:r w:rsidRPr="00244104">
        <w:t>milite pour mettre fin à l’agression russe et à la guerre en Ukraine ainsi que pour rétablir l’intégrité territoriale de cet État car une fois ces tâches accomplies, il sera possible de créer les conditions d’une croissance résiliente, inclusive et durable au sein des États membres de la zone euro et de l’Union européenne;</w:t>
      </w:r>
    </w:p>
    <w:p w14:paraId="5EE217CE" w14:textId="77777777" w:rsidR="00244104" w:rsidRPr="00244104" w:rsidRDefault="00244104" w:rsidP="003256C3">
      <w:pPr>
        <w:numPr>
          <w:ilvl w:val="0"/>
          <w:numId w:val="11"/>
        </w:numPr>
        <w:contextualSpacing/>
        <w:rPr>
          <w:bCs/>
          <w:iCs/>
        </w:rPr>
      </w:pPr>
      <w:r w:rsidRPr="00244104">
        <w:t>recommande à la Banque centrale européenne (BCE) de procéder à une évaluation adéquate de la proportionnalité, en analysant attentivement les effets secondaires d’une politique monétaire resserrée et ses conséquences sur les objectifs de stabilité des prix à long terme. La BCE devrait procéder avec prudence pour normaliser la politique monétaire;</w:t>
      </w:r>
    </w:p>
    <w:p w14:paraId="22B832C6" w14:textId="77777777" w:rsidR="00244104" w:rsidRPr="00244104" w:rsidRDefault="00244104" w:rsidP="003256C3">
      <w:pPr>
        <w:numPr>
          <w:ilvl w:val="0"/>
          <w:numId w:val="11"/>
        </w:numPr>
        <w:contextualSpacing/>
      </w:pPr>
      <w:r w:rsidRPr="00244104">
        <w:t>recommande, compte tenu de la flambée des prix de l’énergie et des denrées alimentaires, aux praticiens des politiques économiques nationales de créer un filet de protection sociale, qui soit fonctionnel et efficace, à l’intention des groupes de personnes les plus vulnérables, y compris la partie la plus touchée de la classe moyenne, et qui ne laisse ainsi personne de côté;</w:t>
      </w:r>
    </w:p>
    <w:p w14:paraId="0F808FDA" w14:textId="77777777" w:rsidR="00244104" w:rsidRPr="00244104" w:rsidRDefault="00244104" w:rsidP="003256C3">
      <w:pPr>
        <w:numPr>
          <w:ilvl w:val="0"/>
          <w:numId w:val="11"/>
        </w:numPr>
        <w:contextualSpacing/>
      </w:pPr>
      <w:r w:rsidRPr="00244104">
        <w:t>recommande que des mesures soient prises en vue d’un assainissement budgétaire à moyen terme. Le CESE estime que l’on peut renflouer les budgets nationaux grâce à une fiscalité équitable, ainsi que par une utilisation efficace des fonds publics;</w:t>
      </w:r>
    </w:p>
    <w:p w14:paraId="521B6155" w14:textId="77777777" w:rsidR="00244104" w:rsidRPr="00244104" w:rsidRDefault="00244104" w:rsidP="003256C3">
      <w:pPr>
        <w:numPr>
          <w:ilvl w:val="0"/>
          <w:numId w:val="11"/>
        </w:numPr>
        <w:contextualSpacing/>
      </w:pPr>
      <w:r w:rsidRPr="00244104">
        <w:t>réclame des mesures concrètes pour réformer le pacte de stabilité et de croissance;</w:t>
      </w:r>
    </w:p>
    <w:p w14:paraId="7F71CA20" w14:textId="77777777" w:rsidR="00244104" w:rsidRPr="00244104" w:rsidRDefault="00244104" w:rsidP="003256C3">
      <w:pPr>
        <w:numPr>
          <w:ilvl w:val="0"/>
          <w:numId w:val="11"/>
        </w:numPr>
        <w:contextualSpacing/>
      </w:pPr>
      <w:r w:rsidRPr="00244104">
        <w:t>réclame l’achèvement de l’union bancaire et de l’union des marchés des capitaux;</w:t>
      </w:r>
    </w:p>
    <w:p w14:paraId="4B641C12" w14:textId="77777777" w:rsidR="00244104" w:rsidRPr="00244104" w:rsidRDefault="00244104" w:rsidP="003256C3">
      <w:pPr>
        <w:numPr>
          <w:ilvl w:val="0"/>
          <w:numId w:val="11"/>
        </w:numPr>
        <w:contextualSpacing/>
      </w:pPr>
      <w:r w:rsidRPr="00244104">
        <w:t>se félicite de l’annonce faite par la BCE le 15 juin 2022 concernant l’élaboration de mesures visant à lutter contre la fragmentation au sein de la zone euro;</w:t>
      </w:r>
    </w:p>
    <w:p w14:paraId="5A95AE7C" w14:textId="77777777" w:rsidR="00244104" w:rsidRPr="00244104" w:rsidRDefault="00244104" w:rsidP="003256C3">
      <w:pPr>
        <w:numPr>
          <w:ilvl w:val="0"/>
          <w:numId w:val="11"/>
        </w:numPr>
        <w:contextualSpacing/>
      </w:pPr>
      <w:r w:rsidRPr="00244104">
        <w:t>soutient la transformation des économies de la zone euro et recommande d’opter pour les sources d’énergie renouvelables et d’utiliser les ressources financières disponibles provenant du plan de relance et d’autres sources financières, y compris le soutien au financement du secteur privé;</w:t>
      </w:r>
    </w:p>
    <w:p w14:paraId="3B53C3FB" w14:textId="77777777" w:rsidR="00244104" w:rsidRPr="00244104" w:rsidRDefault="00244104" w:rsidP="003256C3">
      <w:pPr>
        <w:numPr>
          <w:ilvl w:val="0"/>
          <w:numId w:val="11"/>
        </w:numPr>
        <w:contextualSpacing/>
      </w:pPr>
      <w:r w:rsidRPr="00244104">
        <w:t>invite tous les États et les institutions internationales compétentes à collaborer pour faire face à l’ensemble historique de chocs, risques et menaces systémiques auxquels le monde est actuellement confronté. Retarder l’adoption et la mise en œuvre de mesures peut avoir des conséquences considérables non seulement en termes de pertes matérielles, mais aussi et surtout en termes de vies humaines.</w:t>
      </w:r>
    </w:p>
    <w:p w14:paraId="3E1CB8F8" w14:textId="77777777" w:rsidR="00F4549F" w:rsidRPr="005B5038" w:rsidRDefault="00F4549F" w:rsidP="000B1AE6">
      <w:pPr>
        <w:ind w:left="357"/>
        <w:contextualSpacing/>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F4549F" w:rsidRPr="009B70E7" w14:paraId="41AF5008" w14:textId="77777777" w:rsidTr="00616C87">
        <w:tc>
          <w:tcPr>
            <w:tcW w:w="1418" w:type="dxa"/>
          </w:tcPr>
          <w:p w14:paraId="2433DEF8" w14:textId="54CD622A" w:rsidR="00F4549F" w:rsidRPr="009B70E7" w:rsidRDefault="00140AB0" w:rsidP="00616C87">
            <w:pPr>
              <w:pStyle w:val="ListParagraph"/>
              <w:spacing w:line="276" w:lineRule="auto"/>
              <w:ind w:left="0"/>
              <w:rPr>
                <w:i/>
              </w:rPr>
            </w:pPr>
            <w:r>
              <w:rPr>
                <w:b/>
                <w:i/>
              </w:rPr>
              <w:lastRenderedPageBreak/>
              <w:t>Contact:</w:t>
            </w:r>
          </w:p>
        </w:tc>
        <w:tc>
          <w:tcPr>
            <w:tcW w:w="5670" w:type="dxa"/>
          </w:tcPr>
          <w:p w14:paraId="74FDA4FC" w14:textId="77777777" w:rsidR="00F4549F" w:rsidRPr="009B70E7" w:rsidRDefault="00F4549F" w:rsidP="00616C87">
            <w:pPr>
              <w:pStyle w:val="ListParagraph"/>
              <w:spacing w:line="276" w:lineRule="auto"/>
              <w:ind w:left="0"/>
              <w:rPr>
                <w:i/>
              </w:rPr>
            </w:pPr>
            <w:r>
              <w:rPr>
                <w:i/>
              </w:rPr>
              <w:t xml:space="preserve">Krisztina </w:t>
            </w:r>
            <w:proofErr w:type="spellStart"/>
            <w:r>
              <w:rPr>
                <w:i/>
              </w:rPr>
              <w:t>Perlaky-Tóth</w:t>
            </w:r>
            <w:proofErr w:type="spellEnd"/>
          </w:p>
        </w:tc>
      </w:tr>
      <w:tr w:rsidR="00F4549F" w:rsidRPr="009B70E7" w14:paraId="1AB3AD9E" w14:textId="77777777" w:rsidTr="00616C87">
        <w:tc>
          <w:tcPr>
            <w:tcW w:w="1418" w:type="dxa"/>
          </w:tcPr>
          <w:p w14:paraId="7D9E1FBD" w14:textId="77777777" w:rsidR="00F4549F" w:rsidRPr="009B70E7" w:rsidRDefault="00F4549F" w:rsidP="00616C87">
            <w:pPr>
              <w:pStyle w:val="ListParagraph"/>
              <w:spacing w:line="276" w:lineRule="auto"/>
              <w:ind w:left="601"/>
              <w:rPr>
                <w:i/>
              </w:rPr>
            </w:pPr>
            <w:r>
              <w:rPr>
                <w:i/>
              </w:rPr>
              <w:t>Tél.:</w:t>
            </w:r>
          </w:p>
        </w:tc>
        <w:tc>
          <w:tcPr>
            <w:tcW w:w="5670" w:type="dxa"/>
          </w:tcPr>
          <w:p w14:paraId="363497E3" w14:textId="77777777" w:rsidR="00F4549F" w:rsidRPr="009B70E7" w:rsidRDefault="00F4549F" w:rsidP="00616C87">
            <w:pPr>
              <w:pStyle w:val="ListParagraph"/>
              <w:spacing w:line="276" w:lineRule="auto"/>
              <w:ind w:left="0"/>
              <w:rPr>
                <w:i/>
              </w:rPr>
            </w:pPr>
            <w:r>
              <w:rPr>
                <w:i/>
              </w:rPr>
              <w:t>+32 2 546 9740</w:t>
            </w:r>
          </w:p>
        </w:tc>
      </w:tr>
      <w:tr w:rsidR="00F4549F" w:rsidRPr="009B70E7" w14:paraId="535C9BAF" w14:textId="77777777" w:rsidTr="00616C87">
        <w:tc>
          <w:tcPr>
            <w:tcW w:w="1418" w:type="dxa"/>
          </w:tcPr>
          <w:p w14:paraId="7A184B2E" w14:textId="77777777" w:rsidR="00F4549F" w:rsidRPr="009B70E7" w:rsidRDefault="00F4549F" w:rsidP="00616C87">
            <w:pPr>
              <w:pStyle w:val="ListParagraph"/>
              <w:spacing w:line="276" w:lineRule="auto"/>
              <w:ind w:left="601"/>
              <w:rPr>
                <w:i/>
              </w:rPr>
            </w:pPr>
            <w:r>
              <w:rPr>
                <w:i/>
              </w:rPr>
              <w:t>Courriel:</w:t>
            </w:r>
          </w:p>
        </w:tc>
        <w:tc>
          <w:tcPr>
            <w:tcW w:w="5670" w:type="dxa"/>
          </w:tcPr>
          <w:p w14:paraId="253DEA92" w14:textId="428D5ACA" w:rsidR="00F4549F" w:rsidRPr="009B70E7" w:rsidRDefault="009D65A9" w:rsidP="00A21849">
            <w:pPr>
              <w:pStyle w:val="ListParagraph"/>
              <w:spacing w:line="276" w:lineRule="auto"/>
              <w:ind w:left="0"/>
              <w:rPr>
                <w:i/>
              </w:rPr>
            </w:pPr>
            <w:hyperlink r:id="rId24" w:history="1">
              <w:r w:rsidR="00140AB0" w:rsidRPr="005B1CD7">
                <w:rPr>
                  <w:rStyle w:val="Hyperlink"/>
                  <w:i/>
                </w:rPr>
                <w:t>Krisztina.PerlakyToth@eesc.europa.eu</w:t>
              </w:r>
            </w:hyperlink>
          </w:p>
        </w:tc>
      </w:tr>
    </w:tbl>
    <w:p w14:paraId="060E2085" w14:textId="77777777" w:rsidR="00C70E54" w:rsidRPr="00A30B84" w:rsidRDefault="00C70E54" w:rsidP="00C70E54"/>
    <w:p w14:paraId="1B55E54F" w14:textId="653FC859" w:rsidR="0077792F" w:rsidRPr="0077792F" w:rsidRDefault="00E31954" w:rsidP="0018141E">
      <w:pPr>
        <w:keepNext/>
        <w:numPr>
          <w:ilvl w:val="0"/>
          <w:numId w:val="2"/>
        </w:numPr>
        <w:ind w:left="567" w:hanging="567"/>
        <w:contextualSpacing/>
        <w:rPr>
          <w:b/>
          <w:i/>
          <w:sz w:val="28"/>
          <w:szCs w:val="28"/>
        </w:rPr>
      </w:pPr>
      <w:r>
        <w:rPr>
          <w:b/>
          <w:i/>
          <w:sz w:val="28"/>
        </w:rPr>
        <w:t>Abattement pour la réduction de la distorsion fiscale en faveur de l’endettement</w:t>
      </w:r>
    </w:p>
    <w:p w14:paraId="4B03D864" w14:textId="77777777" w:rsidR="0077792F" w:rsidRPr="0077792F" w:rsidRDefault="0077792F" w:rsidP="0077792F">
      <w:pPr>
        <w:keepNext/>
        <w:contextualSpacing/>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77792F" w:rsidRPr="00627B8F" w14:paraId="717438AA" w14:textId="77777777" w:rsidTr="00533C08">
        <w:tc>
          <w:tcPr>
            <w:tcW w:w="1701" w:type="dxa"/>
          </w:tcPr>
          <w:p w14:paraId="494AC9F0" w14:textId="77777777" w:rsidR="0077792F" w:rsidRPr="009B70E7" w:rsidRDefault="0077792F" w:rsidP="00E642C0">
            <w:pPr>
              <w:pStyle w:val="ListParagraph"/>
              <w:ind w:left="0"/>
              <w:rPr>
                <w:b/>
              </w:rPr>
            </w:pPr>
            <w:r>
              <w:rPr>
                <w:b/>
              </w:rPr>
              <w:t>Rapporteur:</w:t>
            </w:r>
          </w:p>
        </w:tc>
        <w:tc>
          <w:tcPr>
            <w:tcW w:w="6521" w:type="dxa"/>
          </w:tcPr>
          <w:p w14:paraId="5531C58B" w14:textId="6C88A7AE" w:rsidR="0077792F" w:rsidRPr="00627B8F" w:rsidRDefault="00E31954" w:rsidP="00533C08">
            <w:pPr>
              <w:pStyle w:val="ListParagraph"/>
              <w:ind w:left="-60" w:right="-55"/>
            </w:pPr>
            <w:r>
              <w:t>Petru Sorin DANDEA (groupe des travailleurs</w:t>
            </w:r>
            <w:r w:rsidR="008B74A9">
              <w:t xml:space="preserve"> — </w:t>
            </w:r>
            <w:r>
              <w:t>RO)</w:t>
            </w:r>
          </w:p>
        </w:tc>
      </w:tr>
      <w:tr w:rsidR="0077792F" w:rsidRPr="009B70E7" w14:paraId="4BD327F5" w14:textId="77777777" w:rsidTr="00533C08">
        <w:tc>
          <w:tcPr>
            <w:tcW w:w="1701" w:type="dxa"/>
          </w:tcPr>
          <w:p w14:paraId="12AEC36D" w14:textId="77777777" w:rsidR="0077792F" w:rsidRPr="009B70E7" w:rsidRDefault="0077792F" w:rsidP="00533C08">
            <w:pPr>
              <w:pStyle w:val="ListParagraph"/>
              <w:ind w:left="0"/>
              <w:rPr>
                <w:b/>
              </w:rPr>
            </w:pPr>
            <w:r>
              <w:rPr>
                <w:b/>
              </w:rPr>
              <w:t>Corapporteure:</w:t>
            </w:r>
          </w:p>
        </w:tc>
        <w:tc>
          <w:tcPr>
            <w:tcW w:w="6521" w:type="dxa"/>
          </w:tcPr>
          <w:p w14:paraId="558BF534" w14:textId="6571602C" w:rsidR="0077792F" w:rsidRDefault="00E31954" w:rsidP="00533C08">
            <w:pPr>
              <w:pStyle w:val="ListParagraph"/>
              <w:tabs>
                <w:tab w:val="left" w:pos="838"/>
              </w:tabs>
              <w:ind w:left="-61"/>
            </w:pPr>
            <w:r>
              <w:t xml:space="preserve">Krister ANDERSSON (groupe des employeurs </w:t>
            </w:r>
            <w:r w:rsidR="008B74A9">
              <w:t xml:space="preserve">— </w:t>
            </w:r>
            <w:r>
              <w:t>Suède)</w:t>
            </w:r>
          </w:p>
          <w:p w14:paraId="754AA61A" w14:textId="77777777" w:rsidR="0077792F" w:rsidRPr="009B70E7" w:rsidRDefault="0077792F" w:rsidP="00533C08">
            <w:pPr>
              <w:pStyle w:val="ListParagraph"/>
              <w:tabs>
                <w:tab w:val="left" w:pos="838"/>
              </w:tabs>
              <w:ind w:left="-61"/>
            </w:pPr>
          </w:p>
        </w:tc>
      </w:tr>
      <w:tr w:rsidR="0077792F" w:rsidRPr="009B70E7" w14:paraId="5298159A" w14:textId="77777777" w:rsidTr="00747734">
        <w:tblPrEx>
          <w:tblCellMar>
            <w:left w:w="108" w:type="dxa"/>
            <w:right w:w="108" w:type="dxa"/>
          </w:tblCellMar>
        </w:tblPrEx>
        <w:trPr>
          <w:trHeight w:val="636"/>
        </w:trPr>
        <w:tc>
          <w:tcPr>
            <w:tcW w:w="1701" w:type="dxa"/>
          </w:tcPr>
          <w:p w14:paraId="7EB0CD39" w14:textId="77F6ADB3" w:rsidR="0077792F" w:rsidRPr="009B70E7" w:rsidRDefault="00E642C0" w:rsidP="00533C08">
            <w:pPr>
              <w:pStyle w:val="ListParagraph"/>
              <w:ind w:left="0" w:hanging="108"/>
              <w:rPr>
                <w:b/>
              </w:rPr>
            </w:pPr>
            <w:r>
              <w:rPr>
                <w:b/>
              </w:rPr>
              <w:t xml:space="preserve">Référence: </w:t>
            </w:r>
          </w:p>
        </w:tc>
        <w:tc>
          <w:tcPr>
            <w:tcW w:w="6521" w:type="dxa"/>
          </w:tcPr>
          <w:p w14:paraId="5FBE0123" w14:textId="15FEE31E" w:rsidR="0077792F" w:rsidRDefault="00B53E10" w:rsidP="00533C08">
            <w:pPr>
              <w:pStyle w:val="ListParagraph"/>
              <w:ind w:left="-108"/>
            </w:pPr>
            <w:r>
              <w:t>COM(2022) </w:t>
            </w:r>
            <w:r w:rsidR="00E31954">
              <w:t>216</w:t>
            </w:r>
            <w:r w:rsidR="009B12BE">
              <w:t> final</w:t>
            </w:r>
          </w:p>
          <w:p w14:paraId="173E7841" w14:textId="72BA256D" w:rsidR="0077792F" w:rsidRPr="009B70E7" w:rsidRDefault="0077792F" w:rsidP="00533C08">
            <w:pPr>
              <w:pStyle w:val="ListParagraph"/>
              <w:ind w:left="-108"/>
            </w:pPr>
            <w:r>
              <w:t>EESC-2022-02917-00-00-AC</w:t>
            </w:r>
          </w:p>
        </w:tc>
      </w:tr>
    </w:tbl>
    <w:p w14:paraId="2F81936E" w14:textId="77777777" w:rsidR="0077792F" w:rsidRPr="00A30B84" w:rsidRDefault="0077792F" w:rsidP="0077792F">
      <w:pPr>
        <w:contextualSpacing/>
      </w:pPr>
    </w:p>
    <w:p w14:paraId="1901BEAD" w14:textId="77777777" w:rsidR="0077792F" w:rsidRPr="00E642C0" w:rsidRDefault="0077792F" w:rsidP="00E642C0">
      <w:pPr>
        <w:pStyle w:val="ListParagraph"/>
        <w:spacing w:line="240" w:lineRule="auto"/>
        <w:ind w:left="0" w:firstLine="142"/>
        <w:rPr>
          <w:b/>
        </w:rPr>
      </w:pPr>
      <w:r>
        <w:rPr>
          <w:b/>
        </w:rPr>
        <w:t>Points clés</w:t>
      </w:r>
    </w:p>
    <w:p w14:paraId="72FCB2E9" w14:textId="77777777" w:rsidR="0077792F" w:rsidRPr="00E642C0" w:rsidRDefault="0077792F" w:rsidP="009B12BE">
      <w:pPr>
        <w:pStyle w:val="ListParagraph"/>
        <w:keepNext/>
        <w:ind w:left="0"/>
        <w:rPr>
          <w:b/>
        </w:rPr>
      </w:pPr>
    </w:p>
    <w:p w14:paraId="63687A18" w14:textId="77777777" w:rsidR="0077792F" w:rsidRPr="00E642C0" w:rsidRDefault="0077792F" w:rsidP="009B12BE">
      <w:pPr>
        <w:pStyle w:val="ListParagraph"/>
        <w:keepNext/>
        <w:spacing w:line="240" w:lineRule="auto"/>
        <w:ind w:left="0" w:firstLine="142"/>
        <w:rPr>
          <w:bCs/>
        </w:rPr>
      </w:pPr>
      <w:r>
        <w:t>Le CESE:</w:t>
      </w:r>
    </w:p>
    <w:p w14:paraId="3A20E8D3" w14:textId="77777777" w:rsidR="0077792F" w:rsidRPr="00A30B84" w:rsidRDefault="0077792F" w:rsidP="009B12BE">
      <w:pPr>
        <w:keepNext/>
        <w:contextualSpacing/>
      </w:pPr>
    </w:p>
    <w:p w14:paraId="1B90B508" w14:textId="2351D550" w:rsidR="0077792F" w:rsidRPr="001445A7" w:rsidRDefault="0019715D" w:rsidP="0077792F">
      <w:pPr>
        <w:numPr>
          <w:ilvl w:val="0"/>
          <w:numId w:val="3"/>
        </w:numPr>
        <w:ind w:left="357" w:hanging="357"/>
        <w:contextualSpacing/>
      </w:pPr>
      <w:r>
        <w:t>estime que la décision de la Commission de privilégier les fonds propres sur l’endettement non seulement en accordant un abattement sur l’augmentation de leurs fonds propres par les sociétés au fil du temps mais aussi en réduisant de 15 % la déductibilité de l’endettement qui pèse sur les sociétés, est susceptible de porter préjudice aux entreprises européennes, tout spécialement aux PME;</w:t>
      </w:r>
    </w:p>
    <w:p w14:paraId="197DA73C" w14:textId="09788194" w:rsidR="0077792F" w:rsidRDefault="0019715D" w:rsidP="0077792F">
      <w:pPr>
        <w:numPr>
          <w:ilvl w:val="0"/>
          <w:numId w:val="3"/>
        </w:numPr>
        <w:ind w:left="357" w:hanging="357"/>
        <w:contextualSpacing/>
      </w:pPr>
      <w:r>
        <w:t>s’inquiète de ce que la proposition de la Commission pourrait affaiblir sur le plan financier les PME et les microentreprises, lesquelles constituent l’épine dorsale de l’économie européenne. Ces types d’entreprises ne disposent pas d’un accès aisé aux marchés des capitaux; par conséquent, limiter la déductibilité de leurs charges d’intérêts pourrait entraver l’investissement, la croissance et la création d’emplois dans toute l’Europe;</w:t>
      </w:r>
    </w:p>
    <w:p w14:paraId="146F859B" w14:textId="4CBC1CCD" w:rsidR="00F03155" w:rsidRPr="00E31954" w:rsidRDefault="0019715D" w:rsidP="0077792F">
      <w:pPr>
        <w:numPr>
          <w:ilvl w:val="0"/>
          <w:numId w:val="3"/>
        </w:numPr>
        <w:ind w:left="357" w:hanging="357"/>
        <w:contextualSpacing/>
      </w:pPr>
      <w:r>
        <w:t>réaffirme, pour ce qui est des petites entreprises et des microentreprises, qu’il convient de continuer à favoriser les fonds propres principalement, voire uniquement, au moyen d’abattements fiscaux sur ceux-ci sans remettre en cause la déductibilité des intérêts débiteurs;</w:t>
      </w:r>
    </w:p>
    <w:p w14:paraId="5C28BBBE" w14:textId="4286A93A" w:rsidR="00E31954" w:rsidRPr="00E31954" w:rsidRDefault="0019715D" w:rsidP="0077792F">
      <w:pPr>
        <w:numPr>
          <w:ilvl w:val="0"/>
          <w:numId w:val="3"/>
        </w:numPr>
        <w:ind w:left="357" w:hanging="357"/>
        <w:contextualSpacing/>
      </w:pPr>
      <w:r>
        <w:t>considère que la prime de risque de 1 à 1,5 % prévue par la proposition de la Commission est à la fois déconnectée des réalités des marchés et insuffisante pour compenser les pertes résultant de la moindre déductibilité des charges d’intérêts. Dans tous les États membres, la prime de risque de marché excédait 5 % en 2021 et à l’heure actuelle, elle se situe à des niveaux équivalents;</w:t>
      </w:r>
    </w:p>
    <w:p w14:paraId="54E0D827" w14:textId="656A23BE" w:rsidR="00E31954" w:rsidRPr="00E31954" w:rsidRDefault="0019715D" w:rsidP="0077792F">
      <w:pPr>
        <w:numPr>
          <w:ilvl w:val="0"/>
          <w:numId w:val="3"/>
        </w:numPr>
        <w:ind w:left="357" w:hanging="357"/>
        <w:contextualSpacing/>
      </w:pPr>
      <w:r>
        <w:t>redoute que ne pas autoriser la déduction de charges légitimes liées à la conduite des affaires que constituent en l’occurrence les charges d’intérêts puisse handicaper les entreprises européennes dans leur concurrence avec les entreprises sises dans les autres grands blocs commerciaux;</w:t>
      </w:r>
    </w:p>
    <w:p w14:paraId="54D3A63D" w14:textId="6F8AA0C7" w:rsidR="00E31954" w:rsidRPr="00E31954" w:rsidRDefault="0019715D" w:rsidP="0077792F">
      <w:pPr>
        <w:numPr>
          <w:ilvl w:val="0"/>
          <w:numId w:val="3"/>
        </w:numPr>
        <w:ind w:left="357" w:hanging="357"/>
        <w:contextualSpacing/>
      </w:pPr>
      <w:r>
        <w:t>relève que ne plus autoriser pour les entreprises européennes la possibilité de déduire les charges d’intérêts créera des incitations pour les entreprises à recourir à des dispositifs de crédit-bail plutôt qu’à investir directement dans des machines et des équipements;</w:t>
      </w:r>
    </w:p>
    <w:p w14:paraId="475E1DEA" w14:textId="0B707B82" w:rsidR="00E31954" w:rsidRPr="00F71666" w:rsidRDefault="0019715D" w:rsidP="0077792F">
      <w:pPr>
        <w:numPr>
          <w:ilvl w:val="0"/>
          <w:numId w:val="3"/>
        </w:numPr>
        <w:ind w:left="357" w:hanging="357"/>
        <w:contextualSpacing/>
      </w:pPr>
      <w:r>
        <w:t>suggère à la Commission de reconsidérer la substance de sa proposition, notamment en prévoyant d’exempter entièrement ou partiellement en particulier les PME et les microentreprises, des limitations de déductibilité des intérêts sur la dette.</w:t>
      </w:r>
    </w:p>
    <w:p w14:paraId="3477B253" w14:textId="77777777" w:rsidR="0077792F" w:rsidRDefault="0077792F">
      <w:pPr>
        <w:spacing w:after="160" w:line="259"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77792F" w:rsidRPr="009B70E7" w14:paraId="3FA42BAE" w14:textId="77777777" w:rsidTr="00533C08">
        <w:tc>
          <w:tcPr>
            <w:tcW w:w="1418" w:type="dxa"/>
          </w:tcPr>
          <w:p w14:paraId="44ACEA21" w14:textId="1AD1F60E" w:rsidR="0077792F" w:rsidRPr="009B70E7" w:rsidRDefault="00140AB0" w:rsidP="009B12BE">
            <w:pPr>
              <w:pStyle w:val="ListParagraph"/>
              <w:keepNext/>
              <w:spacing w:line="276" w:lineRule="auto"/>
              <w:ind w:left="0"/>
              <w:rPr>
                <w:i/>
              </w:rPr>
            </w:pPr>
            <w:r>
              <w:rPr>
                <w:b/>
                <w:i/>
              </w:rPr>
              <w:lastRenderedPageBreak/>
              <w:t>Contact:</w:t>
            </w:r>
          </w:p>
        </w:tc>
        <w:tc>
          <w:tcPr>
            <w:tcW w:w="5670" w:type="dxa"/>
          </w:tcPr>
          <w:p w14:paraId="389ED027" w14:textId="6AAEADA9" w:rsidR="0077792F" w:rsidRPr="009B70E7" w:rsidRDefault="00E31954" w:rsidP="00533C08">
            <w:pPr>
              <w:pStyle w:val="ListParagraph"/>
              <w:spacing w:line="276" w:lineRule="auto"/>
              <w:ind w:left="0"/>
              <w:rPr>
                <w:i/>
              </w:rPr>
            </w:pPr>
            <w:r>
              <w:rPr>
                <w:i/>
              </w:rPr>
              <w:t>Jüri </w:t>
            </w:r>
            <w:proofErr w:type="spellStart"/>
            <w:r>
              <w:rPr>
                <w:i/>
              </w:rPr>
              <w:t>Soosaar</w:t>
            </w:r>
            <w:proofErr w:type="spellEnd"/>
          </w:p>
        </w:tc>
      </w:tr>
      <w:tr w:rsidR="0077792F" w:rsidRPr="009B70E7" w14:paraId="10C4B938" w14:textId="77777777" w:rsidTr="00533C08">
        <w:tc>
          <w:tcPr>
            <w:tcW w:w="1418" w:type="dxa"/>
          </w:tcPr>
          <w:p w14:paraId="182C7EF1" w14:textId="77777777" w:rsidR="0077792F" w:rsidRPr="009B70E7" w:rsidRDefault="0077792F" w:rsidP="009B12BE">
            <w:pPr>
              <w:pStyle w:val="ListParagraph"/>
              <w:keepNext/>
              <w:spacing w:line="276" w:lineRule="auto"/>
              <w:ind w:left="601"/>
              <w:rPr>
                <w:i/>
              </w:rPr>
            </w:pPr>
            <w:r>
              <w:rPr>
                <w:i/>
              </w:rPr>
              <w:t>Tél.:</w:t>
            </w:r>
          </w:p>
        </w:tc>
        <w:tc>
          <w:tcPr>
            <w:tcW w:w="5670" w:type="dxa"/>
          </w:tcPr>
          <w:p w14:paraId="7E0E9706" w14:textId="3566F72F" w:rsidR="00D91EA9" w:rsidRPr="00140AB0" w:rsidRDefault="0077792F" w:rsidP="00140AB0">
            <w:pPr>
              <w:pStyle w:val="ListParagraph"/>
              <w:spacing w:line="276" w:lineRule="auto"/>
              <w:ind w:left="0"/>
              <w:rPr>
                <w:i/>
              </w:rPr>
            </w:pPr>
            <w:r>
              <w:rPr>
                <w:i/>
              </w:rPr>
              <w:t>+32 25469628</w:t>
            </w:r>
          </w:p>
        </w:tc>
      </w:tr>
      <w:tr w:rsidR="00140AB0" w:rsidRPr="009B70E7" w14:paraId="09175E92" w14:textId="77777777" w:rsidTr="00140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tcPr>
          <w:p w14:paraId="36891343" w14:textId="77777777" w:rsidR="00140AB0" w:rsidRPr="009B70E7" w:rsidRDefault="00140AB0" w:rsidP="009B12BE">
            <w:pPr>
              <w:pStyle w:val="ListParagraph"/>
              <w:keepNext/>
              <w:spacing w:line="276" w:lineRule="auto"/>
              <w:ind w:left="601"/>
              <w:rPr>
                <w:i/>
              </w:rPr>
            </w:pPr>
            <w:r>
              <w:rPr>
                <w:i/>
              </w:rPr>
              <w:t>Courriel:</w:t>
            </w:r>
          </w:p>
        </w:tc>
        <w:tc>
          <w:tcPr>
            <w:tcW w:w="5670" w:type="dxa"/>
          </w:tcPr>
          <w:p w14:paraId="43B4C5DC" w14:textId="26322B8F" w:rsidR="00140AB0" w:rsidRPr="00140AB0" w:rsidRDefault="009D65A9" w:rsidP="002911FC">
            <w:pPr>
              <w:pStyle w:val="ListParagraph"/>
              <w:spacing w:line="276" w:lineRule="auto"/>
              <w:ind w:left="0"/>
              <w:rPr>
                <w:i/>
                <w:iCs/>
                <w:color w:val="0000FF"/>
                <w:u w:val="single"/>
              </w:rPr>
            </w:pPr>
            <w:hyperlink r:id="rId25" w:history="1">
              <w:r w:rsidR="00140AB0" w:rsidRPr="00E31954">
                <w:rPr>
                  <w:rStyle w:val="Hyperlink"/>
                  <w:i/>
                  <w:iCs/>
                </w:rPr>
                <w:t>Juri.Soosaar@eesc.europa.eu</w:t>
              </w:r>
            </w:hyperlink>
          </w:p>
        </w:tc>
      </w:tr>
    </w:tbl>
    <w:p w14:paraId="4FFF5C53" w14:textId="455AE211" w:rsidR="009B12BE" w:rsidRDefault="009B12BE">
      <w:pPr>
        <w:spacing w:after="160" w:line="259" w:lineRule="auto"/>
        <w:jc w:val="left"/>
      </w:pPr>
    </w:p>
    <w:p w14:paraId="51F1D3E5" w14:textId="77777777" w:rsidR="00B67EDA" w:rsidRDefault="00B67EDA">
      <w:pPr>
        <w:spacing w:after="160" w:line="259" w:lineRule="auto"/>
        <w:jc w:val="left"/>
      </w:pPr>
    </w:p>
    <w:p w14:paraId="73D829D0" w14:textId="77777777" w:rsidR="004D7AC0" w:rsidRPr="009B70E7" w:rsidRDefault="004D7AC0" w:rsidP="00A21849">
      <w:pPr>
        <w:pStyle w:val="Heading1"/>
        <w:keepNext/>
        <w:keepLines/>
        <w:rPr>
          <w:b/>
        </w:rPr>
      </w:pPr>
      <w:bookmarkStart w:id="9" w:name="_Toc75527081"/>
      <w:bookmarkStart w:id="10" w:name="_Toc120198246"/>
      <w:r>
        <w:rPr>
          <w:b/>
        </w:rPr>
        <w:t>EMPLOI, AFFAIRES SOCIALES ET CITOYENNETÉ</w:t>
      </w:r>
      <w:bookmarkEnd w:id="9"/>
      <w:bookmarkEnd w:id="10"/>
    </w:p>
    <w:p w14:paraId="46C917A8" w14:textId="77777777" w:rsidR="00775FDA" w:rsidRPr="00DA2D88" w:rsidRDefault="00775FDA" w:rsidP="00A21849">
      <w:pPr>
        <w:keepNext/>
        <w:keepLines/>
        <w:spacing w:line="259" w:lineRule="auto"/>
        <w:jc w:val="left"/>
        <w:rPr>
          <w:b/>
        </w:rPr>
      </w:pPr>
    </w:p>
    <w:p w14:paraId="2B9D750E" w14:textId="0A724A32" w:rsidR="00DA608B" w:rsidRPr="00DA2D88" w:rsidRDefault="00E31954" w:rsidP="00A21849">
      <w:pPr>
        <w:pStyle w:val="ListParagraph"/>
        <w:keepNext/>
        <w:keepLines/>
        <w:numPr>
          <w:ilvl w:val="0"/>
          <w:numId w:val="2"/>
        </w:numPr>
        <w:ind w:left="567" w:hanging="567"/>
        <w:rPr>
          <w:i/>
          <w:sz w:val="28"/>
          <w:szCs w:val="28"/>
        </w:rPr>
      </w:pPr>
      <w:r>
        <w:rPr>
          <w:b/>
          <w:i/>
          <w:sz w:val="28"/>
        </w:rPr>
        <w:t>Accroître la mobilité de la main-d’œuvre pour soutenir la reprise économique</w:t>
      </w:r>
    </w:p>
    <w:p w14:paraId="52A05893" w14:textId="77777777" w:rsidR="00DA608B" w:rsidRPr="009B70E7" w:rsidRDefault="00DA608B" w:rsidP="0018231C">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DA608B" w:rsidRPr="009B70E7" w14:paraId="5CC43C80" w14:textId="77777777" w:rsidTr="00B9776A">
        <w:trPr>
          <w:trHeight w:val="309"/>
        </w:trPr>
        <w:tc>
          <w:tcPr>
            <w:tcW w:w="1701" w:type="dxa"/>
          </w:tcPr>
          <w:p w14:paraId="27FDCFCA" w14:textId="37BE6ACE" w:rsidR="00DA608B" w:rsidRDefault="00DA608B" w:rsidP="0070677E">
            <w:pPr>
              <w:pStyle w:val="ListParagraph"/>
              <w:ind w:left="0"/>
              <w:rPr>
                <w:b/>
              </w:rPr>
            </w:pPr>
            <w:r>
              <w:rPr>
                <w:b/>
              </w:rPr>
              <w:t>Rapporteur:</w:t>
            </w:r>
          </w:p>
          <w:p w14:paraId="6C72EBF9" w14:textId="676EFD71" w:rsidR="000C43E2" w:rsidRPr="009B70E7" w:rsidRDefault="000C43E2" w:rsidP="00150AD8">
            <w:pPr>
              <w:pStyle w:val="ListParagraph"/>
              <w:ind w:left="0" w:right="-978" w:hanging="108"/>
              <w:rPr>
                <w:b/>
              </w:rPr>
            </w:pPr>
          </w:p>
        </w:tc>
        <w:tc>
          <w:tcPr>
            <w:tcW w:w="6521" w:type="dxa"/>
          </w:tcPr>
          <w:p w14:paraId="0FD390DE" w14:textId="53AB841A" w:rsidR="00DA608B" w:rsidRPr="009B70E7" w:rsidRDefault="00E31954">
            <w:pPr>
              <w:pStyle w:val="ListParagraph"/>
              <w:ind w:left="-105"/>
            </w:pPr>
            <w:r>
              <w:t>Philip VON BROCKDORFF (groupe des travailleurs — MT)</w:t>
            </w:r>
          </w:p>
          <w:p w14:paraId="42694D38" w14:textId="77777777" w:rsidR="00DA608B" w:rsidRPr="009B70E7" w:rsidRDefault="00DA608B">
            <w:pPr>
              <w:pStyle w:val="ListParagraph"/>
              <w:ind w:left="0"/>
            </w:pPr>
          </w:p>
        </w:tc>
      </w:tr>
      <w:tr w:rsidR="00DA608B" w:rsidRPr="009B70E7" w14:paraId="0AB50045" w14:textId="77777777" w:rsidTr="00B9776A">
        <w:trPr>
          <w:trHeight w:val="636"/>
        </w:trPr>
        <w:tc>
          <w:tcPr>
            <w:tcW w:w="1701" w:type="dxa"/>
          </w:tcPr>
          <w:p w14:paraId="6F51EE90" w14:textId="77777777" w:rsidR="00DA608B" w:rsidRPr="00765C4F" w:rsidRDefault="00DA608B" w:rsidP="0070677E">
            <w:pPr>
              <w:pStyle w:val="ListParagraph"/>
              <w:ind w:left="0"/>
              <w:rPr>
                <w:b/>
              </w:rPr>
            </w:pPr>
            <w:r>
              <w:rPr>
                <w:b/>
              </w:rPr>
              <w:t xml:space="preserve">Référence: </w:t>
            </w:r>
          </w:p>
        </w:tc>
        <w:tc>
          <w:tcPr>
            <w:tcW w:w="6521" w:type="dxa"/>
          </w:tcPr>
          <w:p w14:paraId="3539F204" w14:textId="7DEF1080" w:rsidR="00DA608B" w:rsidRPr="00765C4F" w:rsidRDefault="00E31954">
            <w:pPr>
              <w:pStyle w:val="ListParagraph"/>
              <w:ind w:left="-108"/>
            </w:pPr>
            <w:r>
              <w:t>Avis d’initiative</w:t>
            </w:r>
          </w:p>
          <w:p w14:paraId="0B0645EB" w14:textId="2AF4041D" w:rsidR="00DA608B" w:rsidRPr="00765C4F" w:rsidRDefault="00DA2D88">
            <w:pPr>
              <w:pStyle w:val="ListParagraph"/>
              <w:ind w:left="-108"/>
            </w:pPr>
            <w:r>
              <w:t>EESC-2022-02145-00-00-AC</w:t>
            </w:r>
          </w:p>
        </w:tc>
      </w:tr>
    </w:tbl>
    <w:p w14:paraId="5CD81DDF" w14:textId="77777777" w:rsidR="00DA608B" w:rsidRPr="009B70E7" w:rsidRDefault="00DA608B">
      <w:pPr>
        <w:pStyle w:val="ListParagraph"/>
        <w:ind w:left="0"/>
        <w:rPr>
          <w:b/>
        </w:rPr>
      </w:pPr>
    </w:p>
    <w:p w14:paraId="69FEE6CD" w14:textId="11565318" w:rsidR="00C76C46" w:rsidRDefault="00DA608B" w:rsidP="0070059F">
      <w:pPr>
        <w:pStyle w:val="ListParagraph"/>
        <w:keepNext/>
        <w:spacing w:line="240" w:lineRule="auto"/>
        <w:ind w:left="0" w:firstLine="142"/>
        <w:rPr>
          <w:b/>
        </w:rPr>
      </w:pPr>
      <w:r>
        <w:rPr>
          <w:b/>
        </w:rPr>
        <w:t>Points clés</w:t>
      </w:r>
    </w:p>
    <w:p w14:paraId="72E92ACD" w14:textId="77777777" w:rsidR="00C76C46" w:rsidRDefault="00C76C46" w:rsidP="0070059F">
      <w:pPr>
        <w:pStyle w:val="ListParagraph"/>
        <w:keepNext/>
        <w:ind w:left="0"/>
        <w:rPr>
          <w:b/>
        </w:rPr>
      </w:pPr>
    </w:p>
    <w:p w14:paraId="761BDCA0" w14:textId="77777777" w:rsidR="00813A00" w:rsidRPr="0070677E" w:rsidRDefault="001B6460" w:rsidP="0070059F">
      <w:pPr>
        <w:pStyle w:val="ListParagraph"/>
        <w:keepNext/>
        <w:spacing w:line="240" w:lineRule="auto"/>
        <w:ind w:left="0" w:firstLine="142"/>
        <w:rPr>
          <w:bCs/>
        </w:rPr>
      </w:pPr>
      <w:r>
        <w:t>Le CESE:</w:t>
      </w:r>
    </w:p>
    <w:p w14:paraId="25EBE488" w14:textId="77777777" w:rsidR="00276CC9" w:rsidRDefault="00276CC9" w:rsidP="0070059F">
      <w:pPr>
        <w:pStyle w:val="ListParagraph"/>
        <w:keepNext/>
        <w:ind w:left="0"/>
      </w:pPr>
    </w:p>
    <w:p w14:paraId="65AAF95D" w14:textId="0AD21B45" w:rsidR="00813A00" w:rsidRDefault="004415E2" w:rsidP="0018231C">
      <w:pPr>
        <w:pStyle w:val="ListParagraph"/>
        <w:numPr>
          <w:ilvl w:val="0"/>
          <w:numId w:val="3"/>
        </w:numPr>
        <w:ind w:left="357" w:hanging="357"/>
      </w:pPr>
      <w:r>
        <w:t xml:space="preserve">estime que, dans un contexte marqué par une grande incertitude économique, </w:t>
      </w:r>
      <w:r>
        <w:rPr>
          <w:b/>
        </w:rPr>
        <w:t>la mobilité de la main-d’œuvre au sein de l’Union européenne pourrait jouer un rôle cardinal dans la reprise économique et les perspectives de croissance européennes</w:t>
      </w:r>
      <w:r>
        <w:t>;</w:t>
      </w:r>
    </w:p>
    <w:p w14:paraId="6B2D5B52" w14:textId="67F7D776" w:rsidR="00C76C46" w:rsidRDefault="004415E2" w:rsidP="0018231C">
      <w:pPr>
        <w:pStyle w:val="ListParagraph"/>
        <w:numPr>
          <w:ilvl w:val="0"/>
          <w:numId w:val="3"/>
        </w:numPr>
        <w:ind w:left="357" w:hanging="357"/>
      </w:pPr>
      <w:r>
        <w:t xml:space="preserve">souligne </w:t>
      </w:r>
      <w:r>
        <w:rPr>
          <w:b/>
        </w:rPr>
        <w:t>la nécessité de procéder à une analyse plus approfondie</w:t>
      </w:r>
      <w:r>
        <w:t xml:space="preserve"> des raisons pour lesquelles, outre les restrictions causées par la pandémie, le nombre d’Européens mobiles en âge de travailler augmente de manière plus faible que les années précédentes;</w:t>
      </w:r>
    </w:p>
    <w:p w14:paraId="515F6F8A" w14:textId="0A84321C" w:rsidR="001B6460" w:rsidRDefault="004415E2" w:rsidP="0018231C">
      <w:pPr>
        <w:pStyle w:val="ListParagraph"/>
        <w:numPr>
          <w:ilvl w:val="0"/>
          <w:numId w:val="3"/>
        </w:numPr>
        <w:ind w:left="357" w:hanging="357"/>
      </w:pPr>
      <w:r>
        <w:t xml:space="preserve">demande également </w:t>
      </w:r>
      <w:r>
        <w:rPr>
          <w:b/>
        </w:rPr>
        <w:t>que soit réalisée une étude visant à établir le coût économique de la situation actuelle du marché du travail</w:t>
      </w:r>
      <w:r>
        <w:t>;</w:t>
      </w:r>
    </w:p>
    <w:p w14:paraId="0C83101A" w14:textId="61FCD965" w:rsidR="004415E2" w:rsidRDefault="004415E2" w:rsidP="0018231C">
      <w:pPr>
        <w:pStyle w:val="ListParagraph"/>
        <w:numPr>
          <w:ilvl w:val="0"/>
          <w:numId w:val="3"/>
        </w:numPr>
        <w:ind w:left="357" w:hanging="357"/>
      </w:pPr>
      <w:r>
        <w:t xml:space="preserve">recommande </w:t>
      </w:r>
      <w:r>
        <w:rPr>
          <w:b/>
        </w:rPr>
        <w:t>des mesures nationales plus efficaces</w:t>
      </w:r>
      <w:r>
        <w:t xml:space="preserve">, en mettant l’accent </w:t>
      </w:r>
      <w:r>
        <w:rPr>
          <w:b/>
        </w:rPr>
        <w:t>sur les politiques actives du marché du travail</w:t>
      </w:r>
      <w:r>
        <w:t>;</w:t>
      </w:r>
    </w:p>
    <w:p w14:paraId="3C2CDE45" w14:textId="6EAC8512" w:rsidR="004415E2" w:rsidRPr="004415E2" w:rsidRDefault="004415E2" w:rsidP="0018231C">
      <w:pPr>
        <w:pStyle w:val="ListParagraph"/>
        <w:numPr>
          <w:ilvl w:val="0"/>
          <w:numId w:val="3"/>
        </w:numPr>
        <w:ind w:left="357" w:hanging="357"/>
      </w:pPr>
      <w:r>
        <w:t xml:space="preserve">invite la Commission </w:t>
      </w:r>
      <w:r>
        <w:rPr>
          <w:b/>
        </w:rPr>
        <w:t>à prendre des mesures de lutte contre la fuite des cerveaux allant de pair avec une action en faveur d’une convergence économique et sociale vers le haut</w:t>
      </w:r>
      <w:r>
        <w:t>;</w:t>
      </w:r>
    </w:p>
    <w:p w14:paraId="6B79EBFD" w14:textId="2184A340" w:rsidR="004415E2" w:rsidRDefault="004415E2" w:rsidP="0018231C">
      <w:pPr>
        <w:pStyle w:val="ListParagraph"/>
        <w:numPr>
          <w:ilvl w:val="0"/>
          <w:numId w:val="3"/>
        </w:numPr>
        <w:ind w:left="357" w:hanging="357"/>
      </w:pPr>
      <w:r>
        <w:t xml:space="preserve">invite les États membres </w:t>
      </w:r>
      <w:r>
        <w:rPr>
          <w:b/>
        </w:rPr>
        <w:t>à faciliter la mobilité des personnes handicapées</w:t>
      </w:r>
      <w:r>
        <w:t xml:space="preserve">, et estime également que </w:t>
      </w:r>
      <w:r>
        <w:rPr>
          <w:b/>
        </w:rPr>
        <w:t>l’égalité entre les hommes et les femmes est essentielle pour accroître la mobilité de la main-d’œuvre</w:t>
      </w:r>
      <w:r>
        <w:t xml:space="preserve"> dans l’Union;</w:t>
      </w:r>
    </w:p>
    <w:p w14:paraId="78778385" w14:textId="5FC42FD1" w:rsidR="004415E2" w:rsidRDefault="004415E2" w:rsidP="0018231C">
      <w:pPr>
        <w:pStyle w:val="ListParagraph"/>
        <w:numPr>
          <w:ilvl w:val="0"/>
          <w:numId w:val="3"/>
        </w:numPr>
        <w:ind w:left="357" w:hanging="357"/>
      </w:pPr>
      <w:r>
        <w:t>exhorte la Commission</w:t>
      </w:r>
      <w:r>
        <w:rPr>
          <w:b/>
        </w:rPr>
        <w:t xml:space="preserve"> à suivre de façon continue la coordination</w:t>
      </w:r>
      <w:r>
        <w:t xml:space="preserve"> de la sécurité sociale et à veiller à ce que des solutions cohérentes soient apportées à de nouvelles problématiques telles que le télétravail depuis l’étranger; demande de surcroît </w:t>
      </w:r>
      <w:r>
        <w:rPr>
          <w:b/>
        </w:rPr>
        <w:t>à redoubler d’efforts pour créer un numéro de sécurité sociale européen</w:t>
      </w:r>
      <w:r>
        <w:t xml:space="preserve"> qui permette de surmonter les obstacles à l’accès à la sécurité sociale dans les situations transfrontières;</w:t>
      </w:r>
    </w:p>
    <w:p w14:paraId="046B4404" w14:textId="5C6E2393" w:rsidR="004415E2" w:rsidRDefault="004415E2" w:rsidP="0018231C">
      <w:pPr>
        <w:pStyle w:val="ListParagraph"/>
        <w:numPr>
          <w:ilvl w:val="0"/>
          <w:numId w:val="3"/>
        </w:numPr>
        <w:ind w:left="357" w:hanging="357"/>
      </w:pPr>
      <w:r>
        <w:t xml:space="preserve">fait observer que </w:t>
      </w:r>
      <w:r>
        <w:rPr>
          <w:b/>
        </w:rPr>
        <w:t>de bonnes conditions de travail et d’emploi</w:t>
      </w:r>
      <w:r>
        <w:t xml:space="preserve">, ainsi que des aspects de qualité de vie, tels que la disponibilité de bons établissements scolaires et des installations récréatives, sont nécessaires pour que les entreprises </w:t>
      </w:r>
      <w:r>
        <w:rPr>
          <w:b/>
        </w:rPr>
        <w:t>conservent un avantage concurrentiel et attirent des travailleurs qualifiés</w:t>
      </w:r>
      <w:r>
        <w:t>;</w:t>
      </w:r>
    </w:p>
    <w:p w14:paraId="08579D0A" w14:textId="6D79502F" w:rsidR="003505DD" w:rsidRDefault="003505DD" w:rsidP="0018231C">
      <w:pPr>
        <w:pStyle w:val="ListParagraph"/>
        <w:numPr>
          <w:ilvl w:val="0"/>
          <w:numId w:val="3"/>
        </w:numPr>
        <w:ind w:left="357" w:hanging="357"/>
      </w:pPr>
      <w:r>
        <w:rPr>
          <w:b/>
        </w:rPr>
        <w:t>souligne l’importance de l’analyse statistique en cours des flux de mobilité de la main-d’œuvre afin de contribuer à remédier à l’inadéquation des compétences sur les marchés du travail</w:t>
      </w:r>
      <w:r>
        <w:t xml:space="preserve"> de </w:t>
      </w:r>
      <w:r>
        <w:lastRenderedPageBreak/>
        <w:t>l’Union, et d’évaluer l’impact d’évolutions telles que la guerre en Ukraine et les mouvements des personnes en âge de travailler entre les États membres et en leur sein.</w:t>
      </w:r>
    </w:p>
    <w:p w14:paraId="1FD3A8FD" w14:textId="74C9FC15" w:rsidR="00DA2D88" w:rsidRPr="009B70E7" w:rsidRDefault="00DA2D88" w:rsidP="003C0E5B">
      <w:pPr>
        <w:pStyle w:val="ListParagraph"/>
        <w:ind w:left="35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B9776A" w:rsidRPr="009B70E7" w14:paraId="6D2BB312" w14:textId="77777777" w:rsidTr="00DA68E9">
        <w:tc>
          <w:tcPr>
            <w:tcW w:w="1418" w:type="dxa"/>
          </w:tcPr>
          <w:p w14:paraId="40C0D5DD" w14:textId="41B4F4C6" w:rsidR="00B9776A" w:rsidRPr="009B70E7" w:rsidRDefault="00140AB0" w:rsidP="00DA68E9">
            <w:pPr>
              <w:pStyle w:val="ListParagraph"/>
              <w:ind w:left="0"/>
              <w:rPr>
                <w:i/>
              </w:rPr>
            </w:pPr>
            <w:r>
              <w:rPr>
                <w:b/>
                <w:i/>
              </w:rPr>
              <w:t>Contact:</w:t>
            </w:r>
          </w:p>
        </w:tc>
        <w:tc>
          <w:tcPr>
            <w:tcW w:w="5670" w:type="dxa"/>
          </w:tcPr>
          <w:p w14:paraId="40D958AD" w14:textId="6C037431" w:rsidR="00B9776A" w:rsidRPr="009B70E7" w:rsidRDefault="00E31954" w:rsidP="00DA68E9">
            <w:pPr>
              <w:pStyle w:val="ListParagraph"/>
              <w:ind w:left="0"/>
              <w:rPr>
                <w:i/>
              </w:rPr>
            </w:pPr>
            <w:r>
              <w:rPr>
                <w:i/>
              </w:rPr>
              <w:t xml:space="preserve">Valeria </w:t>
            </w:r>
            <w:proofErr w:type="spellStart"/>
            <w:r>
              <w:rPr>
                <w:i/>
              </w:rPr>
              <w:t>Satta</w:t>
            </w:r>
            <w:proofErr w:type="spellEnd"/>
          </w:p>
        </w:tc>
      </w:tr>
      <w:tr w:rsidR="00B9776A" w:rsidRPr="009B70E7" w14:paraId="10DFC57C" w14:textId="77777777" w:rsidTr="00DA68E9">
        <w:tc>
          <w:tcPr>
            <w:tcW w:w="1418" w:type="dxa"/>
          </w:tcPr>
          <w:p w14:paraId="4081ABA8" w14:textId="77777777" w:rsidR="00B9776A" w:rsidRPr="009B70E7" w:rsidRDefault="00B9776A" w:rsidP="00DA68E9">
            <w:pPr>
              <w:pStyle w:val="ListParagraph"/>
              <w:ind w:left="601"/>
              <w:rPr>
                <w:i/>
              </w:rPr>
            </w:pPr>
            <w:r>
              <w:rPr>
                <w:i/>
              </w:rPr>
              <w:t>Tél.</w:t>
            </w:r>
          </w:p>
        </w:tc>
        <w:tc>
          <w:tcPr>
            <w:tcW w:w="5670" w:type="dxa"/>
          </w:tcPr>
          <w:p w14:paraId="49A31815" w14:textId="29A0A23B" w:rsidR="00B9776A" w:rsidRPr="009B70E7" w:rsidRDefault="00B9776A" w:rsidP="00DA68E9">
            <w:pPr>
              <w:pStyle w:val="ListParagraph"/>
              <w:ind w:left="0"/>
              <w:rPr>
                <w:i/>
              </w:rPr>
            </w:pPr>
            <w:r>
              <w:rPr>
                <w:i/>
              </w:rPr>
              <w:t>+32 2 546 8188</w:t>
            </w:r>
          </w:p>
        </w:tc>
      </w:tr>
      <w:tr w:rsidR="00B9776A" w:rsidRPr="001D770D" w14:paraId="328826DD" w14:textId="77777777" w:rsidTr="00DA68E9">
        <w:tc>
          <w:tcPr>
            <w:tcW w:w="1418" w:type="dxa"/>
          </w:tcPr>
          <w:p w14:paraId="73A7D014" w14:textId="77777777" w:rsidR="00B9776A" w:rsidRPr="009B70E7" w:rsidRDefault="00B9776A" w:rsidP="00DA68E9">
            <w:pPr>
              <w:pStyle w:val="ListParagraph"/>
              <w:ind w:left="601"/>
              <w:rPr>
                <w:i/>
              </w:rPr>
            </w:pPr>
            <w:r>
              <w:rPr>
                <w:i/>
              </w:rPr>
              <w:t>Courriel:</w:t>
            </w:r>
          </w:p>
        </w:tc>
        <w:tc>
          <w:tcPr>
            <w:tcW w:w="5670" w:type="dxa"/>
          </w:tcPr>
          <w:p w14:paraId="07E68BA6" w14:textId="6D6C75E0" w:rsidR="00B9776A" w:rsidRPr="00E31954" w:rsidRDefault="009D65A9" w:rsidP="00DA68E9">
            <w:pPr>
              <w:pStyle w:val="ListParagraph"/>
              <w:ind w:left="0"/>
              <w:rPr>
                <w:i/>
                <w:iCs/>
              </w:rPr>
            </w:pPr>
            <w:hyperlink r:id="rId26" w:history="1">
              <w:r w:rsidR="0070059F" w:rsidRPr="00E31954">
                <w:rPr>
                  <w:rStyle w:val="Hyperlink"/>
                  <w:i/>
                  <w:iCs/>
                </w:rPr>
                <w:t>Valeria.Satta</w:t>
              </w:r>
              <w:r w:rsidR="0070059F" w:rsidRPr="00E31954">
                <w:rPr>
                  <w:rStyle w:val="Hyperlink"/>
                  <w:i/>
                  <w:iCs/>
                  <w:szCs w:val="20"/>
                </w:rPr>
                <w:t>@eesc.europa.eu</w:t>
              </w:r>
            </w:hyperlink>
          </w:p>
        </w:tc>
      </w:tr>
    </w:tbl>
    <w:p w14:paraId="15F12AD4" w14:textId="5EFA397F" w:rsidR="00B67EDA" w:rsidRDefault="00B67EDA" w:rsidP="0018231C">
      <w:pPr>
        <w:jc w:val="left"/>
        <w:rPr>
          <w:sz w:val="28"/>
        </w:rPr>
      </w:pPr>
    </w:p>
    <w:p w14:paraId="6004B7F1" w14:textId="4524E389" w:rsidR="00775FDA" w:rsidRPr="009B70E7" w:rsidRDefault="008C5DFD" w:rsidP="0018231C">
      <w:pPr>
        <w:pStyle w:val="ListParagraph"/>
        <w:keepNext/>
        <w:numPr>
          <w:ilvl w:val="0"/>
          <w:numId w:val="2"/>
        </w:numPr>
        <w:ind w:left="567" w:hanging="567"/>
        <w:rPr>
          <w:b/>
          <w:i/>
          <w:sz w:val="28"/>
          <w:szCs w:val="28"/>
        </w:rPr>
      </w:pPr>
      <w:r>
        <w:rPr>
          <w:b/>
          <w:i/>
          <w:sz w:val="28"/>
        </w:rPr>
        <w:t>Renforcer l’égalité au sein de l’Union européenne</w:t>
      </w:r>
    </w:p>
    <w:p w14:paraId="301189D8" w14:textId="77777777" w:rsidR="00775FDA" w:rsidRPr="009B70E7" w:rsidRDefault="00775FDA" w:rsidP="0018231C">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6521"/>
      </w:tblGrid>
      <w:tr w:rsidR="00B44BB9" w:rsidRPr="009B70E7" w14:paraId="5CC040D5" w14:textId="77777777" w:rsidTr="00747734">
        <w:trPr>
          <w:cantSplit/>
          <w:trHeight w:hRule="exact" w:val="284"/>
        </w:trPr>
        <w:tc>
          <w:tcPr>
            <w:tcW w:w="1701" w:type="dxa"/>
          </w:tcPr>
          <w:p w14:paraId="2BE1EF86" w14:textId="77777777" w:rsidR="00B44BB9" w:rsidRDefault="00B44BB9" w:rsidP="0070677E">
            <w:pPr>
              <w:pStyle w:val="ListParagraph"/>
              <w:ind w:left="0"/>
              <w:rPr>
                <w:b/>
              </w:rPr>
            </w:pPr>
            <w:r>
              <w:rPr>
                <w:b/>
              </w:rPr>
              <w:t>Rapporteur:</w:t>
            </w:r>
          </w:p>
          <w:p w14:paraId="15AEA92C" w14:textId="77777777" w:rsidR="00B44BB9" w:rsidRPr="009B70E7" w:rsidRDefault="00B44BB9" w:rsidP="00B44BB9">
            <w:pPr>
              <w:pStyle w:val="ListParagraph"/>
              <w:keepNext/>
              <w:ind w:left="0"/>
              <w:rPr>
                <w:b/>
              </w:rPr>
            </w:pPr>
          </w:p>
        </w:tc>
        <w:tc>
          <w:tcPr>
            <w:tcW w:w="6521" w:type="dxa"/>
          </w:tcPr>
          <w:p w14:paraId="689CA704" w14:textId="5C09BCE6" w:rsidR="00B44BB9" w:rsidRPr="009B70E7" w:rsidRDefault="008C5DFD" w:rsidP="00E119DF">
            <w:pPr>
              <w:pStyle w:val="ListParagraph"/>
              <w:ind w:left="-52"/>
            </w:pPr>
            <w:r>
              <w:t>Ozlem YILDIRIM (groupe des travailleurs</w:t>
            </w:r>
            <w:r w:rsidR="008B74A9">
              <w:t xml:space="preserve"> — </w:t>
            </w:r>
            <w:r>
              <w:t>FR)</w:t>
            </w:r>
          </w:p>
        </w:tc>
      </w:tr>
      <w:tr w:rsidR="00B44BB9" w:rsidRPr="009B70E7" w14:paraId="0BE10C0A" w14:textId="77777777" w:rsidTr="00747734">
        <w:trPr>
          <w:cantSplit/>
          <w:trHeight w:hRule="exact" w:val="567"/>
        </w:trPr>
        <w:tc>
          <w:tcPr>
            <w:tcW w:w="1701" w:type="dxa"/>
          </w:tcPr>
          <w:p w14:paraId="5684194C" w14:textId="031E2B1F" w:rsidR="00B44BB9" w:rsidRDefault="008C5DFD" w:rsidP="0070677E">
            <w:pPr>
              <w:pStyle w:val="ListParagraph"/>
              <w:ind w:left="0"/>
              <w:rPr>
                <w:b/>
              </w:rPr>
            </w:pPr>
            <w:r>
              <w:rPr>
                <w:b/>
              </w:rPr>
              <w:t>Corapporteure:</w:t>
            </w:r>
          </w:p>
          <w:p w14:paraId="24CB645C" w14:textId="77777777" w:rsidR="00B44BB9" w:rsidRPr="009B70E7" w:rsidRDefault="00B44BB9" w:rsidP="00B44BB9">
            <w:pPr>
              <w:pStyle w:val="ListParagraph"/>
              <w:keepNext/>
              <w:ind w:left="0"/>
              <w:rPr>
                <w:b/>
              </w:rPr>
            </w:pPr>
          </w:p>
        </w:tc>
        <w:tc>
          <w:tcPr>
            <w:tcW w:w="6521" w:type="dxa"/>
          </w:tcPr>
          <w:p w14:paraId="29D5D88B" w14:textId="73A2C530" w:rsidR="00B44BB9" w:rsidRPr="009B70E7" w:rsidRDefault="008C5DFD" w:rsidP="00E119DF">
            <w:pPr>
              <w:pStyle w:val="ListParagraph"/>
              <w:ind w:left="-52"/>
            </w:pPr>
            <w:r>
              <w:t>Ionuţ SIBIAN (groupe des organisations de la société civile — RO)</w:t>
            </w:r>
          </w:p>
        </w:tc>
      </w:tr>
      <w:tr w:rsidR="00B44BB9" w:rsidRPr="00627B8F" w14:paraId="58C9EA77" w14:textId="77777777" w:rsidTr="00E119DF">
        <w:tc>
          <w:tcPr>
            <w:tcW w:w="1701" w:type="dxa"/>
          </w:tcPr>
          <w:p w14:paraId="5397904E" w14:textId="77777777" w:rsidR="00B44BB9" w:rsidRPr="009B70E7" w:rsidRDefault="00B44BB9" w:rsidP="0070677E">
            <w:pPr>
              <w:pStyle w:val="ListParagraph"/>
              <w:ind w:left="0"/>
              <w:rPr>
                <w:b/>
              </w:rPr>
            </w:pPr>
            <w:r>
              <w:rPr>
                <w:b/>
              </w:rPr>
              <w:t xml:space="preserve">Référence: </w:t>
            </w:r>
          </w:p>
        </w:tc>
        <w:tc>
          <w:tcPr>
            <w:tcW w:w="6521" w:type="dxa"/>
          </w:tcPr>
          <w:p w14:paraId="7887F4C5" w14:textId="299FE874" w:rsidR="00B44BB9" w:rsidRPr="00E119DF" w:rsidRDefault="003C0E5B" w:rsidP="00E119DF">
            <w:pPr>
              <w:pStyle w:val="ListParagraph"/>
              <w:ind w:left="-52"/>
            </w:pPr>
            <w:r>
              <w:t>Avis d’initiative</w:t>
            </w:r>
          </w:p>
          <w:p w14:paraId="12C6341D" w14:textId="3BB892B2" w:rsidR="00B44BB9" w:rsidRPr="00E119DF" w:rsidRDefault="00B44BB9" w:rsidP="00E119DF">
            <w:pPr>
              <w:pStyle w:val="ListParagraph"/>
              <w:ind w:left="-52"/>
            </w:pPr>
            <w:r>
              <w:t>EESC-2022-01002-00-00-AC</w:t>
            </w:r>
          </w:p>
        </w:tc>
      </w:tr>
    </w:tbl>
    <w:p w14:paraId="5534BE55" w14:textId="77777777" w:rsidR="00631509" w:rsidRDefault="00631509" w:rsidP="00631509">
      <w:pPr>
        <w:pStyle w:val="ListParagraph"/>
        <w:spacing w:line="240" w:lineRule="auto"/>
        <w:ind w:left="-142" w:firstLine="284"/>
        <w:rPr>
          <w:b/>
        </w:rPr>
      </w:pPr>
    </w:p>
    <w:p w14:paraId="63769A52" w14:textId="3A0DA8C9" w:rsidR="00775FDA" w:rsidRPr="0070677E" w:rsidRDefault="00C76C46" w:rsidP="00747734">
      <w:pPr>
        <w:pStyle w:val="ListParagraph"/>
        <w:keepNext/>
        <w:spacing w:line="240" w:lineRule="auto"/>
        <w:ind w:left="0" w:firstLine="142"/>
        <w:rPr>
          <w:b/>
        </w:rPr>
      </w:pPr>
      <w:r>
        <w:rPr>
          <w:b/>
        </w:rPr>
        <w:t>Points clés</w:t>
      </w:r>
    </w:p>
    <w:p w14:paraId="580B14A7" w14:textId="77777777" w:rsidR="005475DA" w:rsidRPr="009B70E7" w:rsidRDefault="005475DA" w:rsidP="00747734">
      <w:pPr>
        <w:pStyle w:val="ListParagraph"/>
        <w:keepNext/>
        <w:ind w:left="0"/>
      </w:pPr>
    </w:p>
    <w:p w14:paraId="3C2434D8" w14:textId="77777777" w:rsidR="00775FDA" w:rsidRPr="0070677E" w:rsidRDefault="008946BF" w:rsidP="00747734">
      <w:pPr>
        <w:pStyle w:val="ListParagraph"/>
        <w:keepNext/>
        <w:spacing w:line="240" w:lineRule="auto"/>
        <w:ind w:left="0" w:firstLine="142"/>
        <w:rPr>
          <w:bCs/>
        </w:rPr>
      </w:pPr>
      <w:r>
        <w:t>Le CESE:</w:t>
      </w:r>
    </w:p>
    <w:p w14:paraId="4DF09C8C" w14:textId="77777777" w:rsidR="00747734" w:rsidRPr="00747734" w:rsidRDefault="00747734" w:rsidP="00747734">
      <w:pPr>
        <w:pStyle w:val="ListParagraph"/>
        <w:numPr>
          <w:ilvl w:val="0"/>
          <w:numId w:val="3"/>
        </w:numPr>
        <w:ind w:left="357" w:hanging="357"/>
      </w:pPr>
      <w:r w:rsidRPr="00747734">
        <w:t>rappelle que la charte des droits fondamentaux de l’Union européenne consacre le principe de l’égalité devant la loi pour tous; rappelle que l’application de ce principe non seulement interdit la discrimination, mais favorise également l’application cohérente de l’état de droit;</w:t>
      </w:r>
    </w:p>
    <w:p w14:paraId="35A6DD33" w14:textId="77777777" w:rsidR="00747734" w:rsidRPr="00747734" w:rsidRDefault="00747734" w:rsidP="00747734">
      <w:pPr>
        <w:pStyle w:val="ListParagraph"/>
        <w:numPr>
          <w:ilvl w:val="0"/>
          <w:numId w:val="3"/>
        </w:numPr>
        <w:ind w:left="357" w:hanging="357"/>
      </w:pPr>
      <w:r w:rsidRPr="00747734">
        <w:t>estime que les instruments de protection des droits fondamentaux doivent être développés de manière uniforme dans toute l’Union. La différence de protection juridique produit des hiérarchies inacceptables entre les droits et laisse des catégories entières de personnes sans protection;</w:t>
      </w:r>
    </w:p>
    <w:p w14:paraId="2F08C2DC" w14:textId="77777777" w:rsidR="00747734" w:rsidRPr="00747734" w:rsidRDefault="00747734" w:rsidP="00747734">
      <w:pPr>
        <w:pStyle w:val="ListParagraph"/>
        <w:numPr>
          <w:ilvl w:val="0"/>
          <w:numId w:val="3"/>
        </w:numPr>
        <w:ind w:left="357" w:hanging="357"/>
      </w:pPr>
      <w:r w:rsidRPr="00747734">
        <w:t>encourage vivement le Conseil, le Parlement et la Commission à poursuivre l’élaboration de la protection contre les discriminations en matière d’accès aux biens et services, notamment en adoptant la proposition de directive COM(2008) 426 du 2 juillet 2008 relative à la mise en œuvre du principe de l’égalité de traitement entre les personnes sans distinction de religion ou de convictions, de handicap, d’âge ou d’orientation sexuelle.</w:t>
      </w:r>
    </w:p>
    <w:p w14:paraId="601FEAC6" w14:textId="77777777" w:rsidR="00750BF7" w:rsidRPr="00750BF7" w:rsidRDefault="00750BF7" w:rsidP="00750BF7"/>
    <w:p w14:paraId="14168BF2" w14:textId="1782368E" w:rsidR="00750BF7" w:rsidRPr="00750BF7" w:rsidRDefault="00750BF7" w:rsidP="00750BF7">
      <w:pPr>
        <w:rPr>
          <w:bCs/>
        </w:rPr>
      </w:pPr>
      <w:r>
        <w:t>De plus, le CESE:</w:t>
      </w:r>
    </w:p>
    <w:p w14:paraId="24C6AE65" w14:textId="0DED4D90" w:rsidR="00B61819" w:rsidRDefault="00750BF7" w:rsidP="0018231C">
      <w:pPr>
        <w:pStyle w:val="ListParagraph"/>
        <w:numPr>
          <w:ilvl w:val="0"/>
          <w:numId w:val="3"/>
        </w:numPr>
        <w:ind w:left="357" w:hanging="357"/>
      </w:pPr>
      <w:r>
        <w:t>regrette que le système de protection européen actuel repose essentiellement sur le recours individuel des victimes au recours juridictionnel et au droit;</w:t>
      </w:r>
    </w:p>
    <w:p w14:paraId="751D2BB6" w14:textId="5A84875F" w:rsidR="00B61819" w:rsidRDefault="00750BF7" w:rsidP="0018231C">
      <w:pPr>
        <w:pStyle w:val="ListParagraph"/>
        <w:numPr>
          <w:ilvl w:val="0"/>
          <w:numId w:val="3"/>
        </w:numPr>
        <w:ind w:left="357" w:hanging="357"/>
      </w:pPr>
      <w:r>
        <w:t>souligne que les inégalités et les discriminations complexes engendrées par les structures sociales ne peuvent se résorber que par une politique cohérente et complexe, des moyens concrets et une mobilisation dans la durée;</w:t>
      </w:r>
    </w:p>
    <w:p w14:paraId="7B22C8D8" w14:textId="7AEB6A2E" w:rsidR="00C92102" w:rsidRPr="00AB5E6A" w:rsidRDefault="00750BF7" w:rsidP="00B7530C">
      <w:pPr>
        <w:pStyle w:val="ListParagraph"/>
        <w:numPr>
          <w:ilvl w:val="0"/>
          <w:numId w:val="3"/>
        </w:numPr>
        <w:ind w:left="357" w:hanging="357"/>
      </w:pPr>
      <w:r>
        <w:t>demande le développement de la prochaine génération de mesures visant à promouvoir l’égalité en Europe, sur la base de la reconnaissance du principe général d’égalité et d’obligations positives pour le faire respecter;</w:t>
      </w:r>
    </w:p>
    <w:p w14:paraId="3CD64D40" w14:textId="6486C52A" w:rsidR="00AB5E6A" w:rsidRPr="00750BF7" w:rsidRDefault="00750BF7" w:rsidP="00B7530C">
      <w:pPr>
        <w:pStyle w:val="ListParagraph"/>
        <w:numPr>
          <w:ilvl w:val="0"/>
          <w:numId w:val="3"/>
        </w:numPr>
        <w:ind w:left="357" w:hanging="357"/>
      </w:pPr>
      <w:r>
        <w:t>souligne que les évolutions technologiques peuvent créer de nouvelles inégalités, suscitant de nouveaux besoins d’intervenir afin de garantir le suivi et l’application du principe de l’égalité de traitement;</w:t>
      </w:r>
    </w:p>
    <w:p w14:paraId="2146C516" w14:textId="644ED5F7" w:rsidR="00750BF7" w:rsidRPr="00750BF7" w:rsidRDefault="00750BF7" w:rsidP="00B7530C">
      <w:pPr>
        <w:pStyle w:val="ListParagraph"/>
        <w:numPr>
          <w:ilvl w:val="0"/>
          <w:numId w:val="3"/>
        </w:numPr>
        <w:ind w:left="357" w:hanging="357"/>
      </w:pPr>
      <w:r>
        <w:t>est favorable à des normes de l’UE qui facilitent la mise en œuvre dans les États membres d’actions collectives qui améliorent à la fois l’accès au recours juridictionnel et l’impact de celui-ci pour lutter contre les discriminations et défendre l’égalité de traitement;</w:t>
      </w:r>
    </w:p>
    <w:p w14:paraId="3F733F52" w14:textId="530A41A0" w:rsidR="00750BF7" w:rsidRPr="00750BF7" w:rsidRDefault="00750BF7" w:rsidP="00B7530C">
      <w:pPr>
        <w:pStyle w:val="ListParagraph"/>
        <w:numPr>
          <w:ilvl w:val="0"/>
          <w:numId w:val="3"/>
        </w:numPr>
        <w:ind w:left="357" w:hanging="357"/>
      </w:pPr>
      <w:r>
        <w:lastRenderedPageBreak/>
        <w:t>estime que les États membres doivent assurer la sécurité, l’égalité de traitement et la protection des acteurs politiques, syndicaux et associatifs comme corollaire de ses valeurs de démocratie, d’état de droit et de non-discrimination fondée sur les opinions politiques;</w:t>
      </w:r>
    </w:p>
    <w:p w14:paraId="4B847037" w14:textId="5D232887" w:rsidR="00750BF7" w:rsidRPr="009B70E7" w:rsidRDefault="00750BF7" w:rsidP="00B7530C">
      <w:pPr>
        <w:pStyle w:val="ListParagraph"/>
        <w:numPr>
          <w:ilvl w:val="0"/>
          <w:numId w:val="3"/>
        </w:numPr>
        <w:ind w:left="357" w:hanging="357"/>
      </w:pPr>
      <w:r>
        <w:t>appelle à l’amélioration de la capacité de tous les acteurs civiques, en particulier ceux impliqués dans la protection des droits de l’homme, à travailler avec les instruments juridiques existants et à collaborer avec les institutions publiques.</w:t>
      </w:r>
    </w:p>
    <w:p w14:paraId="007FFDAF" w14:textId="77777777" w:rsidR="00775FDA" w:rsidRPr="009B70E7" w:rsidRDefault="00775F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B44BB9" w:rsidRPr="009B70E7" w14:paraId="502899FB" w14:textId="77777777" w:rsidTr="008B66DD">
        <w:tc>
          <w:tcPr>
            <w:tcW w:w="1418" w:type="dxa"/>
          </w:tcPr>
          <w:p w14:paraId="4933D5C0" w14:textId="0167A0B6" w:rsidR="00B44BB9" w:rsidRPr="009B70E7" w:rsidRDefault="00140AB0" w:rsidP="008B66DD">
            <w:pPr>
              <w:pStyle w:val="ListParagraph"/>
              <w:ind w:left="0"/>
              <w:rPr>
                <w:i/>
              </w:rPr>
            </w:pPr>
            <w:bookmarkStart w:id="11" w:name="_Hlk111620179"/>
            <w:r>
              <w:rPr>
                <w:b/>
                <w:i/>
              </w:rPr>
              <w:t>Contact:</w:t>
            </w:r>
          </w:p>
        </w:tc>
        <w:tc>
          <w:tcPr>
            <w:tcW w:w="5670" w:type="dxa"/>
          </w:tcPr>
          <w:p w14:paraId="649C02E9" w14:textId="3D3B538F" w:rsidR="00B44BB9" w:rsidRPr="009B70E7" w:rsidRDefault="00750BF7" w:rsidP="008B66DD">
            <w:pPr>
              <w:pStyle w:val="ListParagraph"/>
              <w:ind w:left="0"/>
              <w:rPr>
                <w:i/>
              </w:rPr>
            </w:pPr>
            <w:r>
              <w:rPr>
                <w:i/>
              </w:rPr>
              <w:t>Jean-Marie ROGUE</w:t>
            </w:r>
          </w:p>
        </w:tc>
      </w:tr>
      <w:tr w:rsidR="00B44BB9" w:rsidRPr="009B70E7" w14:paraId="54638E70" w14:textId="77777777" w:rsidTr="008B66DD">
        <w:tc>
          <w:tcPr>
            <w:tcW w:w="1418" w:type="dxa"/>
          </w:tcPr>
          <w:p w14:paraId="40A81D42" w14:textId="77777777" w:rsidR="00B44BB9" w:rsidRPr="009B70E7" w:rsidRDefault="00B44BB9" w:rsidP="008B66DD">
            <w:pPr>
              <w:pStyle w:val="ListParagraph"/>
              <w:ind w:left="601"/>
              <w:rPr>
                <w:i/>
              </w:rPr>
            </w:pPr>
            <w:r>
              <w:rPr>
                <w:i/>
              </w:rPr>
              <w:t>Tél.:</w:t>
            </w:r>
          </w:p>
        </w:tc>
        <w:tc>
          <w:tcPr>
            <w:tcW w:w="5670" w:type="dxa"/>
          </w:tcPr>
          <w:p w14:paraId="0C77361C" w14:textId="07825389" w:rsidR="00B44BB9" w:rsidRPr="009B70E7" w:rsidRDefault="00B44BB9" w:rsidP="008B66DD">
            <w:pPr>
              <w:pStyle w:val="ListParagraph"/>
              <w:ind w:left="0"/>
              <w:rPr>
                <w:i/>
              </w:rPr>
            </w:pPr>
            <w:r>
              <w:rPr>
                <w:i/>
              </w:rPr>
              <w:t>+32 2 546 89,09</w:t>
            </w:r>
          </w:p>
        </w:tc>
      </w:tr>
      <w:tr w:rsidR="00B44BB9" w:rsidRPr="001D770D" w14:paraId="5FB79B0A" w14:textId="77777777" w:rsidTr="008B66DD">
        <w:tc>
          <w:tcPr>
            <w:tcW w:w="1418" w:type="dxa"/>
          </w:tcPr>
          <w:p w14:paraId="0A5C365B" w14:textId="77777777" w:rsidR="00B44BB9" w:rsidRPr="009B70E7" w:rsidRDefault="00B44BB9" w:rsidP="008B66DD">
            <w:pPr>
              <w:pStyle w:val="ListParagraph"/>
              <w:ind w:left="601"/>
              <w:rPr>
                <w:i/>
              </w:rPr>
            </w:pPr>
            <w:r>
              <w:rPr>
                <w:i/>
              </w:rPr>
              <w:t>Courriel:</w:t>
            </w:r>
          </w:p>
        </w:tc>
        <w:tc>
          <w:tcPr>
            <w:tcW w:w="5670" w:type="dxa"/>
          </w:tcPr>
          <w:p w14:paraId="0E9E0878" w14:textId="75F37B20" w:rsidR="003C0E5B" w:rsidRPr="00A23F52" w:rsidRDefault="009D65A9" w:rsidP="008B66DD">
            <w:pPr>
              <w:pStyle w:val="ListParagraph"/>
              <w:ind w:left="0"/>
              <w:rPr>
                <w:i/>
                <w:iCs/>
                <w:color w:val="0000FF"/>
                <w:szCs w:val="20"/>
                <w:u w:val="single"/>
              </w:rPr>
            </w:pPr>
            <w:hyperlink r:id="rId27" w:history="1">
              <w:r w:rsidR="007B42E2">
                <w:rPr>
                  <w:rStyle w:val="Hyperlink"/>
                  <w:i/>
                </w:rPr>
                <w:t>jeanmarie.rogue@eesc.europa.eu</w:t>
              </w:r>
            </w:hyperlink>
          </w:p>
        </w:tc>
      </w:tr>
      <w:bookmarkEnd w:id="11"/>
    </w:tbl>
    <w:p w14:paraId="6C846036" w14:textId="384F37D0" w:rsidR="002C0E2F" w:rsidRDefault="002C0E2F">
      <w:pPr>
        <w:spacing w:after="160" w:line="259" w:lineRule="auto"/>
        <w:jc w:val="left"/>
      </w:pPr>
    </w:p>
    <w:p w14:paraId="2D6BD9B3" w14:textId="2D8B509E" w:rsidR="00841374" w:rsidRPr="009B70E7" w:rsidRDefault="00A23F52">
      <w:pPr>
        <w:pStyle w:val="ListParagraph"/>
        <w:numPr>
          <w:ilvl w:val="0"/>
          <w:numId w:val="4"/>
        </w:numPr>
        <w:overflowPunct w:val="0"/>
        <w:autoSpaceDE w:val="0"/>
        <w:autoSpaceDN w:val="0"/>
        <w:adjustRightInd w:val="0"/>
        <w:ind w:left="567" w:hanging="567"/>
        <w:textAlignment w:val="baseline"/>
        <w:rPr>
          <w:b/>
          <w:i/>
          <w:sz w:val="28"/>
          <w:szCs w:val="28"/>
        </w:rPr>
      </w:pPr>
      <w:bookmarkStart w:id="12" w:name="_Hlk111623342"/>
      <w:r>
        <w:rPr>
          <w:b/>
          <w:i/>
          <w:sz w:val="28"/>
        </w:rPr>
        <w:t>Garantir une solidarité européenne forte pour les patients atteints de maladies rares</w:t>
      </w:r>
    </w:p>
    <w:p w14:paraId="1D8B7907" w14:textId="77777777" w:rsidR="00841374" w:rsidRPr="009B70E7" w:rsidRDefault="00841374" w:rsidP="0018231C">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326"/>
      </w:tblGrid>
      <w:tr w:rsidR="008946BF" w:rsidRPr="009B70E7" w14:paraId="6EA9204F" w14:textId="77777777" w:rsidTr="00D261C1">
        <w:tc>
          <w:tcPr>
            <w:tcW w:w="1657" w:type="dxa"/>
          </w:tcPr>
          <w:p w14:paraId="0AAEC296" w14:textId="77777777" w:rsidR="008946BF" w:rsidRDefault="008946BF" w:rsidP="0070677E">
            <w:pPr>
              <w:pStyle w:val="ListParagraph"/>
              <w:ind w:left="0"/>
              <w:rPr>
                <w:b/>
              </w:rPr>
            </w:pPr>
            <w:r>
              <w:rPr>
                <w:b/>
              </w:rPr>
              <w:t>Rapporteur:</w:t>
            </w:r>
          </w:p>
          <w:p w14:paraId="6D6B9B14" w14:textId="77777777" w:rsidR="008946BF" w:rsidRPr="00F63F2A" w:rsidRDefault="008946BF" w:rsidP="001513FD">
            <w:pPr>
              <w:pStyle w:val="ListParagraph"/>
              <w:ind w:left="0"/>
              <w:rPr>
                <w:b/>
                <w:sz w:val="20"/>
                <w:szCs w:val="20"/>
              </w:rPr>
            </w:pPr>
          </w:p>
        </w:tc>
        <w:tc>
          <w:tcPr>
            <w:tcW w:w="6370" w:type="dxa"/>
            <w:gridSpan w:val="2"/>
          </w:tcPr>
          <w:p w14:paraId="54293D02" w14:textId="53A697C0" w:rsidR="008946BF" w:rsidRDefault="00A23F52" w:rsidP="00DF349B">
            <w:pPr>
              <w:pStyle w:val="ListParagraph"/>
              <w:ind w:left="-108" w:right="-195"/>
            </w:pPr>
            <w:r>
              <w:t>Lutz RIBBE (groupe des organisations de la société civile — DE)</w:t>
            </w:r>
          </w:p>
          <w:p w14:paraId="4D16618C" w14:textId="77777777" w:rsidR="008946BF" w:rsidRPr="009B70E7" w:rsidRDefault="008946BF" w:rsidP="001513FD">
            <w:pPr>
              <w:pStyle w:val="ListParagraph"/>
              <w:ind w:left="-108"/>
            </w:pPr>
          </w:p>
        </w:tc>
      </w:tr>
      <w:tr w:rsidR="00841374" w:rsidRPr="009B70E7" w14:paraId="51253DAE" w14:textId="77777777" w:rsidTr="00DF349B">
        <w:tblPrEx>
          <w:tblCellMar>
            <w:left w:w="57" w:type="dxa"/>
            <w:right w:w="57" w:type="dxa"/>
          </w:tblCellMar>
        </w:tblPrEx>
        <w:tc>
          <w:tcPr>
            <w:tcW w:w="1701" w:type="dxa"/>
            <w:gridSpan w:val="2"/>
          </w:tcPr>
          <w:p w14:paraId="6949587A" w14:textId="77777777" w:rsidR="00841374" w:rsidRPr="009B70E7" w:rsidRDefault="00841374" w:rsidP="0070677E">
            <w:pPr>
              <w:pStyle w:val="ListParagraph"/>
              <w:ind w:left="79"/>
              <w:rPr>
                <w:b/>
              </w:rPr>
            </w:pPr>
            <w:r>
              <w:rPr>
                <w:b/>
              </w:rPr>
              <w:t xml:space="preserve">Référence: </w:t>
            </w:r>
          </w:p>
        </w:tc>
        <w:tc>
          <w:tcPr>
            <w:tcW w:w="6326" w:type="dxa"/>
          </w:tcPr>
          <w:p w14:paraId="3DD4422C" w14:textId="4BC64330" w:rsidR="00841374" w:rsidRPr="009B70E7" w:rsidRDefault="004B2250" w:rsidP="00407760">
            <w:pPr>
              <w:pStyle w:val="ListParagraph"/>
              <w:ind w:left="-56"/>
            </w:pPr>
            <w:r>
              <w:t>Avis d’initiative</w:t>
            </w:r>
          </w:p>
          <w:p w14:paraId="12FB6382" w14:textId="71DDAEA0" w:rsidR="00841374" w:rsidRPr="009B70E7" w:rsidRDefault="002E5473" w:rsidP="00407760">
            <w:pPr>
              <w:pStyle w:val="ListParagraph"/>
              <w:ind w:left="-56"/>
            </w:pPr>
            <w:r>
              <w:t>EESC-2022-02323-00-00-AC</w:t>
            </w:r>
          </w:p>
        </w:tc>
      </w:tr>
    </w:tbl>
    <w:p w14:paraId="1CBC12AE" w14:textId="77777777" w:rsidR="00841374" w:rsidRPr="009B70E7" w:rsidRDefault="00841374">
      <w:pPr>
        <w:pStyle w:val="ListParagraph"/>
        <w:ind w:left="0"/>
        <w:rPr>
          <w:b/>
        </w:rPr>
      </w:pPr>
    </w:p>
    <w:p w14:paraId="76256836" w14:textId="77777777" w:rsidR="00841374" w:rsidRPr="00D85D67" w:rsidRDefault="00841374" w:rsidP="009B12BE">
      <w:pPr>
        <w:pStyle w:val="ListParagraph"/>
        <w:keepNext/>
        <w:spacing w:line="240" w:lineRule="auto"/>
        <w:ind w:left="0" w:firstLine="142"/>
        <w:rPr>
          <w:b/>
        </w:rPr>
      </w:pPr>
      <w:r>
        <w:rPr>
          <w:b/>
        </w:rPr>
        <w:t>Points clés</w:t>
      </w:r>
    </w:p>
    <w:p w14:paraId="141BD901" w14:textId="77777777" w:rsidR="00841374" w:rsidRDefault="00841374" w:rsidP="009B12BE">
      <w:pPr>
        <w:pStyle w:val="ListParagraph"/>
        <w:keepNext/>
        <w:ind w:left="0"/>
      </w:pPr>
    </w:p>
    <w:p w14:paraId="0B60B8BC" w14:textId="77777777" w:rsidR="001D770D" w:rsidRPr="0070677E" w:rsidRDefault="001D770D" w:rsidP="009B12BE">
      <w:pPr>
        <w:pStyle w:val="ListParagraph"/>
        <w:keepNext/>
        <w:spacing w:line="240" w:lineRule="auto"/>
        <w:ind w:left="0" w:firstLine="142"/>
        <w:rPr>
          <w:bCs/>
        </w:rPr>
      </w:pPr>
      <w:r>
        <w:t>Le CESE:</w:t>
      </w:r>
    </w:p>
    <w:p w14:paraId="189BAEB6" w14:textId="77777777" w:rsidR="001D770D" w:rsidRPr="009B70E7" w:rsidRDefault="001D770D" w:rsidP="009B12BE">
      <w:pPr>
        <w:pStyle w:val="ListParagraph"/>
        <w:keepNext/>
        <w:ind w:left="0"/>
      </w:pPr>
    </w:p>
    <w:p w14:paraId="53A68421" w14:textId="77777777" w:rsidR="00516DE5" w:rsidRPr="00DE51C0" w:rsidRDefault="00516DE5" w:rsidP="003256C3">
      <w:pPr>
        <w:pStyle w:val="Heading2"/>
        <w:numPr>
          <w:ilvl w:val="0"/>
          <w:numId w:val="12"/>
        </w:numPr>
        <w:ind w:left="284" w:hanging="284"/>
      </w:pPr>
      <w:bookmarkStart w:id="13" w:name="_Toc120198247"/>
      <w:r w:rsidRPr="00DE51C0">
        <w:t xml:space="preserve">réaffirme </w:t>
      </w:r>
      <w:r w:rsidRPr="00DE51C0">
        <w:rPr>
          <w:b/>
          <w:bCs/>
        </w:rPr>
        <w:t>son soutien et sa solidarité aux patients atteints de maladies rares</w:t>
      </w:r>
      <w:r w:rsidRPr="00DE51C0">
        <w:t xml:space="preserve"> et leurs familles et demande à l’UE d’adopter une approche globale pour atténuer les effets des maladies rares sur la vie quotidienne, familiale et professionnelle;</w:t>
      </w:r>
      <w:bookmarkEnd w:id="13"/>
    </w:p>
    <w:p w14:paraId="3627D3E9" w14:textId="636CA126" w:rsidR="00516DE5" w:rsidRPr="00DE51C0" w:rsidRDefault="00516DE5" w:rsidP="003256C3">
      <w:pPr>
        <w:pStyle w:val="Heading2"/>
        <w:numPr>
          <w:ilvl w:val="0"/>
          <w:numId w:val="12"/>
        </w:numPr>
        <w:ind w:left="284" w:hanging="284"/>
      </w:pPr>
      <w:bookmarkStart w:id="14" w:name="_Toc120198248"/>
      <w:r w:rsidRPr="00DE51C0">
        <w:t xml:space="preserve">afin de permettre aux patients d’obtenir un diagnostic et un traitement plus rapides, suggère de </w:t>
      </w:r>
      <w:r w:rsidRPr="00DE51C0">
        <w:rPr>
          <w:b/>
          <w:bCs/>
        </w:rPr>
        <w:t>soutenir la recherche fondamentale et un espace européen des données de santé (EHDS) fondé sur le principe FAIR</w:t>
      </w:r>
      <w:r w:rsidRPr="00DE51C0">
        <w:t xml:space="preserve"> (faciles à trouver, accessibles, interopérables et réutilisables), de reconnaître et de promouvoir pleinement l’expertise d’</w:t>
      </w:r>
      <w:proofErr w:type="spellStart"/>
      <w:r w:rsidRPr="00DE51C0">
        <w:t>Orphanet</w:t>
      </w:r>
      <w:proofErr w:type="spellEnd"/>
      <w:r w:rsidRPr="00DE51C0">
        <w:t xml:space="preserve"> et de rendre son site web accessible dans toutes les langues de l’UE; préconise également d’</w:t>
      </w:r>
      <w:r w:rsidRPr="00DE51C0">
        <w:rPr>
          <w:b/>
          <w:bCs/>
        </w:rPr>
        <w:t>établir un plan d’action européen global sur les maladies rares, assorti d’objectifs SMART réalisables d’ici</w:t>
      </w:r>
      <w:r w:rsidR="009B12BE">
        <w:rPr>
          <w:b/>
          <w:bCs/>
        </w:rPr>
        <w:t> </w:t>
      </w:r>
      <w:r w:rsidRPr="00DE51C0">
        <w:rPr>
          <w:b/>
          <w:bCs/>
        </w:rPr>
        <w:t>2030</w:t>
      </w:r>
      <w:r w:rsidRPr="00DE51C0">
        <w:t>, afin de garantir que tous les patients atteints de maladies rares dans l’UE bénéficient de l’égalité des chances en matière de diagnostic, de traitement et d’une perspective globale en matière de soins intégrés. L’objectif doit être que les patients reçoivent le diagnostic de leur maladie rare dans un délai d’un an et de souligner l’importance du dépistage périnatal ou néonatal;</w:t>
      </w:r>
      <w:bookmarkEnd w:id="14"/>
      <w:r w:rsidRPr="00DE51C0">
        <w:t xml:space="preserve"> </w:t>
      </w:r>
    </w:p>
    <w:p w14:paraId="30F95708" w14:textId="77777777" w:rsidR="00516DE5" w:rsidRPr="00DE51C0" w:rsidRDefault="00516DE5" w:rsidP="003256C3">
      <w:pPr>
        <w:pStyle w:val="Heading2"/>
        <w:numPr>
          <w:ilvl w:val="0"/>
          <w:numId w:val="12"/>
        </w:numPr>
        <w:ind w:left="284" w:hanging="284"/>
      </w:pPr>
      <w:bookmarkStart w:id="15" w:name="_Toc120198249"/>
      <w:r w:rsidRPr="00DE51C0">
        <w:t>suggère d’</w:t>
      </w:r>
      <w:r w:rsidRPr="00DE51C0">
        <w:rPr>
          <w:b/>
          <w:bCs/>
        </w:rPr>
        <w:t>étendre le mandat de l’Autorité de préparation et de réaction en cas d’urgence sanitaire (HERA)</w:t>
      </w:r>
      <w:r w:rsidRPr="00DE51C0">
        <w:t xml:space="preserve"> ou de l’utiliser comme modèle pour créer une nouvelle autorité européenne </w:t>
      </w:r>
      <w:r w:rsidRPr="00DE51C0">
        <w:rPr>
          <w:b/>
          <w:bCs/>
        </w:rPr>
        <w:t>pour les maladies non transmissibles</w:t>
      </w:r>
      <w:r w:rsidRPr="00DE51C0">
        <w:t xml:space="preserve"> qui favoriserait la coordination et la solidarité en matière de maladies rares;</w:t>
      </w:r>
      <w:bookmarkEnd w:id="15"/>
      <w:r w:rsidRPr="00DE51C0">
        <w:t xml:space="preserve"> </w:t>
      </w:r>
    </w:p>
    <w:p w14:paraId="688C8906" w14:textId="77777777" w:rsidR="00516DE5" w:rsidRPr="00DE51C0" w:rsidRDefault="00516DE5" w:rsidP="003256C3">
      <w:pPr>
        <w:pStyle w:val="Heading2"/>
        <w:numPr>
          <w:ilvl w:val="0"/>
          <w:numId w:val="12"/>
        </w:numPr>
        <w:ind w:left="284" w:hanging="284"/>
      </w:pPr>
      <w:bookmarkStart w:id="16" w:name="_Toc120198250"/>
      <w:r w:rsidRPr="00DE51C0">
        <w:t xml:space="preserve">recommande au </w:t>
      </w:r>
      <w:r w:rsidRPr="00DE51C0">
        <w:rPr>
          <w:b/>
          <w:bCs/>
        </w:rPr>
        <w:t>prochain trio de présidences (2023-2024), composé de l’Espagne, de la Belgique et de la Hongrie, de continuer à faire figurer la politique en matière de maladies rares parmi ses préoccupations</w:t>
      </w:r>
      <w:r w:rsidRPr="00DE51C0">
        <w:t>, compte tenu de l’évaluation des RER en 2022 et de l’engagement pris par la Commission de réviser sa stratégie sur les maladies rares d’ici le début de 2023;</w:t>
      </w:r>
      <w:bookmarkEnd w:id="16"/>
    </w:p>
    <w:p w14:paraId="72719114" w14:textId="77777777" w:rsidR="00516DE5" w:rsidRPr="00DE51C0" w:rsidRDefault="00516DE5" w:rsidP="003256C3">
      <w:pPr>
        <w:pStyle w:val="Heading2"/>
        <w:numPr>
          <w:ilvl w:val="0"/>
          <w:numId w:val="12"/>
        </w:numPr>
        <w:ind w:left="284" w:hanging="284"/>
      </w:pPr>
      <w:bookmarkStart w:id="17" w:name="_Toc120198251"/>
      <w:r w:rsidRPr="00DE51C0">
        <w:t xml:space="preserve">demande que le </w:t>
      </w:r>
      <w:r w:rsidRPr="00DE51C0">
        <w:rPr>
          <w:b/>
          <w:bCs/>
        </w:rPr>
        <w:t>fonctionnement des RER soit optimisé et qu’ils soient intégrés dans l’ensemble de l’Union européenne et dans les systèmes de soins de santé</w:t>
      </w:r>
      <w:r w:rsidRPr="00DE51C0">
        <w:t xml:space="preserve"> des États membres;</w:t>
      </w:r>
      <w:bookmarkEnd w:id="17"/>
    </w:p>
    <w:p w14:paraId="09D7ADAC" w14:textId="77777777" w:rsidR="00516DE5" w:rsidRPr="00DE51C0" w:rsidRDefault="00516DE5" w:rsidP="003256C3">
      <w:pPr>
        <w:pStyle w:val="Heading2"/>
        <w:numPr>
          <w:ilvl w:val="0"/>
          <w:numId w:val="12"/>
        </w:numPr>
        <w:ind w:left="284" w:hanging="284"/>
      </w:pPr>
      <w:bookmarkStart w:id="18" w:name="_Toc120198252"/>
      <w:r w:rsidRPr="00DE51C0">
        <w:lastRenderedPageBreak/>
        <w:t xml:space="preserve">recommande qu’une réflexion soit menée quant à la possibilité de </w:t>
      </w:r>
      <w:r w:rsidRPr="00DE51C0">
        <w:rPr>
          <w:b/>
          <w:bCs/>
        </w:rPr>
        <w:t>créer un fonds financier spécial de l’UE</w:t>
      </w:r>
      <w:r w:rsidRPr="00DE51C0">
        <w:t xml:space="preserve"> auquel les États membres contribueraient et dont ils bénéficieraient en fonction de leur capacité financière, afin de garantir l’accès à un traitement pour tous les patients atteints de maladies rares en Europe, en particulier ceux dont les besoins médicaux ne sont pas satisfaits, et d’assurer ainsi une véritable solidarité au sein de l’Union;</w:t>
      </w:r>
      <w:bookmarkEnd w:id="18"/>
    </w:p>
    <w:p w14:paraId="322E4746" w14:textId="77777777" w:rsidR="00516DE5" w:rsidRPr="00DE51C0" w:rsidRDefault="00516DE5" w:rsidP="003256C3">
      <w:pPr>
        <w:pStyle w:val="Heading2"/>
        <w:numPr>
          <w:ilvl w:val="0"/>
          <w:numId w:val="12"/>
        </w:numPr>
        <w:ind w:left="284" w:hanging="284"/>
      </w:pPr>
      <w:bookmarkStart w:id="19" w:name="_Toc120198253"/>
      <w:r w:rsidRPr="00DE51C0">
        <w:t xml:space="preserve">recommande de </w:t>
      </w:r>
      <w:r w:rsidRPr="00DE51C0">
        <w:rPr>
          <w:b/>
          <w:bCs/>
        </w:rPr>
        <w:t>mener des études sur la possibilité de recourir à un fonds de solidarité pour les maladies rares, en particulier celles qui ne sont pas couvertes par les RER</w:t>
      </w:r>
      <w:r w:rsidRPr="00DE51C0">
        <w:t>. Un tel fonds peut constituer un complément utile lorsque l’assurance maladie obligatoire ne couvre pas les coûts de traitement de maladies complexes ou rares ou des soins transfrontières, et le CESE estime qu’une mutualisation au niveau européen est une nécessité.</w:t>
      </w:r>
      <w:bookmarkEnd w:id="19"/>
    </w:p>
    <w:p w14:paraId="3B0FA7A1" w14:textId="77777777" w:rsidR="00841374" w:rsidRPr="009B70E7" w:rsidRDefault="0084137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841374" w:rsidRPr="009B70E7" w14:paraId="50A403EE" w14:textId="77777777" w:rsidTr="00841374">
        <w:tc>
          <w:tcPr>
            <w:tcW w:w="1418" w:type="dxa"/>
          </w:tcPr>
          <w:p w14:paraId="629E9BA9" w14:textId="77777777" w:rsidR="00841374" w:rsidRPr="009B70E7" w:rsidRDefault="00841374">
            <w:pPr>
              <w:pStyle w:val="ListParagraph"/>
              <w:ind w:left="0"/>
              <w:rPr>
                <w:i/>
              </w:rPr>
            </w:pPr>
            <w:r>
              <w:rPr>
                <w:b/>
                <w:i/>
              </w:rPr>
              <w:t>Contact:</w:t>
            </w:r>
          </w:p>
        </w:tc>
        <w:tc>
          <w:tcPr>
            <w:tcW w:w="5670" w:type="dxa"/>
          </w:tcPr>
          <w:p w14:paraId="79C689DE" w14:textId="16C6445B" w:rsidR="00841374" w:rsidRPr="009B70E7" w:rsidRDefault="00A23F52">
            <w:pPr>
              <w:pStyle w:val="ListParagraph"/>
              <w:ind w:left="0"/>
              <w:rPr>
                <w:i/>
              </w:rPr>
            </w:pPr>
            <w:r>
              <w:rPr>
                <w:i/>
              </w:rPr>
              <w:t>Valeria Atzori</w:t>
            </w:r>
          </w:p>
        </w:tc>
      </w:tr>
      <w:tr w:rsidR="00841374" w:rsidRPr="009B70E7" w14:paraId="6334FCD6" w14:textId="77777777" w:rsidTr="00841374">
        <w:tc>
          <w:tcPr>
            <w:tcW w:w="1418" w:type="dxa"/>
          </w:tcPr>
          <w:p w14:paraId="3F37AC16" w14:textId="77777777" w:rsidR="00841374" w:rsidRPr="009B70E7" w:rsidRDefault="00841374">
            <w:pPr>
              <w:pStyle w:val="ListParagraph"/>
              <w:ind w:left="601"/>
              <w:rPr>
                <w:i/>
              </w:rPr>
            </w:pPr>
            <w:r>
              <w:rPr>
                <w:i/>
              </w:rPr>
              <w:t>Tél.:</w:t>
            </w:r>
          </w:p>
        </w:tc>
        <w:tc>
          <w:tcPr>
            <w:tcW w:w="5670" w:type="dxa"/>
          </w:tcPr>
          <w:p w14:paraId="55D18DAD" w14:textId="3B3F5183" w:rsidR="00841374" w:rsidRPr="009B70E7" w:rsidRDefault="00A06E9E">
            <w:pPr>
              <w:pStyle w:val="ListParagraph"/>
              <w:ind w:left="0"/>
              <w:rPr>
                <w:i/>
              </w:rPr>
            </w:pPr>
            <w:r>
              <w:rPr>
                <w:i/>
              </w:rPr>
              <w:t>+32 2 546 8774</w:t>
            </w:r>
          </w:p>
        </w:tc>
      </w:tr>
      <w:tr w:rsidR="00841374" w:rsidRPr="001D770D" w14:paraId="2EB3D256" w14:textId="77777777" w:rsidTr="00516DE5">
        <w:tc>
          <w:tcPr>
            <w:tcW w:w="1418" w:type="dxa"/>
          </w:tcPr>
          <w:p w14:paraId="02D49987" w14:textId="77777777" w:rsidR="00841374" w:rsidRPr="009B70E7" w:rsidRDefault="00841374">
            <w:pPr>
              <w:pStyle w:val="ListParagraph"/>
              <w:ind w:left="601"/>
              <w:rPr>
                <w:i/>
              </w:rPr>
            </w:pPr>
            <w:r>
              <w:rPr>
                <w:i/>
              </w:rPr>
              <w:t>Courriel:</w:t>
            </w:r>
          </w:p>
        </w:tc>
        <w:tc>
          <w:tcPr>
            <w:tcW w:w="5670" w:type="dxa"/>
          </w:tcPr>
          <w:p w14:paraId="31128638" w14:textId="04426378" w:rsidR="00841374" w:rsidRPr="00A23F52" w:rsidRDefault="009D65A9">
            <w:pPr>
              <w:pStyle w:val="ListParagraph"/>
              <w:ind w:left="0"/>
              <w:rPr>
                <w:i/>
                <w:iCs/>
              </w:rPr>
            </w:pPr>
            <w:hyperlink r:id="rId28" w:history="1">
              <w:r w:rsidR="00516DE5" w:rsidRPr="00A23F52">
                <w:rPr>
                  <w:rStyle w:val="Hyperlink"/>
                  <w:i/>
                  <w:iCs/>
                </w:rPr>
                <w:t>Valeria.Atzori</w:t>
              </w:r>
              <w:r w:rsidR="00516DE5" w:rsidRPr="00A23F52">
                <w:rPr>
                  <w:rStyle w:val="Hyperlink"/>
                  <w:i/>
                  <w:iCs/>
                  <w:szCs w:val="20"/>
                </w:rPr>
                <w:t>@eesc.europa.eu</w:t>
              </w:r>
            </w:hyperlink>
          </w:p>
        </w:tc>
      </w:tr>
      <w:bookmarkEnd w:id="12"/>
    </w:tbl>
    <w:p w14:paraId="5F1674CB" w14:textId="69AE4096" w:rsidR="00276CC9" w:rsidRDefault="00276CC9" w:rsidP="002A2F38">
      <w:pPr>
        <w:pStyle w:val="ListParagraph"/>
        <w:ind w:left="1134"/>
        <w:rPr>
          <w:sz w:val="28"/>
        </w:rPr>
      </w:pPr>
    </w:p>
    <w:p w14:paraId="098AF87E" w14:textId="6204C805" w:rsidR="004B2250" w:rsidRPr="009B70E7" w:rsidRDefault="00A23F52" w:rsidP="004B2250">
      <w:pPr>
        <w:pStyle w:val="ListParagraph"/>
        <w:numPr>
          <w:ilvl w:val="0"/>
          <w:numId w:val="4"/>
        </w:numPr>
        <w:overflowPunct w:val="0"/>
        <w:autoSpaceDE w:val="0"/>
        <w:autoSpaceDN w:val="0"/>
        <w:adjustRightInd w:val="0"/>
        <w:ind w:left="567" w:hanging="567"/>
        <w:textAlignment w:val="baseline"/>
        <w:rPr>
          <w:b/>
          <w:i/>
          <w:sz w:val="28"/>
          <w:szCs w:val="28"/>
        </w:rPr>
      </w:pPr>
      <w:bookmarkStart w:id="20" w:name="_Hlk113970131"/>
      <w:r>
        <w:rPr>
          <w:b/>
          <w:i/>
          <w:sz w:val="28"/>
        </w:rPr>
        <w:t>Prise en charge familiale des personnes handicapées et âgées</w:t>
      </w:r>
    </w:p>
    <w:p w14:paraId="336BB3EB" w14:textId="77777777" w:rsidR="004B2250" w:rsidRPr="009B70E7" w:rsidRDefault="004B2250" w:rsidP="004B2250">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7039"/>
      </w:tblGrid>
      <w:tr w:rsidR="004B2250" w:rsidRPr="009B70E7" w14:paraId="38539BEE" w14:textId="77777777" w:rsidTr="00D261C1">
        <w:tc>
          <w:tcPr>
            <w:tcW w:w="1657" w:type="dxa"/>
          </w:tcPr>
          <w:p w14:paraId="45E21669" w14:textId="77777777" w:rsidR="004B2250" w:rsidRDefault="004B2250" w:rsidP="0070677E">
            <w:pPr>
              <w:pStyle w:val="ListParagraph"/>
              <w:ind w:left="0"/>
              <w:rPr>
                <w:b/>
              </w:rPr>
            </w:pPr>
            <w:r>
              <w:rPr>
                <w:b/>
              </w:rPr>
              <w:t>Rapporteur:</w:t>
            </w:r>
          </w:p>
          <w:p w14:paraId="0D82A465" w14:textId="77777777" w:rsidR="004B2250" w:rsidRPr="00F63F2A" w:rsidRDefault="004B2250" w:rsidP="00DA68E9">
            <w:pPr>
              <w:pStyle w:val="ListParagraph"/>
              <w:ind w:left="0"/>
              <w:rPr>
                <w:b/>
                <w:sz w:val="20"/>
                <w:szCs w:val="20"/>
              </w:rPr>
            </w:pPr>
          </w:p>
        </w:tc>
        <w:tc>
          <w:tcPr>
            <w:tcW w:w="7083" w:type="dxa"/>
            <w:gridSpan w:val="2"/>
          </w:tcPr>
          <w:p w14:paraId="67E97FE5" w14:textId="5195A3D0" w:rsidR="004B2250" w:rsidRDefault="004B2250" w:rsidP="00DA68E9">
            <w:pPr>
              <w:pStyle w:val="ListParagraph"/>
              <w:ind w:left="-108" w:right="-195"/>
            </w:pPr>
            <w:r>
              <w:t>Pietro Vittorio BARBIERI (groupe des organisations de la société civile — IT)</w:t>
            </w:r>
          </w:p>
          <w:p w14:paraId="03DC5FCB" w14:textId="77777777" w:rsidR="004B2250" w:rsidRPr="009B70E7" w:rsidRDefault="004B2250" w:rsidP="00DA68E9">
            <w:pPr>
              <w:pStyle w:val="ListParagraph"/>
              <w:ind w:left="-108"/>
            </w:pPr>
          </w:p>
        </w:tc>
      </w:tr>
      <w:tr w:rsidR="004B2250" w:rsidRPr="009B70E7" w14:paraId="51BCE31B" w14:textId="77777777" w:rsidTr="00A23F52">
        <w:tblPrEx>
          <w:tblCellMar>
            <w:left w:w="57" w:type="dxa"/>
            <w:right w:w="57" w:type="dxa"/>
          </w:tblCellMar>
        </w:tblPrEx>
        <w:tc>
          <w:tcPr>
            <w:tcW w:w="1701" w:type="dxa"/>
            <w:gridSpan w:val="2"/>
          </w:tcPr>
          <w:p w14:paraId="7A91C13D" w14:textId="77777777" w:rsidR="004B2250" w:rsidRPr="009B70E7" w:rsidRDefault="004B2250" w:rsidP="0070677E">
            <w:pPr>
              <w:pStyle w:val="ListParagraph"/>
              <w:ind w:left="0"/>
              <w:rPr>
                <w:b/>
              </w:rPr>
            </w:pPr>
            <w:r>
              <w:rPr>
                <w:b/>
              </w:rPr>
              <w:t xml:space="preserve">Référence: </w:t>
            </w:r>
          </w:p>
        </w:tc>
        <w:tc>
          <w:tcPr>
            <w:tcW w:w="7039" w:type="dxa"/>
          </w:tcPr>
          <w:p w14:paraId="44AF41D0" w14:textId="2F9D2502" w:rsidR="004B2250" w:rsidRPr="009B70E7" w:rsidRDefault="00A23F52" w:rsidP="00DA68E9">
            <w:pPr>
              <w:pStyle w:val="ListParagraph"/>
              <w:ind w:left="-56"/>
            </w:pPr>
            <w:r>
              <w:t>Avis d’initiative</w:t>
            </w:r>
          </w:p>
          <w:p w14:paraId="127C9DC2" w14:textId="10A57112" w:rsidR="004B2250" w:rsidRPr="009B70E7" w:rsidRDefault="004B2250" w:rsidP="00DA68E9">
            <w:pPr>
              <w:pStyle w:val="ListParagraph"/>
              <w:ind w:left="-56"/>
            </w:pPr>
            <w:r>
              <w:t>EESC-2022-02936-00-00-AC</w:t>
            </w:r>
          </w:p>
        </w:tc>
      </w:tr>
    </w:tbl>
    <w:p w14:paraId="56617586" w14:textId="77777777" w:rsidR="004B2250" w:rsidRPr="009B70E7" w:rsidRDefault="004B2250" w:rsidP="004B2250">
      <w:pPr>
        <w:pStyle w:val="ListParagraph"/>
        <w:ind w:left="0"/>
        <w:rPr>
          <w:b/>
        </w:rPr>
      </w:pPr>
    </w:p>
    <w:p w14:paraId="6AD82CE8" w14:textId="22721BFB" w:rsidR="004B2250" w:rsidRDefault="004B2250" w:rsidP="00D261C1">
      <w:pPr>
        <w:pStyle w:val="ListParagraph"/>
        <w:keepNext/>
        <w:spacing w:line="240" w:lineRule="auto"/>
        <w:ind w:left="0" w:firstLine="142"/>
        <w:rPr>
          <w:b/>
        </w:rPr>
      </w:pPr>
      <w:r>
        <w:rPr>
          <w:b/>
        </w:rPr>
        <w:t>Points clés</w:t>
      </w:r>
    </w:p>
    <w:p w14:paraId="0EA81E8A" w14:textId="77777777" w:rsidR="00D91EA9" w:rsidRPr="00C65A95" w:rsidRDefault="00D91EA9" w:rsidP="00D261C1">
      <w:pPr>
        <w:pStyle w:val="ListParagraph"/>
        <w:keepNext/>
        <w:spacing w:line="240" w:lineRule="auto"/>
        <w:ind w:left="-142" w:firstLine="142"/>
        <w:rPr>
          <w:b/>
        </w:rPr>
      </w:pPr>
    </w:p>
    <w:p w14:paraId="023FBE3D" w14:textId="77777777" w:rsidR="004B2250" w:rsidRPr="0070677E" w:rsidRDefault="004B2250" w:rsidP="00D261C1">
      <w:pPr>
        <w:pStyle w:val="ListParagraph"/>
        <w:keepNext/>
        <w:spacing w:line="240" w:lineRule="auto"/>
        <w:ind w:left="0" w:firstLine="142"/>
        <w:rPr>
          <w:bCs/>
        </w:rPr>
      </w:pPr>
      <w:r>
        <w:t>Le CESE:</w:t>
      </w:r>
    </w:p>
    <w:p w14:paraId="6271EAAC" w14:textId="77777777" w:rsidR="004B2250" w:rsidRPr="009B70E7" w:rsidRDefault="004B2250" w:rsidP="00D261C1">
      <w:pPr>
        <w:pStyle w:val="ListParagraph"/>
        <w:keepNext/>
        <w:ind w:left="0"/>
      </w:pPr>
    </w:p>
    <w:p w14:paraId="4744B163" w14:textId="2151CD07" w:rsidR="004B2250" w:rsidRPr="009B70E7" w:rsidRDefault="00A23F52" w:rsidP="004B2250">
      <w:pPr>
        <w:pStyle w:val="ListParagraph"/>
        <w:numPr>
          <w:ilvl w:val="0"/>
          <w:numId w:val="3"/>
        </w:numPr>
        <w:ind w:left="357" w:hanging="357"/>
      </w:pPr>
      <w:r>
        <w:t xml:space="preserve">estime que la pandémie de COVID-19 a rendu indispensable </w:t>
      </w:r>
      <w:r>
        <w:rPr>
          <w:b/>
        </w:rPr>
        <w:t>l’adoption de mesures structurelles au titre des politiques et des services d’ordre social visant à améliorer les conditions de vie des personnes qui dispensent des soins de longue durée à des proches</w:t>
      </w:r>
      <w:r>
        <w:t xml:space="preserve"> handicapés ou bien souffrant de maladies chroniques ou dégénératives</w:t>
      </w:r>
    </w:p>
    <w:p w14:paraId="3155F8D5" w14:textId="35BABE66" w:rsidR="004B2250" w:rsidRPr="009B70E7" w:rsidRDefault="00A23F52" w:rsidP="004B2250">
      <w:pPr>
        <w:pStyle w:val="ListParagraph"/>
        <w:numPr>
          <w:ilvl w:val="0"/>
          <w:numId w:val="3"/>
        </w:numPr>
        <w:ind w:left="357" w:hanging="357"/>
      </w:pPr>
      <w:r>
        <w:t xml:space="preserve">souligne la nécessité de </w:t>
      </w:r>
      <w:r>
        <w:rPr>
          <w:b/>
        </w:rPr>
        <w:t>convenir d’une définition commune du rôle et de la situation d’un membre de la famille qui dispense des soins de longue durée</w:t>
      </w:r>
      <w:r>
        <w:t xml:space="preserve"> à un parent, et de réaliser des études sociologiques et des statistiques plus approfondies</w:t>
      </w:r>
    </w:p>
    <w:p w14:paraId="35872D8A" w14:textId="3C819C12" w:rsidR="00C65A95" w:rsidRDefault="00A23F52" w:rsidP="004B2250">
      <w:pPr>
        <w:pStyle w:val="ListParagraph"/>
        <w:numPr>
          <w:ilvl w:val="0"/>
          <w:numId w:val="3"/>
        </w:numPr>
        <w:ind w:left="357" w:hanging="357"/>
      </w:pPr>
      <w:r>
        <w:t xml:space="preserve">estime que </w:t>
      </w:r>
      <w:r>
        <w:rPr>
          <w:b/>
        </w:rPr>
        <w:t>chaque mesure</w:t>
      </w:r>
      <w:r>
        <w:t xml:space="preserve"> dans ce domaine devrait être prise conjointement par </w:t>
      </w:r>
      <w:r>
        <w:rPr>
          <w:b/>
        </w:rPr>
        <w:t>les politiques publiques, les employeurs</w:t>
      </w:r>
      <w:r>
        <w:t xml:space="preserve"> dans le cadre du dialogue social, </w:t>
      </w:r>
      <w:r>
        <w:rPr>
          <w:b/>
        </w:rPr>
        <w:t>les aidants familiaux</w:t>
      </w:r>
      <w:r>
        <w:t xml:space="preserve"> eux-mêmes et les organisations qui les représentent</w:t>
      </w:r>
    </w:p>
    <w:p w14:paraId="534D3E85" w14:textId="4831200F" w:rsidR="00A23F52" w:rsidRPr="00A23F52" w:rsidRDefault="00A23F52" w:rsidP="004B2250">
      <w:pPr>
        <w:pStyle w:val="ListParagraph"/>
        <w:numPr>
          <w:ilvl w:val="0"/>
          <w:numId w:val="3"/>
        </w:numPr>
        <w:ind w:left="357" w:hanging="357"/>
      </w:pPr>
      <w:r>
        <w:t>estime essentiel de garantir aux aidants familiaux des services de protection sanitaire adéquats, notamment des soins de santé préventifs, ainsi qu’une formation spécifique sur la manière de prendre soin de leur propre santé, des mesures de soutien en matière de logement, des prestations à domicile mettant particulièrement l’accent sur les besoins en matière de santé et de soins infirmiers, ainsi que des dispositifs d’aide psychologique destinés à l’aidant et à son entourage familial</w:t>
      </w:r>
    </w:p>
    <w:p w14:paraId="1FA7ACDA" w14:textId="0E56EC9D" w:rsidR="00A23F52" w:rsidRDefault="00A23F52" w:rsidP="004B2250">
      <w:pPr>
        <w:pStyle w:val="ListParagraph"/>
        <w:numPr>
          <w:ilvl w:val="0"/>
          <w:numId w:val="3"/>
        </w:numPr>
        <w:ind w:left="357" w:hanging="357"/>
      </w:pPr>
      <w:r>
        <w:t xml:space="preserve">soutenir le renforcement et l’adaptation </w:t>
      </w:r>
      <w:r>
        <w:rPr>
          <w:b/>
        </w:rPr>
        <w:t>du droit à d’autres formes de rémunération</w:t>
      </w:r>
      <w:r>
        <w:t xml:space="preserve"> pour les personnes contraintes de renoncer à un emploi afin de fournir des soins de longue durée à un membre de leur famille</w:t>
      </w:r>
    </w:p>
    <w:p w14:paraId="37BFFC82" w14:textId="5B27DD00" w:rsidR="00A23F52" w:rsidRDefault="00A23F52" w:rsidP="004B2250">
      <w:pPr>
        <w:pStyle w:val="ListParagraph"/>
        <w:numPr>
          <w:ilvl w:val="0"/>
          <w:numId w:val="3"/>
        </w:numPr>
        <w:ind w:left="357" w:hanging="357"/>
      </w:pPr>
      <w:r>
        <w:t xml:space="preserve">demande que des mesures soient prises pour </w:t>
      </w:r>
      <w:r>
        <w:rPr>
          <w:b/>
        </w:rPr>
        <w:t>atténuer les inégalités entre les hommes et les femmes</w:t>
      </w:r>
      <w:r>
        <w:t xml:space="preserve"> qui touchent les aidants familiaux</w:t>
      </w:r>
    </w:p>
    <w:p w14:paraId="235624A4" w14:textId="382DBDED" w:rsidR="00A23F52" w:rsidRDefault="00A23F52" w:rsidP="004B2250">
      <w:pPr>
        <w:pStyle w:val="ListParagraph"/>
        <w:numPr>
          <w:ilvl w:val="0"/>
          <w:numId w:val="3"/>
        </w:numPr>
        <w:ind w:left="357" w:hanging="357"/>
      </w:pPr>
      <w:r>
        <w:lastRenderedPageBreak/>
        <w:t xml:space="preserve">demande la création d’une </w:t>
      </w:r>
      <w:r>
        <w:rPr>
          <w:b/>
        </w:rPr>
        <w:t>Journée européenne des aidants familiaux</w:t>
      </w:r>
      <w:r>
        <w:t>, dans le but de sensibiliser à cette question et d’encourager des politiques et des mesures de soutien appropriées</w:t>
      </w:r>
    </w:p>
    <w:p w14:paraId="4DDBFD92" w14:textId="545AD5C2" w:rsidR="00A23F52" w:rsidRDefault="00A23F52" w:rsidP="004B2250">
      <w:pPr>
        <w:pStyle w:val="ListParagraph"/>
        <w:numPr>
          <w:ilvl w:val="0"/>
          <w:numId w:val="3"/>
        </w:numPr>
        <w:ind w:left="357" w:hanging="357"/>
      </w:pPr>
      <w:r>
        <w:t xml:space="preserve">estime essentiel de </w:t>
      </w:r>
      <w:r>
        <w:rPr>
          <w:b/>
        </w:rPr>
        <w:t>fournir aux personnes handicapées des services leur permettant de vivre de manière autonome</w:t>
      </w:r>
      <w:r>
        <w:t>, en dehors de leur unité familiale d’origine</w:t>
      </w:r>
    </w:p>
    <w:p w14:paraId="3BC74C44" w14:textId="48CA0F20" w:rsidR="00A23F52" w:rsidRDefault="00A23F52" w:rsidP="004B2250">
      <w:pPr>
        <w:pStyle w:val="ListParagraph"/>
        <w:numPr>
          <w:ilvl w:val="0"/>
          <w:numId w:val="3"/>
        </w:numPr>
        <w:ind w:left="357" w:hanging="357"/>
      </w:pPr>
      <w:r>
        <w:t xml:space="preserve">invite </w:t>
      </w:r>
      <w:r>
        <w:rPr>
          <w:b/>
        </w:rPr>
        <w:t>les États membres à envisager l’adoption de mesures financières destinées à lutter contre le risque d’appauvrissement des aidants familiaux</w:t>
      </w:r>
      <w:r>
        <w:t xml:space="preserve"> contraints de renoncer à un emploi rémunéré ou de réduire leur temps de travail pour fournir des soins de longue durée à leurs proches</w:t>
      </w:r>
    </w:p>
    <w:p w14:paraId="0AB32B59" w14:textId="2E6F1499" w:rsidR="00A23F52" w:rsidRDefault="00A23F52" w:rsidP="004B2250">
      <w:pPr>
        <w:pStyle w:val="ListParagraph"/>
        <w:numPr>
          <w:ilvl w:val="0"/>
          <w:numId w:val="3"/>
        </w:numPr>
        <w:ind w:left="357" w:hanging="357"/>
      </w:pPr>
      <w:r>
        <w:t xml:space="preserve">invite les États membres à </w:t>
      </w:r>
      <w:r>
        <w:rPr>
          <w:b/>
        </w:rPr>
        <w:t>encourager</w:t>
      </w:r>
      <w:r>
        <w:t xml:space="preserve"> dans leurs politiques </w:t>
      </w:r>
      <w:r>
        <w:rPr>
          <w:b/>
        </w:rPr>
        <w:t>des services d’assistance à long terme qui soient de qualité</w:t>
      </w:r>
      <w:r>
        <w:t>.</w:t>
      </w:r>
    </w:p>
    <w:p w14:paraId="5E5A5040" w14:textId="1C654747" w:rsidR="004B2250" w:rsidRPr="009B70E7" w:rsidRDefault="00A23F52" w:rsidP="004B2250">
      <w:pPr>
        <w:pStyle w:val="ListParagraph"/>
        <w:numPr>
          <w:ilvl w:val="0"/>
          <w:numId w:val="3"/>
        </w:numPr>
        <w:ind w:left="357" w:hanging="357"/>
      </w:pPr>
      <w:r>
        <w:t xml:space="preserve">invite à </w:t>
      </w:r>
      <w:r>
        <w:rPr>
          <w:b/>
        </w:rPr>
        <w:t>soutenir les employeurs qui promeuvent des formules souples de travail et des avantages sociaux</w:t>
      </w:r>
      <w:r>
        <w:t xml:space="preserve"> pour les aidants familiaux</w:t>
      </w:r>
    </w:p>
    <w:p w14:paraId="49C58F40" w14:textId="1C896192" w:rsidR="004B2250" w:rsidRDefault="004B2250" w:rsidP="004B22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A23F52" w:rsidRPr="009B70E7" w14:paraId="3A6D6E24" w14:textId="77777777" w:rsidTr="00616C87">
        <w:tc>
          <w:tcPr>
            <w:tcW w:w="1418" w:type="dxa"/>
          </w:tcPr>
          <w:p w14:paraId="152A27CB" w14:textId="24DD44DA" w:rsidR="00A23F52" w:rsidRPr="009B70E7" w:rsidRDefault="00140AB0" w:rsidP="00616C87">
            <w:pPr>
              <w:pStyle w:val="ListParagraph"/>
              <w:ind w:left="0"/>
              <w:rPr>
                <w:i/>
              </w:rPr>
            </w:pPr>
            <w:r>
              <w:rPr>
                <w:b/>
                <w:i/>
              </w:rPr>
              <w:t>Contact:</w:t>
            </w:r>
          </w:p>
        </w:tc>
        <w:tc>
          <w:tcPr>
            <w:tcW w:w="5670" w:type="dxa"/>
          </w:tcPr>
          <w:p w14:paraId="0D45662C" w14:textId="77777777" w:rsidR="00A23F52" w:rsidRPr="009B70E7" w:rsidRDefault="00A23F52" w:rsidP="00616C87">
            <w:pPr>
              <w:pStyle w:val="ListParagraph"/>
              <w:ind w:left="0"/>
              <w:rPr>
                <w:i/>
              </w:rPr>
            </w:pPr>
            <w:r>
              <w:rPr>
                <w:i/>
              </w:rPr>
              <w:t>Valeria Atzori</w:t>
            </w:r>
          </w:p>
        </w:tc>
      </w:tr>
      <w:tr w:rsidR="00A23F52" w:rsidRPr="009B70E7" w14:paraId="3ABCA2DE" w14:textId="77777777" w:rsidTr="00616C87">
        <w:tc>
          <w:tcPr>
            <w:tcW w:w="1418" w:type="dxa"/>
          </w:tcPr>
          <w:p w14:paraId="132731D9" w14:textId="77777777" w:rsidR="00A23F52" w:rsidRPr="009B70E7" w:rsidRDefault="00A23F52" w:rsidP="00616C87">
            <w:pPr>
              <w:pStyle w:val="ListParagraph"/>
              <w:ind w:left="601"/>
              <w:rPr>
                <w:i/>
              </w:rPr>
            </w:pPr>
            <w:r>
              <w:rPr>
                <w:i/>
              </w:rPr>
              <w:t>Tél.:</w:t>
            </w:r>
          </w:p>
        </w:tc>
        <w:tc>
          <w:tcPr>
            <w:tcW w:w="5670" w:type="dxa"/>
          </w:tcPr>
          <w:p w14:paraId="61B01258" w14:textId="77777777" w:rsidR="00A23F52" w:rsidRPr="009B70E7" w:rsidRDefault="00A23F52" w:rsidP="00616C87">
            <w:pPr>
              <w:pStyle w:val="ListParagraph"/>
              <w:ind w:left="0"/>
              <w:rPr>
                <w:i/>
              </w:rPr>
            </w:pPr>
            <w:r>
              <w:rPr>
                <w:i/>
              </w:rPr>
              <w:t>+32 2 546 8774</w:t>
            </w:r>
          </w:p>
        </w:tc>
      </w:tr>
      <w:tr w:rsidR="00A23F52" w:rsidRPr="00A23F52" w14:paraId="6DDDCF8C" w14:textId="77777777" w:rsidTr="00C26CE3">
        <w:tc>
          <w:tcPr>
            <w:tcW w:w="1418" w:type="dxa"/>
          </w:tcPr>
          <w:p w14:paraId="71C103E0" w14:textId="77777777" w:rsidR="00A23F52" w:rsidRPr="009B70E7" w:rsidRDefault="00A23F52" w:rsidP="00616C87">
            <w:pPr>
              <w:pStyle w:val="ListParagraph"/>
              <w:ind w:left="601"/>
              <w:rPr>
                <w:i/>
              </w:rPr>
            </w:pPr>
            <w:r>
              <w:rPr>
                <w:i/>
              </w:rPr>
              <w:t>Courriel:</w:t>
            </w:r>
          </w:p>
        </w:tc>
        <w:tc>
          <w:tcPr>
            <w:tcW w:w="5670" w:type="dxa"/>
          </w:tcPr>
          <w:p w14:paraId="14BE916D" w14:textId="0A77CBA4" w:rsidR="00A23F52" w:rsidRPr="00A23F52" w:rsidRDefault="009D65A9" w:rsidP="00616C87">
            <w:pPr>
              <w:pStyle w:val="ListParagraph"/>
              <w:ind w:left="0"/>
              <w:rPr>
                <w:i/>
                <w:iCs/>
              </w:rPr>
            </w:pPr>
            <w:hyperlink r:id="rId29" w:history="1">
              <w:r w:rsidR="00C26CE3" w:rsidRPr="00A23F52">
                <w:rPr>
                  <w:rStyle w:val="Hyperlink"/>
                  <w:i/>
                  <w:iCs/>
                </w:rPr>
                <w:t>Valeria.Atzori</w:t>
              </w:r>
              <w:r w:rsidR="00C26CE3" w:rsidRPr="00A23F52">
                <w:rPr>
                  <w:rStyle w:val="Hyperlink"/>
                  <w:i/>
                  <w:iCs/>
                  <w:szCs w:val="20"/>
                </w:rPr>
                <w:t>@eesc.europa.eu</w:t>
              </w:r>
            </w:hyperlink>
          </w:p>
        </w:tc>
      </w:tr>
      <w:bookmarkEnd w:id="20"/>
    </w:tbl>
    <w:p w14:paraId="7B8B76FE" w14:textId="77777777" w:rsidR="00971495" w:rsidRPr="00276CC9" w:rsidRDefault="00971495">
      <w:pPr>
        <w:spacing w:after="160" w:line="259" w:lineRule="auto"/>
        <w:jc w:val="left"/>
        <w:rPr>
          <w:sz w:val="28"/>
        </w:rPr>
      </w:pPr>
    </w:p>
    <w:p w14:paraId="5C1741C1" w14:textId="67F73704" w:rsidR="00883682" w:rsidRPr="00883682" w:rsidRDefault="00A23F52" w:rsidP="007C2CA4">
      <w:pPr>
        <w:pStyle w:val="ListParagraph"/>
        <w:numPr>
          <w:ilvl w:val="0"/>
          <w:numId w:val="4"/>
        </w:numPr>
        <w:overflowPunct w:val="0"/>
        <w:autoSpaceDE w:val="0"/>
        <w:autoSpaceDN w:val="0"/>
        <w:adjustRightInd w:val="0"/>
        <w:ind w:left="0" w:hanging="567"/>
        <w:textAlignment w:val="baseline"/>
      </w:pPr>
      <w:bookmarkStart w:id="21" w:name="_Hlk116652647"/>
      <w:r>
        <w:rPr>
          <w:b/>
          <w:i/>
          <w:sz w:val="28"/>
        </w:rPr>
        <w:t>Migration légale — Train de mesures relatives aux compétences et aux talents</w:t>
      </w:r>
    </w:p>
    <w:p w14:paraId="045754EE" w14:textId="77777777" w:rsidR="00883682" w:rsidRPr="009B70E7" w:rsidRDefault="00883682" w:rsidP="00883682">
      <w:pPr>
        <w:overflowPunct w:val="0"/>
        <w:autoSpaceDE w:val="0"/>
        <w:autoSpaceDN w:val="0"/>
        <w:adjustRightInd w:val="0"/>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663"/>
      </w:tblGrid>
      <w:tr w:rsidR="00883682" w:rsidRPr="009B70E7" w14:paraId="3DEE809C" w14:textId="77777777" w:rsidTr="00883682">
        <w:tc>
          <w:tcPr>
            <w:tcW w:w="1657" w:type="dxa"/>
          </w:tcPr>
          <w:p w14:paraId="03427D08" w14:textId="77777777" w:rsidR="00883682" w:rsidRDefault="00883682" w:rsidP="00027441">
            <w:pPr>
              <w:pStyle w:val="ListParagraph"/>
              <w:ind w:left="0"/>
              <w:rPr>
                <w:b/>
              </w:rPr>
            </w:pPr>
            <w:r>
              <w:rPr>
                <w:b/>
              </w:rPr>
              <w:t>Rapporteur:</w:t>
            </w:r>
          </w:p>
          <w:p w14:paraId="28C34F4F" w14:textId="46806355" w:rsidR="00883682" w:rsidRPr="00F63F2A" w:rsidRDefault="00A23F52" w:rsidP="00AC432E">
            <w:pPr>
              <w:pStyle w:val="ListParagraph"/>
              <w:ind w:left="0"/>
              <w:rPr>
                <w:b/>
                <w:sz w:val="20"/>
                <w:szCs w:val="20"/>
              </w:rPr>
            </w:pPr>
            <w:r w:rsidRPr="00C26CE3">
              <w:rPr>
                <w:b/>
              </w:rPr>
              <w:t>Corapporteur</w:t>
            </w:r>
            <w:r>
              <w:rPr>
                <w:b/>
                <w:sz w:val="20"/>
              </w:rPr>
              <w:t>:</w:t>
            </w:r>
          </w:p>
        </w:tc>
        <w:tc>
          <w:tcPr>
            <w:tcW w:w="6707" w:type="dxa"/>
            <w:gridSpan w:val="2"/>
          </w:tcPr>
          <w:p w14:paraId="67C65467" w14:textId="7F0ABA71" w:rsidR="00883682" w:rsidRDefault="00A23F52" w:rsidP="00883682">
            <w:pPr>
              <w:pStyle w:val="ListParagraph"/>
              <w:ind w:left="-108" w:right="-813"/>
            </w:pPr>
            <w:r>
              <w:t>José Antonio MORENO DÍAZ (groupe des travailleurs — ES)</w:t>
            </w:r>
          </w:p>
          <w:p w14:paraId="2A9DF744" w14:textId="77777777" w:rsidR="00883682" w:rsidRDefault="00A23F52" w:rsidP="00AC432E">
            <w:pPr>
              <w:pStyle w:val="ListParagraph"/>
              <w:ind w:left="-108"/>
            </w:pPr>
            <w:r>
              <w:t>Milena ANGELOVA (groupe des employeurs — BG)</w:t>
            </w:r>
          </w:p>
          <w:p w14:paraId="3EA0E7EF" w14:textId="01CCD898" w:rsidR="00A23F52" w:rsidRPr="009B70E7" w:rsidRDefault="00A23F52" w:rsidP="00AC432E">
            <w:pPr>
              <w:pStyle w:val="ListParagraph"/>
              <w:ind w:left="-108"/>
            </w:pPr>
          </w:p>
        </w:tc>
      </w:tr>
      <w:tr w:rsidR="00883682" w:rsidRPr="009B70E7" w14:paraId="620794CA" w14:textId="77777777" w:rsidTr="00C26CE3">
        <w:tblPrEx>
          <w:tblCellMar>
            <w:left w:w="57" w:type="dxa"/>
            <w:right w:w="57" w:type="dxa"/>
          </w:tblCellMar>
        </w:tblPrEx>
        <w:tc>
          <w:tcPr>
            <w:tcW w:w="1701" w:type="dxa"/>
            <w:gridSpan w:val="2"/>
          </w:tcPr>
          <w:p w14:paraId="01C8B0C6" w14:textId="77777777" w:rsidR="00883682" w:rsidRPr="009B70E7" w:rsidRDefault="00883682" w:rsidP="00027441">
            <w:pPr>
              <w:pStyle w:val="ListParagraph"/>
              <w:ind w:left="79"/>
              <w:rPr>
                <w:b/>
              </w:rPr>
            </w:pPr>
            <w:r>
              <w:rPr>
                <w:b/>
              </w:rPr>
              <w:t xml:space="preserve">Références: </w:t>
            </w:r>
          </w:p>
        </w:tc>
        <w:tc>
          <w:tcPr>
            <w:tcW w:w="6663" w:type="dxa"/>
          </w:tcPr>
          <w:p w14:paraId="0B325614" w14:textId="42BA3191" w:rsidR="00883682" w:rsidRPr="009B70E7" w:rsidRDefault="00B53E10" w:rsidP="00AC432E">
            <w:pPr>
              <w:pStyle w:val="ListParagraph"/>
              <w:ind w:left="-56"/>
            </w:pPr>
            <w:r>
              <w:t>COM(2022) </w:t>
            </w:r>
            <w:r w:rsidR="00883682">
              <w:t xml:space="preserve">650 </w:t>
            </w:r>
            <w:r w:rsidR="008B74A9">
              <w:t>– </w:t>
            </w:r>
            <w:r w:rsidR="00883682">
              <w:t xml:space="preserve">655 </w:t>
            </w:r>
            <w:r w:rsidR="008B74A9">
              <w:t>– </w:t>
            </w:r>
            <w:r w:rsidR="00883682">
              <w:t>657</w:t>
            </w:r>
            <w:r w:rsidR="009B12BE">
              <w:t> final</w:t>
            </w:r>
          </w:p>
          <w:p w14:paraId="251CEEF3" w14:textId="560DC774" w:rsidR="00883682" w:rsidRPr="009B70E7" w:rsidRDefault="00883682" w:rsidP="00AC432E">
            <w:pPr>
              <w:pStyle w:val="ListParagraph"/>
              <w:ind w:left="-56"/>
            </w:pPr>
            <w:r>
              <w:t>EESC-2022-02745-00-00-AC</w:t>
            </w:r>
          </w:p>
        </w:tc>
      </w:tr>
    </w:tbl>
    <w:p w14:paraId="57E40700" w14:textId="77777777" w:rsidR="00883682" w:rsidRPr="009B70E7" w:rsidRDefault="00883682" w:rsidP="00883682">
      <w:pPr>
        <w:pStyle w:val="ListParagraph"/>
        <w:ind w:left="0"/>
        <w:rPr>
          <w:b/>
        </w:rPr>
      </w:pPr>
    </w:p>
    <w:p w14:paraId="61ED65A9" w14:textId="32FB6FD2" w:rsidR="00883682" w:rsidRDefault="00883682" w:rsidP="009B12BE">
      <w:pPr>
        <w:pStyle w:val="ListParagraph"/>
        <w:keepNext/>
        <w:spacing w:line="240" w:lineRule="auto"/>
        <w:ind w:left="0" w:firstLine="142"/>
        <w:rPr>
          <w:b/>
        </w:rPr>
      </w:pPr>
      <w:r>
        <w:rPr>
          <w:b/>
        </w:rPr>
        <w:t>Points clés</w:t>
      </w:r>
    </w:p>
    <w:p w14:paraId="72FDA37A" w14:textId="77777777" w:rsidR="00883682" w:rsidRPr="00C65A95" w:rsidRDefault="00883682" w:rsidP="009B12BE">
      <w:pPr>
        <w:pStyle w:val="ListParagraph"/>
        <w:keepNext/>
        <w:spacing w:line="240" w:lineRule="auto"/>
        <w:ind w:left="-142" w:firstLine="142"/>
        <w:rPr>
          <w:b/>
        </w:rPr>
      </w:pPr>
    </w:p>
    <w:p w14:paraId="6B61FC5A" w14:textId="77777777" w:rsidR="00883682" w:rsidRPr="00027441" w:rsidRDefault="00883682" w:rsidP="009B12BE">
      <w:pPr>
        <w:pStyle w:val="ListParagraph"/>
        <w:keepNext/>
        <w:spacing w:line="240" w:lineRule="auto"/>
        <w:ind w:left="0" w:firstLine="142"/>
        <w:rPr>
          <w:bCs/>
        </w:rPr>
      </w:pPr>
      <w:r>
        <w:t>Le CESE:</w:t>
      </w:r>
    </w:p>
    <w:p w14:paraId="291B017B" w14:textId="77777777" w:rsidR="00883682" w:rsidRPr="009B70E7" w:rsidRDefault="00883682" w:rsidP="009B12BE">
      <w:pPr>
        <w:pStyle w:val="ListParagraph"/>
        <w:keepNext/>
        <w:ind w:left="0"/>
      </w:pPr>
    </w:p>
    <w:p w14:paraId="48C1FC90"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accueille favorablement le train de mesures relatives aux compétences et aux talents qui adopte une approche constructive et cohérente des questions migratoires et répond à la nécessité d’améliorer les instruments de l’Union en matière de migration régulière. Alors que les transitions numérique et écologique s’accélèrent et à un moment où les pénuries de main-d’œuvre et de compétences sont manifestes dans tous les secteurs d’activité économique, le CESE souligne le rôle que peut jouer la migration légale pour aider à pallier ces pénuries dans les domaines incontestablement concernés;</w:t>
      </w:r>
    </w:p>
    <w:p w14:paraId="550308C3"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salue la reconnaissance par la Commission du rôle crucial que jouent déjà les migrants dans l’économie et la société européennes, dans la mesure où ils contribuent à répondre à l’évolution des besoins du marché du travail et, le cas échéant, à remédier aux pénuries de main-d’œuvre et de compétences. Il s’avère par conséquent très important d’induire un changement de perspective et d’adopter un discours positif qui amène les flux migratoires à devenir la norme;</w:t>
      </w:r>
    </w:p>
    <w:p w14:paraId="7074029E"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 xml:space="preserve">se félicite dès lors que l’afflux de talents en provenance de pays tiers soit facilité afin de contribuer à répondre à ces besoins croissants, en particulier dans les secteurs qui font face à des pénuries structurelles; </w:t>
      </w:r>
    </w:p>
    <w:p w14:paraId="2D95692D"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sans en minimiser l’importance, fait valoir qu’il conviendrait d’étudier la possibilité d’établir un lien entre l’arrivée de travailleurs de pays tiers et les besoins des marchés du travail des États membres, afin d’éviter le sous-emploi et les mauvaises conditions de travail des travailleurs de pays tiers nouvellement arrivés;</w:t>
      </w:r>
    </w:p>
    <w:p w14:paraId="57F0ADE6"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 xml:space="preserve">estime qu’il y a lieu de progresser en ce qui concerne le réservoir de talents et souligne que le succès et la portée de ce réservoir dépendront du déploiement de ressources adéquates pour rendre l’outil </w:t>
      </w:r>
      <w:r w:rsidRPr="009E413B">
        <w:rPr>
          <w:lang w:eastAsia="zh-CN"/>
        </w:rPr>
        <w:lastRenderedPageBreak/>
        <w:t xml:space="preserve">accessible et opérationnel; </w:t>
      </w:r>
    </w:p>
    <w:p w14:paraId="474C467E"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se félicite également des partenariats destinés à attirer les talents et est d’avis qu’ils doivent être élaborés en coopération avec les pays tiers; demande la mise en place de mécanismes d’évaluation adéquats, assurant visibilité et transparence dans la mise en œuvre de ces partenariats;</w:t>
      </w:r>
    </w:p>
    <w:p w14:paraId="543925DD"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lang w:eastAsia="zh-CN"/>
        </w:rPr>
      </w:pPr>
      <w:r w:rsidRPr="009E413B">
        <w:rPr>
          <w:lang w:eastAsia="zh-CN"/>
        </w:rPr>
        <w:t>est d’avis qu’il convient de plus largement intégrer la protection des droits des femmes et la perspective de genre;</w:t>
      </w:r>
    </w:p>
    <w:p w14:paraId="2F6E842D" w14:textId="77777777" w:rsidR="009E413B" w:rsidRPr="009E413B" w:rsidRDefault="009E413B" w:rsidP="003256C3">
      <w:pPr>
        <w:widowControl w:val="0"/>
        <w:numPr>
          <w:ilvl w:val="0"/>
          <w:numId w:val="13"/>
        </w:numPr>
        <w:overflowPunct w:val="0"/>
        <w:autoSpaceDE w:val="0"/>
        <w:autoSpaceDN w:val="0"/>
        <w:adjustRightInd w:val="0"/>
        <w:spacing w:after="200" w:line="276" w:lineRule="auto"/>
        <w:contextualSpacing/>
        <w:textAlignment w:val="baseline"/>
        <w:rPr>
          <w:rFonts w:ascii="Calibri" w:hAnsi="Calibri"/>
          <w:lang w:eastAsia="zh-CN"/>
        </w:rPr>
      </w:pPr>
      <w:r w:rsidRPr="009E413B">
        <w:rPr>
          <w:lang w:eastAsia="zh-CN"/>
        </w:rPr>
        <w:t>souligne qu’il importe d’associer les partenaires sociaux et les autres parties prenantes concernées aux discussions sur l’amélioration de la gouvernance de la migration de la main-d’œuvre à l’échelon européen; se félicite, à cet effet, de la création, telle que proposée, de la plateforme de dialogue au niveau de l’Union.</w:t>
      </w:r>
    </w:p>
    <w:p w14:paraId="2F06EC63" w14:textId="77777777" w:rsidR="00883682" w:rsidRPr="009B70E7" w:rsidRDefault="00883682" w:rsidP="008836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883682" w:rsidRPr="009B70E7" w14:paraId="0BE9B506" w14:textId="77777777" w:rsidTr="00AC432E">
        <w:tc>
          <w:tcPr>
            <w:tcW w:w="1418" w:type="dxa"/>
          </w:tcPr>
          <w:p w14:paraId="37A7655C" w14:textId="45BEB365" w:rsidR="00883682" w:rsidRPr="009B70E7" w:rsidRDefault="00140AB0" w:rsidP="00AC432E">
            <w:pPr>
              <w:pStyle w:val="ListParagraph"/>
              <w:ind w:left="0"/>
              <w:rPr>
                <w:i/>
              </w:rPr>
            </w:pPr>
            <w:r>
              <w:rPr>
                <w:b/>
                <w:i/>
              </w:rPr>
              <w:t>Contact:</w:t>
            </w:r>
          </w:p>
        </w:tc>
        <w:tc>
          <w:tcPr>
            <w:tcW w:w="5670" w:type="dxa"/>
          </w:tcPr>
          <w:p w14:paraId="2BE85AA2" w14:textId="6B1EC8D2" w:rsidR="00883682" w:rsidRPr="009B70E7" w:rsidRDefault="00A23F52" w:rsidP="00AC432E">
            <w:pPr>
              <w:pStyle w:val="ListParagraph"/>
              <w:ind w:left="0"/>
              <w:rPr>
                <w:i/>
              </w:rPr>
            </w:pPr>
            <w:proofErr w:type="spellStart"/>
            <w:r>
              <w:rPr>
                <w:i/>
              </w:rPr>
              <w:t>Triin</w:t>
            </w:r>
            <w:proofErr w:type="spellEnd"/>
            <w:r>
              <w:rPr>
                <w:i/>
              </w:rPr>
              <w:t xml:space="preserve"> </w:t>
            </w:r>
            <w:proofErr w:type="spellStart"/>
            <w:r>
              <w:rPr>
                <w:i/>
              </w:rPr>
              <w:t>Aasmaa</w:t>
            </w:r>
            <w:proofErr w:type="spellEnd"/>
          </w:p>
        </w:tc>
      </w:tr>
      <w:tr w:rsidR="00883682" w:rsidRPr="009B70E7" w14:paraId="182F90C4" w14:textId="77777777" w:rsidTr="00AC432E">
        <w:tc>
          <w:tcPr>
            <w:tcW w:w="1418" w:type="dxa"/>
          </w:tcPr>
          <w:p w14:paraId="1FD25530" w14:textId="77777777" w:rsidR="00883682" w:rsidRPr="009B70E7" w:rsidRDefault="00883682" w:rsidP="00AC432E">
            <w:pPr>
              <w:pStyle w:val="ListParagraph"/>
              <w:ind w:left="601"/>
              <w:rPr>
                <w:i/>
              </w:rPr>
            </w:pPr>
            <w:r>
              <w:rPr>
                <w:i/>
              </w:rPr>
              <w:t>Tél.:</w:t>
            </w:r>
          </w:p>
        </w:tc>
        <w:tc>
          <w:tcPr>
            <w:tcW w:w="5670" w:type="dxa"/>
          </w:tcPr>
          <w:p w14:paraId="631ADA24" w14:textId="0B13596F" w:rsidR="00883682" w:rsidRPr="009B70E7" w:rsidRDefault="00883682" w:rsidP="00AC432E">
            <w:pPr>
              <w:pStyle w:val="ListParagraph"/>
              <w:ind w:left="0"/>
              <w:rPr>
                <w:i/>
              </w:rPr>
            </w:pPr>
            <w:r>
              <w:rPr>
                <w:i/>
              </w:rPr>
              <w:t>+32 2 546 9524</w:t>
            </w:r>
          </w:p>
        </w:tc>
      </w:tr>
      <w:tr w:rsidR="00883682" w:rsidRPr="001D770D" w14:paraId="6EB42E83" w14:textId="77777777" w:rsidTr="00AC432E">
        <w:tc>
          <w:tcPr>
            <w:tcW w:w="1418" w:type="dxa"/>
          </w:tcPr>
          <w:p w14:paraId="73D16214" w14:textId="77777777" w:rsidR="00883682" w:rsidRPr="009B70E7" w:rsidRDefault="00883682" w:rsidP="00AC432E">
            <w:pPr>
              <w:pStyle w:val="ListParagraph"/>
              <w:ind w:left="601"/>
              <w:rPr>
                <w:i/>
              </w:rPr>
            </w:pPr>
            <w:r>
              <w:rPr>
                <w:i/>
              </w:rPr>
              <w:t>Courriel:</w:t>
            </w:r>
          </w:p>
        </w:tc>
        <w:tc>
          <w:tcPr>
            <w:tcW w:w="5670" w:type="dxa"/>
          </w:tcPr>
          <w:p w14:paraId="42AC7FEB" w14:textId="3CDFC55F" w:rsidR="00883682" w:rsidRPr="004E7399" w:rsidRDefault="009D65A9" w:rsidP="00AC432E">
            <w:pPr>
              <w:pStyle w:val="ListParagraph"/>
              <w:ind w:left="0"/>
              <w:rPr>
                <w:i/>
                <w:iCs/>
              </w:rPr>
            </w:pPr>
            <w:hyperlink r:id="rId30" w:history="1">
              <w:r w:rsidR="007B42E2" w:rsidRPr="004E7399">
                <w:rPr>
                  <w:rStyle w:val="Hyperlink"/>
                  <w:i/>
                  <w:iCs/>
                </w:rPr>
                <w:t>Triin.Aasmaa@eesc.europa.eu</w:t>
              </w:r>
            </w:hyperlink>
          </w:p>
        </w:tc>
      </w:tr>
      <w:bookmarkEnd w:id="21"/>
    </w:tbl>
    <w:p w14:paraId="6E1B9CF6" w14:textId="77777777" w:rsidR="002D3FFF" w:rsidRDefault="002D3FFF">
      <w:pPr>
        <w:spacing w:after="160" w:line="259" w:lineRule="auto"/>
        <w:jc w:val="left"/>
        <w:rPr>
          <w:sz w:val="28"/>
        </w:rPr>
      </w:pPr>
    </w:p>
    <w:p w14:paraId="75028AE7" w14:textId="470AA124" w:rsidR="002D3FFF" w:rsidRPr="002D3FFF" w:rsidRDefault="002D3FFF" w:rsidP="002D3FFF">
      <w:pPr>
        <w:numPr>
          <w:ilvl w:val="0"/>
          <w:numId w:val="4"/>
        </w:numPr>
        <w:overflowPunct w:val="0"/>
        <w:autoSpaceDE w:val="0"/>
        <w:autoSpaceDN w:val="0"/>
        <w:adjustRightInd w:val="0"/>
        <w:ind w:left="0" w:hanging="567"/>
        <w:contextualSpacing/>
        <w:textAlignment w:val="baseline"/>
      </w:pPr>
      <w:r>
        <w:rPr>
          <w:b/>
          <w:i/>
          <w:sz w:val="28"/>
        </w:rPr>
        <w:t>Initiative contre les recours abusifs visant les journalistes et les défenseurs des droits</w:t>
      </w:r>
    </w:p>
    <w:p w14:paraId="7D97C703" w14:textId="77777777" w:rsidR="002D3FFF" w:rsidRPr="002D3FFF" w:rsidRDefault="002D3FFF" w:rsidP="002D3FFF">
      <w:pPr>
        <w:overflowPunct w:val="0"/>
        <w:autoSpaceDE w:val="0"/>
        <w:autoSpaceDN w:val="0"/>
        <w:adjustRightInd w:val="0"/>
        <w:textAlignment w:val="baseline"/>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663"/>
      </w:tblGrid>
      <w:tr w:rsidR="002D3FFF" w:rsidRPr="002D3FFF" w14:paraId="4A5523C2" w14:textId="77777777" w:rsidTr="00616C87">
        <w:tc>
          <w:tcPr>
            <w:tcW w:w="1657" w:type="dxa"/>
          </w:tcPr>
          <w:p w14:paraId="42BAAB1C" w14:textId="77777777" w:rsidR="002D3FFF" w:rsidRPr="002D3FFF" w:rsidRDefault="002D3FFF" w:rsidP="002D3FFF">
            <w:pPr>
              <w:contextualSpacing/>
              <w:rPr>
                <w:b/>
              </w:rPr>
            </w:pPr>
            <w:r>
              <w:rPr>
                <w:b/>
              </w:rPr>
              <w:t>Rapporteurs:</w:t>
            </w:r>
          </w:p>
          <w:p w14:paraId="0E43361B" w14:textId="77777777" w:rsidR="002D3FFF" w:rsidRPr="002D3FFF" w:rsidRDefault="002D3FFF" w:rsidP="002D3FFF">
            <w:pPr>
              <w:contextualSpacing/>
              <w:rPr>
                <w:b/>
                <w:sz w:val="20"/>
                <w:szCs w:val="20"/>
              </w:rPr>
            </w:pPr>
            <w:r>
              <w:rPr>
                <w:b/>
                <w:sz w:val="20"/>
              </w:rPr>
              <w:t>Corapporteur:</w:t>
            </w:r>
          </w:p>
        </w:tc>
        <w:tc>
          <w:tcPr>
            <w:tcW w:w="6707" w:type="dxa"/>
            <w:gridSpan w:val="2"/>
          </w:tcPr>
          <w:p w14:paraId="437F509F" w14:textId="41B631F9" w:rsidR="002D3FFF" w:rsidRPr="002D3FFF" w:rsidRDefault="002D3FFF" w:rsidP="002D3FFF">
            <w:pPr>
              <w:ind w:left="-108" w:right="-813"/>
              <w:contextualSpacing/>
            </w:pPr>
            <w:r>
              <w:t>Tomasz Andrzej WRÓBLEWSKI (groupe des employeurs</w:t>
            </w:r>
            <w:r w:rsidR="00673C6C">
              <w:t xml:space="preserve"> —</w:t>
            </w:r>
            <w:r>
              <w:t xml:space="preserve"> PL)</w:t>
            </w:r>
          </w:p>
          <w:p w14:paraId="0644C10D" w14:textId="7E937112" w:rsidR="002D3FFF" w:rsidRPr="002D3FFF" w:rsidRDefault="002D3FFF" w:rsidP="002D3FFF">
            <w:pPr>
              <w:ind w:left="-108"/>
              <w:contextualSpacing/>
            </w:pPr>
            <w:r>
              <w:t>Lutz RIBBE (groupe des organisations de la société civile — DE)</w:t>
            </w:r>
          </w:p>
          <w:p w14:paraId="16AEC8AC" w14:textId="77777777" w:rsidR="002D3FFF" w:rsidRPr="002D3FFF" w:rsidRDefault="002D3FFF" w:rsidP="002D3FFF">
            <w:pPr>
              <w:ind w:left="-108"/>
              <w:contextualSpacing/>
            </w:pPr>
          </w:p>
        </w:tc>
      </w:tr>
      <w:tr w:rsidR="002D3FFF" w:rsidRPr="002D3FFF" w14:paraId="79533363" w14:textId="77777777" w:rsidTr="00C1069E">
        <w:tblPrEx>
          <w:tblCellMar>
            <w:left w:w="57" w:type="dxa"/>
            <w:right w:w="57" w:type="dxa"/>
          </w:tblCellMar>
        </w:tblPrEx>
        <w:tc>
          <w:tcPr>
            <w:tcW w:w="1701" w:type="dxa"/>
            <w:gridSpan w:val="2"/>
          </w:tcPr>
          <w:p w14:paraId="3F49A8F0" w14:textId="77777777" w:rsidR="002D3FFF" w:rsidRPr="002D3FFF" w:rsidRDefault="002D3FFF" w:rsidP="002D3FFF">
            <w:pPr>
              <w:ind w:left="79"/>
              <w:contextualSpacing/>
              <w:rPr>
                <w:b/>
              </w:rPr>
            </w:pPr>
            <w:r>
              <w:rPr>
                <w:b/>
              </w:rPr>
              <w:t xml:space="preserve">Référence </w:t>
            </w:r>
          </w:p>
        </w:tc>
        <w:tc>
          <w:tcPr>
            <w:tcW w:w="6663" w:type="dxa"/>
          </w:tcPr>
          <w:p w14:paraId="07E2C267" w14:textId="33CD3270" w:rsidR="002D3FFF" w:rsidRPr="002D3FFF" w:rsidRDefault="00B53E10" w:rsidP="002D3FFF">
            <w:pPr>
              <w:ind w:left="-56"/>
              <w:contextualSpacing/>
            </w:pPr>
            <w:r>
              <w:t>COM(2022) </w:t>
            </w:r>
            <w:r w:rsidR="002D3FFF">
              <w:t>177</w:t>
            </w:r>
            <w:r w:rsidR="009B12BE">
              <w:t> final</w:t>
            </w:r>
          </w:p>
          <w:p w14:paraId="21489A46" w14:textId="310DB871" w:rsidR="002D3FFF" w:rsidRPr="002D3FFF" w:rsidRDefault="002D3FFF" w:rsidP="002D3FFF">
            <w:pPr>
              <w:ind w:left="-56"/>
              <w:contextualSpacing/>
            </w:pPr>
            <w:r>
              <w:t>EESC-2022-03173-00-00-AC</w:t>
            </w:r>
          </w:p>
        </w:tc>
      </w:tr>
    </w:tbl>
    <w:p w14:paraId="07E75381" w14:textId="77777777" w:rsidR="002D3FFF" w:rsidRPr="002D3FFF" w:rsidRDefault="002D3FFF" w:rsidP="002D3FFF">
      <w:pPr>
        <w:contextualSpacing/>
        <w:rPr>
          <w:b/>
        </w:rPr>
      </w:pPr>
    </w:p>
    <w:p w14:paraId="507B3D20" w14:textId="77777777" w:rsidR="002D3FFF" w:rsidRPr="002D3FFF" w:rsidRDefault="002D3FFF" w:rsidP="009E413B">
      <w:pPr>
        <w:keepNext/>
        <w:spacing w:line="240" w:lineRule="auto"/>
        <w:ind w:firstLine="142"/>
        <w:contextualSpacing/>
        <w:rPr>
          <w:b/>
        </w:rPr>
      </w:pPr>
      <w:r>
        <w:rPr>
          <w:b/>
        </w:rPr>
        <w:t>Points clés</w:t>
      </w:r>
    </w:p>
    <w:p w14:paraId="22E4D67C" w14:textId="77777777" w:rsidR="002D3FFF" w:rsidRPr="002D3FFF" w:rsidRDefault="002D3FFF" w:rsidP="009E413B">
      <w:pPr>
        <w:keepNext/>
        <w:spacing w:line="240" w:lineRule="auto"/>
        <w:ind w:left="-142" w:firstLine="142"/>
        <w:contextualSpacing/>
        <w:rPr>
          <w:b/>
        </w:rPr>
      </w:pPr>
    </w:p>
    <w:p w14:paraId="40050F11" w14:textId="77777777" w:rsidR="002D3FFF" w:rsidRPr="002D3FFF" w:rsidRDefault="002D3FFF" w:rsidP="009E413B">
      <w:pPr>
        <w:keepNext/>
        <w:spacing w:line="240" w:lineRule="auto"/>
        <w:ind w:firstLine="142"/>
        <w:contextualSpacing/>
        <w:rPr>
          <w:bCs/>
        </w:rPr>
      </w:pPr>
      <w:bookmarkStart w:id="22" w:name="_Hlk116652961"/>
      <w:r>
        <w:t>Le CESE:</w:t>
      </w:r>
      <w:bookmarkEnd w:id="22"/>
    </w:p>
    <w:p w14:paraId="66ECC19E" w14:textId="06B89C01" w:rsidR="002D3FFF" w:rsidRPr="002D3FFF" w:rsidRDefault="002D3FFF" w:rsidP="002D3FFF">
      <w:pPr>
        <w:numPr>
          <w:ilvl w:val="0"/>
          <w:numId w:val="3"/>
        </w:numPr>
        <w:ind w:left="357" w:hanging="357"/>
        <w:contextualSpacing/>
      </w:pPr>
      <w:r>
        <w:t>considère les procédures judiciaires stratégiques altérant le débat public (poursuites-bâillons) comme des procédures judiciaires totalement ou partiellement infondées qui ont pour principal objectif d’empêcher, de restreindre ou de pénaliser le débat public;</w:t>
      </w:r>
    </w:p>
    <w:p w14:paraId="23CCC356" w14:textId="1F25D3E9" w:rsidR="002D3FFF" w:rsidRPr="002D3FFF" w:rsidRDefault="002D3FFF" w:rsidP="002D3FFF">
      <w:pPr>
        <w:numPr>
          <w:ilvl w:val="0"/>
          <w:numId w:val="3"/>
        </w:numPr>
        <w:ind w:left="357" w:hanging="357"/>
        <w:contextualSpacing/>
      </w:pPr>
      <w:r>
        <w:t>estiment qu’elles constituent un abus de droit et sont inacceptables dans des pays démocratiques qui sont régis par l’état de droit. Les journalistes, en particulier ceux qui travaillent en indépendants, sont les acteurs les plus vulnérables à cette menace, mais le problème peut également affecter toutes les autres parties prenantes du débat public;</w:t>
      </w:r>
    </w:p>
    <w:p w14:paraId="016E742A" w14:textId="7218F5EA" w:rsidR="002D3FFF" w:rsidRDefault="002D3FFF" w:rsidP="002D3FFF">
      <w:pPr>
        <w:numPr>
          <w:ilvl w:val="0"/>
          <w:numId w:val="3"/>
        </w:numPr>
        <w:ind w:left="357" w:hanging="357"/>
        <w:contextualSpacing/>
      </w:pPr>
      <w:r>
        <w:t>salue dès lors l’initiative de la Commission européenne ciblant le phénomène des poursuites-bâillons, qui a pris de l’ampleur en Europe ces dernières années. Tout en saluant les mécanismes proposés dans l’initiative de la Commission</w:t>
      </w:r>
      <w:r w:rsidR="009E413B">
        <w:t>.</w:t>
      </w:r>
    </w:p>
    <w:p w14:paraId="3CF19AD8" w14:textId="77777777" w:rsidR="002D3FFF" w:rsidRDefault="002D3FFF" w:rsidP="002D3FFF">
      <w:pPr>
        <w:ind w:left="357"/>
        <w:contextualSpacing/>
      </w:pPr>
    </w:p>
    <w:p w14:paraId="3D79D1BE" w14:textId="6A17A41F" w:rsidR="002D3FFF" w:rsidRDefault="009E413B" w:rsidP="009E413B">
      <w:pPr>
        <w:keepNext/>
        <w:contextualSpacing/>
        <w:rPr>
          <w:bCs/>
        </w:rPr>
      </w:pPr>
      <w:r>
        <w:t>L</w:t>
      </w:r>
      <w:r w:rsidR="002D3FFF">
        <w:t>e CESE propose:</w:t>
      </w:r>
    </w:p>
    <w:p w14:paraId="056B3266" w14:textId="121B4768" w:rsidR="002D3FFF" w:rsidRPr="002D3FFF" w:rsidRDefault="002D3FFF" w:rsidP="002D3FFF">
      <w:pPr>
        <w:numPr>
          <w:ilvl w:val="0"/>
          <w:numId w:val="3"/>
        </w:numPr>
        <w:ind w:left="357" w:hanging="357"/>
        <w:contextualSpacing/>
      </w:pPr>
      <w:r>
        <w:t>le recours à une décision préjudicielle pour mettre fin aux procédures jugées non conformes; le regroupement, à la demande du défendeur, des différentes procédures dans la juridiction dont il relève; la fixation d’une durée maximale pour leur déroulement; l’établissement d’une formule accélérée pour leur exécution, ou l’interdiction du financement des actions par une personne autre que le plaignant;</w:t>
      </w:r>
    </w:p>
    <w:p w14:paraId="7C791CF0" w14:textId="3A67140A" w:rsidR="002D3FFF" w:rsidRPr="002D3FFF" w:rsidRDefault="002D3FFF" w:rsidP="002D3FFF">
      <w:pPr>
        <w:numPr>
          <w:ilvl w:val="0"/>
          <w:numId w:val="3"/>
        </w:numPr>
        <w:ind w:left="357" w:hanging="357"/>
        <w:contextualSpacing/>
      </w:pPr>
      <w:r>
        <w:t>une révision des textes de loi nationaux afin d’y relever des mécanismes susceptibles d’aider dès à présent à combattre les procédures-bâillons;</w:t>
      </w:r>
    </w:p>
    <w:p w14:paraId="4D581D21" w14:textId="2C86FBF8" w:rsidR="002D3FFF" w:rsidRPr="002D3FFF" w:rsidRDefault="002D3FFF" w:rsidP="002D3FFF">
      <w:pPr>
        <w:numPr>
          <w:ilvl w:val="0"/>
          <w:numId w:val="3"/>
        </w:numPr>
        <w:ind w:left="357" w:hanging="357"/>
        <w:contextualSpacing/>
      </w:pPr>
      <w:r>
        <w:lastRenderedPageBreak/>
        <w:t>le suivi des actions assimilables à des poursuites-bâillons et de l’efficacité des interventions lancées pour les contrer;</w:t>
      </w:r>
    </w:p>
    <w:p w14:paraId="486251D4" w14:textId="395DFDB0" w:rsidR="002D3FFF" w:rsidRPr="002D3FFF" w:rsidRDefault="002D3FFF" w:rsidP="002D3FFF">
      <w:pPr>
        <w:numPr>
          <w:ilvl w:val="0"/>
          <w:numId w:val="3"/>
        </w:numPr>
        <w:ind w:left="357" w:hanging="357"/>
        <w:contextualSpacing/>
      </w:pPr>
      <w:r>
        <w:t>une évaluation de la directive relative aux poursuites-bâillons après deux ans, plutôt que la période de cinq ans proposée;</w:t>
      </w:r>
    </w:p>
    <w:p w14:paraId="7EEA1FDB" w14:textId="406BF930" w:rsidR="002D3FFF" w:rsidRDefault="002D3FFF" w:rsidP="002D3FFF">
      <w:pPr>
        <w:numPr>
          <w:ilvl w:val="0"/>
          <w:numId w:val="3"/>
        </w:numPr>
        <w:ind w:left="357" w:hanging="357"/>
        <w:contextualSpacing/>
      </w:pPr>
      <w:r>
        <w:t>la recherche d’une démarche unifiée, couvrant tout à la fois les poursuites-bâillons transfrontières et nationales;</w:t>
      </w:r>
    </w:p>
    <w:p w14:paraId="09438141" w14:textId="38E21D7F" w:rsidR="002D3FFF" w:rsidRDefault="000B7D8A" w:rsidP="002D3FFF">
      <w:pPr>
        <w:numPr>
          <w:ilvl w:val="0"/>
          <w:numId w:val="3"/>
        </w:numPr>
        <w:ind w:left="357" w:hanging="357"/>
        <w:contextualSpacing/>
      </w:pPr>
      <w:r>
        <w:t>un réexamen des législations nationales afin de décriminaliser la diffamation;</w:t>
      </w:r>
    </w:p>
    <w:p w14:paraId="6876429A" w14:textId="76E4FC17" w:rsidR="000B7D8A" w:rsidRDefault="000B7D8A" w:rsidP="002D3FFF">
      <w:pPr>
        <w:numPr>
          <w:ilvl w:val="0"/>
          <w:numId w:val="3"/>
        </w:numPr>
        <w:ind w:left="357" w:hanging="357"/>
        <w:contextualSpacing/>
      </w:pPr>
      <w:r>
        <w:t>la mise en œuvre de mesures éducatives et de formations appropriées, tant pour les professionnels du droit, dont, en particulier, les juges et les avocats des parties, que pour les participants au débat public, qu’ils soient journalistes, militants sociaux, défenseurs des droits de l’homme, lanceurs d’alerte ou simples citoyens.</w:t>
      </w:r>
    </w:p>
    <w:p w14:paraId="0581871A" w14:textId="77777777" w:rsidR="000B7D8A" w:rsidRPr="002D3FFF" w:rsidRDefault="000B7D8A" w:rsidP="000B1AE6">
      <w:pPr>
        <w:ind w:left="357"/>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0B7D8A" w:rsidRPr="009B70E7" w14:paraId="40EEAC26" w14:textId="77777777" w:rsidTr="00616C87">
        <w:tc>
          <w:tcPr>
            <w:tcW w:w="1418" w:type="dxa"/>
          </w:tcPr>
          <w:p w14:paraId="78813ECD" w14:textId="40B70D38" w:rsidR="000B7D8A" w:rsidRPr="009B70E7" w:rsidRDefault="00140AB0" w:rsidP="00616C87">
            <w:pPr>
              <w:pStyle w:val="ListParagraph"/>
              <w:ind w:left="0"/>
              <w:rPr>
                <w:i/>
              </w:rPr>
            </w:pPr>
            <w:r>
              <w:rPr>
                <w:b/>
                <w:i/>
              </w:rPr>
              <w:t>Contact:</w:t>
            </w:r>
          </w:p>
        </w:tc>
        <w:tc>
          <w:tcPr>
            <w:tcW w:w="5670" w:type="dxa"/>
          </w:tcPr>
          <w:p w14:paraId="11533A42" w14:textId="77777777" w:rsidR="000B7D8A" w:rsidRPr="009B70E7" w:rsidRDefault="000B7D8A" w:rsidP="00616C87">
            <w:pPr>
              <w:pStyle w:val="ListParagraph"/>
              <w:ind w:left="0"/>
              <w:rPr>
                <w:i/>
              </w:rPr>
            </w:pPr>
            <w:r>
              <w:rPr>
                <w:i/>
              </w:rPr>
              <w:t>Jean-Marie ROGUE</w:t>
            </w:r>
          </w:p>
        </w:tc>
      </w:tr>
      <w:tr w:rsidR="000B7D8A" w:rsidRPr="009B70E7" w14:paraId="2090722B" w14:textId="77777777" w:rsidTr="00616C87">
        <w:tc>
          <w:tcPr>
            <w:tcW w:w="1418" w:type="dxa"/>
          </w:tcPr>
          <w:p w14:paraId="1F4F1429" w14:textId="77777777" w:rsidR="000B7D8A" w:rsidRPr="009B70E7" w:rsidRDefault="000B7D8A" w:rsidP="00616C87">
            <w:pPr>
              <w:pStyle w:val="ListParagraph"/>
              <w:ind w:left="601"/>
              <w:rPr>
                <w:i/>
              </w:rPr>
            </w:pPr>
            <w:r>
              <w:rPr>
                <w:i/>
              </w:rPr>
              <w:t>Tél.:</w:t>
            </w:r>
          </w:p>
        </w:tc>
        <w:tc>
          <w:tcPr>
            <w:tcW w:w="5670" w:type="dxa"/>
          </w:tcPr>
          <w:p w14:paraId="37C52104" w14:textId="77777777" w:rsidR="000B7D8A" w:rsidRPr="009B70E7" w:rsidRDefault="000B7D8A" w:rsidP="00616C87">
            <w:pPr>
              <w:pStyle w:val="ListParagraph"/>
              <w:ind w:left="0"/>
              <w:rPr>
                <w:i/>
              </w:rPr>
            </w:pPr>
            <w:r>
              <w:rPr>
                <w:i/>
              </w:rPr>
              <w:t>+32 2 546 89,09</w:t>
            </w:r>
          </w:p>
        </w:tc>
      </w:tr>
      <w:tr w:rsidR="000B7D8A" w:rsidRPr="001D770D" w14:paraId="34FEDA23" w14:textId="77777777" w:rsidTr="00616C87">
        <w:tc>
          <w:tcPr>
            <w:tcW w:w="1418" w:type="dxa"/>
          </w:tcPr>
          <w:p w14:paraId="60789BAF" w14:textId="77777777" w:rsidR="000B7D8A" w:rsidRPr="009B70E7" w:rsidRDefault="000B7D8A" w:rsidP="00616C87">
            <w:pPr>
              <w:pStyle w:val="ListParagraph"/>
              <w:ind w:left="601"/>
              <w:rPr>
                <w:i/>
              </w:rPr>
            </w:pPr>
            <w:r>
              <w:rPr>
                <w:i/>
              </w:rPr>
              <w:t>Courriel:</w:t>
            </w:r>
          </w:p>
        </w:tc>
        <w:tc>
          <w:tcPr>
            <w:tcW w:w="5670" w:type="dxa"/>
          </w:tcPr>
          <w:p w14:paraId="0DF96E08" w14:textId="7936652C" w:rsidR="000B7D8A" w:rsidRPr="00A23F52" w:rsidRDefault="009D65A9" w:rsidP="00616C87">
            <w:pPr>
              <w:pStyle w:val="ListParagraph"/>
              <w:ind w:left="0"/>
              <w:rPr>
                <w:i/>
                <w:iCs/>
                <w:color w:val="0000FF"/>
                <w:szCs w:val="20"/>
                <w:u w:val="single"/>
              </w:rPr>
            </w:pPr>
            <w:hyperlink r:id="rId31" w:history="1">
              <w:r w:rsidR="009E413B" w:rsidRPr="00E43CBD">
                <w:rPr>
                  <w:rStyle w:val="Hyperlink"/>
                  <w:i/>
                </w:rPr>
                <w:t>Jeanmarie.rogue@eesc.europa.eu</w:t>
              </w:r>
            </w:hyperlink>
          </w:p>
        </w:tc>
      </w:tr>
    </w:tbl>
    <w:p w14:paraId="72611B9F" w14:textId="5528B36E" w:rsidR="00400A1F" w:rsidRDefault="00400A1F">
      <w:pPr>
        <w:spacing w:after="160" w:line="259" w:lineRule="auto"/>
        <w:jc w:val="left"/>
        <w:rPr>
          <w:sz w:val="28"/>
        </w:rPr>
      </w:pPr>
    </w:p>
    <w:p w14:paraId="3FCAE421" w14:textId="16CDEF26" w:rsidR="00002061" w:rsidRPr="00883682" w:rsidRDefault="00002061" w:rsidP="00002061">
      <w:pPr>
        <w:pStyle w:val="ListParagraph"/>
        <w:numPr>
          <w:ilvl w:val="0"/>
          <w:numId w:val="4"/>
        </w:numPr>
        <w:overflowPunct w:val="0"/>
        <w:autoSpaceDE w:val="0"/>
        <w:autoSpaceDN w:val="0"/>
        <w:adjustRightInd w:val="0"/>
        <w:ind w:left="0" w:hanging="567"/>
        <w:textAlignment w:val="baseline"/>
      </w:pPr>
      <w:bookmarkStart w:id="23" w:name="_Hlk116654884"/>
      <w:r>
        <w:rPr>
          <w:b/>
          <w:i/>
          <w:sz w:val="28"/>
        </w:rPr>
        <w:t>Numérisation de la procédure de visa</w:t>
      </w:r>
    </w:p>
    <w:p w14:paraId="659E8ED1" w14:textId="77777777" w:rsidR="00002061" w:rsidRPr="009B70E7" w:rsidRDefault="00002061" w:rsidP="00002061">
      <w:pPr>
        <w:overflowPunct w:val="0"/>
        <w:autoSpaceDE w:val="0"/>
        <w:autoSpaceDN w:val="0"/>
        <w:adjustRightInd w:val="0"/>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663"/>
        <w:gridCol w:w="802"/>
      </w:tblGrid>
      <w:tr w:rsidR="00002061" w:rsidRPr="009B70E7" w14:paraId="4FEA80E3" w14:textId="77777777" w:rsidTr="00616C87">
        <w:trPr>
          <w:gridAfter w:val="1"/>
          <w:wAfter w:w="802" w:type="dxa"/>
        </w:trPr>
        <w:tc>
          <w:tcPr>
            <w:tcW w:w="1657" w:type="dxa"/>
          </w:tcPr>
          <w:p w14:paraId="0ED9D70C" w14:textId="77777777" w:rsidR="00002061" w:rsidRDefault="00002061" w:rsidP="00616C87">
            <w:pPr>
              <w:pStyle w:val="ListParagraph"/>
              <w:ind w:left="0"/>
              <w:rPr>
                <w:b/>
              </w:rPr>
            </w:pPr>
            <w:r>
              <w:rPr>
                <w:b/>
              </w:rPr>
              <w:t>Rapporteur:</w:t>
            </w:r>
          </w:p>
          <w:p w14:paraId="561BA925" w14:textId="07E00D3A" w:rsidR="00002061" w:rsidRPr="00F63F2A" w:rsidRDefault="00002061" w:rsidP="00616C87">
            <w:pPr>
              <w:pStyle w:val="ListParagraph"/>
              <w:ind w:left="0"/>
              <w:rPr>
                <w:b/>
                <w:sz w:val="20"/>
                <w:szCs w:val="20"/>
              </w:rPr>
            </w:pPr>
          </w:p>
        </w:tc>
        <w:tc>
          <w:tcPr>
            <w:tcW w:w="6707" w:type="dxa"/>
            <w:gridSpan w:val="2"/>
          </w:tcPr>
          <w:p w14:paraId="4D041E03" w14:textId="473902A7" w:rsidR="00002061" w:rsidRPr="00002061" w:rsidRDefault="00002061" w:rsidP="00002061">
            <w:pPr>
              <w:pStyle w:val="ListParagraph"/>
              <w:ind w:left="-108" w:right="-813"/>
            </w:pPr>
            <w:r>
              <w:t>Ionuţ SIBIAN (groupe des organisations de la société civile — RO)</w:t>
            </w:r>
          </w:p>
          <w:p w14:paraId="32004882" w14:textId="77777777" w:rsidR="00002061" w:rsidRPr="009B70E7" w:rsidRDefault="00002061" w:rsidP="00616C87">
            <w:pPr>
              <w:pStyle w:val="ListParagraph"/>
              <w:ind w:left="-108"/>
            </w:pPr>
          </w:p>
        </w:tc>
      </w:tr>
      <w:tr w:rsidR="00002061" w:rsidRPr="009B70E7" w14:paraId="4BC12865" w14:textId="77777777" w:rsidTr="00616C87">
        <w:tblPrEx>
          <w:tblCellMar>
            <w:left w:w="57" w:type="dxa"/>
            <w:right w:w="57" w:type="dxa"/>
          </w:tblCellMar>
        </w:tblPrEx>
        <w:tc>
          <w:tcPr>
            <w:tcW w:w="1701" w:type="dxa"/>
            <w:gridSpan w:val="2"/>
          </w:tcPr>
          <w:p w14:paraId="725F6040" w14:textId="77777777" w:rsidR="00002061" w:rsidRPr="009B70E7" w:rsidRDefault="00002061" w:rsidP="00616C87">
            <w:pPr>
              <w:pStyle w:val="ListParagraph"/>
              <w:ind w:left="79"/>
              <w:rPr>
                <w:b/>
              </w:rPr>
            </w:pPr>
            <w:r>
              <w:rPr>
                <w:b/>
              </w:rPr>
              <w:t xml:space="preserve">Référence: </w:t>
            </w:r>
          </w:p>
        </w:tc>
        <w:tc>
          <w:tcPr>
            <w:tcW w:w="7465" w:type="dxa"/>
            <w:gridSpan w:val="2"/>
          </w:tcPr>
          <w:p w14:paraId="4FFC64A5" w14:textId="539261BB" w:rsidR="00002061" w:rsidRPr="009B70E7" w:rsidRDefault="00B53E10" w:rsidP="00616C87">
            <w:pPr>
              <w:pStyle w:val="ListParagraph"/>
              <w:ind w:left="-56"/>
            </w:pPr>
            <w:r>
              <w:t>COM(2022) </w:t>
            </w:r>
            <w:r w:rsidR="00002061">
              <w:t>658</w:t>
            </w:r>
            <w:r w:rsidR="009B12BE">
              <w:t> final</w:t>
            </w:r>
          </w:p>
          <w:p w14:paraId="20ADEF47" w14:textId="119202A9" w:rsidR="00002061" w:rsidRPr="009B70E7" w:rsidRDefault="00002061" w:rsidP="00616C87">
            <w:pPr>
              <w:pStyle w:val="ListParagraph"/>
              <w:ind w:left="-56"/>
            </w:pPr>
            <w:r>
              <w:t>EESC-2022-02915-00-00-AC</w:t>
            </w:r>
          </w:p>
        </w:tc>
      </w:tr>
    </w:tbl>
    <w:p w14:paraId="4C378DF9" w14:textId="77777777" w:rsidR="00002061" w:rsidRPr="009B70E7" w:rsidRDefault="00002061" w:rsidP="00002061">
      <w:pPr>
        <w:pStyle w:val="ListParagraph"/>
        <w:ind w:left="0"/>
        <w:rPr>
          <w:b/>
        </w:rPr>
      </w:pPr>
    </w:p>
    <w:p w14:paraId="0A4E56C9" w14:textId="77777777" w:rsidR="00002061" w:rsidRDefault="00002061" w:rsidP="00002061">
      <w:pPr>
        <w:pStyle w:val="ListParagraph"/>
        <w:spacing w:line="240" w:lineRule="auto"/>
        <w:ind w:left="0" w:firstLine="142"/>
        <w:rPr>
          <w:b/>
        </w:rPr>
      </w:pPr>
      <w:r>
        <w:rPr>
          <w:b/>
        </w:rPr>
        <w:t>Points clés</w:t>
      </w:r>
    </w:p>
    <w:p w14:paraId="7A6421E0" w14:textId="77777777" w:rsidR="00002061" w:rsidRPr="00C65A95" w:rsidRDefault="00002061" w:rsidP="00C1069E">
      <w:pPr>
        <w:pStyle w:val="ListParagraph"/>
        <w:keepNext/>
        <w:spacing w:line="240" w:lineRule="auto"/>
        <w:ind w:left="-142" w:firstLine="142"/>
        <w:rPr>
          <w:b/>
        </w:rPr>
      </w:pPr>
    </w:p>
    <w:p w14:paraId="6E748BCD" w14:textId="77777777" w:rsidR="00002061" w:rsidRPr="00027441" w:rsidRDefault="00002061" w:rsidP="00C1069E">
      <w:pPr>
        <w:pStyle w:val="ListParagraph"/>
        <w:keepNext/>
        <w:spacing w:line="240" w:lineRule="auto"/>
        <w:ind w:left="0" w:firstLine="142"/>
        <w:rPr>
          <w:bCs/>
        </w:rPr>
      </w:pPr>
      <w:r>
        <w:t>Le CESE:</w:t>
      </w:r>
    </w:p>
    <w:p w14:paraId="08243A60" w14:textId="77777777" w:rsidR="00002061" w:rsidRPr="009B70E7" w:rsidRDefault="00002061" w:rsidP="00C1069E">
      <w:pPr>
        <w:pStyle w:val="ListParagraph"/>
        <w:keepNext/>
        <w:ind w:left="0"/>
      </w:pPr>
    </w:p>
    <w:bookmarkEnd w:id="23"/>
    <w:p w14:paraId="31692A17" w14:textId="77777777" w:rsidR="007569F3" w:rsidRPr="007569F3" w:rsidRDefault="007569F3" w:rsidP="003256C3">
      <w:pPr>
        <w:numPr>
          <w:ilvl w:val="0"/>
          <w:numId w:val="14"/>
        </w:numPr>
        <w:ind w:left="357" w:hanging="357"/>
      </w:pPr>
      <w:r w:rsidRPr="007569F3">
        <w:t>est résolument favorable à l’initiative de créer une procédure de délivrance de visas entièrement numérique. Un tel dispositif numérique de visa qui soit accessible, rapide et fiable, de même que, plus généralement, une procédure d’immigration visant davantage le zéro papier, aboutiraient à alléger de manière appréciable le travail administratif en matière migratoire;</w:t>
      </w:r>
    </w:p>
    <w:p w14:paraId="2A8090D2" w14:textId="77777777" w:rsidR="007569F3" w:rsidRPr="007569F3" w:rsidRDefault="007569F3" w:rsidP="003256C3">
      <w:pPr>
        <w:numPr>
          <w:ilvl w:val="0"/>
          <w:numId w:val="14"/>
        </w:numPr>
        <w:ind w:left="357" w:hanging="357"/>
      </w:pPr>
      <w:r w:rsidRPr="007569F3">
        <w:t>salue l’initiative de numérisation en matière de visas, car elle s’inscrit dans le cadre de l’approche générale de l’Union visant à encourager la modernisation et la numérisation des services publics et de la communication de la Commission intitulée «Une boussole numérique pour 2030»;</w:t>
      </w:r>
    </w:p>
    <w:p w14:paraId="21408150" w14:textId="77777777" w:rsidR="007569F3" w:rsidRPr="007569F3" w:rsidRDefault="007569F3" w:rsidP="003256C3">
      <w:pPr>
        <w:numPr>
          <w:ilvl w:val="0"/>
          <w:numId w:val="14"/>
        </w:numPr>
        <w:ind w:left="357" w:hanging="357"/>
      </w:pPr>
      <w:r w:rsidRPr="007569F3">
        <w:t xml:space="preserve">considère que la proposition actuelle offre la possibilité d’améliorer vraiment la procédure de demande de visa, en en réduisant les coûts et les contraintes, tant pour les États membres que pour les demandeurs, et d’assurer la sécurité juridique tout en renforçant la sécurité de l’espace Schengen; </w:t>
      </w:r>
    </w:p>
    <w:p w14:paraId="42AD964E" w14:textId="77777777" w:rsidR="007569F3" w:rsidRPr="007569F3" w:rsidRDefault="007569F3" w:rsidP="003256C3">
      <w:pPr>
        <w:numPr>
          <w:ilvl w:val="0"/>
          <w:numId w:val="14"/>
        </w:numPr>
        <w:ind w:left="357" w:hanging="357"/>
      </w:pPr>
      <w:r w:rsidRPr="007569F3">
        <w:t>se félicite que les restrictions de mobilité affectant les ressortissants de pays tiers qui demandent un visa seront réduites au maximum grâce à la numérisation qu’il est proposé d’appliquer à la procédure afférente, dès lors qu’ils ne seront plus tenus de présenter en personne leurs documents de voyage;</w:t>
      </w:r>
    </w:p>
    <w:p w14:paraId="186C09AD" w14:textId="77777777" w:rsidR="007569F3" w:rsidRPr="007569F3" w:rsidRDefault="007569F3" w:rsidP="003256C3">
      <w:pPr>
        <w:numPr>
          <w:ilvl w:val="0"/>
          <w:numId w:val="14"/>
        </w:numPr>
        <w:ind w:left="357" w:hanging="357"/>
      </w:pPr>
      <w:r w:rsidRPr="007569F3">
        <w:t>estime que la numérisation de la procédure de demande de visas doit éviter toute discrimination, même involontaire: il convient qu’elle respecte les droits des personnes handicapées et de celles qui ne disposent pas de compétences informatiques ou numériques ou n’ont pas accès à l’internet;</w:t>
      </w:r>
    </w:p>
    <w:p w14:paraId="03BBF570" w14:textId="77777777" w:rsidR="007569F3" w:rsidRPr="007569F3" w:rsidRDefault="007569F3" w:rsidP="003256C3">
      <w:pPr>
        <w:numPr>
          <w:ilvl w:val="0"/>
          <w:numId w:val="14"/>
        </w:numPr>
        <w:ind w:left="357" w:hanging="357"/>
      </w:pPr>
      <w:r w:rsidRPr="007569F3">
        <w:lastRenderedPageBreak/>
        <w:t>recommande avec force que les processus informatiques utilisés par la plateforme de l’Union pour les demandes de visa prévoient des outils ou des moyens pour préserver les droits de l’enfant et prévenir la traite des êtres humains;</w:t>
      </w:r>
    </w:p>
    <w:p w14:paraId="5CC37705" w14:textId="77777777" w:rsidR="007569F3" w:rsidRPr="007569F3" w:rsidRDefault="007569F3" w:rsidP="003256C3">
      <w:pPr>
        <w:numPr>
          <w:ilvl w:val="0"/>
          <w:numId w:val="14"/>
        </w:numPr>
        <w:ind w:left="357" w:hanging="357"/>
      </w:pPr>
      <w:r w:rsidRPr="007569F3">
        <w:t>considère qu’il y aurait lieu de prévoir une «ambassade numérique de l’Union européenne», qui fixerait des conditions harmonisées au niveau européen concernant les pièces justificatives et qui se chargerait d’informer et d’orienter le voyageur à propos de la procédure de demande;</w:t>
      </w:r>
    </w:p>
    <w:p w14:paraId="51B9D089" w14:textId="77777777" w:rsidR="007569F3" w:rsidRPr="007569F3" w:rsidRDefault="007569F3" w:rsidP="003256C3">
      <w:pPr>
        <w:numPr>
          <w:ilvl w:val="0"/>
          <w:numId w:val="14"/>
        </w:numPr>
        <w:ind w:left="357" w:hanging="357"/>
      </w:pPr>
      <w:r w:rsidRPr="007569F3">
        <w:t>reconnaît que la numérisation de la procédure de visa pourrait avoir une incidence positive sur l’environnement et que la plateforme centralisée pour les demandes de visa est une solution efficace sur le plan énergétique;</w:t>
      </w:r>
    </w:p>
    <w:p w14:paraId="6081E9D0" w14:textId="77777777" w:rsidR="007569F3" w:rsidRPr="007569F3" w:rsidRDefault="007569F3" w:rsidP="003256C3">
      <w:pPr>
        <w:numPr>
          <w:ilvl w:val="0"/>
          <w:numId w:val="14"/>
        </w:numPr>
        <w:ind w:left="357" w:hanging="357"/>
      </w:pPr>
      <w:r w:rsidRPr="007569F3">
        <w:t>recommande que la Commission s’engage plus fermement à travailler avec les gouvernements des pays tiers, les ambassades/consulats des États membres et la société civile organisée afin d’informer, de préparer et d’aider les demandeurs de visa tout au long de la procédure.</w:t>
      </w:r>
    </w:p>
    <w:p w14:paraId="6D7A635E" w14:textId="77777777" w:rsidR="00002061" w:rsidRPr="009B70E7" w:rsidRDefault="00002061" w:rsidP="000020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002061" w:rsidRPr="009B70E7" w14:paraId="140CAC9D" w14:textId="77777777" w:rsidTr="00616C87">
        <w:tc>
          <w:tcPr>
            <w:tcW w:w="1418" w:type="dxa"/>
          </w:tcPr>
          <w:p w14:paraId="0B430257" w14:textId="411ACEB2" w:rsidR="00002061" w:rsidRPr="009B70E7" w:rsidRDefault="00140AB0" w:rsidP="00616C87">
            <w:pPr>
              <w:pStyle w:val="ListParagraph"/>
              <w:ind w:left="0"/>
              <w:rPr>
                <w:i/>
              </w:rPr>
            </w:pPr>
            <w:bookmarkStart w:id="24" w:name="_Hlk117166919"/>
            <w:r>
              <w:rPr>
                <w:b/>
                <w:i/>
              </w:rPr>
              <w:t>Contact:</w:t>
            </w:r>
          </w:p>
        </w:tc>
        <w:tc>
          <w:tcPr>
            <w:tcW w:w="5670" w:type="dxa"/>
          </w:tcPr>
          <w:p w14:paraId="24BD7A61" w14:textId="77777777" w:rsidR="00002061" w:rsidRPr="009B70E7" w:rsidRDefault="00002061" w:rsidP="00616C87">
            <w:pPr>
              <w:pStyle w:val="ListParagraph"/>
              <w:ind w:left="0"/>
              <w:rPr>
                <w:i/>
              </w:rPr>
            </w:pPr>
            <w:proofErr w:type="spellStart"/>
            <w:r>
              <w:rPr>
                <w:i/>
              </w:rPr>
              <w:t>Triin</w:t>
            </w:r>
            <w:proofErr w:type="spellEnd"/>
            <w:r>
              <w:rPr>
                <w:i/>
              </w:rPr>
              <w:t xml:space="preserve"> </w:t>
            </w:r>
            <w:proofErr w:type="spellStart"/>
            <w:r>
              <w:rPr>
                <w:i/>
              </w:rPr>
              <w:t>Aasmaa</w:t>
            </w:r>
            <w:proofErr w:type="spellEnd"/>
          </w:p>
        </w:tc>
      </w:tr>
      <w:tr w:rsidR="00002061" w:rsidRPr="009B70E7" w14:paraId="62B0FE14" w14:textId="77777777" w:rsidTr="00616C87">
        <w:tc>
          <w:tcPr>
            <w:tcW w:w="1418" w:type="dxa"/>
          </w:tcPr>
          <w:p w14:paraId="4546C08D" w14:textId="77777777" w:rsidR="00002061" w:rsidRPr="009B70E7" w:rsidRDefault="00002061" w:rsidP="00616C87">
            <w:pPr>
              <w:pStyle w:val="ListParagraph"/>
              <w:ind w:left="601"/>
              <w:rPr>
                <w:i/>
              </w:rPr>
            </w:pPr>
            <w:r>
              <w:rPr>
                <w:i/>
              </w:rPr>
              <w:t>Tél.:</w:t>
            </w:r>
          </w:p>
        </w:tc>
        <w:tc>
          <w:tcPr>
            <w:tcW w:w="5670" w:type="dxa"/>
          </w:tcPr>
          <w:p w14:paraId="4655BFEF" w14:textId="77777777" w:rsidR="00002061" w:rsidRPr="009B70E7" w:rsidRDefault="00002061" w:rsidP="00616C87">
            <w:pPr>
              <w:pStyle w:val="ListParagraph"/>
              <w:ind w:left="0"/>
              <w:rPr>
                <w:i/>
              </w:rPr>
            </w:pPr>
            <w:r>
              <w:rPr>
                <w:i/>
              </w:rPr>
              <w:t>+32 2 546 9524</w:t>
            </w:r>
          </w:p>
        </w:tc>
      </w:tr>
      <w:tr w:rsidR="00002061" w:rsidRPr="001D770D" w14:paraId="236C25BF" w14:textId="77777777" w:rsidTr="00616C87">
        <w:tc>
          <w:tcPr>
            <w:tcW w:w="1418" w:type="dxa"/>
          </w:tcPr>
          <w:p w14:paraId="3B101F54" w14:textId="77777777" w:rsidR="00002061" w:rsidRPr="009B70E7" w:rsidRDefault="00002061" w:rsidP="00616C87">
            <w:pPr>
              <w:pStyle w:val="ListParagraph"/>
              <w:ind w:left="601"/>
              <w:rPr>
                <w:i/>
              </w:rPr>
            </w:pPr>
            <w:r>
              <w:rPr>
                <w:i/>
              </w:rPr>
              <w:t>Courriel:</w:t>
            </w:r>
          </w:p>
        </w:tc>
        <w:tc>
          <w:tcPr>
            <w:tcW w:w="5670" w:type="dxa"/>
          </w:tcPr>
          <w:p w14:paraId="748EC017" w14:textId="0FEDBD93" w:rsidR="00002061" w:rsidRPr="007569F3" w:rsidRDefault="009D65A9" w:rsidP="00616C87">
            <w:pPr>
              <w:pStyle w:val="ListParagraph"/>
              <w:ind w:left="0"/>
              <w:rPr>
                <w:i/>
                <w:iCs/>
              </w:rPr>
            </w:pPr>
            <w:hyperlink r:id="rId32" w:history="1">
              <w:r w:rsidR="00C1069E" w:rsidRPr="00C1069E">
                <w:rPr>
                  <w:rStyle w:val="Hyperlink"/>
                  <w:i/>
                  <w:iCs/>
                </w:rPr>
                <w:t>Triin.Aasmaa@eesc.europa.eu</w:t>
              </w:r>
            </w:hyperlink>
          </w:p>
        </w:tc>
      </w:tr>
      <w:bookmarkEnd w:id="24"/>
    </w:tbl>
    <w:p w14:paraId="38495326" w14:textId="77777777" w:rsidR="00002061" w:rsidRDefault="00002061">
      <w:pPr>
        <w:spacing w:after="160" w:line="259" w:lineRule="auto"/>
        <w:jc w:val="left"/>
        <w:rPr>
          <w:sz w:val="28"/>
        </w:rPr>
      </w:pPr>
    </w:p>
    <w:p w14:paraId="5B7E001F" w14:textId="30F96BC6" w:rsidR="00002061" w:rsidRPr="00883682" w:rsidRDefault="00002061" w:rsidP="00002061">
      <w:pPr>
        <w:pStyle w:val="ListParagraph"/>
        <w:numPr>
          <w:ilvl w:val="0"/>
          <w:numId w:val="4"/>
        </w:numPr>
        <w:overflowPunct w:val="0"/>
        <w:autoSpaceDE w:val="0"/>
        <w:autoSpaceDN w:val="0"/>
        <w:adjustRightInd w:val="0"/>
        <w:ind w:left="0" w:hanging="567"/>
        <w:textAlignment w:val="baseline"/>
      </w:pPr>
      <w:r>
        <w:rPr>
          <w:b/>
          <w:i/>
          <w:sz w:val="28"/>
        </w:rPr>
        <w:t>Normes de qualité et de sécurité des substances d’origine humaine</w:t>
      </w:r>
    </w:p>
    <w:p w14:paraId="0BD788C5" w14:textId="77777777" w:rsidR="00002061" w:rsidRPr="009B70E7" w:rsidRDefault="00002061" w:rsidP="00002061">
      <w:pPr>
        <w:overflowPunct w:val="0"/>
        <w:autoSpaceDE w:val="0"/>
        <w:autoSpaceDN w:val="0"/>
        <w:adjustRightInd w:val="0"/>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44"/>
        <w:gridCol w:w="6663"/>
      </w:tblGrid>
      <w:tr w:rsidR="00002061" w:rsidRPr="009B70E7" w14:paraId="0E676F02" w14:textId="77777777" w:rsidTr="00616C87">
        <w:tc>
          <w:tcPr>
            <w:tcW w:w="1657" w:type="dxa"/>
          </w:tcPr>
          <w:p w14:paraId="22BEE630" w14:textId="50E917F6" w:rsidR="00002061" w:rsidRPr="00F63F2A" w:rsidRDefault="00002061" w:rsidP="009D65A9">
            <w:pPr>
              <w:pStyle w:val="ListParagraph"/>
              <w:ind w:left="0"/>
              <w:rPr>
                <w:b/>
                <w:sz w:val="20"/>
                <w:szCs w:val="20"/>
              </w:rPr>
            </w:pPr>
            <w:r>
              <w:rPr>
                <w:b/>
              </w:rPr>
              <w:t>Rapporteure générale:</w:t>
            </w:r>
          </w:p>
        </w:tc>
        <w:tc>
          <w:tcPr>
            <w:tcW w:w="6707" w:type="dxa"/>
            <w:gridSpan w:val="2"/>
          </w:tcPr>
          <w:p w14:paraId="10917145" w14:textId="0D72F153" w:rsidR="00002061" w:rsidRPr="00002061" w:rsidRDefault="00002061" w:rsidP="00616C87">
            <w:pPr>
              <w:pStyle w:val="ListParagraph"/>
              <w:ind w:left="-108" w:right="-813"/>
            </w:pPr>
            <w:r>
              <w:t>Krzysztof BALON (groupe des organisations de la société civile — PL)</w:t>
            </w:r>
          </w:p>
          <w:p w14:paraId="36B30F87" w14:textId="77777777" w:rsidR="00002061" w:rsidRPr="009B70E7" w:rsidRDefault="00002061" w:rsidP="00616C87">
            <w:pPr>
              <w:pStyle w:val="ListParagraph"/>
              <w:ind w:left="-108"/>
            </w:pPr>
          </w:p>
        </w:tc>
      </w:tr>
      <w:tr w:rsidR="00002061" w:rsidRPr="009B70E7" w14:paraId="0F2EDDB4" w14:textId="77777777" w:rsidTr="00C008B7">
        <w:tblPrEx>
          <w:tblCellMar>
            <w:left w:w="57" w:type="dxa"/>
            <w:right w:w="57" w:type="dxa"/>
          </w:tblCellMar>
        </w:tblPrEx>
        <w:tc>
          <w:tcPr>
            <w:tcW w:w="1701" w:type="dxa"/>
            <w:gridSpan w:val="2"/>
          </w:tcPr>
          <w:p w14:paraId="311A65B6" w14:textId="77777777" w:rsidR="00002061" w:rsidRPr="009B70E7" w:rsidRDefault="00002061" w:rsidP="00616C87">
            <w:pPr>
              <w:pStyle w:val="ListParagraph"/>
              <w:ind w:left="79"/>
              <w:rPr>
                <w:b/>
              </w:rPr>
            </w:pPr>
            <w:r>
              <w:rPr>
                <w:b/>
              </w:rPr>
              <w:t xml:space="preserve">Référence: </w:t>
            </w:r>
          </w:p>
        </w:tc>
        <w:tc>
          <w:tcPr>
            <w:tcW w:w="6663" w:type="dxa"/>
          </w:tcPr>
          <w:p w14:paraId="5CBCC39E" w14:textId="19BC9D30" w:rsidR="00002061" w:rsidRPr="009B70E7" w:rsidRDefault="00B53E10" w:rsidP="00616C87">
            <w:pPr>
              <w:pStyle w:val="ListParagraph"/>
              <w:ind w:left="-56"/>
            </w:pPr>
            <w:r>
              <w:t>COM(2022) </w:t>
            </w:r>
            <w:r w:rsidR="00002061">
              <w:t>338</w:t>
            </w:r>
            <w:r w:rsidR="009B12BE">
              <w:t> final</w:t>
            </w:r>
          </w:p>
          <w:p w14:paraId="50A96FB2" w14:textId="7C93AA3B" w:rsidR="00002061" w:rsidRPr="009B70E7" w:rsidRDefault="00002061" w:rsidP="00616C87">
            <w:pPr>
              <w:pStyle w:val="ListParagraph"/>
              <w:ind w:left="-56"/>
            </w:pPr>
            <w:r>
              <w:t>EESC-2022-04815-00-00-AC</w:t>
            </w:r>
          </w:p>
        </w:tc>
      </w:tr>
    </w:tbl>
    <w:p w14:paraId="13FBF44C" w14:textId="77777777" w:rsidR="00002061" w:rsidRPr="009B70E7" w:rsidRDefault="00002061" w:rsidP="00002061">
      <w:pPr>
        <w:pStyle w:val="ListParagraph"/>
        <w:ind w:left="0"/>
        <w:rPr>
          <w:b/>
        </w:rPr>
      </w:pPr>
    </w:p>
    <w:p w14:paraId="43D7BA09" w14:textId="77777777" w:rsidR="00002061" w:rsidRDefault="00002061" w:rsidP="00C008B7">
      <w:pPr>
        <w:pStyle w:val="ListParagraph"/>
        <w:keepNext/>
        <w:spacing w:line="240" w:lineRule="auto"/>
        <w:ind w:left="0" w:firstLine="142"/>
        <w:rPr>
          <w:b/>
        </w:rPr>
      </w:pPr>
      <w:r>
        <w:rPr>
          <w:b/>
        </w:rPr>
        <w:t>Points clés</w:t>
      </w:r>
    </w:p>
    <w:p w14:paraId="4608CE79" w14:textId="77777777" w:rsidR="00002061" w:rsidRPr="00C65A95" w:rsidRDefault="00002061" w:rsidP="00C008B7">
      <w:pPr>
        <w:pStyle w:val="ListParagraph"/>
        <w:keepNext/>
        <w:spacing w:line="240" w:lineRule="auto"/>
        <w:ind w:left="-142" w:firstLine="142"/>
        <w:rPr>
          <w:b/>
        </w:rPr>
      </w:pPr>
    </w:p>
    <w:p w14:paraId="5AE5E4AD" w14:textId="77777777" w:rsidR="00002061" w:rsidRPr="00027441" w:rsidRDefault="00002061" w:rsidP="00C008B7">
      <w:pPr>
        <w:pStyle w:val="ListParagraph"/>
        <w:keepNext/>
        <w:spacing w:line="240" w:lineRule="auto"/>
        <w:ind w:left="0" w:firstLine="142"/>
        <w:rPr>
          <w:bCs/>
        </w:rPr>
      </w:pPr>
      <w:r>
        <w:t>Le CESE:</w:t>
      </w:r>
    </w:p>
    <w:p w14:paraId="4082B031" w14:textId="77777777" w:rsidR="00002061" w:rsidRPr="009B70E7" w:rsidRDefault="00002061" w:rsidP="00C008B7">
      <w:pPr>
        <w:pStyle w:val="ListParagraph"/>
        <w:keepNext/>
        <w:ind w:left="0"/>
      </w:pPr>
    </w:p>
    <w:p w14:paraId="0CBB3AF9" w14:textId="77777777" w:rsidR="004E7399" w:rsidRPr="00D174A2" w:rsidRDefault="004E7399" w:rsidP="003256C3">
      <w:pPr>
        <w:numPr>
          <w:ilvl w:val="0"/>
          <w:numId w:val="15"/>
        </w:numPr>
        <w:suppressAutoHyphens/>
        <w:ind w:left="357" w:hanging="357"/>
        <w:rPr>
          <w:bCs/>
        </w:rPr>
      </w:pPr>
      <w:r w:rsidRPr="00D174A2">
        <w:rPr>
          <w:b/>
        </w:rPr>
        <w:t>approuve la proposition de la Commission européenne</w:t>
      </w:r>
      <w:r w:rsidRPr="00D174A2">
        <w:t xml:space="preserve"> d’un règlement du Parlement européen et du Conseil concernant les normes de qualité et de sécurité des substances d’origine humaine destinées à une application humaine et abrogeant les directives 2002/98/CE et 2004/23/CE («règlement SoHO», selon l’abréviation tirée de l’anglais «substances </w:t>
      </w:r>
      <w:proofErr w:type="spellStart"/>
      <w:r w:rsidRPr="00D174A2">
        <w:t>of</w:t>
      </w:r>
      <w:proofErr w:type="spellEnd"/>
      <w:r w:rsidRPr="00D174A2">
        <w:t xml:space="preserve"> </w:t>
      </w:r>
      <w:proofErr w:type="spellStart"/>
      <w:r w:rsidRPr="00D174A2">
        <w:t>human</w:t>
      </w:r>
      <w:proofErr w:type="spellEnd"/>
      <w:r w:rsidRPr="00D174A2">
        <w:t xml:space="preserve"> </w:t>
      </w:r>
      <w:proofErr w:type="spellStart"/>
      <w:r w:rsidRPr="00D174A2">
        <w:t>origin</w:t>
      </w:r>
      <w:proofErr w:type="spellEnd"/>
      <w:r w:rsidRPr="00D174A2">
        <w:t xml:space="preserve">»); </w:t>
      </w:r>
    </w:p>
    <w:p w14:paraId="05D20F45" w14:textId="77777777" w:rsidR="004E7399" w:rsidRPr="00D174A2" w:rsidRDefault="004E7399" w:rsidP="003256C3">
      <w:pPr>
        <w:numPr>
          <w:ilvl w:val="0"/>
          <w:numId w:val="15"/>
        </w:numPr>
        <w:suppressAutoHyphens/>
        <w:ind w:left="357" w:hanging="357"/>
        <w:rPr>
          <w:bCs/>
        </w:rPr>
      </w:pPr>
      <w:r w:rsidRPr="00D174A2">
        <w:t xml:space="preserve">tient pour judicieux de définir le champ d’application du règlement en question de manière à tenir compte non seulement des substances d’origine humaine, telles que par exemple le lait maternel, qui ne relevaient pas jusqu’à présent de dispositions juridiques à l’échelon européen mais aussi de toute </w:t>
      </w:r>
      <w:r w:rsidRPr="00D174A2">
        <w:rPr>
          <w:b/>
        </w:rPr>
        <w:t>substance d’origine humaine susceptible d’être utilisée à l’avenir</w:t>
      </w:r>
      <w:r w:rsidRPr="00D174A2">
        <w:t xml:space="preserve">; </w:t>
      </w:r>
    </w:p>
    <w:p w14:paraId="66A06F01" w14:textId="77777777" w:rsidR="004E7399" w:rsidRPr="00D174A2" w:rsidRDefault="004E7399" w:rsidP="003256C3">
      <w:pPr>
        <w:numPr>
          <w:ilvl w:val="0"/>
          <w:numId w:val="15"/>
        </w:numPr>
        <w:suppressAutoHyphens/>
        <w:ind w:left="357" w:hanging="357"/>
        <w:rPr>
          <w:bCs/>
        </w:rPr>
      </w:pPr>
      <w:r w:rsidRPr="00D174A2">
        <w:rPr>
          <w:b/>
        </w:rPr>
        <w:t>approuve les modifications d’ordre juridique qui contribuent à limiter les coûts</w:t>
      </w:r>
      <w:r w:rsidRPr="00D174A2">
        <w:t xml:space="preserve"> que supportent les institutions de l’Union européenne, ses États membres et ses citoyens, notamment en supprimant du libellé de la réglementation les tests et les dépistages systématiques devenus obsolètes. Il y a lieu de surveiller en permanence l’efficacité des mesures prévues par les dispositions du règlement, en tenant compte de la nécessité de maintenir la sécurité et la qualité des substances d’origine humaine et de respecter les normes qui découlent de la charte des droits fondamentaux de l’Union européenne; </w:t>
      </w:r>
    </w:p>
    <w:p w14:paraId="33CF6842" w14:textId="77777777" w:rsidR="004E7399" w:rsidRPr="00D174A2" w:rsidRDefault="004E7399" w:rsidP="003256C3">
      <w:pPr>
        <w:numPr>
          <w:ilvl w:val="0"/>
          <w:numId w:val="15"/>
        </w:numPr>
        <w:suppressAutoHyphens/>
        <w:ind w:left="357" w:hanging="357"/>
        <w:rPr>
          <w:bCs/>
        </w:rPr>
      </w:pPr>
      <w:r w:rsidRPr="00D174A2">
        <w:rPr>
          <w:b/>
        </w:rPr>
        <w:t>se félicite de l’établissement de normes fondamentales uniformes concernant la mise en place de registres des entités actives dans le domaine des substances d’origine humaine</w:t>
      </w:r>
      <w:r w:rsidRPr="00D174A2">
        <w:t xml:space="preserve">. L’établissement de la </w:t>
      </w:r>
      <w:proofErr w:type="spellStart"/>
      <w:r w:rsidRPr="00D174A2">
        <w:t>plateforme</w:t>
      </w:r>
      <w:proofErr w:type="spellEnd"/>
      <w:r w:rsidRPr="00D174A2">
        <w:t xml:space="preserve"> SoHO de l’Union européenne viendra conforter cette démarche et </w:t>
      </w:r>
      <w:r w:rsidRPr="00D174A2">
        <w:lastRenderedPageBreak/>
        <w:t xml:space="preserve">contribuera à améliorer la sécurité dans l’Union dans le domaine de la santé publique grâce à des échanges permanents et rapides d’informations; </w:t>
      </w:r>
    </w:p>
    <w:p w14:paraId="36DF7F39" w14:textId="77777777" w:rsidR="004E7399" w:rsidRPr="00D174A2" w:rsidRDefault="004E7399" w:rsidP="003256C3">
      <w:pPr>
        <w:numPr>
          <w:ilvl w:val="0"/>
          <w:numId w:val="15"/>
        </w:numPr>
        <w:suppressAutoHyphens/>
        <w:ind w:left="357" w:hanging="357"/>
        <w:rPr>
          <w:bCs/>
        </w:rPr>
      </w:pPr>
      <w:r w:rsidRPr="00D174A2">
        <w:rPr>
          <w:b/>
        </w:rPr>
        <w:t>approuve l’adoption de solutions qui renforcent les droits des donneurs de substances d’origine humaine</w:t>
      </w:r>
      <w:r w:rsidRPr="00D174A2">
        <w:t xml:space="preserve"> et remédient aux lacunes de la réglementation en vigueur. Dans le même temps, le CESE fait valoir l’importance fondamentale de voir le principe de la gratuité du don de substances d’origine humaine réaffirmé par la proposition, afin d’éliminer les abus et d’assurer la sécurité de l’obtention desdites substances; </w:t>
      </w:r>
    </w:p>
    <w:p w14:paraId="37207FFB" w14:textId="77777777" w:rsidR="004E7399" w:rsidRPr="00D174A2" w:rsidRDefault="004E7399" w:rsidP="003256C3">
      <w:pPr>
        <w:numPr>
          <w:ilvl w:val="0"/>
          <w:numId w:val="15"/>
        </w:numPr>
        <w:suppressAutoHyphens/>
        <w:ind w:left="357" w:hanging="357"/>
        <w:rPr>
          <w:bCs/>
        </w:rPr>
      </w:pPr>
      <w:r w:rsidRPr="00D174A2">
        <w:t>est d’avis qu’</w:t>
      </w:r>
      <w:r w:rsidRPr="00D174A2">
        <w:rPr>
          <w:b/>
        </w:rPr>
        <w:t>il y a lieu de prêter une attention particulière à la nécessité d’un contrôle fiable et systématique des entités SoHO</w:t>
      </w:r>
      <w:r w:rsidRPr="00D174A2">
        <w:t xml:space="preserve"> pour ce qui est de la sécurité, de la qualité et des modalités d’obtention des substances d’origine humaine. Il importe tout particulièrement de surveiller en permanence les activités des entités SoHO importatrices et d’en contrôler la régularité. Les substances d’origine humaine importées dans l’Union européenne doivent obéir aux mêmes normes de qualité et de sécurité que celles obtenues sur le territoire de l’Union.</w:t>
      </w:r>
    </w:p>
    <w:p w14:paraId="56EC94EC" w14:textId="4D19FE6C" w:rsidR="00002061" w:rsidRDefault="00002061" w:rsidP="00002061">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221313" w:rsidRPr="009B70E7" w14:paraId="0696D062" w14:textId="77777777" w:rsidTr="00A86956">
        <w:tc>
          <w:tcPr>
            <w:tcW w:w="1418" w:type="dxa"/>
          </w:tcPr>
          <w:p w14:paraId="697BE04F" w14:textId="56099B0B" w:rsidR="00221313" w:rsidRPr="009B70E7" w:rsidRDefault="00140AB0" w:rsidP="00A86956">
            <w:pPr>
              <w:pStyle w:val="ListParagraph"/>
              <w:ind w:left="0"/>
              <w:rPr>
                <w:i/>
              </w:rPr>
            </w:pPr>
            <w:r>
              <w:rPr>
                <w:b/>
                <w:i/>
              </w:rPr>
              <w:t>Contact:</w:t>
            </w:r>
          </w:p>
        </w:tc>
        <w:tc>
          <w:tcPr>
            <w:tcW w:w="5670" w:type="dxa"/>
          </w:tcPr>
          <w:p w14:paraId="505922BF" w14:textId="759BFFDA" w:rsidR="00221313" w:rsidRPr="009B70E7" w:rsidRDefault="00221313" w:rsidP="00A86956">
            <w:pPr>
              <w:pStyle w:val="ListParagraph"/>
              <w:ind w:left="0"/>
              <w:rPr>
                <w:i/>
              </w:rPr>
            </w:pPr>
            <w:r>
              <w:rPr>
                <w:i/>
              </w:rPr>
              <w:t>Valeria Atzori</w:t>
            </w:r>
          </w:p>
        </w:tc>
      </w:tr>
      <w:tr w:rsidR="00221313" w:rsidRPr="009B70E7" w14:paraId="1F9EC408" w14:textId="77777777" w:rsidTr="00A86956">
        <w:tc>
          <w:tcPr>
            <w:tcW w:w="1418" w:type="dxa"/>
          </w:tcPr>
          <w:p w14:paraId="62C4EEA8" w14:textId="77777777" w:rsidR="00221313" w:rsidRPr="009B70E7" w:rsidRDefault="00221313" w:rsidP="00A86956">
            <w:pPr>
              <w:pStyle w:val="ListParagraph"/>
              <w:ind w:left="601"/>
              <w:rPr>
                <w:i/>
              </w:rPr>
            </w:pPr>
            <w:r>
              <w:rPr>
                <w:i/>
              </w:rPr>
              <w:t>Tél.:</w:t>
            </w:r>
          </w:p>
        </w:tc>
        <w:tc>
          <w:tcPr>
            <w:tcW w:w="5670" w:type="dxa"/>
          </w:tcPr>
          <w:p w14:paraId="38047F92" w14:textId="2E5EBEDE" w:rsidR="00221313" w:rsidRPr="009B70E7" w:rsidRDefault="00221313" w:rsidP="00A86956">
            <w:pPr>
              <w:pStyle w:val="ListParagraph"/>
              <w:ind w:left="0"/>
              <w:rPr>
                <w:i/>
              </w:rPr>
            </w:pPr>
            <w:r>
              <w:rPr>
                <w:i/>
              </w:rPr>
              <w:t>+32 2 546 8774</w:t>
            </w:r>
          </w:p>
        </w:tc>
      </w:tr>
      <w:tr w:rsidR="00221313" w:rsidRPr="001D770D" w14:paraId="0C3A430B" w14:textId="77777777" w:rsidTr="00A86956">
        <w:tc>
          <w:tcPr>
            <w:tcW w:w="1418" w:type="dxa"/>
          </w:tcPr>
          <w:p w14:paraId="28D31F07" w14:textId="77777777" w:rsidR="00221313" w:rsidRPr="009B70E7" w:rsidRDefault="00221313" w:rsidP="00A86956">
            <w:pPr>
              <w:pStyle w:val="ListParagraph"/>
              <w:ind w:left="601"/>
              <w:rPr>
                <w:i/>
              </w:rPr>
            </w:pPr>
            <w:r>
              <w:rPr>
                <w:i/>
              </w:rPr>
              <w:t>Courriel:</w:t>
            </w:r>
          </w:p>
        </w:tc>
        <w:tc>
          <w:tcPr>
            <w:tcW w:w="5670" w:type="dxa"/>
          </w:tcPr>
          <w:p w14:paraId="465A2B41" w14:textId="24662614" w:rsidR="00221313" w:rsidRPr="004E7399" w:rsidRDefault="009D65A9" w:rsidP="00A86956">
            <w:pPr>
              <w:pStyle w:val="ListParagraph"/>
              <w:ind w:left="0"/>
              <w:rPr>
                <w:i/>
                <w:iCs/>
              </w:rPr>
            </w:pPr>
            <w:hyperlink r:id="rId33" w:history="1">
              <w:r w:rsidR="004E7399" w:rsidRPr="004E7399">
                <w:rPr>
                  <w:rStyle w:val="Hyperlink"/>
                  <w:i/>
                  <w:iCs/>
                </w:rPr>
                <w:t>V</w:t>
              </w:r>
              <w:r w:rsidR="007B42E2" w:rsidRPr="004E7399">
                <w:rPr>
                  <w:rStyle w:val="Hyperlink"/>
                  <w:i/>
                  <w:iCs/>
                </w:rPr>
                <w:t>aleria.atzori@eesc.europa.eu</w:t>
              </w:r>
            </w:hyperlink>
          </w:p>
        </w:tc>
      </w:tr>
    </w:tbl>
    <w:p w14:paraId="79424328" w14:textId="7E175222" w:rsidR="00002061" w:rsidRDefault="00002061" w:rsidP="00002061">
      <w:pPr>
        <w:contextualSpacing/>
      </w:pPr>
    </w:p>
    <w:p w14:paraId="4272493B" w14:textId="19490B51" w:rsidR="004E7399" w:rsidRDefault="004E7399">
      <w:pPr>
        <w:spacing w:after="160" w:line="259" w:lineRule="auto"/>
        <w:jc w:val="left"/>
      </w:pPr>
    </w:p>
    <w:p w14:paraId="13643C27" w14:textId="77777777" w:rsidR="004D7AC0" w:rsidRPr="00AD3DB1" w:rsidRDefault="004D7AC0">
      <w:pPr>
        <w:pStyle w:val="Heading1"/>
        <w:rPr>
          <w:b/>
        </w:rPr>
      </w:pPr>
      <w:bookmarkStart w:id="25" w:name="_Toc24617160"/>
      <w:bookmarkStart w:id="26" w:name="_Toc75527082"/>
      <w:bookmarkStart w:id="27" w:name="_Toc108435210"/>
      <w:bookmarkStart w:id="28" w:name="_Toc120198254"/>
      <w:r>
        <w:rPr>
          <w:b/>
        </w:rPr>
        <w:t>TRANSPORTS, ÉNERGIE, INFRASTRUCTURES ET SOCIÉTÉ DE L’INFORMATION</w:t>
      </w:r>
      <w:bookmarkEnd w:id="25"/>
      <w:bookmarkEnd w:id="26"/>
      <w:bookmarkEnd w:id="27"/>
      <w:bookmarkEnd w:id="28"/>
    </w:p>
    <w:p w14:paraId="07646FB3" w14:textId="77777777" w:rsidR="00961956" w:rsidRPr="00AD3DB1" w:rsidRDefault="00961956">
      <w:pPr>
        <w:pStyle w:val="ListParagraph"/>
        <w:ind w:left="0"/>
        <w:rPr>
          <w:lang w:val="en-US"/>
        </w:rPr>
      </w:pPr>
    </w:p>
    <w:p w14:paraId="331DDD1A" w14:textId="18BE2D4D" w:rsidR="00961956" w:rsidRPr="00413EA0" w:rsidRDefault="001543FE" w:rsidP="0018231C">
      <w:pPr>
        <w:pStyle w:val="ListParagraph"/>
        <w:keepNext/>
        <w:numPr>
          <w:ilvl w:val="0"/>
          <w:numId w:val="2"/>
        </w:numPr>
        <w:ind w:left="567" w:hanging="567"/>
        <w:rPr>
          <w:rStyle w:val="Hyperlink"/>
          <w:b/>
          <w:i/>
          <w:color w:val="auto"/>
          <w:sz w:val="28"/>
          <w:szCs w:val="28"/>
          <w:u w:val="none"/>
        </w:rPr>
      </w:pPr>
      <w:bookmarkStart w:id="29" w:name="_Hlk111625863"/>
      <w:r>
        <w:rPr>
          <w:b/>
          <w:i/>
          <w:sz w:val="28"/>
        </w:rPr>
        <w:t>Une vision stratégique de la transition énergétique au service de l’autonomie stratégique de l’UE</w:t>
      </w:r>
    </w:p>
    <w:p w14:paraId="075EF839" w14:textId="77777777" w:rsidR="00413EA0" w:rsidRPr="00413EA0" w:rsidRDefault="00413EA0" w:rsidP="00413EA0">
      <w:pPr>
        <w:keepNext/>
        <w:rPr>
          <w:b/>
          <w:i/>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4E7399" w:rsidRPr="007E7A4F" w14:paraId="07C36F8A" w14:textId="77777777" w:rsidTr="00DA68E9">
        <w:tc>
          <w:tcPr>
            <w:tcW w:w="1701" w:type="dxa"/>
          </w:tcPr>
          <w:p w14:paraId="5169BBBA" w14:textId="525C3F39" w:rsidR="004E7399" w:rsidRPr="009B70E7" w:rsidRDefault="004E7399" w:rsidP="004E7399">
            <w:pPr>
              <w:pStyle w:val="ListParagraph"/>
              <w:ind w:left="0"/>
              <w:rPr>
                <w:b/>
              </w:rPr>
            </w:pPr>
            <w:r>
              <w:rPr>
                <w:b/>
              </w:rPr>
              <w:t>Rapporteur:</w:t>
            </w:r>
          </w:p>
        </w:tc>
        <w:tc>
          <w:tcPr>
            <w:tcW w:w="6096" w:type="dxa"/>
            <w:vMerge w:val="restart"/>
          </w:tcPr>
          <w:p w14:paraId="4D31880F" w14:textId="77777777" w:rsidR="004E7399" w:rsidRPr="007E7A4F" w:rsidRDefault="004E7399" w:rsidP="004E7399">
            <w:pPr>
              <w:pStyle w:val="ListParagraph"/>
              <w:ind w:left="0"/>
            </w:pPr>
            <w:r>
              <w:t>Thomas KATTNIG (groupe des travailleurs — AT)</w:t>
            </w:r>
          </w:p>
          <w:p w14:paraId="003D97C5" w14:textId="77777777" w:rsidR="004E7399" w:rsidRDefault="004E7399" w:rsidP="004E7399">
            <w:pPr>
              <w:pStyle w:val="ListParagraph"/>
              <w:ind w:left="0"/>
            </w:pPr>
            <w:r>
              <w:t>Lutz RIBBE (groupe des organisations de la société civile — DE)</w:t>
            </w:r>
          </w:p>
          <w:p w14:paraId="6053BE96" w14:textId="1687DEA4" w:rsidR="004E7399" w:rsidRPr="007E7A4F" w:rsidRDefault="004E7399" w:rsidP="004E7399">
            <w:pPr>
              <w:pStyle w:val="ListParagraph"/>
              <w:ind w:left="0"/>
            </w:pPr>
            <w:r>
              <w:t xml:space="preserve">Tomasz Andrzej WRÓBLEWSKI (groupe des employeurs </w:t>
            </w:r>
            <w:r w:rsidR="00673C6C">
              <w:t>—</w:t>
            </w:r>
            <w:r w:rsidR="008B74A9">
              <w:t> </w:t>
            </w:r>
            <w:r>
              <w:t>PL)</w:t>
            </w:r>
          </w:p>
        </w:tc>
      </w:tr>
      <w:tr w:rsidR="004E7399" w:rsidRPr="00A74B4C" w14:paraId="30FC10A5" w14:textId="77777777" w:rsidTr="00DA68E9">
        <w:tc>
          <w:tcPr>
            <w:tcW w:w="1701" w:type="dxa"/>
          </w:tcPr>
          <w:p w14:paraId="6F9ABBF3" w14:textId="53392564" w:rsidR="004E7399" w:rsidRPr="009B70E7" w:rsidRDefault="004E7399" w:rsidP="004E7399">
            <w:pPr>
              <w:pStyle w:val="ListParagraph"/>
              <w:ind w:left="0"/>
              <w:rPr>
                <w:b/>
              </w:rPr>
            </w:pPr>
          </w:p>
        </w:tc>
        <w:tc>
          <w:tcPr>
            <w:tcW w:w="6096" w:type="dxa"/>
            <w:vMerge/>
          </w:tcPr>
          <w:p w14:paraId="1E2949AC" w14:textId="1CBB0167" w:rsidR="004E7399" w:rsidRPr="00A74B4C" w:rsidRDefault="004E7399" w:rsidP="004E7399">
            <w:pPr>
              <w:pStyle w:val="ListParagraph"/>
              <w:ind w:left="0"/>
            </w:pPr>
          </w:p>
        </w:tc>
      </w:tr>
    </w:tbl>
    <w:p w14:paraId="714D274D" w14:textId="77777777" w:rsidR="00677979" w:rsidRPr="00824DCF" w:rsidRDefault="00677979" w:rsidP="004E7399">
      <w:pPr>
        <w:pStyle w:val="ListParagraph"/>
        <w:ind w:left="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387"/>
      </w:tblGrid>
      <w:tr w:rsidR="00961956" w:rsidRPr="009B70E7" w14:paraId="4857777C" w14:textId="77777777" w:rsidTr="0018231C">
        <w:tc>
          <w:tcPr>
            <w:tcW w:w="1701" w:type="dxa"/>
            <w:vMerge w:val="restart"/>
          </w:tcPr>
          <w:p w14:paraId="3DF2404C" w14:textId="77777777" w:rsidR="00961956" w:rsidRPr="009B70E7" w:rsidRDefault="00961956" w:rsidP="00027441">
            <w:pPr>
              <w:pStyle w:val="ListParagraph"/>
              <w:spacing w:line="240" w:lineRule="auto"/>
              <w:ind w:left="-63" w:firstLine="142"/>
              <w:rPr>
                <w:b/>
              </w:rPr>
            </w:pPr>
            <w:r>
              <w:rPr>
                <w:b/>
              </w:rPr>
              <w:t xml:space="preserve">Référence: </w:t>
            </w:r>
          </w:p>
        </w:tc>
        <w:tc>
          <w:tcPr>
            <w:tcW w:w="5387" w:type="dxa"/>
          </w:tcPr>
          <w:p w14:paraId="11997CDA" w14:textId="77777777" w:rsidR="00961956" w:rsidRPr="009B70E7" w:rsidRDefault="002C0E2F" w:rsidP="00407760">
            <w:pPr>
              <w:pStyle w:val="ListParagraph"/>
              <w:keepNext/>
              <w:ind w:left="-56"/>
            </w:pPr>
            <w:r>
              <w:t>Avis d’initiative</w:t>
            </w:r>
          </w:p>
        </w:tc>
      </w:tr>
      <w:tr w:rsidR="00961956" w:rsidRPr="009B70E7" w14:paraId="3AF643A2" w14:textId="77777777" w:rsidTr="0018231C">
        <w:tc>
          <w:tcPr>
            <w:tcW w:w="1701" w:type="dxa"/>
            <w:vMerge/>
          </w:tcPr>
          <w:p w14:paraId="5E8FA40A" w14:textId="77777777" w:rsidR="00961956" w:rsidRPr="009B70E7" w:rsidRDefault="00961956" w:rsidP="0018231C">
            <w:pPr>
              <w:pStyle w:val="ListParagraph"/>
              <w:keepNext/>
              <w:ind w:left="0"/>
              <w:rPr>
                <w:b/>
              </w:rPr>
            </w:pPr>
          </w:p>
        </w:tc>
        <w:tc>
          <w:tcPr>
            <w:tcW w:w="5387" w:type="dxa"/>
          </w:tcPr>
          <w:p w14:paraId="47950539" w14:textId="66FD0303" w:rsidR="00961956" w:rsidRPr="009B70E7" w:rsidRDefault="00E65D01" w:rsidP="00407760">
            <w:pPr>
              <w:pStyle w:val="ListParagraph"/>
              <w:keepNext/>
              <w:ind w:left="-56"/>
            </w:pPr>
            <w:r>
              <w:t>EESC-2022-03403-00-00-AC</w:t>
            </w:r>
          </w:p>
        </w:tc>
      </w:tr>
    </w:tbl>
    <w:p w14:paraId="148D7539" w14:textId="77777777" w:rsidR="00961956" w:rsidRPr="009B70E7" w:rsidRDefault="00961956" w:rsidP="004E7399">
      <w:pPr>
        <w:pStyle w:val="ListParagraph"/>
        <w:ind w:left="0"/>
      </w:pPr>
    </w:p>
    <w:p w14:paraId="11D6B73E" w14:textId="1A0B4F05" w:rsidR="00961956" w:rsidRPr="009B70E7" w:rsidRDefault="00961956" w:rsidP="004E7399">
      <w:pPr>
        <w:pStyle w:val="ListParagraph"/>
        <w:keepNext/>
        <w:spacing w:line="240" w:lineRule="auto"/>
        <w:ind w:left="0" w:firstLine="142"/>
        <w:rPr>
          <w:b/>
        </w:rPr>
      </w:pPr>
      <w:r>
        <w:rPr>
          <w:b/>
        </w:rPr>
        <w:t>Points clés</w:t>
      </w:r>
    </w:p>
    <w:p w14:paraId="75408D74" w14:textId="77777777" w:rsidR="00961956" w:rsidRPr="00027441" w:rsidRDefault="00961956" w:rsidP="004E7399">
      <w:pPr>
        <w:pStyle w:val="ListParagraph"/>
        <w:keepNext/>
        <w:spacing w:line="240" w:lineRule="auto"/>
        <w:ind w:left="0" w:firstLine="142"/>
        <w:rPr>
          <w:bCs/>
        </w:rPr>
      </w:pPr>
    </w:p>
    <w:p w14:paraId="487F835E" w14:textId="77777777" w:rsidR="00824DCF" w:rsidRDefault="00824DCF" w:rsidP="004E7399">
      <w:pPr>
        <w:pStyle w:val="ListParagraph"/>
        <w:keepNext/>
        <w:spacing w:line="240" w:lineRule="auto"/>
        <w:ind w:left="0" w:firstLine="142"/>
      </w:pPr>
      <w:r>
        <w:t>Le CESE:</w:t>
      </w:r>
    </w:p>
    <w:p w14:paraId="01290B56"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bCs/>
          <w:iCs/>
        </w:rPr>
      </w:pPr>
      <w:r w:rsidRPr="00311807">
        <w:rPr>
          <w:szCs w:val="20"/>
        </w:rPr>
        <w:t xml:space="preserve">présente </w:t>
      </w:r>
      <w:r w:rsidRPr="00311807">
        <w:rPr>
          <w:b/>
          <w:szCs w:val="20"/>
        </w:rPr>
        <w:t>une vision globale de la transition énergétique</w:t>
      </w:r>
      <w:r w:rsidRPr="00311807">
        <w:rPr>
          <w:szCs w:val="20"/>
        </w:rPr>
        <w:t xml:space="preserve"> afin de construire et de promouvoir </w:t>
      </w:r>
      <w:r w:rsidRPr="00311807">
        <w:rPr>
          <w:b/>
          <w:szCs w:val="20"/>
        </w:rPr>
        <w:t>l’autonomie stratégique de l’Union dans le domaine de l’énergie</w:t>
      </w:r>
      <w:r w:rsidRPr="00311807">
        <w:rPr>
          <w:szCs w:val="20"/>
        </w:rPr>
        <w:t>, sur la base de sept avis d’initiative portant sur différents aspects de la transition énergétique;</w:t>
      </w:r>
      <w:r w:rsidRPr="00311807">
        <w:rPr>
          <w:bCs/>
          <w:iCs/>
          <w:sz w:val="24"/>
          <w:vertAlign w:val="superscript"/>
        </w:rPr>
        <w:footnoteReference w:id="1"/>
      </w:r>
    </w:p>
    <w:p w14:paraId="28C90D6D"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bCs/>
          <w:iCs/>
        </w:rPr>
      </w:pPr>
      <w:r w:rsidRPr="00311807">
        <w:rPr>
          <w:szCs w:val="20"/>
        </w:rPr>
        <w:t xml:space="preserve">soutient </w:t>
      </w:r>
      <w:r w:rsidRPr="00311807">
        <w:rPr>
          <w:b/>
          <w:szCs w:val="20"/>
        </w:rPr>
        <w:t xml:space="preserve">la mise en œuvre de mesures immédiates </w:t>
      </w:r>
      <w:r w:rsidRPr="00311807">
        <w:rPr>
          <w:szCs w:val="20"/>
        </w:rPr>
        <w:t xml:space="preserve">pour résoudre les problèmes les plus urgents, en particulier pour garantir la sécurité de l’approvisionnement à un coût aussi abordable que possible, tant pour les consommateurs que pour l’industrie, et pour </w:t>
      </w:r>
      <w:r w:rsidRPr="00311807">
        <w:rPr>
          <w:b/>
          <w:szCs w:val="20"/>
        </w:rPr>
        <w:t>compenser la perte d’approvisionnement énergétique</w:t>
      </w:r>
      <w:r w:rsidRPr="00311807">
        <w:rPr>
          <w:szCs w:val="20"/>
        </w:rPr>
        <w:t xml:space="preserve"> en provenance de Russie, sans créer de nouvelles dépendances à long terme à l’égard des combustibles fossiles;</w:t>
      </w:r>
    </w:p>
    <w:p w14:paraId="6D68AD6C"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bCs/>
          <w:iCs/>
        </w:rPr>
      </w:pPr>
      <w:r w:rsidRPr="00311807">
        <w:rPr>
          <w:szCs w:val="20"/>
        </w:rPr>
        <w:t xml:space="preserve">estime que les mesures et les objectifs proposés dans le cadre de l’«union européenne de l’énergie» et du pacte vert sont, </w:t>
      </w:r>
      <w:r w:rsidRPr="00311807">
        <w:rPr>
          <w:b/>
          <w:szCs w:val="20"/>
        </w:rPr>
        <w:t>pour l’essentiel, corrects, mais ne sont pas encore suffisants pour amener l’Europe à une «autonomie énergétique stratégique» sûre, durable et compétitive</w:t>
      </w:r>
      <w:r w:rsidRPr="00311807">
        <w:rPr>
          <w:szCs w:val="20"/>
        </w:rPr>
        <w:t xml:space="preserve">; </w:t>
      </w:r>
    </w:p>
    <w:p w14:paraId="0A38F245"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bCs/>
          <w:iCs/>
        </w:rPr>
      </w:pPr>
      <w:r w:rsidRPr="00311807">
        <w:rPr>
          <w:szCs w:val="20"/>
        </w:rPr>
        <w:lastRenderedPageBreak/>
        <w:t>demande que toute mesure prévue au titre de la transition énergétique doive tenir compte de la dimension sociale. Il s’agit là d’un impératif indispensable pour ne pas risquer de saper l’adhésion de l’opinion aux changements qui s’imposent et garantir que la transition soit équitable;</w:t>
      </w:r>
    </w:p>
    <w:p w14:paraId="7E845CD8"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bCs/>
          <w:iCs/>
        </w:rPr>
      </w:pPr>
      <w:r w:rsidRPr="00311807">
        <w:rPr>
          <w:szCs w:val="20"/>
        </w:rPr>
        <w:t>souligne que le caractère «équitable» de la transition ne se réduit pas à une question de financement, mais que celui-ci couvre aussi l’objectif d’instaurer un travail décent, de créer des emplois de haute valeur et de garantir la sécurité sociale, ainsi que de préserver et d’améliorer la compétitivité des entreprises européennes, et qu’elle exige de prendre des mesures spécifiques à tous les niveaux, notamment à celui des régions;</w:t>
      </w:r>
    </w:p>
    <w:p w14:paraId="67FDDF33"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pPr>
      <w:r w:rsidRPr="00311807">
        <w:rPr>
          <w:szCs w:val="20"/>
        </w:rPr>
        <w:t>insiste sur le fait qu’</w:t>
      </w:r>
      <w:r w:rsidRPr="00311807">
        <w:rPr>
          <w:b/>
          <w:szCs w:val="20"/>
        </w:rPr>
        <w:t>il y a lieu de cerner de façon extrêmement précise le potentiel dont l’Europe dispose en matière d’énergies renouvelables et de diffuser largement cette information</w:t>
      </w:r>
      <w:r w:rsidRPr="00311807">
        <w:rPr>
          <w:szCs w:val="20"/>
        </w:rPr>
        <w:t>, pour favoriser une appréhension commune du niveau qu’elle est susceptible d’atteindre pour ce qui est de s’affranchir des importations énergétiques. En plus de tirer parti au plus vite de ces possibilités, l’Union se doit aussi d’exploiter encore plus vigoureusement</w:t>
      </w:r>
      <w:r w:rsidRPr="00311807">
        <w:rPr>
          <w:b/>
          <w:szCs w:val="20"/>
        </w:rPr>
        <w:t xml:space="preserve"> ses gisements d’économies d’énergie</w:t>
      </w:r>
      <w:r w:rsidRPr="00311807">
        <w:rPr>
          <w:szCs w:val="20"/>
        </w:rPr>
        <w:t>;</w:t>
      </w:r>
    </w:p>
    <w:p w14:paraId="723D590D" w14:textId="77777777" w:rsidR="00311807" w:rsidRPr="00311807" w:rsidRDefault="00311807" w:rsidP="00311807">
      <w:pPr>
        <w:numPr>
          <w:ilvl w:val="0"/>
          <w:numId w:val="44"/>
        </w:numPr>
        <w:overflowPunct w:val="0"/>
        <w:autoSpaceDE w:val="0"/>
        <w:autoSpaceDN w:val="0"/>
        <w:adjustRightInd w:val="0"/>
        <w:ind w:left="357" w:hanging="357"/>
        <w:textAlignment w:val="baseline"/>
        <w:outlineLvl w:val="1"/>
        <w:rPr>
          <w:szCs w:val="20"/>
        </w:rPr>
      </w:pPr>
      <w:bookmarkStart w:id="30" w:name="_Toc120198255"/>
      <w:r w:rsidRPr="00311807">
        <w:rPr>
          <w:szCs w:val="20"/>
        </w:rPr>
        <w:t>souligne dans bon nombre de ses avis qu’</w:t>
      </w:r>
      <w:r w:rsidRPr="00311807">
        <w:rPr>
          <w:b/>
          <w:szCs w:val="20"/>
        </w:rPr>
        <w:t>un préalable obligé pour garantir que la transformation s’effectue rapidement consiste à recueillir l’adhésion de la population</w:t>
      </w:r>
      <w:r w:rsidRPr="00311807">
        <w:rPr>
          <w:szCs w:val="20"/>
        </w:rPr>
        <w:t xml:space="preserve">, et renouvelle par conséquent son appel </w:t>
      </w:r>
      <w:r w:rsidRPr="00311807">
        <w:rPr>
          <w:b/>
          <w:szCs w:val="20"/>
        </w:rPr>
        <w:t>à prévoir des mesures d’information et de sensibilisation qui couvrent un large champ</w:t>
      </w:r>
      <w:r w:rsidRPr="00311807">
        <w:rPr>
          <w:szCs w:val="20"/>
        </w:rPr>
        <w:t xml:space="preserve"> tout en étant bien ciblées et dont la mise en œuvre, sur un mode coordonné et attentif aux complémentarités, soit assurée par la Commission et les États membres, ainsi que par les fédérations d’entreprises et chambres professionnelles, les partenaires sociaux et les autres parties prenantes concernées;</w:t>
      </w:r>
      <w:bookmarkEnd w:id="30"/>
    </w:p>
    <w:p w14:paraId="06E3B4E4" w14:textId="77777777" w:rsidR="00311807" w:rsidRPr="00311807" w:rsidRDefault="00311807" w:rsidP="00311807">
      <w:pPr>
        <w:widowControl w:val="0"/>
        <w:numPr>
          <w:ilvl w:val="0"/>
          <w:numId w:val="44"/>
        </w:numPr>
        <w:overflowPunct w:val="0"/>
        <w:autoSpaceDE w:val="0"/>
        <w:autoSpaceDN w:val="0"/>
        <w:adjustRightInd w:val="0"/>
        <w:ind w:left="357" w:hanging="357"/>
        <w:textAlignment w:val="baseline"/>
        <w:rPr>
          <w:rFonts w:asciiTheme="minorHAnsi" w:hAnsiTheme="minorHAnsi"/>
          <w:szCs w:val="20"/>
        </w:rPr>
      </w:pPr>
      <w:r w:rsidRPr="00311807">
        <w:rPr>
          <w:szCs w:val="20"/>
        </w:rPr>
        <w:t>réaffirme qu’il est non seulement nécessaire que les fonds de cohésion sociale et régionale et les aides à la relance soient mobilisés aux fins de la protection du climat et de la transition énergétique, mais qu’</w:t>
      </w:r>
      <w:r w:rsidRPr="00311807">
        <w:rPr>
          <w:b/>
          <w:szCs w:val="20"/>
        </w:rPr>
        <w:t>il s’impose aussi que les politiques en matière climatique et énergétique soient conçues de manière à favoriser cette même cohésion de la société et des régions</w:t>
      </w:r>
      <w:r w:rsidRPr="00311807">
        <w:rPr>
          <w:szCs w:val="20"/>
        </w:rPr>
        <w:t>.</w:t>
      </w:r>
    </w:p>
    <w:p w14:paraId="650EBC4F" w14:textId="77777777" w:rsidR="00961956" w:rsidRPr="00F049D6" w:rsidRDefault="00961956" w:rsidP="00311807">
      <w:pPr>
        <w:ind w:left="357" w:hanging="357"/>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961956" w:rsidRPr="009B70E7" w14:paraId="196AAA5A" w14:textId="77777777" w:rsidTr="00771110">
        <w:tc>
          <w:tcPr>
            <w:tcW w:w="1418" w:type="dxa"/>
          </w:tcPr>
          <w:p w14:paraId="015B1472" w14:textId="682A7154" w:rsidR="00961956" w:rsidRPr="009B70E7" w:rsidRDefault="00140AB0">
            <w:pPr>
              <w:pStyle w:val="ListParagraph"/>
              <w:ind w:left="0"/>
              <w:rPr>
                <w:i/>
              </w:rPr>
            </w:pPr>
            <w:r>
              <w:rPr>
                <w:b/>
                <w:i/>
              </w:rPr>
              <w:t>Contact:</w:t>
            </w:r>
          </w:p>
        </w:tc>
        <w:tc>
          <w:tcPr>
            <w:tcW w:w="5670" w:type="dxa"/>
          </w:tcPr>
          <w:p w14:paraId="1E2C028D" w14:textId="5829509D" w:rsidR="00961956" w:rsidRPr="009B70E7" w:rsidRDefault="00413EA0">
            <w:pPr>
              <w:pStyle w:val="ListParagraph"/>
              <w:ind w:left="0"/>
              <w:rPr>
                <w:i/>
              </w:rPr>
            </w:pPr>
            <w:r>
              <w:rPr>
                <w:i/>
              </w:rPr>
              <w:t>Layla Reiter</w:t>
            </w:r>
          </w:p>
        </w:tc>
      </w:tr>
      <w:tr w:rsidR="00961956" w:rsidRPr="009B70E7" w14:paraId="767EF621" w14:textId="77777777" w:rsidTr="00771110">
        <w:tc>
          <w:tcPr>
            <w:tcW w:w="1418" w:type="dxa"/>
          </w:tcPr>
          <w:p w14:paraId="2C15F67B" w14:textId="77777777" w:rsidR="00961956" w:rsidRPr="009B70E7" w:rsidRDefault="00961956">
            <w:pPr>
              <w:pStyle w:val="ListParagraph"/>
              <w:ind w:left="601"/>
              <w:rPr>
                <w:i/>
              </w:rPr>
            </w:pPr>
            <w:r>
              <w:rPr>
                <w:i/>
              </w:rPr>
              <w:t>Tél.:</w:t>
            </w:r>
          </w:p>
        </w:tc>
        <w:tc>
          <w:tcPr>
            <w:tcW w:w="5670" w:type="dxa"/>
          </w:tcPr>
          <w:p w14:paraId="619D9C38" w14:textId="5732F18A" w:rsidR="00961956" w:rsidRPr="009B70E7" w:rsidRDefault="002C24B9">
            <w:pPr>
              <w:pStyle w:val="ListParagraph"/>
              <w:ind w:left="0"/>
              <w:rPr>
                <w:i/>
              </w:rPr>
            </w:pPr>
            <w:r>
              <w:rPr>
                <w:i/>
              </w:rPr>
              <w:t>+ 32 2 546 9368</w:t>
            </w:r>
          </w:p>
        </w:tc>
      </w:tr>
      <w:tr w:rsidR="00961956" w:rsidRPr="009B70E7" w14:paraId="0B88B3E2" w14:textId="77777777" w:rsidTr="00771110">
        <w:tc>
          <w:tcPr>
            <w:tcW w:w="1418" w:type="dxa"/>
          </w:tcPr>
          <w:p w14:paraId="7FB55A27" w14:textId="77777777" w:rsidR="00961956" w:rsidRPr="009B70E7" w:rsidRDefault="00961956">
            <w:pPr>
              <w:pStyle w:val="ListParagraph"/>
              <w:ind w:left="601"/>
              <w:rPr>
                <w:i/>
              </w:rPr>
            </w:pPr>
            <w:r>
              <w:rPr>
                <w:i/>
              </w:rPr>
              <w:t>Courriel:</w:t>
            </w:r>
          </w:p>
        </w:tc>
        <w:tc>
          <w:tcPr>
            <w:tcW w:w="5670" w:type="dxa"/>
          </w:tcPr>
          <w:p w14:paraId="6B508845" w14:textId="64713716" w:rsidR="00F80F3B" w:rsidRPr="004E7399" w:rsidRDefault="009D65A9">
            <w:pPr>
              <w:pStyle w:val="ListParagraph"/>
              <w:ind w:left="0"/>
              <w:rPr>
                <w:i/>
                <w:iCs/>
              </w:rPr>
            </w:pPr>
            <w:hyperlink r:id="rId34" w:history="1">
              <w:r w:rsidR="007B42E2" w:rsidRPr="004E7399">
                <w:rPr>
                  <w:rStyle w:val="Hyperlink"/>
                  <w:i/>
                  <w:iCs/>
                </w:rPr>
                <w:t>Layla.Reiter@eesc.europa.eu</w:t>
              </w:r>
            </w:hyperlink>
          </w:p>
        </w:tc>
      </w:tr>
      <w:bookmarkEnd w:id="29"/>
    </w:tbl>
    <w:p w14:paraId="3802F4D5" w14:textId="77777777" w:rsidR="00037A85" w:rsidRPr="00276CC9" w:rsidRDefault="00037A85" w:rsidP="0018231C">
      <w:pPr>
        <w:jc w:val="left"/>
        <w:rPr>
          <w:sz w:val="28"/>
        </w:rPr>
      </w:pPr>
    </w:p>
    <w:p w14:paraId="73791747" w14:textId="2422A73A" w:rsidR="00E66A9B" w:rsidRPr="00413EA0" w:rsidRDefault="00F33DD2" w:rsidP="00E66A9B">
      <w:pPr>
        <w:pStyle w:val="ListParagraph"/>
        <w:keepNext/>
        <w:numPr>
          <w:ilvl w:val="0"/>
          <w:numId w:val="2"/>
        </w:numPr>
        <w:ind w:left="567" w:hanging="567"/>
        <w:rPr>
          <w:rStyle w:val="Hyperlink"/>
          <w:b/>
          <w:i/>
          <w:color w:val="auto"/>
          <w:sz w:val="28"/>
          <w:szCs w:val="28"/>
          <w:u w:val="none"/>
        </w:rPr>
      </w:pPr>
      <w:r>
        <w:rPr>
          <w:b/>
          <w:i/>
          <w:sz w:val="28"/>
        </w:rPr>
        <w:t>L’importance des transports publics pour la relance verte de l’Europe</w:t>
      </w:r>
    </w:p>
    <w:p w14:paraId="077F0033" w14:textId="77777777" w:rsidR="00E66A9B" w:rsidRPr="00413EA0" w:rsidRDefault="00E66A9B" w:rsidP="00E66A9B">
      <w:pPr>
        <w:keepNext/>
        <w:rPr>
          <w:b/>
          <w:i/>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6096"/>
      </w:tblGrid>
      <w:tr w:rsidR="00E66A9B" w:rsidRPr="007E7A4F" w14:paraId="7617DBB6" w14:textId="77777777" w:rsidTr="00DA68E9">
        <w:tc>
          <w:tcPr>
            <w:tcW w:w="1701" w:type="dxa"/>
          </w:tcPr>
          <w:p w14:paraId="2E374C51" w14:textId="77777777" w:rsidR="00E66A9B" w:rsidRPr="009B70E7" w:rsidRDefault="00E66A9B" w:rsidP="00027441">
            <w:pPr>
              <w:pStyle w:val="ListParagraph"/>
              <w:keepNext/>
              <w:ind w:left="0"/>
              <w:rPr>
                <w:b/>
              </w:rPr>
            </w:pPr>
            <w:r>
              <w:rPr>
                <w:b/>
              </w:rPr>
              <w:t>Rapporteur:</w:t>
            </w:r>
          </w:p>
        </w:tc>
        <w:tc>
          <w:tcPr>
            <w:tcW w:w="6096" w:type="dxa"/>
          </w:tcPr>
          <w:p w14:paraId="1A778436" w14:textId="4CEB076A" w:rsidR="00E66A9B" w:rsidRPr="007E7A4F" w:rsidRDefault="00F33DD2" w:rsidP="00DA68E9">
            <w:pPr>
              <w:pStyle w:val="ListParagraph"/>
              <w:ind w:left="-108"/>
            </w:pPr>
            <w:r>
              <w:t>Tatjana BABRAUSKIENĖ (groupe des travailleurs</w:t>
            </w:r>
            <w:r w:rsidR="00673C6C">
              <w:t xml:space="preserve"> —</w:t>
            </w:r>
            <w:r>
              <w:t xml:space="preserve"> L</w:t>
            </w:r>
            <w:r w:rsidR="00673C6C">
              <w:t>T</w:t>
            </w:r>
            <w:r>
              <w:t>)</w:t>
            </w:r>
          </w:p>
        </w:tc>
      </w:tr>
      <w:tr w:rsidR="00E66A9B" w:rsidRPr="00A74B4C" w14:paraId="3E966487" w14:textId="77777777" w:rsidTr="00DA68E9">
        <w:tc>
          <w:tcPr>
            <w:tcW w:w="1701" w:type="dxa"/>
          </w:tcPr>
          <w:p w14:paraId="0C54DBFE" w14:textId="77777777" w:rsidR="00E66A9B" w:rsidRPr="009B70E7" w:rsidRDefault="00E66A9B" w:rsidP="00DA68E9">
            <w:pPr>
              <w:pStyle w:val="ListParagraph"/>
              <w:ind w:left="0"/>
              <w:rPr>
                <w:b/>
              </w:rPr>
            </w:pPr>
            <w:r>
              <w:rPr>
                <w:b/>
              </w:rPr>
              <w:t>Corapporteure:</w:t>
            </w:r>
          </w:p>
        </w:tc>
        <w:tc>
          <w:tcPr>
            <w:tcW w:w="6096" w:type="dxa"/>
          </w:tcPr>
          <w:p w14:paraId="2E8850F4" w14:textId="1208D9F1" w:rsidR="00E66A9B" w:rsidRPr="00A74B4C" w:rsidRDefault="00F33DD2" w:rsidP="00DA68E9">
            <w:pPr>
              <w:pStyle w:val="ListParagraph"/>
              <w:ind w:left="-108"/>
            </w:pPr>
            <w:proofErr w:type="spellStart"/>
            <w:r>
              <w:t>Kęstutis</w:t>
            </w:r>
            <w:proofErr w:type="spellEnd"/>
            <w:r>
              <w:t xml:space="preserve"> KUPŠYS (groupe des organisations de la société civile — LT)</w:t>
            </w:r>
          </w:p>
        </w:tc>
      </w:tr>
    </w:tbl>
    <w:p w14:paraId="2495547C" w14:textId="77777777" w:rsidR="00E66A9B" w:rsidRPr="00824DCF" w:rsidRDefault="00E66A9B" w:rsidP="00E66A9B">
      <w:pPr>
        <w:pStyle w:val="ListParagraph"/>
        <w:keepNext/>
        <w:ind w:left="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387"/>
      </w:tblGrid>
      <w:tr w:rsidR="00E66A9B" w:rsidRPr="009B70E7" w14:paraId="73A34406" w14:textId="77777777" w:rsidTr="00DA68E9">
        <w:tc>
          <w:tcPr>
            <w:tcW w:w="1701" w:type="dxa"/>
            <w:vMerge w:val="restart"/>
          </w:tcPr>
          <w:p w14:paraId="6E2D1949" w14:textId="77777777" w:rsidR="00E66A9B" w:rsidRPr="009B70E7" w:rsidRDefault="00E66A9B" w:rsidP="00DA68E9">
            <w:pPr>
              <w:pStyle w:val="ListParagraph"/>
              <w:keepNext/>
              <w:ind w:left="0"/>
              <w:rPr>
                <w:b/>
              </w:rPr>
            </w:pPr>
            <w:r>
              <w:rPr>
                <w:b/>
              </w:rPr>
              <w:t xml:space="preserve">Référence: </w:t>
            </w:r>
          </w:p>
        </w:tc>
        <w:tc>
          <w:tcPr>
            <w:tcW w:w="5387" w:type="dxa"/>
          </w:tcPr>
          <w:p w14:paraId="53300100" w14:textId="77777777" w:rsidR="00E66A9B" w:rsidRPr="009B70E7" w:rsidRDefault="00E66A9B" w:rsidP="00DA68E9">
            <w:pPr>
              <w:pStyle w:val="ListParagraph"/>
              <w:keepNext/>
              <w:ind w:left="-56"/>
            </w:pPr>
            <w:r>
              <w:t>Avis d’initiative</w:t>
            </w:r>
          </w:p>
        </w:tc>
      </w:tr>
      <w:tr w:rsidR="00E66A9B" w:rsidRPr="009B70E7" w14:paraId="26E7293B" w14:textId="77777777" w:rsidTr="00DA68E9">
        <w:tc>
          <w:tcPr>
            <w:tcW w:w="1701" w:type="dxa"/>
            <w:vMerge/>
          </w:tcPr>
          <w:p w14:paraId="59759104" w14:textId="77777777" w:rsidR="00E66A9B" w:rsidRPr="009B70E7" w:rsidRDefault="00E66A9B" w:rsidP="00DA68E9">
            <w:pPr>
              <w:pStyle w:val="ListParagraph"/>
              <w:keepNext/>
              <w:ind w:left="0"/>
              <w:rPr>
                <w:b/>
              </w:rPr>
            </w:pPr>
          </w:p>
        </w:tc>
        <w:tc>
          <w:tcPr>
            <w:tcW w:w="5387" w:type="dxa"/>
          </w:tcPr>
          <w:p w14:paraId="0E492398" w14:textId="4498D876" w:rsidR="00E66A9B" w:rsidRPr="009B70E7" w:rsidRDefault="00E66A9B" w:rsidP="00DA68E9">
            <w:pPr>
              <w:pStyle w:val="ListParagraph"/>
              <w:keepNext/>
              <w:ind w:left="-56"/>
            </w:pPr>
            <w:r>
              <w:t>EESC-2022-006</w:t>
            </w:r>
            <w:r w:rsidR="005C1192">
              <w:t>5</w:t>
            </w:r>
            <w:r>
              <w:t>5-00-00-AC</w:t>
            </w:r>
          </w:p>
        </w:tc>
      </w:tr>
    </w:tbl>
    <w:p w14:paraId="0D2579F4" w14:textId="77777777" w:rsidR="00E66A9B" w:rsidRPr="009B70E7" w:rsidRDefault="00E66A9B" w:rsidP="00E66A9B">
      <w:pPr>
        <w:pStyle w:val="ListParagraph"/>
        <w:keepNext/>
        <w:ind w:left="0"/>
      </w:pPr>
    </w:p>
    <w:p w14:paraId="71C43DFC" w14:textId="22D53DCB" w:rsidR="00E66A9B" w:rsidRPr="00027441" w:rsidRDefault="00E66A9B" w:rsidP="00027441">
      <w:pPr>
        <w:pStyle w:val="ListParagraph"/>
        <w:spacing w:line="240" w:lineRule="auto"/>
        <w:ind w:left="0" w:firstLine="142"/>
        <w:rPr>
          <w:b/>
        </w:rPr>
      </w:pPr>
      <w:r>
        <w:rPr>
          <w:b/>
        </w:rPr>
        <w:t>Points clés</w:t>
      </w:r>
    </w:p>
    <w:p w14:paraId="108ADD2B" w14:textId="77777777" w:rsidR="00E66A9B" w:rsidRDefault="00E66A9B" w:rsidP="00B53E10">
      <w:pPr>
        <w:pStyle w:val="ListParagraph"/>
        <w:keepNext/>
        <w:ind w:left="0"/>
      </w:pPr>
    </w:p>
    <w:p w14:paraId="3A536E66" w14:textId="77777777" w:rsidR="00E66A9B" w:rsidRDefault="00E66A9B" w:rsidP="00B53E10">
      <w:pPr>
        <w:pStyle w:val="ListParagraph"/>
        <w:keepNext/>
        <w:spacing w:line="240" w:lineRule="auto"/>
        <w:ind w:left="0" w:firstLine="142"/>
      </w:pPr>
      <w:bookmarkStart w:id="31" w:name="_Hlk113974725"/>
      <w:r>
        <w:t>Le CESE:</w:t>
      </w:r>
      <w:bookmarkEnd w:id="31"/>
    </w:p>
    <w:p w14:paraId="2DBF063D" w14:textId="77777777" w:rsidR="00E66A9B" w:rsidRPr="009B70E7" w:rsidRDefault="00E66A9B" w:rsidP="00B53E10">
      <w:pPr>
        <w:pStyle w:val="ListParagraph"/>
        <w:keepNext/>
        <w:ind w:left="0"/>
      </w:pPr>
    </w:p>
    <w:p w14:paraId="3B6F42B6" w14:textId="77777777" w:rsidR="005C1192" w:rsidRPr="005C1192" w:rsidRDefault="005C1192" w:rsidP="003256C3">
      <w:pPr>
        <w:widowControl w:val="0"/>
        <w:numPr>
          <w:ilvl w:val="0"/>
          <w:numId w:val="18"/>
        </w:numPr>
        <w:ind w:left="357" w:hanging="357"/>
        <w:rPr>
          <w:bCs/>
          <w:iCs/>
        </w:rPr>
      </w:pPr>
      <w:r w:rsidRPr="005C1192">
        <w:t xml:space="preserve">reconnaît que les transports publics constituent une part importante de la réponse à la relance écologique de l’Europe après la pandémie, </w:t>
      </w:r>
      <w:r w:rsidRPr="005C1192">
        <w:rPr>
          <w:b/>
        </w:rPr>
        <w:t>qu’ils apportent une réponse aux préoccupations climatiques et contribuent à la qualité de vie</w:t>
      </w:r>
      <w:r w:rsidRPr="005C1192">
        <w:t>, tout en permettant d’accéder à la vie économique, sociale et culturelle;</w:t>
      </w:r>
    </w:p>
    <w:p w14:paraId="365F2606" w14:textId="77777777" w:rsidR="005C1192" w:rsidRPr="005C1192" w:rsidRDefault="005C1192" w:rsidP="003256C3">
      <w:pPr>
        <w:widowControl w:val="0"/>
        <w:numPr>
          <w:ilvl w:val="0"/>
          <w:numId w:val="18"/>
        </w:numPr>
        <w:ind w:left="357" w:hanging="357"/>
        <w:rPr>
          <w:bCs/>
          <w:iCs/>
        </w:rPr>
      </w:pPr>
      <w:r w:rsidRPr="005C1192">
        <w:lastRenderedPageBreak/>
        <w:t xml:space="preserve">estime que la réalisation d’une mobilité durable nécessite </w:t>
      </w:r>
      <w:r w:rsidRPr="005C1192">
        <w:rPr>
          <w:b/>
        </w:rPr>
        <w:t>un engagement politique fort de la part de tous les acteurs, et à tous les niveaux</w:t>
      </w:r>
      <w:r w:rsidRPr="005C1192">
        <w:t xml:space="preserve">, si l’on veut garantir à la fois </w:t>
      </w:r>
      <w:r w:rsidRPr="005C1192">
        <w:rPr>
          <w:b/>
        </w:rPr>
        <w:t>des services de haute qualité</w:t>
      </w:r>
      <w:r w:rsidRPr="005C1192">
        <w:t xml:space="preserve"> et </w:t>
      </w:r>
      <w:r w:rsidRPr="005C1192">
        <w:rPr>
          <w:b/>
        </w:rPr>
        <w:t>des conditions de fonctionnement correctes et aussi une protection sociale pour les salariés</w:t>
      </w:r>
      <w:r w:rsidRPr="005C1192">
        <w:t xml:space="preserve">; </w:t>
      </w:r>
    </w:p>
    <w:p w14:paraId="7B427FDB" w14:textId="77777777" w:rsidR="005C1192" w:rsidRPr="005C1192" w:rsidRDefault="005C1192" w:rsidP="003256C3">
      <w:pPr>
        <w:widowControl w:val="0"/>
        <w:numPr>
          <w:ilvl w:val="0"/>
          <w:numId w:val="18"/>
        </w:numPr>
        <w:ind w:left="357" w:hanging="357"/>
        <w:rPr>
          <w:bCs/>
          <w:iCs/>
        </w:rPr>
      </w:pPr>
      <w:r w:rsidRPr="005C1192">
        <w:t xml:space="preserve">préconise </w:t>
      </w:r>
      <w:r w:rsidRPr="005C1192">
        <w:rPr>
          <w:b/>
        </w:rPr>
        <w:t>des mécanismes de dialogue social forts</w:t>
      </w:r>
      <w:r w:rsidRPr="005C1192">
        <w:t xml:space="preserve"> pour garantir que les stratégies et les mesures de relance répondent aux besoins et aux attentes de tous, et de rendre </w:t>
      </w:r>
      <w:r w:rsidRPr="005C1192">
        <w:rPr>
          <w:b/>
        </w:rPr>
        <w:t>le secteur durable sur les plans économique et social</w:t>
      </w:r>
      <w:r w:rsidRPr="005C1192">
        <w:t xml:space="preserve">; </w:t>
      </w:r>
    </w:p>
    <w:p w14:paraId="412FDFEE" w14:textId="77777777" w:rsidR="005C1192" w:rsidRPr="005C1192" w:rsidRDefault="005C1192" w:rsidP="003256C3">
      <w:pPr>
        <w:widowControl w:val="0"/>
        <w:numPr>
          <w:ilvl w:val="0"/>
          <w:numId w:val="18"/>
        </w:numPr>
        <w:ind w:left="357" w:hanging="357"/>
        <w:rPr>
          <w:bCs/>
          <w:iCs/>
        </w:rPr>
      </w:pPr>
      <w:r w:rsidRPr="005C1192">
        <w:t xml:space="preserve">demande que </w:t>
      </w:r>
      <w:r w:rsidRPr="005C1192">
        <w:rPr>
          <w:b/>
        </w:rPr>
        <w:t>les procédures de passation des marchés publics soient pleinement respectées</w:t>
      </w:r>
      <w:r w:rsidRPr="005C1192">
        <w:t xml:space="preserve"> et que des critères sociaux et de qualité des services soient inclus dans les contrats de service public;</w:t>
      </w:r>
    </w:p>
    <w:p w14:paraId="64AE928A" w14:textId="77777777" w:rsidR="005C1192" w:rsidRPr="005C1192" w:rsidRDefault="005C1192" w:rsidP="003256C3">
      <w:pPr>
        <w:widowControl w:val="0"/>
        <w:numPr>
          <w:ilvl w:val="0"/>
          <w:numId w:val="18"/>
        </w:numPr>
        <w:ind w:left="357" w:hanging="357"/>
      </w:pPr>
      <w:r w:rsidRPr="005C1192">
        <w:t xml:space="preserve">estime que de bonnes conditions de travail et un personnel motivé et bien formé sont essentiels pour fournir des services de qualité. Fournir à tous </w:t>
      </w:r>
      <w:r w:rsidRPr="005C1192">
        <w:rPr>
          <w:b/>
        </w:rPr>
        <w:t>des services de transports publics ayant du personnel en nombre suffisant, accessibles, abordables, sûrs et de qualité</w:t>
      </w:r>
      <w:r w:rsidRPr="005C1192">
        <w:t xml:space="preserve"> doit être un objectif prioritaire de l’Union européenne.</w:t>
      </w:r>
    </w:p>
    <w:p w14:paraId="32BD194E" w14:textId="77777777" w:rsidR="00E66A9B" w:rsidRPr="005C1192" w:rsidRDefault="00E66A9B" w:rsidP="005C1192">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E66A9B" w:rsidRPr="009B70E7" w14:paraId="0EC28AAE" w14:textId="77777777" w:rsidTr="00DA68E9">
        <w:tc>
          <w:tcPr>
            <w:tcW w:w="1418" w:type="dxa"/>
          </w:tcPr>
          <w:p w14:paraId="1B80A03A" w14:textId="5C83E863" w:rsidR="00E66A9B" w:rsidRPr="009B70E7" w:rsidRDefault="00140AB0" w:rsidP="00DA68E9">
            <w:pPr>
              <w:pStyle w:val="ListParagraph"/>
              <w:ind w:left="0"/>
              <w:rPr>
                <w:i/>
              </w:rPr>
            </w:pPr>
            <w:bookmarkStart w:id="32" w:name="_Hlk116898525"/>
            <w:r>
              <w:rPr>
                <w:b/>
                <w:i/>
              </w:rPr>
              <w:t>Contact:</w:t>
            </w:r>
          </w:p>
        </w:tc>
        <w:tc>
          <w:tcPr>
            <w:tcW w:w="5670" w:type="dxa"/>
          </w:tcPr>
          <w:p w14:paraId="308F9136" w14:textId="4F9B0795" w:rsidR="00E66A9B" w:rsidRPr="009B70E7" w:rsidRDefault="00F33DD2" w:rsidP="00DA68E9">
            <w:pPr>
              <w:pStyle w:val="ListParagraph"/>
              <w:ind w:left="0"/>
              <w:rPr>
                <w:i/>
              </w:rPr>
            </w:pPr>
            <w:r>
              <w:rPr>
                <w:i/>
              </w:rPr>
              <w:t>Maja </w:t>
            </w:r>
            <w:proofErr w:type="spellStart"/>
            <w:r>
              <w:rPr>
                <w:i/>
              </w:rPr>
              <w:t>Radman</w:t>
            </w:r>
            <w:proofErr w:type="spellEnd"/>
          </w:p>
        </w:tc>
      </w:tr>
      <w:tr w:rsidR="00E66A9B" w:rsidRPr="009B70E7" w14:paraId="5B82065B" w14:textId="77777777" w:rsidTr="00DA68E9">
        <w:tc>
          <w:tcPr>
            <w:tcW w:w="1418" w:type="dxa"/>
          </w:tcPr>
          <w:p w14:paraId="584EE251" w14:textId="77777777" w:rsidR="00E66A9B" w:rsidRPr="009B70E7" w:rsidRDefault="00E66A9B" w:rsidP="00DA68E9">
            <w:pPr>
              <w:pStyle w:val="ListParagraph"/>
              <w:ind w:left="601"/>
              <w:rPr>
                <w:i/>
              </w:rPr>
            </w:pPr>
            <w:r>
              <w:rPr>
                <w:i/>
              </w:rPr>
              <w:t>Tél.</w:t>
            </w:r>
          </w:p>
        </w:tc>
        <w:tc>
          <w:tcPr>
            <w:tcW w:w="5670" w:type="dxa"/>
          </w:tcPr>
          <w:p w14:paraId="654D249A" w14:textId="37F92ABE" w:rsidR="00E66A9B" w:rsidRPr="009B70E7" w:rsidRDefault="00E66A9B" w:rsidP="00DA68E9">
            <w:pPr>
              <w:pStyle w:val="ListParagraph"/>
              <w:ind w:left="0"/>
              <w:rPr>
                <w:i/>
              </w:rPr>
            </w:pPr>
            <w:r>
              <w:rPr>
                <w:i/>
              </w:rPr>
              <w:t>+32 2 546 9051</w:t>
            </w:r>
          </w:p>
        </w:tc>
      </w:tr>
      <w:tr w:rsidR="00E66A9B" w:rsidRPr="009B70E7" w14:paraId="5EF668E5" w14:textId="77777777" w:rsidTr="00DA68E9">
        <w:tc>
          <w:tcPr>
            <w:tcW w:w="1418" w:type="dxa"/>
          </w:tcPr>
          <w:p w14:paraId="263AA5CE" w14:textId="77777777" w:rsidR="00E66A9B" w:rsidRPr="009B70E7" w:rsidRDefault="00E66A9B" w:rsidP="00DA68E9">
            <w:pPr>
              <w:pStyle w:val="ListParagraph"/>
              <w:ind w:left="601"/>
              <w:rPr>
                <w:i/>
              </w:rPr>
            </w:pPr>
            <w:r>
              <w:rPr>
                <w:i/>
              </w:rPr>
              <w:t>Courriel:</w:t>
            </w:r>
          </w:p>
        </w:tc>
        <w:tc>
          <w:tcPr>
            <w:tcW w:w="5670" w:type="dxa"/>
          </w:tcPr>
          <w:p w14:paraId="32F79406" w14:textId="0404361C" w:rsidR="00E66A9B" w:rsidRPr="00F33DD2" w:rsidRDefault="009D65A9" w:rsidP="00DA68E9">
            <w:pPr>
              <w:pStyle w:val="ListParagraph"/>
              <w:ind w:left="0"/>
              <w:rPr>
                <w:i/>
                <w:iCs/>
              </w:rPr>
            </w:pPr>
            <w:hyperlink r:id="rId35" w:history="1">
              <w:r w:rsidR="005C1192" w:rsidRPr="00F33DD2">
                <w:rPr>
                  <w:rStyle w:val="Hyperlink"/>
                  <w:i/>
                  <w:iCs/>
                </w:rPr>
                <w:t>Maja.Radman</w:t>
              </w:r>
              <w:r w:rsidR="005C1192" w:rsidRPr="00F33DD2">
                <w:rPr>
                  <w:rStyle w:val="Hyperlink"/>
                  <w:i/>
                  <w:iCs/>
                  <w:lang w:bidi="fr-FR"/>
                </w:rPr>
                <w:t>@eesc.europa.eu</w:t>
              </w:r>
            </w:hyperlink>
          </w:p>
        </w:tc>
      </w:tr>
      <w:bookmarkEnd w:id="32"/>
    </w:tbl>
    <w:p w14:paraId="085FE399" w14:textId="77777777" w:rsidR="00037A85" w:rsidRPr="00276CC9" w:rsidRDefault="00037A85" w:rsidP="0018231C">
      <w:pPr>
        <w:jc w:val="left"/>
        <w:rPr>
          <w:sz w:val="28"/>
        </w:rPr>
      </w:pPr>
    </w:p>
    <w:p w14:paraId="401CAB05" w14:textId="01613FEA" w:rsidR="00D76363" w:rsidRPr="009B70E7" w:rsidRDefault="00676CBB" w:rsidP="00D76363">
      <w:pPr>
        <w:pStyle w:val="ListParagraph"/>
        <w:keepNext/>
        <w:numPr>
          <w:ilvl w:val="0"/>
          <w:numId w:val="2"/>
        </w:numPr>
        <w:ind w:left="567" w:hanging="567"/>
        <w:rPr>
          <w:b/>
          <w:i/>
          <w:sz w:val="28"/>
          <w:szCs w:val="28"/>
        </w:rPr>
      </w:pPr>
      <w:bookmarkStart w:id="33" w:name="_Hlk113975861"/>
      <w:r>
        <w:rPr>
          <w:b/>
          <w:i/>
          <w:sz w:val="28"/>
        </w:rPr>
        <w:t>Corridors de solidarité UE-Ukraine</w:t>
      </w:r>
    </w:p>
    <w:p w14:paraId="26D9A939" w14:textId="77777777" w:rsidR="00D76363" w:rsidRPr="009B70E7" w:rsidRDefault="00D76363" w:rsidP="00D76363">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812"/>
      </w:tblGrid>
      <w:tr w:rsidR="00D76363" w:rsidRPr="009B70E7" w14:paraId="1BC08D1D" w14:textId="77777777" w:rsidTr="00F049D6">
        <w:tc>
          <w:tcPr>
            <w:tcW w:w="1701" w:type="dxa"/>
          </w:tcPr>
          <w:p w14:paraId="073DB159" w14:textId="77777777" w:rsidR="00D76363" w:rsidRPr="009B70E7" w:rsidRDefault="00D76363" w:rsidP="001513FD">
            <w:pPr>
              <w:pStyle w:val="ListParagraph"/>
              <w:keepNext/>
              <w:ind w:left="0"/>
              <w:rPr>
                <w:b/>
              </w:rPr>
            </w:pPr>
            <w:r>
              <w:rPr>
                <w:b/>
              </w:rPr>
              <w:t>Rapporteur:</w:t>
            </w:r>
          </w:p>
        </w:tc>
        <w:tc>
          <w:tcPr>
            <w:tcW w:w="5812" w:type="dxa"/>
          </w:tcPr>
          <w:p w14:paraId="64C95B4D" w14:textId="4C41F369" w:rsidR="00D76363" w:rsidRPr="009B70E7" w:rsidRDefault="00676CBB" w:rsidP="00F049D6">
            <w:pPr>
              <w:pStyle w:val="ListParagraph"/>
              <w:keepNext/>
              <w:ind w:left="-56" w:right="-453"/>
            </w:pPr>
            <w:r>
              <w:t>Marcin NOWACKI (groupe des employeurs</w:t>
            </w:r>
            <w:r w:rsidR="00673C6C">
              <w:t xml:space="preserve"> — PL</w:t>
            </w:r>
            <w:r>
              <w:t>)</w:t>
            </w:r>
          </w:p>
        </w:tc>
      </w:tr>
      <w:tr w:rsidR="00D76363" w:rsidRPr="009B70E7" w14:paraId="206D71D0" w14:textId="77777777" w:rsidTr="00F049D6">
        <w:tc>
          <w:tcPr>
            <w:tcW w:w="7513" w:type="dxa"/>
            <w:gridSpan w:val="2"/>
          </w:tcPr>
          <w:p w14:paraId="44F259D7" w14:textId="77777777" w:rsidR="00D76363" w:rsidRPr="009B70E7" w:rsidRDefault="00D76363" w:rsidP="001513FD">
            <w:pPr>
              <w:pStyle w:val="ListParagraph"/>
              <w:keepNext/>
              <w:ind w:left="0"/>
            </w:pPr>
          </w:p>
        </w:tc>
      </w:tr>
      <w:tr w:rsidR="00D76363" w:rsidRPr="009B70E7" w14:paraId="006CBBBB" w14:textId="77777777" w:rsidTr="00F049D6">
        <w:tc>
          <w:tcPr>
            <w:tcW w:w="1701" w:type="dxa"/>
            <w:vMerge w:val="restart"/>
          </w:tcPr>
          <w:p w14:paraId="21B3F0D6" w14:textId="77777777" w:rsidR="00D76363" w:rsidRPr="009B70E7" w:rsidRDefault="00D76363" w:rsidP="001513FD">
            <w:pPr>
              <w:pStyle w:val="ListParagraph"/>
              <w:keepNext/>
              <w:ind w:left="0"/>
              <w:rPr>
                <w:b/>
              </w:rPr>
            </w:pPr>
            <w:r>
              <w:rPr>
                <w:b/>
              </w:rPr>
              <w:t xml:space="preserve">Références: </w:t>
            </w:r>
          </w:p>
        </w:tc>
        <w:tc>
          <w:tcPr>
            <w:tcW w:w="5812" w:type="dxa"/>
          </w:tcPr>
          <w:p w14:paraId="0F2B0508" w14:textId="1651C363" w:rsidR="00D76363" w:rsidRPr="009B70E7" w:rsidRDefault="00B53E10" w:rsidP="001513FD">
            <w:pPr>
              <w:pStyle w:val="ListParagraph"/>
              <w:keepNext/>
              <w:ind w:left="-56"/>
            </w:pPr>
            <w:r>
              <w:t>COM(2022) </w:t>
            </w:r>
            <w:r w:rsidR="00D76363">
              <w:t>217</w:t>
            </w:r>
            <w:r w:rsidR="009B12BE">
              <w:t> final</w:t>
            </w:r>
          </w:p>
        </w:tc>
      </w:tr>
      <w:tr w:rsidR="00D76363" w:rsidRPr="009B70E7" w14:paraId="44A197BD" w14:textId="77777777" w:rsidTr="00F049D6">
        <w:tc>
          <w:tcPr>
            <w:tcW w:w="1701" w:type="dxa"/>
            <w:vMerge/>
          </w:tcPr>
          <w:p w14:paraId="666AB4C5" w14:textId="77777777" w:rsidR="00D76363" w:rsidRPr="009B70E7" w:rsidRDefault="00D76363" w:rsidP="001513FD">
            <w:pPr>
              <w:pStyle w:val="ListParagraph"/>
              <w:keepNext/>
              <w:ind w:left="0"/>
              <w:rPr>
                <w:b/>
              </w:rPr>
            </w:pPr>
          </w:p>
        </w:tc>
        <w:tc>
          <w:tcPr>
            <w:tcW w:w="5812" w:type="dxa"/>
          </w:tcPr>
          <w:p w14:paraId="26A5E07B" w14:textId="3989ED1B" w:rsidR="00D76363" w:rsidRPr="009B70E7" w:rsidRDefault="00E65D01" w:rsidP="001513FD">
            <w:pPr>
              <w:pStyle w:val="ListParagraph"/>
              <w:keepNext/>
              <w:ind w:left="-56"/>
            </w:pPr>
            <w:r>
              <w:t>EESC-2022-03296-00-00-AC</w:t>
            </w:r>
          </w:p>
        </w:tc>
      </w:tr>
    </w:tbl>
    <w:p w14:paraId="06470B53" w14:textId="77777777" w:rsidR="00D76363" w:rsidRPr="009B70E7" w:rsidRDefault="00D76363" w:rsidP="00D76363">
      <w:pPr>
        <w:pStyle w:val="ListParagraph"/>
        <w:keepNext/>
        <w:ind w:left="0"/>
      </w:pPr>
    </w:p>
    <w:p w14:paraId="6E8A2493" w14:textId="0ABC5100" w:rsidR="00F049D6" w:rsidRPr="00CE23CC" w:rsidRDefault="00CE23CC" w:rsidP="00027441">
      <w:pPr>
        <w:pStyle w:val="ListParagraph"/>
        <w:spacing w:line="240" w:lineRule="auto"/>
        <w:ind w:left="0" w:firstLine="142"/>
        <w:rPr>
          <w:b/>
        </w:rPr>
      </w:pPr>
      <w:r>
        <w:rPr>
          <w:b/>
        </w:rPr>
        <w:t>Points clés</w:t>
      </w:r>
    </w:p>
    <w:p w14:paraId="44AA08CC" w14:textId="77106A21" w:rsidR="00F049D6" w:rsidRDefault="00F049D6" w:rsidP="00D76363">
      <w:pPr>
        <w:pStyle w:val="ListParagraph"/>
        <w:ind w:left="0"/>
      </w:pPr>
    </w:p>
    <w:p w14:paraId="4BC47BC2" w14:textId="4235E7EB" w:rsidR="003C5614" w:rsidRPr="00027441" w:rsidRDefault="003C5614" w:rsidP="00027441">
      <w:pPr>
        <w:pStyle w:val="ListParagraph"/>
        <w:spacing w:line="240" w:lineRule="auto"/>
        <w:ind w:left="0" w:firstLine="142"/>
        <w:rPr>
          <w:bCs/>
        </w:rPr>
      </w:pPr>
      <w:bookmarkStart w:id="34" w:name="_Hlk113974934"/>
      <w:r>
        <w:t>Le CESE:</w:t>
      </w:r>
      <w:bookmarkEnd w:id="34"/>
    </w:p>
    <w:p w14:paraId="290F00A2" w14:textId="77777777" w:rsidR="003C5614" w:rsidRPr="009B70E7" w:rsidRDefault="003C5614" w:rsidP="00D76363">
      <w:pPr>
        <w:pStyle w:val="ListParagraph"/>
        <w:ind w:left="0"/>
      </w:pPr>
    </w:p>
    <w:p w14:paraId="61988BA8" w14:textId="77777777" w:rsidR="009A71C8" w:rsidRPr="009A71C8" w:rsidRDefault="009A71C8" w:rsidP="003256C3">
      <w:pPr>
        <w:widowControl w:val="0"/>
        <w:numPr>
          <w:ilvl w:val="0"/>
          <w:numId w:val="19"/>
        </w:numPr>
        <w:overflowPunct w:val="0"/>
        <w:autoSpaceDE w:val="0"/>
        <w:autoSpaceDN w:val="0"/>
        <w:adjustRightInd w:val="0"/>
        <w:ind w:left="357" w:hanging="357"/>
        <w:textAlignment w:val="baseline"/>
        <w:rPr>
          <w:bCs/>
          <w:iCs/>
        </w:rPr>
      </w:pPr>
      <w:r w:rsidRPr="009A71C8">
        <w:rPr>
          <w:szCs w:val="20"/>
        </w:rPr>
        <w:t xml:space="preserve">appelle à lancer des actions pour </w:t>
      </w:r>
      <w:r w:rsidRPr="009A71C8">
        <w:rPr>
          <w:b/>
          <w:szCs w:val="20"/>
        </w:rPr>
        <w:t>améliorer les procédures de dédouanement</w:t>
      </w:r>
      <w:r w:rsidRPr="009A71C8">
        <w:rPr>
          <w:szCs w:val="20"/>
        </w:rPr>
        <w:t xml:space="preserve"> aux points de passage frontaliers, en augmentant le nombre d’agents y affectés et en accroissant la coopération entre les fonctionnaires des pays de l’Union et ceux de l’Ukraine;</w:t>
      </w:r>
    </w:p>
    <w:p w14:paraId="34328FB0" w14:textId="77777777" w:rsidR="009A71C8" w:rsidRPr="009A71C8" w:rsidRDefault="009A71C8" w:rsidP="003256C3">
      <w:pPr>
        <w:widowControl w:val="0"/>
        <w:numPr>
          <w:ilvl w:val="0"/>
          <w:numId w:val="19"/>
        </w:numPr>
        <w:overflowPunct w:val="0"/>
        <w:autoSpaceDE w:val="0"/>
        <w:autoSpaceDN w:val="0"/>
        <w:adjustRightInd w:val="0"/>
        <w:ind w:left="357" w:hanging="357"/>
        <w:textAlignment w:val="baseline"/>
        <w:rPr>
          <w:bCs/>
          <w:iCs/>
        </w:rPr>
      </w:pPr>
      <w:r w:rsidRPr="009A71C8">
        <w:rPr>
          <w:szCs w:val="20"/>
        </w:rPr>
        <w:t>relève qu’il s’impose d’</w:t>
      </w:r>
      <w:r w:rsidRPr="009A71C8">
        <w:rPr>
          <w:b/>
          <w:szCs w:val="20"/>
        </w:rPr>
        <w:t>investir d’urgence dans des infrastructures</w:t>
      </w:r>
      <w:r w:rsidRPr="009A71C8">
        <w:rPr>
          <w:szCs w:val="20"/>
        </w:rPr>
        <w:t xml:space="preserve"> afin d’agrandir les points de passage frontaliers, avec l’appui des fonds européens, nécessaire pour soutenir le déroulement des investissements, octroyer des garanties de paiement et fournir des assurances aux entrepreneurs actifs dans le transport de marchandises entre l’Union européenne et l’Ukraine;</w:t>
      </w:r>
    </w:p>
    <w:p w14:paraId="12BF1CBF" w14:textId="77777777" w:rsidR="009A71C8" w:rsidRPr="009A71C8" w:rsidRDefault="009A71C8" w:rsidP="003256C3">
      <w:pPr>
        <w:widowControl w:val="0"/>
        <w:numPr>
          <w:ilvl w:val="0"/>
          <w:numId w:val="19"/>
        </w:numPr>
        <w:overflowPunct w:val="0"/>
        <w:autoSpaceDE w:val="0"/>
        <w:autoSpaceDN w:val="0"/>
        <w:adjustRightInd w:val="0"/>
        <w:ind w:left="357" w:hanging="357"/>
        <w:textAlignment w:val="baseline"/>
        <w:rPr>
          <w:bCs/>
          <w:iCs/>
        </w:rPr>
      </w:pPr>
      <w:r w:rsidRPr="009A71C8">
        <w:rPr>
          <w:szCs w:val="20"/>
        </w:rPr>
        <w:t xml:space="preserve">considère que l’extension des infrastructures ferroviaires européennes dans le cadre du projet de corridor reliant la Pologne, l’Ukraine et la Roumanie, pourrait constituer la </w:t>
      </w:r>
      <w:r w:rsidRPr="009A71C8">
        <w:rPr>
          <w:b/>
          <w:szCs w:val="20"/>
        </w:rPr>
        <w:t>branche orientale du nouveau corridor du réseau transeuropéen de transport (RTE-T) entre les mers Baltique, Noire et Égée</w:t>
      </w:r>
      <w:r w:rsidRPr="009A71C8">
        <w:rPr>
          <w:szCs w:val="20"/>
        </w:rPr>
        <w:t>;</w:t>
      </w:r>
    </w:p>
    <w:p w14:paraId="48BE7BA4" w14:textId="77777777" w:rsidR="009A71C8" w:rsidRPr="009A71C8" w:rsidRDefault="009A71C8" w:rsidP="003256C3">
      <w:pPr>
        <w:widowControl w:val="0"/>
        <w:numPr>
          <w:ilvl w:val="0"/>
          <w:numId w:val="19"/>
        </w:numPr>
        <w:overflowPunct w:val="0"/>
        <w:autoSpaceDE w:val="0"/>
        <w:autoSpaceDN w:val="0"/>
        <w:adjustRightInd w:val="0"/>
        <w:ind w:left="357" w:hanging="357"/>
        <w:textAlignment w:val="baseline"/>
        <w:rPr>
          <w:sz w:val="24"/>
          <w:szCs w:val="24"/>
        </w:rPr>
      </w:pPr>
      <w:r w:rsidRPr="009A71C8">
        <w:rPr>
          <w:szCs w:val="20"/>
        </w:rPr>
        <w:t>relève que les incertitudes et le risque que les investissements consentis soient surdimensionnés représentent un point de blocage majeur à surmonter pour amener le secteur privé à investir, et tient pour nécessaire d’élaborer des instruments financiers qui couvrent les risques assumés par des entreprises privées pour réaliser des investissements essentiels dans les infrastructures de transport et de stockage de céréales.</w:t>
      </w:r>
    </w:p>
    <w:p w14:paraId="450C439D" w14:textId="77777777" w:rsidR="00D76363" w:rsidRPr="009B70E7" w:rsidRDefault="00D76363" w:rsidP="00D763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676CBB" w:rsidRPr="009B70E7" w14:paraId="6541B997" w14:textId="77777777" w:rsidTr="00FC44B4">
        <w:tc>
          <w:tcPr>
            <w:tcW w:w="1418" w:type="dxa"/>
          </w:tcPr>
          <w:p w14:paraId="45A02EAA" w14:textId="271736E9" w:rsidR="00676CBB" w:rsidRPr="009B70E7" w:rsidRDefault="00140AB0" w:rsidP="00FC44B4">
            <w:pPr>
              <w:pStyle w:val="ListParagraph"/>
              <w:ind w:left="0"/>
              <w:rPr>
                <w:i/>
              </w:rPr>
            </w:pPr>
            <w:bookmarkStart w:id="35" w:name="_Hlk116900283"/>
            <w:bookmarkEnd w:id="33"/>
            <w:r>
              <w:rPr>
                <w:b/>
                <w:i/>
              </w:rPr>
              <w:t>Contact:</w:t>
            </w:r>
          </w:p>
        </w:tc>
        <w:tc>
          <w:tcPr>
            <w:tcW w:w="5670" w:type="dxa"/>
          </w:tcPr>
          <w:p w14:paraId="2D2AFD3C" w14:textId="77777777" w:rsidR="00676CBB" w:rsidRPr="009B70E7" w:rsidRDefault="00676CBB" w:rsidP="00FC44B4">
            <w:pPr>
              <w:pStyle w:val="ListParagraph"/>
              <w:ind w:left="0"/>
              <w:rPr>
                <w:i/>
              </w:rPr>
            </w:pPr>
            <w:r>
              <w:rPr>
                <w:i/>
              </w:rPr>
              <w:t>Maja </w:t>
            </w:r>
            <w:proofErr w:type="spellStart"/>
            <w:r>
              <w:rPr>
                <w:i/>
              </w:rPr>
              <w:t>Radman</w:t>
            </w:r>
            <w:proofErr w:type="spellEnd"/>
          </w:p>
        </w:tc>
      </w:tr>
      <w:tr w:rsidR="00676CBB" w:rsidRPr="009B70E7" w14:paraId="6348E3B9" w14:textId="77777777" w:rsidTr="00FC44B4">
        <w:tc>
          <w:tcPr>
            <w:tcW w:w="1418" w:type="dxa"/>
          </w:tcPr>
          <w:p w14:paraId="2579CB0C" w14:textId="77777777" w:rsidR="00676CBB" w:rsidRPr="009B70E7" w:rsidRDefault="00676CBB" w:rsidP="00FC44B4">
            <w:pPr>
              <w:pStyle w:val="ListParagraph"/>
              <w:ind w:left="601"/>
              <w:rPr>
                <w:i/>
              </w:rPr>
            </w:pPr>
            <w:r>
              <w:rPr>
                <w:i/>
              </w:rPr>
              <w:lastRenderedPageBreak/>
              <w:t>Tél.</w:t>
            </w:r>
          </w:p>
        </w:tc>
        <w:tc>
          <w:tcPr>
            <w:tcW w:w="5670" w:type="dxa"/>
          </w:tcPr>
          <w:p w14:paraId="4C6F4222" w14:textId="77777777" w:rsidR="00676CBB" w:rsidRPr="009B70E7" w:rsidRDefault="00676CBB" w:rsidP="00FC44B4">
            <w:pPr>
              <w:pStyle w:val="ListParagraph"/>
              <w:ind w:left="0"/>
              <w:rPr>
                <w:i/>
              </w:rPr>
            </w:pPr>
            <w:r>
              <w:rPr>
                <w:i/>
              </w:rPr>
              <w:t>+32 2 546 9051</w:t>
            </w:r>
          </w:p>
        </w:tc>
      </w:tr>
      <w:tr w:rsidR="00676CBB" w:rsidRPr="00F33DD2" w14:paraId="42D3B9A5" w14:textId="77777777" w:rsidTr="00FC44B4">
        <w:tc>
          <w:tcPr>
            <w:tcW w:w="1418" w:type="dxa"/>
          </w:tcPr>
          <w:p w14:paraId="7E551415" w14:textId="77777777" w:rsidR="00676CBB" w:rsidRPr="009B70E7" w:rsidRDefault="00676CBB" w:rsidP="00FC44B4">
            <w:pPr>
              <w:pStyle w:val="ListParagraph"/>
              <w:ind w:left="601"/>
              <w:rPr>
                <w:i/>
              </w:rPr>
            </w:pPr>
            <w:r>
              <w:rPr>
                <w:i/>
              </w:rPr>
              <w:t>Courriel:</w:t>
            </w:r>
          </w:p>
        </w:tc>
        <w:tc>
          <w:tcPr>
            <w:tcW w:w="5670" w:type="dxa"/>
          </w:tcPr>
          <w:p w14:paraId="20F06EB4" w14:textId="3C149285" w:rsidR="00676CBB" w:rsidRPr="00F33DD2" w:rsidRDefault="009D65A9" w:rsidP="00FC44B4">
            <w:pPr>
              <w:pStyle w:val="ListParagraph"/>
              <w:ind w:left="0"/>
              <w:rPr>
                <w:i/>
                <w:iCs/>
              </w:rPr>
            </w:pPr>
            <w:hyperlink r:id="rId36" w:history="1">
              <w:r w:rsidR="009A71C8" w:rsidRPr="00F33DD2">
                <w:rPr>
                  <w:rStyle w:val="Hyperlink"/>
                  <w:i/>
                  <w:iCs/>
                </w:rPr>
                <w:t>Maja.Radman</w:t>
              </w:r>
              <w:r w:rsidR="009A71C8" w:rsidRPr="00F33DD2">
                <w:rPr>
                  <w:rStyle w:val="Hyperlink"/>
                  <w:i/>
                  <w:iCs/>
                  <w:lang w:bidi="fr-FR"/>
                </w:rPr>
                <w:t>@eesc.europa.eu</w:t>
              </w:r>
            </w:hyperlink>
          </w:p>
        </w:tc>
      </w:tr>
      <w:bookmarkEnd w:id="35"/>
    </w:tbl>
    <w:p w14:paraId="1C752D75" w14:textId="77777777" w:rsidR="007327CD" w:rsidRPr="00A10A98" w:rsidRDefault="007327CD" w:rsidP="0018231C">
      <w:pPr>
        <w:jc w:val="left"/>
        <w:rPr>
          <w:sz w:val="28"/>
        </w:rPr>
      </w:pPr>
    </w:p>
    <w:p w14:paraId="1A4FDCD8" w14:textId="4BA3540F" w:rsidR="00676CBB" w:rsidRPr="00FE49FA" w:rsidRDefault="00676CBB" w:rsidP="009D65A9">
      <w:pPr>
        <w:pStyle w:val="ListParagraph"/>
        <w:keepNext/>
        <w:numPr>
          <w:ilvl w:val="0"/>
          <w:numId w:val="2"/>
        </w:numPr>
        <w:ind w:left="567" w:hanging="567"/>
        <w:rPr>
          <w:sz w:val="24"/>
          <w:szCs w:val="24"/>
        </w:rPr>
      </w:pPr>
      <w:bookmarkStart w:id="36" w:name="_Hlk112076379"/>
      <w:r>
        <w:rPr>
          <w:b/>
          <w:i/>
          <w:sz w:val="28"/>
        </w:rPr>
        <w:t>Accélérer le déploiement des énergies renouvelables</w:t>
      </w:r>
    </w:p>
    <w:p w14:paraId="32247E5C" w14:textId="77777777" w:rsidR="00552022" w:rsidRPr="009B70E7" w:rsidRDefault="00552022" w:rsidP="00552022">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6237"/>
      </w:tblGrid>
      <w:tr w:rsidR="00552022" w:rsidRPr="009B70E7" w14:paraId="6EE8C0C9" w14:textId="77777777" w:rsidTr="00552022">
        <w:tc>
          <w:tcPr>
            <w:tcW w:w="1701" w:type="dxa"/>
          </w:tcPr>
          <w:p w14:paraId="3D105EC5" w14:textId="77777777" w:rsidR="00552022" w:rsidRPr="009B70E7" w:rsidRDefault="00552022" w:rsidP="00651900">
            <w:pPr>
              <w:pStyle w:val="ListParagraph"/>
              <w:keepNext/>
              <w:ind w:left="0"/>
              <w:rPr>
                <w:b/>
              </w:rPr>
            </w:pPr>
            <w:r>
              <w:rPr>
                <w:b/>
              </w:rPr>
              <w:t>Rapporteur:</w:t>
            </w:r>
          </w:p>
        </w:tc>
        <w:tc>
          <w:tcPr>
            <w:tcW w:w="6237" w:type="dxa"/>
          </w:tcPr>
          <w:p w14:paraId="3810931E" w14:textId="3A66A83B" w:rsidR="00552022" w:rsidRPr="009B70E7" w:rsidRDefault="00676CBB" w:rsidP="00651900">
            <w:pPr>
              <w:pStyle w:val="ListParagraph"/>
              <w:keepNext/>
              <w:ind w:left="-56" w:right="-453"/>
            </w:pPr>
            <w:proofErr w:type="spellStart"/>
            <w:r>
              <w:t>Kęstutis</w:t>
            </w:r>
            <w:proofErr w:type="spellEnd"/>
            <w:r>
              <w:t xml:space="preserve"> KUPŠYS (groupe des organisations de la société civile — LT)</w:t>
            </w:r>
          </w:p>
        </w:tc>
      </w:tr>
      <w:tr w:rsidR="00676CBB" w:rsidRPr="009B70E7" w14:paraId="7D050383" w14:textId="77777777" w:rsidTr="00552022">
        <w:tc>
          <w:tcPr>
            <w:tcW w:w="1701" w:type="dxa"/>
          </w:tcPr>
          <w:p w14:paraId="0C52637D" w14:textId="45F31440" w:rsidR="00676CBB" w:rsidRPr="009B70E7" w:rsidRDefault="00676CBB" w:rsidP="00676CBB">
            <w:pPr>
              <w:pStyle w:val="ListParagraph"/>
              <w:keepNext/>
              <w:ind w:left="0"/>
              <w:rPr>
                <w:b/>
              </w:rPr>
            </w:pPr>
            <w:r>
              <w:rPr>
                <w:b/>
              </w:rPr>
              <w:t>Corapporteur:</w:t>
            </w:r>
          </w:p>
        </w:tc>
        <w:tc>
          <w:tcPr>
            <w:tcW w:w="6237" w:type="dxa"/>
          </w:tcPr>
          <w:p w14:paraId="669B65CA" w14:textId="0DC680E6" w:rsidR="00676CBB" w:rsidRDefault="00676CBB" w:rsidP="00676CBB">
            <w:pPr>
              <w:pStyle w:val="ListParagraph"/>
              <w:keepNext/>
              <w:ind w:left="-56" w:right="-453"/>
            </w:pPr>
            <w:r>
              <w:t>Alena MASTANTUONO (groupe des employeurs — CZ)</w:t>
            </w:r>
          </w:p>
          <w:p w14:paraId="4FBF67FC" w14:textId="2BE0B563" w:rsidR="00676CBB" w:rsidRPr="00935F81" w:rsidRDefault="00676CBB" w:rsidP="00676CBB">
            <w:pPr>
              <w:pStyle w:val="ListParagraph"/>
              <w:keepNext/>
              <w:ind w:left="-56" w:right="-453"/>
            </w:pPr>
          </w:p>
        </w:tc>
      </w:tr>
      <w:tr w:rsidR="00676CBB" w:rsidRPr="009B70E7" w14:paraId="2AF8558F" w14:textId="77777777" w:rsidTr="00552022">
        <w:tc>
          <w:tcPr>
            <w:tcW w:w="1701" w:type="dxa"/>
            <w:vMerge w:val="restart"/>
          </w:tcPr>
          <w:p w14:paraId="69780534" w14:textId="77777777" w:rsidR="00676CBB" w:rsidRPr="009B70E7" w:rsidRDefault="00676CBB" w:rsidP="00676CBB">
            <w:pPr>
              <w:pStyle w:val="ListParagraph"/>
              <w:keepNext/>
              <w:ind w:left="0"/>
              <w:rPr>
                <w:b/>
              </w:rPr>
            </w:pPr>
            <w:r>
              <w:rPr>
                <w:b/>
              </w:rPr>
              <w:t xml:space="preserve">Référence: </w:t>
            </w:r>
          </w:p>
        </w:tc>
        <w:tc>
          <w:tcPr>
            <w:tcW w:w="6237" w:type="dxa"/>
          </w:tcPr>
          <w:p w14:paraId="3C6C8A09" w14:textId="358F195B" w:rsidR="00676CBB" w:rsidRPr="009B70E7" w:rsidRDefault="00B53E10" w:rsidP="00676CBB">
            <w:pPr>
              <w:pStyle w:val="ListParagraph"/>
              <w:keepNext/>
              <w:ind w:left="-56"/>
            </w:pPr>
            <w:r>
              <w:t>COM(2022) </w:t>
            </w:r>
            <w:r w:rsidR="00676CBB">
              <w:t>221</w:t>
            </w:r>
            <w:r w:rsidR="009B12BE">
              <w:t> final</w:t>
            </w:r>
          </w:p>
        </w:tc>
      </w:tr>
      <w:tr w:rsidR="00676CBB" w:rsidRPr="009B70E7" w14:paraId="3962A65D" w14:textId="77777777" w:rsidTr="00552022">
        <w:tc>
          <w:tcPr>
            <w:tcW w:w="1701" w:type="dxa"/>
            <w:vMerge/>
          </w:tcPr>
          <w:p w14:paraId="13F72412" w14:textId="77777777" w:rsidR="00676CBB" w:rsidRPr="009B70E7" w:rsidRDefault="00676CBB" w:rsidP="00676CBB">
            <w:pPr>
              <w:pStyle w:val="ListParagraph"/>
              <w:keepNext/>
              <w:ind w:left="0"/>
              <w:rPr>
                <w:b/>
              </w:rPr>
            </w:pPr>
          </w:p>
        </w:tc>
        <w:tc>
          <w:tcPr>
            <w:tcW w:w="6237" w:type="dxa"/>
          </w:tcPr>
          <w:p w14:paraId="0B2F8735" w14:textId="48398535" w:rsidR="00676CBB" w:rsidRPr="009B70E7" w:rsidRDefault="00676CBB" w:rsidP="00676CBB">
            <w:pPr>
              <w:pStyle w:val="ListParagraph"/>
              <w:keepNext/>
              <w:ind w:left="-56"/>
            </w:pPr>
            <w:r>
              <w:t>EESC-2022-03515-00-00-AC</w:t>
            </w:r>
          </w:p>
        </w:tc>
      </w:tr>
    </w:tbl>
    <w:p w14:paraId="18951AC6" w14:textId="77777777" w:rsidR="00552022" w:rsidRPr="009B70E7" w:rsidRDefault="00552022" w:rsidP="00552022">
      <w:pPr>
        <w:pStyle w:val="ListParagraph"/>
        <w:keepNext/>
        <w:ind w:left="0"/>
      </w:pPr>
    </w:p>
    <w:p w14:paraId="2B30E15E" w14:textId="763FBC7A" w:rsidR="00552022" w:rsidRPr="00027441" w:rsidRDefault="00552022" w:rsidP="00BC796F">
      <w:pPr>
        <w:pStyle w:val="ListParagraph"/>
        <w:keepNext/>
        <w:spacing w:line="240" w:lineRule="auto"/>
        <w:ind w:left="0" w:firstLine="142"/>
        <w:rPr>
          <w:b/>
        </w:rPr>
      </w:pPr>
      <w:r>
        <w:rPr>
          <w:b/>
        </w:rPr>
        <w:t>Points clés</w:t>
      </w:r>
    </w:p>
    <w:p w14:paraId="0D4298E9" w14:textId="477EC84A" w:rsidR="00552022" w:rsidRDefault="00552022" w:rsidP="00BC796F">
      <w:pPr>
        <w:pStyle w:val="ListParagraph"/>
        <w:keepNext/>
        <w:ind w:left="0"/>
      </w:pPr>
    </w:p>
    <w:p w14:paraId="65D692F3" w14:textId="363CCA57" w:rsidR="003C5614" w:rsidRPr="00027441" w:rsidRDefault="003C5614" w:rsidP="00BC796F">
      <w:pPr>
        <w:pStyle w:val="ListParagraph"/>
        <w:keepNext/>
        <w:spacing w:line="240" w:lineRule="auto"/>
        <w:ind w:left="0" w:firstLine="142"/>
        <w:rPr>
          <w:bCs/>
        </w:rPr>
      </w:pPr>
      <w:bookmarkStart w:id="37" w:name="_Hlk113975344"/>
      <w:r>
        <w:t>Le CESE:</w:t>
      </w:r>
      <w:bookmarkEnd w:id="37"/>
    </w:p>
    <w:p w14:paraId="552B3E66" w14:textId="77777777" w:rsidR="003C5614" w:rsidRPr="009B70E7" w:rsidRDefault="003C5614" w:rsidP="00BC796F">
      <w:pPr>
        <w:pStyle w:val="ListParagraph"/>
        <w:keepNext/>
        <w:ind w:left="0"/>
      </w:pPr>
    </w:p>
    <w:bookmarkEnd w:id="36"/>
    <w:p w14:paraId="76CCBFF5" w14:textId="77777777" w:rsidR="00995B10" w:rsidRPr="00995B10" w:rsidRDefault="00995B10" w:rsidP="003256C3">
      <w:pPr>
        <w:numPr>
          <w:ilvl w:val="0"/>
          <w:numId w:val="20"/>
        </w:numPr>
        <w:tabs>
          <w:tab w:val="left" w:pos="1560"/>
        </w:tabs>
        <w:overflowPunct w:val="0"/>
        <w:autoSpaceDE w:val="0"/>
        <w:autoSpaceDN w:val="0"/>
        <w:adjustRightInd w:val="0"/>
        <w:spacing w:after="200"/>
        <w:ind w:left="357" w:hanging="357"/>
        <w:contextualSpacing/>
        <w:textAlignment w:val="baseline"/>
        <w:rPr>
          <w:lang w:eastAsia="zh-CN"/>
        </w:rPr>
      </w:pPr>
      <w:r w:rsidRPr="00995B10">
        <w:rPr>
          <w:lang w:eastAsia="zh-CN"/>
        </w:rPr>
        <w:t xml:space="preserve">souligne qu’il est urgent que l’UE </w:t>
      </w:r>
      <w:r w:rsidRPr="00995B10">
        <w:rPr>
          <w:b/>
          <w:lang w:eastAsia="zh-CN"/>
        </w:rPr>
        <w:t>promeuve l’énergie solaire et renforce les capacités européennes</w:t>
      </w:r>
      <w:r w:rsidRPr="00995B10">
        <w:rPr>
          <w:lang w:eastAsia="zh-CN"/>
        </w:rPr>
        <w:t xml:space="preserve"> dans ce domaine, tout </w:t>
      </w:r>
      <w:r w:rsidRPr="00995B10">
        <w:rPr>
          <w:b/>
          <w:lang w:eastAsia="zh-CN"/>
        </w:rPr>
        <w:t>en reconnaissant que les bouquets énergétiques varient d’un État membre à l’autre</w:t>
      </w:r>
      <w:r w:rsidRPr="00995B10">
        <w:rPr>
          <w:lang w:eastAsia="zh-CN"/>
        </w:rPr>
        <w:t>;</w:t>
      </w:r>
    </w:p>
    <w:p w14:paraId="27ED1BDB" w14:textId="77777777" w:rsidR="00995B10" w:rsidRPr="00995B10" w:rsidRDefault="00995B10" w:rsidP="003256C3">
      <w:pPr>
        <w:numPr>
          <w:ilvl w:val="0"/>
          <w:numId w:val="20"/>
        </w:numPr>
        <w:tabs>
          <w:tab w:val="left" w:pos="1560"/>
        </w:tabs>
        <w:overflowPunct w:val="0"/>
        <w:autoSpaceDE w:val="0"/>
        <w:autoSpaceDN w:val="0"/>
        <w:adjustRightInd w:val="0"/>
        <w:spacing w:after="200"/>
        <w:ind w:left="357" w:hanging="357"/>
        <w:contextualSpacing/>
        <w:textAlignment w:val="baseline"/>
        <w:rPr>
          <w:rFonts w:ascii="Calibri" w:hAnsi="Calibri"/>
          <w:sz w:val="24"/>
          <w:szCs w:val="24"/>
          <w:lang w:eastAsia="zh-CN"/>
        </w:rPr>
      </w:pPr>
      <w:r w:rsidRPr="00995B10">
        <w:rPr>
          <w:b/>
          <w:lang w:eastAsia="zh-CN"/>
        </w:rPr>
        <w:t>se félicite de la stratégie de l’UE pour l’énergie solaire, mais regrette que ses résultats soient appelés à se manifester si tardivement.</w:t>
      </w:r>
      <w:r w:rsidRPr="00995B10">
        <w:rPr>
          <w:lang w:eastAsia="zh-CN"/>
        </w:rPr>
        <w:t xml:space="preserve"> Il invite les États membres à ne pas attendre l’adoption des nouvelles règles de l’UE et à commencer dès à présent à faciliter les procédures administratives et à raccourcir la procédure d’octroi de permis.</w:t>
      </w:r>
      <w:r w:rsidRPr="00995B10">
        <w:rPr>
          <w:rFonts w:ascii="Calibri" w:hAnsi="Calibri"/>
          <w:lang w:eastAsia="zh-CN"/>
        </w:rPr>
        <w:t xml:space="preserve"> </w:t>
      </w:r>
      <w:r w:rsidRPr="00995B10">
        <w:rPr>
          <w:rFonts w:ascii="Calibri" w:hAnsi="Calibri"/>
          <w:sz w:val="24"/>
          <w:lang w:eastAsia="zh-CN"/>
        </w:rPr>
        <w:t xml:space="preserve"> </w:t>
      </w:r>
      <w:r w:rsidRPr="00995B10">
        <w:rPr>
          <w:lang w:eastAsia="zh-CN"/>
        </w:rPr>
        <w:t xml:space="preserve">Les États membres devraient </w:t>
      </w:r>
      <w:r w:rsidRPr="00995B10">
        <w:rPr>
          <w:b/>
          <w:lang w:eastAsia="zh-CN"/>
        </w:rPr>
        <w:t>améliorer les procédures en prévoyant des guichets uniques ou des parcours d’autorisation intégrés ou uniques et accélérer la désignation de «zones propices au déploiement des énergies renouvelables»</w:t>
      </w:r>
      <w:r w:rsidRPr="00995B10">
        <w:rPr>
          <w:lang w:eastAsia="zh-CN"/>
        </w:rPr>
        <w:t xml:space="preserve">; </w:t>
      </w:r>
    </w:p>
    <w:p w14:paraId="4E527228" w14:textId="77777777" w:rsidR="00995B10" w:rsidRPr="00995B10" w:rsidRDefault="00995B10" w:rsidP="003256C3">
      <w:pPr>
        <w:numPr>
          <w:ilvl w:val="0"/>
          <w:numId w:val="20"/>
        </w:numPr>
        <w:overflowPunct w:val="0"/>
        <w:autoSpaceDE w:val="0"/>
        <w:autoSpaceDN w:val="0"/>
        <w:adjustRightInd w:val="0"/>
        <w:spacing w:after="200"/>
        <w:ind w:left="357" w:hanging="357"/>
        <w:contextualSpacing/>
        <w:textAlignment w:val="baseline"/>
        <w:rPr>
          <w:lang w:eastAsia="zh-CN"/>
        </w:rPr>
      </w:pPr>
      <w:r w:rsidRPr="00995B10">
        <w:rPr>
          <w:lang w:eastAsia="zh-CN"/>
        </w:rPr>
        <w:t xml:space="preserve">invite les responsables politiques à encourager et à </w:t>
      </w:r>
      <w:r w:rsidRPr="00995B10">
        <w:rPr>
          <w:b/>
          <w:lang w:eastAsia="zh-CN"/>
        </w:rPr>
        <w:t xml:space="preserve">soutenir les citoyens pour leur permettre de devenir des </w:t>
      </w:r>
      <w:proofErr w:type="spellStart"/>
      <w:r w:rsidRPr="00995B10">
        <w:rPr>
          <w:b/>
          <w:lang w:eastAsia="zh-CN"/>
        </w:rPr>
        <w:t>prosommateurs</w:t>
      </w:r>
      <w:proofErr w:type="spellEnd"/>
      <w:r w:rsidRPr="00995B10">
        <w:rPr>
          <w:b/>
          <w:lang w:eastAsia="zh-CN"/>
        </w:rPr>
        <w:t xml:space="preserve"> d’énergie solaire</w:t>
      </w:r>
      <w:r w:rsidRPr="00995B10">
        <w:rPr>
          <w:lang w:eastAsia="zh-CN"/>
        </w:rPr>
        <w:t xml:space="preserve"> et de bâtir des communautés énergétiques;</w:t>
      </w:r>
    </w:p>
    <w:p w14:paraId="4BF23AF4" w14:textId="77777777" w:rsidR="00995B10" w:rsidRPr="00995B10" w:rsidRDefault="00995B10" w:rsidP="003256C3">
      <w:pPr>
        <w:numPr>
          <w:ilvl w:val="0"/>
          <w:numId w:val="20"/>
        </w:numPr>
        <w:overflowPunct w:val="0"/>
        <w:autoSpaceDE w:val="0"/>
        <w:autoSpaceDN w:val="0"/>
        <w:adjustRightInd w:val="0"/>
        <w:spacing w:after="200"/>
        <w:ind w:left="357" w:hanging="357"/>
        <w:contextualSpacing/>
        <w:textAlignment w:val="baseline"/>
        <w:rPr>
          <w:lang w:eastAsia="zh-CN"/>
        </w:rPr>
      </w:pPr>
      <w:r w:rsidRPr="00995B10">
        <w:rPr>
          <w:lang w:eastAsia="zh-CN"/>
        </w:rPr>
        <w:t xml:space="preserve">fait observer que parallèlement au </w:t>
      </w:r>
      <w:r w:rsidRPr="00995B10">
        <w:rPr>
          <w:b/>
          <w:lang w:eastAsia="zh-CN"/>
        </w:rPr>
        <w:t>déploiement accéléré des pompes à chaleur</w:t>
      </w:r>
      <w:r w:rsidRPr="00995B10">
        <w:rPr>
          <w:lang w:eastAsia="zh-CN"/>
        </w:rPr>
        <w:t xml:space="preserve">, il conviendrait d’envisager </w:t>
      </w:r>
      <w:r w:rsidRPr="00995B10">
        <w:rPr>
          <w:b/>
          <w:lang w:eastAsia="zh-CN"/>
        </w:rPr>
        <w:t>le développement des installations solaires photovoltaïques</w:t>
      </w:r>
      <w:r w:rsidRPr="00995B10">
        <w:rPr>
          <w:lang w:eastAsia="zh-CN"/>
        </w:rPr>
        <w:t xml:space="preserve">, étant donné que la combinaison de ces deux éléments constitue </w:t>
      </w:r>
      <w:r w:rsidRPr="00995B10">
        <w:rPr>
          <w:b/>
          <w:lang w:eastAsia="zh-CN"/>
        </w:rPr>
        <w:t>la solution de refroidissement la plus économe en énergie et la plus abordable économiquement</w:t>
      </w:r>
      <w:r w:rsidRPr="00995B10">
        <w:rPr>
          <w:lang w:eastAsia="zh-CN"/>
        </w:rPr>
        <w:t xml:space="preserve"> lorsque les conditions climatiques sont favorables, l’isolation correcte des bâtiments constituant une condition préalable;</w:t>
      </w:r>
    </w:p>
    <w:p w14:paraId="26CC74FD" w14:textId="77777777" w:rsidR="00995B10" w:rsidRPr="00995B10" w:rsidRDefault="00995B10" w:rsidP="003256C3">
      <w:pPr>
        <w:numPr>
          <w:ilvl w:val="0"/>
          <w:numId w:val="20"/>
        </w:numPr>
        <w:overflowPunct w:val="0"/>
        <w:autoSpaceDE w:val="0"/>
        <w:autoSpaceDN w:val="0"/>
        <w:adjustRightInd w:val="0"/>
        <w:spacing w:after="200"/>
        <w:ind w:left="357" w:hanging="357"/>
        <w:contextualSpacing/>
        <w:textAlignment w:val="baseline"/>
        <w:rPr>
          <w:rFonts w:ascii="Calibri" w:hAnsi="Calibri"/>
          <w:sz w:val="24"/>
          <w:szCs w:val="24"/>
          <w:lang w:eastAsia="zh-CN"/>
        </w:rPr>
      </w:pPr>
      <w:r w:rsidRPr="00995B10">
        <w:rPr>
          <w:lang w:eastAsia="zh-CN"/>
        </w:rPr>
        <w:t xml:space="preserve">demande que l’accent soit mis davantage sur le </w:t>
      </w:r>
      <w:r w:rsidRPr="00995B10">
        <w:rPr>
          <w:b/>
          <w:lang w:eastAsia="zh-CN"/>
        </w:rPr>
        <w:t>photovoltaïque agricole</w:t>
      </w:r>
      <w:r w:rsidRPr="00995B10">
        <w:rPr>
          <w:lang w:eastAsia="zh-CN"/>
        </w:rPr>
        <w:t>, qui offre aux agriculteurs la possibilité d’un revenu supplémentaire grâce à la production d’énergie. Toutefois, ces installations ne devraient pas perturber l’utilisation de terres agricoles productives ni nuire à la production alimentaire;</w:t>
      </w:r>
    </w:p>
    <w:p w14:paraId="0CB0D94B" w14:textId="77777777" w:rsidR="00995B10" w:rsidRPr="00995B10" w:rsidRDefault="00995B10" w:rsidP="003256C3">
      <w:pPr>
        <w:numPr>
          <w:ilvl w:val="0"/>
          <w:numId w:val="20"/>
        </w:numPr>
        <w:overflowPunct w:val="0"/>
        <w:autoSpaceDE w:val="0"/>
        <w:autoSpaceDN w:val="0"/>
        <w:adjustRightInd w:val="0"/>
        <w:spacing w:after="200"/>
        <w:ind w:left="357" w:hanging="357"/>
        <w:contextualSpacing/>
        <w:textAlignment w:val="baseline"/>
        <w:rPr>
          <w:rFonts w:ascii="Calibri" w:hAnsi="Calibri"/>
          <w:sz w:val="24"/>
          <w:szCs w:val="24"/>
          <w:lang w:eastAsia="zh-CN"/>
        </w:rPr>
      </w:pPr>
      <w:r w:rsidRPr="00995B10">
        <w:rPr>
          <w:lang w:eastAsia="zh-CN"/>
        </w:rPr>
        <w:t xml:space="preserve">estime qu’il est impératif que l’UE trouve des moyens de </w:t>
      </w:r>
      <w:r w:rsidRPr="00995B10">
        <w:rPr>
          <w:b/>
          <w:lang w:eastAsia="zh-CN"/>
        </w:rPr>
        <w:t>produire des systèmes solaires photovoltaïques en Europe, d’améliorer l’environnement pour les investissements publics et privés et de créer des conditions favorables aux entreprises</w:t>
      </w:r>
      <w:r w:rsidRPr="00995B10">
        <w:rPr>
          <w:lang w:eastAsia="zh-CN"/>
        </w:rPr>
        <w:t xml:space="preserve">, y compris en assurant un accès adéquat au financement et en accordant une attention particulière à la recherche et à l’innovation; souligne qu’il importe de créer des </w:t>
      </w:r>
      <w:r w:rsidRPr="00995B10">
        <w:rPr>
          <w:b/>
          <w:lang w:eastAsia="zh-CN"/>
        </w:rPr>
        <w:t>capacités industrielles au sein de l’UE pour proposer des produits d’énergie solaire durables à des prix raisonnables</w:t>
      </w:r>
      <w:r w:rsidRPr="00995B10">
        <w:rPr>
          <w:lang w:eastAsia="zh-CN"/>
        </w:rPr>
        <w:t>, et appelle à soutenir résolument l’</w:t>
      </w:r>
      <w:r w:rsidRPr="00995B10">
        <w:rPr>
          <w:b/>
          <w:lang w:eastAsia="zh-CN"/>
        </w:rPr>
        <w:t>alliance européenne pour l’industrie solaire photovoltaïque</w:t>
      </w:r>
      <w:r w:rsidRPr="00995B10">
        <w:rPr>
          <w:lang w:eastAsia="zh-CN"/>
        </w:rPr>
        <w:t>;</w:t>
      </w:r>
    </w:p>
    <w:p w14:paraId="778CBB61" w14:textId="77777777" w:rsidR="00995B10" w:rsidRPr="00995B10" w:rsidRDefault="00995B10" w:rsidP="003256C3">
      <w:pPr>
        <w:numPr>
          <w:ilvl w:val="0"/>
          <w:numId w:val="20"/>
        </w:numPr>
        <w:overflowPunct w:val="0"/>
        <w:autoSpaceDE w:val="0"/>
        <w:autoSpaceDN w:val="0"/>
        <w:adjustRightInd w:val="0"/>
        <w:spacing w:after="200"/>
        <w:ind w:left="357" w:hanging="357"/>
        <w:contextualSpacing/>
        <w:textAlignment w:val="baseline"/>
        <w:rPr>
          <w:rFonts w:ascii="Calibri" w:hAnsi="Calibri"/>
          <w:sz w:val="24"/>
          <w:szCs w:val="24"/>
          <w:lang w:eastAsia="zh-CN"/>
        </w:rPr>
      </w:pPr>
      <w:r w:rsidRPr="00995B10">
        <w:rPr>
          <w:lang w:eastAsia="zh-CN"/>
        </w:rPr>
        <w:t xml:space="preserve">demande instamment que soient fortement encouragés </w:t>
      </w:r>
      <w:r w:rsidRPr="00995B10">
        <w:rPr>
          <w:b/>
          <w:lang w:eastAsia="zh-CN"/>
        </w:rPr>
        <w:t>la formation et le développement des compétences</w:t>
      </w:r>
      <w:r w:rsidRPr="00995B10">
        <w:rPr>
          <w:lang w:eastAsia="zh-CN"/>
        </w:rPr>
        <w:t xml:space="preserve"> dans le cadre d’une coopération entre les parties prenantes concernées.</w:t>
      </w:r>
    </w:p>
    <w:p w14:paraId="49A61B26" w14:textId="77777777" w:rsidR="000F2BDB" w:rsidRPr="00B53E10" w:rsidRDefault="000F2BDB" w:rsidP="00B53E10">
      <w:pPr>
        <w:rPr>
          <w:bCs/>
          <w:lang w:bidi="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0F2BDB" w:rsidRPr="009B70E7" w14:paraId="51730CA0" w14:textId="77777777" w:rsidTr="00FC44B4">
        <w:tc>
          <w:tcPr>
            <w:tcW w:w="1418" w:type="dxa"/>
          </w:tcPr>
          <w:p w14:paraId="3D1C7509" w14:textId="5AF56EC1" w:rsidR="000F2BDB" w:rsidRPr="009B70E7" w:rsidRDefault="00140AB0" w:rsidP="00FC44B4">
            <w:pPr>
              <w:pStyle w:val="ListParagraph"/>
              <w:ind w:left="0"/>
              <w:rPr>
                <w:i/>
              </w:rPr>
            </w:pPr>
            <w:r>
              <w:rPr>
                <w:b/>
                <w:i/>
              </w:rPr>
              <w:t>Contact:</w:t>
            </w:r>
          </w:p>
        </w:tc>
        <w:tc>
          <w:tcPr>
            <w:tcW w:w="5670" w:type="dxa"/>
          </w:tcPr>
          <w:p w14:paraId="07C2A650" w14:textId="4370ADAF" w:rsidR="000F2BDB" w:rsidRPr="009B70E7" w:rsidRDefault="000F2BDB" w:rsidP="00FC44B4">
            <w:pPr>
              <w:pStyle w:val="ListParagraph"/>
              <w:ind w:left="0"/>
              <w:rPr>
                <w:i/>
              </w:rPr>
            </w:pPr>
            <w:r>
              <w:rPr>
                <w:i/>
              </w:rPr>
              <w:t xml:space="preserve">Giorgia </w:t>
            </w:r>
            <w:proofErr w:type="spellStart"/>
            <w:r>
              <w:rPr>
                <w:i/>
              </w:rPr>
              <w:t>Bordignon</w:t>
            </w:r>
            <w:proofErr w:type="spellEnd"/>
          </w:p>
        </w:tc>
      </w:tr>
      <w:tr w:rsidR="000F2BDB" w:rsidRPr="009B70E7" w14:paraId="7410EA6A" w14:textId="77777777" w:rsidTr="00FC44B4">
        <w:tc>
          <w:tcPr>
            <w:tcW w:w="1418" w:type="dxa"/>
          </w:tcPr>
          <w:p w14:paraId="45B82D7E" w14:textId="77777777" w:rsidR="000F2BDB" w:rsidRPr="009B70E7" w:rsidRDefault="000F2BDB" w:rsidP="00FC44B4">
            <w:pPr>
              <w:pStyle w:val="ListParagraph"/>
              <w:ind w:left="601"/>
              <w:rPr>
                <w:i/>
              </w:rPr>
            </w:pPr>
            <w:r>
              <w:rPr>
                <w:i/>
              </w:rPr>
              <w:t>Tél.:</w:t>
            </w:r>
          </w:p>
        </w:tc>
        <w:tc>
          <w:tcPr>
            <w:tcW w:w="5670" w:type="dxa"/>
          </w:tcPr>
          <w:p w14:paraId="45B60CAC" w14:textId="0F5F0915" w:rsidR="000F2BDB" w:rsidRPr="009B70E7" w:rsidRDefault="000F2BDB" w:rsidP="00FC44B4">
            <w:pPr>
              <w:pStyle w:val="ListParagraph"/>
              <w:ind w:left="0"/>
              <w:rPr>
                <w:i/>
              </w:rPr>
            </w:pPr>
            <w:r>
              <w:rPr>
                <w:i/>
              </w:rPr>
              <w:t>+ 32 2 546 8535</w:t>
            </w:r>
          </w:p>
        </w:tc>
      </w:tr>
      <w:tr w:rsidR="000F2BDB" w:rsidRPr="00F33DD2" w14:paraId="27D000A2" w14:textId="77777777" w:rsidTr="00FC44B4">
        <w:tc>
          <w:tcPr>
            <w:tcW w:w="1418" w:type="dxa"/>
          </w:tcPr>
          <w:p w14:paraId="47FDCCBC" w14:textId="77777777" w:rsidR="000F2BDB" w:rsidRPr="009B70E7" w:rsidRDefault="000F2BDB" w:rsidP="00FC44B4">
            <w:pPr>
              <w:pStyle w:val="ListParagraph"/>
              <w:ind w:left="601"/>
              <w:rPr>
                <w:i/>
              </w:rPr>
            </w:pPr>
            <w:r>
              <w:rPr>
                <w:i/>
              </w:rPr>
              <w:lastRenderedPageBreak/>
              <w:t>Courriel:</w:t>
            </w:r>
          </w:p>
        </w:tc>
        <w:tc>
          <w:tcPr>
            <w:tcW w:w="5670" w:type="dxa"/>
          </w:tcPr>
          <w:p w14:paraId="6EA4153F" w14:textId="51009CA5" w:rsidR="000F2BDB" w:rsidRPr="000F2BDB" w:rsidRDefault="009D65A9" w:rsidP="00FC44B4">
            <w:pPr>
              <w:pStyle w:val="ListParagraph"/>
              <w:ind w:left="0"/>
              <w:rPr>
                <w:i/>
                <w:iCs/>
              </w:rPr>
            </w:pPr>
            <w:hyperlink r:id="rId37" w:history="1">
              <w:r w:rsidR="00995B10" w:rsidRPr="000F2BDB">
                <w:rPr>
                  <w:rStyle w:val="Hyperlink"/>
                  <w:i/>
                  <w:iCs/>
                </w:rPr>
                <w:t>Giorgia.Bordignon</w:t>
              </w:r>
              <w:r w:rsidR="00995B10" w:rsidRPr="000F2BDB">
                <w:rPr>
                  <w:rStyle w:val="Hyperlink"/>
                  <w:i/>
                  <w:iCs/>
                  <w:lang w:bidi="fr-FR"/>
                </w:rPr>
                <w:t>@eesc.europa.eu</w:t>
              </w:r>
            </w:hyperlink>
          </w:p>
        </w:tc>
      </w:tr>
    </w:tbl>
    <w:p w14:paraId="2107DC4E" w14:textId="77777777" w:rsidR="00552022" w:rsidRPr="009B70E7" w:rsidRDefault="00552022" w:rsidP="00552022"/>
    <w:p w14:paraId="42B8070D" w14:textId="5E13E419" w:rsidR="00552022" w:rsidRPr="009B70E7" w:rsidRDefault="001C226F" w:rsidP="00552022">
      <w:pPr>
        <w:pStyle w:val="ListParagraph"/>
        <w:keepNext/>
        <w:numPr>
          <w:ilvl w:val="0"/>
          <w:numId w:val="2"/>
        </w:numPr>
        <w:ind w:left="567" w:hanging="567"/>
        <w:rPr>
          <w:b/>
          <w:i/>
          <w:sz w:val="28"/>
          <w:szCs w:val="28"/>
        </w:rPr>
      </w:pPr>
      <w:r>
        <w:rPr>
          <w:b/>
          <w:i/>
          <w:sz w:val="28"/>
        </w:rPr>
        <w:t>Marchés de l’énergie</w:t>
      </w:r>
    </w:p>
    <w:p w14:paraId="28F363B4" w14:textId="77777777" w:rsidR="00552022" w:rsidRPr="009B70E7" w:rsidRDefault="00552022" w:rsidP="00552022">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6237"/>
      </w:tblGrid>
      <w:tr w:rsidR="00552022" w:rsidRPr="009B70E7" w14:paraId="41513243" w14:textId="77777777" w:rsidTr="00651900">
        <w:tc>
          <w:tcPr>
            <w:tcW w:w="1701" w:type="dxa"/>
          </w:tcPr>
          <w:p w14:paraId="1C44AC09" w14:textId="50D2251B" w:rsidR="00552022" w:rsidRPr="009B70E7" w:rsidRDefault="00552022" w:rsidP="00651900">
            <w:pPr>
              <w:pStyle w:val="ListParagraph"/>
              <w:keepNext/>
              <w:ind w:left="0"/>
              <w:rPr>
                <w:b/>
              </w:rPr>
            </w:pPr>
            <w:r>
              <w:rPr>
                <w:b/>
              </w:rPr>
              <w:t>Rapporteur:</w:t>
            </w:r>
          </w:p>
        </w:tc>
        <w:tc>
          <w:tcPr>
            <w:tcW w:w="6237" w:type="dxa"/>
          </w:tcPr>
          <w:p w14:paraId="78219D61" w14:textId="77777777" w:rsidR="00552022" w:rsidRDefault="001C226F" w:rsidP="00552022">
            <w:pPr>
              <w:pStyle w:val="ListParagraph"/>
              <w:keepNext/>
              <w:ind w:left="-56" w:right="-453"/>
            </w:pPr>
            <w:r>
              <w:t>Alena MASTANTUONO (groupe des employeurs — CZ)</w:t>
            </w:r>
          </w:p>
          <w:p w14:paraId="11889F3A" w14:textId="27FB8B74" w:rsidR="001C226F" w:rsidRPr="009B70E7" w:rsidRDefault="001C226F" w:rsidP="00552022">
            <w:pPr>
              <w:pStyle w:val="ListParagraph"/>
              <w:keepNext/>
              <w:ind w:left="-56" w:right="-453"/>
            </w:pPr>
          </w:p>
        </w:tc>
      </w:tr>
      <w:tr w:rsidR="00552022" w:rsidRPr="009B70E7" w14:paraId="4CCFC13C" w14:textId="77777777" w:rsidTr="00651900">
        <w:tc>
          <w:tcPr>
            <w:tcW w:w="1701" w:type="dxa"/>
            <w:vMerge w:val="restart"/>
          </w:tcPr>
          <w:p w14:paraId="03AD2E56" w14:textId="77777777" w:rsidR="00552022" w:rsidRPr="009B70E7" w:rsidRDefault="00552022" w:rsidP="00651900">
            <w:pPr>
              <w:pStyle w:val="ListParagraph"/>
              <w:keepNext/>
              <w:ind w:left="0"/>
              <w:rPr>
                <w:b/>
              </w:rPr>
            </w:pPr>
            <w:r>
              <w:rPr>
                <w:b/>
              </w:rPr>
              <w:t xml:space="preserve">Référence: </w:t>
            </w:r>
          </w:p>
        </w:tc>
        <w:tc>
          <w:tcPr>
            <w:tcW w:w="6237" w:type="dxa"/>
          </w:tcPr>
          <w:p w14:paraId="25D739C3" w14:textId="536896EB" w:rsidR="00552022" w:rsidRPr="009B70E7" w:rsidRDefault="00B53E10" w:rsidP="00651900">
            <w:pPr>
              <w:pStyle w:val="ListParagraph"/>
              <w:keepNext/>
              <w:ind w:left="-56"/>
            </w:pPr>
            <w:r>
              <w:t>COM(2022) </w:t>
            </w:r>
            <w:r w:rsidR="00552022">
              <w:t>236</w:t>
            </w:r>
            <w:r w:rsidR="009B12BE">
              <w:t> final</w:t>
            </w:r>
          </w:p>
        </w:tc>
      </w:tr>
      <w:tr w:rsidR="00552022" w:rsidRPr="009B70E7" w14:paraId="4B03208F" w14:textId="77777777" w:rsidTr="00651900">
        <w:tc>
          <w:tcPr>
            <w:tcW w:w="1701" w:type="dxa"/>
            <w:vMerge/>
          </w:tcPr>
          <w:p w14:paraId="5934FB01" w14:textId="77777777" w:rsidR="00552022" w:rsidRPr="009B70E7" w:rsidRDefault="00552022" w:rsidP="00651900">
            <w:pPr>
              <w:pStyle w:val="ListParagraph"/>
              <w:keepNext/>
              <w:ind w:left="0"/>
              <w:rPr>
                <w:b/>
              </w:rPr>
            </w:pPr>
          </w:p>
        </w:tc>
        <w:tc>
          <w:tcPr>
            <w:tcW w:w="6237" w:type="dxa"/>
          </w:tcPr>
          <w:p w14:paraId="608E37E4" w14:textId="2ABD46F1" w:rsidR="00552022" w:rsidRPr="009B70E7" w:rsidRDefault="00552022" w:rsidP="00651900">
            <w:pPr>
              <w:pStyle w:val="ListParagraph"/>
              <w:keepNext/>
              <w:ind w:left="-56"/>
            </w:pPr>
            <w:r>
              <w:t>EESC-2022-03219-00-00-AC</w:t>
            </w:r>
          </w:p>
        </w:tc>
      </w:tr>
    </w:tbl>
    <w:p w14:paraId="5204FC05" w14:textId="77777777" w:rsidR="00552022" w:rsidRPr="00A00F37" w:rsidRDefault="00552022" w:rsidP="00A00F37">
      <w:pPr>
        <w:pStyle w:val="ListParagraph"/>
        <w:spacing w:line="240" w:lineRule="auto"/>
        <w:ind w:left="0" w:firstLine="142"/>
        <w:rPr>
          <w:b/>
        </w:rPr>
      </w:pPr>
    </w:p>
    <w:p w14:paraId="24451F24" w14:textId="7A2B89B1" w:rsidR="00552022" w:rsidRDefault="00552022" w:rsidP="006321AD">
      <w:pPr>
        <w:pStyle w:val="ListParagraph"/>
        <w:keepNext/>
        <w:spacing w:line="240" w:lineRule="auto"/>
        <w:ind w:left="0" w:firstLine="142"/>
        <w:rPr>
          <w:b/>
        </w:rPr>
      </w:pPr>
      <w:r>
        <w:rPr>
          <w:b/>
        </w:rPr>
        <w:t>Points clés</w:t>
      </w:r>
    </w:p>
    <w:p w14:paraId="6DD0E9D1" w14:textId="77777777" w:rsidR="00737766" w:rsidRPr="00CE23CC" w:rsidRDefault="00737766" w:rsidP="006321AD">
      <w:pPr>
        <w:pStyle w:val="ListParagraph"/>
        <w:keepNext/>
        <w:spacing w:line="240" w:lineRule="auto"/>
        <w:ind w:left="-142" w:firstLine="142"/>
        <w:rPr>
          <w:b/>
        </w:rPr>
      </w:pPr>
    </w:p>
    <w:p w14:paraId="0AC85AF5" w14:textId="633BFDE0" w:rsidR="00552022" w:rsidRDefault="00737766" w:rsidP="006321AD">
      <w:pPr>
        <w:pStyle w:val="ListParagraph"/>
        <w:keepNext/>
        <w:spacing w:line="240" w:lineRule="auto"/>
        <w:ind w:left="0" w:firstLine="142"/>
      </w:pPr>
      <w:r>
        <w:t>Le CESE:</w:t>
      </w:r>
    </w:p>
    <w:p w14:paraId="0F877662" w14:textId="77777777" w:rsidR="00037A85" w:rsidRPr="009B70E7" w:rsidRDefault="00037A85" w:rsidP="006321AD">
      <w:pPr>
        <w:pStyle w:val="ListParagraph"/>
        <w:keepNext/>
        <w:ind w:left="0"/>
      </w:pPr>
    </w:p>
    <w:p w14:paraId="6A4D0B58" w14:textId="77777777" w:rsidR="00BC796F" w:rsidRPr="00182F30" w:rsidRDefault="00BC796F" w:rsidP="003256C3">
      <w:pPr>
        <w:pStyle w:val="ListParagraph"/>
        <w:numPr>
          <w:ilvl w:val="0"/>
          <w:numId w:val="21"/>
        </w:numPr>
        <w:ind w:left="357" w:hanging="357"/>
      </w:pPr>
      <w:r>
        <w:t>se félicite que la communication de la Commission envisage des interventions à court terme sur le marché de l’énergie et des améliorations à long terme de l’organisation du marché de l’électricité, et demande qu’elles soient suivies d’ajustements quant à l’organisation du marché;</w:t>
      </w:r>
    </w:p>
    <w:p w14:paraId="28B91B18" w14:textId="77777777" w:rsidR="00BC796F" w:rsidRPr="00182F30" w:rsidRDefault="00BC796F" w:rsidP="003256C3">
      <w:pPr>
        <w:pStyle w:val="ListParagraph"/>
        <w:numPr>
          <w:ilvl w:val="0"/>
          <w:numId w:val="21"/>
        </w:numPr>
        <w:ind w:left="357" w:hanging="357"/>
      </w:pPr>
      <w:r>
        <w:t xml:space="preserve">estime que le bon fonctionnement des marchés de l’énergie joue un rôle crucial dans la poursuite de tous les objectifs fondamentaux associés à un système énergétique durable, à savoir la sécurité de l’approvisionnement, des coûts et tarifs raisonnables et la neutralité climatique, et précise que les mesures qui seront prises dans ce domaine ne peuvent en aucun cas compromettre ces critères fondamentaux; </w:t>
      </w:r>
    </w:p>
    <w:p w14:paraId="60511F50" w14:textId="77777777" w:rsidR="00BC796F" w:rsidRPr="00182F30" w:rsidRDefault="00BC796F" w:rsidP="003256C3">
      <w:pPr>
        <w:pStyle w:val="ListParagraph"/>
        <w:numPr>
          <w:ilvl w:val="0"/>
          <w:numId w:val="21"/>
        </w:numPr>
        <w:ind w:left="357" w:hanging="357"/>
      </w:pPr>
      <w:r>
        <w:t xml:space="preserve">fait observer, dans le même temps, que la crise actuelle des prix de l’énergie a une incidence négative sur les entreprises et les ménages européens, et soutient l’approche de la Commission consistant à prendre des mesures à court terme pour leur garantir des prix abordables, y compris par un soutien financier direct aux consommateurs vulnérables, ainsi qu’aux PME et aux industries à forte intensité énergétique qui souffrent le plus de la crise; </w:t>
      </w:r>
    </w:p>
    <w:p w14:paraId="232B37BA" w14:textId="77777777" w:rsidR="00BC796F" w:rsidRPr="00182F30" w:rsidRDefault="00BC796F" w:rsidP="003256C3">
      <w:pPr>
        <w:pStyle w:val="ListParagraph"/>
        <w:numPr>
          <w:ilvl w:val="0"/>
          <w:numId w:val="21"/>
        </w:numPr>
        <w:ind w:left="357" w:hanging="357"/>
      </w:pPr>
      <w:r>
        <w:t xml:space="preserve">se félicite de la proposition formulée le 14 septembre 2022 par la Commission concernant les actions à mener du côté de la demande et préconise un effort conjoint des ménages, du secteur public et des entreprises; </w:t>
      </w:r>
    </w:p>
    <w:p w14:paraId="4C05911E" w14:textId="77777777" w:rsidR="00BC796F" w:rsidRPr="00182F30" w:rsidRDefault="00BC796F" w:rsidP="003256C3">
      <w:pPr>
        <w:pStyle w:val="ListParagraph"/>
        <w:numPr>
          <w:ilvl w:val="0"/>
          <w:numId w:val="21"/>
        </w:numPr>
        <w:ind w:left="357" w:hanging="357"/>
      </w:pPr>
      <w:r>
        <w:t xml:space="preserve">considère que les responsables politiques devraient encourager et soutenir les citoyens pour leur permettre de devenir des </w:t>
      </w:r>
      <w:proofErr w:type="spellStart"/>
      <w:r>
        <w:t>prosommateurs</w:t>
      </w:r>
      <w:proofErr w:type="spellEnd"/>
      <w:r>
        <w:t xml:space="preserve"> d’énergie et de bâtir des communautés énergétiques locales, ce qui les aidera à devenir plus indépendants des prix du marché commun; </w:t>
      </w:r>
    </w:p>
    <w:p w14:paraId="0C9D0EBB" w14:textId="77777777" w:rsidR="00BC796F" w:rsidRDefault="00BC796F" w:rsidP="003256C3">
      <w:pPr>
        <w:pStyle w:val="ListParagraph"/>
        <w:numPr>
          <w:ilvl w:val="0"/>
          <w:numId w:val="21"/>
        </w:numPr>
        <w:ind w:left="357" w:hanging="357"/>
        <w:rPr>
          <w:sz w:val="20"/>
        </w:rPr>
      </w:pPr>
      <w:r>
        <w:t>fait savoir qu’il souhaite pouvoir participer au débat et à l’analyse d’impact qui doivent précéder toute action de suivi et demande à la Commission comme aux États membres de préserver le fonctionnement du marché de gros ainsi que l’intégration du marché intérieur de l’énergie.</w:t>
      </w:r>
      <w:r>
        <w:rPr>
          <w:sz w:val="20"/>
        </w:rPr>
        <w:t xml:space="preserve"> </w:t>
      </w:r>
    </w:p>
    <w:p w14:paraId="78A9B681" w14:textId="77777777" w:rsidR="001C226F" w:rsidRPr="00BC796F" w:rsidRDefault="001C226F" w:rsidP="00BC796F">
      <w:pPr>
        <w:rPr>
          <w:bCs/>
          <w:lang w:bidi="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552022" w:rsidRPr="009B70E7" w14:paraId="6B47FDE5" w14:textId="77777777" w:rsidTr="00651900">
        <w:tc>
          <w:tcPr>
            <w:tcW w:w="1418" w:type="dxa"/>
          </w:tcPr>
          <w:p w14:paraId="266CD4C4" w14:textId="5D9359A5" w:rsidR="00552022" w:rsidRPr="009B70E7" w:rsidRDefault="00140AB0" w:rsidP="00651900">
            <w:pPr>
              <w:pStyle w:val="ListParagraph"/>
              <w:ind w:left="0"/>
              <w:rPr>
                <w:i/>
              </w:rPr>
            </w:pPr>
            <w:r>
              <w:rPr>
                <w:b/>
                <w:i/>
              </w:rPr>
              <w:t>Contact:</w:t>
            </w:r>
          </w:p>
        </w:tc>
        <w:tc>
          <w:tcPr>
            <w:tcW w:w="5670" w:type="dxa"/>
          </w:tcPr>
          <w:p w14:paraId="382B2C1C" w14:textId="38B64E01" w:rsidR="00552022" w:rsidRPr="009B70E7" w:rsidRDefault="001C226F" w:rsidP="00651900">
            <w:pPr>
              <w:pStyle w:val="ListParagraph"/>
              <w:ind w:left="0"/>
              <w:rPr>
                <w:i/>
              </w:rPr>
            </w:pPr>
            <w:r>
              <w:rPr>
                <w:i/>
              </w:rPr>
              <w:t>Francesco Napolitano</w:t>
            </w:r>
          </w:p>
        </w:tc>
      </w:tr>
      <w:tr w:rsidR="00552022" w:rsidRPr="009B70E7" w14:paraId="36155028" w14:textId="77777777" w:rsidTr="00651900">
        <w:tc>
          <w:tcPr>
            <w:tcW w:w="1418" w:type="dxa"/>
          </w:tcPr>
          <w:p w14:paraId="43E41E39" w14:textId="77777777" w:rsidR="00552022" w:rsidRPr="009B70E7" w:rsidRDefault="00552022" w:rsidP="00651900">
            <w:pPr>
              <w:pStyle w:val="ListParagraph"/>
              <w:ind w:left="601"/>
              <w:rPr>
                <w:i/>
              </w:rPr>
            </w:pPr>
            <w:r>
              <w:rPr>
                <w:i/>
              </w:rPr>
              <w:t>Tél.:</w:t>
            </w:r>
          </w:p>
        </w:tc>
        <w:tc>
          <w:tcPr>
            <w:tcW w:w="5670" w:type="dxa"/>
          </w:tcPr>
          <w:p w14:paraId="21683711" w14:textId="126151E9" w:rsidR="00552022" w:rsidRPr="009B70E7" w:rsidRDefault="00552022" w:rsidP="00651900">
            <w:pPr>
              <w:pStyle w:val="ListParagraph"/>
              <w:ind w:left="0"/>
              <w:rPr>
                <w:i/>
              </w:rPr>
            </w:pPr>
            <w:r>
              <w:rPr>
                <w:i/>
              </w:rPr>
              <w:t>+32 2 546 8921</w:t>
            </w:r>
          </w:p>
        </w:tc>
      </w:tr>
      <w:tr w:rsidR="00552022" w:rsidRPr="009B70E7" w14:paraId="10F3D4F1" w14:textId="77777777" w:rsidTr="00651900">
        <w:tc>
          <w:tcPr>
            <w:tcW w:w="1418" w:type="dxa"/>
          </w:tcPr>
          <w:p w14:paraId="6AB0E539" w14:textId="77777777" w:rsidR="00552022" w:rsidRPr="009B70E7" w:rsidRDefault="00552022" w:rsidP="00651900">
            <w:pPr>
              <w:pStyle w:val="ListParagraph"/>
              <w:ind w:left="601"/>
              <w:rPr>
                <w:i/>
              </w:rPr>
            </w:pPr>
            <w:r>
              <w:rPr>
                <w:i/>
              </w:rPr>
              <w:t>Courriel:</w:t>
            </w:r>
          </w:p>
        </w:tc>
        <w:tc>
          <w:tcPr>
            <w:tcW w:w="5670" w:type="dxa"/>
          </w:tcPr>
          <w:p w14:paraId="589CC30E" w14:textId="1C39C995" w:rsidR="00552022" w:rsidRPr="009B70E7" w:rsidRDefault="009D65A9" w:rsidP="00651900">
            <w:pPr>
              <w:pStyle w:val="ListParagraph"/>
              <w:ind w:left="0"/>
              <w:rPr>
                <w:i/>
              </w:rPr>
            </w:pPr>
            <w:hyperlink r:id="rId38" w:history="1">
              <w:r w:rsidR="00BC796F" w:rsidRPr="001C226F">
                <w:rPr>
                  <w:rStyle w:val="Hyperlink"/>
                  <w:i/>
                  <w:iCs/>
                </w:rPr>
                <w:t>Francesco.Napolitano</w:t>
              </w:r>
              <w:r w:rsidR="00BC796F" w:rsidRPr="001C226F">
                <w:rPr>
                  <w:rStyle w:val="Hyperlink"/>
                  <w:i/>
                  <w:iCs/>
                  <w:lang w:bidi="fr-FR"/>
                </w:rPr>
                <w:t>@eesc.europa.eu</w:t>
              </w:r>
            </w:hyperlink>
          </w:p>
        </w:tc>
      </w:tr>
    </w:tbl>
    <w:p w14:paraId="3024F672" w14:textId="4AE6C153" w:rsidR="00510903" w:rsidRPr="000F2BDB" w:rsidRDefault="000F2BDB" w:rsidP="002326F4">
      <w:pPr>
        <w:pStyle w:val="ListParagraph"/>
        <w:keepNext/>
        <w:numPr>
          <w:ilvl w:val="0"/>
          <w:numId w:val="2"/>
        </w:numPr>
        <w:ind w:left="567" w:hanging="567"/>
      </w:pPr>
      <w:bookmarkStart w:id="38" w:name="_Hlk116900840"/>
      <w:r>
        <w:rPr>
          <w:b/>
          <w:i/>
          <w:sz w:val="28"/>
        </w:rPr>
        <w:lastRenderedPageBreak/>
        <w:t>Proposition modifiée de révision du règlement relatif au RTE-T et aux corridors de fret ferroviaire</w:t>
      </w:r>
    </w:p>
    <w:p w14:paraId="119359CF" w14:textId="77777777" w:rsidR="000F2BDB" w:rsidRPr="009B70E7" w:rsidRDefault="000F2BDB" w:rsidP="002326F4">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818"/>
      </w:tblGrid>
      <w:tr w:rsidR="00510903" w:rsidRPr="009B70E7" w14:paraId="1DFAAC31" w14:textId="77777777" w:rsidTr="00037A85">
        <w:tc>
          <w:tcPr>
            <w:tcW w:w="1701" w:type="dxa"/>
          </w:tcPr>
          <w:p w14:paraId="150F2EE9" w14:textId="5A8BDB07" w:rsidR="00510903" w:rsidRPr="009B70E7" w:rsidRDefault="00510903" w:rsidP="00AC432E">
            <w:pPr>
              <w:pStyle w:val="ListParagraph"/>
              <w:keepNext/>
              <w:ind w:left="0"/>
              <w:rPr>
                <w:b/>
              </w:rPr>
            </w:pPr>
            <w:r>
              <w:rPr>
                <w:b/>
              </w:rPr>
              <w:t>Rapporteur:</w:t>
            </w:r>
          </w:p>
        </w:tc>
        <w:tc>
          <w:tcPr>
            <w:tcW w:w="5818" w:type="dxa"/>
          </w:tcPr>
          <w:p w14:paraId="02875CAB" w14:textId="5E2616F2" w:rsidR="00510903" w:rsidRPr="009B70E7" w:rsidRDefault="000F2BDB" w:rsidP="00AC432E">
            <w:pPr>
              <w:pStyle w:val="ListParagraph"/>
              <w:keepNext/>
              <w:ind w:left="-56" w:right="-453"/>
            </w:pPr>
            <w:r>
              <w:t>Stefan BACK (groupe des employeurs — SE)</w:t>
            </w:r>
          </w:p>
        </w:tc>
      </w:tr>
      <w:tr w:rsidR="00510903" w:rsidRPr="009B70E7" w14:paraId="5E12E653" w14:textId="77777777" w:rsidTr="00037A85">
        <w:tc>
          <w:tcPr>
            <w:tcW w:w="7517" w:type="dxa"/>
            <w:gridSpan w:val="2"/>
          </w:tcPr>
          <w:p w14:paraId="34ACA3C1" w14:textId="77777777" w:rsidR="00510903" w:rsidRPr="009B70E7" w:rsidRDefault="00510903" w:rsidP="00AC432E">
            <w:pPr>
              <w:pStyle w:val="ListParagraph"/>
              <w:keepNext/>
              <w:ind w:left="0"/>
            </w:pPr>
          </w:p>
        </w:tc>
      </w:tr>
      <w:tr w:rsidR="00510903" w:rsidRPr="009B70E7" w14:paraId="0B402F22" w14:textId="77777777" w:rsidTr="00037A85">
        <w:tc>
          <w:tcPr>
            <w:tcW w:w="1701" w:type="dxa"/>
            <w:vMerge w:val="restart"/>
          </w:tcPr>
          <w:p w14:paraId="161AD55F" w14:textId="77777777" w:rsidR="00510903" w:rsidRPr="009B70E7" w:rsidRDefault="00510903" w:rsidP="00AC432E">
            <w:pPr>
              <w:pStyle w:val="ListParagraph"/>
              <w:keepNext/>
              <w:ind w:left="0"/>
              <w:rPr>
                <w:b/>
              </w:rPr>
            </w:pPr>
            <w:r>
              <w:rPr>
                <w:b/>
              </w:rPr>
              <w:t xml:space="preserve">Référence: </w:t>
            </w:r>
          </w:p>
        </w:tc>
        <w:tc>
          <w:tcPr>
            <w:tcW w:w="5818" w:type="dxa"/>
          </w:tcPr>
          <w:p w14:paraId="1E786179" w14:textId="3AD04918" w:rsidR="00510903" w:rsidRPr="009B70E7" w:rsidRDefault="00B53E10" w:rsidP="00AC432E">
            <w:pPr>
              <w:pStyle w:val="ListParagraph"/>
              <w:keepNext/>
              <w:ind w:left="-56"/>
            </w:pPr>
            <w:r>
              <w:t>COM(2022) </w:t>
            </w:r>
            <w:r w:rsidR="00510903">
              <w:t>384</w:t>
            </w:r>
            <w:r w:rsidR="009B12BE">
              <w:t> final</w:t>
            </w:r>
          </w:p>
        </w:tc>
      </w:tr>
      <w:tr w:rsidR="00510903" w:rsidRPr="009B70E7" w14:paraId="717D4D6D" w14:textId="77777777" w:rsidTr="00037A85">
        <w:tc>
          <w:tcPr>
            <w:tcW w:w="1701" w:type="dxa"/>
            <w:vMerge/>
          </w:tcPr>
          <w:p w14:paraId="385CEC77" w14:textId="77777777" w:rsidR="00510903" w:rsidRPr="009B70E7" w:rsidRDefault="00510903" w:rsidP="00AC432E">
            <w:pPr>
              <w:pStyle w:val="ListParagraph"/>
              <w:keepNext/>
              <w:ind w:left="0"/>
              <w:rPr>
                <w:b/>
              </w:rPr>
            </w:pPr>
          </w:p>
        </w:tc>
        <w:tc>
          <w:tcPr>
            <w:tcW w:w="5818" w:type="dxa"/>
          </w:tcPr>
          <w:p w14:paraId="5FE86526" w14:textId="7EA9B157" w:rsidR="00510903" w:rsidRPr="009B70E7" w:rsidRDefault="00510903" w:rsidP="00AC432E">
            <w:pPr>
              <w:pStyle w:val="ListParagraph"/>
              <w:keepNext/>
              <w:ind w:left="-56"/>
            </w:pPr>
            <w:r>
              <w:t>EESC-2022-04145-00-00-AC</w:t>
            </w:r>
          </w:p>
        </w:tc>
      </w:tr>
    </w:tbl>
    <w:p w14:paraId="6F103AA4" w14:textId="77777777" w:rsidR="00510903" w:rsidRPr="009B70E7" w:rsidRDefault="00510903" w:rsidP="00510903">
      <w:pPr>
        <w:pStyle w:val="ListParagraph"/>
        <w:keepNext/>
        <w:ind w:left="0"/>
      </w:pPr>
    </w:p>
    <w:p w14:paraId="5CA6A315" w14:textId="6AD6534B" w:rsidR="00510903" w:rsidRPr="00CE23CC" w:rsidRDefault="00510903" w:rsidP="00910A95">
      <w:pPr>
        <w:pStyle w:val="ListParagraph"/>
        <w:keepNext/>
        <w:spacing w:line="240" w:lineRule="auto"/>
        <w:ind w:left="0" w:firstLine="142"/>
        <w:rPr>
          <w:b/>
        </w:rPr>
      </w:pPr>
      <w:r>
        <w:rPr>
          <w:b/>
        </w:rPr>
        <w:t>Points clés</w:t>
      </w:r>
    </w:p>
    <w:p w14:paraId="7FCB400E" w14:textId="77777777" w:rsidR="00510903" w:rsidRDefault="00510903" w:rsidP="00910A95">
      <w:pPr>
        <w:pStyle w:val="ListParagraph"/>
        <w:keepNext/>
        <w:ind w:left="0"/>
      </w:pPr>
    </w:p>
    <w:p w14:paraId="33655AB7" w14:textId="77777777" w:rsidR="00510903" w:rsidRPr="00A00F37" w:rsidRDefault="00510903" w:rsidP="00910A95">
      <w:pPr>
        <w:pStyle w:val="ListParagraph"/>
        <w:keepNext/>
        <w:spacing w:line="240" w:lineRule="auto"/>
        <w:ind w:left="0" w:firstLine="142"/>
        <w:rPr>
          <w:bCs/>
        </w:rPr>
      </w:pPr>
      <w:r>
        <w:t>Le CESE:</w:t>
      </w:r>
    </w:p>
    <w:p w14:paraId="5255DB3F" w14:textId="77777777" w:rsidR="00510903" w:rsidRPr="009B70E7" w:rsidRDefault="00510903" w:rsidP="00910A95">
      <w:pPr>
        <w:pStyle w:val="ListParagraph"/>
        <w:keepNext/>
        <w:ind w:left="0"/>
      </w:pPr>
    </w:p>
    <w:p w14:paraId="0E330913" w14:textId="77777777" w:rsidR="00910A95" w:rsidRPr="00F36847" w:rsidRDefault="00910A95" w:rsidP="003256C3">
      <w:pPr>
        <w:pStyle w:val="Heading2"/>
        <w:numPr>
          <w:ilvl w:val="0"/>
          <w:numId w:val="22"/>
        </w:numPr>
        <w:tabs>
          <w:tab w:val="left" w:pos="708"/>
        </w:tabs>
        <w:ind w:left="357" w:hanging="357"/>
      </w:pPr>
      <w:bookmarkStart w:id="39" w:name="_Toc120198256"/>
      <w:r w:rsidRPr="00F36847">
        <w:t>convient que l’agression russe contre l’Ukraine a redéfini le paysage géopolitique, mis en lumière la vulnérabilité de l’UE face à des événements perturbateurs imprévus survenant au-delà de ses frontières, et attiré l’attention sur le fait que le marché intérieur de l’Union et son réseau de transport ne peuvent être considérés isolément au moment d’élaborer la politique de l’Union;</w:t>
      </w:r>
      <w:bookmarkEnd w:id="39"/>
    </w:p>
    <w:p w14:paraId="56EFE42F" w14:textId="77777777" w:rsidR="00910A95" w:rsidRPr="00F36847" w:rsidRDefault="00910A95" w:rsidP="003256C3">
      <w:pPr>
        <w:pStyle w:val="Heading2"/>
        <w:numPr>
          <w:ilvl w:val="0"/>
          <w:numId w:val="22"/>
        </w:numPr>
        <w:tabs>
          <w:tab w:val="left" w:pos="708"/>
        </w:tabs>
        <w:ind w:left="357" w:hanging="357"/>
      </w:pPr>
      <w:bookmarkStart w:id="40" w:name="_Toc120198257"/>
      <w:r w:rsidRPr="00F36847">
        <w:t xml:space="preserve">soutient pleinement </w:t>
      </w:r>
      <w:r w:rsidRPr="00F36847">
        <w:rPr>
          <w:b/>
        </w:rPr>
        <w:t>l’extension du RTE-T à l’Ukraine et à la Moldavie</w:t>
      </w:r>
      <w:r w:rsidRPr="00F36847">
        <w:t xml:space="preserve">; cette proposition arrive à point nommé et pourrait, à terme, apporter de la valeur ajoutée, notamment en améliorant les possibilités d’établir des </w:t>
      </w:r>
      <w:r w:rsidRPr="00F36847">
        <w:rPr>
          <w:b/>
        </w:rPr>
        <w:t>flux de transport fluides et sans rupture entre l’Ukraine et l’UE</w:t>
      </w:r>
      <w:r w:rsidRPr="00F36847">
        <w:t>;</w:t>
      </w:r>
      <w:bookmarkEnd w:id="40"/>
    </w:p>
    <w:p w14:paraId="4C11C773" w14:textId="77777777" w:rsidR="00910A95" w:rsidRPr="00F36847" w:rsidRDefault="00910A95" w:rsidP="003256C3">
      <w:pPr>
        <w:pStyle w:val="Heading2"/>
        <w:numPr>
          <w:ilvl w:val="0"/>
          <w:numId w:val="22"/>
        </w:numPr>
        <w:tabs>
          <w:tab w:val="left" w:pos="708"/>
        </w:tabs>
        <w:ind w:left="357" w:hanging="357"/>
      </w:pPr>
      <w:bookmarkStart w:id="41" w:name="_Toc120198258"/>
      <w:r w:rsidRPr="00F36847">
        <w:t xml:space="preserve">propose de </w:t>
      </w:r>
      <w:r w:rsidRPr="00F36847">
        <w:rPr>
          <w:b/>
        </w:rPr>
        <w:t>restreindre aux seuls corridors de transport européens l’exigence d’une conversion</w:t>
      </w:r>
      <w:r w:rsidRPr="00F36847">
        <w:t xml:space="preserve"> à l’écartement standard européen de 1 435 mm, de manière à assurer la cohérence et la bonne coordination du processus, étant donné que l’obligation faite aux États membres d’établir des plans de conversion se limite à ces corridors.</w:t>
      </w:r>
      <w:bookmarkEnd w:id="41"/>
    </w:p>
    <w:p w14:paraId="180DA939" w14:textId="77777777" w:rsidR="00510903" w:rsidRPr="009B70E7" w:rsidRDefault="00510903" w:rsidP="005109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0F2BDB" w:rsidRPr="009B70E7" w14:paraId="71F7A3BE" w14:textId="77777777" w:rsidTr="00FC44B4">
        <w:tc>
          <w:tcPr>
            <w:tcW w:w="1418" w:type="dxa"/>
          </w:tcPr>
          <w:p w14:paraId="318AC3A8" w14:textId="35EEDC79" w:rsidR="000F2BDB" w:rsidRPr="009B70E7" w:rsidRDefault="00140AB0" w:rsidP="006321AD">
            <w:pPr>
              <w:pStyle w:val="ListParagraph"/>
              <w:keepNext/>
              <w:ind w:left="0"/>
              <w:rPr>
                <w:i/>
              </w:rPr>
            </w:pPr>
            <w:r>
              <w:rPr>
                <w:b/>
                <w:i/>
              </w:rPr>
              <w:t>Contact:</w:t>
            </w:r>
          </w:p>
        </w:tc>
        <w:tc>
          <w:tcPr>
            <w:tcW w:w="5670" w:type="dxa"/>
          </w:tcPr>
          <w:p w14:paraId="3380DEFF" w14:textId="77777777" w:rsidR="000F2BDB" w:rsidRPr="009B70E7" w:rsidRDefault="000F2BDB" w:rsidP="006321AD">
            <w:pPr>
              <w:pStyle w:val="ListParagraph"/>
              <w:keepNext/>
              <w:ind w:left="0"/>
              <w:rPr>
                <w:i/>
              </w:rPr>
            </w:pPr>
            <w:r>
              <w:rPr>
                <w:i/>
              </w:rPr>
              <w:t>Maja </w:t>
            </w:r>
            <w:proofErr w:type="spellStart"/>
            <w:r>
              <w:rPr>
                <w:i/>
              </w:rPr>
              <w:t>Radman</w:t>
            </w:r>
            <w:proofErr w:type="spellEnd"/>
          </w:p>
        </w:tc>
      </w:tr>
      <w:tr w:rsidR="000F2BDB" w:rsidRPr="009B70E7" w14:paraId="7C9AC94A" w14:textId="77777777" w:rsidTr="00FC44B4">
        <w:tc>
          <w:tcPr>
            <w:tcW w:w="1418" w:type="dxa"/>
          </w:tcPr>
          <w:p w14:paraId="44519853" w14:textId="77777777" w:rsidR="000F2BDB" w:rsidRPr="009B70E7" w:rsidRDefault="000F2BDB" w:rsidP="006321AD">
            <w:pPr>
              <w:pStyle w:val="ListParagraph"/>
              <w:keepNext/>
              <w:ind w:left="601"/>
              <w:rPr>
                <w:i/>
              </w:rPr>
            </w:pPr>
            <w:r>
              <w:rPr>
                <w:i/>
              </w:rPr>
              <w:t>Tél.</w:t>
            </w:r>
          </w:p>
        </w:tc>
        <w:tc>
          <w:tcPr>
            <w:tcW w:w="5670" w:type="dxa"/>
          </w:tcPr>
          <w:p w14:paraId="094D7C00" w14:textId="77777777" w:rsidR="000F2BDB" w:rsidRPr="009B70E7" w:rsidRDefault="000F2BDB" w:rsidP="006321AD">
            <w:pPr>
              <w:pStyle w:val="ListParagraph"/>
              <w:keepNext/>
              <w:ind w:left="0"/>
              <w:rPr>
                <w:i/>
              </w:rPr>
            </w:pPr>
            <w:r>
              <w:rPr>
                <w:i/>
              </w:rPr>
              <w:t>+32 2 546 9051</w:t>
            </w:r>
          </w:p>
        </w:tc>
      </w:tr>
      <w:tr w:rsidR="000F2BDB" w:rsidRPr="00F33DD2" w14:paraId="6468336A" w14:textId="77777777" w:rsidTr="00FC44B4">
        <w:tc>
          <w:tcPr>
            <w:tcW w:w="1418" w:type="dxa"/>
          </w:tcPr>
          <w:p w14:paraId="59290C0D" w14:textId="77777777" w:rsidR="000F2BDB" w:rsidRPr="009B70E7" w:rsidRDefault="000F2BDB" w:rsidP="006321AD">
            <w:pPr>
              <w:pStyle w:val="ListParagraph"/>
              <w:keepNext/>
              <w:ind w:left="601"/>
              <w:rPr>
                <w:i/>
              </w:rPr>
            </w:pPr>
            <w:r>
              <w:rPr>
                <w:i/>
              </w:rPr>
              <w:t>Courriel:</w:t>
            </w:r>
          </w:p>
        </w:tc>
        <w:tc>
          <w:tcPr>
            <w:tcW w:w="5670" w:type="dxa"/>
          </w:tcPr>
          <w:p w14:paraId="16C0256B" w14:textId="7886E761" w:rsidR="000F2BDB" w:rsidRPr="00910A95" w:rsidRDefault="009D65A9" w:rsidP="006321AD">
            <w:pPr>
              <w:pStyle w:val="ListParagraph"/>
              <w:keepNext/>
              <w:ind w:left="0"/>
              <w:rPr>
                <w:i/>
                <w:iCs/>
              </w:rPr>
            </w:pPr>
            <w:hyperlink r:id="rId39" w:history="1">
              <w:r w:rsidR="007B42E2" w:rsidRPr="00910A95">
                <w:rPr>
                  <w:rStyle w:val="Hyperlink"/>
                  <w:i/>
                  <w:iCs/>
                </w:rPr>
                <w:t>Maja.Radman@eesc.europa.eu</w:t>
              </w:r>
            </w:hyperlink>
          </w:p>
        </w:tc>
      </w:tr>
      <w:bookmarkEnd w:id="38"/>
    </w:tbl>
    <w:p w14:paraId="4D226931" w14:textId="36BA3FAE" w:rsidR="00015E18" w:rsidRDefault="00015E18" w:rsidP="00510903">
      <w:pPr>
        <w:tabs>
          <w:tab w:val="left" w:pos="1440"/>
        </w:tabs>
        <w:spacing w:after="160" w:line="259" w:lineRule="auto"/>
        <w:jc w:val="left"/>
        <w:rPr>
          <w:sz w:val="28"/>
        </w:rPr>
      </w:pPr>
    </w:p>
    <w:bookmarkStart w:id="42" w:name="_Hlk116901176"/>
    <w:p w14:paraId="2BD5F062" w14:textId="46F86689" w:rsidR="002326F4" w:rsidRPr="000F2BDB" w:rsidRDefault="002326F4" w:rsidP="002326F4">
      <w:pPr>
        <w:pStyle w:val="ListParagraph"/>
        <w:keepNext/>
        <w:numPr>
          <w:ilvl w:val="0"/>
          <w:numId w:val="2"/>
        </w:numPr>
        <w:ind w:left="567" w:hanging="567"/>
      </w:pPr>
      <w:r w:rsidRPr="00366F20">
        <w:fldChar w:fldCharType="begin"/>
      </w:r>
      <w:r w:rsidRPr="00366F20">
        <w:instrText xml:space="preserve"> HYPERLINK "https://www.eesc.europa.eu/fr/documents/report/big-data-digital-revolution-and-its-impact-society" </w:instrText>
      </w:r>
      <w:r w:rsidRPr="00366F20">
        <w:fldChar w:fldCharType="separate"/>
      </w:r>
      <w:r>
        <w:rPr>
          <w:rStyle w:val="Hyperlink"/>
          <w:b/>
          <w:i/>
          <w:color w:val="auto"/>
          <w:sz w:val="28"/>
          <w:u w:val="none"/>
        </w:rPr>
        <w:t>Règlement abrogeant les règlements (CEE) nº 1108/70 et (CE) nº 851/2006</w:t>
      </w:r>
      <w:r w:rsidRPr="00366F20">
        <w:rPr>
          <w:rStyle w:val="Hyperlink"/>
          <w:b/>
          <w:i/>
          <w:color w:val="auto"/>
          <w:sz w:val="28"/>
          <w:u w:val="none"/>
        </w:rPr>
        <w:fldChar w:fldCharType="end"/>
      </w:r>
    </w:p>
    <w:p w14:paraId="4973BA90" w14:textId="77777777" w:rsidR="002326F4" w:rsidRPr="009B70E7" w:rsidRDefault="002326F4" w:rsidP="002326F4">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818"/>
      </w:tblGrid>
      <w:tr w:rsidR="002326F4" w:rsidRPr="009B70E7" w14:paraId="03EBD5DA" w14:textId="77777777" w:rsidTr="00FC44B4">
        <w:tc>
          <w:tcPr>
            <w:tcW w:w="1701" w:type="dxa"/>
          </w:tcPr>
          <w:p w14:paraId="77C913C8" w14:textId="77777777" w:rsidR="002326F4" w:rsidRPr="009B70E7" w:rsidRDefault="002326F4" w:rsidP="00FC44B4">
            <w:pPr>
              <w:pStyle w:val="ListParagraph"/>
              <w:keepNext/>
              <w:ind w:left="0"/>
              <w:rPr>
                <w:b/>
              </w:rPr>
            </w:pPr>
            <w:r>
              <w:rPr>
                <w:b/>
              </w:rPr>
              <w:t>Rapporteur:</w:t>
            </w:r>
          </w:p>
        </w:tc>
        <w:tc>
          <w:tcPr>
            <w:tcW w:w="5818" w:type="dxa"/>
          </w:tcPr>
          <w:p w14:paraId="7808C7F4" w14:textId="3AF098B8" w:rsidR="002326F4" w:rsidRPr="009B70E7" w:rsidRDefault="002326F4" w:rsidP="00FC44B4">
            <w:pPr>
              <w:pStyle w:val="ListParagraph"/>
              <w:keepNext/>
              <w:ind w:left="-56" w:right="-453"/>
            </w:pPr>
            <w:r>
              <w:t>Avis de catégorie C</w:t>
            </w:r>
          </w:p>
        </w:tc>
      </w:tr>
      <w:tr w:rsidR="002326F4" w:rsidRPr="009B70E7" w14:paraId="537C6A16" w14:textId="77777777" w:rsidTr="00FC44B4">
        <w:tc>
          <w:tcPr>
            <w:tcW w:w="7517" w:type="dxa"/>
            <w:gridSpan w:val="2"/>
          </w:tcPr>
          <w:p w14:paraId="0977C991" w14:textId="77777777" w:rsidR="002326F4" w:rsidRPr="009B70E7" w:rsidRDefault="002326F4" w:rsidP="00FC44B4">
            <w:pPr>
              <w:pStyle w:val="ListParagraph"/>
              <w:keepNext/>
              <w:ind w:left="0"/>
            </w:pPr>
          </w:p>
        </w:tc>
      </w:tr>
      <w:tr w:rsidR="002326F4" w:rsidRPr="009B70E7" w14:paraId="5FA50AD3" w14:textId="77777777" w:rsidTr="00FC44B4">
        <w:tc>
          <w:tcPr>
            <w:tcW w:w="1701" w:type="dxa"/>
            <w:vMerge w:val="restart"/>
          </w:tcPr>
          <w:p w14:paraId="66FEA07C" w14:textId="77777777" w:rsidR="002326F4" w:rsidRPr="009B70E7" w:rsidRDefault="002326F4" w:rsidP="00FC44B4">
            <w:pPr>
              <w:pStyle w:val="ListParagraph"/>
              <w:keepNext/>
              <w:ind w:left="0"/>
              <w:rPr>
                <w:b/>
              </w:rPr>
            </w:pPr>
            <w:r>
              <w:rPr>
                <w:b/>
              </w:rPr>
              <w:t xml:space="preserve">Référence: </w:t>
            </w:r>
          </w:p>
        </w:tc>
        <w:tc>
          <w:tcPr>
            <w:tcW w:w="5818" w:type="dxa"/>
          </w:tcPr>
          <w:p w14:paraId="515FB4B9" w14:textId="4F0AA276" w:rsidR="002326F4" w:rsidRPr="009B70E7" w:rsidRDefault="00B53E10" w:rsidP="00FC44B4">
            <w:pPr>
              <w:pStyle w:val="ListParagraph"/>
              <w:keepNext/>
              <w:ind w:left="-56"/>
            </w:pPr>
            <w:r>
              <w:t>COM(2022) </w:t>
            </w:r>
            <w:r w:rsidR="002326F4">
              <w:t>381</w:t>
            </w:r>
            <w:r w:rsidR="009B12BE">
              <w:t> final</w:t>
            </w:r>
          </w:p>
        </w:tc>
      </w:tr>
      <w:tr w:rsidR="002326F4" w:rsidRPr="009B70E7" w14:paraId="2AFE245E" w14:textId="77777777" w:rsidTr="00FC44B4">
        <w:tc>
          <w:tcPr>
            <w:tcW w:w="1701" w:type="dxa"/>
            <w:vMerge/>
          </w:tcPr>
          <w:p w14:paraId="599D36E3" w14:textId="77777777" w:rsidR="002326F4" w:rsidRPr="009B70E7" w:rsidRDefault="002326F4" w:rsidP="00FC44B4">
            <w:pPr>
              <w:pStyle w:val="ListParagraph"/>
              <w:keepNext/>
              <w:ind w:left="0"/>
              <w:rPr>
                <w:b/>
              </w:rPr>
            </w:pPr>
          </w:p>
        </w:tc>
        <w:tc>
          <w:tcPr>
            <w:tcW w:w="5818" w:type="dxa"/>
          </w:tcPr>
          <w:p w14:paraId="7F4F946D" w14:textId="6CEE4E10" w:rsidR="002326F4" w:rsidRPr="009B70E7" w:rsidRDefault="002326F4" w:rsidP="00FC44B4">
            <w:pPr>
              <w:pStyle w:val="ListParagraph"/>
              <w:keepNext/>
              <w:ind w:left="-56"/>
            </w:pPr>
            <w:r>
              <w:t>EESC-2022-04600-00-00-AC</w:t>
            </w:r>
          </w:p>
        </w:tc>
      </w:tr>
    </w:tbl>
    <w:p w14:paraId="72C5ECE8" w14:textId="77777777" w:rsidR="002326F4" w:rsidRPr="009B70E7" w:rsidRDefault="002326F4" w:rsidP="002326F4">
      <w:pPr>
        <w:pStyle w:val="ListParagraph"/>
        <w:keepNext/>
        <w:ind w:left="0"/>
      </w:pPr>
    </w:p>
    <w:p w14:paraId="2E1E7A6A" w14:textId="35C2C552" w:rsidR="002326F4" w:rsidRDefault="002326F4" w:rsidP="00EF3F42">
      <w:pPr>
        <w:pStyle w:val="ListParagraph"/>
        <w:keepNext/>
        <w:spacing w:line="240" w:lineRule="auto"/>
        <w:ind w:left="0" w:firstLine="142"/>
        <w:rPr>
          <w:b/>
        </w:rPr>
      </w:pPr>
      <w:r>
        <w:rPr>
          <w:b/>
        </w:rPr>
        <w:t>Points clés</w:t>
      </w:r>
    </w:p>
    <w:p w14:paraId="0C18B4B5" w14:textId="77777777" w:rsidR="002326F4" w:rsidRPr="00CE23CC" w:rsidRDefault="002326F4" w:rsidP="00EF3F42">
      <w:pPr>
        <w:pStyle w:val="ListParagraph"/>
        <w:keepNext/>
        <w:spacing w:line="240" w:lineRule="auto"/>
        <w:ind w:left="0" w:firstLine="142"/>
        <w:rPr>
          <w:b/>
        </w:rPr>
      </w:pPr>
    </w:p>
    <w:p w14:paraId="40CD6843" w14:textId="77777777" w:rsidR="00072696" w:rsidRPr="00751214" w:rsidRDefault="00072696" w:rsidP="00072696">
      <w:pPr>
        <w:widowControl w:val="0"/>
        <w:rPr>
          <w:bCs/>
          <w:iCs/>
        </w:rPr>
      </w:pPr>
      <w:r w:rsidRPr="00751214">
        <w:t>Ayant estimé que le contenu de la proposition est satisfaisant et n’appelle aucun commentaire de sa part, le Comité a décidé de rendre un avis favorable au texte proposé.</w:t>
      </w:r>
    </w:p>
    <w:p w14:paraId="5F971564" w14:textId="77777777" w:rsidR="002326F4" w:rsidRPr="009B70E7" w:rsidRDefault="002326F4" w:rsidP="002326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2326F4" w:rsidRPr="009B70E7" w14:paraId="07953183" w14:textId="77777777" w:rsidTr="00FC44B4">
        <w:tc>
          <w:tcPr>
            <w:tcW w:w="1418" w:type="dxa"/>
          </w:tcPr>
          <w:p w14:paraId="421C8DDF" w14:textId="77777777" w:rsidR="002326F4" w:rsidRPr="009B70E7" w:rsidRDefault="002326F4" w:rsidP="00FC44B4">
            <w:pPr>
              <w:pStyle w:val="ListParagraph"/>
              <w:ind w:left="0"/>
              <w:rPr>
                <w:i/>
              </w:rPr>
            </w:pPr>
            <w:r>
              <w:rPr>
                <w:b/>
                <w:i/>
              </w:rPr>
              <w:t>Contact:</w:t>
            </w:r>
          </w:p>
        </w:tc>
        <w:tc>
          <w:tcPr>
            <w:tcW w:w="5670" w:type="dxa"/>
          </w:tcPr>
          <w:p w14:paraId="5C7B771B" w14:textId="77777777" w:rsidR="002326F4" w:rsidRPr="009B70E7" w:rsidRDefault="002326F4" w:rsidP="00FC44B4">
            <w:pPr>
              <w:pStyle w:val="ListParagraph"/>
              <w:ind w:left="0"/>
              <w:rPr>
                <w:i/>
              </w:rPr>
            </w:pPr>
            <w:r>
              <w:rPr>
                <w:i/>
              </w:rPr>
              <w:t>Maja </w:t>
            </w:r>
            <w:proofErr w:type="spellStart"/>
            <w:r>
              <w:rPr>
                <w:i/>
              </w:rPr>
              <w:t>Radman</w:t>
            </w:r>
            <w:proofErr w:type="spellEnd"/>
          </w:p>
        </w:tc>
      </w:tr>
      <w:tr w:rsidR="002326F4" w:rsidRPr="009B70E7" w14:paraId="147D0C78" w14:textId="77777777" w:rsidTr="00FC44B4">
        <w:tc>
          <w:tcPr>
            <w:tcW w:w="1418" w:type="dxa"/>
          </w:tcPr>
          <w:p w14:paraId="019914E2" w14:textId="77777777" w:rsidR="002326F4" w:rsidRPr="009B70E7" w:rsidRDefault="002326F4" w:rsidP="00FC44B4">
            <w:pPr>
              <w:pStyle w:val="ListParagraph"/>
              <w:ind w:left="601"/>
              <w:rPr>
                <w:i/>
              </w:rPr>
            </w:pPr>
            <w:r>
              <w:rPr>
                <w:i/>
              </w:rPr>
              <w:t>Tél.</w:t>
            </w:r>
          </w:p>
        </w:tc>
        <w:tc>
          <w:tcPr>
            <w:tcW w:w="5670" w:type="dxa"/>
          </w:tcPr>
          <w:p w14:paraId="68C2CE9B" w14:textId="77777777" w:rsidR="002326F4" w:rsidRPr="009B70E7" w:rsidRDefault="002326F4" w:rsidP="00FC44B4">
            <w:pPr>
              <w:pStyle w:val="ListParagraph"/>
              <w:ind w:left="0"/>
              <w:rPr>
                <w:i/>
              </w:rPr>
            </w:pPr>
            <w:r>
              <w:rPr>
                <w:i/>
              </w:rPr>
              <w:t>+32 2 546 9051</w:t>
            </w:r>
          </w:p>
        </w:tc>
      </w:tr>
      <w:tr w:rsidR="002326F4" w:rsidRPr="00F33DD2" w14:paraId="677A447B" w14:textId="77777777" w:rsidTr="00FC44B4">
        <w:tc>
          <w:tcPr>
            <w:tcW w:w="1418" w:type="dxa"/>
          </w:tcPr>
          <w:p w14:paraId="1C5415B6" w14:textId="77777777" w:rsidR="002326F4" w:rsidRPr="009B70E7" w:rsidRDefault="002326F4" w:rsidP="00FC44B4">
            <w:pPr>
              <w:pStyle w:val="ListParagraph"/>
              <w:ind w:left="601"/>
              <w:rPr>
                <w:i/>
              </w:rPr>
            </w:pPr>
            <w:r>
              <w:rPr>
                <w:i/>
              </w:rPr>
              <w:t>Courriel:</w:t>
            </w:r>
          </w:p>
        </w:tc>
        <w:tc>
          <w:tcPr>
            <w:tcW w:w="5670" w:type="dxa"/>
          </w:tcPr>
          <w:p w14:paraId="60D1B0D8" w14:textId="1C25FD14" w:rsidR="002326F4" w:rsidRPr="00F33DD2" w:rsidRDefault="009D65A9" w:rsidP="00FC44B4">
            <w:pPr>
              <w:pStyle w:val="ListParagraph"/>
              <w:ind w:left="0"/>
              <w:rPr>
                <w:i/>
                <w:iCs/>
              </w:rPr>
            </w:pPr>
            <w:hyperlink r:id="rId40" w:history="1">
              <w:r w:rsidR="00072696" w:rsidRPr="00751214">
                <w:rPr>
                  <w:rStyle w:val="Hyperlink"/>
                  <w:i/>
                </w:rPr>
                <w:t>Maja.Radman@eesc.europa.eu</w:t>
              </w:r>
            </w:hyperlink>
          </w:p>
        </w:tc>
      </w:tr>
      <w:bookmarkEnd w:id="42"/>
    </w:tbl>
    <w:p w14:paraId="2AB74176" w14:textId="75DAE6E5" w:rsidR="00015E18" w:rsidRDefault="00015E18" w:rsidP="0018231C">
      <w:pPr>
        <w:jc w:val="left"/>
        <w:rPr>
          <w:sz w:val="28"/>
        </w:rPr>
      </w:pPr>
    </w:p>
    <w:p w14:paraId="7F7AC86F" w14:textId="7639AD78" w:rsidR="002326F4" w:rsidRPr="000F2BDB" w:rsidRDefault="002326F4" w:rsidP="002326F4">
      <w:pPr>
        <w:pStyle w:val="ListParagraph"/>
        <w:keepNext/>
        <w:numPr>
          <w:ilvl w:val="0"/>
          <w:numId w:val="2"/>
        </w:numPr>
        <w:ind w:left="567" w:hanging="567"/>
      </w:pPr>
      <w:r>
        <w:rPr>
          <w:b/>
          <w:i/>
          <w:sz w:val="28"/>
        </w:rPr>
        <w:lastRenderedPageBreak/>
        <w:t>Décision abrogeant la directive 89/629/CEE</w:t>
      </w:r>
    </w:p>
    <w:p w14:paraId="246839AB" w14:textId="77777777" w:rsidR="002326F4" w:rsidRPr="009B70E7" w:rsidRDefault="002326F4" w:rsidP="002326F4">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01"/>
        <w:gridCol w:w="5818"/>
      </w:tblGrid>
      <w:tr w:rsidR="002326F4" w:rsidRPr="009B70E7" w14:paraId="3E2F7E65" w14:textId="77777777" w:rsidTr="00FC44B4">
        <w:tc>
          <w:tcPr>
            <w:tcW w:w="1701" w:type="dxa"/>
          </w:tcPr>
          <w:p w14:paraId="4D792BF6" w14:textId="77777777" w:rsidR="002326F4" w:rsidRPr="009B70E7" w:rsidRDefault="002326F4" w:rsidP="00FC44B4">
            <w:pPr>
              <w:pStyle w:val="ListParagraph"/>
              <w:keepNext/>
              <w:ind w:left="0"/>
              <w:rPr>
                <w:b/>
              </w:rPr>
            </w:pPr>
            <w:r>
              <w:rPr>
                <w:b/>
              </w:rPr>
              <w:t>Rapporteur:</w:t>
            </w:r>
          </w:p>
        </w:tc>
        <w:tc>
          <w:tcPr>
            <w:tcW w:w="5818" w:type="dxa"/>
          </w:tcPr>
          <w:p w14:paraId="3C986A36" w14:textId="77777777" w:rsidR="002326F4" w:rsidRPr="009B70E7" w:rsidRDefault="002326F4" w:rsidP="00FC44B4">
            <w:pPr>
              <w:pStyle w:val="ListParagraph"/>
              <w:keepNext/>
              <w:ind w:left="-56" w:right="-453"/>
            </w:pPr>
            <w:r>
              <w:t>Avis de catégorie C</w:t>
            </w:r>
          </w:p>
        </w:tc>
      </w:tr>
      <w:tr w:rsidR="002326F4" w:rsidRPr="009B70E7" w14:paraId="02C6F8C7" w14:textId="77777777" w:rsidTr="00FC44B4">
        <w:tc>
          <w:tcPr>
            <w:tcW w:w="7517" w:type="dxa"/>
            <w:gridSpan w:val="2"/>
          </w:tcPr>
          <w:p w14:paraId="3F10CE4B" w14:textId="77777777" w:rsidR="002326F4" w:rsidRPr="009B70E7" w:rsidRDefault="002326F4" w:rsidP="00FC44B4">
            <w:pPr>
              <w:pStyle w:val="ListParagraph"/>
              <w:keepNext/>
              <w:ind w:left="0"/>
            </w:pPr>
          </w:p>
        </w:tc>
      </w:tr>
      <w:tr w:rsidR="002326F4" w:rsidRPr="009B70E7" w14:paraId="40EC03AA" w14:textId="77777777" w:rsidTr="00FC44B4">
        <w:tc>
          <w:tcPr>
            <w:tcW w:w="1701" w:type="dxa"/>
            <w:vMerge w:val="restart"/>
          </w:tcPr>
          <w:p w14:paraId="2642A27E" w14:textId="77777777" w:rsidR="002326F4" w:rsidRPr="009B70E7" w:rsidRDefault="002326F4" w:rsidP="00FC44B4">
            <w:pPr>
              <w:pStyle w:val="ListParagraph"/>
              <w:keepNext/>
              <w:ind w:left="0"/>
              <w:rPr>
                <w:b/>
              </w:rPr>
            </w:pPr>
            <w:r>
              <w:rPr>
                <w:b/>
              </w:rPr>
              <w:t xml:space="preserve">Référence: </w:t>
            </w:r>
          </w:p>
        </w:tc>
        <w:tc>
          <w:tcPr>
            <w:tcW w:w="5818" w:type="dxa"/>
          </w:tcPr>
          <w:p w14:paraId="65607817" w14:textId="23F7EBE7" w:rsidR="002326F4" w:rsidRPr="009B70E7" w:rsidRDefault="00B53E10" w:rsidP="00FC44B4">
            <w:pPr>
              <w:pStyle w:val="ListParagraph"/>
              <w:keepNext/>
              <w:ind w:left="-56"/>
            </w:pPr>
            <w:r>
              <w:t>COM(2022) </w:t>
            </w:r>
            <w:r w:rsidR="002326F4">
              <w:t>465</w:t>
            </w:r>
            <w:r w:rsidR="009B12BE">
              <w:t> final</w:t>
            </w:r>
          </w:p>
        </w:tc>
      </w:tr>
      <w:tr w:rsidR="002326F4" w:rsidRPr="009B70E7" w14:paraId="3B7955BD" w14:textId="77777777" w:rsidTr="00FC44B4">
        <w:tc>
          <w:tcPr>
            <w:tcW w:w="1701" w:type="dxa"/>
            <w:vMerge/>
          </w:tcPr>
          <w:p w14:paraId="39556D85" w14:textId="77777777" w:rsidR="002326F4" w:rsidRPr="009B70E7" w:rsidRDefault="002326F4" w:rsidP="00FC44B4">
            <w:pPr>
              <w:pStyle w:val="ListParagraph"/>
              <w:keepNext/>
              <w:ind w:left="0"/>
              <w:rPr>
                <w:b/>
              </w:rPr>
            </w:pPr>
          </w:p>
        </w:tc>
        <w:tc>
          <w:tcPr>
            <w:tcW w:w="5818" w:type="dxa"/>
          </w:tcPr>
          <w:p w14:paraId="1D575C36" w14:textId="79239B17" w:rsidR="002326F4" w:rsidRPr="009B70E7" w:rsidRDefault="002326F4" w:rsidP="00FC44B4">
            <w:pPr>
              <w:pStyle w:val="ListParagraph"/>
              <w:keepNext/>
              <w:ind w:left="-56"/>
            </w:pPr>
            <w:r>
              <w:t>EESC-2022-04541-00-00-AC</w:t>
            </w:r>
          </w:p>
        </w:tc>
      </w:tr>
    </w:tbl>
    <w:p w14:paraId="38DB107F" w14:textId="77777777" w:rsidR="002326F4" w:rsidRPr="009B70E7" w:rsidRDefault="002326F4" w:rsidP="002326F4">
      <w:pPr>
        <w:pStyle w:val="ListParagraph"/>
        <w:keepNext/>
        <w:ind w:left="0"/>
      </w:pPr>
    </w:p>
    <w:p w14:paraId="4714B400" w14:textId="77777777" w:rsidR="002326F4" w:rsidRDefault="002326F4" w:rsidP="002326F4">
      <w:pPr>
        <w:pStyle w:val="ListParagraph"/>
        <w:spacing w:line="240" w:lineRule="auto"/>
        <w:ind w:left="0" w:firstLine="142"/>
        <w:rPr>
          <w:b/>
        </w:rPr>
      </w:pPr>
      <w:r>
        <w:rPr>
          <w:b/>
        </w:rPr>
        <w:t>Points clés</w:t>
      </w:r>
    </w:p>
    <w:p w14:paraId="004A3201" w14:textId="77777777" w:rsidR="002326F4" w:rsidRPr="00CE23CC" w:rsidRDefault="002326F4" w:rsidP="002326F4">
      <w:pPr>
        <w:pStyle w:val="ListParagraph"/>
        <w:spacing w:line="240" w:lineRule="auto"/>
        <w:ind w:left="0" w:firstLine="142"/>
        <w:rPr>
          <w:b/>
        </w:rPr>
      </w:pPr>
    </w:p>
    <w:p w14:paraId="396D0736" w14:textId="77777777" w:rsidR="002326F4" w:rsidRDefault="002326F4" w:rsidP="002326F4">
      <w:pPr>
        <w:pStyle w:val="ListParagraph"/>
        <w:ind w:left="0"/>
      </w:pPr>
      <w:r>
        <w:t>Ayant estimé que le contenu de la proposition est satisfaisant et n’appelle aucun commentaire de sa part, le Comité a décidé de rendre un avis favorable au texte proposé.</w:t>
      </w:r>
    </w:p>
    <w:p w14:paraId="26BA7AF6" w14:textId="77777777" w:rsidR="002326F4" w:rsidRPr="009B70E7" w:rsidRDefault="002326F4" w:rsidP="002326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2326F4" w:rsidRPr="009B70E7" w14:paraId="4C5538D6" w14:textId="77777777" w:rsidTr="00FC44B4">
        <w:tc>
          <w:tcPr>
            <w:tcW w:w="1418" w:type="dxa"/>
          </w:tcPr>
          <w:p w14:paraId="5B0BF726" w14:textId="77777777" w:rsidR="002326F4" w:rsidRPr="009B70E7" w:rsidRDefault="002326F4" w:rsidP="00FC44B4">
            <w:pPr>
              <w:pStyle w:val="ListParagraph"/>
              <w:ind w:left="0"/>
              <w:rPr>
                <w:i/>
              </w:rPr>
            </w:pPr>
            <w:r>
              <w:rPr>
                <w:b/>
                <w:i/>
              </w:rPr>
              <w:t>Contact:</w:t>
            </w:r>
          </w:p>
        </w:tc>
        <w:tc>
          <w:tcPr>
            <w:tcW w:w="5670" w:type="dxa"/>
          </w:tcPr>
          <w:p w14:paraId="75154717" w14:textId="44081BE3" w:rsidR="002326F4" w:rsidRPr="009B70E7" w:rsidRDefault="002326F4" w:rsidP="00FC44B4">
            <w:pPr>
              <w:pStyle w:val="ListParagraph"/>
              <w:ind w:left="0"/>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002326F4" w:rsidRPr="009B70E7" w14:paraId="0D046AC6" w14:textId="77777777" w:rsidTr="00FC44B4">
        <w:tc>
          <w:tcPr>
            <w:tcW w:w="1418" w:type="dxa"/>
          </w:tcPr>
          <w:p w14:paraId="7C7250C4" w14:textId="77777777" w:rsidR="002326F4" w:rsidRPr="009B70E7" w:rsidRDefault="002326F4" w:rsidP="00FC44B4">
            <w:pPr>
              <w:pStyle w:val="ListParagraph"/>
              <w:ind w:left="601"/>
              <w:rPr>
                <w:i/>
              </w:rPr>
            </w:pPr>
            <w:r>
              <w:rPr>
                <w:i/>
              </w:rPr>
              <w:t>Tél.</w:t>
            </w:r>
          </w:p>
        </w:tc>
        <w:tc>
          <w:tcPr>
            <w:tcW w:w="5670" w:type="dxa"/>
          </w:tcPr>
          <w:p w14:paraId="4891660A" w14:textId="5F195868" w:rsidR="002326F4" w:rsidRPr="009B70E7" w:rsidRDefault="002326F4" w:rsidP="00FC44B4">
            <w:pPr>
              <w:pStyle w:val="ListParagraph"/>
              <w:ind w:left="0"/>
              <w:rPr>
                <w:i/>
              </w:rPr>
            </w:pPr>
            <w:r>
              <w:rPr>
                <w:i/>
              </w:rPr>
              <w:t>+ 32 2 546 8320</w:t>
            </w:r>
          </w:p>
        </w:tc>
      </w:tr>
      <w:tr w:rsidR="002326F4" w:rsidRPr="00F33DD2" w14:paraId="0DF291F7" w14:textId="77777777" w:rsidTr="00FC44B4">
        <w:tc>
          <w:tcPr>
            <w:tcW w:w="1418" w:type="dxa"/>
          </w:tcPr>
          <w:p w14:paraId="7D80D8EF" w14:textId="77777777" w:rsidR="002326F4" w:rsidRPr="009B70E7" w:rsidRDefault="002326F4" w:rsidP="00FC44B4">
            <w:pPr>
              <w:pStyle w:val="ListParagraph"/>
              <w:ind w:left="601"/>
              <w:rPr>
                <w:i/>
              </w:rPr>
            </w:pPr>
            <w:r>
              <w:rPr>
                <w:i/>
              </w:rPr>
              <w:t>Courriel:</w:t>
            </w:r>
          </w:p>
        </w:tc>
        <w:tc>
          <w:tcPr>
            <w:tcW w:w="5670" w:type="dxa"/>
          </w:tcPr>
          <w:p w14:paraId="530F5311" w14:textId="08202870" w:rsidR="002326F4" w:rsidRPr="002326F4" w:rsidRDefault="009D65A9" w:rsidP="00FC44B4">
            <w:pPr>
              <w:pStyle w:val="ListParagraph"/>
              <w:ind w:left="0"/>
              <w:rPr>
                <w:i/>
              </w:rPr>
            </w:pPr>
            <w:hyperlink r:id="rId41" w:history="1">
              <w:r w:rsidR="00EF3F42" w:rsidRPr="00E61FB9">
                <w:rPr>
                  <w:rStyle w:val="Hyperlink"/>
                  <w:i/>
                  <w:lang w:val="en-US"/>
                </w:rPr>
                <w:t>Aleksandra.SarmanGrilc</w:t>
              </w:r>
              <w:r w:rsidR="00EF3F42" w:rsidRPr="00E61FB9">
                <w:rPr>
                  <w:rStyle w:val="Hyperlink"/>
                  <w:i/>
                  <w:lang w:bidi="fr-FR"/>
                </w:rPr>
                <w:t>@eesc.europa.eu</w:t>
              </w:r>
            </w:hyperlink>
          </w:p>
        </w:tc>
      </w:tr>
    </w:tbl>
    <w:p w14:paraId="69D8DEA4" w14:textId="78427CDE" w:rsidR="002326F4" w:rsidRDefault="002326F4" w:rsidP="0018231C">
      <w:pPr>
        <w:jc w:val="left"/>
        <w:rPr>
          <w:sz w:val="28"/>
        </w:rPr>
      </w:pPr>
    </w:p>
    <w:p w14:paraId="79136624" w14:textId="77777777" w:rsidR="002326F4" w:rsidRPr="00A10A98" w:rsidRDefault="002326F4" w:rsidP="0018231C">
      <w:pPr>
        <w:jc w:val="left"/>
        <w:rPr>
          <w:sz w:val="28"/>
        </w:rPr>
      </w:pPr>
    </w:p>
    <w:p w14:paraId="3F8FA026" w14:textId="77777777" w:rsidR="004D7AC0" w:rsidRPr="009B70E7" w:rsidRDefault="004D7AC0">
      <w:pPr>
        <w:pStyle w:val="Heading1"/>
        <w:rPr>
          <w:b/>
        </w:rPr>
      </w:pPr>
      <w:bookmarkStart w:id="43" w:name="_Toc75527083"/>
      <w:bookmarkStart w:id="44" w:name="_Toc120198259"/>
      <w:r>
        <w:rPr>
          <w:b/>
        </w:rPr>
        <w:t>MARCHÉ UNIQUE, PRODUCTION ET CONSOMMATION</w:t>
      </w:r>
      <w:bookmarkEnd w:id="43"/>
      <w:bookmarkEnd w:id="44"/>
    </w:p>
    <w:p w14:paraId="03FF9505" w14:textId="77777777" w:rsidR="004D7AC0" w:rsidRPr="009B70E7" w:rsidRDefault="004D7AC0" w:rsidP="006321AD">
      <w:pPr>
        <w:keepNext/>
      </w:pPr>
    </w:p>
    <w:p w14:paraId="12FD6239" w14:textId="3AF23145" w:rsidR="00164813" w:rsidRPr="007E7A4F" w:rsidRDefault="00002061" w:rsidP="00164813">
      <w:pPr>
        <w:pStyle w:val="ListParagraph"/>
        <w:numPr>
          <w:ilvl w:val="0"/>
          <w:numId w:val="2"/>
        </w:numPr>
        <w:ind w:left="567" w:hanging="567"/>
        <w:rPr>
          <w:b/>
          <w:i/>
          <w:sz w:val="28"/>
          <w:szCs w:val="28"/>
        </w:rPr>
      </w:pPr>
      <w:bookmarkStart w:id="45" w:name="_Hlk111801891"/>
      <w:r>
        <w:rPr>
          <w:b/>
          <w:i/>
          <w:sz w:val="28"/>
        </w:rPr>
        <w:t>La souveraineté numérique: un pilier essentiel de la numérisation et de la croissance européennes</w:t>
      </w:r>
    </w:p>
    <w:p w14:paraId="1DADE393" w14:textId="77777777" w:rsidR="00164813" w:rsidRPr="009B70E7" w:rsidRDefault="00164813" w:rsidP="00164813">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164813" w:rsidRPr="007E7A4F" w14:paraId="1383CB57" w14:textId="77777777" w:rsidTr="00B83E7B">
        <w:tc>
          <w:tcPr>
            <w:tcW w:w="1701" w:type="dxa"/>
          </w:tcPr>
          <w:p w14:paraId="33004117" w14:textId="77777777" w:rsidR="00164813" w:rsidRPr="009B70E7" w:rsidRDefault="00164813" w:rsidP="00B83E7B">
            <w:pPr>
              <w:pStyle w:val="ListParagraph"/>
              <w:ind w:left="0"/>
              <w:rPr>
                <w:b/>
              </w:rPr>
            </w:pPr>
            <w:r>
              <w:rPr>
                <w:b/>
              </w:rPr>
              <w:t>Rapporteur:</w:t>
            </w:r>
          </w:p>
        </w:tc>
        <w:tc>
          <w:tcPr>
            <w:tcW w:w="6096" w:type="dxa"/>
          </w:tcPr>
          <w:p w14:paraId="2BCDDC29" w14:textId="2FED6A5E" w:rsidR="00164813" w:rsidRPr="007E7A4F" w:rsidRDefault="00E63571" w:rsidP="00B83E7B">
            <w:pPr>
              <w:pStyle w:val="ListParagraph"/>
              <w:ind w:left="-108"/>
            </w:pPr>
            <w:r>
              <w:t>Philip VON BROCKDORFF (Groupe des travailleurs — MT)</w:t>
            </w:r>
          </w:p>
        </w:tc>
      </w:tr>
      <w:tr w:rsidR="00164813" w:rsidRPr="007E7A4F" w14:paraId="5DB9564B" w14:textId="77777777" w:rsidTr="00B83E7B">
        <w:tc>
          <w:tcPr>
            <w:tcW w:w="7797" w:type="dxa"/>
            <w:gridSpan w:val="2"/>
          </w:tcPr>
          <w:p w14:paraId="421C9628" w14:textId="77777777" w:rsidR="00164813" w:rsidRPr="007E7A4F" w:rsidRDefault="00164813" w:rsidP="00B83E7B">
            <w:pPr>
              <w:pStyle w:val="ListParagraph"/>
              <w:ind w:left="0"/>
              <w:rPr>
                <w:lang w:val="fr-BE"/>
              </w:rPr>
            </w:pPr>
          </w:p>
        </w:tc>
      </w:tr>
      <w:tr w:rsidR="00164813" w:rsidRPr="009B70E7" w14:paraId="132333E4" w14:textId="77777777" w:rsidTr="00B83E7B">
        <w:tc>
          <w:tcPr>
            <w:tcW w:w="1701" w:type="dxa"/>
          </w:tcPr>
          <w:p w14:paraId="2A306C51" w14:textId="77777777" w:rsidR="00164813" w:rsidRPr="009B70E7" w:rsidRDefault="00164813" w:rsidP="00B83E7B">
            <w:pPr>
              <w:pStyle w:val="ListParagraph"/>
              <w:ind w:left="0"/>
              <w:rPr>
                <w:b/>
              </w:rPr>
            </w:pPr>
            <w:r>
              <w:rPr>
                <w:b/>
              </w:rPr>
              <w:t xml:space="preserve">Référence: </w:t>
            </w:r>
          </w:p>
        </w:tc>
        <w:tc>
          <w:tcPr>
            <w:tcW w:w="6096" w:type="dxa"/>
          </w:tcPr>
          <w:p w14:paraId="1EB81693" w14:textId="61725A75" w:rsidR="00164813" w:rsidRPr="009B70E7" w:rsidRDefault="00E34279" w:rsidP="00B83E7B">
            <w:pPr>
              <w:tabs>
                <w:tab w:val="center" w:pos="284"/>
              </w:tabs>
              <w:ind w:left="266" w:hanging="374"/>
            </w:pPr>
            <w:r>
              <w:t>Avis d’initiative</w:t>
            </w:r>
          </w:p>
          <w:p w14:paraId="1746D341" w14:textId="154CF5D0" w:rsidR="00164813" w:rsidRPr="009B70E7" w:rsidRDefault="00ED377B" w:rsidP="00B83E7B">
            <w:pPr>
              <w:pStyle w:val="ListParagraph"/>
              <w:ind w:left="-108"/>
            </w:pPr>
            <w:r>
              <w:t>EESC-2022-02134-00-00-AC</w:t>
            </w:r>
          </w:p>
        </w:tc>
      </w:tr>
    </w:tbl>
    <w:p w14:paraId="488A6C0C" w14:textId="77777777" w:rsidR="00164813" w:rsidRPr="00A00F37" w:rsidRDefault="00164813" w:rsidP="00A00F37">
      <w:pPr>
        <w:pStyle w:val="ListParagraph"/>
        <w:spacing w:line="240" w:lineRule="auto"/>
        <w:ind w:left="0" w:firstLine="142"/>
        <w:rPr>
          <w:b/>
        </w:rPr>
      </w:pPr>
    </w:p>
    <w:p w14:paraId="015FE75F" w14:textId="4469FC57" w:rsidR="00164813" w:rsidRPr="0018231C" w:rsidRDefault="00164813" w:rsidP="00ED3B9E">
      <w:pPr>
        <w:pStyle w:val="ListParagraph"/>
        <w:keepNext/>
        <w:spacing w:line="240" w:lineRule="auto"/>
        <w:ind w:left="0" w:firstLine="142"/>
        <w:rPr>
          <w:b/>
        </w:rPr>
      </w:pPr>
      <w:r>
        <w:rPr>
          <w:b/>
        </w:rPr>
        <w:t>Points clés</w:t>
      </w:r>
    </w:p>
    <w:p w14:paraId="573BE746" w14:textId="77777777" w:rsidR="00164813" w:rsidRPr="0018231C" w:rsidRDefault="00164813" w:rsidP="00ED3B9E">
      <w:pPr>
        <w:pStyle w:val="ListParagraph"/>
        <w:keepNext/>
        <w:ind w:left="0"/>
      </w:pPr>
    </w:p>
    <w:p w14:paraId="30245860" w14:textId="77777777" w:rsidR="00164813" w:rsidRDefault="00164813" w:rsidP="00ED3B9E">
      <w:pPr>
        <w:pStyle w:val="ListParagraph"/>
        <w:keepNext/>
        <w:spacing w:line="240" w:lineRule="auto"/>
        <w:ind w:left="0" w:firstLine="142"/>
      </w:pPr>
      <w:r>
        <w:t>Le CESE:</w:t>
      </w:r>
    </w:p>
    <w:p w14:paraId="7D5F280C" w14:textId="77777777" w:rsidR="00164813" w:rsidRPr="0018231C" w:rsidRDefault="00164813" w:rsidP="00ED3B9E">
      <w:pPr>
        <w:pStyle w:val="ListParagraph"/>
        <w:keepNext/>
        <w:ind w:left="0"/>
      </w:pPr>
    </w:p>
    <w:bookmarkEnd w:id="45"/>
    <w:p w14:paraId="180A57E2" w14:textId="77777777" w:rsidR="00ED3B9E" w:rsidRPr="00ED3B9E" w:rsidRDefault="00ED3B9E" w:rsidP="003256C3">
      <w:pPr>
        <w:widowControl w:val="0"/>
        <w:numPr>
          <w:ilvl w:val="0"/>
          <w:numId w:val="23"/>
        </w:numPr>
        <w:ind w:left="357" w:hanging="357"/>
        <w:rPr>
          <w:bCs/>
          <w:iCs/>
        </w:rPr>
      </w:pPr>
      <w:r w:rsidRPr="00ED3B9E">
        <w:t>estime que la forte dépendance de l’Union à l’égard d’entreprises technologiques établies en dehors de ses frontières restreint son rôle de chef de file et son autonomie stratégique dans le monde numérique, ce qui limite son potentiel de croissance économique;</w:t>
      </w:r>
    </w:p>
    <w:p w14:paraId="5FDA308C" w14:textId="77777777" w:rsidR="00ED3B9E" w:rsidRPr="00ED3B9E" w:rsidRDefault="00ED3B9E" w:rsidP="003256C3">
      <w:pPr>
        <w:widowControl w:val="0"/>
        <w:numPr>
          <w:ilvl w:val="0"/>
          <w:numId w:val="23"/>
        </w:numPr>
        <w:ind w:left="357" w:hanging="357"/>
        <w:rPr>
          <w:bCs/>
          <w:iCs/>
        </w:rPr>
      </w:pPr>
      <w:r w:rsidRPr="00ED3B9E">
        <w:t>est d’avis que l’UE doit réduire sa dépendance à l’égard des géants technologiques de pays tiers en redoublant d’efforts pour se doter d’une économie numérique sûre, inclusive et fondée sur des valeurs, capable de concurrencer ces géants et mettant l’accent sur une connectivité fiable, la sécurité des données et l’intelligence artificielle;</w:t>
      </w:r>
    </w:p>
    <w:p w14:paraId="50855495" w14:textId="77777777" w:rsidR="00ED3B9E" w:rsidRPr="00ED3B9E" w:rsidRDefault="00ED3B9E" w:rsidP="003256C3">
      <w:pPr>
        <w:widowControl w:val="0"/>
        <w:numPr>
          <w:ilvl w:val="0"/>
          <w:numId w:val="23"/>
        </w:numPr>
        <w:ind w:left="357" w:hanging="357"/>
        <w:rPr>
          <w:bCs/>
          <w:iCs/>
        </w:rPr>
      </w:pPr>
      <w:r w:rsidRPr="00ED3B9E">
        <w:t>demande que les investissements dans le secteur numérique servent à garantir l’autonomie stratégique ouverte de l’économie numérique, en ciblant notamment les capacités, l’éducation, la formation professionnelle, les infrastructures et les technologies dans ce domaine;</w:t>
      </w:r>
    </w:p>
    <w:p w14:paraId="260ABD49" w14:textId="77777777" w:rsidR="00ED3B9E" w:rsidRPr="00ED3B9E" w:rsidRDefault="00ED3B9E" w:rsidP="003256C3">
      <w:pPr>
        <w:widowControl w:val="0"/>
        <w:numPr>
          <w:ilvl w:val="0"/>
          <w:numId w:val="23"/>
        </w:numPr>
        <w:ind w:left="357" w:hanging="357"/>
        <w:rPr>
          <w:bCs/>
          <w:iCs/>
        </w:rPr>
      </w:pPr>
      <w:r w:rsidRPr="00ED3B9E">
        <w:t>préconise de redoubler d’efforts pour que des partenariats public-privé soient mis en place en ce qui concerne les technologies numériques et que la recherche européenne à grande échelle en faveur des nouvelles technologies soit soutenue;</w:t>
      </w:r>
    </w:p>
    <w:p w14:paraId="050C553E" w14:textId="77777777" w:rsidR="00ED3B9E" w:rsidRPr="00ED3B9E" w:rsidRDefault="00ED3B9E" w:rsidP="003256C3">
      <w:pPr>
        <w:widowControl w:val="0"/>
        <w:numPr>
          <w:ilvl w:val="0"/>
          <w:numId w:val="23"/>
        </w:numPr>
        <w:ind w:left="357" w:hanging="357"/>
        <w:rPr>
          <w:bCs/>
          <w:iCs/>
        </w:rPr>
      </w:pPr>
      <w:r w:rsidRPr="00ED3B9E">
        <w:t>invite la Commission à aller de l’avant dans l’adoption de son train de mesures sur les services numériques visant à protéger les citoyens européens contre les excès du monde numérique;</w:t>
      </w:r>
    </w:p>
    <w:p w14:paraId="452ED615" w14:textId="77777777" w:rsidR="00ED3B9E" w:rsidRPr="00ED3B9E" w:rsidRDefault="00ED3B9E" w:rsidP="003256C3">
      <w:pPr>
        <w:widowControl w:val="0"/>
        <w:numPr>
          <w:ilvl w:val="0"/>
          <w:numId w:val="23"/>
        </w:numPr>
        <w:ind w:left="357" w:hanging="357"/>
      </w:pPr>
      <w:r w:rsidRPr="00ED3B9E">
        <w:t xml:space="preserve">estime qu’il est important de rendre les plateformes, les écosystèmes et les activités en ligne plus </w:t>
      </w:r>
      <w:r w:rsidRPr="00ED3B9E">
        <w:lastRenderedPageBreak/>
        <w:t>ouverts, plus équitables et plus prévisibles, en envisageant des règles couvrant la transparence et la neutralité des algorithmes;</w:t>
      </w:r>
    </w:p>
    <w:p w14:paraId="30D7C410" w14:textId="77777777" w:rsidR="00ED3B9E" w:rsidRPr="00ED3B9E" w:rsidRDefault="00ED3B9E" w:rsidP="003256C3">
      <w:pPr>
        <w:widowControl w:val="0"/>
        <w:numPr>
          <w:ilvl w:val="0"/>
          <w:numId w:val="23"/>
        </w:numPr>
        <w:ind w:left="357" w:hanging="357"/>
      </w:pPr>
      <w:r w:rsidRPr="00ED3B9E">
        <w:t>souscrit aux appels lancés à l’UE pour qu’elle mette en place une infrastructure de données et d’informatique en nuage afin de renforcer sa souveraineté numérique;</w:t>
      </w:r>
    </w:p>
    <w:p w14:paraId="60896AE2" w14:textId="77777777" w:rsidR="00ED3B9E" w:rsidRPr="00ED3B9E" w:rsidRDefault="00ED3B9E" w:rsidP="003256C3">
      <w:pPr>
        <w:widowControl w:val="0"/>
        <w:numPr>
          <w:ilvl w:val="0"/>
          <w:numId w:val="23"/>
        </w:numPr>
        <w:ind w:left="357" w:hanging="357"/>
      </w:pPr>
      <w:r w:rsidRPr="00ED3B9E">
        <w:t>demande une mise à jour des politiques de concurrence et de protection des consommateurs dans le marché unique. Ces politiques devraient également se concentrer sur les pratiques adoptées par les entreprises technologiques de pays tiers en vue de fausser la concurrence, ainsi que sur l’influence croissante des entreprises numériques chinoises au sein de l’UE.</w:t>
      </w:r>
    </w:p>
    <w:p w14:paraId="043E47D4" w14:textId="776D7173" w:rsidR="007E7DE3" w:rsidRPr="007E7A4F" w:rsidRDefault="007E7DE3" w:rsidP="00E34279">
      <w:pPr>
        <w:overflowPunct w:val="0"/>
        <w:autoSpaceDE w:val="0"/>
        <w:autoSpaceDN w:val="0"/>
        <w:adjustRightInd w:val="0"/>
        <w:textAlignment w:val="baseline"/>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5670"/>
      </w:tblGrid>
      <w:tr w:rsidR="00E34279" w:rsidRPr="00164813" w14:paraId="59E3F0D1" w14:textId="77777777" w:rsidTr="00ED3B9E">
        <w:tc>
          <w:tcPr>
            <w:tcW w:w="1575" w:type="dxa"/>
          </w:tcPr>
          <w:p w14:paraId="3F8C4AD7" w14:textId="445FB34C" w:rsidR="00E34279" w:rsidRPr="00164813" w:rsidRDefault="00140AB0" w:rsidP="00DA68E9">
            <w:pPr>
              <w:contextualSpacing/>
              <w:rPr>
                <w:i/>
              </w:rPr>
            </w:pPr>
            <w:r>
              <w:rPr>
                <w:b/>
                <w:i/>
              </w:rPr>
              <w:t>Contact:</w:t>
            </w:r>
          </w:p>
        </w:tc>
        <w:tc>
          <w:tcPr>
            <w:tcW w:w="5670" w:type="dxa"/>
          </w:tcPr>
          <w:p w14:paraId="041FFAC4" w14:textId="4874037B" w:rsidR="00E34279" w:rsidRPr="00164813" w:rsidRDefault="00E63571" w:rsidP="00DA68E9">
            <w:pPr>
              <w:contextualSpacing/>
              <w:rPr>
                <w:i/>
              </w:rPr>
            </w:pPr>
            <w:r>
              <w:rPr>
                <w:i/>
              </w:rPr>
              <w:t>Silvia Staffa</w:t>
            </w:r>
          </w:p>
        </w:tc>
      </w:tr>
      <w:tr w:rsidR="00E34279" w:rsidRPr="00164813" w14:paraId="5BFD63D8" w14:textId="77777777" w:rsidTr="00ED3B9E">
        <w:tc>
          <w:tcPr>
            <w:tcW w:w="1575" w:type="dxa"/>
          </w:tcPr>
          <w:p w14:paraId="189A63EF" w14:textId="77777777" w:rsidR="00E34279" w:rsidRPr="00164813" w:rsidRDefault="00E34279" w:rsidP="00DA68E9">
            <w:pPr>
              <w:ind w:left="601"/>
              <w:contextualSpacing/>
              <w:rPr>
                <w:i/>
              </w:rPr>
            </w:pPr>
            <w:r>
              <w:rPr>
                <w:i/>
              </w:rPr>
              <w:t>Tél.</w:t>
            </w:r>
          </w:p>
        </w:tc>
        <w:tc>
          <w:tcPr>
            <w:tcW w:w="5670" w:type="dxa"/>
          </w:tcPr>
          <w:p w14:paraId="75F891C7" w14:textId="6FFAE680" w:rsidR="00E34279" w:rsidRPr="00164813" w:rsidRDefault="00E34279" w:rsidP="00DA68E9">
            <w:pPr>
              <w:contextualSpacing/>
              <w:rPr>
                <w:i/>
              </w:rPr>
            </w:pPr>
            <w:r>
              <w:rPr>
                <w:i/>
              </w:rPr>
              <w:t>+ 32 2 546 8320</w:t>
            </w:r>
          </w:p>
        </w:tc>
      </w:tr>
      <w:tr w:rsidR="00ED3B9E" w:rsidRPr="00164813" w14:paraId="48B7AFA1" w14:textId="77777777" w:rsidTr="00ED3B9E">
        <w:tc>
          <w:tcPr>
            <w:tcW w:w="1575" w:type="dxa"/>
          </w:tcPr>
          <w:p w14:paraId="22EC4CAF" w14:textId="77777777" w:rsidR="00ED3B9E" w:rsidRPr="00164813" w:rsidRDefault="00ED3B9E" w:rsidP="00ED3B9E">
            <w:pPr>
              <w:ind w:left="601"/>
              <w:contextualSpacing/>
              <w:rPr>
                <w:i/>
              </w:rPr>
            </w:pPr>
            <w:r>
              <w:rPr>
                <w:i/>
              </w:rPr>
              <w:t>Courriel</w:t>
            </w:r>
          </w:p>
        </w:tc>
        <w:tc>
          <w:tcPr>
            <w:tcW w:w="5670" w:type="dxa"/>
          </w:tcPr>
          <w:p w14:paraId="52F62A0A" w14:textId="25C10CC2" w:rsidR="00ED3B9E" w:rsidRPr="00164813" w:rsidRDefault="009D65A9" w:rsidP="00ED3B9E">
            <w:pPr>
              <w:contextualSpacing/>
              <w:rPr>
                <w:i/>
              </w:rPr>
            </w:pPr>
            <w:hyperlink r:id="rId42" w:history="1">
              <w:r w:rsidR="00ED3B9E" w:rsidRPr="005632F6">
                <w:rPr>
                  <w:rStyle w:val="Hyperlink"/>
                  <w:i/>
                </w:rPr>
                <w:t>silvia.staffa@eesc.europa.eu</w:t>
              </w:r>
            </w:hyperlink>
          </w:p>
        </w:tc>
      </w:tr>
    </w:tbl>
    <w:p w14:paraId="6BAC2250" w14:textId="77777777" w:rsidR="00151492" w:rsidRDefault="00151492"/>
    <w:p w14:paraId="2EE2A332" w14:textId="60CC0998" w:rsidR="00AA5C1D" w:rsidRPr="00AA5C1D" w:rsidRDefault="007B42E2" w:rsidP="006321AD">
      <w:pPr>
        <w:pStyle w:val="ListParagraph"/>
        <w:keepNext/>
        <w:numPr>
          <w:ilvl w:val="0"/>
          <w:numId w:val="2"/>
        </w:numPr>
        <w:ind w:left="567" w:hanging="567"/>
        <w:rPr>
          <w:b/>
          <w:bCs/>
          <w:i/>
          <w:iCs/>
          <w:sz w:val="28"/>
          <w:szCs w:val="28"/>
        </w:rPr>
      </w:pPr>
      <w:r w:rsidRPr="006321AD">
        <w:rPr>
          <w:b/>
          <w:i/>
          <w:sz w:val="28"/>
        </w:rPr>
        <w:t>Préparation aux situations d’urgence</w:t>
      </w:r>
    </w:p>
    <w:p w14:paraId="02288197" w14:textId="77777777" w:rsidR="00AA5C1D" w:rsidRPr="009B70E7" w:rsidRDefault="00AA5C1D" w:rsidP="006321AD">
      <w:pPr>
        <w:pStyle w:val="ListParagraph"/>
        <w:keepNext/>
        <w:keepLines/>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AA5C1D" w:rsidRPr="007E7A4F" w14:paraId="377CFA40" w14:textId="77777777" w:rsidTr="00DA68E9">
        <w:tc>
          <w:tcPr>
            <w:tcW w:w="1701" w:type="dxa"/>
          </w:tcPr>
          <w:p w14:paraId="6700269D" w14:textId="77777777" w:rsidR="00AA5C1D" w:rsidRPr="009B70E7" w:rsidRDefault="00AA5C1D" w:rsidP="00A21849">
            <w:pPr>
              <w:pStyle w:val="ListParagraph"/>
              <w:keepNext/>
              <w:keepLines/>
              <w:ind w:left="0"/>
              <w:rPr>
                <w:b/>
              </w:rPr>
            </w:pPr>
            <w:r>
              <w:rPr>
                <w:b/>
              </w:rPr>
              <w:t>Rapporteur:</w:t>
            </w:r>
          </w:p>
        </w:tc>
        <w:tc>
          <w:tcPr>
            <w:tcW w:w="6096" w:type="dxa"/>
          </w:tcPr>
          <w:p w14:paraId="0BD64E0D" w14:textId="25BAE13E" w:rsidR="00AA5C1D" w:rsidRPr="007E7A4F" w:rsidRDefault="00E63571" w:rsidP="00A21849">
            <w:pPr>
              <w:pStyle w:val="ListParagraph"/>
              <w:keepNext/>
              <w:keepLines/>
              <w:ind w:left="-108"/>
            </w:pPr>
            <w:r>
              <w:t>Paul RÜBIG (groupe des employeurs</w:t>
            </w:r>
            <w:r w:rsidR="00673C6C">
              <w:t xml:space="preserve"> — </w:t>
            </w:r>
            <w:r>
              <w:t>AT)</w:t>
            </w:r>
          </w:p>
        </w:tc>
      </w:tr>
      <w:tr w:rsidR="00AA5C1D" w:rsidRPr="007E7A4F" w14:paraId="230E76C3" w14:textId="77777777" w:rsidTr="00DA68E9">
        <w:tc>
          <w:tcPr>
            <w:tcW w:w="7797" w:type="dxa"/>
            <w:gridSpan w:val="2"/>
          </w:tcPr>
          <w:p w14:paraId="50994590" w14:textId="77777777" w:rsidR="00AA5C1D" w:rsidRPr="007E7A4F" w:rsidRDefault="00AA5C1D" w:rsidP="00A21849">
            <w:pPr>
              <w:pStyle w:val="ListParagraph"/>
              <w:keepNext/>
              <w:keepLines/>
              <w:ind w:left="0"/>
              <w:rPr>
                <w:lang w:val="fr-BE"/>
              </w:rPr>
            </w:pPr>
          </w:p>
        </w:tc>
      </w:tr>
      <w:tr w:rsidR="00AA5C1D" w:rsidRPr="009B70E7" w14:paraId="4E577528" w14:textId="77777777" w:rsidTr="00DA68E9">
        <w:tc>
          <w:tcPr>
            <w:tcW w:w="1701" w:type="dxa"/>
          </w:tcPr>
          <w:p w14:paraId="7CEEDB52" w14:textId="77777777" w:rsidR="00AA5C1D" w:rsidRPr="009B70E7" w:rsidRDefault="00AA5C1D" w:rsidP="00A21849">
            <w:pPr>
              <w:pStyle w:val="ListParagraph"/>
              <w:keepNext/>
              <w:keepLines/>
              <w:ind w:left="0"/>
              <w:rPr>
                <w:b/>
              </w:rPr>
            </w:pPr>
            <w:r>
              <w:rPr>
                <w:b/>
              </w:rPr>
              <w:t xml:space="preserve">Référence: </w:t>
            </w:r>
          </w:p>
        </w:tc>
        <w:tc>
          <w:tcPr>
            <w:tcW w:w="6096" w:type="dxa"/>
          </w:tcPr>
          <w:p w14:paraId="7260D9BD" w14:textId="4494DA09" w:rsidR="00AA5C1D" w:rsidRPr="009B70E7" w:rsidRDefault="00E63571" w:rsidP="00A21849">
            <w:pPr>
              <w:keepNext/>
              <w:keepLines/>
              <w:tabs>
                <w:tab w:val="center" w:pos="284"/>
              </w:tabs>
              <w:ind w:left="266" w:hanging="374"/>
            </w:pPr>
            <w:r>
              <w:t>Avis d’initiative</w:t>
            </w:r>
          </w:p>
          <w:p w14:paraId="088E18BB" w14:textId="1C8BF32D" w:rsidR="00AA5C1D" w:rsidRPr="009B70E7" w:rsidRDefault="00AA5C1D" w:rsidP="00A21849">
            <w:pPr>
              <w:pStyle w:val="ListParagraph"/>
              <w:keepNext/>
              <w:keepLines/>
              <w:ind w:left="-108"/>
            </w:pPr>
            <w:r>
              <w:t>EESC-2022-01516-00-00-AC</w:t>
            </w:r>
          </w:p>
        </w:tc>
      </w:tr>
    </w:tbl>
    <w:p w14:paraId="0C36545B" w14:textId="77777777" w:rsidR="00AA5C1D" w:rsidRPr="009B70E7" w:rsidRDefault="00AA5C1D" w:rsidP="00A21849">
      <w:pPr>
        <w:pStyle w:val="ListParagraph"/>
        <w:keepNext/>
        <w:keepLines/>
        <w:ind w:left="0"/>
        <w:rPr>
          <w:b/>
        </w:rPr>
      </w:pPr>
    </w:p>
    <w:p w14:paraId="1B4ECBDA" w14:textId="406DD5FE" w:rsidR="00AA5C1D" w:rsidRPr="00A00F37" w:rsidRDefault="00AA5C1D" w:rsidP="00A21849">
      <w:pPr>
        <w:pStyle w:val="ListParagraph"/>
        <w:keepNext/>
        <w:keepLines/>
        <w:spacing w:line="240" w:lineRule="auto"/>
        <w:ind w:left="0" w:firstLine="142"/>
        <w:rPr>
          <w:b/>
        </w:rPr>
      </w:pPr>
      <w:r>
        <w:rPr>
          <w:b/>
        </w:rPr>
        <w:t>Points clés</w:t>
      </w:r>
    </w:p>
    <w:p w14:paraId="38EF24CA" w14:textId="77777777" w:rsidR="00AA5C1D" w:rsidRPr="0018231C" w:rsidRDefault="00AA5C1D" w:rsidP="003256C3">
      <w:pPr>
        <w:pStyle w:val="ListParagraph"/>
        <w:keepNext/>
        <w:ind w:left="0"/>
      </w:pPr>
    </w:p>
    <w:p w14:paraId="496334DF" w14:textId="77777777" w:rsidR="00AA5C1D" w:rsidRDefault="00AA5C1D" w:rsidP="003256C3">
      <w:pPr>
        <w:pStyle w:val="ListParagraph"/>
        <w:keepNext/>
        <w:spacing w:line="240" w:lineRule="auto"/>
        <w:ind w:left="0" w:firstLine="142"/>
      </w:pPr>
      <w:r>
        <w:t>Le CESE:</w:t>
      </w:r>
    </w:p>
    <w:p w14:paraId="7DF02088" w14:textId="77777777" w:rsidR="00AA5C1D" w:rsidRPr="0018231C" w:rsidRDefault="00AA5C1D" w:rsidP="003256C3">
      <w:pPr>
        <w:pStyle w:val="ListParagraph"/>
        <w:keepNext/>
        <w:ind w:left="0"/>
      </w:pPr>
    </w:p>
    <w:p w14:paraId="0615F2B7"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demande à la Commission européenne et aux États membres d’</w:t>
      </w:r>
      <w:r w:rsidRPr="003256C3">
        <w:rPr>
          <w:b/>
          <w:lang w:eastAsia="zh-CN"/>
        </w:rPr>
        <w:t>élaborer d’urgence un plan visant à accroître sensiblement l’autonomie/la souveraineté du marché unique de l’UE</w:t>
      </w:r>
      <w:r w:rsidRPr="003256C3">
        <w:rPr>
          <w:lang w:eastAsia="zh-CN"/>
        </w:rPr>
        <w:t xml:space="preserve"> en ce qui concerne les installations de production d’énergie, la production de denrées alimentaires et d’eau et l’extraction des matières premières indispensables, et à garantir également l’autonomie/la souveraineté européenne pour les technologies respectives nécessaires;</w:t>
      </w:r>
    </w:p>
    <w:p w14:paraId="130D0CE2"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 xml:space="preserve">recommande à l’UE de </w:t>
      </w:r>
      <w:r w:rsidRPr="003256C3">
        <w:rPr>
          <w:b/>
          <w:lang w:eastAsia="zh-CN"/>
        </w:rPr>
        <w:t>définir d’urgence des mesures à court terme pour la construction d’installations de production d’énergie au sein du marché unique européen</w:t>
      </w:r>
      <w:r w:rsidRPr="003256C3">
        <w:rPr>
          <w:lang w:eastAsia="zh-CN"/>
        </w:rPr>
        <w:t>;</w:t>
      </w:r>
    </w:p>
    <w:p w14:paraId="76B3E8A1"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recommande d’</w:t>
      </w:r>
      <w:r w:rsidRPr="003256C3">
        <w:rPr>
          <w:b/>
          <w:lang w:eastAsia="zh-CN"/>
        </w:rPr>
        <w:t>encourager les consommateurs à investir dans leurs propres production d’énergie</w:t>
      </w:r>
      <w:r w:rsidRPr="003256C3">
        <w:rPr>
          <w:lang w:eastAsia="zh-CN"/>
        </w:rPr>
        <w:t xml:space="preserve"> et efficacité énergétique, et de les soutenir dans cette démarche ;</w:t>
      </w:r>
    </w:p>
    <w:p w14:paraId="6EF060F8"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 xml:space="preserve">estime que l’UE devrait </w:t>
      </w:r>
      <w:r w:rsidRPr="003256C3">
        <w:rPr>
          <w:b/>
          <w:lang w:eastAsia="zh-CN"/>
        </w:rPr>
        <w:t>construire de nouvelles infrastructures pour le transport d’énergie et de ressources énergétiques</w:t>
      </w:r>
      <w:r w:rsidRPr="003256C3">
        <w:rPr>
          <w:lang w:eastAsia="zh-CN"/>
        </w:rPr>
        <w:t>;</w:t>
      </w:r>
    </w:p>
    <w:p w14:paraId="16C50D4C"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demande à la Commission européenne d’</w:t>
      </w:r>
      <w:r w:rsidRPr="003256C3">
        <w:rPr>
          <w:b/>
          <w:lang w:eastAsia="zh-CN"/>
        </w:rPr>
        <w:t>élaborer des plans</w:t>
      </w:r>
      <w:r w:rsidRPr="003256C3">
        <w:rPr>
          <w:lang w:eastAsia="zh-CN"/>
        </w:rPr>
        <w:t xml:space="preserve"> et de </w:t>
      </w:r>
      <w:r w:rsidRPr="003256C3">
        <w:rPr>
          <w:b/>
          <w:lang w:eastAsia="zh-CN"/>
        </w:rPr>
        <w:t>mettre en place des mesures et actions coordonnées à l’échelle de l’UE</w:t>
      </w:r>
      <w:r w:rsidRPr="003256C3">
        <w:rPr>
          <w:lang w:eastAsia="zh-CN"/>
        </w:rPr>
        <w:t>;</w:t>
      </w:r>
    </w:p>
    <w:p w14:paraId="209BD22F"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 xml:space="preserve">est d'avis qu'il est essentiel de </w:t>
      </w:r>
      <w:r w:rsidRPr="003256C3">
        <w:rPr>
          <w:b/>
          <w:lang w:eastAsia="zh-CN"/>
        </w:rPr>
        <w:t>renforcer la formation professionnelle</w:t>
      </w:r>
      <w:r w:rsidRPr="003256C3">
        <w:rPr>
          <w:lang w:eastAsia="zh-CN"/>
        </w:rPr>
        <w:t xml:space="preserve"> et les compétences des électriciens et des agriculteurs et de </w:t>
      </w:r>
      <w:r w:rsidRPr="003256C3">
        <w:rPr>
          <w:b/>
          <w:lang w:eastAsia="zh-CN"/>
        </w:rPr>
        <w:t>créer des emplois</w:t>
      </w:r>
      <w:r w:rsidRPr="003256C3">
        <w:rPr>
          <w:lang w:eastAsia="zh-CN"/>
        </w:rPr>
        <w:t xml:space="preserve"> dans le domaine de la gestion de l’eau;</w:t>
      </w:r>
    </w:p>
    <w:p w14:paraId="14DB2A0C"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 xml:space="preserve">préconise de </w:t>
      </w:r>
      <w:r w:rsidRPr="003256C3">
        <w:rPr>
          <w:b/>
          <w:lang w:eastAsia="zh-CN"/>
        </w:rPr>
        <w:t>mettre en place des initiatives et des incitations</w:t>
      </w:r>
      <w:r w:rsidRPr="003256C3">
        <w:rPr>
          <w:lang w:eastAsia="zh-CN"/>
        </w:rPr>
        <w:t xml:space="preserve"> afin d’augmenter le nombre d’ingénieurs, de techniciens et d’emplois de haute technologie supplémentaires en Europe, et</w:t>
      </w:r>
    </w:p>
    <w:p w14:paraId="36E8C116" w14:textId="77777777" w:rsidR="003256C3" w:rsidRPr="003256C3" w:rsidRDefault="003256C3" w:rsidP="003256C3">
      <w:pPr>
        <w:numPr>
          <w:ilvl w:val="0"/>
          <w:numId w:val="24"/>
        </w:numPr>
        <w:overflowPunct w:val="0"/>
        <w:autoSpaceDE w:val="0"/>
        <w:autoSpaceDN w:val="0"/>
        <w:adjustRightInd w:val="0"/>
        <w:spacing w:after="160"/>
        <w:ind w:left="357" w:hanging="357"/>
        <w:contextualSpacing/>
        <w:textAlignment w:val="baseline"/>
        <w:rPr>
          <w:lang w:eastAsia="zh-CN"/>
        </w:rPr>
      </w:pPr>
      <w:r w:rsidRPr="003256C3">
        <w:rPr>
          <w:lang w:eastAsia="zh-CN"/>
        </w:rPr>
        <w:t xml:space="preserve">estime qu’il est essentiel de </w:t>
      </w:r>
      <w:r w:rsidRPr="003256C3">
        <w:rPr>
          <w:b/>
          <w:lang w:eastAsia="zh-CN"/>
        </w:rPr>
        <w:t>maintenir le pouvoir d’achat des citoyens et des consommateurs européens à un niveau élevé</w:t>
      </w:r>
      <w:r w:rsidRPr="003256C3">
        <w:rPr>
          <w:lang w:eastAsia="zh-CN"/>
        </w:rPr>
        <w:t xml:space="preserve"> en mettant l’accent sur la souveraineté/l’autonomie technologique de l’UE et donc en réduisant sa dépendance à l’égard des importations (de technologies et d’énergie) et en augmentant le nombre d’emplois de haute technologie en Europe.</w:t>
      </w:r>
    </w:p>
    <w:p w14:paraId="11FB1396" w14:textId="77777777" w:rsidR="00AA5C1D" w:rsidRDefault="00AA5C1D" w:rsidP="00AA5C1D">
      <w:pPr>
        <w:spacing w:after="160" w:line="259" w:lineRule="auto"/>
        <w:jc w:val="left"/>
        <w:rPr>
          <w:sz w:val="28"/>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AA5C1D" w:rsidRPr="00164813" w14:paraId="41C508F8" w14:textId="77777777" w:rsidTr="00DA68E9">
        <w:tc>
          <w:tcPr>
            <w:tcW w:w="1418" w:type="dxa"/>
          </w:tcPr>
          <w:p w14:paraId="682B16C4" w14:textId="6C81A143" w:rsidR="00AA5C1D" w:rsidRPr="00164813" w:rsidRDefault="00140AB0" w:rsidP="00DA68E9">
            <w:pPr>
              <w:contextualSpacing/>
              <w:rPr>
                <w:i/>
              </w:rPr>
            </w:pPr>
            <w:r>
              <w:rPr>
                <w:b/>
                <w:i/>
              </w:rPr>
              <w:t>Contact:</w:t>
            </w:r>
          </w:p>
        </w:tc>
        <w:tc>
          <w:tcPr>
            <w:tcW w:w="5670" w:type="dxa"/>
          </w:tcPr>
          <w:p w14:paraId="58153CA9" w14:textId="0AC5F3F0" w:rsidR="00AA5C1D" w:rsidRPr="00164813" w:rsidRDefault="00AA5C1D" w:rsidP="00DA68E9">
            <w:pPr>
              <w:contextualSpacing/>
              <w:rPr>
                <w:i/>
              </w:rPr>
            </w:pPr>
            <w:r>
              <w:rPr>
                <w:i/>
              </w:rPr>
              <w:t>Marie-Laurence </w:t>
            </w:r>
            <w:proofErr w:type="spellStart"/>
            <w:r>
              <w:rPr>
                <w:i/>
              </w:rPr>
              <w:t>Drillon</w:t>
            </w:r>
            <w:proofErr w:type="spellEnd"/>
          </w:p>
        </w:tc>
      </w:tr>
      <w:tr w:rsidR="00AA5C1D" w:rsidRPr="00164813" w14:paraId="72CAC45A" w14:textId="77777777" w:rsidTr="00DA68E9">
        <w:tc>
          <w:tcPr>
            <w:tcW w:w="1418" w:type="dxa"/>
          </w:tcPr>
          <w:p w14:paraId="3EF5E950" w14:textId="77777777" w:rsidR="00AA5C1D" w:rsidRPr="00164813" w:rsidRDefault="00AA5C1D" w:rsidP="00DA68E9">
            <w:pPr>
              <w:ind w:left="601"/>
              <w:contextualSpacing/>
              <w:rPr>
                <w:i/>
              </w:rPr>
            </w:pPr>
            <w:r>
              <w:rPr>
                <w:i/>
              </w:rPr>
              <w:lastRenderedPageBreak/>
              <w:t>Tél.:</w:t>
            </w:r>
          </w:p>
        </w:tc>
        <w:tc>
          <w:tcPr>
            <w:tcW w:w="5670" w:type="dxa"/>
          </w:tcPr>
          <w:p w14:paraId="7B046605" w14:textId="1BCF99C6" w:rsidR="00AA5C1D" w:rsidRPr="00164813" w:rsidRDefault="00AA5C1D" w:rsidP="00DA68E9">
            <w:pPr>
              <w:contextualSpacing/>
              <w:rPr>
                <w:i/>
              </w:rPr>
            </w:pPr>
            <w:r>
              <w:rPr>
                <w:i/>
              </w:rPr>
              <w:t>+ 32 2 546 8320</w:t>
            </w:r>
          </w:p>
        </w:tc>
      </w:tr>
      <w:tr w:rsidR="00AA5C1D" w:rsidRPr="00164813" w14:paraId="73DA6362" w14:textId="77777777" w:rsidTr="00DA68E9">
        <w:tc>
          <w:tcPr>
            <w:tcW w:w="1418" w:type="dxa"/>
          </w:tcPr>
          <w:p w14:paraId="67DB9852" w14:textId="77777777" w:rsidR="00AA5C1D" w:rsidRPr="00164813" w:rsidRDefault="00AA5C1D" w:rsidP="00DA68E9">
            <w:pPr>
              <w:ind w:left="601"/>
              <w:contextualSpacing/>
              <w:rPr>
                <w:i/>
              </w:rPr>
            </w:pPr>
            <w:r>
              <w:rPr>
                <w:i/>
              </w:rPr>
              <w:t>Courriel:</w:t>
            </w:r>
          </w:p>
        </w:tc>
        <w:tc>
          <w:tcPr>
            <w:tcW w:w="5670" w:type="dxa"/>
          </w:tcPr>
          <w:p w14:paraId="49BD07A0" w14:textId="390E6110" w:rsidR="00AA5C1D" w:rsidRPr="00164813" w:rsidRDefault="009D65A9" w:rsidP="00151492">
            <w:pPr>
              <w:contextualSpacing/>
              <w:rPr>
                <w:i/>
              </w:rPr>
            </w:pPr>
            <w:hyperlink r:id="rId43" w:history="1">
              <w:r w:rsidR="003256C3" w:rsidRPr="00BA2AC1">
                <w:rPr>
                  <w:rStyle w:val="Hyperlink"/>
                  <w:i/>
                  <w:lang w:val="en-US"/>
                </w:rPr>
                <w:t>Marie-Laurence.Drillon@eesc.europa.eu</w:t>
              </w:r>
            </w:hyperlink>
          </w:p>
        </w:tc>
      </w:tr>
    </w:tbl>
    <w:p w14:paraId="6F56991F" w14:textId="28911B02" w:rsidR="00D35512" w:rsidRPr="009D65A9" w:rsidRDefault="00D35512" w:rsidP="009D65A9">
      <w:pPr>
        <w:spacing w:line="259" w:lineRule="auto"/>
        <w:jc w:val="left"/>
      </w:pPr>
    </w:p>
    <w:p w14:paraId="61C5EAA0" w14:textId="77777777" w:rsidR="009D65A9" w:rsidRPr="009D65A9" w:rsidRDefault="009D65A9" w:rsidP="009D65A9">
      <w:pPr>
        <w:spacing w:line="259" w:lineRule="auto"/>
        <w:jc w:val="left"/>
      </w:pPr>
    </w:p>
    <w:p w14:paraId="6C52985F" w14:textId="77777777" w:rsidR="002E01B5" w:rsidRPr="009B70E7" w:rsidRDefault="004D7AC0" w:rsidP="00151492">
      <w:pPr>
        <w:pStyle w:val="Heading1"/>
        <w:keepNext/>
        <w:keepLines/>
        <w:rPr>
          <w:b/>
        </w:rPr>
      </w:pPr>
      <w:bookmarkStart w:id="46" w:name="_Toc70322234"/>
      <w:bookmarkStart w:id="47" w:name="_Toc75527084"/>
      <w:bookmarkStart w:id="48" w:name="_Toc120198260"/>
      <w:r>
        <w:rPr>
          <w:b/>
        </w:rPr>
        <w:t>AGRICULTURE, DÉVELOPPEMENT RURAL ET ENVIRONNEMENT</w:t>
      </w:r>
      <w:bookmarkEnd w:id="46"/>
      <w:bookmarkEnd w:id="47"/>
      <w:bookmarkEnd w:id="48"/>
    </w:p>
    <w:p w14:paraId="37AC66EE" w14:textId="77777777" w:rsidR="009173E7" w:rsidRPr="009B70E7" w:rsidRDefault="009173E7" w:rsidP="00151492">
      <w:pPr>
        <w:keepNext/>
        <w:keepLines/>
      </w:pPr>
    </w:p>
    <w:p w14:paraId="6BF57A05" w14:textId="58B6B6D7" w:rsidR="00AC7690" w:rsidRPr="009B70E7" w:rsidRDefault="005D55F5" w:rsidP="00151492">
      <w:pPr>
        <w:pStyle w:val="ListParagraph"/>
        <w:keepNext/>
        <w:keepLines/>
        <w:numPr>
          <w:ilvl w:val="0"/>
          <w:numId w:val="2"/>
        </w:numPr>
        <w:ind w:left="567" w:hanging="567"/>
        <w:rPr>
          <w:b/>
          <w:i/>
          <w:sz w:val="28"/>
          <w:szCs w:val="28"/>
        </w:rPr>
      </w:pPr>
      <w:bookmarkStart w:id="49" w:name="_Hlk116657716"/>
      <w:r>
        <w:rPr>
          <w:b/>
          <w:i/>
          <w:sz w:val="28"/>
        </w:rPr>
        <w:t>Vers une stratégie durable en matière de protéines et d’huiles végétales pour l’Union européenne</w:t>
      </w:r>
    </w:p>
    <w:p w14:paraId="43570F8C" w14:textId="77777777" w:rsidR="004D7AC0" w:rsidRPr="009B70E7" w:rsidRDefault="004D7AC0" w:rsidP="00151492">
      <w:pPr>
        <w:pStyle w:val="ListParagraph"/>
        <w:keepNext/>
        <w:keepLines/>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45"/>
      </w:tblGrid>
      <w:tr w:rsidR="004D7AC0" w:rsidRPr="009B70E7" w14:paraId="32C9FAF0" w14:textId="77777777" w:rsidTr="00673C6C">
        <w:tc>
          <w:tcPr>
            <w:tcW w:w="1701" w:type="dxa"/>
          </w:tcPr>
          <w:p w14:paraId="7DFC3FE7" w14:textId="77777777" w:rsidR="004D7AC0" w:rsidRPr="009B70E7" w:rsidRDefault="004D7AC0" w:rsidP="00151492">
            <w:pPr>
              <w:pStyle w:val="ListParagraph"/>
              <w:keepNext/>
              <w:keepLines/>
              <w:ind w:left="0"/>
              <w:rPr>
                <w:b/>
              </w:rPr>
            </w:pPr>
            <w:bookmarkStart w:id="50" w:name="_Hlk111563809"/>
            <w:r>
              <w:rPr>
                <w:b/>
              </w:rPr>
              <w:t>Rapporteur:</w:t>
            </w:r>
          </w:p>
        </w:tc>
        <w:tc>
          <w:tcPr>
            <w:tcW w:w="6345" w:type="dxa"/>
          </w:tcPr>
          <w:p w14:paraId="512C7D26" w14:textId="3008E8C5" w:rsidR="004D7AC0" w:rsidRPr="009B70E7" w:rsidRDefault="005D55F5" w:rsidP="00151492">
            <w:pPr>
              <w:pStyle w:val="ListParagraph"/>
              <w:keepNext/>
              <w:keepLines/>
              <w:ind w:left="-106"/>
            </w:pPr>
            <w:r>
              <w:t>Lutz RIBBE (groupe des organisations de la société civile — DE)</w:t>
            </w:r>
          </w:p>
        </w:tc>
      </w:tr>
      <w:tr w:rsidR="0005110E" w:rsidRPr="009B70E7" w14:paraId="37A4E77C" w14:textId="77777777" w:rsidTr="00673C6C">
        <w:tc>
          <w:tcPr>
            <w:tcW w:w="1701" w:type="dxa"/>
          </w:tcPr>
          <w:p w14:paraId="648A1766" w14:textId="4D70EE33" w:rsidR="0005110E" w:rsidRPr="007B231B" w:rsidRDefault="0005110E" w:rsidP="00151492">
            <w:pPr>
              <w:pStyle w:val="ListParagraph"/>
              <w:keepNext/>
              <w:keepLines/>
              <w:ind w:left="0"/>
              <w:rPr>
                <w:b/>
              </w:rPr>
            </w:pPr>
          </w:p>
        </w:tc>
        <w:tc>
          <w:tcPr>
            <w:tcW w:w="6345" w:type="dxa"/>
          </w:tcPr>
          <w:p w14:paraId="30DA0956" w14:textId="65B72FEF" w:rsidR="0005110E" w:rsidRPr="00E54548" w:rsidRDefault="0005110E" w:rsidP="00151492">
            <w:pPr>
              <w:pStyle w:val="ListParagraph"/>
              <w:keepNext/>
              <w:keepLines/>
              <w:ind w:left="-106"/>
              <w:rPr>
                <w:highlight w:val="yellow"/>
              </w:rPr>
            </w:pPr>
          </w:p>
        </w:tc>
      </w:tr>
    </w:tbl>
    <w:tbl>
      <w:tblPr>
        <w:tblStyle w:val="TableGrid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tblGrid>
      <w:tr w:rsidR="0005110E" w:rsidRPr="00032038" w14:paraId="2F855FDD" w14:textId="77777777" w:rsidTr="00533C08">
        <w:tc>
          <w:tcPr>
            <w:tcW w:w="1701" w:type="dxa"/>
          </w:tcPr>
          <w:bookmarkEnd w:id="50"/>
          <w:p w14:paraId="6DB55280" w14:textId="77777777" w:rsidR="0005110E" w:rsidRPr="00032038" w:rsidRDefault="0005110E" w:rsidP="00533C08">
            <w:pPr>
              <w:contextualSpacing/>
              <w:rPr>
                <w:b/>
              </w:rPr>
            </w:pPr>
            <w:r>
              <w:rPr>
                <w:b/>
              </w:rPr>
              <w:t xml:space="preserve">Référence: </w:t>
            </w:r>
          </w:p>
        </w:tc>
        <w:tc>
          <w:tcPr>
            <w:tcW w:w="6379" w:type="dxa"/>
          </w:tcPr>
          <w:p w14:paraId="602AF089" w14:textId="51E3E044" w:rsidR="0005110E" w:rsidRPr="00032038" w:rsidRDefault="0005110E" w:rsidP="00533C08">
            <w:pPr>
              <w:tabs>
                <w:tab w:val="center" w:pos="284"/>
              </w:tabs>
              <w:ind w:left="266" w:right="-534" w:hanging="374"/>
            </w:pPr>
            <w:r>
              <w:t>Avis d’initiative</w:t>
            </w:r>
          </w:p>
          <w:p w14:paraId="6A5A914E" w14:textId="7D4048D0" w:rsidR="0005110E" w:rsidRPr="00032038" w:rsidRDefault="0005110E" w:rsidP="00533C08">
            <w:pPr>
              <w:ind w:left="-108"/>
              <w:contextualSpacing/>
            </w:pPr>
            <w:r>
              <w:t>EESC-2022-01100-00-00-AC</w:t>
            </w:r>
          </w:p>
        </w:tc>
      </w:tr>
    </w:tbl>
    <w:p w14:paraId="63F4FD2B" w14:textId="77777777" w:rsidR="0005110E" w:rsidRPr="002C4B6E" w:rsidRDefault="0005110E" w:rsidP="002C4B6E">
      <w:pPr>
        <w:pStyle w:val="ListParagraph"/>
        <w:spacing w:line="240" w:lineRule="auto"/>
        <w:ind w:left="-142" w:firstLine="142"/>
        <w:rPr>
          <w:b/>
        </w:rPr>
      </w:pPr>
    </w:p>
    <w:p w14:paraId="63F2D92D" w14:textId="5F76C7A8" w:rsidR="004D7AC0" w:rsidRPr="00A00F37" w:rsidRDefault="004D7AC0" w:rsidP="00A00F37">
      <w:pPr>
        <w:pStyle w:val="ListParagraph"/>
        <w:spacing w:line="240" w:lineRule="auto"/>
        <w:ind w:left="0" w:firstLine="142"/>
        <w:rPr>
          <w:b/>
        </w:rPr>
      </w:pPr>
      <w:r>
        <w:rPr>
          <w:b/>
        </w:rPr>
        <w:t>Points clés</w:t>
      </w:r>
    </w:p>
    <w:p w14:paraId="76827606" w14:textId="77777777" w:rsidR="001513FD" w:rsidRDefault="001513FD" w:rsidP="0018231C">
      <w:pPr>
        <w:pStyle w:val="ListParagraph"/>
        <w:keepNext/>
        <w:ind w:left="0"/>
      </w:pPr>
    </w:p>
    <w:p w14:paraId="05F6CCDA" w14:textId="77777777" w:rsidR="00E54548" w:rsidRDefault="00E54548" w:rsidP="00A00F37">
      <w:pPr>
        <w:pStyle w:val="ListParagraph"/>
        <w:spacing w:line="240" w:lineRule="auto"/>
        <w:ind w:left="0" w:firstLine="142"/>
      </w:pPr>
      <w:r>
        <w:t>Le CESE:</w:t>
      </w:r>
    </w:p>
    <w:p w14:paraId="681D86A8" w14:textId="77777777" w:rsidR="00E54548" w:rsidRDefault="00E54548" w:rsidP="0018231C">
      <w:pPr>
        <w:pStyle w:val="ListParagraph"/>
        <w:keepNext/>
        <w:ind w:left="0"/>
      </w:pPr>
    </w:p>
    <w:p w14:paraId="378DFF5A"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relève que les raisons sont nombreuses de développer la culture des protéines dans l’Union, mais aussi, tout particulièrement, d’intégrer davantage les prairies dans l’alimentation animale;</w:t>
      </w:r>
    </w:p>
    <w:p w14:paraId="5D89FA48"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souligne en outre que l’expansion des cultures oléagineuses dans l’Union pourrait aussi avoir des retombées positives telles qu’une autosuffisance en matière de carburant pour les tracteurs, une rotation accrue des cultures et un meilleur approvisionnement en tourteaux d’oléagineux, qui constituent un excellent fourrage protéique;</w:t>
      </w:r>
    </w:p>
    <w:p w14:paraId="11538D27"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estime, compte tenu du facteur limitant que représente la surface agricole disponible, qu’il est urgent pour l’Union de lancer, à l’échelle européenne, une étude portant sur les possibilités associées aux plantes protéagineuses et oléagineuses susceptibles d’être cultivées sur son territoire, et sur la répartition des surfaces consacrées à ces cultures;</w:t>
      </w:r>
    </w:p>
    <w:p w14:paraId="4D5AC159"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considère que la stratégie européenne en matière de protéines et d’huiles végétales devrait aussi contribuer au développement durable des zones rurales, conformément à la vision que l’Union nourrit à long terme pour ces territoires;</w:t>
      </w:r>
    </w:p>
    <w:p w14:paraId="2DB8454E"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invite la Commission européenne à examiner plus en détail le modèle du processus établi par la «commission agricole pour l’avenir (ZKL)» mise en place par le gouvernement fédéral allemand, et à déterminer s’il ne se prêterait pas aussi à l’élaboration d’une stratégie européenne en matière de protéines;</w:t>
      </w:r>
    </w:p>
    <w:p w14:paraId="1147903D" w14:textId="77777777" w:rsidR="00196ED4" w:rsidRPr="00196ED4" w:rsidRDefault="00196ED4" w:rsidP="00196ED4">
      <w:pPr>
        <w:widowControl w:val="0"/>
        <w:numPr>
          <w:ilvl w:val="0"/>
          <w:numId w:val="26"/>
        </w:numPr>
        <w:overflowPunct w:val="0"/>
        <w:autoSpaceDE w:val="0"/>
        <w:autoSpaceDN w:val="0"/>
        <w:adjustRightInd w:val="0"/>
        <w:spacing w:line="240" w:lineRule="auto"/>
        <w:ind w:left="357" w:hanging="357"/>
        <w:textAlignment w:val="baseline"/>
      </w:pPr>
      <w:r w:rsidRPr="00196ED4">
        <w:rPr>
          <w:szCs w:val="20"/>
        </w:rPr>
        <w:t>recommande de formuler des propositions concrètes pour que la stratégie en matière de protéines réponde également aux objectifs d’une autonomie stratégique en matière d’approvisionnement:</w:t>
      </w:r>
    </w:p>
    <w:p w14:paraId="017531E8"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encourager la recherche et l’innovation portant sur les protéines végétales;</w:t>
      </w:r>
    </w:p>
    <w:p w14:paraId="0808382C"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assurer un développement et une promotion accrue concernant le potentiel de l’Union en matière de protéines;</w:t>
      </w:r>
    </w:p>
    <w:p w14:paraId="3E5FADE0"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consolider une production nationale durable de protéines végétales;</w:t>
      </w:r>
    </w:p>
    <w:p w14:paraId="779E5110"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établir des chaînes de valeur et capacités de transformation régionales et les développer;</w:t>
      </w:r>
    </w:p>
    <w:p w14:paraId="0F98BD83"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collaborer en permanence avec les institutions et les organisations agricoles;</w:t>
      </w:r>
    </w:p>
    <w:p w14:paraId="71AB173D"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 xml:space="preserve">accroître davantage le potentiel des cultures en perfectionnant et en étendant les stratégies de sélection; </w:t>
      </w:r>
    </w:p>
    <w:p w14:paraId="4BA77865"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 xml:space="preserve">renforcer l’éducation, les services de conseil et le transfert de connaissances; </w:t>
      </w:r>
    </w:p>
    <w:p w14:paraId="72C290A2"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permettre et faciliter la production de protéagineuses sur les surfaces d’intérêt écologique;</w:t>
      </w:r>
    </w:p>
    <w:p w14:paraId="2D337DCE"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veiller à une meilleure concordance entre l’élevage et les potentialités fourragères régionales;</w:t>
      </w:r>
    </w:p>
    <w:p w14:paraId="2B6E117E"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 xml:space="preserve">respecter systématiquement les seuils fixés pour la pollution liée à des émissions; internaliser les coûts externes; </w:t>
      </w:r>
    </w:p>
    <w:p w14:paraId="38A1D774" w14:textId="77777777" w:rsidR="00196ED4" w:rsidRPr="00196ED4" w:rsidRDefault="00196ED4" w:rsidP="00196ED4">
      <w:pPr>
        <w:widowControl w:val="0"/>
        <w:numPr>
          <w:ilvl w:val="3"/>
          <w:numId w:val="7"/>
        </w:numPr>
        <w:overflowPunct w:val="0"/>
        <w:autoSpaceDE w:val="0"/>
        <w:autoSpaceDN w:val="0"/>
        <w:adjustRightInd w:val="0"/>
        <w:spacing w:line="240" w:lineRule="auto"/>
        <w:textAlignment w:val="baseline"/>
        <w:rPr>
          <w:lang w:eastAsia="zh-CN"/>
        </w:rPr>
      </w:pPr>
      <w:r w:rsidRPr="00196ED4">
        <w:rPr>
          <w:lang w:eastAsia="zh-CN"/>
        </w:rPr>
        <w:t>promouvoir des pratiques d’élevage particulièrement respectueuses du bien-être animal, grâce à l’information des consommateurs et à l’étiquetage des produits;</w:t>
      </w:r>
    </w:p>
    <w:p w14:paraId="33D35E53" w14:textId="77777777" w:rsidR="00196ED4" w:rsidRPr="00196ED4" w:rsidRDefault="00196ED4" w:rsidP="00196ED4">
      <w:pPr>
        <w:keepNext/>
        <w:keepLines/>
        <w:numPr>
          <w:ilvl w:val="3"/>
          <w:numId w:val="7"/>
        </w:numPr>
        <w:overflowPunct w:val="0"/>
        <w:autoSpaceDE w:val="0"/>
        <w:autoSpaceDN w:val="0"/>
        <w:adjustRightInd w:val="0"/>
        <w:spacing w:line="240" w:lineRule="auto"/>
        <w:ind w:left="1434" w:hanging="357"/>
        <w:textAlignment w:val="baseline"/>
        <w:rPr>
          <w:lang w:eastAsia="zh-CN"/>
        </w:rPr>
      </w:pPr>
      <w:r w:rsidRPr="00196ED4">
        <w:rPr>
          <w:lang w:eastAsia="zh-CN"/>
        </w:rPr>
        <w:lastRenderedPageBreak/>
        <w:t>définir des normes de qualité pour l’importation de produits concurrents de la production européenne;</w:t>
      </w:r>
    </w:p>
    <w:p w14:paraId="4ED6602E" w14:textId="77777777" w:rsidR="00196ED4" w:rsidRPr="00196ED4" w:rsidRDefault="00196ED4" w:rsidP="00196ED4">
      <w:pPr>
        <w:keepNext/>
        <w:keepLines/>
        <w:numPr>
          <w:ilvl w:val="3"/>
          <w:numId w:val="7"/>
        </w:numPr>
        <w:overflowPunct w:val="0"/>
        <w:autoSpaceDE w:val="0"/>
        <w:autoSpaceDN w:val="0"/>
        <w:adjustRightInd w:val="0"/>
        <w:spacing w:line="240" w:lineRule="auto"/>
        <w:ind w:left="1434" w:hanging="357"/>
        <w:textAlignment w:val="baseline"/>
        <w:rPr>
          <w:rFonts w:ascii="Calibri" w:hAnsi="Calibri"/>
          <w:lang w:eastAsia="zh-CN"/>
        </w:rPr>
      </w:pPr>
      <w:r w:rsidRPr="00196ED4">
        <w:rPr>
          <w:lang w:eastAsia="zh-CN"/>
        </w:rPr>
        <w:t>organiser une campagne d’information complémentaire relative aux conséquences sanitaires et environnementales des différents régimes alimentaires.</w:t>
      </w:r>
    </w:p>
    <w:p w14:paraId="7408EE4D" w14:textId="77777777" w:rsidR="005D55F5" w:rsidRPr="009B70E7" w:rsidRDefault="005D55F5" w:rsidP="005D55F5">
      <w:pPr>
        <w:widowControl w:val="0"/>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4331B4" w:rsidRPr="009B70E7" w14:paraId="587E7E08" w14:textId="77777777" w:rsidTr="00BC41D9">
        <w:tc>
          <w:tcPr>
            <w:tcW w:w="1418" w:type="dxa"/>
          </w:tcPr>
          <w:p w14:paraId="02B3DBE9" w14:textId="5F42580A" w:rsidR="004331B4" w:rsidRPr="009B70E7" w:rsidRDefault="00140AB0" w:rsidP="00BC41D9">
            <w:pPr>
              <w:pStyle w:val="ListParagraph"/>
              <w:ind w:left="0"/>
              <w:rPr>
                <w:i/>
              </w:rPr>
            </w:pPr>
            <w:r>
              <w:rPr>
                <w:b/>
                <w:i/>
              </w:rPr>
              <w:t>Contact:</w:t>
            </w:r>
          </w:p>
        </w:tc>
        <w:tc>
          <w:tcPr>
            <w:tcW w:w="5670" w:type="dxa"/>
          </w:tcPr>
          <w:p w14:paraId="490824F4" w14:textId="651B3C9A" w:rsidR="004331B4" w:rsidRPr="009B70E7" w:rsidRDefault="005D55F5" w:rsidP="00BC41D9">
            <w:pPr>
              <w:pStyle w:val="ListParagraph"/>
              <w:ind w:left="0"/>
              <w:rPr>
                <w:i/>
              </w:rPr>
            </w:pPr>
            <w:r>
              <w:rPr>
                <w:i/>
              </w:rPr>
              <w:t xml:space="preserve">Martine </w:t>
            </w:r>
            <w:proofErr w:type="spellStart"/>
            <w:r>
              <w:rPr>
                <w:i/>
              </w:rPr>
              <w:t>Delanoy</w:t>
            </w:r>
            <w:proofErr w:type="spellEnd"/>
          </w:p>
        </w:tc>
      </w:tr>
      <w:tr w:rsidR="004331B4" w:rsidRPr="009B70E7" w14:paraId="117DE739" w14:textId="77777777" w:rsidTr="00BC41D9">
        <w:tc>
          <w:tcPr>
            <w:tcW w:w="1418" w:type="dxa"/>
          </w:tcPr>
          <w:p w14:paraId="07B5DE23" w14:textId="77777777" w:rsidR="004331B4" w:rsidRPr="009B70E7" w:rsidRDefault="004331B4" w:rsidP="00BC41D9">
            <w:pPr>
              <w:pStyle w:val="ListParagraph"/>
              <w:ind w:left="601"/>
              <w:rPr>
                <w:i/>
              </w:rPr>
            </w:pPr>
            <w:r>
              <w:rPr>
                <w:i/>
              </w:rPr>
              <w:t>Tél.:</w:t>
            </w:r>
          </w:p>
        </w:tc>
        <w:tc>
          <w:tcPr>
            <w:tcW w:w="5670" w:type="dxa"/>
          </w:tcPr>
          <w:p w14:paraId="6717A766" w14:textId="64309938" w:rsidR="004331B4" w:rsidRPr="009B70E7" w:rsidRDefault="00E54548" w:rsidP="00BC41D9">
            <w:pPr>
              <w:pStyle w:val="ListParagraph"/>
              <w:ind w:left="0"/>
              <w:rPr>
                <w:i/>
              </w:rPr>
            </w:pPr>
            <w:r>
              <w:rPr>
                <w:i/>
              </w:rPr>
              <w:t>00 32 2 546 98 02</w:t>
            </w:r>
          </w:p>
        </w:tc>
      </w:tr>
      <w:tr w:rsidR="004331B4" w:rsidRPr="009B70E7" w14:paraId="6D5CE45F" w14:textId="77777777" w:rsidTr="00BC41D9">
        <w:tc>
          <w:tcPr>
            <w:tcW w:w="1418" w:type="dxa"/>
          </w:tcPr>
          <w:p w14:paraId="261C3027" w14:textId="77777777" w:rsidR="004331B4" w:rsidRPr="009B70E7" w:rsidRDefault="004331B4" w:rsidP="00BC41D9">
            <w:pPr>
              <w:pStyle w:val="ListParagraph"/>
              <w:ind w:left="601"/>
              <w:rPr>
                <w:i/>
              </w:rPr>
            </w:pPr>
            <w:r>
              <w:rPr>
                <w:i/>
              </w:rPr>
              <w:t>Courriel:</w:t>
            </w:r>
          </w:p>
        </w:tc>
        <w:tc>
          <w:tcPr>
            <w:tcW w:w="5670" w:type="dxa"/>
          </w:tcPr>
          <w:p w14:paraId="40FE0D9C" w14:textId="641EADA3" w:rsidR="00CA685D" w:rsidRPr="005D55F5" w:rsidRDefault="009D65A9" w:rsidP="00BC41D9">
            <w:pPr>
              <w:pStyle w:val="ListParagraph"/>
              <w:ind w:left="0"/>
              <w:rPr>
                <w:i/>
                <w:iCs/>
              </w:rPr>
            </w:pPr>
            <w:hyperlink r:id="rId44" w:history="1">
              <w:r w:rsidR="00196ED4" w:rsidRPr="008B17D0">
                <w:rPr>
                  <w:rStyle w:val="Hyperlink"/>
                  <w:i/>
                </w:rPr>
                <w:t>Martine.Delanoy@eesc.europa.eu</w:t>
              </w:r>
            </w:hyperlink>
          </w:p>
        </w:tc>
      </w:tr>
      <w:bookmarkEnd w:id="49"/>
    </w:tbl>
    <w:p w14:paraId="32D600D1" w14:textId="77777777" w:rsidR="00A10A98" w:rsidRPr="00A10A98" w:rsidRDefault="00A10A98" w:rsidP="0018231C">
      <w:pPr>
        <w:spacing w:after="160" w:line="240" w:lineRule="auto"/>
        <w:jc w:val="left"/>
        <w:rPr>
          <w:sz w:val="28"/>
          <w:szCs w:val="28"/>
        </w:rPr>
      </w:pPr>
    </w:p>
    <w:p w14:paraId="55FE0C33" w14:textId="56A25905" w:rsidR="00E54548" w:rsidRPr="00673C6C" w:rsidRDefault="005D55F5" w:rsidP="00732A46">
      <w:pPr>
        <w:pStyle w:val="ListParagraph"/>
        <w:numPr>
          <w:ilvl w:val="0"/>
          <w:numId w:val="2"/>
        </w:numPr>
        <w:ind w:left="0" w:hanging="567"/>
      </w:pPr>
      <w:r>
        <w:rPr>
          <w:b/>
          <w:i/>
          <w:sz w:val="28"/>
        </w:rPr>
        <w:t>Vers un cadre pour l’étiquetage des denrées alimentaires durables afin de donner aux consommateurs les moyens de faire des choix alimentaires durables</w:t>
      </w:r>
    </w:p>
    <w:p w14:paraId="2D3E0942" w14:textId="77777777" w:rsidR="00673C6C" w:rsidRPr="009B70E7" w:rsidRDefault="00673C6C" w:rsidP="00673C6C">
      <w:pPr>
        <w:ind w:left="-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954"/>
        <w:gridCol w:w="1268"/>
      </w:tblGrid>
      <w:tr w:rsidR="000C18CA" w:rsidRPr="009B70E7" w14:paraId="4E01B598" w14:textId="77777777" w:rsidTr="000C18CA">
        <w:trPr>
          <w:gridAfter w:val="1"/>
          <w:wAfter w:w="1268" w:type="dxa"/>
        </w:trPr>
        <w:tc>
          <w:tcPr>
            <w:tcW w:w="1701" w:type="dxa"/>
          </w:tcPr>
          <w:p w14:paraId="3EE6EB4F" w14:textId="77777777" w:rsidR="000C18CA" w:rsidRPr="009B70E7" w:rsidRDefault="000C18CA" w:rsidP="00533C08">
            <w:pPr>
              <w:pStyle w:val="ListParagraph"/>
              <w:keepNext/>
              <w:ind w:left="0"/>
              <w:rPr>
                <w:b/>
              </w:rPr>
            </w:pPr>
            <w:r>
              <w:rPr>
                <w:b/>
              </w:rPr>
              <w:t>Rapporteur:</w:t>
            </w:r>
          </w:p>
        </w:tc>
        <w:tc>
          <w:tcPr>
            <w:tcW w:w="5954" w:type="dxa"/>
          </w:tcPr>
          <w:p w14:paraId="3B0EEFBE" w14:textId="32C70C5D" w:rsidR="000C18CA" w:rsidRDefault="005D55F5" w:rsidP="00533C08">
            <w:pPr>
              <w:pStyle w:val="ListParagraph"/>
              <w:keepNext/>
              <w:ind w:left="-106"/>
            </w:pPr>
            <w:r>
              <w:t>Lutz RIBBE (groupe des organisations de la société civile — DE)</w:t>
            </w:r>
          </w:p>
          <w:p w14:paraId="3BDDFB62" w14:textId="58B88D3B" w:rsidR="006A1317" w:rsidRPr="009B70E7" w:rsidRDefault="006A1317" w:rsidP="00533C08">
            <w:pPr>
              <w:pStyle w:val="ListParagraph"/>
              <w:keepNext/>
              <w:ind w:left="-106"/>
            </w:pPr>
          </w:p>
        </w:tc>
      </w:tr>
      <w:tr w:rsidR="00E54548" w:rsidRPr="009B70E7" w14:paraId="7A103358" w14:textId="77777777" w:rsidTr="000C18CA">
        <w:tc>
          <w:tcPr>
            <w:tcW w:w="1701" w:type="dxa"/>
          </w:tcPr>
          <w:p w14:paraId="3D88AB9C" w14:textId="77777777" w:rsidR="00E54548" w:rsidRPr="009B70E7" w:rsidRDefault="00E54548" w:rsidP="008B66DD">
            <w:pPr>
              <w:pStyle w:val="ListParagraph"/>
              <w:ind w:left="0"/>
              <w:rPr>
                <w:b/>
              </w:rPr>
            </w:pPr>
            <w:r>
              <w:rPr>
                <w:b/>
              </w:rPr>
              <w:t xml:space="preserve">Référence: </w:t>
            </w:r>
          </w:p>
        </w:tc>
        <w:tc>
          <w:tcPr>
            <w:tcW w:w="7222" w:type="dxa"/>
            <w:gridSpan w:val="2"/>
          </w:tcPr>
          <w:p w14:paraId="3F2C4954" w14:textId="256F2E4C" w:rsidR="00E54548" w:rsidRPr="009B70E7" w:rsidRDefault="005D55F5" w:rsidP="008B66DD">
            <w:pPr>
              <w:tabs>
                <w:tab w:val="center" w:pos="284"/>
              </w:tabs>
              <w:ind w:left="266" w:hanging="374"/>
            </w:pPr>
            <w:r>
              <w:t>Avis d’initiative</w:t>
            </w:r>
          </w:p>
          <w:p w14:paraId="2105E433" w14:textId="6A8812D6" w:rsidR="00E54548" w:rsidRPr="009B70E7" w:rsidRDefault="00E54548" w:rsidP="008B66DD">
            <w:pPr>
              <w:pStyle w:val="ListParagraph"/>
              <w:ind w:left="-108"/>
            </w:pPr>
            <w:r>
              <w:t>EESC-2022-00878-00-00-AC</w:t>
            </w:r>
          </w:p>
        </w:tc>
      </w:tr>
    </w:tbl>
    <w:p w14:paraId="5A8EA75C" w14:textId="77777777" w:rsidR="00E54548" w:rsidRPr="009B70E7" w:rsidRDefault="00E54548" w:rsidP="00E54548">
      <w:pPr>
        <w:pStyle w:val="ListParagraph"/>
        <w:ind w:left="0"/>
        <w:rPr>
          <w:b/>
        </w:rPr>
      </w:pPr>
    </w:p>
    <w:p w14:paraId="2DB75FF2" w14:textId="5E95D69C" w:rsidR="00E54548" w:rsidRPr="0018231C" w:rsidRDefault="00E54548" w:rsidP="00E425AF">
      <w:pPr>
        <w:pStyle w:val="ListParagraph"/>
        <w:keepNext/>
        <w:spacing w:line="240" w:lineRule="auto"/>
        <w:ind w:left="0" w:firstLine="142"/>
        <w:rPr>
          <w:b/>
        </w:rPr>
      </w:pPr>
      <w:r>
        <w:rPr>
          <w:b/>
        </w:rPr>
        <w:t>Points clés</w:t>
      </w:r>
    </w:p>
    <w:p w14:paraId="6EE8937D" w14:textId="77777777" w:rsidR="00E54548" w:rsidRPr="0018231C" w:rsidRDefault="00E54548" w:rsidP="00E425AF">
      <w:pPr>
        <w:pStyle w:val="ListParagraph"/>
        <w:keepNext/>
        <w:ind w:left="0"/>
      </w:pPr>
    </w:p>
    <w:p w14:paraId="6B6F14AC" w14:textId="77777777" w:rsidR="00E54548" w:rsidRPr="00A00F37" w:rsidRDefault="00E54548" w:rsidP="00E425AF">
      <w:pPr>
        <w:pStyle w:val="ListParagraph"/>
        <w:keepNext/>
        <w:spacing w:line="240" w:lineRule="auto"/>
        <w:ind w:left="0" w:firstLine="142"/>
        <w:rPr>
          <w:bCs/>
        </w:rPr>
      </w:pPr>
      <w:r>
        <w:t>Le CESE:</w:t>
      </w:r>
    </w:p>
    <w:p w14:paraId="1F790AD7" w14:textId="77777777" w:rsidR="00E54548" w:rsidRPr="0018231C" w:rsidRDefault="00E54548" w:rsidP="00E425AF">
      <w:pPr>
        <w:pStyle w:val="ListParagraph"/>
        <w:keepNext/>
        <w:ind w:left="0"/>
      </w:pPr>
    </w:p>
    <w:p w14:paraId="6C07166C"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1" w:name="_Toc120198261"/>
      <w:r w:rsidRPr="00E425AF">
        <w:rPr>
          <w:b/>
          <w:szCs w:val="20"/>
        </w:rPr>
        <w:t>salue</w:t>
      </w:r>
      <w:r w:rsidRPr="00E425AF">
        <w:rPr>
          <w:szCs w:val="20"/>
        </w:rPr>
        <w:t xml:space="preserve"> l’initiative de la Commission européenne qui vise à mettre en place un cadre législatif en faveur de systèmes alimentaires durables comprenant également des règles relatives à l’indication du caractère durable des denrées alimentaires. Il est manifestement nécessaire de disposer de règles ainsi que d’un certain degré de normalisation et d’harmonisation pour garantir à la fois la crédibilité de cet étiquetage et des conditions de concurrence équitables;</w:t>
      </w:r>
      <w:bookmarkEnd w:id="51"/>
    </w:p>
    <w:p w14:paraId="66F40EB7"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2" w:name="_Toc120198262"/>
      <w:r w:rsidRPr="00E425AF">
        <w:rPr>
          <w:b/>
          <w:szCs w:val="20"/>
        </w:rPr>
        <w:t>souligne</w:t>
      </w:r>
      <w:r w:rsidRPr="00E425AF">
        <w:rPr>
          <w:szCs w:val="20"/>
        </w:rPr>
        <w:t xml:space="preserve"> que la durabilité est une notion qui présente de multiples facettes et qui devrait toujours prendre en compte à parts égales les dimensions économique, environnementale et sociale;</w:t>
      </w:r>
      <w:bookmarkEnd w:id="52"/>
    </w:p>
    <w:p w14:paraId="3BE56875"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3" w:name="_Toc120198263"/>
      <w:r w:rsidRPr="00E425AF">
        <w:rPr>
          <w:b/>
          <w:szCs w:val="20"/>
        </w:rPr>
        <w:t>attire l’attention</w:t>
      </w:r>
      <w:r w:rsidRPr="00E425AF">
        <w:rPr>
          <w:szCs w:val="20"/>
        </w:rPr>
        <w:t xml:space="preserve"> sur le fait que les habitudes alimentaires individuelles sont très diverses, dépendent de différents facteurs et sont en outre extrêmement tenaces. Les attentes relatives à un système d’étiquetage de la durabilité devraient donc être évaluées avec réalisme dès le départ. Toutefois, il est de l’intérêt de tous de passer à des modes de consommation plus durables;</w:t>
      </w:r>
      <w:bookmarkEnd w:id="53"/>
    </w:p>
    <w:p w14:paraId="6AE53282"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4" w:name="_Toc120198264"/>
      <w:r w:rsidRPr="00E425AF">
        <w:rPr>
          <w:b/>
          <w:szCs w:val="20"/>
        </w:rPr>
        <w:t>recommande</w:t>
      </w:r>
      <w:r w:rsidRPr="00E425AF">
        <w:rPr>
          <w:szCs w:val="20"/>
        </w:rPr>
        <w:t xml:space="preserve"> dès lors de mettre en place, aux fins de l’étiquetage de la durabilité des denrées alimentaires, un cadre transparent, fondé sur des données scientifiques et aussi simple et pragmatique que possible, afin d’aider les opérateurs économiques à évaluer et à améliorer la durabilité des produits, tout en fournissant aux consommateurs des indications utiles qui leur permettent de prendre des décisions d’achat en toute connaissance de cause;</w:t>
      </w:r>
      <w:bookmarkEnd w:id="54"/>
    </w:p>
    <w:p w14:paraId="75CF958B"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5" w:name="_Toc120198265"/>
      <w:r w:rsidRPr="00E425AF">
        <w:rPr>
          <w:b/>
          <w:szCs w:val="20"/>
        </w:rPr>
        <w:t>propose</w:t>
      </w:r>
      <w:r w:rsidRPr="00E425AF">
        <w:rPr>
          <w:szCs w:val="20"/>
        </w:rPr>
        <w:t>, par souci de simplicité et de pragmatisme, de se contenter également des aspects partiels d’une durabilité globalement définie et évaluée, comme par exemple le bien-être animal ainsi que des critères sociaux ou environnementaux. Toutefois, le terme «durable» ne devrait pas être utilisé dans ce cas, sachant qu’il conviendrait de réserver son usage dans le cadre d’une approche globale d’évaluation;</w:t>
      </w:r>
      <w:bookmarkEnd w:id="55"/>
    </w:p>
    <w:p w14:paraId="37A8DA20"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6" w:name="_Toc120198266"/>
      <w:r w:rsidRPr="00E425AF">
        <w:rPr>
          <w:b/>
          <w:szCs w:val="20"/>
        </w:rPr>
        <w:t>se prononce tout d’abord</w:t>
      </w:r>
      <w:r w:rsidRPr="00E425AF">
        <w:rPr>
          <w:szCs w:val="20"/>
        </w:rPr>
        <w:t xml:space="preserve"> en faveur d’une approche volontaire, celle-ci devant toutefois prévoir des conditions contraignantes en cas d’application. Les labels de durabilité ou les informations relatives à l’aspect durable qui s’avèrent ne pas respecter ces conditions devraient être interdits;</w:t>
      </w:r>
      <w:bookmarkEnd w:id="56"/>
    </w:p>
    <w:p w14:paraId="63C4D55D"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7" w:name="_Toc120198267"/>
      <w:r w:rsidRPr="00E425AF">
        <w:rPr>
          <w:b/>
          <w:szCs w:val="20"/>
        </w:rPr>
        <w:t>estime</w:t>
      </w:r>
      <w:r w:rsidRPr="00E425AF">
        <w:rPr>
          <w:szCs w:val="20"/>
        </w:rPr>
        <w:t xml:space="preserve"> que les systèmes d’étiquetage comportant une échelle d’évaluation (par exemple, sous la forme de feux de signalisation) peuvent aider les consommateurs à faire des choix informés. Un système d’évaluation de ce type peut également favoriser un rôle de pionnier en matière de </w:t>
      </w:r>
      <w:r w:rsidRPr="00E425AF">
        <w:rPr>
          <w:szCs w:val="20"/>
        </w:rPr>
        <w:lastRenderedPageBreak/>
        <w:t>durabilité et encourager les entreprises à améliorer constamment leurs processus tout au long de la chaîne alimentaire;</w:t>
      </w:r>
      <w:bookmarkEnd w:id="57"/>
    </w:p>
    <w:p w14:paraId="113A4587"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8" w:name="_Toc120198268"/>
      <w:r w:rsidRPr="00E425AF">
        <w:rPr>
          <w:b/>
          <w:szCs w:val="20"/>
        </w:rPr>
        <w:t xml:space="preserve">souligne </w:t>
      </w:r>
      <w:r w:rsidRPr="00E425AF">
        <w:rPr>
          <w:szCs w:val="20"/>
        </w:rPr>
        <w:t>à cet égard que les algorithmes d’évaluation sont déterminants si l’on veut créer un modèle d’échelle. Ceux-ci doivent être fondés sur des données scientifiques, et être suffisamment transparents pour les consommateurs;</w:t>
      </w:r>
      <w:bookmarkEnd w:id="58"/>
    </w:p>
    <w:p w14:paraId="0389FF5F" w14:textId="77777777" w:rsidR="00E425AF" w:rsidRPr="00E425AF" w:rsidRDefault="00E425AF" w:rsidP="00E425AF">
      <w:pPr>
        <w:pStyle w:val="ListParagraph"/>
        <w:numPr>
          <w:ilvl w:val="0"/>
          <w:numId w:val="27"/>
        </w:numPr>
        <w:overflowPunct w:val="0"/>
        <w:autoSpaceDE w:val="0"/>
        <w:autoSpaceDN w:val="0"/>
        <w:adjustRightInd w:val="0"/>
        <w:ind w:left="357" w:hanging="357"/>
        <w:textAlignment w:val="baseline"/>
        <w:outlineLvl w:val="1"/>
        <w:rPr>
          <w:szCs w:val="20"/>
        </w:rPr>
      </w:pPr>
      <w:bookmarkStart w:id="59" w:name="_Toc120198269"/>
      <w:r w:rsidRPr="00E425AF">
        <w:rPr>
          <w:b/>
          <w:szCs w:val="20"/>
        </w:rPr>
        <w:t>estime</w:t>
      </w:r>
      <w:r w:rsidRPr="00E425AF">
        <w:rPr>
          <w:szCs w:val="20"/>
        </w:rPr>
        <w:t xml:space="preserve"> que les réglementations de l’Union européenne existant déjà en matière de qualité, telles que le mode de production biologique ou les indications géographiques, contiennent déjà des éléments qui contribuent à rendre le système alimentaire plus durable. Il convient de le reconnaître en conséquence. Le CESE recommande en outre de procéder à une vérification des réglementations existantes au regard de la durabilité, et de les compléter, le cas échéant, par des dispositions appropriées dans ce domaine;</w:t>
      </w:r>
      <w:bookmarkEnd w:id="59"/>
    </w:p>
    <w:p w14:paraId="6016A33F" w14:textId="77777777" w:rsidR="00E425AF" w:rsidRPr="00E425AF" w:rsidRDefault="00E425AF" w:rsidP="00E425AF">
      <w:pPr>
        <w:pStyle w:val="ListParagraph"/>
        <w:keepNext/>
        <w:keepLines/>
        <w:numPr>
          <w:ilvl w:val="0"/>
          <w:numId w:val="27"/>
        </w:numPr>
        <w:overflowPunct w:val="0"/>
        <w:autoSpaceDE w:val="0"/>
        <w:autoSpaceDN w:val="0"/>
        <w:adjustRightInd w:val="0"/>
        <w:ind w:left="357" w:hanging="357"/>
        <w:textAlignment w:val="baseline"/>
        <w:outlineLvl w:val="1"/>
        <w:rPr>
          <w:szCs w:val="20"/>
        </w:rPr>
      </w:pPr>
      <w:bookmarkStart w:id="60" w:name="_Toc120198270"/>
      <w:r w:rsidRPr="00E425AF">
        <w:rPr>
          <w:b/>
          <w:szCs w:val="20"/>
        </w:rPr>
        <w:t>souligne</w:t>
      </w:r>
      <w:r w:rsidRPr="00E425AF">
        <w:rPr>
          <w:szCs w:val="20"/>
        </w:rPr>
        <w:t xml:space="preserve"> le rôle crucial que joue l’éducation pour transmettre une compréhension élémentaire des aspects liés à la durabilité des denrées alimentaires. Des campagnes de sensibilisation et des mesures adéquates destinées à soutenir le caractère abordable des produits alimentaires durables peuvent également favoriser la transition vers des systèmes alimentaires plus durables.</w:t>
      </w:r>
      <w:bookmarkEnd w:id="60"/>
    </w:p>
    <w:p w14:paraId="34228F74" w14:textId="77777777" w:rsidR="00E54548" w:rsidRPr="007E7A4F" w:rsidRDefault="00E54548" w:rsidP="00E54548">
      <w:pPr>
        <w:widowControl w:val="0"/>
        <w:overflowPunct w:val="0"/>
        <w:autoSpaceDE w:val="0"/>
        <w:autoSpaceDN w:val="0"/>
        <w:adjustRightInd w:val="0"/>
        <w:textAlignment w:val="baseline"/>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5670"/>
      </w:tblGrid>
      <w:tr w:rsidR="00E54548" w:rsidRPr="00164813" w14:paraId="25A3FF7E" w14:textId="77777777" w:rsidTr="008B66DD">
        <w:tc>
          <w:tcPr>
            <w:tcW w:w="1418" w:type="dxa"/>
          </w:tcPr>
          <w:p w14:paraId="1C0A7F50" w14:textId="31488ED4" w:rsidR="00E54548" w:rsidRPr="00164813" w:rsidRDefault="00140AB0" w:rsidP="008B66DD">
            <w:pPr>
              <w:contextualSpacing/>
              <w:rPr>
                <w:i/>
              </w:rPr>
            </w:pPr>
            <w:r>
              <w:rPr>
                <w:b/>
                <w:i/>
              </w:rPr>
              <w:t>Contact:</w:t>
            </w:r>
          </w:p>
        </w:tc>
        <w:tc>
          <w:tcPr>
            <w:tcW w:w="5670" w:type="dxa"/>
          </w:tcPr>
          <w:p w14:paraId="59C2EA51" w14:textId="265C3C0A" w:rsidR="00E54548" w:rsidRPr="00164813" w:rsidRDefault="005D55F5" w:rsidP="008B66DD">
            <w:pPr>
              <w:contextualSpacing/>
              <w:rPr>
                <w:i/>
              </w:rPr>
            </w:pPr>
            <w:r>
              <w:rPr>
                <w:i/>
              </w:rPr>
              <w:t>Monica GUARINONI</w:t>
            </w:r>
          </w:p>
        </w:tc>
      </w:tr>
      <w:tr w:rsidR="00E54548" w:rsidRPr="00164813" w14:paraId="50BF4889" w14:textId="77777777" w:rsidTr="008B66DD">
        <w:tc>
          <w:tcPr>
            <w:tcW w:w="1418" w:type="dxa"/>
          </w:tcPr>
          <w:p w14:paraId="1F8D44FD" w14:textId="77777777" w:rsidR="00E54548" w:rsidRPr="00164813" w:rsidRDefault="00E54548" w:rsidP="008B66DD">
            <w:pPr>
              <w:ind w:left="601"/>
              <w:contextualSpacing/>
              <w:rPr>
                <w:i/>
              </w:rPr>
            </w:pPr>
            <w:r>
              <w:rPr>
                <w:i/>
              </w:rPr>
              <w:t>Tél.:</w:t>
            </w:r>
          </w:p>
        </w:tc>
        <w:tc>
          <w:tcPr>
            <w:tcW w:w="5670" w:type="dxa"/>
          </w:tcPr>
          <w:p w14:paraId="099C6AF1" w14:textId="62CC5619" w:rsidR="00E54548" w:rsidRPr="00164813" w:rsidRDefault="00E54548" w:rsidP="008B66DD">
            <w:pPr>
              <w:contextualSpacing/>
              <w:rPr>
                <w:i/>
              </w:rPr>
            </w:pPr>
            <w:r>
              <w:rPr>
                <w:i/>
              </w:rPr>
              <w:t>+32 2 546 8188</w:t>
            </w:r>
          </w:p>
        </w:tc>
      </w:tr>
      <w:tr w:rsidR="00E54548" w:rsidRPr="00164813" w14:paraId="735920C0" w14:textId="77777777" w:rsidTr="008B66DD">
        <w:tc>
          <w:tcPr>
            <w:tcW w:w="1418" w:type="dxa"/>
          </w:tcPr>
          <w:p w14:paraId="554E9752" w14:textId="77777777" w:rsidR="00E54548" w:rsidRPr="00164813" w:rsidRDefault="00E54548" w:rsidP="008B66DD">
            <w:pPr>
              <w:ind w:left="601"/>
              <w:contextualSpacing/>
              <w:rPr>
                <w:i/>
              </w:rPr>
            </w:pPr>
            <w:r>
              <w:rPr>
                <w:i/>
              </w:rPr>
              <w:t>Courriel</w:t>
            </w:r>
          </w:p>
        </w:tc>
        <w:tc>
          <w:tcPr>
            <w:tcW w:w="5670" w:type="dxa"/>
          </w:tcPr>
          <w:p w14:paraId="430FFFAD" w14:textId="426FE01D" w:rsidR="00E54548" w:rsidRPr="005D55F5" w:rsidRDefault="009D65A9" w:rsidP="008B66DD">
            <w:pPr>
              <w:contextualSpacing/>
              <w:rPr>
                <w:i/>
                <w:iCs/>
              </w:rPr>
            </w:pPr>
            <w:hyperlink r:id="rId45" w:history="1">
              <w:r w:rsidR="007B42E2">
                <w:rPr>
                  <w:rStyle w:val="Hyperlink"/>
                  <w:i/>
                </w:rPr>
                <w:t>monica.guarinoni@eesc.europa.eu</w:t>
              </w:r>
            </w:hyperlink>
          </w:p>
          <w:p w14:paraId="57D07659" w14:textId="77777777" w:rsidR="00E54548" w:rsidRPr="00164813" w:rsidRDefault="00E54548" w:rsidP="008B66DD">
            <w:pPr>
              <w:contextualSpacing/>
              <w:rPr>
                <w:i/>
              </w:rPr>
            </w:pPr>
          </w:p>
        </w:tc>
      </w:tr>
    </w:tbl>
    <w:p w14:paraId="3D4A5F95" w14:textId="178D72DA" w:rsidR="00F2127E" w:rsidRDefault="00F2127E" w:rsidP="0018231C">
      <w:pPr>
        <w:spacing w:after="160" w:line="240" w:lineRule="auto"/>
        <w:jc w:val="left"/>
        <w:rPr>
          <w:sz w:val="28"/>
          <w:szCs w:val="16"/>
        </w:rPr>
      </w:pPr>
    </w:p>
    <w:p w14:paraId="5D5EA24D" w14:textId="4BED5C8B" w:rsidR="005D55F5" w:rsidRPr="009B70E7" w:rsidRDefault="005D55F5" w:rsidP="005D55F5">
      <w:pPr>
        <w:pStyle w:val="ListParagraph"/>
        <w:keepNext/>
        <w:numPr>
          <w:ilvl w:val="0"/>
          <w:numId w:val="2"/>
        </w:numPr>
        <w:ind w:left="567" w:hanging="567"/>
        <w:rPr>
          <w:b/>
          <w:i/>
          <w:sz w:val="28"/>
          <w:szCs w:val="28"/>
        </w:rPr>
      </w:pPr>
      <w:r>
        <w:rPr>
          <w:b/>
          <w:i/>
          <w:sz w:val="28"/>
        </w:rPr>
        <w:t>Passage à un réseau de données sur la durabilité agricole (RIDEA)</w:t>
      </w:r>
    </w:p>
    <w:p w14:paraId="12853D1A" w14:textId="77777777" w:rsidR="005D55F5" w:rsidRPr="009B70E7" w:rsidRDefault="005D55F5" w:rsidP="005D55F5">
      <w:pPr>
        <w:pStyle w:val="ListParagraph"/>
        <w:keepNext/>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5D55F5" w:rsidRPr="009B70E7" w14:paraId="6709C1CA" w14:textId="77777777" w:rsidTr="00616C87">
        <w:tc>
          <w:tcPr>
            <w:tcW w:w="1701" w:type="dxa"/>
          </w:tcPr>
          <w:p w14:paraId="1C85D76E" w14:textId="77777777" w:rsidR="005D55F5" w:rsidRPr="009B70E7" w:rsidRDefault="005D55F5" w:rsidP="00616C87">
            <w:pPr>
              <w:pStyle w:val="ListParagraph"/>
              <w:keepNext/>
              <w:ind w:left="0"/>
              <w:rPr>
                <w:b/>
              </w:rPr>
            </w:pPr>
            <w:r>
              <w:rPr>
                <w:b/>
              </w:rPr>
              <w:t>Rapporteur:</w:t>
            </w:r>
          </w:p>
        </w:tc>
        <w:tc>
          <w:tcPr>
            <w:tcW w:w="5387" w:type="dxa"/>
          </w:tcPr>
          <w:p w14:paraId="55A6474A" w14:textId="7EA5FA4E" w:rsidR="005D55F5" w:rsidRPr="009B70E7" w:rsidRDefault="005D55F5" w:rsidP="00616C87">
            <w:pPr>
              <w:pStyle w:val="ListParagraph"/>
              <w:keepNext/>
              <w:ind w:left="-106"/>
            </w:pPr>
            <w:r>
              <w:t>Florian MARIN (groupe des travailleurs — RO)</w:t>
            </w:r>
          </w:p>
        </w:tc>
      </w:tr>
      <w:tr w:rsidR="005D55F5" w:rsidRPr="009B70E7" w14:paraId="64A6CEC9" w14:textId="77777777" w:rsidTr="00616C87">
        <w:tc>
          <w:tcPr>
            <w:tcW w:w="1701" w:type="dxa"/>
          </w:tcPr>
          <w:p w14:paraId="7C5C4F66" w14:textId="77777777" w:rsidR="005D55F5" w:rsidRPr="007B231B" w:rsidRDefault="005D55F5" w:rsidP="00616C87">
            <w:pPr>
              <w:pStyle w:val="ListParagraph"/>
              <w:keepNext/>
              <w:ind w:left="0"/>
              <w:rPr>
                <w:b/>
              </w:rPr>
            </w:pPr>
          </w:p>
        </w:tc>
        <w:tc>
          <w:tcPr>
            <w:tcW w:w="5387" w:type="dxa"/>
          </w:tcPr>
          <w:p w14:paraId="7C5F0745" w14:textId="77777777" w:rsidR="005D55F5" w:rsidRPr="00E54548" w:rsidRDefault="005D55F5" w:rsidP="00616C87">
            <w:pPr>
              <w:pStyle w:val="ListParagraph"/>
              <w:keepNext/>
              <w:ind w:left="-106"/>
              <w:rPr>
                <w:highlight w:val="yellow"/>
              </w:rPr>
            </w:pPr>
          </w:p>
        </w:tc>
      </w:tr>
    </w:tbl>
    <w:tbl>
      <w:tblPr>
        <w:tblStyle w:val="TableGrid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tblGrid>
      <w:tr w:rsidR="005D55F5" w:rsidRPr="00032038" w14:paraId="1CB4200A" w14:textId="77777777" w:rsidTr="00616C87">
        <w:tc>
          <w:tcPr>
            <w:tcW w:w="1701" w:type="dxa"/>
          </w:tcPr>
          <w:p w14:paraId="6E57E46F" w14:textId="77777777" w:rsidR="005D55F5" w:rsidRPr="00032038" w:rsidRDefault="005D55F5" w:rsidP="00616C87">
            <w:pPr>
              <w:contextualSpacing/>
              <w:rPr>
                <w:b/>
              </w:rPr>
            </w:pPr>
            <w:r>
              <w:rPr>
                <w:b/>
              </w:rPr>
              <w:t xml:space="preserve">Référence: </w:t>
            </w:r>
          </w:p>
        </w:tc>
        <w:tc>
          <w:tcPr>
            <w:tcW w:w="6379" w:type="dxa"/>
          </w:tcPr>
          <w:p w14:paraId="3CE37A59" w14:textId="1F6FC239" w:rsidR="005D55F5" w:rsidRPr="00032038" w:rsidRDefault="00B53E10" w:rsidP="00616C87">
            <w:pPr>
              <w:tabs>
                <w:tab w:val="center" w:pos="284"/>
              </w:tabs>
              <w:ind w:left="266" w:right="-534" w:hanging="374"/>
            </w:pPr>
            <w:r>
              <w:t>COM(2022) </w:t>
            </w:r>
            <w:r w:rsidR="005D55F5">
              <w:t>296</w:t>
            </w:r>
            <w:r w:rsidR="009B12BE">
              <w:t> final</w:t>
            </w:r>
          </w:p>
          <w:p w14:paraId="7DD98444" w14:textId="00AF9D92" w:rsidR="005D55F5" w:rsidRPr="00032038" w:rsidRDefault="005D55F5" w:rsidP="00616C87">
            <w:pPr>
              <w:ind w:left="-108"/>
              <w:contextualSpacing/>
            </w:pPr>
            <w:r>
              <w:t>EESC-2022-03384-00-00-AC</w:t>
            </w:r>
          </w:p>
        </w:tc>
      </w:tr>
    </w:tbl>
    <w:p w14:paraId="453DD282" w14:textId="77777777" w:rsidR="005D55F5" w:rsidRPr="002C4B6E" w:rsidRDefault="005D55F5" w:rsidP="005D55F5">
      <w:pPr>
        <w:pStyle w:val="ListParagraph"/>
        <w:spacing w:line="240" w:lineRule="auto"/>
        <w:ind w:left="-142" w:firstLine="142"/>
        <w:rPr>
          <w:b/>
        </w:rPr>
      </w:pPr>
    </w:p>
    <w:p w14:paraId="6FC1ABE0" w14:textId="77777777" w:rsidR="005D55F5" w:rsidRPr="00A00F37" w:rsidRDefault="005D55F5" w:rsidP="005D55F5">
      <w:pPr>
        <w:pStyle w:val="ListParagraph"/>
        <w:spacing w:line="240" w:lineRule="auto"/>
        <w:ind w:left="0" w:firstLine="142"/>
        <w:rPr>
          <w:b/>
        </w:rPr>
      </w:pPr>
      <w:r>
        <w:rPr>
          <w:b/>
        </w:rPr>
        <w:t>Points clés</w:t>
      </w:r>
    </w:p>
    <w:p w14:paraId="73EBAABB" w14:textId="77777777" w:rsidR="005D55F5" w:rsidRDefault="005D55F5" w:rsidP="005D55F5">
      <w:pPr>
        <w:pStyle w:val="ListParagraph"/>
        <w:keepNext/>
        <w:ind w:left="0"/>
      </w:pPr>
    </w:p>
    <w:p w14:paraId="3301B99A" w14:textId="77777777" w:rsidR="005D55F5" w:rsidRDefault="005D55F5" w:rsidP="00151492">
      <w:pPr>
        <w:pStyle w:val="ListParagraph"/>
        <w:ind w:left="0" w:firstLine="142"/>
      </w:pPr>
      <w:r>
        <w:t>Le CESE:</w:t>
      </w:r>
    </w:p>
    <w:p w14:paraId="643A118D" w14:textId="77777777" w:rsidR="005D55F5" w:rsidRDefault="005D55F5" w:rsidP="00151492">
      <w:pPr>
        <w:pStyle w:val="ListParagraph"/>
        <w:keepNext/>
        <w:ind w:left="0"/>
      </w:pPr>
    </w:p>
    <w:p w14:paraId="22A027F3" w14:textId="77777777" w:rsidR="004D2F23" w:rsidRPr="004D2F23" w:rsidRDefault="004D2F23" w:rsidP="006321AD">
      <w:pPr>
        <w:keepNext/>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exprimant son soutien à l’initiative à l’examen, se félicite que dans le cadre de la stratégie «De la ferme à la table», il soit prévu de convertir le réseau d’information comptable agricole (RICA) en un «réseau d’information sur la durabilité des exploitations agricoles» (RIDEA), qui aura pour mission de collecter des données sur la durabilité, d’améliorer les services de conseil aux agriculteurs et de leur fournir un retour d’information;</w:t>
      </w:r>
    </w:p>
    <w:p w14:paraId="75295DF4" w14:textId="77777777" w:rsidR="004D2F23" w:rsidRPr="004D2F23" w:rsidRDefault="004D2F23" w:rsidP="004D2F23">
      <w:pPr>
        <w:keepNext/>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 xml:space="preserve">estime que le RIDEA constitue un instrument important pour mener des politiques fondées sur des données probantes et avance des exemple concrets de données à collecter dans ce cadre, concernant non seulement l’économie mais également l’environnement et les aspects sociaux, tout en émettant les recommandations suivantes: </w:t>
      </w:r>
    </w:p>
    <w:p w14:paraId="4F06612F"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il y a lieu d’assurer, en particulier pour les données d’ordre social et environnemental, une approche croisée avec le système intégré de gestion et de contrôle (SIGC) et les informations provenant de la mise en œuvre de la politique agricole commune (PAC), ainsi que d’Eurostat;</w:t>
      </w:r>
    </w:p>
    <w:p w14:paraId="42CB388B"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 xml:space="preserve">tous les agriculteurs qui le souhaitent et en ont la capacité devraient pouvoir contribuer au RIDEA; </w:t>
      </w:r>
    </w:p>
    <w:p w14:paraId="0944F8A0"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rFonts w:ascii="Calibri" w:hAnsi="Calibri"/>
          <w:lang w:eastAsia="zh-CN"/>
        </w:rPr>
      </w:pPr>
      <w:r w:rsidRPr="004D2F23">
        <w:rPr>
          <w:lang w:eastAsia="zh-CN"/>
        </w:rPr>
        <w:t>la réduction des lourdeurs administratives devrait être une préoccupation constante;</w:t>
      </w:r>
    </w:p>
    <w:p w14:paraId="3602DA95"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rFonts w:ascii="Calibri" w:hAnsi="Calibri"/>
          <w:lang w:eastAsia="zh-CN"/>
        </w:rPr>
      </w:pPr>
      <w:r w:rsidRPr="004D2F23">
        <w:rPr>
          <w:lang w:eastAsia="zh-CN"/>
        </w:rPr>
        <w:lastRenderedPageBreak/>
        <w:t>le RIDEA devrait contribuer à une meilleure compréhension de l’ensemble de l’écosystème des exploitations;</w:t>
      </w:r>
    </w:p>
    <w:p w14:paraId="26885268"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les fermes pratiquant l’agriculture de subsistance ou de semi-subsistance devraient également être reprises dans l’échantillon constitué aux fins du RIDEA;</w:t>
      </w:r>
    </w:p>
    <w:p w14:paraId="56CE362C"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le RIDEA doit prendre en compte la diversité que les données présentent d’un État membre à l’autre du point de vue de leurs caractéristiques, de leurs sources, de leurs formats, de leurs dimensions et de leurs niveaux de granularité;</w:t>
      </w:r>
    </w:p>
    <w:p w14:paraId="40012062"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 xml:space="preserve">il importe d’assurer des échanges constants de bonnes pratiques agricoles entre États membres comme entre agriculteurs; </w:t>
      </w:r>
    </w:p>
    <w:p w14:paraId="064426BF"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il conviendrait d’en faire davantage pour renforcer les capacités à collecter, partager, gérer et utiliser des données au niveau de l’exploitation, en particulier dans le cas des petites fermes;</w:t>
      </w:r>
    </w:p>
    <w:p w14:paraId="7F8F2A60"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le RIDEA devrait contribuer à améliorer la gestion des exploitations;</w:t>
      </w:r>
    </w:p>
    <w:p w14:paraId="32599F89" w14:textId="77777777" w:rsidR="004D2F23" w:rsidRPr="004D2F23" w:rsidRDefault="004D2F23" w:rsidP="00862952">
      <w:pPr>
        <w:numPr>
          <w:ilvl w:val="2"/>
          <w:numId w:val="8"/>
        </w:numPr>
        <w:overflowPunct w:val="0"/>
        <w:autoSpaceDE w:val="0"/>
        <w:autoSpaceDN w:val="0"/>
        <w:adjustRightInd w:val="0"/>
        <w:ind w:left="851" w:hanging="284"/>
        <w:contextualSpacing/>
        <w:textAlignment w:val="baseline"/>
        <w:rPr>
          <w:lang w:eastAsia="zh-CN"/>
        </w:rPr>
      </w:pPr>
      <w:r w:rsidRPr="004D2F23">
        <w:rPr>
          <w:lang w:eastAsia="zh-CN"/>
        </w:rPr>
        <w:t>il serait opportun d’établir des critères spécifiques concernant la durabilité des processus requis par le RIDEA et les conditions de travail de ses collecteurs de données;</w:t>
      </w:r>
    </w:p>
    <w:p w14:paraId="334A0B95"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est d’avis il s’impose de garantir en tout état de cause la protection des données, les questions relatives à leur propriété, le respect de la vie privée et la confidentialité et de veiller à ce que les agriculteurs gardent en permanence le contrôle sur les informations fournies, et fait observer qu’en aucun cas, il n’est permis d’utiliser les données collectées pour le RIDEA afin de contrôler et sanctionner les agriculteurs;</w:t>
      </w:r>
    </w:p>
    <w:p w14:paraId="3AAB318A"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recommande de prévoir des mesures qui incitent les agriculteurs à contribuer au réseau;</w:t>
      </w:r>
    </w:p>
    <w:p w14:paraId="54984FE0"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 xml:space="preserve">prône de déployer davantage d’efforts pour bâtir un espace commun des données du domaine agricole, en encourageant la copropriété des données et les coopératives de données dans le secteur agroalimentaire; </w:t>
      </w:r>
    </w:p>
    <w:p w14:paraId="723D2EEC"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 xml:space="preserve">conseille de mettre en place un programme intégré spécifiquement consacré à la numérisation du secteur agroalimentaire; </w:t>
      </w:r>
    </w:p>
    <w:p w14:paraId="303DF8D0"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suggère de redoubler d’efforts pour réduire les «zones blanches» et fournir des connexions téléphoniques et le haut débit dans les régions rurales;</w:t>
      </w:r>
    </w:p>
    <w:p w14:paraId="547F1EC0" w14:textId="77777777" w:rsidR="004D2F23" w:rsidRPr="004D2F23" w:rsidRDefault="004D2F23" w:rsidP="004D2F23">
      <w:pPr>
        <w:numPr>
          <w:ilvl w:val="0"/>
          <w:numId w:val="29"/>
        </w:numPr>
        <w:overflowPunct w:val="0"/>
        <w:autoSpaceDE w:val="0"/>
        <w:autoSpaceDN w:val="0"/>
        <w:adjustRightInd w:val="0"/>
        <w:ind w:left="357" w:hanging="357"/>
        <w:contextualSpacing/>
        <w:textAlignment w:val="baseline"/>
        <w:rPr>
          <w:lang w:eastAsia="zh-CN"/>
        </w:rPr>
      </w:pPr>
      <w:r w:rsidRPr="004D2F23">
        <w:rPr>
          <w:lang w:eastAsia="zh-CN"/>
        </w:rPr>
        <w:t>préconise que la Commission et les États membres garantissent les fonds nécessaires à la mise en œuvre du RIDEA et que les données collectées prennent en considération la question de la volatilité des prix et des différentes crises affectant la chaîne d’approvisionnement agroalimentaire.</w:t>
      </w:r>
    </w:p>
    <w:p w14:paraId="7CB8DA1E" w14:textId="77777777" w:rsidR="005D55F5" w:rsidRPr="009B70E7" w:rsidRDefault="005D55F5" w:rsidP="00151492">
      <w:pPr>
        <w:widowContro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5D55F5" w:rsidRPr="009B70E7" w14:paraId="737C4370" w14:textId="77777777" w:rsidTr="004D2F23">
        <w:tc>
          <w:tcPr>
            <w:tcW w:w="1649" w:type="dxa"/>
          </w:tcPr>
          <w:p w14:paraId="5A94AEDA" w14:textId="4E9627E0" w:rsidR="005D55F5" w:rsidRPr="009B70E7" w:rsidRDefault="00140AB0" w:rsidP="00151492">
            <w:pPr>
              <w:pStyle w:val="ListParagraph"/>
              <w:ind w:left="0"/>
              <w:rPr>
                <w:i/>
              </w:rPr>
            </w:pPr>
            <w:r>
              <w:rPr>
                <w:b/>
                <w:i/>
              </w:rPr>
              <w:t>Contact:</w:t>
            </w:r>
          </w:p>
        </w:tc>
        <w:tc>
          <w:tcPr>
            <w:tcW w:w="5670" w:type="dxa"/>
          </w:tcPr>
          <w:p w14:paraId="1504C813" w14:textId="77777777" w:rsidR="005D55F5" w:rsidRPr="009B70E7" w:rsidRDefault="005D55F5" w:rsidP="00151492">
            <w:pPr>
              <w:pStyle w:val="ListParagraph"/>
              <w:ind w:left="0"/>
              <w:rPr>
                <w:i/>
              </w:rPr>
            </w:pPr>
            <w:r>
              <w:rPr>
                <w:i/>
              </w:rPr>
              <w:t xml:space="preserve">Martine </w:t>
            </w:r>
            <w:proofErr w:type="spellStart"/>
            <w:r>
              <w:rPr>
                <w:i/>
              </w:rPr>
              <w:t>Delanoy</w:t>
            </w:r>
            <w:proofErr w:type="spellEnd"/>
          </w:p>
        </w:tc>
      </w:tr>
      <w:tr w:rsidR="005D55F5" w:rsidRPr="009B70E7" w14:paraId="6F66E21F" w14:textId="77777777" w:rsidTr="004D2F23">
        <w:tc>
          <w:tcPr>
            <w:tcW w:w="1649" w:type="dxa"/>
          </w:tcPr>
          <w:p w14:paraId="013404EB" w14:textId="77777777" w:rsidR="005D55F5" w:rsidRPr="009B70E7" w:rsidRDefault="005D55F5" w:rsidP="00151492">
            <w:pPr>
              <w:pStyle w:val="ListParagraph"/>
              <w:ind w:left="601"/>
              <w:rPr>
                <w:i/>
              </w:rPr>
            </w:pPr>
            <w:r>
              <w:rPr>
                <w:i/>
              </w:rPr>
              <w:t>Tél.:</w:t>
            </w:r>
          </w:p>
        </w:tc>
        <w:tc>
          <w:tcPr>
            <w:tcW w:w="5670" w:type="dxa"/>
          </w:tcPr>
          <w:p w14:paraId="43AD6E22" w14:textId="77777777" w:rsidR="005D55F5" w:rsidRPr="009B70E7" w:rsidRDefault="005D55F5" w:rsidP="00151492">
            <w:pPr>
              <w:pStyle w:val="ListParagraph"/>
              <w:ind w:left="0"/>
              <w:rPr>
                <w:i/>
              </w:rPr>
            </w:pPr>
            <w:r>
              <w:rPr>
                <w:i/>
              </w:rPr>
              <w:t>00 32 2 546 98 02</w:t>
            </w:r>
          </w:p>
        </w:tc>
      </w:tr>
      <w:tr w:rsidR="004D2F23" w:rsidRPr="009B70E7" w14:paraId="71EEB525" w14:textId="77777777" w:rsidTr="004D2F23">
        <w:tc>
          <w:tcPr>
            <w:tcW w:w="1649" w:type="dxa"/>
          </w:tcPr>
          <w:p w14:paraId="58FDA769" w14:textId="77777777" w:rsidR="004D2F23" w:rsidRPr="009B70E7" w:rsidRDefault="004D2F23" w:rsidP="004D2F23">
            <w:pPr>
              <w:pStyle w:val="ListParagraph"/>
              <w:ind w:left="601"/>
              <w:rPr>
                <w:i/>
              </w:rPr>
            </w:pPr>
            <w:r>
              <w:rPr>
                <w:i/>
              </w:rPr>
              <w:t>Courriel:</w:t>
            </w:r>
          </w:p>
        </w:tc>
        <w:tc>
          <w:tcPr>
            <w:tcW w:w="5670" w:type="dxa"/>
          </w:tcPr>
          <w:p w14:paraId="160C5392" w14:textId="68169B20" w:rsidR="004D2F23" w:rsidRPr="005D55F5" w:rsidRDefault="009D65A9" w:rsidP="004D2F23">
            <w:pPr>
              <w:pStyle w:val="ListParagraph"/>
              <w:ind w:left="0"/>
              <w:rPr>
                <w:i/>
                <w:iCs/>
              </w:rPr>
            </w:pPr>
            <w:hyperlink r:id="rId46" w:history="1">
              <w:r w:rsidR="004D2F23">
                <w:rPr>
                  <w:rStyle w:val="Hyperlink"/>
                  <w:i/>
                </w:rPr>
                <w:t>Martine.Delanoy@eesc.europa.eu</w:t>
              </w:r>
            </w:hyperlink>
          </w:p>
        </w:tc>
      </w:tr>
    </w:tbl>
    <w:p w14:paraId="49E30748" w14:textId="23C98823" w:rsidR="00EA1181" w:rsidRDefault="00EA1181" w:rsidP="00151492">
      <w:pPr>
        <w:jc w:val="left"/>
        <w:rPr>
          <w:sz w:val="28"/>
          <w:szCs w:val="16"/>
        </w:rPr>
      </w:pPr>
    </w:p>
    <w:p w14:paraId="79F670E2" w14:textId="77777777" w:rsidR="00931584" w:rsidRPr="00A10A98" w:rsidRDefault="00931584" w:rsidP="002A2F38">
      <w:pPr>
        <w:spacing w:after="160" w:line="259" w:lineRule="auto"/>
        <w:jc w:val="left"/>
        <w:rPr>
          <w:sz w:val="28"/>
          <w:szCs w:val="16"/>
        </w:rPr>
      </w:pPr>
    </w:p>
    <w:p w14:paraId="259B2927" w14:textId="77777777" w:rsidR="0005170F" w:rsidRPr="003E692C" w:rsidRDefault="00931584" w:rsidP="003E692C">
      <w:pPr>
        <w:pStyle w:val="Heading1"/>
        <w:keepNext/>
        <w:rPr>
          <w:b/>
        </w:rPr>
      </w:pPr>
      <w:bookmarkStart w:id="61" w:name="_Toc90469310"/>
      <w:bookmarkStart w:id="62" w:name="_Toc120198271"/>
      <w:r>
        <w:rPr>
          <w:b/>
        </w:rPr>
        <w:lastRenderedPageBreak/>
        <w:t>RELATIONS EXTÉRIEURES</w:t>
      </w:r>
      <w:bookmarkEnd w:id="61"/>
      <w:bookmarkEnd w:id="62"/>
    </w:p>
    <w:p w14:paraId="4C868865" w14:textId="0AB40322" w:rsidR="00CB3335" w:rsidRDefault="00CB3335" w:rsidP="009D65A9">
      <w:pPr>
        <w:keepNext/>
        <w:keepLines/>
      </w:pPr>
    </w:p>
    <w:p w14:paraId="18F82F09" w14:textId="07E767BA" w:rsidR="00B10934" w:rsidRPr="00092425" w:rsidRDefault="005A6946" w:rsidP="009D65A9">
      <w:pPr>
        <w:keepNext/>
        <w:keepLines/>
        <w:numPr>
          <w:ilvl w:val="0"/>
          <w:numId w:val="2"/>
        </w:numPr>
        <w:ind w:left="567" w:hanging="567"/>
        <w:contextualSpacing/>
      </w:pPr>
      <w:bookmarkStart w:id="63" w:name="_Hlk116902212"/>
      <w:r>
        <w:rPr>
          <w:b/>
          <w:i/>
          <w:sz w:val="28"/>
        </w:rPr>
        <w:t>La diplomatie culturelle en tant que vecteur des relations extérieures de l’UE. Nouveaux partenariats et rôle des organisations de la société civile»</w:t>
      </w:r>
    </w:p>
    <w:p w14:paraId="04311F99" w14:textId="77777777" w:rsidR="00B10934" w:rsidRPr="006E3F60" w:rsidRDefault="00B10934" w:rsidP="009D65A9">
      <w:pPr>
        <w:keepNext/>
        <w:keepLines/>
        <w:ind w:left="567"/>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B10934" w:rsidRPr="006E3F60" w14:paraId="63C47200" w14:textId="77777777" w:rsidTr="00AC432E">
        <w:tc>
          <w:tcPr>
            <w:tcW w:w="1701" w:type="dxa"/>
          </w:tcPr>
          <w:p w14:paraId="6B95F451" w14:textId="77777777" w:rsidR="00B10934" w:rsidRPr="006E3F60" w:rsidRDefault="00B10934" w:rsidP="009D65A9">
            <w:pPr>
              <w:keepNext/>
              <w:keepLines/>
              <w:contextualSpacing/>
              <w:rPr>
                <w:b/>
              </w:rPr>
            </w:pPr>
            <w:r>
              <w:rPr>
                <w:b/>
              </w:rPr>
              <w:t>Rapporteurs:</w:t>
            </w:r>
          </w:p>
        </w:tc>
        <w:tc>
          <w:tcPr>
            <w:tcW w:w="6946" w:type="dxa"/>
          </w:tcPr>
          <w:p w14:paraId="72CAA90E" w14:textId="5CEBFCCE" w:rsidR="00B10934" w:rsidRPr="006E3F60" w:rsidRDefault="005A6946" w:rsidP="009D65A9">
            <w:pPr>
              <w:keepNext/>
              <w:keepLines/>
              <w:ind w:left="-106"/>
              <w:contextualSpacing/>
            </w:pPr>
            <w:r>
              <w:t>Maurizio MENSI (groupe des organisations de la société civile — IT)</w:t>
            </w:r>
          </w:p>
        </w:tc>
      </w:tr>
      <w:tr w:rsidR="00B10934" w:rsidRPr="006E3F60" w14:paraId="2C0E8BB0" w14:textId="77777777" w:rsidTr="00AC432E">
        <w:tc>
          <w:tcPr>
            <w:tcW w:w="1701" w:type="dxa"/>
          </w:tcPr>
          <w:p w14:paraId="025643D8" w14:textId="51B782D1" w:rsidR="00B10934" w:rsidRPr="006E3F60" w:rsidRDefault="00B10934" w:rsidP="009D65A9">
            <w:pPr>
              <w:keepNext/>
              <w:keepLines/>
              <w:contextualSpacing/>
              <w:rPr>
                <w:b/>
              </w:rPr>
            </w:pPr>
          </w:p>
        </w:tc>
        <w:tc>
          <w:tcPr>
            <w:tcW w:w="6946" w:type="dxa"/>
          </w:tcPr>
          <w:p w14:paraId="427560C7" w14:textId="38ADD1CD" w:rsidR="00B10934" w:rsidRPr="006E3F60" w:rsidRDefault="00B10934" w:rsidP="009D65A9">
            <w:pPr>
              <w:keepNext/>
              <w:keepLines/>
              <w:ind w:left="-106"/>
              <w:contextualSpacing/>
            </w:pPr>
          </w:p>
        </w:tc>
      </w:tr>
      <w:tr w:rsidR="00B10934" w:rsidRPr="006E3F60" w14:paraId="20EA12EB" w14:textId="77777777" w:rsidTr="00AC432E">
        <w:tc>
          <w:tcPr>
            <w:tcW w:w="1701" w:type="dxa"/>
          </w:tcPr>
          <w:p w14:paraId="529DA37B" w14:textId="77777777" w:rsidR="00B10934" w:rsidRPr="006E3F60" w:rsidRDefault="00B10934" w:rsidP="009D65A9">
            <w:pPr>
              <w:keepNext/>
              <w:keepLines/>
              <w:contextualSpacing/>
              <w:rPr>
                <w:b/>
              </w:rPr>
            </w:pPr>
            <w:r>
              <w:rPr>
                <w:b/>
              </w:rPr>
              <w:t xml:space="preserve">Référence </w:t>
            </w:r>
          </w:p>
        </w:tc>
        <w:tc>
          <w:tcPr>
            <w:tcW w:w="6946" w:type="dxa"/>
          </w:tcPr>
          <w:p w14:paraId="0495867F" w14:textId="77777777" w:rsidR="00B10934" w:rsidRPr="006E3F60" w:rsidRDefault="00B10934" w:rsidP="009D65A9">
            <w:pPr>
              <w:keepNext/>
              <w:keepLines/>
              <w:ind w:left="-106"/>
              <w:contextualSpacing/>
              <w:rPr>
                <w:iCs/>
                <w:color w:val="000000"/>
              </w:rPr>
            </w:pPr>
            <w:r>
              <w:rPr>
                <w:color w:val="000000"/>
              </w:rPr>
              <w:t>Avis d’initiative</w:t>
            </w:r>
          </w:p>
          <w:p w14:paraId="77555D52" w14:textId="26CF0E00" w:rsidR="00B10934" w:rsidRPr="006E3F60" w:rsidRDefault="00B10934" w:rsidP="009D65A9">
            <w:pPr>
              <w:keepNext/>
              <w:keepLines/>
              <w:ind w:left="-106"/>
              <w:contextualSpacing/>
            </w:pPr>
            <w:r>
              <w:t>EESC-2022-01594-00-00-AC</w:t>
            </w:r>
          </w:p>
        </w:tc>
      </w:tr>
    </w:tbl>
    <w:p w14:paraId="4EE48C39" w14:textId="77777777" w:rsidR="00B10934" w:rsidRPr="006E3F60" w:rsidRDefault="00B10934" w:rsidP="009D65A9">
      <w:pPr>
        <w:keepNext/>
        <w:keepLines/>
        <w:ind w:left="567"/>
        <w:contextualSpacing/>
      </w:pPr>
    </w:p>
    <w:p w14:paraId="30E45228" w14:textId="3328F4E0" w:rsidR="00B10934" w:rsidRPr="00A00F37" w:rsidRDefault="00B10934" w:rsidP="009D65A9">
      <w:pPr>
        <w:pStyle w:val="ListParagraph"/>
        <w:keepNext/>
        <w:keepLines/>
        <w:spacing w:line="240" w:lineRule="auto"/>
        <w:ind w:left="0" w:firstLine="142"/>
        <w:rPr>
          <w:b/>
        </w:rPr>
      </w:pPr>
      <w:r>
        <w:rPr>
          <w:b/>
        </w:rPr>
        <w:t>Points clés</w:t>
      </w:r>
    </w:p>
    <w:p w14:paraId="42308E24" w14:textId="77777777" w:rsidR="00B10934" w:rsidRPr="00C25DB3" w:rsidRDefault="00B10934" w:rsidP="009D65A9">
      <w:pPr>
        <w:keepNext/>
        <w:keepLines/>
        <w:contextualSpacing/>
        <w:rPr>
          <w:b/>
        </w:rPr>
      </w:pPr>
    </w:p>
    <w:p w14:paraId="5BC9CB1A" w14:textId="77777777" w:rsidR="00B10934" w:rsidRDefault="00B10934" w:rsidP="009D65A9">
      <w:pPr>
        <w:keepNext/>
        <w:keepLines/>
        <w:ind w:left="142"/>
        <w:contextualSpacing/>
        <w:rPr>
          <w:bCs/>
          <w:iCs/>
        </w:rPr>
      </w:pPr>
      <w:r>
        <w:t>Le CESE:</w:t>
      </w:r>
    </w:p>
    <w:p w14:paraId="67817DFC" w14:textId="77777777" w:rsidR="00B10934" w:rsidRPr="006E3F60" w:rsidRDefault="00B10934" w:rsidP="009D65A9">
      <w:pPr>
        <w:keepNext/>
        <w:keepLines/>
        <w:contextualSpacing/>
      </w:pPr>
    </w:p>
    <w:p w14:paraId="67758EA2" w14:textId="5D0B5CF7" w:rsidR="00EF7AE7" w:rsidRPr="00EF7AE7" w:rsidRDefault="00EF7AE7" w:rsidP="00EF7AE7">
      <w:pPr>
        <w:pStyle w:val="Heading2"/>
        <w:numPr>
          <w:ilvl w:val="0"/>
          <w:numId w:val="38"/>
        </w:numPr>
        <w:ind w:left="357" w:hanging="357"/>
        <w:rPr>
          <w:rFonts w:eastAsia="Calibri"/>
        </w:rPr>
      </w:pPr>
      <w:bookmarkStart w:id="64" w:name="_Toc120198272"/>
      <w:r w:rsidRPr="000D76BB">
        <w:t>considère que la culture rassemble. Elle nous dote d’un capital grâce auquel nous pouvons mettre notre cheminement en lumière, que ce soit dans un contexte européen ou pour nous projeter dans le monde. En ces temps où la guerre a fait son retour sur le continent européen, avec son cortège de destructions terrifiantes et de saccages, touchant les vies humaines et les lieux, nous avons besoin que les relations culturelles servent, bien plus qu’hier encore, d’instrument pour le dialogue, la paix et l’avenir. Aujourd’hui, ce doit être pour nous une authentique priorité que d’en faire un vecteur dynamique et stratégique de la politique extérieure de l’Union européenne, comme toute une série de textes et grandes initiatives l’ont réclamé à maintes reprises depuis maintenant dix-sept ans;</w:t>
      </w:r>
      <w:bookmarkEnd w:id="64"/>
    </w:p>
    <w:p w14:paraId="727DAAD9" w14:textId="354C86C9" w:rsidR="00EF7AE7" w:rsidRPr="00EF7AE7" w:rsidRDefault="00EF7AE7" w:rsidP="00EF7AE7">
      <w:pPr>
        <w:pStyle w:val="Heading2"/>
        <w:numPr>
          <w:ilvl w:val="0"/>
          <w:numId w:val="38"/>
        </w:numPr>
        <w:ind w:left="357" w:hanging="357"/>
        <w:rPr>
          <w:rFonts w:eastAsia="Calibri"/>
        </w:rPr>
      </w:pPr>
      <w:bookmarkStart w:id="65" w:name="_Toc120198273"/>
      <w:r w:rsidRPr="000D76BB">
        <w:t xml:space="preserve">fait valoir qu’en prenant appui sur la communication de la Commission de 2016, sur les décisions et orientations émises par le Conseil et sur les recommandations du Parlement européen, nous nous devons à présent d’adopter </w:t>
      </w:r>
      <w:r w:rsidRPr="00EF7AE7">
        <w:rPr>
          <w:b/>
        </w:rPr>
        <w:t>un plan d’action stratégique pluriannuel en bonne et due forme</w:t>
      </w:r>
      <w:r w:rsidRPr="000D76BB">
        <w:t xml:space="preserve"> qui, sous la coordination du Service européen pour l’action extérieure (SEAE), crée une véritable synergie avec les différentes politiques et structures de la Commission européenne et des États membres et offre une plateforme sur laquelle puissent se nouer des relations opérantes avec des intervenants de plus amples dimensions qui mènent déjà des activités avec succès, qu’il s’agisse des responsables concernés à l’échelle territoriale ou de tout l’éventail des acteurs privés ou institutionnels, étant entendu que ce plan doit être doté des ressources financières voulues;</w:t>
      </w:r>
      <w:bookmarkEnd w:id="65"/>
    </w:p>
    <w:p w14:paraId="3C120692" w14:textId="3CCE5C46" w:rsidR="00EF7AE7" w:rsidRPr="00EF7AE7" w:rsidRDefault="00EF7AE7" w:rsidP="00EF7AE7">
      <w:pPr>
        <w:pStyle w:val="Heading2"/>
        <w:numPr>
          <w:ilvl w:val="0"/>
          <w:numId w:val="38"/>
        </w:numPr>
        <w:ind w:left="357" w:hanging="357"/>
        <w:rPr>
          <w:rFonts w:eastAsia="Calibri"/>
        </w:rPr>
      </w:pPr>
      <w:bookmarkStart w:id="66" w:name="_Toc120198274"/>
      <w:r w:rsidRPr="000D76BB">
        <w:t>estime qu’il y a lieu de</w:t>
      </w:r>
      <w:r w:rsidRPr="00EF7AE7">
        <w:rPr>
          <w:b/>
        </w:rPr>
        <w:t xml:space="preserve"> renforcer sur-le-champ les actions</w:t>
      </w:r>
      <w:r w:rsidRPr="000D76BB">
        <w:t xml:space="preserve"> de protection, restauration et reconstruction du patrimoine dans les zones de catastrophes naturelles, de crises et de conflits, en passant à la vitesse supérieure dans la formation d’opérateurs locaux et le développement des capacités des institutions et organisations qui ressortissent à la société civile à l’échelle du local. Une action plus substantielle doit être déployée dans le domaine des </w:t>
      </w:r>
      <w:r w:rsidRPr="00EF7AE7">
        <w:rPr>
          <w:b/>
        </w:rPr>
        <w:t>industries créatives</w:t>
      </w:r>
      <w:r w:rsidRPr="000D76BB">
        <w:t xml:space="preserve">, et il convient de lancer des </w:t>
      </w:r>
      <w:r w:rsidRPr="00EF7AE7">
        <w:rPr>
          <w:b/>
        </w:rPr>
        <w:t>projets pilotes</w:t>
      </w:r>
      <w:r w:rsidRPr="000D76BB">
        <w:t xml:space="preserve"> d’une ampleur significative dans des régions comme les Balkans occidentaux, la Méditerranée et le Proche-Orient;</w:t>
      </w:r>
      <w:bookmarkEnd w:id="66"/>
    </w:p>
    <w:p w14:paraId="1086F6B7" w14:textId="1BF17693" w:rsidR="00EF7AE7" w:rsidRPr="00EF7AE7" w:rsidRDefault="00EF7AE7" w:rsidP="00EF7AE7">
      <w:pPr>
        <w:pStyle w:val="Heading2"/>
        <w:numPr>
          <w:ilvl w:val="0"/>
          <w:numId w:val="38"/>
        </w:numPr>
        <w:ind w:left="357" w:hanging="357"/>
        <w:rPr>
          <w:rFonts w:eastAsia="Calibri"/>
        </w:rPr>
      </w:pPr>
      <w:bookmarkStart w:id="67" w:name="_Toc120198275"/>
      <w:r w:rsidRPr="000D76BB">
        <w:t xml:space="preserve">recommande d’entreprendre d’inventorier dans toute leur diversité les actions et initiatives qui existent déjà, au niveau des institutions et organisations européennes, des États nationaux et de la multitude des organisations de la société civile qui sont présentes dans les pays membres de l’Union européenne, tout comme au sein des différents partenariats internationaux, afin de construire une </w:t>
      </w:r>
      <w:r w:rsidRPr="00EF7AE7">
        <w:rPr>
          <w:b/>
        </w:rPr>
        <w:t>plateforme des relations culturelles internationales de l’Union européenne</w:t>
      </w:r>
      <w:r w:rsidRPr="000D76BB">
        <w:t>;</w:t>
      </w:r>
      <w:bookmarkEnd w:id="67"/>
    </w:p>
    <w:p w14:paraId="24B38D05" w14:textId="195EB8A6" w:rsidR="00EF7AE7" w:rsidRDefault="00EF7AE7" w:rsidP="00EF7AE7">
      <w:pPr>
        <w:pStyle w:val="ListParagraph"/>
        <w:numPr>
          <w:ilvl w:val="0"/>
          <w:numId w:val="38"/>
        </w:numPr>
        <w:ind w:left="357" w:hanging="357"/>
      </w:pPr>
      <w:r w:rsidRPr="000D76BB">
        <w:t xml:space="preserve">préconise de créer, </w:t>
      </w:r>
      <w:r w:rsidRPr="00EF7AE7">
        <w:rPr>
          <w:b/>
        </w:rPr>
        <w:t>au sein du Service européen pour l’action extérieure, une structure spécifique d’envergure</w:t>
      </w:r>
      <w:r w:rsidRPr="000D76BB">
        <w:t xml:space="preserve"> qui s’appuie sur le titulaire d’une fonction d’</w:t>
      </w:r>
      <w:r w:rsidRPr="00EF7AE7">
        <w:rPr>
          <w:b/>
        </w:rPr>
        <w:t>«envoyé spécial de l’Union européenne pour les relations culturelles»</w:t>
      </w:r>
      <w:r w:rsidRPr="000D76BB">
        <w:t xml:space="preserve">, lequel élaborera une stratégie politique globale, bénéficiant du budget adéquat, et sera capable de constituer un réseau avec les États membres et les </w:t>
      </w:r>
      <w:r w:rsidRPr="000D76BB">
        <w:lastRenderedPageBreak/>
        <w:t>différentes organisations concernées, cependant que les délégations de l’Union recevront des outils et des enveloppes budgétaires, plus modestes, pour développer des actions dans chacun des pays où elles sont implantées.</w:t>
      </w:r>
    </w:p>
    <w:p w14:paraId="61DE8A93" w14:textId="77777777" w:rsidR="00EF7AE7" w:rsidRPr="000D76BB" w:rsidRDefault="00EF7AE7" w:rsidP="00EF7AE7">
      <w:pPr>
        <w:pStyle w:val="ListParagraph"/>
        <w:numPr>
          <w:ilvl w:val="0"/>
          <w:numId w:val="30"/>
        </w:numPr>
        <w:ind w:left="709" w:hanging="425"/>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B10934" w:rsidRPr="006E3F60" w14:paraId="0A17DE15" w14:textId="77777777" w:rsidTr="00AC432E">
        <w:tc>
          <w:tcPr>
            <w:tcW w:w="1418" w:type="dxa"/>
          </w:tcPr>
          <w:p w14:paraId="1AD80AE7" w14:textId="0988CADE" w:rsidR="00B10934" w:rsidRPr="006E3F60" w:rsidRDefault="00140AB0" w:rsidP="00AC432E">
            <w:pPr>
              <w:contextualSpacing/>
              <w:rPr>
                <w:i/>
              </w:rPr>
            </w:pPr>
            <w:r>
              <w:rPr>
                <w:b/>
                <w:i/>
              </w:rPr>
              <w:t>Contact:</w:t>
            </w:r>
          </w:p>
        </w:tc>
        <w:tc>
          <w:tcPr>
            <w:tcW w:w="5670" w:type="dxa"/>
          </w:tcPr>
          <w:p w14:paraId="6D26F1D1" w14:textId="214EB153" w:rsidR="00B10934" w:rsidRPr="006E3F60" w:rsidRDefault="005A6946" w:rsidP="00AC432E">
            <w:pPr>
              <w:contextualSpacing/>
              <w:rPr>
                <w:i/>
              </w:rPr>
            </w:pPr>
            <w:r>
              <w:rPr>
                <w:i/>
              </w:rPr>
              <w:t xml:space="preserve">Ewa </w:t>
            </w:r>
            <w:proofErr w:type="spellStart"/>
            <w:r>
              <w:rPr>
                <w:i/>
              </w:rPr>
              <w:t>Tomaszewska</w:t>
            </w:r>
            <w:proofErr w:type="spellEnd"/>
          </w:p>
        </w:tc>
      </w:tr>
      <w:tr w:rsidR="00B10934" w:rsidRPr="006E3F60" w14:paraId="6343664B" w14:textId="77777777" w:rsidTr="00AC432E">
        <w:tc>
          <w:tcPr>
            <w:tcW w:w="1418" w:type="dxa"/>
          </w:tcPr>
          <w:p w14:paraId="50AF888B" w14:textId="77777777" w:rsidR="00B10934" w:rsidRPr="006E3F60" w:rsidRDefault="00B10934" w:rsidP="00AC432E">
            <w:pPr>
              <w:ind w:left="601"/>
              <w:contextualSpacing/>
              <w:rPr>
                <w:i/>
              </w:rPr>
            </w:pPr>
            <w:r>
              <w:rPr>
                <w:i/>
              </w:rPr>
              <w:t>Tél.:</w:t>
            </w:r>
          </w:p>
        </w:tc>
        <w:tc>
          <w:tcPr>
            <w:tcW w:w="5670" w:type="dxa"/>
          </w:tcPr>
          <w:p w14:paraId="7916302F" w14:textId="4203DD70" w:rsidR="00B10934" w:rsidRPr="006E3F60" w:rsidRDefault="00B10934" w:rsidP="00AC432E">
            <w:pPr>
              <w:contextualSpacing/>
              <w:rPr>
                <w:i/>
              </w:rPr>
            </w:pPr>
            <w:r>
              <w:rPr>
                <w:i/>
              </w:rPr>
              <w:t>+32 2 546 9062</w:t>
            </w:r>
          </w:p>
        </w:tc>
      </w:tr>
      <w:tr w:rsidR="00B10934" w:rsidRPr="006E3F60" w14:paraId="4121CD1A" w14:textId="77777777" w:rsidTr="00AC432E">
        <w:tc>
          <w:tcPr>
            <w:tcW w:w="1418" w:type="dxa"/>
          </w:tcPr>
          <w:p w14:paraId="2BB848C1" w14:textId="77777777" w:rsidR="00B10934" w:rsidRPr="006E3F60" w:rsidRDefault="00B10934" w:rsidP="00AC432E">
            <w:pPr>
              <w:ind w:left="601"/>
              <w:contextualSpacing/>
              <w:rPr>
                <w:i/>
              </w:rPr>
            </w:pPr>
            <w:r>
              <w:rPr>
                <w:i/>
              </w:rPr>
              <w:t>Courriel:</w:t>
            </w:r>
          </w:p>
        </w:tc>
        <w:tc>
          <w:tcPr>
            <w:tcW w:w="5670" w:type="dxa"/>
          </w:tcPr>
          <w:p w14:paraId="57CBD11B" w14:textId="1F0294DE" w:rsidR="00B10934" w:rsidRPr="006E3F60" w:rsidRDefault="009D65A9" w:rsidP="00AC432E">
            <w:pPr>
              <w:contextualSpacing/>
              <w:rPr>
                <w:i/>
              </w:rPr>
            </w:pPr>
            <w:hyperlink r:id="rId47" w:history="1">
              <w:r w:rsidR="00EF7AE7" w:rsidRPr="000D76BB">
                <w:rPr>
                  <w:rStyle w:val="Hyperlink"/>
                  <w:i/>
                </w:rPr>
                <w:t>Ewa.Tomaszewska@eesc.europa.eu</w:t>
              </w:r>
            </w:hyperlink>
          </w:p>
        </w:tc>
      </w:tr>
      <w:bookmarkEnd w:id="63"/>
    </w:tbl>
    <w:p w14:paraId="59E3367D" w14:textId="77777777" w:rsidR="005A6946" w:rsidRDefault="005A6946" w:rsidP="00CB3335"/>
    <w:p w14:paraId="525521DC" w14:textId="40A79EAD" w:rsidR="005A6946" w:rsidRPr="005A6946" w:rsidRDefault="005A6946" w:rsidP="005A6946">
      <w:pPr>
        <w:keepNext/>
        <w:keepLines/>
        <w:numPr>
          <w:ilvl w:val="0"/>
          <w:numId w:val="2"/>
        </w:numPr>
        <w:ind w:left="567" w:hanging="567"/>
        <w:contextualSpacing/>
        <w:rPr>
          <w:b/>
        </w:rPr>
      </w:pPr>
      <w:r>
        <w:rPr>
          <w:rStyle w:val="Hyperlink"/>
          <w:b/>
          <w:i/>
          <w:color w:val="auto"/>
          <w:sz w:val="28"/>
          <w:u w:val="none"/>
        </w:rPr>
        <w:t>Cour multilatérale d’arbitrage entre investisseurs et États: bilan et réalisations du processus de la CNUDCI à la lumière des recommandations de la société civile</w:t>
      </w:r>
    </w:p>
    <w:p w14:paraId="2700D3DC" w14:textId="77777777" w:rsidR="005A6946" w:rsidRPr="006E3F60" w:rsidRDefault="005A6946" w:rsidP="005A6946">
      <w:pPr>
        <w:keepNext/>
        <w:keepLines/>
        <w:ind w:left="567"/>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5A6946" w:rsidRPr="006E3F60" w14:paraId="29B7EB33" w14:textId="77777777" w:rsidTr="00FC44B4">
        <w:tc>
          <w:tcPr>
            <w:tcW w:w="1701" w:type="dxa"/>
          </w:tcPr>
          <w:p w14:paraId="65CC57B7" w14:textId="77777777" w:rsidR="005A6946" w:rsidRPr="006E3F60" w:rsidRDefault="005A6946" w:rsidP="00FC44B4">
            <w:pPr>
              <w:keepNext/>
              <w:contextualSpacing/>
              <w:rPr>
                <w:b/>
              </w:rPr>
            </w:pPr>
            <w:r>
              <w:rPr>
                <w:b/>
              </w:rPr>
              <w:t>Rapporteurs:</w:t>
            </w:r>
          </w:p>
        </w:tc>
        <w:tc>
          <w:tcPr>
            <w:tcW w:w="6946" w:type="dxa"/>
          </w:tcPr>
          <w:p w14:paraId="6B4DFB8B" w14:textId="439C7393" w:rsidR="005A6946" w:rsidRPr="006E3F60" w:rsidRDefault="005A6946" w:rsidP="00FC44B4">
            <w:pPr>
              <w:keepNext/>
              <w:ind w:left="-106"/>
              <w:contextualSpacing/>
            </w:pPr>
            <w:r>
              <w:t>Christophe QUAREZ (groupe des travailleurs — FR)</w:t>
            </w:r>
          </w:p>
        </w:tc>
      </w:tr>
      <w:tr w:rsidR="005A6946" w:rsidRPr="006E3F60" w14:paraId="23B7B3CB" w14:textId="77777777" w:rsidTr="00FC44B4">
        <w:tc>
          <w:tcPr>
            <w:tcW w:w="1701" w:type="dxa"/>
          </w:tcPr>
          <w:p w14:paraId="0FC6C5FE" w14:textId="77777777" w:rsidR="005A6946" w:rsidRPr="006E3F60" w:rsidRDefault="005A6946" w:rsidP="00FC44B4">
            <w:pPr>
              <w:keepNext/>
              <w:contextualSpacing/>
              <w:rPr>
                <w:b/>
              </w:rPr>
            </w:pPr>
          </w:p>
        </w:tc>
        <w:tc>
          <w:tcPr>
            <w:tcW w:w="6946" w:type="dxa"/>
          </w:tcPr>
          <w:p w14:paraId="57A6592B" w14:textId="77777777" w:rsidR="005A6946" w:rsidRPr="006E3F60" w:rsidRDefault="005A6946" w:rsidP="00FC44B4">
            <w:pPr>
              <w:keepNext/>
              <w:ind w:left="-106"/>
              <w:contextualSpacing/>
            </w:pPr>
          </w:p>
        </w:tc>
      </w:tr>
      <w:tr w:rsidR="005A6946" w:rsidRPr="006E3F60" w14:paraId="32A6D63C" w14:textId="77777777" w:rsidTr="00FC44B4">
        <w:tc>
          <w:tcPr>
            <w:tcW w:w="1701" w:type="dxa"/>
          </w:tcPr>
          <w:p w14:paraId="59793F2C" w14:textId="77777777" w:rsidR="005A6946" w:rsidRPr="006E3F60" w:rsidRDefault="005A6946" w:rsidP="00FC44B4">
            <w:pPr>
              <w:keepNext/>
              <w:contextualSpacing/>
              <w:rPr>
                <w:b/>
              </w:rPr>
            </w:pPr>
            <w:r>
              <w:rPr>
                <w:b/>
              </w:rPr>
              <w:t xml:space="preserve">Référence </w:t>
            </w:r>
          </w:p>
        </w:tc>
        <w:tc>
          <w:tcPr>
            <w:tcW w:w="6946" w:type="dxa"/>
          </w:tcPr>
          <w:p w14:paraId="1B795F51" w14:textId="48A733ED" w:rsidR="005A6946" w:rsidRPr="006E3F60" w:rsidRDefault="005A6946" w:rsidP="00FC44B4">
            <w:pPr>
              <w:keepNext/>
              <w:ind w:left="-106"/>
              <w:contextualSpacing/>
              <w:rPr>
                <w:iCs/>
                <w:color w:val="000000"/>
              </w:rPr>
            </w:pPr>
            <w:r>
              <w:rPr>
                <w:color w:val="000000"/>
              </w:rPr>
              <w:t>Avis d’initiative</w:t>
            </w:r>
          </w:p>
          <w:p w14:paraId="1A4A6239" w14:textId="6C46DAB5" w:rsidR="005A6946" w:rsidRPr="006E3F60" w:rsidRDefault="005A6946" w:rsidP="00FC44B4">
            <w:pPr>
              <w:keepNext/>
              <w:ind w:left="-106"/>
              <w:contextualSpacing/>
            </w:pPr>
            <w:r>
              <w:t>EESC-2022-01963-00-00-AC</w:t>
            </w:r>
          </w:p>
        </w:tc>
      </w:tr>
    </w:tbl>
    <w:p w14:paraId="4575981C" w14:textId="77777777" w:rsidR="005A6946" w:rsidRPr="006E3F60" w:rsidRDefault="005A6946" w:rsidP="005A6946">
      <w:pPr>
        <w:keepNext/>
        <w:ind w:left="567"/>
        <w:contextualSpacing/>
      </w:pPr>
    </w:p>
    <w:p w14:paraId="4B593B9E" w14:textId="77777777" w:rsidR="005A6946" w:rsidRPr="00A00F37" w:rsidRDefault="005A6946" w:rsidP="00E714AC">
      <w:pPr>
        <w:pStyle w:val="ListParagraph"/>
        <w:keepNext/>
        <w:spacing w:line="240" w:lineRule="auto"/>
        <w:ind w:left="0" w:firstLine="142"/>
        <w:rPr>
          <w:b/>
        </w:rPr>
      </w:pPr>
      <w:r>
        <w:rPr>
          <w:b/>
        </w:rPr>
        <w:t>Points clés</w:t>
      </w:r>
    </w:p>
    <w:p w14:paraId="3951073F" w14:textId="77777777" w:rsidR="005A6946" w:rsidRPr="00C25DB3" w:rsidRDefault="005A6946" w:rsidP="00E714AC">
      <w:pPr>
        <w:keepNext/>
        <w:contextualSpacing/>
        <w:rPr>
          <w:b/>
        </w:rPr>
      </w:pPr>
    </w:p>
    <w:p w14:paraId="748FD679" w14:textId="77777777" w:rsidR="005A6946" w:rsidRDefault="005A6946" w:rsidP="00E714AC">
      <w:pPr>
        <w:keepNext/>
        <w:ind w:left="142"/>
        <w:contextualSpacing/>
        <w:rPr>
          <w:bCs/>
          <w:iCs/>
        </w:rPr>
      </w:pPr>
      <w:r>
        <w:t>Le CESE:</w:t>
      </w:r>
    </w:p>
    <w:p w14:paraId="4D23D0F3" w14:textId="77777777" w:rsidR="005A6946" w:rsidRPr="006E3F60" w:rsidRDefault="005A6946" w:rsidP="00E714AC">
      <w:pPr>
        <w:keepNext/>
        <w:contextualSpacing/>
      </w:pPr>
    </w:p>
    <w:p w14:paraId="4F002734"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rPr>
          <w:bCs/>
          <w:iCs/>
        </w:rPr>
      </w:pPr>
      <w:r w:rsidRPr="00E714AC">
        <w:rPr>
          <w:szCs w:val="20"/>
        </w:rPr>
        <w:t xml:space="preserve">regrette que les négociations en cours concernant la mise en place éventuelle d’un tribunal multilatéral des investissements (TMI), sous les auspices du groupe de travail III de la Commission des Nations unies pour le droit commercial international (CNUDCI), portent </w:t>
      </w:r>
      <w:r w:rsidRPr="00E714AC">
        <w:rPr>
          <w:b/>
          <w:szCs w:val="20"/>
        </w:rPr>
        <w:t>plus sur des questions de procédure que sur les problèmes de fond</w:t>
      </w:r>
      <w:r w:rsidRPr="00E714AC">
        <w:rPr>
          <w:szCs w:val="20"/>
        </w:rPr>
        <w:t>;</w:t>
      </w:r>
    </w:p>
    <w:p w14:paraId="53ECC324" w14:textId="77777777" w:rsidR="00E714AC" w:rsidRPr="00E714AC" w:rsidRDefault="00E714AC" w:rsidP="00E714AC">
      <w:pPr>
        <w:numPr>
          <w:ilvl w:val="0"/>
          <w:numId w:val="39"/>
        </w:numPr>
        <w:overflowPunct w:val="0"/>
        <w:autoSpaceDE w:val="0"/>
        <w:autoSpaceDN w:val="0"/>
        <w:adjustRightInd w:val="0"/>
        <w:spacing w:line="276" w:lineRule="auto"/>
        <w:ind w:left="357" w:hanging="357"/>
        <w:jc w:val="left"/>
        <w:textAlignment w:val="baseline"/>
        <w:rPr>
          <w:bCs/>
          <w:iCs/>
          <w:lang w:eastAsia="zh-CN"/>
        </w:rPr>
      </w:pPr>
      <w:r w:rsidRPr="00E714AC">
        <w:rPr>
          <w:lang w:eastAsia="zh-CN"/>
        </w:rPr>
        <w:t xml:space="preserve">exhorte la Commission européenne, dans le cadre de son mandat de négociation, à poursuivre la réforme du droit matériel parallèlement à celle des règles de procédure. Parmi les questions de fond, citons les </w:t>
      </w:r>
      <w:r w:rsidRPr="00E714AC">
        <w:rPr>
          <w:b/>
          <w:lang w:eastAsia="zh-CN"/>
        </w:rPr>
        <w:t>dispositions vagues ou trop étendues</w:t>
      </w:r>
      <w:r w:rsidRPr="00E714AC">
        <w:rPr>
          <w:lang w:eastAsia="zh-CN"/>
        </w:rPr>
        <w:t xml:space="preserve"> en matière de traitement juste et équitable, qui </w:t>
      </w:r>
      <w:r w:rsidRPr="00E714AC">
        <w:rPr>
          <w:b/>
          <w:lang w:eastAsia="zh-CN"/>
        </w:rPr>
        <w:t>devraient se limiter</w:t>
      </w:r>
      <w:r w:rsidRPr="00E714AC">
        <w:rPr>
          <w:lang w:eastAsia="zh-CN"/>
        </w:rPr>
        <w:t xml:space="preserve"> à la non-discrimination et à l’expropriation directe en tant qu’éléments essentiels de la protection des investissements;</w:t>
      </w:r>
    </w:p>
    <w:p w14:paraId="3D072055" w14:textId="77777777" w:rsidR="00E714AC" w:rsidRPr="00E714AC" w:rsidRDefault="00E714AC" w:rsidP="00E714AC">
      <w:pPr>
        <w:numPr>
          <w:ilvl w:val="0"/>
          <w:numId w:val="39"/>
        </w:numPr>
        <w:overflowPunct w:val="0"/>
        <w:autoSpaceDE w:val="0"/>
        <w:autoSpaceDN w:val="0"/>
        <w:adjustRightInd w:val="0"/>
        <w:spacing w:line="276" w:lineRule="auto"/>
        <w:ind w:left="357" w:hanging="357"/>
        <w:jc w:val="left"/>
        <w:textAlignment w:val="baseline"/>
        <w:rPr>
          <w:bCs/>
          <w:iCs/>
          <w:lang w:eastAsia="zh-CN"/>
        </w:rPr>
      </w:pPr>
      <w:r w:rsidRPr="00E714AC">
        <w:rPr>
          <w:lang w:eastAsia="zh-CN"/>
        </w:rPr>
        <w:t xml:space="preserve">rappelle à la Commission qu’il a demandé à </w:t>
      </w:r>
      <w:r w:rsidRPr="00E714AC">
        <w:rPr>
          <w:b/>
          <w:lang w:eastAsia="zh-CN"/>
        </w:rPr>
        <w:t>être davantage associé</w:t>
      </w:r>
      <w:r w:rsidRPr="00E714AC">
        <w:rPr>
          <w:lang w:eastAsia="zh-CN"/>
        </w:rPr>
        <w:t xml:space="preserve"> aux travaux de la CNUDCI;</w:t>
      </w:r>
    </w:p>
    <w:p w14:paraId="55703811"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rPr>
          <w:bCs/>
          <w:iCs/>
        </w:rPr>
      </w:pPr>
      <w:r w:rsidRPr="00E714AC">
        <w:rPr>
          <w:szCs w:val="20"/>
        </w:rPr>
        <w:t>souhaiterait que le modèle de l’</w:t>
      </w:r>
      <w:proofErr w:type="spellStart"/>
      <w:r w:rsidRPr="00E714AC">
        <w:rPr>
          <w:i/>
          <w:iCs/>
          <w:szCs w:val="20"/>
        </w:rPr>
        <w:t>amicus</w:t>
      </w:r>
      <w:proofErr w:type="spellEnd"/>
      <w:r w:rsidRPr="00E714AC">
        <w:rPr>
          <w:i/>
          <w:iCs/>
          <w:szCs w:val="20"/>
        </w:rPr>
        <w:t xml:space="preserve"> curiae</w:t>
      </w:r>
      <w:r w:rsidRPr="00E714AC">
        <w:rPr>
          <w:szCs w:val="20"/>
        </w:rPr>
        <w:t xml:space="preserve"> inclue dans les tierces parties susceptibles d’intervenir </w:t>
      </w:r>
      <w:r w:rsidRPr="00E714AC">
        <w:rPr>
          <w:b/>
          <w:szCs w:val="20"/>
        </w:rPr>
        <w:t>l’ensemble des parties prenantes</w:t>
      </w:r>
      <w:r w:rsidRPr="00E714AC">
        <w:rPr>
          <w:szCs w:val="20"/>
        </w:rPr>
        <w:t xml:space="preserve"> (résidents locaux, travailleurs, syndicats, groupes de défense de l’environnement ou consommateurs, etc.) et veille à ce que leurs interventions soient dûment prises en considération par les juges;</w:t>
      </w:r>
    </w:p>
    <w:p w14:paraId="4D23C030"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rPr>
          <w:bCs/>
          <w:iCs/>
        </w:rPr>
      </w:pPr>
      <w:r w:rsidRPr="00E714AC">
        <w:rPr>
          <w:szCs w:val="20"/>
        </w:rPr>
        <w:t xml:space="preserve">demande que certaines des questions de nature plus transversale restent sur la table des négociations, notamment l’effet dissuasif du RDIE, </w:t>
      </w:r>
      <w:r w:rsidRPr="00E714AC">
        <w:rPr>
          <w:b/>
          <w:szCs w:val="20"/>
        </w:rPr>
        <w:t>l’épuisement des voies de recours locales</w:t>
      </w:r>
      <w:r w:rsidRPr="00E714AC">
        <w:rPr>
          <w:szCs w:val="20"/>
        </w:rPr>
        <w:t xml:space="preserve"> et l’accès de tiers, tels que les communautés locales touchées par les investissements;</w:t>
      </w:r>
    </w:p>
    <w:p w14:paraId="6F90CD5F"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rPr>
          <w:bCs/>
          <w:iCs/>
        </w:rPr>
      </w:pPr>
      <w:r w:rsidRPr="00E714AC">
        <w:rPr>
          <w:szCs w:val="20"/>
        </w:rPr>
        <w:t xml:space="preserve">se réjouit des travaux de l’Organisation de coopération et de développement économiques (OCDE) destinés à tenir compte des </w:t>
      </w:r>
      <w:r w:rsidRPr="00E714AC">
        <w:rPr>
          <w:b/>
          <w:szCs w:val="20"/>
        </w:rPr>
        <w:t>enjeux de développement durable</w:t>
      </w:r>
      <w:r w:rsidRPr="00E714AC">
        <w:rPr>
          <w:szCs w:val="20"/>
        </w:rPr>
        <w:t xml:space="preserve"> dans les accords d’investissement, mais l’invite instamment à compléter ses travaux en prenant en considération les enjeux sociaux, notamment en faisant du devoir de vigilance l’un des critères à remplir par les investisseurs étrangers;</w:t>
      </w:r>
    </w:p>
    <w:p w14:paraId="2123B0D9"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pPr>
      <w:r w:rsidRPr="00E714AC">
        <w:rPr>
          <w:szCs w:val="20"/>
        </w:rPr>
        <w:t xml:space="preserve">note que même si les travaux du groupe de travail III se focalisent sur les éléments de procédure, cela pourra avoir des effets positifs dans le futur, comme une </w:t>
      </w:r>
      <w:r w:rsidRPr="00E714AC">
        <w:rPr>
          <w:b/>
          <w:szCs w:val="20"/>
        </w:rPr>
        <w:t>jurisprudence plus claire et stable</w:t>
      </w:r>
      <w:r w:rsidRPr="00E714AC">
        <w:rPr>
          <w:szCs w:val="20"/>
        </w:rPr>
        <w:t xml:space="preserve">, qui va aussi faciliter une réforme du droit matériel applicable des traités d’investissement; </w:t>
      </w:r>
    </w:p>
    <w:p w14:paraId="714427B5"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pPr>
      <w:r w:rsidRPr="00E714AC">
        <w:rPr>
          <w:szCs w:val="20"/>
        </w:rPr>
        <w:t xml:space="preserve">estime essentiel qu’une réforme institutionnelle du règlement des différends entre investisseurs et </w:t>
      </w:r>
      <w:r w:rsidRPr="00E714AC">
        <w:rPr>
          <w:szCs w:val="20"/>
        </w:rPr>
        <w:lastRenderedPageBreak/>
        <w:t xml:space="preserve">États (RDIE) </w:t>
      </w:r>
      <w:r w:rsidRPr="00E714AC">
        <w:rPr>
          <w:b/>
          <w:szCs w:val="20"/>
        </w:rPr>
        <w:t>s’écarte de l’arbitrage ad hoc</w:t>
      </w:r>
      <w:r w:rsidRPr="00E714AC">
        <w:rPr>
          <w:szCs w:val="20"/>
        </w:rPr>
        <w:t xml:space="preserve"> et adopte une approche plus globale de la gouvernance des investissements internationaux, plutôt que de se contenter de remplacer l’arbitrage en matière de RDIE par un tribunal de règlement de différends entre investisseurs et États;</w:t>
      </w:r>
    </w:p>
    <w:p w14:paraId="5EB43167" w14:textId="77777777" w:rsidR="00E714AC" w:rsidRPr="00E714AC" w:rsidRDefault="00E714AC" w:rsidP="00E714AC">
      <w:pPr>
        <w:widowControl w:val="0"/>
        <w:numPr>
          <w:ilvl w:val="0"/>
          <w:numId w:val="39"/>
        </w:numPr>
        <w:overflowPunct w:val="0"/>
        <w:autoSpaceDE w:val="0"/>
        <w:autoSpaceDN w:val="0"/>
        <w:adjustRightInd w:val="0"/>
        <w:ind w:left="357" w:hanging="357"/>
        <w:textAlignment w:val="baseline"/>
        <w:rPr>
          <w:rFonts w:asciiTheme="minorHAnsi" w:hAnsiTheme="minorHAnsi"/>
          <w:szCs w:val="20"/>
        </w:rPr>
      </w:pPr>
      <w:r w:rsidRPr="00E714AC">
        <w:rPr>
          <w:szCs w:val="20"/>
        </w:rPr>
        <w:t>réaffirme la nécessité d’</w:t>
      </w:r>
      <w:r w:rsidRPr="00E714AC">
        <w:rPr>
          <w:b/>
          <w:szCs w:val="20"/>
        </w:rPr>
        <w:t>assurer la cohérence</w:t>
      </w:r>
      <w:r w:rsidRPr="00E714AC">
        <w:rPr>
          <w:szCs w:val="20"/>
        </w:rPr>
        <w:t xml:space="preserve"> entre les objectifs de développement durable ambitieux dont l’Union européenne s’est dotée et le cadre de la réforme du modèle de RDIE.</w:t>
      </w:r>
    </w:p>
    <w:p w14:paraId="653B5D94" w14:textId="77777777" w:rsidR="005A6946" w:rsidRPr="006E3F60" w:rsidRDefault="005A6946" w:rsidP="005A6946">
      <w:pPr>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5670"/>
      </w:tblGrid>
      <w:tr w:rsidR="005A6946" w:rsidRPr="006E3F60" w14:paraId="650DCAA2" w14:textId="77777777" w:rsidTr="00FC44B4">
        <w:tc>
          <w:tcPr>
            <w:tcW w:w="1418" w:type="dxa"/>
          </w:tcPr>
          <w:p w14:paraId="572FC70F" w14:textId="795FE6D8" w:rsidR="005A6946" w:rsidRPr="006E3F60" w:rsidRDefault="00140AB0" w:rsidP="00FC44B4">
            <w:pPr>
              <w:contextualSpacing/>
              <w:rPr>
                <w:i/>
              </w:rPr>
            </w:pPr>
            <w:r>
              <w:rPr>
                <w:b/>
                <w:i/>
              </w:rPr>
              <w:t>Contact:</w:t>
            </w:r>
          </w:p>
        </w:tc>
        <w:tc>
          <w:tcPr>
            <w:tcW w:w="5670" w:type="dxa"/>
          </w:tcPr>
          <w:p w14:paraId="5EF48136" w14:textId="4697236A" w:rsidR="005A6946" w:rsidRPr="006E3F60" w:rsidRDefault="005A6946" w:rsidP="00FC44B4">
            <w:pPr>
              <w:contextualSpacing/>
              <w:rPr>
                <w:i/>
              </w:rPr>
            </w:pPr>
            <w:r>
              <w:rPr>
                <w:i/>
              </w:rPr>
              <w:t>Marco RISTORI</w:t>
            </w:r>
          </w:p>
        </w:tc>
      </w:tr>
      <w:tr w:rsidR="005A6946" w:rsidRPr="006E3F60" w14:paraId="16F8B18C" w14:textId="77777777" w:rsidTr="00FC44B4">
        <w:tc>
          <w:tcPr>
            <w:tcW w:w="1418" w:type="dxa"/>
          </w:tcPr>
          <w:p w14:paraId="5D2396C5" w14:textId="77777777" w:rsidR="005A6946" w:rsidRPr="006E3F60" w:rsidRDefault="005A6946" w:rsidP="00FC44B4">
            <w:pPr>
              <w:ind w:left="601"/>
              <w:contextualSpacing/>
              <w:rPr>
                <w:i/>
              </w:rPr>
            </w:pPr>
            <w:r>
              <w:rPr>
                <w:i/>
              </w:rPr>
              <w:t>Tél.</w:t>
            </w:r>
          </w:p>
        </w:tc>
        <w:tc>
          <w:tcPr>
            <w:tcW w:w="5670" w:type="dxa"/>
          </w:tcPr>
          <w:p w14:paraId="395BEF50" w14:textId="6C807FB5" w:rsidR="005A6946" w:rsidRPr="006E3F60" w:rsidRDefault="005A6946" w:rsidP="00FC44B4">
            <w:pPr>
              <w:contextualSpacing/>
              <w:rPr>
                <w:i/>
              </w:rPr>
            </w:pPr>
            <w:r>
              <w:rPr>
                <w:i/>
              </w:rPr>
              <w:t>+32 2 546 9069</w:t>
            </w:r>
          </w:p>
        </w:tc>
      </w:tr>
      <w:tr w:rsidR="005A6946" w:rsidRPr="006E3F60" w14:paraId="3B91F9CB" w14:textId="77777777" w:rsidTr="00FC44B4">
        <w:tc>
          <w:tcPr>
            <w:tcW w:w="1418" w:type="dxa"/>
          </w:tcPr>
          <w:p w14:paraId="5DC00766" w14:textId="77777777" w:rsidR="005A6946" w:rsidRPr="006E3F60" w:rsidRDefault="005A6946" w:rsidP="00FC44B4">
            <w:pPr>
              <w:ind w:left="601"/>
              <w:contextualSpacing/>
              <w:rPr>
                <w:i/>
              </w:rPr>
            </w:pPr>
            <w:r>
              <w:rPr>
                <w:i/>
              </w:rPr>
              <w:t>Courriel</w:t>
            </w:r>
          </w:p>
        </w:tc>
        <w:tc>
          <w:tcPr>
            <w:tcW w:w="5670" w:type="dxa"/>
          </w:tcPr>
          <w:p w14:paraId="2AE8AF18" w14:textId="0377D744" w:rsidR="005A6946" w:rsidRPr="006E3F60" w:rsidRDefault="009D65A9" w:rsidP="00FC44B4">
            <w:pPr>
              <w:contextualSpacing/>
              <w:rPr>
                <w:i/>
              </w:rPr>
            </w:pPr>
            <w:hyperlink r:id="rId48" w:history="1">
              <w:r w:rsidR="007B42E2" w:rsidRPr="00E714AC">
                <w:rPr>
                  <w:rStyle w:val="Hyperlink"/>
                </w:rPr>
                <w:t>Marco.Ristori@eesc.europa.eu</w:t>
              </w:r>
            </w:hyperlink>
          </w:p>
        </w:tc>
      </w:tr>
    </w:tbl>
    <w:p w14:paraId="064E838D" w14:textId="4255D796" w:rsidR="005A6946" w:rsidRDefault="005A6946" w:rsidP="00CB3335"/>
    <w:p w14:paraId="14F7D100" w14:textId="561ECA2C" w:rsidR="005445DD" w:rsidRPr="005445DD" w:rsidRDefault="005445DD" w:rsidP="005445DD">
      <w:pPr>
        <w:keepNext/>
        <w:keepLines/>
        <w:numPr>
          <w:ilvl w:val="0"/>
          <w:numId w:val="2"/>
        </w:numPr>
        <w:ind w:left="567" w:hanging="567"/>
        <w:contextualSpacing/>
        <w:rPr>
          <w:b/>
          <w:bCs/>
        </w:rPr>
      </w:pPr>
      <w:r>
        <w:rPr>
          <w:rStyle w:val="Hyperlink"/>
          <w:b/>
          <w:i/>
          <w:color w:val="auto"/>
          <w:sz w:val="28"/>
          <w:u w:val="none"/>
        </w:rPr>
        <w:t>Dispositions spécifiques pour les programmes de coopération 2014-2020 soutenus par l’instrument européen de voisinage et au titre de l’objectif «Coopération territoriale européenne», en raison de perturbations dans la mise en œuvre des programmes</w:t>
      </w:r>
    </w:p>
    <w:p w14:paraId="0219A9C5" w14:textId="77777777" w:rsidR="005445DD" w:rsidRPr="006E3F60" w:rsidRDefault="005445DD" w:rsidP="005445DD">
      <w:pPr>
        <w:keepNext/>
        <w:keepLines/>
        <w:ind w:left="567"/>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5445DD" w:rsidRPr="006E3F60" w14:paraId="7B919E20" w14:textId="77777777" w:rsidTr="00FC44B4">
        <w:tc>
          <w:tcPr>
            <w:tcW w:w="1701" w:type="dxa"/>
          </w:tcPr>
          <w:p w14:paraId="2D92A9F5" w14:textId="77777777" w:rsidR="005445DD" w:rsidRPr="006E3F60" w:rsidRDefault="005445DD" w:rsidP="00FC44B4">
            <w:pPr>
              <w:keepNext/>
              <w:contextualSpacing/>
              <w:rPr>
                <w:b/>
              </w:rPr>
            </w:pPr>
            <w:r>
              <w:rPr>
                <w:b/>
              </w:rPr>
              <w:t>Rapporteurs:</w:t>
            </w:r>
          </w:p>
        </w:tc>
        <w:tc>
          <w:tcPr>
            <w:tcW w:w="6946" w:type="dxa"/>
          </w:tcPr>
          <w:p w14:paraId="6E8EE91B" w14:textId="258CC992" w:rsidR="005445DD" w:rsidRPr="006E3F60" w:rsidRDefault="005445DD" w:rsidP="00FC44B4">
            <w:pPr>
              <w:keepNext/>
              <w:ind w:left="-106"/>
              <w:contextualSpacing/>
            </w:pPr>
            <w:r>
              <w:t>Katrĩna LEITĀNE (groupe des organisations de la société civile — LV)</w:t>
            </w:r>
          </w:p>
        </w:tc>
      </w:tr>
      <w:tr w:rsidR="005445DD" w:rsidRPr="006E3F60" w14:paraId="4AF35F53" w14:textId="77777777" w:rsidTr="00FC44B4">
        <w:tc>
          <w:tcPr>
            <w:tcW w:w="1701" w:type="dxa"/>
          </w:tcPr>
          <w:p w14:paraId="1C6C326E" w14:textId="77777777" w:rsidR="005445DD" w:rsidRPr="006E3F60" w:rsidRDefault="005445DD" w:rsidP="00FC44B4">
            <w:pPr>
              <w:keepNext/>
              <w:contextualSpacing/>
              <w:rPr>
                <w:b/>
              </w:rPr>
            </w:pPr>
          </w:p>
        </w:tc>
        <w:tc>
          <w:tcPr>
            <w:tcW w:w="6946" w:type="dxa"/>
          </w:tcPr>
          <w:p w14:paraId="7DD762B9" w14:textId="77777777" w:rsidR="005445DD" w:rsidRPr="006E3F60" w:rsidRDefault="005445DD" w:rsidP="00FC44B4">
            <w:pPr>
              <w:keepNext/>
              <w:ind w:left="-106"/>
              <w:contextualSpacing/>
            </w:pPr>
          </w:p>
        </w:tc>
      </w:tr>
      <w:tr w:rsidR="005445DD" w:rsidRPr="006E3F60" w14:paraId="55AECA3D" w14:textId="77777777" w:rsidTr="00FC44B4">
        <w:tc>
          <w:tcPr>
            <w:tcW w:w="1701" w:type="dxa"/>
          </w:tcPr>
          <w:p w14:paraId="759CC067" w14:textId="77777777" w:rsidR="005445DD" w:rsidRPr="006E3F60" w:rsidRDefault="005445DD" w:rsidP="00FC44B4">
            <w:pPr>
              <w:keepNext/>
              <w:contextualSpacing/>
              <w:rPr>
                <w:b/>
              </w:rPr>
            </w:pPr>
            <w:r>
              <w:rPr>
                <w:b/>
              </w:rPr>
              <w:t xml:space="preserve">Référence </w:t>
            </w:r>
          </w:p>
        </w:tc>
        <w:tc>
          <w:tcPr>
            <w:tcW w:w="6946" w:type="dxa"/>
          </w:tcPr>
          <w:p w14:paraId="198E13AD" w14:textId="0B9C0AD9" w:rsidR="005445DD" w:rsidRPr="006E3F60" w:rsidRDefault="00B53E10" w:rsidP="00FC44B4">
            <w:pPr>
              <w:keepNext/>
              <w:ind w:left="-106"/>
              <w:contextualSpacing/>
              <w:rPr>
                <w:iCs/>
                <w:color w:val="000000"/>
              </w:rPr>
            </w:pPr>
            <w:r>
              <w:rPr>
                <w:color w:val="000000"/>
              </w:rPr>
              <w:t>COM(2022) </w:t>
            </w:r>
            <w:r w:rsidR="005445DD">
              <w:rPr>
                <w:color w:val="000000"/>
              </w:rPr>
              <w:t>362</w:t>
            </w:r>
            <w:r w:rsidR="009B12BE">
              <w:rPr>
                <w:color w:val="000000"/>
              </w:rPr>
              <w:t> final</w:t>
            </w:r>
          </w:p>
          <w:p w14:paraId="7A9588D2" w14:textId="085BDB4E" w:rsidR="005445DD" w:rsidRPr="006E3F60" w:rsidRDefault="005445DD" w:rsidP="00FC44B4">
            <w:pPr>
              <w:keepNext/>
              <w:ind w:left="-106"/>
              <w:contextualSpacing/>
            </w:pPr>
            <w:r>
              <w:t>EESC-2022-05002-00-00-AC</w:t>
            </w:r>
          </w:p>
        </w:tc>
      </w:tr>
    </w:tbl>
    <w:p w14:paraId="2D915A02" w14:textId="77777777" w:rsidR="005445DD" w:rsidRPr="006E3F60" w:rsidRDefault="005445DD" w:rsidP="005445DD">
      <w:pPr>
        <w:keepNext/>
        <w:ind w:left="567"/>
        <w:contextualSpacing/>
      </w:pPr>
    </w:p>
    <w:p w14:paraId="652B0B60" w14:textId="1CAC2F67" w:rsidR="005445DD" w:rsidRPr="00A743EB" w:rsidRDefault="005445DD" w:rsidP="008F0EDB">
      <w:pPr>
        <w:pStyle w:val="ListParagraph"/>
        <w:keepNext/>
        <w:spacing w:line="240" w:lineRule="auto"/>
        <w:ind w:left="0" w:firstLine="142"/>
        <w:rPr>
          <w:b/>
        </w:rPr>
      </w:pPr>
      <w:r>
        <w:rPr>
          <w:b/>
        </w:rPr>
        <w:t>Points clés</w:t>
      </w:r>
    </w:p>
    <w:p w14:paraId="3F60612E" w14:textId="77777777" w:rsidR="005445DD" w:rsidRPr="006E3F60" w:rsidRDefault="005445DD" w:rsidP="008F0EDB">
      <w:pPr>
        <w:keepNext/>
        <w:contextualSpacing/>
      </w:pPr>
    </w:p>
    <w:p w14:paraId="2E2A53DF" w14:textId="0F4CC35E" w:rsidR="008F0EDB" w:rsidRPr="008F0EDB" w:rsidRDefault="008F0EDB" w:rsidP="008F0EDB">
      <w:pPr>
        <w:widowControl w:val="0"/>
        <w:numPr>
          <w:ilvl w:val="0"/>
          <w:numId w:val="41"/>
        </w:numPr>
        <w:overflowPunct w:val="0"/>
        <w:autoSpaceDE w:val="0"/>
        <w:autoSpaceDN w:val="0"/>
        <w:adjustRightInd w:val="0"/>
        <w:ind w:left="357" w:hanging="357"/>
        <w:textAlignment w:val="baseline"/>
        <w:rPr>
          <w:bCs/>
          <w:iCs/>
          <w:sz w:val="20"/>
          <w:szCs w:val="20"/>
        </w:rPr>
      </w:pPr>
      <w:r w:rsidRPr="008F0EDB">
        <w:rPr>
          <w:szCs w:val="20"/>
        </w:rPr>
        <w:t xml:space="preserve">Le Comité économique et social européen (CESE) soutient l’approche de la Commission européenne, du Parlement européen et du Conseil consistant à faire tout ce qui est nécessaire pour approuver le règlement prévu dès que possible et demande instamment qu’il entre en vigueur au plus tard au début du mois de novembre 2022. </w:t>
      </w:r>
    </w:p>
    <w:p w14:paraId="4251B5FE" w14:textId="5AD63669" w:rsidR="008F0EDB" w:rsidRPr="008F0EDB" w:rsidRDefault="008F0EDB" w:rsidP="008F0EDB">
      <w:pPr>
        <w:widowControl w:val="0"/>
        <w:numPr>
          <w:ilvl w:val="0"/>
          <w:numId w:val="41"/>
        </w:numPr>
        <w:overflowPunct w:val="0"/>
        <w:autoSpaceDE w:val="0"/>
        <w:autoSpaceDN w:val="0"/>
        <w:adjustRightInd w:val="0"/>
        <w:ind w:left="357" w:hanging="357"/>
        <w:textAlignment w:val="baseline"/>
        <w:rPr>
          <w:bCs/>
          <w:iCs/>
          <w:sz w:val="20"/>
          <w:szCs w:val="20"/>
        </w:rPr>
      </w:pPr>
      <w:r w:rsidRPr="008F0EDB">
        <w:rPr>
          <w:szCs w:val="20"/>
        </w:rPr>
        <w:t>Le CESE se félicite de l’action rapide des institutions de l’Union et de la flexibilité nécessaire dont elles ont fait preuve pour piloter des projets juste après la guerre non provoquée et injustifiée menée par la Russie contre l’Ukraine. Pour rester en conformité avec les valeurs et les principes de l’Union, il fallait absolument agir rapidement.</w:t>
      </w:r>
    </w:p>
    <w:p w14:paraId="79485DE5" w14:textId="353455E7" w:rsidR="008F0EDB" w:rsidRPr="008F0EDB" w:rsidRDefault="008F0EDB" w:rsidP="008F0EDB">
      <w:pPr>
        <w:widowControl w:val="0"/>
        <w:numPr>
          <w:ilvl w:val="0"/>
          <w:numId w:val="41"/>
        </w:numPr>
        <w:overflowPunct w:val="0"/>
        <w:autoSpaceDE w:val="0"/>
        <w:autoSpaceDN w:val="0"/>
        <w:adjustRightInd w:val="0"/>
        <w:ind w:left="357" w:hanging="357"/>
        <w:textAlignment w:val="baseline"/>
        <w:rPr>
          <w:bCs/>
          <w:iCs/>
          <w:sz w:val="20"/>
          <w:szCs w:val="20"/>
        </w:rPr>
      </w:pPr>
      <w:r w:rsidRPr="008F0EDB">
        <w:rPr>
          <w:szCs w:val="20"/>
        </w:rPr>
        <w:t>Le CESE soutient l’ambition consistant à faire preuve de souplesse dans la modification de la</w:t>
      </w:r>
      <w:r w:rsidR="009B12BE">
        <w:rPr>
          <w:szCs w:val="20"/>
        </w:rPr>
        <w:t> final</w:t>
      </w:r>
      <w:r w:rsidRPr="008F0EDB">
        <w:rPr>
          <w:szCs w:val="20"/>
        </w:rPr>
        <w:t>ité des projets en cours afin d’influer sur les besoins émergents en accordant la flexibilité nécessaire aux autorités de gestion et en leur offrant une sécurité juridique quant au fait que les projets sont gérés et suivis conformément aux règles et que les limitations liées à l’audit seront peu nombreuses. Cet aspect revêt une importance particulière étant donné que le règlement sera appliqué rétroactivement à compter du début de la guerre à grande échelle.</w:t>
      </w:r>
    </w:p>
    <w:p w14:paraId="0BCF1ACD" w14:textId="2659E835" w:rsidR="008F0EDB" w:rsidRPr="008F0EDB" w:rsidRDefault="008F0EDB" w:rsidP="008F0EDB">
      <w:pPr>
        <w:widowControl w:val="0"/>
        <w:numPr>
          <w:ilvl w:val="0"/>
          <w:numId w:val="41"/>
        </w:numPr>
        <w:overflowPunct w:val="0"/>
        <w:autoSpaceDE w:val="0"/>
        <w:autoSpaceDN w:val="0"/>
        <w:adjustRightInd w:val="0"/>
        <w:ind w:left="357" w:hanging="357"/>
        <w:textAlignment w:val="baseline"/>
        <w:rPr>
          <w:bCs/>
          <w:iCs/>
          <w:sz w:val="20"/>
          <w:szCs w:val="20"/>
        </w:rPr>
      </w:pPr>
      <w:r w:rsidRPr="008F0EDB">
        <w:rPr>
          <w:szCs w:val="20"/>
        </w:rPr>
        <w:t>Le CESE rappelle les nouvelles réalités apparues au cours des derniers mois de la guerre contre l’Ukraine. Compte tenu du fait que l’Ukraine bénéficie du statut de pays candidat à l’adhésion à l’Union et que son besoin de se reconstruire et de se préparer à l’hiver ne cesse de s’accroître, il convient d’accorder encore plus de souplesse aux activités éligibles et d’élargir la définition des mesures de coopération transfrontalière/régionale pour les projets en cours et planifiés, comme le prévoient les modifications proposées dans le règlement.</w:t>
      </w:r>
    </w:p>
    <w:p w14:paraId="2343F135" w14:textId="77777777" w:rsidR="008F0EDB" w:rsidRPr="008F0EDB" w:rsidRDefault="008F0EDB" w:rsidP="008F0EDB">
      <w:pPr>
        <w:widowControl w:val="0"/>
        <w:numPr>
          <w:ilvl w:val="0"/>
          <w:numId w:val="41"/>
        </w:numPr>
        <w:overflowPunct w:val="0"/>
        <w:autoSpaceDE w:val="0"/>
        <w:autoSpaceDN w:val="0"/>
        <w:adjustRightInd w:val="0"/>
        <w:ind w:left="357" w:hanging="357"/>
        <w:textAlignment w:val="baseline"/>
        <w:rPr>
          <w:bCs/>
          <w:iCs/>
        </w:rPr>
      </w:pPr>
      <w:r w:rsidRPr="008F0EDB">
        <w:rPr>
          <w:szCs w:val="20"/>
        </w:rPr>
        <w:t xml:space="preserve">Compte tenu de l’interruption des financements accordés aux autorités de la Fédération de Russie et de la Biélorussie et de la suspension connexe de la coopération transfrontalière avec ces pays, le CESE avance l’idée de faire tout ce qui est possible pour que les fonds initialement destinés à ces programmes de coopération soient transférés à des actions de solidarité avec l’Ukraine.  </w:t>
      </w:r>
    </w:p>
    <w:p w14:paraId="49503023" w14:textId="77777777" w:rsidR="005445DD" w:rsidRPr="006E3F60" w:rsidRDefault="005445DD" w:rsidP="005445DD">
      <w:pPr>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5445DD" w:rsidRPr="006E3F60" w14:paraId="6FC3B513" w14:textId="77777777" w:rsidTr="00FC44B4">
        <w:tc>
          <w:tcPr>
            <w:tcW w:w="1418" w:type="dxa"/>
          </w:tcPr>
          <w:p w14:paraId="24539884" w14:textId="65C42170" w:rsidR="005445DD" w:rsidRPr="006E3F60" w:rsidRDefault="00140AB0" w:rsidP="00FC44B4">
            <w:pPr>
              <w:contextualSpacing/>
              <w:rPr>
                <w:i/>
              </w:rPr>
            </w:pPr>
            <w:r>
              <w:rPr>
                <w:b/>
                <w:i/>
              </w:rPr>
              <w:lastRenderedPageBreak/>
              <w:t>Contact:</w:t>
            </w:r>
          </w:p>
        </w:tc>
        <w:tc>
          <w:tcPr>
            <w:tcW w:w="5670" w:type="dxa"/>
          </w:tcPr>
          <w:p w14:paraId="360EC5B6" w14:textId="297F4554" w:rsidR="005445DD" w:rsidRPr="006E3F60" w:rsidRDefault="005445DD" w:rsidP="00FC44B4">
            <w:pPr>
              <w:contextualSpacing/>
              <w:rPr>
                <w:i/>
              </w:rPr>
            </w:pPr>
            <w:r>
              <w:rPr>
                <w:i/>
              </w:rPr>
              <w:t xml:space="preserve">Katarína </w:t>
            </w:r>
            <w:proofErr w:type="spellStart"/>
            <w:r>
              <w:rPr>
                <w:i/>
              </w:rPr>
              <w:t>Grzeszczyk</w:t>
            </w:r>
            <w:proofErr w:type="spellEnd"/>
            <w:r>
              <w:rPr>
                <w:i/>
              </w:rPr>
              <w:t xml:space="preserve"> </w:t>
            </w:r>
            <w:proofErr w:type="spellStart"/>
            <w:r>
              <w:rPr>
                <w:i/>
              </w:rPr>
              <w:t>Albrechtová</w:t>
            </w:r>
            <w:proofErr w:type="spellEnd"/>
          </w:p>
        </w:tc>
      </w:tr>
      <w:tr w:rsidR="005445DD" w:rsidRPr="006E3F60" w14:paraId="72963368" w14:textId="77777777" w:rsidTr="00FC44B4">
        <w:tc>
          <w:tcPr>
            <w:tcW w:w="1418" w:type="dxa"/>
          </w:tcPr>
          <w:p w14:paraId="42069190" w14:textId="77777777" w:rsidR="005445DD" w:rsidRPr="006E3F60" w:rsidRDefault="005445DD" w:rsidP="00FC44B4">
            <w:pPr>
              <w:ind w:left="601"/>
              <w:contextualSpacing/>
              <w:rPr>
                <w:i/>
              </w:rPr>
            </w:pPr>
            <w:r>
              <w:rPr>
                <w:i/>
              </w:rPr>
              <w:t>Tél.</w:t>
            </w:r>
          </w:p>
        </w:tc>
        <w:tc>
          <w:tcPr>
            <w:tcW w:w="5670" w:type="dxa"/>
          </w:tcPr>
          <w:p w14:paraId="110B1E4D" w14:textId="5D204AA5" w:rsidR="005445DD" w:rsidRPr="006E3F60" w:rsidRDefault="005445DD" w:rsidP="00FC44B4">
            <w:pPr>
              <w:contextualSpacing/>
              <w:rPr>
                <w:i/>
              </w:rPr>
            </w:pPr>
            <w:r>
              <w:rPr>
                <w:i/>
              </w:rPr>
              <w:t>+32 25469460</w:t>
            </w:r>
          </w:p>
        </w:tc>
      </w:tr>
      <w:tr w:rsidR="005445DD" w:rsidRPr="006E3F60" w14:paraId="39185FE8" w14:textId="77777777" w:rsidTr="00FC44B4">
        <w:tc>
          <w:tcPr>
            <w:tcW w:w="1418" w:type="dxa"/>
          </w:tcPr>
          <w:p w14:paraId="073F08E8" w14:textId="77777777" w:rsidR="005445DD" w:rsidRPr="006E3F60" w:rsidRDefault="005445DD" w:rsidP="00FC44B4">
            <w:pPr>
              <w:ind w:left="601"/>
              <w:contextualSpacing/>
              <w:rPr>
                <w:i/>
              </w:rPr>
            </w:pPr>
            <w:r>
              <w:rPr>
                <w:i/>
              </w:rPr>
              <w:t>Courriel:</w:t>
            </w:r>
          </w:p>
        </w:tc>
        <w:tc>
          <w:tcPr>
            <w:tcW w:w="5670" w:type="dxa"/>
          </w:tcPr>
          <w:p w14:paraId="184563F5" w14:textId="399D340F" w:rsidR="005445DD" w:rsidRPr="006E3F60" w:rsidRDefault="009D65A9" w:rsidP="00FC44B4">
            <w:pPr>
              <w:contextualSpacing/>
              <w:rPr>
                <w:i/>
              </w:rPr>
            </w:pPr>
            <w:hyperlink r:id="rId49" w:history="1">
              <w:r w:rsidR="008F0EDB">
                <w:rPr>
                  <w:rStyle w:val="Hyperlink"/>
                  <w:i/>
                </w:rPr>
                <w:t>Katarina.Albrechtova@eesc.europa.eu</w:t>
              </w:r>
            </w:hyperlink>
          </w:p>
        </w:tc>
      </w:tr>
    </w:tbl>
    <w:p w14:paraId="723C78EB" w14:textId="77777777" w:rsidR="005445DD" w:rsidRPr="00CB3335" w:rsidRDefault="005445DD" w:rsidP="00CB3335"/>
    <w:p w14:paraId="43F93309" w14:textId="77777777" w:rsidR="00745EAA" w:rsidRPr="003E692C" w:rsidRDefault="00745EAA" w:rsidP="003E692C">
      <w:pPr>
        <w:pStyle w:val="Heading1"/>
        <w:keepNext/>
        <w:rPr>
          <w:b/>
        </w:rPr>
      </w:pPr>
      <w:bookmarkStart w:id="68" w:name="_Toc120198276"/>
      <w:r>
        <w:rPr>
          <w:b/>
        </w:rPr>
        <w:t>COMMISSION CONSULTATIVE DES MUTATIONS INDUSTRIELLES</w:t>
      </w:r>
      <w:bookmarkEnd w:id="68"/>
    </w:p>
    <w:p w14:paraId="4A27BE14" w14:textId="1A9F2420" w:rsidR="006E3F60" w:rsidRPr="00745EAA" w:rsidRDefault="006E3F60" w:rsidP="00745EAA">
      <w:pPr>
        <w:keepNext/>
        <w:keepLines/>
        <w:contextualSpacing/>
        <w:rPr>
          <w:b/>
          <w:sz w:val="28"/>
          <w:szCs w:val="28"/>
        </w:rPr>
      </w:pPr>
    </w:p>
    <w:p w14:paraId="4FF48D94" w14:textId="015C528B" w:rsidR="00092425" w:rsidRPr="00360C81" w:rsidRDefault="007B42E2" w:rsidP="001F075F">
      <w:pPr>
        <w:keepNext/>
        <w:keepLines/>
        <w:numPr>
          <w:ilvl w:val="0"/>
          <w:numId w:val="2"/>
        </w:numPr>
        <w:ind w:left="567" w:hanging="567"/>
        <w:contextualSpacing/>
        <w:rPr>
          <w:rStyle w:val="Hyperlink"/>
          <w:color w:val="auto"/>
          <w:u w:val="none"/>
        </w:rPr>
      </w:pPr>
      <w:bookmarkStart w:id="69" w:name="_Hlk113971064"/>
      <w:r w:rsidRPr="008F0EDB">
        <w:rPr>
          <w:rStyle w:val="Hyperlink"/>
          <w:b/>
          <w:i/>
          <w:color w:val="auto"/>
          <w:sz w:val="28"/>
          <w:u w:val="none"/>
        </w:rPr>
        <w:t>Conditions harmonisées de commercialisation pour les produits de construction</w:t>
      </w:r>
    </w:p>
    <w:p w14:paraId="4DD756C4" w14:textId="77777777" w:rsidR="00360C81" w:rsidRPr="006E3F60" w:rsidRDefault="00360C81" w:rsidP="00DC28F0">
      <w:pPr>
        <w:keepNext/>
        <w:keepLines/>
        <w:ind w:left="567"/>
        <w:contextualSpacing/>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6946"/>
      </w:tblGrid>
      <w:tr w:rsidR="006E3F60" w:rsidRPr="006E3F60" w14:paraId="25907EC0" w14:textId="77777777" w:rsidTr="00C25DB3">
        <w:tc>
          <w:tcPr>
            <w:tcW w:w="1701" w:type="dxa"/>
          </w:tcPr>
          <w:p w14:paraId="363A590B" w14:textId="77777777" w:rsidR="006E3F60" w:rsidRPr="006E3F60" w:rsidRDefault="006E3F60" w:rsidP="006E3F60">
            <w:pPr>
              <w:keepNext/>
              <w:contextualSpacing/>
              <w:rPr>
                <w:b/>
              </w:rPr>
            </w:pPr>
            <w:r>
              <w:rPr>
                <w:b/>
              </w:rPr>
              <w:t>Rapporteurs:</w:t>
            </w:r>
          </w:p>
        </w:tc>
        <w:tc>
          <w:tcPr>
            <w:tcW w:w="6946" w:type="dxa"/>
          </w:tcPr>
          <w:p w14:paraId="7776D9DA" w14:textId="7E9BF3C7" w:rsidR="006E3F60" w:rsidRPr="006E3F60" w:rsidRDefault="00360C81" w:rsidP="006E3F60">
            <w:pPr>
              <w:keepNext/>
              <w:ind w:left="-106"/>
              <w:contextualSpacing/>
            </w:pPr>
            <w:r>
              <w:t>Manuel GARCíA SALGADO (Groupe des travailleurs — ES)</w:t>
            </w:r>
          </w:p>
        </w:tc>
      </w:tr>
      <w:tr w:rsidR="006E3F60" w:rsidRPr="006E3F60" w14:paraId="3818F306" w14:textId="77777777" w:rsidTr="00C25DB3">
        <w:tc>
          <w:tcPr>
            <w:tcW w:w="1701" w:type="dxa"/>
          </w:tcPr>
          <w:p w14:paraId="335B5DA6" w14:textId="77777777" w:rsidR="006E3F60" w:rsidRPr="006E3F60" w:rsidRDefault="006E3F60" w:rsidP="006E3F60">
            <w:pPr>
              <w:keepNext/>
              <w:contextualSpacing/>
              <w:rPr>
                <w:b/>
              </w:rPr>
            </w:pPr>
            <w:r>
              <w:rPr>
                <w:b/>
              </w:rPr>
              <w:t>Corapporteur(e)</w:t>
            </w:r>
          </w:p>
        </w:tc>
        <w:tc>
          <w:tcPr>
            <w:tcW w:w="6946" w:type="dxa"/>
          </w:tcPr>
          <w:p w14:paraId="5324713C" w14:textId="0FD1B4DD" w:rsidR="006E3F60" w:rsidRPr="006E3F60" w:rsidRDefault="00360C81" w:rsidP="006E3F60">
            <w:pPr>
              <w:keepNext/>
              <w:ind w:left="-106"/>
              <w:contextualSpacing/>
            </w:pPr>
            <w:r>
              <w:t>Domenico CAMPOGRANDE (Cat.1 — IT)</w:t>
            </w:r>
          </w:p>
        </w:tc>
      </w:tr>
      <w:tr w:rsidR="006E3F60" w:rsidRPr="006E3F60" w14:paraId="3B98D2DD" w14:textId="77777777" w:rsidTr="00C25DB3">
        <w:tc>
          <w:tcPr>
            <w:tcW w:w="8647" w:type="dxa"/>
            <w:gridSpan w:val="2"/>
          </w:tcPr>
          <w:p w14:paraId="302FFA0F" w14:textId="77777777" w:rsidR="006E3F60" w:rsidRPr="006E3F60" w:rsidRDefault="006E3F60" w:rsidP="006E3F60">
            <w:pPr>
              <w:keepNext/>
              <w:contextualSpacing/>
            </w:pPr>
          </w:p>
        </w:tc>
      </w:tr>
      <w:tr w:rsidR="006E3F60" w:rsidRPr="006E3F60" w14:paraId="5C47C9B0" w14:textId="77777777" w:rsidTr="00C25DB3">
        <w:tc>
          <w:tcPr>
            <w:tcW w:w="1701" w:type="dxa"/>
          </w:tcPr>
          <w:p w14:paraId="70DE31B6" w14:textId="77777777" w:rsidR="006E3F60" w:rsidRPr="006E3F60" w:rsidRDefault="006E3F60" w:rsidP="006E3F60">
            <w:pPr>
              <w:keepNext/>
              <w:contextualSpacing/>
              <w:rPr>
                <w:b/>
              </w:rPr>
            </w:pPr>
            <w:r>
              <w:rPr>
                <w:b/>
              </w:rPr>
              <w:t xml:space="preserve">Référence </w:t>
            </w:r>
          </w:p>
        </w:tc>
        <w:tc>
          <w:tcPr>
            <w:tcW w:w="6946" w:type="dxa"/>
          </w:tcPr>
          <w:p w14:paraId="1726139F" w14:textId="78CA0E36" w:rsidR="006E3F60" w:rsidRPr="006E3F60" w:rsidRDefault="00B53E10" w:rsidP="006E3F60">
            <w:pPr>
              <w:keepNext/>
              <w:ind w:left="-106"/>
              <w:contextualSpacing/>
              <w:rPr>
                <w:iCs/>
                <w:color w:val="000000"/>
              </w:rPr>
            </w:pPr>
            <w:r>
              <w:rPr>
                <w:color w:val="000000"/>
              </w:rPr>
              <w:t>COM(2022) </w:t>
            </w:r>
            <w:r w:rsidR="00E53870">
              <w:rPr>
                <w:color w:val="000000"/>
              </w:rPr>
              <w:t>144</w:t>
            </w:r>
            <w:r w:rsidR="009B12BE">
              <w:rPr>
                <w:color w:val="000000"/>
              </w:rPr>
              <w:t> final</w:t>
            </w:r>
          </w:p>
          <w:p w14:paraId="2ACB8205" w14:textId="6FB20AAE" w:rsidR="006E3F60" w:rsidRPr="006E3F60" w:rsidRDefault="00C25DB3" w:rsidP="006E3F60">
            <w:pPr>
              <w:keepNext/>
              <w:ind w:left="-106"/>
              <w:contextualSpacing/>
            </w:pPr>
            <w:r>
              <w:t>EESC-2022-0276-00-00-AC</w:t>
            </w:r>
          </w:p>
        </w:tc>
      </w:tr>
    </w:tbl>
    <w:p w14:paraId="491156E7" w14:textId="77777777" w:rsidR="006E3F60" w:rsidRPr="006E3F60" w:rsidRDefault="006E3F60" w:rsidP="006E3F60">
      <w:pPr>
        <w:keepNext/>
        <w:ind w:left="567"/>
        <w:contextualSpacing/>
      </w:pPr>
    </w:p>
    <w:p w14:paraId="393FC053" w14:textId="7D463869" w:rsidR="006E3F60" w:rsidRDefault="006E3F60" w:rsidP="008F0EDB">
      <w:pPr>
        <w:pStyle w:val="ListParagraph"/>
        <w:keepNext/>
        <w:spacing w:line="240" w:lineRule="auto"/>
        <w:ind w:left="0" w:firstLine="142"/>
        <w:rPr>
          <w:b/>
        </w:rPr>
      </w:pPr>
      <w:r>
        <w:rPr>
          <w:b/>
        </w:rPr>
        <w:t>Points clés</w:t>
      </w:r>
    </w:p>
    <w:p w14:paraId="5DC1F2E9" w14:textId="77777777" w:rsidR="00C25DB3" w:rsidRPr="00C25DB3" w:rsidRDefault="00C25DB3" w:rsidP="008F0EDB">
      <w:pPr>
        <w:keepNext/>
        <w:contextualSpacing/>
        <w:rPr>
          <w:b/>
        </w:rPr>
      </w:pPr>
    </w:p>
    <w:p w14:paraId="7490CEC6" w14:textId="77777777" w:rsidR="006E3F60" w:rsidRPr="00A00F37" w:rsidRDefault="00C25DB3" w:rsidP="008F0EDB">
      <w:pPr>
        <w:pStyle w:val="ListParagraph"/>
        <w:keepNext/>
        <w:spacing w:line="240" w:lineRule="auto"/>
        <w:ind w:left="0" w:firstLine="142"/>
        <w:rPr>
          <w:bCs/>
          <w:iCs/>
        </w:rPr>
      </w:pPr>
      <w:r>
        <w:t>Le CESE:</w:t>
      </w:r>
    </w:p>
    <w:p w14:paraId="725984FA" w14:textId="77777777" w:rsidR="00C25DB3" w:rsidRPr="006E3F60" w:rsidRDefault="00C25DB3" w:rsidP="008F0EDB">
      <w:pPr>
        <w:keepNext/>
        <w:contextualSpacing/>
      </w:pPr>
    </w:p>
    <w:p w14:paraId="62170EB9"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lang w:eastAsia="zh-CN"/>
        </w:rPr>
      </w:pPr>
      <w:r w:rsidRPr="008F0EDB">
        <w:rPr>
          <w:lang w:eastAsia="zh-CN"/>
        </w:rPr>
        <w:t>estime que la proposition de règlement doit faire l’objet d’une révision significative si elle veut atteindre ses principaux objectifs;</w:t>
      </w:r>
    </w:p>
    <w:p w14:paraId="299CBEA1"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lang w:eastAsia="zh-CN"/>
        </w:rPr>
      </w:pPr>
      <w:r w:rsidRPr="008F0EDB">
        <w:rPr>
          <w:lang w:eastAsia="zh-CN"/>
        </w:rPr>
        <w:t>juge trop longue la période de transition proposée dans le règlement; estime en outre que la Commission européenne ne propose pas de solutions à court terme pour résoudre le retard qu’accuse actuellement la publication de nouvelles normes au Journal officiel de l’Union européenne;</w:t>
      </w:r>
    </w:p>
    <w:p w14:paraId="7D49DDC8"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lang w:eastAsia="zh-CN"/>
        </w:rPr>
      </w:pPr>
      <w:r w:rsidRPr="008F0EDB">
        <w:rPr>
          <w:lang w:eastAsia="zh-CN"/>
        </w:rPr>
        <w:t>constate avec inquiétude que la Commission revient à l’approche centralisée de la normalisation, qui exclut les petits acteurs du secteur;</w:t>
      </w:r>
    </w:p>
    <w:p w14:paraId="15CE43CF"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lang w:eastAsia="zh-CN"/>
        </w:rPr>
      </w:pPr>
      <w:r w:rsidRPr="008F0EDB">
        <w:rPr>
          <w:lang w:eastAsia="zh-CN"/>
        </w:rPr>
        <w:t>est favorable à une approche de l’industrie de la construction qui maintiendrait la normalisation et la libre circulation des produits de construction en tant que sa valeur fondamentale, étant donné qu’il devrait s’agir d’un processus ascendant, porté par le secteur, dans le cadre duquel toutes les parties prenantes collaborent de manière coopérative et souple en vue de disposer de normes actualisées;</w:t>
      </w:r>
    </w:p>
    <w:p w14:paraId="250C234F"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lang w:eastAsia="zh-CN"/>
        </w:rPr>
      </w:pPr>
      <w:r w:rsidRPr="008F0EDB">
        <w:rPr>
          <w:lang w:eastAsia="zh-CN"/>
        </w:rPr>
        <w:t>estime que la proposition de RPC révisé doit comporter des dispositions claires et proportionnées pour les produits réutilisés ou refabriqués;</w:t>
      </w:r>
    </w:p>
    <w:p w14:paraId="5DB34FA2" w14:textId="77777777" w:rsidR="008F0EDB" w:rsidRPr="008F0EDB" w:rsidRDefault="008F0EDB" w:rsidP="008F0EDB">
      <w:pPr>
        <w:widowControl w:val="0"/>
        <w:numPr>
          <w:ilvl w:val="0"/>
          <w:numId w:val="42"/>
        </w:numPr>
        <w:overflowPunct w:val="0"/>
        <w:autoSpaceDE w:val="0"/>
        <w:autoSpaceDN w:val="0"/>
        <w:adjustRightInd w:val="0"/>
        <w:spacing w:after="200" w:line="276" w:lineRule="auto"/>
        <w:ind w:left="0"/>
        <w:contextualSpacing/>
        <w:textAlignment w:val="baseline"/>
        <w:rPr>
          <w:sz w:val="24"/>
          <w:szCs w:val="24"/>
          <w:lang w:eastAsia="zh-CN"/>
        </w:rPr>
      </w:pPr>
      <w:r w:rsidRPr="008F0EDB">
        <w:rPr>
          <w:lang w:eastAsia="zh-CN"/>
        </w:rPr>
        <w:t>approuve la proposition de la Commission en ce qui concerne les critères supplémentaires aux exigences fonctionnelles et de sécurité applicables aux produits de construction, en tant que cela donne encore davantage de preuves de l’incidence positive que produit une bonne gestion de la santé et de la sécurité au travail.</w:t>
      </w:r>
    </w:p>
    <w:p w14:paraId="6575574F" w14:textId="77777777" w:rsidR="00C25DB3" w:rsidRPr="006E3F60" w:rsidRDefault="00C25DB3" w:rsidP="008F0EDB"/>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6E3F60" w:rsidRPr="006E3F60" w14:paraId="3701C8A8" w14:textId="77777777" w:rsidTr="00B83E7B">
        <w:tc>
          <w:tcPr>
            <w:tcW w:w="1418" w:type="dxa"/>
          </w:tcPr>
          <w:p w14:paraId="61A358F3" w14:textId="322597D9" w:rsidR="006E3F60" w:rsidRPr="006E3F60" w:rsidRDefault="00140AB0" w:rsidP="006E3F60">
            <w:pPr>
              <w:contextualSpacing/>
              <w:rPr>
                <w:i/>
              </w:rPr>
            </w:pPr>
            <w:r>
              <w:rPr>
                <w:b/>
                <w:i/>
              </w:rPr>
              <w:t>Contact:</w:t>
            </w:r>
          </w:p>
        </w:tc>
        <w:tc>
          <w:tcPr>
            <w:tcW w:w="5670" w:type="dxa"/>
          </w:tcPr>
          <w:p w14:paraId="529847A8" w14:textId="62C2F07E" w:rsidR="006E3F60" w:rsidRPr="006E3F60" w:rsidRDefault="00360C81" w:rsidP="006E3F60">
            <w:pPr>
              <w:contextualSpacing/>
              <w:rPr>
                <w:i/>
              </w:rPr>
            </w:pPr>
            <w:r>
              <w:rPr>
                <w:i/>
              </w:rPr>
              <w:t>Aleksandra WIECZOREK</w:t>
            </w:r>
          </w:p>
        </w:tc>
      </w:tr>
      <w:tr w:rsidR="006E3F60" w:rsidRPr="006E3F60" w14:paraId="2E4F0404" w14:textId="77777777" w:rsidTr="00B83E7B">
        <w:tc>
          <w:tcPr>
            <w:tcW w:w="1418" w:type="dxa"/>
          </w:tcPr>
          <w:p w14:paraId="5A7B9997" w14:textId="77777777" w:rsidR="006E3F60" w:rsidRPr="006E3F60" w:rsidRDefault="006E3F60" w:rsidP="006E3F60">
            <w:pPr>
              <w:ind w:left="601"/>
              <w:contextualSpacing/>
              <w:rPr>
                <w:i/>
              </w:rPr>
            </w:pPr>
            <w:r>
              <w:rPr>
                <w:i/>
              </w:rPr>
              <w:t>Tél.</w:t>
            </w:r>
          </w:p>
        </w:tc>
        <w:tc>
          <w:tcPr>
            <w:tcW w:w="5670" w:type="dxa"/>
          </w:tcPr>
          <w:p w14:paraId="52C01769" w14:textId="133C2BFD" w:rsidR="006E3F60" w:rsidRPr="006E3F60" w:rsidRDefault="00F512BB" w:rsidP="006E3F60">
            <w:pPr>
              <w:contextualSpacing/>
              <w:rPr>
                <w:i/>
              </w:rPr>
            </w:pPr>
            <w:r>
              <w:rPr>
                <w:i/>
              </w:rPr>
              <w:t>+32 2 546 9170</w:t>
            </w:r>
          </w:p>
        </w:tc>
      </w:tr>
      <w:tr w:rsidR="006E3F60" w:rsidRPr="006E3F60" w14:paraId="1F686407" w14:textId="77777777" w:rsidTr="00B83E7B">
        <w:tc>
          <w:tcPr>
            <w:tcW w:w="1418" w:type="dxa"/>
          </w:tcPr>
          <w:p w14:paraId="2859E45F" w14:textId="77777777" w:rsidR="006E3F60" w:rsidRPr="006E3F60" w:rsidRDefault="006E3F60" w:rsidP="006E3F60">
            <w:pPr>
              <w:ind w:left="601"/>
              <w:contextualSpacing/>
              <w:rPr>
                <w:i/>
              </w:rPr>
            </w:pPr>
            <w:r>
              <w:rPr>
                <w:i/>
              </w:rPr>
              <w:t>Courriel:</w:t>
            </w:r>
          </w:p>
        </w:tc>
        <w:tc>
          <w:tcPr>
            <w:tcW w:w="5670" w:type="dxa"/>
          </w:tcPr>
          <w:p w14:paraId="1B9ADEF7" w14:textId="39CF438B" w:rsidR="006E3F60" w:rsidRPr="006E3F60" w:rsidRDefault="009D65A9" w:rsidP="006E3F60">
            <w:pPr>
              <w:contextualSpacing/>
              <w:rPr>
                <w:i/>
              </w:rPr>
            </w:pPr>
            <w:hyperlink r:id="rId50" w:history="1">
              <w:r w:rsidR="007B42E2">
                <w:rPr>
                  <w:rStyle w:val="Hyperlink"/>
                </w:rPr>
                <w:t>Aleksandra.Wieczorek@eesc.europa.eu</w:t>
              </w:r>
            </w:hyperlink>
          </w:p>
        </w:tc>
      </w:tr>
      <w:bookmarkEnd w:id="69"/>
    </w:tbl>
    <w:p w14:paraId="02D22029" w14:textId="77777777" w:rsidR="00A10A98" w:rsidRDefault="00A10A98" w:rsidP="006E3F60">
      <w:pPr>
        <w:pStyle w:val="Heading1"/>
        <w:numPr>
          <w:ilvl w:val="0"/>
          <w:numId w:val="0"/>
        </w:numPr>
      </w:pPr>
    </w:p>
    <w:p w14:paraId="52288089" w14:textId="57BFD64F" w:rsidR="00835925" w:rsidRDefault="00835925">
      <w:pPr>
        <w:spacing w:after="160" w:line="259" w:lineRule="auto"/>
        <w:jc w:val="left"/>
      </w:pPr>
      <w:r>
        <w:br w:type="page"/>
      </w:r>
    </w:p>
    <w:p w14:paraId="3A8F76F3" w14:textId="0D5801C8" w:rsidR="00835925" w:rsidRPr="002D5A51" w:rsidRDefault="007B42E2" w:rsidP="00CA46CE">
      <w:pPr>
        <w:keepNext/>
        <w:keepLines/>
        <w:numPr>
          <w:ilvl w:val="0"/>
          <w:numId w:val="2"/>
        </w:numPr>
        <w:ind w:left="567" w:hanging="567"/>
        <w:contextualSpacing/>
        <w:rPr>
          <w:rStyle w:val="Hyperlink"/>
          <w:color w:val="auto"/>
          <w:u w:val="none"/>
        </w:rPr>
      </w:pPr>
      <w:r w:rsidRPr="00C04FC4">
        <w:rPr>
          <w:rStyle w:val="Hyperlink"/>
          <w:b/>
          <w:i/>
          <w:color w:val="auto"/>
          <w:sz w:val="28"/>
          <w:u w:val="none"/>
        </w:rPr>
        <w:lastRenderedPageBreak/>
        <w:t>Pôles d’innovation numérique et PME</w:t>
      </w:r>
    </w:p>
    <w:p w14:paraId="0448FBB9" w14:textId="77777777" w:rsidR="002D5A51" w:rsidRPr="006E3F60" w:rsidRDefault="002D5A51" w:rsidP="002D5A51">
      <w:pPr>
        <w:keepNext/>
        <w:keepLines/>
        <w:contextualSpacing/>
      </w:pPr>
    </w:p>
    <w:tbl>
      <w:tblPr>
        <w:tblStyle w:val="TableGrid6"/>
        <w:tblW w:w="8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9"/>
      </w:tblGrid>
      <w:tr w:rsidR="00835925" w:rsidRPr="006E3F60" w14:paraId="13E94984" w14:textId="77777777" w:rsidTr="00D67CAD">
        <w:tc>
          <w:tcPr>
            <w:tcW w:w="1701" w:type="dxa"/>
          </w:tcPr>
          <w:p w14:paraId="124EDC70" w14:textId="20D0D816" w:rsidR="00835925" w:rsidRPr="006E3F60" w:rsidRDefault="00835925" w:rsidP="00F01E91">
            <w:pPr>
              <w:keepNext/>
              <w:ind w:right="-253"/>
              <w:contextualSpacing/>
              <w:rPr>
                <w:b/>
              </w:rPr>
            </w:pPr>
            <w:r>
              <w:rPr>
                <w:b/>
              </w:rPr>
              <w:t>Rapporteurs:</w:t>
            </w:r>
          </w:p>
        </w:tc>
        <w:tc>
          <w:tcPr>
            <w:tcW w:w="6949" w:type="dxa"/>
          </w:tcPr>
          <w:p w14:paraId="766B780C" w14:textId="5FC8E2CC" w:rsidR="00835925" w:rsidRPr="006E3F60" w:rsidRDefault="002D5A51" w:rsidP="00D67CAD">
            <w:pPr>
              <w:keepNext/>
              <w:ind w:left="-810" w:firstLine="705"/>
              <w:contextualSpacing/>
            </w:pPr>
            <w:r>
              <w:t>Maurizio MENSI (groupe des organisations de la société civile — IT)</w:t>
            </w:r>
          </w:p>
        </w:tc>
      </w:tr>
      <w:tr w:rsidR="00835925" w:rsidRPr="006E3F60" w14:paraId="68EC6D25" w14:textId="77777777" w:rsidTr="00D67CAD">
        <w:tc>
          <w:tcPr>
            <w:tcW w:w="1701" w:type="dxa"/>
          </w:tcPr>
          <w:p w14:paraId="77B608D1" w14:textId="10482A9D" w:rsidR="00835925" w:rsidRPr="006E3F60" w:rsidRDefault="00835925" w:rsidP="00AC432E">
            <w:pPr>
              <w:keepNext/>
              <w:contextualSpacing/>
              <w:rPr>
                <w:b/>
              </w:rPr>
            </w:pPr>
            <w:r>
              <w:rPr>
                <w:b/>
              </w:rPr>
              <w:t>Corapporteure</w:t>
            </w:r>
          </w:p>
        </w:tc>
        <w:tc>
          <w:tcPr>
            <w:tcW w:w="6949" w:type="dxa"/>
          </w:tcPr>
          <w:p w14:paraId="1D7D3F27" w14:textId="66681B3D" w:rsidR="00835925" w:rsidRPr="006E3F60" w:rsidRDefault="002D5A51" w:rsidP="00D67CAD">
            <w:pPr>
              <w:keepNext/>
              <w:ind w:left="-810" w:firstLine="705"/>
              <w:contextualSpacing/>
            </w:pPr>
            <w:r>
              <w:t>Nicos EPISTITHIOU (</w:t>
            </w:r>
            <w:proofErr w:type="spellStart"/>
            <w:r>
              <w:t>CY-cat</w:t>
            </w:r>
            <w:proofErr w:type="spellEnd"/>
            <w:r>
              <w:t>. 2)</w:t>
            </w:r>
          </w:p>
        </w:tc>
      </w:tr>
      <w:tr w:rsidR="00835925" w:rsidRPr="006E3F60" w14:paraId="6DC1F79C" w14:textId="77777777" w:rsidTr="00D67CAD">
        <w:tc>
          <w:tcPr>
            <w:tcW w:w="8648" w:type="dxa"/>
            <w:gridSpan w:val="2"/>
          </w:tcPr>
          <w:p w14:paraId="51240433" w14:textId="77777777" w:rsidR="00835925" w:rsidRPr="006E3F60" w:rsidRDefault="00835925" w:rsidP="00AC432E">
            <w:pPr>
              <w:keepNext/>
              <w:contextualSpacing/>
            </w:pPr>
          </w:p>
        </w:tc>
      </w:tr>
      <w:tr w:rsidR="00835925" w:rsidRPr="006E3F60" w14:paraId="5EE9E345" w14:textId="77777777" w:rsidTr="00D67CAD">
        <w:tc>
          <w:tcPr>
            <w:tcW w:w="1701" w:type="dxa"/>
          </w:tcPr>
          <w:p w14:paraId="454508C4" w14:textId="77777777" w:rsidR="00835925" w:rsidRPr="006E3F60" w:rsidRDefault="00835925" w:rsidP="00AC432E">
            <w:pPr>
              <w:keepNext/>
              <w:contextualSpacing/>
              <w:rPr>
                <w:b/>
              </w:rPr>
            </w:pPr>
            <w:r>
              <w:rPr>
                <w:b/>
              </w:rPr>
              <w:t xml:space="preserve">Référence </w:t>
            </w:r>
          </w:p>
        </w:tc>
        <w:tc>
          <w:tcPr>
            <w:tcW w:w="6949" w:type="dxa"/>
          </w:tcPr>
          <w:p w14:paraId="046E3307" w14:textId="699B07B6" w:rsidR="00835925" w:rsidRPr="006E3F60" w:rsidRDefault="00E53870" w:rsidP="00AC432E">
            <w:pPr>
              <w:keepNext/>
              <w:ind w:left="-106"/>
              <w:contextualSpacing/>
              <w:rPr>
                <w:iCs/>
                <w:color w:val="000000"/>
              </w:rPr>
            </w:pPr>
            <w:r>
              <w:rPr>
                <w:color w:val="000000"/>
              </w:rPr>
              <w:t>Avis d’initiative</w:t>
            </w:r>
          </w:p>
          <w:p w14:paraId="12A855A2" w14:textId="154D8E38" w:rsidR="00835925" w:rsidRPr="006E3F60" w:rsidRDefault="00835925" w:rsidP="00AC432E">
            <w:pPr>
              <w:keepNext/>
              <w:ind w:left="-106"/>
              <w:contextualSpacing/>
            </w:pPr>
            <w:r>
              <w:t>EESC-2022-00730-00-00-AC</w:t>
            </w:r>
          </w:p>
        </w:tc>
      </w:tr>
    </w:tbl>
    <w:p w14:paraId="4DC0A97A" w14:textId="77777777" w:rsidR="00835925" w:rsidRPr="00A00F37" w:rsidRDefault="00835925" w:rsidP="00A00F37">
      <w:pPr>
        <w:keepNext/>
        <w:ind w:right="-253"/>
        <w:contextualSpacing/>
        <w:rPr>
          <w:b/>
        </w:rPr>
      </w:pPr>
    </w:p>
    <w:p w14:paraId="73329E3C" w14:textId="411C2E52" w:rsidR="00835925" w:rsidRDefault="00835925" w:rsidP="00A00F37">
      <w:pPr>
        <w:pStyle w:val="ListParagraph"/>
        <w:spacing w:line="240" w:lineRule="auto"/>
        <w:ind w:left="0" w:firstLine="142"/>
        <w:rPr>
          <w:b/>
        </w:rPr>
      </w:pPr>
      <w:r>
        <w:rPr>
          <w:b/>
        </w:rPr>
        <w:t>Points clés</w:t>
      </w:r>
    </w:p>
    <w:p w14:paraId="77ED59BB" w14:textId="77777777" w:rsidR="00835925" w:rsidRPr="00C25DB3" w:rsidRDefault="00835925" w:rsidP="00835925">
      <w:pPr>
        <w:contextualSpacing/>
        <w:rPr>
          <w:b/>
        </w:rPr>
      </w:pPr>
    </w:p>
    <w:p w14:paraId="6798578A" w14:textId="77777777" w:rsidR="00835925" w:rsidRPr="00A00F37" w:rsidRDefault="00835925" w:rsidP="00A00F37">
      <w:pPr>
        <w:pStyle w:val="ListParagraph"/>
        <w:spacing w:line="240" w:lineRule="auto"/>
        <w:ind w:left="0" w:firstLine="142"/>
        <w:rPr>
          <w:bCs/>
          <w:iCs/>
        </w:rPr>
      </w:pPr>
      <w:r>
        <w:t>Le CESE:</w:t>
      </w:r>
    </w:p>
    <w:p w14:paraId="5A6325AB" w14:textId="77777777" w:rsidR="00835925" w:rsidRPr="006E3F60" w:rsidRDefault="00835925" w:rsidP="00835925">
      <w:pPr>
        <w:contextualSpacing/>
      </w:pPr>
    </w:p>
    <w:p w14:paraId="10189FB7"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est fermement convaincu que l’économie européenne peut tirer parti des transitions numérique et écologique pour devenir plus compétitive, durable, résiliente et autonome. Par conséquent, l’UE doit améliorer ses capacités de R&amp;D et d’innovation et accroître la diffusion des technologies. Les investissements de l’UE en matière de R&amp;D devraient être portés à 3 % du PIB dans les meilleurs délais. L’UE doit développer des compétences distinctes dans le domaine des technologies numériques de nouvelle génération et veiller à ce qu’elles fassent partie intégrante des modèles économiques des entreprises de l’UE;</w:t>
      </w:r>
    </w:p>
    <w:p w14:paraId="1BB3D7F2"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estime que si certaines PME peuvent faire preuve d’une très grande capacité d’innovation, les PME traditionnelles éprouvent des difficultés à mener la double transition en raison de limites financières et organisationnelles, ainsi que par manque de compétences. Il y a lieu d’améliorer de manière radicale l’accès des PME au financement de l’innovation dans tous les États membres;</w:t>
      </w:r>
    </w:p>
    <w:p w14:paraId="5D7015AF"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est convaincu que les pôles d’innovation numérique (PIN) fonctionnent comme des guichets uniques qui fournissent des analyses et des solutions pour aider les entreprises à mener à bien cette double transition. Les PIN peuvent servir de plateformes pour tester des solutions technologiques avant d’investir («</w:t>
      </w:r>
      <w:r w:rsidRPr="00C04FC4">
        <w:rPr>
          <w:i/>
          <w:iCs/>
          <w:szCs w:val="20"/>
        </w:rPr>
        <w:t xml:space="preserve">test </w:t>
      </w:r>
      <w:proofErr w:type="spellStart"/>
      <w:r w:rsidRPr="00C04FC4">
        <w:rPr>
          <w:i/>
          <w:iCs/>
          <w:szCs w:val="20"/>
        </w:rPr>
        <w:t>before</w:t>
      </w:r>
      <w:proofErr w:type="spellEnd"/>
      <w:r w:rsidRPr="00C04FC4">
        <w:rPr>
          <w:i/>
          <w:iCs/>
          <w:szCs w:val="20"/>
        </w:rPr>
        <w:t xml:space="preserve"> </w:t>
      </w:r>
      <w:proofErr w:type="spellStart"/>
      <w:r w:rsidRPr="00C04FC4">
        <w:rPr>
          <w:i/>
          <w:iCs/>
          <w:szCs w:val="20"/>
        </w:rPr>
        <w:t>invest</w:t>
      </w:r>
      <w:proofErr w:type="spellEnd"/>
      <w:r w:rsidRPr="00C04FC4">
        <w:rPr>
          <w:szCs w:val="20"/>
        </w:rPr>
        <w:t xml:space="preserve">»), échanger de bonnes pratiques et développer des compétences numériques; </w:t>
      </w:r>
    </w:p>
    <w:p w14:paraId="2FFCD250"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 xml:space="preserve">estime que les PIN devraient faire office d’«échelons intermédiaires», conçus pour entendre les demandes des PME et sélectionner les outils et solutions adéquats pour les guider. Il est primordial de sensibiliser le public au rôle important que peuvent jouer les PIN. Plusieurs politiques en faveur des PME ne sont pas mises en œuvre au niveau national et il existe de sérieuses lacunes dans la communication au sujet de ces mécanismes destinés aux PME. L’UE et les États membres doivent s’engager conjointement à sensibiliser les acteurs concernés aux initiatives européennes et nationales existantes qui visent à aider les PME, en insistant notamment sur les avantages de l’adhésion au réseau des PIN; </w:t>
      </w:r>
    </w:p>
    <w:p w14:paraId="111D0495"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souligne que les PIN devraient se consacrer principalement au soutien aux économies régionales et aux systèmes locaux de PME; il recommande en outre que soient établis une cartographie régionale des pôles existants ainsi qu’un plan d’action axé sur le développement régional et l’amélioration des taux d’inclusion et de participation;</w:t>
      </w:r>
    </w:p>
    <w:p w14:paraId="2145807A" w14:textId="77777777" w:rsidR="00C04FC4" w:rsidRPr="00C04FC4" w:rsidRDefault="00C04FC4" w:rsidP="00C04FC4">
      <w:pPr>
        <w:widowControl w:val="0"/>
        <w:numPr>
          <w:ilvl w:val="0"/>
          <w:numId w:val="43"/>
        </w:numPr>
        <w:overflowPunct w:val="0"/>
        <w:autoSpaceDE w:val="0"/>
        <w:autoSpaceDN w:val="0"/>
        <w:adjustRightInd w:val="0"/>
        <w:ind w:left="357" w:hanging="357"/>
        <w:textAlignment w:val="baseline"/>
      </w:pPr>
      <w:r w:rsidRPr="00C04FC4">
        <w:rPr>
          <w:szCs w:val="20"/>
        </w:rPr>
        <w:t>constate que la répartition des PIN varie d’une région européenne à l’autre, l’Europe de l’Est et l’Europe du Sud-Est étant en retrait. La réduction des disparités entre les États membres et les régions est d’une importance capitale pour le progrès européen.</w:t>
      </w:r>
    </w:p>
    <w:p w14:paraId="6B446184" w14:textId="77777777" w:rsidR="00835925" w:rsidRPr="006E3F60" w:rsidRDefault="00835925" w:rsidP="00835925"/>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5670"/>
      </w:tblGrid>
      <w:tr w:rsidR="00835925" w:rsidRPr="006E3F60" w14:paraId="55A985CE" w14:textId="77777777" w:rsidTr="00AC432E">
        <w:tc>
          <w:tcPr>
            <w:tcW w:w="1418" w:type="dxa"/>
          </w:tcPr>
          <w:p w14:paraId="395E04B5" w14:textId="63177CFB" w:rsidR="00835925" w:rsidRPr="006E3F60" w:rsidRDefault="00140AB0" w:rsidP="00AC432E">
            <w:pPr>
              <w:contextualSpacing/>
              <w:rPr>
                <w:i/>
              </w:rPr>
            </w:pPr>
            <w:r>
              <w:rPr>
                <w:b/>
                <w:i/>
              </w:rPr>
              <w:t>Contact:</w:t>
            </w:r>
          </w:p>
        </w:tc>
        <w:tc>
          <w:tcPr>
            <w:tcW w:w="5670" w:type="dxa"/>
          </w:tcPr>
          <w:p w14:paraId="66E7620D" w14:textId="30498078" w:rsidR="00835925" w:rsidRPr="003B2007" w:rsidRDefault="003B2007" w:rsidP="00AC432E">
            <w:pPr>
              <w:contextualSpacing/>
              <w:rPr>
                <w:i/>
              </w:rPr>
            </w:pPr>
            <w:r>
              <w:rPr>
                <w:i/>
              </w:rPr>
              <w:t>Adam Plezer</w:t>
            </w:r>
          </w:p>
        </w:tc>
      </w:tr>
      <w:tr w:rsidR="00835925" w:rsidRPr="006E3F60" w14:paraId="029B60F8" w14:textId="77777777" w:rsidTr="00AC432E">
        <w:tc>
          <w:tcPr>
            <w:tcW w:w="1418" w:type="dxa"/>
          </w:tcPr>
          <w:p w14:paraId="637F1E0E" w14:textId="77777777" w:rsidR="00835925" w:rsidRPr="006E3F60" w:rsidRDefault="00835925" w:rsidP="00AC432E">
            <w:pPr>
              <w:ind w:left="601"/>
              <w:contextualSpacing/>
              <w:rPr>
                <w:i/>
              </w:rPr>
            </w:pPr>
            <w:r>
              <w:rPr>
                <w:i/>
              </w:rPr>
              <w:t>Tél.:</w:t>
            </w:r>
          </w:p>
        </w:tc>
        <w:tc>
          <w:tcPr>
            <w:tcW w:w="5670" w:type="dxa"/>
          </w:tcPr>
          <w:p w14:paraId="1EB0E058" w14:textId="7166A464" w:rsidR="00835925" w:rsidRPr="006E3F60" w:rsidRDefault="00835925" w:rsidP="00AC432E">
            <w:pPr>
              <w:contextualSpacing/>
              <w:rPr>
                <w:i/>
              </w:rPr>
            </w:pPr>
            <w:r>
              <w:rPr>
                <w:i/>
              </w:rPr>
              <w:t>+32 2 546 8628</w:t>
            </w:r>
          </w:p>
        </w:tc>
      </w:tr>
      <w:tr w:rsidR="00151492" w:rsidRPr="006E3F60" w14:paraId="6FD045E2" w14:textId="77777777" w:rsidTr="00AC432E">
        <w:tc>
          <w:tcPr>
            <w:tcW w:w="1418" w:type="dxa"/>
          </w:tcPr>
          <w:p w14:paraId="579006F6" w14:textId="0CD44CA0" w:rsidR="00151492" w:rsidRPr="006E3F60" w:rsidRDefault="00151492" w:rsidP="00AC432E">
            <w:pPr>
              <w:ind w:left="601"/>
              <w:contextualSpacing/>
              <w:rPr>
                <w:i/>
              </w:rPr>
            </w:pPr>
            <w:r>
              <w:rPr>
                <w:i/>
              </w:rPr>
              <w:t>Courriel:</w:t>
            </w:r>
          </w:p>
        </w:tc>
        <w:tc>
          <w:tcPr>
            <w:tcW w:w="5670" w:type="dxa"/>
          </w:tcPr>
          <w:p w14:paraId="4B67FFE1" w14:textId="06538AFC" w:rsidR="00151492" w:rsidRPr="00C04FC4" w:rsidRDefault="009D65A9" w:rsidP="00AC432E">
            <w:pPr>
              <w:contextualSpacing/>
              <w:rPr>
                <w:i/>
                <w:iCs/>
              </w:rPr>
            </w:pPr>
            <w:hyperlink r:id="rId51" w:history="1">
              <w:r w:rsidR="007B42E2" w:rsidRPr="00C04FC4">
                <w:rPr>
                  <w:rStyle w:val="Hyperlink"/>
                  <w:i/>
                  <w:iCs/>
                </w:rPr>
                <w:t>Adam.Plezer@eesc.europa.eu</w:t>
              </w:r>
            </w:hyperlink>
          </w:p>
        </w:tc>
      </w:tr>
    </w:tbl>
    <w:p w14:paraId="137DD8C1" w14:textId="63145C8B" w:rsidR="00151492" w:rsidRDefault="00151492" w:rsidP="006321AD">
      <w:pPr>
        <w:overflowPunct w:val="0"/>
        <w:autoSpaceDE w:val="0"/>
        <w:autoSpaceDN w:val="0"/>
        <w:adjustRightInd w:val="0"/>
        <w:jc w:val="center"/>
        <w:textAlignment w:val="baseline"/>
      </w:pPr>
      <w:r>
        <w:t>_____________</w:t>
      </w:r>
    </w:p>
    <w:p w14:paraId="5E62A09A" w14:textId="77777777" w:rsidR="00D67CAD" w:rsidRPr="0032340F" w:rsidRDefault="00D67CAD" w:rsidP="00D67CAD">
      <w:pPr>
        <w:rPr>
          <w:sz w:val="2"/>
          <w:szCs w:val="2"/>
        </w:rPr>
      </w:pPr>
    </w:p>
    <w:sectPr w:rsidR="00D67CAD" w:rsidRPr="0032340F" w:rsidSect="00151492">
      <w:headerReference w:type="even" r:id="rId52"/>
      <w:headerReference w:type="default" r:id="rId53"/>
      <w:footerReference w:type="even" r:id="rId54"/>
      <w:footerReference w:type="default" r:id="rId55"/>
      <w:headerReference w:type="first" r:id="rId56"/>
      <w:footerReference w:type="first" r:id="rId57"/>
      <w:pgSz w:w="11907" w:h="16839"/>
      <w:pgMar w:top="1191" w:right="1418"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07EF" w14:textId="77777777" w:rsidR="00765C4F" w:rsidRDefault="00765C4F" w:rsidP="003B0516">
      <w:pPr>
        <w:spacing w:line="240" w:lineRule="auto"/>
      </w:pPr>
      <w:r>
        <w:separator/>
      </w:r>
    </w:p>
  </w:endnote>
  <w:endnote w:type="continuationSeparator" w:id="0">
    <w:p w14:paraId="7657AFA9" w14:textId="77777777" w:rsidR="00765C4F" w:rsidRDefault="00765C4F"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892D" w14:textId="77777777" w:rsidR="00B3633E" w:rsidRDefault="00B36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8F0D" w14:textId="22D7A34E" w:rsidR="00151492" w:rsidRPr="00151492" w:rsidRDefault="00151492" w:rsidP="00151492">
    <w:pPr>
      <w:pStyle w:val="Footer"/>
    </w:pPr>
    <w:r>
      <w:t xml:space="preserve">EESC-2022-04734-00-00-TCD-TRA (EN) </w:t>
    </w:r>
    <w:r>
      <w:fldChar w:fldCharType="begin"/>
    </w:r>
    <w:r>
      <w:instrText xml:space="preserve"> PAGE  \* Arabic  \* MERGEFORMAT </w:instrText>
    </w:r>
    <w:r>
      <w:fldChar w:fldCharType="separate"/>
    </w:r>
    <w:r>
      <w:t>1</w:t>
    </w:r>
    <w:r>
      <w:fldChar w:fldCharType="end"/>
    </w:r>
    <w:r>
      <w:t>/</w:t>
    </w:r>
    <w:r w:rsidR="009D65A9">
      <w:fldChar w:fldCharType="begin"/>
    </w:r>
    <w:r w:rsidR="009D65A9">
      <w:instrText xml:space="preserve"> NUMPAGES </w:instrText>
    </w:r>
    <w:r w:rsidR="009D65A9">
      <w:fldChar w:fldCharType="separate"/>
    </w:r>
    <w:r>
      <w:rPr>
        <w:noProof/>
      </w:rPr>
      <w:t>34</w:t>
    </w:r>
    <w:r w:rsidR="009D65A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36C7" w14:textId="77777777" w:rsidR="00B3633E" w:rsidRDefault="00B36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C15F" w14:textId="77777777" w:rsidR="00765C4F" w:rsidRPr="00151492" w:rsidRDefault="00765C4F" w:rsidP="001514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860" w14:textId="721817C7" w:rsidR="00765C4F" w:rsidRPr="00151492" w:rsidRDefault="00151492" w:rsidP="00151492">
    <w:pPr>
      <w:pStyle w:val="Footer"/>
    </w:pPr>
    <w:r>
      <w:t xml:space="preserve">EESC-2022-04734-00-00-TCD-TRA (EN) </w:t>
    </w:r>
    <w:r>
      <w:fldChar w:fldCharType="begin"/>
    </w:r>
    <w:r>
      <w:instrText xml:space="preserve"> PAGE  \* Arabic  \* MERGEFORMAT </w:instrText>
    </w:r>
    <w:r>
      <w:fldChar w:fldCharType="separate"/>
    </w:r>
    <w:r>
      <w:t>2</w:t>
    </w:r>
    <w:r>
      <w:fldChar w:fldCharType="end"/>
    </w:r>
    <w:r>
      <w:t>/</w:t>
    </w:r>
    <w:r w:rsidR="009D65A9">
      <w:fldChar w:fldCharType="begin"/>
    </w:r>
    <w:r w:rsidR="009D65A9">
      <w:instrText xml:space="preserve"> NUMPAGES </w:instrText>
    </w:r>
    <w:r w:rsidR="009D65A9">
      <w:fldChar w:fldCharType="separate"/>
    </w:r>
    <w:r>
      <w:rPr>
        <w:noProof/>
      </w:rPr>
      <w:t>34</w:t>
    </w:r>
    <w:r w:rsidR="009D65A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E62D" w14:textId="77777777" w:rsidR="00765C4F" w:rsidRPr="00151492" w:rsidRDefault="00765C4F" w:rsidP="00151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0787" w14:textId="77777777" w:rsidR="00765C4F" w:rsidRDefault="00765C4F" w:rsidP="003B0516">
      <w:pPr>
        <w:spacing w:line="240" w:lineRule="auto"/>
      </w:pPr>
      <w:r>
        <w:separator/>
      </w:r>
    </w:p>
  </w:footnote>
  <w:footnote w:type="continuationSeparator" w:id="0">
    <w:p w14:paraId="7CEDF243" w14:textId="77777777" w:rsidR="00765C4F" w:rsidRDefault="00765C4F" w:rsidP="003B0516">
      <w:pPr>
        <w:spacing w:line="240" w:lineRule="auto"/>
      </w:pPr>
      <w:r>
        <w:continuationSeparator/>
      </w:r>
    </w:p>
  </w:footnote>
  <w:footnote w:id="1">
    <w:p w14:paraId="689F4D04" w14:textId="77777777" w:rsidR="00311807" w:rsidRPr="00FE2F04" w:rsidRDefault="00311807" w:rsidP="00311807">
      <w:pPr>
        <w:pStyle w:val="FootnoteText"/>
      </w:pPr>
      <w:r>
        <w:rPr>
          <w:rStyle w:val="FootnoteReference"/>
        </w:rPr>
        <w:footnoteRef/>
      </w:r>
      <w:r>
        <w:t xml:space="preserve"> </w:t>
      </w:r>
      <w:r>
        <w:tab/>
      </w:r>
      <w:hyperlink r:id="rId1" w:history="1">
        <w:r>
          <w:rPr>
            <w:rStyle w:val="Hyperlink"/>
          </w:rPr>
          <w:t>REX/550</w:t>
        </w:r>
      </w:hyperlink>
      <w:r>
        <w:t xml:space="preserve">, </w:t>
      </w:r>
      <w:hyperlink r:id="rId2" w:history="1">
        <w:r>
          <w:rPr>
            <w:rStyle w:val="Hyperlink"/>
          </w:rPr>
          <w:t>TEN/771</w:t>
        </w:r>
      </w:hyperlink>
      <w:r>
        <w:t xml:space="preserve">, </w:t>
      </w:r>
      <w:hyperlink r:id="rId3" w:history="1">
        <w:r>
          <w:rPr>
            <w:rStyle w:val="Hyperlink"/>
          </w:rPr>
          <w:t>INT/979</w:t>
        </w:r>
      </w:hyperlink>
      <w:r>
        <w:t xml:space="preserve">, </w:t>
      </w:r>
      <w:hyperlink r:id="rId4" w:history="1">
        <w:r>
          <w:rPr>
            <w:rStyle w:val="Hyperlink"/>
          </w:rPr>
          <w:t>SOC/717</w:t>
        </w:r>
      </w:hyperlink>
      <w:r>
        <w:t xml:space="preserve">, </w:t>
      </w:r>
      <w:hyperlink r:id="rId5" w:history="1">
        <w:r>
          <w:rPr>
            <w:rStyle w:val="Hyperlink"/>
          </w:rPr>
          <w:t>NAT/859</w:t>
        </w:r>
      </w:hyperlink>
      <w:r>
        <w:t xml:space="preserve">, </w:t>
      </w:r>
      <w:hyperlink r:id="rId6" w:history="1">
        <w:r>
          <w:rPr>
            <w:rStyle w:val="Hyperlink"/>
          </w:rPr>
          <w:t>ECO/853</w:t>
        </w:r>
      </w:hyperlink>
      <w:r>
        <w:t xml:space="preserve">, </w:t>
      </w:r>
      <w:hyperlink r:id="rId7" w:history="1">
        <w:r>
          <w:rPr>
            <w:rStyle w:val="Hyperlink"/>
          </w:rPr>
          <w:t>CCMI/190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7994" w14:textId="77777777" w:rsidR="00B3633E" w:rsidRDefault="00B36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26EC" w14:textId="77777777" w:rsidR="00B3633E" w:rsidRDefault="00B36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993F" w14:textId="77777777" w:rsidR="00B3633E" w:rsidRDefault="00B363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9DF2" w14:textId="77777777" w:rsidR="00765C4F" w:rsidRPr="00151492" w:rsidRDefault="00765C4F" w:rsidP="001514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4FBA" w14:textId="245F142D" w:rsidR="00765C4F" w:rsidRPr="00151492" w:rsidRDefault="00765C4F" w:rsidP="001514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5E7F" w14:textId="77777777" w:rsidR="00765C4F" w:rsidRPr="00151492" w:rsidRDefault="00765C4F" w:rsidP="0015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B66E03"/>
    <w:multiLevelType w:val="hybridMultilevel"/>
    <w:tmpl w:val="53F8DEE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7207661"/>
    <w:multiLevelType w:val="hybridMultilevel"/>
    <w:tmpl w:val="890ADA96"/>
    <w:lvl w:ilvl="0" w:tplc="4572778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A90D20"/>
    <w:multiLevelType w:val="multilevel"/>
    <w:tmpl w:val="37EA7060"/>
    <w:lvl w:ilvl="0">
      <w:start w:val="1"/>
      <w:numFmt w:val="bullet"/>
      <w:lvlText w:val=""/>
      <w:lvlJc w:val="left"/>
      <w:pPr>
        <w:ind w:left="432" w:hanging="432"/>
      </w:pPr>
      <w:rPr>
        <w:rFonts w:ascii="Symbol" w:hAnsi="Symbol" w:hint="default"/>
        <w:color w:val="auto"/>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6" w15:restartNumberingAfterBreak="0">
    <w:nsid w:val="0DA3497F"/>
    <w:multiLevelType w:val="hybridMultilevel"/>
    <w:tmpl w:val="7D8CCDB4"/>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24831"/>
    <w:multiLevelType w:val="hybridMultilevel"/>
    <w:tmpl w:val="AD8096FC"/>
    <w:lvl w:ilvl="0" w:tplc="4572778E">
      <w:start w:val="1"/>
      <w:numFmt w:val="bullet"/>
      <w:lvlText w:val="-"/>
      <w:lvlJc w:val="left"/>
      <w:pPr>
        <w:ind w:left="1429" w:hanging="360"/>
      </w:pPr>
      <w:rPr>
        <w:rFonts w:ascii="Courier New" w:hAnsi="Courier New"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15B02EEB"/>
    <w:multiLevelType w:val="hybridMultilevel"/>
    <w:tmpl w:val="6AEC48B6"/>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76581"/>
    <w:multiLevelType w:val="hybridMultilevel"/>
    <w:tmpl w:val="C1603550"/>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73026"/>
    <w:multiLevelType w:val="hybridMultilevel"/>
    <w:tmpl w:val="D09A5318"/>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66246"/>
    <w:multiLevelType w:val="hybridMultilevel"/>
    <w:tmpl w:val="D45200AA"/>
    <w:lvl w:ilvl="0" w:tplc="4572778E">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097321"/>
    <w:multiLevelType w:val="hybridMultilevel"/>
    <w:tmpl w:val="2BB2C4F6"/>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92E"/>
    <w:multiLevelType w:val="hybridMultilevel"/>
    <w:tmpl w:val="4808D51E"/>
    <w:lvl w:ilvl="0" w:tplc="4572778E">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EBA5F1A"/>
    <w:multiLevelType w:val="hybridMultilevel"/>
    <w:tmpl w:val="65F01694"/>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6C7263F"/>
    <w:multiLevelType w:val="hybridMultilevel"/>
    <w:tmpl w:val="D5BC0A16"/>
    <w:lvl w:ilvl="0" w:tplc="4572778E">
      <w:start w:val="1"/>
      <w:numFmt w:val="bullet"/>
      <w:lvlText w:val="-"/>
      <w:lvlJc w:val="left"/>
      <w:pPr>
        <w:ind w:left="1440" w:hanging="360"/>
      </w:pPr>
      <w:rPr>
        <w:rFonts w:ascii="Courier New" w:hAnsi="Courier New"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84F7D82"/>
    <w:multiLevelType w:val="hybridMultilevel"/>
    <w:tmpl w:val="5A4447BC"/>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8A85004"/>
    <w:multiLevelType w:val="hybridMultilevel"/>
    <w:tmpl w:val="FC04D54E"/>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1542A"/>
    <w:multiLevelType w:val="hybridMultilevel"/>
    <w:tmpl w:val="0CF2E1E4"/>
    <w:lvl w:ilvl="0" w:tplc="4572778E">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B685698"/>
    <w:multiLevelType w:val="hybridMultilevel"/>
    <w:tmpl w:val="BF2C9D50"/>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F2895"/>
    <w:multiLevelType w:val="hybridMultilevel"/>
    <w:tmpl w:val="1CE028A2"/>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30CF8"/>
    <w:multiLevelType w:val="hybridMultilevel"/>
    <w:tmpl w:val="5D724E56"/>
    <w:lvl w:ilvl="0" w:tplc="EA102C4A">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4325355C"/>
    <w:multiLevelType w:val="hybridMultilevel"/>
    <w:tmpl w:val="AE965E5E"/>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5AF18AF"/>
    <w:multiLevelType w:val="hybridMultilevel"/>
    <w:tmpl w:val="518273AC"/>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69757FE"/>
    <w:multiLevelType w:val="hybridMultilevel"/>
    <w:tmpl w:val="C8AA9C1E"/>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A0300"/>
    <w:multiLevelType w:val="hybridMultilevel"/>
    <w:tmpl w:val="91C6EB58"/>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BED1A1F"/>
    <w:multiLevelType w:val="hybridMultilevel"/>
    <w:tmpl w:val="BB322664"/>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0970A2D"/>
    <w:multiLevelType w:val="hybridMultilevel"/>
    <w:tmpl w:val="10504BD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1BC"/>
    <w:multiLevelType w:val="hybridMultilevel"/>
    <w:tmpl w:val="320662DC"/>
    <w:lvl w:ilvl="0" w:tplc="4572778E">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05440B"/>
    <w:multiLevelType w:val="hybridMultilevel"/>
    <w:tmpl w:val="1324B322"/>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62CF2"/>
    <w:multiLevelType w:val="hybridMultilevel"/>
    <w:tmpl w:val="160C3AFE"/>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846AD"/>
    <w:multiLevelType w:val="hybridMultilevel"/>
    <w:tmpl w:val="200A6C26"/>
    <w:lvl w:ilvl="0" w:tplc="08090001">
      <w:start w:val="1"/>
      <w:numFmt w:val="bullet"/>
      <w:lvlText w:val=""/>
      <w:lvlJc w:val="left"/>
      <w:pPr>
        <w:ind w:left="720" w:hanging="360"/>
      </w:pPr>
      <w:rPr>
        <w:rFonts w:ascii="Symbol" w:hAnsi="Symbol" w:hint="default"/>
      </w:rPr>
    </w:lvl>
    <w:lvl w:ilvl="1" w:tplc="4572778E">
      <w:start w:val="1"/>
      <w:numFmt w:val="bullet"/>
      <w:lvlText w:val="-"/>
      <w:lvlJc w:val="left"/>
      <w:pPr>
        <w:ind w:left="1440" w:hanging="360"/>
      </w:pPr>
      <w:rPr>
        <w:rFonts w:ascii="Courier New" w:hAnsi="Courier New" w:hint="default"/>
      </w:rPr>
    </w:lvl>
    <w:lvl w:ilvl="2" w:tplc="4572778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07C88"/>
    <w:multiLevelType w:val="hybridMultilevel"/>
    <w:tmpl w:val="81B20A1E"/>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C1B12"/>
    <w:multiLevelType w:val="hybridMultilevel"/>
    <w:tmpl w:val="4E3CB5A0"/>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35" w15:restartNumberingAfterBreak="0">
    <w:nsid w:val="6313102E"/>
    <w:multiLevelType w:val="hybridMultilevel"/>
    <w:tmpl w:val="EBB62576"/>
    <w:lvl w:ilvl="0" w:tplc="4572778E">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853756C"/>
    <w:multiLevelType w:val="hybridMultilevel"/>
    <w:tmpl w:val="E52695A8"/>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6E4923AD"/>
    <w:multiLevelType w:val="hybridMultilevel"/>
    <w:tmpl w:val="C80E4604"/>
    <w:lvl w:ilvl="0" w:tplc="457277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D7BDC"/>
    <w:multiLevelType w:val="hybridMultilevel"/>
    <w:tmpl w:val="36A26EFE"/>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D5E26"/>
    <w:multiLevelType w:val="hybridMultilevel"/>
    <w:tmpl w:val="5D0ACE9A"/>
    <w:lvl w:ilvl="0" w:tplc="4572778E">
      <w:start w:val="1"/>
      <w:numFmt w:val="bullet"/>
      <w:lvlText w:val="-"/>
      <w:lvlJc w:val="left"/>
      <w:pPr>
        <w:ind w:left="720" w:hanging="360"/>
      </w:pPr>
      <w:rPr>
        <w:rFonts w:ascii="Courier New" w:hAnsi="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6D111A"/>
    <w:multiLevelType w:val="hybridMultilevel"/>
    <w:tmpl w:val="8610B706"/>
    <w:lvl w:ilvl="0" w:tplc="457277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E004B"/>
    <w:multiLevelType w:val="multilevel"/>
    <w:tmpl w:val="6FEE6C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sz w:val="22"/>
        <w:szCs w:val="22"/>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FAE00F9"/>
    <w:multiLevelType w:val="hybridMultilevel"/>
    <w:tmpl w:val="E8FE0388"/>
    <w:lvl w:ilvl="0" w:tplc="4572778E">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7"/>
  </w:num>
  <w:num w:numId="3">
    <w:abstractNumId w:val="39"/>
  </w:num>
  <w:num w:numId="4">
    <w:abstractNumId w:val="5"/>
  </w:num>
  <w:num w:numId="5">
    <w:abstractNumId w:val="34"/>
  </w:num>
  <w:num w:numId="6">
    <w:abstractNumId w:val="20"/>
  </w:num>
  <w:num w:numId="7">
    <w:abstractNumId w:val="42"/>
  </w:num>
  <w:num w:numId="8">
    <w:abstractNumId w:val="31"/>
  </w:num>
  <w:num w:numId="9">
    <w:abstractNumId w:val="11"/>
  </w:num>
  <w:num w:numId="10">
    <w:abstractNumId w:val="18"/>
  </w:num>
  <w:num w:numId="11">
    <w:abstractNumId w:val="13"/>
  </w:num>
  <w:num w:numId="12">
    <w:abstractNumId w:val="26"/>
  </w:num>
  <w:num w:numId="13">
    <w:abstractNumId w:val="2"/>
  </w:num>
  <w:num w:numId="14">
    <w:abstractNumId w:val="7"/>
  </w:num>
  <w:num w:numId="15">
    <w:abstractNumId w:val="43"/>
  </w:num>
  <w:num w:numId="16">
    <w:abstractNumId w:val="35"/>
  </w:num>
  <w:num w:numId="17">
    <w:abstractNumId w:val="16"/>
  </w:num>
  <w:num w:numId="18">
    <w:abstractNumId w:val="23"/>
  </w:num>
  <w:num w:numId="19">
    <w:abstractNumId w:val="14"/>
  </w:num>
  <w:num w:numId="20">
    <w:abstractNumId w:val="28"/>
  </w:num>
  <w:num w:numId="21">
    <w:abstractNumId w:val="40"/>
  </w:num>
  <w:num w:numId="22">
    <w:abstractNumId w:val="15"/>
  </w:num>
  <w:num w:numId="23">
    <w:abstractNumId w:val="3"/>
  </w:num>
  <w:num w:numId="24">
    <w:abstractNumId w:val="9"/>
  </w:num>
  <w:num w:numId="2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6">
    <w:abstractNumId w:val="41"/>
  </w:num>
  <w:num w:numId="27">
    <w:abstractNumId w:val="17"/>
  </w:num>
  <w:num w:numId="28">
    <w:abstractNumId w:val="4"/>
  </w:num>
  <w:num w:numId="29">
    <w:abstractNumId w:val="32"/>
  </w:num>
  <w:num w:numId="30">
    <w:abstractNumId w:val="25"/>
  </w:num>
  <w:num w:numId="31">
    <w:abstractNumId w:val="36"/>
  </w:num>
  <w:num w:numId="32">
    <w:abstractNumId w:val="19"/>
  </w:num>
  <w:num w:numId="33">
    <w:abstractNumId w:val="10"/>
  </w:num>
  <w:num w:numId="34">
    <w:abstractNumId w:val="29"/>
  </w:num>
  <w:num w:numId="35">
    <w:abstractNumId w:val="38"/>
  </w:num>
  <w:num w:numId="36">
    <w:abstractNumId w:val="33"/>
  </w:num>
  <w:num w:numId="37">
    <w:abstractNumId w:val="27"/>
  </w:num>
  <w:num w:numId="38">
    <w:abstractNumId w:val="8"/>
  </w:num>
  <w:num w:numId="39">
    <w:abstractNumId w:val="12"/>
  </w:num>
  <w:num w:numId="40">
    <w:abstractNumId w:val="21"/>
  </w:num>
  <w:num w:numId="41">
    <w:abstractNumId w:val="24"/>
  </w:num>
  <w:num w:numId="42">
    <w:abstractNumId w:val="6"/>
  </w:num>
  <w:num w:numId="43">
    <w:abstractNumId w:val="30"/>
  </w:num>
  <w:num w:numId="4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2061"/>
    <w:rsid w:val="00014C93"/>
    <w:rsid w:val="00015E18"/>
    <w:rsid w:val="00017B56"/>
    <w:rsid w:val="000232FA"/>
    <w:rsid w:val="0002450A"/>
    <w:rsid w:val="00027072"/>
    <w:rsid w:val="00027441"/>
    <w:rsid w:val="00032038"/>
    <w:rsid w:val="0003271A"/>
    <w:rsid w:val="00032BAA"/>
    <w:rsid w:val="00034E35"/>
    <w:rsid w:val="00036505"/>
    <w:rsid w:val="00037A85"/>
    <w:rsid w:val="000402AE"/>
    <w:rsid w:val="00041C4A"/>
    <w:rsid w:val="0004205F"/>
    <w:rsid w:val="000421E0"/>
    <w:rsid w:val="0005110E"/>
    <w:rsid w:val="0005170F"/>
    <w:rsid w:val="00055D63"/>
    <w:rsid w:val="00056079"/>
    <w:rsid w:val="00056B3E"/>
    <w:rsid w:val="00057592"/>
    <w:rsid w:val="00063DFF"/>
    <w:rsid w:val="00063F30"/>
    <w:rsid w:val="00064EDE"/>
    <w:rsid w:val="00066475"/>
    <w:rsid w:val="00070AAE"/>
    <w:rsid w:val="00070FEE"/>
    <w:rsid w:val="0007146F"/>
    <w:rsid w:val="00071F4C"/>
    <w:rsid w:val="00072696"/>
    <w:rsid w:val="000764E8"/>
    <w:rsid w:val="00076BA9"/>
    <w:rsid w:val="00083845"/>
    <w:rsid w:val="000911BF"/>
    <w:rsid w:val="00092425"/>
    <w:rsid w:val="000951A1"/>
    <w:rsid w:val="000956DB"/>
    <w:rsid w:val="00096786"/>
    <w:rsid w:val="000A007B"/>
    <w:rsid w:val="000A03BD"/>
    <w:rsid w:val="000A1218"/>
    <w:rsid w:val="000A74DC"/>
    <w:rsid w:val="000A7BA8"/>
    <w:rsid w:val="000B01F7"/>
    <w:rsid w:val="000B19C4"/>
    <w:rsid w:val="000B1AE6"/>
    <w:rsid w:val="000B1E0F"/>
    <w:rsid w:val="000B5831"/>
    <w:rsid w:val="000B7D8A"/>
    <w:rsid w:val="000C18CA"/>
    <w:rsid w:val="000C3942"/>
    <w:rsid w:val="000C43E2"/>
    <w:rsid w:val="000C6D0B"/>
    <w:rsid w:val="000D2F8F"/>
    <w:rsid w:val="000D65AC"/>
    <w:rsid w:val="000E447F"/>
    <w:rsid w:val="000E5FFD"/>
    <w:rsid w:val="000E6108"/>
    <w:rsid w:val="000F2BDB"/>
    <w:rsid w:val="000F53B7"/>
    <w:rsid w:val="000F679A"/>
    <w:rsid w:val="001000A8"/>
    <w:rsid w:val="001016BE"/>
    <w:rsid w:val="00106358"/>
    <w:rsid w:val="001106FB"/>
    <w:rsid w:val="001167A1"/>
    <w:rsid w:val="00116A1C"/>
    <w:rsid w:val="001179DB"/>
    <w:rsid w:val="00117AA8"/>
    <w:rsid w:val="00124D7C"/>
    <w:rsid w:val="001271C3"/>
    <w:rsid w:val="001400C7"/>
    <w:rsid w:val="00140AB0"/>
    <w:rsid w:val="001445A7"/>
    <w:rsid w:val="001455A1"/>
    <w:rsid w:val="00150AD8"/>
    <w:rsid w:val="001513FD"/>
    <w:rsid w:val="00151492"/>
    <w:rsid w:val="001543FE"/>
    <w:rsid w:val="00163106"/>
    <w:rsid w:val="00164813"/>
    <w:rsid w:val="00170DFD"/>
    <w:rsid w:val="001744F9"/>
    <w:rsid w:val="00174763"/>
    <w:rsid w:val="0018231C"/>
    <w:rsid w:val="00182F92"/>
    <w:rsid w:val="00191597"/>
    <w:rsid w:val="001951FD"/>
    <w:rsid w:val="00196ED4"/>
    <w:rsid w:val="0019715D"/>
    <w:rsid w:val="001A0AD4"/>
    <w:rsid w:val="001A2273"/>
    <w:rsid w:val="001A7476"/>
    <w:rsid w:val="001B10DA"/>
    <w:rsid w:val="001B6460"/>
    <w:rsid w:val="001C226F"/>
    <w:rsid w:val="001C4EDC"/>
    <w:rsid w:val="001C5D5C"/>
    <w:rsid w:val="001D1F54"/>
    <w:rsid w:val="001D2636"/>
    <w:rsid w:val="001D6FFF"/>
    <w:rsid w:val="001D770D"/>
    <w:rsid w:val="001E0F0C"/>
    <w:rsid w:val="001E2286"/>
    <w:rsid w:val="001E6413"/>
    <w:rsid w:val="001F1433"/>
    <w:rsid w:val="001F1862"/>
    <w:rsid w:val="001F56CE"/>
    <w:rsid w:val="001F6FD5"/>
    <w:rsid w:val="00200222"/>
    <w:rsid w:val="0020062C"/>
    <w:rsid w:val="002037FC"/>
    <w:rsid w:val="002043D7"/>
    <w:rsid w:val="00210707"/>
    <w:rsid w:val="00215520"/>
    <w:rsid w:val="0021590B"/>
    <w:rsid w:val="00215FAB"/>
    <w:rsid w:val="00221313"/>
    <w:rsid w:val="00224583"/>
    <w:rsid w:val="00225BCA"/>
    <w:rsid w:val="00225C52"/>
    <w:rsid w:val="00226DC1"/>
    <w:rsid w:val="00227E12"/>
    <w:rsid w:val="00232374"/>
    <w:rsid w:val="002326F4"/>
    <w:rsid w:val="002328D2"/>
    <w:rsid w:val="00237481"/>
    <w:rsid w:val="00242666"/>
    <w:rsid w:val="00244104"/>
    <w:rsid w:val="00247E02"/>
    <w:rsid w:val="00251DBD"/>
    <w:rsid w:val="00255669"/>
    <w:rsid w:val="00256F0A"/>
    <w:rsid w:val="00261903"/>
    <w:rsid w:val="00261FDB"/>
    <w:rsid w:val="00270828"/>
    <w:rsid w:val="002737D4"/>
    <w:rsid w:val="00276CC9"/>
    <w:rsid w:val="002776B9"/>
    <w:rsid w:val="00291154"/>
    <w:rsid w:val="00292D44"/>
    <w:rsid w:val="00293E9C"/>
    <w:rsid w:val="002A2F38"/>
    <w:rsid w:val="002A417C"/>
    <w:rsid w:val="002A6192"/>
    <w:rsid w:val="002A696A"/>
    <w:rsid w:val="002B09A7"/>
    <w:rsid w:val="002B1961"/>
    <w:rsid w:val="002B2BA3"/>
    <w:rsid w:val="002B4ABC"/>
    <w:rsid w:val="002B5031"/>
    <w:rsid w:val="002B75A5"/>
    <w:rsid w:val="002B7981"/>
    <w:rsid w:val="002C0E2F"/>
    <w:rsid w:val="002C2466"/>
    <w:rsid w:val="002C24B9"/>
    <w:rsid w:val="002C2B80"/>
    <w:rsid w:val="002C4B6E"/>
    <w:rsid w:val="002C5F52"/>
    <w:rsid w:val="002D03B9"/>
    <w:rsid w:val="002D3FFF"/>
    <w:rsid w:val="002D4C38"/>
    <w:rsid w:val="002D5A51"/>
    <w:rsid w:val="002D788F"/>
    <w:rsid w:val="002E01B5"/>
    <w:rsid w:val="002E44D6"/>
    <w:rsid w:val="002E459D"/>
    <w:rsid w:val="002E5473"/>
    <w:rsid w:val="002F32E6"/>
    <w:rsid w:val="002F63EB"/>
    <w:rsid w:val="00305834"/>
    <w:rsid w:val="00311562"/>
    <w:rsid w:val="00311807"/>
    <w:rsid w:val="003123CB"/>
    <w:rsid w:val="00312D40"/>
    <w:rsid w:val="003165A9"/>
    <w:rsid w:val="0032154F"/>
    <w:rsid w:val="0032266E"/>
    <w:rsid w:val="003227CC"/>
    <w:rsid w:val="0032340F"/>
    <w:rsid w:val="00323A05"/>
    <w:rsid w:val="003256C3"/>
    <w:rsid w:val="00326919"/>
    <w:rsid w:val="00331ACB"/>
    <w:rsid w:val="00331C12"/>
    <w:rsid w:val="00333F1A"/>
    <w:rsid w:val="003361CC"/>
    <w:rsid w:val="00340F46"/>
    <w:rsid w:val="00342F72"/>
    <w:rsid w:val="003505DD"/>
    <w:rsid w:val="00350A12"/>
    <w:rsid w:val="00350F5C"/>
    <w:rsid w:val="003527B4"/>
    <w:rsid w:val="00360C81"/>
    <w:rsid w:val="00361E48"/>
    <w:rsid w:val="0036641A"/>
    <w:rsid w:val="00370548"/>
    <w:rsid w:val="00370CCB"/>
    <w:rsid w:val="00376574"/>
    <w:rsid w:val="00394949"/>
    <w:rsid w:val="00396061"/>
    <w:rsid w:val="003965BB"/>
    <w:rsid w:val="003A0DB7"/>
    <w:rsid w:val="003A7071"/>
    <w:rsid w:val="003B0516"/>
    <w:rsid w:val="003B2007"/>
    <w:rsid w:val="003B3C5F"/>
    <w:rsid w:val="003B3D68"/>
    <w:rsid w:val="003B6760"/>
    <w:rsid w:val="003C07C5"/>
    <w:rsid w:val="003C0E5B"/>
    <w:rsid w:val="003C0FF2"/>
    <w:rsid w:val="003C2647"/>
    <w:rsid w:val="003C4D5B"/>
    <w:rsid w:val="003C5614"/>
    <w:rsid w:val="003D33F7"/>
    <w:rsid w:val="003D4F68"/>
    <w:rsid w:val="003D57BD"/>
    <w:rsid w:val="003D76E2"/>
    <w:rsid w:val="003E08CB"/>
    <w:rsid w:val="003E2757"/>
    <w:rsid w:val="003E5137"/>
    <w:rsid w:val="003E692C"/>
    <w:rsid w:val="003F0159"/>
    <w:rsid w:val="003F2D36"/>
    <w:rsid w:val="003F510A"/>
    <w:rsid w:val="003F6382"/>
    <w:rsid w:val="0040019C"/>
    <w:rsid w:val="00400A1F"/>
    <w:rsid w:val="00403406"/>
    <w:rsid w:val="004047A6"/>
    <w:rsid w:val="004047B1"/>
    <w:rsid w:val="00405802"/>
    <w:rsid w:val="00405FD9"/>
    <w:rsid w:val="00407760"/>
    <w:rsid w:val="00413EA0"/>
    <w:rsid w:val="00426ECD"/>
    <w:rsid w:val="004331B4"/>
    <w:rsid w:val="004415E2"/>
    <w:rsid w:val="00441E45"/>
    <w:rsid w:val="004442D3"/>
    <w:rsid w:val="004511AE"/>
    <w:rsid w:val="00456E3C"/>
    <w:rsid w:val="00462B31"/>
    <w:rsid w:val="00463300"/>
    <w:rsid w:val="004646AF"/>
    <w:rsid w:val="0046631E"/>
    <w:rsid w:val="00470719"/>
    <w:rsid w:val="00472A79"/>
    <w:rsid w:val="00472E72"/>
    <w:rsid w:val="004755C3"/>
    <w:rsid w:val="00477361"/>
    <w:rsid w:val="004904F9"/>
    <w:rsid w:val="0049347F"/>
    <w:rsid w:val="004A46D9"/>
    <w:rsid w:val="004A5CD7"/>
    <w:rsid w:val="004B2250"/>
    <w:rsid w:val="004B344F"/>
    <w:rsid w:val="004B7248"/>
    <w:rsid w:val="004B72DD"/>
    <w:rsid w:val="004C1E12"/>
    <w:rsid w:val="004C2872"/>
    <w:rsid w:val="004C40E4"/>
    <w:rsid w:val="004D2E64"/>
    <w:rsid w:val="004D2F23"/>
    <w:rsid w:val="004D65FF"/>
    <w:rsid w:val="004D7AC0"/>
    <w:rsid w:val="004E3304"/>
    <w:rsid w:val="004E7399"/>
    <w:rsid w:val="004F2430"/>
    <w:rsid w:val="004F68A8"/>
    <w:rsid w:val="00502B04"/>
    <w:rsid w:val="00502C82"/>
    <w:rsid w:val="005030F7"/>
    <w:rsid w:val="00510903"/>
    <w:rsid w:val="005129EB"/>
    <w:rsid w:val="00516DE5"/>
    <w:rsid w:val="00530644"/>
    <w:rsid w:val="00531E0B"/>
    <w:rsid w:val="00533BF2"/>
    <w:rsid w:val="0053502B"/>
    <w:rsid w:val="0054010D"/>
    <w:rsid w:val="00542C6F"/>
    <w:rsid w:val="005445DD"/>
    <w:rsid w:val="00546842"/>
    <w:rsid w:val="005475DA"/>
    <w:rsid w:val="00550800"/>
    <w:rsid w:val="00552022"/>
    <w:rsid w:val="00554499"/>
    <w:rsid w:val="00555A39"/>
    <w:rsid w:val="00560174"/>
    <w:rsid w:val="00564924"/>
    <w:rsid w:val="00565C6E"/>
    <w:rsid w:val="00571FEB"/>
    <w:rsid w:val="00577672"/>
    <w:rsid w:val="00582A42"/>
    <w:rsid w:val="00584D91"/>
    <w:rsid w:val="00585857"/>
    <w:rsid w:val="0058593B"/>
    <w:rsid w:val="00586B4B"/>
    <w:rsid w:val="00590BDD"/>
    <w:rsid w:val="00594140"/>
    <w:rsid w:val="00594D93"/>
    <w:rsid w:val="0059647B"/>
    <w:rsid w:val="005A280E"/>
    <w:rsid w:val="005A3E6D"/>
    <w:rsid w:val="005A6946"/>
    <w:rsid w:val="005A755F"/>
    <w:rsid w:val="005B0E27"/>
    <w:rsid w:val="005B3012"/>
    <w:rsid w:val="005B5038"/>
    <w:rsid w:val="005C0363"/>
    <w:rsid w:val="005C1192"/>
    <w:rsid w:val="005C7C47"/>
    <w:rsid w:val="005D55F5"/>
    <w:rsid w:val="005D621C"/>
    <w:rsid w:val="005D6E4D"/>
    <w:rsid w:val="005D7939"/>
    <w:rsid w:val="005E23CD"/>
    <w:rsid w:val="005E2C02"/>
    <w:rsid w:val="005E56F3"/>
    <w:rsid w:val="005E682E"/>
    <w:rsid w:val="005E764B"/>
    <w:rsid w:val="005F4FFC"/>
    <w:rsid w:val="005F78D7"/>
    <w:rsid w:val="005F7E48"/>
    <w:rsid w:val="00600A25"/>
    <w:rsid w:val="006025C9"/>
    <w:rsid w:val="00607F17"/>
    <w:rsid w:val="006119BD"/>
    <w:rsid w:val="006125A8"/>
    <w:rsid w:val="00613467"/>
    <w:rsid w:val="0061692F"/>
    <w:rsid w:val="0062138E"/>
    <w:rsid w:val="00622822"/>
    <w:rsid w:val="00624785"/>
    <w:rsid w:val="00627B8F"/>
    <w:rsid w:val="00630047"/>
    <w:rsid w:val="00630928"/>
    <w:rsid w:val="00631509"/>
    <w:rsid w:val="00632139"/>
    <w:rsid w:val="006321AD"/>
    <w:rsid w:val="006324DA"/>
    <w:rsid w:val="006334BE"/>
    <w:rsid w:val="00640656"/>
    <w:rsid w:val="00641262"/>
    <w:rsid w:val="00645723"/>
    <w:rsid w:val="00650DB1"/>
    <w:rsid w:val="006568C8"/>
    <w:rsid w:val="006604D8"/>
    <w:rsid w:val="00662436"/>
    <w:rsid w:val="006669FA"/>
    <w:rsid w:val="00666A72"/>
    <w:rsid w:val="00670347"/>
    <w:rsid w:val="00673C6C"/>
    <w:rsid w:val="00675177"/>
    <w:rsid w:val="00676CBB"/>
    <w:rsid w:val="00677979"/>
    <w:rsid w:val="00681B23"/>
    <w:rsid w:val="0068241A"/>
    <w:rsid w:val="006849A6"/>
    <w:rsid w:val="00691356"/>
    <w:rsid w:val="006967AE"/>
    <w:rsid w:val="006A1317"/>
    <w:rsid w:val="006A3A88"/>
    <w:rsid w:val="006A42C1"/>
    <w:rsid w:val="006A5AA8"/>
    <w:rsid w:val="006B106B"/>
    <w:rsid w:val="006B265F"/>
    <w:rsid w:val="006C4311"/>
    <w:rsid w:val="006C4ED2"/>
    <w:rsid w:val="006D1E2F"/>
    <w:rsid w:val="006D32E3"/>
    <w:rsid w:val="006D4847"/>
    <w:rsid w:val="006D6086"/>
    <w:rsid w:val="006E0E88"/>
    <w:rsid w:val="006E3078"/>
    <w:rsid w:val="006E3F60"/>
    <w:rsid w:val="006E6434"/>
    <w:rsid w:val="006F2BFD"/>
    <w:rsid w:val="006F3409"/>
    <w:rsid w:val="00700030"/>
    <w:rsid w:val="0070059F"/>
    <w:rsid w:val="007037CE"/>
    <w:rsid w:val="00704C1E"/>
    <w:rsid w:val="00705674"/>
    <w:rsid w:val="0070677E"/>
    <w:rsid w:val="007105B2"/>
    <w:rsid w:val="007150C5"/>
    <w:rsid w:val="00715A60"/>
    <w:rsid w:val="007179BC"/>
    <w:rsid w:val="00720D22"/>
    <w:rsid w:val="00721342"/>
    <w:rsid w:val="00721386"/>
    <w:rsid w:val="00727B0D"/>
    <w:rsid w:val="007327CD"/>
    <w:rsid w:val="00732CC4"/>
    <w:rsid w:val="00733A55"/>
    <w:rsid w:val="00735256"/>
    <w:rsid w:val="00737766"/>
    <w:rsid w:val="0074379C"/>
    <w:rsid w:val="00745EAA"/>
    <w:rsid w:val="00746B35"/>
    <w:rsid w:val="00747734"/>
    <w:rsid w:val="00750BF7"/>
    <w:rsid w:val="0075250B"/>
    <w:rsid w:val="00753F2A"/>
    <w:rsid w:val="007569F3"/>
    <w:rsid w:val="00756F3D"/>
    <w:rsid w:val="00760B02"/>
    <w:rsid w:val="00760C0A"/>
    <w:rsid w:val="0076429F"/>
    <w:rsid w:val="00765C4F"/>
    <w:rsid w:val="00771110"/>
    <w:rsid w:val="00774951"/>
    <w:rsid w:val="00775FDA"/>
    <w:rsid w:val="0077736D"/>
    <w:rsid w:val="0077792F"/>
    <w:rsid w:val="00781B32"/>
    <w:rsid w:val="007830DD"/>
    <w:rsid w:val="00785F4A"/>
    <w:rsid w:val="007A0970"/>
    <w:rsid w:val="007A1548"/>
    <w:rsid w:val="007B21C5"/>
    <w:rsid w:val="007B231B"/>
    <w:rsid w:val="007B2FB7"/>
    <w:rsid w:val="007B42E2"/>
    <w:rsid w:val="007B4C34"/>
    <w:rsid w:val="007B4C38"/>
    <w:rsid w:val="007B7C40"/>
    <w:rsid w:val="007C11A7"/>
    <w:rsid w:val="007C58EF"/>
    <w:rsid w:val="007C7CE2"/>
    <w:rsid w:val="007D1564"/>
    <w:rsid w:val="007D17CA"/>
    <w:rsid w:val="007D42D1"/>
    <w:rsid w:val="007D5174"/>
    <w:rsid w:val="007E0CE8"/>
    <w:rsid w:val="007E3FFA"/>
    <w:rsid w:val="007E70D2"/>
    <w:rsid w:val="007E7A4F"/>
    <w:rsid w:val="007E7DE3"/>
    <w:rsid w:val="007F0BB7"/>
    <w:rsid w:val="007F2119"/>
    <w:rsid w:val="007F292F"/>
    <w:rsid w:val="007F7DBA"/>
    <w:rsid w:val="00804736"/>
    <w:rsid w:val="0080501D"/>
    <w:rsid w:val="00812594"/>
    <w:rsid w:val="00813A00"/>
    <w:rsid w:val="00814E33"/>
    <w:rsid w:val="008159E1"/>
    <w:rsid w:val="008172B0"/>
    <w:rsid w:val="00822ED8"/>
    <w:rsid w:val="00824647"/>
    <w:rsid w:val="00824DCF"/>
    <w:rsid w:val="0082509A"/>
    <w:rsid w:val="00827B0E"/>
    <w:rsid w:val="008327B1"/>
    <w:rsid w:val="00833E27"/>
    <w:rsid w:val="00835925"/>
    <w:rsid w:val="00841374"/>
    <w:rsid w:val="00842465"/>
    <w:rsid w:val="00842BDD"/>
    <w:rsid w:val="00842C71"/>
    <w:rsid w:val="00844B87"/>
    <w:rsid w:val="00847288"/>
    <w:rsid w:val="0085096C"/>
    <w:rsid w:val="00855196"/>
    <w:rsid w:val="00855772"/>
    <w:rsid w:val="0086045C"/>
    <w:rsid w:val="008608BA"/>
    <w:rsid w:val="00861942"/>
    <w:rsid w:val="00862952"/>
    <w:rsid w:val="00862DC9"/>
    <w:rsid w:val="0086458A"/>
    <w:rsid w:val="008737C0"/>
    <w:rsid w:val="008745F7"/>
    <w:rsid w:val="00881E9B"/>
    <w:rsid w:val="0088219D"/>
    <w:rsid w:val="00883682"/>
    <w:rsid w:val="0088465F"/>
    <w:rsid w:val="00884879"/>
    <w:rsid w:val="008854AE"/>
    <w:rsid w:val="00886448"/>
    <w:rsid w:val="008946BF"/>
    <w:rsid w:val="008A0B15"/>
    <w:rsid w:val="008A4C14"/>
    <w:rsid w:val="008B2544"/>
    <w:rsid w:val="008B26C6"/>
    <w:rsid w:val="008B2708"/>
    <w:rsid w:val="008B66DD"/>
    <w:rsid w:val="008B72DD"/>
    <w:rsid w:val="008B74A9"/>
    <w:rsid w:val="008C18DE"/>
    <w:rsid w:val="008C5DFD"/>
    <w:rsid w:val="008D2131"/>
    <w:rsid w:val="008D5213"/>
    <w:rsid w:val="008E0C2F"/>
    <w:rsid w:val="008E5076"/>
    <w:rsid w:val="008F0EDB"/>
    <w:rsid w:val="008F1627"/>
    <w:rsid w:val="00900BFC"/>
    <w:rsid w:val="009011ED"/>
    <w:rsid w:val="00901D29"/>
    <w:rsid w:val="009049FC"/>
    <w:rsid w:val="009109F5"/>
    <w:rsid w:val="00910A95"/>
    <w:rsid w:val="00912E0E"/>
    <w:rsid w:val="00912F6B"/>
    <w:rsid w:val="00914265"/>
    <w:rsid w:val="009173E7"/>
    <w:rsid w:val="009177FF"/>
    <w:rsid w:val="00931584"/>
    <w:rsid w:val="00934472"/>
    <w:rsid w:val="00942238"/>
    <w:rsid w:val="00943004"/>
    <w:rsid w:val="0094733C"/>
    <w:rsid w:val="00947E08"/>
    <w:rsid w:val="0095386D"/>
    <w:rsid w:val="0095396D"/>
    <w:rsid w:val="0096099A"/>
    <w:rsid w:val="00961956"/>
    <w:rsid w:val="00961F3C"/>
    <w:rsid w:val="0096721E"/>
    <w:rsid w:val="00967517"/>
    <w:rsid w:val="00970971"/>
    <w:rsid w:val="00971495"/>
    <w:rsid w:val="0097659B"/>
    <w:rsid w:val="00986C7F"/>
    <w:rsid w:val="00987507"/>
    <w:rsid w:val="009954A1"/>
    <w:rsid w:val="00995B10"/>
    <w:rsid w:val="009A71C8"/>
    <w:rsid w:val="009B0E36"/>
    <w:rsid w:val="009B12BE"/>
    <w:rsid w:val="009B2ADD"/>
    <w:rsid w:val="009B37E5"/>
    <w:rsid w:val="009B70E7"/>
    <w:rsid w:val="009B72AB"/>
    <w:rsid w:val="009C513E"/>
    <w:rsid w:val="009C574C"/>
    <w:rsid w:val="009C75E4"/>
    <w:rsid w:val="009D07F4"/>
    <w:rsid w:val="009D1CA2"/>
    <w:rsid w:val="009D2CD0"/>
    <w:rsid w:val="009D388E"/>
    <w:rsid w:val="009D5CC6"/>
    <w:rsid w:val="009D65A9"/>
    <w:rsid w:val="009E413B"/>
    <w:rsid w:val="009E4E92"/>
    <w:rsid w:val="009E6BA2"/>
    <w:rsid w:val="009E70A3"/>
    <w:rsid w:val="009E7942"/>
    <w:rsid w:val="009F39C6"/>
    <w:rsid w:val="009F3BC5"/>
    <w:rsid w:val="009F5F78"/>
    <w:rsid w:val="009F706B"/>
    <w:rsid w:val="00A00F37"/>
    <w:rsid w:val="00A0410F"/>
    <w:rsid w:val="00A048E9"/>
    <w:rsid w:val="00A049D5"/>
    <w:rsid w:val="00A0638E"/>
    <w:rsid w:val="00A06E9E"/>
    <w:rsid w:val="00A10A98"/>
    <w:rsid w:val="00A20E9D"/>
    <w:rsid w:val="00A21849"/>
    <w:rsid w:val="00A23F52"/>
    <w:rsid w:val="00A26217"/>
    <w:rsid w:val="00A30792"/>
    <w:rsid w:val="00A30B84"/>
    <w:rsid w:val="00A3344B"/>
    <w:rsid w:val="00A37880"/>
    <w:rsid w:val="00A45EC3"/>
    <w:rsid w:val="00A46122"/>
    <w:rsid w:val="00A51F03"/>
    <w:rsid w:val="00A51F67"/>
    <w:rsid w:val="00A522D4"/>
    <w:rsid w:val="00A5507B"/>
    <w:rsid w:val="00A629E1"/>
    <w:rsid w:val="00A62F57"/>
    <w:rsid w:val="00A63413"/>
    <w:rsid w:val="00A6556C"/>
    <w:rsid w:val="00A659B5"/>
    <w:rsid w:val="00A661BB"/>
    <w:rsid w:val="00A720CF"/>
    <w:rsid w:val="00A743EB"/>
    <w:rsid w:val="00A74B4C"/>
    <w:rsid w:val="00A763E7"/>
    <w:rsid w:val="00A827D2"/>
    <w:rsid w:val="00A86E2C"/>
    <w:rsid w:val="00A9462E"/>
    <w:rsid w:val="00A94E45"/>
    <w:rsid w:val="00AA05F8"/>
    <w:rsid w:val="00AA4FB9"/>
    <w:rsid w:val="00AA5C1D"/>
    <w:rsid w:val="00AA5C61"/>
    <w:rsid w:val="00AA69BF"/>
    <w:rsid w:val="00AB20C0"/>
    <w:rsid w:val="00AB3045"/>
    <w:rsid w:val="00AB4D68"/>
    <w:rsid w:val="00AB5E6A"/>
    <w:rsid w:val="00AB72EB"/>
    <w:rsid w:val="00AC567A"/>
    <w:rsid w:val="00AC7690"/>
    <w:rsid w:val="00AC7CE7"/>
    <w:rsid w:val="00AD1524"/>
    <w:rsid w:val="00AD3DB1"/>
    <w:rsid w:val="00AD6708"/>
    <w:rsid w:val="00AD75EB"/>
    <w:rsid w:val="00AE0A52"/>
    <w:rsid w:val="00AE2E3C"/>
    <w:rsid w:val="00AF1233"/>
    <w:rsid w:val="00AF2C37"/>
    <w:rsid w:val="00AF45AD"/>
    <w:rsid w:val="00AF4F10"/>
    <w:rsid w:val="00B0753C"/>
    <w:rsid w:val="00B10934"/>
    <w:rsid w:val="00B11964"/>
    <w:rsid w:val="00B13B9C"/>
    <w:rsid w:val="00B24B60"/>
    <w:rsid w:val="00B24C28"/>
    <w:rsid w:val="00B30118"/>
    <w:rsid w:val="00B34E93"/>
    <w:rsid w:val="00B35908"/>
    <w:rsid w:val="00B3633E"/>
    <w:rsid w:val="00B40093"/>
    <w:rsid w:val="00B40158"/>
    <w:rsid w:val="00B41E79"/>
    <w:rsid w:val="00B42F7B"/>
    <w:rsid w:val="00B4330A"/>
    <w:rsid w:val="00B44BB9"/>
    <w:rsid w:val="00B44E37"/>
    <w:rsid w:val="00B4522B"/>
    <w:rsid w:val="00B51AF6"/>
    <w:rsid w:val="00B51B20"/>
    <w:rsid w:val="00B51EBC"/>
    <w:rsid w:val="00B5317E"/>
    <w:rsid w:val="00B53791"/>
    <w:rsid w:val="00B539C0"/>
    <w:rsid w:val="00B53E01"/>
    <w:rsid w:val="00B53E10"/>
    <w:rsid w:val="00B54D49"/>
    <w:rsid w:val="00B56041"/>
    <w:rsid w:val="00B61819"/>
    <w:rsid w:val="00B62D22"/>
    <w:rsid w:val="00B656FE"/>
    <w:rsid w:val="00B67EDA"/>
    <w:rsid w:val="00B7530C"/>
    <w:rsid w:val="00B76922"/>
    <w:rsid w:val="00B77513"/>
    <w:rsid w:val="00B83E7B"/>
    <w:rsid w:val="00B85573"/>
    <w:rsid w:val="00B876EC"/>
    <w:rsid w:val="00B90D85"/>
    <w:rsid w:val="00B92B86"/>
    <w:rsid w:val="00B9776A"/>
    <w:rsid w:val="00B97AA6"/>
    <w:rsid w:val="00BA01BF"/>
    <w:rsid w:val="00BA051D"/>
    <w:rsid w:val="00BA579D"/>
    <w:rsid w:val="00BB054C"/>
    <w:rsid w:val="00BB1EE2"/>
    <w:rsid w:val="00BB37C1"/>
    <w:rsid w:val="00BB3A55"/>
    <w:rsid w:val="00BB739D"/>
    <w:rsid w:val="00BC1767"/>
    <w:rsid w:val="00BC29C8"/>
    <w:rsid w:val="00BC3670"/>
    <w:rsid w:val="00BC375B"/>
    <w:rsid w:val="00BC3FCE"/>
    <w:rsid w:val="00BC41D9"/>
    <w:rsid w:val="00BC796F"/>
    <w:rsid w:val="00BD4DBF"/>
    <w:rsid w:val="00BD6E79"/>
    <w:rsid w:val="00BD7550"/>
    <w:rsid w:val="00BD7A8C"/>
    <w:rsid w:val="00BE12B3"/>
    <w:rsid w:val="00BE5754"/>
    <w:rsid w:val="00BE6D5A"/>
    <w:rsid w:val="00BF27C9"/>
    <w:rsid w:val="00BF6653"/>
    <w:rsid w:val="00C005B2"/>
    <w:rsid w:val="00C008B7"/>
    <w:rsid w:val="00C00B1F"/>
    <w:rsid w:val="00C0119D"/>
    <w:rsid w:val="00C04FC4"/>
    <w:rsid w:val="00C1069E"/>
    <w:rsid w:val="00C10C77"/>
    <w:rsid w:val="00C22185"/>
    <w:rsid w:val="00C23683"/>
    <w:rsid w:val="00C259DF"/>
    <w:rsid w:val="00C25DB3"/>
    <w:rsid w:val="00C26038"/>
    <w:rsid w:val="00C26CE3"/>
    <w:rsid w:val="00C331A1"/>
    <w:rsid w:val="00C34B35"/>
    <w:rsid w:val="00C37AC2"/>
    <w:rsid w:val="00C445FE"/>
    <w:rsid w:val="00C44A5C"/>
    <w:rsid w:val="00C46E4F"/>
    <w:rsid w:val="00C508EF"/>
    <w:rsid w:val="00C554BB"/>
    <w:rsid w:val="00C600B5"/>
    <w:rsid w:val="00C60AE2"/>
    <w:rsid w:val="00C61E75"/>
    <w:rsid w:val="00C643A7"/>
    <w:rsid w:val="00C64EEF"/>
    <w:rsid w:val="00C65A95"/>
    <w:rsid w:val="00C677AD"/>
    <w:rsid w:val="00C70E54"/>
    <w:rsid w:val="00C71AB7"/>
    <w:rsid w:val="00C752C7"/>
    <w:rsid w:val="00C7574C"/>
    <w:rsid w:val="00C76C46"/>
    <w:rsid w:val="00C76D56"/>
    <w:rsid w:val="00C80321"/>
    <w:rsid w:val="00C834A5"/>
    <w:rsid w:val="00C8431E"/>
    <w:rsid w:val="00C86F74"/>
    <w:rsid w:val="00C92102"/>
    <w:rsid w:val="00C95751"/>
    <w:rsid w:val="00C9679B"/>
    <w:rsid w:val="00C96BF2"/>
    <w:rsid w:val="00C97966"/>
    <w:rsid w:val="00CA3848"/>
    <w:rsid w:val="00CA684E"/>
    <w:rsid w:val="00CA685D"/>
    <w:rsid w:val="00CA6928"/>
    <w:rsid w:val="00CB0CBA"/>
    <w:rsid w:val="00CB1D03"/>
    <w:rsid w:val="00CB2A8A"/>
    <w:rsid w:val="00CB3335"/>
    <w:rsid w:val="00CB3574"/>
    <w:rsid w:val="00CB4448"/>
    <w:rsid w:val="00CB6509"/>
    <w:rsid w:val="00CC25F9"/>
    <w:rsid w:val="00CD1982"/>
    <w:rsid w:val="00CD7E1B"/>
    <w:rsid w:val="00CD7F66"/>
    <w:rsid w:val="00CE23CC"/>
    <w:rsid w:val="00CE48CB"/>
    <w:rsid w:val="00CF2F88"/>
    <w:rsid w:val="00CF3D01"/>
    <w:rsid w:val="00CF5AC7"/>
    <w:rsid w:val="00CF7F58"/>
    <w:rsid w:val="00D0023B"/>
    <w:rsid w:val="00D007F3"/>
    <w:rsid w:val="00D00BF8"/>
    <w:rsid w:val="00D014A8"/>
    <w:rsid w:val="00D04678"/>
    <w:rsid w:val="00D13F40"/>
    <w:rsid w:val="00D205F2"/>
    <w:rsid w:val="00D20C54"/>
    <w:rsid w:val="00D243A3"/>
    <w:rsid w:val="00D24601"/>
    <w:rsid w:val="00D261C1"/>
    <w:rsid w:val="00D327F0"/>
    <w:rsid w:val="00D35512"/>
    <w:rsid w:val="00D35C97"/>
    <w:rsid w:val="00D41F72"/>
    <w:rsid w:val="00D423EB"/>
    <w:rsid w:val="00D442EE"/>
    <w:rsid w:val="00D47085"/>
    <w:rsid w:val="00D534BA"/>
    <w:rsid w:val="00D55B4C"/>
    <w:rsid w:val="00D61B08"/>
    <w:rsid w:val="00D62984"/>
    <w:rsid w:val="00D630B8"/>
    <w:rsid w:val="00D67CAD"/>
    <w:rsid w:val="00D761CD"/>
    <w:rsid w:val="00D76363"/>
    <w:rsid w:val="00D80558"/>
    <w:rsid w:val="00D80C88"/>
    <w:rsid w:val="00D84FBD"/>
    <w:rsid w:val="00D85838"/>
    <w:rsid w:val="00D85D67"/>
    <w:rsid w:val="00D86432"/>
    <w:rsid w:val="00D9163C"/>
    <w:rsid w:val="00D91EA9"/>
    <w:rsid w:val="00D92EBC"/>
    <w:rsid w:val="00D944B2"/>
    <w:rsid w:val="00DA2D88"/>
    <w:rsid w:val="00DA608B"/>
    <w:rsid w:val="00DB2B61"/>
    <w:rsid w:val="00DB34D6"/>
    <w:rsid w:val="00DB6D98"/>
    <w:rsid w:val="00DC057E"/>
    <w:rsid w:val="00DC097D"/>
    <w:rsid w:val="00DC17CF"/>
    <w:rsid w:val="00DC28F0"/>
    <w:rsid w:val="00DC53E9"/>
    <w:rsid w:val="00DD23A2"/>
    <w:rsid w:val="00DD289C"/>
    <w:rsid w:val="00DD53BD"/>
    <w:rsid w:val="00DE010C"/>
    <w:rsid w:val="00DE308B"/>
    <w:rsid w:val="00DE3CA7"/>
    <w:rsid w:val="00DE78E2"/>
    <w:rsid w:val="00DF25DF"/>
    <w:rsid w:val="00DF2640"/>
    <w:rsid w:val="00DF2B94"/>
    <w:rsid w:val="00DF349B"/>
    <w:rsid w:val="00DF3AB5"/>
    <w:rsid w:val="00DF590D"/>
    <w:rsid w:val="00E02E1A"/>
    <w:rsid w:val="00E060CF"/>
    <w:rsid w:val="00E0620E"/>
    <w:rsid w:val="00E06456"/>
    <w:rsid w:val="00E074E2"/>
    <w:rsid w:val="00E119DF"/>
    <w:rsid w:val="00E11C18"/>
    <w:rsid w:val="00E20579"/>
    <w:rsid w:val="00E207F0"/>
    <w:rsid w:val="00E20FC5"/>
    <w:rsid w:val="00E211D9"/>
    <w:rsid w:val="00E227B2"/>
    <w:rsid w:val="00E24CDF"/>
    <w:rsid w:val="00E26F29"/>
    <w:rsid w:val="00E31954"/>
    <w:rsid w:val="00E33923"/>
    <w:rsid w:val="00E33D03"/>
    <w:rsid w:val="00E34279"/>
    <w:rsid w:val="00E36EA1"/>
    <w:rsid w:val="00E4196E"/>
    <w:rsid w:val="00E425AF"/>
    <w:rsid w:val="00E461E1"/>
    <w:rsid w:val="00E53870"/>
    <w:rsid w:val="00E54548"/>
    <w:rsid w:val="00E61540"/>
    <w:rsid w:val="00E63571"/>
    <w:rsid w:val="00E642C0"/>
    <w:rsid w:val="00E64300"/>
    <w:rsid w:val="00E65D01"/>
    <w:rsid w:val="00E66A9B"/>
    <w:rsid w:val="00E714AC"/>
    <w:rsid w:val="00E71AA9"/>
    <w:rsid w:val="00E72E7D"/>
    <w:rsid w:val="00E81FDD"/>
    <w:rsid w:val="00E86232"/>
    <w:rsid w:val="00E879A5"/>
    <w:rsid w:val="00E9792C"/>
    <w:rsid w:val="00EA1181"/>
    <w:rsid w:val="00EA2799"/>
    <w:rsid w:val="00EA403A"/>
    <w:rsid w:val="00EA76FF"/>
    <w:rsid w:val="00EB051C"/>
    <w:rsid w:val="00EC533C"/>
    <w:rsid w:val="00EC6B43"/>
    <w:rsid w:val="00EC78C3"/>
    <w:rsid w:val="00EC79EC"/>
    <w:rsid w:val="00ED20C4"/>
    <w:rsid w:val="00ED2A6A"/>
    <w:rsid w:val="00ED377B"/>
    <w:rsid w:val="00ED3B9E"/>
    <w:rsid w:val="00ED441B"/>
    <w:rsid w:val="00ED7BC2"/>
    <w:rsid w:val="00EE2457"/>
    <w:rsid w:val="00EF0853"/>
    <w:rsid w:val="00EF3F42"/>
    <w:rsid w:val="00EF6631"/>
    <w:rsid w:val="00EF688F"/>
    <w:rsid w:val="00EF7AE7"/>
    <w:rsid w:val="00F00603"/>
    <w:rsid w:val="00F01CF2"/>
    <w:rsid w:val="00F01E91"/>
    <w:rsid w:val="00F03155"/>
    <w:rsid w:val="00F033FE"/>
    <w:rsid w:val="00F03950"/>
    <w:rsid w:val="00F049D6"/>
    <w:rsid w:val="00F13607"/>
    <w:rsid w:val="00F161F9"/>
    <w:rsid w:val="00F173C9"/>
    <w:rsid w:val="00F2127E"/>
    <w:rsid w:val="00F25F17"/>
    <w:rsid w:val="00F3200A"/>
    <w:rsid w:val="00F324AC"/>
    <w:rsid w:val="00F32577"/>
    <w:rsid w:val="00F33DD2"/>
    <w:rsid w:val="00F37E4A"/>
    <w:rsid w:val="00F423CE"/>
    <w:rsid w:val="00F443A0"/>
    <w:rsid w:val="00F4549F"/>
    <w:rsid w:val="00F471FB"/>
    <w:rsid w:val="00F47818"/>
    <w:rsid w:val="00F508B3"/>
    <w:rsid w:val="00F512BB"/>
    <w:rsid w:val="00F545CF"/>
    <w:rsid w:val="00F63F2A"/>
    <w:rsid w:val="00F646EF"/>
    <w:rsid w:val="00F71666"/>
    <w:rsid w:val="00F72D85"/>
    <w:rsid w:val="00F804C6"/>
    <w:rsid w:val="00F80F3B"/>
    <w:rsid w:val="00F841DB"/>
    <w:rsid w:val="00F856AC"/>
    <w:rsid w:val="00F86531"/>
    <w:rsid w:val="00F86EB5"/>
    <w:rsid w:val="00F86F23"/>
    <w:rsid w:val="00F916E1"/>
    <w:rsid w:val="00F929FB"/>
    <w:rsid w:val="00F941D5"/>
    <w:rsid w:val="00F946E1"/>
    <w:rsid w:val="00F94A84"/>
    <w:rsid w:val="00F95D18"/>
    <w:rsid w:val="00FA0704"/>
    <w:rsid w:val="00FB044B"/>
    <w:rsid w:val="00FB24BA"/>
    <w:rsid w:val="00FB55E3"/>
    <w:rsid w:val="00FD3685"/>
    <w:rsid w:val="00FD3A69"/>
    <w:rsid w:val="00FE044C"/>
    <w:rsid w:val="00FE68B2"/>
    <w:rsid w:val="00FE7250"/>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88"/>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D9163C"/>
    <w:pPr>
      <w:tabs>
        <w:tab w:val="left" w:pos="440"/>
        <w:tab w:val="right" w:leader="dot" w:pos="9063"/>
      </w:tabs>
      <w:spacing w:before="240"/>
      <w:outlineLvl w:val="0"/>
    </w:pPr>
    <w:rPr>
      <w:bCs/>
      <w:noProof/>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D9163C"/>
    <w:pPr>
      <w:tabs>
        <w:tab w:val="left" w:pos="660"/>
        <w:tab w:val="right" w:leader="dot" w:pos="9203"/>
      </w:tabs>
      <w:spacing w:after="100" w:line="259" w:lineRule="auto"/>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Valeria.Satta@eesc.europa.eu" TargetMode="External"/><Relationship Id="rId39" Type="http://schemas.openxmlformats.org/officeDocument/2006/relationships/hyperlink" Target="mailto:Maja.Radman@eesc.europa.eu" TargetMode="External"/><Relationship Id="rId21" Type="http://schemas.openxmlformats.org/officeDocument/2006/relationships/hyperlink" Target="mailto:Sergio.Lorencio.Matallana@eesc.europa.eu" TargetMode="External"/><Relationship Id="rId34" Type="http://schemas.openxmlformats.org/officeDocument/2006/relationships/hyperlink" Target="Layla.Reiter@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mailto:Ewa.Tomaszewska@eesc.europa.eu" TargetMode="External"/><Relationship Id="rId50" Type="http://schemas.openxmlformats.org/officeDocument/2006/relationships/hyperlink" Target="mailto:Aleksandra.Wieczorek@eesc.europa.eu" TargetMode="External"/><Relationship Id="rId55"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esc.europa.eu/fr/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ri.Soosaar@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mailto:Francesco.Napolitano@eesc.europa.eu" TargetMode="External"/><Relationship Id="rId46" Type="http://schemas.openxmlformats.org/officeDocument/2006/relationships/hyperlink" Target="mailto:Martine.Delanoy@eesc.europa.eu"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udit.CarrerasGarcia@eesc.europa.eu" TargetMode="External"/><Relationship Id="rId29" Type="http://schemas.openxmlformats.org/officeDocument/2006/relationships/hyperlink" Target="mailto:Valeria.Atzori@eesc.europa.eu" TargetMode="External"/><Relationship Id="rId41" Type="http://schemas.openxmlformats.org/officeDocument/2006/relationships/hyperlink" Target="mailto:Aleksandra.SarmanGrilc@eesc.europa.eu"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risztina.PerlakyToth@eesc.europa.eu" TargetMode="External"/><Relationship Id="rId32" Type="http://schemas.openxmlformats.org/officeDocument/2006/relationships/hyperlink" Target="mailto:Maja.Radman@eesc.europa.eu" TargetMode="External"/><Relationship Id="rId37" Type="http://schemas.openxmlformats.org/officeDocument/2006/relationships/hyperlink" Target="mailto:Giorgia.Bordignon@eesc.europa.eu" TargetMode="External"/><Relationship Id="rId40" Type="http://schemas.openxmlformats.org/officeDocument/2006/relationships/hyperlink" Target="mailto:Maja.Radman@eesc.europa.eu" TargetMode="External"/><Relationship Id="rId45" Type="http://schemas.openxmlformats.org/officeDocument/2006/relationships/hyperlink" Target="mailto:monica.guarinoni@eesc.europa.eu"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olombe.gregoire@eesc.europa.eu" TargetMode="External"/><Relationship Id="rId28" Type="http://schemas.openxmlformats.org/officeDocument/2006/relationships/hyperlink" Target="mailto:Valeria.Atzori@eesc.europa.eu" TargetMode="External"/><Relationship Id="rId36" Type="http://schemas.openxmlformats.org/officeDocument/2006/relationships/hyperlink" Target="mailto:Maja.Radman@eesc.europa.eu" TargetMode="External"/><Relationship Id="rId49" Type="http://schemas.openxmlformats.org/officeDocument/2006/relationships/hyperlink" Target="mailto:Katarina.Albrechtova@eesc.europa.eu" TargetMode="External"/><Relationship Id="rId57"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eanmarie.rogue@eesc.europa.eu" TargetMode="External"/><Relationship Id="rId44" Type="http://schemas.openxmlformats.org/officeDocument/2006/relationships/hyperlink" Target="mailto:Martine.Delanoy@eesc.europa.eu"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Krisztina.PerlakyToth@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mailto:Triin.Aasmaa@eesc.europa.eu" TargetMode="External"/><Relationship Id="rId35" Type="http://schemas.openxmlformats.org/officeDocument/2006/relationships/hyperlink" Target="mailto:Maja.Radman@eesc.europa.eu" TargetMode="External"/><Relationship Id="rId43" Type="http://schemas.openxmlformats.org/officeDocument/2006/relationships/hyperlink" Target="mailto:Marie-Laurence.Drillon@eesc.europa.eu" TargetMode="External"/><Relationship Id="rId48" Type="http://schemas.openxmlformats.org/officeDocument/2006/relationships/hyperlink" Target="mailto:Maja.Radman@eesc.europa.eu" TargetMode="External"/><Relationship Id="rId56"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mailto:Adam.Plezer@eesc.europa.eu"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fr/our-work/opinions-information-reports/opinions/les-pme-les-entreprises-de-leconomie-sociale-lartisanat-et-les-professions-liberales-face-au-paquet-ajustement-lobjectif" TargetMode="External"/><Relationship Id="rId7" Type="http://schemas.openxmlformats.org/officeDocument/2006/relationships/hyperlink" Target="https://www.eesc.europa.eu/fr/our-work/opinions-information-reports/opinions/le-role-des-technologies-delimination-du-dioxyde-de-carbone-dans-la-decarbonation-de-lindustrie-europeenne" TargetMode="External"/><Relationship Id="rId2" Type="http://schemas.openxmlformats.org/officeDocument/2006/relationships/hyperlink" Target="https://www.eesc.europa.eu/fr/our-work/opinions-information-reports/opinions/investissements-publics-dans-les-infrastructures-energetiques-dans-le-cadre-de-la-lutte-contre-le-changement-climatique" TargetMode="External"/><Relationship Id="rId1" Type="http://schemas.openxmlformats.org/officeDocument/2006/relationships/hyperlink" Target="https://www.eesc.europa.eu/fr/our-work/opinions-information-reports/opinions/incidences-geopolitiques-de-la-transition-energetique" TargetMode="External"/><Relationship Id="rId6" Type="http://schemas.openxmlformats.org/officeDocument/2006/relationships/hyperlink" Target="https://www.eesc.europa.eu/fr/our-work/opinions-information-reports/opinions/financement-dun-fonds-dajustement-au-changement-climatique-laide-du-fonds-de-cohesion-et-de-linstrument-nextgenerationeu" TargetMode="External"/><Relationship Id="rId5" Type="http://schemas.openxmlformats.org/officeDocument/2006/relationships/hyperlink" Target="https://www.eesc.europa.eu/fr/our-work/opinions-information-reports/opinions/la-transition-energetique-et-numerique-dans-les-zones-rurales" TargetMode="External"/><Relationship Id="rId4" Type="http://schemas.openxmlformats.org/officeDocument/2006/relationships/hyperlink" Target="https://www.eesc.europa.eu/fr/our-work/opinions-information-reports/opinions/lutte-contre-la-precarite-energetique-et-resilience-de-lunion-enjeux-economiques-et-soci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P6FJPSUHKDC2-813086739-4899</_dlc_DocId>
    <_dlc_DocIdUrl xmlns="1299d781-265f-4ceb-999e-e1eca3df2c90">
      <Url>http://dm2016/eesc/2022/_layouts/15/DocIdRedir.aspx?ID=P6FJPSUHKDC2-813086739-4899</Url>
      <Description>P6FJPSUHKDC2-813086739-4899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2022-11-24T12:00:00+00:00</ProductionDate>
    <DocumentNumber xmlns="78feecd2-a259-4a5c-b48b-4ffcf5b9c8b1">4734</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2022-12-14T12:00:00+00:00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13425</FicheNumber>
    <OriginalSender xmlns="1299d781-265f-4ceb-999e-e1eca3df2c90">
      <UserInfo>
        <DisplayName>Cade Catherine</DisplayName>
        <AccountId>1704</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8feecd2-a259-4a5c-b48b-4ffcf5b9c8b1"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8F447D380DEE94195D9369B0D252450" ma:contentTypeVersion="4" ma:contentTypeDescription="Defines the documents for Document Manager V2" ma:contentTypeScope="" ma:versionID="699c0fe4d6e743f76670b9a453ac587a">
  <xsd:schema xmlns:xsd="http://www.w3.org/2001/XMLSchema" xmlns:xs="http://www.w3.org/2001/XMLSchema" xmlns:p="http://schemas.microsoft.com/office/2006/metadata/properties" xmlns:ns2="1299d781-265f-4ceb-999e-e1eca3df2c90" xmlns:ns3="http://schemas.microsoft.com/sharepoint/v3/fields" xmlns:ns4="78feecd2-a259-4a5c-b48b-4ffcf5b9c8b1" targetNamespace="http://schemas.microsoft.com/office/2006/metadata/properties" ma:root="true" ma:fieldsID="6de033fe12ab72f6ce4561b0db774137" ns2:_="" ns3:_="" ns4:_="">
    <xsd:import namespace="1299d781-265f-4ceb-999e-e1eca3df2c90"/>
    <xsd:import namespace="http://schemas.microsoft.com/sharepoint/v3/fields"/>
    <xsd:import namespace="78feecd2-a259-4a5c-b48b-4ffcf5b9c8b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eecd2-a259-4a5c-b48b-4ffcf5b9c8b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8E97E-2BD8-409F-AF14-6FF9C2195B40}">
  <ds:schemaRefs>
    <ds:schemaRef ds:uri="1299d781-265f-4ceb-999e-e1eca3df2c90"/>
    <ds:schemaRef ds:uri="http://purl.org/dc/elements/1.1/"/>
    <ds:schemaRef ds:uri="http://schemas.microsoft.com/office/2006/metadata/properties"/>
    <ds:schemaRef ds:uri="http://schemas.microsoft.com/sharepoint/v3/field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8feecd2-a259-4a5c-b48b-4ffcf5b9c8b1"/>
    <ds:schemaRef ds:uri="http://www.w3.org/XML/1998/namespace"/>
    <ds:schemaRef ds:uri="http://purl.org/dc/dcmitype/"/>
  </ds:schemaRefs>
</ds:datastoreItem>
</file>

<file path=customXml/itemProps2.xml><?xml version="1.0" encoding="utf-8"?>
<ds:datastoreItem xmlns:ds="http://schemas.openxmlformats.org/officeDocument/2006/customXml" ds:itemID="{19C9D61D-9A88-46B1-A732-9A2B9CD41878}">
  <ds:schemaRefs>
    <ds:schemaRef ds:uri="http://schemas.microsoft.com/sharepoint/v3/contenttype/forms"/>
  </ds:schemaRefs>
</ds:datastoreItem>
</file>

<file path=customXml/itemProps3.xml><?xml version="1.0" encoding="utf-8"?>
<ds:datastoreItem xmlns:ds="http://schemas.openxmlformats.org/officeDocument/2006/customXml" ds:itemID="{606CF02B-AFAF-4704-A117-7A3A3F3294EC}">
  <ds:schemaRefs>
    <ds:schemaRef ds:uri="http://schemas.microsoft.com/sharepoint/events"/>
  </ds:schemaRefs>
</ds:datastoreItem>
</file>

<file path=customXml/itemProps4.xml><?xml version="1.0" encoding="utf-8"?>
<ds:datastoreItem xmlns:ds="http://schemas.openxmlformats.org/officeDocument/2006/customXml" ds:itemID="{30B69AE7-33EB-4DA8-B8C9-11A96279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9d781-265f-4ceb-999e-e1eca3df2c90"/>
    <ds:schemaRef ds:uri="http://schemas.microsoft.com/sharepoint/v3/fields"/>
    <ds:schemaRef ds:uri="78feecd2-a259-4a5c-b48b-4ffcf5b9c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13074</Words>
  <Characters>74526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87426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session plénière d'octobre</dc:title>
  <dc:subject>TCD</dc:subject>
  <dc:creator>Nieddu Emma</dc:creator>
  <cp:keywords>EESC-2022-04734-00-00-TCD-TRA-EN</cp:keywords>
  <dc:description>Rapporteur:  - Original language: EN - Date of document: 24/11/2022 - Date of meeting: 30/14/2022 14:30 - External documents:  - Administrator: Mme DAMYANOVA-KERESTELIEVA Ani Alexieva</dc:description>
  <cp:lastModifiedBy>Mette Ausra</cp:lastModifiedBy>
  <cp:revision>70</cp:revision>
  <cp:lastPrinted>2022-05-02T09:48:00Z</cp:lastPrinted>
  <dcterms:created xsi:type="dcterms:W3CDTF">2022-11-15T11:18:00Z</dcterms:created>
  <dcterms:modified xsi:type="dcterms:W3CDTF">2022-11-28T14:09:00Z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15/11/2022, 29/03/2022, 04/03/2022, 15/12/2021, 13/09/2021, 03/09/2021, 28/06/2021</vt:lpwstr>
  </property>
  <property fmtid="{D5CDD505-2E9C-101B-9397-08002B2CF9AE}" pid="4" name="Pref_Time">
    <vt:lpwstr>11:47:41, 14:21:50, 16:54:06, 17:56:36, 14:13:00, 10:08:10, 08:41:48</vt:lpwstr>
  </property>
  <property fmtid="{D5CDD505-2E9C-101B-9397-08002B2CF9AE}" pid="5" name="Pref_User">
    <vt:lpwstr>jhvi, jhvi, enied, hnic, amett, enied, enied</vt:lpwstr>
  </property>
  <property fmtid="{D5CDD505-2E9C-101B-9397-08002B2CF9AE}" pid="6" name="Pref_FileName">
    <vt:lpwstr>EESC-2022-04734-00-00-TCD-ORI.docx, EESC-2022-01223-00-00-TCD-ORI.docx, EESC-2022-00391-00-00-TCD-ORI.docx, EESC-2021-05445-00-00-TCD-ORI.docx, EESC-2021-03366-00-01-TCD-ORI.docx, EESC-2021-03366-00-00-TCD-ORI.docx, Synthese des avis Template.docx</vt:lpwstr>
  </property>
  <property fmtid="{D5CDD505-2E9C-101B-9397-08002B2CF9AE}" pid="7" name="ContentTypeId">
    <vt:lpwstr>0x010100EA97B91038054C99906057A708A1480A0048F447D380DEE94195D9369B0D252450</vt:lpwstr>
  </property>
  <property fmtid="{D5CDD505-2E9C-101B-9397-08002B2CF9AE}" pid="8" name="_dlc_DocIdItemGuid">
    <vt:lpwstr>40878df1-4098-4fdc-9537-b27f5e498a9a</vt:lpwstr>
  </property>
  <property fmtid="{D5CDD505-2E9C-101B-9397-08002B2CF9AE}" pid="9" name="AvailableTranslations">
    <vt:lpwstr>34;#SK|46d9fce0-ef79-4f71-b89b-cd6aa82426b8;#30;#PL|1e03da61-4678-4e07-b136-b5024ca9197b;#40;#BG|1a1b3951-7821-4e6a-85f5-5673fc08bd2c;#54;#ET|ff6c3f4c-b02c-4c3c-ab07-2c37995a7a0a;#29;#SV|c2ed69e7-a339-43d7-8f22-d93680a92aa0;#36;#HU|6b229040-c589-4408-b4c1-4285663d20a8;#22;#DE|f6b31e5a-26fa-4935-b661-318e46daf27e;#45;#RO|feb747a2-64cd-4299-af12-4833ddc30497;#55;#HR|2f555653-ed1a-4fe6-8362-9082d95989e5;#41;#CS|72f9705b-0217-4fd3-bea2-cbc7ed80e26e;#46;#EL|6d4f4d51-af9b-4650-94b4-4276bee85c91;#42;#SL|98a412ae-eb01-49e9-ae3d-585a81724cfc;#38;#FI|87606a43-d45f-42d6-b8c9-e1a3457db5b7;#11;#FR|d2afafd3-4c81-4f60-8f52-ee33f2f54ff3;#33;#IT|0774613c-01ed-4e5d-a25d-11d2388de825;#32;#DA|5d49c027-8956-412b-aa16-e85a0f96ad0e;#44;#LT|a7ff5ce7-6123-4f68-865a-a57c31810414;#31;#ES|e7a6b05b-ae16-40c8-add9-68b64b03aeba;#43;#NL|55c6556c-b4f4-441d-9acf-c498d4f838bd;#26;#LV|46f7e311-5d9f-4663-b433-18aeccb7ace7;#4;#EN|f2175f21-25d7-44a3-96da-d6a61b075e1b;#37;#PT|50ccc04a-eadd-42ae-a0cb-acaf45f812ba</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4734</vt:i4>
  </property>
  <property fmtid="{D5CDD505-2E9C-101B-9397-08002B2CF9AE}" pid="14" name="DocumentYear">
    <vt:i4>2022</vt:i4>
  </property>
  <property fmtid="{D5CDD505-2E9C-101B-9397-08002B2CF9AE}" pid="15" name="DocumentVersion">
    <vt:i4>0</vt:i4>
  </property>
  <property fmtid="{D5CDD505-2E9C-101B-9397-08002B2CF9AE}" pid="16" name="FicheNumber">
    <vt:i4>13425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25;#TCD|cd9d6eb6-3f4f-424a-b2d1-57c9d450eaaf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2022-12-14T12:00:00Z</vt:filetime>
  </property>
  <property fmtid="{D5CDD505-2E9C-101B-9397-08002B2CF9AE}" pid="29" name="AvailableTranslations_0">
    <vt:lpwstr>PL|1e03da61-4678-4e07-b136-b5024ca9197b;BG|1a1b3951-7821-4e6a-85f5-5673fc08bd2c;SV|c2ed69e7-a339-43d7-8f22-d93680a92aa0;HU|6b229040-c589-4408-b4c1-4285663d20a8;DE|f6b31e5a-26fa-4935-b661-318e46daf27e;RO|feb747a2-64cd-4299-af12-4833ddc30497;HR|2f555653-ed1a-4fe6-8362-9082d95989e5;CS|72f9705b-0217-4fd3-bea2-cbc7ed80e26e;EL|6d4f4d51-af9b-4650-94b4-4276bee85c91;SL|98a412ae-eb01-49e9-ae3d-585a81724cfc;FI|87606a43-d45f-42d6-b8c9-e1a3457db5b7;IT|0774613c-01ed-4e5d-a25d-11d2388de825;DA|5d49c027-8956-412b-aa16-e85a0f96ad0e;LT|a7ff5ce7-6123-4f68-865a-a57c31810414;ES|e7a6b05b-ae16-40c8-add9-68b64b03aeba;NL|55c6556c-b4f4-441d-9acf-c498d4f838bd;LV|46f7e311-5d9f-4663-b433-18aeccb7ace7;EN|f2175f21-25d7-44a3-96da-d6a61b075e1b;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33;#IT|0774613c-01ed-4e5d-a25d-11d2388de825;#32;#DA|5d49c027-8956-412b-aa16-e85a0f96ad0e;#31;#ES|e7a6b05b-ae16-40c8-add9-68b64b03aeba;#30;#PL|1e03da61-4678-4e07-b136-b5024ca9197b;#29;#SV|c2ed69e7-a339-43d7-8f22-d93680a92aa0;#26;#LV|46f7e311-5d9f-4663-b433-18aeccb7ace7;#25;#TCD|cd9d6eb6-3f4f-424a-b2d1-57c9d450eaaf;#38;#FI|87606a43-d45f-42d6-b8c9-e1a3457db5b7;#22;#DE|f6b31e5a-26fa-4935-b661-318e46daf27e;#44;#LT|a7ff5ce7-6123-4f68-865a-a57c31810414;#55;#HR|2f555653-ed1a-4fe6-8362-9082d95989e5;#43;#NL|55c6556c-b4f4-441d-9acf-c498d4f838bd;#51;#SPL-CES|32d8cb1f-c9ec-4365-95c7-8385a18618ac;#46;#EL|6d4f4d51-af9b-4650-94b4-4276bee85c91;#41;#CS|72f9705b-0217-4fd3-bea2-cbc7ed80e26e;#9;#Unrestricted|826e22d7-d029-4ec0-a450-0c28ff673572;#45;#RO|feb747a2-64cd-4299-af12-4833ddc30497;#7;#TRA|150d2a88-1431-44e6-a8ca-0bb753ab8672;#6;#Final|ea5e6674-7b27-4bac-b091-73adbb394efe;#42;#SL|98a412ae-eb01-49e9-ae3d-585a81724cfc;#4;#EN|f2175f21-25d7-44a3-96da-d6a61b075e1b;#40;#BG|1a1b3951-7821-4e6a-85f5-5673fc08bd2c;#1;#EESC|422833ec-8d7e-4e65-8e4e-8bed07ffb729;#37;#PT|50ccc04a-eadd-42ae-a0cb-acaf45f812b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Language">
    <vt:lpwstr>11;#FR|d2afafd3-4c81-4f60-8f52-ee33f2f54ff3</vt:lpwstr>
  </property>
</Properties>
</file>