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F10" w14:textId="55E73093" w:rsidR="00392266" w:rsidRPr="00245B16" w:rsidRDefault="00137916">
      <w:pPr>
        <w:jc w:val="center"/>
        <w:rPr>
          <w:b/>
        </w:rPr>
      </w:pPr>
      <w:r>
        <w:rPr>
          <w:noProof/>
        </w:rPr>
        <w:drawing>
          <wp:inline distT="0" distB="0" distL="0" distR="0" wp14:anchorId="56275F6B" wp14:editId="6322B876">
            <wp:extent cx="5761355" cy="192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BE8"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E0E5C7F" wp14:editId="06360B39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573DCE" w14:textId="77777777" w:rsidR="00392266" w:rsidRDefault="00D62B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E5C7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 o:allowincell="f" filled="f" stroked="f">
                <v:textbox>
                  <w:txbxContent>
                    <w:p w14:paraId="14573DCE" w14:textId="77777777" w:rsidR="00392266" w:rsidRDefault="00D62B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1D82BC" w14:textId="77777777" w:rsidR="00392266" w:rsidRPr="00245B16" w:rsidRDefault="00392266">
      <w:pPr>
        <w:jc w:val="center"/>
        <w:rPr>
          <w:b/>
          <w:lang w:val="en-GB"/>
        </w:rPr>
      </w:pPr>
    </w:p>
    <w:p w14:paraId="072D2970" w14:textId="77777777" w:rsidR="00392266" w:rsidRPr="00245B16" w:rsidRDefault="00D62B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</w:rPr>
        <w:t>Zaključci Konferencije civilnog društva na visokoj razini o politici za mlade na zapadnom Balkanu kao ključnom elementu budućnosti regije i Europe – 16. rujna 2002., Prag, Češka</w:t>
      </w:r>
    </w:p>
    <w:p w14:paraId="6A9B5792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647B78DC" w14:textId="77777777" w:rsidR="00392266" w:rsidRPr="00245B16" w:rsidRDefault="00D62BE8">
      <w:pPr>
        <w:spacing w:after="0"/>
        <w:jc w:val="both"/>
      </w:pPr>
      <w:r>
        <w:t>Sudionici:</w:t>
      </w:r>
    </w:p>
    <w:p w14:paraId="6FD87200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5D9A6149" w14:textId="031D5C65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pozivaju na hitno okončanje ruske agresije, patnji civilnog stanovništva i razaranja diljem Ukrajine, a čelnike vlada zapadnog Balkana da se snažno odupru ruskom utjecaju kojim se pokušava destabilizirati zapadni Balkan;</w:t>
      </w:r>
    </w:p>
    <w:p w14:paraId="06930DF5" w14:textId="64AFF51B" w:rsidR="00392266" w:rsidRPr="00186A1B" w:rsidRDefault="00392266" w:rsidP="00186A1B">
      <w:pPr>
        <w:pStyle w:val="ListParagraph"/>
        <w:spacing w:after="0"/>
        <w:ind w:left="0"/>
        <w:jc w:val="both"/>
      </w:pPr>
    </w:p>
    <w:p w14:paraId="528B1AB6" w14:textId="185911C5" w:rsidR="00392266" w:rsidRPr="00186A1B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pozivaju češko predsjedništvo Vijeća EU-a, kao i sva sljedeća predsjedništva, da proširenje EU-a na zapadni Balkan zadrže vrlo visoko na dnevnom redu EU-a te da u bliskoj suradnji s vladama u regiji i u korist građana poduzmu konkretne korake prema pristupanju EU-u (uključujući odobravanje liberalizacije viznog režima za građane Kosova</w:t>
      </w:r>
      <w:r w:rsidR="009A1A4D">
        <w:rPr>
          <w:rStyle w:val="FootnoteReference"/>
        </w:rPr>
        <w:footnoteReference w:id="1"/>
      </w:r>
      <w:r>
        <w:t xml:space="preserve">). Istodobno bi veliku pozornost trebalo posvetiti ispunjavanju obveza EU-a tijekom cjelokupnog procesa jer si EU ne može priuštiti da zapadni Balkan bude primjer neuspjelog procesa pristupanja EU-u; </w:t>
      </w:r>
    </w:p>
    <w:p w14:paraId="3D8CA67D" w14:textId="77777777" w:rsidR="00392266" w:rsidRPr="00245B16" w:rsidRDefault="00392266" w:rsidP="00186A1B">
      <w:pPr>
        <w:pStyle w:val="ListParagraph"/>
        <w:spacing w:after="0"/>
        <w:ind w:left="0"/>
        <w:jc w:val="both"/>
        <w:rPr>
          <w:lang w:val="en-GB"/>
        </w:rPr>
      </w:pPr>
    </w:p>
    <w:p w14:paraId="1BD03B63" w14:textId="2C0B7255" w:rsidR="009463B1" w:rsidRPr="00245B16" w:rsidRDefault="009463B1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pozivaju institucije EU-a da dodatno unaprijede postupnu integraciju EU-a i zapadnog Balkana, pri čemu među relevantnim politikama poseban naglasak treba staviti na politike za mlade;</w:t>
      </w:r>
    </w:p>
    <w:p w14:paraId="24F45106" w14:textId="77777777" w:rsidR="009463B1" w:rsidRPr="00245B16" w:rsidRDefault="009463B1" w:rsidP="00186A1B">
      <w:pPr>
        <w:pStyle w:val="ListParagraph"/>
        <w:spacing w:after="0"/>
        <w:ind w:left="0"/>
        <w:jc w:val="both"/>
        <w:rPr>
          <w:lang w:val="en-GB"/>
        </w:rPr>
      </w:pPr>
    </w:p>
    <w:p w14:paraId="57DBD23D" w14:textId="536EA094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color w:val="4BACC6" w:themeColor="accent5"/>
        </w:rPr>
      </w:pPr>
      <w:r>
        <w:t>pozivaju na aktivno uključivanje mladih u pregovore o pristupanju EU-u i u proces proširenja, kao i na podizanje svijesti o tom procesu među mladima.</w:t>
      </w:r>
      <w:r>
        <w:rPr>
          <w:color w:val="4BACC6" w:themeColor="accent5"/>
        </w:rPr>
        <w:t xml:space="preserve"> </w:t>
      </w:r>
      <w:r>
        <w:t>Mlade treba smatrati glavnim pokretačima promjena u cijeloj regiji;</w:t>
      </w:r>
    </w:p>
    <w:p w14:paraId="271D5D48" w14:textId="77777777" w:rsidR="00392266" w:rsidRPr="00245B16" w:rsidRDefault="00392266" w:rsidP="00FE1A43">
      <w:pPr>
        <w:pStyle w:val="ListParagraph"/>
        <w:ind w:left="0"/>
        <w:rPr>
          <w:lang w:val="en-GB"/>
        </w:rPr>
      </w:pPr>
    </w:p>
    <w:p w14:paraId="2C9054F2" w14:textId="56133311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uviđaju prednosti regionalne suradnje i okvira za suradnju u promicanju i unapređenju programa za mlade, perspektive pridruživanja EU-u i ukupne koristi za društvo;</w:t>
      </w:r>
    </w:p>
    <w:p w14:paraId="38178DD3" w14:textId="77777777" w:rsidR="00392266" w:rsidRPr="00245B16" w:rsidRDefault="00392266" w:rsidP="00186A1B">
      <w:pPr>
        <w:pStyle w:val="ListParagraph"/>
        <w:spacing w:after="0"/>
        <w:ind w:left="0"/>
        <w:jc w:val="both"/>
        <w:rPr>
          <w:lang w:val="en-GB"/>
        </w:rPr>
      </w:pPr>
    </w:p>
    <w:p w14:paraId="7AA89D2F" w14:textId="696F292A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lastRenderedPageBreak/>
        <w:t>prepoznaju napredak postignut u razvoju čvrstih okvira politike za mlade i pozivaju vlade partnerskih zemalja zapadnog Balkana da nastave ulagati u politike za mlade koje se temelje na dokazima i kojima se nastoje rješavati razvojni izazovi povezani s mladima;</w:t>
      </w:r>
    </w:p>
    <w:p w14:paraId="31A3037E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55C9D682" w14:textId="0B4FF858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 xml:space="preserve">smatraju da je za uspješan održivi razvoj u lokalnim zajednicama ključno da se razvoj institucija, programa i politika temelji na stajalištima mladih o ljudskom razvoju; </w:t>
      </w:r>
    </w:p>
    <w:p w14:paraId="3B371BFC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4C395575" w14:textId="77777777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uvjereni su da su dostatna i transparentna proračunska sredstva namijenjena razvoju politike za mlade preduvjet za ostvarenje pozitivnih promjena i poboljšanje položaja mladih;</w:t>
      </w:r>
    </w:p>
    <w:p w14:paraId="4E904B36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10A22B11" w14:textId="399B0332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pozivaju vlade zapadnog Balkana da slijede ključne dokumente Europske unije (EU) o politici za mlade, da dodatno razvijaju politike za mlade i omoguće im da sudjeluju u osmišljavanju politika, pri čemu treba imati u vidu dobru praksu laboratorijâ za mlade koja se provodi u okviru projekta Laboratorij za mlade zapadnog Balkana pod okriljem Vijeća za regionalnu suradnju, a koji je nadahnut dijalogom EU-a s mladima; osim toga, izrazito se preporučuje uključivanje zapadnog Balkana u dijalog EU-a s mladima;</w:t>
      </w:r>
    </w:p>
    <w:p w14:paraId="385AD37D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0F70319D" w14:textId="77777777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smatraju da je sustavno prikupljanje kvalitetnih podataka koji se odnose na mlade preduvjet za donošenje informiranih politika i mjera potpore za mlade, posebno kad je riječ o ugroženim skupinama mladih. Konkretno, potrebno je znatno poboljšati sustav za prikupljanje i obradu podataka povezanih sa socijalnom dimenzijom sudjelovanja mladih;</w:t>
      </w:r>
    </w:p>
    <w:p w14:paraId="5E2C0749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26DBEC0F" w14:textId="5CDB08A6" w:rsidR="00392266" w:rsidRPr="00245B16" w:rsidRDefault="00FF170D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smatraju da je bitno uključiti socijalne partnere i organizacije civilnog društva u borbu protiv siromaštva i poboljšanje kvalitete obrazovanja kako bi se provela šira reforma za unapređenje socijalnih prava i perspektive za mlade. Socijalni partneri i druge organizacije civilnog društva trebali bi imati veću ulogu u dijalogu o socijalnim i gospodarskim reformama. Izravnom potporom EU-a trebalo bi osigurati da se u obzir uzimaju stajališta socijalnih partnera i organizacija civilnog društva, među ostalim i u borbi protiv nasilja na radnom mjestu;</w:t>
      </w:r>
    </w:p>
    <w:p w14:paraId="1F499F8B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667A5490" w14:textId="29A57030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pozivaju na jačanje programâ i regionalnih struktura EU-a kako bi se doprlo do većeg broja mladih na zapadnom Balkanu i kako bi im se pružile mogućnosti za obrazovanje, mobilnost, volonterski rad i zapošljavanje;</w:t>
      </w:r>
    </w:p>
    <w:p w14:paraId="7E0AF392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052F3163" w14:textId="1BF3EAE5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pozivaju na veću usmjerenost na strukovno obrazovanje i osposobljavanje kombiniranjem programa naukovanja i nastave na srednjoškolskoj i visokoškolskoj razini;</w:t>
      </w:r>
    </w:p>
    <w:p w14:paraId="7E86547D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02644217" w14:textId="77777777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smatraju da treba poboljšati blisku suradnju između politike obrazovanja i osposobljavanja i poslovne zajednice i u većoj se mjeri usredotočiti na kompetencije nego na kvalifikacije;</w:t>
      </w:r>
    </w:p>
    <w:p w14:paraId="5B481770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77B80E89" w14:textId="77872589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pozdravljaju Gospodarski i investicijski plan za zapadni Balkan i pozivaju na veće sudjelovanje na tržištu rada, posebno mladih i žena, skupina u nepovoljnom položaju i manjina, osobito Roma. Provedbom Gospodarskog i investicijskog plana trebale bi se maksimalno povećati koristi za mlade;</w:t>
      </w:r>
    </w:p>
    <w:p w14:paraId="6B128F5C" w14:textId="77777777" w:rsidR="00392266" w:rsidRPr="00245B16" w:rsidRDefault="00392266" w:rsidP="00FE1A43">
      <w:pPr>
        <w:pStyle w:val="ListParagraph"/>
        <w:ind w:left="0"/>
        <w:rPr>
          <w:lang w:val="en-GB"/>
        </w:rPr>
      </w:pPr>
    </w:p>
    <w:p w14:paraId="4212A459" w14:textId="28AC733E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lastRenderedPageBreak/>
        <w:t>pozivaju na to da se u sve regionalne inicijative i programe, kao što su zajedničko regionalno tržište i zeleni program za zapadni Balkan, u još većoj mjeri uključi mišljenje mladih;</w:t>
      </w:r>
    </w:p>
    <w:p w14:paraId="6037C1C6" w14:textId="77777777" w:rsidR="00392266" w:rsidRPr="00245B16" w:rsidRDefault="00392266" w:rsidP="00FE1A43">
      <w:pPr>
        <w:pStyle w:val="ListParagraph"/>
        <w:ind w:left="0"/>
        <w:rPr>
          <w:lang w:val="en-GB"/>
        </w:rPr>
      </w:pPr>
    </w:p>
    <w:p w14:paraId="5611A1CB" w14:textId="52E9CBF9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priznajući važnost digitalne i zelene tranzicije, pozivaju na pojačano uključivanje mladih i ranjivih skupina u aktivnosti usavršavanja i prekvalifikacije u digitalnom sektoru, kao i u regionalne rasprave o zelenom programu;</w:t>
      </w:r>
    </w:p>
    <w:p w14:paraId="7D78D2EB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1F4069F9" w14:textId="4386FD1C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pozivaju na provedbu Garancije za mlade na zapadnom Balkanu, u skladu s preporukama Vijeća o ojačanoj Garanciji za mlade;</w:t>
      </w:r>
    </w:p>
    <w:p w14:paraId="052E3ED1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34173B7A" w14:textId="01ACE5BD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 xml:space="preserve">kako bi se provela Garancija za mlade na zapadnom Balkanu, pozivaju na povećanje kapaciteta javnih službi za zapošljavanje i njihova osoblja u regiji, uzimajući u obzir dobru praksu komparativnog učenja regionalnih javnih službi za zapošljavanje koje se provodi u okviru projekta za zapošljavanje i socijalna pitanja pod okriljem Vijeća za regionalnu suradnju, a nadahnuto je modelom komparativnog učenja javnih službi za zapošljavanje EU-a; </w:t>
      </w:r>
    </w:p>
    <w:p w14:paraId="5AAF419F" w14:textId="77777777" w:rsidR="0087323A" w:rsidRPr="00245B16" w:rsidRDefault="0087323A" w:rsidP="00186A1B">
      <w:pPr>
        <w:pStyle w:val="ListParagraph"/>
        <w:spacing w:after="0"/>
        <w:ind w:left="0"/>
        <w:jc w:val="both"/>
        <w:rPr>
          <w:lang w:val="en-GB"/>
        </w:rPr>
      </w:pPr>
    </w:p>
    <w:p w14:paraId="7A518A90" w14:textId="237D3E02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kad je riječ o rješavanju problema nezaposlenosti mladih, skreću pozornost na važnost suradnje među različitim partnerima. Trebalo bi uspostaviti partnerstva na svim razinama vlasti, između pružatelja Garancije za mlade i odgovarajućih dionika, kao što su socijalni partneri, ustanove za obrazovanje i osposobljavanje, organizacije mladih i druge organizacije civilnog društva;</w:t>
      </w:r>
    </w:p>
    <w:p w14:paraId="776716D4" w14:textId="77777777" w:rsidR="008C405F" w:rsidRPr="00245B16" w:rsidRDefault="008C405F" w:rsidP="00186A1B">
      <w:pPr>
        <w:pStyle w:val="ListParagraph"/>
        <w:spacing w:after="0"/>
        <w:ind w:left="0"/>
        <w:jc w:val="both"/>
        <w:rPr>
          <w:lang w:val="en-GB"/>
        </w:rPr>
      </w:pPr>
    </w:p>
    <w:p w14:paraId="16C0A42D" w14:textId="6EE90D47" w:rsidR="008C405F" w:rsidRPr="00245B16" w:rsidRDefault="008C405F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pozivaju Europsku komisiju da jača i potiče izravna ulaganja EU-a na zapadnom Balkanu, ne samo kako bi se ojačala lokalna gospodarstva i ponudile atraktivne mogućnosti zapošljavanja za obrazovane mlade ljude, već i kako bi se povećao unutarnji pritisak u korist jednakih mogućnosti, vladavine prava, borbe protiv korupcije i korporativne društvene odgovornosti;</w:t>
      </w:r>
    </w:p>
    <w:p w14:paraId="6EDFDB94" w14:textId="77777777" w:rsidR="00F52575" w:rsidRPr="00245B16" w:rsidRDefault="00F52575" w:rsidP="00186A1B">
      <w:pPr>
        <w:pStyle w:val="ListParagraph"/>
        <w:spacing w:after="0"/>
        <w:ind w:left="0"/>
        <w:jc w:val="both"/>
        <w:rPr>
          <w:lang w:val="en-GB"/>
        </w:rPr>
      </w:pPr>
    </w:p>
    <w:p w14:paraId="0F02861E" w14:textId="6E42E818" w:rsidR="00F52575" w:rsidRPr="00186A1B" w:rsidRDefault="008D438E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predlažu znatno povećanje napora da se mladima sa zapadnog Balkana omogući pristup visokoškolskom obrazovanju u EU-u. Novim stipendijama i zajmovima u okviru programa Erasmus+ ili nekog drugog programa koji se mogu otpisati nakon povratka korisnika u zemlju podrijetla uspostavio bi se uspješan alat za suzbijanje odljeva mozgova i istodobno povećala kvalificiranost radne snage u regiji, a vladama osigurao kvalificirani ljudski kapital ključan za dobro upravljanje i uspješan proces pristupanja;</w:t>
      </w:r>
    </w:p>
    <w:p w14:paraId="253DAEF3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4A6D64D6" w14:textId="17CEDC5A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smatraju da bi trebalo posvetiti pozornost i pružiti podršku izgradnji kapaciteta socijalnih partnera i razvoju socijalnog dijaloga i kolektivnog pregovaranja kako bi se ublažili nesigurni uvjeti rada i poboljšala kvaliteta radnih mjesta i kvaliteta života;</w:t>
      </w:r>
    </w:p>
    <w:p w14:paraId="61C2474C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75361B7A" w14:textId="2323FA25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osim toga, pozivaju socijalne partnere na zapadnom Balkanu da mlade aktivno uključe u sve svoje aktivnosti, pa i u kolektivno pregovaranje;</w:t>
      </w:r>
    </w:p>
    <w:p w14:paraId="37C9149A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38282665" w14:textId="77777777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uzimajući u obzir mogućnosti koje nudi Europska godina mladih 2022., uvjereni su da bi se približavanje Europe mladima i rješavanje izazova s kojima se oni suočavaju trebalo odvijati u okviru pristupa koji nije ograničen samo na mlade koji žive u EU-u, već bi se trebao primjenjivati i na mlade iz svih zemalja zapadnog Balkana;</w:t>
      </w:r>
    </w:p>
    <w:p w14:paraId="7755D159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324D2950" w14:textId="75E83771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lastRenderedPageBreak/>
        <w:t>potiču EU i naše partnere sa zapadnog Balkana da u skladu sa strategijom EU-a za mlade uspostave alat za ocjenu učinka EU-a iz perspektive mladih. Tom ocjenom učinka zajamčilo bi se da se mladi uzimaju u obzir tijekom postupaka donošenja politika i omogućilo osmišljavanje bolje usmjerenih politika i utvrđivanje svih mjera ublažavanja potrebnih da bi se izbjegao negativan učinak na mlade;</w:t>
      </w:r>
    </w:p>
    <w:p w14:paraId="55369DC8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2B4FD295" w14:textId="68A3E694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smatraju da vlade partnerskih zemalja zapadnog Balkana trebaju raditi na uspostavi regionalne suradnje kao političkog prioriteta. U okviru podupiranja te transformacije i poboljšavanja regionalne suradnje kao političkog prioriteta, EU bi trebao pružiti potporu zapadnom Balkanu u utvrđivanju ključnih područja i načina koji mogu potaknuti promjene za građane cijelog zapadnog Balkana, a posebno za mlade;</w:t>
      </w:r>
    </w:p>
    <w:p w14:paraId="304E5833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489A6D99" w14:textId="08A18123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budući da se u zaključcima sastanka na vrhu o zapadnom Balkanu 2021. održanog u Berlinu u okviru Berlinskog procesa naglašava potreba za jačanjem organizacija i mreža mladih, pozivaju Europsku komisiju da dodatno ispita nove načine pružanja potpore relevantnim strukturama mladih na regionalnoj razini (npr. nacionalnim vijećima mladih i krovnim organizacijama mladih na zapadnom Balkanu) i da ih nastavi podupirati već postojećim mehanizmima;</w:t>
      </w:r>
    </w:p>
    <w:p w14:paraId="676B74F3" w14:textId="79F8305F" w:rsidR="00392266" w:rsidRPr="00245B16" w:rsidRDefault="00392266" w:rsidP="00FE1A43">
      <w:pPr>
        <w:pStyle w:val="ListParagraph"/>
        <w:spacing w:after="0"/>
        <w:ind w:left="0"/>
        <w:jc w:val="both"/>
        <w:rPr>
          <w:lang w:val="en-GB"/>
        </w:rPr>
      </w:pPr>
    </w:p>
    <w:p w14:paraId="20727D79" w14:textId="36E3D9C2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pozivaju na strukturirani regionalni dijalog između struktura mladih i državnih uprava usmjeren na zajednički razvoj politika kojima će se povećati sudjelovanje mladih u donošenju odluka o glavnim pitanjima koja na njih utječu, na primjer, o nezaposlenosti, okolišu, digitalizaciji, mentalnom zdravlju, inovacijama itd.;</w:t>
      </w:r>
    </w:p>
    <w:p w14:paraId="634453B6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4F4C5544" w14:textId="73E37499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smatraju da treba dalje raditi na jačanju političkog obrazovanja i zastupljenosti mladih, kako kroz općepolitičko djelovanje tako i kroz strukture mladih, npr. nacionalna vijeća mladih, lokalna ili općinska vijeća, te stoga pozivaju institucije EU-a da dodatno podupru zapadni Balkan u poboljšanju sudjelovanja mladih;</w:t>
      </w:r>
    </w:p>
    <w:p w14:paraId="3E6FFDFA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696F255A" w14:textId="78EA12EB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pozdravljaju činjenicu da se u okviru inovacijskog programa za zapadni Balkan predviđaju daljnje mjere za potporu sudjelovanju mladih u svim programima EU-a koji obuhvaćaju istraživanje, inovacije, obrazovanje, kulturu, mlade i sport. Uzimajući u obzir pozitivnu korelaciju između mobilnosti u području obrazovanja i osposobljavanja te građanske i političke angažiranosti mladih, daljnje zalaganje u tom pogledu može unaprijediti njihovo sudjelovanje i angažiranost;</w:t>
      </w:r>
    </w:p>
    <w:p w14:paraId="67F8DD1D" w14:textId="7A7FBACE" w:rsidR="00392266" w:rsidRPr="00245B16" w:rsidRDefault="00392266">
      <w:pPr>
        <w:spacing w:after="0"/>
        <w:jc w:val="both"/>
        <w:rPr>
          <w:lang w:val="en-GB"/>
        </w:rPr>
      </w:pPr>
    </w:p>
    <w:p w14:paraId="51477F32" w14:textId="296500FB" w:rsidR="00392266" w:rsidRPr="00245B16" w:rsidRDefault="00D62BE8" w:rsidP="00186A1B">
      <w:pPr>
        <w:pStyle w:val="ListParagraph"/>
        <w:numPr>
          <w:ilvl w:val="0"/>
          <w:numId w:val="1"/>
        </w:numPr>
        <w:spacing w:after="0"/>
        <w:ind w:left="567" w:hanging="567"/>
        <w:jc w:val="both"/>
      </w:pPr>
      <w:r>
        <w:t>naglašavaju važnost mladih za budućnost zapadnog Balkana, a time i važnost poduzimanja konkretnih mjera kako bi se ta regija pretvorila u mjesto koje im nudi perspektivu i prilike za budućnost, a time i mogućnost ostanka i napredovanja. Pravodobno sudjelovanje mladih u osmišljavanju i provedbi društvenih i političkih promjena iznimno je važno.</w:t>
      </w:r>
    </w:p>
    <w:p w14:paraId="3EE77CF4" w14:textId="77777777" w:rsidR="00392266" w:rsidRPr="00245B16" w:rsidRDefault="00392266">
      <w:pPr>
        <w:spacing w:after="0"/>
        <w:jc w:val="both"/>
        <w:rPr>
          <w:lang w:val="en-GB"/>
        </w:rPr>
      </w:pPr>
    </w:p>
    <w:p w14:paraId="1D499ED2" w14:textId="5E25AA3C" w:rsidR="00392266" w:rsidRPr="00245B16" w:rsidRDefault="00D62BE8" w:rsidP="00186A1B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</w:pPr>
      <w:r>
        <w:t>_____________</w:t>
      </w:r>
    </w:p>
    <w:sectPr w:rsidR="00392266" w:rsidRPr="00245B16" w:rsidSect="004C19C9">
      <w:footerReference w:type="default" r:id="rId12"/>
      <w:footnotePr>
        <w:numFmt w:val="chicago"/>
      </w:footnotePr>
      <w:pgSz w:w="11907" w:h="16840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F843" w14:textId="77777777" w:rsidR="00E9146E" w:rsidRDefault="00E9146E">
      <w:pPr>
        <w:spacing w:line="240" w:lineRule="auto"/>
      </w:pPr>
      <w:r>
        <w:separator/>
      </w:r>
    </w:p>
  </w:endnote>
  <w:endnote w:type="continuationSeparator" w:id="0">
    <w:p w14:paraId="3A87E631" w14:textId="77777777" w:rsidR="00E9146E" w:rsidRDefault="00E91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F348" w14:textId="3B36F3C7" w:rsidR="004C19C9" w:rsidRPr="004C19C9" w:rsidRDefault="004C19C9" w:rsidP="004C19C9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 w:rsidR="002056B6">
      <w:rPr>
        <w:noProof/>
      </w:rPr>
      <w:t>1</w:t>
    </w:r>
    <w:r>
      <w:fldChar w:fldCharType="end"/>
    </w:r>
    <w:r>
      <w:t>/</w:t>
    </w:r>
    <w:r w:rsidR="00137916">
      <w:fldChar w:fldCharType="begin"/>
    </w:r>
    <w:r w:rsidR="00137916">
      <w:instrText xml:space="preserve"> NUMPAGES </w:instrText>
    </w:r>
    <w:r w:rsidR="00137916">
      <w:fldChar w:fldCharType="separate"/>
    </w:r>
    <w:r w:rsidR="002056B6">
      <w:rPr>
        <w:noProof/>
      </w:rPr>
      <w:t>4</w:t>
    </w:r>
    <w:r w:rsidR="0013791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9F4F" w14:textId="77777777" w:rsidR="00E9146E" w:rsidRDefault="00E9146E">
      <w:pPr>
        <w:spacing w:after="0"/>
      </w:pPr>
      <w:r>
        <w:separator/>
      </w:r>
    </w:p>
  </w:footnote>
  <w:footnote w:type="continuationSeparator" w:id="0">
    <w:p w14:paraId="2D53959B" w14:textId="77777777" w:rsidR="00E9146E" w:rsidRDefault="00E9146E">
      <w:pPr>
        <w:spacing w:after="0"/>
      </w:pPr>
      <w:r>
        <w:continuationSeparator/>
      </w:r>
    </w:p>
  </w:footnote>
  <w:footnote w:id="1">
    <w:p w14:paraId="52651436" w14:textId="06D0D3E0" w:rsidR="009A1A4D" w:rsidRDefault="009A1A4D" w:rsidP="009A1A4D">
      <w:pPr>
        <w:pStyle w:val="FootnoteText"/>
        <w:ind w:left="567" w:hanging="567"/>
      </w:pPr>
      <w:r>
        <w:rPr>
          <w:rStyle w:val="FootnoteReference"/>
        </w:rPr>
        <w:footnoteRef/>
      </w:r>
      <w:r>
        <w:t xml:space="preserve"> </w:t>
      </w:r>
      <w:r>
        <w:tab/>
        <w:t>Ovim nazivom ne dovode se u pitanje stajališta o statusu i on je u skladu s Rezolucijom Vijeća sigurnosti UN-a 1244/1999 i mišljenjem Međunarodnog suda o proglašenju neovisnosti Kosova.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30EC"/>
    <w:multiLevelType w:val="multilevel"/>
    <w:tmpl w:val="4B7C46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2769" fillcolor="white">
      <v:fill color="white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3D"/>
    <w:rsid w:val="000123DD"/>
    <w:rsid w:val="000243A0"/>
    <w:rsid w:val="00027331"/>
    <w:rsid w:val="00042960"/>
    <w:rsid w:val="0004342D"/>
    <w:rsid w:val="00096515"/>
    <w:rsid w:val="000B77CA"/>
    <w:rsid w:val="000C3491"/>
    <w:rsid w:val="000D4937"/>
    <w:rsid w:val="000E440B"/>
    <w:rsid w:val="000E4C1F"/>
    <w:rsid w:val="0010501B"/>
    <w:rsid w:val="00137916"/>
    <w:rsid w:val="00157E76"/>
    <w:rsid w:val="00160667"/>
    <w:rsid w:val="00186A1B"/>
    <w:rsid w:val="00190FC4"/>
    <w:rsid w:val="001C0235"/>
    <w:rsid w:val="001C4D2D"/>
    <w:rsid w:val="001F5537"/>
    <w:rsid w:val="002056B6"/>
    <w:rsid w:val="00205CE9"/>
    <w:rsid w:val="00245B16"/>
    <w:rsid w:val="00256C2D"/>
    <w:rsid w:val="00261CFA"/>
    <w:rsid w:val="002642DA"/>
    <w:rsid w:val="00276382"/>
    <w:rsid w:val="00282024"/>
    <w:rsid w:val="00287E62"/>
    <w:rsid w:val="002978B3"/>
    <w:rsid w:val="002C1D39"/>
    <w:rsid w:val="0030772F"/>
    <w:rsid w:val="003116DC"/>
    <w:rsid w:val="00320E73"/>
    <w:rsid w:val="00337B3D"/>
    <w:rsid w:val="00354142"/>
    <w:rsid w:val="00383F28"/>
    <w:rsid w:val="00385371"/>
    <w:rsid w:val="00392266"/>
    <w:rsid w:val="00422613"/>
    <w:rsid w:val="00492867"/>
    <w:rsid w:val="004C19C9"/>
    <w:rsid w:val="00501922"/>
    <w:rsid w:val="0054484D"/>
    <w:rsid w:val="00565394"/>
    <w:rsid w:val="005E2020"/>
    <w:rsid w:val="006079EF"/>
    <w:rsid w:val="00611A05"/>
    <w:rsid w:val="006749EE"/>
    <w:rsid w:val="00680276"/>
    <w:rsid w:val="006A44BF"/>
    <w:rsid w:val="006D3424"/>
    <w:rsid w:val="006E1A38"/>
    <w:rsid w:val="00725FC0"/>
    <w:rsid w:val="007272E6"/>
    <w:rsid w:val="00765864"/>
    <w:rsid w:val="00770E35"/>
    <w:rsid w:val="00840678"/>
    <w:rsid w:val="00841FAF"/>
    <w:rsid w:val="008637EE"/>
    <w:rsid w:val="00871F55"/>
    <w:rsid w:val="0087323A"/>
    <w:rsid w:val="008752E7"/>
    <w:rsid w:val="008829C9"/>
    <w:rsid w:val="008C405F"/>
    <w:rsid w:val="008D329A"/>
    <w:rsid w:val="008D438E"/>
    <w:rsid w:val="008F147D"/>
    <w:rsid w:val="00916EE8"/>
    <w:rsid w:val="00921A25"/>
    <w:rsid w:val="009377DB"/>
    <w:rsid w:val="009463B1"/>
    <w:rsid w:val="00960D6D"/>
    <w:rsid w:val="00964C2B"/>
    <w:rsid w:val="00974FE1"/>
    <w:rsid w:val="00982B4D"/>
    <w:rsid w:val="009A1A4D"/>
    <w:rsid w:val="009E4F8A"/>
    <w:rsid w:val="00A31AC1"/>
    <w:rsid w:val="00A52C7E"/>
    <w:rsid w:val="00A53D6E"/>
    <w:rsid w:val="00A54131"/>
    <w:rsid w:val="00AB433D"/>
    <w:rsid w:val="00AD5BD0"/>
    <w:rsid w:val="00AF7F54"/>
    <w:rsid w:val="00B6307B"/>
    <w:rsid w:val="00B920DB"/>
    <w:rsid w:val="00BC4293"/>
    <w:rsid w:val="00BF39FE"/>
    <w:rsid w:val="00C16225"/>
    <w:rsid w:val="00C26F3B"/>
    <w:rsid w:val="00C311C0"/>
    <w:rsid w:val="00C743C0"/>
    <w:rsid w:val="00C80DD2"/>
    <w:rsid w:val="00CA5F9B"/>
    <w:rsid w:val="00CC7439"/>
    <w:rsid w:val="00CC75AA"/>
    <w:rsid w:val="00D62BE8"/>
    <w:rsid w:val="00D81A9A"/>
    <w:rsid w:val="00D97B10"/>
    <w:rsid w:val="00DA06EC"/>
    <w:rsid w:val="00DB0FB4"/>
    <w:rsid w:val="00E41FE5"/>
    <w:rsid w:val="00E47AED"/>
    <w:rsid w:val="00E55234"/>
    <w:rsid w:val="00E61711"/>
    <w:rsid w:val="00E81BB5"/>
    <w:rsid w:val="00E9146E"/>
    <w:rsid w:val="00E949A4"/>
    <w:rsid w:val="00EB1E3F"/>
    <w:rsid w:val="00EB2E31"/>
    <w:rsid w:val="00EC3F8F"/>
    <w:rsid w:val="00F52575"/>
    <w:rsid w:val="00F658F3"/>
    <w:rsid w:val="00F71F3B"/>
    <w:rsid w:val="00F87ACF"/>
    <w:rsid w:val="00FE1764"/>
    <w:rsid w:val="00FE1A43"/>
    <w:rsid w:val="00FF170D"/>
    <w:rsid w:val="5DE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>
      <v:fill color="white"/>
    </o:shapedefaults>
    <o:shapelayout v:ext="edit">
      <o:idmap v:ext="edit" data="1"/>
    </o:shapelayout>
  </w:shapeDefaults>
  <w:decimalSymbol w:val="."/>
  <w:listSeparator w:val=";"/>
  <w14:docId w14:val="0A843BA6"/>
  <w15:docId w15:val="{8789BA44-514B-4EE9-A3F4-5AA2A2D6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after="0" w:line="288" w:lineRule="auto"/>
      <w:jc w:val="both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qFormat/>
    <w:rsid w:val="00AD5B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5BD0"/>
  </w:style>
  <w:style w:type="character" w:styleId="FootnoteReference">
    <w:name w:val="footnote reference"/>
    <w:basedOn w:val="DefaultParagraphFont"/>
    <w:unhideWhenUsed/>
    <w:qFormat/>
    <w:rsid w:val="00AD5BD0"/>
    <w:rPr>
      <w:vertAlign w:val="superscript"/>
    </w:rPr>
  </w:style>
  <w:style w:type="character" w:customStyle="1" w:styleId="q4iawc">
    <w:name w:val="q4iawc"/>
    <w:basedOn w:val="DefaultParagraphFont"/>
    <w:rsid w:val="0028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8F447D380DEE94195D9369B0D252450" ma:contentTypeVersion="4" ma:contentTypeDescription="Defines the documents for Document Manager V2" ma:contentTypeScope="" ma:versionID="699c0fe4d6e743f76670b9a453ac587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78feecd2-a259-4a5c-b48b-4ffcf5b9c8b1" targetNamespace="http://schemas.microsoft.com/office/2006/metadata/properties" ma:root="true" ma:fieldsID="6de033fe12ab72f6ce4561b0db774137" ns2:_="" ns3:_="" ns4:_="">
    <xsd:import namespace="1299d781-265f-4ceb-999e-e1eca3df2c90"/>
    <xsd:import namespace="http://schemas.microsoft.com/sharepoint/v3/fields"/>
    <xsd:import namespace="78feecd2-a259-4a5c-b48b-4ffcf5b9c8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eecd2-a259-4a5c-b48b-4ffcf5b9c8b1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P6FJPSUHKDC2-813086739-1607</_dlc_DocId>
    <_dlc_DocIdUrl xmlns="1299d781-265f-4ceb-999e-e1eca3df2c90">
      <Url>http://dm2016/eesc/2022/_layouts/15/DocIdRedir.aspx?ID=P6FJPSUHKDC2-813086739-1607</Url>
      <Description>P6FJPSUHKDC2-813086739-1607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2022-09-27T12:00:00+00:00</ProductionDate>
    <DocumentNumber xmlns="78feecd2-a259-4a5c-b48b-4ffcf5b9c8b1">4501</DocumentNumber>
    <FicheYear xmlns="1299d781-265f-4ceb-999e-e1eca3df2c90" xsi:nil="true"/>
    <DocumentVersion xmlns="1299d781-265f-4ceb-999e-e1eca3df2c90">0</DocumentVersion>
    <DossierNumber xmlns="1299d781-265f-4ceb-999e-e1eca3df2c90">184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282</Value>
      <Value>25</Value>
      <Value>60</Value>
      <Value>280</Value>
      <Value>55</Value>
      <Value>284</Value>
      <Value>11</Value>
      <Value>9</Value>
      <Value>41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10737</FicheNumber>
    <OriginalSender xmlns="1299d781-265f-4ceb-999e-e1eca3df2c90">
      <UserInfo>
        <DisplayName>Vecko Stanko</DisplayName>
        <AccountId>1701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Relations extérieures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78feecd2-a259-4a5c-b48b-4ffcf5b9c8b1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REX</TermName>
          <TermId xmlns="http://schemas.microsoft.com/office/infopath/2007/PartnerControls">6820eaf5-116e-436b-ad9c-156f8a94c2a1</TermId>
        </TermInfo>
      </Terms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D94E80-DFDB-4EFC-9959-F60423630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78feecd2-a259-4a5c-b48b-4ffcf5b9c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32CF5-1951-4E2B-8042-6EEB394CE429}">
  <ds:schemaRefs>
    <ds:schemaRef ds:uri="http://schemas.microsoft.com/office/2006/metadata/properties"/>
    <ds:schemaRef ds:uri="http://schemas.microsoft.com/office/infopath/2007/PartnerControls"/>
    <ds:schemaRef ds:uri="1299d781-265f-4ceb-999e-e1eca3df2c90"/>
    <ds:schemaRef ds:uri="http://schemas.microsoft.com/sharepoint/v3/fields"/>
    <ds:schemaRef ds:uri="78feecd2-a259-4a5c-b48b-4ffcf5b9c8b1"/>
  </ds:schemaRefs>
</ds:datastoreItem>
</file>

<file path=customXml/itemProps3.xml><?xml version="1.0" encoding="utf-8"?>
<ds:datastoreItem xmlns:ds="http://schemas.openxmlformats.org/officeDocument/2006/customXml" ds:itemID="{A6378A86-9E45-417E-A8BB-409B90A9CE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FDB24-487F-4DC7-8901-B594F30ABC6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1501</Words>
  <Characters>8556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Conclusions of the High Level Conference on Economic and social cohesion in the Western Balkans 15 May 2018, Sofia, Bulgaria</vt:lpstr>
      <vt:lpstr>Conclusions of the High Level Conference on Economic and social cohesion in the Western Balkans 15 May 2018, Sofia, Bulgaria</vt:lpstr>
    </vt:vector>
  </TitlesOfParts>
  <Company>CESE-CDR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Konferencije civilnog društva na visokoj razini o politici za mlade na zapadnom Balkanu kao ključnom elementu budućnosti regije i Europe - 16. rujna 2002., Prag, Češka</dc:title>
  <dc:subject>TCD</dc:subject>
  <dc:creator>David Hoic</dc:creator>
  <cp:keywords>EESC-2022-04501-00-00-TCD-TRA-EN</cp:keywords>
  <dc:description>Rapporteur:  - Original language: EN - Date of document: 27/09/2022 - Date of meeting:  - External documents:  - Administrator: M. HOIC David</dc:description>
  <cp:lastModifiedBy>Kacicnik Nadja</cp:lastModifiedBy>
  <cp:revision>7</cp:revision>
  <cp:lastPrinted>2022-09-15T08:41:00Z</cp:lastPrinted>
  <dcterms:created xsi:type="dcterms:W3CDTF">2022-09-27T14:44:00Z</dcterms:created>
  <dcterms:modified xsi:type="dcterms:W3CDTF">2022-09-28T09:50:00Z</dcterms:modified>
  <cp:category>REX/184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20/09/2022, 17/05/2018, 07/05/2018</vt:lpwstr>
  </property>
  <property fmtid="{D5CDD505-2E9C-101B-9397-08002B2CF9AE}" pid="4" name="Pref_Time">
    <vt:lpwstr>09:52:16, 16:15:00, 14:32:33</vt:lpwstr>
  </property>
  <property fmtid="{D5CDD505-2E9C-101B-9397-08002B2CF9AE}" pid="5" name="Pref_User">
    <vt:lpwstr>enied, hnic, tvoc</vt:lpwstr>
  </property>
  <property fmtid="{D5CDD505-2E9C-101B-9397-08002B2CF9AE}" pid="6" name="Pref_FileName">
    <vt:lpwstr>EESC-2022-04501-00-00-TCD-TRA-EN-CRR.docx, EESC-2018-02348-00-01-TCD-ORI.docx, EESC-2018-02348-00-00-TCD-ORI.docx</vt:lpwstr>
  </property>
  <property fmtid="{D5CDD505-2E9C-101B-9397-08002B2CF9AE}" pid="7" name="ContentTypeId">
    <vt:lpwstr>0x010100EA97B91038054C99906057A708A1480A0048F447D380DEE94195D9369B0D252450</vt:lpwstr>
  </property>
  <property fmtid="{D5CDD505-2E9C-101B-9397-08002B2CF9AE}" pid="8" name="_dlc_DocIdItemGuid">
    <vt:lpwstr>07b0ad93-36f2-4f51-bac9-c6a9e536d139</vt:lpwstr>
  </property>
  <property fmtid="{D5CDD505-2E9C-101B-9397-08002B2CF9AE}" pid="9" name="AvailableTranslations">
    <vt:lpwstr>11;#FR|d2afafd3-4c81-4f60-8f52-ee33f2f54ff3;#280;#MK|34ce48bb-063e-4413-a932-50853dc71c5c;#4;#EN|f2175f21-25d7-44a3-96da-d6a61b075e1b;#41;#CS|72f9705b-0217-4fd3-bea2-cbc7ed80e26e;#284;#SQ|5ac17240-8d11-45ec-9893-659b209d7a00;#282;#SR|7f3a1d13-b985-4bfd-981e-afe31377edff;#55;#HR|2f555653-ed1a-4fe6-8362-9082d95989e5</vt:lpwstr>
  </property>
  <property fmtid="{D5CDD505-2E9C-101B-9397-08002B2CF9AE}" pid="10" name="DocumentType_0">
    <vt:lpwstr>TCD|cd9d6eb6-3f4f-424a-b2d1-57c9d450eaaf</vt:lpwstr>
  </property>
  <property fmtid="{D5CDD505-2E9C-101B-9397-08002B2CF9AE}" pid="11" name="DossierName_0">
    <vt:lpwstr>REX|6820eaf5-116e-436b-ad9c-156f8a94c2a1</vt:lpwstr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4501</vt:i4>
  </property>
  <property fmtid="{D5CDD505-2E9C-101B-9397-08002B2CF9AE}" pid="14" name="DocumentVersion">
    <vt:i4>0</vt:i4>
  </property>
  <property fmtid="{D5CDD505-2E9C-101B-9397-08002B2CF9AE}" pid="15" name="DossierNumber">
    <vt:i4>184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>60;#REX|6820eaf5-116e-436b-ad9c-156f8a94c2a1</vt:lpwstr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25;#TCD|cd9d6eb6-3f4f-424a-b2d1-57c9d450eaaf</vt:lpwstr>
  </property>
  <property fmtid="{D5CDD505-2E9C-101B-9397-08002B2CF9AE}" pid="21" name="RequestingService">
    <vt:lpwstr>Relations extérieures</vt:lpwstr>
  </property>
  <property fmtid="{D5CDD505-2E9C-101B-9397-08002B2CF9AE}" pid="22" name="Confidentiality">
    <vt:lpwstr>9;#Unrestricted|826e22d7-d029-4ec0-a450-0c28ff673572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FR|d2afafd3-4c81-4f60-8f52-ee33f2f54ff3;MK|34ce48bb-063e-4413-a932-50853dc71c5c;EN|f2175f21-25d7-44a3-96da-d6a61b075e1b;CS|72f9705b-0217-4fd3-bea2-cbc7ed80e26e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41;#CS|72f9705b-0217-4fd3-bea2-cbc7ed80e26e;#11;#FR|d2afafd3-4c81-4f60-8f52-ee33f2f54ff3;#60;#REX|6820eaf5-116e-436b-ad9c-156f8a94c2a1;#25;#TCD|cd9d6eb6-3f4f-424a-b2d1-57c9d450eaaf;#7;#TRA|150d2a88-1431-44e6-a8ca-0bb753ab8672;#9;#Unrestricted|826e22d7-d029-4ec0-a450-0c28ff673572;#4;#EN|f2175f21-25d7-44a3-96da-d6a61b075e1b;#6;#Final|ea5e6674-7b27-4bac-b091-73adbb394efe;#1;#EESC|422833ec-8d7e-4e65-8e4e-8bed07ffb729;#280;#MK|34ce48bb-063e-4413-a932-50853dc71c5c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2022</vt:i4>
  </property>
  <property fmtid="{D5CDD505-2E9C-101B-9397-08002B2CF9AE}" pid="34" name="FicheNumber">
    <vt:i4>10737</vt:i4>
  </property>
  <property fmtid="{D5CDD505-2E9C-101B-9397-08002B2CF9AE}" pid="35" name="DocumentLanguage">
    <vt:lpwstr>55;#HR|2f555653-ed1a-4fe6-8362-9082d95989e5</vt:lpwstr>
  </property>
  <property fmtid="{D5CDD505-2E9C-101B-9397-08002B2CF9AE}" pid="36" name="_docset_NoMedatataSyncRequired">
    <vt:lpwstr>False</vt:lpwstr>
  </property>
</Properties>
</file>