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9.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00F1777F">
        <w:trPr>
          <w:jc w:val="center"/>
        </w:trPr>
        <w:tc>
          <w:tcPr>
            <w:tcW w:w="5000" w:type="pct"/>
            <w:vAlign w:val="center"/>
          </w:tcPr>
          <w:p w:rsidRPr="00424F46" w:rsidR="00180C9D" w:rsidP="00180C9D" w:rsidRDefault="00F4047E">
            <w:pPr>
              <w:spacing w:line="288" w:lineRule="auto"/>
              <w:jc w:val="center"/>
              <w:rPr>
                <w:rFonts w:ascii="Times New Roman" w:hAnsi="Times New Roman" w:eastAsia="Times New Roman" w:cs="Times New Roman"/>
                <w:b/>
                <w:sz w:val="72"/>
                <w:szCs w:val="72"/>
              </w:rPr>
            </w:pPr>
            <w:r>
              <w:rPr>
                <w:rFonts w:ascii="Times New Roman" w:hAnsi="Times New Roman"/>
                <w:b/>
                <w:sz w:val="72"/>
              </w:rPr>
              <w:t>RESOLUTION</w:t>
            </w:r>
          </w:p>
        </w:tc>
      </w:tr>
      <w:tr w:rsidR="00F1777F">
        <w:trPr>
          <w:trHeight w:val="567"/>
          <w:jc w:val="center"/>
        </w:trPr>
        <w:tc>
          <w:tcPr>
            <w:tcW w:w="5000" w:type="pct"/>
            <w:vAlign w:val="center"/>
          </w:tcPr>
          <w:p w:rsidRPr="00424F46" w:rsidR="00180C9D" w:rsidP="00180C9D" w:rsidRDefault="00180C9D">
            <w:pPr>
              <w:spacing w:line="288" w:lineRule="auto"/>
              <w:jc w:val="center"/>
              <w:rPr>
                <w:rFonts w:ascii="Times New Roman" w:hAnsi="Times New Roman" w:eastAsia="Times New Roman" w:cs="Times New Roman"/>
                <w:sz w:val="24"/>
                <w:szCs w:val="24"/>
              </w:rPr>
            </w:pPr>
            <w:r>
              <w:rPr>
                <w:rFonts w:ascii="Times New Roman" w:hAnsi="Times New Roman"/>
                <w:sz w:val="24"/>
              </w:rPr>
              <w:t>Europeiska ekonomiska och sociala kommittén</w:t>
            </w:r>
          </w:p>
        </w:tc>
      </w:tr>
      <w:tr w:rsidR="00F1777F">
        <w:trPr>
          <w:jc w:val="center"/>
        </w:trPr>
        <w:tc>
          <w:tcPr>
            <w:tcW w:w="5000" w:type="pct"/>
            <w:vAlign w:val="center"/>
          </w:tcPr>
          <w:p w:rsidRPr="00424F46" w:rsidR="00F4047E" w:rsidP="00EF3B48" w:rsidRDefault="00F4047E">
            <w:pPr>
              <w:spacing w:after="0" w:line="288" w:lineRule="auto"/>
              <w:jc w:val="center"/>
              <w:rPr>
                <w:rFonts w:ascii="Times New Roman" w:hAnsi="Times New Roman" w:eastAsia="Times New Roman" w:cs="Times New Roman"/>
                <w:sz w:val="44"/>
                <w:szCs w:val="44"/>
              </w:rPr>
            </w:pPr>
            <w:r>
              <w:rPr>
                <w:rFonts w:ascii="Times New Roman" w:hAnsi="Times New Roman"/>
                <w:b/>
                <w:sz w:val="44"/>
              </w:rPr>
              <w:t>Gemensamma insatser mot ett existentiellt hot: arbetsmarknadens parter och det civila samhället förespråkar ambitiösa klimatåtgärder</w:t>
            </w:r>
          </w:p>
        </w:tc>
      </w:tr>
      <w:tr w:rsidR="00F1777F">
        <w:trPr>
          <w:jc w:val="center"/>
        </w:trPr>
        <w:tc>
          <w:tcPr>
            <w:tcW w:w="5000" w:type="pct"/>
            <w:vAlign w:val="center"/>
          </w:tcPr>
          <w:p w:rsidRPr="00424F46" w:rsidR="008A6CF4" w:rsidRDefault="008A6CF4">
            <w:pPr>
              <w:spacing w:after="0" w:line="288" w:lineRule="auto"/>
              <w:jc w:val="center"/>
              <w:rPr>
                <w:rFonts w:ascii="Times New Roman" w:hAnsi="Times New Roman" w:eastAsia="Times New Roman" w:cs="Times New Roman"/>
                <w:b/>
                <w:bCs/>
                <w:sz w:val="44"/>
                <w:szCs w:val="44"/>
              </w:rPr>
            </w:pPr>
            <w:r>
              <w:rPr>
                <w:sz w:val="24"/>
              </w:rPr>
              <w:t>_____________</w:t>
            </w:r>
          </w:p>
        </w:tc>
      </w:tr>
      <w:tr w:rsidR="00F1777F">
        <w:trPr>
          <w:jc w:val="center"/>
        </w:trPr>
        <w:tc>
          <w:tcPr>
            <w:tcW w:w="5000" w:type="pct"/>
            <w:vAlign w:val="center"/>
          </w:tcPr>
          <w:p w:rsidRPr="00424F46" w:rsidR="009A4326" w:rsidP="00180C9D" w:rsidRDefault="009A4326">
            <w:pPr>
              <w:spacing w:line="288" w:lineRule="auto"/>
              <w:jc w:val="center"/>
              <w:rPr>
                <w:rFonts w:ascii="Times New Roman" w:hAnsi="Times New Roman" w:eastAsia="Times New Roman" w:cs="Times New Roman"/>
              </w:rPr>
            </w:pPr>
            <w:r>
              <w:rPr>
                <w:rFonts w:ascii="Times New Roman" w:hAnsi="Times New Roman"/>
                <w:sz w:val="24"/>
              </w:rPr>
              <w:t>Gemensamma insatser mot ett existentiellt hot: arbetsmarknadens parter och det civila samhället förespråkar ambitiösa klimatåtgärder</w:t>
            </w:r>
          </w:p>
        </w:tc>
      </w:tr>
      <w:tr w:rsidR="00F1777F">
        <w:trPr>
          <w:jc w:val="center"/>
        </w:trPr>
        <w:tc>
          <w:tcPr>
            <w:tcW w:w="5000" w:type="pct"/>
            <w:vAlign w:val="center"/>
          </w:tcPr>
          <w:p w:rsidRPr="00BB2A13" w:rsidR="00BB2A13" w:rsidP="00BB2A13" w:rsidRDefault="00180C9D">
            <w:pPr>
              <w:tabs>
                <w:tab w:val="left" w:pos="4536"/>
              </w:tabs>
              <w:spacing w:after="0" w:line="288" w:lineRule="auto"/>
              <w:jc w:val="center"/>
              <w:rPr>
                <w:rFonts w:ascii="Times New Roman" w:hAnsi="Times New Roman"/>
                <w:sz w:val="24"/>
              </w:rPr>
            </w:pPr>
            <w:r>
              <w:rPr>
                <w:rFonts w:ascii="Times New Roman" w:hAnsi="Times New Roman"/>
                <w:sz w:val="24"/>
              </w:rPr>
              <w:t xml:space="preserve">Föredragande: </w:t>
            </w:r>
            <w:bookmarkStart w:name="_GoBack" w:id="0"/>
            <w:bookmarkEnd w:id="0"/>
            <w:r>
              <w:rPr>
                <w:rFonts w:ascii="Times New Roman" w:hAnsi="Times New Roman"/>
                <w:b/>
                <w:sz w:val="24"/>
              </w:rPr>
              <w:t>Peter Schmidt</w:t>
            </w:r>
          </w:p>
          <w:p w:rsidR="00BB2A13" w:rsidP="00BB2A13" w:rsidRDefault="00F4047E">
            <w:pPr>
              <w:tabs>
                <w:tab w:val="left" w:pos="4536"/>
              </w:tabs>
              <w:spacing w:after="0" w:line="288" w:lineRule="auto"/>
              <w:jc w:val="center"/>
              <w:rPr>
                <w:rFonts w:ascii="Times New Roman" w:hAnsi="Times New Roman" w:cs="Times New Roman"/>
                <w:b/>
                <w:sz w:val="24"/>
                <w:szCs w:val="24"/>
              </w:rPr>
            </w:pPr>
            <w:r>
              <w:rPr>
                <w:rFonts w:ascii="Times New Roman" w:hAnsi="Times New Roman"/>
                <w:b/>
                <w:sz w:val="24"/>
              </w:rPr>
              <w:t xml:space="preserve">Isabel </w:t>
            </w:r>
            <w:proofErr w:type="spellStart"/>
            <w:r>
              <w:rPr>
                <w:rFonts w:ascii="Times New Roman" w:hAnsi="Times New Roman"/>
                <w:b/>
                <w:sz w:val="24"/>
              </w:rPr>
              <w:t>Caño</w:t>
            </w:r>
            <w:proofErr w:type="spellEnd"/>
            <w:r>
              <w:rPr>
                <w:rFonts w:ascii="Times New Roman" w:hAnsi="Times New Roman"/>
                <w:b/>
                <w:sz w:val="24"/>
              </w:rPr>
              <w:t xml:space="preserve"> </w:t>
            </w:r>
            <w:proofErr w:type="spellStart"/>
            <w:r>
              <w:rPr>
                <w:rFonts w:ascii="Times New Roman" w:hAnsi="Times New Roman"/>
                <w:b/>
                <w:sz w:val="24"/>
              </w:rPr>
              <w:t>Aguilar</w:t>
            </w:r>
            <w:proofErr w:type="spellEnd"/>
          </w:p>
          <w:p w:rsidR="00BB2A13" w:rsidP="00BB2A13" w:rsidRDefault="00F4047E">
            <w:pPr>
              <w:tabs>
                <w:tab w:val="left" w:pos="4536"/>
              </w:tabs>
              <w:spacing w:after="0" w:line="288" w:lineRule="auto"/>
              <w:jc w:val="center"/>
              <w:rPr>
                <w:rFonts w:ascii="Times New Roman" w:hAnsi="Times New Roman" w:cs="Times New Roman"/>
                <w:b/>
                <w:sz w:val="24"/>
                <w:szCs w:val="24"/>
              </w:rPr>
            </w:pPr>
            <w:r>
              <w:rPr>
                <w:rFonts w:ascii="Times New Roman" w:hAnsi="Times New Roman"/>
                <w:b/>
                <w:sz w:val="24"/>
              </w:rPr>
              <w:t xml:space="preserve">Sandra </w:t>
            </w:r>
            <w:proofErr w:type="spellStart"/>
            <w:r>
              <w:rPr>
                <w:rFonts w:ascii="Times New Roman" w:hAnsi="Times New Roman"/>
                <w:b/>
                <w:sz w:val="24"/>
              </w:rPr>
              <w:t>Parthie</w:t>
            </w:r>
            <w:proofErr w:type="spellEnd"/>
          </w:p>
          <w:p w:rsidR="00BB2A13" w:rsidP="00BB2A13" w:rsidRDefault="00F4047E">
            <w:pPr>
              <w:tabs>
                <w:tab w:val="left" w:pos="4536"/>
              </w:tabs>
              <w:spacing w:after="0" w:line="288" w:lineRule="auto"/>
              <w:jc w:val="center"/>
              <w:rPr>
                <w:rFonts w:ascii="Times New Roman" w:hAnsi="Times New Roman" w:cs="Times New Roman"/>
                <w:b/>
                <w:sz w:val="24"/>
                <w:szCs w:val="24"/>
              </w:rPr>
            </w:pPr>
            <w:proofErr w:type="spellStart"/>
            <w:r>
              <w:rPr>
                <w:rFonts w:ascii="Times New Roman" w:hAnsi="Times New Roman"/>
                <w:b/>
                <w:sz w:val="24"/>
              </w:rPr>
              <w:t>Josep</w:t>
            </w:r>
            <w:proofErr w:type="spellEnd"/>
            <w:r>
              <w:rPr>
                <w:rFonts w:ascii="Times New Roman" w:hAnsi="Times New Roman"/>
                <w:b/>
                <w:sz w:val="24"/>
              </w:rPr>
              <w:t xml:space="preserve"> </w:t>
            </w:r>
            <w:proofErr w:type="spellStart"/>
            <w:r>
              <w:rPr>
                <w:rFonts w:ascii="Times New Roman" w:hAnsi="Times New Roman"/>
                <w:b/>
                <w:sz w:val="24"/>
              </w:rPr>
              <w:t>Puxeu</w:t>
            </w:r>
            <w:proofErr w:type="spellEnd"/>
            <w:r>
              <w:rPr>
                <w:rFonts w:ascii="Times New Roman" w:hAnsi="Times New Roman"/>
                <w:b/>
                <w:sz w:val="24"/>
              </w:rPr>
              <w:t xml:space="preserve"> </w:t>
            </w:r>
            <w:proofErr w:type="spellStart"/>
            <w:r>
              <w:rPr>
                <w:rFonts w:ascii="Times New Roman" w:hAnsi="Times New Roman"/>
                <w:b/>
                <w:sz w:val="24"/>
              </w:rPr>
              <w:t>Rocamora</w:t>
            </w:r>
            <w:proofErr w:type="spellEnd"/>
          </w:p>
          <w:p w:rsidR="00BB2A13" w:rsidP="00BB2A13" w:rsidRDefault="00F4047E">
            <w:pPr>
              <w:tabs>
                <w:tab w:val="left" w:pos="4536"/>
              </w:tabs>
              <w:spacing w:after="0" w:line="288" w:lineRule="auto"/>
              <w:jc w:val="center"/>
              <w:rPr>
                <w:rFonts w:ascii="Times New Roman" w:hAnsi="Times New Roman" w:cs="Times New Roman"/>
                <w:b/>
                <w:sz w:val="24"/>
                <w:szCs w:val="24"/>
              </w:rPr>
            </w:pPr>
            <w:proofErr w:type="spellStart"/>
            <w:r>
              <w:rPr>
                <w:rFonts w:ascii="Times New Roman" w:hAnsi="Times New Roman"/>
                <w:b/>
                <w:sz w:val="24"/>
              </w:rPr>
              <w:t>Neža</w:t>
            </w:r>
            <w:proofErr w:type="spellEnd"/>
            <w:r>
              <w:rPr>
                <w:rFonts w:ascii="Times New Roman" w:hAnsi="Times New Roman"/>
                <w:b/>
                <w:sz w:val="24"/>
              </w:rPr>
              <w:t xml:space="preserve"> </w:t>
            </w:r>
            <w:proofErr w:type="spellStart"/>
            <w:r>
              <w:rPr>
                <w:rFonts w:ascii="Times New Roman" w:hAnsi="Times New Roman"/>
                <w:b/>
                <w:sz w:val="24"/>
              </w:rPr>
              <w:t>Repanšek</w:t>
            </w:r>
            <w:proofErr w:type="spellEnd"/>
          </w:p>
          <w:p w:rsidRPr="00BB2A13" w:rsidR="00180C9D" w:rsidP="00BB2A13" w:rsidRDefault="00F4047E">
            <w:pPr>
              <w:tabs>
                <w:tab w:val="left" w:pos="4536"/>
              </w:tabs>
              <w:spacing w:after="0" w:line="288" w:lineRule="auto"/>
              <w:jc w:val="center"/>
              <w:rPr>
                <w:rFonts w:ascii="Times New Roman" w:hAnsi="Times New Roman" w:cs="Times New Roman"/>
                <w:b/>
                <w:sz w:val="24"/>
                <w:szCs w:val="24"/>
              </w:rPr>
            </w:pPr>
            <w:r>
              <w:rPr>
                <w:rFonts w:ascii="Times New Roman" w:hAnsi="Times New Roman"/>
                <w:b/>
                <w:sz w:val="24"/>
              </w:rPr>
              <w:t xml:space="preserve">Lutz </w:t>
            </w:r>
            <w:proofErr w:type="spellStart"/>
            <w:r>
              <w:rPr>
                <w:rFonts w:ascii="Times New Roman" w:hAnsi="Times New Roman"/>
                <w:b/>
                <w:sz w:val="24"/>
              </w:rPr>
              <w:t>Ribbe</w:t>
            </w:r>
            <w:proofErr w:type="spellEnd"/>
          </w:p>
        </w:tc>
      </w:tr>
      <w:tr w:rsidR="00BB2A13">
        <w:trPr>
          <w:jc w:val="center"/>
        </w:trPr>
        <w:tc>
          <w:tcPr>
            <w:tcW w:w="5000" w:type="pct"/>
            <w:vAlign w:val="center"/>
          </w:tcPr>
          <w:p w:rsidR="00BB2A13" w:rsidP="00BB2A13" w:rsidRDefault="00BB2A13">
            <w:pPr>
              <w:tabs>
                <w:tab w:val="left" w:pos="4536"/>
              </w:tabs>
              <w:spacing w:after="0" w:line="288" w:lineRule="auto"/>
              <w:jc w:val="center"/>
              <w:rPr>
                <w:rFonts w:ascii="Times New Roman" w:hAnsi="Times New Roman"/>
                <w:sz w:val="24"/>
              </w:rPr>
            </w:pPr>
          </w:p>
        </w:tc>
      </w:tr>
    </w:tbl>
    <w:p w:rsidR="008A6CF4" w:rsidP="00180C9D" w:rsidRDefault="008A6CF4">
      <w:pPr>
        <w:spacing w:after="0" w:line="288" w:lineRule="auto"/>
        <w:jc w:val="center"/>
        <w:rPr>
          <w:rFonts w:ascii="Times New Roman" w:hAnsi="Times New Roman" w:eastAsia="Times New Roman" w:cs="Times New Roman"/>
        </w:rPr>
      </w:pPr>
      <w:r>
        <w:rPr>
          <w:rFonts w:ascii="Times New Roman" w:hAnsi="Times New Roman"/>
          <w:noProof/>
          <w:lang w:val="en-US"/>
        </w:rPr>
        <mc:AlternateContent>
          <mc:Choice Requires="wps">
            <w:drawing>
              <wp:anchor distT="0" distB="0" distL="114300" distR="114300" simplePos="0" relativeHeight="251659776" behindDoc="1" locked="0" layoutInCell="0" allowOverlap="1" wp14:editId="45C41535" wp14:anchorId="1E2F02F8">
                <wp:simplePos x="0" y="0"/>
                <wp:positionH relativeFrom="rightMargin">
                  <wp:posOffset>-204079</wp:posOffset>
                </wp:positionH>
                <wp:positionV relativeFrom="page">
                  <wp:posOffset>9488658</wp:posOffset>
                </wp:positionV>
                <wp:extent cx="741045" cy="431800"/>
                <wp:effectExtent l="0" t="0" r="0" b="635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C9D" w:rsidP="00180C9D" w:rsidRDefault="00180C9D">
                            <w:pPr>
                              <w:jc w:val="cente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E2F02F8">
                <v:stroke joinstyle="miter"/>
                <v:path gradientshapeok="t" o:connecttype="rect"/>
              </v:shapetype>
              <v:shape id="Text Box 17" style="position:absolute;left:0;text-align:left;margin-left:-16.05pt;margin-top:747.15pt;width:58.35pt;height:34pt;z-index:-251656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qDuA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">
                <v:textbox>
                  <w:txbxContent>
                    <w:p w:rsidR="00180C9D" w:rsidP="00180C9D" w:rsidRDefault="00180C9D">
                      <w:pPr>
                        <w:jc w:val="center"/>
                      </w:pPr>
                      <w:r>
                        <w:rPr>
                          <w:rFonts w:ascii="Arial" w:hAnsi="Arial"/>
                          <w:b/>
                          <w:sz w:val="48"/>
                        </w:rPr>
                        <w:t>SV</w:t>
                      </w:r>
                    </w:p>
                  </w:txbxContent>
                </v:textbox>
                <w10:wrap anchorx="margin" anchory="page"/>
              </v:shape>
            </w:pict>
          </mc:Fallback>
        </mc:AlternateContent>
      </w:r>
    </w:p>
    <w:p w:rsidRPr="00424F46" w:rsidR="00180C9D" w:rsidP="00180C9D" w:rsidRDefault="00180C9D">
      <w:pPr>
        <w:spacing w:after="0" w:line="288" w:lineRule="auto"/>
        <w:jc w:val="center"/>
        <w:rPr>
          <w:rFonts w:ascii="Times New Roman" w:hAnsi="Times New Roman" w:eastAsia="Times New Roman" w:cs="Times New Roman"/>
          <w:lang w:val="en-GB"/>
        </w:rPr>
      </w:pPr>
    </w:p>
    <w:p w:rsidRPr="00424F46" w:rsidR="00180C9D" w:rsidP="00180C9D" w:rsidRDefault="00180C9D">
      <w:pPr>
        <w:spacing w:after="0" w:line="288" w:lineRule="auto"/>
        <w:jc w:val="center"/>
        <w:rPr>
          <w:rFonts w:ascii="Times New Roman" w:hAnsi="Times New Roman" w:eastAsia="Times New Roman" w:cs="Times New Roman"/>
          <w:lang w:val="en-GB"/>
        </w:rPr>
        <w:sectPr w:rsidRPr="00424F46" w:rsidR="00180C9D" w:rsidSect="008A6CF4">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F1777F">
        <w:tc>
          <w:tcPr>
            <w:tcW w:w="3085" w:type="dxa"/>
          </w:tcPr>
          <w:p w:rsidRPr="00424F46" w:rsidR="00180C9D" w:rsidP="00F4047E" w:rsidRDefault="009A4326">
            <w:pPr>
              <w:spacing w:after="0" w:line="288" w:lineRule="auto"/>
              <w:jc w:val="both"/>
              <w:rPr>
                <w:rFonts w:ascii="Times New Roman" w:hAnsi="Times New Roman" w:eastAsia="Times New Roman" w:cs="Times New Roman"/>
              </w:rPr>
            </w:pPr>
            <w:r>
              <w:rPr>
                <w:rFonts w:ascii="Times New Roman" w:hAnsi="Times New Roman"/>
              </w:rPr>
              <w:t>Rättslig grund</w:t>
            </w:r>
          </w:p>
        </w:tc>
        <w:tc>
          <w:tcPr>
            <w:tcW w:w="6204" w:type="dxa"/>
            <w:vAlign w:val="bottom"/>
          </w:tcPr>
          <w:p w:rsidRPr="00424F46" w:rsidR="009A4326" w:rsidP="009A4326" w:rsidRDefault="009A4326">
            <w:pPr>
              <w:spacing w:after="0" w:line="288" w:lineRule="auto"/>
              <w:jc w:val="both"/>
              <w:rPr>
                <w:rFonts w:ascii="Times New Roman" w:hAnsi="Times New Roman" w:eastAsia="Times New Roman" w:cs="Times New Roman"/>
              </w:rPr>
            </w:pPr>
            <w:r>
              <w:rPr>
                <w:rFonts w:ascii="Times New Roman" w:hAnsi="Times New Roman"/>
              </w:rPr>
              <w:t>Artikel 50 i arbetsordningen</w:t>
            </w:r>
          </w:p>
          <w:p w:rsidRPr="00424F46" w:rsidR="00180C9D" w:rsidP="009A4326" w:rsidRDefault="009A4326">
            <w:pPr>
              <w:spacing w:after="0" w:line="288" w:lineRule="auto"/>
              <w:jc w:val="both"/>
              <w:rPr>
                <w:rFonts w:ascii="Times New Roman" w:hAnsi="Times New Roman" w:eastAsia="Times New Roman" w:cs="Times New Roman"/>
              </w:rPr>
            </w:pPr>
            <w:r>
              <w:rPr>
                <w:rFonts w:ascii="Times New Roman" w:hAnsi="Times New Roman"/>
              </w:rPr>
              <w:t>Resolution</w:t>
            </w:r>
          </w:p>
        </w:tc>
      </w:tr>
      <w:tr w:rsidR="00F1777F">
        <w:tc>
          <w:tcPr>
            <w:tcW w:w="3085" w:type="dxa"/>
          </w:tcPr>
          <w:p w:rsidRPr="00424F46" w:rsidR="00180C9D" w:rsidP="00F4047E" w:rsidRDefault="009A4326">
            <w:pPr>
              <w:spacing w:after="0" w:line="288" w:lineRule="auto"/>
              <w:jc w:val="both"/>
              <w:rPr>
                <w:rFonts w:ascii="Times New Roman" w:hAnsi="Times New Roman" w:eastAsia="Times New Roman" w:cs="Times New Roman"/>
              </w:rPr>
            </w:pPr>
            <w:r>
              <w:rPr>
                <w:rFonts w:ascii="Times New Roman" w:hAnsi="Times New Roman"/>
              </w:rPr>
              <w:t>Antagande vid plenarsessionen</w:t>
            </w:r>
          </w:p>
        </w:tc>
        <w:tc>
          <w:tcPr>
            <w:tcW w:w="6204" w:type="dxa"/>
            <w:vAlign w:val="bottom"/>
          </w:tcPr>
          <w:p w:rsidRPr="00424F46" w:rsidR="00180C9D" w:rsidP="00F4047E" w:rsidRDefault="006B78AF">
            <w:pPr>
              <w:spacing w:after="0" w:line="288" w:lineRule="auto"/>
              <w:jc w:val="both"/>
              <w:rPr>
                <w:rFonts w:ascii="Times New Roman" w:hAnsi="Times New Roman" w:eastAsia="Times New Roman" w:cs="Times New Roman"/>
              </w:rPr>
            </w:pPr>
            <w:r>
              <w:rPr>
                <w:rFonts w:ascii="Times New Roman" w:hAnsi="Times New Roman"/>
              </w:rPr>
              <w:t>26/10/2022</w:t>
            </w:r>
          </w:p>
        </w:tc>
      </w:tr>
      <w:tr w:rsidR="00F1777F">
        <w:tc>
          <w:tcPr>
            <w:tcW w:w="3085" w:type="dxa"/>
          </w:tcPr>
          <w:p w:rsidRPr="00424F46" w:rsidR="00180C9D" w:rsidP="00F4047E" w:rsidRDefault="009A4326">
            <w:pPr>
              <w:spacing w:after="0" w:line="288" w:lineRule="auto"/>
              <w:jc w:val="both"/>
              <w:rPr>
                <w:rFonts w:ascii="Times New Roman" w:hAnsi="Times New Roman" w:eastAsia="Times New Roman" w:cs="Times New Roman"/>
              </w:rPr>
            </w:pPr>
            <w:r>
              <w:rPr>
                <w:rFonts w:ascii="Times New Roman" w:hAnsi="Times New Roman"/>
              </w:rPr>
              <w:t>Plenarsession nr</w:t>
            </w:r>
          </w:p>
        </w:tc>
        <w:tc>
          <w:tcPr>
            <w:tcW w:w="6204" w:type="dxa"/>
            <w:vAlign w:val="bottom"/>
          </w:tcPr>
          <w:p w:rsidRPr="00424F46" w:rsidR="00180C9D" w:rsidP="00F4047E" w:rsidRDefault="006B78AF">
            <w:pPr>
              <w:spacing w:after="0" w:line="288" w:lineRule="auto"/>
              <w:jc w:val="both"/>
              <w:rPr>
                <w:rFonts w:ascii="Times New Roman" w:hAnsi="Times New Roman" w:eastAsia="Times New Roman" w:cs="Times New Roman"/>
              </w:rPr>
            </w:pPr>
            <w:r>
              <w:rPr>
                <w:rFonts w:ascii="Times New Roman" w:hAnsi="Times New Roman"/>
              </w:rPr>
              <w:t>573</w:t>
            </w:r>
          </w:p>
        </w:tc>
      </w:tr>
      <w:tr w:rsidR="00F1777F">
        <w:tc>
          <w:tcPr>
            <w:tcW w:w="3085" w:type="dxa"/>
          </w:tcPr>
          <w:p w:rsidRPr="00424F46" w:rsidR="00180C9D" w:rsidP="00F4047E" w:rsidRDefault="009A4326">
            <w:pPr>
              <w:spacing w:after="0" w:line="288" w:lineRule="auto"/>
              <w:rPr>
                <w:rFonts w:ascii="Times New Roman" w:hAnsi="Times New Roman" w:eastAsia="Times New Roman" w:cs="Times New Roman"/>
              </w:rPr>
            </w:pPr>
            <w:r>
              <w:rPr>
                <w:rFonts w:ascii="Times New Roman" w:hAnsi="Times New Roman"/>
              </w:rPr>
              <w:t>Resultat av omröstningen</w:t>
            </w:r>
            <w:r>
              <w:rPr>
                <w:rFonts w:ascii="Times New Roman" w:hAnsi="Times New Roman"/>
              </w:rPr>
              <w:br/>
              <w:t>(för/emot/nedlagda röster)</w:t>
            </w:r>
          </w:p>
        </w:tc>
        <w:tc>
          <w:tcPr>
            <w:tcW w:w="6204" w:type="dxa"/>
            <w:vAlign w:val="bottom"/>
          </w:tcPr>
          <w:p w:rsidRPr="00424F46" w:rsidR="00180C9D" w:rsidP="00E567D2" w:rsidRDefault="00B45F35">
            <w:pPr>
              <w:spacing w:after="0" w:line="288" w:lineRule="auto"/>
              <w:jc w:val="both"/>
              <w:rPr>
                <w:rFonts w:ascii="Times New Roman" w:hAnsi="Times New Roman" w:eastAsia="Times New Roman" w:cs="Times New Roman"/>
              </w:rPr>
            </w:pPr>
            <w:r>
              <w:rPr>
                <w:rFonts w:ascii="Times New Roman" w:hAnsi="Times New Roman"/>
              </w:rPr>
              <w:t>104/1/0</w:t>
            </w:r>
          </w:p>
        </w:tc>
      </w:tr>
    </w:tbl>
    <w:p w:rsidRPr="00424F46" w:rsidR="00180C9D" w:rsidP="00180C9D" w:rsidRDefault="00180C9D">
      <w:pPr>
        <w:spacing w:after="0" w:line="288" w:lineRule="auto"/>
        <w:jc w:val="center"/>
        <w:rPr>
          <w:rFonts w:ascii="Times New Roman" w:hAnsi="Times New Roman" w:eastAsia="Times New Roman" w:cs="Times New Roman"/>
          <w:lang w:val="en-GB"/>
        </w:rPr>
      </w:pPr>
    </w:p>
    <w:p w:rsidRPr="00424F46" w:rsidR="00180C9D" w:rsidP="00180C9D" w:rsidRDefault="00180C9D">
      <w:pPr>
        <w:spacing w:after="0" w:line="288" w:lineRule="auto"/>
        <w:jc w:val="center"/>
        <w:rPr>
          <w:rFonts w:ascii="Times New Roman" w:hAnsi="Times New Roman" w:eastAsia="Times New Roman" w:cs="Times New Roman"/>
          <w:lang w:val="en-GB"/>
        </w:rPr>
        <w:sectPr w:rsidRPr="00424F46" w:rsidR="00180C9D" w:rsidSect="008A6CF4">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rsidRPr="00424F46" w:rsidR="00020F19" w:rsidP="00911C0F" w:rsidRDefault="00020F19">
      <w:pPr>
        <w:keepNext/>
        <w:spacing w:after="0" w:line="288" w:lineRule="auto"/>
        <w:ind w:left="-284" w:right="-284"/>
        <w:jc w:val="center"/>
        <w:rPr>
          <w:rFonts w:ascii="Times New Roman" w:hAnsi="Times New Roman" w:cs="Times New Roman"/>
          <w:b/>
          <w:sz w:val="24"/>
          <w:szCs w:val="24"/>
        </w:rPr>
      </w:pPr>
      <w:r>
        <w:rPr>
          <w:rFonts w:ascii="Times New Roman" w:hAnsi="Times New Roman"/>
          <w:b/>
          <w:sz w:val="24"/>
        </w:rPr>
        <w:lastRenderedPageBreak/>
        <w:t>Gemensamma insatser mot ett existentiellt hot: arbetsmarknadens parter och det civila samhället förespråkar ambitiösa klimatåtgärder</w:t>
      </w:r>
    </w:p>
    <w:p w:rsidRPr="00911C0F" w:rsidR="00020F19" w:rsidP="00911C0F" w:rsidRDefault="00020F19">
      <w:pPr>
        <w:keepNext/>
        <w:spacing w:after="0" w:line="288" w:lineRule="auto"/>
        <w:ind w:left="-284" w:right="-284"/>
        <w:jc w:val="center"/>
        <w:rPr>
          <w:rFonts w:ascii="Times New Roman" w:hAnsi="Times New Roman" w:cs="Times New Roman"/>
          <w:bCs/>
          <w:sz w:val="16"/>
          <w:szCs w:val="16"/>
          <w:lang w:val="en-GB"/>
        </w:rPr>
      </w:pPr>
    </w:p>
    <w:p w:rsidRPr="00424F46" w:rsidR="00020F19" w:rsidP="00911C0F" w:rsidRDefault="00020F19">
      <w:pPr>
        <w:keepNext/>
        <w:spacing w:after="0" w:line="288" w:lineRule="auto"/>
        <w:ind w:left="-284" w:right="-284"/>
        <w:jc w:val="both"/>
        <w:rPr>
          <w:rFonts w:ascii="Times New Roman" w:hAnsi="Times New Roman" w:cs="Times New Roman"/>
          <w:bCs/>
        </w:rPr>
      </w:pPr>
      <w:r>
        <w:rPr>
          <w:rFonts w:ascii="Times New Roman" w:hAnsi="Times New Roman"/>
        </w:rPr>
        <w:t xml:space="preserve">Det årliga mötet för Förenta nationernas ramkonvention om klimatförändringar (COP27) kommer att äga rum i </w:t>
      </w:r>
      <w:proofErr w:type="spellStart"/>
      <w:r>
        <w:rPr>
          <w:rFonts w:ascii="Times New Roman" w:hAnsi="Times New Roman"/>
        </w:rPr>
        <w:t>Sharm</w:t>
      </w:r>
      <w:proofErr w:type="spellEnd"/>
      <w:r>
        <w:rPr>
          <w:rFonts w:ascii="Times New Roman" w:hAnsi="Times New Roman"/>
        </w:rPr>
        <w:t xml:space="preserve"> El-Sheikh, Egypten, den 6–18 november.</w:t>
      </w:r>
    </w:p>
    <w:p w:rsidRPr="00911C0F" w:rsidR="00C0106D" w:rsidP="00911C0F" w:rsidRDefault="00C0106D">
      <w:pPr>
        <w:spacing w:after="0" w:line="288" w:lineRule="auto"/>
        <w:ind w:left="-284" w:right="-284"/>
        <w:jc w:val="both"/>
        <w:rPr>
          <w:rFonts w:ascii="Times New Roman" w:hAnsi="Times New Roman" w:cs="Times New Roman"/>
          <w:bCs/>
          <w:sz w:val="12"/>
          <w:szCs w:val="12"/>
          <w:lang w:val="en-GB"/>
        </w:rPr>
      </w:pPr>
    </w:p>
    <w:p w:rsidRPr="00424F46" w:rsidR="00020F19" w:rsidP="00911C0F" w:rsidRDefault="00570F8A">
      <w:pPr>
        <w:spacing w:after="0" w:line="288" w:lineRule="auto"/>
        <w:ind w:left="-284" w:right="-284"/>
        <w:jc w:val="both"/>
        <w:rPr>
          <w:rFonts w:ascii="Times New Roman" w:hAnsi="Times New Roman" w:cs="Times New Roman"/>
          <w:bCs/>
        </w:rPr>
      </w:pPr>
      <w:r>
        <w:rPr>
          <w:rFonts w:ascii="Times New Roman" w:hAnsi="Times New Roman"/>
        </w:rPr>
        <w:t xml:space="preserve">I linje med promemorian till </w:t>
      </w:r>
      <w:proofErr w:type="spellStart"/>
      <w:r>
        <w:rPr>
          <w:rFonts w:ascii="Times New Roman" w:hAnsi="Times New Roman"/>
        </w:rPr>
        <w:t>EESK:s</w:t>
      </w:r>
      <w:proofErr w:type="spellEnd"/>
      <w:r>
        <w:rPr>
          <w:rFonts w:ascii="Times New Roman" w:hAnsi="Times New Roman"/>
        </w:rPr>
        <w:t xml:space="preserve"> presidium av den 22 februari 2022 inrättade EESK en tillfällig arbetsgrupp för partskonferensen för FN:s ramkonvention om klimatförändringar för att utarbeta </w:t>
      </w:r>
      <w:proofErr w:type="spellStart"/>
      <w:r>
        <w:rPr>
          <w:rFonts w:ascii="Times New Roman" w:hAnsi="Times New Roman"/>
        </w:rPr>
        <w:t>EESK:s</w:t>
      </w:r>
      <w:proofErr w:type="spellEnd"/>
      <w:r>
        <w:rPr>
          <w:rFonts w:ascii="Times New Roman" w:hAnsi="Times New Roman"/>
        </w:rPr>
        <w:t xml:space="preserve"> resolution om partskonferensen, anpassad till nästa partskonferens prioriteringar och UNFCCC-förhandlingsprocesserna, och för att göra kommittén som helhet mer förtrogen med UNFCCC-processen och göra den delaktig i klimatförhandlingarna.</w:t>
      </w:r>
    </w:p>
    <w:p w:rsidRPr="00911C0F" w:rsidR="00C0106D" w:rsidP="00911C0F" w:rsidRDefault="00C0106D">
      <w:pPr>
        <w:spacing w:after="0" w:line="288" w:lineRule="auto"/>
        <w:ind w:left="-284" w:right="-284"/>
        <w:jc w:val="both"/>
        <w:rPr>
          <w:rFonts w:ascii="Times New Roman" w:hAnsi="Times New Roman" w:cs="Times New Roman"/>
          <w:bCs/>
          <w:sz w:val="12"/>
          <w:szCs w:val="12"/>
          <w:lang w:val="en-GB"/>
        </w:rPr>
      </w:pPr>
    </w:p>
    <w:p w:rsidRPr="00424F46" w:rsidR="00020F19" w:rsidP="00911C0F" w:rsidRDefault="00020F19">
      <w:pPr>
        <w:spacing w:after="0" w:line="288" w:lineRule="auto"/>
        <w:ind w:left="-284" w:right="-284"/>
        <w:jc w:val="both"/>
        <w:rPr>
          <w:rFonts w:ascii="Times New Roman" w:hAnsi="Times New Roman" w:cs="Times New Roman"/>
          <w:bCs/>
          <w:spacing w:val="-6"/>
        </w:rPr>
      </w:pPr>
      <w:r>
        <w:rPr>
          <w:rFonts w:ascii="Times New Roman" w:hAnsi="Times New Roman"/>
        </w:rPr>
        <w:t xml:space="preserve">Den tillfälliga arbetsgruppen består av sex medlemmar av NAT-sektionen samt en ungdomsföreträdare som deltar regelbundet, i enlighet med yttrandet på eget initiativ </w:t>
      </w:r>
      <w:hyperlink w:history="1" r:id="rId18">
        <w:r>
          <w:rPr>
            <w:rStyle w:val="Hyperlink"/>
            <w:rFonts w:ascii="Times New Roman" w:hAnsi="Times New Roman"/>
          </w:rPr>
          <w:t>NAT/788 ”Mot ett strukturerat ungdomsengagemang för klimat och hållbarhet i EU:s beslutsprocess”</w:t>
        </w:r>
      </w:hyperlink>
      <w:r>
        <w:rPr>
          <w:rFonts w:ascii="Times New Roman" w:hAnsi="Times New Roman"/>
        </w:rPr>
        <w:t xml:space="preserve">. Under de senaste månaderna har den tillfälliga arbetsgruppen träffat relevanta organisationer och institutioner, såsom Europeiska kommissionen, Regionkommittén, kontoret för klimatförespråkarna på hög nivå och </w:t>
      </w:r>
      <w:proofErr w:type="spellStart"/>
      <w:r>
        <w:rPr>
          <w:rFonts w:ascii="Times New Roman" w:hAnsi="Times New Roman"/>
        </w:rPr>
        <w:t>Climate</w:t>
      </w:r>
      <w:proofErr w:type="spellEnd"/>
      <w:r>
        <w:rPr>
          <w:rFonts w:ascii="Times New Roman" w:hAnsi="Times New Roman"/>
        </w:rPr>
        <w:t xml:space="preserve"> Action </w:t>
      </w:r>
      <w:proofErr w:type="spellStart"/>
      <w:r>
        <w:rPr>
          <w:rFonts w:ascii="Times New Roman" w:hAnsi="Times New Roman"/>
        </w:rPr>
        <w:t>Tracker</w:t>
      </w:r>
      <w:proofErr w:type="spellEnd"/>
      <w:r>
        <w:rPr>
          <w:rFonts w:ascii="Times New Roman" w:hAnsi="Times New Roman"/>
        </w:rPr>
        <w:t>, samt företrädare för det civila samhället – ungdomar, företag, jordbrukare, fackföreningar och icke-statliga miljöorganisationer – för att utbyta information och söka synergier. Klimatnödläget betonades i alla dessa samtal.</w:t>
      </w:r>
    </w:p>
    <w:p w:rsidRPr="00911C0F" w:rsidR="00C0106D" w:rsidP="00911C0F" w:rsidRDefault="00C0106D">
      <w:pPr>
        <w:spacing w:after="0" w:line="288" w:lineRule="auto"/>
        <w:ind w:left="-284" w:right="-284"/>
        <w:jc w:val="both"/>
        <w:rPr>
          <w:rFonts w:ascii="Times New Roman" w:hAnsi="Times New Roman" w:cs="Times New Roman"/>
          <w:bCs/>
          <w:sz w:val="12"/>
          <w:szCs w:val="12"/>
          <w:lang w:val="en-GB"/>
        </w:rPr>
      </w:pPr>
    </w:p>
    <w:p w:rsidRPr="00424F46" w:rsidR="00020F19" w:rsidP="00911C0F" w:rsidRDefault="00020F19">
      <w:pPr>
        <w:spacing w:after="0" w:line="288" w:lineRule="auto"/>
        <w:ind w:left="-284" w:right="-284"/>
        <w:jc w:val="both"/>
        <w:rPr>
          <w:rFonts w:ascii="Times New Roman" w:hAnsi="Times New Roman" w:cs="Times New Roman"/>
          <w:bCs/>
        </w:rPr>
      </w:pPr>
      <w:r>
        <w:rPr>
          <w:rFonts w:ascii="Times New Roman" w:hAnsi="Times New Roman"/>
        </w:rPr>
        <w:t>År 2022 håller på att bli ett år då klimatförändringarna driver på extrema väderhändelser mer än någonsin tidigare. Från extrema värmeböljor och bränder i Europa och delar av Sydasien till katastrofala översvämningar i Pakistan och Bangladesh samt långvarig torka i Östafrika, med tusentals döda och miljontals fler som fördrivits eller riskerar hungersnöd.</w:t>
      </w:r>
    </w:p>
    <w:p w:rsidRPr="00911C0F" w:rsidR="00C0106D" w:rsidP="00911C0F" w:rsidRDefault="00C0106D">
      <w:pPr>
        <w:spacing w:after="0" w:line="288" w:lineRule="auto"/>
        <w:ind w:left="-284" w:right="-284"/>
        <w:jc w:val="both"/>
        <w:rPr>
          <w:rFonts w:ascii="Times New Roman" w:hAnsi="Times New Roman" w:cs="Times New Roman"/>
          <w:bCs/>
          <w:sz w:val="12"/>
          <w:szCs w:val="12"/>
          <w:lang w:val="en-GB"/>
        </w:rPr>
      </w:pPr>
    </w:p>
    <w:p w:rsidRPr="00424F46" w:rsidR="00020F19" w:rsidP="00911C0F" w:rsidRDefault="00020F19">
      <w:pPr>
        <w:spacing w:after="0" w:line="288" w:lineRule="auto"/>
        <w:ind w:left="-284" w:right="-284"/>
        <w:jc w:val="both"/>
        <w:rPr>
          <w:rFonts w:ascii="Times New Roman" w:hAnsi="Times New Roman" w:cs="Times New Roman"/>
          <w:bCs/>
        </w:rPr>
      </w:pPr>
      <w:r>
        <w:rPr>
          <w:rFonts w:ascii="Times New Roman" w:hAnsi="Times New Roman"/>
        </w:rPr>
        <w:t xml:space="preserve">I detta avseende anges det i den senaste rapporten från </w:t>
      </w:r>
      <w:hyperlink w:history="1" r:id="rId19">
        <w:r>
          <w:rPr>
            <w:rStyle w:val="Hyperlink"/>
            <w:rFonts w:ascii="Times New Roman" w:hAnsi="Times New Roman"/>
          </w:rPr>
          <w:t>Mellanstatliga panelen för klimatförändringar</w:t>
        </w:r>
      </w:hyperlink>
      <w:r>
        <w:rPr>
          <w:rFonts w:ascii="Times New Roman" w:hAnsi="Times New Roman"/>
        </w:rPr>
        <w:t xml:space="preserve"> att för att den globala uppvärmningen ska kunna begränsas till 1,5 °C måste utsläppen av växthusgaser nå sin topp senast före 2025, att utsläppen måste halveras till 2030 och att det är absolut nödvändigt med djupgående och omedelbara utsläppsminskningar inom alla sektorer för att detta ska kunna ske. Den </w:t>
      </w:r>
      <w:hyperlink w:history="1" r:id="rId20">
        <w:r>
          <w:rPr>
            <w:rStyle w:val="Hyperlink"/>
            <w:rFonts w:ascii="Times New Roman" w:hAnsi="Times New Roman"/>
          </w:rPr>
          <w:t>politik som för närvarande förs</w:t>
        </w:r>
      </w:hyperlink>
      <w:r>
        <w:rPr>
          <w:rFonts w:ascii="Times New Roman" w:hAnsi="Times New Roman"/>
        </w:rPr>
        <w:t xml:space="preserve"> förväntas dock leda till en uppvärmning på ca 2,7 °C, och ländernas nuvarande åtaganden – de nationellt fastställda bidragen – kommer att begränsa uppvärmningen till 2,4 °C.</w:t>
      </w:r>
    </w:p>
    <w:p w:rsidRPr="00911C0F" w:rsidR="00C0106D" w:rsidP="00911C0F" w:rsidRDefault="00C0106D">
      <w:pPr>
        <w:spacing w:after="0" w:line="288" w:lineRule="auto"/>
        <w:ind w:left="-284" w:right="-284"/>
        <w:jc w:val="both"/>
        <w:rPr>
          <w:rFonts w:ascii="Times New Roman" w:hAnsi="Times New Roman" w:cs="Times New Roman"/>
          <w:bCs/>
          <w:sz w:val="12"/>
          <w:szCs w:val="12"/>
          <w:lang w:val="en-GB"/>
        </w:rPr>
      </w:pPr>
    </w:p>
    <w:p w:rsidRPr="00424F46" w:rsidR="00020F19" w:rsidP="00911C0F" w:rsidRDefault="00020F19">
      <w:pPr>
        <w:spacing w:after="0" w:line="288" w:lineRule="auto"/>
        <w:ind w:left="-284" w:right="-284"/>
        <w:jc w:val="both"/>
        <w:rPr>
          <w:rFonts w:ascii="Times New Roman" w:hAnsi="Times New Roman" w:cs="Times New Roman"/>
          <w:bCs/>
        </w:rPr>
      </w:pPr>
      <w:r>
        <w:rPr>
          <w:rFonts w:ascii="Times New Roman" w:hAnsi="Times New Roman"/>
        </w:rPr>
        <w:t xml:space="preserve">Rysslands invasion av Ukraina har dramatiskt ökat komplexiteten i en situation som redan var ekonomiskt och socialt svår. Det är dock inte möjligt att låta det akuta klimatläget vänta. Eventuella särskilda åtgärder som antas måste vara exceptionella och tidsbegränsade, och EU måste påskynda omvandlingen av sin energi- och </w:t>
      </w:r>
      <w:proofErr w:type="spellStart"/>
      <w:r>
        <w:rPr>
          <w:rFonts w:ascii="Times New Roman" w:hAnsi="Times New Roman"/>
        </w:rPr>
        <w:t>klimatpolitik</w:t>
      </w:r>
      <w:proofErr w:type="spellEnd"/>
      <w:r>
        <w:rPr>
          <w:rFonts w:ascii="Times New Roman" w:hAnsi="Times New Roman"/>
        </w:rPr>
        <w:t xml:space="preserve"> för att hantera kortsiktiga chocker och samtidigt gå vidare med den oundvikliga utfasningen av fossila bränslen i samhällena. Europa måste vara ledande när det gäller klimatåtgärder och överbrygga klyftorna mellan ambitioner och politiska åtgärder.</w:t>
      </w:r>
    </w:p>
    <w:p w:rsidRPr="00911C0F" w:rsidR="00C0106D" w:rsidP="00911C0F" w:rsidRDefault="00C0106D">
      <w:pPr>
        <w:spacing w:after="0" w:line="288" w:lineRule="auto"/>
        <w:ind w:left="-284" w:right="-284"/>
        <w:jc w:val="both"/>
        <w:rPr>
          <w:rFonts w:ascii="Times New Roman" w:hAnsi="Times New Roman" w:cs="Times New Roman"/>
          <w:bCs/>
          <w:sz w:val="12"/>
          <w:szCs w:val="12"/>
          <w:lang w:val="en-GB"/>
        </w:rPr>
      </w:pPr>
    </w:p>
    <w:p w:rsidRPr="00424F46" w:rsidR="00020F19" w:rsidP="00911C0F" w:rsidRDefault="00020F19">
      <w:pPr>
        <w:spacing w:after="0" w:line="288" w:lineRule="auto"/>
        <w:ind w:left="-284" w:right="-284"/>
        <w:jc w:val="both"/>
        <w:rPr>
          <w:rFonts w:ascii="Times New Roman" w:hAnsi="Times New Roman" w:cs="Times New Roman"/>
          <w:bCs/>
        </w:rPr>
      </w:pPr>
      <w:r>
        <w:rPr>
          <w:rFonts w:ascii="Times New Roman" w:hAnsi="Times New Roman"/>
        </w:rPr>
        <w:t xml:space="preserve">I den resolution som utarbetats av den tillfälliga arbetsgruppens medlemmar uppmanas EU:s institutioner och regeringar att höja klimatambitionerna, i linje med vetenskapen och de vetenskapliga rönen, och läggs särskild tonvikt vid det organiserade civila samhällets roll när det gäller att påskynda klimatåtgärderna. Den sociala </w:t>
      </w:r>
      <w:proofErr w:type="spellStart"/>
      <w:r>
        <w:rPr>
          <w:rFonts w:ascii="Times New Roman" w:hAnsi="Times New Roman"/>
        </w:rPr>
        <w:t>resiliensen</w:t>
      </w:r>
      <w:proofErr w:type="spellEnd"/>
      <w:r>
        <w:rPr>
          <w:rFonts w:ascii="Times New Roman" w:hAnsi="Times New Roman"/>
        </w:rPr>
        <w:t xml:space="preserve"> kan bara stärkas med ett starkt civilt samhälle samt starka sociala aktörer och gräsrotsrörelser.</w:t>
      </w:r>
    </w:p>
    <w:p w:rsidRPr="00911C0F" w:rsidR="00765637" w:rsidP="00911C0F" w:rsidRDefault="00765637">
      <w:pPr>
        <w:spacing w:after="0" w:line="288" w:lineRule="auto"/>
        <w:ind w:left="-284" w:right="-284"/>
        <w:jc w:val="both"/>
        <w:rPr>
          <w:rFonts w:ascii="Times New Roman" w:hAnsi="Times New Roman" w:cs="Times New Roman"/>
          <w:bCs/>
          <w:sz w:val="12"/>
          <w:szCs w:val="12"/>
          <w:lang w:val="en-GB"/>
        </w:rPr>
      </w:pPr>
    </w:p>
    <w:p w:rsidRPr="00424F46" w:rsidR="00765637" w:rsidP="00911C0F" w:rsidRDefault="00020F19">
      <w:pPr>
        <w:spacing w:after="0" w:line="288" w:lineRule="auto"/>
        <w:ind w:left="-284" w:right="-284"/>
        <w:jc w:val="center"/>
        <w:rPr>
          <w:rFonts w:ascii="Times New Roman" w:hAnsi="Times New Roman" w:cs="Times New Roman"/>
          <w:bCs/>
          <w:i/>
          <w:iCs/>
        </w:rPr>
      </w:pPr>
      <w:r>
        <w:rPr>
          <w:rFonts w:ascii="Times New Roman" w:hAnsi="Times New Roman"/>
          <w:i/>
        </w:rPr>
        <w:t>Vi är den sista generation som kan stoppa klimatförändringarna, och EESK bör, i egenskap av det europeiska civila samhällets röst, spela en ledande roll när det gäller att främja dessa omvandlingar till koldioxidneutrala, inkluderande och socialt rättvisa samhällen.</w:t>
      </w:r>
      <w:r>
        <w:rPr>
          <w:rFonts w:ascii="Times New Roman" w:hAnsi="Times New Roman"/>
          <w:i/>
        </w:rPr>
        <w:br w:type="page"/>
      </w:r>
    </w:p>
    <w:p w:rsidRPr="00424F46" w:rsidR="0040134E" w:rsidP="00DF5427" w:rsidRDefault="0040134E">
      <w:pPr>
        <w:keepNext/>
        <w:spacing w:after="0" w:line="288" w:lineRule="auto"/>
        <w:rPr>
          <w:rFonts w:ascii="Times New Roman" w:hAnsi="Times New Roman" w:cs="Times New Roman"/>
          <w:b/>
        </w:rPr>
      </w:pPr>
      <w:r>
        <w:rPr>
          <w:rFonts w:ascii="Times New Roman" w:hAnsi="Times New Roman"/>
          <w:b/>
        </w:rPr>
        <w:t>EUROPEISKA EKONOMISKA OCH SOCIALA KOMMITTÉNS POLITISKA REKOMMENDATIONER:</w:t>
      </w:r>
    </w:p>
    <w:p w:rsidRPr="00424F46" w:rsidR="00765637" w:rsidP="00EF3B48" w:rsidRDefault="00765637">
      <w:pPr>
        <w:keepNext/>
        <w:spacing w:after="0" w:line="288" w:lineRule="auto"/>
        <w:jc w:val="both"/>
        <w:rPr>
          <w:rFonts w:ascii="Times New Roman" w:hAnsi="Times New Roman" w:cs="Times New Roman"/>
          <w:b/>
          <w:lang w:val="en-GB"/>
        </w:rPr>
      </w:pPr>
    </w:p>
    <w:p w:rsidRPr="00424F46" w:rsidR="0040134E" w:rsidP="00EF3B48" w:rsidRDefault="00492189">
      <w:pPr>
        <w:keepNext/>
        <w:spacing w:after="0" w:line="288" w:lineRule="auto"/>
        <w:jc w:val="both"/>
        <w:rPr>
          <w:rFonts w:ascii="Times New Roman" w:hAnsi="Times New Roman"/>
          <w:b/>
          <w:i/>
        </w:rPr>
      </w:pPr>
      <w:r>
        <w:rPr>
          <w:rFonts w:ascii="Times New Roman" w:hAnsi="Times New Roman"/>
          <w:b/>
          <w:i/>
        </w:rPr>
        <w:t>Höjda klimatambitioner för att hantera klimatnödläget och stärkta klimatåtgärder i EU</w:t>
      </w:r>
    </w:p>
    <w:p w:rsidRPr="00424F46" w:rsidR="00765637" w:rsidP="00EF3B48" w:rsidRDefault="00765637">
      <w:pPr>
        <w:keepNext/>
        <w:spacing w:after="0" w:line="288" w:lineRule="auto"/>
        <w:jc w:val="both"/>
        <w:rPr>
          <w:rFonts w:ascii="Times New Roman" w:hAnsi="Times New Roman" w:cs="Times New Roman"/>
          <w:bCs/>
          <w:iCs/>
          <w:lang w:val="en-GB" w:eastAsia="en-GB"/>
        </w:rPr>
      </w:pPr>
    </w:p>
    <w:p w:rsidRPr="00424F46" w:rsidR="00A133B3" w:rsidRDefault="001522F6">
      <w:pPr>
        <w:pStyle w:val="ListParagraph"/>
        <w:spacing w:after="0" w:line="288" w:lineRule="auto"/>
        <w:ind w:left="0"/>
        <w:jc w:val="both"/>
        <w:rPr>
          <w:rFonts w:ascii="Times New Roman" w:hAnsi="Times New Roman" w:cs="Times New Roman"/>
          <w:bCs/>
          <w:iCs/>
        </w:rPr>
      </w:pPr>
      <w:r>
        <w:rPr>
          <w:rFonts w:ascii="Times New Roman" w:hAnsi="Times New Roman"/>
        </w:rPr>
        <w:t>Som det organiserade civila samhällets röst i Europa, i egenskap av rådgivande organ till Europaparlamentet, rådet och kommissionen och som en del av det globala civila samhället</w:t>
      </w:r>
    </w:p>
    <w:p w:rsidRPr="00424F46" w:rsidR="00A133B3" w:rsidP="00F5520F" w:rsidRDefault="00A133B3">
      <w:pPr>
        <w:pStyle w:val="ListParagraph"/>
        <w:spacing w:after="0" w:line="288" w:lineRule="auto"/>
        <w:ind w:left="0"/>
        <w:jc w:val="both"/>
        <w:rPr>
          <w:rFonts w:ascii="Times New Roman" w:hAnsi="Times New Roman" w:cs="Times New Roman"/>
          <w:bCs/>
          <w:iCs/>
          <w:lang w:val="en-GB" w:eastAsia="en-GB"/>
        </w:rPr>
      </w:pPr>
    </w:p>
    <w:p w:rsidRPr="00424F46" w:rsidR="00C5108E" w:rsidP="00F5520F" w:rsidRDefault="001522F6">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framhåller Europeiska ekonomiska och sociala kommittén (EESK) att Förenta nationernas ramkonvention om klimatförändringar (UNFCCC) antogs för 30 år sedan med det slutliga målet att ”uppnå en stabilisering av koncentrationerna av växthusgaser i atmosfären på en nivå som kan förhindra farlig </w:t>
      </w:r>
      <w:proofErr w:type="spellStart"/>
      <w:r>
        <w:rPr>
          <w:rFonts w:ascii="Times New Roman" w:hAnsi="Times New Roman"/>
        </w:rPr>
        <w:t>antropogen</w:t>
      </w:r>
      <w:proofErr w:type="spellEnd"/>
      <w:r>
        <w:rPr>
          <w:rFonts w:ascii="Times New Roman" w:hAnsi="Times New Roman"/>
        </w:rPr>
        <w:t xml:space="preserve"> inverkan på klimatsystemet” (artike</w:t>
      </w:r>
      <w:r w:rsidR="00DF5427">
        <w:rPr>
          <w:rFonts w:ascii="Times New Roman" w:hAnsi="Times New Roman"/>
        </w:rPr>
        <w:t>l 2) och att detta mål inte har </w:t>
      </w:r>
      <w:r>
        <w:rPr>
          <w:rFonts w:ascii="Times New Roman" w:hAnsi="Times New Roman"/>
        </w:rPr>
        <w:t>uppnåtts.</w:t>
      </w:r>
    </w:p>
    <w:p w:rsidRPr="00424F46" w:rsidR="00E25EDF" w:rsidP="00F5520F" w:rsidRDefault="00E25EDF">
      <w:pPr>
        <w:pStyle w:val="ListParagraph"/>
        <w:spacing w:after="0" w:line="288" w:lineRule="auto"/>
        <w:ind w:left="567" w:hanging="567"/>
        <w:jc w:val="both"/>
        <w:rPr>
          <w:rFonts w:ascii="Times New Roman" w:hAnsi="Times New Roman" w:cs="Times New Roman"/>
          <w:lang w:val="en-GB"/>
        </w:rPr>
      </w:pPr>
    </w:p>
    <w:p w:rsidRPr="00424F46" w:rsidR="00A73469" w:rsidP="00F5520F" w:rsidRDefault="00FC5DCF">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Genom Parisavtalet 2015 övergick vi alla från klimatkonventionens kvalitativa mål – att förhindra inverkan på klimatet – till ett kvantitativt mål: att ”hålla ökningen i den globala medeltemperaturen långt under 2 °C över förindustriell nivå samt göra ansträngningar för att begränsa temperaturökningen till 1,5 °C över förindustriell nivå”</w:t>
      </w:r>
      <w:r w:rsidRPr="00424F46" w:rsidR="00C5108E">
        <w:rPr>
          <w:rStyle w:val="FootnoteReference"/>
          <w:rFonts w:ascii="Times New Roman" w:hAnsi="Times New Roman" w:cs="Times New Roman"/>
          <w:lang w:val="en-GB"/>
        </w:rPr>
        <w:footnoteReference w:id="2"/>
      </w:r>
      <w:r>
        <w:rPr>
          <w:rFonts w:ascii="Times New Roman" w:hAnsi="Times New Roman"/>
        </w:rPr>
        <w:t>.</w:t>
      </w:r>
    </w:p>
    <w:p w:rsidRPr="00424F46" w:rsidR="00A73469" w:rsidP="00F5520F" w:rsidRDefault="00A73469">
      <w:pPr>
        <w:pStyle w:val="ListParagraph"/>
        <w:spacing w:after="0" w:line="288" w:lineRule="auto"/>
        <w:ind w:left="567" w:hanging="567"/>
        <w:jc w:val="both"/>
        <w:rPr>
          <w:rFonts w:ascii="Times New Roman" w:hAnsi="Times New Roman" w:cs="Times New Roman"/>
          <w:lang w:val="en-GB"/>
        </w:rPr>
      </w:pPr>
    </w:p>
    <w:p w:rsidRPr="00424F46" w:rsidR="00C5108E" w:rsidP="00F5520F" w:rsidRDefault="00C5108E">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Målet på 1,5 °C kommer inte att vara tillräckligt för att klimatförändringarnas dramatiska konsekvenser ska kunna undvikas. Beläggen visar att klimatförändringarna redan förändrar alla regioner i världen.</w:t>
      </w:r>
      <w:r>
        <w:t xml:space="preserve"> </w:t>
      </w:r>
      <w:r>
        <w:rPr>
          <w:rFonts w:ascii="Times New Roman" w:hAnsi="Times New Roman"/>
        </w:rPr>
        <w:t>Översvämningar, torka, stormar, bränder och värmeböljor ökar exponentiellt, med förödande sociala effekter och ekonomiska konsekvenser på flera miljarder varje år.</w:t>
      </w:r>
      <w:r w:rsidRPr="00424F46">
        <w:rPr>
          <w:rStyle w:val="FootnoteReference"/>
          <w:rFonts w:ascii="Times New Roman" w:hAnsi="Times New Roman" w:cs="Times New Roman"/>
          <w:lang w:val="en-GB"/>
        </w:rPr>
        <w:footnoteReference w:id="3"/>
      </w:r>
    </w:p>
    <w:p w:rsidRPr="00424F46" w:rsidR="00A73469" w:rsidP="00F5520F" w:rsidRDefault="00A73469">
      <w:pPr>
        <w:pStyle w:val="ListParagraph"/>
        <w:spacing w:after="0" w:line="288" w:lineRule="auto"/>
        <w:ind w:left="567" w:hanging="567"/>
        <w:jc w:val="both"/>
        <w:rPr>
          <w:rFonts w:ascii="Times New Roman" w:hAnsi="Times New Roman" w:cs="Times New Roman"/>
          <w:lang w:val="en-GB"/>
        </w:rPr>
      </w:pPr>
    </w:p>
    <w:p w:rsidRPr="00424F46" w:rsidR="00A73469" w:rsidP="00F5520F" w:rsidRDefault="00A7346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Vi lever i ett klimatnödläge och får inte ge upp när det gäller artikel 2 i konventionen trots att UNFCCC för närvarande inte lever upp till förväntningarna.</w:t>
      </w:r>
    </w:p>
    <w:p w:rsidRPr="00424F46" w:rsidR="00EA2B05" w:rsidP="00F5520F" w:rsidRDefault="00EA2B05">
      <w:pPr>
        <w:pStyle w:val="ListParagraph"/>
        <w:spacing w:after="0" w:line="288" w:lineRule="auto"/>
        <w:ind w:left="567" w:hanging="567"/>
        <w:jc w:val="both"/>
        <w:rPr>
          <w:rFonts w:ascii="Times New Roman" w:hAnsi="Times New Roman" w:cs="Times New Roman"/>
          <w:lang w:val="en-GB"/>
        </w:rPr>
      </w:pPr>
    </w:p>
    <w:p w:rsidRPr="00424F46" w:rsidR="00EA2B05" w:rsidP="00F5520F" w:rsidRDefault="00794F2D">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Kommittén är djupt övertygad om att politiska beslut måste bygga på vetenskap och vetenskapliga rön, och påpekar att Mellanstatliga panelen för klimatförändringar (IPCC) har fastställt tydliga riktmärken: utsläppen måste nå sin topp senast före 2025</w:t>
      </w:r>
      <w:r w:rsidRPr="00424F46" w:rsidR="00D27A92">
        <w:rPr>
          <w:rStyle w:val="FootnoteReference"/>
          <w:rFonts w:ascii="Times New Roman" w:hAnsi="Times New Roman" w:cs="Times New Roman"/>
          <w:lang w:val="en-GB"/>
        </w:rPr>
        <w:footnoteReference w:id="4"/>
      </w:r>
      <w:r>
        <w:rPr>
          <w:rFonts w:ascii="Times New Roman" w:hAnsi="Times New Roman"/>
        </w:rPr>
        <w:t>, och världen måste senast 2030 minska utsläppen med 45 % jämfört med 2010 års nivåer för att hålla möjligheten till 1,5 °C vid liv.</w:t>
      </w:r>
    </w:p>
    <w:p w:rsidRPr="00424F46" w:rsidR="00EA2B05" w:rsidP="00F5520F" w:rsidRDefault="00EA2B05">
      <w:pPr>
        <w:pStyle w:val="ListParagraph"/>
        <w:spacing w:after="0" w:line="288" w:lineRule="auto"/>
        <w:ind w:left="567" w:hanging="567"/>
        <w:jc w:val="both"/>
        <w:rPr>
          <w:rFonts w:ascii="Times New Roman" w:hAnsi="Times New Roman" w:cs="Times New Roman"/>
          <w:lang w:val="en-GB"/>
        </w:rPr>
      </w:pPr>
    </w:p>
    <w:p w:rsidRPr="00424F46" w:rsidR="00EA1709" w:rsidP="00F5520F" w:rsidRDefault="00EA2B05">
      <w:pPr>
        <w:pStyle w:val="ListParagraph"/>
        <w:numPr>
          <w:ilvl w:val="0"/>
          <w:numId w:val="11"/>
        </w:numPr>
        <w:spacing w:after="0" w:line="288" w:lineRule="auto"/>
        <w:ind w:left="567" w:hanging="567"/>
        <w:jc w:val="both"/>
        <w:rPr>
          <w:rFonts w:ascii="Times New Roman" w:hAnsi="Times New Roman" w:cs="Times New Roman"/>
          <w:b/>
          <w:bCs/>
        </w:rPr>
      </w:pPr>
      <w:r>
        <w:rPr>
          <w:rFonts w:ascii="Times New Roman" w:hAnsi="Times New Roman"/>
        </w:rPr>
        <w:t xml:space="preserve">Rysslands invasion av Ukraina har förvärrat en redan svår situation som kännetecknas av inflation, höga energi- och livsmedelspriser samt möjlig energibrist, vilket har allvarliga konsekvenser för medborgarnas liv och skapar allvarliga sociala och ekonomiska utmaningar, åtminstone på kort sikt. EESK anser att den rådande situationen gör EU:s klimatåtgärder ännu mer brådskande och att </w:t>
      </w:r>
      <w:r>
        <w:rPr>
          <w:rFonts w:ascii="Times New Roman" w:hAnsi="Times New Roman"/>
          <w:b/>
        </w:rPr>
        <w:t xml:space="preserve">den nya geopolitiska situationen förstärker behovet av att EU påskyndar omvandlingen av sin energi- och </w:t>
      </w:r>
      <w:proofErr w:type="spellStart"/>
      <w:r>
        <w:rPr>
          <w:rFonts w:ascii="Times New Roman" w:hAnsi="Times New Roman"/>
          <w:b/>
        </w:rPr>
        <w:t>klimatpolitik</w:t>
      </w:r>
      <w:proofErr w:type="spellEnd"/>
      <w:r>
        <w:rPr>
          <w:rFonts w:ascii="Times New Roman" w:hAnsi="Times New Roman"/>
        </w:rPr>
        <w:t>.</w:t>
      </w:r>
    </w:p>
    <w:p w:rsidRPr="00424F46" w:rsidR="00EA2B05" w:rsidP="00F5520F" w:rsidRDefault="003D0D15">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lastRenderedPageBreak/>
        <w:t xml:space="preserve">Kommittén är övertygad om att </w:t>
      </w:r>
      <w:r>
        <w:rPr>
          <w:rFonts w:ascii="Times New Roman" w:hAnsi="Times New Roman"/>
          <w:b/>
        </w:rPr>
        <w:t>den europeiska gröna given måste stärkas</w:t>
      </w:r>
      <w:r>
        <w:rPr>
          <w:rFonts w:ascii="Times New Roman" w:hAnsi="Times New Roman"/>
        </w:rPr>
        <w:t xml:space="preserve"> för att målet om att fasa ut fossila bränslen ur ekonomin ska kunna uppnås, de externa beroendena ska kunna minskas ytterligare, </w:t>
      </w:r>
      <w:proofErr w:type="spellStart"/>
      <w:r>
        <w:rPr>
          <w:rFonts w:ascii="Times New Roman" w:hAnsi="Times New Roman"/>
        </w:rPr>
        <w:t>resiliensen</w:t>
      </w:r>
      <w:proofErr w:type="spellEnd"/>
      <w:r>
        <w:rPr>
          <w:rFonts w:ascii="Times New Roman" w:hAnsi="Times New Roman"/>
        </w:rPr>
        <w:t xml:space="preserve"> ska kunna säkerställas och en rättvis omställning ska kunna främjas, och om att exceptionella undantag från de överenskomna målen enbart får medges under begränsad tid</w:t>
      </w:r>
      <w:r w:rsidRPr="00EF3B48" w:rsidR="00EA2B05">
        <w:rPr>
          <w:rStyle w:val="FootnoteReference"/>
          <w:rFonts w:ascii="Times New Roman" w:hAnsi="Times New Roman" w:cs="Times New Roman"/>
          <w:lang w:val="en-GB"/>
        </w:rPr>
        <w:footnoteReference w:id="5"/>
      </w:r>
      <w:r>
        <w:rPr>
          <w:rFonts w:ascii="Times New Roman" w:hAnsi="Times New Roman"/>
        </w:rPr>
        <w:t>. Utvecklingen av öppet strategiskt oberoende bör säkerställa minskat beroende i fråga om energi, råvaror av avgörande betydelse och livsmedel.</w:t>
      </w:r>
    </w:p>
    <w:p w:rsidRPr="00424F46" w:rsidR="00EA2B05" w:rsidP="00F5520F" w:rsidRDefault="00EA2B05">
      <w:pPr>
        <w:pStyle w:val="ListParagraph"/>
        <w:spacing w:after="0" w:line="288" w:lineRule="auto"/>
        <w:ind w:left="567" w:hanging="567"/>
        <w:jc w:val="both"/>
        <w:rPr>
          <w:rFonts w:ascii="Times New Roman" w:hAnsi="Times New Roman" w:cs="Times New Roman"/>
          <w:lang w:val="en-GB"/>
        </w:rPr>
      </w:pPr>
    </w:p>
    <w:p w:rsidRPr="00424F46" w:rsidR="00553760" w:rsidP="00F5520F" w:rsidRDefault="00EA2B05">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EESK uppmanar med kraft </w:t>
      </w:r>
      <w:r>
        <w:rPr>
          <w:rFonts w:ascii="Times New Roman" w:hAnsi="Times New Roman"/>
          <w:b/>
        </w:rPr>
        <w:t>EU att axla en ledande roll</w:t>
      </w:r>
      <w:r>
        <w:rPr>
          <w:rFonts w:ascii="Times New Roman" w:hAnsi="Times New Roman"/>
        </w:rPr>
        <w:t xml:space="preserve"> och uppmanar kommissionen och EU:s medlemsstater att </w:t>
      </w:r>
      <w:r>
        <w:rPr>
          <w:rFonts w:ascii="Times New Roman" w:hAnsi="Times New Roman"/>
          <w:b/>
        </w:rPr>
        <w:t>uppdatera de nationellt fastställda bidragen</w:t>
      </w:r>
      <w:r>
        <w:rPr>
          <w:rFonts w:ascii="Times New Roman" w:hAnsi="Times New Roman"/>
        </w:rPr>
        <w:t xml:space="preserve"> i enlighet med klimatpakten från Glasgow. Vi efterlyser en skälig global fördelning grundad på </w:t>
      </w:r>
      <w:r w:rsidR="00DF5427">
        <w:rPr>
          <w:rFonts w:ascii="Times New Roman" w:hAnsi="Times New Roman"/>
        </w:rPr>
        <w:t>rättvisa, historiskt ansvar och </w:t>
      </w:r>
      <w:r>
        <w:rPr>
          <w:rFonts w:ascii="Times New Roman" w:hAnsi="Times New Roman"/>
        </w:rPr>
        <w:t>förmåga.</w:t>
      </w:r>
    </w:p>
    <w:p w:rsidRPr="00424F46" w:rsidR="00D27A92" w:rsidP="00F5520F" w:rsidRDefault="00D27A92">
      <w:pPr>
        <w:pStyle w:val="ListParagraph"/>
        <w:spacing w:after="0" w:line="288" w:lineRule="auto"/>
        <w:ind w:left="567" w:hanging="567"/>
        <w:jc w:val="both"/>
        <w:rPr>
          <w:rFonts w:ascii="Times New Roman" w:hAnsi="Times New Roman" w:cs="Times New Roman"/>
          <w:lang w:val="en-GB"/>
        </w:rPr>
      </w:pPr>
    </w:p>
    <w:p w:rsidRPr="00424F46" w:rsidR="00EA2B05" w:rsidP="00F5520F" w:rsidRDefault="00EA2B05">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Kommittén välkomnar Europaparlamentets beslut om utsläppshandelssystemet</w:t>
      </w:r>
      <w:r w:rsidRPr="00424F46" w:rsidR="00CB14BC">
        <w:rPr>
          <w:rStyle w:val="FootnoteReference"/>
          <w:rFonts w:ascii="Times New Roman" w:hAnsi="Times New Roman" w:cs="Times New Roman"/>
          <w:lang w:val="en-GB"/>
        </w:rPr>
        <w:footnoteReference w:id="6"/>
      </w:r>
      <w:r>
        <w:rPr>
          <w:rFonts w:ascii="Times New Roman" w:hAnsi="Times New Roman"/>
        </w:rPr>
        <w:t xml:space="preserve"> och kolsänkor</w:t>
      </w:r>
      <w:r w:rsidRPr="00424F46" w:rsidR="00CB14BC">
        <w:rPr>
          <w:rStyle w:val="FootnoteReference"/>
          <w:rFonts w:ascii="Times New Roman" w:hAnsi="Times New Roman" w:cs="Times New Roman"/>
          <w:lang w:val="en-GB"/>
        </w:rPr>
        <w:footnoteReference w:id="7"/>
      </w:r>
      <w:r>
        <w:rPr>
          <w:rFonts w:ascii="Times New Roman" w:hAnsi="Times New Roman"/>
        </w:rPr>
        <w:t>, som leder till en liten ökning av EU:s utsläppsminskningsmål som, även om den är otillräcklig, utgör en uppmaning om att höja EU:s nationellt fastställda bidrag.</w:t>
      </w:r>
    </w:p>
    <w:p w:rsidRPr="00424F46" w:rsidR="00EA2B05" w:rsidP="00F5520F" w:rsidRDefault="00EA2B05">
      <w:pPr>
        <w:pStyle w:val="ListParagraph"/>
        <w:spacing w:after="0" w:line="288" w:lineRule="auto"/>
        <w:ind w:left="567" w:hanging="567"/>
        <w:jc w:val="both"/>
        <w:rPr>
          <w:rFonts w:ascii="Times New Roman" w:hAnsi="Times New Roman" w:cs="Times New Roman"/>
          <w:lang w:val="en-GB"/>
        </w:rPr>
      </w:pPr>
    </w:p>
    <w:p w:rsidRPr="00424F46" w:rsidR="00EA2B05" w:rsidP="00F5520F" w:rsidRDefault="00D27A92">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EESK uttrycker oro över att många länder har aviserat långsiktiga planer för att uppnå klimatneutralitet senast 2050 eller 2060 som inte understöds av motsvarande planer på kort och medellång sikt, och uppmanar därför kommissionen att </w:t>
      </w:r>
      <w:r>
        <w:rPr>
          <w:rFonts w:ascii="Times New Roman" w:hAnsi="Times New Roman"/>
          <w:b/>
        </w:rPr>
        <w:t>intensifiera EU:s diplomatiska insatser</w:t>
      </w:r>
      <w:r>
        <w:rPr>
          <w:rFonts w:ascii="Times New Roman" w:hAnsi="Times New Roman"/>
        </w:rPr>
        <w:t xml:space="preserve"> för att främja det internationella samfundets antagande av politiska ramar som liknar den europeiska gröna given. Kommittén står redo att stödja denna strävan genom att samarbeta med organisationer i det civila samhället över hela världen, med Agenda 2030 och målen för hållbar utveckling som kompass för de kommande avgörande åren.</w:t>
      </w:r>
    </w:p>
    <w:p w:rsidRPr="00424F46" w:rsidR="00444B59" w:rsidP="00F5520F" w:rsidRDefault="00444B59">
      <w:pPr>
        <w:pStyle w:val="ListParagraph"/>
        <w:spacing w:after="0" w:line="288" w:lineRule="auto"/>
        <w:ind w:left="0"/>
        <w:rPr>
          <w:rFonts w:ascii="Times New Roman" w:hAnsi="Times New Roman" w:cs="Times New Roman"/>
          <w:lang w:val="en-GB"/>
        </w:rPr>
      </w:pPr>
    </w:p>
    <w:p w:rsidRPr="00424F46" w:rsidR="003D0D15" w:rsidP="00F5520F" w:rsidRDefault="00C375B8">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EU uppmanas att vidareutveckla sektorsspecifika strategier för skräddarsydda åtgärder eller ”klimatklubbar” som skulle kunna utvecklas bland de länder som har de mest ambitiösa klimat</w:t>
      </w:r>
      <w:r w:rsidR="00DF5427">
        <w:rPr>
          <w:rFonts w:ascii="Times New Roman" w:hAnsi="Times New Roman"/>
        </w:rPr>
        <w:softHyphen/>
      </w:r>
      <w:r>
        <w:rPr>
          <w:rFonts w:ascii="Times New Roman" w:hAnsi="Times New Roman"/>
        </w:rPr>
        <w:t>programmen för att uppmuntra till snabbare åtgärder från andra länders sida – genomförandet av gränsjusteringsmekanismen för koldioxid (CBAM) skulle kunna vara ett verktyg för detta.</w:t>
      </w:r>
    </w:p>
    <w:p w:rsidRPr="00424F46" w:rsidR="00DE24B9" w:rsidP="00F5520F" w:rsidRDefault="00DE24B9">
      <w:pPr>
        <w:pStyle w:val="ListParagraph"/>
        <w:spacing w:after="0" w:line="288" w:lineRule="auto"/>
        <w:ind w:left="0"/>
        <w:jc w:val="both"/>
        <w:rPr>
          <w:rFonts w:ascii="Times New Roman" w:hAnsi="Times New Roman" w:cs="Times New Roman"/>
          <w:lang w:val="en-GB"/>
        </w:rPr>
      </w:pPr>
    </w:p>
    <w:p w:rsidRPr="00424F46" w:rsidR="001B07D7" w:rsidP="00F5520F" w:rsidRDefault="003D0D15">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Beslutsamma och tydligt definierade åtgärder är nödvändiga för att göra artikel 6 i Parisavtalet operativ och slutföra Parisregelboken, som fastställer en ram för frivilligt internationellt samarbete för att länderna ska kunna minska utsläppen i syfte att fullgöra sina åtaganden och undvika vissa fallgropar när det gäller dubbelräkning eller risken för falska utsläpps</w:t>
      </w:r>
      <w:r w:rsidR="00DF5427">
        <w:rPr>
          <w:rFonts w:ascii="Times New Roman" w:hAnsi="Times New Roman"/>
        </w:rPr>
        <w:softHyphen/>
      </w:r>
      <w:r>
        <w:rPr>
          <w:rFonts w:ascii="Times New Roman" w:hAnsi="Times New Roman"/>
        </w:rPr>
        <w:t>minskningskrediter.</w:t>
      </w:r>
    </w:p>
    <w:p w:rsidR="00DF5427" w:rsidRDefault="00DF5427">
      <w:pPr>
        <w:spacing w:after="200" w:line="276" w:lineRule="auto"/>
        <w:rPr>
          <w:rFonts w:ascii="Times New Roman" w:hAnsi="Times New Roman" w:cs="Times New Roman"/>
          <w:lang w:val="en-GB"/>
        </w:rPr>
      </w:pPr>
      <w:r>
        <w:rPr>
          <w:rFonts w:ascii="Times New Roman" w:hAnsi="Times New Roman" w:cs="Times New Roman"/>
          <w:lang w:val="en-GB"/>
        </w:rPr>
        <w:br w:type="page"/>
      </w:r>
    </w:p>
    <w:p w:rsidRPr="00424F46" w:rsidR="00DA7721" w:rsidP="00F5520F" w:rsidRDefault="00DA7721">
      <w:pPr>
        <w:pStyle w:val="ListParagraph"/>
        <w:keepNext/>
        <w:keepLines/>
        <w:spacing w:after="0" w:line="288" w:lineRule="auto"/>
        <w:ind w:left="0"/>
        <w:jc w:val="both"/>
        <w:rPr>
          <w:rFonts w:ascii="Times New Roman" w:hAnsi="Times New Roman" w:cs="Times New Roman"/>
          <w:b/>
          <w:bCs/>
          <w:i/>
          <w:iCs/>
        </w:rPr>
      </w:pPr>
      <w:r>
        <w:rPr>
          <w:rFonts w:ascii="Times New Roman" w:hAnsi="Times New Roman"/>
          <w:b/>
          <w:i/>
        </w:rPr>
        <w:t>Översyn av vår rådande ekonomiska modell för att på ett ändamålsenligt sätt ta itu med begränsning och anpassning samt tryggande av tillräcklig tillgång till klimatfinansiering</w:t>
      </w:r>
    </w:p>
    <w:p w:rsidRPr="00424F46" w:rsidR="00DA7721" w:rsidP="00F5520F" w:rsidRDefault="00DA7721">
      <w:pPr>
        <w:pStyle w:val="ListParagraph"/>
        <w:keepNext/>
        <w:keepLines/>
        <w:spacing w:after="0" w:line="288" w:lineRule="auto"/>
        <w:ind w:left="0"/>
        <w:jc w:val="both"/>
        <w:rPr>
          <w:rFonts w:ascii="Times New Roman" w:hAnsi="Times New Roman" w:cs="Times New Roman"/>
          <w:b/>
          <w:bCs/>
          <w:lang w:val="en-GB"/>
        </w:rPr>
      </w:pPr>
    </w:p>
    <w:p w:rsidRPr="00424F46" w:rsidR="006D019C" w:rsidP="00F5520F" w:rsidRDefault="00D27A92">
      <w:pPr>
        <w:pStyle w:val="ListParagraph"/>
        <w:numPr>
          <w:ilvl w:val="0"/>
          <w:numId w:val="11"/>
        </w:numPr>
        <w:spacing w:after="0" w:line="288" w:lineRule="auto"/>
        <w:ind w:left="567" w:hanging="567"/>
        <w:jc w:val="both"/>
        <w:rPr>
          <w:rFonts w:ascii="Times New Roman" w:hAnsi="Times New Roman" w:cs="Times New Roman"/>
          <w:b/>
          <w:bCs/>
          <w:i/>
          <w:iCs/>
        </w:rPr>
      </w:pPr>
      <w:r>
        <w:rPr>
          <w:rFonts w:ascii="Times New Roman" w:hAnsi="Times New Roman"/>
        </w:rPr>
        <w:t xml:space="preserve">I syfte att påskynda omställningen till ett klimatneutralt samhälle måste vi </w:t>
      </w:r>
      <w:r>
        <w:rPr>
          <w:rFonts w:ascii="Times New Roman" w:hAnsi="Times New Roman"/>
          <w:b/>
        </w:rPr>
        <w:t>se över vår rådande ekonomiska modell</w:t>
      </w:r>
      <w:r>
        <w:rPr>
          <w:rFonts w:ascii="Times New Roman" w:hAnsi="Times New Roman"/>
        </w:rPr>
        <w:t xml:space="preserve"> för att ompröva vårt sätt att konsumera och producera och vårt sätt att värdera tillräcklighet. EESK uppmanar EU att föreslå en ny vision om välstånd för människorna och planeten på grundval av principerna om miljöhållbarhet, rätten till ett anständigt liv och skyddet av sociala värden.</w:t>
      </w:r>
      <w:r w:rsidRPr="00424F46">
        <w:rPr>
          <w:rStyle w:val="FootnoteReference"/>
          <w:rFonts w:ascii="Times New Roman" w:hAnsi="Times New Roman" w:cs="Times New Roman"/>
          <w:lang w:val="en-GB"/>
        </w:rPr>
        <w:footnoteReference w:id="8"/>
      </w:r>
    </w:p>
    <w:p w:rsidRPr="00424F46" w:rsidR="00F426F7" w:rsidP="00F5520F" w:rsidRDefault="00F426F7">
      <w:pPr>
        <w:pStyle w:val="ListParagraph"/>
        <w:spacing w:after="0" w:line="288" w:lineRule="auto"/>
        <w:ind w:left="0"/>
        <w:jc w:val="both"/>
        <w:rPr>
          <w:rFonts w:ascii="Times New Roman" w:hAnsi="Times New Roman"/>
          <w:b/>
          <w:lang w:val="en-GB"/>
        </w:rPr>
      </w:pPr>
    </w:p>
    <w:p w:rsidRPr="00424F46" w:rsidR="00F426F7" w:rsidP="00F5520F" w:rsidRDefault="00F426F7">
      <w:pPr>
        <w:pStyle w:val="ListParagraph"/>
        <w:numPr>
          <w:ilvl w:val="0"/>
          <w:numId w:val="11"/>
        </w:numPr>
        <w:spacing w:after="0" w:line="288" w:lineRule="auto"/>
        <w:ind w:left="567" w:hanging="567"/>
        <w:jc w:val="both"/>
        <w:rPr>
          <w:rFonts w:ascii="Times New Roman" w:hAnsi="Times New Roman" w:cs="Times New Roman"/>
          <w:b/>
          <w:bCs/>
          <w:i/>
          <w:iCs/>
        </w:rPr>
      </w:pPr>
      <w:r>
        <w:rPr>
          <w:rFonts w:ascii="Times New Roman" w:hAnsi="Times New Roman"/>
        </w:rPr>
        <w:t xml:space="preserve">Kommittén föreslår en </w:t>
      </w:r>
      <w:r>
        <w:rPr>
          <w:rFonts w:ascii="Times New Roman" w:hAnsi="Times New Roman"/>
          <w:b/>
        </w:rPr>
        <w:t>ny styrningsram</w:t>
      </w:r>
      <w:r>
        <w:rPr>
          <w:rFonts w:ascii="Times New Roman" w:hAnsi="Times New Roman"/>
        </w:rPr>
        <w:t xml:space="preserve"> för att utveckla dessa omvälvande förändringar, och uppmuntrar regeringarna och de regionala myndigheterna att inrätta </w:t>
      </w:r>
      <w:r>
        <w:rPr>
          <w:rFonts w:ascii="Times New Roman" w:hAnsi="Times New Roman"/>
          <w:b/>
        </w:rPr>
        <w:t>kommissioner för en rättvis omställning</w:t>
      </w:r>
      <w:r>
        <w:rPr>
          <w:rFonts w:ascii="Times New Roman" w:hAnsi="Times New Roman"/>
        </w:rPr>
        <w:t xml:space="preserve"> så att arbetsmarknadens parter och det civila samhällets organisationer, inbegripet ungdomsorganisationerna, kan ge rekommendationer samt förhandla fram och utveckla nationella och regionala planer för en rättvis omställning</w:t>
      </w:r>
      <w:r w:rsidRPr="00424F46">
        <w:rPr>
          <w:rStyle w:val="FootnoteReference"/>
          <w:rFonts w:ascii="Times New Roman" w:hAnsi="Times New Roman" w:cs="Times New Roman"/>
          <w:lang w:val="en-GB"/>
        </w:rPr>
        <w:footnoteReference w:id="9"/>
      </w:r>
      <w:r>
        <w:rPr>
          <w:rFonts w:ascii="Times New Roman" w:hAnsi="Times New Roman"/>
        </w:rPr>
        <w:t>. De hittillsvarande initiativen för att ta itu med de sociala utmaningarna i samband med den gröna omställningen har varit fragmenterade</w:t>
      </w:r>
      <w:r w:rsidRPr="00424F46" w:rsidR="00CA61D4">
        <w:rPr>
          <w:rStyle w:val="FootnoteReference"/>
          <w:rFonts w:ascii="Times New Roman" w:hAnsi="Times New Roman" w:cs="Times New Roman"/>
          <w:lang w:val="en-GB"/>
        </w:rPr>
        <w:footnoteReference w:id="10"/>
      </w:r>
      <w:r>
        <w:rPr>
          <w:rFonts w:ascii="Times New Roman" w:hAnsi="Times New Roman"/>
        </w:rPr>
        <w:t>.</w:t>
      </w:r>
    </w:p>
    <w:p w:rsidRPr="00424F46" w:rsidR="006D019C" w:rsidP="00F5520F" w:rsidRDefault="006D019C">
      <w:pPr>
        <w:pStyle w:val="ListParagraph"/>
        <w:spacing w:after="0" w:line="288" w:lineRule="auto"/>
        <w:ind w:left="0"/>
        <w:jc w:val="both"/>
        <w:rPr>
          <w:rFonts w:ascii="Times New Roman" w:hAnsi="Times New Roman" w:cs="Times New Roman"/>
          <w:lang w:val="en-GB"/>
        </w:rPr>
      </w:pPr>
    </w:p>
    <w:p w:rsidRPr="00424F46" w:rsidR="00492189" w:rsidP="00F5520F" w:rsidRDefault="0049218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Den snabba omställningen till en koldioxidfri ekonomi kommer att innebära enorma utmaningar för medborgare, arbetstagare, företag och regioner, särskilt dem som är mest beroende av koldioxidintensiva sektorer och industrier</w:t>
      </w:r>
      <w:r w:rsidRPr="00424F46">
        <w:rPr>
          <w:rStyle w:val="FootnoteReference"/>
          <w:rFonts w:ascii="Times New Roman" w:hAnsi="Times New Roman" w:cs="Times New Roman"/>
          <w:lang w:val="en-GB"/>
        </w:rPr>
        <w:footnoteReference w:id="11"/>
      </w:r>
      <w:r>
        <w:rPr>
          <w:rFonts w:ascii="Times New Roman" w:hAnsi="Times New Roman"/>
        </w:rPr>
        <w:t xml:space="preserve">. </w:t>
      </w:r>
      <w:r>
        <w:rPr>
          <w:rFonts w:ascii="Times New Roman" w:hAnsi="Times New Roman"/>
          <w:b/>
        </w:rPr>
        <w:t>De nationellt fastställda bidragen bör därför omfatta en detaljerad kartläggning</w:t>
      </w:r>
      <w:r>
        <w:rPr>
          <w:rFonts w:ascii="Times New Roman" w:hAnsi="Times New Roman"/>
        </w:rPr>
        <w:t xml:space="preserve"> och analys av hur omställningen kommer att påverka sysselsättningen och kompetensen i landet, delregionerna och sektorerna, inklusive under</w:t>
      </w:r>
      <w:r w:rsidR="00DF5427">
        <w:rPr>
          <w:rFonts w:ascii="Times New Roman" w:hAnsi="Times New Roman"/>
        </w:rPr>
        <w:softHyphen/>
      </w:r>
      <w:r>
        <w:rPr>
          <w:rFonts w:ascii="Times New Roman" w:hAnsi="Times New Roman"/>
        </w:rPr>
        <w:t xml:space="preserve">leverantörerna och värdekedjorna i senare led, samt </w:t>
      </w:r>
      <w:r>
        <w:rPr>
          <w:rFonts w:ascii="Times New Roman" w:hAnsi="Times New Roman"/>
          <w:b/>
        </w:rPr>
        <w:t>åtföljas av nationella sysselsättnings</w:t>
      </w:r>
      <w:r w:rsidR="00DF5427">
        <w:rPr>
          <w:rFonts w:ascii="Times New Roman" w:hAnsi="Times New Roman"/>
          <w:b/>
        </w:rPr>
        <w:softHyphen/>
      </w:r>
      <w:r>
        <w:rPr>
          <w:rFonts w:ascii="Times New Roman" w:hAnsi="Times New Roman"/>
          <w:b/>
        </w:rPr>
        <w:t>planer och strategier för en rättvis omställning</w:t>
      </w:r>
      <w:r w:rsidRPr="00424F46">
        <w:rPr>
          <w:rStyle w:val="FootnoteReference"/>
          <w:rFonts w:ascii="Times New Roman" w:hAnsi="Times New Roman" w:cs="Times New Roman"/>
          <w:sz w:val="22"/>
          <w:lang w:val="en-GB"/>
        </w:rPr>
        <w:footnoteReference w:id="12"/>
      </w:r>
      <w:r>
        <w:rPr>
          <w:rFonts w:ascii="Times New Roman" w:hAnsi="Times New Roman"/>
        </w:rPr>
        <w:t xml:space="preserve"> som bygger på ILO:s princip om en rättvis omställning. EESK stöder därför förslaget från konferensen om Europas framtid</w:t>
      </w:r>
      <w:r w:rsidRPr="00424F46">
        <w:rPr>
          <w:rStyle w:val="FootnoteReference"/>
          <w:rFonts w:ascii="Times New Roman" w:hAnsi="Times New Roman" w:cs="Times New Roman"/>
          <w:lang w:val="en-GB"/>
        </w:rPr>
        <w:footnoteReference w:id="13"/>
      </w:r>
      <w:r>
        <w:rPr>
          <w:rFonts w:ascii="Times New Roman" w:hAnsi="Times New Roman"/>
        </w:rPr>
        <w:t xml:space="preserve"> om att säkerställa en rättvis omställning, som skyddar arbetstagare och arbetstillfällen genom lämplig finansiering för omställning och ytterligare forskning.</w:t>
      </w:r>
    </w:p>
    <w:p w:rsidRPr="00424F46" w:rsidR="00492189" w:rsidP="00F5520F" w:rsidRDefault="00492189">
      <w:pPr>
        <w:pStyle w:val="ListParagraph"/>
        <w:spacing w:after="0" w:line="288" w:lineRule="auto"/>
        <w:ind w:left="0"/>
        <w:jc w:val="both"/>
        <w:rPr>
          <w:rFonts w:ascii="Times New Roman" w:hAnsi="Times New Roman" w:cs="Times New Roman"/>
          <w:lang w:val="en-GB"/>
        </w:rPr>
      </w:pPr>
    </w:p>
    <w:p w:rsidRPr="00424F46" w:rsidR="007322BD" w:rsidP="00F5520F" w:rsidRDefault="0049218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Den privata sektorns ansvar när det gäller att uppnå målet om att fasa ut fossila bränslen kommer att kräva en snabb omställning av systemen i en aldrig tidigare skådad omfattning. Den privata sektorn spelar en avgörande roll i processen.</w:t>
      </w:r>
    </w:p>
    <w:p w:rsidRPr="00424F46" w:rsidR="007322BD" w:rsidP="00F5520F" w:rsidRDefault="007322BD">
      <w:pPr>
        <w:pStyle w:val="ListParagraph"/>
        <w:spacing w:after="0" w:line="288" w:lineRule="auto"/>
        <w:ind w:left="0"/>
        <w:jc w:val="both"/>
        <w:rPr>
          <w:rFonts w:ascii="Times New Roman" w:hAnsi="Times New Roman" w:cs="Times New Roman"/>
          <w:lang w:val="en-GB"/>
        </w:rPr>
      </w:pPr>
    </w:p>
    <w:p w:rsidRPr="00424F46" w:rsidR="00492189" w:rsidP="00F5520F" w:rsidRDefault="00492189">
      <w:pPr>
        <w:pStyle w:val="ListParagraph"/>
        <w:numPr>
          <w:ilvl w:val="0"/>
          <w:numId w:val="11"/>
        </w:numPr>
        <w:spacing w:after="0" w:line="288" w:lineRule="auto"/>
        <w:ind w:left="567" w:hanging="567"/>
        <w:jc w:val="both"/>
        <w:rPr>
          <w:rFonts w:ascii="Times New Roman" w:hAnsi="Times New Roman"/>
        </w:rPr>
      </w:pPr>
      <w:r>
        <w:rPr>
          <w:rFonts w:ascii="Times New Roman" w:hAnsi="Times New Roman"/>
        </w:rPr>
        <w:t xml:space="preserve">Kommittén är medveten om de många olika insatser som görs av </w:t>
      </w:r>
      <w:r w:rsidR="00DF5427">
        <w:rPr>
          <w:rFonts w:ascii="Times New Roman" w:hAnsi="Times New Roman"/>
        </w:rPr>
        <w:t>företag och entreprenörer i </w:t>
      </w:r>
      <w:r>
        <w:rPr>
          <w:rFonts w:ascii="Times New Roman" w:hAnsi="Times New Roman"/>
        </w:rPr>
        <w:t>hela EU för att utveckla affärslösningar som syftar till att mildra och anpassa sig till klimat</w:t>
      </w:r>
      <w:r w:rsidR="00DF5427">
        <w:rPr>
          <w:rFonts w:ascii="Times New Roman" w:hAnsi="Times New Roman"/>
        </w:rPr>
        <w:softHyphen/>
      </w:r>
      <w:r>
        <w:rPr>
          <w:rFonts w:ascii="Times New Roman" w:hAnsi="Times New Roman"/>
        </w:rPr>
        <w:t>relaterade utmaningar, och anser att innovativa och ansvarsfulla affärsmodeller bör ta itu med klimatförändringarna genom att fokusera på mätbara hållbarhetsmål, bl.a. minskad användning av vatten, energi eller kemikalier.</w:t>
      </w:r>
    </w:p>
    <w:p w:rsidRPr="00424F46" w:rsidR="00492189" w:rsidP="00F5520F" w:rsidRDefault="0049218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lastRenderedPageBreak/>
        <w:t xml:space="preserve">Kommittén är bekymrad över att de minskade växthusgasutsläppen i EU medför ökade utsläpp utomlands för att tillgodose EU:s konsumtion, vilket genererar </w:t>
      </w:r>
      <w:r>
        <w:rPr>
          <w:rFonts w:ascii="Times New Roman" w:hAnsi="Times New Roman"/>
          <w:b/>
        </w:rPr>
        <w:t>spridningseffekter för växthusgaser</w:t>
      </w:r>
      <w:r w:rsidRPr="00424F46">
        <w:rPr>
          <w:rStyle w:val="FootnoteReference"/>
          <w:rFonts w:ascii="Times New Roman" w:hAnsi="Times New Roman" w:cs="Times New Roman"/>
          <w:sz w:val="22"/>
          <w:lang w:val="en-GB"/>
        </w:rPr>
        <w:footnoteReference w:id="14"/>
      </w:r>
      <w:r>
        <w:rPr>
          <w:rFonts w:ascii="Times New Roman" w:hAnsi="Times New Roman"/>
        </w:rPr>
        <w:t>, och anser att EU:s strategi för inventering av växthusgaser måste omfatta de växthusgasutsläpp som är kopplade till importerade produkter, att frikopplingen av socio</w:t>
      </w:r>
      <w:r w:rsidR="00DF5427">
        <w:rPr>
          <w:rFonts w:ascii="Times New Roman" w:hAnsi="Times New Roman"/>
        </w:rPr>
        <w:softHyphen/>
      </w:r>
      <w:r>
        <w:rPr>
          <w:rFonts w:ascii="Times New Roman" w:hAnsi="Times New Roman"/>
        </w:rPr>
        <w:t>ekonomiska framsteg från negativ inhemsk och importerad påverkan på klimatet och den biologiska mångfalden måste prioriteras samt att CBAM är en stödjande åtgärd för att detta mål ska kunna uppnås.</w:t>
      </w:r>
    </w:p>
    <w:p w:rsidRPr="00424F46" w:rsidR="00492189" w:rsidP="00F5520F" w:rsidRDefault="00492189">
      <w:pPr>
        <w:pStyle w:val="ListParagraph"/>
        <w:spacing w:after="0" w:line="288" w:lineRule="auto"/>
        <w:ind w:left="0"/>
        <w:jc w:val="both"/>
        <w:rPr>
          <w:rFonts w:ascii="Times New Roman" w:hAnsi="Times New Roman" w:cs="Times New Roman"/>
          <w:lang w:val="en-GB"/>
        </w:rPr>
      </w:pPr>
    </w:p>
    <w:p w:rsidRPr="00424F46" w:rsidR="007E0872" w:rsidP="00765637" w:rsidRDefault="00570EB2">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b/>
        </w:rPr>
        <w:t>Förlusten av biologisk mångfald och klimatförändringarna förstärker varandra ömsesidigt</w:t>
      </w:r>
      <w:r>
        <w:rPr>
          <w:rFonts w:ascii="Times New Roman" w:hAnsi="Times New Roman"/>
        </w:rPr>
        <w:t>, vilket forskarsamhället har betonat. Vi efterlyser en helhetssyn på miljöåtgärder som tar itu med kopplingarna mellan förlust av biologisk mångfald och klimatförändringar, och föreslår att man ser över och utökar de skyddade områdena samt insatserna för att skydda de återstående naturresurserna inom ramen för EU:s strategi för biologisk mångfald för 2030</w:t>
      </w:r>
      <w:r w:rsidRPr="00424F46" w:rsidR="007E0872">
        <w:rPr>
          <w:rStyle w:val="FootnoteReference"/>
          <w:rFonts w:ascii="Times New Roman" w:hAnsi="Times New Roman" w:cs="Times New Roman"/>
          <w:lang w:val="en-GB"/>
        </w:rPr>
        <w:footnoteReference w:id="15"/>
      </w:r>
      <w:r>
        <w:rPr>
          <w:rFonts w:ascii="Times New Roman" w:hAnsi="Times New Roman"/>
        </w:rPr>
        <w:t>.</w:t>
      </w:r>
    </w:p>
    <w:p w:rsidRPr="00424F46" w:rsidR="007E0872" w:rsidP="00765637" w:rsidRDefault="007E0872">
      <w:pPr>
        <w:pStyle w:val="ListParagraph"/>
        <w:spacing w:after="0" w:line="288" w:lineRule="auto"/>
        <w:ind w:left="0"/>
        <w:jc w:val="both"/>
        <w:rPr>
          <w:rFonts w:ascii="Times New Roman" w:hAnsi="Times New Roman" w:cs="Times New Roman"/>
          <w:lang w:val="en-GB"/>
        </w:rPr>
      </w:pPr>
    </w:p>
    <w:p w:rsidRPr="00424F46" w:rsidR="00492189" w:rsidP="00F5520F" w:rsidRDefault="006D019C">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Kommittén är bekymrad över att klimatförändringarnas konsekvenser i oproportionerligt hög grad påverkar de mest utsatta människorna och att de samhällen som bär minst ansvar för de globala utsläppen drabbas av de värsta konsekvenserna och inte alltid har de resurser som krävs för att hantera dem.</w:t>
      </w:r>
    </w:p>
    <w:p w:rsidRPr="00424F46" w:rsidR="006D019C" w:rsidP="00F5520F" w:rsidRDefault="006D019C">
      <w:pPr>
        <w:pStyle w:val="ListParagraph"/>
        <w:spacing w:after="0" w:line="288" w:lineRule="auto"/>
        <w:ind w:left="0"/>
        <w:jc w:val="both"/>
        <w:rPr>
          <w:rFonts w:ascii="Times New Roman" w:hAnsi="Times New Roman" w:cs="Times New Roman"/>
          <w:lang w:val="en-GB"/>
        </w:rPr>
      </w:pPr>
    </w:p>
    <w:p w:rsidRPr="00424F46" w:rsidR="0044565F" w:rsidP="00F5520F" w:rsidRDefault="0044565F">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b/>
        </w:rPr>
        <w:t>EESK påpekar att anpassningsåtgärder</w:t>
      </w:r>
      <w:r>
        <w:rPr>
          <w:rFonts w:ascii="Times New Roman" w:hAnsi="Times New Roman"/>
        </w:rPr>
        <w:t xml:space="preserve"> blir allt viktigare i takt med att de anormala klimat</w:t>
      </w:r>
      <w:r w:rsidR="00DF5427">
        <w:rPr>
          <w:rFonts w:ascii="Times New Roman" w:hAnsi="Times New Roman"/>
        </w:rPr>
        <w:softHyphen/>
      </w:r>
      <w:r>
        <w:rPr>
          <w:rFonts w:ascii="Times New Roman" w:hAnsi="Times New Roman"/>
        </w:rPr>
        <w:t>händelserna blir allt fler och att det är mycket viktigt att bättre förutse klimatförändringarnas konsekvenser, framhåller att man i Parisavtalet understryker vikten av anpassningsplanerings</w:t>
      </w:r>
      <w:r w:rsidR="00DF5427">
        <w:rPr>
          <w:rFonts w:ascii="Times New Roman" w:hAnsi="Times New Roman"/>
        </w:rPr>
        <w:softHyphen/>
      </w:r>
      <w:r>
        <w:rPr>
          <w:rFonts w:ascii="Times New Roman" w:hAnsi="Times New Roman"/>
        </w:rPr>
        <w:t>processer på nationell nivå genom att ålägga alla länder att rapportera om de framsteg som gjorts och anser att inkludering ständigt måste beaktas för att undvika att befintliga ojämlikheter förstärks.</w:t>
      </w:r>
    </w:p>
    <w:p w:rsidRPr="00424F46" w:rsidR="00803823" w:rsidP="00F5520F" w:rsidRDefault="00803823">
      <w:pPr>
        <w:pStyle w:val="ListParagraph"/>
        <w:spacing w:after="0" w:line="288" w:lineRule="auto"/>
        <w:ind w:left="0"/>
        <w:jc w:val="both"/>
        <w:rPr>
          <w:rFonts w:ascii="Times New Roman" w:hAnsi="Times New Roman" w:cs="Times New Roman"/>
          <w:lang w:val="en-GB"/>
        </w:rPr>
      </w:pPr>
    </w:p>
    <w:p w:rsidRPr="00424F46" w:rsidR="0044565F" w:rsidP="00F5520F" w:rsidRDefault="0044565F">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EESK efterlyser en ökning av de utvecklade ländernas totala klimatfinansieringsbidrag, med </w:t>
      </w:r>
      <w:r>
        <w:rPr>
          <w:rFonts w:ascii="Times New Roman" w:hAnsi="Times New Roman"/>
          <w:b/>
        </w:rPr>
        <w:t>”likvärdig betoning” på finansiering av begränsning och anpassning</w:t>
      </w:r>
      <w:r>
        <w:rPr>
          <w:rFonts w:ascii="Times New Roman" w:hAnsi="Times New Roman"/>
        </w:rPr>
        <w:t>, eftersom planeringen och genomförandet av anpassningen kommer att begränsas utan ytterligare anpassningsmedel, särskilt i utvecklingsländerna. Kommittén efterlyser ytterligare åtgärder för att se till att denna princip respekteras, med tanke på att begränsning skyddar mot en förvärrad klimatkris för framtida generationer, medan anpassning skyddar nuvarande och framtida generation från de extrema väderhändelser som de rådande klimatförändringarna redan orsakar</w:t>
      </w:r>
      <w:r w:rsidRPr="00424F46">
        <w:rPr>
          <w:rStyle w:val="FootnoteReference"/>
          <w:rFonts w:ascii="Times New Roman" w:hAnsi="Times New Roman" w:cs="Times New Roman"/>
          <w:lang w:val="en-GB"/>
        </w:rPr>
        <w:footnoteReference w:id="16"/>
      </w:r>
      <w:r>
        <w:rPr>
          <w:rFonts w:ascii="Times New Roman" w:hAnsi="Times New Roman"/>
        </w:rPr>
        <w:t>. Medlen för klimatanpassning utgör för närvarande bara 25 % av den globala klimatfinansieringen, och tidigare åtaganden om att anpassningsmedlen ska höjas till 40 % senast 2025 fullgörs inte</w:t>
      </w:r>
      <w:r w:rsidRPr="00424F46">
        <w:rPr>
          <w:rStyle w:val="FootnoteReference"/>
          <w:rFonts w:ascii="Times New Roman" w:hAnsi="Times New Roman" w:cs="Times New Roman"/>
          <w:lang w:val="en-GB"/>
        </w:rPr>
        <w:footnoteReference w:id="17"/>
      </w:r>
      <w:r>
        <w:rPr>
          <w:rFonts w:ascii="Times New Roman" w:hAnsi="Times New Roman"/>
        </w:rPr>
        <w:t>.</w:t>
      </w:r>
    </w:p>
    <w:p w:rsidRPr="00424F46" w:rsidR="002C59E9" w:rsidP="00F5520F" w:rsidRDefault="002C59E9">
      <w:pPr>
        <w:pStyle w:val="ListParagraph"/>
        <w:spacing w:after="0" w:line="288" w:lineRule="auto"/>
        <w:ind w:left="0"/>
        <w:jc w:val="both"/>
        <w:rPr>
          <w:rFonts w:ascii="Times New Roman" w:hAnsi="Times New Roman" w:cs="Times New Roman"/>
          <w:lang w:val="en-GB"/>
        </w:rPr>
      </w:pPr>
    </w:p>
    <w:p w:rsidRPr="00424F46" w:rsidR="00803823" w:rsidP="00F5520F" w:rsidRDefault="002C59E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Kommittén välkomnar kommissionens bidrag på 100 miljoner euro till </w:t>
      </w:r>
      <w:r>
        <w:rPr>
          <w:rFonts w:ascii="Times New Roman" w:hAnsi="Times New Roman"/>
          <w:b/>
        </w:rPr>
        <w:t>anpassningsfonden</w:t>
      </w:r>
      <w:r>
        <w:rPr>
          <w:rFonts w:ascii="Times New Roman" w:hAnsi="Times New Roman"/>
        </w:rPr>
        <w:t>, men uppmanar samtidigt EU:s medlemsstater att fördubbla anpassningsfinansieringen från 2019 års nivåer senast 2025, och efterlyser ytterligare insatser för att genomförandeplanens mål på 100 miljarder US-dollar ska kunna uppnås. För närvarande finns det ingen global finansierings</w:t>
      </w:r>
      <w:r w:rsidR="00DF5427">
        <w:rPr>
          <w:rFonts w:ascii="Times New Roman" w:hAnsi="Times New Roman"/>
        </w:rPr>
        <w:softHyphen/>
      </w:r>
      <w:r>
        <w:rPr>
          <w:rFonts w:ascii="Times New Roman" w:hAnsi="Times New Roman"/>
        </w:rPr>
        <w:t xml:space="preserve">mekanism för att stödja återhämtningen från de förluster och skador som dessa människor lider, och EU:s medlemsstater och kommissionen uppmanas att ställa sig bakom </w:t>
      </w:r>
      <w:r>
        <w:rPr>
          <w:rFonts w:ascii="Times New Roman" w:hAnsi="Times New Roman"/>
          <w:b/>
        </w:rPr>
        <w:t>”förlust- och skade</w:t>
      </w:r>
      <w:r w:rsidR="00DF5427">
        <w:rPr>
          <w:rFonts w:ascii="Times New Roman" w:hAnsi="Times New Roman"/>
          <w:b/>
        </w:rPr>
        <w:softHyphen/>
      </w:r>
      <w:r>
        <w:rPr>
          <w:rFonts w:ascii="Times New Roman" w:hAnsi="Times New Roman"/>
          <w:b/>
        </w:rPr>
        <w:t>mekanismen”</w:t>
      </w:r>
      <w:r>
        <w:rPr>
          <w:rFonts w:ascii="Times New Roman" w:hAnsi="Times New Roman"/>
        </w:rPr>
        <w:t xml:space="preserve"> för att reparera klimatförändringarnas konsekvenser.</w:t>
      </w:r>
    </w:p>
    <w:p w:rsidRPr="00424F46" w:rsidR="00803823" w:rsidP="00F5520F" w:rsidRDefault="00803823">
      <w:pPr>
        <w:pStyle w:val="ListParagraph"/>
        <w:spacing w:after="0" w:line="288" w:lineRule="auto"/>
        <w:ind w:left="0"/>
        <w:jc w:val="both"/>
        <w:rPr>
          <w:rFonts w:ascii="Times New Roman" w:hAnsi="Times New Roman" w:cs="Times New Roman"/>
          <w:lang w:val="en-GB"/>
        </w:rPr>
      </w:pPr>
    </w:p>
    <w:p w:rsidRPr="00424F46" w:rsidR="00AF71F0" w:rsidP="00F5520F" w:rsidRDefault="00565A46">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Som en del av åtgärderna för klimaträttvisa måste EU:s regeringar och institutioner utveckla en </w:t>
      </w:r>
      <w:r>
        <w:rPr>
          <w:rFonts w:ascii="Times New Roman" w:hAnsi="Times New Roman"/>
          <w:b/>
        </w:rPr>
        <w:t>framåtblickande och heltäckande europeisk migrations- och asylpolitik</w:t>
      </w:r>
      <w:r>
        <w:rPr>
          <w:rFonts w:ascii="Times New Roman" w:hAnsi="Times New Roman"/>
        </w:rPr>
        <w:t xml:space="preserve"> som ger skydd åt personer som drivits på flykt på grund av klimatet, med början i ett formellt erkännande av klimatflyktingar.</w:t>
      </w:r>
    </w:p>
    <w:p w:rsidRPr="00424F46" w:rsidR="00444B59" w:rsidP="00F5520F" w:rsidRDefault="00444B59">
      <w:pPr>
        <w:pStyle w:val="ListParagraph"/>
        <w:spacing w:after="0" w:line="288" w:lineRule="auto"/>
        <w:ind w:left="0"/>
        <w:rPr>
          <w:rFonts w:ascii="Times New Roman" w:hAnsi="Times New Roman" w:cs="Times New Roman"/>
          <w:lang w:val="en-GB"/>
        </w:rPr>
      </w:pPr>
    </w:p>
    <w:p w:rsidRPr="00424F46" w:rsidR="006D019C" w:rsidRDefault="00565A46">
      <w:pPr>
        <w:pStyle w:val="ListParagraph"/>
        <w:keepNext/>
        <w:keepLines/>
        <w:spacing w:after="0" w:line="288" w:lineRule="auto"/>
        <w:ind w:left="0"/>
        <w:jc w:val="both"/>
        <w:rPr>
          <w:rFonts w:ascii="Times New Roman" w:hAnsi="Times New Roman" w:cs="Times New Roman"/>
          <w:b/>
          <w:bCs/>
          <w:i/>
          <w:iCs/>
        </w:rPr>
      </w:pPr>
      <w:r>
        <w:rPr>
          <w:rFonts w:ascii="Times New Roman" w:hAnsi="Times New Roman"/>
          <w:b/>
          <w:i/>
        </w:rPr>
        <w:t>Främjande av effektiva sektorsspecifika åtgärder för att uppnå klimatneutralitet</w:t>
      </w:r>
    </w:p>
    <w:p w:rsidRPr="00424F46" w:rsidR="00707DFC" w:rsidRDefault="00707DFC">
      <w:pPr>
        <w:pStyle w:val="ListParagraph"/>
        <w:keepNext/>
        <w:keepLines/>
        <w:spacing w:after="0" w:line="288" w:lineRule="auto"/>
        <w:ind w:left="0"/>
        <w:jc w:val="both"/>
        <w:rPr>
          <w:rFonts w:ascii="Times New Roman" w:hAnsi="Times New Roman" w:cs="Times New Roman"/>
          <w:lang w:val="en-GB"/>
        </w:rPr>
      </w:pPr>
    </w:p>
    <w:p w:rsidRPr="00424F46" w:rsidR="007E0872" w:rsidP="00EF3B48" w:rsidRDefault="00707DFC">
      <w:pPr>
        <w:pStyle w:val="ListParagraph"/>
        <w:keepNext/>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Den </w:t>
      </w:r>
      <w:r>
        <w:rPr>
          <w:rFonts w:ascii="Times New Roman" w:hAnsi="Times New Roman"/>
          <w:b/>
        </w:rPr>
        <w:t>cirkulära ekonomin</w:t>
      </w:r>
      <w:r>
        <w:rPr>
          <w:rFonts w:ascii="Times New Roman" w:hAnsi="Times New Roman"/>
        </w:rPr>
        <w:t xml:space="preserve"> och bioekonomin gör det möjligt att utveckla en ny vision om välstånd för människor och måste påskyndas ytterligare</w:t>
      </w:r>
      <w:r w:rsidRPr="00424F46">
        <w:rPr>
          <w:rStyle w:val="FootnoteReference"/>
          <w:rFonts w:ascii="Times New Roman" w:hAnsi="Times New Roman" w:cs="Times New Roman"/>
          <w:lang w:val="en-GB"/>
        </w:rPr>
        <w:footnoteReference w:id="18"/>
      </w:r>
      <w:r>
        <w:rPr>
          <w:rFonts w:ascii="Times New Roman" w:hAnsi="Times New Roman"/>
        </w:rPr>
        <w:t>. Cirkulärekonomiska strategier som genomförs i olika sektorer och länder har potential att minska de globala växthusgasutsläppen med 39 %</w:t>
      </w:r>
      <w:r w:rsidRPr="00424F46">
        <w:rPr>
          <w:rStyle w:val="FootnoteReference"/>
          <w:rFonts w:ascii="Times New Roman" w:hAnsi="Times New Roman" w:cs="Times New Roman"/>
          <w:lang w:val="en-GB"/>
        </w:rPr>
        <w:footnoteReference w:id="19"/>
      </w:r>
      <w:r>
        <w:rPr>
          <w:rFonts w:ascii="Times New Roman" w:hAnsi="Times New Roman"/>
        </w:rPr>
        <w:t>. EESK uttrycker oro över att EU bara är omkring 12 % cirkulärt trots den omfattande uppgradering av lagstiftningen som inleddes 2015 genom EU:s första handlingsplan för den cirkulära ekonomin, och menar att ytterligare framsteg enbart kan uppnås genom samarbete med alla delar av det civila samhället, särskilt för att övervinna kvarstående politiska, kulturella, infrastrukturrelaterade, styrningsrelaterade och finansiella hinder</w:t>
      </w:r>
      <w:r w:rsidRPr="00424F46">
        <w:rPr>
          <w:rStyle w:val="FootnoteReference"/>
          <w:rFonts w:ascii="Times New Roman" w:hAnsi="Times New Roman" w:cs="Times New Roman"/>
          <w:lang w:val="en-GB"/>
        </w:rPr>
        <w:footnoteReference w:id="20"/>
      </w:r>
      <w:r>
        <w:rPr>
          <w:rFonts w:ascii="Times New Roman" w:hAnsi="Times New Roman"/>
        </w:rPr>
        <w:t>.</w:t>
      </w:r>
    </w:p>
    <w:p w:rsidRPr="00424F46" w:rsidR="007E0872" w:rsidP="00F5520F" w:rsidRDefault="007E0872">
      <w:pPr>
        <w:pStyle w:val="ListParagraph"/>
        <w:spacing w:after="0" w:line="288" w:lineRule="auto"/>
        <w:ind w:left="0"/>
        <w:jc w:val="both"/>
        <w:rPr>
          <w:rFonts w:ascii="Times New Roman" w:hAnsi="Times New Roman" w:cs="Times New Roman"/>
          <w:lang w:val="en-GB"/>
        </w:rPr>
      </w:pPr>
    </w:p>
    <w:p w:rsidRPr="00424F46" w:rsidR="00A42B33" w:rsidP="00F5520F" w:rsidRDefault="00444B5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Kommittén anser att omställningsstrategier för att införa </w:t>
      </w:r>
      <w:r>
        <w:rPr>
          <w:rFonts w:ascii="Times New Roman" w:hAnsi="Times New Roman"/>
          <w:b/>
        </w:rPr>
        <w:t>hållbara livsmedelssystem</w:t>
      </w:r>
      <w:r>
        <w:rPr>
          <w:rFonts w:ascii="Times New Roman" w:hAnsi="Times New Roman"/>
        </w:rPr>
        <w:t xml:space="preserve"> vederbörligen bör integreras i de nationellt fastställda bidragen, och är medveten om att många länder visserligen nämner jordbrukets begränsnings- och anpassningspotential i sina nationellt fastställda bidrag, men att mycket få fastställer mål i förhållande till andra led i livsmedels</w:t>
      </w:r>
      <w:r w:rsidR="00DF5427">
        <w:rPr>
          <w:rFonts w:ascii="Times New Roman" w:hAnsi="Times New Roman"/>
        </w:rPr>
        <w:softHyphen/>
      </w:r>
      <w:r>
        <w:rPr>
          <w:rFonts w:ascii="Times New Roman" w:hAnsi="Times New Roman"/>
        </w:rPr>
        <w:t>systemet</w:t>
      </w:r>
      <w:r w:rsidRPr="00424F46">
        <w:rPr>
          <w:rStyle w:val="FootnoteReference"/>
          <w:rFonts w:ascii="Times New Roman" w:hAnsi="Times New Roman" w:cs="Times New Roman"/>
          <w:sz w:val="22"/>
          <w:lang w:val="en-GB"/>
        </w:rPr>
        <w:footnoteReference w:id="21"/>
      </w:r>
      <w:r>
        <w:rPr>
          <w:rFonts w:ascii="Times New Roman" w:hAnsi="Times New Roman"/>
        </w:rPr>
        <w:t>, vilket innebär att möjligheterna till stor del förblir outnyttjade</w:t>
      </w:r>
      <w:r w:rsidRPr="00424F46">
        <w:rPr>
          <w:rStyle w:val="FootnoteReference"/>
          <w:rFonts w:ascii="Times New Roman" w:hAnsi="Times New Roman" w:cs="Times New Roman"/>
          <w:sz w:val="22"/>
          <w:lang w:val="en-GB"/>
        </w:rPr>
        <w:footnoteReference w:id="22"/>
      </w:r>
      <w:r>
        <w:rPr>
          <w:rFonts w:ascii="Times New Roman" w:hAnsi="Times New Roman"/>
        </w:rPr>
        <w:t>. EESK upprepar sina rekommendationer om att anta en heltäckande livsmedelspolitik, såsom från jord till bord-strategin, inbegripet klimatåtgärder, och att säkerställa ett strukturerat engagemang av berörda parter längs hela livsmedelskedjan</w:t>
      </w:r>
      <w:r w:rsidRPr="00424F46">
        <w:rPr>
          <w:rStyle w:val="FootnoteReference"/>
          <w:rFonts w:ascii="Times New Roman" w:hAnsi="Times New Roman" w:cs="Times New Roman"/>
          <w:lang w:val="en-GB"/>
        </w:rPr>
        <w:footnoteReference w:id="23"/>
      </w:r>
      <w:r>
        <w:rPr>
          <w:rFonts w:ascii="Times New Roman" w:hAnsi="Times New Roman"/>
        </w:rPr>
        <w:t xml:space="preserve"> och på alla styresnivåer, särskilt genom att producenterna sätts i centrum för jordbruksstrategierna och görs delaktiga i beslutsfattandet.</w:t>
      </w:r>
    </w:p>
    <w:p w:rsidRPr="00424F46" w:rsidR="00A42B33" w:rsidP="00F5520F" w:rsidRDefault="00A42B33">
      <w:pPr>
        <w:pStyle w:val="ListParagraph"/>
        <w:spacing w:after="0" w:line="288" w:lineRule="auto"/>
        <w:ind w:left="0"/>
        <w:jc w:val="both"/>
        <w:rPr>
          <w:rFonts w:ascii="Times New Roman" w:hAnsi="Times New Roman" w:cs="Times New Roman"/>
          <w:lang w:val="en-GB"/>
        </w:rPr>
      </w:pPr>
    </w:p>
    <w:p w:rsidRPr="00424F46" w:rsidR="00E362FB" w:rsidP="00765637" w:rsidRDefault="00953E81">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Kommittén är bekymrad över situationen i Afrika, som har bidragit med mindre än 4 % till de globala utsläppen, men som utmärker sig oproportionerligt som en av världens mest utsatta regioner och </w:t>
      </w:r>
      <w:r>
        <w:rPr>
          <w:rFonts w:ascii="Times New Roman" w:hAnsi="Times New Roman"/>
          <w:b/>
        </w:rPr>
        <w:t xml:space="preserve">riktar, mot bakgrund av att COP27 äger rum i Afrika, en tydlig vädjan till EU om att prioritera ekonomiska, tekniska och </w:t>
      </w:r>
      <w:proofErr w:type="spellStart"/>
      <w:r>
        <w:rPr>
          <w:rFonts w:ascii="Times New Roman" w:hAnsi="Times New Roman"/>
          <w:b/>
        </w:rPr>
        <w:t>kapacitetsuppbyggande</w:t>
      </w:r>
      <w:proofErr w:type="spellEnd"/>
      <w:r>
        <w:rPr>
          <w:rFonts w:ascii="Times New Roman" w:hAnsi="Times New Roman"/>
          <w:b/>
        </w:rPr>
        <w:t xml:space="preserve"> resurser för Afrika</w:t>
      </w:r>
      <w:r>
        <w:rPr>
          <w:rFonts w:ascii="Times New Roman" w:hAnsi="Times New Roman"/>
        </w:rPr>
        <w:t xml:space="preserve"> i syfte att stödja kontinentens åtagande vid COP21 i Paris, och om att ta hänsyn till att de flesta av de afrikanska nationellt fastställda bidragen innehåller begränsnings- och anpassningsmål som förutsätter att länderna får lämpligt internationellt stöd, vilket äventyrar skyddet av värdefulla ekosystem som måste bevaras, såsom skogar eller savanner, samt utvinning av fossila bränslen.</w:t>
      </w:r>
    </w:p>
    <w:p w:rsidRPr="00424F46" w:rsidR="00E362FB" w:rsidP="00765637" w:rsidRDefault="00E362FB">
      <w:pPr>
        <w:pStyle w:val="ListParagraph"/>
        <w:spacing w:after="0" w:line="288" w:lineRule="auto"/>
        <w:ind w:left="0"/>
        <w:jc w:val="both"/>
        <w:rPr>
          <w:rFonts w:ascii="Times New Roman" w:hAnsi="Times New Roman" w:cs="Times New Roman"/>
          <w:lang w:val="en-GB"/>
        </w:rPr>
      </w:pPr>
    </w:p>
    <w:p w:rsidRPr="00424F46" w:rsidR="00A42B33" w:rsidP="00526B40" w:rsidRDefault="00444B59">
      <w:pPr>
        <w:pStyle w:val="ListParagraph"/>
        <w:keepNext/>
        <w:keepLines/>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EESK efterlyser ett omedelbart stopp för </w:t>
      </w:r>
      <w:r>
        <w:rPr>
          <w:rFonts w:ascii="Times New Roman" w:hAnsi="Times New Roman"/>
          <w:b/>
        </w:rPr>
        <w:t>subventioner till fossila bränslen</w:t>
      </w:r>
      <w:r>
        <w:rPr>
          <w:rFonts w:ascii="Times New Roman" w:hAnsi="Times New Roman"/>
        </w:rPr>
        <w:t xml:space="preserve">, välkomnar </w:t>
      </w:r>
      <w:proofErr w:type="spellStart"/>
      <w:r>
        <w:rPr>
          <w:rFonts w:ascii="Times New Roman" w:hAnsi="Times New Roman"/>
        </w:rPr>
        <w:t>REPowerEU</w:t>
      </w:r>
      <w:proofErr w:type="spellEnd"/>
      <w:r>
        <w:rPr>
          <w:rFonts w:ascii="Times New Roman" w:hAnsi="Times New Roman"/>
        </w:rPr>
        <w:t>-meddelandet, eftersom det innehåller lösningar som ligger i linje med målen för den gröna given och den europeiska energiunionen</w:t>
      </w:r>
      <w:r w:rsidRPr="00424F46">
        <w:rPr>
          <w:rStyle w:val="FootnoteReference"/>
          <w:rFonts w:ascii="Times New Roman" w:hAnsi="Times New Roman" w:cs="Times New Roman"/>
          <w:lang w:val="en-GB"/>
        </w:rPr>
        <w:footnoteReference w:id="24"/>
      </w:r>
      <w:r w:rsidRPr="00424F46" w:rsidR="00EB27C9">
        <w:rPr>
          <w:rStyle w:val="FootnoteReference"/>
          <w:rFonts w:ascii="Times New Roman" w:hAnsi="Times New Roman" w:cs="Times New Roman"/>
          <w:lang w:val="en-GB"/>
        </w:rPr>
        <w:footnoteReference w:id="25"/>
      </w:r>
      <w:r>
        <w:rPr>
          <w:rFonts w:ascii="Times New Roman" w:hAnsi="Times New Roman"/>
        </w:rPr>
        <w:t>, och anser att regeringarna måste tillhandahålla en ram för investeringar i banbrytande teknik på områden såsom energieffektivitet och produktion av förnybar energi, genom stöd till forskning, innovation och utveckling, och att lagstiftningen bör utformas för att möjliggöra och stärka utvecklingen av ny teknik och dess marknadspenetration, inbegripet åtgärder på efterfrågesidan för att skapa pionjärmarknader och uppmuntra konsumtion av koldioxidsnåla produkter</w:t>
      </w:r>
      <w:r w:rsidRPr="00424F46">
        <w:rPr>
          <w:rStyle w:val="FootnoteReference"/>
          <w:rFonts w:ascii="Times New Roman" w:hAnsi="Times New Roman" w:cs="Times New Roman"/>
          <w:lang w:val="en-GB"/>
        </w:rPr>
        <w:footnoteReference w:id="26"/>
      </w:r>
      <w:r>
        <w:rPr>
          <w:rFonts w:ascii="Times New Roman" w:hAnsi="Times New Roman"/>
        </w:rPr>
        <w:t>.</w:t>
      </w:r>
    </w:p>
    <w:p w:rsidRPr="00424F46" w:rsidR="00A42B33" w:rsidP="00F5520F" w:rsidRDefault="00A42B33">
      <w:pPr>
        <w:pStyle w:val="ListParagraph"/>
        <w:spacing w:after="0" w:line="288" w:lineRule="auto"/>
        <w:ind w:left="0"/>
        <w:jc w:val="both"/>
        <w:rPr>
          <w:rFonts w:ascii="Times New Roman" w:hAnsi="Times New Roman" w:cs="Times New Roman"/>
          <w:lang w:val="en-GB"/>
        </w:rPr>
      </w:pPr>
    </w:p>
    <w:p w:rsidRPr="00424F46" w:rsidR="00F81237" w:rsidP="00F5520F" w:rsidRDefault="00F8123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Kommittén välkomnar digitala lösningar som möjliggör miljöskydd och hållbarhetsomvandling inom transport, energisystem, byggnader, jordbruk och andra sektorer, men </w:t>
      </w:r>
      <w:r>
        <w:rPr>
          <w:rFonts w:ascii="Times New Roman" w:hAnsi="Times New Roman"/>
          <w:b/>
        </w:rPr>
        <w:t>noterar också att den övergripande digitaliseringen hittills inte har bidragit till en minskning av energi</w:t>
      </w:r>
      <w:r w:rsidR="00DF5427">
        <w:rPr>
          <w:rFonts w:ascii="Times New Roman" w:hAnsi="Times New Roman"/>
          <w:b/>
        </w:rPr>
        <w:softHyphen/>
      </w:r>
      <w:r>
        <w:rPr>
          <w:rFonts w:ascii="Times New Roman" w:hAnsi="Times New Roman"/>
          <w:b/>
        </w:rPr>
        <w:t>efterfrågan och koldioxidutsläppen</w:t>
      </w:r>
      <w:r>
        <w:rPr>
          <w:rFonts w:ascii="Times New Roman" w:hAnsi="Times New Roman"/>
        </w:rPr>
        <w:t>, och betonar därför behovet av stödjande politik för att mildra rekyl- och induktionseffekterna</w:t>
      </w:r>
      <w:r w:rsidRPr="00424F46">
        <w:rPr>
          <w:rStyle w:val="FootnoteReference"/>
          <w:rFonts w:ascii="Times New Roman" w:hAnsi="Times New Roman" w:cs="Times New Roman"/>
          <w:lang w:val="en-GB"/>
        </w:rPr>
        <w:footnoteReference w:id="27"/>
      </w:r>
      <w:r>
        <w:rPr>
          <w:rFonts w:ascii="Times New Roman" w:hAnsi="Times New Roman"/>
        </w:rPr>
        <w:t>.</w:t>
      </w:r>
    </w:p>
    <w:p w:rsidRPr="00424F46" w:rsidR="00F81237" w:rsidP="00F5520F" w:rsidRDefault="00F81237">
      <w:pPr>
        <w:pStyle w:val="ListParagraph"/>
        <w:spacing w:after="0" w:line="288" w:lineRule="auto"/>
        <w:ind w:left="0"/>
        <w:jc w:val="both"/>
        <w:rPr>
          <w:rFonts w:ascii="Times New Roman" w:hAnsi="Times New Roman" w:cs="Times New Roman"/>
          <w:lang w:val="en-GB"/>
        </w:rPr>
      </w:pPr>
    </w:p>
    <w:p w:rsidRPr="00424F46" w:rsidR="00A621E3" w:rsidP="00F5520F" w:rsidRDefault="00A42B33">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Klimatförändringarna har också allvarliga konsekvenser för företag, särskilt små och medelstora företag, såsom avbrott i leveranskedjor och skador på produktionsanläggningar på grund av extrema väderfenomen, och tvingar dem att göra ibland kostsamma ändringar av sina affärs- och verksamhetsmodeller, liksom investeringar för att hantera regleringsmässiga eller andra krav. </w:t>
      </w:r>
      <w:r>
        <w:rPr>
          <w:rFonts w:ascii="Times New Roman" w:hAnsi="Times New Roman"/>
          <w:b/>
        </w:rPr>
        <w:t>Tidiga användare av nya hållbara affärsmodeller bör få stöd</w:t>
      </w:r>
      <w:r>
        <w:rPr>
          <w:rFonts w:ascii="Times New Roman" w:hAnsi="Times New Roman"/>
        </w:rPr>
        <w:t xml:space="preserve"> för att se till att deras innovation inte leder till en konkurrensnackdel.</w:t>
      </w:r>
    </w:p>
    <w:p w:rsidRPr="00424F46" w:rsidR="00A621E3" w:rsidP="00F5520F" w:rsidRDefault="00A621E3">
      <w:pPr>
        <w:pStyle w:val="ListParagraph"/>
        <w:spacing w:after="0" w:line="288" w:lineRule="auto"/>
        <w:ind w:left="0"/>
        <w:jc w:val="both"/>
        <w:rPr>
          <w:rFonts w:ascii="Times New Roman" w:hAnsi="Times New Roman" w:cs="Times New Roman"/>
          <w:lang w:val="en-GB"/>
        </w:rPr>
      </w:pPr>
    </w:p>
    <w:p w:rsidRPr="00424F46" w:rsidR="00444B59" w:rsidP="00F5520F" w:rsidRDefault="00444B59">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Stöd till den privata sektorn måste vara förenligt med principerna om rättvis tillgång till finansieringsverktyg för små och medelstora företag och bör baseras enbart på klimatmål</w:t>
      </w:r>
      <w:r w:rsidRPr="00EF3B48">
        <w:rPr>
          <w:rStyle w:val="FootnoteReference"/>
          <w:rFonts w:ascii="Times New Roman" w:hAnsi="Times New Roman" w:cs="Times New Roman"/>
          <w:szCs w:val="24"/>
          <w:lang w:val="en-GB"/>
        </w:rPr>
        <w:footnoteReference w:id="28"/>
      </w:r>
      <w:r>
        <w:rPr>
          <w:rFonts w:ascii="Times New Roman" w:hAnsi="Times New Roman"/>
        </w:rPr>
        <w:t>. Det kommer att krävas omfattande arbete längs värdekedjorna samt sektorsövergripande samarbete.</w:t>
      </w:r>
    </w:p>
    <w:p w:rsidRPr="00424F46" w:rsidR="00444B59" w:rsidP="00F5520F" w:rsidRDefault="00444B59">
      <w:pPr>
        <w:pStyle w:val="ListParagraph"/>
        <w:spacing w:after="0" w:line="288" w:lineRule="auto"/>
        <w:ind w:left="0"/>
        <w:rPr>
          <w:rFonts w:ascii="Times New Roman" w:hAnsi="Times New Roman" w:cs="Times New Roman"/>
          <w:lang w:val="en-GB"/>
        </w:rPr>
      </w:pPr>
    </w:p>
    <w:p w:rsidRPr="00424F46" w:rsidR="00444B59" w:rsidP="00F5520F" w:rsidRDefault="00444B59">
      <w:pPr>
        <w:pStyle w:val="ListParagraph"/>
        <w:numPr>
          <w:ilvl w:val="0"/>
          <w:numId w:val="11"/>
        </w:numPr>
        <w:spacing w:after="0" w:line="288" w:lineRule="auto"/>
        <w:ind w:left="567" w:hanging="567"/>
        <w:jc w:val="both"/>
        <w:rPr>
          <w:rFonts w:ascii="Times New Roman" w:hAnsi="Times New Roman"/>
        </w:rPr>
      </w:pPr>
      <w:r>
        <w:rPr>
          <w:rFonts w:ascii="Times New Roman" w:hAnsi="Times New Roman"/>
        </w:rPr>
        <w:t>Harmonisering och standardisering är avgörande för att man ska kunna uppnå en bransch</w:t>
      </w:r>
      <w:r w:rsidR="00DF5427">
        <w:rPr>
          <w:rFonts w:ascii="Times New Roman" w:hAnsi="Times New Roman"/>
        </w:rPr>
        <w:softHyphen/>
      </w:r>
      <w:r>
        <w:rPr>
          <w:rFonts w:ascii="Times New Roman" w:hAnsi="Times New Roman"/>
        </w:rPr>
        <w:t>övergripande skalbarhet av lösningar genom teknik, kompetenshöjning och reglering som bör stödjas av EU:s regeringar på internationell nivå. Det kom</w:t>
      </w:r>
      <w:r w:rsidR="00DF5427">
        <w:rPr>
          <w:rFonts w:ascii="Times New Roman" w:hAnsi="Times New Roman"/>
        </w:rPr>
        <w:t>mer att vara avgörande för i </w:t>
      </w:r>
      <w:r>
        <w:rPr>
          <w:rFonts w:ascii="Times New Roman" w:hAnsi="Times New Roman"/>
        </w:rPr>
        <w:t>synnerhet små och medelstora företag att få tillgång till åtföljande instrument och kapacitetsuppbyggnad för att kunna uppfylla nya krav och öka marknadstillträdet i EU.</w:t>
      </w:r>
    </w:p>
    <w:p w:rsidRPr="00424F46" w:rsidR="00444B59" w:rsidP="00F5520F" w:rsidRDefault="00444B59">
      <w:pPr>
        <w:pStyle w:val="ListParagraph"/>
        <w:spacing w:after="0" w:line="288" w:lineRule="auto"/>
        <w:ind w:left="0"/>
        <w:jc w:val="both"/>
        <w:rPr>
          <w:rFonts w:ascii="Times New Roman" w:hAnsi="Times New Roman" w:cs="Times New Roman"/>
          <w:lang w:val="en-GB"/>
        </w:rPr>
      </w:pPr>
    </w:p>
    <w:p w:rsidRPr="00424F46" w:rsidR="006D2F1C" w:rsidRDefault="00565A46">
      <w:pPr>
        <w:pStyle w:val="ListParagraph"/>
        <w:keepNext/>
        <w:keepLines/>
        <w:spacing w:after="0" w:line="288" w:lineRule="auto"/>
        <w:ind w:left="0"/>
        <w:jc w:val="both"/>
        <w:rPr>
          <w:rFonts w:ascii="Times New Roman" w:hAnsi="Times New Roman"/>
          <w:b/>
          <w:i/>
        </w:rPr>
      </w:pPr>
      <w:r>
        <w:rPr>
          <w:rFonts w:ascii="Times New Roman" w:hAnsi="Times New Roman"/>
          <w:b/>
          <w:i/>
        </w:rPr>
        <w:t>Egenmakt så att det civila samhället kan påskynda klimatåtgärderna samt efterlysning av en ny styrningsram</w:t>
      </w:r>
    </w:p>
    <w:p w:rsidRPr="00424F46" w:rsidR="00EE319C" w:rsidRDefault="00EE319C">
      <w:pPr>
        <w:pStyle w:val="ListParagraph"/>
        <w:keepNext/>
        <w:keepLines/>
        <w:spacing w:after="0" w:line="288" w:lineRule="auto"/>
        <w:ind w:left="567" w:hanging="567"/>
        <w:jc w:val="both"/>
        <w:rPr>
          <w:rFonts w:ascii="Times New Roman" w:hAnsi="Times New Roman" w:cs="Times New Roman"/>
          <w:lang w:val="en-GB"/>
        </w:rPr>
      </w:pPr>
    </w:p>
    <w:p w:rsidRPr="00424F46" w:rsidR="00F426F7" w:rsidP="00EF3B48" w:rsidRDefault="00F426F7">
      <w:pPr>
        <w:pStyle w:val="ListParagraph"/>
        <w:keepNext/>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Omfattningen av de insatser som krävs förutsätter integrerade politiska åtgärder på flera nivåer och sektorsövergripande lösningar med ett verkligt engagemang från det civila samhällets sida. EESK föreslår därför en </w:t>
      </w:r>
      <w:r>
        <w:rPr>
          <w:rFonts w:ascii="Times New Roman" w:hAnsi="Times New Roman"/>
          <w:b/>
        </w:rPr>
        <w:t>ny styrningsram</w:t>
      </w:r>
      <w:r>
        <w:rPr>
          <w:rFonts w:ascii="Times New Roman" w:hAnsi="Times New Roman"/>
        </w:rPr>
        <w:t xml:space="preserve"> för att utveckla dessa omvälvande förändringar.</w:t>
      </w:r>
    </w:p>
    <w:p w:rsidRPr="00424F46" w:rsidR="00F426F7" w:rsidP="00F5520F" w:rsidRDefault="00F426F7">
      <w:pPr>
        <w:pStyle w:val="ListParagraph"/>
        <w:spacing w:after="0" w:line="288" w:lineRule="auto"/>
        <w:ind w:left="0"/>
        <w:jc w:val="both"/>
        <w:rPr>
          <w:rFonts w:ascii="Times New Roman" w:hAnsi="Times New Roman" w:cs="Times New Roman"/>
          <w:lang w:val="en-GB"/>
        </w:rPr>
      </w:pPr>
    </w:p>
    <w:p w:rsidRPr="00424F46" w:rsidR="00B27016" w:rsidP="00F5520F" w:rsidRDefault="00EE319C">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b/>
        </w:rPr>
        <w:t>På arbetsplatsnivå</w:t>
      </w:r>
      <w:r>
        <w:rPr>
          <w:rFonts w:ascii="Times New Roman" w:hAnsi="Times New Roman"/>
        </w:rPr>
        <w:t xml:space="preserve"> bör denna nya styrningsram garantera social dialog genom att säkerställa arbetstagarnas rättigheter och deltagande och stärka kollektivavtalen.</w:t>
      </w:r>
    </w:p>
    <w:p w:rsidRPr="00424F46" w:rsidR="00B27016" w:rsidP="00F5520F" w:rsidRDefault="00B27016">
      <w:pPr>
        <w:pStyle w:val="ListParagraph"/>
        <w:spacing w:after="0" w:line="288" w:lineRule="auto"/>
        <w:ind w:left="567" w:hanging="567"/>
        <w:jc w:val="both"/>
        <w:rPr>
          <w:rFonts w:ascii="Times New Roman" w:hAnsi="Times New Roman" w:cs="Times New Roman"/>
          <w:lang w:val="en-GB"/>
        </w:rPr>
      </w:pPr>
    </w:p>
    <w:p w:rsidRPr="00424F46" w:rsidR="00EE319C" w:rsidP="00F5520F" w:rsidRDefault="00B27016">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Den </w:t>
      </w:r>
      <w:r>
        <w:rPr>
          <w:rFonts w:ascii="Times New Roman" w:hAnsi="Times New Roman"/>
          <w:b/>
        </w:rPr>
        <w:t>bredare dialogen</w:t>
      </w:r>
      <w:r>
        <w:rPr>
          <w:rFonts w:ascii="Times New Roman" w:hAnsi="Times New Roman"/>
        </w:rPr>
        <w:t xml:space="preserve"> bör också stärkas, med bidrag från regioner, aktörer på landsbygden och städer, arbetsmarknadens parter, kooperativ och det civila samhället, för att säkerställa social rättvisa och trovärdighet och konkretisera åtagandet om att ingen ska hamna på efterkälken</w:t>
      </w:r>
      <w:r w:rsidRPr="00424F46" w:rsidR="003567A8">
        <w:rPr>
          <w:rStyle w:val="FootnoteReference"/>
          <w:rFonts w:ascii="Times New Roman" w:hAnsi="Times New Roman" w:cs="Times New Roman"/>
          <w:sz w:val="22"/>
          <w:lang w:val="en-GB"/>
        </w:rPr>
        <w:footnoteReference w:id="29"/>
      </w:r>
      <w:r>
        <w:rPr>
          <w:rFonts w:ascii="Times New Roman" w:hAnsi="Times New Roman"/>
        </w:rPr>
        <w:t xml:space="preserve">. Att underlätta </w:t>
      </w:r>
      <w:proofErr w:type="spellStart"/>
      <w:r>
        <w:rPr>
          <w:rFonts w:ascii="Times New Roman" w:hAnsi="Times New Roman"/>
        </w:rPr>
        <w:t>prosumentstrategier</w:t>
      </w:r>
      <w:proofErr w:type="spellEnd"/>
      <w:r>
        <w:rPr>
          <w:rFonts w:ascii="Times New Roman" w:hAnsi="Times New Roman"/>
        </w:rPr>
        <w:t xml:space="preserve"> kan till exempel påskynda omställningen till ett renare energisystem, skapa nya ekonomiska modeller och bidra till att skydda de mest utsatta grupperna i våra samhällen från att t.ex. inte längre ha tillgång till värme, ljus och it.</w:t>
      </w:r>
    </w:p>
    <w:p w:rsidRPr="00424F46" w:rsidR="00F426F7" w:rsidP="00F5520F" w:rsidRDefault="00F426F7">
      <w:pPr>
        <w:pStyle w:val="ListParagraph"/>
        <w:spacing w:after="0" w:line="288" w:lineRule="auto"/>
        <w:ind w:left="0"/>
        <w:jc w:val="both"/>
        <w:rPr>
          <w:rFonts w:ascii="Times New Roman" w:hAnsi="Times New Roman" w:cs="Times New Roman"/>
          <w:lang w:val="en-GB"/>
        </w:rPr>
      </w:pPr>
    </w:p>
    <w:p w:rsidRPr="00424F46" w:rsidR="00F426F7" w:rsidP="00F5520F" w:rsidRDefault="00F426F7">
      <w:pPr>
        <w:pStyle w:val="ListParagraph"/>
        <w:numPr>
          <w:ilvl w:val="0"/>
          <w:numId w:val="11"/>
        </w:numPr>
        <w:spacing w:after="0" w:line="288" w:lineRule="auto"/>
        <w:ind w:left="567" w:hanging="567"/>
        <w:jc w:val="both"/>
        <w:rPr>
          <w:rFonts w:ascii="Times New Roman" w:hAnsi="Times New Roman"/>
        </w:rPr>
      </w:pPr>
      <w:r>
        <w:rPr>
          <w:rFonts w:ascii="Times New Roman" w:hAnsi="Times New Roman"/>
        </w:rPr>
        <w:t xml:space="preserve">Kommittén är fast övertygad om att </w:t>
      </w:r>
      <w:r>
        <w:rPr>
          <w:rFonts w:ascii="Times New Roman" w:hAnsi="Times New Roman"/>
          <w:b/>
        </w:rPr>
        <w:t>nedifrån och upp- och gräsrotsinitiativ verkligen måste stödjas och uppmuntras</w:t>
      </w:r>
      <w:r>
        <w:rPr>
          <w:rFonts w:ascii="Times New Roman" w:hAnsi="Times New Roman"/>
        </w:rPr>
        <w:t xml:space="preserve"> för att påskynda begränsningen av och anpassningen till klimat</w:t>
      </w:r>
      <w:r w:rsidR="00DF5427">
        <w:rPr>
          <w:rFonts w:ascii="Times New Roman" w:hAnsi="Times New Roman"/>
        </w:rPr>
        <w:softHyphen/>
      </w:r>
      <w:r>
        <w:rPr>
          <w:rFonts w:ascii="Times New Roman" w:hAnsi="Times New Roman"/>
        </w:rPr>
        <w:t xml:space="preserve">förändringarna och stärka den sociala </w:t>
      </w:r>
      <w:proofErr w:type="spellStart"/>
      <w:r>
        <w:rPr>
          <w:rFonts w:ascii="Times New Roman" w:hAnsi="Times New Roman"/>
        </w:rPr>
        <w:t>resiliensen</w:t>
      </w:r>
      <w:proofErr w:type="spellEnd"/>
      <w:r>
        <w:rPr>
          <w:rFonts w:ascii="Times New Roman" w:hAnsi="Times New Roman"/>
        </w:rPr>
        <w:t xml:space="preserve">, och på så sätt frigöra potentialen hos en samarbetskultur och nedifrån och upp-lösningar. Det finns ett lika stort och väsentligt behov av att investera mer i social innovation för att integrera de kulturella och samhälleliga förändringar </w:t>
      </w:r>
      <w:r w:rsidRPr="00DF5427">
        <w:rPr>
          <w:rFonts w:ascii="Times New Roman" w:hAnsi="Times New Roman"/>
          <w:spacing w:val="-2"/>
        </w:rPr>
        <w:t>som krävs för att klimatskyddet ska införlivas i företagens, myndigheternas och hushållens vardag.</w:t>
      </w:r>
    </w:p>
    <w:p w:rsidRPr="00424F46" w:rsidR="00707DFC" w:rsidP="00F5520F" w:rsidRDefault="00707DFC">
      <w:pPr>
        <w:pStyle w:val="ListParagraph"/>
        <w:spacing w:after="0" w:line="288" w:lineRule="auto"/>
        <w:ind w:left="0"/>
        <w:jc w:val="both"/>
        <w:rPr>
          <w:rFonts w:ascii="Times New Roman" w:hAnsi="Times New Roman" w:cs="Times New Roman"/>
          <w:lang w:val="en-GB"/>
        </w:rPr>
      </w:pPr>
    </w:p>
    <w:p w:rsidRPr="00424F46" w:rsidR="00EE319C" w:rsidP="00F5520F" w:rsidRDefault="00710362">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b/>
        </w:rPr>
        <w:t>Jämställdhet</w:t>
      </w:r>
      <w:r>
        <w:rPr>
          <w:rFonts w:ascii="Times New Roman" w:hAnsi="Times New Roman"/>
        </w:rPr>
        <w:t xml:space="preserve"> bör inte behandlas som en separat och fristående fråga utan bör anses vara grundläggande för att </w:t>
      </w:r>
      <w:r>
        <w:rPr>
          <w:rFonts w:ascii="Times New Roman" w:hAnsi="Times New Roman"/>
          <w:b/>
        </w:rPr>
        <w:t>undvika könsblinda åtgärder och strategier</w:t>
      </w:r>
      <w:r>
        <w:rPr>
          <w:rFonts w:ascii="Times New Roman" w:hAnsi="Times New Roman"/>
        </w:rPr>
        <w:t>. Klimatförändringarna påverkar inte alla delar av befolkningen på samma sätt, och om klimatpolitiken inte utformas på rätt sätt kan den vidmakthålla dessa orättvisor och obalanser. Till exempel spär kvinnors ojämlika deltagande i beslutsprocesser och på arbetsmarknaden på orättvisorna och hindrar ofta kvinnor från att fullt ut bidra till planering, beslutsfattande och genomförande på klimatområdet.</w:t>
      </w:r>
      <w:r w:rsidRPr="00424F46" w:rsidR="00EE319C">
        <w:rPr>
          <w:rStyle w:val="FootnoteReference"/>
          <w:rFonts w:ascii="Times New Roman" w:hAnsi="Times New Roman" w:cs="Times New Roman"/>
          <w:lang w:val="en-GB"/>
        </w:rPr>
        <w:footnoteReference w:id="30"/>
      </w:r>
    </w:p>
    <w:p w:rsidRPr="00424F46" w:rsidR="00EE319C" w:rsidP="00F5520F" w:rsidRDefault="00EE319C">
      <w:pPr>
        <w:pStyle w:val="ListParagraph"/>
        <w:spacing w:after="0" w:line="288" w:lineRule="auto"/>
        <w:ind w:left="567" w:hanging="567"/>
        <w:jc w:val="both"/>
        <w:rPr>
          <w:rFonts w:ascii="Times New Roman" w:hAnsi="Times New Roman" w:cs="Times New Roman"/>
          <w:lang w:val="en-GB"/>
        </w:rPr>
      </w:pPr>
    </w:p>
    <w:p w:rsidRPr="00424F46" w:rsidR="00B27016" w:rsidP="00F5520F" w:rsidRDefault="009F475F">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Kommittén är övertygad om att ett starkare </w:t>
      </w:r>
      <w:r>
        <w:rPr>
          <w:rFonts w:ascii="Times New Roman" w:hAnsi="Times New Roman"/>
          <w:b/>
        </w:rPr>
        <w:t>ungdomsengagemang</w:t>
      </w:r>
      <w:r>
        <w:rPr>
          <w:rFonts w:ascii="Times New Roman" w:hAnsi="Times New Roman"/>
        </w:rPr>
        <w:t xml:space="preserve"> i beslutsprocesserna, från utarbetandet av lagstiftningsförslag och initiativ till genomförandet, övervakningen och uppföljningen, är det bästa sättet att ta hänsyn till den generationsöverskridande dimensionen av dessa förändringar</w:t>
      </w:r>
      <w:r w:rsidRPr="00424F46">
        <w:rPr>
          <w:rStyle w:val="FootnoteReference"/>
          <w:rFonts w:ascii="Times New Roman" w:hAnsi="Times New Roman" w:cs="Times New Roman"/>
          <w:sz w:val="22"/>
          <w:lang w:val="en-GB"/>
        </w:rPr>
        <w:footnoteReference w:id="31"/>
      </w:r>
      <w:r>
        <w:rPr>
          <w:rFonts w:ascii="Times New Roman" w:hAnsi="Times New Roman"/>
        </w:rPr>
        <w:t>. Därför har EESK sedan 2021 inkluderat en ungdomsdelegat i den officiella EU-delegationen till UNFCCC COP-mötena, och har åtagit sig att förstärka ungdomarnas och ungdomsorganisationernas röster i kommitténs arbete. Parterna och övriga berörda aktörer rekommenderas starkt att anta en liknande strategi.</w:t>
      </w:r>
    </w:p>
    <w:p w:rsidRPr="00424F46" w:rsidR="00B27016" w:rsidP="00F5520F" w:rsidRDefault="00B27016">
      <w:pPr>
        <w:pStyle w:val="ListParagraph"/>
        <w:spacing w:after="0" w:line="288" w:lineRule="auto"/>
        <w:ind w:left="567" w:hanging="567"/>
        <w:jc w:val="both"/>
        <w:rPr>
          <w:rFonts w:ascii="Times New Roman" w:hAnsi="Times New Roman" w:cs="Times New Roman"/>
          <w:lang w:val="en-GB"/>
        </w:rPr>
      </w:pPr>
    </w:p>
    <w:p w:rsidRPr="00424F46" w:rsidR="008D5813" w:rsidP="00F5520F" w:rsidRDefault="00B27016">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EESK erkänner den roll som </w:t>
      </w:r>
      <w:r>
        <w:rPr>
          <w:rFonts w:ascii="Times New Roman" w:hAnsi="Times New Roman"/>
          <w:b/>
        </w:rPr>
        <w:t>ursprungsbefolkningar</w:t>
      </w:r>
      <w:r>
        <w:rPr>
          <w:rFonts w:ascii="Times New Roman" w:hAnsi="Times New Roman"/>
        </w:rPr>
        <w:t xml:space="preserve"> spelar i frontlinjen för klimat</w:t>
      </w:r>
      <w:r w:rsidR="00BB0B0F">
        <w:rPr>
          <w:rFonts w:ascii="Times New Roman" w:hAnsi="Times New Roman"/>
        </w:rPr>
        <w:softHyphen/>
      </w:r>
      <w:r>
        <w:rPr>
          <w:rFonts w:ascii="Times New Roman" w:hAnsi="Times New Roman"/>
        </w:rPr>
        <w:t>förändringarna – ursprungsbefolkningar värnar mer än 80 % av planetens återstående biologiska mångfald</w:t>
      </w:r>
      <w:r w:rsidRPr="00424F46">
        <w:rPr>
          <w:rFonts w:ascii="Times New Roman" w:hAnsi="Times New Roman" w:cs="Times New Roman"/>
          <w:vertAlign w:val="superscript"/>
          <w:lang w:val="en-GB"/>
        </w:rPr>
        <w:footnoteReference w:id="32"/>
      </w:r>
      <w:r>
        <w:rPr>
          <w:rFonts w:ascii="Times New Roman" w:hAnsi="Times New Roman"/>
        </w:rPr>
        <w:t xml:space="preserve"> –, välkomnar ursprungsbefolkningarnas ökande engagemang i klimatpolitiken och uppmanar med kraft parterna att aktivt involvera dem i genomförandet av klimatåtgärder.</w:t>
      </w:r>
    </w:p>
    <w:p w:rsidRPr="00424F46" w:rsidR="003D0D15" w:rsidP="00F5520F" w:rsidRDefault="003D0D15">
      <w:pPr>
        <w:pStyle w:val="ListParagraph"/>
        <w:spacing w:after="0" w:line="288" w:lineRule="auto"/>
        <w:ind w:left="0"/>
        <w:jc w:val="both"/>
        <w:rPr>
          <w:rFonts w:ascii="Times New Roman" w:hAnsi="Times New Roman" w:cs="Times New Roman"/>
          <w:lang w:val="en-GB"/>
        </w:rPr>
      </w:pPr>
    </w:p>
    <w:p w:rsidRPr="00424F46" w:rsidR="003D0D15" w:rsidP="00F5520F" w:rsidRDefault="003D0D15">
      <w:pPr>
        <w:pStyle w:val="ListParagraph"/>
        <w:numPr>
          <w:ilvl w:val="0"/>
          <w:numId w:val="11"/>
        </w:numPr>
        <w:spacing w:after="0" w:line="288" w:lineRule="auto"/>
        <w:ind w:left="567" w:hanging="567"/>
        <w:contextualSpacing w:val="0"/>
        <w:jc w:val="both"/>
        <w:rPr>
          <w:rFonts w:ascii="Times New Roman" w:hAnsi="Times New Roman"/>
        </w:rPr>
      </w:pPr>
      <w:r>
        <w:rPr>
          <w:rFonts w:ascii="Times New Roman" w:hAnsi="Times New Roman"/>
        </w:rPr>
        <w:t>EESK åtar sig att vidta åtgärder för att genomföra ovannämnda politiska rekommendationer.</w:t>
      </w:r>
    </w:p>
    <w:p w:rsidRPr="00424F46" w:rsidR="00D27A92" w:rsidP="00E567D2" w:rsidRDefault="00D27A92">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pPr>
        <w:pStyle w:val="ListParagraph"/>
        <w:keepNext/>
        <w:keepLines/>
        <w:spacing w:after="0" w:line="288" w:lineRule="auto"/>
        <w:ind w:left="0"/>
        <w:jc w:val="both"/>
        <w:rPr>
          <w:rFonts w:ascii="Times New Roman" w:hAnsi="Times New Roman" w:cs="Times New Roman"/>
        </w:rPr>
      </w:pPr>
      <w:r>
        <w:rPr>
          <w:rFonts w:ascii="Times New Roman" w:hAnsi="Times New Roman"/>
        </w:rPr>
        <w:t>Bryssel den 26 oktober 2022</w:t>
      </w:r>
    </w:p>
    <w:p w:rsidRPr="00424F46" w:rsidR="005E5612" w:rsidP="00E567D2" w:rsidRDefault="005E5612">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pPr>
        <w:pStyle w:val="ListParagraph"/>
        <w:keepNext/>
        <w:keepLines/>
        <w:spacing w:after="0" w:line="288" w:lineRule="auto"/>
        <w:ind w:left="0"/>
        <w:jc w:val="both"/>
        <w:rPr>
          <w:rFonts w:ascii="Times New Roman" w:hAnsi="Times New Roman" w:cs="Times New Roman"/>
        </w:rPr>
      </w:pPr>
      <w:r>
        <w:rPr>
          <w:rFonts w:ascii="Times New Roman" w:hAnsi="Times New Roman"/>
        </w:rPr>
        <w:t xml:space="preserve">Christa </w:t>
      </w:r>
      <w:proofErr w:type="spellStart"/>
      <w:r>
        <w:rPr>
          <w:rFonts w:ascii="Times New Roman" w:hAnsi="Times New Roman"/>
        </w:rPr>
        <w:t>Schweng</w:t>
      </w:r>
      <w:proofErr w:type="spellEnd"/>
    </w:p>
    <w:p w:rsidRPr="00424F46" w:rsidR="005E5612" w:rsidP="00E567D2" w:rsidRDefault="005E5612">
      <w:pPr>
        <w:pStyle w:val="ListParagraph"/>
        <w:keepNext/>
        <w:keepLines/>
        <w:spacing w:after="0" w:line="288" w:lineRule="auto"/>
        <w:ind w:left="0"/>
        <w:jc w:val="both"/>
        <w:rPr>
          <w:rFonts w:ascii="Times New Roman" w:hAnsi="Times New Roman" w:cs="Times New Roman"/>
        </w:rPr>
      </w:pPr>
      <w:r>
        <w:rPr>
          <w:rFonts w:ascii="Times New Roman" w:hAnsi="Times New Roman"/>
        </w:rPr>
        <w:t>Europeiska ekonomiska och sociala kommitténs ordförande</w:t>
      </w:r>
    </w:p>
    <w:p w:rsidRPr="00424F46" w:rsidR="009C5FF9" w:rsidP="00E567D2" w:rsidRDefault="009C5FF9">
      <w:pPr>
        <w:pStyle w:val="ListParagraph"/>
        <w:keepNext/>
        <w:keepLines/>
        <w:spacing w:after="0" w:line="288" w:lineRule="auto"/>
        <w:ind w:left="0"/>
        <w:jc w:val="both"/>
        <w:rPr>
          <w:rFonts w:ascii="Times New Roman" w:hAnsi="Times New Roman" w:cs="Times New Roman"/>
          <w:lang w:val="en-GB"/>
        </w:rPr>
      </w:pPr>
    </w:p>
    <w:p w:rsidRPr="008A6CF4" w:rsidR="0078686E" w:rsidP="00EF3B48" w:rsidRDefault="002C2B01">
      <w:pPr>
        <w:pStyle w:val="ListParagraph"/>
        <w:keepNext/>
        <w:keepLines/>
        <w:spacing w:after="0" w:line="288" w:lineRule="auto"/>
        <w:ind w:left="0"/>
        <w:jc w:val="center"/>
        <w:rPr>
          <w:rFonts w:ascii="Times New Roman" w:hAnsi="Times New Roman" w:cs="Times New Roman"/>
        </w:rPr>
      </w:pPr>
      <w:r>
        <w:t>_____________</w:t>
      </w:r>
    </w:p>
    <w:sectPr w:rsidRPr="008A6CF4" w:rsidR="0078686E" w:rsidSect="00526B40">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948" w:rsidRDefault="00BD0948" w:rsidP="008A03FA">
      <w:pPr>
        <w:spacing w:after="0" w:line="240" w:lineRule="auto"/>
      </w:pPr>
      <w:r>
        <w:separator/>
      </w:r>
    </w:p>
  </w:endnote>
  <w:endnote w:type="continuationSeparator" w:id="0">
    <w:p w:rsidR="00BD0948" w:rsidRDefault="00BD0948" w:rsidP="008A03FA">
      <w:pPr>
        <w:spacing w:after="0" w:line="240" w:lineRule="auto"/>
      </w:pPr>
      <w:r>
        <w:continuationSeparator/>
      </w:r>
    </w:p>
  </w:endnote>
  <w:endnote w:type="continuationNotice" w:id="1">
    <w:p w:rsidR="00BD0948" w:rsidRDefault="00BD0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180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526B40" w:rsidRDefault="00526B40" w:rsidP="00526B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A7" w:rsidRPr="00526B40" w:rsidRDefault="008A6CF4" w:rsidP="008A6CF4">
    <w:pPr>
      <w:pStyle w:val="Footer"/>
      <w:jc w:val="left"/>
    </w:pPr>
    <w:r>
      <w:t xml:space="preserve">EESC-2022-04116-00-01-RES-TRA (EN) </w:t>
    </w:r>
    <w:r>
      <w:fldChar w:fldCharType="begin"/>
    </w:r>
    <w:r>
      <w:instrText xml:space="preserve"> PAGE  \* Arabic  \* MERGEFORMAT </w:instrText>
    </w:r>
    <w:r>
      <w:fldChar w:fldCharType="separate"/>
    </w:r>
    <w:r w:rsidR="00AD38A2">
      <w:rPr>
        <w:noProof/>
      </w:rPr>
      <w:t>9</w:t>
    </w:r>
    <w:r>
      <w:fldChar w:fldCharType="end"/>
    </w:r>
    <w:r>
      <w:t>/</w:t>
    </w:r>
    <w:r>
      <w:fldChar w:fldCharType="begin"/>
    </w:r>
    <w:r>
      <w:instrText xml:space="preserve"> = </w:instrText>
    </w:r>
    <w:r w:rsidR="008E534A">
      <w:fldChar w:fldCharType="begin"/>
    </w:r>
    <w:r w:rsidR="008E534A">
      <w:instrText xml:space="preserve"> NUMPAGES </w:instrText>
    </w:r>
    <w:r w:rsidR="008E534A">
      <w:fldChar w:fldCharType="separate"/>
    </w:r>
    <w:r w:rsidR="00AD38A2">
      <w:rPr>
        <w:noProof/>
      </w:rPr>
      <w:instrText>11</w:instrText>
    </w:r>
    <w:r w:rsidR="008E534A">
      <w:fldChar w:fldCharType="end"/>
    </w:r>
    <w:r>
      <w:instrText xml:space="preserve"> - 2 </w:instrText>
    </w:r>
    <w:r>
      <w:fldChar w:fldCharType="separate"/>
    </w:r>
    <w:r w:rsidR="00AD38A2">
      <w:rPr>
        <w:noProof/>
      </w:rPr>
      <w:t>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526B40" w:rsidRDefault="00526B40" w:rsidP="005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948" w:rsidRDefault="00BD0948" w:rsidP="008A03FA">
      <w:pPr>
        <w:spacing w:after="0" w:line="240" w:lineRule="auto"/>
      </w:pPr>
      <w:r>
        <w:separator/>
      </w:r>
    </w:p>
  </w:footnote>
  <w:footnote w:type="continuationSeparator" w:id="0">
    <w:p w:rsidR="00BD0948" w:rsidRDefault="00BD0948" w:rsidP="008A03FA">
      <w:pPr>
        <w:spacing w:after="0" w:line="240" w:lineRule="auto"/>
      </w:pPr>
      <w:r>
        <w:continuationSeparator/>
      </w:r>
    </w:p>
  </w:footnote>
  <w:footnote w:type="continuationNotice" w:id="1">
    <w:p w:rsidR="00BD0948" w:rsidRDefault="00BD0948">
      <w:pPr>
        <w:spacing w:after="0" w:line="240" w:lineRule="auto"/>
      </w:pPr>
    </w:p>
  </w:footnote>
  <w:footnote w:id="2">
    <w:p w:rsidR="00C5108E" w:rsidRPr="005F3782" w:rsidRDefault="00C5108E" w:rsidP="00EF3B48">
      <w:pPr>
        <w:pStyle w:val="FootnoteText"/>
        <w:jc w:val="left"/>
        <w:rPr>
          <w:szCs w:val="16"/>
        </w:rPr>
      </w:pPr>
      <w:r>
        <w:rPr>
          <w:rStyle w:val="FootnoteReference"/>
          <w:szCs w:val="24"/>
        </w:rPr>
        <w:footnoteRef/>
      </w:r>
      <w:r>
        <w:tab/>
      </w:r>
      <w:hyperlink r:id="rId1" w:history="1">
        <w:r>
          <w:rPr>
            <w:rStyle w:val="Hyperlink"/>
          </w:rPr>
          <w:t>Parisavtalet</w:t>
        </w:r>
      </w:hyperlink>
      <w:r>
        <w:t>.</w:t>
      </w:r>
    </w:p>
  </w:footnote>
  <w:footnote w:id="3">
    <w:p w:rsidR="00C5108E" w:rsidRPr="005F3782" w:rsidRDefault="00C5108E" w:rsidP="00EF3B48">
      <w:pPr>
        <w:pStyle w:val="FootnoteText"/>
      </w:pPr>
      <w:r>
        <w:rPr>
          <w:rStyle w:val="FootnoteReference"/>
          <w:szCs w:val="24"/>
        </w:rPr>
        <w:footnoteRef/>
      </w:r>
      <w:r>
        <w:tab/>
        <w:t xml:space="preserve">På grundval av </w:t>
      </w:r>
      <w:hyperlink r:id="rId2" w:history="1">
        <w:proofErr w:type="spellStart"/>
        <w:r>
          <w:rPr>
            <w:rStyle w:val="Hyperlink"/>
          </w:rPr>
          <w:t>Economic</w:t>
        </w:r>
        <w:proofErr w:type="spellEnd"/>
        <w:r>
          <w:rPr>
            <w:rStyle w:val="Hyperlink"/>
          </w:rPr>
          <w:t xml:space="preserve"> </w:t>
        </w:r>
        <w:proofErr w:type="spellStart"/>
        <w:r>
          <w:rPr>
            <w:rStyle w:val="Hyperlink"/>
          </w:rPr>
          <w:t>losses</w:t>
        </w:r>
        <w:proofErr w:type="spellEnd"/>
        <w:r>
          <w:rPr>
            <w:rStyle w:val="Hyperlink"/>
          </w:rPr>
          <w:t xml:space="preserve"> from </w:t>
        </w:r>
        <w:proofErr w:type="spellStart"/>
        <w:r>
          <w:rPr>
            <w:rStyle w:val="Hyperlink"/>
          </w:rPr>
          <w:t>weather</w:t>
        </w:r>
        <w:proofErr w:type="spellEnd"/>
        <w:r>
          <w:rPr>
            <w:rStyle w:val="Hyperlink"/>
          </w:rPr>
          <w:t xml:space="preserve"> and </w:t>
        </w:r>
        <w:proofErr w:type="spellStart"/>
        <w:r>
          <w:rPr>
            <w:rStyle w:val="Hyperlink"/>
          </w:rPr>
          <w:t>climate-related</w:t>
        </w:r>
        <w:proofErr w:type="spellEnd"/>
        <w:r>
          <w:rPr>
            <w:rStyle w:val="Hyperlink"/>
          </w:rPr>
          <w:t xml:space="preserve"> extremes in </w:t>
        </w:r>
        <w:proofErr w:type="spellStart"/>
        <w:r>
          <w:rPr>
            <w:rStyle w:val="Hyperlink"/>
          </w:rPr>
          <w:t>Europe</w:t>
        </w:r>
        <w:proofErr w:type="spellEnd"/>
        <w:r>
          <w:rPr>
            <w:rStyle w:val="Hyperlink"/>
          </w:rPr>
          <w:t xml:space="preserve"> </w:t>
        </w:r>
        <w:proofErr w:type="spellStart"/>
        <w:r>
          <w:rPr>
            <w:rStyle w:val="Hyperlink"/>
          </w:rPr>
          <w:t>reached</w:t>
        </w:r>
        <w:proofErr w:type="spellEnd"/>
        <w:r>
          <w:rPr>
            <w:rStyle w:val="Hyperlink"/>
          </w:rPr>
          <w:t xml:space="preserve"> </w:t>
        </w:r>
        <w:proofErr w:type="spellStart"/>
        <w:r>
          <w:rPr>
            <w:rStyle w:val="Hyperlink"/>
          </w:rPr>
          <w:t>around</w:t>
        </w:r>
        <w:proofErr w:type="spellEnd"/>
        <w:r>
          <w:rPr>
            <w:rStyle w:val="Hyperlink"/>
          </w:rPr>
          <w:t xml:space="preserve"> </w:t>
        </w:r>
        <w:proofErr w:type="spellStart"/>
        <w:r>
          <w:rPr>
            <w:rStyle w:val="Hyperlink"/>
          </w:rPr>
          <w:t>half</w:t>
        </w:r>
        <w:proofErr w:type="spellEnd"/>
        <w:r>
          <w:rPr>
            <w:rStyle w:val="Hyperlink"/>
          </w:rPr>
          <w:t xml:space="preserve"> a trillion euros over </w:t>
        </w:r>
        <w:proofErr w:type="spellStart"/>
        <w:r>
          <w:rPr>
            <w:rStyle w:val="Hyperlink"/>
          </w:rPr>
          <w:t>past</w:t>
        </w:r>
        <w:proofErr w:type="spellEnd"/>
        <w:r>
          <w:rPr>
            <w:rStyle w:val="Hyperlink"/>
          </w:rPr>
          <w:t xml:space="preserve"> 40 </w:t>
        </w:r>
        <w:proofErr w:type="spellStart"/>
        <w:r>
          <w:rPr>
            <w:rStyle w:val="Hyperlink"/>
          </w:rPr>
          <w:t>years</w:t>
        </w:r>
        <w:proofErr w:type="spellEnd"/>
        <w:r>
          <w:rPr>
            <w:rStyle w:val="Hyperlink"/>
          </w:rPr>
          <w:t xml:space="preserve"> – </w:t>
        </w:r>
        <w:proofErr w:type="spellStart"/>
        <w:r>
          <w:rPr>
            <w:rStyle w:val="Hyperlink"/>
          </w:rPr>
          <w:t>European</w:t>
        </w:r>
        <w:proofErr w:type="spellEnd"/>
        <w:r>
          <w:rPr>
            <w:rStyle w:val="Hyperlink"/>
          </w:rPr>
          <w:t xml:space="preserve"> Environment Agency</w:t>
        </w:r>
      </w:hyperlink>
      <w:r>
        <w:t xml:space="preserve">; </w:t>
      </w:r>
      <w:hyperlink r:id="rId3" w:history="1">
        <w:r>
          <w:rPr>
            <w:rStyle w:val="Hyperlink"/>
          </w:rPr>
          <w:t xml:space="preserve">New </w:t>
        </w:r>
        <w:proofErr w:type="spellStart"/>
        <w:r>
          <w:rPr>
            <w:rStyle w:val="Hyperlink"/>
          </w:rPr>
          <w:t>report</w:t>
        </w:r>
        <w:proofErr w:type="spellEnd"/>
        <w:r>
          <w:rPr>
            <w:rStyle w:val="Hyperlink"/>
          </w:rPr>
          <w:t xml:space="preserve">: World </w:t>
        </w:r>
        <w:proofErr w:type="spellStart"/>
        <w:r>
          <w:rPr>
            <w:rStyle w:val="Hyperlink"/>
          </w:rPr>
          <w:t>counts</w:t>
        </w:r>
        <w:proofErr w:type="spellEnd"/>
        <w:r>
          <w:rPr>
            <w:rStyle w:val="Hyperlink"/>
          </w:rPr>
          <w:t xml:space="preserve"> the </w:t>
        </w:r>
        <w:proofErr w:type="spellStart"/>
        <w:r>
          <w:rPr>
            <w:rStyle w:val="Hyperlink"/>
          </w:rPr>
          <w:t>cost</w:t>
        </w:r>
        <w:proofErr w:type="spellEnd"/>
        <w:r>
          <w:rPr>
            <w:rStyle w:val="Hyperlink"/>
          </w:rPr>
          <w:t xml:space="preserve"> </w:t>
        </w:r>
        <w:proofErr w:type="spellStart"/>
        <w:r>
          <w:rPr>
            <w:rStyle w:val="Hyperlink"/>
          </w:rPr>
          <w:t>of</w:t>
        </w:r>
        <w:proofErr w:type="spellEnd"/>
        <w:r>
          <w:rPr>
            <w:rStyle w:val="Hyperlink"/>
          </w:rPr>
          <w:t xml:space="preserve"> a </w:t>
        </w:r>
        <w:proofErr w:type="spellStart"/>
        <w:r>
          <w:rPr>
            <w:rStyle w:val="Hyperlink"/>
          </w:rPr>
          <w:t>year</w:t>
        </w:r>
        <w:proofErr w:type="spellEnd"/>
        <w:r>
          <w:rPr>
            <w:rStyle w:val="Hyperlink"/>
          </w:rPr>
          <w:t xml:space="preserve"> </w:t>
        </w:r>
        <w:proofErr w:type="spellStart"/>
        <w:r>
          <w:rPr>
            <w:rStyle w:val="Hyperlink"/>
          </w:rPr>
          <w:t>of</w:t>
        </w:r>
        <w:proofErr w:type="spellEnd"/>
        <w:r>
          <w:rPr>
            <w:rStyle w:val="Hyperlink"/>
          </w:rPr>
          <w:t xml:space="preserve"> </w:t>
        </w:r>
        <w:proofErr w:type="spellStart"/>
        <w:r>
          <w:rPr>
            <w:rStyle w:val="Hyperlink"/>
          </w:rPr>
          <w:t>climate</w:t>
        </w:r>
        <w:proofErr w:type="spellEnd"/>
        <w:r>
          <w:rPr>
            <w:rStyle w:val="Hyperlink"/>
          </w:rPr>
          <w:t xml:space="preserve"> </w:t>
        </w:r>
        <w:proofErr w:type="spellStart"/>
        <w:r>
          <w:rPr>
            <w:rStyle w:val="Hyperlink"/>
          </w:rPr>
          <w:t>breakdown</w:t>
        </w:r>
        <w:proofErr w:type="spellEnd"/>
        <w:r>
          <w:rPr>
            <w:rStyle w:val="Hyperlink"/>
          </w:rPr>
          <w:t xml:space="preserve"> – UK </w:t>
        </w:r>
        <w:proofErr w:type="spellStart"/>
        <w:r>
          <w:rPr>
            <w:rStyle w:val="Hyperlink"/>
          </w:rPr>
          <w:t>charity</w:t>
        </w:r>
        <w:proofErr w:type="spellEnd"/>
        <w:r>
          <w:rPr>
            <w:rStyle w:val="Hyperlink"/>
          </w:rPr>
          <w:t xml:space="preserve"> fighting global </w:t>
        </w:r>
        <w:proofErr w:type="spellStart"/>
        <w:r>
          <w:rPr>
            <w:rStyle w:val="Hyperlink"/>
          </w:rPr>
          <w:t>poverty</w:t>
        </w:r>
        <w:proofErr w:type="spellEnd"/>
        <w:r>
          <w:rPr>
            <w:rStyle w:val="Hyperlink"/>
          </w:rPr>
          <w:t xml:space="preserve"> | Christian </w:t>
        </w:r>
        <w:proofErr w:type="spellStart"/>
        <w:r>
          <w:rPr>
            <w:rStyle w:val="Hyperlink"/>
          </w:rPr>
          <w:t>Aid</w:t>
        </w:r>
        <w:proofErr w:type="spellEnd"/>
        <w:r>
          <w:rPr>
            <w:rStyle w:val="Hyperlink"/>
          </w:rPr>
          <w:t xml:space="preserve"> | Media Centre</w:t>
        </w:r>
      </w:hyperlink>
      <w:r>
        <w:t xml:space="preserve">; </w:t>
      </w:r>
      <w:hyperlink r:id="rId4" w:anchor=":~:text=We%20estimate%20that%20climate%20change,such%20as%20DICE%20and%20FUND." w:history="1">
        <w:r>
          <w:rPr>
            <w:rStyle w:val="Hyperlink"/>
          </w:rPr>
          <w:t xml:space="preserve">The </w:t>
        </w:r>
        <w:proofErr w:type="spellStart"/>
        <w:r>
          <w:rPr>
            <w:rStyle w:val="Hyperlink"/>
          </w:rPr>
          <w:t>Costs</w:t>
        </w:r>
        <w:proofErr w:type="spellEnd"/>
        <w:r>
          <w:rPr>
            <w:rStyle w:val="Hyperlink"/>
          </w:rPr>
          <w:t xml:space="preserve"> </w:t>
        </w:r>
        <w:proofErr w:type="spellStart"/>
        <w:r>
          <w:rPr>
            <w:rStyle w:val="Hyperlink"/>
          </w:rPr>
          <w:t>of</w:t>
        </w:r>
        <w:proofErr w:type="spellEnd"/>
        <w:r>
          <w:rPr>
            <w:rStyle w:val="Hyperlink"/>
          </w:rPr>
          <w:t xml:space="preserve"> Extreme </w:t>
        </w:r>
        <w:proofErr w:type="spellStart"/>
        <w:r>
          <w:rPr>
            <w:rStyle w:val="Hyperlink"/>
          </w:rPr>
          <w:t>Weather</w:t>
        </w:r>
        <w:proofErr w:type="spellEnd"/>
        <w:r>
          <w:rPr>
            <w:rStyle w:val="Hyperlink"/>
          </w:rPr>
          <w:t xml:space="preserve"> Events </w:t>
        </w:r>
        <w:proofErr w:type="spellStart"/>
        <w:r>
          <w:rPr>
            <w:rStyle w:val="Hyperlink"/>
          </w:rPr>
          <w:t>Caused</w:t>
        </w:r>
        <w:proofErr w:type="spellEnd"/>
        <w:r>
          <w:rPr>
            <w:rStyle w:val="Hyperlink"/>
          </w:rPr>
          <w:t xml:space="preserve"> by </w:t>
        </w:r>
        <w:proofErr w:type="spellStart"/>
        <w:r>
          <w:rPr>
            <w:rStyle w:val="Hyperlink"/>
          </w:rPr>
          <w:t>Climate</w:t>
        </w:r>
        <w:proofErr w:type="spellEnd"/>
        <w:r>
          <w:rPr>
            <w:rStyle w:val="Hyperlink"/>
          </w:rPr>
          <w:t xml:space="preserve"> Change - CMCC</w:t>
        </w:r>
      </w:hyperlink>
      <w:r>
        <w:t xml:space="preserve">; </w:t>
      </w:r>
      <w:hyperlink r:id="rId5" w:history="1">
        <w:r>
          <w:rPr>
            <w:rStyle w:val="Hyperlink"/>
          </w:rPr>
          <w:t xml:space="preserve">Billion-Dollar </w:t>
        </w:r>
        <w:proofErr w:type="spellStart"/>
        <w:r>
          <w:rPr>
            <w:rStyle w:val="Hyperlink"/>
          </w:rPr>
          <w:t>Weather</w:t>
        </w:r>
        <w:proofErr w:type="spellEnd"/>
        <w:r>
          <w:rPr>
            <w:rStyle w:val="Hyperlink"/>
          </w:rPr>
          <w:t xml:space="preserve"> and </w:t>
        </w:r>
        <w:proofErr w:type="spellStart"/>
        <w:r>
          <w:rPr>
            <w:rStyle w:val="Hyperlink"/>
          </w:rPr>
          <w:t>Climate</w:t>
        </w:r>
        <w:proofErr w:type="spellEnd"/>
        <w:r>
          <w:rPr>
            <w:rStyle w:val="Hyperlink"/>
          </w:rPr>
          <w:t xml:space="preserve"> </w:t>
        </w:r>
        <w:proofErr w:type="spellStart"/>
        <w:r>
          <w:rPr>
            <w:rStyle w:val="Hyperlink"/>
          </w:rPr>
          <w:t>Disasters</w:t>
        </w:r>
        <w:proofErr w:type="spellEnd"/>
        <w:r>
          <w:rPr>
            <w:rStyle w:val="Hyperlink"/>
          </w:rPr>
          <w:t xml:space="preserve"> | National Centers for </w:t>
        </w:r>
        <w:proofErr w:type="spellStart"/>
        <w:r>
          <w:rPr>
            <w:rStyle w:val="Hyperlink"/>
          </w:rPr>
          <w:t>Environmental</w:t>
        </w:r>
        <w:proofErr w:type="spellEnd"/>
        <w:r>
          <w:rPr>
            <w:rStyle w:val="Hyperlink"/>
          </w:rPr>
          <w:t xml:space="preserve"> Information (NCEI)</w:t>
        </w:r>
      </w:hyperlink>
      <w:r>
        <w:t>.</w:t>
      </w:r>
    </w:p>
  </w:footnote>
  <w:footnote w:id="4">
    <w:p w:rsidR="00D27A92" w:rsidRPr="005F3782" w:rsidRDefault="00D27A92" w:rsidP="00EF3B48">
      <w:pPr>
        <w:pStyle w:val="FootnoteText"/>
        <w:rPr>
          <w:sz w:val="18"/>
          <w:szCs w:val="18"/>
        </w:rPr>
      </w:pPr>
      <w:r>
        <w:rPr>
          <w:rStyle w:val="FootnoteReference"/>
          <w:szCs w:val="24"/>
        </w:rPr>
        <w:footnoteRef/>
      </w:r>
      <w:r>
        <w:rPr>
          <w:sz w:val="18"/>
        </w:rPr>
        <w:tab/>
      </w:r>
      <w:hyperlink r:id="rId6" w:history="1">
        <w:proofErr w:type="spellStart"/>
        <w:r>
          <w:rPr>
            <w:rStyle w:val="Hyperlink"/>
          </w:rPr>
          <w:t>Climate</w:t>
        </w:r>
        <w:proofErr w:type="spellEnd"/>
        <w:r>
          <w:rPr>
            <w:rStyle w:val="Hyperlink"/>
          </w:rPr>
          <w:t xml:space="preserve"> Change 2022: </w:t>
        </w:r>
        <w:proofErr w:type="spellStart"/>
        <w:r>
          <w:rPr>
            <w:rStyle w:val="Hyperlink"/>
          </w:rPr>
          <w:t>Mitigation</w:t>
        </w:r>
        <w:proofErr w:type="spellEnd"/>
        <w:r>
          <w:rPr>
            <w:rStyle w:val="Hyperlink"/>
          </w:rPr>
          <w:t xml:space="preserve"> </w:t>
        </w:r>
        <w:proofErr w:type="spellStart"/>
        <w:r>
          <w:rPr>
            <w:rStyle w:val="Hyperlink"/>
          </w:rPr>
          <w:t>of</w:t>
        </w:r>
        <w:proofErr w:type="spellEnd"/>
        <w:r>
          <w:rPr>
            <w:rStyle w:val="Hyperlink"/>
          </w:rPr>
          <w:t xml:space="preserve"> </w:t>
        </w:r>
        <w:proofErr w:type="spellStart"/>
        <w:r>
          <w:rPr>
            <w:rStyle w:val="Hyperlink"/>
          </w:rPr>
          <w:t>Climate</w:t>
        </w:r>
        <w:proofErr w:type="spellEnd"/>
        <w:r>
          <w:rPr>
            <w:rStyle w:val="Hyperlink"/>
          </w:rPr>
          <w:t xml:space="preserve"> Change | IPCC</w:t>
        </w:r>
      </w:hyperlink>
      <w:r>
        <w:t>.</w:t>
      </w:r>
    </w:p>
  </w:footnote>
  <w:footnote w:id="5">
    <w:p w:rsidR="00EA2B05" w:rsidRPr="0039570B" w:rsidRDefault="00EA2B05" w:rsidP="00EF3B48">
      <w:pPr>
        <w:pStyle w:val="FootnoteText"/>
        <w:jc w:val="left"/>
        <w:rPr>
          <w:szCs w:val="16"/>
        </w:rPr>
      </w:pPr>
      <w:r>
        <w:rPr>
          <w:rStyle w:val="FootnoteReference"/>
          <w:szCs w:val="24"/>
        </w:rPr>
        <w:footnoteRef/>
      </w:r>
      <w:r>
        <w:tab/>
      </w:r>
      <w:proofErr w:type="spellStart"/>
      <w:r>
        <w:t>EESK:s</w:t>
      </w:r>
      <w:proofErr w:type="spellEnd"/>
      <w:r>
        <w:t xml:space="preserve"> resolution </w:t>
      </w:r>
      <w:hyperlink r:id="rId7" w:history="1">
        <w:r>
          <w:rPr>
            <w:rStyle w:val="Hyperlink"/>
          </w:rPr>
          <w:t>”Kriget i Ukraina och dess ekonomiska, sociala och miljömässiga konsekvenser”</w:t>
        </w:r>
      </w:hyperlink>
      <w:r>
        <w:t>.</w:t>
      </w:r>
    </w:p>
  </w:footnote>
  <w:footnote w:id="6">
    <w:p w:rsidR="00CB14BC" w:rsidRPr="005F3782" w:rsidRDefault="00CB14BC" w:rsidP="00EF3B48">
      <w:pPr>
        <w:pStyle w:val="FootnoteText"/>
        <w:tabs>
          <w:tab w:val="left" w:pos="567"/>
        </w:tabs>
        <w:ind w:left="0" w:firstLine="0"/>
        <w:jc w:val="left"/>
        <w:rPr>
          <w:szCs w:val="16"/>
        </w:rPr>
      </w:pPr>
      <w:r>
        <w:rPr>
          <w:rStyle w:val="FootnoteReference"/>
          <w:szCs w:val="24"/>
        </w:rPr>
        <w:footnoteRef/>
      </w:r>
      <w:r>
        <w:tab/>
      </w:r>
      <w:hyperlink r:id="rId8" w:history="1">
        <w:r>
          <w:rPr>
            <w:rStyle w:val="Hyperlink"/>
          </w:rPr>
          <w:t xml:space="preserve">Klimatet: Parlamentet driver på för snabbare EU-åtgärder och </w:t>
        </w:r>
        <w:proofErr w:type="spellStart"/>
        <w:r>
          <w:rPr>
            <w:rStyle w:val="Hyperlink"/>
          </w:rPr>
          <w:t>energioberoende</w:t>
        </w:r>
        <w:proofErr w:type="spellEnd"/>
      </w:hyperlink>
      <w:r>
        <w:t>.</w:t>
      </w:r>
    </w:p>
  </w:footnote>
  <w:footnote w:id="7">
    <w:p w:rsidR="00CB14BC" w:rsidRPr="005F3782" w:rsidRDefault="00CB14BC" w:rsidP="00EF3B48">
      <w:pPr>
        <w:pStyle w:val="FootnoteText"/>
        <w:tabs>
          <w:tab w:val="left" w:pos="567"/>
        </w:tabs>
        <w:ind w:left="708" w:hanging="708"/>
        <w:jc w:val="left"/>
        <w:rPr>
          <w:szCs w:val="16"/>
        </w:rPr>
      </w:pPr>
      <w:r>
        <w:rPr>
          <w:rStyle w:val="FootnoteReference"/>
          <w:szCs w:val="24"/>
        </w:rPr>
        <w:footnoteRef/>
      </w:r>
      <w:r>
        <w:tab/>
      </w:r>
      <w:hyperlink r:id="rId9" w:history="1">
        <w:r>
          <w:rPr>
            <w:rStyle w:val="Hyperlink"/>
          </w:rPr>
          <w:t xml:space="preserve">Fit for 55: </w:t>
        </w:r>
        <w:proofErr w:type="spellStart"/>
        <w:r>
          <w:rPr>
            <w:rStyle w:val="Hyperlink"/>
          </w:rPr>
          <w:t>Parliament</w:t>
        </w:r>
        <w:proofErr w:type="spellEnd"/>
        <w:r>
          <w:rPr>
            <w:rStyle w:val="Hyperlink"/>
          </w:rPr>
          <w:t xml:space="preserve"> </w:t>
        </w:r>
        <w:proofErr w:type="spellStart"/>
        <w:r>
          <w:rPr>
            <w:rStyle w:val="Hyperlink"/>
          </w:rPr>
          <w:t>agrees</w:t>
        </w:r>
        <w:proofErr w:type="spellEnd"/>
        <w:r>
          <w:rPr>
            <w:rStyle w:val="Hyperlink"/>
          </w:rPr>
          <w:t xml:space="preserve"> to </w:t>
        </w:r>
        <w:proofErr w:type="spellStart"/>
        <w:r>
          <w:rPr>
            <w:rStyle w:val="Hyperlink"/>
          </w:rPr>
          <w:t>higher</w:t>
        </w:r>
        <w:proofErr w:type="spellEnd"/>
        <w:r>
          <w:rPr>
            <w:rStyle w:val="Hyperlink"/>
          </w:rPr>
          <w:t xml:space="preserve"> EU </w:t>
        </w:r>
        <w:proofErr w:type="spellStart"/>
        <w:r>
          <w:rPr>
            <w:rStyle w:val="Hyperlink"/>
          </w:rPr>
          <w:t>carbon</w:t>
        </w:r>
        <w:proofErr w:type="spellEnd"/>
        <w:r>
          <w:rPr>
            <w:rStyle w:val="Hyperlink"/>
          </w:rPr>
          <w:t xml:space="preserve"> sink ambitions by 2030</w:t>
        </w:r>
      </w:hyperlink>
      <w:r>
        <w:t>.</w:t>
      </w:r>
    </w:p>
  </w:footnote>
  <w:footnote w:id="8">
    <w:p w:rsidR="00D27A92" w:rsidRPr="0039570B" w:rsidRDefault="00D27A92" w:rsidP="00EF3B48">
      <w:pPr>
        <w:pStyle w:val="FootnoteText"/>
        <w:rPr>
          <w:szCs w:val="16"/>
        </w:rPr>
      </w:pPr>
      <w:r>
        <w:rPr>
          <w:rStyle w:val="FootnoteReference"/>
          <w:szCs w:val="24"/>
        </w:rPr>
        <w:footnoteRef/>
      </w:r>
      <w:r>
        <w:tab/>
      </w:r>
      <w:proofErr w:type="spellStart"/>
      <w:r>
        <w:t>EESK:s</w:t>
      </w:r>
      <w:proofErr w:type="spellEnd"/>
      <w:r>
        <w:t xml:space="preserve"> yttrande ”Den hållbara ekonomi vi behöver”, </w:t>
      </w:r>
      <w:hyperlink r:id="rId10" w:anchor=":~:text=The%20EESC%20highlights%20that%20building%20the%20wellbeing%20economy%20must%20start%20by%20adopting%20a%20precautionary%20approach%20in%20which%20macroeconomic%20stability%20does%20not%20depend%20on%20GDP%20growth.%20It%20proposes%20the%20development%20of%20new%20indicators%20of%20economic%20performance%20and%20social%20progress%20beyond%20GDP." w:history="1">
        <w:r>
          <w:rPr>
            <w:rStyle w:val="Hyperlink"/>
          </w:rPr>
          <w:t>EUT C 106, 31.3.2020, s. 1</w:t>
        </w:r>
      </w:hyperlink>
      <w:r>
        <w:t>.</w:t>
      </w:r>
    </w:p>
  </w:footnote>
  <w:footnote w:id="9">
    <w:p w:rsidR="00F426F7" w:rsidRPr="005F3782" w:rsidRDefault="00F426F7" w:rsidP="00EF3B48">
      <w:pPr>
        <w:pStyle w:val="FootnoteText"/>
        <w:rPr>
          <w:szCs w:val="16"/>
        </w:rPr>
      </w:pPr>
      <w:r>
        <w:rPr>
          <w:rStyle w:val="FootnoteReference"/>
          <w:szCs w:val="24"/>
        </w:rPr>
        <w:footnoteRef/>
      </w:r>
      <w:r>
        <w:tab/>
      </w:r>
      <w:proofErr w:type="spellStart"/>
      <w:r>
        <w:t>EESK:s</w:t>
      </w:r>
      <w:proofErr w:type="spellEnd"/>
      <w:r>
        <w:t xml:space="preserve"> yttrande ”55 %-paketet (’Fit for 55’): nå EU:s klimatmål 2030 för klimatneutralitet”, </w:t>
      </w:r>
      <w:hyperlink r:id="rId11" w:history="1">
        <w:r>
          <w:rPr>
            <w:rStyle w:val="Hyperlink"/>
          </w:rPr>
          <w:t>EUT C 275, 18.7.2022, s. 101</w:t>
        </w:r>
      </w:hyperlink>
      <w:r>
        <w:t>.</w:t>
      </w:r>
    </w:p>
  </w:footnote>
  <w:footnote w:id="10">
    <w:p w:rsidR="00CA61D4" w:rsidRPr="0052304F" w:rsidRDefault="00CA61D4">
      <w:pPr>
        <w:pStyle w:val="FootnoteText"/>
      </w:pPr>
      <w:r>
        <w:rPr>
          <w:rStyle w:val="FootnoteReference"/>
        </w:rPr>
        <w:footnoteRef/>
      </w:r>
      <w:r>
        <w:tab/>
      </w:r>
      <w:proofErr w:type="spellStart"/>
      <w:r>
        <w:t>EESK:s</w:t>
      </w:r>
      <w:proofErr w:type="spellEnd"/>
      <w:r>
        <w:t xml:space="preserve"> yttrande </w:t>
      </w:r>
      <w:hyperlink r:id="rId12" w:history="1">
        <w:r>
          <w:rPr>
            <w:rStyle w:val="Hyperlink"/>
          </w:rPr>
          <w:t>”Social dialog inom ramen för den gröna omställningen”</w:t>
        </w:r>
      </w:hyperlink>
      <w:r>
        <w:t xml:space="preserve"> </w:t>
      </w:r>
      <w:r>
        <w:rPr>
          <w:i/>
        </w:rPr>
        <w:t>(ännu inte offentliggjort i EUT)</w:t>
      </w:r>
      <w:r>
        <w:t>.</w:t>
      </w:r>
    </w:p>
  </w:footnote>
  <w:footnote w:id="11">
    <w:p w:rsidR="00492189" w:rsidRPr="009B16C4" w:rsidRDefault="00492189" w:rsidP="00EF3B48">
      <w:pPr>
        <w:pStyle w:val="FootnoteText"/>
        <w:jc w:val="left"/>
        <w:rPr>
          <w:szCs w:val="16"/>
        </w:rPr>
      </w:pPr>
      <w:r>
        <w:rPr>
          <w:rStyle w:val="FootnoteReference"/>
          <w:szCs w:val="24"/>
        </w:rPr>
        <w:footnoteRef/>
      </w:r>
      <w:r>
        <w:tab/>
      </w:r>
      <w:proofErr w:type="spellStart"/>
      <w:r>
        <w:t>EESK:s</w:t>
      </w:r>
      <w:proofErr w:type="spellEnd"/>
      <w:r>
        <w:t xml:space="preserve"> yttrande ”55 %-paketet (’Fit for 55’): nå EU:s klimatmål 2030 för klimatneutralitet”, </w:t>
      </w:r>
      <w:hyperlink r:id="rId13" w:history="1">
        <w:r>
          <w:rPr>
            <w:rStyle w:val="Hyperlink"/>
          </w:rPr>
          <w:t>EUT C 275, 18.7.2022, s. 101</w:t>
        </w:r>
      </w:hyperlink>
      <w:hyperlink r:id="rId14" w:history="1">
        <w:r>
          <w:t>.</w:t>
        </w:r>
      </w:hyperlink>
    </w:p>
  </w:footnote>
  <w:footnote w:id="12">
    <w:p w:rsidR="00492189" w:rsidRPr="009B16C4" w:rsidRDefault="00492189" w:rsidP="00EF3B48">
      <w:pPr>
        <w:pStyle w:val="FootnoteText"/>
        <w:jc w:val="left"/>
        <w:rPr>
          <w:szCs w:val="16"/>
        </w:rPr>
      </w:pPr>
      <w:r>
        <w:rPr>
          <w:rStyle w:val="FootnoteReference"/>
          <w:szCs w:val="24"/>
        </w:rPr>
        <w:footnoteRef/>
      </w:r>
      <w:r>
        <w:tab/>
      </w:r>
      <w:proofErr w:type="spellStart"/>
      <w:r>
        <w:t>EESK:s</w:t>
      </w:r>
      <w:proofErr w:type="spellEnd"/>
      <w:r>
        <w:t xml:space="preserve"> yttrande ”55 %-paketet (’Fit for 55’): nå EU:s klimatmål 2030 för klimatneutralitet”, </w:t>
      </w:r>
      <w:hyperlink r:id="rId15" w:history="1">
        <w:r>
          <w:rPr>
            <w:rStyle w:val="Hyperlink"/>
          </w:rPr>
          <w:t>EUT C 275, 18.7.2022, s. 101</w:t>
        </w:r>
      </w:hyperlink>
      <w:hyperlink r:id="rId16" w:history="1">
        <w:r>
          <w:t>.</w:t>
        </w:r>
      </w:hyperlink>
    </w:p>
  </w:footnote>
  <w:footnote w:id="13">
    <w:p w:rsidR="00492189" w:rsidRPr="005F3782" w:rsidRDefault="00492189" w:rsidP="00EF3B48">
      <w:pPr>
        <w:pStyle w:val="FootnoteText"/>
        <w:rPr>
          <w:szCs w:val="16"/>
        </w:rPr>
      </w:pPr>
      <w:r>
        <w:rPr>
          <w:rStyle w:val="FootnoteReference"/>
          <w:szCs w:val="24"/>
        </w:rPr>
        <w:footnoteRef/>
      </w:r>
      <w:r>
        <w:tab/>
      </w:r>
      <w:hyperlink r:id="rId17" w:history="1">
        <w:r>
          <w:rPr>
            <w:rStyle w:val="Hyperlink"/>
          </w:rPr>
          <w:t>Konferensen om Europas framtid – rekommendationer antagna av den europeiska medborgarpanelen</w:t>
        </w:r>
      </w:hyperlink>
      <w:r>
        <w:t>.</w:t>
      </w:r>
    </w:p>
  </w:footnote>
  <w:footnote w:id="14">
    <w:p w:rsidR="00492189" w:rsidRPr="009B16C4" w:rsidRDefault="00492189" w:rsidP="00EF3B48">
      <w:pPr>
        <w:pStyle w:val="FootnoteText"/>
        <w:jc w:val="left"/>
        <w:rPr>
          <w:szCs w:val="16"/>
        </w:rPr>
      </w:pPr>
      <w:r>
        <w:rPr>
          <w:rStyle w:val="FootnoteReference"/>
          <w:szCs w:val="24"/>
        </w:rPr>
        <w:footnoteRef/>
      </w:r>
      <w:r>
        <w:tab/>
      </w:r>
      <w:hyperlink r:id="rId18" w:history="1">
        <w:r>
          <w:rPr>
            <w:rStyle w:val="Hyperlink"/>
          </w:rPr>
          <w:t xml:space="preserve">2021 </w:t>
        </w:r>
        <w:proofErr w:type="spellStart"/>
        <w:r>
          <w:rPr>
            <w:rStyle w:val="Hyperlink"/>
          </w:rPr>
          <w:t>Europe</w:t>
        </w:r>
        <w:proofErr w:type="spellEnd"/>
        <w:r>
          <w:rPr>
            <w:rStyle w:val="Hyperlink"/>
          </w:rPr>
          <w:t xml:space="preserve"> </w:t>
        </w:r>
        <w:proofErr w:type="spellStart"/>
        <w:r>
          <w:rPr>
            <w:rStyle w:val="Hyperlink"/>
          </w:rPr>
          <w:t>Sustainable</w:t>
        </w:r>
        <w:proofErr w:type="spellEnd"/>
        <w:r>
          <w:rPr>
            <w:rStyle w:val="Hyperlink"/>
          </w:rPr>
          <w:t xml:space="preserve"> </w:t>
        </w:r>
        <w:proofErr w:type="spellStart"/>
        <w:r>
          <w:rPr>
            <w:rStyle w:val="Hyperlink"/>
          </w:rPr>
          <w:t>Development</w:t>
        </w:r>
        <w:proofErr w:type="spellEnd"/>
        <w:r>
          <w:rPr>
            <w:rStyle w:val="Hyperlink"/>
          </w:rPr>
          <w:t xml:space="preserve"> </w:t>
        </w:r>
        <w:proofErr w:type="spellStart"/>
        <w:r>
          <w:rPr>
            <w:rStyle w:val="Hyperlink"/>
          </w:rPr>
          <w:t>Report</w:t>
        </w:r>
        <w:proofErr w:type="spellEnd"/>
        <w:r>
          <w:rPr>
            <w:rStyle w:val="Hyperlink"/>
          </w:rPr>
          <w:t xml:space="preserve"> - SDSN </w:t>
        </w:r>
        <w:proofErr w:type="spellStart"/>
        <w:r>
          <w:rPr>
            <w:rStyle w:val="Hyperlink"/>
          </w:rPr>
          <w:t>Europe</w:t>
        </w:r>
        <w:proofErr w:type="spellEnd"/>
      </w:hyperlink>
      <w:r>
        <w:t>.</w:t>
      </w:r>
    </w:p>
  </w:footnote>
  <w:footnote w:id="15">
    <w:p w:rsidR="007E0872" w:rsidRPr="00E567D2" w:rsidRDefault="007E0872" w:rsidP="00EF3B48">
      <w:pPr>
        <w:pStyle w:val="FootnoteText"/>
      </w:pPr>
      <w:r>
        <w:rPr>
          <w:rStyle w:val="FootnoteReference"/>
        </w:rPr>
        <w:footnoteRef/>
      </w:r>
      <w:r>
        <w:tab/>
      </w:r>
      <w:proofErr w:type="spellStart"/>
      <w:r>
        <w:t>EESK:s</w:t>
      </w:r>
      <w:proofErr w:type="spellEnd"/>
      <w:r>
        <w:t xml:space="preserve"> pågående yttrande (NAT/841) </w:t>
      </w:r>
      <w:hyperlink r:id="rId19" w:history="1">
        <w:r>
          <w:rPr>
            <w:rStyle w:val="Hyperlink"/>
          </w:rPr>
          <w:t>”Mål för återställande av natur i EU:s strategi för biologisk mångfald”</w:t>
        </w:r>
      </w:hyperlink>
      <w:r>
        <w:t>.</w:t>
      </w:r>
    </w:p>
  </w:footnote>
  <w:footnote w:id="16">
    <w:p w:rsidR="0044565F" w:rsidRPr="005F3782" w:rsidRDefault="0044565F" w:rsidP="00EF3B48">
      <w:pPr>
        <w:pStyle w:val="FootnoteText"/>
        <w:tabs>
          <w:tab w:val="left" w:pos="567"/>
        </w:tabs>
        <w:rPr>
          <w:szCs w:val="16"/>
        </w:rPr>
      </w:pPr>
      <w:r>
        <w:rPr>
          <w:rStyle w:val="FootnoteReference"/>
          <w:szCs w:val="24"/>
        </w:rPr>
        <w:footnoteRef/>
      </w:r>
      <w:r>
        <w:tab/>
      </w:r>
      <w:proofErr w:type="spellStart"/>
      <w:r>
        <w:t>EESK:s</w:t>
      </w:r>
      <w:proofErr w:type="spellEnd"/>
      <w:r>
        <w:t xml:space="preserve"> yttrande ”Ny EU-strategi för klimatanpassning”, </w:t>
      </w:r>
      <w:hyperlink r:id="rId20" w:history="1">
        <w:r>
          <w:rPr>
            <w:rStyle w:val="Hyperlink"/>
          </w:rPr>
          <w:t>EUT C 374, 16.9.2021, s. 84</w:t>
        </w:r>
      </w:hyperlink>
      <w:r>
        <w:t>.</w:t>
      </w:r>
    </w:p>
  </w:footnote>
  <w:footnote w:id="17">
    <w:p w:rsidR="0044565F" w:rsidRPr="005F3782" w:rsidRDefault="0044565F" w:rsidP="00EF3B48">
      <w:pPr>
        <w:pStyle w:val="FootnoteText"/>
        <w:tabs>
          <w:tab w:val="left" w:pos="567"/>
        </w:tabs>
        <w:rPr>
          <w:szCs w:val="16"/>
        </w:rPr>
      </w:pPr>
      <w:r>
        <w:rPr>
          <w:rStyle w:val="FootnoteReference"/>
          <w:szCs w:val="24"/>
        </w:rPr>
        <w:footnoteRef/>
      </w:r>
      <w:r>
        <w:tab/>
      </w:r>
      <w:hyperlink r:id="rId21" w:history="1">
        <w:proofErr w:type="spellStart"/>
        <w:r>
          <w:rPr>
            <w:rStyle w:val="Hyperlink"/>
          </w:rPr>
          <w:t>António</w:t>
        </w:r>
        <w:proofErr w:type="spellEnd"/>
        <w:r>
          <w:rPr>
            <w:rStyle w:val="Hyperlink"/>
          </w:rPr>
          <w:t xml:space="preserve"> </w:t>
        </w:r>
        <w:proofErr w:type="spellStart"/>
        <w:r>
          <w:rPr>
            <w:rStyle w:val="Hyperlink"/>
          </w:rPr>
          <w:t>Guterres</w:t>
        </w:r>
        <w:proofErr w:type="spellEnd"/>
        <w:r>
          <w:rPr>
            <w:rStyle w:val="Hyperlink"/>
          </w:rPr>
          <w:t xml:space="preserve">: 50% </w:t>
        </w:r>
        <w:proofErr w:type="spellStart"/>
        <w:r>
          <w:rPr>
            <w:rStyle w:val="Hyperlink"/>
          </w:rPr>
          <w:t>of</w:t>
        </w:r>
        <w:proofErr w:type="spellEnd"/>
        <w:r>
          <w:rPr>
            <w:rStyle w:val="Hyperlink"/>
          </w:rPr>
          <w:t xml:space="preserve"> All </w:t>
        </w:r>
        <w:proofErr w:type="spellStart"/>
        <w:r>
          <w:rPr>
            <w:rStyle w:val="Hyperlink"/>
          </w:rPr>
          <w:t>Climate</w:t>
        </w:r>
        <w:proofErr w:type="spellEnd"/>
        <w:r>
          <w:rPr>
            <w:rStyle w:val="Hyperlink"/>
          </w:rPr>
          <w:t xml:space="preserve"> </w:t>
        </w:r>
        <w:proofErr w:type="spellStart"/>
        <w:r>
          <w:rPr>
            <w:rStyle w:val="Hyperlink"/>
          </w:rPr>
          <w:t>Finance</w:t>
        </w:r>
        <w:proofErr w:type="spellEnd"/>
        <w:r>
          <w:rPr>
            <w:rStyle w:val="Hyperlink"/>
          </w:rPr>
          <w:t xml:space="preserve"> </w:t>
        </w:r>
        <w:proofErr w:type="spellStart"/>
        <w:r>
          <w:rPr>
            <w:rStyle w:val="Hyperlink"/>
          </w:rPr>
          <w:t>Needed</w:t>
        </w:r>
        <w:proofErr w:type="spellEnd"/>
        <w:r>
          <w:rPr>
            <w:rStyle w:val="Hyperlink"/>
          </w:rPr>
          <w:t xml:space="preserve"> for Adaptation</w:t>
        </w:r>
      </w:hyperlink>
      <w:r>
        <w:t>.</w:t>
      </w:r>
    </w:p>
  </w:footnote>
  <w:footnote w:id="18">
    <w:p w:rsidR="00707DFC" w:rsidRPr="0039570B" w:rsidRDefault="00707DFC" w:rsidP="00EF3B48">
      <w:pPr>
        <w:pStyle w:val="FootnoteText"/>
        <w:tabs>
          <w:tab w:val="left" w:pos="567"/>
        </w:tabs>
        <w:jc w:val="left"/>
        <w:rPr>
          <w:szCs w:val="16"/>
        </w:rPr>
      </w:pPr>
      <w:r>
        <w:rPr>
          <w:rStyle w:val="FootnoteReference"/>
          <w:szCs w:val="24"/>
        </w:rPr>
        <w:footnoteRef/>
      </w:r>
      <w:r>
        <w:tab/>
      </w:r>
      <w:proofErr w:type="spellStart"/>
      <w:r>
        <w:t>EESK:s</w:t>
      </w:r>
      <w:proofErr w:type="spellEnd"/>
      <w:r>
        <w:t xml:space="preserve"> yttrande ”Att utveckla synergier mellan olika färdplaner för den cirkulära ekonomin”, </w:t>
      </w:r>
      <w:hyperlink r:id="rId22" w:history="1">
        <w:r>
          <w:rPr>
            <w:rStyle w:val="Hyperlink"/>
          </w:rPr>
          <w:t>EUT C 14, 15.1.2020, s. 29</w:t>
        </w:r>
      </w:hyperlink>
      <w:r>
        <w:t>.</w:t>
      </w:r>
    </w:p>
  </w:footnote>
  <w:footnote w:id="19">
    <w:p w:rsidR="00707DFC" w:rsidRPr="0039570B" w:rsidRDefault="00707DFC" w:rsidP="00EF3B48">
      <w:pPr>
        <w:pStyle w:val="FootnoteText"/>
        <w:tabs>
          <w:tab w:val="left" w:pos="567"/>
        </w:tabs>
        <w:jc w:val="left"/>
        <w:rPr>
          <w:szCs w:val="16"/>
        </w:rPr>
      </w:pPr>
      <w:r>
        <w:rPr>
          <w:rStyle w:val="FootnoteReference"/>
          <w:szCs w:val="24"/>
        </w:rPr>
        <w:footnoteRef/>
      </w:r>
      <w:r>
        <w:tab/>
      </w:r>
      <w:proofErr w:type="spellStart"/>
      <w:r>
        <w:t>Circularity</w:t>
      </w:r>
      <w:proofErr w:type="spellEnd"/>
      <w:r>
        <w:t xml:space="preserve"> Gap </w:t>
      </w:r>
      <w:proofErr w:type="spellStart"/>
      <w:r>
        <w:t>Report</w:t>
      </w:r>
      <w:proofErr w:type="spellEnd"/>
      <w:r>
        <w:t xml:space="preserve"> 2021 </w:t>
      </w:r>
      <w:hyperlink r:id="rId23" w:history="1">
        <w:proofErr w:type="spellStart"/>
        <w:r>
          <w:rPr>
            <w:rStyle w:val="Hyperlink"/>
          </w:rPr>
          <w:t>Climate</w:t>
        </w:r>
        <w:proofErr w:type="spellEnd"/>
        <w:r>
          <w:rPr>
            <w:rStyle w:val="Hyperlink"/>
          </w:rPr>
          <w:t xml:space="preserve"> Change </w:t>
        </w:r>
        <w:proofErr w:type="spellStart"/>
        <w:r>
          <w:rPr>
            <w:rStyle w:val="Hyperlink"/>
          </w:rPr>
          <w:t>Mitigation</w:t>
        </w:r>
        <w:proofErr w:type="spellEnd"/>
        <w:r>
          <w:rPr>
            <w:rStyle w:val="Hyperlink"/>
          </w:rPr>
          <w:t xml:space="preserve"> </w:t>
        </w:r>
        <w:proofErr w:type="spellStart"/>
        <w:r>
          <w:rPr>
            <w:rStyle w:val="Hyperlink"/>
          </w:rPr>
          <w:t>through</w:t>
        </w:r>
        <w:proofErr w:type="spellEnd"/>
        <w:r>
          <w:rPr>
            <w:rStyle w:val="Hyperlink"/>
          </w:rPr>
          <w:t xml:space="preserve"> the </w:t>
        </w:r>
        <w:proofErr w:type="spellStart"/>
        <w:r>
          <w:rPr>
            <w:rStyle w:val="Hyperlink"/>
          </w:rPr>
          <w:t>Circular</w:t>
        </w:r>
        <w:proofErr w:type="spellEnd"/>
        <w:r>
          <w:rPr>
            <w:rStyle w:val="Hyperlink"/>
          </w:rPr>
          <w:t xml:space="preserve"> </w:t>
        </w:r>
        <w:proofErr w:type="spellStart"/>
        <w:r>
          <w:rPr>
            <w:rStyle w:val="Hyperlink"/>
          </w:rPr>
          <w:t>Economy</w:t>
        </w:r>
        <w:proofErr w:type="spellEnd"/>
      </w:hyperlink>
      <w:r>
        <w:t>.</w:t>
      </w:r>
    </w:p>
  </w:footnote>
  <w:footnote w:id="20">
    <w:p w:rsidR="00707DFC" w:rsidRPr="00BE77CC" w:rsidRDefault="00707DFC" w:rsidP="00EF3B48">
      <w:pPr>
        <w:pStyle w:val="FootnoteText"/>
        <w:tabs>
          <w:tab w:val="left" w:pos="567"/>
        </w:tabs>
        <w:jc w:val="left"/>
      </w:pPr>
      <w:r>
        <w:rPr>
          <w:rStyle w:val="FootnoteReference"/>
          <w:szCs w:val="24"/>
        </w:rPr>
        <w:footnoteRef/>
      </w:r>
      <w:r>
        <w:tab/>
      </w:r>
      <w:proofErr w:type="spellStart"/>
      <w:r>
        <w:t>EESK:s</w:t>
      </w:r>
      <w:proofErr w:type="spellEnd"/>
      <w:r>
        <w:t xml:space="preserve"> yttrande ”Ny EU-strategi för klimatanpassning”, </w:t>
      </w:r>
      <w:hyperlink r:id="rId24" w:history="1">
        <w:r>
          <w:rPr>
            <w:rStyle w:val="Hyperlink"/>
          </w:rPr>
          <w:t>EUT C 374, 16.9.2021, s. 84</w:t>
        </w:r>
      </w:hyperlink>
      <w:r>
        <w:t>.</w:t>
      </w:r>
    </w:p>
  </w:footnote>
  <w:footnote w:id="21">
    <w:p w:rsidR="00444B59" w:rsidRPr="009B16C4" w:rsidRDefault="00444B59" w:rsidP="00EF3B48">
      <w:pPr>
        <w:pStyle w:val="FootnoteText"/>
        <w:jc w:val="left"/>
        <w:rPr>
          <w:szCs w:val="16"/>
        </w:rPr>
      </w:pPr>
      <w:r>
        <w:rPr>
          <w:rStyle w:val="FootnoteReference"/>
          <w:szCs w:val="24"/>
        </w:rPr>
        <w:footnoteRef/>
      </w:r>
      <w:r>
        <w:tab/>
      </w:r>
      <w:hyperlink r:id="rId25" w:history="1">
        <w:proofErr w:type="spellStart"/>
        <w:r>
          <w:rPr>
            <w:rStyle w:val="Hyperlink"/>
          </w:rPr>
          <w:t>Enhancing</w:t>
        </w:r>
        <w:proofErr w:type="spellEnd"/>
        <w:r>
          <w:rPr>
            <w:rStyle w:val="Hyperlink"/>
          </w:rPr>
          <w:t xml:space="preserve"> </w:t>
        </w:r>
        <w:proofErr w:type="spellStart"/>
        <w:r>
          <w:rPr>
            <w:rStyle w:val="Hyperlink"/>
          </w:rPr>
          <w:t>NDCs</w:t>
        </w:r>
        <w:proofErr w:type="spellEnd"/>
        <w:r>
          <w:rPr>
            <w:rStyle w:val="Hyperlink"/>
          </w:rPr>
          <w:t xml:space="preserve"> For </w:t>
        </w:r>
        <w:proofErr w:type="spellStart"/>
        <w:r>
          <w:rPr>
            <w:rStyle w:val="Hyperlink"/>
          </w:rPr>
          <w:t>Food</w:t>
        </w:r>
        <w:proofErr w:type="spellEnd"/>
        <w:r>
          <w:rPr>
            <w:rStyle w:val="Hyperlink"/>
          </w:rPr>
          <w:t xml:space="preserve"> Systems - </w:t>
        </w:r>
        <w:proofErr w:type="spellStart"/>
        <w:r>
          <w:rPr>
            <w:rStyle w:val="Hyperlink"/>
          </w:rPr>
          <w:t>recommendations</w:t>
        </w:r>
        <w:proofErr w:type="spellEnd"/>
        <w:r>
          <w:rPr>
            <w:rStyle w:val="Hyperlink"/>
          </w:rPr>
          <w:t xml:space="preserve"> for decision-</w:t>
        </w:r>
        <w:proofErr w:type="spellStart"/>
        <w:r>
          <w:rPr>
            <w:rStyle w:val="Hyperlink"/>
          </w:rPr>
          <w:t>makers</w:t>
        </w:r>
        <w:proofErr w:type="spellEnd"/>
        <w:r>
          <w:rPr>
            <w:rStyle w:val="Hyperlink"/>
          </w:rPr>
          <w:t xml:space="preserve"> | NDC Action Project</w:t>
        </w:r>
      </w:hyperlink>
      <w:r>
        <w:t>.</w:t>
      </w:r>
    </w:p>
  </w:footnote>
  <w:footnote w:id="22">
    <w:p w:rsidR="00444B59" w:rsidRPr="009B16C4" w:rsidRDefault="00444B59" w:rsidP="00EF3B48">
      <w:pPr>
        <w:pStyle w:val="FootnoteText"/>
        <w:jc w:val="left"/>
        <w:rPr>
          <w:szCs w:val="16"/>
        </w:rPr>
      </w:pPr>
      <w:r>
        <w:rPr>
          <w:rStyle w:val="FootnoteReference"/>
          <w:szCs w:val="24"/>
        </w:rPr>
        <w:footnoteRef/>
      </w:r>
      <w:r>
        <w:tab/>
      </w:r>
      <w:proofErr w:type="spellStart"/>
      <w:r>
        <w:t>EESK:s</w:t>
      </w:r>
      <w:proofErr w:type="spellEnd"/>
      <w:r>
        <w:t xml:space="preserve"> yttrande ”Livsmedelstrygghet och hållbara livsmedelssystem”, </w:t>
      </w:r>
      <w:hyperlink r:id="rId26" w:history="1">
        <w:r>
          <w:rPr>
            <w:rStyle w:val="Hyperlink"/>
          </w:rPr>
          <w:t>EUT C 194, 12.5.2022, s. 72</w:t>
        </w:r>
      </w:hyperlink>
      <w:r>
        <w:t>.</w:t>
      </w:r>
    </w:p>
  </w:footnote>
  <w:footnote w:id="23">
    <w:p w:rsidR="00444B59" w:rsidRPr="009B16C4" w:rsidRDefault="00444B59" w:rsidP="00EF3B48">
      <w:pPr>
        <w:pStyle w:val="FootnoteText"/>
        <w:rPr>
          <w:szCs w:val="16"/>
        </w:rPr>
      </w:pPr>
      <w:r>
        <w:rPr>
          <w:rStyle w:val="FootnoteReference"/>
          <w:szCs w:val="24"/>
        </w:rPr>
        <w:footnoteRef/>
      </w:r>
      <w:r>
        <w:tab/>
      </w:r>
      <w:proofErr w:type="spellStart"/>
      <w:r>
        <w:t>EESK:s</w:t>
      </w:r>
      <w:proofErr w:type="spellEnd"/>
      <w:r>
        <w:t xml:space="preserve"> yttrande ”Från jord till bord: en strategi för hållbara livsmedel”, </w:t>
      </w:r>
      <w:hyperlink r:id="rId27" w:history="1">
        <w:r>
          <w:rPr>
            <w:rStyle w:val="Hyperlink"/>
          </w:rPr>
          <w:t>EUT C 429, 11.12.2020, s. 268</w:t>
        </w:r>
      </w:hyperlink>
      <w:r>
        <w:t>.</w:t>
      </w:r>
    </w:p>
  </w:footnote>
  <w:footnote w:id="24">
    <w:p w:rsidR="00444B59" w:rsidRPr="009B16C4" w:rsidRDefault="00444B59" w:rsidP="00EF3B48">
      <w:pPr>
        <w:pStyle w:val="FootnoteText"/>
        <w:jc w:val="left"/>
        <w:rPr>
          <w:szCs w:val="16"/>
        </w:rPr>
      </w:pPr>
      <w:r>
        <w:rPr>
          <w:rStyle w:val="FootnoteReference"/>
          <w:szCs w:val="24"/>
        </w:rPr>
        <w:footnoteRef/>
      </w:r>
      <w:r>
        <w:tab/>
      </w:r>
      <w:proofErr w:type="spellStart"/>
      <w:r>
        <w:t>EESK:s</w:t>
      </w:r>
      <w:proofErr w:type="spellEnd"/>
      <w:r>
        <w:t xml:space="preserve"> yttranden ”Klimaträttvisa”, </w:t>
      </w:r>
      <w:hyperlink r:id="rId28" w:history="1">
        <w:r>
          <w:rPr>
            <w:rStyle w:val="Hyperlink"/>
          </w:rPr>
          <w:t>EUT C 81, 2.3.2018, s. 22</w:t>
        </w:r>
      </w:hyperlink>
      <w:r>
        <w:t xml:space="preserve">, och ”Ny EU-strategi för klimatanpassning”, </w:t>
      </w:r>
      <w:hyperlink r:id="rId29" w:history="1">
        <w:r>
          <w:rPr>
            <w:rStyle w:val="Hyperlink"/>
          </w:rPr>
          <w:t>EUT C 374, 16.9.2021, s. 84</w:t>
        </w:r>
      </w:hyperlink>
      <w:r>
        <w:t>.</w:t>
      </w:r>
    </w:p>
  </w:footnote>
  <w:footnote w:id="25">
    <w:p w:rsidR="00EB27C9" w:rsidRPr="00E567D2" w:rsidRDefault="00EB27C9" w:rsidP="00EF3B48">
      <w:pPr>
        <w:pStyle w:val="FootnoteText"/>
      </w:pPr>
      <w:r>
        <w:rPr>
          <w:rStyle w:val="FootnoteReference"/>
        </w:rPr>
        <w:footnoteRef/>
      </w:r>
      <w:r>
        <w:tab/>
      </w:r>
      <w:proofErr w:type="spellStart"/>
      <w:r>
        <w:t>EESK:s</w:t>
      </w:r>
      <w:proofErr w:type="spellEnd"/>
      <w:r>
        <w:t xml:space="preserve"> yttrande ”</w:t>
      </w:r>
      <w:proofErr w:type="spellStart"/>
      <w:r>
        <w:t>REPowerEU</w:t>
      </w:r>
      <w:proofErr w:type="spellEnd"/>
      <w:r>
        <w:t>: Gemensamma europeiska åtgärder för säkrare och hållbarare energi till ett mer överkomligt pris”</w:t>
      </w:r>
      <w:r>
        <w:rPr>
          <w:rStyle w:val="Hyperlink"/>
          <w:color w:val="auto"/>
          <w:u w:val="none"/>
        </w:rPr>
        <w:t xml:space="preserve">, </w:t>
      </w:r>
      <w:hyperlink r:id="rId30" w:history="1">
        <w:r>
          <w:rPr>
            <w:rStyle w:val="Hyperlink"/>
          </w:rPr>
          <w:t>EUT C 323, 26.8.2022, s. 123</w:t>
        </w:r>
      </w:hyperlink>
      <w:r>
        <w:t>.</w:t>
      </w:r>
    </w:p>
  </w:footnote>
  <w:footnote w:id="26">
    <w:p w:rsidR="00444B59" w:rsidRPr="005F3782" w:rsidRDefault="00444B59" w:rsidP="00EF3B48">
      <w:pPr>
        <w:pStyle w:val="FootnoteText"/>
        <w:rPr>
          <w:szCs w:val="16"/>
        </w:rPr>
      </w:pPr>
      <w:r>
        <w:rPr>
          <w:rStyle w:val="FootnoteReference"/>
          <w:szCs w:val="24"/>
        </w:rPr>
        <w:footnoteRef/>
      </w:r>
      <w:r>
        <w:tab/>
      </w:r>
      <w:proofErr w:type="spellStart"/>
      <w:r>
        <w:t>EESK:s</w:t>
      </w:r>
      <w:proofErr w:type="spellEnd"/>
      <w:r>
        <w:t xml:space="preserve"> yttrande ”55 %-paketet (’Fit for 55’): nå EU:s klimatmål 2030 för klimatneutralitet”, </w:t>
      </w:r>
      <w:hyperlink r:id="rId31" w:history="1">
        <w:r>
          <w:rPr>
            <w:rStyle w:val="Hyperlink"/>
          </w:rPr>
          <w:t>EUT C 275, 18.7.2022, s. 101</w:t>
        </w:r>
      </w:hyperlink>
      <w:r>
        <w:t>.</w:t>
      </w:r>
    </w:p>
  </w:footnote>
  <w:footnote w:id="27">
    <w:p w:rsidR="00F81237" w:rsidRPr="00E567D2" w:rsidRDefault="00F81237" w:rsidP="00EF3B48">
      <w:pPr>
        <w:pStyle w:val="FootnoteText"/>
      </w:pPr>
      <w:r>
        <w:rPr>
          <w:rStyle w:val="FootnoteReference"/>
        </w:rPr>
        <w:footnoteRef/>
      </w:r>
      <w:r>
        <w:tab/>
      </w:r>
      <w:proofErr w:type="spellStart"/>
      <w:r>
        <w:t>EESK:s</w:t>
      </w:r>
      <w:proofErr w:type="spellEnd"/>
      <w:r>
        <w:t xml:space="preserve"> yttrande ”Digitalisering och hållbarhet – status </w:t>
      </w:r>
      <w:proofErr w:type="spellStart"/>
      <w:r>
        <w:t>quo</w:t>
      </w:r>
      <w:proofErr w:type="spellEnd"/>
      <w:r>
        <w:t xml:space="preserve"> och behovet av åtgärder ur det civila samhällets perspektiv”, </w:t>
      </w:r>
      <w:hyperlink r:id="rId32" w:history="1">
        <w:r>
          <w:rPr>
            <w:rStyle w:val="Hyperlink"/>
          </w:rPr>
          <w:t>EUT C 429, 11.12.2020, s. 187</w:t>
        </w:r>
      </w:hyperlink>
      <w:r>
        <w:t>.</w:t>
      </w:r>
    </w:p>
  </w:footnote>
  <w:footnote w:id="28">
    <w:p w:rsidR="00444B59" w:rsidRPr="009B16C4" w:rsidRDefault="00444B59" w:rsidP="00EF3B48">
      <w:pPr>
        <w:pStyle w:val="FootnoteText"/>
        <w:jc w:val="left"/>
        <w:rPr>
          <w:szCs w:val="16"/>
        </w:rPr>
      </w:pPr>
      <w:r>
        <w:rPr>
          <w:rStyle w:val="FootnoteReference"/>
          <w:szCs w:val="24"/>
        </w:rPr>
        <w:footnoteRef/>
      </w:r>
      <w:r>
        <w:tab/>
      </w:r>
      <w:proofErr w:type="spellStart"/>
      <w:r>
        <w:t>EESK:s</w:t>
      </w:r>
      <w:proofErr w:type="spellEnd"/>
      <w:r>
        <w:t xml:space="preserve"> yttrande ”55 %-paketet (’Fit for 55’): nå EU:s klimatmål 2030 för klimatneutralitet”, </w:t>
      </w:r>
      <w:hyperlink r:id="rId33" w:history="1">
        <w:r>
          <w:rPr>
            <w:rStyle w:val="Hyperlink"/>
          </w:rPr>
          <w:t>EUT C 275, 18.7.2022, s. 101</w:t>
        </w:r>
      </w:hyperlink>
      <w:r>
        <w:t>.</w:t>
      </w:r>
    </w:p>
  </w:footnote>
  <w:footnote w:id="29">
    <w:p w:rsidR="003567A8" w:rsidRPr="005F3782" w:rsidRDefault="003567A8" w:rsidP="00EF3B48">
      <w:pPr>
        <w:pStyle w:val="FootnoteText"/>
        <w:rPr>
          <w:szCs w:val="16"/>
        </w:rPr>
      </w:pPr>
      <w:r>
        <w:rPr>
          <w:rStyle w:val="FootnoteReference"/>
          <w:szCs w:val="24"/>
        </w:rPr>
        <w:footnoteRef/>
      </w:r>
      <w:r>
        <w:tab/>
      </w:r>
      <w:proofErr w:type="spellStart"/>
      <w:r>
        <w:t>EESK:s</w:t>
      </w:r>
      <w:proofErr w:type="spellEnd"/>
      <w:r>
        <w:t xml:space="preserve"> yttrande ”55 %-paketet (’Fit for 55’): nå EU:s klimatmål 2030 för klimatneutralitet”, </w:t>
      </w:r>
      <w:hyperlink r:id="rId34" w:history="1">
        <w:r>
          <w:rPr>
            <w:rStyle w:val="Hyperlink"/>
          </w:rPr>
          <w:t>EUT C 275, 18.7.2022, s. 101</w:t>
        </w:r>
      </w:hyperlink>
      <w:r>
        <w:t>.</w:t>
      </w:r>
    </w:p>
  </w:footnote>
  <w:footnote w:id="30">
    <w:p w:rsidR="00EE319C" w:rsidRPr="005F3782" w:rsidRDefault="00EE319C" w:rsidP="00EF3B48">
      <w:pPr>
        <w:pStyle w:val="FootnoteText"/>
        <w:rPr>
          <w:szCs w:val="16"/>
        </w:rPr>
      </w:pPr>
      <w:r>
        <w:rPr>
          <w:rStyle w:val="FootnoteReference"/>
          <w:szCs w:val="24"/>
        </w:rPr>
        <w:footnoteRef/>
      </w:r>
      <w:r>
        <w:tab/>
      </w:r>
      <w:hyperlink r:id="rId35" w:history="1">
        <w:r>
          <w:rPr>
            <w:rStyle w:val="Hyperlink"/>
          </w:rPr>
          <w:t xml:space="preserve">2020 Pocket Guide to Gender </w:t>
        </w:r>
        <w:proofErr w:type="spellStart"/>
        <w:r>
          <w:rPr>
            <w:rStyle w:val="Hyperlink"/>
          </w:rPr>
          <w:t>Equality</w:t>
        </w:r>
        <w:proofErr w:type="spellEnd"/>
        <w:r>
          <w:rPr>
            <w:rStyle w:val="Hyperlink"/>
          </w:rPr>
          <w:t xml:space="preserve"> under the UNFCCC - WEDO</w:t>
        </w:r>
      </w:hyperlink>
      <w:r>
        <w:t>.</w:t>
      </w:r>
    </w:p>
  </w:footnote>
  <w:footnote w:id="31">
    <w:p w:rsidR="009F475F" w:rsidRPr="005F3782" w:rsidRDefault="009F475F" w:rsidP="00EF3B48">
      <w:pPr>
        <w:pStyle w:val="FootnoteText"/>
      </w:pPr>
      <w:r>
        <w:rPr>
          <w:rStyle w:val="FootnoteReference"/>
          <w:szCs w:val="24"/>
        </w:rPr>
        <w:footnoteRef/>
      </w:r>
      <w:r>
        <w:tab/>
      </w:r>
      <w:proofErr w:type="spellStart"/>
      <w:r>
        <w:t>EESK:s</w:t>
      </w:r>
      <w:proofErr w:type="spellEnd"/>
      <w:r>
        <w:t xml:space="preserve"> pågående yttrande (NAT/788) </w:t>
      </w:r>
      <w:hyperlink r:id="rId36" w:history="1">
        <w:r>
          <w:rPr>
            <w:rStyle w:val="Hyperlink"/>
          </w:rPr>
          <w:t>”Mot ett strukturerat ungdomsengagemang för klimat och hållbarhet”</w:t>
        </w:r>
      </w:hyperlink>
      <w:r>
        <w:t>.</w:t>
      </w:r>
    </w:p>
  </w:footnote>
  <w:footnote w:id="32">
    <w:p w:rsidR="00B27016" w:rsidRPr="005F3782" w:rsidRDefault="00B27016" w:rsidP="00EF3B48">
      <w:pPr>
        <w:pStyle w:val="FootnoteText"/>
        <w:rPr>
          <w:szCs w:val="16"/>
        </w:rPr>
      </w:pPr>
      <w:r>
        <w:rPr>
          <w:rStyle w:val="FootnoteReference"/>
          <w:szCs w:val="24"/>
        </w:rPr>
        <w:footnoteRef/>
      </w:r>
      <w:r>
        <w:tab/>
      </w:r>
      <w:hyperlink r:id="rId37" w:history="1">
        <w:proofErr w:type="spellStart"/>
        <w:r>
          <w:rPr>
            <w:rStyle w:val="Hyperlink"/>
          </w:rPr>
          <w:t>Indigenous</w:t>
        </w:r>
        <w:proofErr w:type="spellEnd"/>
        <w:r>
          <w:rPr>
            <w:rStyle w:val="Hyperlink"/>
          </w:rPr>
          <w:t xml:space="preserve"> </w:t>
        </w:r>
        <w:proofErr w:type="spellStart"/>
        <w:r>
          <w:rPr>
            <w:rStyle w:val="Hyperlink"/>
          </w:rPr>
          <w:t>peoples</w:t>
        </w:r>
        <w:proofErr w:type="spellEnd"/>
        <w:r>
          <w:rPr>
            <w:rStyle w:val="Hyperlink"/>
          </w:rPr>
          <w:t xml:space="preserve"> </w:t>
        </w:r>
        <w:proofErr w:type="spellStart"/>
        <w:r>
          <w:rPr>
            <w:rStyle w:val="Hyperlink"/>
          </w:rPr>
          <w:t>defend</w:t>
        </w:r>
        <w:proofErr w:type="spellEnd"/>
        <w:r>
          <w:rPr>
            <w:rStyle w:val="Hyperlink"/>
          </w:rPr>
          <w:t xml:space="preserve"> </w:t>
        </w:r>
        <w:proofErr w:type="spellStart"/>
        <w:r>
          <w:rPr>
            <w:rStyle w:val="Hyperlink"/>
          </w:rPr>
          <w:t>Earth's</w:t>
        </w:r>
        <w:proofErr w:type="spellEnd"/>
        <w:r>
          <w:rPr>
            <w:rStyle w:val="Hyperlink"/>
          </w:rPr>
          <w:t xml:space="preserve"> </w:t>
        </w:r>
        <w:proofErr w:type="spellStart"/>
        <w:r>
          <w:rPr>
            <w:rStyle w:val="Hyperlink"/>
          </w:rPr>
          <w:t>biodiversity</w:t>
        </w:r>
        <w:proofErr w:type="spellEnd"/>
        <w:r>
          <w:rPr>
            <w:rStyle w:val="Hyperlink"/>
          </w:rPr>
          <w:t xml:space="preserve"> – </w:t>
        </w:r>
        <w:proofErr w:type="spellStart"/>
        <w:r>
          <w:rPr>
            <w:rStyle w:val="Hyperlink"/>
          </w:rPr>
          <w:t>but</w:t>
        </w:r>
        <w:proofErr w:type="spellEnd"/>
        <w:r>
          <w:rPr>
            <w:rStyle w:val="Hyperlink"/>
          </w:rPr>
          <w:t xml:space="preserve"> </w:t>
        </w:r>
        <w:proofErr w:type="spellStart"/>
        <w:r>
          <w:rPr>
            <w:rStyle w:val="Hyperlink"/>
          </w:rPr>
          <w:t>they're</w:t>
        </w:r>
        <w:proofErr w:type="spellEnd"/>
        <w:r>
          <w:rPr>
            <w:rStyle w:val="Hyperlink"/>
          </w:rPr>
          <w:t xml:space="preserve"> in </w:t>
        </w:r>
        <w:proofErr w:type="spellStart"/>
        <w:r>
          <w:rPr>
            <w:rStyle w:val="Hyperlink"/>
          </w:rPr>
          <w:t>danger</w:t>
        </w:r>
        <w:proofErr w:type="spellEnd"/>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8E534A">
    <w:pPr>
      <w:pStyle w:val="Header"/>
    </w:pPr>
    <w:r>
      <w:pict w14:anchorId="4C30A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16391" type="#_x0000_t75" style="position:absolute;left:0;text-align:left;margin-left:0;margin-top:0;width:598.15pt;height:843.9pt;z-index:-251658752;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180C9D">
    <w:pPr>
      <w:pStyle w:val="Header"/>
    </w:pPr>
    <w:r>
      <w:rPr>
        <w:noProof/>
        <w:lang w:val="en-US"/>
      </w:rPr>
      <w:drawing>
        <wp:anchor distT="0" distB="0" distL="114300" distR="114300" simplePos="0" relativeHeight="251657216" behindDoc="0" locked="0" layoutInCell="1" allowOverlap="1" wp14:anchorId="346ADD29" wp14:editId="61474A2D">
          <wp:simplePos x="0" y="0"/>
          <wp:positionH relativeFrom="page">
            <wp:posOffset>309489</wp:posOffset>
          </wp:positionH>
          <wp:positionV relativeFrom="page">
            <wp:posOffset>281354</wp:posOffset>
          </wp:positionV>
          <wp:extent cx="6944398" cy="334427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8E534A">
      <w:pict w14:anchorId="00D77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16392" type="#_x0000_t75" style="position:absolute;left:0;text-align:left;margin-left:0;margin-top:0;width:598.15pt;height:843.9pt;z-index:-251657728;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8E534A">
    <w:pPr>
      <w:pStyle w:val="Header"/>
    </w:pPr>
    <w:r>
      <w:pict w14:anchorId="6655E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16390" type="#_x0000_t75" style="position:absolute;left:0;text-align:left;margin-left:0;margin-top:0;width:598.15pt;height:843.9pt;z-index:-251659776;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8E534A">
    <w:pPr>
      <w:pStyle w:val="Header"/>
    </w:pPr>
    <w:r>
      <w:pict w14:anchorId="0845C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16394" type="#_x0000_t75" style="position:absolute;left:0;text-align:left;margin-left:0;margin-top:0;width:598.15pt;height:843.9pt;z-index:-251655680;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180C9D">
    <w:pPr>
      <w:pStyle w:val="Header"/>
    </w:pPr>
    <w:r>
      <w:rPr>
        <w:noProof/>
        <w:lang w:val="en-US"/>
      </w:rPr>
      <w:drawing>
        <wp:anchor distT="0" distB="0" distL="114300" distR="114300" simplePos="0" relativeHeight="251661312" behindDoc="1" locked="0" layoutInCell="1" allowOverlap="1" wp14:anchorId="2FB1CD0D" wp14:editId="06F585A8">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9D" w:rsidRDefault="008E534A">
    <w:pPr>
      <w:pStyle w:val="Header"/>
    </w:pPr>
    <w:r>
      <w:pict w14:anchorId="781BD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16393" type="#_x0000_t75" style="position:absolute;left:0;text-align:left;margin-left:0;margin-top:0;width:598.15pt;height:843.9pt;z-index:-251656704;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526B40" w:rsidRDefault="00526B40" w:rsidP="00526B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2E7EE1" w:rsidRDefault="00526B40" w:rsidP="002E7E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40" w:rsidRPr="00526B40" w:rsidRDefault="00526B40" w:rsidP="00526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80A0DAE"/>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B337C2"/>
    <w:multiLevelType w:val="hybridMultilevel"/>
    <w:tmpl w:val="560A56B6"/>
    <w:lvl w:ilvl="0" w:tplc="130ADC20">
      <w:start w:val="1"/>
      <w:numFmt w:val="decimal"/>
      <w:lvlText w:val="%1."/>
      <w:lvlJc w:val="left"/>
      <w:pPr>
        <w:ind w:left="1070" w:hanging="71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B0A2414"/>
    <w:multiLevelType w:val="hybridMultilevel"/>
    <w:tmpl w:val="B4BAC6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580BC9"/>
    <w:multiLevelType w:val="hybridMultilevel"/>
    <w:tmpl w:val="86222EB0"/>
    <w:lvl w:ilvl="0" w:tplc="9174A728">
      <w:start w:val="1"/>
      <w:numFmt w:val="decimal"/>
      <w:lvlText w:val="%1."/>
      <w:lvlJc w:val="left"/>
      <w:pPr>
        <w:ind w:left="360" w:hanging="360"/>
      </w:pPr>
      <w:rPr>
        <w:b w:val="0"/>
        <w:bCs w:val="0"/>
        <w:i w:val="0"/>
        <w:iCs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3A4B1F21"/>
    <w:multiLevelType w:val="hybridMultilevel"/>
    <w:tmpl w:val="FD7661A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42C77FC2"/>
    <w:multiLevelType w:val="hybridMultilevel"/>
    <w:tmpl w:val="29B0B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10200"/>
    <w:multiLevelType w:val="hybridMultilevel"/>
    <w:tmpl w:val="C99CE2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D201B5C"/>
    <w:multiLevelType w:val="hybridMultilevel"/>
    <w:tmpl w:val="9284693E"/>
    <w:lvl w:ilvl="0" w:tplc="6396C9CE">
      <w:start w:val="1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5B093336"/>
    <w:multiLevelType w:val="hybridMultilevel"/>
    <w:tmpl w:val="AFEC9D88"/>
    <w:lvl w:ilvl="0" w:tplc="119618D6">
      <w:start w:val="1"/>
      <w:numFmt w:val="bullet"/>
      <w:lvlText w:val="•"/>
      <w:lvlJc w:val="left"/>
      <w:pPr>
        <w:tabs>
          <w:tab w:val="num" w:pos="720"/>
        </w:tabs>
        <w:ind w:left="720" w:hanging="360"/>
      </w:pPr>
      <w:rPr>
        <w:rFonts w:ascii="Arial" w:hAnsi="Arial" w:hint="default"/>
      </w:rPr>
    </w:lvl>
    <w:lvl w:ilvl="1" w:tplc="2DCA1636" w:tentative="1">
      <w:start w:val="1"/>
      <w:numFmt w:val="bullet"/>
      <w:lvlText w:val="•"/>
      <w:lvlJc w:val="left"/>
      <w:pPr>
        <w:tabs>
          <w:tab w:val="num" w:pos="1440"/>
        </w:tabs>
        <w:ind w:left="1440" w:hanging="360"/>
      </w:pPr>
      <w:rPr>
        <w:rFonts w:ascii="Arial" w:hAnsi="Arial" w:hint="default"/>
      </w:rPr>
    </w:lvl>
    <w:lvl w:ilvl="2" w:tplc="7FF2E13C" w:tentative="1">
      <w:start w:val="1"/>
      <w:numFmt w:val="bullet"/>
      <w:lvlText w:val="•"/>
      <w:lvlJc w:val="left"/>
      <w:pPr>
        <w:tabs>
          <w:tab w:val="num" w:pos="2160"/>
        </w:tabs>
        <w:ind w:left="2160" w:hanging="360"/>
      </w:pPr>
      <w:rPr>
        <w:rFonts w:ascii="Arial" w:hAnsi="Arial" w:hint="default"/>
      </w:rPr>
    </w:lvl>
    <w:lvl w:ilvl="3" w:tplc="715A25FC" w:tentative="1">
      <w:start w:val="1"/>
      <w:numFmt w:val="bullet"/>
      <w:lvlText w:val="•"/>
      <w:lvlJc w:val="left"/>
      <w:pPr>
        <w:tabs>
          <w:tab w:val="num" w:pos="2880"/>
        </w:tabs>
        <w:ind w:left="2880" w:hanging="360"/>
      </w:pPr>
      <w:rPr>
        <w:rFonts w:ascii="Arial" w:hAnsi="Arial" w:hint="default"/>
      </w:rPr>
    </w:lvl>
    <w:lvl w:ilvl="4" w:tplc="C0ECAC4E" w:tentative="1">
      <w:start w:val="1"/>
      <w:numFmt w:val="bullet"/>
      <w:lvlText w:val="•"/>
      <w:lvlJc w:val="left"/>
      <w:pPr>
        <w:tabs>
          <w:tab w:val="num" w:pos="3600"/>
        </w:tabs>
        <w:ind w:left="3600" w:hanging="360"/>
      </w:pPr>
      <w:rPr>
        <w:rFonts w:ascii="Arial" w:hAnsi="Arial" w:hint="default"/>
      </w:rPr>
    </w:lvl>
    <w:lvl w:ilvl="5" w:tplc="DBC0D4B6" w:tentative="1">
      <w:start w:val="1"/>
      <w:numFmt w:val="bullet"/>
      <w:lvlText w:val="•"/>
      <w:lvlJc w:val="left"/>
      <w:pPr>
        <w:tabs>
          <w:tab w:val="num" w:pos="4320"/>
        </w:tabs>
        <w:ind w:left="4320" w:hanging="360"/>
      </w:pPr>
      <w:rPr>
        <w:rFonts w:ascii="Arial" w:hAnsi="Arial" w:hint="default"/>
      </w:rPr>
    </w:lvl>
    <w:lvl w:ilvl="6" w:tplc="F8BCE15E" w:tentative="1">
      <w:start w:val="1"/>
      <w:numFmt w:val="bullet"/>
      <w:lvlText w:val="•"/>
      <w:lvlJc w:val="left"/>
      <w:pPr>
        <w:tabs>
          <w:tab w:val="num" w:pos="5040"/>
        </w:tabs>
        <w:ind w:left="5040" w:hanging="360"/>
      </w:pPr>
      <w:rPr>
        <w:rFonts w:ascii="Arial" w:hAnsi="Arial" w:hint="default"/>
      </w:rPr>
    </w:lvl>
    <w:lvl w:ilvl="7" w:tplc="836EB248" w:tentative="1">
      <w:start w:val="1"/>
      <w:numFmt w:val="bullet"/>
      <w:lvlText w:val="•"/>
      <w:lvlJc w:val="left"/>
      <w:pPr>
        <w:tabs>
          <w:tab w:val="num" w:pos="5760"/>
        </w:tabs>
        <w:ind w:left="5760" w:hanging="360"/>
      </w:pPr>
      <w:rPr>
        <w:rFonts w:ascii="Arial" w:hAnsi="Arial" w:hint="default"/>
      </w:rPr>
    </w:lvl>
    <w:lvl w:ilvl="8" w:tplc="161232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CD1D40"/>
    <w:multiLevelType w:val="hybridMultilevel"/>
    <w:tmpl w:val="572A74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23A6AD4"/>
    <w:multiLevelType w:val="hybridMultilevel"/>
    <w:tmpl w:val="156AF25E"/>
    <w:lvl w:ilvl="0" w:tplc="4C8629AC">
      <w:start w:val="1"/>
      <w:numFmt w:val="decimal"/>
      <w:lvlText w:val="%1."/>
      <w:lvlJc w:val="left"/>
      <w:pPr>
        <w:ind w:left="786" w:hanging="360"/>
      </w:pPr>
      <w:rPr>
        <w:b w:val="0"/>
        <w:bCs w:val="0"/>
        <w:i w:val="0"/>
        <w:iCs w:val="0"/>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11" w15:restartNumberingAfterBreak="0">
    <w:nsid w:val="7B7E514B"/>
    <w:multiLevelType w:val="hybridMultilevel"/>
    <w:tmpl w:val="C82A87C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9"/>
  </w:num>
  <w:num w:numId="6">
    <w:abstractNumId w:val="8"/>
  </w:num>
  <w:num w:numId="7">
    <w:abstractNumId w:val="4"/>
  </w:num>
  <w:num w:numId="8">
    <w:abstractNumId w:val="11"/>
  </w:num>
  <w:num w:numId="9">
    <w:abstractNumId w:val="3"/>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95"/>
    <o:shapelayout v:ext="edit">
      <o:idmap v:ext="edit" data="16"/>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01"/>
    <w:rsid w:val="00007773"/>
    <w:rsid w:val="000079E5"/>
    <w:rsid w:val="00010FC6"/>
    <w:rsid w:val="000120CD"/>
    <w:rsid w:val="00013255"/>
    <w:rsid w:val="00020F19"/>
    <w:rsid w:val="00030E21"/>
    <w:rsid w:val="00032E37"/>
    <w:rsid w:val="0003449F"/>
    <w:rsid w:val="000358F0"/>
    <w:rsid w:val="00047980"/>
    <w:rsid w:val="00047D68"/>
    <w:rsid w:val="00050B81"/>
    <w:rsid w:val="00053594"/>
    <w:rsid w:val="00053B1C"/>
    <w:rsid w:val="00054D9D"/>
    <w:rsid w:val="000574BC"/>
    <w:rsid w:val="00062D0C"/>
    <w:rsid w:val="000710D8"/>
    <w:rsid w:val="00081EAE"/>
    <w:rsid w:val="0008251E"/>
    <w:rsid w:val="00082AB6"/>
    <w:rsid w:val="00083FD7"/>
    <w:rsid w:val="00091780"/>
    <w:rsid w:val="00094578"/>
    <w:rsid w:val="000A0FF9"/>
    <w:rsid w:val="000A58FB"/>
    <w:rsid w:val="000C30B4"/>
    <w:rsid w:val="000D1E9E"/>
    <w:rsid w:val="000F22F9"/>
    <w:rsid w:val="000F3131"/>
    <w:rsid w:val="000F577D"/>
    <w:rsid w:val="001024F7"/>
    <w:rsid w:val="0010269A"/>
    <w:rsid w:val="001063B3"/>
    <w:rsid w:val="00107725"/>
    <w:rsid w:val="00110795"/>
    <w:rsid w:val="00112C96"/>
    <w:rsid w:val="0011335A"/>
    <w:rsid w:val="001210DE"/>
    <w:rsid w:val="00122408"/>
    <w:rsid w:val="00127863"/>
    <w:rsid w:val="0014073F"/>
    <w:rsid w:val="001420B1"/>
    <w:rsid w:val="0014388E"/>
    <w:rsid w:val="001522F6"/>
    <w:rsid w:val="001528E9"/>
    <w:rsid w:val="00160934"/>
    <w:rsid w:val="00164C3A"/>
    <w:rsid w:val="00172E65"/>
    <w:rsid w:val="00180C9D"/>
    <w:rsid w:val="0018583B"/>
    <w:rsid w:val="001A1A3D"/>
    <w:rsid w:val="001A4755"/>
    <w:rsid w:val="001B07D7"/>
    <w:rsid w:val="001B74DB"/>
    <w:rsid w:val="001C13D6"/>
    <w:rsid w:val="001C5AD1"/>
    <w:rsid w:val="001C5CC5"/>
    <w:rsid w:val="001C6918"/>
    <w:rsid w:val="001D0A3D"/>
    <w:rsid w:val="001D3DDD"/>
    <w:rsid w:val="001D3EF3"/>
    <w:rsid w:val="001E56F8"/>
    <w:rsid w:val="001E70B5"/>
    <w:rsid w:val="001F2404"/>
    <w:rsid w:val="002025CA"/>
    <w:rsid w:val="00210AC4"/>
    <w:rsid w:val="00213319"/>
    <w:rsid w:val="00216D49"/>
    <w:rsid w:val="002200A3"/>
    <w:rsid w:val="00220171"/>
    <w:rsid w:val="0022449B"/>
    <w:rsid w:val="00224B58"/>
    <w:rsid w:val="002319CC"/>
    <w:rsid w:val="00245087"/>
    <w:rsid w:val="00246C92"/>
    <w:rsid w:val="00250853"/>
    <w:rsid w:val="00251F8E"/>
    <w:rsid w:val="0025667C"/>
    <w:rsid w:val="0027499D"/>
    <w:rsid w:val="00276FB4"/>
    <w:rsid w:val="00277BBA"/>
    <w:rsid w:val="0028320C"/>
    <w:rsid w:val="002911C6"/>
    <w:rsid w:val="0029184B"/>
    <w:rsid w:val="00293BF8"/>
    <w:rsid w:val="002A1DD3"/>
    <w:rsid w:val="002A4183"/>
    <w:rsid w:val="002B0474"/>
    <w:rsid w:val="002B24A9"/>
    <w:rsid w:val="002C2B01"/>
    <w:rsid w:val="002C3963"/>
    <w:rsid w:val="002C59E9"/>
    <w:rsid w:val="002D1697"/>
    <w:rsid w:val="002E4FAE"/>
    <w:rsid w:val="002E7EE1"/>
    <w:rsid w:val="002F108E"/>
    <w:rsid w:val="002F2E5C"/>
    <w:rsid w:val="00310649"/>
    <w:rsid w:val="0031122E"/>
    <w:rsid w:val="00312E1F"/>
    <w:rsid w:val="00317B29"/>
    <w:rsid w:val="0032590D"/>
    <w:rsid w:val="00325B6D"/>
    <w:rsid w:val="00327938"/>
    <w:rsid w:val="00333ED2"/>
    <w:rsid w:val="00353B1A"/>
    <w:rsid w:val="003567A8"/>
    <w:rsid w:val="00361AAA"/>
    <w:rsid w:val="0039570B"/>
    <w:rsid w:val="003A552C"/>
    <w:rsid w:val="003A5BD7"/>
    <w:rsid w:val="003C2548"/>
    <w:rsid w:val="003C63C8"/>
    <w:rsid w:val="003D02F9"/>
    <w:rsid w:val="003D0D15"/>
    <w:rsid w:val="003D0E4A"/>
    <w:rsid w:val="003D17B9"/>
    <w:rsid w:val="003E12B0"/>
    <w:rsid w:val="003E6F23"/>
    <w:rsid w:val="003F1226"/>
    <w:rsid w:val="003F3573"/>
    <w:rsid w:val="003F40D4"/>
    <w:rsid w:val="00400D58"/>
    <w:rsid w:val="0040134E"/>
    <w:rsid w:val="00411708"/>
    <w:rsid w:val="0041312C"/>
    <w:rsid w:val="00414F13"/>
    <w:rsid w:val="00424F46"/>
    <w:rsid w:val="0042531D"/>
    <w:rsid w:val="004254CB"/>
    <w:rsid w:val="00426786"/>
    <w:rsid w:val="00444B59"/>
    <w:rsid w:val="0044565F"/>
    <w:rsid w:val="004576EE"/>
    <w:rsid w:val="0046063B"/>
    <w:rsid w:val="00475FDE"/>
    <w:rsid w:val="00481CE2"/>
    <w:rsid w:val="004825B2"/>
    <w:rsid w:val="00492189"/>
    <w:rsid w:val="00497488"/>
    <w:rsid w:val="004A2A58"/>
    <w:rsid w:val="004A3037"/>
    <w:rsid w:val="004A39C9"/>
    <w:rsid w:val="004A49B9"/>
    <w:rsid w:val="004C238F"/>
    <w:rsid w:val="004E503C"/>
    <w:rsid w:val="004E5901"/>
    <w:rsid w:val="004F04C7"/>
    <w:rsid w:val="004F2471"/>
    <w:rsid w:val="004F2AA6"/>
    <w:rsid w:val="00506F07"/>
    <w:rsid w:val="00516A37"/>
    <w:rsid w:val="00516EDB"/>
    <w:rsid w:val="00520445"/>
    <w:rsid w:val="00522909"/>
    <w:rsid w:val="0052304F"/>
    <w:rsid w:val="005240E4"/>
    <w:rsid w:val="00524D70"/>
    <w:rsid w:val="005252C5"/>
    <w:rsid w:val="00526B40"/>
    <w:rsid w:val="00533DDC"/>
    <w:rsid w:val="005350BD"/>
    <w:rsid w:val="00540820"/>
    <w:rsid w:val="00543898"/>
    <w:rsid w:val="00545A8D"/>
    <w:rsid w:val="0055343D"/>
    <w:rsid w:val="00553760"/>
    <w:rsid w:val="00554DBC"/>
    <w:rsid w:val="00560833"/>
    <w:rsid w:val="00565A46"/>
    <w:rsid w:val="00567475"/>
    <w:rsid w:val="00570EB2"/>
    <w:rsid w:val="00570F8A"/>
    <w:rsid w:val="00577E20"/>
    <w:rsid w:val="00581CB9"/>
    <w:rsid w:val="00582ABD"/>
    <w:rsid w:val="00586755"/>
    <w:rsid w:val="005933EE"/>
    <w:rsid w:val="005942E9"/>
    <w:rsid w:val="00597A7F"/>
    <w:rsid w:val="005A1F93"/>
    <w:rsid w:val="005A2860"/>
    <w:rsid w:val="005A6199"/>
    <w:rsid w:val="005B331C"/>
    <w:rsid w:val="005C5960"/>
    <w:rsid w:val="005D233A"/>
    <w:rsid w:val="005D5E98"/>
    <w:rsid w:val="005D6C1C"/>
    <w:rsid w:val="005E2540"/>
    <w:rsid w:val="005E5612"/>
    <w:rsid w:val="005F3782"/>
    <w:rsid w:val="005F44F7"/>
    <w:rsid w:val="005F5E01"/>
    <w:rsid w:val="0060072A"/>
    <w:rsid w:val="00603282"/>
    <w:rsid w:val="00603397"/>
    <w:rsid w:val="006169F0"/>
    <w:rsid w:val="00617ABC"/>
    <w:rsid w:val="00617B1E"/>
    <w:rsid w:val="00626EA5"/>
    <w:rsid w:val="00630EFA"/>
    <w:rsid w:val="006377AD"/>
    <w:rsid w:val="0065059A"/>
    <w:rsid w:val="0065271C"/>
    <w:rsid w:val="00661468"/>
    <w:rsid w:val="006671F8"/>
    <w:rsid w:val="00670077"/>
    <w:rsid w:val="00670217"/>
    <w:rsid w:val="00692681"/>
    <w:rsid w:val="006A01E6"/>
    <w:rsid w:val="006A36E1"/>
    <w:rsid w:val="006B4B5F"/>
    <w:rsid w:val="006B78AF"/>
    <w:rsid w:val="006C0250"/>
    <w:rsid w:val="006C5D3F"/>
    <w:rsid w:val="006D019C"/>
    <w:rsid w:val="006D2F1C"/>
    <w:rsid w:val="006E093F"/>
    <w:rsid w:val="006E3BC9"/>
    <w:rsid w:val="006F5D08"/>
    <w:rsid w:val="00700B2B"/>
    <w:rsid w:val="00705092"/>
    <w:rsid w:val="00707DFC"/>
    <w:rsid w:val="00710362"/>
    <w:rsid w:val="00710624"/>
    <w:rsid w:val="0071287F"/>
    <w:rsid w:val="00721976"/>
    <w:rsid w:val="007223E8"/>
    <w:rsid w:val="007224D6"/>
    <w:rsid w:val="00731E22"/>
    <w:rsid w:val="007322BD"/>
    <w:rsid w:val="007335A9"/>
    <w:rsid w:val="00737DEA"/>
    <w:rsid w:val="00743DFE"/>
    <w:rsid w:val="00743E25"/>
    <w:rsid w:val="00745B9A"/>
    <w:rsid w:val="00746FB1"/>
    <w:rsid w:val="0076018C"/>
    <w:rsid w:val="00763C6B"/>
    <w:rsid w:val="00765637"/>
    <w:rsid w:val="007708BF"/>
    <w:rsid w:val="0077152F"/>
    <w:rsid w:val="00775484"/>
    <w:rsid w:val="00775637"/>
    <w:rsid w:val="00780346"/>
    <w:rsid w:val="0078686E"/>
    <w:rsid w:val="00786F2F"/>
    <w:rsid w:val="00790A6F"/>
    <w:rsid w:val="00794F2D"/>
    <w:rsid w:val="007A1151"/>
    <w:rsid w:val="007A5A88"/>
    <w:rsid w:val="007C32B7"/>
    <w:rsid w:val="007C4F70"/>
    <w:rsid w:val="007C5A1C"/>
    <w:rsid w:val="007C5F52"/>
    <w:rsid w:val="007D0A89"/>
    <w:rsid w:val="007D0B81"/>
    <w:rsid w:val="007E0872"/>
    <w:rsid w:val="007E34B1"/>
    <w:rsid w:val="007E39E9"/>
    <w:rsid w:val="007F5D59"/>
    <w:rsid w:val="00803823"/>
    <w:rsid w:val="00806BAA"/>
    <w:rsid w:val="00810157"/>
    <w:rsid w:val="008156F4"/>
    <w:rsid w:val="008176F0"/>
    <w:rsid w:val="00817935"/>
    <w:rsid w:val="008206AB"/>
    <w:rsid w:val="00824CD1"/>
    <w:rsid w:val="008277E1"/>
    <w:rsid w:val="00833E48"/>
    <w:rsid w:val="00844FC4"/>
    <w:rsid w:val="00845E39"/>
    <w:rsid w:val="00846350"/>
    <w:rsid w:val="0085156D"/>
    <w:rsid w:val="0085181B"/>
    <w:rsid w:val="00852FE8"/>
    <w:rsid w:val="0086482A"/>
    <w:rsid w:val="00866CDC"/>
    <w:rsid w:val="00870C63"/>
    <w:rsid w:val="008746D2"/>
    <w:rsid w:val="00882017"/>
    <w:rsid w:val="0088253F"/>
    <w:rsid w:val="008850FC"/>
    <w:rsid w:val="008863D6"/>
    <w:rsid w:val="0089555A"/>
    <w:rsid w:val="00897DDC"/>
    <w:rsid w:val="008A03FA"/>
    <w:rsid w:val="008A6CF4"/>
    <w:rsid w:val="008B12F6"/>
    <w:rsid w:val="008C1ADC"/>
    <w:rsid w:val="008D5813"/>
    <w:rsid w:val="008E0B59"/>
    <w:rsid w:val="008E15FF"/>
    <w:rsid w:val="008E35E8"/>
    <w:rsid w:val="008E5096"/>
    <w:rsid w:val="008E534A"/>
    <w:rsid w:val="008F1733"/>
    <w:rsid w:val="008F45EA"/>
    <w:rsid w:val="008F6617"/>
    <w:rsid w:val="009018BB"/>
    <w:rsid w:val="00911C0F"/>
    <w:rsid w:val="00940450"/>
    <w:rsid w:val="00952F11"/>
    <w:rsid w:val="00953E81"/>
    <w:rsid w:val="00956102"/>
    <w:rsid w:val="009562D0"/>
    <w:rsid w:val="00965573"/>
    <w:rsid w:val="00967726"/>
    <w:rsid w:val="0096791E"/>
    <w:rsid w:val="0098098C"/>
    <w:rsid w:val="0098098F"/>
    <w:rsid w:val="009813C0"/>
    <w:rsid w:val="00987D42"/>
    <w:rsid w:val="009905B3"/>
    <w:rsid w:val="009A4326"/>
    <w:rsid w:val="009A4328"/>
    <w:rsid w:val="009B07C8"/>
    <w:rsid w:val="009B16C4"/>
    <w:rsid w:val="009B4C74"/>
    <w:rsid w:val="009B5C4D"/>
    <w:rsid w:val="009B6837"/>
    <w:rsid w:val="009C586D"/>
    <w:rsid w:val="009C5FF9"/>
    <w:rsid w:val="009D72F3"/>
    <w:rsid w:val="009E2570"/>
    <w:rsid w:val="009E3EF9"/>
    <w:rsid w:val="009F3005"/>
    <w:rsid w:val="009F475F"/>
    <w:rsid w:val="00A00B14"/>
    <w:rsid w:val="00A03256"/>
    <w:rsid w:val="00A12E50"/>
    <w:rsid w:val="00A133B3"/>
    <w:rsid w:val="00A164BD"/>
    <w:rsid w:val="00A170B9"/>
    <w:rsid w:val="00A17E67"/>
    <w:rsid w:val="00A21967"/>
    <w:rsid w:val="00A222D7"/>
    <w:rsid w:val="00A259B7"/>
    <w:rsid w:val="00A36554"/>
    <w:rsid w:val="00A37E2A"/>
    <w:rsid w:val="00A42B33"/>
    <w:rsid w:val="00A5534E"/>
    <w:rsid w:val="00A621E3"/>
    <w:rsid w:val="00A62A18"/>
    <w:rsid w:val="00A67BB2"/>
    <w:rsid w:val="00A726A8"/>
    <w:rsid w:val="00A73469"/>
    <w:rsid w:val="00A853D9"/>
    <w:rsid w:val="00A876F4"/>
    <w:rsid w:val="00A92A06"/>
    <w:rsid w:val="00A9456F"/>
    <w:rsid w:val="00AA482D"/>
    <w:rsid w:val="00AA54B3"/>
    <w:rsid w:val="00AA6629"/>
    <w:rsid w:val="00AB53B4"/>
    <w:rsid w:val="00AB7934"/>
    <w:rsid w:val="00AC1A1D"/>
    <w:rsid w:val="00AD00BB"/>
    <w:rsid w:val="00AD38A2"/>
    <w:rsid w:val="00AD4928"/>
    <w:rsid w:val="00AD7602"/>
    <w:rsid w:val="00AE2590"/>
    <w:rsid w:val="00AE4609"/>
    <w:rsid w:val="00AF25FB"/>
    <w:rsid w:val="00AF71F0"/>
    <w:rsid w:val="00B01289"/>
    <w:rsid w:val="00B01BA1"/>
    <w:rsid w:val="00B04342"/>
    <w:rsid w:val="00B04FF3"/>
    <w:rsid w:val="00B073B5"/>
    <w:rsid w:val="00B150DC"/>
    <w:rsid w:val="00B205A5"/>
    <w:rsid w:val="00B20ABB"/>
    <w:rsid w:val="00B2659F"/>
    <w:rsid w:val="00B27016"/>
    <w:rsid w:val="00B42531"/>
    <w:rsid w:val="00B45F35"/>
    <w:rsid w:val="00B52B01"/>
    <w:rsid w:val="00B626ED"/>
    <w:rsid w:val="00B62C19"/>
    <w:rsid w:val="00B642F9"/>
    <w:rsid w:val="00B7082E"/>
    <w:rsid w:val="00B71AC3"/>
    <w:rsid w:val="00B71DCF"/>
    <w:rsid w:val="00B72341"/>
    <w:rsid w:val="00B77A3A"/>
    <w:rsid w:val="00B85401"/>
    <w:rsid w:val="00B87189"/>
    <w:rsid w:val="00B91C64"/>
    <w:rsid w:val="00BB0B0F"/>
    <w:rsid w:val="00BB2A13"/>
    <w:rsid w:val="00BB4DFA"/>
    <w:rsid w:val="00BB788A"/>
    <w:rsid w:val="00BC103D"/>
    <w:rsid w:val="00BD0948"/>
    <w:rsid w:val="00BD3C5C"/>
    <w:rsid w:val="00BD3EB8"/>
    <w:rsid w:val="00BD5CD8"/>
    <w:rsid w:val="00BE6751"/>
    <w:rsid w:val="00BE77CC"/>
    <w:rsid w:val="00BF16EA"/>
    <w:rsid w:val="00BF1CE2"/>
    <w:rsid w:val="00C0106D"/>
    <w:rsid w:val="00C07570"/>
    <w:rsid w:val="00C12FAA"/>
    <w:rsid w:val="00C205C9"/>
    <w:rsid w:val="00C21A2C"/>
    <w:rsid w:val="00C238B1"/>
    <w:rsid w:val="00C23B16"/>
    <w:rsid w:val="00C3245F"/>
    <w:rsid w:val="00C36A32"/>
    <w:rsid w:val="00C375B8"/>
    <w:rsid w:val="00C5108E"/>
    <w:rsid w:val="00C52F45"/>
    <w:rsid w:val="00C551C1"/>
    <w:rsid w:val="00C57DA5"/>
    <w:rsid w:val="00C62504"/>
    <w:rsid w:val="00C63F7A"/>
    <w:rsid w:val="00C67831"/>
    <w:rsid w:val="00C7353C"/>
    <w:rsid w:val="00C740ED"/>
    <w:rsid w:val="00C852CF"/>
    <w:rsid w:val="00C908AB"/>
    <w:rsid w:val="00C92408"/>
    <w:rsid w:val="00C93B38"/>
    <w:rsid w:val="00CA61D4"/>
    <w:rsid w:val="00CA7EDF"/>
    <w:rsid w:val="00CA7FAC"/>
    <w:rsid w:val="00CB0629"/>
    <w:rsid w:val="00CB0BBD"/>
    <w:rsid w:val="00CB14BC"/>
    <w:rsid w:val="00CC20C3"/>
    <w:rsid w:val="00CC3A72"/>
    <w:rsid w:val="00CD1029"/>
    <w:rsid w:val="00CD43E8"/>
    <w:rsid w:val="00CD4643"/>
    <w:rsid w:val="00CD79AE"/>
    <w:rsid w:val="00CE4688"/>
    <w:rsid w:val="00CF1607"/>
    <w:rsid w:val="00CF2433"/>
    <w:rsid w:val="00D02FDF"/>
    <w:rsid w:val="00D12818"/>
    <w:rsid w:val="00D1414D"/>
    <w:rsid w:val="00D2042C"/>
    <w:rsid w:val="00D2231B"/>
    <w:rsid w:val="00D27851"/>
    <w:rsid w:val="00D27A92"/>
    <w:rsid w:val="00D51F5E"/>
    <w:rsid w:val="00D54118"/>
    <w:rsid w:val="00D570D3"/>
    <w:rsid w:val="00D574A2"/>
    <w:rsid w:val="00D60601"/>
    <w:rsid w:val="00D64047"/>
    <w:rsid w:val="00D6633E"/>
    <w:rsid w:val="00D67EFD"/>
    <w:rsid w:val="00D74893"/>
    <w:rsid w:val="00D77C17"/>
    <w:rsid w:val="00D77EA8"/>
    <w:rsid w:val="00D8252A"/>
    <w:rsid w:val="00D8439B"/>
    <w:rsid w:val="00D96182"/>
    <w:rsid w:val="00D96349"/>
    <w:rsid w:val="00D96634"/>
    <w:rsid w:val="00D96C2A"/>
    <w:rsid w:val="00DA0977"/>
    <w:rsid w:val="00DA10AF"/>
    <w:rsid w:val="00DA22B0"/>
    <w:rsid w:val="00DA7721"/>
    <w:rsid w:val="00DB5BB4"/>
    <w:rsid w:val="00DC6A9B"/>
    <w:rsid w:val="00DC6D66"/>
    <w:rsid w:val="00DD2A69"/>
    <w:rsid w:val="00DD3830"/>
    <w:rsid w:val="00DD4E5E"/>
    <w:rsid w:val="00DD6CEE"/>
    <w:rsid w:val="00DE24B9"/>
    <w:rsid w:val="00DE3250"/>
    <w:rsid w:val="00DE5B7A"/>
    <w:rsid w:val="00DE79F5"/>
    <w:rsid w:val="00DF32BE"/>
    <w:rsid w:val="00DF46E1"/>
    <w:rsid w:val="00DF5427"/>
    <w:rsid w:val="00DF7757"/>
    <w:rsid w:val="00E01716"/>
    <w:rsid w:val="00E05711"/>
    <w:rsid w:val="00E24747"/>
    <w:rsid w:val="00E25EDF"/>
    <w:rsid w:val="00E362FB"/>
    <w:rsid w:val="00E42D33"/>
    <w:rsid w:val="00E567D2"/>
    <w:rsid w:val="00E57DC0"/>
    <w:rsid w:val="00E6649F"/>
    <w:rsid w:val="00E66B87"/>
    <w:rsid w:val="00E80011"/>
    <w:rsid w:val="00E83BF6"/>
    <w:rsid w:val="00E83F17"/>
    <w:rsid w:val="00E9366E"/>
    <w:rsid w:val="00EA1709"/>
    <w:rsid w:val="00EA2B05"/>
    <w:rsid w:val="00EA5E8A"/>
    <w:rsid w:val="00EB0B86"/>
    <w:rsid w:val="00EB1B49"/>
    <w:rsid w:val="00EB240C"/>
    <w:rsid w:val="00EB27C9"/>
    <w:rsid w:val="00EC4EDF"/>
    <w:rsid w:val="00EC7600"/>
    <w:rsid w:val="00ED2C5C"/>
    <w:rsid w:val="00EE0E4F"/>
    <w:rsid w:val="00EE319C"/>
    <w:rsid w:val="00EE6795"/>
    <w:rsid w:val="00EE6803"/>
    <w:rsid w:val="00EE6D66"/>
    <w:rsid w:val="00EF3B48"/>
    <w:rsid w:val="00EF6F7C"/>
    <w:rsid w:val="00F07E26"/>
    <w:rsid w:val="00F14C0E"/>
    <w:rsid w:val="00F1777F"/>
    <w:rsid w:val="00F22EB4"/>
    <w:rsid w:val="00F23B61"/>
    <w:rsid w:val="00F25A8E"/>
    <w:rsid w:val="00F30C50"/>
    <w:rsid w:val="00F32CB4"/>
    <w:rsid w:val="00F34F7D"/>
    <w:rsid w:val="00F4047E"/>
    <w:rsid w:val="00F426F7"/>
    <w:rsid w:val="00F443E3"/>
    <w:rsid w:val="00F467FD"/>
    <w:rsid w:val="00F5520F"/>
    <w:rsid w:val="00F5730D"/>
    <w:rsid w:val="00F6135D"/>
    <w:rsid w:val="00F63D08"/>
    <w:rsid w:val="00F65972"/>
    <w:rsid w:val="00F71374"/>
    <w:rsid w:val="00F72497"/>
    <w:rsid w:val="00F73246"/>
    <w:rsid w:val="00F75655"/>
    <w:rsid w:val="00F81237"/>
    <w:rsid w:val="00F8473A"/>
    <w:rsid w:val="00F95E1A"/>
    <w:rsid w:val="00F970A7"/>
    <w:rsid w:val="00FA47E2"/>
    <w:rsid w:val="00FA7C73"/>
    <w:rsid w:val="00FB4E1C"/>
    <w:rsid w:val="00FC13FF"/>
    <w:rsid w:val="00FC265D"/>
    <w:rsid w:val="00FC5DCF"/>
    <w:rsid w:val="00FD4C7F"/>
    <w:rsid w:val="00FE3D81"/>
    <w:rsid w:val="00FE6FF6"/>
    <w:rsid w:val="00FE776D"/>
    <w:rsid w:val="00FE7EF1"/>
    <w:rsid w:val="00FF1E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14:docId w14:val="235A81ED"/>
  <w15:chartTrackingRefBased/>
  <w15:docId w15:val="{A7A01279-E3D5-4F80-AAB3-1C26A53C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7C8"/>
    <w:pPr>
      <w:spacing w:after="160" w:line="259" w:lineRule="auto"/>
    </w:pPr>
  </w:style>
  <w:style w:type="paragraph" w:styleId="Heading1">
    <w:name w:val="heading 1"/>
    <w:basedOn w:val="Normal"/>
    <w:next w:val="Normal"/>
    <w:link w:val="Heading1Char"/>
    <w:qFormat/>
    <w:rsid w:val="008A03FA"/>
    <w:pPr>
      <w:numPr>
        <w:numId w:val="3"/>
      </w:numPr>
      <w:spacing w:after="0" w:line="288" w:lineRule="auto"/>
      <w:ind w:left="567" w:hanging="567"/>
      <w:jc w:val="both"/>
      <w:outlineLvl w:val="0"/>
    </w:pPr>
    <w:rPr>
      <w:rFonts w:ascii="Times New Roman" w:eastAsia="Times New Roman" w:hAnsi="Times New Roman" w:cs="Times New Roman"/>
      <w:kern w:val="28"/>
    </w:rPr>
  </w:style>
  <w:style w:type="paragraph" w:styleId="Heading2">
    <w:name w:val="heading 2"/>
    <w:basedOn w:val="Normal"/>
    <w:next w:val="Normal"/>
    <w:link w:val="Heading2Char"/>
    <w:qFormat/>
    <w:rsid w:val="008A03FA"/>
    <w:pPr>
      <w:numPr>
        <w:ilvl w:val="1"/>
        <w:numId w:val="3"/>
      </w:numPr>
      <w:spacing w:after="0" w:line="288" w:lineRule="auto"/>
      <w:ind w:left="567" w:hanging="567"/>
      <w:jc w:val="both"/>
      <w:outlineLvl w:val="1"/>
    </w:pPr>
    <w:rPr>
      <w:rFonts w:ascii="Times New Roman" w:eastAsia="Times New Roman" w:hAnsi="Times New Roman" w:cs="Times New Roman"/>
    </w:rPr>
  </w:style>
  <w:style w:type="paragraph" w:styleId="Heading3">
    <w:name w:val="heading 3"/>
    <w:basedOn w:val="Normal"/>
    <w:next w:val="Normal"/>
    <w:link w:val="Heading3Char"/>
    <w:qFormat/>
    <w:rsid w:val="008A03FA"/>
    <w:pPr>
      <w:numPr>
        <w:ilvl w:val="2"/>
        <w:numId w:val="3"/>
      </w:numPr>
      <w:spacing w:after="0" w:line="288" w:lineRule="auto"/>
      <w:ind w:left="567" w:hanging="567"/>
      <w:jc w:val="both"/>
      <w:outlineLvl w:val="2"/>
    </w:pPr>
    <w:rPr>
      <w:rFonts w:ascii="Times New Roman" w:eastAsia="Times New Roman" w:hAnsi="Times New Roman" w:cs="Times New Roman"/>
    </w:rPr>
  </w:style>
  <w:style w:type="paragraph" w:styleId="Heading4">
    <w:name w:val="heading 4"/>
    <w:basedOn w:val="Normal"/>
    <w:next w:val="Normal"/>
    <w:link w:val="Heading4Char"/>
    <w:qFormat/>
    <w:rsid w:val="008A03FA"/>
    <w:pPr>
      <w:numPr>
        <w:ilvl w:val="3"/>
        <w:numId w:val="3"/>
      </w:numPr>
      <w:spacing w:after="0" w:line="288" w:lineRule="auto"/>
      <w:ind w:left="567" w:hanging="567"/>
      <w:jc w:val="both"/>
      <w:outlineLvl w:val="3"/>
    </w:pPr>
    <w:rPr>
      <w:rFonts w:ascii="Times New Roman" w:eastAsia="Times New Roman" w:hAnsi="Times New Roman" w:cs="Times New Roman"/>
    </w:rPr>
  </w:style>
  <w:style w:type="paragraph" w:styleId="Heading5">
    <w:name w:val="heading 5"/>
    <w:basedOn w:val="Normal"/>
    <w:next w:val="Normal"/>
    <w:link w:val="Heading5Char"/>
    <w:qFormat/>
    <w:rsid w:val="008A03FA"/>
    <w:pPr>
      <w:numPr>
        <w:ilvl w:val="4"/>
        <w:numId w:val="3"/>
      </w:numPr>
      <w:spacing w:after="0" w:line="288" w:lineRule="auto"/>
      <w:ind w:left="567" w:hanging="567"/>
      <w:jc w:val="both"/>
      <w:outlineLvl w:val="4"/>
    </w:pPr>
    <w:rPr>
      <w:rFonts w:ascii="Times New Roman" w:eastAsia="Times New Roman" w:hAnsi="Times New Roman" w:cs="Times New Roman"/>
    </w:rPr>
  </w:style>
  <w:style w:type="paragraph" w:styleId="Heading6">
    <w:name w:val="heading 6"/>
    <w:basedOn w:val="Normal"/>
    <w:next w:val="Normal"/>
    <w:link w:val="Heading6Char"/>
    <w:qFormat/>
    <w:rsid w:val="008A03FA"/>
    <w:pPr>
      <w:numPr>
        <w:ilvl w:val="5"/>
        <w:numId w:val="3"/>
      </w:numPr>
      <w:spacing w:after="0" w:line="288" w:lineRule="auto"/>
      <w:ind w:left="567" w:hanging="567"/>
      <w:jc w:val="both"/>
      <w:outlineLvl w:val="5"/>
    </w:pPr>
    <w:rPr>
      <w:rFonts w:ascii="Times New Roman" w:eastAsia="Times New Roman" w:hAnsi="Times New Roman" w:cs="Times New Roman"/>
    </w:rPr>
  </w:style>
  <w:style w:type="paragraph" w:styleId="Heading7">
    <w:name w:val="heading 7"/>
    <w:basedOn w:val="Normal"/>
    <w:next w:val="Normal"/>
    <w:link w:val="Heading7Char"/>
    <w:qFormat/>
    <w:rsid w:val="008A03FA"/>
    <w:pPr>
      <w:numPr>
        <w:ilvl w:val="6"/>
        <w:numId w:val="3"/>
      </w:numPr>
      <w:spacing w:after="0" w:line="288" w:lineRule="auto"/>
      <w:ind w:left="567" w:hanging="567"/>
      <w:jc w:val="both"/>
      <w:outlineLvl w:val="6"/>
    </w:pPr>
    <w:rPr>
      <w:rFonts w:ascii="Times New Roman" w:eastAsia="Times New Roman" w:hAnsi="Times New Roman" w:cs="Times New Roman"/>
    </w:rPr>
  </w:style>
  <w:style w:type="paragraph" w:styleId="Heading8">
    <w:name w:val="heading 8"/>
    <w:basedOn w:val="Normal"/>
    <w:next w:val="Normal"/>
    <w:link w:val="Heading8Char"/>
    <w:qFormat/>
    <w:rsid w:val="008A03FA"/>
    <w:pPr>
      <w:numPr>
        <w:ilvl w:val="7"/>
        <w:numId w:val="3"/>
      </w:numPr>
      <w:spacing w:after="0" w:line="288" w:lineRule="auto"/>
      <w:ind w:left="567" w:hanging="567"/>
      <w:jc w:val="both"/>
      <w:outlineLvl w:val="7"/>
    </w:pPr>
    <w:rPr>
      <w:rFonts w:ascii="Times New Roman" w:eastAsia="Times New Roman" w:hAnsi="Times New Roman" w:cs="Times New Roman"/>
    </w:rPr>
  </w:style>
  <w:style w:type="paragraph" w:styleId="Heading9">
    <w:name w:val="heading 9"/>
    <w:basedOn w:val="Normal"/>
    <w:next w:val="Normal"/>
    <w:link w:val="Heading9Char"/>
    <w:qFormat/>
    <w:rsid w:val="008A03FA"/>
    <w:pPr>
      <w:numPr>
        <w:ilvl w:val="8"/>
        <w:numId w:val="3"/>
      </w:numPr>
      <w:spacing w:after="0" w:line="288" w:lineRule="auto"/>
      <w:ind w:left="567" w:hanging="567"/>
      <w:jc w:val="both"/>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484"/>
    <w:rPr>
      <w:color w:val="0563C1"/>
      <w:u w:val="single"/>
    </w:rPr>
  </w:style>
  <w:style w:type="paragraph" w:styleId="ListParagraph">
    <w:name w:val="List Paragraph"/>
    <w:basedOn w:val="Normal"/>
    <w:uiPriority w:val="34"/>
    <w:qFormat/>
    <w:rsid w:val="00775484"/>
    <w:pPr>
      <w:ind w:left="720"/>
      <w:contextualSpacing/>
    </w:pPr>
  </w:style>
  <w:style w:type="character" w:customStyle="1" w:styleId="Heading1Char">
    <w:name w:val="Heading 1 Char"/>
    <w:basedOn w:val="DefaultParagraphFont"/>
    <w:link w:val="Heading1"/>
    <w:rsid w:val="008A03FA"/>
    <w:rPr>
      <w:rFonts w:ascii="Times New Roman" w:eastAsia="Times New Roman" w:hAnsi="Times New Roman" w:cs="Times New Roman"/>
      <w:kern w:val="28"/>
      <w:lang w:val="sv-SE"/>
    </w:rPr>
  </w:style>
  <w:style w:type="character" w:customStyle="1" w:styleId="Heading2Char">
    <w:name w:val="Heading 2 Char"/>
    <w:basedOn w:val="DefaultParagraphFont"/>
    <w:link w:val="Heading2"/>
    <w:rsid w:val="008A03FA"/>
    <w:rPr>
      <w:rFonts w:ascii="Times New Roman" w:eastAsia="Times New Roman" w:hAnsi="Times New Roman" w:cs="Times New Roman"/>
      <w:lang w:val="sv-SE"/>
    </w:rPr>
  </w:style>
  <w:style w:type="character" w:customStyle="1" w:styleId="Heading3Char">
    <w:name w:val="Heading 3 Char"/>
    <w:basedOn w:val="DefaultParagraphFont"/>
    <w:link w:val="Heading3"/>
    <w:rsid w:val="008A03FA"/>
    <w:rPr>
      <w:rFonts w:ascii="Times New Roman" w:eastAsia="Times New Roman" w:hAnsi="Times New Roman" w:cs="Times New Roman"/>
      <w:lang w:val="sv-SE"/>
    </w:rPr>
  </w:style>
  <w:style w:type="character" w:customStyle="1" w:styleId="Heading4Char">
    <w:name w:val="Heading 4 Char"/>
    <w:basedOn w:val="DefaultParagraphFont"/>
    <w:link w:val="Heading4"/>
    <w:rsid w:val="008A03FA"/>
    <w:rPr>
      <w:rFonts w:ascii="Times New Roman" w:eastAsia="Times New Roman" w:hAnsi="Times New Roman" w:cs="Times New Roman"/>
      <w:lang w:val="sv-SE"/>
    </w:rPr>
  </w:style>
  <w:style w:type="character" w:customStyle="1" w:styleId="Heading5Char">
    <w:name w:val="Heading 5 Char"/>
    <w:basedOn w:val="DefaultParagraphFont"/>
    <w:link w:val="Heading5"/>
    <w:rsid w:val="008A03FA"/>
    <w:rPr>
      <w:rFonts w:ascii="Times New Roman" w:eastAsia="Times New Roman" w:hAnsi="Times New Roman" w:cs="Times New Roman"/>
      <w:lang w:val="sv-SE"/>
    </w:rPr>
  </w:style>
  <w:style w:type="character" w:customStyle="1" w:styleId="Heading6Char">
    <w:name w:val="Heading 6 Char"/>
    <w:basedOn w:val="DefaultParagraphFont"/>
    <w:link w:val="Heading6"/>
    <w:rsid w:val="008A03FA"/>
    <w:rPr>
      <w:rFonts w:ascii="Times New Roman" w:eastAsia="Times New Roman" w:hAnsi="Times New Roman" w:cs="Times New Roman"/>
      <w:lang w:val="sv-SE"/>
    </w:rPr>
  </w:style>
  <w:style w:type="character" w:customStyle="1" w:styleId="Heading7Char">
    <w:name w:val="Heading 7 Char"/>
    <w:basedOn w:val="DefaultParagraphFont"/>
    <w:link w:val="Heading7"/>
    <w:rsid w:val="008A03FA"/>
    <w:rPr>
      <w:rFonts w:ascii="Times New Roman" w:eastAsia="Times New Roman" w:hAnsi="Times New Roman" w:cs="Times New Roman"/>
      <w:lang w:val="sv-SE"/>
    </w:rPr>
  </w:style>
  <w:style w:type="character" w:customStyle="1" w:styleId="Heading8Char">
    <w:name w:val="Heading 8 Char"/>
    <w:basedOn w:val="DefaultParagraphFont"/>
    <w:link w:val="Heading8"/>
    <w:rsid w:val="008A03FA"/>
    <w:rPr>
      <w:rFonts w:ascii="Times New Roman" w:eastAsia="Times New Roman" w:hAnsi="Times New Roman" w:cs="Times New Roman"/>
      <w:lang w:val="sv-SE"/>
    </w:rPr>
  </w:style>
  <w:style w:type="character" w:customStyle="1" w:styleId="Heading9Char">
    <w:name w:val="Heading 9 Char"/>
    <w:basedOn w:val="DefaultParagraphFont"/>
    <w:link w:val="Heading9"/>
    <w:rsid w:val="008A03FA"/>
    <w:rPr>
      <w:rFonts w:ascii="Times New Roman" w:eastAsia="Times New Roman" w:hAnsi="Times New Roman" w:cs="Times New Roman"/>
      <w:lang w:val="sv-SE"/>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fußn,o"/>
    <w:basedOn w:val="Normal"/>
    <w:link w:val="FootnoteTextChar"/>
    <w:uiPriority w:val="99"/>
    <w:qFormat/>
    <w:rsid w:val="008A03FA"/>
    <w:pPr>
      <w:keepLines/>
      <w:spacing w:after="60" w:line="240" w:lineRule="auto"/>
      <w:ind w:left="567" w:hanging="567"/>
      <w:jc w:val="both"/>
    </w:pPr>
    <w:rPr>
      <w:rFonts w:ascii="Times New Roman" w:eastAsia="Times New Roman" w:hAnsi="Times New Roman" w:cs="Times New Roman"/>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8A03FA"/>
    <w:rPr>
      <w:rFonts w:ascii="Times New Roman" w:eastAsia="Times New Roman" w:hAnsi="Times New Roman" w:cs="Times New Roman"/>
      <w:sz w:val="16"/>
      <w:lang w:val="sv-SE"/>
    </w:rPr>
  </w:style>
  <w:style w:type="character" w:styleId="FootnoteReference">
    <w:name w:val="footnote reference"/>
    <w:basedOn w:val="DefaultParagraphFont"/>
    <w:uiPriority w:val="99"/>
    <w:unhideWhenUsed/>
    <w:qFormat/>
    <w:rsid w:val="008A03FA"/>
    <w:rPr>
      <w:sz w:val="24"/>
      <w:vertAlign w:val="superscript"/>
    </w:rPr>
  </w:style>
  <w:style w:type="character" w:styleId="FollowedHyperlink">
    <w:name w:val="FollowedHyperlink"/>
    <w:basedOn w:val="DefaultParagraphFont"/>
    <w:uiPriority w:val="99"/>
    <w:semiHidden/>
    <w:unhideWhenUsed/>
    <w:rsid w:val="00C908AB"/>
    <w:rPr>
      <w:color w:val="800080" w:themeColor="followedHyperlink"/>
      <w:u w:val="single"/>
    </w:rPr>
  </w:style>
  <w:style w:type="paragraph" w:styleId="BalloonText">
    <w:name w:val="Balloon Text"/>
    <w:basedOn w:val="Normal"/>
    <w:link w:val="BalloonTextChar"/>
    <w:uiPriority w:val="99"/>
    <w:semiHidden/>
    <w:unhideWhenUsed/>
    <w:rsid w:val="00202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CA"/>
    <w:rPr>
      <w:rFonts w:ascii="Segoe UI" w:hAnsi="Segoe UI" w:cs="Segoe UI"/>
      <w:sz w:val="18"/>
      <w:szCs w:val="18"/>
    </w:rPr>
  </w:style>
  <w:style w:type="character" w:styleId="CommentReference">
    <w:name w:val="annotation reference"/>
    <w:basedOn w:val="DefaultParagraphFont"/>
    <w:uiPriority w:val="99"/>
    <w:semiHidden/>
    <w:unhideWhenUsed/>
    <w:rsid w:val="002F108E"/>
    <w:rPr>
      <w:sz w:val="16"/>
      <w:szCs w:val="16"/>
    </w:rPr>
  </w:style>
  <w:style w:type="paragraph" w:styleId="CommentText">
    <w:name w:val="annotation text"/>
    <w:basedOn w:val="Normal"/>
    <w:link w:val="CommentTextChar"/>
    <w:uiPriority w:val="99"/>
    <w:semiHidden/>
    <w:unhideWhenUsed/>
    <w:rsid w:val="002F108E"/>
    <w:pPr>
      <w:spacing w:line="240" w:lineRule="auto"/>
    </w:pPr>
    <w:rPr>
      <w:sz w:val="20"/>
      <w:szCs w:val="20"/>
    </w:rPr>
  </w:style>
  <w:style w:type="character" w:customStyle="1" w:styleId="CommentTextChar">
    <w:name w:val="Comment Text Char"/>
    <w:basedOn w:val="DefaultParagraphFont"/>
    <w:link w:val="CommentText"/>
    <w:uiPriority w:val="99"/>
    <w:semiHidden/>
    <w:rsid w:val="002F108E"/>
    <w:rPr>
      <w:sz w:val="20"/>
      <w:szCs w:val="20"/>
    </w:rPr>
  </w:style>
  <w:style w:type="paragraph" w:styleId="CommentSubject">
    <w:name w:val="annotation subject"/>
    <w:basedOn w:val="CommentText"/>
    <w:next w:val="CommentText"/>
    <w:link w:val="CommentSubjectChar"/>
    <w:uiPriority w:val="99"/>
    <w:semiHidden/>
    <w:unhideWhenUsed/>
    <w:rsid w:val="002F108E"/>
    <w:rPr>
      <w:b/>
      <w:bCs/>
    </w:rPr>
  </w:style>
  <w:style w:type="character" w:customStyle="1" w:styleId="CommentSubjectChar">
    <w:name w:val="Comment Subject Char"/>
    <w:basedOn w:val="CommentTextChar"/>
    <w:link w:val="CommentSubject"/>
    <w:uiPriority w:val="99"/>
    <w:semiHidden/>
    <w:rsid w:val="002F108E"/>
    <w:rPr>
      <w:b/>
      <w:bCs/>
      <w:sz w:val="20"/>
      <w:szCs w:val="20"/>
    </w:rPr>
  </w:style>
  <w:style w:type="character" w:customStyle="1" w:styleId="Mencinsinresolver1">
    <w:name w:val="Mención sin resolver1"/>
    <w:basedOn w:val="DefaultParagraphFont"/>
    <w:uiPriority w:val="99"/>
    <w:semiHidden/>
    <w:unhideWhenUsed/>
    <w:rsid w:val="00F970A7"/>
    <w:rPr>
      <w:color w:val="605E5C"/>
      <w:shd w:val="clear" w:color="auto" w:fill="E1DFDD"/>
    </w:rPr>
  </w:style>
  <w:style w:type="paragraph" w:styleId="Header">
    <w:name w:val="header"/>
    <w:basedOn w:val="Normal"/>
    <w:link w:val="HeaderChar"/>
    <w:uiPriority w:val="99"/>
    <w:unhideWhenUsed/>
    <w:rsid w:val="00F970A7"/>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F970A7"/>
    <w:rPr>
      <w:rFonts w:ascii="Times New Roman" w:hAnsi="Times New Roman" w:cs="Times New Roman"/>
      <w:lang w:val="sv-SE"/>
    </w:rPr>
  </w:style>
  <w:style w:type="paragraph" w:styleId="Footer">
    <w:name w:val="footer"/>
    <w:basedOn w:val="Normal"/>
    <w:link w:val="FooterChar"/>
    <w:uiPriority w:val="99"/>
    <w:unhideWhenUsed/>
    <w:rsid w:val="00F970A7"/>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F970A7"/>
    <w:rPr>
      <w:rFonts w:ascii="Times New Roman" w:hAnsi="Times New Roman" w:cs="Times New Roman"/>
      <w:lang w:val="sv-SE"/>
    </w:rPr>
  </w:style>
  <w:style w:type="paragraph" w:styleId="Revision">
    <w:name w:val="Revision"/>
    <w:hidden/>
    <w:uiPriority w:val="99"/>
    <w:semiHidden/>
    <w:rsid w:val="00353B1A"/>
    <w:pPr>
      <w:spacing w:after="0" w:line="240" w:lineRule="auto"/>
    </w:pPr>
  </w:style>
  <w:style w:type="character" w:customStyle="1" w:styleId="UnresolvedMention1">
    <w:name w:val="Unresolved Mention1"/>
    <w:basedOn w:val="DefaultParagraphFont"/>
    <w:uiPriority w:val="99"/>
    <w:semiHidden/>
    <w:unhideWhenUsed/>
    <w:rsid w:val="00F32CB4"/>
    <w:rPr>
      <w:color w:val="605E5C"/>
      <w:shd w:val="clear" w:color="auto" w:fill="E1DFDD"/>
    </w:rPr>
  </w:style>
  <w:style w:type="character" w:customStyle="1" w:styleId="UnresolvedMention2">
    <w:name w:val="Unresolved Mention2"/>
    <w:basedOn w:val="DefaultParagraphFont"/>
    <w:uiPriority w:val="99"/>
    <w:semiHidden/>
    <w:unhideWhenUsed/>
    <w:rsid w:val="00F95E1A"/>
    <w:rPr>
      <w:color w:val="605E5C"/>
      <w:shd w:val="clear" w:color="auto" w:fill="E1DFDD"/>
    </w:rPr>
  </w:style>
  <w:style w:type="table" w:customStyle="1" w:styleId="TableGrid1">
    <w:name w:val="Table Grid1"/>
    <w:basedOn w:val="TableNormal"/>
    <w:next w:val="TableGrid"/>
    <w:uiPriority w:val="39"/>
    <w:rsid w:val="0069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9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C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42947">
      <w:bodyDiv w:val="1"/>
      <w:marLeft w:val="0"/>
      <w:marRight w:val="0"/>
      <w:marTop w:val="0"/>
      <w:marBottom w:val="0"/>
      <w:divBdr>
        <w:top w:val="none" w:sz="0" w:space="0" w:color="auto"/>
        <w:left w:val="none" w:sz="0" w:space="0" w:color="auto"/>
        <w:bottom w:val="none" w:sz="0" w:space="0" w:color="auto"/>
        <w:right w:val="none" w:sz="0" w:space="0" w:color="auto"/>
      </w:divBdr>
    </w:div>
    <w:div w:id="576087027">
      <w:bodyDiv w:val="1"/>
      <w:marLeft w:val="0"/>
      <w:marRight w:val="0"/>
      <w:marTop w:val="0"/>
      <w:marBottom w:val="0"/>
      <w:divBdr>
        <w:top w:val="none" w:sz="0" w:space="0" w:color="auto"/>
        <w:left w:val="none" w:sz="0" w:space="0" w:color="auto"/>
        <w:bottom w:val="none" w:sz="0" w:space="0" w:color="auto"/>
        <w:right w:val="none" w:sz="0" w:space="0" w:color="auto"/>
      </w:divBdr>
    </w:div>
    <w:div w:id="732119233">
      <w:bodyDiv w:val="1"/>
      <w:marLeft w:val="0"/>
      <w:marRight w:val="0"/>
      <w:marTop w:val="0"/>
      <w:marBottom w:val="0"/>
      <w:divBdr>
        <w:top w:val="none" w:sz="0" w:space="0" w:color="auto"/>
        <w:left w:val="none" w:sz="0" w:space="0" w:color="auto"/>
        <w:bottom w:val="none" w:sz="0" w:space="0" w:color="auto"/>
        <w:right w:val="none" w:sz="0" w:space="0" w:color="auto"/>
      </w:divBdr>
    </w:div>
    <w:div w:id="1130511477">
      <w:bodyDiv w:val="1"/>
      <w:marLeft w:val="0"/>
      <w:marRight w:val="0"/>
      <w:marTop w:val="0"/>
      <w:marBottom w:val="0"/>
      <w:divBdr>
        <w:top w:val="none" w:sz="0" w:space="0" w:color="auto"/>
        <w:left w:val="none" w:sz="0" w:space="0" w:color="auto"/>
        <w:bottom w:val="none" w:sz="0" w:space="0" w:color="auto"/>
        <w:right w:val="none" w:sz="0" w:space="0" w:color="auto"/>
      </w:divBdr>
    </w:div>
    <w:div w:id="1253004182">
      <w:bodyDiv w:val="1"/>
      <w:marLeft w:val="0"/>
      <w:marRight w:val="0"/>
      <w:marTop w:val="0"/>
      <w:marBottom w:val="0"/>
      <w:divBdr>
        <w:top w:val="none" w:sz="0" w:space="0" w:color="auto"/>
        <w:left w:val="none" w:sz="0" w:space="0" w:color="auto"/>
        <w:bottom w:val="none" w:sz="0" w:space="0" w:color="auto"/>
        <w:right w:val="none" w:sz="0" w:space="0" w:color="auto"/>
      </w:divBdr>
    </w:div>
    <w:div w:id="1262105699">
      <w:bodyDiv w:val="1"/>
      <w:marLeft w:val="0"/>
      <w:marRight w:val="0"/>
      <w:marTop w:val="0"/>
      <w:marBottom w:val="0"/>
      <w:divBdr>
        <w:top w:val="none" w:sz="0" w:space="0" w:color="auto"/>
        <w:left w:val="none" w:sz="0" w:space="0" w:color="auto"/>
        <w:bottom w:val="none" w:sz="0" w:space="0" w:color="auto"/>
        <w:right w:val="none" w:sz="0" w:space="0" w:color="auto"/>
      </w:divBdr>
      <w:divsChild>
        <w:div w:id="650451345">
          <w:marLeft w:val="605"/>
          <w:marRight w:val="0"/>
          <w:marTop w:val="0"/>
          <w:marBottom w:val="240"/>
          <w:divBdr>
            <w:top w:val="none" w:sz="0" w:space="0" w:color="auto"/>
            <w:left w:val="none" w:sz="0" w:space="0" w:color="auto"/>
            <w:bottom w:val="none" w:sz="0" w:space="0" w:color="auto"/>
            <w:right w:val="none" w:sz="0" w:space="0" w:color="auto"/>
          </w:divBdr>
        </w:div>
        <w:div w:id="1596281621">
          <w:marLeft w:val="605"/>
          <w:marRight w:val="0"/>
          <w:marTop w:val="0"/>
          <w:marBottom w:val="240"/>
          <w:divBdr>
            <w:top w:val="none" w:sz="0" w:space="0" w:color="auto"/>
            <w:left w:val="none" w:sz="0" w:space="0" w:color="auto"/>
            <w:bottom w:val="none" w:sz="0" w:space="0" w:color="auto"/>
            <w:right w:val="none" w:sz="0" w:space="0" w:color="auto"/>
          </w:divBdr>
        </w:div>
        <w:div w:id="1379742035">
          <w:marLeft w:val="605"/>
          <w:marRight w:val="0"/>
          <w:marTop w:val="0"/>
          <w:marBottom w:val="240"/>
          <w:divBdr>
            <w:top w:val="none" w:sz="0" w:space="0" w:color="auto"/>
            <w:left w:val="none" w:sz="0" w:space="0" w:color="auto"/>
            <w:bottom w:val="none" w:sz="0" w:space="0" w:color="auto"/>
            <w:right w:val="none" w:sz="0" w:space="0" w:color="auto"/>
          </w:divBdr>
        </w:div>
      </w:divsChild>
    </w:div>
    <w:div w:id="1433086337">
      <w:bodyDiv w:val="1"/>
      <w:marLeft w:val="0"/>
      <w:marRight w:val="0"/>
      <w:marTop w:val="0"/>
      <w:marBottom w:val="0"/>
      <w:divBdr>
        <w:top w:val="none" w:sz="0" w:space="0" w:color="auto"/>
        <w:left w:val="none" w:sz="0" w:space="0" w:color="auto"/>
        <w:bottom w:val="none" w:sz="0" w:space="0" w:color="auto"/>
        <w:right w:val="none" w:sz="0" w:space="0" w:color="auto"/>
      </w:divBdr>
    </w:div>
    <w:div w:id="1651136034">
      <w:bodyDiv w:val="1"/>
      <w:marLeft w:val="0"/>
      <w:marRight w:val="0"/>
      <w:marTop w:val="0"/>
      <w:marBottom w:val="0"/>
      <w:divBdr>
        <w:top w:val="none" w:sz="0" w:space="0" w:color="auto"/>
        <w:left w:val="none" w:sz="0" w:space="0" w:color="auto"/>
        <w:bottom w:val="none" w:sz="0" w:space="0" w:color="auto"/>
        <w:right w:val="none" w:sz="0" w:space="0" w:color="auto"/>
      </w:divBdr>
    </w:div>
    <w:div w:id="1694108270">
      <w:bodyDiv w:val="1"/>
      <w:marLeft w:val="0"/>
      <w:marRight w:val="0"/>
      <w:marTop w:val="0"/>
      <w:marBottom w:val="0"/>
      <w:divBdr>
        <w:top w:val="none" w:sz="0" w:space="0" w:color="auto"/>
        <w:left w:val="none" w:sz="0" w:space="0" w:color="auto"/>
        <w:bottom w:val="none" w:sz="0" w:space="0" w:color="auto"/>
        <w:right w:val="none" w:sz="0" w:space="0" w:color="auto"/>
      </w:divBdr>
    </w:div>
    <w:div w:id="20604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s://www.eesc.europa.eu/sv/our-work/opinions-information-reports/opinions/towards-structured-youth-engagement-climate-and-sustainability-eu-decision-making-process-own-initiative-opinion" TargetMode="External"/><Relationship Id="rId26" Type="http://schemas.openxmlformats.org/officeDocument/2006/relationships/footer" Target="footer4.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9.xml"/><Relationship Id="rId16" Type="http://schemas.openxmlformats.org/officeDocument/2006/relationships/footer" Target="footer1.xml"/><Relationship Id="rId20" Type="http://schemas.openxmlformats.org/officeDocument/2006/relationships/hyperlink" Target="https://climateactiontracker.org/global/temperatures/" TargetMode="External"/><Relationship Id="rId29"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pcc.ch/2022/04/04/ipcc-ar6-wgiii-pressrelease/" TargetMode="External"/><Relationship Id="rId31"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arl.europa.eu/news/sv/press-room/20220616IPR33219/klimatet-parlamentet-driver-pa-for-snabbare-eu-atgarder-och-energioberoende" TargetMode="External"/><Relationship Id="rId13" Type="http://schemas.openxmlformats.org/officeDocument/2006/relationships/hyperlink" Target="https://eur-lex.europa.eu/legal-content/sv/ALL/?uri=CELEX:52021AE5481" TargetMode="External"/><Relationship Id="rId18" Type="http://schemas.openxmlformats.org/officeDocument/2006/relationships/hyperlink" Target="https://sdsn.eu/2021-europe-sustainable-development-report/" TargetMode="External"/><Relationship Id="rId26" Type="http://schemas.openxmlformats.org/officeDocument/2006/relationships/hyperlink" Target="https://eur-lex.europa.eu/legal-content/AUTO/?uri=OJ:JOC_2022_194_R_0010" TargetMode="External"/><Relationship Id="rId3" Type="http://schemas.openxmlformats.org/officeDocument/2006/relationships/hyperlink" Target="https://mediacentre.christianaid.org.uk/counting-the-cost/" TargetMode="External"/><Relationship Id="rId21" Type="http://schemas.openxmlformats.org/officeDocument/2006/relationships/hyperlink" Target="https://unfccc.int/news/antonio-guterres-50-of-all-climate-finance-needed-for-adaptation" TargetMode="External"/><Relationship Id="rId34" Type="http://schemas.openxmlformats.org/officeDocument/2006/relationships/hyperlink" Target="https://eur-lex.europa.eu/legal-content/sv/ALL/?uri=CELEX:52021AE5481" TargetMode="External"/><Relationship Id="rId7" Type="http://schemas.openxmlformats.org/officeDocument/2006/relationships/hyperlink" Target="https://www.eesc.europa.eu/sv/documents/resolution/war-ukraine-and-its-economic-social-and-environmental-impact" TargetMode="External"/><Relationship Id="rId12" Type="http://schemas.openxmlformats.org/officeDocument/2006/relationships/hyperlink" Target="https://www.eesc.europa.eu/sv/our-work/opinions-information-reports/opinions/social-dialogue-within-green-transition" TargetMode="External"/><Relationship Id="rId17" Type="http://schemas.openxmlformats.org/officeDocument/2006/relationships/hyperlink" Target="https://prod-cofe-platform.s3.eu-central-1.amazonaws.com/yrxmcjurtxgv7ststz3rsqtxiubh" TargetMode="External"/><Relationship Id="rId25" Type="http://schemas.openxmlformats.org/officeDocument/2006/relationships/hyperlink" Target="https://www.unep.org/ndc/resources/report/enhancing-ndcs-food-systems-recommendations-decision-makers" TargetMode="External"/><Relationship Id="rId33" Type="http://schemas.openxmlformats.org/officeDocument/2006/relationships/hyperlink" Target="https://eur-lex.europa.eu/legal-content/sv/ALL/?uri=CELEX:52021AE5481" TargetMode="External"/><Relationship Id="rId2" Type="http://schemas.openxmlformats.org/officeDocument/2006/relationships/hyperlink" Target="https://www.eea.europa.eu/highlights/economic-losses-from-weather-and" TargetMode="External"/><Relationship Id="rId16" Type="http://schemas.openxmlformats.org/officeDocument/2006/relationships/hyperlink" Target="https://www.eesc.europa.eu/sv/our-work/opinions-information-reports/opinions/fit-55-delivering-eus-2030-climate-target-way-climate-neutrality" TargetMode="External"/><Relationship Id="rId20" Type="http://schemas.openxmlformats.org/officeDocument/2006/relationships/hyperlink" Target="https://eur-lex.europa.eu/legal-content/SV/TXT/?uri=uriserv:OJ.C_.2021.374.01.0084.01.SWE&amp;toc=OJ:C:2021:374:TOC" TargetMode="External"/><Relationship Id="rId29" Type="http://schemas.openxmlformats.org/officeDocument/2006/relationships/hyperlink" Target="https://eur-lex.europa.eu/legal-content/SV/TXT/?uri=uriserv:OJ.C_.2021.374.01.0084.01.SWE&amp;toc=OJ:C:2021:374:TOC" TargetMode="External"/><Relationship Id="rId1" Type="http://schemas.openxmlformats.org/officeDocument/2006/relationships/hyperlink" Target="https://eur-lex.europa.eu/legal-content/SV/TXT/PDF/?uri=CELEX:22016A1019(01)&amp;from=SV" TargetMode="External"/><Relationship Id="rId6" Type="http://schemas.openxmlformats.org/officeDocument/2006/relationships/hyperlink" Target="https://www.ipcc.ch/report/ar6/wg3/" TargetMode="External"/><Relationship Id="rId11" Type="http://schemas.openxmlformats.org/officeDocument/2006/relationships/hyperlink" Target="https://eur-lex.europa.eu/legal-content/sv/ALL/?uri=CELEX:52021AE5481" TargetMode="External"/><Relationship Id="rId24" Type="http://schemas.openxmlformats.org/officeDocument/2006/relationships/hyperlink" Target="https://eur-lex.europa.eu/LexUriServ/LexUriServ.do?uri=OJ:C:2021:374:SOM:SV:HTML" TargetMode="External"/><Relationship Id="rId32" Type="http://schemas.openxmlformats.org/officeDocument/2006/relationships/hyperlink" Target="https://eur-lex.europa.eu/legal-content/SV/TXT/?uri=CELEX:52020AE1918&amp;qid=1663579809098" TargetMode="External"/><Relationship Id="rId37" Type="http://schemas.openxmlformats.org/officeDocument/2006/relationships/hyperlink" Target="https://www.nationalgeographic.com/environment/article/can-indigenous-land-stewardship-protect-biodiversity-" TargetMode="External"/><Relationship Id="rId5" Type="http://schemas.openxmlformats.org/officeDocument/2006/relationships/hyperlink" Target="https://www.ncei.noaa.gov/access/billions/" TargetMode="External"/><Relationship Id="rId15" Type="http://schemas.openxmlformats.org/officeDocument/2006/relationships/hyperlink" Target="https://eur-lex.europa.eu/legal-content/sv/ALL/?uri=CELEX:52021AE5481" TargetMode="External"/><Relationship Id="rId23" Type="http://schemas.openxmlformats.org/officeDocument/2006/relationships/hyperlink" Target="https://assets.website-files.com/5d26d80e8836af2d12ed1269/61657f127a13715bb8744ec3_Climate%20Change%20Mitigation%20Through%20the%20Circular%20Economy%20-%20STAP%20-%20report.pdf" TargetMode="External"/><Relationship Id="rId28" Type="http://schemas.openxmlformats.org/officeDocument/2006/relationships/hyperlink" Target="https://eur-lex.europa.eu/legal-content/SV/TXT/?uri=CELEX:52017IE1144&amp;qid=1663579454681" TargetMode="External"/><Relationship Id="rId36" Type="http://schemas.openxmlformats.org/officeDocument/2006/relationships/hyperlink" Target="https://www.eesc.europa.eu/sv/our-work/opinions-information-reports/opinions/towards-structured-youth-engagement-climate-and-sustainability-eu-decision-making-process-own-initiative-opinion" TargetMode="External"/><Relationship Id="rId10" Type="http://schemas.openxmlformats.org/officeDocument/2006/relationships/hyperlink" Target="https://eur-lex.europa.eu/legal-content/SV/TXT/?uri=CELEX:52019IE2316" TargetMode="External"/><Relationship Id="rId19" Type="http://schemas.openxmlformats.org/officeDocument/2006/relationships/hyperlink" Target="https://www.eesc.europa.eu/sv/our-work/opinions-information-reports/opinions/nature-restoration-targets-under-eu-biodiversity-strategy" TargetMode="External"/><Relationship Id="rId31" Type="http://schemas.openxmlformats.org/officeDocument/2006/relationships/hyperlink" Target="https://eur-lex.europa.eu/legal-content/sv/ALL/?uri=CELEX:52021AE5481" TargetMode="External"/><Relationship Id="rId4" Type="http://schemas.openxmlformats.org/officeDocument/2006/relationships/hyperlink" Target="https://www.cmcc.it/lectures_conferences/the-costs-of-extreme-weather-events-caused-by-climate-change" TargetMode="External"/><Relationship Id="rId9" Type="http://schemas.openxmlformats.org/officeDocument/2006/relationships/hyperlink" Target="https://www.europarl.europa.eu/news/sv/press-room/20220603IPR32133/fit-for-55-parliament-agrees-to-higher-eu-carbon-sink-ambitions-by-2030" TargetMode="External"/><Relationship Id="rId14" Type="http://schemas.openxmlformats.org/officeDocument/2006/relationships/hyperlink" Target="https://www.eesc.europa.eu/sv/our-work/opinions-information-reports/opinions/fit-55-delivering-eus-2030-climate-target-way-climate-neutrality" TargetMode="External"/><Relationship Id="rId22" Type="http://schemas.openxmlformats.org/officeDocument/2006/relationships/hyperlink" Target="https://eur-lex.europa.eu/legal-content/SV/TXT/?uri=uriserv:OJ.C_.2020.014.01.0029.01.SWE&amp;toc=OJ:C:2020:014:TOC" TargetMode="External"/><Relationship Id="rId27" Type="http://schemas.openxmlformats.org/officeDocument/2006/relationships/hyperlink" Target="https://eur-lex.europa.eu/legal-content/SV/TXT/?uri=CELEX:52020AE0994&amp;qid=1663579304870" TargetMode="External"/><Relationship Id="rId30" Type="http://schemas.openxmlformats.org/officeDocument/2006/relationships/hyperlink" Target="https://eur-lex.europa.eu/legal-content/SV/TXT/?uri=CELEX:52022AE1686&amp;qid=1663579575615" TargetMode="External"/><Relationship Id="rId35" Type="http://schemas.openxmlformats.org/officeDocument/2006/relationships/hyperlink" Target="https://wedo.org/2020-pocket-guide-to-gender-equality-under-the-unfc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8F447D380DEE94195D9369B0D252450" ma:contentTypeVersion="4" ma:contentTypeDescription="Defines the documents for Document Manager V2" ma:contentTypeScope="" ma:versionID="699c0fe4d6e743f76670b9a453ac587a">
  <xsd:schema xmlns:xsd="http://www.w3.org/2001/XMLSchema" xmlns:xs="http://www.w3.org/2001/XMLSchema" xmlns:p="http://schemas.microsoft.com/office/2006/metadata/properties" xmlns:ns2="1299d781-265f-4ceb-999e-e1eca3df2c90" xmlns:ns3="http://schemas.microsoft.com/sharepoint/v3/fields" xmlns:ns4="78feecd2-a259-4a5c-b48b-4ffcf5b9c8b1" targetNamespace="http://schemas.microsoft.com/office/2006/metadata/properties" ma:root="true" ma:fieldsID="6de033fe12ab72f6ce4561b0db774137" ns2:_="" ns3:_="" ns4:_="">
    <xsd:import namespace="1299d781-265f-4ceb-999e-e1eca3df2c90"/>
    <xsd:import namespace="http://schemas.microsoft.com/sharepoint/v3/fields"/>
    <xsd:import namespace="78feecd2-a259-4a5c-b48b-4ffcf5b9c8b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eecd2-a259-4a5c-b48b-4ffcf5b9c8b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P6FJPSUHKDC2-813086739-4256</_dlc_DocId>
    <_dlc_DocIdUrl xmlns="1299d781-265f-4ceb-999e-e1eca3df2c90">
      <Url>http://dm2016/eesc/2022/_layouts/15/DocIdRedir.aspx?ID=P6FJPSUHKDC2-813086739-4256</Url>
      <Description>P6FJPSUHKDC2-813086739-4256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2022-11-07T12:00:00+00:00</ProductionDate>
    <DocumentNumber xmlns="78feecd2-a259-4a5c-b48b-4ffcf5b9c8b1">4116</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31</Value>
      <Value>30</Value>
      <Value>29</Value>
      <Value>175</Value>
      <Value>44</Value>
      <Value>22</Value>
      <Value>54</Value>
      <Value>46</Value>
      <Value>9</Value>
      <Value>7</Value>
      <Value>6</Value>
      <Value>42</Value>
      <Value>4</Value>
      <Value>1</Value>
      <Value>37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12880</FicheNumber>
    <OriginalSender xmlns="1299d781-265f-4ceb-999e-e1eca3df2c90">
      <UserInfo>
        <DisplayName>Sermage Esther</DisplayName>
        <AccountId>1697</AccountId>
        <AccountType/>
      </UserInfo>
    </OriginalSender>
    <DocumentPart xmlns="1299d781-265f-4ceb-999e-e1eca3df2c90">0</DocumentPart>
    <AdoptionDate xmlns="1299d781-265f-4ceb-999e-e1eca3df2c90">2022-10-26T12:00:00+00:00</AdoptionDate>
    <RequestingService xmlns="1299d781-265f-4ceb-999e-e1eca3df2c90">Agriculture, développement rural et environnement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8feecd2-a259-4a5c-b48b-4ffcf5b9c8b1"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E9C5825F-5DEA-46DB-96A5-CA78539E9BB0}"/>
</file>

<file path=customXml/itemProps2.xml><?xml version="1.0" encoding="utf-8"?>
<ds:datastoreItem xmlns:ds="http://schemas.openxmlformats.org/officeDocument/2006/customXml" ds:itemID="{08DA5BA8-FA20-48A2-AD56-A18E63B1AB5F}"/>
</file>

<file path=customXml/itemProps3.xml><?xml version="1.0" encoding="utf-8"?>
<ds:datastoreItem xmlns:ds="http://schemas.openxmlformats.org/officeDocument/2006/customXml" ds:itemID="{3687A90F-6CFE-4B4F-8769-6C28AFD6F2A0}"/>
</file>

<file path=customXml/itemProps4.xml><?xml version="1.0" encoding="utf-8"?>
<ds:datastoreItem xmlns:ds="http://schemas.openxmlformats.org/officeDocument/2006/customXml" ds:itemID="{A79D502D-451B-4421-B17D-8D59E6060FA7}"/>
</file>

<file path=docProps/app.xml><?xml version="1.0" encoding="utf-8"?>
<Properties xmlns="http://schemas.openxmlformats.org/officeDocument/2006/extended-properties" xmlns:vt="http://schemas.openxmlformats.org/officeDocument/2006/docPropsVTypes">
  <Template>Normal.dotm</Template>
  <TotalTime>20</TotalTime>
  <Pages>11</Pages>
  <Words>3567</Words>
  <Characters>20336</Characters>
  <Application>Microsoft Office Word</Application>
  <DocSecurity>0</DocSecurity>
  <Lines>169</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RESOLUTION - Jointly tackling an existential threat: social partners and civil society for implementation of ambitious climate action</vt:lpstr>
      <vt:lpstr/>
    </vt:vector>
  </TitlesOfParts>
  <Company>EESC-ECOR</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 Gemensamma insatser mot ett existentiellt hot: arbetsmarknadens parter och det civila samhället förespråkar ambitiösa klimatåtgärder</dc:title>
  <dc:subject>RES</dc:subject>
  <dc:creator>Guarinoni Monica</dc:creator>
  <cp:keywords>EESC-2022-04116-00-01-RES-TRA-EN</cp:keywords>
  <dc:description>Rapporteur:  - Original language: EN - Date of document: 07/11/2022 - Date of meeting:  - External documents:  - Administrator:  CARRERAS JUDIT</dc:description>
  <cp:lastModifiedBy>Sermage Esther</cp:lastModifiedBy>
  <cp:revision>14</cp:revision>
  <cp:lastPrinted>2022-09-02T11:47:00Z</cp:lastPrinted>
  <dcterms:created xsi:type="dcterms:W3CDTF">2022-11-04T12:59:00Z</dcterms:created>
  <dcterms:modified xsi:type="dcterms:W3CDTF">2022-11-07T14:02:00Z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04/11/2022, 27/10/2022, 11/10/2022, 28/09/2022, 23/08/2022</vt:lpwstr>
  </property>
  <property fmtid="{D5CDD505-2E9C-101B-9397-08002B2CF9AE}" pid="4" name="Pref_Time">
    <vt:lpwstr>13:47:53, 09:22:51, 09:03:19, 11:45:42, 17:23:52</vt:lpwstr>
  </property>
  <property fmtid="{D5CDD505-2E9C-101B-9397-08002B2CF9AE}" pid="5" name="Pref_User">
    <vt:lpwstr>pacup, amett, jhvi, pacup, enied</vt:lpwstr>
  </property>
  <property fmtid="{D5CDD505-2E9C-101B-9397-08002B2CF9AE}" pid="6" name="Pref_FileName">
    <vt:lpwstr>EESC-2022-04116-00-01-RES-TRA-EN-CRR.docx, EESC-2022-04116-00-00-RES-TRA-EN-CRR.docx, EESC-2022-04116-00-01-PRES-ORI.docx, EESC-2022-04116-00-00-PRES-TRA.docx, EESC-2022-04116-00-00-TCD-ORI.docx</vt:lpwstr>
  </property>
  <property fmtid="{D5CDD505-2E9C-101B-9397-08002B2CF9AE}" pid="7" name="ContentTypeId">
    <vt:lpwstr>0x010100EA97B91038054C99906057A708A1480A0048F447D380DEE94195D9369B0D252450</vt:lpwstr>
  </property>
  <property fmtid="{D5CDD505-2E9C-101B-9397-08002B2CF9AE}" pid="8" name="_dlc_DocIdItemGuid">
    <vt:lpwstr>4e45e819-022a-49f7-b90e-1a7313a7fcd9</vt:lpwstr>
  </property>
  <property fmtid="{D5CDD505-2E9C-101B-9397-08002B2CF9AE}" pid="9" name="AvailableTranslations">
    <vt:lpwstr>37;#PT|50ccc04a-eadd-42ae-a0cb-acaf45f812ba;#29;#SV|c2ed69e7-a339-43d7-8f22-d93680a92aa0;#30;#PL|1e03da61-4678-4e07-b136-b5024ca9197b;#44;#LT|a7ff5ce7-6123-4f68-865a-a57c31810414;#42;#SL|98a412ae-eb01-49e9-ae3d-585a81724cfc;#31;#ES|e7a6b05b-ae16-40c8-add9-68b64b03aeba;#46;#EL|6d4f4d51-af9b-4650-94b4-4276bee85c91;#22;#DE|f6b31e5a-26fa-4935-b661-318e46daf27e;#33;#IT|0774613c-01ed-4e5d-a25d-11d2388de825;#4;#EN|f2175f21-25d7-44a3-96da-d6a61b075e1b;#54;#ET|ff6c3f4c-b02c-4c3c-ab07-2c37995a7a0a</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4116</vt:i4>
  </property>
  <property fmtid="{D5CDD505-2E9C-101B-9397-08002B2CF9AE}" pid="14" name="DocumentYear">
    <vt:i4>2022</vt:i4>
  </property>
  <property fmtid="{D5CDD505-2E9C-101B-9397-08002B2CF9AE}" pid="15" name="DocumentVersion">
    <vt:i4>1</vt:i4>
  </property>
  <property fmtid="{D5CDD505-2E9C-101B-9397-08002B2CF9AE}" pid="16" name="FicheNumber">
    <vt:i4>12880</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2022-10-26T12:00:00Z</vt:filetime>
  </property>
  <property fmtid="{D5CDD505-2E9C-101B-9397-08002B2CF9AE}" pid="22" name="DocumentType">
    <vt:lpwstr>175;#RES|9e3e62eb-6858-4bc7-8a50-3453e395fd01</vt:lpwstr>
  </property>
  <property fmtid="{D5CDD505-2E9C-101B-9397-08002B2CF9AE}" pid="23" name="RequestingService">
    <vt:lpwstr>Agriculture, développement rural et environnement</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PT|50ccc04a-eadd-42ae-a0cb-acaf45f812ba;PL|1e03da61-4678-4e07-b136-b5024ca9197b;LT|a7ff5ce7-6123-4f68-865a-a57c31810414;SL|98a412ae-eb01-49e9-ae3d-585a81724cfc;ES|e7a6b05b-ae16-40c8-add9-68b64b03aeba;EL|6d4f4d51-af9b-4650-94b4-4276bee85c91;DE|f6b31e5a-26fa-4935-b661-318e46daf27e;IT|0774613c-01ed-4e5d-a25d-11d2388de825;EN|f2175f21-25d7-44a3-96da-d6a61b075e1b;ET|ff6c3f4c-b02c-4c3c-ab07-2c37995a7a0a</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33;#IT|0774613c-01ed-4e5d-a25d-11d2388de825;#31;#ES|e7a6b05b-ae16-40c8-add9-68b64b03aeba;#30;#PL|1e03da61-4678-4e07-b136-b5024ca9197b;#175;#RES|9e3e62eb-6858-4bc7-8a50-3453e395fd01;#44;#LT|a7ff5ce7-6123-4f68-865a-a57c31810414;#22;#DE|f6b31e5a-26fa-4935-b661-318e46daf27e;#54;#ET|ff6c3f4c-b02c-4c3c-ab07-2c37995a7a0a;#46;#EL|6d4f4d51-af9b-4650-94b4-4276bee85c91;#9;#Unrestricted|826e22d7-d029-4ec0-a450-0c28ff673572;#7;#TRA|150d2a88-1431-44e6-a8ca-0bb753ab8672;#6;#Final|ea5e6674-7b27-4bac-b091-73adbb394efe;#42;#SL|98a412ae-eb01-49e9-ae3d-585a81724cfc;#4;#EN|f2175f21-25d7-44a3-96da-d6a61b075e1b;#1;#EESC|422833ec-8d7e-4e65-8e4e-8bed07ffb729;#37;#PT|50ccc04a-eadd-42ae-a0cb-acaf45f812b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29;#SV|c2ed69e7-a339-43d7-8f22-d93680a92aa0</vt:lpwstr>
  </property>
</Properties>
</file>