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Pr="000C69E5" w:rsidR="007F7CA6" w14:paraId="2E63B601" w14:textId="77777777">
        <w:trPr>
          <w:jc w:val="center"/>
        </w:trPr>
        <w:tc>
          <w:tcPr>
            <w:tcW w:w="5000" w:type="pct"/>
            <w:vAlign w:val="center"/>
          </w:tcPr>
          <w:p w:rsidRPr="000C69E5" w:rsidR="00180C9D" w:rsidP="00180C9D" w:rsidRDefault="00F4047E" w14:paraId="69E5C281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b/>
                <w:sz w:val="72"/>
                <w:szCs w:val="72"/>
              </w:rPr>
            </w:pPr>
            <w:r w:rsidRPr="000C69E5">
              <w:rPr>
                <w:rFonts w:ascii="Times New Roman" w:hAnsi="Times New Roman"/>
                <w:b/>
                <w:sz w:val="72"/>
              </w:rPr>
              <w:t>UZNESENIE</w:t>
            </w:r>
          </w:p>
        </w:tc>
      </w:tr>
      <w:tr w:rsidRPr="000C69E5" w:rsidR="007F7CA6" w14:paraId="2DC0C1BB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0C69E5" w:rsidR="00180C9D" w:rsidP="00180C9D" w:rsidRDefault="00180C9D" w14:paraId="424A0C25" w14:textId="4D79D5B9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C69E5">
              <w:rPr>
                <w:rFonts w:ascii="Times New Roman" w:hAnsi="Times New Roman"/>
                <w:sz w:val="24"/>
              </w:rPr>
              <w:t>Európsky hospodársky</w:t>
            </w:r>
            <w:r w:rsidR="000C69E5">
              <w:rPr>
                <w:rFonts w:ascii="Times New Roman" w:hAnsi="Times New Roman"/>
                <w:sz w:val="24"/>
              </w:rPr>
              <w:t xml:space="preserve"> a </w:t>
            </w:r>
            <w:r w:rsidRPr="000C69E5">
              <w:rPr>
                <w:rFonts w:ascii="Times New Roman" w:hAnsi="Times New Roman"/>
                <w:sz w:val="24"/>
              </w:rPr>
              <w:t>sociálny výbor</w:t>
            </w:r>
          </w:p>
        </w:tc>
      </w:tr>
      <w:tr w:rsidRPr="000C69E5" w:rsidR="007F7CA6" w14:paraId="433CF1C0" w14:textId="77777777">
        <w:trPr>
          <w:jc w:val="center"/>
        </w:trPr>
        <w:tc>
          <w:tcPr>
            <w:tcW w:w="5000" w:type="pct"/>
            <w:vAlign w:val="center"/>
          </w:tcPr>
          <w:p w:rsidRPr="000C69E5" w:rsidR="00F4047E" w:rsidP="00EF3B48" w:rsidRDefault="00F4047E" w14:paraId="56D4F80D" w14:textId="2F6AAED6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 w:rsidRPr="000C69E5">
              <w:rPr>
                <w:rFonts w:ascii="Times New Roman" w:hAnsi="Times New Roman"/>
                <w:b/>
                <w:sz w:val="44"/>
              </w:rPr>
              <w:t>Spoločné riešenie existenčnej hrozby: sociálni partneri</w:t>
            </w:r>
            <w:r w:rsidR="000C69E5">
              <w:rPr>
                <w:rFonts w:ascii="Times New Roman" w:hAnsi="Times New Roman"/>
                <w:b/>
                <w:sz w:val="44"/>
              </w:rPr>
              <w:t xml:space="preserve"> a </w:t>
            </w:r>
            <w:r w:rsidRPr="000C69E5">
              <w:rPr>
                <w:rFonts w:ascii="Times New Roman" w:hAnsi="Times New Roman"/>
                <w:b/>
                <w:sz w:val="44"/>
              </w:rPr>
              <w:t>občianska spoločnosť za zavedenie ambicióznych opatrení</w:t>
            </w:r>
            <w:r w:rsidR="000C69E5">
              <w:rPr>
                <w:rFonts w:ascii="Times New Roman" w:hAnsi="Times New Roman"/>
                <w:b/>
                <w:sz w:val="44"/>
              </w:rPr>
              <w:t xml:space="preserve"> v </w:t>
            </w:r>
            <w:r w:rsidRPr="000C69E5">
              <w:rPr>
                <w:rFonts w:ascii="Times New Roman" w:hAnsi="Times New Roman"/>
                <w:b/>
                <w:sz w:val="44"/>
              </w:rPr>
              <w:t>oblasti klímy</w:t>
            </w:r>
          </w:p>
        </w:tc>
      </w:tr>
      <w:tr w:rsidRPr="000C69E5" w:rsidR="007F7CA6" w14:paraId="3D3B1EB2" w14:textId="77777777">
        <w:trPr>
          <w:jc w:val="center"/>
        </w:trPr>
        <w:tc>
          <w:tcPr>
            <w:tcW w:w="5000" w:type="pct"/>
            <w:vAlign w:val="center"/>
          </w:tcPr>
          <w:p w:rsidRPr="000C69E5" w:rsidR="008A6CF4" w:rsidRDefault="008A6CF4" w14:paraId="1413233A" w14:textId="77777777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44"/>
                <w:szCs w:val="44"/>
              </w:rPr>
            </w:pPr>
            <w:r w:rsidRPr="000C69E5">
              <w:rPr>
                <w:sz w:val="24"/>
              </w:rPr>
              <w:t>_____________</w:t>
            </w:r>
          </w:p>
        </w:tc>
      </w:tr>
      <w:tr w:rsidRPr="000C69E5" w:rsidR="007F7CA6" w14:paraId="6D94E933" w14:textId="77777777">
        <w:trPr>
          <w:jc w:val="center"/>
        </w:trPr>
        <w:tc>
          <w:tcPr>
            <w:tcW w:w="5000" w:type="pct"/>
            <w:vAlign w:val="center"/>
          </w:tcPr>
          <w:p w:rsidRPr="000C69E5" w:rsidR="009A4326" w:rsidP="00180C9D" w:rsidRDefault="009A4326" w14:paraId="2015561A" w14:textId="72645BC2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  <w:sz w:val="24"/>
              </w:rPr>
              <w:t>Spoločné riešenie existenčnej hrozby: sociálni partneri</w:t>
            </w:r>
            <w:r w:rsidR="000C69E5">
              <w:rPr>
                <w:rFonts w:ascii="Times New Roman" w:hAnsi="Times New Roman"/>
                <w:sz w:val="24"/>
              </w:rPr>
              <w:t xml:space="preserve"> a </w:t>
            </w:r>
            <w:r w:rsidRPr="000C69E5">
              <w:rPr>
                <w:rFonts w:ascii="Times New Roman" w:hAnsi="Times New Roman"/>
                <w:sz w:val="24"/>
              </w:rPr>
              <w:t>občianska spoločnosť za zavedenie ambicióznych opatrení</w:t>
            </w:r>
            <w:r w:rsidR="000C69E5">
              <w:rPr>
                <w:rFonts w:ascii="Times New Roman" w:hAnsi="Times New Roman"/>
                <w:sz w:val="24"/>
              </w:rPr>
              <w:t xml:space="preserve"> v </w:t>
            </w:r>
            <w:r w:rsidRPr="000C69E5">
              <w:rPr>
                <w:rFonts w:ascii="Times New Roman" w:hAnsi="Times New Roman"/>
                <w:sz w:val="24"/>
              </w:rPr>
              <w:t>oblasti klímy</w:t>
            </w:r>
          </w:p>
        </w:tc>
      </w:tr>
      <w:tr w:rsidRPr="000C69E5" w:rsidR="007F7CA6" w14:paraId="2335F9D1" w14:textId="77777777">
        <w:trPr>
          <w:jc w:val="center"/>
        </w:trPr>
        <w:tc>
          <w:tcPr>
            <w:tcW w:w="5000" w:type="pct"/>
            <w:vAlign w:val="center"/>
          </w:tcPr>
          <w:p w:rsidRPr="000C69E5" w:rsidR="00F4047E" w:rsidP="00EF3B48" w:rsidRDefault="00180C9D" w14:paraId="04C34DDB" w14:textId="7777777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E5">
              <w:rPr>
                <w:rFonts w:ascii="Times New Roman" w:hAnsi="Times New Roman"/>
                <w:sz w:val="24"/>
              </w:rPr>
              <w:t xml:space="preserve">Spravodajcovia: </w:t>
            </w:r>
            <w:r w:rsidRPr="000C69E5">
              <w:rPr>
                <w:rFonts w:ascii="Times New Roman" w:hAnsi="Times New Roman"/>
                <w:b/>
                <w:sz w:val="24"/>
              </w:rPr>
              <w:t>Peter SCHMIDT</w:t>
            </w:r>
          </w:p>
          <w:p w:rsidRPr="000C69E5" w:rsidR="00F4047E" w:rsidP="00EF3B48" w:rsidRDefault="00F4047E" w14:paraId="538E75A4" w14:textId="77777777">
            <w:pPr>
              <w:spacing w:after="0" w:line="288" w:lineRule="auto"/>
              <w:ind w:left="20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9E5">
              <w:rPr>
                <w:rFonts w:ascii="Times New Roman" w:hAnsi="Times New Roman"/>
                <w:b/>
                <w:sz w:val="24"/>
              </w:rPr>
              <w:t>Isabel</w:t>
            </w:r>
            <w:proofErr w:type="spellEnd"/>
            <w:r w:rsidRPr="000C69E5">
              <w:rPr>
                <w:rFonts w:ascii="Times New Roman" w:hAnsi="Times New Roman"/>
                <w:b/>
                <w:sz w:val="24"/>
              </w:rPr>
              <w:t xml:space="preserve"> CAÑO AGUILAR</w:t>
            </w:r>
          </w:p>
          <w:p w:rsidRPr="000C69E5" w:rsidR="00F4047E" w:rsidP="00EF3B48" w:rsidRDefault="00F4047E" w14:paraId="1B43FF6E" w14:textId="77777777">
            <w:pPr>
              <w:spacing w:after="0" w:line="288" w:lineRule="auto"/>
              <w:ind w:left="1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E5">
              <w:rPr>
                <w:rFonts w:ascii="Times New Roman" w:hAnsi="Times New Roman"/>
                <w:b/>
                <w:sz w:val="24"/>
              </w:rPr>
              <w:t>Sandra PARTHIE</w:t>
            </w:r>
          </w:p>
          <w:p w:rsidRPr="000C69E5" w:rsidR="00F4047E" w:rsidP="00EF3B48" w:rsidRDefault="00F4047E" w14:paraId="1AAAD330" w14:textId="77777777">
            <w:pPr>
              <w:spacing w:after="0" w:line="288" w:lineRule="auto"/>
              <w:ind w:left="2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9E5">
              <w:rPr>
                <w:rFonts w:ascii="Times New Roman" w:hAnsi="Times New Roman"/>
                <w:b/>
                <w:sz w:val="24"/>
              </w:rPr>
              <w:t>Josep</w:t>
            </w:r>
            <w:proofErr w:type="spellEnd"/>
            <w:r w:rsidRPr="000C69E5">
              <w:rPr>
                <w:rFonts w:ascii="Times New Roman" w:hAnsi="Times New Roman"/>
                <w:b/>
                <w:sz w:val="24"/>
              </w:rPr>
              <w:t xml:space="preserve"> PUXEU ROCAMORA</w:t>
            </w:r>
          </w:p>
          <w:p w:rsidRPr="000C69E5" w:rsidR="00F4047E" w:rsidP="00EF3B48" w:rsidRDefault="00F4047E" w14:paraId="2674A311" w14:textId="77777777">
            <w:pPr>
              <w:spacing w:after="0" w:line="288" w:lineRule="auto"/>
              <w:ind w:left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9E5">
              <w:rPr>
                <w:rFonts w:ascii="Times New Roman" w:hAnsi="Times New Roman"/>
                <w:b/>
                <w:sz w:val="24"/>
              </w:rPr>
              <w:t>Neža</w:t>
            </w:r>
            <w:proofErr w:type="spellEnd"/>
            <w:r w:rsidRPr="000C69E5">
              <w:rPr>
                <w:rFonts w:ascii="Times New Roman" w:hAnsi="Times New Roman"/>
                <w:b/>
                <w:sz w:val="24"/>
              </w:rPr>
              <w:t xml:space="preserve"> REPANŠEK</w:t>
            </w:r>
          </w:p>
          <w:p w:rsidRPr="000C69E5" w:rsidR="00180C9D" w:rsidP="00EF3B48" w:rsidRDefault="00F4047E" w14:paraId="63A099B7" w14:textId="77777777">
            <w:pPr>
              <w:spacing w:after="0" w:line="288" w:lineRule="auto"/>
              <w:ind w:left="822"/>
              <w:jc w:val="center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  <w:b/>
                <w:sz w:val="24"/>
              </w:rPr>
              <w:t>Lutz RIBBE</w:t>
            </w:r>
          </w:p>
        </w:tc>
      </w:tr>
    </w:tbl>
    <w:p w:rsidRPr="000C69E5" w:rsidR="00180C9D" w:rsidP="00180C9D" w:rsidRDefault="008A6CF4" w14:paraId="4C29A3C2" w14:textId="4F99F3A3">
      <w:pPr>
        <w:spacing w:after="0" w:line="288" w:lineRule="auto"/>
        <w:jc w:val="center"/>
        <w:rPr>
          <w:rFonts w:ascii="Times New Roman" w:hAnsi="Times New Roman" w:eastAsia="Times New Roman" w:cs="Times New Roman"/>
        </w:rPr>
      </w:pPr>
      <w:r w:rsidRPr="000C69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410F8497" wp14:anchorId="726C5541">
                <wp:simplePos x="0" y="0"/>
                <wp:positionH relativeFrom="rightMargin">
                  <wp:posOffset>-204079</wp:posOffset>
                </wp:positionH>
                <wp:positionV relativeFrom="page">
                  <wp:posOffset>9488658</wp:posOffset>
                </wp:positionV>
                <wp:extent cx="741045" cy="431800"/>
                <wp:effectExtent l="0" t="0" r="0" b="635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9D" w:rsidP="00180C9D" w:rsidRDefault="00180C9D" w14:paraId="4C7E1FA7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6C5541">
                <v:stroke joinstyle="miter"/>
                <v:path gradientshapeok="t" o:connecttype="rect"/>
              </v:shapetype>
              <v:shape id="Text Box 17" style="position:absolute;left:0;text-align:left;margin-left:-16.05pt;margin-top:747.15pt;width:58.35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">
                <v:textbox>
                  <w:txbxContent>
                    <w:p w:rsidR="00180C9D" w:rsidP="00180C9D" w:rsidRDefault="00180C9D" w14:paraId="4C7E1FA7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0C69E5" w:rsidR="00180C9D" w:rsidP="00180C9D" w:rsidRDefault="00180C9D" w14:paraId="747C16BA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</w:rPr>
        <w:sectPr w:rsidRPr="000C69E5" w:rsidR="00180C9D" w:rsidSect="008A6CF4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Pr="000C69E5" w:rsidR="007F7CA6" w14:paraId="5982389E" w14:textId="77777777">
        <w:tc>
          <w:tcPr>
            <w:tcW w:w="3085" w:type="dxa"/>
          </w:tcPr>
          <w:p w:rsidRPr="000C69E5" w:rsidR="00180C9D" w:rsidP="00F4047E" w:rsidRDefault="009A4326" w14:paraId="5780C1D3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lastRenderedPageBreak/>
              <w:t>Právny základ</w:t>
            </w:r>
          </w:p>
        </w:tc>
        <w:tc>
          <w:tcPr>
            <w:tcW w:w="6204" w:type="dxa"/>
            <w:vAlign w:val="bottom"/>
          </w:tcPr>
          <w:p w:rsidRPr="000C69E5" w:rsidR="009A4326" w:rsidP="009A4326" w:rsidRDefault="009A4326" w14:paraId="019896FE" w14:textId="2FD4C919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článok</w:t>
            </w:r>
            <w:r w:rsidR="000C69E5">
              <w:rPr>
                <w:rFonts w:ascii="Times New Roman" w:hAnsi="Times New Roman"/>
              </w:rPr>
              <w:t> </w:t>
            </w:r>
            <w:r w:rsidRPr="000C69E5">
              <w:rPr>
                <w:rFonts w:ascii="Times New Roman" w:hAnsi="Times New Roman"/>
              </w:rPr>
              <w:t>50 rokovacieho poriadku</w:t>
            </w:r>
          </w:p>
          <w:p w:rsidRPr="000C69E5" w:rsidR="00180C9D" w:rsidP="009A4326" w:rsidRDefault="009A4326" w14:paraId="55E551DC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uznesenie</w:t>
            </w:r>
          </w:p>
        </w:tc>
      </w:tr>
      <w:tr w:rsidRPr="000C69E5" w:rsidR="007F7CA6" w14:paraId="0F1D660F" w14:textId="77777777">
        <w:tc>
          <w:tcPr>
            <w:tcW w:w="3085" w:type="dxa"/>
          </w:tcPr>
          <w:p w:rsidRPr="000C69E5" w:rsidR="00180C9D" w:rsidP="00F4047E" w:rsidRDefault="009A4326" w14:paraId="73C2E694" w14:textId="651E511F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Prijaté</w:t>
            </w:r>
            <w:r w:rsidR="000C69E5">
              <w:rPr>
                <w:rFonts w:ascii="Times New Roman" w:hAnsi="Times New Roman"/>
              </w:rPr>
              <w:t xml:space="preserve"> v </w:t>
            </w:r>
            <w:r w:rsidRPr="000C69E5">
              <w:rPr>
                <w:rFonts w:ascii="Times New Roman" w:hAnsi="Times New Roman"/>
              </w:rPr>
              <w:t>pléne</w:t>
            </w:r>
          </w:p>
        </w:tc>
        <w:tc>
          <w:tcPr>
            <w:tcW w:w="6204" w:type="dxa"/>
            <w:vAlign w:val="bottom"/>
          </w:tcPr>
          <w:p w:rsidRPr="000C69E5" w:rsidR="00180C9D" w:rsidP="00F4047E" w:rsidRDefault="006B78AF" w14:paraId="1714AC29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26/10/2022</w:t>
            </w:r>
          </w:p>
        </w:tc>
      </w:tr>
      <w:tr w:rsidRPr="000C69E5" w:rsidR="007F7CA6" w14:paraId="14510963" w14:textId="77777777">
        <w:tc>
          <w:tcPr>
            <w:tcW w:w="3085" w:type="dxa"/>
          </w:tcPr>
          <w:p w:rsidRPr="000C69E5" w:rsidR="00180C9D" w:rsidP="00F4047E" w:rsidRDefault="009A4326" w14:paraId="75E0F3A9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Plenárne zasadnutie č.</w:t>
            </w:r>
          </w:p>
        </w:tc>
        <w:tc>
          <w:tcPr>
            <w:tcW w:w="6204" w:type="dxa"/>
            <w:vAlign w:val="bottom"/>
          </w:tcPr>
          <w:p w:rsidRPr="000C69E5" w:rsidR="00180C9D" w:rsidP="00F4047E" w:rsidRDefault="006B78AF" w14:paraId="51F08CA9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573</w:t>
            </w:r>
          </w:p>
        </w:tc>
      </w:tr>
      <w:tr w:rsidRPr="000C69E5" w:rsidR="007F7CA6" w14:paraId="7E05EA2D" w14:textId="77777777">
        <w:tc>
          <w:tcPr>
            <w:tcW w:w="3085" w:type="dxa"/>
          </w:tcPr>
          <w:p w:rsidRPr="000C69E5" w:rsidR="00180C9D" w:rsidP="00F4047E" w:rsidRDefault="009A4326" w14:paraId="03E1D437" w14:textId="77777777">
            <w:pPr>
              <w:spacing w:after="0" w:line="288" w:lineRule="auto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Výsledok hlasovania</w:t>
            </w:r>
            <w:r w:rsidRPr="000C69E5">
              <w:rPr>
                <w:rFonts w:ascii="Times New Roman" w:hAnsi="Times New Roman"/>
              </w:rPr>
              <w:br/>
              <w:t>(za/proti/zdržalo sa)</w:t>
            </w:r>
          </w:p>
        </w:tc>
        <w:tc>
          <w:tcPr>
            <w:tcW w:w="6204" w:type="dxa"/>
            <w:vAlign w:val="bottom"/>
          </w:tcPr>
          <w:p w:rsidRPr="000C69E5" w:rsidR="00180C9D" w:rsidP="00E567D2" w:rsidRDefault="00B45F35" w14:paraId="0996ECC5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C69E5">
              <w:rPr>
                <w:rFonts w:ascii="Times New Roman" w:hAnsi="Times New Roman"/>
              </w:rPr>
              <w:t>104/1/0</w:t>
            </w:r>
          </w:p>
        </w:tc>
      </w:tr>
    </w:tbl>
    <w:p w:rsidRPr="000C69E5" w:rsidR="00180C9D" w:rsidP="00180C9D" w:rsidRDefault="00180C9D" w14:paraId="43F5AB6C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</w:rPr>
      </w:pPr>
    </w:p>
    <w:p w:rsidRPr="000C69E5" w:rsidR="00180C9D" w:rsidP="00180C9D" w:rsidRDefault="00180C9D" w14:paraId="42BE1771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</w:rPr>
        <w:sectPr w:rsidRPr="000C69E5" w:rsidR="00180C9D" w:rsidSect="008A6CF4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Pr="000C69E5" w:rsidR="00020F19" w:rsidP="00EF3B48" w:rsidRDefault="00020F19" w14:paraId="11960F4A" w14:textId="037AD461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E5">
        <w:rPr>
          <w:rFonts w:ascii="Times New Roman" w:hAnsi="Times New Roman"/>
          <w:b/>
          <w:sz w:val="24"/>
        </w:rPr>
        <w:lastRenderedPageBreak/>
        <w:t>Spoločné riešenie existenčnej hrozby: sociálni partneri</w:t>
      </w:r>
      <w:r w:rsidR="000C69E5">
        <w:rPr>
          <w:rFonts w:ascii="Times New Roman" w:hAnsi="Times New Roman"/>
          <w:b/>
          <w:sz w:val="24"/>
        </w:rPr>
        <w:t xml:space="preserve"> a </w:t>
      </w:r>
      <w:r w:rsidRPr="000C69E5">
        <w:rPr>
          <w:rFonts w:ascii="Times New Roman" w:hAnsi="Times New Roman"/>
          <w:b/>
          <w:sz w:val="24"/>
        </w:rPr>
        <w:t>občianska spoločnosť za zavedenie ambicióznych opatrení</w:t>
      </w:r>
      <w:r w:rsidR="000C69E5">
        <w:rPr>
          <w:rFonts w:ascii="Times New Roman" w:hAnsi="Times New Roman"/>
          <w:b/>
          <w:sz w:val="24"/>
        </w:rPr>
        <w:t xml:space="preserve"> v </w:t>
      </w:r>
      <w:r w:rsidRPr="000C69E5">
        <w:rPr>
          <w:rFonts w:ascii="Times New Roman" w:hAnsi="Times New Roman"/>
          <w:b/>
          <w:sz w:val="24"/>
        </w:rPr>
        <w:t>oblasti klímy</w:t>
      </w:r>
    </w:p>
    <w:p w:rsidRPr="000C69E5" w:rsidR="00020F19" w:rsidP="00EF3B48" w:rsidRDefault="00020F19" w14:paraId="44D53711" w14:textId="77777777">
      <w:pPr>
        <w:keepNext/>
        <w:spacing w:after="0" w:line="288" w:lineRule="auto"/>
        <w:jc w:val="center"/>
        <w:rPr>
          <w:rFonts w:ascii="Times New Roman" w:hAnsi="Times New Roman" w:cs="Times New Roman"/>
          <w:bCs/>
        </w:rPr>
      </w:pPr>
    </w:p>
    <w:p w:rsidRPr="000C69E5" w:rsidR="00020F19" w:rsidP="00EF3B48" w:rsidRDefault="00020F19" w14:paraId="42AE4EF5" w14:textId="1F80282E">
      <w:pPr>
        <w:keepNext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C69E5">
        <w:rPr>
          <w:rFonts w:ascii="Times New Roman" w:hAnsi="Times New Roman"/>
        </w:rPr>
        <w:t>Výročné zasadnutie signatárov Rámcového dohovoru Organizácie Spojených národov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zmene klímy (COP27) sa uskutoční od 6.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do 18</w:t>
      </w:r>
      <w:r w:rsidR="000C69E5">
        <w:rPr>
          <w:rFonts w:ascii="Times New Roman" w:hAnsi="Times New Roman"/>
        </w:rPr>
        <w:t>. novembra v </w:t>
      </w:r>
      <w:r w:rsidRPr="000C69E5">
        <w:rPr>
          <w:rFonts w:ascii="Times New Roman" w:hAnsi="Times New Roman"/>
        </w:rPr>
        <w:t>egyptskom Šarm aš-Šajchu.</w:t>
      </w:r>
    </w:p>
    <w:p w:rsidRPr="000C69E5" w:rsidR="00C0106D" w:rsidP="00765637" w:rsidRDefault="00C0106D" w14:paraId="3417E74B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020F19" w:rsidP="00765637" w:rsidRDefault="00570F8A" w14:paraId="1410FD5E" w14:textId="508D096E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C69E5">
        <w:rPr>
          <w:rFonts w:ascii="Times New Roman" w:hAnsi="Times New Roman"/>
        </w:rPr>
        <w:t>V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súlade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oznamom predsedníctva EHSV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22</w:t>
      </w:r>
      <w:r w:rsidR="000C69E5">
        <w:rPr>
          <w:rFonts w:ascii="Times New Roman" w:hAnsi="Times New Roman"/>
        </w:rPr>
        <w:t>. februára</w:t>
      </w:r>
      <w:r w:rsidRPr="000C69E5">
        <w:rPr>
          <w:rFonts w:ascii="Times New Roman" w:hAnsi="Times New Roman"/>
        </w:rPr>
        <w:t xml:space="preserve"> 2022 EHSV zriadil skupinu </w:t>
      </w:r>
      <w:r w:rsidR="000C69E5">
        <w:rPr>
          <w:rFonts w:ascii="Times New Roman" w:hAnsi="Times New Roman"/>
        </w:rPr>
        <w:t>ad hoc</w:t>
      </w:r>
      <w:r w:rsidRPr="000C69E5">
        <w:rPr>
          <w:rFonts w:ascii="Times New Roman" w:hAnsi="Times New Roman"/>
        </w:rPr>
        <w:t xml:space="preserve"> pre Konferenciu zmluvných strán Rámcového dohovoru Organizácie Spojených národov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zmene klímy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pripraviť uznesenie EHSV na COP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súlade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prioritami nasledujúcej konferencie zmluvných strán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rokovacími procesmi UNFCCC</w:t>
      </w:r>
      <w:r w:rsidR="000C69E5">
        <w:rPr>
          <w:rFonts w:ascii="Times New Roman" w:hAnsi="Times New Roman"/>
        </w:rPr>
        <w:t xml:space="preserve"> a s </w:t>
      </w:r>
      <w:r w:rsidRPr="000C69E5">
        <w:rPr>
          <w:rFonts w:ascii="Times New Roman" w:hAnsi="Times New Roman"/>
        </w:rPr>
        <w:t>cieľom lepšie oboznámiť celý výbor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procesom UNFCCC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zapojiť ho do rokovaní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zmene klímy.</w:t>
      </w:r>
    </w:p>
    <w:p w:rsidRPr="000C69E5" w:rsidR="00C0106D" w:rsidP="00765637" w:rsidRDefault="00C0106D" w14:paraId="6AD4BFCF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020F19" w:rsidP="00765637" w:rsidRDefault="00020F19" w14:paraId="7ECF5F08" w14:textId="2642876C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</w:rPr>
      </w:pPr>
      <w:r w:rsidRPr="000C69E5">
        <w:rPr>
          <w:rFonts w:ascii="Times New Roman" w:hAnsi="Times New Roman"/>
        </w:rPr>
        <w:t xml:space="preserve">Skupinu </w:t>
      </w:r>
      <w:r w:rsidR="000C69E5">
        <w:rPr>
          <w:rFonts w:ascii="Times New Roman" w:hAnsi="Times New Roman"/>
        </w:rPr>
        <w:t>ad hoc</w:t>
      </w:r>
      <w:r w:rsidRPr="000C69E5">
        <w:rPr>
          <w:rFonts w:ascii="Times New Roman" w:hAnsi="Times New Roman"/>
        </w:rPr>
        <w:t xml:space="preserve"> tvorí šesť členov zo sekcie NAT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zástupca mládeže, ktorý sa pravidelne zúčastňuje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nadväznosti na stanovisko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 xml:space="preserve">vlastnej iniciatívy NAT/788 na tému </w:t>
      </w:r>
      <w:hyperlink w:history="1" r:id="rId18">
        <w:r w:rsidRPr="000C69E5">
          <w:rPr>
            <w:rStyle w:val="Hyperlink"/>
            <w:rFonts w:ascii="Times New Roman" w:hAnsi="Times New Roman"/>
          </w:rPr>
          <w:t>Dosiahnuť štruktúrované zapojenie mladých</w:t>
        </w:r>
        <w:r w:rsidR="000C69E5">
          <w:rPr>
            <w:rStyle w:val="Hyperlink"/>
            <w:rFonts w:ascii="Times New Roman" w:hAnsi="Times New Roman"/>
          </w:rPr>
          <w:t xml:space="preserve"> v </w:t>
        </w:r>
        <w:r w:rsidRPr="000C69E5">
          <w:rPr>
            <w:rStyle w:val="Hyperlink"/>
            <w:rFonts w:ascii="Times New Roman" w:hAnsi="Times New Roman"/>
          </w:rPr>
          <w:t>oblasti klímy</w:t>
        </w:r>
        <w:r w:rsidR="000C69E5">
          <w:rPr>
            <w:rStyle w:val="Hyperlink"/>
            <w:rFonts w:ascii="Times New Roman" w:hAnsi="Times New Roman"/>
          </w:rPr>
          <w:t xml:space="preserve"> a </w:t>
        </w:r>
        <w:r w:rsidRPr="000C69E5">
          <w:rPr>
            <w:rStyle w:val="Hyperlink"/>
            <w:rFonts w:ascii="Times New Roman" w:hAnsi="Times New Roman"/>
          </w:rPr>
          <w:t>udržateľnosti</w:t>
        </w:r>
        <w:r w:rsidR="000C69E5">
          <w:rPr>
            <w:rStyle w:val="Hyperlink"/>
            <w:rFonts w:ascii="Times New Roman" w:hAnsi="Times New Roman"/>
          </w:rPr>
          <w:t xml:space="preserve"> v </w:t>
        </w:r>
        <w:r w:rsidRPr="000C69E5">
          <w:rPr>
            <w:rStyle w:val="Hyperlink"/>
            <w:rFonts w:ascii="Times New Roman" w:hAnsi="Times New Roman"/>
          </w:rPr>
          <w:t>rozhodovacom procese EÚ</w:t>
        </w:r>
      </w:hyperlink>
      <w:r w:rsidRPr="000C69E5">
        <w:rPr>
          <w:rFonts w:ascii="Times New Roman" w:hAnsi="Times New Roman"/>
        </w:rPr>
        <w:t>.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 xml:space="preserve">posledných mesiacoch sa skupina </w:t>
      </w:r>
      <w:r w:rsidR="000C69E5">
        <w:rPr>
          <w:rFonts w:ascii="Times New Roman" w:hAnsi="Times New Roman"/>
        </w:rPr>
        <w:t>ad hoc</w:t>
      </w:r>
      <w:r w:rsidRPr="000C69E5">
        <w:rPr>
          <w:rFonts w:ascii="Times New Roman" w:hAnsi="Times New Roman"/>
        </w:rPr>
        <w:t xml:space="preserve"> stretla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príslušnými organizáciami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inštitúciami, ako sú Európska komisia, Výbor regiónov, kancelária lídrov na vysokej úrovni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monitor opatrení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klímy, ako aj so zástupcami rôznych okruhov občianskej spoločnosti</w:t>
      </w:r>
      <w:r w:rsidR="000C69E5">
        <w:rPr>
          <w:rFonts w:ascii="Times New Roman" w:hAnsi="Times New Roman"/>
        </w:rPr>
        <w:t> – </w:t>
      </w:r>
      <w:r w:rsidRPr="000C69E5">
        <w:rPr>
          <w:rFonts w:ascii="Times New Roman" w:hAnsi="Times New Roman"/>
        </w:rPr>
        <w:t>mladých ľudí, podnikov, poľnohospodárov, odborových zväzov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environmentálnych mimovládnych organizácií</w:t>
      </w:r>
      <w:r w:rsidR="000C69E5">
        <w:rPr>
          <w:rFonts w:ascii="Times New Roman" w:hAnsi="Times New Roman"/>
        </w:rPr>
        <w:t> – s </w:t>
      </w:r>
      <w:r w:rsidRPr="000C69E5">
        <w:rPr>
          <w:rFonts w:ascii="Times New Roman" w:hAnsi="Times New Roman"/>
        </w:rPr>
        <w:t>cieľom vymieňať si informácie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hľadať synergie. Vo všetkých týchto rozhovoroch sa zdôraznila núdzová situácia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klímy.</w:t>
      </w:r>
    </w:p>
    <w:p w:rsidRPr="000C69E5" w:rsidR="00C0106D" w:rsidP="00765637" w:rsidRDefault="00C0106D" w14:paraId="747DB967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020F19" w:rsidP="00765637" w:rsidRDefault="00020F19" w14:paraId="163E9C3B" w14:textId="7D5B8756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C69E5">
        <w:rPr>
          <w:rFonts w:ascii="Times New Roman" w:hAnsi="Times New Roman"/>
        </w:rPr>
        <w:t>Rok 2022 sa stáva rokom,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ktorom zmena klímy spôsobuje extrémne výkyvy počasia prudšie než kedykoľvek predtým. Od vĺn horúčav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požiarov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Európe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častiach južnej Ázie až po katastrofálne záplavy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Pakistane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Bangladéši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dlhotrvajúce sucho vo východnej Afrike, pri ktorom zahynuli tisíce ľudí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milióny ďalších ľudí boli vysídlené alebo na pokraji hladomoru.</w:t>
      </w:r>
    </w:p>
    <w:p w:rsidRPr="000C69E5" w:rsidR="00C0106D" w:rsidP="00765637" w:rsidRDefault="00C0106D" w14:paraId="7AFC47FD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020F19" w:rsidP="00765637" w:rsidRDefault="00020F19" w14:paraId="3B62BCD5" w14:textId="206E73BA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</w:rPr>
      </w:pPr>
      <w:r w:rsidRPr="000C69E5">
        <w:rPr>
          <w:rFonts w:ascii="Times New Roman" w:hAnsi="Times New Roman"/>
          <w:spacing w:val="-6"/>
        </w:rPr>
        <w:t>V</w:t>
      </w:r>
      <w:r w:rsidRPr="000C69E5" w:rsidR="000C69E5">
        <w:rPr>
          <w:rFonts w:ascii="Times New Roman" w:hAnsi="Times New Roman"/>
          <w:spacing w:val="-6"/>
        </w:rPr>
        <w:t> </w:t>
      </w:r>
      <w:r w:rsidRPr="000C69E5">
        <w:rPr>
          <w:rFonts w:ascii="Times New Roman" w:hAnsi="Times New Roman"/>
          <w:spacing w:val="-6"/>
        </w:rPr>
        <w:t>tejto súvislosti sa</w:t>
      </w:r>
      <w:r w:rsidRPr="000C69E5" w:rsidR="000C69E5">
        <w:rPr>
          <w:rFonts w:ascii="Times New Roman" w:hAnsi="Times New Roman"/>
          <w:spacing w:val="-6"/>
        </w:rPr>
        <w:t xml:space="preserve"> v </w:t>
      </w:r>
      <w:r w:rsidRPr="000C69E5">
        <w:rPr>
          <w:rFonts w:ascii="Times New Roman" w:hAnsi="Times New Roman"/>
          <w:spacing w:val="-6"/>
        </w:rPr>
        <w:t xml:space="preserve">nedávnej správe </w:t>
      </w:r>
      <w:hyperlink w:history="1" r:id="rId19">
        <w:r w:rsidRPr="000C69E5">
          <w:rPr>
            <w:rStyle w:val="Hyperlink"/>
            <w:rFonts w:ascii="Times New Roman" w:hAnsi="Times New Roman"/>
            <w:spacing w:val="-6"/>
          </w:rPr>
          <w:t>Medzivládneho panelu</w:t>
        </w:r>
        <w:r w:rsidRPr="000C69E5" w:rsidR="000C69E5">
          <w:rPr>
            <w:rStyle w:val="Hyperlink"/>
            <w:rFonts w:ascii="Times New Roman" w:hAnsi="Times New Roman"/>
            <w:spacing w:val="-6"/>
          </w:rPr>
          <w:t xml:space="preserve"> o </w:t>
        </w:r>
        <w:r w:rsidRPr="000C69E5">
          <w:rPr>
            <w:rStyle w:val="Hyperlink"/>
            <w:rFonts w:ascii="Times New Roman" w:hAnsi="Times New Roman"/>
            <w:spacing w:val="-6"/>
          </w:rPr>
          <w:t>zmene klímy</w:t>
        </w:r>
      </w:hyperlink>
      <w:r w:rsidRPr="000C69E5">
        <w:rPr>
          <w:rFonts w:ascii="Times New Roman" w:hAnsi="Times New Roman"/>
          <w:spacing w:val="-6"/>
        </w:rPr>
        <w:t xml:space="preserve"> (IPCC) uvádza, že na obmedzenie globálneho otepľovania na</w:t>
      </w:r>
      <w:r w:rsidRPr="000C69E5" w:rsidR="000C69E5">
        <w:rPr>
          <w:rFonts w:ascii="Times New Roman" w:hAnsi="Times New Roman"/>
          <w:spacing w:val="-6"/>
        </w:rPr>
        <w:t> </w:t>
      </w:r>
      <w:r w:rsidRPr="000C69E5">
        <w:rPr>
          <w:rFonts w:ascii="Times New Roman" w:hAnsi="Times New Roman"/>
          <w:spacing w:val="-6"/>
        </w:rPr>
        <w:t>1,5 °C musia emisie skleníkových plynov dosiahnuť vrchol „najneskôr do roku 2025“, že emisie sa musia do roku 2030 znížiť</w:t>
      </w:r>
      <w:r w:rsidRPr="000C69E5" w:rsidR="000C69E5">
        <w:rPr>
          <w:rFonts w:ascii="Times New Roman" w:hAnsi="Times New Roman"/>
          <w:spacing w:val="-6"/>
        </w:rPr>
        <w:t xml:space="preserve"> o </w:t>
      </w:r>
      <w:r w:rsidRPr="000C69E5">
        <w:rPr>
          <w:rFonts w:ascii="Times New Roman" w:hAnsi="Times New Roman"/>
          <w:spacing w:val="-6"/>
        </w:rPr>
        <w:t>polovicu</w:t>
      </w:r>
      <w:r w:rsidRPr="000C69E5" w:rsidR="000C69E5">
        <w:rPr>
          <w:rFonts w:ascii="Times New Roman" w:hAnsi="Times New Roman"/>
          <w:spacing w:val="-6"/>
        </w:rPr>
        <w:t xml:space="preserve"> a </w:t>
      </w:r>
      <w:r w:rsidRPr="000C69E5">
        <w:rPr>
          <w:rFonts w:ascii="Times New Roman" w:hAnsi="Times New Roman"/>
          <w:spacing w:val="-6"/>
        </w:rPr>
        <w:t>že na dosiahnutie tohto cieľa je nevyhnutné výrazné</w:t>
      </w:r>
      <w:r w:rsidRPr="000C69E5" w:rsidR="000C69E5">
        <w:rPr>
          <w:rFonts w:ascii="Times New Roman" w:hAnsi="Times New Roman"/>
          <w:spacing w:val="-6"/>
        </w:rPr>
        <w:t xml:space="preserve"> a </w:t>
      </w:r>
      <w:r w:rsidRPr="000C69E5">
        <w:rPr>
          <w:rFonts w:ascii="Times New Roman" w:hAnsi="Times New Roman"/>
          <w:spacing w:val="-6"/>
        </w:rPr>
        <w:t xml:space="preserve">okamžité zníženie emisií vo všetkých odvetviach. </w:t>
      </w:r>
      <w:hyperlink w:history="1" r:id="rId20">
        <w:r w:rsidRPr="000C69E5">
          <w:rPr>
            <w:rStyle w:val="Hyperlink"/>
            <w:rFonts w:ascii="Times New Roman" w:hAnsi="Times New Roman"/>
            <w:spacing w:val="-6"/>
          </w:rPr>
          <w:t>Súčasné politiky</w:t>
        </w:r>
      </w:hyperlink>
      <w:r w:rsidRPr="000C69E5">
        <w:rPr>
          <w:rFonts w:ascii="Times New Roman" w:hAnsi="Times New Roman"/>
          <w:spacing w:val="-6"/>
        </w:rPr>
        <w:t xml:space="preserve"> sú však navrhnuté tak, aby sa dosiahlo približne 2,7 °C</w:t>
      </w:r>
      <w:r w:rsidRPr="000C69E5" w:rsidR="000C69E5">
        <w:rPr>
          <w:rFonts w:ascii="Times New Roman" w:hAnsi="Times New Roman"/>
          <w:spacing w:val="-6"/>
        </w:rPr>
        <w:t> a </w:t>
      </w:r>
      <w:r w:rsidRPr="000C69E5">
        <w:rPr>
          <w:rFonts w:ascii="Times New Roman" w:hAnsi="Times New Roman"/>
          <w:spacing w:val="-6"/>
        </w:rPr>
        <w:t>súčasné záväzky jednotlivých krajín</w:t>
      </w:r>
      <w:r w:rsidRPr="000C69E5" w:rsidR="000C69E5">
        <w:rPr>
          <w:rFonts w:ascii="Times New Roman" w:hAnsi="Times New Roman"/>
          <w:spacing w:val="-6"/>
        </w:rPr>
        <w:t> –</w:t>
      </w:r>
      <w:r w:rsidR="000C69E5">
        <w:rPr>
          <w:rFonts w:ascii="Times New Roman" w:hAnsi="Times New Roman"/>
          <w:spacing w:val="-6"/>
        </w:rPr>
        <w:t> </w:t>
      </w:r>
      <w:r w:rsidRPr="000C69E5">
        <w:rPr>
          <w:rFonts w:ascii="Times New Roman" w:hAnsi="Times New Roman"/>
          <w:i/>
          <w:spacing w:val="-6"/>
        </w:rPr>
        <w:t>vnútroštátne stanovené príspevky</w:t>
      </w:r>
      <w:r w:rsidRPr="000C69E5" w:rsidR="000C69E5">
        <w:rPr>
          <w:rFonts w:ascii="Times New Roman" w:hAnsi="Times New Roman"/>
          <w:spacing w:val="-6"/>
        </w:rPr>
        <w:t> – </w:t>
      </w:r>
      <w:r w:rsidRPr="000C69E5">
        <w:rPr>
          <w:rFonts w:ascii="Times New Roman" w:hAnsi="Times New Roman"/>
          <w:spacing w:val="-6"/>
        </w:rPr>
        <w:t>obmedzia otepľovanie na 2,4 °C.</w:t>
      </w:r>
    </w:p>
    <w:p w:rsidRPr="000C69E5" w:rsidR="00C0106D" w:rsidP="00765637" w:rsidRDefault="00C0106D" w14:paraId="55F2FE09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020F19" w:rsidP="00765637" w:rsidRDefault="00020F19" w14:paraId="6608841F" w14:textId="7F56AC5E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C69E5">
        <w:rPr>
          <w:rFonts w:ascii="Times New Roman" w:hAnsi="Times New Roman"/>
        </w:rPr>
        <w:t>Invázia Ruska na Ukrajinu dramaticky skomplikovala už aj tak ekonomicky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sociálne zložitú situáciu. Núdzový stav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 však nepočká. Každé osobitné opatrenie musí byť výnimočné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časovo obmedzené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Európska únia musí urýchliť pretváranie svojej politiky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energetiky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klímy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zmierniť krátkodobé otrasy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zároveň napredovať smerom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neodvratnej dekarbonizácii spoločností. Európa musí byť lídrom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opatreniach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jej politické opatrenia musia zodpovedať jej ambíciám.</w:t>
      </w:r>
    </w:p>
    <w:p w:rsidRPr="000C69E5" w:rsidR="00C0106D" w:rsidP="00765637" w:rsidRDefault="00C0106D" w14:paraId="6FC185D5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020F19" w:rsidP="00765637" w:rsidRDefault="00020F19" w14:paraId="6E381DC8" w14:textId="322DE876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C69E5">
        <w:rPr>
          <w:rFonts w:ascii="Times New Roman" w:hAnsi="Times New Roman"/>
        </w:rPr>
        <w:t>V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 xml:space="preserve">uznesení, ktoré vypracovali členovia skupiny </w:t>
      </w:r>
      <w:r w:rsidR="000C69E5">
        <w:rPr>
          <w:rFonts w:ascii="Times New Roman" w:hAnsi="Times New Roman"/>
        </w:rPr>
        <w:t>ad hoc</w:t>
      </w:r>
      <w:r w:rsidRPr="000C69E5">
        <w:rPr>
          <w:rFonts w:ascii="Times New Roman" w:hAnsi="Times New Roman"/>
        </w:rPr>
        <w:t>, sa inštitúcie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vlády EÚ vyzývajú, aby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súlade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vedou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vedeckými poznatkami zvýšili ambície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klímy, pričom sa kladie osobitný dôraz na úlohu organizovanej občianskej spoločnosti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snahe urýchliť opatrenia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klímy. Sociálnu odolnosť možno posilniť len prostredníctvom posilnenej občianskej spoločnosti, sociálnych aktérov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hnutí na miestnej úrovni.</w:t>
      </w:r>
    </w:p>
    <w:p w:rsidRPr="000C69E5" w:rsidR="00765637" w:rsidP="00765637" w:rsidRDefault="00765637" w14:paraId="79DB86F3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Pr="000C69E5" w:rsidR="00765637" w:rsidRDefault="00020F19" w14:paraId="75D51DDF" w14:textId="7631CDF1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</w:rPr>
      </w:pPr>
      <w:r w:rsidRPr="000C69E5">
        <w:rPr>
          <w:rFonts w:ascii="Times New Roman" w:hAnsi="Times New Roman"/>
          <w:i/>
        </w:rPr>
        <w:lastRenderedPageBreak/>
        <w:t>Sme poslednou generáciou, ktorá môže zastaviť zmenu klímy,</w:t>
      </w:r>
      <w:r w:rsidR="000C69E5">
        <w:rPr>
          <w:rFonts w:ascii="Times New Roman" w:hAnsi="Times New Roman"/>
          <w:i/>
        </w:rPr>
        <w:t xml:space="preserve"> a </w:t>
      </w:r>
      <w:r w:rsidRPr="000C69E5">
        <w:rPr>
          <w:rFonts w:ascii="Times New Roman" w:hAnsi="Times New Roman"/>
          <w:i/>
        </w:rPr>
        <w:t>EHSV ako hlas európskej občianskej spoločnosti by mal zohrávať vedúcu úlohu pri podpore tejto premeny na uhlíkovo neutrálne, inkluzívne</w:t>
      </w:r>
      <w:r w:rsidR="000C69E5">
        <w:rPr>
          <w:rFonts w:ascii="Times New Roman" w:hAnsi="Times New Roman"/>
          <w:i/>
        </w:rPr>
        <w:t xml:space="preserve"> a </w:t>
      </w:r>
      <w:r w:rsidRPr="000C69E5">
        <w:rPr>
          <w:rFonts w:ascii="Times New Roman" w:hAnsi="Times New Roman"/>
          <w:i/>
        </w:rPr>
        <w:t>sociálne spravodlivé spoločnosti.</w:t>
      </w:r>
      <w:r w:rsidRPr="000C69E5">
        <w:rPr>
          <w:rFonts w:ascii="Times New Roman" w:hAnsi="Times New Roman"/>
          <w:i/>
        </w:rPr>
        <w:br w:type="page"/>
      </w:r>
    </w:p>
    <w:p w:rsidRPr="000C69E5" w:rsidR="0040134E" w:rsidP="00EF3B48" w:rsidRDefault="0040134E" w14:paraId="0BE7EF1F" w14:textId="41B56B1D">
      <w:pPr>
        <w:keepNext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C69E5">
        <w:rPr>
          <w:rFonts w:ascii="Times New Roman" w:hAnsi="Times New Roman"/>
          <w:b/>
        </w:rPr>
        <w:lastRenderedPageBreak/>
        <w:t>POLITICKÉ ODPORÚČANIA EURÓPSKEHO HOSPODÁRSKEHO A</w:t>
      </w:r>
      <w:r w:rsidR="000C69E5">
        <w:rPr>
          <w:rFonts w:ascii="Times New Roman" w:hAnsi="Times New Roman"/>
          <w:b/>
        </w:rPr>
        <w:t> </w:t>
      </w:r>
      <w:r w:rsidRPr="000C69E5">
        <w:rPr>
          <w:rFonts w:ascii="Times New Roman" w:hAnsi="Times New Roman"/>
          <w:b/>
        </w:rPr>
        <w:t>SOCIÁLNEHO VÝBORU</w:t>
      </w:r>
    </w:p>
    <w:p w:rsidRPr="000C69E5" w:rsidR="00765637" w:rsidP="00EF3B48" w:rsidRDefault="00765637" w14:paraId="5BCD3C85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Pr="000C69E5" w:rsidR="0040134E" w:rsidP="00EF3B48" w:rsidRDefault="00492189" w14:paraId="6B97A65C" w14:textId="486976F7">
      <w:pPr>
        <w:keepNext/>
        <w:spacing w:after="0" w:line="288" w:lineRule="auto"/>
        <w:jc w:val="both"/>
        <w:rPr>
          <w:rFonts w:ascii="Times New Roman" w:hAnsi="Times New Roman"/>
          <w:bCs/>
          <w:i/>
        </w:rPr>
      </w:pPr>
      <w:r w:rsidRPr="000C69E5">
        <w:rPr>
          <w:rFonts w:ascii="Times New Roman" w:hAnsi="Times New Roman"/>
          <w:b/>
          <w:i/>
        </w:rPr>
        <w:t>Ambicióznejšie klimatické ciele</w:t>
      </w:r>
      <w:r w:rsidR="000C69E5">
        <w:rPr>
          <w:rFonts w:ascii="Times New Roman" w:hAnsi="Times New Roman"/>
          <w:b/>
          <w:i/>
        </w:rPr>
        <w:t xml:space="preserve"> v </w:t>
      </w:r>
      <w:r w:rsidRPr="000C69E5">
        <w:rPr>
          <w:rFonts w:ascii="Times New Roman" w:hAnsi="Times New Roman"/>
          <w:b/>
          <w:i/>
        </w:rPr>
        <w:t>snahe zvládnuť núdzovú situáciu</w:t>
      </w:r>
      <w:r w:rsidR="000C69E5">
        <w:rPr>
          <w:rFonts w:ascii="Times New Roman" w:hAnsi="Times New Roman"/>
          <w:b/>
          <w:i/>
        </w:rPr>
        <w:t xml:space="preserve"> v </w:t>
      </w:r>
      <w:r w:rsidRPr="000C69E5">
        <w:rPr>
          <w:rFonts w:ascii="Times New Roman" w:hAnsi="Times New Roman"/>
          <w:b/>
          <w:i/>
        </w:rPr>
        <w:t>oblasti klímy</w:t>
      </w:r>
      <w:r w:rsidR="000C69E5">
        <w:rPr>
          <w:rFonts w:ascii="Times New Roman" w:hAnsi="Times New Roman"/>
          <w:b/>
          <w:i/>
        </w:rPr>
        <w:t xml:space="preserve"> a </w:t>
      </w:r>
      <w:r w:rsidRPr="000C69E5">
        <w:rPr>
          <w:rFonts w:ascii="Times New Roman" w:hAnsi="Times New Roman"/>
          <w:b/>
          <w:i/>
        </w:rPr>
        <w:t>intenzívnejšie opatrenia EÚ</w:t>
      </w:r>
      <w:r w:rsidR="000C69E5">
        <w:rPr>
          <w:rFonts w:ascii="Times New Roman" w:hAnsi="Times New Roman"/>
          <w:b/>
          <w:i/>
        </w:rPr>
        <w:t xml:space="preserve"> v </w:t>
      </w:r>
      <w:r w:rsidRPr="000C69E5">
        <w:rPr>
          <w:rFonts w:ascii="Times New Roman" w:hAnsi="Times New Roman"/>
          <w:b/>
          <w:i/>
        </w:rPr>
        <w:t>oblasti klímy</w:t>
      </w:r>
    </w:p>
    <w:p w:rsidRPr="000C69E5" w:rsidR="00765637" w:rsidP="00EF3B48" w:rsidRDefault="00765637" w14:paraId="33D614C7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eastAsia="en-GB"/>
        </w:rPr>
      </w:pPr>
    </w:p>
    <w:p w:rsidRPr="000C69E5" w:rsidR="00A133B3" w:rsidRDefault="001522F6" w14:paraId="36E7EBC9" w14:textId="4D5AA12D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0C69E5">
        <w:rPr>
          <w:rFonts w:ascii="Times New Roman" w:hAnsi="Times New Roman"/>
        </w:rPr>
        <w:t>Ako hlas organizovanej občianskej spoločnosti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Európe, ako poradný orgán Európskeho parlamentu, Rady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Komisie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ako súčasť globálnej komunity občianskej spoločnosti,</w:t>
      </w:r>
    </w:p>
    <w:p w:rsidRPr="000C69E5" w:rsidR="00A133B3" w:rsidP="00F5520F" w:rsidRDefault="00A133B3" w14:paraId="7A4D618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  <w:sz w:val="16"/>
          <w:szCs w:val="16"/>
          <w:lang w:eastAsia="en-GB"/>
        </w:rPr>
      </w:pPr>
    </w:p>
    <w:p w:rsidRPr="000C69E5" w:rsidR="00C5108E" w:rsidP="00F5520F" w:rsidRDefault="001522F6" w14:paraId="05A333EA" w14:textId="382A068B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Európsky hospodársky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sociálny výbor (EHSV) poukazuje na to, že Rámcový dohovor Organizácie Spojených národov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zmene klímy (UNFCCC) bol prijatý pred 30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rokmi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konečným cieľom dosiahnuť „stabilizáciu koncentrácií skleníkových plynov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atmosfére na úrovni, ktorá bráni nebezpečnému antropogénnemu zasahovaniu do klimatického systému“ (článok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2),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tento cieľ sa nedosiahol;</w:t>
      </w:r>
    </w:p>
    <w:p w:rsidRPr="000C69E5" w:rsidR="00E25EDF" w:rsidP="00F5520F" w:rsidRDefault="00E25EDF" w14:paraId="610B5094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Pr="000C69E5" w:rsidR="00A73469" w:rsidP="00F5520F" w:rsidRDefault="00FC5DCF" w14:paraId="0A1F1CEE" w14:textId="7E6B95CC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poukazuje na to, že Parížska dohoda nás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roku 2015 posunula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kvalitatívneho cieľa dohovoru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zmene klímy</w:t>
      </w:r>
      <w:r w:rsidR="000C69E5">
        <w:rPr>
          <w:rFonts w:ascii="Times New Roman" w:hAnsi="Times New Roman"/>
        </w:rPr>
        <w:t> – </w:t>
      </w:r>
      <w:r w:rsidRPr="000C69E5">
        <w:rPr>
          <w:rFonts w:ascii="Times New Roman" w:hAnsi="Times New Roman"/>
        </w:rPr>
        <w:t>zabrániť zasahovaniu do klímy</w:t>
      </w:r>
      <w:r w:rsidR="000C69E5">
        <w:rPr>
          <w:rFonts w:ascii="Times New Roman" w:hAnsi="Times New Roman"/>
        </w:rPr>
        <w:t> – </w:t>
      </w:r>
      <w:r w:rsidRPr="000C69E5">
        <w:rPr>
          <w:rFonts w:ascii="Times New Roman" w:hAnsi="Times New Roman"/>
        </w:rPr>
        <w:t>na kvantitatívny cieľ: „udržať zvýšenie globálnej priemernej teploty výrazne pod hodnotou 2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°C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porovnaní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hodnotami predindustriálneho obdobia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vynaložiť úsilie na obmedzenie zvýšenia teploty na 1,5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°C</w:t>
      </w:r>
      <w:r w:rsidR="000C69E5">
        <w:rPr>
          <w:rFonts w:ascii="Times New Roman" w:hAnsi="Times New Roman"/>
        </w:rPr>
        <w:t> v </w:t>
      </w:r>
      <w:r w:rsidRPr="000C69E5">
        <w:rPr>
          <w:rFonts w:ascii="Times New Roman" w:hAnsi="Times New Roman"/>
        </w:rPr>
        <w:t>porovnaní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hodnotami predindustriálneho obdobia“</w:t>
      </w:r>
      <w:r w:rsidRPr="000C69E5" w:rsidR="00C5108E">
        <w:rPr>
          <w:rStyle w:val="FootnoteReference"/>
          <w:rFonts w:ascii="Times New Roman" w:hAnsi="Times New Roman" w:cs="Times New Roman"/>
        </w:rPr>
        <w:footnoteReference w:id="2"/>
      </w:r>
      <w:r w:rsidRPr="000C69E5">
        <w:rPr>
          <w:rFonts w:ascii="Times New Roman" w:hAnsi="Times New Roman"/>
        </w:rPr>
        <w:t>;</w:t>
      </w:r>
    </w:p>
    <w:p w:rsidRPr="000C69E5" w:rsidR="00A73469" w:rsidP="00F5520F" w:rsidRDefault="00A73469" w14:paraId="66A57DCC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Pr="000C69E5" w:rsidR="00C5108E" w:rsidP="00F5520F" w:rsidRDefault="00C5108E" w14:paraId="75D7E2CF" w14:textId="4DAE7F7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zdôrazňuje, že cieľ 1,5 °C nebude stačiť na to, aby sa zabránilo dramatickým dôsledkom zmeny klímy. Ako vyplýva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dôkazov, zmena klímy už mení každý región na celom svete.</w:t>
      </w:r>
      <w:r w:rsidRPr="000C69E5">
        <w:t xml:space="preserve"> </w:t>
      </w:r>
      <w:r w:rsidRPr="000C69E5">
        <w:rPr>
          <w:rFonts w:ascii="Times New Roman" w:hAnsi="Times New Roman"/>
        </w:rPr>
        <w:t>Exponenciálne narastajú záplavy, suchá, búrky, požiare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vlny horúčav, čo má zničujúce sociálne účinky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každoročne aj miliardové hospodárske dôsledky</w:t>
      </w:r>
      <w:r w:rsidRPr="000C69E5">
        <w:rPr>
          <w:rStyle w:val="FootnoteReference"/>
          <w:rFonts w:ascii="Times New Roman" w:hAnsi="Times New Roman" w:cs="Times New Roman"/>
        </w:rPr>
        <w:footnoteReference w:id="3"/>
      </w:r>
      <w:r w:rsidRPr="000C69E5">
        <w:rPr>
          <w:rFonts w:ascii="Times New Roman" w:hAnsi="Times New Roman"/>
        </w:rPr>
        <w:t>;</w:t>
      </w:r>
    </w:p>
    <w:p w:rsidRPr="000C69E5" w:rsidR="00A73469" w:rsidP="00F5520F" w:rsidRDefault="00A73469" w14:paraId="76250805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Pr="000C69E5" w:rsidR="00A73469" w:rsidP="00F5520F" w:rsidRDefault="00A73469" w14:paraId="05B1AC85" w14:textId="00577F8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zdôrazňuje, že sa nachádzame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núdzovej situácii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by sme nemali upúšťať od článku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2 dohovoru napriek tomu, že UNFCCC ho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súčasnosti nedokáže realizovať;</w:t>
      </w:r>
    </w:p>
    <w:p w:rsidRPr="000C69E5" w:rsidR="00EA2B05" w:rsidP="00F5520F" w:rsidRDefault="00EA2B05" w14:paraId="0C3411C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Pr="000C69E5" w:rsidR="00EA2B05" w:rsidP="00F5520F" w:rsidRDefault="00794F2D" w14:paraId="449BDB1C" w14:textId="4626EEA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je hlboko presvedčený, že politické rozhodnutia musia reagovať na vedu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vedecké poznatky,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poukazuje na to, že IPCC stanovil jasné kritériá: emisie musia dosiahnuť vrchol „najneskôr do roku 2025“</w:t>
      </w:r>
      <w:r w:rsidRPr="000C69E5" w:rsidR="00D27A92">
        <w:rPr>
          <w:rStyle w:val="FootnoteReference"/>
          <w:rFonts w:ascii="Times New Roman" w:hAnsi="Times New Roman" w:cs="Times New Roman"/>
        </w:rPr>
        <w:footnoteReference w:id="4"/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svet musí do roku 2030 znížiť emisie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45</w:t>
      </w:r>
      <w:r w:rsidR="000C69E5">
        <w:rPr>
          <w:rFonts w:ascii="Times New Roman" w:hAnsi="Times New Roman"/>
        </w:rPr>
        <w:t> % v </w:t>
      </w:r>
      <w:r w:rsidRPr="000C69E5">
        <w:rPr>
          <w:rFonts w:ascii="Times New Roman" w:hAnsi="Times New Roman"/>
        </w:rPr>
        <w:t>porovnaní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úrovňami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roku 2010, aby sa zachovala možnosť dosiahnuť 1,5</w:t>
      </w:r>
      <w:r w:rsidR="000C69E5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°C;</w:t>
      </w:r>
    </w:p>
    <w:p w:rsidRPr="000C69E5" w:rsidR="00EA2B05" w:rsidP="00F5520F" w:rsidRDefault="00EA2B05" w14:paraId="2A31A1C2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Pr="000C69E5" w:rsidR="00CB14BC" w:rsidP="00F5520F" w:rsidRDefault="00EA2B05" w14:paraId="1136B364" w14:textId="77FFEA3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uznáva, že invázia Ruska na Ukrajinu zhoršila už aj tak zložitú situáciu, ktorú charakterizuje inflácia, vysoké ceny energií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potravín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možný nedostatok energie, čo má tvrdý dosah na život občanov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prináša vážne sociálne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hospodárske výzvy, prinajmenšom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krátkodobom horizonte. EHSV sa domnieva, že vzhľadom na súčasnú situáciu sú európske opatrenia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 ešte naliehavejšie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že </w:t>
      </w:r>
      <w:r w:rsidRPr="000C69E5">
        <w:rPr>
          <w:rFonts w:ascii="Times New Roman" w:hAnsi="Times New Roman"/>
          <w:b/>
        </w:rPr>
        <w:t>nová geopolitická situácia núti EÚ, aby EÚ urýchlene prepracovala svoju politiku</w:t>
      </w:r>
      <w:r w:rsidR="000C69E5">
        <w:rPr>
          <w:rFonts w:ascii="Times New Roman" w:hAnsi="Times New Roman"/>
          <w:b/>
        </w:rPr>
        <w:t xml:space="preserve"> v </w:t>
      </w:r>
      <w:r w:rsidRPr="000C69E5">
        <w:rPr>
          <w:rFonts w:ascii="Times New Roman" w:hAnsi="Times New Roman"/>
          <w:b/>
        </w:rPr>
        <w:t>oblasti energetiky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klímy</w:t>
      </w:r>
      <w:r w:rsidRPr="000C69E5">
        <w:rPr>
          <w:rFonts w:ascii="Times New Roman" w:hAnsi="Times New Roman"/>
        </w:rPr>
        <w:t>;</w:t>
      </w:r>
    </w:p>
    <w:p w:rsidRPr="000C69E5" w:rsidR="00EA2B05" w:rsidP="00F5520F" w:rsidRDefault="003D0D15" w14:paraId="7A8CCCE8" w14:textId="0BAA3E4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lastRenderedPageBreak/>
        <w:t xml:space="preserve">je presvedčený, že je potrebné </w:t>
      </w:r>
      <w:r w:rsidRPr="000C69E5">
        <w:rPr>
          <w:rFonts w:ascii="Times New Roman" w:hAnsi="Times New Roman"/>
          <w:b/>
        </w:rPr>
        <w:t>posilniť Európsku zelenú dohodu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dosiahnuť cieľ dekarbonizácie hospodárstva, ďalej znížiť vonkajšiu závislosť, zabezpečiť odolnosť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zintenzívniť spravodlivú transformáciu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mimoriadne výnimky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dohodnutých cieľov možno udeliť len na obmedzený čas</w:t>
      </w:r>
      <w:r w:rsidRPr="000C69E5" w:rsidR="00EA2B05">
        <w:rPr>
          <w:rStyle w:val="FootnoteReference"/>
          <w:rFonts w:ascii="Times New Roman" w:hAnsi="Times New Roman" w:cs="Times New Roman"/>
        </w:rPr>
        <w:footnoteReference w:id="5"/>
      </w:r>
      <w:r w:rsidRPr="000C69E5">
        <w:rPr>
          <w:rFonts w:ascii="Times New Roman" w:hAnsi="Times New Roman"/>
        </w:rPr>
        <w:t>;</w:t>
      </w:r>
      <w:r w:rsidR="003947B1">
        <w:rPr>
          <w:rFonts w:ascii="Times New Roman" w:hAnsi="Times New Roman"/>
        </w:rPr>
        <w:t xml:space="preserve"> </w:t>
      </w:r>
      <w:r w:rsidRPr="000C69E5">
        <w:rPr>
          <w:rFonts w:ascii="Times New Roman" w:hAnsi="Times New Roman"/>
        </w:rPr>
        <w:t>a domnieva sa, že rozvoj otvorenej strategickej autonómie by mal zabezpečiť zníženie závislosti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hľadiska energie, kritických surovín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potravín;</w:t>
      </w:r>
    </w:p>
    <w:p w:rsidRPr="000C69E5" w:rsidR="00EA2B05" w:rsidP="00F5520F" w:rsidRDefault="00EA2B05" w14:paraId="069DC85C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553760" w:rsidP="00F5520F" w:rsidRDefault="00EA2B05" w14:paraId="6E1C306F" w14:textId="10E04843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dôrazne vyzýva, aby </w:t>
      </w:r>
      <w:r w:rsidRPr="000C69E5">
        <w:rPr>
          <w:rFonts w:ascii="Times New Roman" w:hAnsi="Times New Roman"/>
          <w:b/>
        </w:rPr>
        <w:t>EÚ prevzala vedúcu úlohu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vyzýva Európsku komisiu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členské štáty EÚ, aby </w:t>
      </w:r>
      <w:r w:rsidRPr="000C69E5">
        <w:rPr>
          <w:rFonts w:ascii="Times New Roman" w:hAnsi="Times New Roman"/>
          <w:b/>
        </w:rPr>
        <w:t>aktualizovali vnútroštátne stanovené príspevky</w:t>
      </w:r>
      <w:r w:rsidRPr="000C69E5">
        <w:rPr>
          <w:rFonts w:ascii="Times New Roman" w:hAnsi="Times New Roman"/>
        </w:rPr>
        <w:t xml:space="preserve"> podľa Glasgowského klimatického paktu; požaduje globálne spravodlivé rozdelenie založené na rovnosti, historickej zodpovednosti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schopnostiach;</w:t>
      </w:r>
    </w:p>
    <w:p w:rsidRPr="000C69E5" w:rsidR="00D27A92" w:rsidP="00F5520F" w:rsidRDefault="00D27A92" w14:paraId="4A7B094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EA2B05" w:rsidP="00F5520F" w:rsidRDefault="00EA2B05" w14:paraId="6D21069F" w14:textId="7BB5FA31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víta rozhodnutia Európskeho parlamentu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ETS</w:t>
      </w:r>
      <w:r w:rsidRPr="000C69E5" w:rsidR="00CB14BC">
        <w:rPr>
          <w:rStyle w:val="FootnoteReference"/>
          <w:rFonts w:ascii="Times New Roman" w:hAnsi="Times New Roman" w:cs="Times New Roman"/>
        </w:rPr>
        <w:footnoteReference w:id="6"/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záchytoch uhlíka</w:t>
      </w:r>
      <w:r w:rsidRPr="000C69E5" w:rsidR="00CB14BC">
        <w:rPr>
          <w:rStyle w:val="FootnoteReference"/>
          <w:rFonts w:ascii="Times New Roman" w:hAnsi="Times New Roman" w:cs="Times New Roman"/>
        </w:rPr>
        <w:footnoteReference w:id="7"/>
      </w:r>
      <w:r w:rsidRPr="000C69E5">
        <w:rPr>
          <w:rFonts w:ascii="Times New Roman" w:hAnsi="Times New Roman"/>
        </w:rPr>
        <w:t>, čo vedie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miernemu zvýšeniu cieľa EÚ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znižovania emisií,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hoci je toto zvýšenie nedostatočné, predstavuje výzvu na zvýšenie vnútroštátne stanovených príspevkov EÚ;</w:t>
      </w:r>
    </w:p>
    <w:p w:rsidRPr="000C69E5" w:rsidR="00EA2B05" w:rsidP="00F5520F" w:rsidRDefault="00EA2B05" w14:paraId="2707E352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EA2B05" w:rsidP="00F5520F" w:rsidRDefault="00D27A92" w14:paraId="74A88772" w14:textId="1ADA26E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vyjadruje znepokojenie nad skutočnosťou, že mnohé krajiny oznámili dlhodobé plány zamerané na dosiahnutie klimatickej neutrality do roku 2050 alebo do roku 2060, ktoré nie sú podložené zodpovedajúcimi krátkodobými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strednodobými plánmi,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preto vyzýva Európsku komisiu, aby </w:t>
      </w:r>
      <w:r w:rsidRPr="000C69E5">
        <w:rPr>
          <w:rFonts w:ascii="Times New Roman" w:hAnsi="Times New Roman"/>
          <w:b/>
        </w:rPr>
        <w:t>zintenzívnila diplomatické úsilie EÚ</w:t>
      </w:r>
      <w:r w:rsidRPr="000C69E5">
        <w:rPr>
          <w:rFonts w:ascii="Times New Roman" w:hAnsi="Times New Roman"/>
        </w:rPr>
        <w:t xml:space="preserve"> na presadenie prijatia politických rámcov podobných Európskej zelenej dohode medzinárodným spoločenstvom,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je pripravený podporiť toto úsilie spoluprácou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organizáciami občianskej spoločnosti na celom svete, pričom Agenda 2030</w:t>
      </w:r>
      <w:r w:rsidR="003947B1">
        <w:rPr>
          <w:rFonts w:ascii="Times New Roman" w:hAnsi="Times New Roman"/>
        </w:rPr>
        <w:t> </w:t>
      </w:r>
      <w:r w:rsidR="000C69E5">
        <w:rPr>
          <w:rFonts w:ascii="Times New Roman" w:hAnsi="Times New Roman"/>
        </w:rPr>
        <w:t>a </w:t>
      </w:r>
      <w:r w:rsidRPr="000C69E5">
        <w:rPr>
          <w:rFonts w:ascii="Times New Roman" w:hAnsi="Times New Roman"/>
        </w:rPr>
        <w:t>ciele udržateľného rozvoja by mali určovať smer pre nasledujúce rozhodujúce roky;</w:t>
      </w:r>
    </w:p>
    <w:p w:rsidRPr="000C69E5" w:rsidR="00444B59" w:rsidP="00F5520F" w:rsidRDefault="00444B59" w14:paraId="00610546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</w:rPr>
      </w:pPr>
    </w:p>
    <w:p w:rsidRPr="000C69E5" w:rsidR="003D0D15" w:rsidP="00F5520F" w:rsidRDefault="00C375B8" w14:paraId="2513EE6D" w14:textId="5DB4B49B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žiada EÚ, aby ďalej rozvíjala odvetvové prístupy umožňujúce vytvárať individuálne opatrenia alebo „klimatické kluby“, ktoré by sa mohli rozvíjať medzi krajinami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najambicióznejšími akčnými programami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podporiť rýchlejšie opatrenia zo strany iných krajín</w:t>
      </w:r>
      <w:r w:rsidR="000C69E5">
        <w:rPr>
          <w:rFonts w:ascii="Times New Roman" w:hAnsi="Times New Roman"/>
        </w:rPr>
        <w:t> – </w:t>
      </w:r>
      <w:r w:rsidRPr="000C69E5">
        <w:rPr>
          <w:rFonts w:ascii="Times New Roman" w:hAnsi="Times New Roman"/>
        </w:rPr>
        <w:t>využívanie mechanizmu uhlíkovej kompenzácie na hraniciach (CBAM) by mohlo byť nástrojom na tento účel;</w:t>
      </w:r>
    </w:p>
    <w:p w:rsidRPr="000C69E5" w:rsidR="00DE24B9" w:rsidP="00F5520F" w:rsidRDefault="00DE24B9" w14:paraId="08AE949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1B07D7" w:rsidP="00F5520F" w:rsidRDefault="003D0D15" w14:paraId="2C86D6D8" w14:textId="075A021B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domnieva sa, že sú potrebné rozhodné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jasne vymedzené opatrenia na to, aby sa článok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6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Parížskej dohody mohol uplatniť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praxi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aby sa doplnil súbor parížskych pravidiel, ktorým sa stanovuje rámec pre dobrovoľnú medzinárodnú spoluprácu krajín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znížiť emisie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snahe splniť svoje záväzky, čím sa predíde niektorým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nástrah týkajúcich sa dvojitého započítania alebo riziku falošných kreditov za znižovanie emisií;</w:t>
      </w:r>
    </w:p>
    <w:p w:rsidRPr="000C69E5" w:rsidR="00DA7721" w:rsidP="00F5520F" w:rsidRDefault="00DA7721" w14:paraId="4BECF79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3947B1" w:rsidR="00DA7721" w:rsidP="00F5520F" w:rsidRDefault="00DA7721" w14:paraId="5CE2E42C" w14:textId="59BBE11D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0C69E5">
        <w:rPr>
          <w:rFonts w:ascii="Times New Roman" w:hAnsi="Times New Roman"/>
          <w:b/>
          <w:i/>
        </w:rPr>
        <w:lastRenderedPageBreak/>
        <w:t>Preskúmanie nášho súčasného hospodárskeho modelu</w:t>
      </w:r>
      <w:r w:rsidR="000C69E5">
        <w:rPr>
          <w:rFonts w:ascii="Times New Roman" w:hAnsi="Times New Roman"/>
          <w:b/>
          <w:i/>
        </w:rPr>
        <w:t xml:space="preserve"> s </w:t>
      </w:r>
      <w:r w:rsidRPr="000C69E5">
        <w:rPr>
          <w:rFonts w:ascii="Times New Roman" w:hAnsi="Times New Roman"/>
          <w:b/>
          <w:i/>
        </w:rPr>
        <w:t>cieľom účinne riešiť zmierňovanie zmeny klímy</w:t>
      </w:r>
      <w:r w:rsidR="000C69E5">
        <w:rPr>
          <w:rFonts w:ascii="Times New Roman" w:hAnsi="Times New Roman"/>
          <w:b/>
          <w:i/>
        </w:rPr>
        <w:t xml:space="preserve"> a </w:t>
      </w:r>
      <w:r w:rsidRPr="000C69E5">
        <w:rPr>
          <w:rFonts w:ascii="Times New Roman" w:hAnsi="Times New Roman"/>
          <w:b/>
          <w:i/>
        </w:rPr>
        <w:t>adaptáciu na ňu</w:t>
      </w:r>
      <w:r w:rsidR="000C69E5">
        <w:rPr>
          <w:rFonts w:ascii="Times New Roman" w:hAnsi="Times New Roman"/>
          <w:b/>
          <w:i/>
        </w:rPr>
        <w:t xml:space="preserve"> a </w:t>
      </w:r>
      <w:r w:rsidRPr="000C69E5">
        <w:rPr>
          <w:rFonts w:ascii="Times New Roman" w:hAnsi="Times New Roman"/>
          <w:b/>
          <w:i/>
        </w:rPr>
        <w:t>zabezpečenie primeraného prístupu</w:t>
      </w:r>
      <w:r w:rsidR="000C69E5">
        <w:rPr>
          <w:rFonts w:ascii="Times New Roman" w:hAnsi="Times New Roman"/>
          <w:b/>
          <w:i/>
        </w:rPr>
        <w:t xml:space="preserve"> k </w:t>
      </w:r>
      <w:r w:rsidRPr="000C69E5">
        <w:rPr>
          <w:rFonts w:ascii="Times New Roman" w:hAnsi="Times New Roman"/>
          <w:b/>
          <w:i/>
        </w:rPr>
        <w:t>financovaniu opatrení</w:t>
      </w:r>
      <w:r w:rsidR="000C69E5">
        <w:rPr>
          <w:rFonts w:ascii="Times New Roman" w:hAnsi="Times New Roman"/>
          <w:b/>
          <w:i/>
        </w:rPr>
        <w:t xml:space="preserve"> v </w:t>
      </w:r>
      <w:r w:rsidRPr="000C69E5">
        <w:rPr>
          <w:rFonts w:ascii="Times New Roman" w:hAnsi="Times New Roman"/>
          <w:b/>
          <w:i/>
        </w:rPr>
        <w:t>oblasti zmeny klímy</w:t>
      </w:r>
    </w:p>
    <w:p w:rsidRPr="003947B1" w:rsidR="00DA7721" w:rsidP="00F5520F" w:rsidRDefault="00DA7721" w14:paraId="07584C0C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3947B1" w:rsidR="006D019C" w:rsidP="003947B1" w:rsidRDefault="00D27A92" w14:paraId="616A1697" w14:textId="4D3C5152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i/>
          <w:iCs/>
        </w:rPr>
      </w:pPr>
      <w:r w:rsidRPr="000C69E5">
        <w:rPr>
          <w:rFonts w:ascii="Times New Roman" w:hAnsi="Times New Roman"/>
        </w:rPr>
        <w:t xml:space="preserve">zdôrazňuje, že na urýchlenie prechodu na klimaticky neutrálnu spoločnosť musíme </w:t>
      </w:r>
      <w:r w:rsidRPr="000C69E5">
        <w:rPr>
          <w:rFonts w:ascii="Times New Roman" w:hAnsi="Times New Roman"/>
          <w:b/>
        </w:rPr>
        <w:t>preskúmať náš súčasný hospodársky model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prehodnotiť spôsob, akým spotrebúvame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vyrábame,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spôsob, akým si ceníme dostatočnosť,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vyzýva EÚ, aby pre ľudí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planétu navrhla novú víziu prosperity založenú na zásadách environmentálnej udržateľnosti, práve na dôstojný život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ochrane sociálnych hodnôt</w:t>
      </w:r>
      <w:r w:rsidRPr="000C69E5">
        <w:rPr>
          <w:rStyle w:val="FootnoteReference"/>
          <w:rFonts w:ascii="Times New Roman" w:hAnsi="Times New Roman" w:cs="Times New Roman"/>
        </w:rPr>
        <w:footnoteReference w:id="8"/>
      </w:r>
      <w:r w:rsidRPr="000C69E5">
        <w:rPr>
          <w:rFonts w:ascii="Times New Roman" w:hAnsi="Times New Roman"/>
        </w:rPr>
        <w:t>;</w:t>
      </w:r>
    </w:p>
    <w:p w:rsidRPr="000C69E5" w:rsidR="00F426F7" w:rsidP="00F5520F" w:rsidRDefault="00F426F7" w14:paraId="3DF17B78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Pr="003947B1" w:rsidR="00F426F7" w:rsidP="00F5520F" w:rsidRDefault="00F426F7" w14:paraId="741A718C" w14:textId="79960F41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i/>
          <w:iCs/>
        </w:rPr>
      </w:pPr>
      <w:r w:rsidRPr="000C69E5">
        <w:rPr>
          <w:rFonts w:ascii="Times New Roman" w:hAnsi="Times New Roman"/>
        </w:rPr>
        <w:t xml:space="preserve">navrhuje </w:t>
      </w:r>
      <w:r w:rsidRPr="000C69E5">
        <w:rPr>
          <w:rFonts w:ascii="Times New Roman" w:hAnsi="Times New Roman"/>
          <w:b/>
        </w:rPr>
        <w:t>nový rámec riadenia</w:t>
      </w:r>
      <w:r w:rsidRPr="000C69E5">
        <w:rPr>
          <w:rFonts w:ascii="Times New Roman" w:hAnsi="Times New Roman"/>
        </w:rPr>
        <w:t xml:space="preserve"> na rozvoj týchto transformačných zmien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nabáda vlády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regionálne samosprávy, aby vytvorili </w:t>
      </w:r>
      <w:r w:rsidRPr="000C69E5">
        <w:rPr>
          <w:rFonts w:ascii="Times New Roman" w:hAnsi="Times New Roman"/>
          <w:b/>
        </w:rPr>
        <w:t>komisie pre spravodlivú transformáciu</w:t>
      </w:r>
      <w:r w:rsidRPr="000C69E5">
        <w:rPr>
          <w:rFonts w:ascii="Times New Roman" w:hAnsi="Times New Roman"/>
        </w:rPr>
        <w:t>, ktoré umožnia sociálnym partnerom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organizáciám občianskej spoločnosti vrátane mládežníckych organizácií, poskytovať odporúčania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prerokúvať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rozvíjať národné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regionálne plány spravodlivej transformácie</w:t>
      </w:r>
      <w:r w:rsidRPr="000C69E5">
        <w:rPr>
          <w:rStyle w:val="FootnoteReference"/>
          <w:rFonts w:ascii="Times New Roman" w:hAnsi="Times New Roman" w:cs="Times New Roman"/>
        </w:rPr>
        <w:footnoteReference w:id="9"/>
      </w:r>
      <w:r w:rsidRPr="000C69E5">
        <w:rPr>
          <w:rFonts w:ascii="Times New Roman" w:hAnsi="Times New Roman"/>
        </w:rPr>
        <w:t xml:space="preserve"> ; domnieva sa, že existujúce iniciatívy na riešenie sociálnych výziev zelenej transformácie sú naďalej roztrieštené</w:t>
      </w:r>
      <w:r w:rsidRPr="000C69E5" w:rsidR="00CA61D4">
        <w:rPr>
          <w:rStyle w:val="FootnoteReference"/>
          <w:rFonts w:ascii="Times New Roman" w:hAnsi="Times New Roman" w:cs="Times New Roman"/>
        </w:rPr>
        <w:footnoteReference w:id="10"/>
      </w:r>
      <w:r w:rsidRPr="000C69E5">
        <w:rPr>
          <w:rFonts w:ascii="Times New Roman" w:hAnsi="Times New Roman"/>
        </w:rPr>
        <w:t>;</w:t>
      </w:r>
    </w:p>
    <w:p w:rsidRPr="000C69E5" w:rsidR="006D019C" w:rsidP="00F5520F" w:rsidRDefault="006D019C" w14:paraId="35830896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492189" w:rsidP="00F5520F" w:rsidRDefault="00492189" w14:paraId="7EED3EBA" w14:textId="56C8E0CD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je presvedčený, že rýchly prechod na dekarbonizované hospodárstvo bude mať za následok obrovské výzvy pre občanov, pracovníkov, podniky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regióny, najmä tie, ktoré sú najviac závislé od sektorov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priemyselných odvetví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vysokými emisiami uhlíka</w:t>
      </w:r>
      <w:r w:rsidRPr="000C69E5">
        <w:rPr>
          <w:rStyle w:val="FootnoteReference"/>
          <w:rFonts w:ascii="Times New Roman" w:hAnsi="Times New Roman" w:cs="Times New Roman"/>
        </w:rPr>
        <w:footnoteReference w:id="11"/>
      </w:r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že </w:t>
      </w:r>
      <w:r w:rsidRPr="000C69E5">
        <w:rPr>
          <w:rFonts w:ascii="Times New Roman" w:hAnsi="Times New Roman"/>
          <w:b/>
        </w:rPr>
        <w:t>vnútroštátne stanovené príspevky by mali zahŕňať podrobné mapovanie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analýzu vplyvu transformácie na zamestnanosť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zručnosti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krajine, jednotlivých regiónoch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odvetviach, vrátane subdodávateľov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nadväzujúcich hodnotových reťazcov, </w:t>
      </w:r>
      <w:r w:rsidRPr="000C69E5">
        <w:rPr>
          <w:rFonts w:ascii="Times New Roman" w:hAnsi="Times New Roman"/>
          <w:b/>
        </w:rPr>
        <w:t>spolu</w:t>
      </w:r>
      <w:r w:rsidR="000C69E5">
        <w:rPr>
          <w:rFonts w:ascii="Times New Roman" w:hAnsi="Times New Roman"/>
          <w:b/>
        </w:rPr>
        <w:t xml:space="preserve"> s </w:t>
      </w:r>
      <w:r w:rsidRPr="000C69E5">
        <w:rPr>
          <w:rFonts w:ascii="Times New Roman" w:hAnsi="Times New Roman"/>
          <w:b/>
        </w:rPr>
        <w:t>národnými plánmi zamestnanosti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stratégiami spravodlivej transformácie</w:t>
      </w:r>
      <w:r w:rsidRPr="003947B1">
        <w:rPr>
          <w:rStyle w:val="FootnoteReference"/>
          <w:rFonts w:ascii="Times New Roman" w:hAnsi="Times New Roman" w:cs="Times New Roman"/>
          <w:szCs w:val="24"/>
        </w:rPr>
        <w:footnoteReference w:id="12"/>
      </w:r>
      <w:r w:rsidRPr="000C69E5">
        <w:rPr>
          <w:rFonts w:ascii="Times New Roman" w:hAnsi="Times New Roman"/>
        </w:rPr>
        <w:t xml:space="preserve"> na základe zásady MOP týkajúcej sa spravodlivej transformácie; preto podporuje návrh Konferencie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budúcnosti Európy</w:t>
      </w:r>
      <w:r w:rsidRPr="000C69E5">
        <w:rPr>
          <w:rStyle w:val="FootnoteReference"/>
          <w:rFonts w:ascii="Times New Roman" w:hAnsi="Times New Roman" w:cs="Times New Roman"/>
        </w:rPr>
        <w:footnoteReference w:id="13"/>
      </w:r>
      <w:r w:rsidRPr="000C69E5">
        <w:rPr>
          <w:rFonts w:ascii="Times New Roman" w:hAnsi="Times New Roman"/>
        </w:rPr>
        <w:t xml:space="preserve"> zabezpečiť spravodlivú transformáciu, ktorá chráni pracovníkov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pracovné miesta prostredníctvom riadneho financovania transformácie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ďalšieho výskumu;</w:t>
      </w:r>
    </w:p>
    <w:p w:rsidRPr="000C69E5" w:rsidR="00492189" w:rsidP="00F5520F" w:rsidRDefault="00492189" w14:paraId="6E8C5669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7322BD" w:rsidP="00F5520F" w:rsidRDefault="00492189" w14:paraId="18DBE944" w14:textId="02F89581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zdôrazňuje, že zodpovednosť súkromného sektora za dosiahnutie cieľa dekarbonizácie si bude vyžadovať rýchlu transformáciu systémov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bezprecedentnom rozsahu,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poukazuje na to, že súkromný sektor zohráva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tomto procese kľúčovú úlohu;</w:t>
      </w:r>
    </w:p>
    <w:p w:rsidRPr="000C69E5" w:rsidR="007322BD" w:rsidP="00F5520F" w:rsidRDefault="007322BD" w14:paraId="47909791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492189" w:rsidP="003947B1" w:rsidRDefault="00492189" w14:paraId="1113628E" w14:textId="41930C4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 w:rsidRPr="000C69E5">
        <w:rPr>
          <w:rFonts w:ascii="Times New Roman" w:hAnsi="Times New Roman"/>
        </w:rPr>
        <w:lastRenderedPageBreak/>
        <w:t>uznáva výrazné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rôznorodé úsilie podnikov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podnikateľov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celej EÚ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vývoj obchodných riešení na zmiernenie výziev súvisiacich so zmenou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adaptáciu na </w:t>
      </w:r>
      <w:proofErr w:type="spellStart"/>
      <w:r w:rsidRPr="000C69E5">
        <w:rPr>
          <w:rFonts w:ascii="Times New Roman" w:hAnsi="Times New Roman"/>
        </w:rPr>
        <w:t>ne</w:t>
      </w:r>
      <w:proofErr w:type="spellEnd"/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domnieva sa, že inovatívne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zodpovedné obchodné modely by mali riešiť zmenu klímy zameraním sa na merateľné ciele udržateľnosti vrátane zníženia spotreby vody, energie alebo chemických látok;</w:t>
      </w:r>
    </w:p>
    <w:p w:rsidRPr="000C69E5" w:rsidR="00492189" w:rsidP="00F5520F" w:rsidRDefault="00492189" w14:paraId="2FB8A300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492189" w:rsidP="00F5520F" w:rsidRDefault="00492189" w14:paraId="5952006E" w14:textId="3EF44D9B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vyjadruje znepokojenie nad tým, že znižovanie emisií skleníkových plynov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EÚ prináša zvýšenie emisií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zahraničí, aby sa uspokojila spotreba EÚ, čo vedie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  <w:b/>
        </w:rPr>
        <w:t>účinkom presahovania skleníkových plynov</w:t>
      </w:r>
      <w:r w:rsidRPr="003947B1">
        <w:rPr>
          <w:rStyle w:val="FootnoteReference"/>
          <w:rFonts w:ascii="Times New Roman" w:hAnsi="Times New Roman" w:cs="Times New Roman"/>
          <w:szCs w:val="24"/>
        </w:rPr>
        <w:footnoteReference w:id="14"/>
      </w:r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domnieva sa, že prístup EÚ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zisťovania skleníkových plynov musí zahŕňať emisie skleníkových plynov súvisiace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dovážanými výrobkami, že prioritou musí byť oddelenie sociálno-ekonomického pokroku od negatívnych domácich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importovaných vplyvov na klímu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biodiverzitu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mechanizmus uhlíkovej kompenzácie na hraniciach je podporným opatrením na dosiahnutie tohto cieľa;</w:t>
      </w:r>
    </w:p>
    <w:p w:rsidRPr="000C69E5" w:rsidR="00492189" w:rsidP="00F5520F" w:rsidRDefault="00492189" w14:paraId="39E7561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7E0872" w:rsidP="00765637" w:rsidRDefault="00570EB2" w14:paraId="7ADEEAA0" w14:textId="04DE2A4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konštatuje, že </w:t>
      </w:r>
      <w:r w:rsidRPr="000C69E5">
        <w:rPr>
          <w:rFonts w:ascii="Times New Roman" w:hAnsi="Times New Roman"/>
          <w:b/>
        </w:rPr>
        <w:t>strata biodiverzity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zmena klímy sa navzájom posilňujú</w:t>
      </w:r>
      <w:r w:rsidRPr="000C69E5">
        <w:rPr>
          <w:rFonts w:ascii="Times New Roman" w:hAnsi="Times New Roman"/>
        </w:rPr>
        <w:t>, ako zdôrazňuje vedecká obec, požaduje holistický prístup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opatreniam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životného prostredia, ktoré sa zameriavajú na súvislosť medzi stratou biodiverzity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zmenou klímy,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navrhuje preskúmať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zväčšiť rozlohu chránených oblastí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úsilie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ochranu zostávajúcich prírodných zdrojov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rámci stratégie EÚ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biodiverzity do roku 2030</w:t>
      </w:r>
      <w:r w:rsidRPr="000C69E5" w:rsidR="007E0872">
        <w:rPr>
          <w:rStyle w:val="FootnoteReference"/>
          <w:rFonts w:ascii="Times New Roman" w:hAnsi="Times New Roman" w:cs="Times New Roman"/>
        </w:rPr>
        <w:footnoteReference w:id="15"/>
      </w:r>
      <w:r w:rsidRPr="000C69E5">
        <w:rPr>
          <w:rFonts w:ascii="Times New Roman" w:hAnsi="Times New Roman"/>
        </w:rPr>
        <w:t>;</w:t>
      </w:r>
    </w:p>
    <w:p w:rsidRPr="000C69E5" w:rsidR="007E0872" w:rsidP="00765637" w:rsidRDefault="007E0872" w14:paraId="54DBEB64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492189" w:rsidP="00F5520F" w:rsidRDefault="006D019C" w14:paraId="13E2517E" w14:textId="76CBFDA3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vyjadruje znepokojenie nad skutočnosťou, že vplyv zmeny klímy neúmerne postihuje najzraniteľnejšie osoby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komunity, ktoré sú najmenej zodpovedné za globálne emisie, čelia najhorším dôsledkom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nie vždy majú zdroje na ich zvládnutie;</w:t>
      </w:r>
    </w:p>
    <w:p w:rsidRPr="000C69E5" w:rsidR="006D019C" w:rsidP="00F5520F" w:rsidRDefault="006D019C" w14:paraId="6C5D1368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44565F" w:rsidP="00F5520F" w:rsidRDefault="0044565F" w14:paraId="49BE654E" w14:textId="28631DCB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  <w:b/>
        </w:rPr>
        <w:t>poukazuje na to, že adaptačné kroky</w:t>
      </w:r>
      <w:r w:rsidRPr="000C69E5">
        <w:rPr>
          <w:rFonts w:ascii="Times New Roman" w:hAnsi="Times New Roman"/>
        </w:rPr>
        <w:t xml:space="preserve"> sú čoraz dôležitejšie, keďže sa čoraz častejšie vyskytujú abnormálne klimatické udalosti,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je nevyhnutné lepšie predvídať vplyvy zmeny klímy; zdôrazňuje, že Parížska dohoda vyzdvihuje význam procesov plánovania adaptácie na národnej úrovni tým, že zaväzuje všetky krajiny, aby podávali správy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dosiahnutom pokroku. Naliehavo žiada, aby sa zefektívnila inkluzívnosť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zabrániť prehlbovaniu existujúcich nerovností;</w:t>
      </w:r>
    </w:p>
    <w:p w:rsidRPr="000C69E5" w:rsidR="00803823" w:rsidP="00F5520F" w:rsidRDefault="00803823" w14:paraId="28414A2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44565F" w:rsidP="00F5520F" w:rsidRDefault="0044565F" w14:paraId="6BC6E527" w14:textId="2D3777E0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požaduje zvýšenie celkových príspevkov na financovanie opatrení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 zo strany rozvinutých krajín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  <w:b/>
        </w:rPr>
        <w:t>„rovnakým dôrazom“ na financovanie zmierňovania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adaptácie</w:t>
      </w:r>
      <w:r w:rsidRPr="000C69E5">
        <w:rPr>
          <w:rFonts w:ascii="Times New Roman" w:hAnsi="Times New Roman"/>
        </w:rPr>
        <w:t>, keďže bez dodatočných financií na adaptáciu bude plánovanie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vykonávanie adaptácie obmedzené, najmä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rozvojových krajinách; požaduje ďalšie kroky na zabezpečenie dodržiavania tejto zásady, keďže zmiernenie bráni prehĺbeniu klimatickej krízy pre budúce generácie, zatiaľ čo adaptácia súčasné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budúce generácie chráni pred extrémnymi poveternostnými javmi spôsobenými už existujúcou zmenou klímy</w:t>
      </w:r>
      <w:r w:rsidRPr="000C69E5">
        <w:rPr>
          <w:rStyle w:val="FootnoteReference"/>
          <w:rFonts w:ascii="Times New Roman" w:hAnsi="Times New Roman" w:cs="Times New Roman"/>
        </w:rPr>
        <w:footnoteReference w:id="16"/>
      </w:r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pripomína, že financovanie vyčlenené na adaptáciu na zmenu klímy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súčasnosti predstavuje len 25</w:t>
      </w:r>
      <w:r w:rsidR="000C69E5">
        <w:rPr>
          <w:rFonts w:ascii="Times New Roman" w:hAnsi="Times New Roman"/>
        </w:rPr>
        <w:t> %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celosvetového objemu financovania na boj proti zmene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predchádzajúce záväzky zvýšiť do roku 2025 financovanie adaptácie na 40</w:t>
      </w:r>
      <w:r w:rsidR="000C69E5">
        <w:rPr>
          <w:rFonts w:ascii="Times New Roman" w:hAnsi="Times New Roman"/>
        </w:rPr>
        <w:t> %</w:t>
      </w:r>
      <w:r w:rsidRPr="000C69E5">
        <w:rPr>
          <w:rFonts w:ascii="Times New Roman" w:hAnsi="Times New Roman"/>
        </w:rPr>
        <w:t xml:space="preserve"> sa neplnia</w:t>
      </w:r>
      <w:r w:rsidRPr="000C69E5">
        <w:rPr>
          <w:rStyle w:val="FootnoteReference"/>
          <w:rFonts w:ascii="Times New Roman" w:hAnsi="Times New Roman" w:cs="Times New Roman"/>
        </w:rPr>
        <w:footnoteReference w:id="17"/>
      </w:r>
      <w:r w:rsidRPr="000C69E5">
        <w:rPr>
          <w:rFonts w:ascii="Times New Roman" w:hAnsi="Times New Roman"/>
        </w:rPr>
        <w:t>;</w:t>
      </w:r>
    </w:p>
    <w:p w:rsidRPr="000C69E5" w:rsidR="002C59E9" w:rsidP="00F5520F" w:rsidRDefault="002C59E9" w14:paraId="4851F657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803823" w:rsidP="00F5520F" w:rsidRDefault="002C59E9" w14:paraId="0B64341C" w14:textId="32FB7EBB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víta príspevok Komisie do </w:t>
      </w:r>
      <w:r w:rsidRPr="000C69E5">
        <w:rPr>
          <w:rFonts w:ascii="Times New Roman" w:hAnsi="Times New Roman"/>
          <w:b/>
        </w:rPr>
        <w:t>adaptačného fondu</w:t>
      </w:r>
      <w:r w:rsidRPr="000C69E5">
        <w:rPr>
          <w:rFonts w:ascii="Times New Roman" w:hAnsi="Times New Roman"/>
        </w:rPr>
        <w:t xml:space="preserve"> vo výške 100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miliónov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EUR, pričom naliehavo vyzýva členské štáty EÚ, aby do roku 2025 zdvojnásobili financovanie adaptácie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porovnaní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úrovňami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roku 2019,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vyzýva na ďalšie úsilie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splnenie cieľa plánu realizácie vo výške 100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miliárd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USD. Zdôrazňuje skutočnosť, že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súčasnosti neexistuje žiadny globálny finančný nástroj na kompenzáciu strát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škôd, ktoré títo ľudia znášajú,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naliehavo vyzýva členské štáty EÚ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Komisiu, aby sa zaviazali zaviesť </w:t>
      </w:r>
      <w:r w:rsidRPr="000C69E5">
        <w:rPr>
          <w:rFonts w:ascii="Times New Roman" w:hAnsi="Times New Roman"/>
          <w:b/>
        </w:rPr>
        <w:t>„nástroj pre straty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škody“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napraviť dôsledky zmeny klímy;</w:t>
      </w:r>
    </w:p>
    <w:p w:rsidRPr="000C69E5" w:rsidR="00803823" w:rsidP="00F5520F" w:rsidRDefault="00803823" w14:paraId="1E2FDB1C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AF71F0" w:rsidP="00F5520F" w:rsidRDefault="00565A46" w14:paraId="2CF578D8" w14:textId="137FE96A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domnieva sa, že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rámci opatrení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klimatickej spravodlivosti musia vlády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inštitúcie EÚ vypracovať </w:t>
      </w:r>
      <w:r w:rsidRPr="000C69E5">
        <w:rPr>
          <w:rFonts w:ascii="Times New Roman" w:hAnsi="Times New Roman"/>
          <w:b/>
        </w:rPr>
        <w:t>výhľadovú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komplexnú európsku migračnú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azylovú politiku</w:t>
      </w:r>
      <w:r w:rsidRPr="000C69E5">
        <w:rPr>
          <w:rFonts w:ascii="Times New Roman" w:hAnsi="Times New Roman"/>
        </w:rPr>
        <w:t>, ktorá poskytne ochranu osobám vysídleným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dôsledku zmeny klímy, počnúc formálnym uznaním klimatických utečencov;</w:t>
      </w:r>
    </w:p>
    <w:p w:rsidRPr="000C69E5" w:rsidR="00444B59" w:rsidP="00F5520F" w:rsidRDefault="00444B59" w14:paraId="6029CEBC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</w:rPr>
      </w:pPr>
    </w:p>
    <w:p w:rsidRPr="003947B1" w:rsidR="006D019C" w:rsidRDefault="00565A46" w14:paraId="3EECDB16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0C69E5">
        <w:rPr>
          <w:rFonts w:ascii="Times New Roman" w:hAnsi="Times New Roman"/>
          <w:b/>
          <w:i/>
        </w:rPr>
        <w:t>Podpora účinných odvetvových opatrení na dosiahnutie klimatickej neutrality</w:t>
      </w:r>
    </w:p>
    <w:p w:rsidRPr="000C69E5" w:rsidR="00707DFC" w:rsidRDefault="00707DFC" w14:paraId="1F9DBE33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7E0872" w:rsidP="00EF3B48" w:rsidRDefault="00707DFC" w14:paraId="019670E4" w14:textId="5FD64ED8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zdôrazňuje, že </w:t>
      </w:r>
      <w:r w:rsidRPr="000C69E5">
        <w:rPr>
          <w:rFonts w:ascii="Times New Roman" w:hAnsi="Times New Roman"/>
          <w:b/>
        </w:rPr>
        <w:t>obehové hospodárstvo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biohospodárstvo umožňujú rozvoj novej vízie prosperity pre ľudí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je potrebné ich ďalej zrýchliť</w:t>
      </w:r>
      <w:r w:rsidRPr="000C69E5">
        <w:rPr>
          <w:rStyle w:val="FootnoteReference"/>
          <w:rFonts w:ascii="Times New Roman" w:hAnsi="Times New Roman" w:cs="Times New Roman"/>
        </w:rPr>
        <w:footnoteReference w:id="18"/>
      </w:r>
      <w:r w:rsidRPr="000C69E5">
        <w:rPr>
          <w:rFonts w:ascii="Times New Roman" w:hAnsi="Times New Roman"/>
        </w:rPr>
        <w:t>, pričom poukazuje na to, že stratégie obehového hospodárstva uplatňované vo všetkých odvetviach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krajinách majú potenciál znížiť globálne emisie skleníkových plynov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>39</w:t>
      </w:r>
      <w:r w:rsidR="000C69E5">
        <w:rPr>
          <w:rFonts w:ascii="Times New Roman" w:hAnsi="Times New Roman"/>
        </w:rPr>
        <w:t> %</w:t>
      </w:r>
      <w:r w:rsidRPr="000C69E5">
        <w:rPr>
          <w:rStyle w:val="FootnoteReference"/>
          <w:rFonts w:ascii="Times New Roman" w:hAnsi="Times New Roman" w:cs="Times New Roman"/>
        </w:rPr>
        <w:footnoteReference w:id="19"/>
      </w:r>
      <w:r w:rsidRPr="000C69E5">
        <w:rPr>
          <w:rFonts w:ascii="Times New Roman" w:hAnsi="Times New Roman"/>
        </w:rPr>
        <w:t>; vyjadruje znepokojenie nad tým, že napriek významnému procesu modernizácie právnych predpisov, ktorý sa začal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roku 2015</w:t>
      </w:r>
      <w:r w:rsidR="003947B1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prostredníctvom prvého akčného plánu EÚ pre obehové hospodárstvo, dosahuje obehovosť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EÚ len približne 12</w:t>
      </w:r>
      <w:r w:rsidR="000C69E5">
        <w:rPr>
          <w:rFonts w:ascii="Times New Roman" w:hAnsi="Times New Roman"/>
        </w:rPr>
        <w:t> %</w:t>
      </w:r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domnieva sa, že ďalší pokrok možno dosiahnuť len zapojením všetkých zložiek občianskej spoločnosti, najmä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záujme prekonať zostávajúce politické, kultúrne, infraštruktúrne, riadiace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finančné prekážky</w:t>
      </w:r>
      <w:r w:rsidRPr="000C69E5">
        <w:rPr>
          <w:rStyle w:val="FootnoteReference"/>
          <w:rFonts w:ascii="Times New Roman" w:hAnsi="Times New Roman" w:cs="Times New Roman"/>
        </w:rPr>
        <w:footnoteReference w:id="20"/>
      </w:r>
      <w:r w:rsidRPr="000C69E5">
        <w:rPr>
          <w:rFonts w:ascii="Times New Roman" w:hAnsi="Times New Roman"/>
        </w:rPr>
        <w:t>;</w:t>
      </w:r>
    </w:p>
    <w:p w:rsidRPr="000C69E5" w:rsidR="007E0872" w:rsidP="00F5520F" w:rsidRDefault="007E0872" w14:paraId="03757D73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A42B33" w:rsidP="00F5520F" w:rsidRDefault="00444B59" w14:paraId="4D5A551B" w14:textId="03F0E5D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žiada, aby sa transformačné stratégie na zavedenie </w:t>
      </w:r>
      <w:r w:rsidRPr="000C69E5">
        <w:rPr>
          <w:rFonts w:ascii="Times New Roman" w:hAnsi="Times New Roman"/>
          <w:b/>
        </w:rPr>
        <w:t>udržateľných potravinových systémov</w:t>
      </w:r>
      <w:r w:rsidRPr="000C69E5">
        <w:rPr>
          <w:rFonts w:ascii="Times New Roman" w:hAnsi="Times New Roman"/>
        </w:rPr>
        <w:t xml:space="preserve"> riadne začlenili do vnútroštátne stanovených príspevkov,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uznáva, že zatiaľ čo mnohé krajiny vo svojich vnútroštátne stanovených príspevkoch uvádzajú potenciál poľnohospodárstva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zmierňovania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adaptácie, veľmi málo si stanovilo ciele vo vzťahu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iným fázam potravinového systému</w:t>
      </w:r>
      <w:r w:rsidRPr="003947B1">
        <w:rPr>
          <w:rStyle w:val="FootnoteReference"/>
          <w:rFonts w:ascii="Times New Roman" w:hAnsi="Times New Roman" w:cs="Times New Roman"/>
          <w:szCs w:val="24"/>
        </w:rPr>
        <w:footnoteReference w:id="21"/>
      </w:r>
      <w:r w:rsidRPr="000C69E5">
        <w:rPr>
          <w:rFonts w:ascii="Times New Roman" w:hAnsi="Times New Roman"/>
        </w:rPr>
        <w:t>, čo otvára veľký priestor pre nevyužité príležitosti</w:t>
      </w:r>
      <w:r w:rsidRPr="004D1B2D">
        <w:rPr>
          <w:rStyle w:val="FootnoteReference"/>
          <w:rFonts w:ascii="Times New Roman" w:hAnsi="Times New Roman" w:cs="Times New Roman"/>
          <w:szCs w:val="24"/>
        </w:rPr>
        <w:footnoteReference w:id="22"/>
      </w:r>
      <w:r w:rsidRPr="000C69E5">
        <w:rPr>
          <w:rFonts w:ascii="Times New Roman" w:hAnsi="Times New Roman"/>
        </w:rPr>
        <w:t>; opakuje svoje odporúčania prijať komplexné potravinové politiky, ako je stratégia „z farmy na stôl“, vrátane opatrení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zabezpečiť štruktúrované zapojenie zainteresovaných strán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celom potravinovom dodávateľskom reťazci</w:t>
      </w:r>
      <w:r w:rsidRPr="000C69E5">
        <w:rPr>
          <w:rStyle w:val="FootnoteReference"/>
          <w:rFonts w:ascii="Times New Roman" w:hAnsi="Times New Roman" w:cs="Times New Roman"/>
        </w:rPr>
        <w:footnoteReference w:id="23"/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 všetkých úrovniach riadenia, najmä postaviť výrobcov do centra poľnohospodárskych stratégií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zapojiť ich do tvorby politík;</w:t>
      </w:r>
    </w:p>
    <w:p w:rsidRPr="000C69E5" w:rsidR="00A42B33" w:rsidP="00F5520F" w:rsidRDefault="00A42B33" w14:paraId="1D7FD837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E362FB" w:rsidP="00765637" w:rsidRDefault="00953E81" w14:paraId="4C9683AE" w14:textId="15306114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lastRenderedPageBreak/>
        <w:t>vyjadruje znepokojenie nad situáciou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Afrike, ktorá prispela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celosvetovým emisiám menej ako 4</w:t>
      </w:r>
      <w:r w:rsidR="000C69E5">
        <w:rPr>
          <w:rFonts w:ascii="Times New Roman" w:hAnsi="Times New Roman"/>
        </w:rPr>
        <w:t> %</w:t>
      </w:r>
      <w:r w:rsidRPr="000C69E5">
        <w:rPr>
          <w:rFonts w:ascii="Times New Roman" w:hAnsi="Times New Roman"/>
        </w:rPr>
        <w:t>, ale neúmerne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tomu predstavuje jeden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 xml:space="preserve">najzraniteľnejších regiónov na svete. </w:t>
      </w:r>
      <w:r w:rsidRPr="000C69E5">
        <w:rPr>
          <w:rFonts w:ascii="Times New Roman" w:hAnsi="Times New Roman"/>
          <w:b/>
        </w:rPr>
        <w:t>Vzhľadom na to, že COP27 sa koná</w:t>
      </w:r>
      <w:r w:rsidR="000C69E5">
        <w:rPr>
          <w:rFonts w:ascii="Times New Roman" w:hAnsi="Times New Roman"/>
          <w:b/>
        </w:rPr>
        <w:t xml:space="preserve"> v </w:t>
      </w:r>
      <w:r w:rsidRPr="000C69E5">
        <w:rPr>
          <w:rFonts w:ascii="Times New Roman" w:hAnsi="Times New Roman"/>
          <w:b/>
        </w:rPr>
        <w:t>Afrike, dôrazne žiada EÚ, aby uprednostňovala finančné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technické zdroje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zdroje na budovanie kapacít pre Afriku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podporiť záväzok kontinentu prijatý na konferencii COP21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Paríži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aby zohľadnila skutočnosť, že väčšina afrických vnútroštátne stanovených príspevkov obsahuje ciele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zmierňovania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adaptácie, ktoré sú podmienené získaním primeranej medzinárodnej podpory, čím sa otvára otázka ochrany vysoko hodnotných ekosystémov, ako sú lesy alebo savany,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ťažba fosílnych palív;</w:t>
      </w:r>
    </w:p>
    <w:p w:rsidRPr="000C69E5" w:rsidR="00E362FB" w:rsidP="00765637" w:rsidRDefault="00E362FB" w14:paraId="454691E9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A42B33" w:rsidP="00526B40" w:rsidRDefault="00444B59" w14:paraId="3F588078" w14:textId="300CFA16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vyzýva na okamžité zastavenie </w:t>
      </w:r>
      <w:r w:rsidRPr="000C69E5">
        <w:rPr>
          <w:rFonts w:ascii="Times New Roman" w:hAnsi="Times New Roman"/>
          <w:b/>
        </w:rPr>
        <w:t>dotácií na fosílne palivá</w:t>
      </w:r>
      <w:r w:rsidRPr="000C69E5">
        <w:rPr>
          <w:rFonts w:ascii="Times New Roman" w:hAnsi="Times New Roman"/>
        </w:rPr>
        <w:t>, víta oznámenie</w:t>
      </w:r>
      <w:r w:rsidR="000C69E5">
        <w:rPr>
          <w:rFonts w:ascii="Times New Roman" w:hAnsi="Times New Roman"/>
        </w:rPr>
        <w:t xml:space="preserve"> o </w:t>
      </w:r>
      <w:r w:rsidRPr="000C69E5">
        <w:rPr>
          <w:rFonts w:ascii="Times New Roman" w:hAnsi="Times New Roman"/>
        </w:rPr>
        <w:t xml:space="preserve">pláne </w:t>
      </w:r>
      <w:proofErr w:type="spellStart"/>
      <w:r w:rsidRPr="000C69E5">
        <w:rPr>
          <w:rFonts w:ascii="Times New Roman" w:hAnsi="Times New Roman"/>
        </w:rPr>
        <w:t>REPowerEU</w:t>
      </w:r>
      <w:proofErr w:type="spellEnd"/>
      <w:r w:rsidRPr="000C69E5">
        <w:rPr>
          <w:rFonts w:ascii="Times New Roman" w:hAnsi="Times New Roman"/>
        </w:rPr>
        <w:t>, keďže predstavuje riešenia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súlade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cieľmi zelenej dohody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európskej energetickej únie</w:t>
      </w:r>
      <w:r w:rsidRPr="000C69E5">
        <w:rPr>
          <w:rStyle w:val="FootnoteReference"/>
          <w:rFonts w:ascii="Times New Roman" w:hAnsi="Times New Roman" w:cs="Times New Roman"/>
        </w:rPr>
        <w:footnoteReference w:id="24"/>
      </w:r>
      <w:r w:rsidRPr="000C69E5" w:rsidR="00EB27C9">
        <w:rPr>
          <w:rStyle w:val="FootnoteReference"/>
          <w:rFonts w:ascii="Times New Roman" w:hAnsi="Times New Roman" w:cs="Times New Roman"/>
        </w:rPr>
        <w:footnoteReference w:id="25"/>
      </w:r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domnieva sa, že vlády musia poskytnúť rámec pre investície do prelomových technológií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oblastiach, ako je energetická efektívnosť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výroba energie</w:t>
      </w:r>
      <w:r w:rsidR="000C69E5">
        <w:rPr>
          <w:rFonts w:ascii="Times New Roman" w:hAnsi="Times New Roman"/>
        </w:rPr>
        <w:t xml:space="preserve"> z </w:t>
      </w:r>
      <w:r w:rsidRPr="000C69E5">
        <w:rPr>
          <w:rFonts w:ascii="Times New Roman" w:hAnsi="Times New Roman"/>
        </w:rPr>
        <w:t>obnoviteľných zdrojov,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to prostredníctvom podpory výskumu, inovácií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vývoja,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nariadenie by malo byť navrhnuté tak, aby umožňovalo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posilnilo rozvoj nových technológií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ich uvádzanie na trh vrátane opatrení na strane dopytu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vytvoriť vedúce trhy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stimulovať spotrebu nízkouhlíkových produktov</w:t>
      </w:r>
      <w:r w:rsidRPr="000C69E5">
        <w:rPr>
          <w:rStyle w:val="FootnoteReference"/>
          <w:rFonts w:ascii="Times New Roman" w:hAnsi="Times New Roman" w:cs="Times New Roman"/>
        </w:rPr>
        <w:footnoteReference w:id="26"/>
      </w:r>
      <w:r w:rsidRPr="000C69E5">
        <w:rPr>
          <w:rFonts w:ascii="Times New Roman" w:hAnsi="Times New Roman"/>
        </w:rPr>
        <w:t>;</w:t>
      </w:r>
    </w:p>
    <w:p w:rsidRPr="000C69E5" w:rsidR="00A42B33" w:rsidP="00F5520F" w:rsidRDefault="00A42B33" w14:paraId="414559DB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F81237" w:rsidP="00F5520F" w:rsidRDefault="00F81237" w14:paraId="1C94ED5E" w14:textId="66F341F8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víta digitálne riešenia umožňujúce ochranu životného prostredia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prechod na udržateľnosť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doprave, energetických systémoch, budovách, poľnohospodárstve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iných odvetviach, ale zároveň </w:t>
      </w:r>
      <w:r w:rsidRPr="000C69E5">
        <w:rPr>
          <w:rFonts w:ascii="Times New Roman" w:hAnsi="Times New Roman"/>
          <w:b/>
        </w:rPr>
        <w:t>konštatuje, že celková digitalizácia zatiaľ neprispela</w:t>
      </w:r>
      <w:r w:rsidR="000C69E5">
        <w:rPr>
          <w:rFonts w:ascii="Times New Roman" w:hAnsi="Times New Roman"/>
          <w:b/>
        </w:rPr>
        <w:t xml:space="preserve"> k </w:t>
      </w:r>
      <w:r w:rsidRPr="000C69E5">
        <w:rPr>
          <w:rFonts w:ascii="Times New Roman" w:hAnsi="Times New Roman"/>
          <w:b/>
        </w:rPr>
        <w:t>zníženiu dopytu po energii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emisií uhlíka</w:t>
      </w:r>
      <w:r w:rsidRPr="000C69E5">
        <w:rPr>
          <w:rFonts w:ascii="Times New Roman" w:hAnsi="Times New Roman"/>
        </w:rPr>
        <w:t>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preto zdôrazňuje potrebu podporných politík na zmiernenie odrazového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indukčného efektu</w:t>
      </w:r>
      <w:r w:rsidRPr="000C69E5">
        <w:rPr>
          <w:rStyle w:val="FootnoteReference"/>
          <w:rFonts w:ascii="Times New Roman" w:hAnsi="Times New Roman" w:cs="Times New Roman"/>
        </w:rPr>
        <w:footnoteReference w:id="27"/>
      </w:r>
      <w:r w:rsidRPr="000C69E5">
        <w:rPr>
          <w:rFonts w:ascii="Times New Roman" w:hAnsi="Times New Roman"/>
        </w:rPr>
        <w:t>;</w:t>
      </w:r>
    </w:p>
    <w:p w:rsidRPr="000C69E5" w:rsidR="00F81237" w:rsidP="00F5520F" w:rsidRDefault="00F81237" w14:paraId="1862FB94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4D1B2D" w:rsidR="00A621E3" w:rsidP="004D1B2D" w:rsidRDefault="00A42B33" w14:paraId="23C05A17" w14:textId="0E2DFC3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zdôrazňuje, že zmena klímy má vážne dôsledky aj pre podniky, najmä MSP, ako je prerušenie dodávateľských reťazcov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škody na výrobných miestach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dôsledku extrémnych poveternostných javov,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núti ich, aby niekedy vykonali nákladné zmeny svojich obchodných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prevádzkových modelov, ako aj investície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vyrovnať sa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 xml:space="preserve">regulačnými alebo inými požiadavkami; domnieva sa, že </w:t>
      </w:r>
      <w:r w:rsidRPr="000C69E5">
        <w:rPr>
          <w:rFonts w:ascii="Times New Roman" w:hAnsi="Times New Roman"/>
          <w:b/>
        </w:rPr>
        <w:t>by sa malo podporovať včasné zavádzanie nových udržateľných obchodných modelov</w:t>
      </w:r>
      <w:r w:rsidRPr="000C69E5">
        <w:rPr>
          <w:rFonts w:ascii="Times New Roman" w:hAnsi="Times New Roman"/>
        </w:rPr>
        <w:t>, aby sa zabezpečilo, že ich inovácie nebudú viesť ku konkurenčnému znevýhodneniu;</w:t>
      </w:r>
    </w:p>
    <w:p w:rsidRPr="000C69E5" w:rsidR="00444B59" w:rsidP="004D1B2D" w:rsidRDefault="00444B59" w14:paraId="254CFC40" w14:textId="02620C2F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lastRenderedPageBreak/>
        <w:t>zdôrazňuje, že podpora súkromného sektora musí rešpektovať zásady spravodlivého prístupu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finančným nástrojom MSP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mala by byť založená výlučne na cieľoch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Pr="000C69E5">
        <w:rPr>
          <w:rStyle w:val="FootnoteReference"/>
          <w:rFonts w:ascii="Times New Roman" w:hAnsi="Times New Roman" w:cs="Times New Roman"/>
          <w:szCs w:val="24"/>
        </w:rPr>
        <w:footnoteReference w:id="28"/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bude potrebná rozsiahla činnosť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rámci hodnotových reťazcov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medziodvetvová spolupráca;</w:t>
      </w:r>
    </w:p>
    <w:p w:rsidRPr="000C69E5" w:rsidR="00444B59" w:rsidP="00F5520F" w:rsidRDefault="00444B59" w14:paraId="1575D934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</w:rPr>
      </w:pPr>
    </w:p>
    <w:p w:rsidRPr="000C69E5" w:rsidR="00444B59" w:rsidP="00F5520F" w:rsidRDefault="00444B59" w14:paraId="651A4AF9" w14:textId="38693E5D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 w:rsidRPr="000C69E5">
        <w:rPr>
          <w:rFonts w:ascii="Times New Roman" w:hAnsi="Times New Roman"/>
        </w:rPr>
        <w:t>domnieva sa, že harmonizácia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normalizácia sú kľúčom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dosiahnutiu celoodvetvovej škálovateľnosti riešení prostredníctvom technológií, zlepšovania zručností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regulácie, ktoré by mali vlády krajín EÚ podporovať na medzinárodnej úrovni,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že pre MSP bude kľúčové najmä získať sprievodné nástroje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naplniť budovanie kapacít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splniť nové požiadavky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zlepšiť prístup na trh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EÚ;</w:t>
      </w:r>
    </w:p>
    <w:p w:rsidRPr="000C69E5" w:rsidR="00444B59" w:rsidP="00F5520F" w:rsidRDefault="00444B59" w14:paraId="3CBB1D4E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4D1B2D" w:rsidR="006D2F1C" w:rsidRDefault="00565A46" w14:paraId="716013EC" w14:textId="2BE42CE5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/>
          <w:bCs/>
          <w:i/>
        </w:rPr>
      </w:pPr>
      <w:r w:rsidRPr="000C69E5">
        <w:rPr>
          <w:rFonts w:ascii="Times New Roman" w:hAnsi="Times New Roman"/>
          <w:b/>
          <w:i/>
        </w:rPr>
        <w:t>Posilnenie postavenia občianskej spoločnosti</w:t>
      </w:r>
      <w:r w:rsidR="000C69E5">
        <w:rPr>
          <w:rFonts w:ascii="Times New Roman" w:hAnsi="Times New Roman"/>
          <w:b/>
          <w:i/>
        </w:rPr>
        <w:t xml:space="preserve"> v </w:t>
      </w:r>
      <w:r w:rsidRPr="000C69E5">
        <w:rPr>
          <w:rFonts w:ascii="Times New Roman" w:hAnsi="Times New Roman"/>
          <w:b/>
          <w:i/>
        </w:rPr>
        <w:t>záujme urýchlenia opatrení</w:t>
      </w:r>
      <w:r w:rsidR="000C69E5">
        <w:rPr>
          <w:rFonts w:ascii="Times New Roman" w:hAnsi="Times New Roman"/>
          <w:b/>
          <w:i/>
        </w:rPr>
        <w:t xml:space="preserve"> v </w:t>
      </w:r>
      <w:r w:rsidRPr="000C69E5">
        <w:rPr>
          <w:rFonts w:ascii="Times New Roman" w:hAnsi="Times New Roman"/>
          <w:b/>
          <w:i/>
        </w:rPr>
        <w:t>oblasti klímy</w:t>
      </w:r>
      <w:r w:rsidR="000C69E5">
        <w:rPr>
          <w:rFonts w:ascii="Times New Roman" w:hAnsi="Times New Roman"/>
          <w:b/>
          <w:i/>
        </w:rPr>
        <w:t xml:space="preserve"> a </w:t>
      </w:r>
      <w:r w:rsidRPr="000C69E5">
        <w:rPr>
          <w:rFonts w:ascii="Times New Roman" w:hAnsi="Times New Roman"/>
          <w:b/>
          <w:i/>
        </w:rPr>
        <w:t>výzva na vytvorenie nového rámca riadenia</w:t>
      </w:r>
    </w:p>
    <w:p w:rsidRPr="000C69E5" w:rsidR="00EE319C" w:rsidRDefault="00EE319C" w14:paraId="0DE935BB" w14:textId="77777777">
      <w:pPr>
        <w:pStyle w:val="ListParagraph"/>
        <w:keepNext/>
        <w:keepLines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F426F7" w:rsidP="00EF3B48" w:rsidRDefault="00F426F7" w14:paraId="46BEF71D" w14:textId="33198F33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zdôrazňuje, že rozsah potrebných opatrení si vyžaduje integrované viacúrovňové politiky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medziodvetvové riešenia so skutočným zapojením občianskej spoločnosti,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preto navrhuje, aby sa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 xml:space="preserve">záujme týchto transformačných zmien vytvoril </w:t>
      </w:r>
      <w:r w:rsidRPr="000C69E5">
        <w:rPr>
          <w:rFonts w:ascii="Times New Roman" w:hAnsi="Times New Roman"/>
          <w:b/>
        </w:rPr>
        <w:t>nový rámec riadenia</w:t>
      </w:r>
      <w:r w:rsidRPr="000C69E5">
        <w:rPr>
          <w:rFonts w:ascii="Times New Roman" w:hAnsi="Times New Roman"/>
        </w:rPr>
        <w:t>;</w:t>
      </w:r>
    </w:p>
    <w:p w:rsidRPr="000C69E5" w:rsidR="00F426F7" w:rsidP="00F5520F" w:rsidRDefault="00F426F7" w14:paraId="271AE58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B27016" w:rsidP="00F5520F" w:rsidRDefault="00EE319C" w14:paraId="4DE37B20" w14:textId="309E68E4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zastáva názor, že </w:t>
      </w:r>
      <w:r w:rsidRPr="000C69E5">
        <w:rPr>
          <w:rFonts w:ascii="Times New Roman" w:hAnsi="Times New Roman"/>
          <w:b/>
        </w:rPr>
        <w:t>na pracoviskách</w:t>
      </w:r>
      <w:r w:rsidRPr="000C69E5">
        <w:rPr>
          <w:rFonts w:ascii="Times New Roman" w:hAnsi="Times New Roman"/>
        </w:rPr>
        <w:t xml:space="preserve"> by tento nový rámec riadenia mal zaručiť sociálny dialóg zabezpečením práv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účasti pracovníkov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posilnením kolektívnych zmlúv;</w:t>
      </w:r>
    </w:p>
    <w:p w:rsidRPr="000C69E5" w:rsidR="00B27016" w:rsidP="00F5520F" w:rsidRDefault="00B27016" w14:paraId="2AF75EBB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EE319C" w:rsidP="00F5520F" w:rsidRDefault="00B27016" w14:paraId="6EF9F92F" w14:textId="18FAB74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zastáva názor, že by sa mal posilniť aj </w:t>
      </w:r>
      <w:r w:rsidRPr="000C69E5">
        <w:rPr>
          <w:rFonts w:ascii="Times New Roman" w:hAnsi="Times New Roman"/>
          <w:b/>
        </w:rPr>
        <w:t>širší dialóg</w:t>
      </w:r>
      <w:r w:rsidRPr="000C69E5">
        <w:rPr>
          <w:rFonts w:ascii="Times New Roman" w:hAnsi="Times New Roman"/>
        </w:rPr>
        <w:t xml:space="preserve"> so zapojením regiónov, vidieckych komunít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miest, sociálnych partnerov, družstiev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občianskej spoločnosti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zaistiť sociálnu spravodlivosť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dôveryhodnosť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priznať osobitný význam záväzku, že sa na nikoho nezabudne, osobitný význam</w:t>
      </w:r>
      <w:r w:rsidRPr="004D1B2D" w:rsidR="003567A8">
        <w:rPr>
          <w:rStyle w:val="FootnoteReference"/>
          <w:rFonts w:ascii="Times New Roman" w:hAnsi="Times New Roman" w:cs="Times New Roman"/>
          <w:szCs w:val="24"/>
        </w:rPr>
        <w:footnoteReference w:id="29"/>
      </w:r>
      <w:r w:rsidRPr="000C69E5">
        <w:rPr>
          <w:rFonts w:ascii="Times New Roman" w:hAnsi="Times New Roman"/>
        </w:rPr>
        <w:t>. Uľahčenie prístupov orientovaných na výrobcov-spotrebiteľov môže napríklad urýchliť prechod na čistejší energetický systém, priniesť nové hospodárske modely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pomôcť chrániť najzraniteľnejšie skupiny našej spoločnosti, aby napríklad neboli odrezané od tepla, svetla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informačných technológií;</w:t>
      </w:r>
    </w:p>
    <w:p w:rsidRPr="000C69E5" w:rsidR="00F426F7" w:rsidP="00F5520F" w:rsidRDefault="00F426F7" w14:paraId="06D9645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4D1B2D" w:rsidR="00707DFC" w:rsidP="004D1B2D" w:rsidRDefault="00F426F7" w14:paraId="35B52625" w14:textId="0E823AD1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 w:rsidRPr="000C69E5">
        <w:rPr>
          <w:rFonts w:ascii="Times New Roman" w:hAnsi="Times New Roman"/>
        </w:rPr>
        <w:t xml:space="preserve">je pevne presvedčený, že </w:t>
      </w:r>
      <w:r w:rsidRPr="000C69E5">
        <w:rPr>
          <w:rFonts w:ascii="Times New Roman" w:hAnsi="Times New Roman"/>
          <w:b/>
        </w:rPr>
        <w:t>je potrebné skutočne podporovať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podnecovať iniciatívy zdola nahor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iniciatívy na miestnej úrovni</w:t>
      </w:r>
      <w:r w:rsidR="000C69E5">
        <w:rPr>
          <w:rFonts w:ascii="Times New Roman" w:hAnsi="Times New Roman"/>
        </w:rPr>
        <w:t xml:space="preserve"> s </w:t>
      </w:r>
      <w:r w:rsidRPr="000C69E5">
        <w:rPr>
          <w:rFonts w:ascii="Times New Roman" w:hAnsi="Times New Roman"/>
        </w:rPr>
        <w:t>cieľom urýchliť zmiernenie zmeny klímy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adaptáciu na ňu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posilniť sociálnu odolnosť, aby sa mohol využiť potenciál kultúry spolupráce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riešení zdola nahor. Domnieva sa, že rovnako nevyhnutné je viac investovať do sociálnej inovácie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snahe presadiť kultúrne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spoločenské zmeny potrebné na to, aby sa ochrana klímy stala súčasťou každodenného života podnikov, orgánov verejnej správy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domácností;</w:t>
      </w:r>
    </w:p>
    <w:p w:rsidRPr="000C69E5" w:rsidR="00EE319C" w:rsidP="004D1B2D" w:rsidRDefault="00710362" w14:paraId="01852D24" w14:textId="75EEE175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lastRenderedPageBreak/>
        <w:t>zastáva názor, že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  <w:b/>
        </w:rPr>
        <w:t>rodovému hľadisku</w:t>
      </w:r>
      <w:r w:rsidRPr="000C69E5">
        <w:rPr>
          <w:rFonts w:ascii="Times New Roman" w:hAnsi="Times New Roman"/>
        </w:rPr>
        <w:t xml:space="preserve"> by sa nemalo pristupovať ako</w:t>
      </w:r>
      <w:r w:rsidR="000C69E5">
        <w:rPr>
          <w:rFonts w:ascii="Times New Roman" w:hAnsi="Times New Roman"/>
        </w:rPr>
        <w:t xml:space="preserve"> k </w:t>
      </w:r>
      <w:r w:rsidRPr="000C69E5">
        <w:rPr>
          <w:rFonts w:ascii="Times New Roman" w:hAnsi="Times New Roman"/>
        </w:rPr>
        <w:t>samostatnej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 xml:space="preserve">izolovanej problematike, ale malo by sa považovať za zásadnú otázku, aby </w:t>
      </w:r>
      <w:r w:rsidRPr="000C69E5">
        <w:rPr>
          <w:rFonts w:ascii="Times New Roman" w:hAnsi="Times New Roman"/>
          <w:b/>
        </w:rPr>
        <w:t>sa zamedzilo rodovo necitlivým opatreniam</w:t>
      </w:r>
      <w:r w:rsidR="000C69E5">
        <w:rPr>
          <w:rFonts w:ascii="Times New Roman" w:hAnsi="Times New Roman"/>
          <w:b/>
        </w:rPr>
        <w:t xml:space="preserve"> a </w:t>
      </w:r>
      <w:r w:rsidRPr="000C69E5">
        <w:rPr>
          <w:rFonts w:ascii="Times New Roman" w:hAnsi="Times New Roman"/>
          <w:b/>
        </w:rPr>
        <w:t>politikám</w:t>
      </w:r>
      <w:r w:rsidRPr="000C69E5">
        <w:rPr>
          <w:rFonts w:ascii="Times New Roman" w:hAnsi="Times New Roman"/>
        </w:rPr>
        <w:t>. Zmena klímy nemá rovnaký dosah na všetky skupiny obyvateľstva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ak politiky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zmeny klímy nebudú správne navrhnuté, môže vďaka nim táto nespravodlivosť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nevyváženosť pretrvať. Napríklad nerovnaká účasť žien na rozhodovacích procesoch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trhoch práce zhoršuje nerovnosti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často bráni ženám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tom, aby sa plne podieľali na plánovaní, tvorbe politiky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zavádzaní opatrení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</w:t>
      </w:r>
      <w:r w:rsidRPr="000C69E5" w:rsidR="00EE319C">
        <w:rPr>
          <w:rStyle w:val="FootnoteReference"/>
          <w:rFonts w:ascii="Times New Roman" w:hAnsi="Times New Roman" w:cs="Times New Roman"/>
        </w:rPr>
        <w:footnoteReference w:id="30"/>
      </w:r>
      <w:r w:rsidRPr="000C69E5">
        <w:rPr>
          <w:rFonts w:ascii="Times New Roman" w:hAnsi="Times New Roman"/>
        </w:rPr>
        <w:t>;</w:t>
      </w:r>
    </w:p>
    <w:p w:rsidRPr="000C69E5" w:rsidR="00EE319C" w:rsidP="00F5520F" w:rsidRDefault="00EE319C" w14:paraId="6D216D6E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B27016" w:rsidP="00F5520F" w:rsidRDefault="009F475F" w14:paraId="36700D5F" w14:textId="679CF10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je presvedčený, že medzigeneračný rozmer týchto zmien sa najlepšie zohľadní intenzívnejšou </w:t>
      </w:r>
      <w:r w:rsidRPr="000C69E5">
        <w:rPr>
          <w:rFonts w:ascii="Times New Roman" w:hAnsi="Times New Roman"/>
          <w:b/>
        </w:rPr>
        <w:t>angažovanosťou mladých ľudí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rozhodovacích procesoch, od prípravy legislatívnych návrhov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iniciatív až po vykonávanie, monitorovanie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nadväzujúce opatrenia</w:t>
      </w:r>
      <w:r w:rsidRPr="004D1B2D">
        <w:rPr>
          <w:rStyle w:val="FootnoteReference"/>
          <w:rFonts w:ascii="Times New Roman" w:hAnsi="Times New Roman" w:cs="Times New Roman"/>
          <w:szCs w:val="24"/>
        </w:rPr>
        <w:footnoteReference w:id="31"/>
      </w:r>
      <w:r w:rsidRPr="000C69E5">
        <w:rPr>
          <w:rFonts w:ascii="Times New Roman" w:hAnsi="Times New Roman"/>
        </w:rPr>
        <w:t>. EHSV preto od roku 2021 vysiela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rámci oficiálnej delegácie EÚ na zasadnutia konferencie zmluvných strán UNFCCC aj mládežníckeho delegáta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zasadzuje sa za väčšie zohľadnenie názorov mladých ľudí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mládežníckych organizácií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práci výboru. EHSV dôrazne odporúča, aby podobný prístup zaujali aj zmluvné strany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ostatné zainteresované subjekty;</w:t>
      </w:r>
    </w:p>
    <w:p w:rsidRPr="000C69E5" w:rsidR="00B27016" w:rsidP="00F5520F" w:rsidRDefault="00B27016" w14:paraId="03BDD6F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:rsidRPr="000C69E5" w:rsidR="008D5813" w:rsidP="00F5520F" w:rsidRDefault="00B27016" w14:paraId="24EDB42E" w14:textId="7F43ADC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 xml:space="preserve">uznáva úlohu </w:t>
      </w:r>
      <w:r w:rsidRPr="000C69E5">
        <w:rPr>
          <w:rFonts w:ascii="Times New Roman" w:hAnsi="Times New Roman"/>
          <w:b/>
        </w:rPr>
        <w:t>pôvodných obyvateľov</w:t>
      </w:r>
      <w:r w:rsidRPr="000C69E5">
        <w:rPr>
          <w:rFonts w:ascii="Times New Roman" w:hAnsi="Times New Roman"/>
        </w:rPr>
        <w:t>, ktorí sú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boji proti zmene klímy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prvej línii. Pôvodní obyvatelia spravujú viac ako 80</w:t>
      </w:r>
      <w:r w:rsidR="000C69E5">
        <w:rPr>
          <w:rFonts w:ascii="Times New Roman" w:hAnsi="Times New Roman"/>
        </w:rPr>
        <w:t> %</w:t>
      </w:r>
      <w:r w:rsidRPr="000C69E5">
        <w:rPr>
          <w:rFonts w:ascii="Times New Roman" w:hAnsi="Times New Roman"/>
        </w:rPr>
        <w:t xml:space="preserve"> zostávajúcej biodiverzity našej planéty</w:t>
      </w:r>
      <w:r w:rsidRPr="000C69E5">
        <w:rPr>
          <w:rFonts w:ascii="Times New Roman" w:hAnsi="Times New Roman" w:cs="Times New Roman"/>
          <w:vertAlign w:val="superscript"/>
        </w:rPr>
        <w:footnoteReference w:id="32"/>
      </w:r>
      <w:r w:rsidRPr="000C69E5">
        <w:rPr>
          <w:rFonts w:ascii="Times New Roman" w:hAnsi="Times New Roman"/>
        </w:rPr>
        <w:t>. Víta ich rastúcu angažovanosť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klimatickej politike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naliehavo žiada zmluvné strany, aby ich aktívne zapojili do zavádzania opatrení</w:t>
      </w:r>
      <w:r w:rsidR="000C69E5">
        <w:rPr>
          <w:rFonts w:ascii="Times New Roman" w:hAnsi="Times New Roman"/>
        </w:rPr>
        <w:t xml:space="preserve"> v </w:t>
      </w:r>
      <w:r w:rsidRPr="000C69E5">
        <w:rPr>
          <w:rFonts w:ascii="Times New Roman" w:hAnsi="Times New Roman"/>
        </w:rPr>
        <w:t>oblasti klímy;</w:t>
      </w:r>
    </w:p>
    <w:p w:rsidRPr="000C69E5" w:rsidR="003D0D15" w:rsidP="00F5520F" w:rsidRDefault="003D0D15" w14:paraId="4E25FD63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3D0D15" w:rsidP="00F5520F" w:rsidRDefault="003D0D15" w14:paraId="22768D0B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C69E5">
        <w:rPr>
          <w:rFonts w:ascii="Times New Roman" w:hAnsi="Times New Roman"/>
        </w:rPr>
        <w:t>EHSV sa zaväzuje, že podnikne potrebné kroky na zavedenie uvedených politických odporúčaní do praxe.</w:t>
      </w:r>
    </w:p>
    <w:p w:rsidRPr="000C69E5" w:rsidR="00D27A92" w:rsidP="00E567D2" w:rsidRDefault="00D27A92" w14:paraId="390D9CD0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5E5612" w:rsidP="00E567D2" w:rsidRDefault="005E5612" w14:paraId="5A45ABC8" w14:textId="62B22421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V</w:t>
      </w:r>
      <w:r w:rsidR="004D1B2D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Bruseli 26</w:t>
      </w:r>
      <w:r w:rsidR="000C69E5">
        <w:rPr>
          <w:rFonts w:ascii="Times New Roman" w:hAnsi="Times New Roman"/>
        </w:rPr>
        <w:t>. októbra</w:t>
      </w:r>
      <w:r w:rsidR="004D1B2D">
        <w:rPr>
          <w:rFonts w:ascii="Times New Roman" w:hAnsi="Times New Roman"/>
        </w:rPr>
        <w:t> </w:t>
      </w:r>
      <w:r w:rsidRPr="000C69E5">
        <w:rPr>
          <w:rFonts w:ascii="Times New Roman" w:hAnsi="Times New Roman"/>
        </w:rPr>
        <w:t>2022</w:t>
      </w:r>
    </w:p>
    <w:p w:rsidRPr="000C69E5" w:rsidR="005E5612" w:rsidP="00E567D2" w:rsidRDefault="005E5612" w14:paraId="3DDBF7CA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5E5612" w:rsidP="00E567D2" w:rsidRDefault="005E5612" w14:paraId="3ABDDBF2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5E5612" w:rsidP="00E567D2" w:rsidRDefault="005E5612" w14:paraId="20ABAB68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:rsidRPr="000C69E5" w:rsidR="005E5612" w:rsidP="00E567D2" w:rsidRDefault="005E5612" w14:paraId="74DB7C1C" w14:textId="148BA746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0C69E5">
        <w:rPr>
          <w:rFonts w:ascii="Times New Roman" w:hAnsi="Times New Roman"/>
        </w:rPr>
        <w:t>Christa</w:t>
      </w:r>
      <w:proofErr w:type="spellEnd"/>
      <w:r w:rsidRPr="000C69E5">
        <w:rPr>
          <w:rFonts w:ascii="Times New Roman" w:hAnsi="Times New Roman"/>
        </w:rPr>
        <w:t xml:space="preserve"> </w:t>
      </w:r>
      <w:r w:rsidRPr="000C69E5" w:rsidR="004D1B2D">
        <w:rPr>
          <w:rFonts w:ascii="Times New Roman" w:hAnsi="Times New Roman"/>
        </w:rPr>
        <w:t>SCHWENG</w:t>
      </w:r>
    </w:p>
    <w:p w:rsidRPr="000C69E5" w:rsidR="005E5612" w:rsidP="00E567D2" w:rsidRDefault="005E5612" w14:paraId="23353B61" w14:textId="7DBE62D5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0C69E5">
        <w:rPr>
          <w:rFonts w:ascii="Times New Roman" w:hAnsi="Times New Roman"/>
        </w:rPr>
        <w:t>predsedníčka Európskeho hospodárskeho</w:t>
      </w:r>
      <w:r w:rsidR="000C69E5">
        <w:rPr>
          <w:rFonts w:ascii="Times New Roman" w:hAnsi="Times New Roman"/>
        </w:rPr>
        <w:t xml:space="preserve"> a </w:t>
      </w:r>
      <w:r w:rsidRPr="000C69E5">
        <w:rPr>
          <w:rFonts w:ascii="Times New Roman" w:hAnsi="Times New Roman"/>
        </w:rPr>
        <w:t>sociálneho výboru</w:t>
      </w:r>
    </w:p>
    <w:p w:rsidRPr="000C69E5" w:rsidR="0078686E" w:rsidP="00EF3B48" w:rsidRDefault="002C2B01" w14:paraId="7851BA7D" w14:textId="77777777">
      <w:pPr>
        <w:pStyle w:val="ListParagraph"/>
        <w:keepNext/>
        <w:keepLines/>
        <w:spacing w:after="0" w:line="288" w:lineRule="auto"/>
        <w:ind w:left="0"/>
        <w:jc w:val="center"/>
        <w:rPr>
          <w:rFonts w:ascii="Times New Roman" w:hAnsi="Times New Roman" w:cs="Times New Roman"/>
        </w:rPr>
      </w:pPr>
      <w:r w:rsidRPr="000C69E5">
        <w:t>_____________</w:t>
      </w:r>
    </w:p>
    <w:sectPr w:rsidRPr="000C69E5" w:rsidR="0078686E" w:rsidSect="00526B4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DC67" w14:textId="77777777" w:rsidR="00BD0948" w:rsidRDefault="00BD0948" w:rsidP="008A03FA">
      <w:pPr>
        <w:spacing w:after="0" w:line="240" w:lineRule="auto"/>
      </w:pPr>
      <w:r>
        <w:separator/>
      </w:r>
    </w:p>
  </w:endnote>
  <w:endnote w:type="continuationSeparator" w:id="0">
    <w:p w14:paraId="50E2FEDE" w14:textId="77777777" w:rsidR="00BD0948" w:rsidRDefault="00BD0948" w:rsidP="008A03FA">
      <w:pPr>
        <w:spacing w:after="0" w:line="240" w:lineRule="auto"/>
      </w:pPr>
      <w:r>
        <w:continuationSeparator/>
      </w:r>
    </w:p>
  </w:endnote>
  <w:endnote w:type="continuationNotice" w:id="1">
    <w:p w14:paraId="6F5B66D4" w14:textId="77777777" w:rsidR="00BD0948" w:rsidRDefault="00BD0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86E" w14:textId="77777777" w:rsidR="00180C9D" w:rsidRDefault="0018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8309" w14:textId="77777777" w:rsidR="00526B40" w:rsidRPr="00526B40" w:rsidRDefault="00526B40" w:rsidP="00526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5C89" w14:textId="3407C9F6" w:rsidR="00F970A7" w:rsidRPr="00526B40" w:rsidRDefault="008A6CF4" w:rsidP="008A6CF4">
    <w:pPr>
      <w:pStyle w:val="Footer"/>
      <w:jc w:val="left"/>
    </w:pPr>
    <w:r>
      <w:t xml:space="preserve">EESC-2022-04116-00-01-RES-TRA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80E1A">
      <w:rPr>
        <w:noProof/>
      </w:rPr>
      <w:t>10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B66A9">
        <w:rPr>
          <w:noProof/>
        </w:rPr>
        <w:instrText>12</w:instrText>
      </w:r>
    </w:fldSimple>
    <w:r>
      <w:instrText xml:space="preserve"> - 2 </w:instrText>
    </w:r>
    <w:r>
      <w:fldChar w:fldCharType="separate"/>
    </w:r>
    <w:r w:rsidR="00BB66A9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7244" w14:textId="77777777" w:rsidR="00526B40" w:rsidRPr="00526B40" w:rsidRDefault="00526B40" w:rsidP="0052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76F1" w14:textId="77777777" w:rsidR="00BD0948" w:rsidRDefault="00BD0948" w:rsidP="008A03FA">
      <w:pPr>
        <w:spacing w:after="0" w:line="240" w:lineRule="auto"/>
      </w:pPr>
      <w:r>
        <w:separator/>
      </w:r>
    </w:p>
  </w:footnote>
  <w:footnote w:type="continuationSeparator" w:id="0">
    <w:p w14:paraId="6DC2609A" w14:textId="77777777" w:rsidR="00BD0948" w:rsidRDefault="00BD0948" w:rsidP="008A03FA">
      <w:pPr>
        <w:spacing w:after="0" w:line="240" w:lineRule="auto"/>
      </w:pPr>
      <w:r>
        <w:continuationSeparator/>
      </w:r>
    </w:p>
  </w:footnote>
  <w:footnote w:type="continuationNotice" w:id="1">
    <w:p w14:paraId="1F52D6C3" w14:textId="77777777" w:rsidR="00BD0948" w:rsidRDefault="00BD0948">
      <w:pPr>
        <w:spacing w:after="0" w:line="240" w:lineRule="auto"/>
      </w:pPr>
    </w:p>
  </w:footnote>
  <w:footnote w:id="2">
    <w:p w14:paraId="0E4A5FBE" w14:textId="77777777" w:rsidR="00C5108E" w:rsidRPr="005F3782" w:rsidRDefault="00C5108E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 w:history="1">
        <w:r>
          <w:rPr>
            <w:rStyle w:val="Hyperlink"/>
          </w:rPr>
          <w:t>Parížska dohoda</w:t>
        </w:r>
      </w:hyperlink>
      <w:r>
        <w:t>.</w:t>
      </w:r>
    </w:p>
  </w:footnote>
  <w:footnote w:id="3">
    <w:p w14:paraId="5647B80A" w14:textId="77777777" w:rsidR="00C5108E" w:rsidRPr="005F3782" w:rsidRDefault="00C5108E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Zdroj: </w:t>
      </w:r>
      <w:hyperlink r:id="rId2" w:history="1">
        <w:proofErr w:type="spellStart"/>
        <w:r>
          <w:rPr>
            <w:rStyle w:val="Hyperlink"/>
          </w:rPr>
          <w:t>Economic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losses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from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weather</w:t>
        </w:r>
        <w:proofErr w:type="spellEnd"/>
        <w:r>
          <w:rPr>
            <w:rStyle w:val="Hyperlink"/>
          </w:rPr>
          <w:t xml:space="preserve"> and </w:t>
        </w:r>
        <w:proofErr w:type="spellStart"/>
        <w:r>
          <w:rPr>
            <w:rStyle w:val="Hyperlink"/>
          </w:rPr>
          <w:t>climate-related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extremes</w:t>
        </w:r>
        <w:proofErr w:type="spellEnd"/>
        <w:r>
          <w:rPr>
            <w:rStyle w:val="Hyperlink"/>
          </w:rPr>
          <w:t xml:space="preserve"> in </w:t>
        </w:r>
        <w:proofErr w:type="spellStart"/>
        <w:r>
          <w:rPr>
            <w:rStyle w:val="Hyperlink"/>
          </w:rPr>
          <w:t>Europe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reached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around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half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trillion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euros</w:t>
        </w:r>
        <w:proofErr w:type="spellEnd"/>
        <w:r>
          <w:rPr>
            <w:rStyle w:val="Hyperlink"/>
          </w:rPr>
          <w:t xml:space="preserve"> over </w:t>
        </w:r>
        <w:proofErr w:type="spellStart"/>
        <w:r>
          <w:rPr>
            <w:rStyle w:val="Hyperlink"/>
          </w:rPr>
          <w:t>past</w:t>
        </w:r>
        <w:proofErr w:type="spellEnd"/>
        <w:r>
          <w:rPr>
            <w:rStyle w:val="Hyperlink"/>
          </w:rPr>
          <w:t xml:space="preserve"> 40 </w:t>
        </w:r>
        <w:proofErr w:type="spellStart"/>
        <w:r>
          <w:rPr>
            <w:rStyle w:val="Hyperlink"/>
          </w:rPr>
          <w:t>years</w:t>
        </w:r>
        <w:proofErr w:type="spellEnd"/>
        <w:r>
          <w:rPr>
            <w:rStyle w:val="Hyperlink"/>
          </w:rPr>
          <w:t xml:space="preserve"> – </w:t>
        </w:r>
        <w:proofErr w:type="spellStart"/>
        <w:r>
          <w:rPr>
            <w:rStyle w:val="Hyperlink"/>
          </w:rPr>
          <w:t>European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Environment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Agency</w:t>
        </w:r>
        <w:proofErr w:type="spellEnd"/>
      </w:hyperlink>
      <w:r>
        <w:t xml:space="preserve">; </w:t>
      </w:r>
      <w:hyperlink r:id="rId3" w:history="1">
        <w:r>
          <w:rPr>
            <w:rStyle w:val="Hyperlink"/>
          </w:rPr>
          <w:t xml:space="preserve">New report: </w:t>
        </w:r>
        <w:proofErr w:type="spellStart"/>
        <w:r>
          <w:rPr>
            <w:rStyle w:val="Hyperlink"/>
          </w:rPr>
          <w:t>World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counts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cost</w:t>
        </w:r>
        <w:proofErr w:type="spellEnd"/>
        <w:r>
          <w:rPr>
            <w:rStyle w:val="Hyperlink"/>
          </w:rPr>
          <w:t xml:space="preserve"> of a </w:t>
        </w:r>
        <w:proofErr w:type="spellStart"/>
        <w:r>
          <w:rPr>
            <w:rStyle w:val="Hyperlink"/>
          </w:rPr>
          <w:t>year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breakdown</w:t>
        </w:r>
        <w:proofErr w:type="spellEnd"/>
        <w:r>
          <w:rPr>
            <w:rStyle w:val="Hyperlink"/>
          </w:rPr>
          <w:t xml:space="preserve"> – UK charity </w:t>
        </w:r>
        <w:proofErr w:type="spellStart"/>
        <w:r>
          <w:rPr>
            <w:rStyle w:val="Hyperlink"/>
          </w:rPr>
          <w:t>fighting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global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poverty</w:t>
        </w:r>
        <w:proofErr w:type="spellEnd"/>
        <w:r>
          <w:rPr>
            <w:rStyle w:val="Hyperlink"/>
          </w:rPr>
          <w:t xml:space="preserve"> | Christian Aid | </w:t>
        </w:r>
        <w:proofErr w:type="spellStart"/>
        <w:r>
          <w:rPr>
            <w:rStyle w:val="Hyperlink"/>
          </w:rPr>
          <w:t>Media</w:t>
        </w:r>
        <w:proofErr w:type="spellEnd"/>
        <w:r>
          <w:rPr>
            <w:rStyle w:val="Hyperlink"/>
          </w:rPr>
          <w:t xml:space="preserve"> Centre</w:t>
        </w:r>
      </w:hyperlink>
      <w:r>
        <w:t xml:space="preserve">; </w:t>
      </w:r>
      <w:hyperlink r:id="rId4" w:anchor=":~:text=We%20estimate%20that%20climate%20change,such%20as%20DICE%20and%20FUND." w:history="1"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Costs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Extreme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Weather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Events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Caused</w:t>
        </w:r>
        <w:proofErr w:type="spellEnd"/>
        <w:r>
          <w:rPr>
            <w:rStyle w:val="Hyperlink"/>
          </w:rPr>
          <w:t xml:space="preserve"> by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Change - CMCC</w:t>
        </w:r>
      </w:hyperlink>
      <w:r>
        <w:t xml:space="preserve">; </w:t>
      </w:r>
      <w:hyperlink r:id="rId5" w:history="1">
        <w:proofErr w:type="spellStart"/>
        <w:r>
          <w:rPr>
            <w:rStyle w:val="Hyperlink"/>
          </w:rPr>
          <w:t>Billion-Dollar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Weather</w:t>
        </w:r>
        <w:proofErr w:type="spellEnd"/>
        <w:r>
          <w:rPr>
            <w:rStyle w:val="Hyperlink"/>
          </w:rPr>
          <w:t xml:space="preserve"> and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Disasters</w:t>
        </w:r>
        <w:proofErr w:type="spellEnd"/>
        <w:r>
          <w:rPr>
            <w:rStyle w:val="Hyperlink"/>
          </w:rPr>
          <w:t xml:space="preserve"> | National </w:t>
        </w:r>
        <w:proofErr w:type="spellStart"/>
        <w:r>
          <w:rPr>
            <w:rStyle w:val="Hyperlink"/>
          </w:rPr>
          <w:t>Centers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Environmental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Information</w:t>
        </w:r>
        <w:proofErr w:type="spellEnd"/>
        <w:r>
          <w:rPr>
            <w:rStyle w:val="Hyperlink"/>
          </w:rPr>
          <w:t xml:space="preserve"> (NCEI)</w:t>
        </w:r>
      </w:hyperlink>
      <w:r>
        <w:t>.</w:t>
      </w:r>
    </w:p>
  </w:footnote>
  <w:footnote w:id="4">
    <w:p w14:paraId="186C446E" w14:textId="77777777" w:rsidR="00D27A92" w:rsidRPr="005F3782" w:rsidRDefault="00D27A92" w:rsidP="00EF3B48">
      <w:pPr>
        <w:pStyle w:val="FootnoteText"/>
        <w:rPr>
          <w:sz w:val="18"/>
          <w:szCs w:val="18"/>
        </w:rPr>
      </w:pPr>
      <w:r>
        <w:rPr>
          <w:rStyle w:val="FootnoteReference"/>
          <w:szCs w:val="24"/>
        </w:rPr>
        <w:footnoteRef/>
      </w:r>
      <w:r>
        <w:rPr>
          <w:sz w:val="18"/>
        </w:rPr>
        <w:tab/>
      </w:r>
      <w:hyperlink r:id="rId6" w:history="1"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Change 2022: </w:t>
        </w:r>
        <w:proofErr w:type="spellStart"/>
        <w:r>
          <w:rPr>
            <w:rStyle w:val="Hyperlink"/>
          </w:rPr>
          <w:t>Mitigation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Change | IPCC</w:t>
        </w:r>
      </w:hyperlink>
      <w:r>
        <w:t>.</w:t>
      </w:r>
    </w:p>
  </w:footnote>
  <w:footnote w:id="5">
    <w:p w14:paraId="0C89FFEA" w14:textId="4204FC88" w:rsidR="00EA2B05" w:rsidRPr="0039570B" w:rsidRDefault="00EA2B05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Uznesenie EHSV na tému </w:t>
      </w:r>
      <w:hyperlink r:id="rId7" w:history="1">
        <w:r>
          <w:rPr>
            <w:rStyle w:val="Hyperlink"/>
          </w:rPr>
          <w:t>Vojna na Ukrajine a</w:t>
        </w:r>
        <w:r w:rsidR="003947B1">
          <w:rPr>
            <w:rStyle w:val="Hyperlink"/>
          </w:rPr>
          <w:t> </w:t>
        </w:r>
        <w:r>
          <w:rPr>
            <w:rStyle w:val="Hyperlink"/>
          </w:rPr>
          <w:t>jej hospodárske, sociálne a</w:t>
        </w:r>
        <w:r w:rsidR="003947B1">
          <w:rPr>
            <w:rStyle w:val="Hyperlink"/>
          </w:rPr>
          <w:t> </w:t>
        </w:r>
        <w:r>
          <w:rPr>
            <w:rStyle w:val="Hyperlink"/>
          </w:rPr>
          <w:t>environmentálne dôsledky</w:t>
        </w:r>
      </w:hyperlink>
      <w:r>
        <w:t>.</w:t>
      </w:r>
    </w:p>
  </w:footnote>
  <w:footnote w:id="6">
    <w:p w14:paraId="252B6038" w14:textId="0E9849F7" w:rsidR="00CB14BC" w:rsidRPr="005F3782" w:rsidRDefault="00CB14BC" w:rsidP="00EF3B48">
      <w:pPr>
        <w:pStyle w:val="FootnoteText"/>
        <w:tabs>
          <w:tab w:val="left" w:pos="567"/>
        </w:tabs>
        <w:ind w:left="0" w:firstLine="0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8" w:history="1">
        <w:r>
          <w:rPr>
            <w:rStyle w:val="Hyperlink"/>
          </w:rPr>
          <w:t>Zmena klímy: EÚ má konať rýchlejšie a stať sa energeticky nezávislou</w:t>
        </w:r>
      </w:hyperlink>
      <w:r w:rsidR="003947B1" w:rsidRPr="003947B1">
        <w:rPr>
          <w:rStyle w:val="Hyperlink"/>
          <w:u w:val="none"/>
        </w:rPr>
        <w:t>.</w:t>
      </w:r>
    </w:p>
  </w:footnote>
  <w:footnote w:id="7">
    <w:p w14:paraId="0C16FE44" w14:textId="77777777" w:rsidR="00CB14BC" w:rsidRPr="005F3782" w:rsidRDefault="00CB14BC" w:rsidP="00EF3B48">
      <w:pPr>
        <w:pStyle w:val="FootnoteText"/>
        <w:tabs>
          <w:tab w:val="left" w:pos="567"/>
        </w:tabs>
        <w:ind w:left="708" w:hanging="708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9" w:history="1">
        <w:r>
          <w:rPr>
            <w:rStyle w:val="Hyperlink"/>
          </w:rPr>
          <w:t xml:space="preserve">Fit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55: </w:t>
        </w:r>
        <w:proofErr w:type="spellStart"/>
        <w:r>
          <w:rPr>
            <w:rStyle w:val="Hyperlink"/>
          </w:rPr>
          <w:t>Parliament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agrees</w:t>
        </w:r>
        <w:proofErr w:type="spellEnd"/>
        <w:r>
          <w:rPr>
            <w:rStyle w:val="Hyperlink"/>
          </w:rPr>
          <w:t xml:space="preserve"> to </w:t>
        </w:r>
        <w:proofErr w:type="spellStart"/>
        <w:r>
          <w:rPr>
            <w:rStyle w:val="Hyperlink"/>
          </w:rPr>
          <w:t>higher</w:t>
        </w:r>
        <w:proofErr w:type="spellEnd"/>
        <w:r>
          <w:rPr>
            <w:rStyle w:val="Hyperlink"/>
          </w:rPr>
          <w:t xml:space="preserve"> EU </w:t>
        </w:r>
        <w:proofErr w:type="spellStart"/>
        <w:r>
          <w:rPr>
            <w:rStyle w:val="Hyperlink"/>
          </w:rPr>
          <w:t>carbon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sink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ambitions</w:t>
        </w:r>
        <w:proofErr w:type="spellEnd"/>
        <w:r>
          <w:rPr>
            <w:rStyle w:val="Hyperlink"/>
          </w:rPr>
          <w:t xml:space="preserve"> by 2030</w:t>
        </w:r>
      </w:hyperlink>
      <w:r>
        <w:t>.</w:t>
      </w:r>
    </w:p>
  </w:footnote>
  <w:footnote w:id="8">
    <w:p w14:paraId="692539D6" w14:textId="1D3BB188" w:rsidR="00D27A92" w:rsidRPr="0039570B" w:rsidRDefault="00D27A92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  <w:iCs/>
        </w:rPr>
        <w:t>Udržateľné hospodárstvo, ktoré potrebujeme</w:t>
      </w:r>
      <w:r>
        <w:t xml:space="preserve">, </w:t>
      </w:r>
      <w:hyperlink r:id="rId10" w:history="1">
        <w:r w:rsidRPr="003947B1">
          <w:rPr>
            <w:rStyle w:val="Hyperlink"/>
          </w:rPr>
          <w:t>Ú. v. EÚ C 106, 31.3.2020, s. 1</w:t>
        </w:r>
      </w:hyperlink>
      <w:r>
        <w:t>.</w:t>
      </w:r>
    </w:p>
  </w:footnote>
  <w:footnote w:id="9">
    <w:p w14:paraId="5428BD5A" w14:textId="6E0CCB44" w:rsidR="00F426F7" w:rsidRPr="005F3782" w:rsidRDefault="00F426F7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„Fit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55“: plnenie cieľa EÚ v</w:t>
      </w:r>
      <w:r w:rsidR="003947B1">
        <w:rPr>
          <w:i/>
        </w:rPr>
        <w:t> </w:t>
      </w:r>
      <w:r>
        <w:rPr>
          <w:i/>
        </w:rPr>
        <w:t>oblasti klímy do roku 2030 na ceste ku klimatickej neutralite</w:t>
      </w:r>
      <w:r>
        <w:t xml:space="preserve">, </w:t>
      </w:r>
      <w:r w:rsidR="000C6EF4">
        <w:br/>
      </w:r>
      <w:hyperlink r:id="rId11" w:history="1">
        <w:r w:rsidRPr="003947B1">
          <w:rPr>
            <w:rStyle w:val="Hyperlink"/>
          </w:rPr>
          <w:t>Ú. v. EÚ C 275, 18.7.2022, s. 101</w:t>
        </w:r>
      </w:hyperlink>
      <w:r>
        <w:t>.</w:t>
      </w:r>
    </w:p>
  </w:footnote>
  <w:footnote w:id="10">
    <w:p w14:paraId="39F51424" w14:textId="0FD5AA42" w:rsidR="00CA61D4" w:rsidRPr="0052304F" w:rsidRDefault="00CA61D4">
      <w:pPr>
        <w:pStyle w:val="FootnoteText"/>
      </w:pPr>
      <w:r>
        <w:rPr>
          <w:rStyle w:val="FootnoteReference"/>
        </w:rPr>
        <w:footnoteRef/>
      </w:r>
      <w:r>
        <w:tab/>
        <w:t xml:space="preserve">Stanovisko EHSV na tému </w:t>
      </w:r>
      <w:hyperlink r:id="rId12" w:history="1">
        <w:r>
          <w:rPr>
            <w:rStyle w:val="Hyperlink"/>
            <w:i/>
          </w:rPr>
          <w:t>Sociálny dialóg počas ekologickej transformácie</w:t>
        </w:r>
      </w:hyperlink>
      <w:r>
        <w:t xml:space="preserve"> </w:t>
      </w:r>
      <w:r>
        <w:rPr>
          <w:i/>
        </w:rPr>
        <w:t>(zatiaľ neuverejnené v</w:t>
      </w:r>
      <w:r w:rsidR="003947B1">
        <w:rPr>
          <w:i/>
        </w:rPr>
        <w:t> </w:t>
      </w:r>
      <w:r>
        <w:rPr>
          <w:i/>
        </w:rPr>
        <w:t>úradnom vestníku)</w:t>
      </w:r>
      <w:r>
        <w:t>.</w:t>
      </w:r>
    </w:p>
  </w:footnote>
  <w:footnote w:id="11">
    <w:p w14:paraId="0A1278E1" w14:textId="5F037E7D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„Fit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55“: plnenie cieľa EÚ v oblasti klímy do roku 2030 na ceste ku klimatickej neutralite</w:t>
      </w:r>
      <w:r>
        <w:t xml:space="preserve">, </w:t>
      </w:r>
      <w:r w:rsidR="000C6EF4">
        <w:br/>
      </w:r>
      <w:hyperlink r:id="rId13" w:history="1">
        <w:r w:rsidRPr="003947B1">
          <w:rPr>
            <w:rStyle w:val="Hyperlink"/>
          </w:rPr>
          <w:t>Ú. v. EÚ C 275, 18.7.2022, s. 101</w:t>
        </w:r>
      </w:hyperlink>
      <w:hyperlink r:id="rId14" w:history="1">
        <w:r>
          <w:t>.</w:t>
        </w:r>
      </w:hyperlink>
    </w:p>
  </w:footnote>
  <w:footnote w:id="12">
    <w:p w14:paraId="01B41460" w14:textId="760C5F9D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„Fit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55“: plnenie cieľa EÚ v oblasti klímy do roku 2030 na ceste ku klimatickej neutralite</w:t>
      </w:r>
      <w:r>
        <w:t xml:space="preserve">, </w:t>
      </w:r>
      <w:r w:rsidR="000C6EF4">
        <w:br/>
      </w:r>
      <w:hyperlink r:id="rId15" w:history="1">
        <w:r w:rsidRPr="003947B1">
          <w:rPr>
            <w:rStyle w:val="Hyperlink"/>
          </w:rPr>
          <w:t>Ú. v. EÚ C 275, 18.7.2022, s. 101</w:t>
        </w:r>
      </w:hyperlink>
      <w:r>
        <w:t>.</w:t>
      </w:r>
    </w:p>
  </w:footnote>
  <w:footnote w:id="13">
    <w:p w14:paraId="747E6909" w14:textId="77777777" w:rsidR="00492189" w:rsidRPr="005F3782" w:rsidRDefault="0049218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6" w:history="1">
        <w:r>
          <w:rPr>
            <w:rStyle w:val="Hyperlink"/>
          </w:rPr>
          <w:t>Konferencia o budúcnosti Európy – odporúčania prijaté panelovou diskusiou európskych občanov</w:t>
        </w:r>
      </w:hyperlink>
      <w:r>
        <w:t>.</w:t>
      </w:r>
    </w:p>
  </w:footnote>
  <w:footnote w:id="14">
    <w:p w14:paraId="30906706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7" w:history="1">
        <w:r>
          <w:rPr>
            <w:rStyle w:val="Hyperlink"/>
          </w:rPr>
          <w:t xml:space="preserve">Správa o udržateľnom rozvoji Európy 2021 – SDSN </w:t>
        </w:r>
        <w:proofErr w:type="spellStart"/>
        <w:r>
          <w:rPr>
            <w:rStyle w:val="Hyperlink"/>
          </w:rPr>
          <w:t>Europe</w:t>
        </w:r>
        <w:proofErr w:type="spellEnd"/>
      </w:hyperlink>
      <w:r>
        <w:t>.</w:t>
      </w:r>
    </w:p>
  </w:footnote>
  <w:footnote w:id="15">
    <w:p w14:paraId="2ECD1930" w14:textId="79AE1FFB" w:rsidR="007E0872" w:rsidRPr="00E567D2" w:rsidRDefault="007E0872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Pripravované stanovisko EHSV (NAT/841) na tému </w:t>
      </w:r>
      <w:hyperlink r:id="rId18" w:history="1">
        <w:r>
          <w:rPr>
            <w:rStyle w:val="Hyperlink"/>
            <w:i/>
          </w:rPr>
          <w:t>Ochrana cieľov obnovy biodiverzity v</w:t>
        </w:r>
        <w:r w:rsidR="003947B1">
          <w:rPr>
            <w:rStyle w:val="Hyperlink"/>
            <w:i/>
          </w:rPr>
          <w:t> </w:t>
        </w:r>
        <w:r>
          <w:rPr>
            <w:rStyle w:val="Hyperlink"/>
            <w:i/>
          </w:rPr>
          <w:t>rámci stratégie EÚ v</w:t>
        </w:r>
        <w:r w:rsidR="003947B1">
          <w:rPr>
            <w:rStyle w:val="Hyperlink"/>
            <w:i/>
          </w:rPr>
          <w:t> </w:t>
        </w:r>
        <w:r>
          <w:rPr>
            <w:rStyle w:val="Hyperlink"/>
            <w:i/>
          </w:rPr>
          <w:t>oblasti biodiverzity</w:t>
        </w:r>
      </w:hyperlink>
      <w:r>
        <w:t>.</w:t>
      </w:r>
    </w:p>
  </w:footnote>
  <w:footnote w:id="16">
    <w:p w14:paraId="0D4C0F45" w14:textId="1A578865"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Pozri stanovisko EHSV na tému </w:t>
      </w:r>
      <w:r>
        <w:rPr>
          <w:i/>
          <w:iCs/>
        </w:rPr>
        <w:t>Budovanie Európy odolnej proti zmene klímy – nová stratégia EÚ pre adaptáciu na zmenu klímy</w:t>
      </w:r>
      <w:r>
        <w:t xml:space="preserve">, </w:t>
      </w:r>
      <w:hyperlink r:id="rId19" w:history="1">
        <w:r w:rsidRPr="003947B1">
          <w:rPr>
            <w:rStyle w:val="Hyperlink"/>
          </w:rPr>
          <w:t>Ú. v. EÚ C 374, 16.9.2021, s. 84</w:t>
        </w:r>
      </w:hyperlink>
      <w:r>
        <w:t>.</w:t>
      </w:r>
    </w:p>
  </w:footnote>
  <w:footnote w:id="17">
    <w:p w14:paraId="39F292D3" w14:textId="77777777"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0" w:history="1">
        <w:proofErr w:type="spellStart"/>
        <w:r>
          <w:rPr>
            <w:rStyle w:val="Hyperlink"/>
          </w:rPr>
          <w:t>António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Guterres</w:t>
        </w:r>
        <w:proofErr w:type="spellEnd"/>
        <w:r>
          <w:rPr>
            <w:rStyle w:val="Hyperlink"/>
          </w:rPr>
          <w:t xml:space="preserve">: 50% of </w:t>
        </w:r>
        <w:proofErr w:type="spellStart"/>
        <w:r>
          <w:rPr>
            <w:rStyle w:val="Hyperlink"/>
          </w:rPr>
          <w:t>All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Finance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Needed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Adaptation</w:t>
        </w:r>
        <w:proofErr w:type="spellEnd"/>
      </w:hyperlink>
      <w:r>
        <w:t>.</w:t>
      </w:r>
    </w:p>
  </w:footnote>
  <w:footnote w:id="18">
    <w:p w14:paraId="29F76A71" w14:textId="0C73A1E1"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>Vytváranie synergie medzi rôznymi plánmi obehového hospodárstva</w:t>
      </w:r>
      <w:r>
        <w:t xml:space="preserve">, </w:t>
      </w:r>
      <w:hyperlink r:id="rId21" w:history="1">
        <w:r w:rsidRPr="004D1B2D">
          <w:rPr>
            <w:rStyle w:val="Hyperlink"/>
          </w:rPr>
          <w:t>Ú. v. EÚ C 14 15.1.2020, s. 29</w:t>
        </w:r>
      </w:hyperlink>
      <w:r>
        <w:t>.</w:t>
      </w:r>
    </w:p>
  </w:footnote>
  <w:footnote w:id="19">
    <w:p w14:paraId="13BB36F6" w14:textId="77777777"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proofErr w:type="spellStart"/>
      <w:r>
        <w:t>Circularity</w:t>
      </w:r>
      <w:proofErr w:type="spellEnd"/>
      <w:r>
        <w:t xml:space="preserve"> </w:t>
      </w:r>
      <w:proofErr w:type="spellStart"/>
      <w:r>
        <w:t>Gap</w:t>
      </w:r>
      <w:proofErr w:type="spellEnd"/>
      <w:r>
        <w:t xml:space="preserve"> Report 2021 </w:t>
      </w:r>
      <w:hyperlink r:id="rId22" w:history="1"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Change </w:t>
        </w:r>
        <w:proofErr w:type="spellStart"/>
        <w:r>
          <w:rPr>
            <w:rStyle w:val="Hyperlink"/>
          </w:rPr>
          <w:t>Mitigation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through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Circular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Economy</w:t>
        </w:r>
        <w:proofErr w:type="spellEnd"/>
      </w:hyperlink>
      <w:r>
        <w:t>.</w:t>
      </w:r>
    </w:p>
  </w:footnote>
  <w:footnote w:id="20">
    <w:p w14:paraId="103840E7" w14:textId="2C3A7714" w:rsidR="00707DFC" w:rsidRPr="00BE77CC" w:rsidRDefault="00707DFC" w:rsidP="00EF3B48">
      <w:pPr>
        <w:pStyle w:val="FootnoteText"/>
        <w:tabs>
          <w:tab w:val="left" w:pos="567"/>
        </w:tabs>
        <w:jc w:val="left"/>
      </w:pPr>
      <w:r>
        <w:rPr>
          <w:rStyle w:val="FootnoteReference"/>
          <w:szCs w:val="24"/>
        </w:rPr>
        <w:footnoteRef/>
      </w:r>
      <w:r>
        <w:tab/>
        <w:t xml:space="preserve">Pozri stanovisko EHSV na tému </w:t>
      </w:r>
      <w:r>
        <w:rPr>
          <w:i/>
        </w:rPr>
        <w:t>Budovanie Európy odolnej proti zmene klímy – nová stratégia EÚ pre adaptáciu na zmenu klímy</w:t>
      </w:r>
      <w:r>
        <w:t xml:space="preserve">, </w:t>
      </w:r>
      <w:hyperlink r:id="rId23" w:history="1">
        <w:r w:rsidRPr="004D1B2D">
          <w:rPr>
            <w:rStyle w:val="Hyperlink"/>
          </w:rPr>
          <w:t>Ú. v. EÚ C 374, 16.9.2021, s. 84</w:t>
        </w:r>
      </w:hyperlink>
      <w:r>
        <w:t>.</w:t>
      </w:r>
    </w:p>
  </w:footnote>
  <w:footnote w:id="21">
    <w:p w14:paraId="591EA6F9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4" w:history="1">
        <w:proofErr w:type="spellStart"/>
        <w:r>
          <w:rPr>
            <w:rStyle w:val="Hyperlink"/>
          </w:rPr>
          <w:t>Enhancing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NDCs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Food</w:t>
        </w:r>
        <w:proofErr w:type="spellEnd"/>
        <w:r>
          <w:rPr>
            <w:rStyle w:val="Hyperlink"/>
          </w:rPr>
          <w:t xml:space="preserve"> Systems - </w:t>
        </w:r>
        <w:proofErr w:type="spellStart"/>
        <w:r>
          <w:rPr>
            <w:rStyle w:val="Hyperlink"/>
          </w:rPr>
          <w:t>recommendations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decision-makers</w:t>
        </w:r>
        <w:proofErr w:type="spellEnd"/>
        <w:r>
          <w:rPr>
            <w:rStyle w:val="Hyperlink"/>
          </w:rPr>
          <w:t xml:space="preserve"> | NDC </w:t>
        </w:r>
        <w:proofErr w:type="spellStart"/>
        <w:r>
          <w:rPr>
            <w:rStyle w:val="Hyperlink"/>
          </w:rPr>
          <w:t>Action</w:t>
        </w:r>
        <w:proofErr w:type="spellEnd"/>
        <w:r>
          <w:rPr>
            <w:rStyle w:val="Hyperlink"/>
          </w:rPr>
          <w:t xml:space="preserve"> Project</w:t>
        </w:r>
      </w:hyperlink>
      <w:r>
        <w:t>.</w:t>
      </w:r>
    </w:p>
  </w:footnote>
  <w:footnote w:id="22">
    <w:p w14:paraId="07F87C1F" w14:textId="5E91B88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 Potravinová bezpečnosť a udržateľné potravinové systémy</w:t>
      </w:r>
      <w:r>
        <w:t xml:space="preserve">, </w:t>
      </w:r>
      <w:hyperlink r:id="rId25" w:history="1">
        <w:r w:rsidRPr="004D1B2D">
          <w:rPr>
            <w:rStyle w:val="Hyperlink"/>
          </w:rPr>
          <w:t>Ú. v. EÚ C 194, 4.3.2022, s. 72</w:t>
        </w:r>
      </w:hyperlink>
      <w:r>
        <w:t>.</w:t>
      </w:r>
    </w:p>
  </w:footnote>
  <w:footnote w:id="23">
    <w:p w14:paraId="62BE66AF" w14:textId="372264F7" w:rsidR="00444B59" w:rsidRPr="009B16C4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>„Z farmy na stôl“: udržateľná potravinová stratégia</w:t>
      </w:r>
      <w:r>
        <w:t xml:space="preserve">, </w:t>
      </w:r>
      <w:hyperlink r:id="rId26" w:history="1">
        <w:r w:rsidRPr="004D1B2D">
          <w:rPr>
            <w:rStyle w:val="Hyperlink"/>
          </w:rPr>
          <w:t>Ú. v. EÚ C 429, 11.12.2020, s. 268</w:t>
        </w:r>
      </w:hyperlink>
      <w:r>
        <w:t>.</w:t>
      </w:r>
    </w:p>
  </w:footnote>
  <w:footnote w:id="24">
    <w:p w14:paraId="3D7634F8" w14:textId="25CD5134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Pozri stanovisko EHSV na tému </w:t>
      </w:r>
      <w:r>
        <w:rPr>
          <w:i/>
        </w:rPr>
        <w:t>Klimatická spravodlivosť</w:t>
      </w:r>
      <w:r>
        <w:t xml:space="preserve">, </w:t>
      </w:r>
      <w:hyperlink r:id="rId27" w:history="1">
        <w:r w:rsidRPr="004D1B2D">
          <w:rPr>
            <w:rStyle w:val="Hyperlink"/>
          </w:rPr>
          <w:t>Ú. v. EÚ C 81, 2.3.2018, s. 22</w:t>
        </w:r>
      </w:hyperlink>
      <w:r>
        <w:t xml:space="preserve">; a na tému </w:t>
      </w:r>
      <w:r>
        <w:rPr>
          <w:i/>
          <w:iCs/>
        </w:rPr>
        <w:t>Budovanie Európy odolnej proti zmene klímy – nová stratégia EÚ pre adaptáciu na zmenu klímy</w:t>
      </w:r>
      <w:r>
        <w:t xml:space="preserve">, </w:t>
      </w:r>
      <w:hyperlink r:id="rId28" w:history="1">
        <w:r w:rsidRPr="004D1B2D">
          <w:rPr>
            <w:rStyle w:val="Hyperlink"/>
          </w:rPr>
          <w:t>Ú. v. EÚ C 374, 16.9.2021, s. 84</w:t>
        </w:r>
      </w:hyperlink>
      <w:r>
        <w:t>.</w:t>
      </w:r>
    </w:p>
  </w:footnote>
  <w:footnote w:id="25">
    <w:p w14:paraId="7ADAEF6C" w14:textId="2A176870" w:rsidR="00EB27C9" w:rsidRPr="00E567D2" w:rsidRDefault="00EB27C9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Stanovisko EHSV na tému </w:t>
      </w:r>
      <w:proofErr w:type="spellStart"/>
      <w:r>
        <w:rPr>
          <w:i/>
          <w:iCs/>
        </w:rPr>
        <w:t>REPowerEU</w:t>
      </w:r>
      <w:proofErr w:type="spellEnd"/>
      <w:r>
        <w:rPr>
          <w:i/>
          <w:iCs/>
        </w:rPr>
        <w:t>: spoločné európske pravidlá pre cenovo dostupnejšiu, bezpečnejšiu a udržateľnejšiu energiu</w:t>
      </w:r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29" w:history="1">
        <w:r>
          <w:rPr>
            <w:rStyle w:val="Hyperlink"/>
          </w:rPr>
          <w:t>Ú. v. EÚ 323, 26.8.2022, s. 123</w:t>
        </w:r>
      </w:hyperlink>
      <w:r>
        <w:t>.</w:t>
      </w:r>
    </w:p>
  </w:footnote>
  <w:footnote w:id="26">
    <w:p w14:paraId="3C200090" w14:textId="02646093" w:rsidR="00444B59" w:rsidRPr="005F3782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„Fit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55“: plnenie cieľa EÚ v oblasti klímy do roku 2030 na ceste ku klimatickej neutralite</w:t>
      </w:r>
      <w:r>
        <w:t xml:space="preserve">, </w:t>
      </w:r>
      <w:r w:rsidR="000C6EF4">
        <w:br/>
      </w:r>
      <w:hyperlink r:id="rId30" w:history="1">
        <w:r w:rsidRPr="004D1B2D">
          <w:rPr>
            <w:rStyle w:val="Hyperlink"/>
          </w:rPr>
          <w:t>Ú. v. EÚ C 275, 18.7.2022, s. 101</w:t>
        </w:r>
      </w:hyperlink>
      <w:r>
        <w:t>.</w:t>
      </w:r>
    </w:p>
  </w:footnote>
  <w:footnote w:id="27">
    <w:p w14:paraId="32C277BE" w14:textId="5B0CA47D" w:rsidR="00F81237" w:rsidRPr="00E567D2" w:rsidRDefault="00F81237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Stanovisko EHSV na tému </w:t>
      </w:r>
      <w:r>
        <w:rPr>
          <w:i/>
        </w:rPr>
        <w:t xml:space="preserve">Digitalizácia a udržateľnosť – status </w:t>
      </w:r>
      <w:proofErr w:type="spellStart"/>
      <w:r>
        <w:rPr>
          <w:i/>
        </w:rPr>
        <w:t>quo</w:t>
      </w:r>
      <w:proofErr w:type="spellEnd"/>
      <w:r>
        <w:rPr>
          <w:i/>
        </w:rPr>
        <w:t xml:space="preserve"> a potrebné kroky z hľadiska občianskej spoločnosti</w:t>
      </w:r>
      <w:r>
        <w:t xml:space="preserve">, </w:t>
      </w:r>
      <w:r w:rsidR="000C6EF4">
        <w:br/>
      </w:r>
      <w:hyperlink r:id="rId31" w:history="1">
        <w:r w:rsidRPr="004D1B2D">
          <w:rPr>
            <w:rStyle w:val="Hyperlink"/>
          </w:rPr>
          <w:t>Ú. v. EÚ C 429, 11.12.2020, s. 187</w:t>
        </w:r>
      </w:hyperlink>
      <w:r>
        <w:t>.</w:t>
      </w:r>
    </w:p>
  </w:footnote>
  <w:footnote w:id="28">
    <w:p w14:paraId="69788F49" w14:textId="099C8DF6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„Fit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55“: plnenie cieľa EÚ v oblasti klímy do roku 2030 na ceste ku klimatickej neutralite</w:t>
      </w:r>
      <w:r>
        <w:t xml:space="preserve">, </w:t>
      </w:r>
      <w:r w:rsidR="000C6EF4">
        <w:br/>
      </w:r>
      <w:hyperlink r:id="rId32" w:history="1">
        <w:r w:rsidRPr="004D1B2D">
          <w:rPr>
            <w:rStyle w:val="Hyperlink"/>
          </w:rPr>
          <w:t>Ú. v. EÚ C 275, 18.7.2022, s. 101</w:t>
        </w:r>
      </w:hyperlink>
      <w:r>
        <w:t>.</w:t>
      </w:r>
    </w:p>
  </w:footnote>
  <w:footnote w:id="29">
    <w:p w14:paraId="511DC680" w14:textId="34382060" w:rsidR="003567A8" w:rsidRPr="005F3782" w:rsidRDefault="003567A8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na tému </w:t>
      </w:r>
      <w:r>
        <w:rPr>
          <w:i/>
        </w:rPr>
        <w:t xml:space="preserve">„Fit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55“: plnenie cieľa EÚ v oblasti klímy do roku 2030 na ceste ku klimatickej neutralite</w:t>
      </w:r>
      <w:r>
        <w:t xml:space="preserve">, </w:t>
      </w:r>
      <w:r w:rsidR="000C6EF4">
        <w:br/>
      </w:r>
      <w:hyperlink r:id="rId33" w:history="1">
        <w:r w:rsidRPr="004D1B2D">
          <w:rPr>
            <w:rStyle w:val="Hyperlink"/>
          </w:rPr>
          <w:t>Ú. v. EÚ C 275, 18.7.2022, s. 101</w:t>
        </w:r>
      </w:hyperlink>
      <w:r>
        <w:t>.</w:t>
      </w:r>
    </w:p>
  </w:footnote>
  <w:footnote w:id="30">
    <w:p w14:paraId="7E54F450" w14:textId="77777777" w:rsidR="00EE319C" w:rsidRPr="005F3782" w:rsidRDefault="00EE319C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4" w:history="1">
        <w:r>
          <w:rPr>
            <w:rStyle w:val="Hyperlink"/>
            <w:i/>
          </w:rPr>
          <w:t xml:space="preserve">2020 </w:t>
        </w:r>
        <w:proofErr w:type="spellStart"/>
        <w:r>
          <w:rPr>
            <w:rStyle w:val="Hyperlink"/>
            <w:i/>
          </w:rPr>
          <w:t>Pocket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Guide</w:t>
        </w:r>
        <w:proofErr w:type="spellEnd"/>
        <w:r>
          <w:rPr>
            <w:rStyle w:val="Hyperlink"/>
            <w:i/>
          </w:rPr>
          <w:t xml:space="preserve"> to </w:t>
        </w:r>
        <w:proofErr w:type="spellStart"/>
        <w:r>
          <w:rPr>
            <w:rStyle w:val="Hyperlink"/>
            <w:i/>
          </w:rPr>
          <w:t>Gender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Equality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under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the</w:t>
        </w:r>
        <w:proofErr w:type="spellEnd"/>
        <w:r>
          <w:rPr>
            <w:rStyle w:val="Hyperlink"/>
            <w:i/>
          </w:rPr>
          <w:t xml:space="preserve"> UNFCCC</w:t>
        </w:r>
        <w:r>
          <w:rPr>
            <w:rStyle w:val="Hyperlink"/>
          </w:rPr>
          <w:t>, WEDO</w:t>
        </w:r>
      </w:hyperlink>
      <w:r>
        <w:t>.</w:t>
      </w:r>
    </w:p>
  </w:footnote>
  <w:footnote w:id="31">
    <w:p w14:paraId="1C2D9CC6" w14:textId="75292C05" w:rsidR="009F475F" w:rsidRPr="005F3782" w:rsidRDefault="009F475F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Pripravované stanovisko EHSV (NAT/788) na tému </w:t>
      </w:r>
      <w:hyperlink r:id="rId35" w:history="1">
        <w:r>
          <w:rPr>
            <w:rStyle w:val="Hyperlink"/>
            <w:i/>
          </w:rPr>
          <w:t>Dosiahnuť štruktúrované zapojenie mladých v oblasti klímy a udržateľnosti v</w:t>
        </w:r>
        <w:r w:rsidR="004D1B2D">
          <w:rPr>
            <w:rStyle w:val="Hyperlink"/>
            <w:i/>
          </w:rPr>
          <w:t> </w:t>
        </w:r>
        <w:r>
          <w:rPr>
            <w:rStyle w:val="Hyperlink"/>
            <w:i/>
          </w:rPr>
          <w:t>rozhodovacom procese EÚ</w:t>
        </w:r>
      </w:hyperlink>
      <w:r>
        <w:t>.</w:t>
      </w:r>
    </w:p>
  </w:footnote>
  <w:footnote w:id="32">
    <w:p w14:paraId="1CE40736" w14:textId="77777777" w:rsidR="00B27016" w:rsidRPr="005F3782" w:rsidRDefault="00B27016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6" w:history="1">
        <w:proofErr w:type="spellStart"/>
        <w:r>
          <w:rPr>
            <w:rStyle w:val="Hyperlink"/>
            <w:i/>
          </w:rPr>
          <w:t>Indigenous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peoples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defend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Earth's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biodiversity</w:t>
        </w:r>
        <w:proofErr w:type="spellEnd"/>
        <w:r>
          <w:rPr>
            <w:rStyle w:val="Hyperlink"/>
            <w:i/>
          </w:rPr>
          <w:t xml:space="preserve"> – </w:t>
        </w:r>
        <w:proofErr w:type="spellStart"/>
        <w:r>
          <w:rPr>
            <w:rStyle w:val="Hyperlink"/>
            <w:i/>
          </w:rPr>
          <w:t>but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they're</w:t>
        </w:r>
        <w:proofErr w:type="spellEnd"/>
        <w:r>
          <w:rPr>
            <w:rStyle w:val="Hyperlink"/>
            <w:i/>
          </w:rPr>
          <w:t xml:space="preserve"> in </w:t>
        </w:r>
        <w:proofErr w:type="spellStart"/>
        <w:r>
          <w:rPr>
            <w:rStyle w:val="Hyperlink"/>
            <w:i/>
          </w:rPr>
          <w:t>danger</w:t>
        </w:r>
        <w:proofErr w:type="spellEnd"/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7335" w14:textId="77777777" w:rsidR="00180C9D" w:rsidRDefault="002C7A3D">
    <w:pPr>
      <w:pStyle w:val="Header"/>
    </w:pPr>
    <w:r>
      <w:pict w14:anchorId="1BAB7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16391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D6BD" w14:textId="77777777" w:rsidR="00180C9D" w:rsidRDefault="00180C9D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B34FDF3" wp14:editId="4C3E2521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5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A3D">
      <w:pict w14:anchorId="0608F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16392" type="#_x0000_t75" style="position:absolute;left:0;text-align:left;margin-left:0;margin-top:0;width:598.15pt;height:843.9pt;z-index:-251657728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0BD3" w14:textId="77777777" w:rsidR="00180C9D" w:rsidRDefault="002C7A3D">
    <w:pPr>
      <w:pStyle w:val="Header"/>
    </w:pPr>
    <w:r>
      <w:pict w14:anchorId="21C79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16390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050F" w14:textId="77777777" w:rsidR="00180C9D" w:rsidRDefault="002C7A3D">
    <w:pPr>
      <w:pStyle w:val="Header"/>
    </w:pPr>
    <w:r>
      <w:pict w14:anchorId="7FFB6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16394" type="#_x0000_t75" style="position:absolute;left:0;text-align:left;margin-left:0;margin-top:0;width:598.15pt;height:843.9pt;z-index:-25165568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5F5" w14:textId="77777777" w:rsidR="00180C9D" w:rsidRDefault="00180C9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BA4962C" wp14:editId="24220BB3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2A09" w14:textId="77777777" w:rsidR="00180C9D" w:rsidRDefault="002C7A3D">
    <w:pPr>
      <w:pStyle w:val="Header"/>
    </w:pPr>
    <w:r>
      <w:pict w14:anchorId="49279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16393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64B7" w14:textId="77777777" w:rsidR="00526B40" w:rsidRPr="00526B40" w:rsidRDefault="00526B40" w:rsidP="00526B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539" w14:textId="77777777" w:rsidR="00526B40" w:rsidRPr="002E7EE1" w:rsidRDefault="00526B40" w:rsidP="002E7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CBE" w14:textId="77777777" w:rsidR="00526B40" w:rsidRPr="00526B40" w:rsidRDefault="00526B40" w:rsidP="0052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0A0DA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B337C2"/>
    <w:multiLevelType w:val="hybridMultilevel"/>
    <w:tmpl w:val="560A56B6"/>
    <w:lvl w:ilvl="0" w:tplc="130ADC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414"/>
    <w:multiLevelType w:val="hybridMultilevel"/>
    <w:tmpl w:val="B4BA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C9"/>
    <w:multiLevelType w:val="hybridMultilevel"/>
    <w:tmpl w:val="86222EB0"/>
    <w:lvl w:ilvl="0" w:tplc="9174A72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B1F21"/>
    <w:multiLevelType w:val="hybridMultilevel"/>
    <w:tmpl w:val="FD7661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77FC2"/>
    <w:multiLevelType w:val="hybridMultilevel"/>
    <w:tmpl w:val="29B0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200"/>
    <w:multiLevelType w:val="hybridMultilevel"/>
    <w:tmpl w:val="C99CE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B5C"/>
    <w:multiLevelType w:val="hybridMultilevel"/>
    <w:tmpl w:val="9284693E"/>
    <w:lvl w:ilvl="0" w:tplc="6396C9C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336"/>
    <w:multiLevelType w:val="hybridMultilevel"/>
    <w:tmpl w:val="AFEC9D88"/>
    <w:lvl w:ilvl="0" w:tplc="1196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D1D40"/>
    <w:multiLevelType w:val="hybridMultilevel"/>
    <w:tmpl w:val="572A7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AD4"/>
    <w:multiLevelType w:val="hybridMultilevel"/>
    <w:tmpl w:val="156AF25E"/>
    <w:lvl w:ilvl="0" w:tplc="4C8629AC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7E514B"/>
    <w:multiLevelType w:val="hybridMultilevel"/>
    <w:tmpl w:val="C82A87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95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01"/>
    <w:rsid w:val="00007773"/>
    <w:rsid w:val="000079E5"/>
    <w:rsid w:val="00010FC6"/>
    <w:rsid w:val="000120CD"/>
    <w:rsid w:val="00013255"/>
    <w:rsid w:val="00020F19"/>
    <w:rsid w:val="00030E21"/>
    <w:rsid w:val="00032E37"/>
    <w:rsid w:val="0003449F"/>
    <w:rsid w:val="000358F0"/>
    <w:rsid w:val="00047980"/>
    <w:rsid w:val="00047D68"/>
    <w:rsid w:val="00050B81"/>
    <w:rsid w:val="00053594"/>
    <w:rsid w:val="00053B1C"/>
    <w:rsid w:val="00054D9D"/>
    <w:rsid w:val="000574BC"/>
    <w:rsid w:val="00057833"/>
    <w:rsid w:val="00062D0C"/>
    <w:rsid w:val="000710D8"/>
    <w:rsid w:val="00081EAE"/>
    <w:rsid w:val="0008251E"/>
    <w:rsid w:val="00082AB6"/>
    <w:rsid w:val="00083FD7"/>
    <w:rsid w:val="00091780"/>
    <w:rsid w:val="00094578"/>
    <w:rsid w:val="000A0FF9"/>
    <w:rsid w:val="000A58FB"/>
    <w:rsid w:val="000C30B4"/>
    <w:rsid w:val="000C69E5"/>
    <w:rsid w:val="000C6EF4"/>
    <w:rsid w:val="000D1E9E"/>
    <w:rsid w:val="000F22F9"/>
    <w:rsid w:val="000F3131"/>
    <w:rsid w:val="000F577D"/>
    <w:rsid w:val="001024F7"/>
    <w:rsid w:val="0010269A"/>
    <w:rsid w:val="001063B3"/>
    <w:rsid w:val="00107725"/>
    <w:rsid w:val="00110795"/>
    <w:rsid w:val="00112C96"/>
    <w:rsid w:val="0011335A"/>
    <w:rsid w:val="001210DE"/>
    <w:rsid w:val="00122408"/>
    <w:rsid w:val="00127863"/>
    <w:rsid w:val="0014073F"/>
    <w:rsid w:val="001420B1"/>
    <w:rsid w:val="0014388E"/>
    <w:rsid w:val="001522F6"/>
    <w:rsid w:val="001528E9"/>
    <w:rsid w:val="00160934"/>
    <w:rsid w:val="00164C3A"/>
    <w:rsid w:val="00172E65"/>
    <w:rsid w:val="00180C9D"/>
    <w:rsid w:val="0018583B"/>
    <w:rsid w:val="001A1A3D"/>
    <w:rsid w:val="001A4755"/>
    <w:rsid w:val="001B07D7"/>
    <w:rsid w:val="001B74DB"/>
    <w:rsid w:val="001C13D6"/>
    <w:rsid w:val="001C5AD1"/>
    <w:rsid w:val="001C5CC5"/>
    <w:rsid w:val="001C6918"/>
    <w:rsid w:val="001D0A3D"/>
    <w:rsid w:val="001D3DDD"/>
    <w:rsid w:val="001D3EF3"/>
    <w:rsid w:val="001E56F8"/>
    <w:rsid w:val="001E70B5"/>
    <w:rsid w:val="001F2404"/>
    <w:rsid w:val="002025CA"/>
    <w:rsid w:val="00210AC4"/>
    <w:rsid w:val="00213319"/>
    <w:rsid w:val="00216D49"/>
    <w:rsid w:val="002200A3"/>
    <w:rsid w:val="00220171"/>
    <w:rsid w:val="0022449B"/>
    <w:rsid w:val="00224B58"/>
    <w:rsid w:val="002319CC"/>
    <w:rsid w:val="00245087"/>
    <w:rsid w:val="00246C92"/>
    <w:rsid w:val="00250853"/>
    <w:rsid w:val="00251F8E"/>
    <w:rsid w:val="0025667C"/>
    <w:rsid w:val="0027499D"/>
    <w:rsid w:val="00276FB4"/>
    <w:rsid w:val="00277BBA"/>
    <w:rsid w:val="0028320C"/>
    <w:rsid w:val="002911C6"/>
    <w:rsid w:val="0029184B"/>
    <w:rsid w:val="00293BF8"/>
    <w:rsid w:val="002A1DD3"/>
    <w:rsid w:val="002A4183"/>
    <w:rsid w:val="002B0474"/>
    <w:rsid w:val="002B24A9"/>
    <w:rsid w:val="002C2B01"/>
    <w:rsid w:val="002C3963"/>
    <w:rsid w:val="002C59E9"/>
    <w:rsid w:val="002C7A3D"/>
    <w:rsid w:val="002D1697"/>
    <w:rsid w:val="002E4FAE"/>
    <w:rsid w:val="002E7EE1"/>
    <w:rsid w:val="002F108E"/>
    <w:rsid w:val="002F2E5C"/>
    <w:rsid w:val="00310649"/>
    <w:rsid w:val="0031122E"/>
    <w:rsid w:val="00312E1F"/>
    <w:rsid w:val="00317B29"/>
    <w:rsid w:val="0032590D"/>
    <w:rsid w:val="00325B6D"/>
    <w:rsid w:val="00327938"/>
    <w:rsid w:val="00333ED2"/>
    <w:rsid w:val="00350888"/>
    <w:rsid w:val="00353B1A"/>
    <w:rsid w:val="003567A8"/>
    <w:rsid w:val="00361AAA"/>
    <w:rsid w:val="003947B1"/>
    <w:rsid w:val="0039570B"/>
    <w:rsid w:val="003A552C"/>
    <w:rsid w:val="003A5BD7"/>
    <w:rsid w:val="003C2548"/>
    <w:rsid w:val="003C63C8"/>
    <w:rsid w:val="003D02F9"/>
    <w:rsid w:val="003D0D15"/>
    <w:rsid w:val="003D0E4A"/>
    <w:rsid w:val="003D17B9"/>
    <w:rsid w:val="003E12B0"/>
    <w:rsid w:val="003E6F23"/>
    <w:rsid w:val="003F1226"/>
    <w:rsid w:val="003F3573"/>
    <w:rsid w:val="003F40D4"/>
    <w:rsid w:val="00400D58"/>
    <w:rsid w:val="0040134E"/>
    <w:rsid w:val="00411708"/>
    <w:rsid w:val="0041312C"/>
    <w:rsid w:val="00414F13"/>
    <w:rsid w:val="00424F46"/>
    <w:rsid w:val="0042531D"/>
    <w:rsid w:val="004254CB"/>
    <w:rsid w:val="00426786"/>
    <w:rsid w:val="00444B59"/>
    <w:rsid w:val="0044565F"/>
    <w:rsid w:val="004576EE"/>
    <w:rsid w:val="0046063B"/>
    <w:rsid w:val="00475FDE"/>
    <w:rsid w:val="00481CE2"/>
    <w:rsid w:val="004825B2"/>
    <w:rsid w:val="00492189"/>
    <w:rsid w:val="00497488"/>
    <w:rsid w:val="004A2A58"/>
    <w:rsid w:val="004A3037"/>
    <w:rsid w:val="004A39C9"/>
    <w:rsid w:val="004A49B9"/>
    <w:rsid w:val="004C238F"/>
    <w:rsid w:val="004D1B2D"/>
    <w:rsid w:val="004E503C"/>
    <w:rsid w:val="004E5901"/>
    <w:rsid w:val="004F04C7"/>
    <w:rsid w:val="004F2471"/>
    <w:rsid w:val="004F2AA6"/>
    <w:rsid w:val="00506F07"/>
    <w:rsid w:val="00516A37"/>
    <w:rsid w:val="00516EDB"/>
    <w:rsid w:val="00520445"/>
    <w:rsid w:val="00522909"/>
    <w:rsid w:val="0052304F"/>
    <w:rsid w:val="005240E4"/>
    <w:rsid w:val="00524D70"/>
    <w:rsid w:val="005252C5"/>
    <w:rsid w:val="00526B40"/>
    <w:rsid w:val="00533DDC"/>
    <w:rsid w:val="005350BD"/>
    <w:rsid w:val="00540820"/>
    <w:rsid w:val="00543898"/>
    <w:rsid w:val="00545A8D"/>
    <w:rsid w:val="0055343D"/>
    <w:rsid w:val="00553760"/>
    <w:rsid w:val="00554DBC"/>
    <w:rsid w:val="00560833"/>
    <w:rsid w:val="00565A46"/>
    <w:rsid w:val="00567475"/>
    <w:rsid w:val="00570EB2"/>
    <w:rsid w:val="00570F8A"/>
    <w:rsid w:val="00577E20"/>
    <w:rsid w:val="00581CB9"/>
    <w:rsid w:val="00582ABD"/>
    <w:rsid w:val="00586755"/>
    <w:rsid w:val="005933EE"/>
    <w:rsid w:val="005942E9"/>
    <w:rsid w:val="00597A7F"/>
    <w:rsid w:val="005A1F93"/>
    <w:rsid w:val="005A2860"/>
    <w:rsid w:val="005A6199"/>
    <w:rsid w:val="005B331C"/>
    <w:rsid w:val="005C5960"/>
    <w:rsid w:val="005D233A"/>
    <w:rsid w:val="005D5E98"/>
    <w:rsid w:val="005D6C1C"/>
    <w:rsid w:val="005E2540"/>
    <w:rsid w:val="005E5612"/>
    <w:rsid w:val="005F3782"/>
    <w:rsid w:val="005F44F7"/>
    <w:rsid w:val="005F5E01"/>
    <w:rsid w:val="0060072A"/>
    <w:rsid w:val="00603282"/>
    <w:rsid w:val="00603397"/>
    <w:rsid w:val="006169F0"/>
    <w:rsid w:val="00617ABC"/>
    <w:rsid w:val="00617B1E"/>
    <w:rsid w:val="00626EA5"/>
    <w:rsid w:val="00630EFA"/>
    <w:rsid w:val="006377AD"/>
    <w:rsid w:val="0065059A"/>
    <w:rsid w:val="0065271C"/>
    <w:rsid w:val="00661468"/>
    <w:rsid w:val="006671F8"/>
    <w:rsid w:val="00670077"/>
    <w:rsid w:val="00670217"/>
    <w:rsid w:val="00692681"/>
    <w:rsid w:val="006A01E6"/>
    <w:rsid w:val="006A36E1"/>
    <w:rsid w:val="006B78AF"/>
    <w:rsid w:val="006C0250"/>
    <w:rsid w:val="006C5D3F"/>
    <w:rsid w:val="006D019C"/>
    <w:rsid w:val="006D2F1C"/>
    <w:rsid w:val="006E093F"/>
    <w:rsid w:val="006E3BC9"/>
    <w:rsid w:val="006F5D08"/>
    <w:rsid w:val="00700B2B"/>
    <w:rsid w:val="00705092"/>
    <w:rsid w:val="00707DFC"/>
    <w:rsid w:val="00710362"/>
    <w:rsid w:val="00710624"/>
    <w:rsid w:val="0071287F"/>
    <w:rsid w:val="00721976"/>
    <w:rsid w:val="007223E8"/>
    <w:rsid w:val="007224D6"/>
    <w:rsid w:val="00731E22"/>
    <w:rsid w:val="007322BD"/>
    <w:rsid w:val="00737DEA"/>
    <w:rsid w:val="00743DFE"/>
    <w:rsid w:val="00743E25"/>
    <w:rsid w:val="00745B9A"/>
    <w:rsid w:val="00746FB1"/>
    <w:rsid w:val="0076018C"/>
    <w:rsid w:val="00763C6B"/>
    <w:rsid w:val="00765637"/>
    <w:rsid w:val="007708BF"/>
    <w:rsid w:val="0077152F"/>
    <w:rsid w:val="00775484"/>
    <w:rsid w:val="00775637"/>
    <w:rsid w:val="0078686E"/>
    <w:rsid w:val="00786F2F"/>
    <w:rsid w:val="00790A6F"/>
    <w:rsid w:val="00794F2D"/>
    <w:rsid w:val="007A1151"/>
    <w:rsid w:val="007A5A88"/>
    <w:rsid w:val="007C32B7"/>
    <w:rsid w:val="007C4F70"/>
    <w:rsid w:val="007C5A1C"/>
    <w:rsid w:val="007C5F52"/>
    <w:rsid w:val="007D0A89"/>
    <w:rsid w:val="007D0B81"/>
    <w:rsid w:val="007E0872"/>
    <w:rsid w:val="007E34B1"/>
    <w:rsid w:val="007E39E9"/>
    <w:rsid w:val="007F5D59"/>
    <w:rsid w:val="007F7CA6"/>
    <w:rsid w:val="00803823"/>
    <w:rsid w:val="00806BAA"/>
    <w:rsid w:val="00810157"/>
    <w:rsid w:val="008156F4"/>
    <w:rsid w:val="008176F0"/>
    <w:rsid w:val="00817935"/>
    <w:rsid w:val="008206AB"/>
    <w:rsid w:val="00824CD1"/>
    <w:rsid w:val="008277E1"/>
    <w:rsid w:val="00833E48"/>
    <w:rsid w:val="00844FC4"/>
    <w:rsid w:val="00845E39"/>
    <w:rsid w:val="00846350"/>
    <w:rsid w:val="0085156D"/>
    <w:rsid w:val="0085181B"/>
    <w:rsid w:val="00852FE8"/>
    <w:rsid w:val="0086482A"/>
    <w:rsid w:val="00866CDC"/>
    <w:rsid w:val="00870C63"/>
    <w:rsid w:val="008746D2"/>
    <w:rsid w:val="00882017"/>
    <w:rsid w:val="0088253F"/>
    <w:rsid w:val="008850FC"/>
    <w:rsid w:val="008863D6"/>
    <w:rsid w:val="0089555A"/>
    <w:rsid w:val="00897DDC"/>
    <w:rsid w:val="008A03FA"/>
    <w:rsid w:val="008A6CF4"/>
    <w:rsid w:val="008B12F6"/>
    <w:rsid w:val="008B2655"/>
    <w:rsid w:val="008C1ADC"/>
    <w:rsid w:val="008D5813"/>
    <w:rsid w:val="008E0B59"/>
    <w:rsid w:val="008E15FF"/>
    <w:rsid w:val="008E35E8"/>
    <w:rsid w:val="008E5096"/>
    <w:rsid w:val="008F1733"/>
    <w:rsid w:val="008F45EA"/>
    <w:rsid w:val="008F6617"/>
    <w:rsid w:val="009018BB"/>
    <w:rsid w:val="00940450"/>
    <w:rsid w:val="00952F11"/>
    <w:rsid w:val="00953E81"/>
    <w:rsid w:val="00956102"/>
    <w:rsid w:val="009562D0"/>
    <w:rsid w:val="00965573"/>
    <w:rsid w:val="00967726"/>
    <w:rsid w:val="0096791E"/>
    <w:rsid w:val="0098098C"/>
    <w:rsid w:val="0098098F"/>
    <w:rsid w:val="00980E1A"/>
    <w:rsid w:val="009813C0"/>
    <w:rsid w:val="00987D42"/>
    <w:rsid w:val="009905B3"/>
    <w:rsid w:val="009A4326"/>
    <w:rsid w:val="009A4328"/>
    <w:rsid w:val="009B07C8"/>
    <w:rsid w:val="009B16C4"/>
    <w:rsid w:val="009B4C74"/>
    <w:rsid w:val="009B5C4D"/>
    <w:rsid w:val="009B6837"/>
    <w:rsid w:val="009C586D"/>
    <w:rsid w:val="009C5FF9"/>
    <w:rsid w:val="009D72F3"/>
    <w:rsid w:val="009E2570"/>
    <w:rsid w:val="009E3EF9"/>
    <w:rsid w:val="009F3005"/>
    <w:rsid w:val="009F475F"/>
    <w:rsid w:val="00A00B14"/>
    <w:rsid w:val="00A03256"/>
    <w:rsid w:val="00A12E50"/>
    <w:rsid w:val="00A133B3"/>
    <w:rsid w:val="00A164BD"/>
    <w:rsid w:val="00A170B9"/>
    <w:rsid w:val="00A17E67"/>
    <w:rsid w:val="00A21967"/>
    <w:rsid w:val="00A222D7"/>
    <w:rsid w:val="00A259B7"/>
    <w:rsid w:val="00A36554"/>
    <w:rsid w:val="00A37E2A"/>
    <w:rsid w:val="00A42B33"/>
    <w:rsid w:val="00A5534E"/>
    <w:rsid w:val="00A621E3"/>
    <w:rsid w:val="00A62A18"/>
    <w:rsid w:val="00A67BB2"/>
    <w:rsid w:val="00A726A8"/>
    <w:rsid w:val="00A73469"/>
    <w:rsid w:val="00A853D9"/>
    <w:rsid w:val="00A876F4"/>
    <w:rsid w:val="00A92A06"/>
    <w:rsid w:val="00A9456F"/>
    <w:rsid w:val="00AA482D"/>
    <w:rsid w:val="00AA54B3"/>
    <w:rsid w:val="00AA6629"/>
    <w:rsid w:val="00AB53B4"/>
    <w:rsid w:val="00AB7934"/>
    <w:rsid w:val="00AC1A1D"/>
    <w:rsid w:val="00AD00BB"/>
    <w:rsid w:val="00AD4928"/>
    <w:rsid w:val="00AD7602"/>
    <w:rsid w:val="00AE2590"/>
    <w:rsid w:val="00AE4609"/>
    <w:rsid w:val="00AF25FB"/>
    <w:rsid w:val="00AF71F0"/>
    <w:rsid w:val="00B01289"/>
    <w:rsid w:val="00B01BA1"/>
    <w:rsid w:val="00B04342"/>
    <w:rsid w:val="00B04FF3"/>
    <w:rsid w:val="00B073B5"/>
    <w:rsid w:val="00B150DC"/>
    <w:rsid w:val="00B205A5"/>
    <w:rsid w:val="00B20ABB"/>
    <w:rsid w:val="00B2659F"/>
    <w:rsid w:val="00B27016"/>
    <w:rsid w:val="00B42531"/>
    <w:rsid w:val="00B45F35"/>
    <w:rsid w:val="00B52B01"/>
    <w:rsid w:val="00B626ED"/>
    <w:rsid w:val="00B62C19"/>
    <w:rsid w:val="00B642F9"/>
    <w:rsid w:val="00B7082E"/>
    <w:rsid w:val="00B71AC3"/>
    <w:rsid w:val="00B71DCF"/>
    <w:rsid w:val="00B77A3A"/>
    <w:rsid w:val="00B85401"/>
    <w:rsid w:val="00B87189"/>
    <w:rsid w:val="00B91C64"/>
    <w:rsid w:val="00BB4DFA"/>
    <w:rsid w:val="00BB66A9"/>
    <w:rsid w:val="00BB788A"/>
    <w:rsid w:val="00BC103D"/>
    <w:rsid w:val="00BD0948"/>
    <w:rsid w:val="00BD3C5C"/>
    <w:rsid w:val="00BD3EB8"/>
    <w:rsid w:val="00BD5CD8"/>
    <w:rsid w:val="00BE6751"/>
    <w:rsid w:val="00BE77CC"/>
    <w:rsid w:val="00BF16EA"/>
    <w:rsid w:val="00BF1CE2"/>
    <w:rsid w:val="00C0106D"/>
    <w:rsid w:val="00C07570"/>
    <w:rsid w:val="00C12FAA"/>
    <w:rsid w:val="00C205C9"/>
    <w:rsid w:val="00C21A2C"/>
    <w:rsid w:val="00C238B1"/>
    <w:rsid w:val="00C23B16"/>
    <w:rsid w:val="00C3245F"/>
    <w:rsid w:val="00C36A32"/>
    <w:rsid w:val="00C375B8"/>
    <w:rsid w:val="00C5108E"/>
    <w:rsid w:val="00C52F45"/>
    <w:rsid w:val="00C551C1"/>
    <w:rsid w:val="00C57DA5"/>
    <w:rsid w:val="00C62504"/>
    <w:rsid w:val="00C63F7A"/>
    <w:rsid w:val="00C67831"/>
    <w:rsid w:val="00C7353C"/>
    <w:rsid w:val="00C740ED"/>
    <w:rsid w:val="00C852CF"/>
    <w:rsid w:val="00C908AB"/>
    <w:rsid w:val="00C92408"/>
    <w:rsid w:val="00C93B38"/>
    <w:rsid w:val="00CA61D4"/>
    <w:rsid w:val="00CA7EDF"/>
    <w:rsid w:val="00CA7FAC"/>
    <w:rsid w:val="00CB0629"/>
    <w:rsid w:val="00CB0BBD"/>
    <w:rsid w:val="00CB14BC"/>
    <w:rsid w:val="00CC20C3"/>
    <w:rsid w:val="00CC3A72"/>
    <w:rsid w:val="00CD1029"/>
    <w:rsid w:val="00CD43E8"/>
    <w:rsid w:val="00CD4643"/>
    <w:rsid w:val="00CD79AE"/>
    <w:rsid w:val="00CE4688"/>
    <w:rsid w:val="00CF1607"/>
    <w:rsid w:val="00CF2433"/>
    <w:rsid w:val="00D02FDF"/>
    <w:rsid w:val="00D12818"/>
    <w:rsid w:val="00D1414D"/>
    <w:rsid w:val="00D2042C"/>
    <w:rsid w:val="00D2231B"/>
    <w:rsid w:val="00D27851"/>
    <w:rsid w:val="00D27A92"/>
    <w:rsid w:val="00D51F5E"/>
    <w:rsid w:val="00D54118"/>
    <w:rsid w:val="00D570D3"/>
    <w:rsid w:val="00D574A2"/>
    <w:rsid w:val="00D60601"/>
    <w:rsid w:val="00D64047"/>
    <w:rsid w:val="00D6633E"/>
    <w:rsid w:val="00D67EFD"/>
    <w:rsid w:val="00D74893"/>
    <w:rsid w:val="00D77C17"/>
    <w:rsid w:val="00D77EA8"/>
    <w:rsid w:val="00D8252A"/>
    <w:rsid w:val="00D8439B"/>
    <w:rsid w:val="00D96182"/>
    <w:rsid w:val="00D96349"/>
    <w:rsid w:val="00D96634"/>
    <w:rsid w:val="00D96C2A"/>
    <w:rsid w:val="00DA0977"/>
    <w:rsid w:val="00DA10AF"/>
    <w:rsid w:val="00DA22B0"/>
    <w:rsid w:val="00DA7721"/>
    <w:rsid w:val="00DB5BB4"/>
    <w:rsid w:val="00DC6A9B"/>
    <w:rsid w:val="00DC6D66"/>
    <w:rsid w:val="00DD2A69"/>
    <w:rsid w:val="00DD3830"/>
    <w:rsid w:val="00DD4E5E"/>
    <w:rsid w:val="00DD6CEE"/>
    <w:rsid w:val="00DE24B9"/>
    <w:rsid w:val="00DE3250"/>
    <w:rsid w:val="00DE5B7A"/>
    <w:rsid w:val="00DE79F5"/>
    <w:rsid w:val="00DF32BE"/>
    <w:rsid w:val="00DF46E1"/>
    <w:rsid w:val="00DF7757"/>
    <w:rsid w:val="00E01716"/>
    <w:rsid w:val="00E05711"/>
    <w:rsid w:val="00E24747"/>
    <w:rsid w:val="00E25EDF"/>
    <w:rsid w:val="00E362FB"/>
    <w:rsid w:val="00E42D33"/>
    <w:rsid w:val="00E567D2"/>
    <w:rsid w:val="00E57DC0"/>
    <w:rsid w:val="00E6649F"/>
    <w:rsid w:val="00E66B87"/>
    <w:rsid w:val="00E80011"/>
    <w:rsid w:val="00E83BF6"/>
    <w:rsid w:val="00E83F17"/>
    <w:rsid w:val="00E9366E"/>
    <w:rsid w:val="00EA1709"/>
    <w:rsid w:val="00EA2B05"/>
    <w:rsid w:val="00EA5E8A"/>
    <w:rsid w:val="00EB0B86"/>
    <w:rsid w:val="00EB1B49"/>
    <w:rsid w:val="00EB240C"/>
    <w:rsid w:val="00EB27C9"/>
    <w:rsid w:val="00EC4EDF"/>
    <w:rsid w:val="00EC7600"/>
    <w:rsid w:val="00ED2C5C"/>
    <w:rsid w:val="00EE0E4F"/>
    <w:rsid w:val="00EE319C"/>
    <w:rsid w:val="00EE6795"/>
    <w:rsid w:val="00EE6803"/>
    <w:rsid w:val="00EE6D66"/>
    <w:rsid w:val="00EF3B48"/>
    <w:rsid w:val="00EF6F7C"/>
    <w:rsid w:val="00F07E26"/>
    <w:rsid w:val="00F14C0E"/>
    <w:rsid w:val="00F22EB4"/>
    <w:rsid w:val="00F23B61"/>
    <w:rsid w:val="00F25A8E"/>
    <w:rsid w:val="00F30C50"/>
    <w:rsid w:val="00F32CB4"/>
    <w:rsid w:val="00F34F7D"/>
    <w:rsid w:val="00F4047E"/>
    <w:rsid w:val="00F426F7"/>
    <w:rsid w:val="00F443E3"/>
    <w:rsid w:val="00F467FD"/>
    <w:rsid w:val="00F5520F"/>
    <w:rsid w:val="00F5730D"/>
    <w:rsid w:val="00F6135D"/>
    <w:rsid w:val="00F63D08"/>
    <w:rsid w:val="00F65972"/>
    <w:rsid w:val="00F71374"/>
    <w:rsid w:val="00F72497"/>
    <w:rsid w:val="00F73246"/>
    <w:rsid w:val="00F81237"/>
    <w:rsid w:val="00F8473A"/>
    <w:rsid w:val="00F95E1A"/>
    <w:rsid w:val="00F970A7"/>
    <w:rsid w:val="00FA47E2"/>
    <w:rsid w:val="00FA7C73"/>
    <w:rsid w:val="00FB4E1C"/>
    <w:rsid w:val="00FC13FF"/>
    <w:rsid w:val="00FC265D"/>
    <w:rsid w:val="00FC5DCF"/>
    <w:rsid w:val="00FD4C7F"/>
    <w:rsid w:val="00FE3D81"/>
    <w:rsid w:val="00FE6FF6"/>
    <w:rsid w:val="00FE776D"/>
    <w:rsid w:val="00FE7EF1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5"/>
    <o:shapelayout v:ext="edit">
      <o:idmap v:ext="edit" data="1"/>
    </o:shapelayout>
  </w:shapeDefaults>
  <w:decimalSymbol w:val=","/>
  <w:listSeparator w:val=";"/>
  <w14:docId w14:val="2B26ECF5"/>
  <w15:chartTrackingRefBased/>
  <w15:docId w15:val="{A7A01279-E3D5-4F80-AAB3-1C26A53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8A03FA"/>
    <w:pPr>
      <w:numPr>
        <w:numId w:val="3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A03FA"/>
    <w:pPr>
      <w:numPr>
        <w:ilvl w:val="1"/>
        <w:numId w:val="3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A03FA"/>
    <w:pPr>
      <w:numPr>
        <w:ilvl w:val="2"/>
        <w:numId w:val="3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A03FA"/>
    <w:pPr>
      <w:numPr>
        <w:ilvl w:val="3"/>
        <w:numId w:val="3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A03FA"/>
    <w:pPr>
      <w:numPr>
        <w:ilvl w:val="4"/>
        <w:numId w:val="3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A03FA"/>
    <w:pPr>
      <w:numPr>
        <w:ilvl w:val="5"/>
        <w:numId w:val="3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A03FA"/>
    <w:pPr>
      <w:numPr>
        <w:ilvl w:val="6"/>
        <w:numId w:val="3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A03FA"/>
    <w:pPr>
      <w:numPr>
        <w:ilvl w:val="7"/>
        <w:numId w:val="3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A03FA"/>
    <w:pPr>
      <w:numPr>
        <w:ilvl w:val="8"/>
        <w:numId w:val="3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3FA"/>
    <w:rPr>
      <w:rFonts w:ascii="Times New Roman" w:eastAsia="Times New Roman" w:hAnsi="Times New Roman" w:cs="Times New Roman"/>
      <w:kern w:val="28"/>
      <w:lang w:val="sk-SK"/>
    </w:rPr>
  </w:style>
  <w:style w:type="character" w:customStyle="1" w:styleId="Heading2Char">
    <w:name w:val="Heading 2 Char"/>
    <w:basedOn w:val="DefaultParagraphFont"/>
    <w:link w:val="Heading2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3Char">
    <w:name w:val="Heading 3 Char"/>
    <w:basedOn w:val="DefaultParagraphFont"/>
    <w:link w:val="Heading3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4Char">
    <w:name w:val="Heading 4 Char"/>
    <w:basedOn w:val="DefaultParagraphFont"/>
    <w:link w:val="Heading4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5Char">
    <w:name w:val="Heading 5 Char"/>
    <w:basedOn w:val="DefaultParagraphFont"/>
    <w:link w:val="Heading5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6Char">
    <w:name w:val="Heading 6 Char"/>
    <w:basedOn w:val="DefaultParagraphFont"/>
    <w:link w:val="Heading6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7Char">
    <w:name w:val="Heading 7 Char"/>
    <w:basedOn w:val="DefaultParagraphFont"/>
    <w:link w:val="Heading7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8Char">
    <w:name w:val="Heading 8 Char"/>
    <w:basedOn w:val="DefaultParagraphFont"/>
    <w:link w:val="Heading8"/>
    <w:rsid w:val="008A03FA"/>
    <w:rPr>
      <w:rFonts w:ascii="Times New Roman" w:eastAsia="Times New Roman" w:hAnsi="Times New Roman" w:cs="Times New Roman"/>
      <w:lang w:val="sk-SK"/>
    </w:rPr>
  </w:style>
  <w:style w:type="character" w:customStyle="1" w:styleId="Heading9Char">
    <w:name w:val="Heading 9 Char"/>
    <w:basedOn w:val="DefaultParagraphFont"/>
    <w:link w:val="Heading9"/>
    <w:rsid w:val="008A03FA"/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,fußn,o"/>
    <w:basedOn w:val="Normal"/>
    <w:link w:val="FootnoteTextChar"/>
    <w:uiPriority w:val="99"/>
    <w:qFormat/>
    <w:rsid w:val="008A03FA"/>
    <w:pPr>
      <w:keepLines/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8A03FA"/>
    <w:rPr>
      <w:rFonts w:ascii="Times New Roman" w:eastAsia="Times New Roman" w:hAnsi="Times New Roman" w:cs="Times New Roman"/>
      <w:sz w:val="16"/>
      <w:lang w:val="sk-SK"/>
    </w:rPr>
  </w:style>
  <w:style w:type="character" w:styleId="FootnoteReference">
    <w:name w:val="footnote reference"/>
    <w:basedOn w:val="DefaultParagraphFont"/>
    <w:uiPriority w:val="99"/>
    <w:unhideWhenUsed/>
    <w:qFormat/>
    <w:rsid w:val="008A03F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08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8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97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70A7"/>
    <w:rPr>
      <w:rFonts w:ascii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70A7"/>
    <w:rPr>
      <w:rFonts w:ascii="Times New Roman" w:hAnsi="Times New Roman" w:cs="Times New Roman"/>
      <w:lang w:val="sk-SK"/>
    </w:rPr>
  </w:style>
  <w:style w:type="paragraph" w:styleId="Revision">
    <w:name w:val="Revision"/>
    <w:hidden/>
    <w:uiPriority w:val="99"/>
    <w:semiHidden/>
    <w:rsid w:val="00353B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E1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B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4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2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s://www.eesc.europa.eu/sk/our-work/opinions-information-reports/opinions/towards-structured-youth-engagement-climate-and-sustainability-eu-decision-making-process-own-initiative-opinion" TargetMode="External"/><Relationship Id="rId26" Type="http://schemas.openxmlformats.org/officeDocument/2006/relationships/footer" Target="footer4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16" Type="http://schemas.openxmlformats.org/officeDocument/2006/relationships/footer" Target="footer1.xml"/><Relationship Id="rId20" Type="http://schemas.openxmlformats.org/officeDocument/2006/relationships/hyperlink" Target="https://climateactiontracker.org/global/temperatures/" TargetMode="External"/><Relationship Id="rId29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pcc.ch/2022/04/04/ipcc-ar6-wgiii-pressrelease/" TargetMode="External"/><Relationship Id="rId31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sk/press-room/20220616IPR33219/zmena-klimy-eu-ma-konat-rychlejsie-a-stat-sa-energeticky-nezavislou" TargetMode="External"/><Relationship Id="rId13" Type="http://schemas.openxmlformats.org/officeDocument/2006/relationships/hyperlink" Target="https://eur-lex.europa.eu/LexUriServ/LexUriServ.do?uri=OJ:C:2022:275:SOM:SK:HTML" TargetMode="External"/><Relationship Id="rId18" Type="http://schemas.openxmlformats.org/officeDocument/2006/relationships/hyperlink" Target="https://www.eesc.europa.eu/sk/our-work/opinions-information-reports/opinions/nature-restoration-targets-under-eu-biodiversity-strategy" TargetMode="External"/><Relationship Id="rId26" Type="http://schemas.openxmlformats.org/officeDocument/2006/relationships/hyperlink" Target="https://eur-lex.europa.eu/LexUriServ/LexUriServ.do?uri=OJ:C:2020:429:SOM:SK:HTML" TargetMode="External"/><Relationship Id="rId3" Type="http://schemas.openxmlformats.org/officeDocument/2006/relationships/hyperlink" Target="https://mediacentre.christianaid.org.uk/counting-the-cost/" TargetMode="External"/><Relationship Id="rId21" Type="http://schemas.openxmlformats.org/officeDocument/2006/relationships/hyperlink" Target="https://eur-lex.europa.eu/LexUriServ/LexUriServ.do?uri=OJ:C:2020:014:SOM:SK:HTML" TargetMode="External"/><Relationship Id="rId34" Type="http://schemas.openxmlformats.org/officeDocument/2006/relationships/hyperlink" Target="https://wedo.org/2020-pocket-guide-to-gender-equality-under-the-unfccc/" TargetMode="External"/><Relationship Id="rId7" Type="http://schemas.openxmlformats.org/officeDocument/2006/relationships/hyperlink" Target="https://www.eesc.europa.eu/sk/documents/resolution/war-ukraine-and-its-economic-social-and-environmental-impact" TargetMode="External"/><Relationship Id="rId12" Type="http://schemas.openxmlformats.org/officeDocument/2006/relationships/hyperlink" Target="https://www.eesc.europa.eu/sk/our-work/opinions-information-reports/opinions/social-dialogue-within-green-transition" TargetMode="External"/><Relationship Id="rId17" Type="http://schemas.openxmlformats.org/officeDocument/2006/relationships/hyperlink" Target="https://sdsn.eu/2021-europe-sustainable-development-report/" TargetMode="External"/><Relationship Id="rId25" Type="http://schemas.openxmlformats.org/officeDocument/2006/relationships/hyperlink" Target="https://eur-lex.europa.eu/LexUriServ/LexUriServ.do?uri=OJ:C:2022:194:SOM:SK:HTML" TargetMode="External"/><Relationship Id="rId33" Type="http://schemas.openxmlformats.org/officeDocument/2006/relationships/hyperlink" Target="https://eur-lex.europa.eu/LexUriServ/LexUriServ.do?uri=OJ:C:2022:275:SOM:SK:HTML" TargetMode="External"/><Relationship Id="rId2" Type="http://schemas.openxmlformats.org/officeDocument/2006/relationships/hyperlink" Target="https://www.eea.europa.eu/highlights/economic-losses-from-weather-and" TargetMode="External"/><Relationship Id="rId16" Type="http://schemas.openxmlformats.org/officeDocument/2006/relationships/hyperlink" Target="https://prod-cofe-platform.s3.eu-central-1.amazonaws.com/yrxmcjurtxgv7ststz3rsqtxiubh" TargetMode="External"/><Relationship Id="rId20" Type="http://schemas.openxmlformats.org/officeDocument/2006/relationships/hyperlink" Target="https://unfccc.int/news/antonio-guterres-50-of-all-climate-finance-needed-for-adaptation" TargetMode="External"/><Relationship Id="rId29" Type="http://schemas.openxmlformats.org/officeDocument/2006/relationships/hyperlink" Target="https://eur-lex.europa.eu/legal-content/SK/TXT/?uri=CELEX:52022AE1686&amp;qid=1663579575615" TargetMode="External"/><Relationship Id="rId1" Type="http://schemas.openxmlformats.org/officeDocument/2006/relationships/hyperlink" Target="https://unfccc.int/sites/default/files/resource/parisagreement_publication.pdf" TargetMode="External"/><Relationship Id="rId6" Type="http://schemas.openxmlformats.org/officeDocument/2006/relationships/hyperlink" Target="https://www.ipcc.ch/report/ar6/wg3/" TargetMode="External"/><Relationship Id="rId11" Type="http://schemas.openxmlformats.org/officeDocument/2006/relationships/hyperlink" Target="https://eur-lex.europa.eu/LexUriServ/LexUriServ.do?uri=OJ:C:2022:275:SOM:SK:HTML" TargetMode="External"/><Relationship Id="rId24" Type="http://schemas.openxmlformats.org/officeDocument/2006/relationships/hyperlink" Target="https://www.unep.org/ndc/resources/report/enhancing-ndcs-food-systems-recommendations-decision-makers" TargetMode="External"/><Relationship Id="rId32" Type="http://schemas.openxmlformats.org/officeDocument/2006/relationships/hyperlink" Target="https://eur-lex.europa.eu/LexUriServ/LexUriServ.do?uri=OJ:C:2022:275:SOM:SK:HTML" TargetMode="External"/><Relationship Id="rId5" Type="http://schemas.openxmlformats.org/officeDocument/2006/relationships/hyperlink" Target="https://www.ncei.noaa.gov/access/billions/" TargetMode="External"/><Relationship Id="rId15" Type="http://schemas.openxmlformats.org/officeDocument/2006/relationships/hyperlink" Target="https://eur-lex.europa.eu/LexUriServ/LexUriServ.do?uri=OJ:C:2022:275:SOM:SK:HTML" TargetMode="External"/><Relationship Id="rId23" Type="http://schemas.openxmlformats.org/officeDocument/2006/relationships/hyperlink" Target="https://eur-lex.europa.eu/LexUriServ/LexUriServ.do?uri=OJ:C:2021:374:SOM:SK:HTML" TargetMode="External"/><Relationship Id="rId28" Type="http://schemas.openxmlformats.org/officeDocument/2006/relationships/hyperlink" Target="https://eur-lex.europa.eu/LexUriServ/LexUriServ.do?uri=OJ:C:2021:374:SOM:SK:HTML" TargetMode="External"/><Relationship Id="rId36" Type="http://schemas.openxmlformats.org/officeDocument/2006/relationships/hyperlink" Target="https://www.nationalgeographic.com/environment/article/can-indigenous-land-stewardship-protect-biodiversity-" TargetMode="External"/><Relationship Id="rId10" Type="http://schemas.openxmlformats.org/officeDocument/2006/relationships/hyperlink" Target="https://eur-lex.europa.eu/LexUriServ/LexUriServ.do?uri=OJ:C:2020:106:SOM:SK:HTML" TargetMode="External"/><Relationship Id="rId19" Type="http://schemas.openxmlformats.org/officeDocument/2006/relationships/hyperlink" Target="https://eur-lex.europa.eu/LexUriServ/LexUriServ.do?uri=OJ:C:2021:374:SOM:SK:HTML" TargetMode="External"/><Relationship Id="rId31" Type="http://schemas.openxmlformats.org/officeDocument/2006/relationships/hyperlink" Target="https://eur-lex.europa.eu/LexUriServ/LexUriServ.do?uri=OJ:C:2020:429:SOM:SK:HTML" TargetMode="External"/><Relationship Id="rId4" Type="http://schemas.openxmlformats.org/officeDocument/2006/relationships/hyperlink" Target="https://www.cmcc.it/lectures_conferences/the-costs-of-extreme-weather-events-caused-by-climate-change" TargetMode="External"/><Relationship Id="rId9" Type="http://schemas.openxmlformats.org/officeDocument/2006/relationships/hyperlink" Target="https://www.europarl.europa.eu/news/sk/press-room/20220603IPR32133/fit-for-55-parliament-agrees-to-higher-eu-carbon-sink-ambitions-by-2030" TargetMode="External"/><Relationship Id="rId14" Type="http://schemas.openxmlformats.org/officeDocument/2006/relationships/hyperlink" Target="https://www.eesc.europa.eu/sk/our-work/opinions-information-reports/opinions/fit-55-delivering-eus-2030-climate-target-way-climate-neutrality" TargetMode="External"/><Relationship Id="rId22" Type="http://schemas.openxmlformats.org/officeDocument/2006/relationships/hyperlink" Target="https://assets.website-files.com/5d26d80e8836af2d12ed1269/61657f127a13715bb8744ec3_Climate%20Change%20Mitigation%20Through%20the%20Circular%20Economy%20-%20STAP%20-%20report.pdf" TargetMode="External"/><Relationship Id="rId27" Type="http://schemas.openxmlformats.org/officeDocument/2006/relationships/hyperlink" Target="https://eur-lex.europa.eu/LexUriServ/LexUriServ.do?uri=OJ:C:2018:081:SOM:SK:HTML" TargetMode="External"/><Relationship Id="rId30" Type="http://schemas.openxmlformats.org/officeDocument/2006/relationships/hyperlink" Target="https://eur-lex.europa.eu/LexUriServ/LexUriServ.do?uri=OJ:C:2022:275:SOM:SK:HTML" TargetMode="External"/><Relationship Id="rId35" Type="http://schemas.openxmlformats.org/officeDocument/2006/relationships/hyperlink" Target="https://www.eesc.europa.eu/sk/our-work/opinions-information-reports/opinions/towards-structured-youth-engagement-climate-and-sustainability-eu-decision-making-process-own-initiative-opin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P6FJPSUHKDC2-813086739-4338</_dlc_DocId>
    <_dlc_DocIdUrl xmlns="1299d781-265f-4ceb-999e-e1eca3df2c90">
      <Url>http://dm2016/eesc/2022/_layouts/15/DocIdRedir.aspx?ID=P6FJPSUHKDC2-813086739-4338</Url>
      <Description>P6FJPSUHKDC2-813086739-4338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2022-11-08T12:00:00+00:00</ProductionDate>
    <DocumentNumber xmlns="78feecd2-a259-4a5c-b48b-4ffcf5b9c8b1">4116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35</Value>
      <Value>34</Value>
      <Value>33</Value>
      <Value>32</Value>
      <Value>31</Value>
      <Value>30</Value>
      <Value>29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12880</FicheNumber>
    <OriginalSender xmlns="1299d781-265f-4ceb-999e-e1eca3df2c90">
      <UserInfo>
        <DisplayName>Bubelova Tatiana</DisplayName>
        <AccountId>2267</AccountId>
        <AccountType/>
      </UserInfo>
    </OriginalSender>
    <DocumentPart xmlns="1299d781-265f-4ceb-999e-e1eca3df2c90">0</DocumentPart>
    <AdoptionDate xmlns="1299d781-265f-4ceb-999e-e1eca3df2c90">2022-10-26T12:00:00+00:00</AdoptionDate>
    <RequestingService xmlns="1299d781-265f-4ceb-999e-e1eca3df2c90">Agriculture, développement rural et environnement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B4A574FA-71F8-469D-A63B-CAB490B509D4}"/>
</file>

<file path=customXml/itemProps2.xml><?xml version="1.0" encoding="utf-8"?>
<ds:datastoreItem xmlns:ds="http://schemas.openxmlformats.org/officeDocument/2006/customXml" ds:itemID="{E4AF0026-E128-40C8-AFB6-7C0C1E3C4A18}"/>
</file>

<file path=customXml/itemProps3.xml><?xml version="1.0" encoding="utf-8"?>
<ds:datastoreItem xmlns:ds="http://schemas.openxmlformats.org/officeDocument/2006/customXml" ds:itemID="{B31232B8-2F9B-4D8B-ABFC-ED4EEDF8A770}"/>
</file>

<file path=customXml/itemProps4.xml><?xml version="1.0" encoding="utf-8"?>
<ds:datastoreItem xmlns:ds="http://schemas.openxmlformats.org/officeDocument/2006/customXml" ds:itemID="{D7B31B6F-86A7-4E31-9B6E-7DC0DD7CF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3586</Words>
  <Characters>19729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RESOLUTION - Jointly tackling an existential threat: social partners and civil society for implementation of ambitious climate action</vt:lpstr>
      <vt:lpstr/>
    </vt:vector>
  </TitlesOfParts>
  <Company>EESC-ECOR</Company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- Spoločné riešenie existenčnej hrozby: sociálni partneri a občianska spoločnosť za zavedenie ambicióznych opatrení v oblasti klímy</dc:title>
  <dc:subject>RES</dc:subject>
  <dc:creator>Guarinoni Monica</dc:creator>
  <cp:keywords>EESC-2022-04116-00-01-RES-TRA-EN</cp:keywords>
  <dc:description>Rapporteur:  - Original language: EN - Date of document: 08-11-2022 - Date of meeting:  - External documents:  - Administrator:  CARRERAS JUDIT</dc:description>
  <cp:lastModifiedBy>Bubelova Tatiana</cp:lastModifiedBy>
  <cp:revision>13</cp:revision>
  <cp:lastPrinted>2022-09-02T11:47:00Z</cp:lastPrinted>
  <dcterms:created xsi:type="dcterms:W3CDTF">2022-11-04T12:59:00Z</dcterms:created>
  <dcterms:modified xsi:type="dcterms:W3CDTF">2022-11-08T10:39:00Z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04/11/2022, 27/10/2022, 11/10/2022, 28/09/2022, 23/08/2022</vt:lpwstr>
  </property>
  <property fmtid="{D5CDD505-2E9C-101B-9397-08002B2CF9AE}" pid="4" name="Pref_Time">
    <vt:lpwstr>13:47:53, 09:22:51, 09:03:19, 11:45:42, 17:23:52</vt:lpwstr>
  </property>
  <property fmtid="{D5CDD505-2E9C-101B-9397-08002B2CF9AE}" pid="5" name="Pref_User">
    <vt:lpwstr>pacup, amett, jhvi, pacup, enied</vt:lpwstr>
  </property>
  <property fmtid="{D5CDD505-2E9C-101B-9397-08002B2CF9AE}" pid="6" name="Pref_FileName">
    <vt:lpwstr>EESC-2022-04116-00-01-RES-TRA-EN-CRR.docx, EESC-2022-04116-00-00-RES-TRA-EN-CRR.docx, EESC-2022-04116-00-01-PRES-ORI.docx, EESC-2022-04116-00-00-PRES-TRA.docx, EESC-2022-04116-00-00-TCD-ORI.docx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5aac2b20-5e3a-4fa7-9f5f-204a2d857edf</vt:lpwstr>
  </property>
  <property fmtid="{D5CDD505-2E9C-101B-9397-08002B2CF9AE}" pid="9" name="AvailableTranslations">
    <vt:lpwstr>41;#CS|72f9705b-0217-4fd3-bea2-cbc7ed80e26e;#43;#NL|55c6556c-b4f4-441d-9acf-c498d4f838bd;#37;#PT|50ccc04a-eadd-42ae-a0cb-acaf45f812ba;#29;#SV|c2ed69e7-a339-43d7-8f22-d93680a92aa0;#34;#SK|46d9fce0-ef79-4f71-b89b-cd6aa82426b8;#30;#PL|1e03da61-4678-4e07-b136-b5024ca9197b;#44;#LT|a7ff5ce7-6123-4f68-865a-a57c31810414;#42;#SL|98a412ae-eb01-49e9-ae3d-585a81724cfc;#31;#ES|e7a6b05b-ae16-40c8-add9-68b64b03aeba;#32;#DA|5d49c027-8956-412b-aa16-e85a0f96ad0e;#38;#FI|87606a43-d45f-42d6-b8c9-e1a3457db5b7;#46;#EL|6d4f4d51-af9b-4650-94b4-4276bee85c91;#22;#DE|f6b31e5a-26fa-4935-b661-318e46daf27e;#33;#IT|0774613c-01ed-4e5d-a25d-11d2388de825;#40;#BG|1a1b3951-7821-4e6a-85f5-5673fc08bd2c;#4;#EN|f2175f21-25d7-44a3-96da-d6a61b075e1b;#54;#ET|ff6c3f4c-b02c-4c3c-ab07-2c37995a7a0a;#55;#HR|2f555653-ed1a-4fe6-8362-9082d95989e5;#45;#RO|feb747a2-64cd-4299-af12-4833ddc30497;#11;#FR|d2afafd3-4c81-4f60-8f52-ee33f2f54ff3;#35;#MT|7df99101-6854-4a26-b53a-b88c0da02c26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4116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12880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2022-10-26T12:00:00Z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Agriculture, développement rural et environnement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CS|72f9705b-0217-4fd3-bea2-cbc7ed80e26e;NL|55c6556c-b4f4-441d-9acf-c498d4f838bd;PT|50ccc04a-eadd-42ae-a0cb-acaf45f812ba;SV|c2ed69e7-a339-43d7-8f22-d93680a92aa0;PL|1e03da61-4678-4e07-b136-b5024ca9197b;LT|a7ff5ce7-6123-4f68-865a-a57c31810414;SL|98a412ae-eb01-49e9-ae3d-585a81724cfc;ES|e7a6b05b-ae16-40c8-add9-68b64b03aeba;DA|5d49c027-8956-412b-aa16-e85a0f96ad0e;FI|87606a43-d45f-42d6-b8c9-e1a3457db5b7;EL|6d4f4d51-af9b-4650-94b4-4276bee85c91;DE|f6b31e5a-26fa-4935-b661-318e46daf27e;IT|0774613c-01ed-4e5d-a25d-11d2388de825;BG|1a1b3951-7821-4e6a-85f5-5673fc08bd2c;EN|f2175f21-25d7-44a3-96da-d6a61b075e1b;ET|ff6c3f4c-b02c-4c3c-ab07-2c37995a7a0a;HR|2f555653-ed1a-4fe6-8362-9082d95989e5;FR|d2afafd3-4c81-4f60-8f52-ee33f2f54ff3;MT|7df99101-6854-4a26-b53a-b88c0da02c26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35;#MT|7df99101-6854-4a26-b53a-b88c0da02c26;#33;#IT|0774613c-01ed-4e5d-a25d-11d2388de825;#32;#DA|5d49c027-8956-412b-aa16-e85a0f96ad0e;#6;#Final|ea5e6674-7b27-4bac-b091-73adbb394efe;#30;#PL|1e03da61-4678-4e07-b136-b5024ca9197b;#29;#SV|c2ed69e7-a339-43d7-8f22-d93680a92aa0;#31;#ES|e7a6b05b-ae16-40c8-add9-68b64b03aeba;#175;#RES|9e3e62eb-6858-4bc7-8a50-3453e395fd01;#44;#LT|a7ff5ce7-6123-4f68-865a-a57c31810414;#22;#DE|f6b31e5a-26fa-4935-b661-318e46daf27e;#55;#HR|2f555653-ed1a-4fe6-8362-9082d95989e5;#54;#ET|ff6c3f4c-b02c-4c3c-ab07-2c37995a7a0a;#46;#EL|6d4f4d51-af9b-4650-94b4-4276bee85c91;#11;#FR|d2afafd3-4c81-4f60-8f52-ee33f2f54ff3;#38;#FI|87606a43-d45f-42d6-b8c9-e1a3457db5b7;#9;#Unrestricted|826e22d7-d029-4ec0-a450-0c28ff673572;#41;#CS|72f9705b-0217-4fd3-bea2-cbc7ed80e26e;#7;#TRA|150d2a88-1431-44e6-a8ca-0bb753ab8672;#43;#NL|55c6556c-b4f4-441d-9acf-c498d4f838bd;#42;#SL|98a412ae-eb01-49e9-ae3d-585a81724cfc;#4;#EN|f2175f21-25d7-44a3-96da-d6a61b075e1b;#40;#BG|1a1b3951-7821-4e6a-85f5-5673fc08bd2c;#1;#EESC|422833ec-8d7e-4e65-8e4e-8bed07ffb729;#37;#PT|50ccc04a-eadd-42ae-a0cb-acaf45f812b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34;#SK|46d9fce0-ef79-4f71-b89b-cd6aa82426b8</vt:lpwstr>
  </property>
</Properties>
</file>