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9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7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289"/>
      </w:tblGrid>
      <w:tr w:rsidR="00F114C1">
        <w:trPr>
          <w:jc w:val="center"/>
        </w:trPr>
        <w:tc>
          <w:tcPr>
            <w:tcW w:w="5000" w:type="pct"/>
            <w:vAlign w:val="center"/>
          </w:tcPr>
          <w:p w:rsidRPr="00424F46" w:rsidR="00180C9D" w:rsidP="00180C9D" w:rsidRDefault="00F4047E">
            <w:pPr>
              <w:spacing w:line="288" w:lineRule="auto"/>
              <w:jc w:val="center"/>
              <w:rPr>
                <w:rFonts w:ascii="Times New Roman" w:hAnsi="Times New Roman" w:eastAsia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</w:rPr>
              <w:t>RESOLUÇÃO</w:t>
            </w:r>
          </w:p>
        </w:tc>
      </w:tr>
      <w:tr w:rsidR="00F114C1">
        <w:trPr>
          <w:trHeight w:val="567"/>
          <w:jc w:val="center"/>
        </w:trPr>
        <w:tc>
          <w:tcPr>
            <w:tcW w:w="5000" w:type="pct"/>
            <w:vAlign w:val="center"/>
          </w:tcPr>
          <w:p w:rsidRPr="00424F46" w:rsidR="00180C9D" w:rsidP="00180C9D" w:rsidRDefault="00180C9D">
            <w:pPr>
              <w:spacing w:line="288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Comité Económico e Social Europeu</w:t>
            </w:r>
          </w:p>
        </w:tc>
      </w:tr>
      <w:tr w:rsidR="00F114C1">
        <w:trPr>
          <w:jc w:val="center"/>
        </w:trPr>
        <w:tc>
          <w:tcPr>
            <w:tcW w:w="5000" w:type="pct"/>
            <w:vAlign w:val="center"/>
          </w:tcPr>
          <w:p w:rsidRPr="00424F46" w:rsidR="00F4047E" w:rsidP="00EF3B48" w:rsidRDefault="00F4047E"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</w:rPr>
              <w:t>Enfrentar em conjunto uma ameaça existencial: parceiros sociais e sociedade civil por uma ação climática ambiciosa</w:t>
            </w:r>
          </w:p>
        </w:tc>
      </w:tr>
      <w:tr w:rsidR="00F114C1">
        <w:trPr>
          <w:jc w:val="center"/>
        </w:trPr>
        <w:tc>
          <w:tcPr>
            <w:tcW w:w="5000" w:type="pct"/>
            <w:vAlign w:val="center"/>
          </w:tcPr>
          <w:p w:rsidRPr="00424F46" w:rsidR="008A6CF4" w:rsidRDefault="008A6CF4"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44"/>
                <w:szCs w:val="44"/>
              </w:rPr>
            </w:pPr>
            <w:r>
              <w:rPr>
                <w:sz w:val="24"/>
              </w:rPr>
              <w:t>_____________</w:t>
            </w:r>
          </w:p>
        </w:tc>
      </w:tr>
      <w:tr w:rsidR="00F114C1" w:rsidTr="00FB52EE">
        <w:trPr>
          <w:jc w:val="center"/>
        </w:trPr>
        <w:tc>
          <w:tcPr>
            <w:tcW w:w="5000" w:type="pct"/>
            <w:vAlign w:val="center"/>
          </w:tcPr>
          <w:p w:rsidRPr="00424F46" w:rsidR="009A4326" w:rsidP="00180C9D" w:rsidRDefault="009A4326">
            <w:pPr>
              <w:spacing w:line="288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Enfrentar em conjunto uma ameaça existencial: parceiros sociais e sociedade civil por uma ação climática ambiciosa</w:t>
            </w:r>
          </w:p>
        </w:tc>
      </w:tr>
      <w:tr w:rsidR="00FB52EE" w:rsidTr="00FB52EE">
        <w:trPr>
          <w:jc w:val="center"/>
        </w:trPr>
        <w:tc>
          <w:tcPr>
            <w:tcW w:w="5000" w:type="pct"/>
            <w:vAlign w:val="center"/>
          </w:tcPr>
          <w:p w:rsidR="00FB52EE" w:rsidP="00FB52EE" w:rsidRDefault="00FB52EE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name="_GoBack" w:id="0"/>
            <w:r w:rsidRPr="00240AA4">
              <w:rPr>
                <w:rFonts w:ascii="Times New Roman" w:hAnsi="Times New Roman" w:eastAsia="Times New Roman" w:cs="Times New Roman"/>
                <w:sz w:val="24"/>
                <w:szCs w:val="24"/>
                <w:lang w:val="en-GB"/>
              </w:rPr>
              <w:t>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GB"/>
              </w:rPr>
              <w:t xml:space="preserve">elatores:     </w:t>
            </w:r>
            <w:r w:rsidRPr="00240A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Peter S</w:t>
            </w:r>
            <w:r w:rsidRPr="00240A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chmidt</w:t>
            </w:r>
          </w:p>
          <w:p w:rsidR="00FB52EE" w:rsidP="00FB52EE" w:rsidRDefault="00FB52EE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                           </w:t>
            </w:r>
            <w:r w:rsidRPr="00240A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Isabel C</w:t>
            </w:r>
            <w:r w:rsidRPr="00240A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año</w:t>
            </w:r>
            <w:r w:rsidRPr="00240A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</w:t>
            </w:r>
            <w:r w:rsidRPr="00240A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guilar</w:t>
            </w:r>
          </w:p>
          <w:p w:rsidR="00FB52EE" w:rsidP="00FB52EE" w:rsidRDefault="00FB52EE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                   </w:t>
            </w:r>
            <w:r w:rsidRPr="00240A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Sandra P</w:t>
            </w:r>
            <w:r w:rsidRPr="00240A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arthie</w:t>
            </w:r>
          </w:p>
          <w:p w:rsidR="00FB52EE" w:rsidP="00FB52EE" w:rsidRDefault="00FB52EE">
            <w:pPr>
              <w:spacing w:after="0" w:line="288" w:lineRule="auto"/>
              <w:ind w:left="145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        </w:t>
            </w:r>
            <w:r w:rsidRPr="00240A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Josep P</w:t>
            </w:r>
            <w:r w:rsidRPr="00240A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uxeu</w:t>
            </w:r>
            <w:r w:rsidRPr="00240A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R</w:t>
            </w:r>
            <w:r w:rsidRPr="00240A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ocamora</w:t>
            </w:r>
          </w:p>
          <w:p w:rsidRPr="00240AA4" w:rsidR="00FB52EE" w:rsidP="00FB52EE" w:rsidRDefault="00FB52EE">
            <w:pPr>
              <w:spacing w:after="0" w:line="288" w:lineRule="auto"/>
              <w:ind w:left="145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40A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Neža R</w:t>
            </w:r>
            <w:r w:rsidRPr="00240A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epanšek</w:t>
            </w:r>
          </w:p>
          <w:p w:rsidRPr="00424F46" w:rsidR="00FB52EE" w:rsidP="00FB52EE" w:rsidRDefault="00FB52EE">
            <w:pPr>
              <w:spacing w:after="0" w:line="288" w:lineRule="auto"/>
              <w:ind w:left="822"/>
              <w:jc w:val="center"/>
              <w:rPr>
                <w:rFonts w:ascii="Times New Roman" w:hAnsi="Times New Roman" w:eastAsia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</w:t>
            </w:r>
            <w:r w:rsidRPr="00240A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Lutz R</w:t>
            </w:r>
            <w:r w:rsidRPr="00240A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ibbe</w:t>
            </w:r>
            <w:bookmarkEnd w:id="0"/>
          </w:p>
        </w:tc>
      </w:tr>
      <w:tr w:rsidR="00FB52EE" w:rsidTr="00FB52EE">
        <w:trPr>
          <w:jc w:val="center"/>
        </w:trPr>
        <w:tc>
          <w:tcPr>
            <w:tcW w:w="5000" w:type="pct"/>
            <w:vAlign w:val="center"/>
          </w:tcPr>
          <w:p w:rsidR="00FB52EE" w:rsidP="00FB52EE" w:rsidRDefault="00FB52E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A6CF4" w:rsidP="00180C9D" w:rsidRDefault="008A6CF4">
      <w:pPr>
        <w:spacing w:after="0" w:line="288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editId="45C41535" wp14:anchorId="1E2F02F8">
                <wp:simplePos x="0" y="0"/>
                <wp:positionH relativeFrom="rightMargin">
                  <wp:posOffset>-204079</wp:posOffset>
                </wp:positionH>
                <wp:positionV relativeFrom="page">
                  <wp:posOffset>9488658</wp:posOffset>
                </wp:positionV>
                <wp:extent cx="741045" cy="431800"/>
                <wp:effectExtent l="0" t="0" r="0" b="6350"/>
                <wp:wrapNone/>
                <wp:docPr id="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C9D" w:rsidP="00180C9D" w:rsidRDefault="00180C9D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E2F02F8">
                <v:stroke joinstyle="miter"/>
                <v:path gradientshapeok="t" o:connecttype="rect"/>
              </v:shapetype>
              <v:shape id="Text Box 17" style="position:absolute;left:0;text-align:left;margin-left:-16.05pt;margin-top:747.15pt;width:58.35pt;height:34pt;z-index:-2516567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YqDuA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">
                <v:textbox>
                  <w:txbxContent>
                    <w:p w:rsidR="00180C9D" w:rsidP="00180C9D" w:rsidRDefault="00180C9D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PT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Pr="00424F46" w:rsidR="00180C9D" w:rsidP="00180C9D" w:rsidRDefault="00180C9D">
      <w:pPr>
        <w:spacing w:after="0" w:line="288" w:lineRule="auto"/>
        <w:jc w:val="center"/>
        <w:rPr>
          <w:rFonts w:ascii="Times New Roman" w:hAnsi="Times New Roman" w:eastAsia="Times New Roman" w:cs="Times New Roman"/>
          <w:lang w:val="en-GB"/>
        </w:rPr>
      </w:pPr>
    </w:p>
    <w:p w:rsidRPr="00424F46" w:rsidR="00180C9D" w:rsidP="00180C9D" w:rsidRDefault="00180C9D">
      <w:pPr>
        <w:spacing w:after="0" w:line="288" w:lineRule="auto"/>
        <w:jc w:val="center"/>
        <w:rPr>
          <w:rFonts w:ascii="Times New Roman" w:hAnsi="Times New Roman" w:eastAsia="Times New Roman" w:cs="Times New Roman"/>
          <w:lang w:val="en-GB"/>
        </w:rPr>
        <w:sectPr w:rsidRPr="00424F46" w:rsidR="00180C9D" w:rsidSect="008A6CF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5669" w:right="1417" w:bottom="1417" w:left="1417" w:header="709" w:footer="709" w:gutter="0"/>
          <w:cols w:space="720"/>
          <w:docGrid w:linePitch="360"/>
        </w:sectPr>
      </w:pPr>
    </w:p>
    <w:tbl>
      <w:tblPr>
        <w:tblpPr w:leftFromText="181" w:rightFromText="181" w:tblpYSpec="bottom"/>
        <w:tblOverlap w:val="never"/>
        <w:tblW w:w="9289" w:type="dxa"/>
        <w:tblLayout w:type="fixed"/>
        <w:tblLook w:val="04A0" w:firstRow="1" w:lastRow="0" w:firstColumn="1" w:lastColumn="0" w:noHBand="0" w:noVBand="1"/>
      </w:tblPr>
      <w:tblGrid>
        <w:gridCol w:w="3085"/>
        <w:gridCol w:w="6204"/>
      </w:tblGrid>
      <w:tr w:rsidR="00F114C1">
        <w:tc>
          <w:tcPr>
            <w:tcW w:w="3085" w:type="dxa"/>
          </w:tcPr>
          <w:p w:rsidRPr="00424F46" w:rsidR="00180C9D" w:rsidP="00F4047E" w:rsidRDefault="009A4326">
            <w:pPr>
              <w:spacing w:after="0" w:line="288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Base jurídica</w:t>
            </w:r>
          </w:p>
        </w:tc>
        <w:tc>
          <w:tcPr>
            <w:tcW w:w="6204" w:type="dxa"/>
            <w:vAlign w:val="bottom"/>
          </w:tcPr>
          <w:p w:rsidRPr="00424F46" w:rsidR="009A4326" w:rsidP="009A4326" w:rsidRDefault="009A4326">
            <w:pPr>
              <w:spacing w:after="0" w:line="288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Artigo 50.º do Regimento</w:t>
            </w:r>
          </w:p>
          <w:p w:rsidRPr="00424F46" w:rsidR="00180C9D" w:rsidP="009A4326" w:rsidRDefault="009A4326">
            <w:pPr>
              <w:spacing w:after="0" w:line="288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Resolução</w:t>
            </w:r>
          </w:p>
        </w:tc>
      </w:tr>
      <w:tr w:rsidR="00F114C1">
        <w:tc>
          <w:tcPr>
            <w:tcW w:w="3085" w:type="dxa"/>
          </w:tcPr>
          <w:p w:rsidRPr="00424F46" w:rsidR="00180C9D" w:rsidP="00F4047E" w:rsidRDefault="009A4326">
            <w:pPr>
              <w:spacing w:after="0" w:line="288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Adoção em plenária</w:t>
            </w:r>
          </w:p>
        </w:tc>
        <w:tc>
          <w:tcPr>
            <w:tcW w:w="6204" w:type="dxa"/>
            <w:vAlign w:val="bottom"/>
          </w:tcPr>
          <w:p w:rsidRPr="00424F46" w:rsidR="00180C9D" w:rsidP="00F4047E" w:rsidRDefault="006B78AF">
            <w:pPr>
              <w:spacing w:after="0" w:line="288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26/10/2022</w:t>
            </w:r>
          </w:p>
        </w:tc>
      </w:tr>
      <w:tr w:rsidR="00F114C1">
        <w:tc>
          <w:tcPr>
            <w:tcW w:w="3085" w:type="dxa"/>
          </w:tcPr>
          <w:p w:rsidRPr="00424F46" w:rsidR="00180C9D" w:rsidP="00F4047E" w:rsidRDefault="009A4326">
            <w:pPr>
              <w:spacing w:after="0" w:line="288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Reunião plenária n.º</w:t>
            </w:r>
          </w:p>
        </w:tc>
        <w:tc>
          <w:tcPr>
            <w:tcW w:w="6204" w:type="dxa"/>
            <w:vAlign w:val="bottom"/>
          </w:tcPr>
          <w:p w:rsidRPr="00424F46" w:rsidR="00180C9D" w:rsidP="00F4047E" w:rsidRDefault="006B78AF">
            <w:pPr>
              <w:spacing w:after="0" w:line="288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573</w:t>
            </w:r>
          </w:p>
        </w:tc>
      </w:tr>
      <w:tr w:rsidR="00F114C1">
        <w:tc>
          <w:tcPr>
            <w:tcW w:w="3085" w:type="dxa"/>
          </w:tcPr>
          <w:p w:rsidRPr="00424F46" w:rsidR="00180C9D" w:rsidP="00F4047E" w:rsidRDefault="009A4326">
            <w:pPr>
              <w:spacing w:after="0" w:line="288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Resultado da votação </w:t>
            </w:r>
            <w:r>
              <w:rPr>
                <w:rFonts w:ascii="Times New Roman" w:hAnsi="Times New Roman"/>
              </w:rPr>
              <w:br/>
              <w:t>(votos a favor/votos contra/abstenções)</w:t>
            </w:r>
          </w:p>
        </w:tc>
        <w:tc>
          <w:tcPr>
            <w:tcW w:w="6204" w:type="dxa"/>
            <w:vAlign w:val="bottom"/>
          </w:tcPr>
          <w:p w:rsidRPr="00424F46" w:rsidR="00180C9D" w:rsidP="00E567D2" w:rsidRDefault="00B45F35">
            <w:pPr>
              <w:spacing w:after="0" w:line="288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104/1/0</w:t>
            </w:r>
          </w:p>
        </w:tc>
      </w:tr>
    </w:tbl>
    <w:p w:rsidRPr="00424F46" w:rsidR="00180C9D" w:rsidP="00180C9D" w:rsidRDefault="00180C9D">
      <w:pPr>
        <w:spacing w:after="0" w:line="288" w:lineRule="auto"/>
        <w:jc w:val="center"/>
        <w:rPr>
          <w:rFonts w:ascii="Times New Roman" w:hAnsi="Times New Roman" w:eastAsia="Times New Roman" w:cs="Times New Roman"/>
          <w:lang w:val="en-GB"/>
        </w:rPr>
      </w:pPr>
    </w:p>
    <w:p w:rsidRPr="00424F46" w:rsidR="00180C9D" w:rsidP="00180C9D" w:rsidRDefault="00180C9D">
      <w:pPr>
        <w:spacing w:after="0" w:line="288" w:lineRule="auto"/>
        <w:jc w:val="center"/>
        <w:rPr>
          <w:rFonts w:ascii="Times New Roman" w:hAnsi="Times New Roman" w:eastAsia="Times New Roman" w:cs="Times New Roman"/>
          <w:lang w:val="en-GB"/>
        </w:rPr>
        <w:sectPr w:rsidRPr="00424F46" w:rsidR="00180C9D" w:rsidSect="008A6CF4">
          <w:headerReference w:type="even" r:id="rId17"/>
          <w:headerReference w:type="default" r:id="rId18"/>
          <w:footerReference w:type="default" r:id="rId19"/>
          <w:headerReference w:type="first" r:id="rId20"/>
          <w:pgSz w:w="11907" w:h="16839" w:code="9"/>
          <w:pgMar w:top="5669" w:right="1418" w:bottom="1418" w:left="1418" w:header="709" w:footer="709" w:gutter="0"/>
          <w:cols w:space="720"/>
          <w:docGrid w:linePitch="360"/>
        </w:sectPr>
      </w:pPr>
    </w:p>
    <w:p w:rsidRPr="00424F46" w:rsidR="00020F19" w:rsidP="00EF3B48" w:rsidRDefault="00020F19">
      <w:pPr>
        <w:keepNext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>Enfrentar em conjunto uma ameaça existencial: parceiros sociais e sociedade civil por uma ação climática ambiciosa</w:t>
      </w:r>
    </w:p>
    <w:p w:rsidRPr="00424F46" w:rsidR="00020F19" w:rsidP="00EF3B48" w:rsidRDefault="00020F19">
      <w:pPr>
        <w:keepNext/>
        <w:spacing w:after="0" w:line="288" w:lineRule="auto"/>
        <w:jc w:val="center"/>
        <w:rPr>
          <w:rFonts w:ascii="Times New Roman" w:hAnsi="Times New Roman" w:cs="Times New Roman"/>
          <w:bCs/>
          <w:lang w:val="en-GB"/>
        </w:rPr>
      </w:pPr>
    </w:p>
    <w:p w:rsidRPr="00424F46" w:rsidR="00020F19" w:rsidP="00EF3B48" w:rsidRDefault="00020F19">
      <w:pPr>
        <w:keepNext/>
        <w:spacing w:after="0" w:line="288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>A reunião anual da Convenção-Quadro das Nações Unidas sobre Alterações Climáticas (COP 27) terá lugar em Charm el-Cheikh, no Egito, de 6 a 18 de novembro.</w:t>
      </w:r>
    </w:p>
    <w:p w:rsidRPr="00424F46" w:rsidR="00C0106D" w:rsidP="00765637" w:rsidRDefault="00C0106D">
      <w:pPr>
        <w:spacing w:after="0" w:line="288" w:lineRule="auto"/>
        <w:jc w:val="both"/>
        <w:rPr>
          <w:rFonts w:ascii="Times New Roman" w:hAnsi="Times New Roman" w:cs="Times New Roman"/>
          <w:bCs/>
          <w:sz w:val="18"/>
          <w:szCs w:val="18"/>
          <w:lang w:val="en-GB"/>
        </w:rPr>
      </w:pPr>
    </w:p>
    <w:p w:rsidRPr="00424F46" w:rsidR="00020F19" w:rsidP="00765637" w:rsidRDefault="00570F8A">
      <w:pPr>
        <w:spacing w:after="0" w:line="288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>Em conformidade com a nota da Mesa do CESE de 22 de fevereiro de 2022, o CESE criou um Grupo Eventual para a Conferência das Partes na Convenção-Quadro das Nações Unidas sobre Alterações Climáticas a fim de elaborar a resolução do Comité sobre a COP, em conformidade com as prioridades da próxima COP e os processos de negociação da CQNUAC, bem como de ajudar a familiarizar o Comité no seu conjunto com o processo da CQNUAC e associá-lo às negociações sobre as alterações climáticas.</w:t>
      </w:r>
    </w:p>
    <w:p w:rsidRPr="00424F46" w:rsidR="00C0106D" w:rsidP="00765637" w:rsidRDefault="00C0106D">
      <w:pPr>
        <w:spacing w:after="0" w:line="288" w:lineRule="auto"/>
        <w:jc w:val="both"/>
        <w:rPr>
          <w:rFonts w:ascii="Times New Roman" w:hAnsi="Times New Roman" w:cs="Times New Roman"/>
          <w:bCs/>
          <w:sz w:val="18"/>
          <w:szCs w:val="18"/>
          <w:lang w:val="en-GB"/>
        </w:rPr>
      </w:pPr>
    </w:p>
    <w:p w:rsidRPr="00424F46" w:rsidR="00020F19" w:rsidP="00765637" w:rsidRDefault="00020F19">
      <w:pPr>
        <w:spacing w:after="0" w:line="288" w:lineRule="auto"/>
        <w:jc w:val="both"/>
        <w:rPr>
          <w:rFonts w:ascii="Times New Roman" w:hAnsi="Times New Roman" w:cs="Times New Roman"/>
          <w:bCs/>
          <w:spacing w:val="-6"/>
        </w:rPr>
      </w:pPr>
      <w:r>
        <w:rPr>
          <w:rFonts w:ascii="Times New Roman" w:hAnsi="Times New Roman"/>
        </w:rPr>
        <w:t xml:space="preserve">O grupo eventual é composto por seis membros da Secção NAT, mais um representante dos jovens que participa regularmente, dando seguimento ao Parecer de Iniciativa – </w:t>
      </w:r>
      <w:hyperlink w:history="1" r:id="rId21">
        <w:r>
          <w:rPr>
            <w:rStyle w:val="Hyperlink"/>
            <w:rFonts w:ascii="Times New Roman" w:hAnsi="Times New Roman"/>
          </w:rPr>
          <w:t>Rumo a</w:t>
        </w:r>
        <w:r>
          <w:rPr>
            <w:rStyle w:val="Hyperlink"/>
            <w:rFonts w:ascii="Times New Roman" w:hAnsi="Times New Roman"/>
          </w:rPr>
          <w:t xml:space="preserve"> uma participação estruturada dos jovens no processo decisório da UE no domínio do clima e da sustentabilidade</w:t>
        </w:r>
      </w:hyperlink>
      <w:r>
        <w:rPr>
          <w:rFonts w:ascii="Times New Roman" w:hAnsi="Times New Roman"/>
        </w:rPr>
        <w:t xml:space="preserve"> (NAT/788). Nos últimos meses, o grupo eventual reuniu-se com organizações e instituições relevantes, como a Comissão Europeia, o Comité das Regiões, o gabinete dos campeões de alto nível para o clima e o acompanhamento da ação climática, assim como com representantes das diferentes componentes da sociedade civil (jovens, empresas, agricultores, sindicatos e ONG no domínio do ambiente) para trocar informações e procurar desenvolver sinergias. A emergência climática foi sublinhada em todos estes contactos.</w:t>
      </w:r>
    </w:p>
    <w:p w:rsidRPr="00424F46" w:rsidR="00C0106D" w:rsidP="00765637" w:rsidRDefault="00C0106D">
      <w:pPr>
        <w:spacing w:after="0" w:line="288" w:lineRule="auto"/>
        <w:jc w:val="both"/>
        <w:rPr>
          <w:rFonts w:ascii="Times New Roman" w:hAnsi="Times New Roman" w:cs="Times New Roman"/>
          <w:bCs/>
          <w:sz w:val="18"/>
          <w:szCs w:val="18"/>
          <w:lang w:val="en-GB"/>
        </w:rPr>
      </w:pPr>
    </w:p>
    <w:p w:rsidRPr="00424F46" w:rsidR="00020F19" w:rsidP="00765637" w:rsidRDefault="00020F19">
      <w:pPr>
        <w:spacing w:after="0" w:line="288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>O ano de 2022 está a revelar-se um ano em que as alterações climáticas estão a provocar fenómenos meteorológicos extremos de forma mais dramática do que nunca, desde vagas de calor e incêndios sufocantes na Europa e em partes do sul da Ásia até inundações calamitosas no Paquistão e no Bangladexe, e secas prolongadas na África Oriental, com milhares de mortos e muitos outros milhões de deslocados ou de pessoas em risco de passar fome.</w:t>
      </w:r>
    </w:p>
    <w:p w:rsidRPr="00424F46" w:rsidR="00C0106D" w:rsidP="00765637" w:rsidRDefault="00C0106D">
      <w:pPr>
        <w:spacing w:after="0" w:line="288" w:lineRule="auto"/>
        <w:jc w:val="both"/>
        <w:rPr>
          <w:rFonts w:ascii="Times New Roman" w:hAnsi="Times New Roman" w:cs="Times New Roman"/>
          <w:bCs/>
          <w:sz w:val="18"/>
          <w:szCs w:val="18"/>
          <w:lang w:val="en-GB"/>
        </w:rPr>
      </w:pPr>
    </w:p>
    <w:p w:rsidRPr="00424F46" w:rsidR="00020F19" w:rsidP="00765637" w:rsidRDefault="00020F19">
      <w:pPr>
        <w:spacing w:after="0" w:line="288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 xml:space="preserve">A este propósito, o recente relatório do </w:t>
      </w:r>
      <w:hyperlink w:history="1" r:id="rId22">
        <w:r>
          <w:rPr>
            <w:rStyle w:val="Hyperlink"/>
            <w:rFonts w:ascii="Times New Roman" w:hAnsi="Times New Roman"/>
          </w:rPr>
          <w:t>Painel Intergove</w:t>
        </w:r>
        <w:r>
          <w:rPr>
            <w:rStyle w:val="Hyperlink"/>
            <w:rFonts w:ascii="Times New Roman" w:hAnsi="Times New Roman"/>
          </w:rPr>
          <w:t>rnamental sobre as Alterações Climáticas</w:t>
        </w:r>
      </w:hyperlink>
      <w:r>
        <w:rPr>
          <w:rFonts w:ascii="Times New Roman" w:hAnsi="Times New Roman"/>
        </w:rPr>
        <w:t xml:space="preserve"> afirma que, para limitar o aquecimento global a 1,5 ºC, as emissões de gases com efeito de estufa devem atingir o seu valor máximo até, o mais tardar, 2025, que é preciso reduzir as emissões para metade até 2030 e que, para esse fim, são indispensáveis reduções drásticas e imediatas em todos os setores. No entanto, prevê-se que as </w:t>
      </w:r>
      <w:hyperlink w:history="1" r:id="rId23">
        <w:r>
          <w:rPr>
            <w:rStyle w:val="Hyperlink"/>
            <w:rFonts w:ascii="Times New Roman" w:hAnsi="Times New Roman"/>
          </w:rPr>
          <w:t>política</w:t>
        </w:r>
        <w:r>
          <w:rPr>
            <w:rStyle w:val="Hyperlink"/>
            <w:rFonts w:ascii="Times New Roman" w:hAnsi="Times New Roman"/>
          </w:rPr>
          <w:t>s atualmente em vigor</w:t>
        </w:r>
      </w:hyperlink>
      <w:r>
        <w:rPr>
          <w:rFonts w:ascii="Times New Roman" w:hAnsi="Times New Roman"/>
        </w:rPr>
        <w:t xml:space="preserve"> resultem em cerca de 2,7 ºC e que os atuais compromissos por país – contributos determinados a nível nacional – apenas limitarão o aquecimento a 2,4 ºC.</w:t>
      </w:r>
    </w:p>
    <w:p w:rsidRPr="00424F46" w:rsidR="00C0106D" w:rsidP="00765637" w:rsidRDefault="00C0106D">
      <w:pPr>
        <w:spacing w:after="0" w:line="288" w:lineRule="auto"/>
        <w:jc w:val="both"/>
        <w:rPr>
          <w:rFonts w:ascii="Times New Roman" w:hAnsi="Times New Roman" w:cs="Times New Roman"/>
          <w:bCs/>
          <w:sz w:val="18"/>
          <w:szCs w:val="18"/>
          <w:lang w:val="en-GB"/>
        </w:rPr>
      </w:pPr>
    </w:p>
    <w:p w:rsidRPr="00424F46" w:rsidR="00020F19" w:rsidP="00765637" w:rsidRDefault="00020F19">
      <w:pPr>
        <w:spacing w:after="0" w:line="288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>A invasão da Ucrânia pela Rússia tornou uma situação já económica e socialmente difícil ainda mais complexa. No entanto, a emergência climática não pode esperar. Qualquer medida especial adotada deve ser excecional e de duração limitada, e a União Europeia deve acelerar a reformulação da sua política energética e climática, a fim de enfrentar os choques a curto prazo ao mesmo tempo que continua a promover a incontornável descarbonização das sociedades. A Europa deve ser líder na ação climática e velar por que as suas medidas políticas correspondam efetivamente às suas ambições.</w:t>
      </w:r>
    </w:p>
    <w:p w:rsidRPr="00424F46" w:rsidR="00C0106D" w:rsidP="00765637" w:rsidRDefault="00C0106D">
      <w:pPr>
        <w:spacing w:after="0" w:line="288" w:lineRule="auto"/>
        <w:jc w:val="both"/>
        <w:rPr>
          <w:rFonts w:ascii="Times New Roman" w:hAnsi="Times New Roman" w:cs="Times New Roman"/>
          <w:bCs/>
          <w:sz w:val="18"/>
          <w:szCs w:val="18"/>
          <w:lang w:val="en-GB"/>
        </w:rPr>
      </w:pPr>
    </w:p>
    <w:p w:rsidRPr="00424F46" w:rsidR="00020F19" w:rsidP="00765637" w:rsidRDefault="00020F19">
      <w:pPr>
        <w:spacing w:after="0" w:line="288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 xml:space="preserve">A resolução elaborada pelos membros do grupo eventual exorta as instituições da UE e os governos a reforçarem as suas ambições climáticas em conformidade com as ciências e os dados científicos e dá um destaque especial ao papel da sociedade civil organizada na aceleração da ação climática. A </w:t>
      </w:r>
      <w:r>
        <w:rPr>
          <w:rFonts w:ascii="Times New Roman" w:hAnsi="Times New Roman"/>
        </w:rPr>
        <w:lastRenderedPageBreak/>
        <w:t>resiliência social só pode ser reforçada capacitando a sociedade civil, os intervenientes sociais e os movimentos das bases.</w:t>
      </w:r>
    </w:p>
    <w:p w:rsidRPr="00424F46" w:rsidR="00765637" w:rsidP="00765637" w:rsidRDefault="00765637">
      <w:pPr>
        <w:spacing w:after="0" w:line="288" w:lineRule="auto"/>
        <w:jc w:val="both"/>
        <w:rPr>
          <w:rFonts w:ascii="Times New Roman" w:hAnsi="Times New Roman" w:cs="Times New Roman"/>
          <w:bCs/>
          <w:sz w:val="18"/>
          <w:szCs w:val="18"/>
          <w:lang w:val="en-GB"/>
        </w:rPr>
      </w:pPr>
    </w:p>
    <w:p w:rsidRPr="00424F46" w:rsidR="00765637" w:rsidRDefault="00020F19">
      <w:pPr>
        <w:spacing w:after="0" w:line="288" w:lineRule="auto"/>
        <w:jc w:val="center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/>
          <w:i/>
        </w:rPr>
        <w:t>Somos a última geração que pode travar as alterações climáticas, e o CESE, enquanto voz da sociedade civil europeia, deve desempenhar um papel de liderança na promoção da transição para sociedades socialmente justas, inclusivas e neutras em termos de carbono.</w:t>
      </w:r>
      <w:r>
        <w:rPr>
          <w:rFonts w:ascii="Times New Roman" w:hAnsi="Times New Roman"/>
          <w:i/>
        </w:rPr>
        <w:br w:type="page"/>
      </w:r>
    </w:p>
    <w:p w:rsidRPr="00424F46" w:rsidR="0040134E" w:rsidP="00EF3B48" w:rsidRDefault="0040134E">
      <w:pPr>
        <w:keepNext/>
        <w:spacing w:after="0" w:line="288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lastRenderedPageBreak/>
        <w:t>RECOMENDAÇÕES POLÍTICAS DO COMITÉ ECONÓMICO E SOCIAL EUROPEU:</w:t>
      </w:r>
    </w:p>
    <w:p w:rsidRPr="00424F46" w:rsidR="00765637" w:rsidP="00EF3B48" w:rsidRDefault="00765637">
      <w:pPr>
        <w:keepNext/>
        <w:spacing w:after="0" w:line="288" w:lineRule="auto"/>
        <w:jc w:val="both"/>
        <w:rPr>
          <w:rFonts w:ascii="Times New Roman" w:hAnsi="Times New Roman" w:cs="Times New Roman"/>
          <w:b/>
          <w:lang w:val="en-GB"/>
        </w:rPr>
      </w:pPr>
    </w:p>
    <w:p w:rsidRPr="00424F46" w:rsidR="0040134E" w:rsidP="00EF3B48" w:rsidRDefault="00492189">
      <w:pPr>
        <w:keepNext/>
        <w:spacing w:after="0" w:line="288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Prosseguir objetivos climáticos mais ambiciosos para lidar com a emergência climática e reforçar a ação climática da UE</w:t>
      </w:r>
    </w:p>
    <w:p w:rsidRPr="00424F46" w:rsidR="00765637" w:rsidP="00EF3B48" w:rsidRDefault="00765637">
      <w:pPr>
        <w:keepNext/>
        <w:spacing w:after="0" w:line="288" w:lineRule="auto"/>
        <w:jc w:val="both"/>
        <w:rPr>
          <w:rFonts w:ascii="Times New Roman" w:hAnsi="Times New Roman" w:cs="Times New Roman"/>
          <w:bCs/>
          <w:iCs/>
          <w:lang w:val="en-GB" w:eastAsia="en-GB"/>
        </w:rPr>
      </w:pPr>
    </w:p>
    <w:p w:rsidRPr="00424F46" w:rsidR="00A133B3" w:rsidRDefault="001522F6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/>
        </w:rPr>
        <w:t>Enquanto voz da sociedade civil organizada na Europa, e agindo na sua qualidade de órgão consultivo do Parlamento Europeu, do Conselho e da Comissão e como membro da comunidade da sociedade civil mundial,</w:t>
      </w:r>
      <w:r w:rsidR="00B67486">
        <w:rPr>
          <w:rFonts w:ascii="Times New Roman" w:hAnsi="Times New Roman"/>
        </w:rPr>
        <w:t xml:space="preserve"> o Comité Económico e Social Europeu (CESE)</w:t>
      </w:r>
    </w:p>
    <w:p w:rsidRPr="00424F46" w:rsidR="00A133B3" w:rsidP="00F5520F" w:rsidRDefault="00A133B3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bCs/>
          <w:iCs/>
          <w:lang w:val="en-GB" w:eastAsia="en-GB"/>
        </w:rPr>
      </w:pPr>
    </w:p>
    <w:p w:rsidRPr="00424F46" w:rsidR="00C5108E" w:rsidP="00F5520F" w:rsidRDefault="001522F6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salienta que a Convenção-Quadro das Nações Unidas sobre Alterações Climáticas (CQNUAC) foi adotada há 30 anos com o objetivo central de estabilizar as concentrações de gases com efeito de estufa na atmosfera num nível que evitasse uma interferência antropogénica perigosa com o sistema climático (artigo 2.º) e que tal objetivo não foi alcançado;</w:t>
      </w:r>
    </w:p>
    <w:p w:rsidRPr="00424F46" w:rsidR="00E25EDF" w:rsidP="00F5520F" w:rsidRDefault="00E25EDF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A73469" w:rsidP="00F5520F" w:rsidRDefault="00FC5DCF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salienta que o Acordo de Paris de 2015 substituiu o objetivo qualitativo da Convenção sobre as Alterações Climáticas, a saber, evitar a interferência com o clima, por uma meta quantitativa: «[...] manter o aumento da temperatura média mundial bem abaixo dos 2 ºC em relação aos níveis pré-industriais e prosseguir os esforços para limitar o aumento da temperatura a 1,5 ºC acima dos níveis pré-industriais»</w:t>
      </w:r>
      <w:r w:rsidRPr="00424F46" w:rsidR="00C5108E">
        <w:rPr>
          <w:rStyle w:val="FootnoteReference"/>
          <w:rFonts w:ascii="Times New Roman" w:hAnsi="Times New Roman" w:cs="Times New Roman"/>
          <w:lang w:val="en-GB"/>
        </w:rPr>
        <w:footnoteReference w:id="2"/>
      </w:r>
      <w:r>
        <w:rPr>
          <w:rFonts w:ascii="Times New Roman" w:hAnsi="Times New Roman"/>
        </w:rPr>
        <w:t>;</w:t>
      </w:r>
    </w:p>
    <w:p w:rsidRPr="00424F46" w:rsidR="00A73469" w:rsidP="00F5520F" w:rsidRDefault="00A73469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C5108E" w:rsidP="00F5520F" w:rsidRDefault="00C5108E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sublinha que o objetivo de 1,5 ºC não será suficiente para evitar as consequências dramáticas das alterações climáticas, na medida em que é patente que aquelas já estão a alterar todas as regiões do mundo.</w:t>
      </w:r>
      <w:r>
        <w:t xml:space="preserve"> </w:t>
      </w:r>
      <w:r>
        <w:rPr>
          <w:rFonts w:ascii="Times New Roman" w:hAnsi="Times New Roman"/>
        </w:rPr>
        <w:t>As inundações, as secas, as tempestades, os incêndios e as vagas de calor estão a aumentar exponencialmente, com efeitos sociais devastadores e um impacto económico de milhares de milhões de euros todos os anos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3"/>
      </w:r>
      <w:r>
        <w:rPr>
          <w:rFonts w:ascii="Times New Roman" w:hAnsi="Times New Roman"/>
        </w:rPr>
        <w:t>;</w:t>
      </w:r>
    </w:p>
    <w:p w:rsidRPr="00424F46" w:rsidR="00A73469" w:rsidP="00F5520F" w:rsidRDefault="00A73469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A73469" w:rsidP="00F5520F" w:rsidRDefault="00A73469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frisa que estamos a atravessar uma emergência climática e que não devemos renunciar ao artigo 2.º da convenção, apesar de a CQNUAC, atualmente, ainda não estar a apresentar resultados concretos;</w:t>
      </w:r>
    </w:p>
    <w:p w:rsidRPr="00424F46" w:rsidR="00EA2B05" w:rsidP="00F5520F" w:rsidRDefault="00EA2B05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EA2B05" w:rsidP="00F5520F" w:rsidRDefault="00794F2D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está profundamente convicto de que as decisões estratégicas têm de estar alinhadas com as ciências e os dados científicos, e assinala que o Painel Intergovernamental sobre as Alterações Climáticas (PIAC) definiu critérios de referência claros: para ainda ser possível limitar o aumento da temperatura a 1,5 ºC, as emissões têm de atingir o seu máximo até, o mais tardar, 2025</w:t>
      </w:r>
      <w:r w:rsidRPr="00424F46" w:rsidR="00D27A92">
        <w:rPr>
          <w:rStyle w:val="FootnoteReference"/>
          <w:rFonts w:ascii="Times New Roman" w:hAnsi="Times New Roman" w:cs="Times New Roman"/>
          <w:lang w:val="en-GB"/>
        </w:rPr>
        <w:footnoteReference w:id="4"/>
      </w:r>
      <w:r>
        <w:rPr>
          <w:rFonts w:ascii="Times New Roman" w:hAnsi="Times New Roman"/>
        </w:rPr>
        <w:t xml:space="preserve"> e o mundo tem de reduzir as emissões em 45% abaixo dos níveis de 2010 até 2030;</w:t>
      </w:r>
    </w:p>
    <w:p w:rsidRPr="00424F46" w:rsidR="00EA2B05" w:rsidP="00F5520F" w:rsidRDefault="00EA2B05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EA1709" w:rsidP="00F5520F" w:rsidRDefault="00EA2B05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</w:rPr>
        <w:lastRenderedPageBreak/>
        <w:t xml:space="preserve">reconhece que a invasão da Ucrânia pela Rússia veio agravar uma situação já difícil, caracterizada pela inflação, preços elevados da energia e dos alimentos e por possíveis situações de penúria energética, com um duro impacto nas vidas dos cidadãos, e criou enormes desafios sociais e económicos, pelo menos, a curto prazo. O CESE está convicto de que a situação atual torna ainda mais urgente a ação climática europeia e de que </w:t>
      </w:r>
      <w:r>
        <w:rPr>
          <w:rFonts w:ascii="Times New Roman" w:hAnsi="Times New Roman"/>
          <w:b/>
        </w:rPr>
        <w:t>a nova situação geopolítica reforça a necessidade de a UE acelerar a reformulação da sua política energética e climática</w:t>
      </w:r>
      <w:r>
        <w:rPr>
          <w:rFonts w:ascii="Times New Roman" w:hAnsi="Times New Roman"/>
        </w:rPr>
        <w:t>;</w:t>
      </w:r>
    </w:p>
    <w:p w:rsidRPr="00424F46" w:rsidR="00CB14BC" w:rsidP="00F5520F" w:rsidRDefault="00CB14BC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EA2B05" w:rsidP="00F5520F" w:rsidRDefault="003D0D15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acredita que </w:t>
      </w:r>
      <w:r>
        <w:rPr>
          <w:rFonts w:ascii="Times New Roman" w:hAnsi="Times New Roman"/>
          <w:b/>
        </w:rPr>
        <w:t>importa reforçar o Pacto Ecológico Europeu</w:t>
      </w:r>
      <w:r>
        <w:rPr>
          <w:rFonts w:ascii="Times New Roman" w:hAnsi="Times New Roman"/>
        </w:rPr>
        <w:t>, a fim de se alcançar o objetivo de descarbonização da economia, continuar a reduzir as dependências externas, assegurar a capacidade de resistência e reforçar a transição justa, bem como que só será possível conceder derrogações excecionais temporárias a metas definidas</w:t>
      </w:r>
      <w:r w:rsidRPr="00EF3B48" w:rsidR="00EA2B05">
        <w:rPr>
          <w:rStyle w:val="FootnoteReference"/>
          <w:rFonts w:ascii="Times New Roman" w:hAnsi="Times New Roman" w:cs="Times New Roman"/>
          <w:lang w:val="en-GB"/>
        </w:rPr>
        <w:footnoteReference w:id="5"/>
      </w:r>
      <w:r>
        <w:rPr>
          <w:rFonts w:ascii="Times New Roman" w:hAnsi="Times New Roman"/>
        </w:rPr>
        <w:t>; estima que o desenvolvimento de uma autonomia estratégica aberta deve garantir a redução das dependências em matéria de energia, matérias-primas essenciais e produtos alimentares;</w:t>
      </w:r>
    </w:p>
    <w:p w:rsidRPr="00424F46" w:rsidR="00EA2B05" w:rsidP="00F5520F" w:rsidRDefault="00EA2B05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553760" w:rsidP="00F5520F" w:rsidRDefault="00EA2B05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insta a </w:t>
      </w:r>
      <w:r>
        <w:rPr>
          <w:rFonts w:ascii="Times New Roman" w:hAnsi="Times New Roman"/>
          <w:b/>
        </w:rPr>
        <w:t>UE a assumir um papel de liderança</w:t>
      </w:r>
      <w:r>
        <w:rPr>
          <w:rFonts w:ascii="Times New Roman" w:hAnsi="Times New Roman"/>
        </w:rPr>
        <w:t xml:space="preserve"> e solicita à </w:t>
      </w:r>
      <w:r w:rsidR="003F45B1">
        <w:rPr>
          <w:rFonts w:ascii="Times New Roman" w:hAnsi="Times New Roman"/>
        </w:rPr>
        <w:t>Comissão Europeia e aos Estados</w:t>
      </w:r>
      <w:r w:rsidR="003F45B1">
        <w:rPr>
          <w:rFonts w:ascii="Times New Roman" w:hAnsi="Times New Roman"/>
          <w:lang w:val="fr-BE"/>
        </w:rPr>
        <w:noBreakHyphen/>
      </w:r>
      <w:r>
        <w:rPr>
          <w:rFonts w:ascii="Times New Roman" w:hAnsi="Times New Roman"/>
        </w:rPr>
        <w:t xml:space="preserve">Membros da UE que </w:t>
      </w:r>
      <w:r>
        <w:rPr>
          <w:rFonts w:ascii="Times New Roman" w:hAnsi="Times New Roman"/>
          <w:b/>
        </w:rPr>
        <w:t>atualizem os contributos determinados a nível nacional (CDN)</w:t>
      </w:r>
      <w:r>
        <w:rPr>
          <w:rFonts w:ascii="Times New Roman" w:hAnsi="Times New Roman"/>
        </w:rPr>
        <w:t xml:space="preserve"> no seguimento do Pacto de Glasgow para o Clima; apela para uma repartição equitativa a nível mundial assente na equidade, na responsabilidade histórica e nas capacidades;</w:t>
      </w:r>
    </w:p>
    <w:p w:rsidRPr="00424F46" w:rsidR="00D27A92" w:rsidP="00F5520F" w:rsidRDefault="00D27A92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EA2B05" w:rsidP="00F5520F" w:rsidRDefault="00EA2B05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congratula-se com as decisões do Parlamento Europeu sobre o Sistema de Comércio de Licenças de Emissão da UE (CELE)</w:t>
      </w:r>
      <w:r w:rsidRPr="00424F46" w:rsidR="00CB14BC">
        <w:rPr>
          <w:rStyle w:val="FootnoteReference"/>
          <w:rFonts w:ascii="Times New Roman" w:hAnsi="Times New Roman" w:cs="Times New Roman"/>
          <w:lang w:val="en-GB"/>
        </w:rPr>
        <w:footnoteReference w:id="6"/>
      </w:r>
      <w:r>
        <w:rPr>
          <w:rFonts w:ascii="Times New Roman" w:hAnsi="Times New Roman"/>
        </w:rPr>
        <w:t xml:space="preserve"> e os sumidouros de carbono</w:t>
      </w:r>
      <w:r w:rsidRPr="00424F46" w:rsidR="00CB14BC">
        <w:rPr>
          <w:rStyle w:val="FootnoteReference"/>
          <w:rFonts w:ascii="Times New Roman" w:hAnsi="Times New Roman" w:cs="Times New Roman"/>
          <w:lang w:val="en-GB"/>
        </w:rPr>
        <w:footnoteReference w:id="7"/>
      </w:r>
      <w:r>
        <w:rPr>
          <w:rFonts w:ascii="Times New Roman" w:hAnsi="Times New Roman"/>
        </w:rPr>
        <w:t>, que implicam um ligeiro aumento da meta de redução das emissões da UE, o que constitui um apelo, ainda que insuficiente, para o reforço dos CDN da UE;</w:t>
      </w:r>
    </w:p>
    <w:p w:rsidRPr="00424F46" w:rsidR="00EA2B05" w:rsidP="00F5520F" w:rsidRDefault="00EA2B05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EA2B05" w:rsidP="00F5520F" w:rsidRDefault="00D27A92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manifesta-se preocupado por vários países terem anunciado planos a longo prazo para alcançar a neutralidade carbónica até 2050 ou 2060 que não são apoiados por planos adequados a curto e médio prazos e, por conseguinte, insta a Comissão Europeia a </w:t>
      </w:r>
      <w:r>
        <w:rPr>
          <w:rFonts w:ascii="Times New Roman" w:hAnsi="Times New Roman"/>
          <w:b/>
        </w:rPr>
        <w:t>intensificar os esforços diplomáticos da UE</w:t>
      </w:r>
      <w:r>
        <w:rPr>
          <w:rFonts w:ascii="Times New Roman" w:hAnsi="Times New Roman"/>
        </w:rPr>
        <w:t xml:space="preserve"> para promover a adoção, pela comunidade internacional, de quadros estratégicos similares ao Pacto Ecológico Europeu e está disponível para apoiar tais esforços interagindo com as organizações da sociedade civil de todo o mundo, tendo a Agenda 2030 e os Objetivos de Desenvolvimento Sustentável como orientação para os próximos anos decisivos;</w:t>
      </w:r>
    </w:p>
    <w:p w:rsidRPr="00424F46" w:rsidR="00444B59" w:rsidP="00F5520F" w:rsidRDefault="00444B59">
      <w:pPr>
        <w:pStyle w:val="ListParagraph"/>
        <w:spacing w:after="0" w:line="288" w:lineRule="auto"/>
        <w:ind w:left="0"/>
        <w:rPr>
          <w:rFonts w:ascii="Times New Roman" w:hAnsi="Times New Roman" w:cs="Times New Roman"/>
          <w:lang w:val="en-GB"/>
        </w:rPr>
      </w:pPr>
    </w:p>
    <w:p w:rsidRPr="00424F46" w:rsidR="003D0D15" w:rsidP="00F5520F" w:rsidRDefault="00C375B8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solicita à UE que desenvolva mais abordagens setoriais para medidas específicas ou crie «clubes do clima» que contem com os países com os programas de ação climática mais ambiciosos, a fim de encorajar ações mais céleres de outras nações, podendo o Mecanismo de Ajustamento Carbónico Fronteiriço (MACF) ser um instrumento para tal objetivo;</w:t>
      </w:r>
    </w:p>
    <w:p w:rsidRPr="00424F46" w:rsidR="00DE24B9" w:rsidP="00F5520F" w:rsidRDefault="00DE24B9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1B07D7" w:rsidP="00F5520F" w:rsidRDefault="003D0D15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considera que são necessárias medidas decisivas e claramente definidas para tornar operacional o artigo 6.º do Acordo de Paris e completar o conjunto de regras de Paris, que estabelece um </w:t>
      </w:r>
      <w:r>
        <w:rPr>
          <w:rFonts w:ascii="Times New Roman" w:hAnsi="Times New Roman"/>
        </w:rPr>
        <w:lastRenderedPageBreak/>
        <w:t>quadro para a cooperação internacional voluntária para que os países reduzam as emissões a fim de cumprirem os seus compromissos, evitando alguns dos problemas relacionados com a dupla contabilização ou o risco de falsos créditos de redução das emissões;</w:t>
      </w:r>
    </w:p>
    <w:p w:rsidRPr="00424F46" w:rsidR="00DA7721" w:rsidP="00F5520F" w:rsidRDefault="00DA7721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DA7721" w:rsidP="00F5520F" w:rsidRDefault="00DA7721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i/>
        </w:rPr>
        <w:t>Rever o nosso modelo económico atual com vista a abordar eficazmente a atenuação das alterações climáticas e a adaptação às mesmas e garantir um acesso adequado ao financiamento das ações climáticas</w:t>
      </w:r>
    </w:p>
    <w:p w:rsidRPr="00424F46" w:rsidR="00DA7721" w:rsidP="00F5520F" w:rsidRDefault="00DA7721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  <w:b/>
          <w:bCs/>
          <w:lang w:val="en-GB"/>
        </w:rPr>
      </w:pPr>
    </w:p>
    <w:p w:rsidRPr="00424F46" w:rsidR="006D019C" w:rsidP="00F5520F" w:rsidRDefault="00D27A92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</w:rPr>
        <w:t xml:space="preserve">salienta que, para acelerar a transição para uma sociedade com impacto neutro no clima, temos de </w:t>
      </w:r>
      <w:r>
        <w:rPr>
          <w:rFonts w:ascii="Times New Roman" w:hAnsi="Times New Roman"/>
          <w:b/>
        </w:rPr>
        <w:t>rever o nosso modelo económico atual</w:t>
      </w:r>
      <w:r>
        <w:rPr>
          <w:rFonts w:ascii="Times New Roman" w:hAnsi="Times New Roman"/>
        </w:rPr>
        <w:t xml:space="preserve"> com vista a repensar a nossa forma de consumo e de produção, e apela para que a UE proponha uma nova visão da prosperidade para os cidadãos e o planeta, fundada nos princípios da sustentabilidade ambiental, do direito a uma vida digna e da defesa dos valores sociais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8"/>
      </w:r>
      <w:r>
        <w:rPr>
          <w:rFonts w:ascii="Times New Roman" w:hAnsi="Times New Roman"/>
        </w:rPr>
        <w:t>;</w:t>
      </w:r>
    </w:p>
    <w:p w:rsidRPr="00424F46" w:rsidR="00F426F7" w:rsidP="00F5520F" w:rsidRDefault="00F426F7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b/>
          <w:lang w:val="en-GB"/>
        </w:rPr>
      </w:pPr>
    </w:p>
    <w:p w:rsidRPr="00424F46" w:rsidR="00F426F7" w:rsidP="00F5520F" w:rsidRDefault="00F426F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</w:rPr>
        <w:t xml:space="preserve">propõe um </w:t>
      </w:r>
      <w:r>
        <w:rPr>
          <w:rFonts w:ascii="Times New Roman" w:hAnsi="Times New Roman"/>
          <w:b/>
        </w:rPr>
        <w:t>novo quadro de governação</w:t>
      </w:r>
      <w:r>
        <w:rPr>
          <w:rFonts w:ascii="Times New Roman" w:hAnsi="Times New Roman"/>
        </w:rPr>
        <w:t xml:space="preserve"> para realizar tais mudanças transformadoras e incentiva os governos e os órgãos de poder regional a criarem </w:t>
      </w:r>
      <w:r>
        <w:rPr>
          <w:rFonts w:ascii="Times New Roman" w:hAnsi="Times New Roman"/>
          <w:b/>
        </w:rPr>
        <w:t>comissões tripartidas para uma transição justa</w:t>
      </w:r>
      <w:r>
        <w:rPr>
          <w:rFonts w:ascii="Times New Roman" w:hAnsi="Times New Roman"/>
        </w:rPr>
        <w:t>, a fim de permitir aos parceiros sociais e às organizações da sociedade civil, incluindo a juventude, formular recomendações e negociar e elaborar planos nacionais e regionais para a transição justa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9"/>
      </w:r>
      <w:r>
        <w:rPr>
          <w:rFonts w:ascii="Times New Roman" w:hAnsi="Times New Roman"/>
        </w:rPr>
        <w:t>; considera que as iniciativas existentes para fazer face aos desafios sociais da transformação ecológica continuam a estar fragmentadas</w:t>
      </w:r>
      <w:r w:rsidRPr="00424F46" w:rsidR="00CA61D4">
        <w:rPr>
          <w:rStyle w:val="FootnoteReference"/>
          <w:rFonts w:ascii="Times New Roman" w:hAnsi="Times New Roman" w:cs="Times New Roman"/>
          <w:lang w:val="en-GB"/>
        </w:rPr>
        <w:footnoteReference w:id="10"/>
      </w:r>
      <w:r>
        <w:rPr>
          <w:rFonts w:ascii="Times New Roman" w:hAnsi="Times New Roman"/>
        </w:rPr>
        <w:t>;</w:t>
      </w:r>
    </w:p>
    <w:p w:rsidRPr="00424F46" w:rsidR="006D019C" w:rsidP="00F5520F" w:rsidRDefault="006D019C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492189" w:rsidP="00F5520F" w:rsidRDefault="00492189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estima que a transição rápida para uma economia descarbonizada acarretará desafios enormes para os cidadãos, os trabalhadores, as empresas e as regiões, especialmente aquelas que dependem mais de setores e indústrias com elevada intensidade carbónica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11"/>
      </w:r>
      <w:r>
        <w:rPr>
          <w:rFonts w:ascii="Times New Roman" w:hAnsi="Times New Roman"/>
        </w:rPr>
        <w:t xml:space="preserve">, bem como que </w:t>
      </w:r>
      <w:r>
        <w:rPr>
          <w:rFonts w:ascii="Times New Roman" w:hAnsi="Times New Roman"/>
          <w:b/>
        </w:rPr>
        <w:t>os CDN devem incluir a realização de um mapeamento granular</w:t>
      </w:r>
      <w:r>
        <w:rPr>
          <w:rFonts w:ascii="Times New Roman" w:hAnsi="Times New Roman"/>
        </w:rPr>
        <w:t xml:space="preserve"> e uma análise dos impactos que a transição terá no emprego e nas competências nos diferentes países, regiões e setores, incluindo nas empresas subcontratadas e nas cadeias de valor a jusante, e </w:t>
      </w:r>
      <w:r>
        <w:rPr>
          <w:rFonts w:ascii="Times New Roman" w:hAnsi="Times New Roman"/>
          <w:b/>
        </w:rPr>
        <w:t>ser acompanhados de planos nacionais de emprego e de estratégias para a transição justa</w:t>
      </w:r>
      <w:r w:rsidRPr="00424F46">
        <w:rPr>
          <w:rStyle w:val="FootnoteReference"/>
          <w:rFonts w:ascii="Times New Roman" w:hAnsi="Times New Roman" w:cs="Times New Roman"/>
          <w:sz w:val="22"/>
          <w:lang w:val="en-GB"/>
        </w:rPr>
        <w:footnoteReference w:id="12"/>
      </w:r>
      <w:r>
        <w:rPr>
          <w:rFonts w:ascii="Times New Roman" w:hAnsi="Times New Roman"/>
        </w:rPr>
        <w:t xml:space="preserve"> assentes nas orientações da Organização Internacional do Trabalho (OIT) para uma transição justa; apoia, assim, a proposta da Conferência sobre o Futuro da Europa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13"/>
      </w:r>
      <w:r>
        <w:rPr>
          <w:rFonts w:ascii="Times New Roman" w:hAnsi="Times New Roman"/>
        </w:rPr>
        <w:t xml:space="preserve"> de assegurar uma transição justa que proteja os trabalhadores e os postos de trabalho mediante o financiamento adequado da transição e de mais investigação;</w:t>
      </w:r>
    </w:p>
    <w:p w:rsidRPr="00424F46" w:rsidR="00492189" w:rsidP="00F5520F" w:rsidRDefault="00492189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7322BD" w:rsidP="00F5520F" w:rsidRDefault="00492189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observa que a responsabilidade do setor privado na consecução do objetivo de descarbonização exigirá a rápida transformação dos sistemas a uma escala sem precedentes e salienta que o setor privado tem um papel crucial a desempenhar nesse processo;</w:t>
      </w:r>
    </w:p>
    <w:p w:rsidRPr="00424F46" w:rsidR="007322BD" w:rsidP="00F5520F" w:rsidRDefault="007322BD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492189" w:rsidP="00F5520F" w:rsidRDefault="00492189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reconhece os múltiplos e variados esforços envidados por empresas e empreendedores em toda a UE para criar soluções empresariais que contribuam para a atenuação das alterações climáticas e a adaptação aos desafios relacionados com as mesmas, e considera que as alterações climáticas devem ser enfrentadas com modelos empresariais inovadores e responsáveis centrados em metas de sustentabilidade mensuráveis, incluindo a redução da utilização da água, da energia e de substâncias químicas;</w:t>
      </w:r>
    </w:p>
    <w:p w:rsidRPr="00424F46" w:rsidR="00492189" w:rsidP="00F5520F" w:rsidRDefault="00492189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492189" w:rsidP="00F5520F" w:rsidRDefault="00492189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manifesta a sua preocupação pelo facto de a redução das emissões de gases com efeito de estufa (GEE) na UE estar a aumentar as emissões no estrangeiro para satisfazer o consumo da UE, gerando </w:t>
      </w:r>
      <w:r>
        <w:rPr>
          <w:rFonts w:ascii="Times New Roman" w:hAnsi="Times New Roman"/>
          <w:b/>
        </w:rPr>
        <w:t>efeitos induzidos pelos GEE</w:t>
      </w:r>
      <w:r w:rsidRPr="00424F46">
        <w:rPr>
          <w:rStyle w:val="FootnoteReference"/>
          <w:rFonts w:ascii="Times New Roman" w:hAnsi="Times New Roman" w:cs="Times New Roman"/>
          <w:sz w:val="22"/>
          <w:lang w:val="en-GB"/>
        </w:rPr>
        <w:footnoteReference w:id="14"/>
      </w:r>
      <w:r>
        <w:rPr>
          <w:rFonts w:ascii="Times New Roman" w:hAnsi="Times New Roman"/>
        </w:rPr>
        <w:t>, e considera que a abordagem da UE para o inventário de GEE deve integrar as emissões de GEE associadas aos produtos importados, que a dissociação dos progressos socioeconómicos dos impactos negativos nacionais e importados no clima e na biodiversidade tem de se tornar uma prioridade, e que o MACF constitui uma medida de apoio para alcançar tal objetivo;</w:t>
      </w:r>
    </w:p>
    <w:p w:rsidRPr="00424F46" w:rsidR="00492189" w:rsidP="00F5520F" w:rsidRDefault="00492189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7E0872" w:rsidP="00765637" w:rsidRDefault="00570EB2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frisa que a </w:t>
      </w:r>
      <w:r>
        <w:rPr>
          <w:rFonts w:ascii="Times New Roman" w:hAnsi="Times New Roman"/>
          <w:b/>
        </w:rPr>
        <w:t>perda de biodiversidade e as alterações climáticas se reforçam mutuamente</w:t>
      </w:r>
      <w:r>
        <w:rPr>
          <w:rFonts w:ascii="Times New Roman" w:hAnsi="Times New Roman"/>
        </w:rPr>
        <w:t>, como salientado pela comunidade científica; preconiza uma abordagem holística da ação ambiental que aborde a relação entre a perda de biodiversidade e as alterações climáticas, e propõe a revisão e o aumento da dimensão das zonas protegidas e dos esforços para proteger os recursos naturais remanescentes no âmbito da Estratégia de Biodiversidade da UE para 2030</w:t>
      </w:r>
      <w:r w:rsidRPr="00424F46" w:rsidR="007E0872">
        <w:rPr>
          <w:rStyle w:val="FootnoteReference"/>
          <w:rFonts w:ascii="Times New Roman" w:hAnsi="Times New Roman" w:cs="Times New Roman"/>
          <w:lang w:val="en-GB"/>
        </w:rPr>
        <w:footnoteReference w:id="15"/>
      </w:r>
      <w:r>
        <w:rPr>
          <w:rFonts w:ascii="Times New Roman" w:hAnsi="Times New Roman"/>
        </w:rPr>
        <w:t>;</w:t>
      </w:r>
    </w:p>
    <w:p w:rsidRPr="00424F46" w:rsidR="007E0872" w:rsidP="00765637" w:rsidRDefault="007E0872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492189" w:rsidP="00F5520F" w:rsidRDefault="006D019C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está preocupado pelo facto de o impacto das alterações climáticas estar a afetar de forma desproporcionada as pessoas mais vulneráveis e por as comunidades menos responsáveis pelas emissões a nível mundial se verem confrontadas com as consequências mais graves e nem sempre possuírem os recursos para as enfrentar;</w:t>
      </w:r>
    </w:p>
    <w:p w:rsidRPr="00424F46" w:rsidR="006D019C" w:rsidP="00F5520F" w:rsidRDefault="006D019C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44565F" w:rsidP="00F5520F" w:rsidRDefault="0044565F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assinala que as ações de adaptação</w:t>
      </w:r>
      <w:r>
        <w:rPr>
          <w:rFonts w:ascii="Times New Roman" w:hAnsi="Times New Roman"/>
        </w:rPr>
        <w:t xml:space="preserve"> são cada vez mais essenciais, dada a multiplicação dos fenómenos climáticos anormais, e que é fundamental prever melhor o impacto das alterações climáticas; frisa que o Acordo de Paris destaca a importância dos processos nacionais de planeamento da adaptação, requerendo que todos os países apresentem relatórios sobre os progressos efetuados, e insta à generalização da inclusividade, a fim de evitar exacerbar as desigualdades existentes;</w:t>
      </w:r>
    </w:p>
    <w:p w:rsidRPr="00424F46" w:rsidR="00803823" w:rsidP="00F5520F" w:rsidRDefault="00803823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44565F" w:rsidP="00F5520F" w:rsidRDefault="0044565F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defende um aumento das contribuições totais para o financiamento da luta contra as alterações climáticas por parte dos países desenvolvidos, com </w:t>
      </w:r>
      <w:r>
        <w:rPr>
          <w:rFonts w:ascii="Times New Roman" w:hAnsi="Times New Roman"/>
          <w:b/>
        </w:rPr>
        <w:t>«igual ênfase» no financiamento da atenuação e da adaptação</w:t>
      </w:r>
      <w:r>
        <w:rPr>
          <w:rFonts w:ascii="Times New Roman" w:hAnsi="Times New Roman"/>
        </w:rPr>
        <w:t xml:space="preserve">, já que, sem financiamento adicional, o planeamento e a concretização da adaptação serão limitados, em especial nos países em desenvolvimento; </w:t>
      </w:r>
      <w:r>
        <w:rPr>
          <w:rFonts w:ascii="Times New Roman" w:hAnsi="Times New Roman"/>
        </w:rPr>
        <w:lastRenderedPageBreak/>
        <w:t>solicita mais medidas para assegurar o cumprimento deste princípio, uma vez que a atenuação protege as gerações futuras do agravamento da crise climática enquanto a adaptação protege as gerações atuais e futuras dos fenómenos meteorológicos extremos causados pelas alterações climáticas já existentes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16"/>
      </w:r>
      <w:r>
        <w:rPr>
          <w:rFonts w:ascii="Times New Roman" w:hAnsi="Times New Roman"/>
        </w:rPr>
        <w:t>; recorda que o financiamento da adaptação às alterações climáticas representa atualmente apenas 25% do financiamento global destinado ao clima e que as promessas anteriores de aumentar para 40% tal financiamento até 2025 não se concretizaram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17"/>
      </w:r>
      <w:r>
        <w:rPr>
          <w:rFonts w:ascii="Times New Roman" w:hAnsi="Times New Roman"/>
        </w:rPr>
        <w:t>;</w:t>
      </w:r>
    </w:p>
    <w:p w:rsidRPr="00424F46" w:rsidR="002C59E9" w:rsidP="00F5520F" w:rsidRDefault="002C59E9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803823" w:rsidP="00F5520F" w:rsidRDefault="002C59E9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congratula-se com a contribuição da Comissão no valor de 100 milhões de euros para o </w:t>
      </w:r>
      <w:r>
        <w:rPr>
          <w:rFonts w:ascii="Times New Roman" w:hAnsi="Times New Roman"/>
          <w:b/>
        </w:rPr>
        <w:t>Fundo de Adaptação</w:t>
      </w:r>
      <w:r>
        <w:rPr>
          <w:rFonts w:ascii="Times New Roman" w:hAnsi="Times New Roman"/>
        </w:rPr>
        <w:t>, instando simultaneamente os Estados-Membros da UE a duplicarem até 2025 os níveis de financiamento da adaptação de 2019, e apela para que sejam envidados esforços suplementares para atingir o objetivo do plano de execução de mobilizar 100 mil milhões de dólares; sublinha que não existe atualmente um mecanismo de financiamento a nível mundial para apoiar a recuperação das perdas e danos sofridos pelas</w:t>
      </w:r>
      <w:r w:rsidR="00700EF0">
        <w:rPr>
          <w:rFonts w:ascii="Times New Roman" w:hAnsi="Times New Roman"/>
        </w:rPr>
        <w:t xml:space="preserve"> pessoas e solicita aos Estados</w:t>
      </w:r>
      <w:r w:rsidR="00700EF0">
        <w:rPr>
          <w:rFonts w:ascii="Times New Roman" w:hAnsi="Times New Roman"/>
        </w:rPr>
        <w:noBreakHyphen/>
      </w:r>
      <w:r>
        <w:rPr>
          <w:rFonts w:ascii="Times New Roman" w:hAnsi="Times New Roman"/>
        </w:rPr>
        <w:t>Membros da UE e à Comissão que criem um «</w:t>
      </w:r>
      <w:r>
        <w:rPr>
          <w:rFonts w:ascii="Times New Roman" w:hAnsi="Times New Roman"/>
          <w:b/>
        </w:rPr>
        <w:t>mecanismo de perdas e danos</w:t>
      </w:r>
      <w:r>
        <w:rPr>
          <w:rFonts w:ascii="Times New Roman" w:hAnsi="Times New Roman"/>
        </w:rPr>
        <w:t>» financeiro para fazer face às consequências das alterações climáticas;</w:t>
      </w:r>
    </w:p>
    <w:p w:rsidRPr="00424F46" w:rsidR="00803823" w:rsidP="00F5520F" w:rsidRDefault="00803823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AF71F0" w:rsidP="00F5520F" w:rsidRDefault="00565A46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estima que, enquanto parte integrante das medidas em matéria de justiça climática, os governos e as instituições da UE devem elaborar uma </w:t>
      </w:r>
      <w:r>
        <w:rPr>
          <w:rFonts w:ascii="Times New Roman" w:hAnsi="Times New Roman"/>
          <w:b/>
        </w:rPr>
        <w:t>política europeia de migração e asilo prospetiva e abrangente</w:t>
      </w:r>
      <w:r>
        <w:rPr>
          <w:rFonts w:ascii="Times New Roman" w:hAnsi="Times New Roman"/>
        </w:rPr>
        <w:t xml:space="preserve"> que ofereça proteção às pessoas deslocadas por razões climáticas, começando pelo reconhecimento formal dos refugiados por razões climáticas;</w:t>
      </w:r>
    </w:p>
    <w:p w:rsidRPr="00424F46" w:rsidR="00444B59" w:rsidP="00F5520F" w:rsidRDefault="00444B59">
      <w:pPr>
        <w:pStyle w:val="ListParagraph"/>
        <w:spacing w:after="0" w:line="288" w:lineRule="auto"/>
        <w:ind w:left="0"/>
        <w:rPr>
          <w:rFonts w:ascii="Times New Roman" w:hAnsi="Times New Roman" w:cs="Times New Roman"/>
          <w:lang w:val="en-GB"/>
        </w:rPr>
      </w:pPr>
    </w:p>
    <w:p w:rsidRPr="00424F46" w:rsidR="006D019C" w:rsidRDefault="00565A46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i/>
        </w:rPr>
        <w:t>Fomentar ações setoriais eficazes para alcançar a neutralidade climática</w:t>
      </w:r>
    </w:p>
    <w:p w:rsidRPr="00424F46" w:rsidR="00707DFC" w:rsidRDefault="00707DFC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7E0872" w:rsidP="00EF3B48" w:rsidRDefault="00707DFC">
      <w:pPr>
        <w:pStyle w:val="ListParagraph"/>
        <w:keepNext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salienta que a </w:t>
      </w:r>
      <w:r>
        <w:rPr>
          <w:rFonts w:ascii="Times New Roman" w:hAnsi="Times New Roman"/>
          <w:b/>
        </w:rPr>
        <w:t>economia circular</w:t>
      </w:r>
      <w:r>
        <w:rPr>
          <w:rFonts w:ascii="Times New Roman" w:hAnsi="Times New Roman"/>
        </w:rPr>
        <w:t xml:space="preserve"> e a bioeconomia fomentam o desenvolvimento de uma nova visão de prosperidade para as pessoas e devem ser mais incentivadas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18"/>
      </w:r>
      <w:r>
        <w:rPr>
          <w:rFonts w:ascii="Times New Roman" w:hAnsi="Times New Roman"/>
        </w:rPr>
        <w:t>, assinalando que a aplicação de estratégias para a economia circular em todos os setores e países pode, potencialmente, reduzir em 39% as emissões de GEE a nível mundial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19"/>
      </w:r>
      <w:r>
        <w:rPr>
          <w:rFonts w:ascii="Times New Roman" w:hAnsi="Times New Roman"/>
        </w:rPr>
        <w:t>; manifesta-se preocupado por a economia da UE ser apenas cerca de 12% circular, apesar do amplo processo de modernização legislativa lançado em 2015 através do primeiro Plano de Ação da UE para a Economia Circular, e estima que só será possível obter mais progressos com a participação de todos os quadrantes da sociedade civil, a fim de, nomeadamente, suplantar os obstáculos políticos, culturais, infraestruturais, financeiros e relacionados com a governação que ainda persistem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20"/>
      </w:r>
      <w:r>
        <w:rPr>
          <w:rFonts w:ascii="Times New Roman" w:hAnsi="Times New Roman"/>
        </w:rPr>
        <w:t>;</w:t>
      </w:r>
    </w:p>
    <w:p w:rsidRPr="00424F46" w:rsidR="007E0872" w:rsidP="00F5520F" w:rsidRDefault="007E0872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A42B33" w:rsidP="00F5520F" w:rsidRDefault="00444B59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apela para que as estratégias de transição para criar </w:t>
      </w:r>
      <w:r>
        <w:rPr>
          <w:rFonts w:ascii="Times New Roman" w:hAnsi="Times New Roman"/>
          <w:b/>
        </w:rPr>
        <w:t>sistemas alimentares sustentáveis</w:t>
      </w:r>
      <w:r>
        <w:rPr>
          <w:rFonts w:ascii="Times New Roman" w:hAnsi="Times New Roman"/>
        </w:rPr>
        <w:t xml:space="preserve"> sejam devidamente integradas nos CDN e assinala que, embora vários países refiram o potencial da atenuação das alterações climáticas e da adaptação da agricultura nos respetivos CDN, apenas </w:t>
      </w:r>
      <w:r>
        <w:rPr>
          <w:rFonts w:ascii="Times New Roman" w:hAnsi="Times New Roman"/>
        </w:rPr>
        <w:lastRenderedPageBreak/>
        <w:t>alguns definem metas para outras etapas do sistema alimentar</w:t>
      </w:r>
      <w:r w:rsidRPr="00424F46">
        <w:rPr>
          <w:rStyle w:val="FootnoteReference"/>
          <w:rFonts w:ascii="Times New Roman" w:hAnsi="Times New Roman" w:cs="Times New Roman"/>
          <w:sz w:val="22"/>
          <w:lang w:val="en-GB"/>
        </w:rPr>
        <w:footnoteReference w:id="21"/>
      </w:r>
      <w:r>
        <w:rPr>
          <w:rFonts w:ascii="Times New Roman" w:hAnsi="Times New Roman"/>
        </w:rPr>
        <w:t>, deixando muitas oportunidades por explorar</w:t>
      </w:r>
      <w:r w:rsidRPr="00424F46">
        <w:rPr>
          <w:rStyle w:val="FootnoteReference"/>
          <w:rFonts w:ascii="Times New Roman" w:hAnsi="Times New Roman" w:cs="Times New Roman"/>
          <w:sz w:val="22"/>
          <w:lang w:val="en-GB"/>
        </w:rPr>
        <w:footnoteReference w:id="22"/>
      </w:r>
      <w:r>
        <w:rPr>
          <w:rFonts w:ascii="Times New Roman" w:hAnsi="Times New Roman"/>
        </w:rPr>
        <w:t>; reitera as suas recomendações para adotar políticas alimentares globais, tais como a Estratégia do Prado ao Prato, incluindo medidas em matéria de clima, e para assegurar a participação estruturada das partes interessadas ao longo de toda a cadeia de abastecimento alimentar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23"/>
      </w:r>
      <w:r>
        <w:rPr>
          <w:rFonts w:ascii="Times New Roman" w:hAnsi="Times New Roman"/>
        </w:rPr>
        <w:t xml:space="preserve"> e em todos os níveis de governação, em particular colocando os produtores no cerne das estratégias para a agricultura e envolvendo-os na elaboração das políticas;</w:t>
      </w:r>
    </w:p>
    <w:p w:rsidRPr="00424F46" w:rsidR="00A42B33" w:rsidP="00F5520F" w:rsidRDefault="00A42B33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E362FB" w:rsidP="00765637" w:rsidRDefault="00953E81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manifesta a sua preocupação com a situação em África, que representa menos de 4% das emissões mundiais mas que se destaca, desproporcionadamente, como uma das regiões mais vulneráveis do mundo, e, </w:t>
      </w:r>
      <w:r>
        <w:rPr>
          <w:rFonts w:ascii="Times New Roman" w:hAnsi="Times New Roman"/>
          <w:b/>
        </w:rPr>
        <w:t>uma vez que a COP 27 se realiza em África, exorta expressamente a UE a priorizar os recursos financeiros, técnicos e de reforço das capacidades de África</w:t>
      </w:r>
      <w:r>
        <w:rPr>
          <w:rFonts w:ascii="Times New Roman" w:hAnsi="Times New Roman"/>
        </w:rPr>
        <w:t>, a fim de ajudar o continente a cumprir os compromissos assumidos na COP 21, em Paris, e de ter em conta o facto de que a maioria dos contributos determinados a nível nacional em África preveem metas de atenuação e adaptação que só podem ser atingidas se for recebido apoio internacional adequado, potencialmente comprometendo a proteção de ecossistemas de conservação de elevado valor, como florestas ou savanas, e a extração de combustíveis fósseis;</w:t>
      </w:r>
    </w:p>
    <w:p w:rsidRPr="00424F46" w:rsidR="00E362FB" w:rsidP="00765637" w:rsidRDefault="00E362FB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A42B33" w:rsidP="00526B40" w:rsidRDefault="00444B59">
      <w:pPr>
        <w:pStyle w:val="ListParagraph"/>
        <w:keepNext/>
        <w:keepLines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apela para que se eliminem imediatamente os </w:t>
      </w:r>
      <w:r>
        <w:rPr>
          <w:rFonts w:ascii="Times New Roman" w:hAnsi="Times New Roman"/>
          <w:b/>
        </w:rPr>
        <w:t>subsídios aos combustíveis fósseis</w:t>
      </w:r>
      <w:r>
        <w:rPr>
          <w:rFonts w:ascii="Times New Roman" w:hAnsi="Times New Roman"/>
        </w:rPr>
        <w:t>, congratula-se com a Comunicação – REPowerEU, pois apresenta soluções que estão em consonância com os objetivos do Pacto Ecológico e da União Europeia da Energia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24"/>
      </w:r>
      <w:r>
        <w:rPr>
          <w:rFonts w:ascii="Times New Roman" w:hAnsi="Times New Roman"/>
          <w:vertAlign w:val="superscript"/>
        </w:rPr>
        <w:t>,</w:t>
      </w:r>
      <w:r w:rsidRPr="00424F46" w:rsidR="00EB27C9">
        <w:rPr>
          <w:rStyle w:val="FootnoteReference"/>
          <w:rFonts w:ascii="Times New Roman" w:hAnsi="Times New Roman" w:cs="Times New Roman"/>
          <w:lang w:val="en-GB"/>
        </w:rPr>
        <w:footnoteReference w:id="25"/>
      </w:r>
      <w:r>
        <w:rPr>
          <w:rFonts w:ascii="Times New Roman" w:hAnsi="Times New Roman"/>
        </w:rPr>
        <w:t>; estima que os governos devem proporcionar um quadro para o investimento em tecnologias inovadoras em domínios como a eficiência energética e a produção de energias renováveis, mediante o apoio à investigação, à inovação e ao desenvolvimento, e que a regulamentação deve abrir caminho ao desenvolvimento e à adoção pelo mercado de novas tecnologias, incluindo medidas do lado da procura para criar mercados-piloto e incentivar o consumo de produtos hipocarbónicos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26"/>
      </w:r>
      <w:r>
        <w:rPr>
          <w:rFonts w:ascii="Times New Roman" w:hAnsi="Times New Roman"/>
        </w:rPr>
        <w:t>;</w:t>
      </w:r>
    </w:p>
    <w:p w:rsidRPr="00424F46" w:rsidR="00A42B33" w:rsidP="00F5520F" w:rsidRDefault="00A42B33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F81237" w:rsidP="00F5520F" w:rsidRDefault="00F8123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acolhe com agrado as soluções digitais que permitem a proteção do ambiente e a transição para a sustentabilidade nos transportes, nos sistemas energéticos, nos edifícios, na agricultura e noutros setores. No entanto, </w:t>
      </w:r>
      <w:r>
        <w:rPr>
          <w:rFonts w:ascii="Times New Roman" w:hAnsi="Times New Roman"/>
          <w:b/>
        </w:rPr>
        <w:t>observa que a digitalização global não contribuiu, até à data, para a redução das necessidades de energia nem das emissões de carbono</w:t>
      </w:r>
      <w:r>
        <w:rPr>
          <w:rFonts w:ascii="Times New Roman" w:hAnsi="Times New Roman"/>
        </w:rPr>
        <w:t xml:space="preserve"> e, por conseguinte, salienta que são necessárias políticas de apoio para atenuar os efeitos de ricochete e indução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27"/>
      </w:r>
      <w:r>
        <w:rPr>
          <w:rFonts w:ascii="Times New Roman" w:hAnsi="Times New Roman"/>
        </w:rPr>
        <w:t>;</w:t>
      </w:r>
    </w:p>
    <w:p w:rsidRPr="00424F46" w:rsidR="00F81237" w:rsidP="00F5520F" w:rsidRDefault="00F8123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A621E3" w:rsidP="00F5520F" w:rsidRDefault="00A42B33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sublinha que as alterações climáticas também têm repercussões graves para as empresas, em particular as PME, nomeadamente a interrupção das cadeias de abastecimento ou danos em locais de produção devido a fenómenos meteorológicos extremos, forçando-as por vezes a mudanças onerosas dos seus modelos empresariais e operacionais, bem como a investimentos para fazer face aos requisitos regulamentares ou outros, e considera que </w:t>
      </w:r>
      <w:r>
        <w:rPr>
          <w:rFonts w:ascii="Times New Roman" w:hAnsi="Times New Roman"/>
          <w:b/>
        </w:rPr>
        <w:t>cabe apoiar as primeiras empresas a adotar novos modelos empresariais sustentáveis</w:t>
      </w:r>
      <w:r>
        <w:rPr>
          <w:rFonts w:ascii="Times New Roman" w:hAnsi="Times New Roman"/>
        </w:rPr>
        <w:t xml:space="preserve"> para assegurar que a sua inovação não conduz a desvantagens competitivas;</w:t>
      </w:r>
    </w:p>
    <w:p w:rsidRPr="00424F46" w:rsidR="00A621E3" w:rsidP="00F5520F" w:rsidRDefault="00A621E3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444B59" w:rsidP="00F5520F" w:rsidRDefault="00444B59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salienta que o apoio ao setor privado deve respeitar os princípios do acesso equitativo aos instrumentos de financiamento das PME e deve basear-se exclusivamente em objetivos climáticos</w:t>
      </w:r>
      <w:r w:rsidRPr="00EF3B48">
        <w:rPr>
          <w:rStyle w:val="FootnoteReference"/>
          <w:rFonts w:ascii="Times New Roman" w:hAnsi="Times New Roman" w:cs="Times New Roman"/>
          <w:szCs w:val="24"/>
          <w:lang w:val="en-GB"/>
        </w:rPr>
        <w:footnoteReference w:id="28"/>
      </w:r>
      <w:r>
        <w:rPr>
          <w:rFonts w:ascii="Times New Roman" w:hAnsi="Times New Roman"/>
        </w:rPr>
        <w:t>, e que será necessário um trabalho laborioso ao longo das cadeias de valor e uma colaboração intersetorial;</w:t>
      </w:r>
    </w:p>
    <w:p w:rsidRPr="00424F46" w:rsidR="00444B59" w:rsidP="00F5520F" w:rsidRDefault="00444B59">
      <w:pPr>
        <w:pStyle w:val="ListParagraph"/>
        <w:spacing w:after="0" w:line="288" w:lineRule="auto"/>
        <w:ind w:left="0"/>
        <w:rPr>
          <w:rFonts w:ascii="Times New Roman" w:hAnsi="Times New Roman" w:cs="Times New Roman"/>
          <w:lang w:val="en-GB"/>
        </w:rPr>
      </w:pPr>
    </w:p>
    <w:p w:rsidRPr="00424F46" w:rsidR="00444B59" w:rsidP="00F5520F" w:rsidRDefault="00444B59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 que a harmonização e a normalização são essenciais para alcançar, em toda a indústria, a proporcionalidade das soluções através da tecnologia, do reforço de competências e da regulamentação, devendo ser apoiadas pelos governos da UE a nível internacional; considera que será fundamental, em especial para as PME, obter instrumentos de acompanhamento e de reforço das capacidades para satisfazer os novos requisitos e promover o acesso aos mercados na UE;</w:t>
      </w:r>
    </w:p>
    <w:p w:rsidRPr="00424F46" w:rsidR="00444B59" w:rsidP="00F5520F" w:rsidRDefault="00444B59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6D2F1C" w:rsidRDefault="00565A46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Capacitar a sociedade civil para acelerar as ações climáticas e apelar para um novo quadro de governação</w:t>
      </w:r>
    </w:p>
    <w:p w:rsidRPr="00424F46" w:rsidR="00EE319C" w:rsidRDefault="00EE319C">
      <w:pPr>
        <w:pStyle w:val="ListParagraph"/>
        <w:keepNext/>
        <w:keepLines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F426F7" w:rsidP="00EF3B48" w:rsidRDefault="00F426F7">
      <w:pPr>
        <w:pStyle w:val="ListParagraph"/>
        <w:keepNext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sublinha que a escala da ação necessária exige políticas integradas e executadas a vários níveis e soluções intersetoriais, com uma verdadeira participação da sociedade civil, e, por conseguinte, propõe um </w:t>
      </w:r>
      <w:r>
        <w:rPr>
          <w:rFonts w:ascii="Times New Roman" w:hAnsi="Times New Roman"/>
          <w:b/>
        </w:rPr>
        <w:t>novo quadro de governação</w:t>
      </w:r>
      <w:r>
        <w:rPr>
          <w:rFonts w:ascii="Times New Roman" w:hAnsi="Times New Roman"/>
        </w:rPr>
        <w:t xml:space="preserve"> para realizar tais mudanças transformadoras;</w:t>
      </w:r>
    </w:p>
    <w:p w:rsidRPr="00424F46" w:rsidR="00F426F7" w:rsidP="00F5520F" w:rsidRDefault="00F426F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B27016" w:rsidP="00F5520F" w:rsidRDefault="00EE319C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considera que, </w:t>
      </w:r>
      <w:r>
        <w:rPr>
          <w:rFonts w:ascii="Times New Roman" w:hAnsi="Times New Roman"/>
          <w:b/>
        </w:rPr>
        <w:t>no tocante ao local de trabalho</w:t>
      </w:r>
      <w:r>
        <w:rPr>
          <w:rFonts w:ascii="Times New Roman" w:hAnsi="Times New Roman"/>
        </w:rPr>
        <w:t>, este novo quadro de governação deve assegurar o diálogo social, garantindo os direitos e a participação dos trabalhadores e o reforço das convenções coletivas;</w:t>
      </w:r>
    </w:p>
    <w:p w:rsidRPr="00424F46" w:rsidR="00B27016" w:rsidP="00F5520F" w:rsidRDefault="00B27016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EE319C" w:rsidP="00F5520F" w:rsidRDefault="00B27016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estima que também cabe reforçar o </w:t>
      </w:r>
      <w:r>
        <w:rPr>
          <w:rFonts w:ascii="Times New Roman" w:hAnsi="Times New Roman"/>
          <w:b/>
        </w:rPr>
        <w:t>diálogo mais amplo</w:t>
      </w:r>
      <w:r>
        <w:rPr>
          <w:rFonts w:ascii="Times New Roman" w:hAnsi="Times New Roman"/>
        </w:rPr>
        <w:t>, com o contributo das regiões, dos intervenientes rurais e dos municípios, dos parceiros sociais, das cooperativas e da sociedade civil, com vista a garantir a justiça social, a credibilidade e conferir uma importância especial à promessa de que ninguém será esquecido</w:t>
      </w:r>
      <w:r w:rsidRPr="00424F46" w:rsidR="003567A8">
        <w:rPr>
          <w:rStyle w:val="FootnoteReference"/>
          <w:rFonts w:ascii="Times New Roman" w:hAnsi="Times New Roman" w:cs="Times New Roman"/>
          <w:sz w:val="22"/>
          <w:lang w:val="en-GB"/>
        </w:rPr>
        <w:footnoteReference w:id="29"/>
      </w:r>
      <w:r>
        <w:rPr>
          <w:rFonts w:ascii="Times New Roman" w:hAnsi="Times New Roman"/>
        </w:rPr>
        <w:t>. Por exemplo, facilitar as abordagens que passam pelo «prossumidor» pode acelerar a transição para um sistema energético mais limpo, criar novos modelos económicos e ajudar a proteger os grupos mais vulneráveis das nossas sociedades de, por exemplo, serem privados de aquecimento, eletricidade e tecnologias da informação;</w:t>
      </w:r>
    </w:p>
    <w:p w:rsidRPr="00424F46" w:rsidR="00F426F7" w:rsidP="00F5520F" w:rsidRDefault="00F426F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F426F7" w:rsidP="00F5520F" w:rsidRDefault="00F426F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está firmemente convencido de que </w:t>
      </w:r>
      <w:r>
        <w:rPr>
          <w:rFonts w:ascii="Times New Roman" w:hAnsi="Times New Roman"/>
          <w:b/>
        </w:rPr>
        <w:t>cumpre apoiar e encorajar efetivamente as iniciativas com caráter ascendente e de nível local</w:t>
      </w:r>
      <w:r>
        <w:rPr>
          <w:rFonts w:ascii="Times New Roman" w:hAnsi="Times New Roman"/>
        </w:rPr>
        <w:t xml:space="preserve"> para acelerar a atenuação das alterações climáticas e a adaptação às mesmas e reforçar a resiliência social, libertando assim o potencial de uma cultura de cooperação e de soluções ascendentes; estima que é igualmente necessário e essencial investir mais na inovação social, a fim de generalizar as mudanças sociais e culturais necessárias para integrar a proteção do clima na vida quotidiana das empresas, das administrações públicas e dos agregados familiares;</w:t>
      </w:r>
    </w:p>
    <w:p w:rsidRPr="00424F46" w:rsidR="00707DFC" w:rsidP="00F5520F" w:rsidRDefault="00707DFC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EE319C" w:rsidP="00F5520F" w:rsidRDefault="00710362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considera que a questão do </w:t>
      </w:r>
      <w:r>
        <w:rPr>
          <w:rFonts w:ascii="Times New Roman" w:hAnsi="Times New Roman"/>
          <w:b/>
        </w:rPr>
        <w:t>género</w:t>
      </w:r>
      <w:r>
        <w:rPr>
          <w:rFonts w:ascii="Times New Roman" w:hAnsi="Times New Roman"/>
        </w:rPr>
        <w:t xml:space="preserve"> não deve ser tratada em separado e de forma compartimentada, devendo antes ser encarada como fundamental para </w:t>
      </w:r>
      <w:r>
        <w:rPr>
          <w:rFonts w:ascii="Times New Roman" w:hAnsi="Times New Roman"/>
          <w:b/>
        </w:rPr>
        <w:t>evitar medidas e políticas sem a perspetiva de género</w:t>
      </w:r>
      <w:r>
        <w:rPr>
          <w:rFonts w:ascii="Times New Roman" w:hAnsi="Times New Roman"/>
        </w:rPr>
        <w:t>. As alterações climáticas não afetam da mesma maneira todos os quadrantes da população, e, se não forem elaboradas corretamente, as políticas de combate às alterações climáticas podem perpetuar essas injustiças e desequilíbrios. Por exemplo, a participação desigual das mulheres nos processos de decisão e no mercado de trabalho acentua as desigualdades e impede, amiúde, que as mulheres prestem um contributo para a elaboração, o planeamento e a execução das políticas em matéria de clima</w:t>
      </w:r>
      <w:r w:rsidRPr="00424F46" w:rsidR="00EE319C">
        <w:rPr>
          <w:rStyle w:val="FootnoteReference"/>
          <w:rFonts w:ascii="Times New Roman" w:hAnsi="Times New Roman" w:cs="Times New Roman"/>
          <w:lang w:val="en-GB"/>
        </w:rPr>
        <w:footnoteReference w:id="30"/>
      </w:r>
      <w:r>
        <w:rPr>
          <w:rFonts w:ascii="Times New Roman" w:hAnsi="Times New Roman"/>
        </w:rPr>
        <w:t>;</w:t>
      </w:r>
    </w:p>
    <w:p w:rsidRPr="00424F46" w:rsidR="00EE319C" w:rsidP="00F5520F" w:rsidRDefault="00EE319C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B27016" w:rsidP="00F5520F" w:rsidRDefault="009F475F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considera que uma </w:t>
      </w:r>
      <w:r>
        <w:rPr>
          <w:rFonts w:ascii="Times New Roman" w:hAnsi="Times New Roman"/>
          <w:b/>
        </w:rPr>
        <w:t>participação mais forte</w:t>
      </w:r>
      <w:r>
        <w:rPr>
          <w:rFonts w:ascii="Times New Roman" w:hAnsi="Times New Roman"/>
        </w:rPr>
        <w:t xml:space="preserve"> dos jovens nos processos de decisão, desde a elaboração de propostas e iniciativas legislativas até à execução, monitorização e acompanhamento refletirá melhor o aspeto intergeracional das transições</w:t>
      </w:r>
      <w:r w:rsidRPr="00424F46">
        <w:rPr>
          <w:rStyle w:val="FootnoteReference"/>
          <w:rFonts w:ascii="Times New Roman" w:hAnsi="Times New Roman" w:cs="Times New Roman"/>
          <w:sz w:val="22"/>
          <w:lang w:val="en-GB"/>
        </w:rPr>
        <w:footnoteReference w:id="31"/>
      </w:r>
      <w:r>
        <w:rPr>
          <w:rFonts w:ascii="Times New Roman" w:hAnsi="Times New Roman"/>
        </w:rPr>
        <w:t>. Por isso é que, desde 2021, o CESE inclui um delegado para a juventude na delegação oficial da UE nas reuniões da Conferência das Partes (COP) da CQNUAC e se empenhou em dar força à voz dos jovens e das organizações de juventude no trabalho do Comité; recomenda com veemência às partes e outros intervenientes a adotarem uma abordagem semelhante;</w:t>
      </w:r>
    </w:p>
    <w:p w:rsidRPr="00424F46" w:rsidR="00B27016" w:rsidP="00F5520F" w:rsidRDefault="00B27016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8D5813" w:rsidP="00F5520F" w:rsidRDefault="00B27016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chama a atenção para o papel da </w:t>
      </w:r>
      <w:r>
        <w:rPr>
          <w:rFonts w:ascii="Times New Roman" w:hAnsi="Times New Roman"/>
          <w:b/>
        </w:rPr>
        <w:t>população indígena</w:t>
      </w:r>
      <w:r>
        <w:rPr>
          <w:rFonts w:ascii="Times New Roman" w:hAnsi="Times New Roman"/>
        </w:rPr>
        <w:t xml:space="preserve"> na linha da frente das alterações climáticas – os povos indígenas protegem mais de 80% da biodiversidade que resta no planeta</w:t>
      </w:r>
      <w:r w:rsidRPr="00424F46">
        <w:rPr>
          <w:rFonts w:ascii="Times New Roman" w:hAnsi="Times New Roman" w:cs="Times New Roman"/>
          <w:vertAlign w:val="superscript"/>
          <w:lang w:val="en-GB"/>
        </w:rPr>
        <w:footnoteReference w:id="32"/>
      </w:r>
      <w:r>
        <w:rPr>
          <w:rFonts w:ascii="Times New Roman" w:hAnsi="Times New Roman"/>
        </w:rPr>
        <w:t>; congratula-se com o empenho crescente da população indígena na política climática e insta as partes a associarem ativamente esses povos à concretização das ações climáticas;</w:t>
      </w:r>
    </w:p>
    <w:p w:rsidRPr="00424F46" w:rsidR="003D0D15" w:rsidP="00F5520F" w:rsidRDefault="003D0D15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3D0D15" w:rsidP="00F5520F" w:rsidRDefault="003D0D15">
      <w:pPr>
        <w:pStyle w:val="ListParagraph"/>
        <w:numPr>
          <w:ilvl w:val="0"/>
          <w:numId w:val="11"/>
        </w:numPr>
        <w:spacing w:after="0" w:line="288" w:lineRule="auto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promete levar a cabo ações para aplicar as recomendações estratégicas acima mencionadas.</w:t>
      </w:r>
    </w:p>
    <w:p w:rsidRPr="00424F46" w:rsidR="00D27A92" w:rsidP="00E567D2" w:rsidRDefault="00D27A92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5E5612" w:rsidP="00E567D2" w:rsidRDefault="005E5612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Bruxelas, 26 de outubro de 2022</w:t>
      </w:r>
    </w:p>
    <w:p w:rsidRPr="00424F46" w:rsidR="005E5612" w:rsidP="00E567D2" w:rsidRDefault="005E5612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5E5612" w:rsidP="00FB52EE" w:rsidRDefault="005E5612">
      <w:pPr>
        <w:pStyle w:val="ListParagraph"/>
        <w:keepNext/>
        <w:keepLines/>
        <w:spacing w:after="0" w:line="240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5E5612" w:rsidP="00FB52EE" w:rsidRDefault="005E5612">
      <w:pPr>
        <w:pStyle w:val="ListParagraph"/>
        <w:keepNext/>
        <w:keepLines/>
        <w:spacing w:after="0" w:line="240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5E5612" w:rsidP="00FB52EE" w:rsidRDefault="005E5612">
      <w:pPr>
        <w:pStyle w:val="ListParagraph"/>
        <w:keepNext/>
        <w:keepLine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Christa Schweng</w:t>
      </w:r>
    </w:p>
    <w:p w:rsidRPr="00424F46" w:rsidR="005E5612" w:rsidP="00FB52EE" w:rsidRDefault="005E5612">
      <w:pPr>
        <w:pStyle w:val="ListParagraph"/>
        <w:keepNext/>
        <w:keepLine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Presidente do Comité Económico e Social Europeu</w:t>
      </w:r>
    </w:p>
    <w:p w:rsidRPr="00424F46" w:rsidR="009C5FF9" w:rsidP="00FB52EE" w:rsidRDefault="009C5FF9">
      <w:pPr>
        <w:pStyle w:val="ListParagraph"/>
        <w:keepNext/>
        <w:keepLines/>
        <w:spacing w:after="0" w:line="240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8A6CF4" w:rsidR="0078686E" w:rsidP="00EF3B48" w:rsidRDefault="002C2B01">
      <w:pPr>
        <w:pStyle w:val="ListParagraph"/>
        <w:keepNext/>
        <w:keepLines/>
        <w:spacing w:after="0" w:line="288" w:lineRule="auto"/>
        <w:ind w:left="0"/>
        <w:jc w:val="center"/>
        <w:rPr>
          <w:rFonts w:ascii="Times New Roman" w:hAnsi="Times New Roman" w:cs="Times New Roman"/>
        </w:rPr>
      </w:pPr>
      <w:r>
        <w:t>_____________</w:t>
      </w:r>
    </w:p>
    <w:sectPr w:rsidRPr="008A6CF4" w:rsidR="0078686E" w:rsidSect="00526B4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948" w:rsidRDefault="00BD0948" w:rsidP="008A03FA">
      <w:pPr>
        <w:spacing w:after="0" w:line="240" w:lineRule="auto"/>
      </w:pPr>
      <w:r>
        <w:separator/>
      </w:r>
    </w:p>
  </w:endnote>
  <w:endnote w:type="continuationSeparator" w:id="0">
    <w:p w:rsidR="00BD0948" w:rsidRDefault="00BD0948" w:rsidP="008A03FA">
      <w:pPr>
        <w:spacing w:after="0" w:line="240" w:lineRule="auto"/>
      </w:pPr>
      <w:r>
        <w:continuationSeparator/>
      </w:r>
    </w:p>
  </w:endnote>
  <w:endnote w:type="continuationNotice" w:id="1">
    <w:p w:rsidR="00BD0948" w:rsidRDefault="00BD09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CF4" w:rsidRDefault="008A6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CF4" w:rsidRDefault="008A6C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CF4" w:rsidRDefault="008A6CF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9D" w:rsidRDefault="00180C9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40" w:rsidRPr="00526B40" w:rsidRDefault="00526B40" w:rsidP="00526B4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0A7" w:rsidRPr="00526B40" w:rsidRDefault="008A6CF4" w:rsidP="008A6CF4">
    <w:pPr>
      <w:pStyle w:val="Footer"/>
      <w:jc w:val="left"/>
    </w:pPr>
    <w:r>
      <w:t xml:space="preserve">EESC-2022-04116-00-01-RES-TRA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D56019">
      <w:rPr>
        <w:noProof/>
      </w:rPr>
      <w:t>10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D56019">
        <w:rPr>
          <w:noProof/>
        </w:rPr>
        <w:instrText>12</w:instrText>
      </w:r>
    </w:fldSimple>
    <w:r>
      <w:instrText xml:space="preserve"> - 2 </w:instrText>
    </w:r>
    <w:r>
      <w:fldChar w:fldCharType="separate"/>
    </w:r>
    <w:r w:rsidR="00D56019">
      <w:rPr>
        <w:noProof/>
      </w:rPr>
      <w:t>10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40" w:rsidRPr="00526B40" w:rsidRDefault="00526B40" w:rsidP="00526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948" w:rsidRDefault="00BD0948" w:rsidP="008A03FA">
      <w:pPr>
        <w:spacing w:after="0" w:line="240" w:lineRule="auto"/>
      </w:pPr>
      <w:r>
        <w:separator/>
      </w:r>
    </w:p>
  </w:footnote>
  <w:footnote w:type="continuationSeparator" w:id="0">
    <w:p w:rsidR="00BD0948" w:rsidRDefault="00BD0948" w:rsidP="008A03FA">
      <w:pPr>
        <w:spacing w:after="0" w:line="240" w:lineRule="auto"/>
      </w:pPr>
      <w:r>
        <w:continuationSeparator/>
      </w:r>
    </w:p>
  </w:footnote>
  <w:footnote w:type="continuationNotice" w:id="1">
    <w:p w:rsidR="00BD0948" w:rsidRDefault="00BD0948">
      <w:pPr>
        <w:spacing w:after="0" w:line="240" w:lineRule="auto"/>
      </w:pPr>
    </w:p>
  </w:footnote>
  <w:footnote w:id="2">
    <w:p w:rsidR="00C5108E" w:rsidRPr="005F3782" w:rsidRDefault="00C5108E" w:rsidP="00EF3B48">
      <w:pPr>
        <w:pStyle w:val="FootnoteText"/>
        <w:jc w:val="lef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</w:r>
      <w:hyperlink r:id="rId1" w:history="1">
        <w:r>
          <w:rPr>
            <w:rStyle w:val="Hyperlink"/>
          </w:rPr>
          <w:t>Acord</w:t>
        </w:r>
        <w:r>
          <w:rPr>
            <w:rStyle w:val="Hyperlink"/>
          </w:rPr>
          <w:t>o de Paris</w:t>
        </w:r>
      </w:hyperlink>
      <w:r>
        <w:t>.</w:t>
      </w:r>
    </w:p>
  </w:footnote>
  <w:footnote w:id="3">
    <w:p w:rsidR="00C5108E" w:rsidRPr="005F3782" w:rsidRDefault="00C5108E" w:rsidP="00EF3B48">
      <w:pPr>
        <w:pStyle w:val="FootnoteText"/>
      </w:pPr>
      <w:r>
        <w:rPr>
          <w:rStyle w:val="FootnoteReference"/>
          <w:szCs w:val="24"/>
        </w:rPr>
        <w:footnoteRef/>
      </w:r>
      <w:r>
        <w:tab/>
        <w:t>Baseado em: «</w:t>
      </w:r>
      <w:hyperlink r:id="rId2" w:history="1">
        <w:r>
          <w:rPr>
            <w:rStyle w:val="Hyperlink"/>
          </w:rPr>
          <w:t>Economic losses from weather and climate</w:t>
        </w:r>
        <w:r>
          <w:rPr>
            <w:rStyle w:val="Hyperlink"/>
          </w:rPr>
          <w:t>-related extremes in Europe reached around half a trillion euros over past 40 years</w:t>
        </w:r>
      </w:hyperlink>
      <w:r>
        <w:t>» [Perdas económicas decorrentes de fenómenos meteorológicos e climáticos extremos na Europa representaram cerca de meio bilião de euros nos últimos 40 anos], Agência Europeia do Ambiente; «</w:t>
      </w:r>
      <w:hyperlink r:id="rId3" w:history="1">
        <w:r>
          <w:rPr>
            <w:rStyle w:val="Hyperlink"/>
          </w:rPr>
          <w:t>New report: World cou</w:t>
        </w:r>
        <w:r>
          <w:rPr>
            <w:rStyle w:val="Hyperlink"/>
          </w:rPr>
          <w:t>nts the cost of a year of climate breakdown</w:t>
        </w:r>
      </w:hyperlink>
      <w:r>
        <w:t>» [Novo relatório: o mundo faz contas aos custos de um ano de degradação do clima], Centro de Comunicação da Christian Aid – Associação caritativa britânica de combate à pobreza mundial; «</w:t>
      </w:r>
      <w:hyperlink r:id="rId4" w:anchor=":~:text=We%20estimate%20that%20climate%20change,such%20as%20DICE%20and%20FUND." w:history="1">
        <w:r>
          <w:rPr>
            <w:rStyle w:val="Hyperlink"/>
          </w:rPr>
          <w:t>The Costs</w:t>
        </w:r>
        <w:r>
          <w:rPr>
            <w:rStyle w:val="Hyperlink"/>
          </w:rPr>
          <w:t xml:space="preserve"> of Extreme Weather Events Caused by Climate Change</w:t>
        </w:r>
      </w:hyperlink>
      <w:r>
        <w:t>» [Custos de fenómenos climáticos extremos causados pelas alterações climáticas], Centro Euro-Mediterraneo sui Cambiamenti Climatici (CMCC); «</w:t>
      </w:r>
      <w:hyperlink r:id="rId5" w:history="1">
        <w:r>
          <w:rPr>
            <w:rStyle w:val="Hyperlink"/>
          </w:rPr>
          <w:t>Billion-</w:t>
        </w:r>
        <w:r>
          <w:rPr>
            <w:rStyle w:val="Hyperlink"/>
          </w:rPr>
          <w:t>Dollar Weather and Climate Disasters</w:t>
        </w:r>
      </w:hyperlink>
      <w:r>
        <w:t>» [Catástrofes climáticas e meteorológicas de milhares de milhões de dólares], National Centers for Environmental Information (NCEI).</w:t>
      </w:r>
    </w:p>
  </w:footnote>
  <w:footnote w:id="4">
    <w:p w:rsidR="00D27A92" w:rsidRPr="005F3782" w:rsidRDefault="00D27A92" w:rsidP="00EF3B48">
      <w:pPr>
        <w:pStyle w:val="FootnoteText"/>
        <w:rPr>
          <w:sz w:val="18"/>
          <w:szCs w:val="18"/>
        </w:rPr>
      </w:pPr>
      <w:r>
        <w:rPr>
          <w:rStyle w:val="FootnoteReference"/>
          <w:szCs w:val="24"/>
        </w:rPr>
        <w:footnoteRef/>
      </w:r>
      <w:r>
        <w:rPr>
          <w:sz w:val="18"/>
        </w:rPr>
        <w:tab/>
      </w:r>
      <w:r>
        <w:t>«</w:t>
      </w:r>
      <w:hyperlink r:id="rId6" w:history="1">
        <w:r>
          <w:rPr>
            <w:rStyle w:val="Hyperlink"/>
          </w:rPr>
          <w:t xml:space="preserve">Climate Change </w:t>
        </w:r>
        <w:r>
          <w:rPr>
            <w:rStyle w:val="Hyperlink"/>
          </w:rPr>
          <w:t>2022: Mitigation of Climate Change</w:t>
        </w:r>
      </w:hyperlink>
      <w:r>
        <w:t>» [Alterações climáticas em 2022: Atenuação das alterações climáticas] (PIAC).</w:t>
      </w:r>
    </w:p>
  </w:footnote>
  <w:footnote w:id="5">
    <w:p w:rsidR="00EA2B05" w:rsidRPr="0039570B" w:rsidRDefault="00EA2B05" w:rsidP="00EF3B48">
      <w:pPr>
        <w:pStyle w:val="FootnoteText"/>
        <w:jc w:val="lef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Resolução do CESE – </w:t>
      </w:r>
      <w:hyperlink r:id="rId7" w:history="1">
        <w:r>
          <w:rPr>
            <w:rStyle w:val="Hyperlink"/>
          </w:rPr>
          <w:t>A guerra na Ucrâ</w:t>
        </w:r>
        <w:r>
          <w:rPr>
            <w:rStyle w:val="Hyperlink"/>
          </w:rPr>
          <w:t>nia e o seu impacto económico, social e ambiental</w:t>
        </w:r>
      </w:hyperlink>
      <w:r>
        <w:t>.</w:t>
      </w:r>
    </w:p>
  </w:footnote>
  <w:footnote w:id="6">
    <w:p w:rsidR="00CB14BC" w:rsidRPr="005F3782" w:rsidRDefault="00CB14BC" w:rsidP="00EF3B48">
      <w:pPr>
        <w:pStyle w:val="FootnoteText"/>
        <w:tabs>
          <w:tab w:val="left" w:pos="567"/>
        </w:tabs>
        <w:ind w:left="0" w:firstLine="0"/>
        <w:jc w:val="lef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>«</w:t>
      </w:r>
      <w:hyperlink r:id="rId8" w:history="1">
        <w:r>
          <w:rPr>
            <w:rStyle w:val="Hyperlink"/>
          </w:rPr>
          <w:t>Alterações climáticas: Parlamento pressio</w:t>
        </w:r>
        <w:r>
          <w:rPr>
            <w:rStyle w:val="Hyperlink"/>
          </w:rPr>
          <w:t>na para ação e independência energética da UE mais rápidas</w:t>
        </w:r>
      </w:hyperlink>
      <w:r>
        <w:t>».</w:t>
      </w:r>
    </w:p>
  </w:footnote>
  <w:footnote w:id="7">
    <w:p w:rsidR="00CB14BC" w:rsidRPr="005F3782" w:rsidRDefault="00CB14BC" w:rsidP="00EF3B48">
      <w:pPr>
        <w:pStyle w:val="FootnoteText"/>
        <w:tabs>
          <w:tab w:val="left" w:pos="567"/>
        </w:tabs>
        <w:ind w:left="708" w:hanging="708"/>
        <w:jc w:val="lef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>«</w:t>
      </w:r>
      <w:hyperlink r:id="rId9" w:history="1">
        <w:r>
          <w:rPr>
            <w:rStyle w:val="Hyperlink"/>
          </w:rPr>
          <w:t>”Fit for 55”: Parlia</w:t>
        </w:r>
        <w:r>
          <w:rPr>
            <w:rStyle w:val="Hyperlink"/>
          </w:rPr>
          <w:t>ment agrees to higher EU carbon sink ambitions by 2030</w:t>
        </w:r>
      </w:hyperlink>
      <w:r>
        <w:t>» [Objetivo 55: Parlamento concorda com objetivos mais elevados para os sumidouros de carbono na UE até 2030].</w:t>
      </w:r>
    </w:p>
  </w:footnote>
  <w:footnote w:id="8">
    <w:p w:rsidR="00D27A92" w:rsidRPr="0039570B" w:rsidRDefault="00D27A92" w:rsidP="00EF3B48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Parecer do CESE – A economia sustentável de que necessitamos, </w:t>
      </w:r>
      <w:hyperlink r:id="rId10" w:anchor=":~:text=The%20EESC%20highlights%20that%20building%20the%20wellbeing%20economy%20must%20start%20by%20adopting%20a%20precautionary%20approach%20in%20which%20macroeconomic%20stability%20does%20not%20depend%20on%20GDP%20growth.%20It%20proposes%20the%20development%20of%20new%20indicators%20of%20economic%20performance%20and%20social%20progress%20beyond%20GDP." w:history="1">
        <w:r>
          <w:rPr>
            <w:rStyle w:val="Hyperlink"/>
          </w:rPr>
          <w:t>JO C 10</w:t>
        </w:r>
        <w:r>
          <w:rPr>
            <w:rStyle w:val="Hyperlink"/>
          </w:rPr>
          <w:t>6 de 31.3.2020, p. 1</w:t>
        </w:r>
      </w:hyperlink>
      <w:r>
        <w:t>.</w:t>
      </w:r>
    </w:p>
  </w:footnote>
  <w:footnote w:id="9">
    <w:p w:rsidR="00F426F7" w:rsidRPr="005F3782" w:rsidRDefault="00F426F7" w:rsidP="00EF3B48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Parecer do CESE – Objetivo 55: alcançar a meta climática da UE para 2030 rumo à neutralidade climática, </w:t>
      </w:r>
      <w:hyperlink r:id="rId11" w:history="1">
        <w:r>
          <w:rPr>
            <w:rStyle w:val="Hyperlink"/>
          </w:rPr>
          <w:t>JO C 275 de</w:t>
        </w:r>
        <w:r>
          <w:rPr>
            <w:rStyle w:val="Hyperlink"/>
          </w:rPr>
          <w:t xml:space="preserve"> 18.7.2022, p. 101</w:t>
        </w:r>
      </w:hyperlink>
      <w:r>
        <w:t>.</w:t>
      </w:r>
    </w:p>
  </w:footnote>
  <w:footnote w:id="10">
    <w:p w:rsidR="00CA61D4" w:rsidRPr="0052304F" w:rsidRDefault="00CA61D4">
      <w:pPr>
        <w:pStyle w:val="FootnoteText"/>
      </w:pPr>
      <w:r>
        <w:rPr>
          <w:rStyle w:val="FootnoteReference"/>
        </w:rPr>
        <w:footnoteRef/>
      </w:r>
      <w:r>
        <w:tab/>
        <w:t xml:space="preserve">Parecer do CESE – </w:t>
      </w:r>
      <w:hyperlink r:id="rId12" w:history="1">
        <w:r>
          <w:rPr>
            <w:rStyle w:val="Hyperlink"/>
          </w:rPr>
          <w:t>Diálogo social no âm</w:t>
        </w:r>
        <w:r>
          <w:rPr>
            <w:rStyle w:val="Hyperlink"/>
          </w:rPr>
          <w:t>bito da transição ecológica</w:t>
        </w:r>
      </w:hyperlink>
      <w:r>
        <w:t xml:space="preserve"> (ainda não publicado no Jornal Oficial).</w:t>
      </w:r>
    </w:p>
  </w:footnote>
  <w:footnote w:id="11">
    <w:p w:rsidR="00492189" w:rsidRPr="009B16C4" w:rsidRDefault="00492189" w:rsidP="00EF3B48">
      <w:pPr>
        <w:pStyle w:val="FootnoteText"/>
        <w:jc w:val="lef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Parecer do CESE – Objetivo 55: alcançar a meta climática da UE para 2030 rumo à neutralidade climática, </w:t>
      </w:r>
      <w:hyperlink r:id="rId13" w:history="1">
        <w:r>
          <w:rPr>
            <w:rStyle w:val="Hyperlink"/>
          </w:rPr>
          <w:t>JO C 275 d</w:t>
        </w:r>
        <w:r>
          <w:rPr>
            <w:rStyle w:val="Hyperlink"/>
          </w:rPr>
          <w:t>e 18.7.2022, p. 101</w:t>
        </w:r>
      </w:hyperlink>
      <w:r>
        <w:t>.</w:t>
      </w:r>
    </w:p>
  </w:footnote>
  <w:footnote w:id="12">
    <w:p w:rsidR="00492189" w:rsidRPr="009B16C4" w:rsidRDefault="00492189" w:rsidP="00EF3B48">
      <w:pPr>
        <w:pStyle w:val="FootnoteText"/>
        <w:jc w:val="lef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Parecer do CESE – Objetivo 55: alcançar a meta climática da UE para 2030 rumo à neutralidade climática, </w:t>
      </w:r>
      <w:hyperlink r:id="rId14" w:history="1">
        <w:r>
          <w:rPr>
            <w:rStyle w:val="Hyperlink"/>
          </w:rPr>
          <w:t>JO C 2</w:t>
        </w:r>
        <w:r>
          <w:rPr>
            <w:rStyle w:val="Hyperlink"/>
          </w:rPr>
          <w:t>75 de 18.7.2022, p. 101</w:t>
        </w:r>
      </w:hyperlink>
      <w:r>
        <w:t>.</w:t>
      </w:r>
    </w:p>
  </w:footnote>
  <w:footnote w:id="13">
    <w:p w:rsidR="00492189" w:rsidRPr="005F3782" w:rsidRDefault="00492189" w:rsidP="00EF3B48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</w:r>
      <w:hyperlink r:id="rId15" w:history="1">
        <w:r>
          <w:rPr>
            <w:rStyle w:val="Hyperlink"/>
          </w:rPr>
          <w:t xml:space="preserve">Conferência </w:t>
        </w:r>
        <w:r>
          <w:rPr>
            <w:rStyle w:val="Hyperlink"/>
          </w:rPr>
          <w:t>sobre o Futuro da Europa – Recomendações adotadas pelo painel de cidadãos europeus</w:t>
        </w:r>
      </w:hyperlink>
      <w:r>
        <w:t>.</w:t>
      </w:r>
    </w:p>
  </w:footnote>
  <w:footnote w:id="14">
    <w:p w:rsidR="00492189" w:rsidRPr="009B16C4" w:rsidRDefault="00492189" w:rsidP="00700EF0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>«</w:t>
      </w:r>
      <w:hyperlink r:id="rId16" w:history="1">
        <w:r>
          <w:rPr>
            <w:rStyle w:val="Hyperlink"/>
          </w:rPr>
          <w:t>2021 Europ</w:t>
        </w:r>
        <w:r>
          <w:rPr>
            <w:rStyle w:val="Hyperlink"/>
          </w:rPr>
          <w:t>e Sustainable Development Report</w:t>
        </w:r>
      </w:hyperlink>
      <w:r>
        <w:t>» [Relatório de 2021 sobre o Desenvolvimento Sustentável na Europa], SDSN Europe.</w:t>
      </w:r>
    </w:p>
  </w:footnote>
  <w:footnote w:id="15">
    <w:p w:rsidR="007E0872" w:rsidRPr="00E567D2" w:rsidRDefault="007E0872" w:rsidP="00EF3B48">
      <w:pPr>
        <w:pStyle w:val="FootnoteText"/>
      </w:pPr>
      <w:r>
        <w:rPr>
          <w:rStyle w:val="FootnoteReference"/>
        </w:rPr>
        <w:footnoteRef/>
      </w:r>
      <w:r>
        <w:tab/>
        <w:t xml:space="preserve">Parecer do CESE (NAT/841 – em elaboração) – </w:t>
      </w:r>
      <w:hyperlink r:id="rId17" w:history="1">
        <w:r>
          <w:rPr>
            <w:rStyle w:val="Hyperlink"/>
          </w:rPr>
          <w:t>Objetivos de restauraç</w:t>
        </w:r>
        <w:r>
          <w:rPr>
            <w:rStyle w:val="Hyperlink"/>
          </w:rPr>
          <w:t>ão da natureza no âmbito da Estratégia de Biodiversidade da UE</w:t>
        </w:r>
      </w:hyperlink>
      <w:r>
        <w:t xml:space="preserve"> [título provisório].</w:t>
      </w:r>
    </w:p>
  </w:footnote>
  <w:footnote w:id="16">
    <w:p w:rsidR="0044565F" w:rsidRPr="005F3782" w:rsidRDefault="0044565F" w:rsidP="00EF3B48">
      <w:pPr>
        <w:pStyle w:val="FootnoteText"/>
        <w:tabs>
          <w:tab w:val="left" w:pos="567"/>
        </w:tabs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Parecer do CESE – A nova Estratégia da UE para a Adaptação às Alterações Climáticas, </w:t>
      </w:r>
      <w:hyperlink r:id="rId18" w:history="1">
        <w:r>
          <w:rPr>
            <w:rStyle w:val="Hyperlink"/>
          </w:rPr>
          <w:t>JO C</w:t>
        </w:r>
        <w:r>
          <w:rPr>
            <w:rStyle w:val="Hyperlink"/>
          </w:rPr>
          <w:t> 374 de 16.9.2021, p. 84</w:t>
        </w:r>
      </w:hyperlink>
      <w:r>
        <w:t>.</w:t>
      </w:r>
    </w:p>
  </w:footnote>
  <w:footnote w:id="17">
    <w:p w:rsidR="0044565F" w:rsidRPr="005F3782" w:rsidRDefault="0044565F" w:rsidP="00EF3B48">
      <w:pPr>
        <w:pStyle w:val="FootnoteText"/>
        <w:tabs>
          <w:tab w:val="left" w:pos="567"/>
        </w:tabs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>«</w:t>
      </w:r>
      <w:hyperlink r:id="rId19" w:history="1">
        <w:r>
          <w:rPr>
            <w:rStyle w:val="Hyperlink"/>
          </w:rPr>
          <w:t xml:space="preserve">António Guterres: 50% of All Climate </w:t>
        </w:r>
        <w:r>
          <w:rPr>
            <w:rStyle w:val="Hyperlink"/>
          </w:rPr>
          <w:t>Finance Needed for Adaptation</w:t>
        </w:r>
      </w:hyperlink>
      <w:r>
        <w:t>» [António Guterres: A adaptação requer 50% do financiamento climático global].</w:t>
      </w:r>
    </w:p>
  </w:footnote>
  <w:footnote w:id="18">
    <w:p w:rsidR="00707DFC" w:rsidRPr="0039570B" w:rsidRDefault="00707DFC" w:rsidP="00EF3B48">
      <w:pPr>
        <w:pStyle w:val="FootnoteText"/>
        <w:tabs>
          <w:tab w:val="left" w:pos="567"/>
        </w:tabs>
        <w:jc w:val="lef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Parecer do CESE – Desenvolver sinergias entre os diferentes roteiros para a economia circular, </w:t>
      </w:r>
      <w:hyperlink r:id="rId20" w:history="1">
        <w:r>
          <w:rPr>
            <w:rStyle w:val="Hyperlink"/>
          </w:rPr>
          <w:t>JO C</w:t>
        </w:r>
        <w:r>
          <w:rPr>
            <w:rStyle w:val="Hyperlink"/>
          </w:rPr>
          <w:t xml:space="preserve"> 14 de 15.1.2020, p. 29</w:t>
        </w:r>
      </w:hyperlink>
      <w:r>
        <w:t>.</w:t>
      </w:r>
    </w:p>
  </w:footnote>
  <w:footnote w:id="19">
    <w:p w:rsidR="00707DFC" w:rsidRPr="0039570B" w:rsidRDefault="00707DFC" w:rsidP="00700EF0">
      <w:pPr>
        <w:pStyle w:val="FootnoteText"/>
        <w:tabs>
          <w:tab w:val="left" w:pos="567"/>
        </w:tabs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>Relatório sobre as Lacunas em matéria de Circularidade de 2021, «</w:t>
      </w:r>
      <w:hyperlink r:id="rId21" w:history="1">
        <w:r>
          <w:rPr>
            <w:rStyle w:val="Hyperlink"/>
          </w:rPr>
          <w:t>Climate Change Mitigat</w:t>
        </w:r>
        <w:r>
          <w:rPr>
            <w:rStyle w:val="Hyperlink"/>
          </w:rPr>
          <w:t>ion through the Circular Economy</w:t>
        </w:r>
      </w:hyperlink>
      <w:r>
        <w:t>» [A atenuação das alterações climáticas através da economia circular].</w:t>
      </w:r>
    </w:p>
  </w:footnote>
  <w:footnote w:id="20">
    <w:p w:rsidR="00707DFC" w:rsidRPr="00BE77CC" w:rsidRDefault="00707DFC" w:rsidP="00EF3B48">
      <w:pPr>
        <w:pStyle w:val="FootnoteText"/>
        <w:tabs>
          <w:tab w:val="left" w:pos="567"/>
        </w:tabs>
        <w:jc w:val="left"/>
      </w:pPr>
      <w:r>
        <w:rPr>
          <w:rStyle w:val="FootnoteReference"/>
          <w:szCs w:val="24"/>
        </w:rPr>
        <w:footnoteRef/>
      </w:r>
      <w:r>
        <w:tab/>
        <w:t xml:space="preserve">Parecer do CESE – A nova Estratégia da UE para a Adaptação às Alterações Climáticas, </w:t>
      </w:r>
      <w:hyperlink r:id="rId22" w:history="1">
        <w:r>
          <w:rPr>
            <w:rStyle w:val="Hyperlink"/>
          </w:rPr>
          <w:t>JO C 37</w:t>
        </w:r>
        <w:r>
          <w:rPr>
            <w:rStyle w:val="Hyperlink"/>
          </w:rPr>
          <w:t>4 de 16.9.2021, p. 84</w:t>
        </w:r>
      </w:hyperlink>
      <w:r>
        <w:t>.</w:t>
      </w:r>
    </w:p>
  </w:footnote>
  <w:footnote w:id="21">
    <w:p w:rsidR="00444B59" w:rsidRPr="009B16C4" w:rsidRDefault="00444B59" w:rsidP="00700EF0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>«</w:t>
      </w:r>
      <w:hyperlink r:id="rId23" w:history="1">
        <w:r>
          <w:rPr>
            <w:rStyle w:val="Hyperlink"/>
          </w:rPr>
          <w:t>Enhancing NDCs For Food Systems – reco</w:t>
        </w:r>
        <w:r>
          <w:rPr>
            <w:rStyle w:val="Hyperlink"/>
          </w:rPr>
          <w:t>mmendations for decision-makers</w:t>
        </w:r>
      </w:hyperlink>
      <w:r>
        <w:t>» [Reforço dos CDN para os sistemas alimentares – Recomendações para os decisores], Projeto de Ação CDN.</w:t>
      </w:r>
    </w:p>
  </w:footnote>
  <w:footnote w:id="22">
    <w:p w:rsidR="00444B59" w:rsidRPr="009B16C4" w:rsidRDefault="00444B59" w:rsidP="00EF3B48">
      <w:pPr>
        <w:pStyle w:val="FootnoteText"/>
        <w:jc w:val="lef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Parecer do CESE – Segurança alimentar e sistemas alimentares sustentáveis, </w:t>
      </w:r>
      <w:hyperlink r:id="rId24" w:history="1">
        <w:r>
          <w:rPr>
            <w:rStyle w:val="Hyperlink"/>
          </w:rPr>
          <w:t>JO C 194</w:t>
        </w:r>
        <w:r>
          <w:rPr>
            <w:rStyle w:val="Hyperlink"/>
          </w:rPr>
          <w:t xml:space="preserve"> de 12.5.2022, p. 72</w:t>
        </w:r>
      </w:hyperlink>
      <w:r>
        <w:t>.</w:t>
      </w:r>
    </w:p>
  </w:footnote>
  <w:footnote w:id="23">
    <w:p w:rsidR="00444B59" w:rsidRPr="009B16C4" w:rsidRDefault="00444B59" w:rsidP="00EF3B48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Parecer do CESE – Do prado ao prato: uma estratégia de alimentação sustentável, </w:t>
      </w:r>
      <w:hyperlink r:id="rId25" w:history="1">
        <w:r>
          <w:rPr>
            <w:rStyle w:val="Hyperlink"/>
          </w:rPr>
          <w:t>JO C</w:t>
        </w:r>
        <w:r>
          <w:rPr>
            <w:rStyle w:val="Hyperlink"/>
          </w:rPr>
          <w:t> 429 de 11.12.2020, p. 268</w:t>
        </w:r>
      </w:hyperlink>
      <w:r>
        <w:t>.</w:t>
      </w:r>
    </w:p>
  </w:footnote>
  <w:footnote w:id="24">
    <w:p w:rsidR="00444B59" w:rsidRPr="009B16C4" w:rsidRDefault="00444B59" w:rsidP="00EF3B48">
      <w:pPr>
        <w:pStyle w:val="FootnoteText"/>
        <w:jc w:val="lef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Parecer do CESE – Justiça climática, </w:t>
      </w:r>
      <w:hyperlink r:id="rId26" w:history="1">
        <w:r>
          <w:rPr>
            <w:rStyle w:val="Hyperlink"/>
          </w:rPr>
          <w:t>JO C 81 d</w:t>
        </w:r>
        <w:r>
          <w:rPr>
            <w:rStyle w:val="Hyperlink"/>
          </w:rPr>
          <w:t>e 2.3.2018, p. 22</w:t>
        </w:r>
      </w:hyperlink>
      <w:r>
        <w:t xml:space="preserve">, e Parecer do CESE – A nova Estratégia da UE para a Adaptação às Alterações Climáticas, </w:t>
      </w:r>
      <w:hyperlink r:id="rId27" w:history="1">
        <w:r>
          <w:rPr>
            <w:rStyle w:val="Hyperlink"/>
          </w:rPr>
          <w:t>JO C 37</w:t>
        </w:r>
        <w:r>
          <w:rPr>
            <w:rStyle w:val="Hyperlink"/>
          </w:rPr>
          <w:t>4 de 16.9.2021, p. 84</w:t>
        </w:r>
      </w:hyperlink>
      <w:r>
        <w:t>.</w:t>
      </w:r>
    </w:p>
  </w:footnote>
  <w:footnote w:id="25">
    <w:p w:rsidR="00EB27C9" w:rsidRPr="00E567D2" w:rsidRDefault="00EB27C9" w:rsidP="00EF3B48">
      <w:pPr>
        <w:pStyle w:val="FootnoteText"/>
      </w:pPr>
      <w:r>
        <w:rPr>
          <w:rStyle w:val="FootnoteReference"/>
        </w:rPr>
        <w:footnoteRef/>
      </w:r>
      <w:r>
        <w:tab/>
        <w:t xml:space="preserve">Parecer do CESE – REPowerEU: ação conjunta europeia para uma energia mais segura e mais sustentável a preços mais acessíveis, </w:t>
      </w:r>
      <w:hyperlink r:id="rId28" w:history="1">
        <w:r>
          <w:rPr>
            <w:rStyle w:val="Hyperlink"/>
          </w:rPr>
          <w:t>JO C 323 de 26.</w:t>
        </w:r>
        <w:r>
          <w:rPr>
            <w:rStyle w:val="Hyperlink"/>
          </w:rPr>
          <w:t>8.2022, p. 123</w:t>
        </w:r>
      </w:hyperlink>
      <w:r>
        <w:t>.</w:t>
      </w:r>
    </w:p>
  </w:footnote>
  <w:footnote w:id="26">
    <w:p w:rsidR="00444B59" w:rsidRPr="005F3782" w:rsidRDefault="00444B59" w:rsidP="00EF3B48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Parecer do CESE – Objetivo 55: alcançar a meta climática da UE para 2030 rumo à neutralidade climática, </w:t>
      </w:r>
      <w:hyperlink r:id="rId29" w:history="1">
        <w:r>
          <w:rPr>
            <w:rStyle w:val="Hyperlink"/>
          </w:rPr>
          <w:t>JO C 2</w:t>
        </w:r>
        <w:r>
          <w:rPr>
            <w:rStyle w:val="Hyperlink"/>
          </w:rPr>
          <w:t>75 de 18.7.2022, p. 101</w:t>
        </w:r>
      </w:hyperlink>
      <w:r>
        <w:t>.</w:t>
      </w:r>
    </w:p>
  </w:footnote>
  <w:footnote w:id="27">
    <w:p w:rsidR="00F81237" w:rsidRPr="00E567D2" w:rsidRDefault="00F81237" w:rsidP="00EF3B48">
      <w:pPr>
        <w:pStyle w:val="FootnoteText"/>
      </w:pPr>
      <w:r>
        <w:rPr>
          <w:rStyle w:val="FootnoteReference"/>
        </w:rPr>
        <w:footnoteRef/>
      </w:r>
      <w:r>
        <w:tab/>
        <w:t xml:space="preserve">Parecer do CESE – Digitalização e sustentabilidade: situação atual e necessidade de ação na perspetiva da sociedade civil, </w:t>
      </w:r>
      <w:hyperlink r:id="rId30" w:history="1">
        <w:r>
          <w:rPr>
            <w:rStyle w:val="Hyperlink"/>
          </w:rPr>
          <w:t>JO C 4</w:t>
        </w:r>
        <w:r>
          <w:rPr>
            <w:rStyle w:val="Hyperlink"/>
          </w:rPr>
          <w:t>29 de 11.12.2020, p. 187</w:t>
        </w:r>
      </w:hyperlink>
      <w:r>
        <w:t>.</w:t>
      </w:r>
    </w:p>
  </w:footnote>
  <w:footnote w:id="28">
    <w:p w:rsidR="00444B59" w:rsidRPr="009B16C4" w:rsidRDefault="00444B59" w:rsidP="00700EF0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Parecer do CESE – Objetivo 55: alcançar a meta climática da UE para 2030 rumo à neutralidade climática, </w:t>
      </w:r>
      <w:hyperlink r:id="rId31" w:history="1">
        <w:r>
          <w:rPr>
            <w:rStyle w:val="Hyperlink"/>
          </w:rPr>
          <w:t>JO C 27</w:t>
        </w:r>
        <w:r>
          <w:rPr>
            <w:rStyle w:val="Hyperlink"/>
          </w:rPr>
          <w:t>5 de 18.7.2022, p. 101</w:t>
        </w:r>
      </w:hyperlink>
      <w:r>
        <w:t>.</w:t>
      </w:r>
    </w:p>
  </w:footnote>
  <w:footnote w:id="29">
    <w:p w:rsidR="003567A8" w:rsidRPr="005F3782" w:rsidRDefault="003567A8" w:rsidP="00EF3B48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Parecer do CESE – Objetivo 55: alcançar a meta climática da UE para 2030 rumo à neutralidade climática, </w:t>
      </w:r>
      <w:hyperlink r:id="rId32" w:history="1">
        <w:r>
          <w:rPr>
            <w:rStyle w:val="Hyperlink"/>
          </w:rPr>
          <w:t>JO C 27</w:t>
        </w:r>
        <w:r>
          <w:rPr>
            <w:rStyle w:val="Hyperlink"/>
          </w:rPr>
          <w:t>5 de 18.7.2022, p. 101</w:t>
        </w:r>
      </w:hyperlink>
      <w:r>
        <w:t>.</w:t>
      </w:r>
    </w:p>
  </w:footnote>
  <w:footnote w:id="30">
    <w:p w:rsidR="00EE319C" w:rsidRPr="005F3782" w:rsidRDefault="00EE319C" w:rsidP="00EF3B48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>«</w:t>
      </w:r>
      <w:hyperlink r:id="rId33" w:history="1">
        <w:r>
          <w:rPr>
            <w:rStyle w:val="Hyperlink"/>
          </w:rPr>
          <w:t>2020 Po</w:t>
        </w:r>
        <w:r>
          <w:rPr>
            <w:rStyle w:val="Hyperlink"/>
          </w:rPr>
          <w:t>cket Guide to Gender Equality under the UNFCCC</w:t>
        </w:r>
      </w:hyperlink>
      <w:r>
        <w:t>» [Guia de bolso de 2020 para a igualdade de género no âmbito da CQNUAC], WEDO.</w:t>
      </w:r>
    </w:p>
  </w:footnote>
  <w:footnote w:id="31">
    <w:p w:rsidR="009F475F" w:rsidRPr="005F3782" w:rsidRDefault="009F475F" w:rsidP="00EF3B48">
      <w:pPr>
        <w:pStyle w:val="FootnoteText"/>
      </w:pPr>
      <w:r>
        <w:rPr>
          <w:rStyle w:val="FootnoteReference"/>
          <w:szCs w:val="24"/>
        </w:rPr>
        <w:footnoteRef/>
      </w:r>
      <w:r>
        <w:tab/>
        <w:t xml:space="preserve">Parecer do CESE (NAT/788 – em elaboração) – </w:t>
      </w:r>
      <w:hyperlink r:id="rId34" w:history="1">
        <w:r>
          <w:rPr>
            <w:rStyle w:val="Hyperlink"/>
          </w:rPr>
          <w:t>Rumo a uma parti</w:t>
        </w:r>
        <w:r>
          <w:rPr>
            <w:rStyle w:val="Hyperlink"/>
          </w:rPr>
          <w:t>cipação estruturada dos jovens no processo decisório da UE no domínio do clima e da sustentabilidade</w:t>
        </w:r>
      </w:hyperlink>
      <w:r>
        <w:t>.</w:t>
      </w:r>
    </w:p>
  </w:footnote>
  <w:footnote w:id="32">
    <w:p w:rsidR="00B27016" w:rsidRPr="005F3782" w:rsidRDefault="00B27016" w:rsidP="00EF3B48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>«</w:t>
      </w:r>
      <w:hyperlink r:id="rId35" w:history="1">
        <w:r>
          <w:rPr>
            <w:rStyle w:val="Hyperlink"/>
          </w:rPr>
          <w:t>Indigenous peoples def</w:t>
        </w:r>
        <w:r>
          <w:rPr>
            <w:rStyle w:val="Hyperlink"/>
          </w:rPr>
          <w:t>end Earth’s biodiversity – but they’re in danger</w:t>
        </w:r>
      </w:hyperlink>
      <w:r>
        <w:t>» [Povos indígenas protegem a biodiversidade da Terra – mas correm perigo].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9D" w:rsidRDefault="003F55C4">
    <w:pPr>
      <w:pStyle w:val="Header"/>
    </w:pPr>
    <w:r>
      <w:pict w14:anchorId="4C30A2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4" o:spid="_x0000_s16391" type="#_x0000_t75" style="position:absolute;left:0;text-align:left;margin-left:0;margin-top:0;width:598.15pt;height:843.9pt;z-index:-251658752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5B1" w:rsidRDefault="003F45B1" w:rsidP="003F45B1">
    <w:pPr>
      <w:pStyle w:val="Header"/>
    </w:pPr>
    <w:r>
      <w:rPr>
        <w:noProof/>
        <w:lang w:eastAsia="pt-PT"/>
      </w:rPr>
      <w:drawing>
        <wp:anchor distT="0" distB="0" distL="114300" distR="114300" simplePos="0" relativeHeight="251663360" behindDoc="0" locked="0" layoutInCell="1" allowOverlap="1" wp14:anchorId="2D7C5F9C" wp14:editId="176C9C78">
          <wp:simplePos x="898497" y="453224"/>
          <wp:positionH relativeFrom="page">
            <wp:align>center</wp:align>
          </wp:positionH>
          <wp:positionV relativeFrom="page">
            <wp:posOffset>288290</wp:posOffset>
          </wp:positionV>
          <wp:extent cx="6944398" cy="3344275"/>
          <wp:effectExtent l="0" t="0" r="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is-202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4398" cy="3344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5" o:spid="_x0000_s16395" type="#_x0000_t75" style="position:absolute;left:0;text-align:left;margin-left:0;margin-top:0;width:598.15pt;height:843.9pt;z-index:-251652096;mso-position-horizontal:center;mso-position-horizontal-relative:page;mso-position-vertical:center;mso-position-vertical-relative:page" o:allowincell="f">
          <v:imagedata r:id="rId2" o:title="background watermark with footer"/>
          <w10:wrap anchorx="page" anchory="page"/>
        </v:shape>
      </w:pict>
    </w:r>
  </w:p>
  <w:p w:rsidR="00180C9D" w:rsidRPr="003F45B1" w:rsidRDefault="00180C9D" w:rsidP="003F45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9D" w:rsidRDefault="003F55C4">
    <w:pPr>
      <w:pStyle w:val="Header"/>
    </w:pPr>
    <w:r>
      <w:pict w14:anchorId="6655E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3" o:spid="_x0000_s16390" type="#_x0000_t75" style="position:absolute;left:0;text-align:left;margin-left:0;margin-top:0;width:598.15pt;height:843.9pt;z-index:-251659776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9D" w:rsidRDefault="003F55C4">
    <w:pPr>
      <w:pStyle w:val="Header"/>
    </w:pPr>
    <w:r>
      <w:pict w14:anchorId="0845C8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7" o:spid="_x0000_s16394" type="#_x0000_t75" style="position:absolute;left:0;text-align:left;margin-left:0;margin-top:0;width:598.15pt;height:843.9pt;z-index:-251655680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9D" w:rsidRDefault="00180C9D">
    <w:pPr>
      <w:pStyle w:val="Header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2FB1CD0D" wp14:editId="06F585A8">
          <wp:simplePos x="0" y="0"/>
          <wp:positionH relativeFrom="page">
            <wp:posOffset>-10571</wp:posOffset>
          </wp:positionH>
          <wp:positionV relativeFrom="page">
            <wp:posOffset>-221993</wp:posOffset>
          </wp:positionV>
          <wp:extent cx="7581265" cy="10898802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ground (footer) rec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107" cy="1090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9D" w:rsidRDefault="003F55C4">
    <w:pPr>
      <w:pStyle w:val="Header"/>
    </w:pPr>
    <w:r>
      <w:pict w14:anchorId="781BD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6" o:spid="_x0000_s16393" type="#_x0000_t75" style="position:absolute;left:0;text-align:left;margin-left:0;margin-top:0;width:598.15pt;height:843.9pt;z-index:-251656704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40" w:rsidRPr="00526B40" w:rsidRDefault="00526B40" w:rsidP="00526B4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40" w:rsidRPr="002E7EE1" w:rsidRDefault="00526B40" w:rsidP="002E7EE1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40" w:rsidRPr="00526B40" w:rsidRDefault="00526B40" w:rsidP="00526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80A0DAE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i w:val="0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B337C2"/>
    <w:multiLevelType w:val="hybridMultilevel"/>
    <w:tmpl w:val="560A56B6"/>
    <w:lvl w:ilvl="0" w:tplc="130ADC2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A2414"/>
    <w:multiLevelType w:val="hybridMultilevel"/>
    <w:tmpl w:val="B4BAC6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80BC9"/>
    <w:multiLevelType w:val="hybridMultilevel"/>
    <w:tmpl w:val="86222EB0"/>
    <w:lvl w:ilvl="0" w:tplc="9174A728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4B1F21"/>
    <w:multiLevelType w:val="hybridMultilevel"/>
    <w:tmpl w:val="FD7661A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C77FC2"/>
    <w:multiLevelType w:val="hybridMultilevel"/>
    <w:tmpl w:val="29B0B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10200"/>
    <w:multiLevelType w:val="hybridMultilevel"/>
    <w:tmpl w:val="C99CE2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01B5C"/>
    <w:multiLevelType w:val="hybridMultilevel"/>
    <w:tmpl w:val="9284693E"/>
    <w:lvl w:ilvl="0" w:tplc="6396C9CE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93336"/>
    <w:multiLevelType w:val="hybridMultilevel"/>
    <w:tmpl w:val="AFEC9D88"/>
    <w:lvl w:ilvl="0" w:tplc="11961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CA1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F2E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A2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CA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C0D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CE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6EB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23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BCD1D40"/>
    <w:multiLevelType w:val="hybridMultilevel"/>
    <w:tmpl w:val="572A74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A6AD4"/>
    <w:multiLevelType w:val="hybridMultilevel"/>
    <w:tmpl w:val="156AF25E"/>
    <w:lvl w:ilvl="0" w:tplc="4C8629AC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</w:r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B7E514B"/>
    <w:multiLevelType w:val="hybridMultilevel"/>
    <w:tmpl w:val="C82A87C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1"/>
  </w:num>
  <w:num w:numId="9">
    <w:abstractNumId w:val="3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6396"/>
    <o:shapelayout v:ext="edit">
      <o:idmap v:ext="edit" data="1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01"/>
    <w:rsid w:val="00007773"/>
    <w:rsid w:val="000079E5"/>
    <w:rsid w:val="00010FC6"/>
    <w:rsid w:val="000120CD"/>
    <w:rsid w:val="00013255"/>
    <w:rsid w:val="00020F19"/>
    <w:rsid w:val="00030E21"/>
    <w:rsid w:val="00032E37"/>
    <w:rsid w:val="0003449F"/>
    <w:rsid w:val="000358F0"/>
    <w:rsid w:val="00047980"/>
    <w:rsid w:val="00047D68"/>
    <w:rsid w:val="00050B81"/>
    <w:rsid w:val="00053594"/>
    <w:rsid w:val="00053B1C"/>
    <w:rsid w:val="00054D9D"/>
    <w:rsid w:val="0005627F"/>
    <w:rsid w:val="000574BC"/>
    <w:rsid w:val="00062D0C"/>
    <w:rsid w:val="000710D8"/>
    <w:rsid w:val="00081EAE"/>
    <w:rsid w:val="0008251E"/>
    <w:rsid w:val="00082AB6"/>
    <w:rsid w:val="00083FD7"/>
    <w:rsid w:val="00091780"/>
    <w:rsid w:val="00094578"/>
    <w:rsid w:val="000A0FF9"/>
    <w:rsid w:val="000A58FB"/>
    <w:rsid w:val="000C30B4"/>
    <w:rsid w:val="000D1E9E"/>
    <w:rsid w:val="000F22F9"/>
    <w:rsid w:val="000F3131"/>
    <w:rsid w:val="000F577D"/>
    <w:rsid w:val="001024F7"/>
    <w:rsid w:val="0010269A"/>
    <w:rsid w:val="001063B3"/>
    <w:rsid w:val="00107725"/>
    <w:rsid w:val="00110795"/>
    <w:rsid w:val="00112C96"/>
    <w:rsid w:val="0011335A"/>
    <w:rsid w:val="001210DE"/>
    <w:rsid w:val="00122408"/>
    <w:rsid w:val="00127863"/>
    <w:rsid w:val="0014073F"/>
    <w:rsid w:val="001420B1"/>
    <w:rsid w:val="0014388E"/>
    <w:rsid w:val="001522F6"/>
    <w:rsid w:val="001528E9"/>
    <w:rsid w:val="00160934"/>
    <w:rsid w:val="00164C3A"/>
    <w:rsid w:val="00172E65"/>
    <w:rsid w:val="00180C9D"/>
    <w:rsid w:val="0018583B"/>
    <w:rsid w:val="001A1A3D"/>
    <w:rsid w:val="001A4755"/>
    <w:rsid w:val="001B07D7"/>
    <w:rsid w:val="001B74DB"/>
    <w:rsid w:val="001C13D6"/>
    <w:rsid w:val="001C5AD1"/>
    <w:rsid w:val="001C5CC5"/>
    <w:rsid w:val="001C6918"/>
    <w:rsid w:val="001D0A3D"/>
    <w:rsid w:val="001D3DDD"/>
    <w:rsid w:val="001D3EF3"/>
    <w:rsid w:val="001E56F8"/>
    <w:rsid w:val="001E70B5"/>
    <w:rsid w:val="001F2404"/>
    <w:rsid w:val="002025CA"/>
    <w:rsid w:val="00210AC4"/>
    <w:rsid w:val="00213319"/>
    <w:rsid w:val="00216D49"/>
    <w:rsid w:val="002200A3"/>
    <w:rsid w:val="00220171"/>
    <w:rsid w:val="0022449B"/>
    <w:rsid w:val="00224B58"/>
    <w:rsid w:val="002319CC"/>
    <w:rsid w:val="00245087"/>
    <w:rsid w:val="00246C92"/>
    <w:rsid w:val="00250853"/>
    <w:rsid w:val="00251F8E"/>
    <w:rsid w:val="0025667C"/>
    <w:rsid w:val="0027499D"/>
    <w:rsid w:val="00276FB4"/>
    <w:rsid w:val="00277BBA"/>
    <w:rsid w:val="0028320C"/>
    <w:rsid w:val="002911C6"/>
    <w:rsid w:val="0029184B"/>
    <w:rsid w:val="00293BF8"/>
    <w:rsid w:val="002A1DD3"/>
    <w:rsid w:val="002A4183"/>
    <w:rsid w:val="002B0474"/>
    <w:rsid w:val="002B24A9"/>
    <w:rsid w:val="002C2B01"/>
    <w:rsid w:val="002C3963"/>
    <w:rsid w:val="002C59E9"/>
    <w:rsid w:val="002D1697"/>
    <w:rsid w:val="002E4FAE"/>
    <w:rsid w:val="002E7EE1"/>
    <w:rsid w:val="002F108E"/>
    <w:rsid w:val="002F2E5C"/>
    <w:rsid w:val="00310649"/>
    <w:rsid w:val="0031122E"/>
    <w:rsid w:val="00312E1F"/>
    <w:rsid w:val="00317B29"/>
    <w:rsid w:val="0032590D"/>
    <w:rsid w:val="00325B6D"/>
    <w:rsid w:val="00325D0C"/>
    <w:rsid w:val="00327938"/>
    <w:rsid w:val="00333ED2"/>
    <w:rsid w:val="00353B1A"/>
    <w:rsid w:val="00354A49"/>
    <w:rsid w:val="003567A8"/>
    <w:rsid w:val="00361AAA"/>
    <w:rsid w:val="0039570B"/>
    <w:rsid w:val="003A552C"/>
    <w:rsid w:val="003A5BD7"/>
    <w:rsid w:val="003C2548"/>
    <w:rsid w:val="003C63C8"/>
    <w:rsid w:val="003D02F9"/>
    <w:rsid w:val="003D0D15"/>
    <w:rsid w:val="003D0E4A"/>
    <w:rsid w:val="003D17B9"/>
    <w:rsid w:val="003E12B0"/>
    <w:rsid w:val="003E6F23"/>
    <w:rsid w:val="003F1226"/>
    <w:rsid w:val="003F3573"/>
    <w:rsid w:val="003F40D4"/>
    <w:rsid w:val="003F45B1"/>
    <w:rsid w:val="00400D58"/>
    <w:rsid w:val="0040134E"/>
    <w:rsid w:val="00411708"/>
    <w:rsid w:val="0041312C"/>
    <w:rsid w:val="00414F13"/>
    <w:rsid w:val="00424F46"/>
    <w:rsid w:val="0042531D"/>
    <w:rsid w:val="004254CB"/>
    <w:rsid w:val="00426786"/>
    <w:rsid w:val="00444B59"/>
    <w:rsid w:val="0044565F"/>
    <w:rsid w:val="004576EE"/>
    <w:rsid w:val="0046063B"/>
    <w:rsid w:val="00475FDE"/>
    <w:rsid w:val="00481CE2"/>
    <w:rsid w:val="004825B2"/>
    <w:rsid w:val="00492189"/>
    <w:rsid w:val="00497488"/>
    <w:rsid w:val="004A2A58"/>
    <w:rsid w:val="004A3037"/>
    <w:rsid w:val="004A39C9"/>
    <w:rsid w:val="004A49B9"/>
    <w:rsid w:val="004C238F"/>
    <w:rsid w:val="004E503C"/>
    <w:rsid w:val="004E5901"/>
    <w:rsid w:val="004F04C7"/>
    <w:rsid w:val="004F2471"/>
    <w:rsid w:val="004F2AA6"/>
    <w:rsid w:val="00506F07"/>
    <w:rsid w:val="00516A37"/>
    <w:rsid w:val="00516EDB"/>
    <w:rsid w:val="00520445"/>
    <w:rsid w:val="00522909"/>
    <w:rsid w:val="0052304F"/>
    <w:rsid w:val="005240E4"/>
    <w:rsid w:val="00524D70"/>
    <w:rsid w:val="005252C5"/>
    <w:rsid w:val="00526B40"/>
    <w:rsid w:val="00533DDC"/>
    <w:rsid w:val="005350BD"/>
    <w:rsid w:val="00540820"/>
    <w:rsid w:val="00543898"/>
    <w:rsid w:val="00545A8D"/>
    <w:rsid w:val="0055343D"/>
    <w:rsid w:val="00553760"/>
    <w:rsid w:val="00554DBC"/>
    <w:rsid w:val="00560833"/>
    <w:rsid w:val="00565A46"/>
    <w:rsid w:val="00567475"/>
    <w:rsid w:val="00570EB2"/>
    <w:rsid w:val="00570F8A"/>
    <w:rsid w:val="00577E20"/>
    <w:rsid w:val="00581CB9"/>
    <w:rsid w:val="00582ABD"/>
    <w:rsid w:val="00586755"/>
    <w:rsid w:val="005933EE"/>
    <w:rsid w:val="005942E9"/>
    <w:rsid w:val="00597A7F"/>
    <w:rsid w:val="005A1F93"/>
    <w:rsid w:val="005A2860"/>
    <w:rsid w:val="005A6199"/>
    <w:rsid w:val="005B331C"/>
    <w:rsid w:val="005C5960"/>
    <w:rsid w:val="005D233A"/>
    <w:rsid w:val="005D5E98"/>
    <w:rsid w:val="005D6C1C"/>
    <w:rsid w:val="005E2540"/>
    <w:rsid w:val="005E5612"/>
    <w:rsid w:val="005F3782"/>
    <w:rsid w:val="005F44F7"/>
    <w:rsid w:val="005F5E01"/>
    <w:rsid w:val="0060072A"/>
    <w:rsid w:val="00603282"/>
    <w:rsid w:val="00603397"/>
    <w:rsid w:val="006169F0"/>
    <w:rsid w:val="00617ABC"/>
    <w:rsid w:val="00617B1E"/>
    <w:rsid w:val="00626EA5"/>
    <w:rsid w:val="00630EFA"/>
    <w:rsid w:val="006377AD"/>
    <w:rsid w:val="0065059A"/>
    <w:rsid w:val="0065271C"/>
    <w:rsid w:val="00661468"/>
    <w:rsid w:val="006671F8"/>
    <w:rsid w:val="00670077"/>
    <w:rsid w:val="00670217"/>
    <w:rsid w:val="00692681"/>
    <w:rsid w:val="006A01E6"/>
    <w:rsid w:val="006A36E1"/>
    <w:rsid w:val="006B78AF"/>
    <w:rsid w:val="006C0250"/>
    <w:rsid w:val="006C5D3F"/>
    <w:rsid w:val="006D019C"/>
    <w:rsid w:val="006D2F1C"/>
    <w:rsid w:val="006E093F"/>
    <w:rsid w:val="006E3BC9"/>
    <w:rsid w:val="006F5D08"/>
    <w:rsid w:val="00700B2B"/>
    <w:rsid w:val="00700EF0"/>
    <w:rsid w:val="00705092"/>
    <w:rsid w:val="00707DFC"/>
    <w:rsid w:val="00710362"/>
    <w:rsid w:val="00710624"/>
    <w:rsid w:val="0071287F"/>
    <w:rsid w:val="00721976"/>
    <w:rsid w:val="007223E8"/>
    <w:rsid w:val="007224D6"/>
    <w:rsid w:val="00731E22"/>
    <w:rsid w:val="007322BD"/>
    <w:rsid w:val="00737DEA"/>
    <w:rsid w:val="00743DFE"/>
    <w:rsid w:val="00743E25"/>
    <w:rsid w:val="00745B9A"/>
    <w:rsid w:val="00746FB1"/>
    <w:rsid w:val="0076018C"/>
    <w:rsid w:val="00763C6B"/>
    <w:rsid w:val="00765637"/>
    <w:rsid w:val="007708BF"/>
    <w:rsid w:val="0077152F"/>
    <w:rsid w:val="00775484"/>
    <w:rsid w:val="00775637"/>
    <w:rsid w:val="0078686E"/>
    <w:rsid w:val="00786F2F"/>
    <w:rsid w:val="00790A6F"/>
    <w:rsid w:val="00792A65"/>
    <w:rsid w:val="00794F2D"/>
    <w:rsid w:val="007A1151"/>
    <w:rsid w:val="007A5A88"/>
    <w:rsid w:val="007C32B7"/>
    <w:rsid w:val="007C4F70"/>
    <w:rsid w:val="007C5A1C"/>
    <w:rsid w:val="007C5F52"/>
    <w:rsid w:val="007D0A89"/>
    <w:rsid w:val="007D0B81"/>
    <w:rsid w:val="007E0872"/>
    <w:rsid w:val="007E34B1"/>
    <w:rsid w:val="007E39E9"/>
    <w:rsid w:val="007F5D59"/>
    <w:rsid w:val="00803823"/>
    <w:rsid w:val="00806BAA"/>
    <w:rsid w:val="00810157"/>
    <w:rsid w:val="008156F4"/>
    <w:rsid w:val="008176F0"/>
    <w:rsid w:val="00817935"/>
    <w:rsid w:val="008206AB"/>
    <w:rsid w:val="00824CD1"/>
    <w:rsid w:val="008277E1"/>
    <w:rsid w:val="00833E48"/>
    <w:rsid w:val="00844FC4"/>
    <w:rsid w:val="00845E39"/>
    <w:rsid w:val="00846350"/>
    <w:rsid w:val="0085156D"/>
    <w:rsid w:val="0085181B"/>
    <w:rsid w:val="00852FE8"/>
    <w:rsid w:val="0086482A"/>
    <w:rsid w:val="00866CDC"/>
    <w:rsid w:val="00870C63"/>
    <w:rsid w:val="008746D2"/>
    <w:rsid w:val="00882017"/>
    <w:rsid w:val="0088253F"/>
    <w:rsid w:val="008850FC"/>
    <w:rsid w:val="008863D6"/>
    <w:rsid w:val="0089555A"/>
    <w:rsid w:val="00897DDC"/>
    <w:rsid w:val="008A03FA"/>
    <w:rsid w:val="008A6CF4"/>
    <w:rsid w:val="008B12F6"/>
    <w:rsid w:val="008C1ADC"/>
    <w:rsid w:val="008D5813"/>
    <w:rsid w:val="008E0B59"/>
    <w:rsid w:val="008E15FF"/>
    <w:rsid w:val="008E35E8"/>
    <w:rsid w:val="008E5096"/>
    <w:rsid w:val="008F1733"/>
    <w:rsid w:val="008F45EA"/>
    <w:rsid w:val="008F6617"/>
    <w:rsid w:val="009018BB"/>
    <w:rsid w:val="00940450"/>
    <w:rsid w:val="00952F11"/>
    <w:rsid w:val="00953E81"/>
    <w:rsid w:val="00956102"/>
    <w:rsid w:val="009562D0"/>
    <w:rsid w:val="00965573"/>
    <w:rsid w:val="00967726"/>
    <w:rsid w:val="0096791E"/>
    <w:rsid w:val="0098098C"/>
    <w:rsid w:val="0098098F"/>
    <w:rsid w:val="009813C0"/>
    <w:rsid w:val="00987D42"/>
    <w:rsid w:val="009905B3"/>
    <w:rsid w:val="009A4326"/>
    <w:rsid w:val="009A4328"/>
    <w:rsid w:val="009B07C8"/>
    <w:rsid w:val="009B16C4"/>
    <w:rsid w:val="009B4C74"/>
    <w:rsid w:val="009B5C4D"/>
    <w:rsid w:val="009B6837"/>
    <w:rsid w:val="009C586D"/>
    <w:rsid w:val="009C5FF9"/>
    <w:rsid w:val="009D72F3"/>
    <w:rsid w:val="009E2570"/>
    <w:rsid w:val="009E3EF9"/>
    <w:rsid w:val="009F3005"/>
    <w:rsid w:val="009F475F"/>
    <w:rsid w:val="00A00B14"/>
    <w:rsid w:val="00A03256"/>
    <w:rsid w:val="00A12E50"/>
    <w:rsid w:val="00A133B3"/>
    <w:rsid w:val="00A164BD"/>
    <w:rsid w:val="00A170B9"/>
    <w:rsid w:val="00A17E67"/>
    <w:rsid w:val="00A21967"/>
    <w:rsid w:val="00A222D7"/>
    <w:rsid w:val="00A259B7"/>
    <w:rsid w:val="00A36554"/>
    <w:rsid w:val="00A37E2A"/>
    <w:rsid w:val="00A42B33"/>
    <w:rsid w:val="00A5534E"/>
    <w:rsid w:val="00A621E3"/>
    <w:rsid w:val="00A62A18"/>
    <w:rsid w:val="00A67BB2"/>
    <w:rsid w:val="00A726A8"/>
    <w:rsid w:val="00A73469"/>
    <w:rsid w:val="00A853D9"/>
    <w:rsid w:val="00A876F4"/>
    <w:rsid w:val="00A92A06"/>
    <w:rsid w:val="00A9456F"/>
    <w:rsid w:val="00AA482D"/>
    <w:rsid w:val="00AA54B3"/>
    <w:rsid w:val="00AA6629"/>
    <w:rsid w:val="00AB53B4"/>
    <w:rsid w:val="00AB7934"/>
    <w:rsid w:val="00AC1A1D"/>
    <w:rsid w:val="00AD00BB"/>
    <w:rsid w:val="00AD4928"/>
    <w:rsid w:val="00AD7602"/>
    <w:rsid w:val="00AE2590"/>
    <w:rsid w:val="00AE4609"/>
    <w:rsid w:val="00AF25FB"/>
    <w:rsid w:val="00AF71F0"/>
    <w:rsid w:val="00B01289"/>
    <w:rsid w:val="00B01BA1"/>
    <w:rsid w:val="00B04342"/>
    <w:rsid w:val="00B04FF3"/>
    <w:rsid w:val="00B073B5"/>
    <w:rsid w:val="00B150DC"/>
    <w:rsid w:val="00B205A5"/>
    <w:rsid w:val="00B20ABB"/>
    <w:rsid w:val="00B2659F"/>
    <w:rsid w:val="00B27016"/>
    <w:rsid w:val="00B42531"/>
    <w:rsid w:val="00B45F35"/>
    <w:rsid w:val="00B52B01"/>
    <w:rsid w:val="00B626ED"/>
    <w:rsid w:val="00B62C19"/>
    <w:rsid w:val="00B642F9"/>
    <w:rsid w:val="00B67486"/>
    <w:rsid w:val="00B7082E"/>
    <w:rsid w:val="00B71AC3"/>
    <w:rsid w:val="00B71DCF"/>
    <w:rsid w:val="00B77A3A"/>
    <w:rsid w:val="00B85401"/>
    <w:rsid w:val="00B85AA9"/>
    <w:rsid w:val="00B87189"/>
    <w:rsid w:val="00B91C64"/>
    <w:rsid w:val="00BB4DFA"/>
    <w:rsid w:val="00BB788A"/>
    <w:rsid w:val="00BC103D"/>
    <w:rsid w:val="00BD0948"/>
    <w:rsid w:val="00BD3C5C"/>
    <w:rsid w:val="00BD3EB8"/>
    <w:rsid w:val="00BD5CD8"/>
    <w:rsid w:val="00BE6751"/>
    <w:rsid w:val="00BE77CC"/>
    <w:rsid w:val="00BF16EA"/>
    <w:rsid w:val="00BF1CE2"/>
    <w:rsid w:val="00C0106D"/>
    <w:rsid w:val="00C07570"/>
    <w:rsid w:val="00C12FAA"/>
    <w:rsid w:val="00C205C9"/>
    <w:rsid w:val="00C21A2C"/>
    <w:rsid w:val="00C238B1"/>
    <w:rsid w:val="00C23B16"/>
    <w:rsid w:val="00C3245F"/>
    <w:rsid w:val="00C36A32"/>
    <w:rsid w:val="00C375B8"/>
    <w:rsid w:val="00C5108E"/>
    <w:rsid w:val="00C52F45"/>
    <w:rsid w:val="00C551C1"/>
    <w:rsid w:val="00C57DA5"/>
    <w:rsid w:val="00C62504"/>
    <w:rsid w:val="00C63F7A"/>
    <w:rsid w:val="00C67831"/>
    <w:rsid w:val="00C7353C"/>
    <w:rsid w:val="00C740ED"/>
    <w:rsid w:val="00C852CF"/>
    <w:rsid w:val="00C908AB"/>
    <w:rsid w:val="00C92408"/>
    <w:rsid w:val="00C93B38"/>
    <w:rsid w:val="00CA61D4"/>
    <w:rsid w:val="00CA7EDF"/>
    <w:rsid w:val="00CA7FAC"/>
    <w:rsid w:val="00CB0629"/>
    <w:rsid w:val="00CB0BBD"/>
    <w:rsid w:val="00CB14BC"/>
    <w:rsid w:val="00CC20C3"/>
    <w:rsid w:val="00CC3A72"/>
    <w:rsid w:val="00CD1029"/>
    <w:rsid w:val="00CD43E8"/>
    <w:rsid w:val="00CD4643"/>
    <w:rsid w:val="00CD79AE"/>
    <w:rsid w:val="00CE4688"/>
    <w:rsid w:val="00CF1607"/>
    <w:rsid w:val="00CF2433"/>
    <w:rsid w:val="00D02FDF"/>
    <w:rsid w:val="00D12818"/>
    <w:rsid w:val="00D1414D"/>
    <w:rsid w:val="00D2042C"/>
    <w:rsid w:val="00D2231B"/>
    <w:rsid w:val="00D27851"/>
    <w:rsid w:val="00D27A92"/>
    <w:rsid w:val="00D51F5E"/>
    <w:rsid w:val="00D54118"/>
    <w:rsid w:val="00D56019"/>
    <w:rsid w:val="00D570D3"/>
    <w:rsid w:val="00D574A2"/>
    <w:rsid w:val="00D60601"/>
    <w:rsid w:val="00D64047"/>
    <w:rsid w:val="00D6633E"/>
    <w:rsid w:val="00D67EFD"/>
    <w:rsid w:val="00D74893"/>
    <w:rsid w:val="00D77C17"/>
    <w:rsid w:val="00D77EA8"/>
    <w:rsid w:val="00D8252A"/>
    <w:rsid w:val="00D8439B"/>
    <w:rsid w:val="00D96182"/>
    <w:rsid w:val="00D96349"/>
    <w:rsid w:val="00D96634"/>
    <w:rsid w:val="00D96C2A"/>
    <w:rsid w:val="00DA0977"/>
    <w:rsid w:val="00DA10AF"/>
    <w:rsid w:val="00DA22B0"/>
    <w:rsid w:val="00DA7721"/>
    <w:rsid w:val="00DB5BB4"/>
    <w:rsid w:val="00DC6A9B"/>
    <w:rsid w:val="00DC6D66"/>
    <w:rsid w:val="00DD2A69"/>
    <w:rsid w:val="00DD3830"/>
    <w:rsid w:val="00DD4E5E"/>
    <w:rsid w:val="00DD6CEE"/>
    <w:rsid w:val="00DE24B9"/>
    <w:rsid w:val="00DE3250"/>
    <w:rsid w:val="00DE5B7A"/>
    <w:rsid w:val="00DE79F5"/>
    <w:rsid w:val="00DF32BE"/>
    <w:rsid w:val="00DF46E1"/>
    <w:rsid w:val="00DF7757"/>
    <w:rsid w:val="00E01716"/>
    <w:rsid w:val="00E05711"/>
    <w:rsid w:val="00E24747"/>
    <w:rsid w:val="00E25EDF"/>
    <w:rsid w:val="00E362FB"/>
    <w:rsid w:val="00E42D33"/>
    <w:rsid w:val="00E567D2"/>
    <w:rsid w:val="00E57DC0"/>
    <w:rsid w:val="00E6649F"/>
    <w:rsid w:val="00E66B87"/>
    <w:rsid w:val="00E80011"/>
    <w:rsid w:val="00E83BF6"/>
    <w:rsid w:val="00E83F17"/>
    <w:rsid w:val="00E9366E"/>
    <w:rsid w:val="00EA1709"/>
    <w:rsid w:val="00EA2B05"/>
    <w:rsid w:val="00EA5E8A"/>
    <w:rsid w:val="00EB0B86"/>
    <w:rsid w:val="00EB1B49"/>
    <w:rsid w:val="00EB240C"/>
    <w:rsid w:val="00EB27C9"/>
    <w:rsid w:val="00EC4EDF"/>
    <w:rsid w:val="00EC7600"/>
    <w:rsid w:val="00ED2C5C"/>
    <w:rsid w:val="00EE0E4F"/>
    <w:rsid w:val="00EE319C"/>
    <w:rsid w:val="00EE6795"/>
    <w:rsid w:val="00EE6803"/>
    <w:rsid w:val="00EE6D66"/>
    <w:rsid w:val="00EF3B48"/>
    <w:rsid w:val="00EF6F7C"/>
    <w:rsid w:val="00F07E26"/>
    <w:rsid w:val="00F114C1"/>
    <w:rsid w:val="00F14C0E"/>
    <w:rsid w:val="00F22EB4"/>
    <w:rsid w:val="00F23B61"/>
    <w:rsid w:val="00F25A8E"/>
    <w:rsid w:val="00F30C50"/>
    <w:rsid w:val="00F32CB4"/>
    <w:rsid w:val="00F34F7D"/>
    <w:rsid w:val="00F4047E"/>
    <w:rsid w:val="00F426F7"/>
    <w:rsid w:val="00F443E3"/>
    <w:rsid w:val="00F467FD"/>
    <w:rsid w:val="00F5520F"/>
    <w:rsid w:val="00F5730D"/>
    <w:rsid w:val="00F6135D"/>
    <w:rsid w:val="00F63D08"/>
    <w:rsid w:val="00F65972"/>
    <w:rsid w:val="00F71374"/>
    <w:rsid w:val="00F72497"/>
    <w:rsid w:val="00F73246"/>
    <w:rsid w:val="00F81237"/>
    <w:rsid w:val="00F8473A"/>
    <w:rsid w:val="00F95E1A"/>
    <w:rsid w:val="00F970A7"/>
    <w:rsid w:val="00FA47E2"/>
    <w:rsid w:val="00FA7C73"/>
    <w:rsid w:val="00FB4E1C"/>
    <w:rsid w:val="00FB52EE"/>
    <w:rsid w:val="00FC13FF"/>
    <w:rsid w:val="00FC265D"/>
    <w:rsid w:val="00FC5DCF"/>
    <w:rsid w:val="00FD4C7F"/>
    <w:rsid w:val="00FE3D81"/>
    <w:rsid w:val="00FE6FF6"/>
    <w:rsid w:val="00FE776D"/>
    <w:rsid w:val="00FE7EF1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6"/>
    <o:shapelayout v:ext="edit">
      <o:idmap v:ext="edit" data="1"/>
    </o:shapelayout>
  </w:shapeDefaults>
  <w:decimalSymbol w:val=","/>
  <w:listSeparator w:val=";"/>
  <w14:docId w14:val="3D0733CF"/>
  <w15:chartTrackingRefBased/>
  <w15:docId w15:val="{A7A01279-E3D5-4F80-AAB3-1C26A53C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7C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8A03FA"/>
    <w:pPr>
      <w:numPr>
        <w:numId w:val="3"/>
      </w:numPr>
      <w:spacing w:after="0" w:line="288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kern w:val="28"/>
    </w:rPr>
  </w:style>
  <w:style w:type="paragraph" w:styleId="Heading2">
    <w:name w:val="heading 2"/>
    <w:basedOn w:val="Normal"/>
    <w:next w:val="Normal"/>
    <w:link w:val="Heading2Char"/>
    <w:qFormat/>
    <w:rsid w:val="008A03FA"/>
    <w:pPr>
      <w:numPr>
        <w:ilvl w:val="1"/>
        <w:numId w:val="3"/>
      </w:numPr>
      <w:spacing w:after="0" w:line="288" w:lineRule="auto"/>
      <w:ind w:left="567" w:hanging="567"/>
      <w:jc w:val="both"/>
      <w:outlineLvl w:val="1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8A03FA"/>
    <w:pPr>
      <w:numPr>
        <w:ilvl w:val="2"/>
        <w:numId w:val="3"/>
      </w:numPr>
      <w:spacing w:after="0" w:line="288" w:lineRule="auto"/>
      <w:ind w:left="567" w:hanging="567"/>
      <w:jc w:val="both"/>
      <w:outlineLvl w:val="2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8A03FA"/>
    <w:pPr>
      <w:numPr>
        <w:ilvl w:val="3"/>
        <w:numId w:val="3"/>
      </w:numPr>
      <w:spacing w:after="0" w:line="288" w:lineRule="auto"/>
      <w:ind w:left="567" w:hanging="567"/>
      <w:jc w:val="both"/>
      <w:outlineLvl w:val="3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qFormat/>
    <w:rsid w:val="008A03FA"/>
    <w:pPr>
      <w:numPr>
        <w:ilvl w:val="4"/>
        <w:numId w:val="3"/>
      </w:numPr>
      <w:spacing w:after="0" w:line="288" w:lineRule="auto"/>
      <w:ind w:left="567" w:hanging="567"/>
      <w:jc w:val="both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qFormat/>
    <w:rsid w:val="008A03FA"/>
    <w:pPr>
      <w:numPr>
        <w:ilvl w:val="5"/>
        <w:numId w:val="3"/>
      </w:numPr>
      <w:spacing w:after="0" w:line="288" w:lineRule="auto"/>
      <w:ind w:left="567" w:hanging="567"/>
      <w:jc w:val="both"/>
      <w:outlineLvl w:val="5"/>
    </w:pPr>
    <w:rPr>
      <w:rFonts w:ascii="Times New Roman" w:eastAsia="Times New Roman" w:hAnsi="Times New Roman" w:cs="Times New Roman"/>
    </w:rPr>
  </w:style>
  <w:style w:type="paragraph" w:styleId="Heading7">
    <w:name w:val="heading 7"/>
    <w:basedOn w:val="Normal"/>
    <w:next w:val="Normal"/>
    <w:link w:val="Heading7Char"/>
    <w:qFormat/>
    <w:rsid w:val="008A03FA"/>
    <w:pPr>
      <w:numPr>
        <w:ilvl w:val="6"/>
        <w:numId w:val="3"/>
      </w:numPr>
      <w:spacing w:after="0" w:line="288" w:lineRule="auto"/>
      <w:ind w:left="567" w:hanging="567"/>
      <w:jc w:val="both"/>
      <w:outlineLvl w:val="6"/>
    </w:pPr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rsid w:val="008A03FA"/>
    <w:pPr>
      <w:numPr>
        <w:ilvl w:val="7"/>
        <w:numId w:val="3"/>
      </w:numPr>
      <w:spacing w:after="0" w:line="288" w:lineRule="auto"/>
      <w:ind w:left="567" w:hanging="567"/>
      <w:jc w:val="both"/>
      <w:outlineLvl w:val="7"/>
    </w:pPr>
    <w:rPr>
      <w:rFonts w:ascii="Times New Roman" w:eastAsia="Times New Roman" w:hAnsi="Times New Roman" w:cs="Times New Roman"/>
    </w:rPr>
  </w:style>
  <w:style w:type="paragraph" w:styleId="Heading9">
    <w:name w:val="heading 9"/>
    <w:basedOn w:val="Normal"/>
    <w:next w:val="Normal"/>
    <w:link w:val="Heading9Char"/>
    <w:qFormat/>
    <w:rsid w:val="008A03FA"/>
    <w:pPr>
      <w:numPr>
        <w:ilvl w:val="8"/>
        <w:numId w:val="3"/>
      </w:numPr>
      <w:spacing w:after="0" w:line="288" w:lineRule="auto"/>
      <w:ind w:left="567" w:hanging="567"/>
      <w:jc w:val="both"/>
      <w:outlineLvl w:val="8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48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754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A03FA"/>
    <w:rPr>
      <w:rFonts w:ascii="Times New Roman" w:eastAsia="Times New Roman" w:hAnsi="Times New Roman" w:cs="Times New Roman"/>
      <w:kern w:val="28"/>
      <w:lang w:val="pt-PT"/>
    </w:rPr>
  </w:style>
  <w:style w:type="character" w:customStyle="1" w:styleId="Heading2Char">
    <w:name w:val="Heading 2 Char"/>
    <w:basedOn w:val="DefaultParagraphFont"/>
    <w:link w:val="Heading2"/>
    <w:rsid w:val="008A03FA"/>
    <w:rPr>
      <w:rFonts w:ascii="Times New Roman" w:eastAsia="Times New Roman" w:hAnsi="Times New Roman" w:cs="Times New Roman"/>
      <w:lang w:val="pt-PT"/>
    </w:rPr>
  </w:style>
  <w:style w:type="character" w:customStyle="1" w:styleId="Heading3Char">
    <w:name w:val="Heading 3 Char"/>
    <w:basedOn w:val="DefaultParagraphFont"/>
    <w:link w:val="Heading3"/>
    <w:rsid w:val="008A03FA"/>
    <w:rPr>
      <w:rFonts w:ascii="Times New Roman" w:eastAsia="Times New Roman" w:hAnsi="Times New Roman" w:cs="Times New Roman"/>
      <w:lang w:val="pt-PT"/>
    </w:rPr>
  </w:style>
  <w:style w:type="character" w:customStyle="1" w:styleId="Heading4Char">
    <w:name w:val="Heading 4 Char"/>
    <w:basedOn w:val="DefaultParagraphFont"/>
    <w:link w:val="Heading4"/>
    <w:rsid w:val="008A03FA"/>
    <w:rPr>
      <w:rFonts w:ascii="Times New Roman" w:eastAsia="Times New Roman" w:hAnsi="Times New Roman" w:cs="Times New Roman"/>
      <w:lang w:val="pt-PT"/>
    </w:rPr>
  </w:style>
  <w:style w:type="character" w:customStyle="1" w:styleId="Heading5Char">
    <w:name w:val="Heading 5 Char"/>
    <w:basedOn w:val="DefaultParagraphFont"/>
    <w:link w:val="Heading5"/>
    <w:rsid w:val="008A03FA"/>
    <w:rPr>
      <w:rFonts w:ascii="Times New Roman" w:eastAsia="Times New Roman" w:hAnsi="Times New Roman" w:cs="Times New Roman"/>
      <w:lang w:val="pt-PT"/>
    </w:rPr>
  </w:style>
  <w:style w:type="character" w:customStyle="1" w:styleId="Heading6Char">
    <w:name w:val="Heading 6 Char"/>
    <w:basedOn w:val="DefaultParagraphFont"/>
    <w:link w:val="Heading6"/>
    <w:rsid w:val="008A03FA"/>
    <w:rPr>
      <w:rFonts w:ascii="Times New Roman" w:eastAsia="Times New Roman" w:hAnsi="Times New Roman" w:cs="Times New Roman"/>
      <w:lang w:val="pt-PT"/>
    </w:rPr>
  </w:style>
  <w:style w:type="character" w:customStyle="1" w:styleId="Heading7Char">
    <w:name w:val="Heading 7 Char"/>
    <w:basedOn w:val="DefaultParagraphFont"/>
    <w:link w:val="Heading7"/>
    <w:rsid w:val="008A03FA"/>
    <w:rPr>
      <w:rFonts w:ascii="Times New Roman" w:eastAsia="Times New Roman" w:hAnsi="Times New Roman" w:cs="Times New Roman"/>
      <w:lang w:val="pt-PT"/>
    </w:rPr>
  </w:style>
  <w:style w:type="character" w:customStyle="1" w:styleId="Heading8Char">
    <w:name w:val="Heading 8 Char"/>
    <w:basedOn w:val="DefaultParagraphFont"/>
    <w:link w:val="Heading8"/>
    <w:rsid w:val="008A03FA"/>
    <w:rPr>
      <w:rFonts w:ascii="Times New Roman" w:eastAsia="Times New Roman" w:hAnsi="Times New Roman" w:cs="Times New Roman"/>
      <w:lang w:val="pt-PT"/>
    </w:rPr>
  </w:style>
  <w:style w:type="character" w:customStyle="1" w:styleId="Heading9Char">
    <w:name w:val="Heading 9 Char"/>
    <w:basedOn w:val="DefaultParagraphFont"/>
    <w:link w:val="Heading9"/>
    <w:rsid w:val="008A03FA"/>
    <w:rPr>
      <w:rFonts w:ascii="Times New Roman" w:eastAsia="Times New Roman" w:hAnsi="Times New Roman" w:cs="Times New Roman"/>
      <w:lang w:val="pt-PT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FA,FA Fu,fn,fußn,o"/>
    <w:basedOn w:val="Normal"/>
    <w:link w:val="FootnoteTextChar"/>
    <w:uiPriority w:val="99"/>
    <w:qFormat/>
    <w:rsid w:val="008A03FA"/>
    <w:pPr>
      <w:keepLines/>
      <w:spacing w:after="60" w:line="240" w:lineRule="auto"/>
      <w:ind w:left="567" w:hanging="567"/>
      <w:jc w:val="both"/>
    </w:pPr>
    <w:rPr>
      <w:rFonts w:ascii="Times New Roman" w:eastAsia="Times New Roman" w:hAnsi="Times New Roman" w:cs="Times New Roman"/>
      <w:sz w:val="16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,FA Char"/>
    <w:basedOn w:val="DefaultParagraphFont"/>
    <w:link w:val="FootnoteText"/>
    <w:uiPriority w:val="99"/>
    <w:rsid w:val="008A03FA"/>
    <w:rPr>
      <w:rFonts w:ascii="Times New Roman" w:eastAsia="Times New Roman" w:hAnsi="Times New Roman" w:cs="Times New Roman"/>
      <w:sz w:val="16"/>
      <w:lang w:val="pt-PT"/>
    </w:rPr>
  </w:style>
  <w:style w:type="character" w:styleId="FootnoteReference">
    <w:name w:val="footnote reference"/>
    <w:basedOn w:val="DefaultParagraphFont"/>
    <w:uiPriority w:val="99"/>
    <w:unhideWhenUsed/>
    <w:qFormat/>
    <w:rsid w:val="008A03FA"/>
    <w:rPr>
      <w:sz w:val="24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908A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1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0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0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08E"/>
    <w:rPr>
      <w:b/>
      <w:bCs/>
      <w:sz w:val="20"/>
      <w:szCs w:val="20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F970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qFormat/>
    <w:rsid w:val="00F970A7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F970A7"/>
    <w:rPr>
      <w:rFonts w:ascii="Times New Roman" w:hAnsi="Times New Roman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F970A7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970A7"/>
    <w:rPr>
      <w:rFonts w:ascii="Times New Roman" w:hAnsi="Times New Roman" w:cs="Times New Roman"/>
      <w:lang w:val="pt-PT"/>
    </w:rPr>
  </w:style>
  <w:style w:type="paragraph" w:styleId="Revision">
    <w:name w:val="Revision"/>
    <w:hidden/>
    <w:uiPriority w:val="99"/>
    <w:semiHidden/>
    <w:rsid w:val="00353B1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2CB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95E1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69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9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C2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1345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621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035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5.xml"/><Relationship Id="rId21" Type="http://schemas.openxmlformats.org/officeDocument/2006/relationships/hyperlink" Target="https://www.eesc.europa.eu/pt/our-work/opinions-information-reports/opinions/towards-structured-youth-engagement-climate-and-sustainability-eu-decision-making-process-own-initiative-opinion" TargetMode="External"/><Relationship Id="rId34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29" Type="http://schemas.openxmlformats.org/officeDocument/2006/relationships/footer" Target="footer7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32" Type="http://schemas.openxmlformats.org/officeDocument/2006/relationships/customXml" Target="../customXml/item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climateactiontracker.org/global/temperatures/" TargetMode="External"/><Relationship Id="rId28" Type="http://schemas.openxmlformats.org/officeDocument/2006/relationships/header" Target="header9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31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ipcc.ch/2022/04/04/ipcc-ar6-wgiii-pressrelease/" TargetMode="External"/><Relationship Id="rId27" Type="http://schemas.openxmlformats.org/officeDocument/2006/relationships/footer" Target="footer6.xml"/><Relationship Id="rId30" Type="http://schemas.openxmlformats.org/officeDocument/2006/relationships/fontTable" Target="fontTable.xml"/><Relationship Id="rId35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arl.europa.eu/news/pt/press-room/20220616IPR33219/parlamento-europeu-ativa-processo-de-alteracao-dos-tratados-da-ue" TargetMode="External"/><Relationship Id="rId13" Type="http://schemas.openxmlformats.org/officeDocument/2006/relationships/hyperlink" Target="https://eur-lex.europa.eu/legal-content/PT/ALL/?uri=celex:52021AE5481" TargetMode="External"/><Relationship Id="rId18" Type="http://schemas.openxmlformats.org/officeDocument/2006/relationships/hyperlink" Target="https://eur-lex.europa.eu/legal-content/PT/TXT/?uri=uriserv:OJ.C_.2021.374.01.0084.01.POR&amp;toc=OJ:C:2021:374:TOC" TargetMode="External"/><Relationship Id="rId26" Type="http://schemas.openxmlformats.org/officeDocument/2006/relationships/hyperlink" Target="https://eur-lex.europa.eu/legal-content/PT/TXT/?uri=CELEX:52017IE1144&amp;qid=1663579454681" TargetMode="External"/><Relationship Id="rId3" Type="http://schemas.openxmlformats.org/officeDocument/2006/relationships/hyperlink" Target="https://mediacentre.christianaid.org.uk/counting-the-cost/" TargetMode="External"/><Relationship Id="rId21" Type="http://schemas.openxmlformats.org/officeDocument/2006/relationships/hyperlink" Target="https://assets.website-files.com/5d26d80e8836af2d12ed1269/61657f127a13715bb8744ec3_Climate%20Change%20Mitigation%20Through%20the%20Circular%20Economy%20-%20STAP%20-%20report.pdf" TargetMode="External"/><Relationship Id="rId34" Type="http://schemas.openxmlformats.org/officeDocument/2006/relationships/hyperlink" Target="https://www.eesc.europa.eu/pt/our-work/opinions-information-reports/opinions/towards-structured-youth-engagement-climate-and-sustainability-eu-decision-making-process-own-initiative-opinion" TargetMode="External"/><Relationship Id="rId7" Type="http://schemas.openxmlformats.org/officeDocument/2006/relationships/hyperlink" Target="https://www.eesc.europa.eu/pt/documents/resolution/war-ukraine-and-its-economic-social-and-environmental-impact" TargetMode="External"/><Relationship Id="rId12" Type="http://schemas.openxmlformats.org/officeDocument/2006/relationships/hyperlink" Target="https://www.eesc.europa.eu/pt/our-work/opinions-information-reports/opinions/social-dialogue-within-green-transition" TargetMode="External"/><Relationship Id="rId17" Type="http://schemas.openxmlformats.org/officeDocument/2006/relationships/hyperlink" Target="https://www.eesc.europa.eu/en/our-work/opinions-information-reports/opinions/nature-restoration-targets-under-eu-biodiversity-strategy" TargetMode="External"/><Relationship Id="rId25" Type="http://schemas.openxmlformats.org/officeDocument/2006/relationships/hyperlink" Target="https://eur-lex.europa.eu/legal-content/PT/TXT/?uri=CELEX:52020AE0994&amp;qid=1663579304870" TargetMode="External"/><Relationship Id="rId33" Type="http://schemas.openxmlformats.org/officeDocument/2006/relationships/hyperlink" Target="https://wedo.org/2020-pocket-guide-to-gender-equality-under-the-unfccc/" TargetMode="External"/><Relationship Id="rId2" Type="http://schemas.openxmlformats.org/officeDocument/2006/relationships/hyperlink" Target="https://www.eea.europa.eu/highlights/economic-losses-from-weather-and" TargetMode="External"/><Relationship Id="rId16" Type="http://schemas.openxmlformats.org/officeDocument/2006/relationships/hyperlink" Target="https://sdsn.eu/2021-europe-sustainable-development-report/" TargetMode="External"/><Relationship Id="rId20" Type="http://schemas.openxmlformats.org/officeDocument/2006/relationships/hyperlink" Target="https://eur-lex.europa.eu/legal-content/PT/TXT/?uri=uriserv:OJ.C_.2020.014.01.0029.01.POR&amp;toc=OJ:C:2020:014:TOC" TargetMode="External"/><Relationship Id="rId29" Type="http://schemas.openxmlformats.org/officeDocument/2006/relationships/hyperlink" Target="https://eur-lex.europa.eu/legal-content/PT/ALL/?uri=celex:52021AE5481" TargetMode="External"/><Relationship Id="rId1" Type="http://schemas.openxmlformats.org/officeDocument/2006/relationships/hyperlink" Target="https://eur-lex.europa.eu/legal-content/PT/TXT/PDF/?uri=CELEX:22016A1019(01)&amp;from=PThttps://unfccc.int/sites/default/files/resource/cop26_auv_3b_Glasgow_WP.pdf" TargetMode="External"/><Relationship Id="rId6" Type="http://schemas.openxmlformats.org/officeDocument/2006/relationships/hyperlink" Target="https://www.ipcc.ch/report/ar6/wg3/" TargetMode="External"/><Relationship Id="rId11" Type="http://schemas.openxmlformats.org/officeDocument/2006/relationships/hyperlink" Target="https://eur-lex.europa.eu/legal-content/PT/ALL/?uri=celex:52021AE5481" TargetMode="External"/><Relationship Id="rId24" Type="http://schemas.openxmlformats.org/officeDocument/2006/relationships/hyperlink" Target="https://eur-lex.europa.eu/legal-content/PT/TXT/?uri=OJ:JOC_2022_194_R_0010" TargetMode="External"/><Relationship Id="rId32" Type="http://schemas.openxmlformats.org/officeDocument/2006/relationships/hyperlink" Target="https://eur-lex.europa.eu/legal-content/PT/ALL/?uri=celex:52021AE5481" TargetMode="External"/><Relationship Id="rId5" Type="http://schemas.openxmlformats.org/officeDocument/2006/relationships/hyperlink" Target="https://www.ncei.noaa.gov/access/billions/" TargetMode="External"/><Relationship Id="rId15" Type="http://schemas.openxmlformats.org/officeDocument/2006/relationships/hyperlink" Target="https://prod-cofe-platform.s3.eu-central-1.amazonaws.com/yrxmcjurtxgv7ststz3rsqtxiubh" TargetMode="External"/><Relationship Id="rId23" Type="http://schemas.openxmlformats.org/officeDocument/2006/relationships/hyperlink" Target="https://www.unep.org/ndc/resources/report/enhancing-ndcs-food-systems-recommendations-decision-makers" TargetMode="External"/><Relationship Id="rId28" Type="http://schemas.openxmlformats.org/officeDocument/2006/relationships/hyperlink" Target="https://eur-lex.europa.eu/legal-content/PT/TXT/?uri=CELEX:52022AE1686&amp;qid=1663579575615" TargetMode="External"/><Relationship Id="rId10" Type="http://schemas.openxmlformats.org/officeDocument/2006/relationships/hyperlink" Target="https://eur-lex.europa.eu/legal-content/pt/TXT/?uri=CELEX:52019IE2316" TargetMode="External"/><Relationship Id="rId19" Type="http://schemas.openxmlformats.org/officeDocument/2006/relationships/hyperlink" Target="https://unfccc.int/news/antonio-guterres-50-of-all-climate-finance-needed-for-adaptation" TargetMode="External"/><Relationship Id="rId31" Type="http://schemas.openxmlformats.org/officeDocument/2006/relationships/hyperlink" Target="https://eur-lex.europa.eu/legal-content/PT/ALL/?uri=celex:52021AE5481" TargetMode="External"/><Relationship Id="rId4" Type="http://schemas.openxmlformats.org/officeDocument/2006/relationships/hyperlink" Target="https://www.cmcc.it/lectures_conferences/the-costs-of-extreme-weather-events-caused-by-climate-change" TargetMode="External"/><Relationship Id="rId9" Type="http://schemas.openxmlformats.org/officeDocument/2006/relationships/hyperlink" Target="https://www.europarl.europa.eu/news/pt/press-room/20220603IPR32133/fit-for-55-parliament-agrees-to-higher-eu-carbon-sink-ambitions-by-2030" TargetMode="External"/><Relationship Id="rId14" Type="http://schemas.openxmlformats.org/officeDocument/2006/relationships/hyperlink" Target="https://eur-lex.europa.eu/legal-content/PT/ALL/?uri=celex:52021AE5481" TargetMode="External"/><Relationship Id="rId22" Type="http://schemas.openxmlformats.org/officeDocument/2006/relationships/hyperlink" Target="http://eur-lex.europa.eu/LexUriServ/LexUriServ.do?uri=OJ:C:2021:374:SOM:PT:HTML" TargetMode="External"/><Relationship Id="rId27" Type="http://schemas.openxmlformats.org/officeDocument/2006/relationships/hyperlink" Target="https://eur-lex.europa.eu/legal-content/PT/TXT/?uri=uriserv:OJ.C_.2021.374.01.0084.01.POR&amp;toc=OJ:C:2021:374:TOC" TargetMode="External"/><Relationship Id="rId30" Type="http://schemas.openxmlformats.org/officeDocument/2006/relationships/hyperlink" Target="https://eur-lex.europa.eu/legal-content/PT/TXT/?uri=CELEX:52020AE1918&amp;qid=1663579809098" TargetMode="External"/><Relationship Id="rId35" Type="http://schemas.openxmlformats.org/officeDocument/2006/relationships/hyperlink" Target="https://www.nationalgeographic.com/environment/article/can-indigenous-land-stewardship-protect-biodiversity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48F447D380DEE94195D9369B0D252450" ma:contentTypeVersion="4" ma:contentTypeDescription="Defines the documents for Document Manager V2" ma:contentTypeScope="" ma:versionID="699c0fe4d6e743f76670b9a453ac587a">
  <xsd:schema xmlns:xsd="http://www.w3.org/2001/XMLSchema" xmlns:xs="http://www.w3.org/2001/XMLSchema" xmlns:p="http://schemas.microsoft.com/office/2006/metadata/properties" xmlns:ns2="1299d781-265f-4ceb-999e-e1eca3df2c90" xmlns:ns3="http://schemas.microsoft.com/sharepoint/v3/fields" xmlns:ns4="78feecd2-a259-4a5c-b48b-4ffcf5b9c8b1" targetNamespace="http://schemas.microsoft.com/office/2006/metadata/properties" ma:root="true" ma:fieldsID="6de033fe12ab72f6ce4561b0db774137" ns2:_="" ns3:_="" ns4:_="">
    <xsd:import namespace="1299d781-265f-4ceb-999e-e1eca3df2c90"/>
    <xsd:import namespace="http://schemas.microsoft.com/sharepoint/v3/fields"/>
    <xsd:import namespace="78feecd2-a259-4a5c-b48b-4ffcf5b9c8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d781-265f-4ceb-999e-e1eca3df2c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7ea9cc77-7db7-4067-9972-efc9a75de26f}" ma:internalName="TaxCatchAll" ma:showField="CatchAllData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7ea9cc77-7db7-4067-9972-efc9a75de26f}" ma:internalName="TaxCatchAllLabel" ma:readOnly="true" ma:showField="CatchAllDataLabel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eecd2-a259-4a5c-b48b-4ffcf5b9c8b1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99d781-265f-4ceb-999e-e1eca3df2c90">P6FJPSUHKDC2-813086739-4141</_dlc_DocId>
    <_dlc_DocIdUrl xmlns="1299d781-265f-4ceb-999e-e1eca3df2c90">
      <Url>http://dm2016/eesc/2022/_layouts/15/DocIdRedir.aspx?ID=P6FJPSUHKDC2-813086739-4141</Url>
      <Description>P6FJPSUHKDC2-813086739-4141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</TermName>
          <TermId xmlns="http://schemas.microsoft.com/office/infopath/2007/PartnerControls">9e3e62eb-6858-4bc7-8a50-3453e395fd01</TermId>
        </TermInfo>
      </Terms>
    </DocumentType_0>
    <Procedure xmlns="1299d781-265f-4ceb-999e-e1eca3df2c90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1299d781-265f-4ceb-999e-e1eca3df2c90">2022-11-04T12:00:00+00:00</ProductionDate>
    <DocumentNumber xmlns="78feecd2-a259-4a5c-b48b-4ffcf5b9c8b1">4116</DocumentNumber>
    <FicheYear xmlns="1299d781-265f-4ceb-999e-e1eca3df2c90" xsi:nil="true"/>
    <DocumentVersion xmlns="1299d781-265f-4ceb-999e-e1eca3df2c90">1</DocumentVersion>
    <DossierNumber xmlns="1299d781-265f-4ceb-999e-e1eca3df2c90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1299d781-265f-4ceb-999e-e1eca3df2c90" xsi:nil="true"/>
    <TaxCatchAll xmlns="1299d781-265f-4ceb-999e-e1eca3df2c90">
      <Value>33</Value>
      <Value>31</Value>
      <Value>46</Value>
      <Value>9</Value>
      <Value>7</Value>
      <Value>6</Value>
      <Value>175</Value>
      <Value>4</Value>
      <Value>37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1299d781-265f-4ceb-999e-e1eca3df2c90" xsi:nil="true"/>
    <DocumentYear xmlns="1299d781-265f-4ceb-999e-e1eca3df2c90">2022</DocumentYear>
    <FicheNumber xmlns="1299d781-265f-4ceb-999e-e1eca3df2c90">12880</FicheNumber>
    <OriginalSender xmlns="1299d781-265f-4ceb-999e-e1eca3df2c90">
      <UserInfo>
        <DisplayName>Rubano Noroes Silvana</DisplayName>
        <AccountId>1764</AccountId>
        <AccountType/>
      </UserInfo>
    </OriginalSender>
    <DocumentPart xmlns="1299d781-265f-4ceb-999e-e1eca3df2c90">0</DocumentPart>
    <AdoptionDate xmlns="1299d781-265f-4ceb-999e-e1eca3df2c90">2022-10-26T12:00:00+00:00</AdoptionDate>
    <RequestingService xmlns="1299d781-265f-4ceb-999e-e1eca3df2c90">Agriculture, développement rural et environnement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78feecd2-a259-4a5c-b48b-4ffcf5b9c8b1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399CBE33-E28F-4ECF-9017-2CCC914628ED}"/>
</file>

<file path=customXml/itemProps2.xml><?xml version="1.0" encoding="utf-8"?>
<ds:datastoreItem xmlns:ds="http://schemas.openxmlformats.org/officeDocument/2006/customXml" ds:itemID="{2BEA6D4C-14CF-4348-8550-A25E9773222A}"/>
</file>

<file path=customXml/itemProps3.xml><?xml version="1.0" encoding="utf-8"?>
<ds:datastoreItem xmlns:ds="http://schemas.openxmlformats.org/officeDocument/2006/customXml" ds:itemID="{287B1372-9485-4117-B44B-07FB6D4A8B7C}"/>
</file>

<file path=customXml/itemProps4.xml><?xml version="1.0" encoding="utf-8"?>
<ds:datastoreItem xmlns:ds="http://schemas.openxmlformats.org/officeDocument/2006/customXml" ds:itemID="{D314F5EB-124E-4D2E-B9BD-2B533AB8EA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3990</Words>
  <Characters>21550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RESOLUTION - Jointly tackling an existential threat: social partners and civil society for implementation of ambitious climate action</vt:lpstr>
      <vt:lpstr/>
    </vt:vector>
  </TitlesOfParts>
  <Company>EESC-ECOR</Company>
  <LinksUpToDate>false</LinksUpToDate>
  <CharactersWithSpaces>25490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Relatores: Peter Schmidt Isabel Caño Aguilar Sandra Parthie Josep Puxeu Rocamora Neža Repanšek Lutz Ribbe</dc:title>
  <dc:subject>RES</dc:subject>
  <dc:creator>Guarinoni Monica</dc:creator>
  <cp:keywords>EESC-2022-04116-00-01-RES-TRA-EN</cp:keywords>
  <dc:description>Rapporteur:  - Original language: EN - Date of document: 04-11-2022 - Date of meeting:  - External documents:  - Administrator:  CARRERAS JUDIT</dc:description>
  <cp:lastModifiedBy>Rubano Noroes Silvana</cp:lastModifiedBy>
  <cp:revision>12</cp:revision>
  <cp:lastPrinted>2022-09-02T11:47:00Z</cp:lastPrinted>
  <dcterms:created xsi:type="dcterms:W3CDTF">2022-11-04T12:59:00Z</dcterms:created>
  <dcterms:modified xsi:type="dcterms:W3CDTF">2022-11-04T15:27:00Z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04/11/2022, 27/10/2022, 11/10/2022, 28/09/2022, 23/08/2022</vt:lpwstr>
  </property>
  <property fmtid="{D5CDD505-2E9C-101B-9397-08002B2CF9AE}" pid="4" name="Pref_Time">
    <vt:lpwstr>13:47:53, 09:22:51, 09:03:19, 11:45:42, 17:23:52</vt:lpwstr>
  </property>
  <property fmtid="{D5CDD505-2E9C-101B-9397-08002B2CF9AE}" pid="5" name="Pref_User">
    <vt:lpwstr>pacup, amett, jhvi, pacup, enied</vt:lpwstr>
  </property>
  <property fmtid="{D5CDD505-2E9C-101B-9397-08002B2CF9AE}" pid="6" name="Pref_FileName">
    <vt:lpwstr>EESC-2022-04116-00-01-RES-TRA-EN-CRR.docx, EESC-2022-04116-00-00-RES-TRA-EN-CRR.docx, EESC-2022-04116-00-01-PRES-ORI.docx, EESC-2022-04116-00-00-PRES-TRA.docx, EESC-2022-04116-00-00-TCD-ORI.docx</vt:lpwstr>
  </property>
  <property fmtid="{D5CDD505-2E9C-101B-9397-08002B2CF9AE}" pid="7" name="ContentTypeId">
    <vt:lpwstr>0x010100EA97B91038054C99906057A708A1480A0048F447D380DEE94195D9369B0D252450</vt:lpwstr>
  </property>
  <property fmtid="{D5CDD505-2E9C-101B-9397-08002B2CF9AE}" pid="8" name="_dlc_DocIdItemGuid">
    <vt:lpwstr>a099197f-6096-4928-a136-184d70db19fe</vt:lpwstr>
  </property>
  <property fmtid="{D5CDD505-2E9C-101B-9397-08002B2CF9AE}" pid="9" name="AvailableTranslations">
    <vt:lpwstr>37;#PT|50ccc04a-eadd-42ae-a0cb-acaf45f812ba;#31;#ES|e7a6b05b-ae16-40c8-add9-68b64b03aeba;#46;#EL|6d4f4d51-af9b-4650-94b4-4276bee85c91;#33;#IT|0774613c-01ed-4e5d-a25d-11d2388de825;#4;#EN|f2175f21-25d7-44a3-96da-d6a61b075e1b</vt:lpwstr>
  </property>
  <property fmtid="{D5CDD505-2E9C-101B-9397-08002B2CF9AE}" pid="10" name="DocumentType_0">
    <vt:lpwstr>RES|9e3e62eb-6858-4bc7-8a50-3453e395fd01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4116</vt:i4>
  </property>
  <property fmtid="{D5CDD505-2E9C-101B-9397-08002B2CF9AE}" pid="14" name="DocumentYear">
    <vt:i4>2022</vt:i4>
  </property>
  <property fmtid="{D5CDD505-2E9C-101B-9397-08002B2CF9AE}" pid="15" name="DocumentVersion">
    <vt:i4>1</vt:i4>
  </property>
  <property fmtid="{D5CDD505-2E9C-101B-9397-08002B2CF9AE}" pid="16" name="FicheNumber">
    <vt:i4>12880</vt:i4>
  </property>
  <property fmtid="{D5CDD505-2E9C-101B-9397-08002B2CF9AE}" pid="17" name="DocumentStatus">
    <vt:lpwstr>7;#TRA|150d2a88-1431-44e6-a8ca-0bb753ab8672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1" name="AdoptionDate">
    <vt:filetime>2022-10-26T12:00:00Z</vt:filetime>
  </property>
  <property fmtid="{D5CDD505-2E9C-101B-9397-08002B2CF9AE}" pid="22" name="DocumentType">
    <vt:lpwstr>175;#RES|9e3e62eb-6858-4bc7-8a50-3453e395fd01</vt:lpwstr>
  </property>
  <property fmtid="{D5CDD505-2E9C-101B-9397-08002B2CF9AE}" pid="23" name="RequestingService">
    <vt:lpwstr>Agriculture, développement rural et environnement</vt:lpwstr>
  </property>
  <property fmtid="{D5CDD505-2E9C-101B-9397-08002B2CF9AE}" pid="24" name="Confidentiality">
    <vt:lpwstr>9;#Unrestricted|826e22d7-d029-4ec0-a450-0c28ff673572</vt:lpwstr>
  </property>
  <property fmtid="{D5CDD505-2E9C-101B-9397-08002B2CF9AE}" pid="25" name="MeetingName_0">
    <vt:lpwstr/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/>
  </property>
  <property fmtid="{D5CDD505-2E9C-101B-9397-08002B2CF9AE}" pid="30" name="AvailableTranslations_0">
    <vt:lpwstr>ES|e7a6b05b-ae16-40c8-add9-68b64b03aeba;EL|6d4f4d51-af9b-4650-94b4-4276bee85c91;IT|0774613c-01ed-4e5d-a25d-11d2388de825;EN|f2175f21-25d7-44a3-96da-d6a61b075e1b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33;#IT|0774613c-01ed-4e5d-a25d-11d2388de825;#31;#ES|e7a6b05b-ae16-40c8-add9-68b64b03aeba;#46;#EL|6d4f4d51-af9b-4650-94b4-4276bee85c91;#9;#Unrestricted|826e22d7-d029-4ec0-a450-0c28ff673572;#7;#TRA|150d2a88-1431-44e6-a8ca-0bb753ab8672;#6;#Final|ea5e6674-7b27-4bac-b091-73adbb394efe;#175;#RES|9e3e62eb-6858-4bc7-8a50-3453e395fd01;#4;#EN|f2175f21-25d7-44a3-96da-d6a61b075e1b;#1;#EESC|422833ec-8d7e-4e65-8e4e-8bed07ffb729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6;#Final|ea5e6674-7b27-4bac-b091-73adbb394efe</vt:lpwstr>
  </property>
  <property fmtid="{D5CDD505-2E9C-101B-9397-08002B2CF9AE}" pid="36" name="DocumentLanguage">
    <vt:lpwstr>37;#PT|50ccc04a-eadd-42ae-a0cb-acaf45f812ba</vt:lpwstr>
  </property>
  <property fmtid="{D5CDD505-2E9C-101B-9397-08002B2CF9AE}" pid="37" name="_docset_NoMedatataSyncRequired">
    <vt:lpwstr>False</vt:lpwstr>
  </property>
</Properties>
</file>