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5.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header1.xml" ContentType="application/vnd.openxmlformats-officedocument.wordprocessingml.header+xml"/>
  <Override PartName="/word/header9.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89"/>
      </w:tblGrid>
      <w:tr w:rsidR="00FE07DC">
        <w:trPr>
          <w:jc w:val="center"/>
        </w:trPr>
        <w:tc>
          <w:tcPr>
            <w:tcW w:w="5000" w:type="pct"/>
            <w:vAlign w:val="center"/>
          </w:tcPr>
          <w:p w:rsidRPr="00424F46" w:rsidR="00180C9D" w:rsidP="00180C9D" w:rsidRDefault="00F4047E">
            <w:pPr>
              <w:spacing w:line="288" w:lineRule="auto"/>
              <w:jc w:val="center"/>
              <w:rPr>
                <w:rFonts w:ascii="Times New Roman" w:hAnsi="Times New Roman" w:eastAsia="Times New Roman" w:cs="Times New Roman"/>
                <w:b/>
                <w:sz w:val="72"/>
                <w:szCs w:val="72"/>
              </w:rPr>
            </w:pPr>
            <w:r>
              <w:rPr>
                <w:rFonts w:ascii="Times New Roman" w:hAnsi="Times New Roman"/>
                <w:b/>
                <w:sz w:val="72"/>
              </w:rPr>
              <w:t>REZOLIUCIJA</w:t>
            </w:r>
          </w:p>
        </w:tc>
      </w:tr>
      <w:tr w:rsidR="00FE07DC">
        <w:trPr>
          <w:trHeight w:val="567"/>
          <w:jc w:val="center"/>
        </w:trPr>
        <w:tc>
          <w:tcPr>
            <w:tcW w:w="5000" w:type="pct"/>
            <w:vAlign w:val="center"/>
          </w:tcPr>
          <w:p w:rsidRPr="00424F46" w:rsidR="00180C9D" w:rsidP="00180C9D" w:rsidRDefault="00180C9D">
            <w:pPr>
              <w:spacing w:line="288" w:lineRule="auto"/>
              <w:jc w:val="center"/>
              <w:rPr>
                <w:rFonts w:ascii="Times New Roman" w:hAnsi="Times New Roman" w:eastAsia="Times New Roman" w:cs="Times New Roman"/>
                <w:sz w:val="24"/>
                <w:szCs w:val="24"/>
              </w:rPr>
            </w:pPr>
            <w:r>
              <w:rPr>
                <w:rFonts w:ascii="Times New Roman" w:hAnsi="Times New Roman"/>
                <w:sz w:val="24"/>
              </w:rPr>
              <w:t>Europos ekonomikos ir socialinių reikalų komitetas</w:t>
            </w:r>
          </w:p>
        </w:tc>
      </w:tr>
      <w:tr w:rsidR="00FE07DC">
        <w:trPr>
          <w:jc w:val="center"/>
        </w:trPr>
        <w:tc>
          <w:tcPr>
            <w:tcW w:w="5000" w:type="pct"/>
            <w:vAlign w:val="center"/>
          </w:tcPr>
          <w:p w:rsidRPr="00424F46" w:rsidR="00F4047E" w:rsidP="00EF3B48" w:rsidRDefault="00F4047E">
            <w:pPr>
              <w:spacing w:after="0" w:line="288" w:lineRule="auto"/>
              <w:jc w:val="center"/>
              <w:rPr>
                <w:rFonts w:ascii="Times New Roman" w:hAnsi="Times New Roman" w:eastAsia="Times New Roman" w:cs="Times New Roman"/>
                <w:sz w:val="44"/>
                <w:szCs w:val="44"/>
              </w:rPr>
            </w:pPr>
            <w:bookmarkStart w:name="_GoBack" w:id="0"/>
            <w:r>
              <w:rPr>
                <w:rFonts w:ascii="Times New Roman" w:hAnsi="Times New Roman"/>
                <w:b/>
                <w:sz w:val="44"/>
              </w:rPr>
              <w:t>Kartu kovoti su egzistencine grėsme. Socialiniai partneriai ir pilietinė visuomenė už plataus užmojo klimato politikos veiksmų įgyvendinimą</w:t>
            </w:r>
            <w:bookmarkEnd w:id="0"/>
          </w:p>
        </w:tc>
      </w:tr>
      <w:tr w:rsidR="00FE07DC">
        <w:trPr>
          <w:jc w:val="center"/>
        </w:trPr>
        <w:tc>
          <w:tcPr>
            <w:tcW w:w="5000" w:type="pct"/>
            <w:vAlign w:val="center"/>
          </w:tcPr>
          <w:p w:rsidRPr="00424F46" w:rsidR="008A6CF4" w:rsidRDefault="008A6CF4">
            <w:pPr>
              <w:spacing w:after="0" w:line="288" w:lineRule="auto"/>
              <w:jc w:val="center"/>
              <w:rPr>
                <w:rFonts w:ascii="Times New Roman" w:hAnsi="Times New Roman" w:eastAsia="Times New Roman" w:cs="Times New Roman"/>
                <w:b/>
                <w:bCs/>
                <w:sz w:val="44"/>
                <w:szCs w:val="44"/>
              </w:rPr>
            </w:pPr>
            <w:r>
              <w:rPr>
                <w:sz w:val="24"/>
              </w:rPr>
              <w:t>_____________</w:t>
            </w:r>
          </w:p>
        </w:tc>
      </w:tr>
      <w:tr w:rsidR="00FE07DC">
        <w:trPr>
          <w:jc w:val="center"/>
        </w:trPr>
        <w:tc>
          <w:tcPr>
            <w:tcW w:w="5000" w:type="pct"/>
            <w:vAlign w:val="center"/>
          </w:tcPr>
          <w:p w:rsidRPr="00424F46" w:rsidR="009A4326" w:rsidP="00180C9D" w:rsidRDefault="009A4326">
            <w:pPr>
              <w:spacing w:line="288" w:lineRule="auto"/>
              <w:jc w:val="center"/>
              <w:rPr>
                <w:rFonts w:ascii="Times New Roman" w:hAnsi="Times New Roman" w:eastAsia="Times New Roman" w:cs="Times New Roman"/>
              </w:rPr>
            </w:pPr>
            <w:r>
              <w:rPr>
                <w:rFonts w:ascii="Times New Roman" w:hAnsi="Times New Roman"/>
                <w:sz w:val="24"/>
              </w:rPr>
              <w:t>Kartu kovoti su egzistencine grėsme. Socialiniai partneriai ir pilietinė visuomenė už plataus užmojo klimato politikos veiksmų įgyvendinimą</w:t>
            </w:r>
          </w:p>
        </w:tc>
      </w:tr>
      <w:tr w:rsidR="00FE07DC">
        <w:trPr>
          <w:jc w:val="center"/>
        </w:trPr>
        <w:tc>
          <w:tcPr>
            <w:tcW w:w="5000" w:type="pct"/>
            <w:vAlign w:val="center"/>
          </w:tcPr>
          <w:p w:rsidRPr="00EF3B48" w:rsidR="00F4047E" w:rsidP="00EF3B48" w:rsidRDefault="00180C9D">
            <w:pPr>
              <w:spacing w:after="0" w:line="288" w:lineRule="auto"/>
              <w:jc w:val="center"/>
              <w:rPr>
                <w:rFonts w:ascii="Times New Roman" w:hAnsi="Times New Roman" w:cs="Times New Roman"/>
                <w:b/>
                <w:sz w:val="24"/>
                <w:szCs w:val="24"/>
              </w:rPr>
            </w:pPr>
            <w:r>
              <w:rPr>
                <w:rFonts w:ascii="Times New Roman" w:hAnsi="Times New Roman"/>
                <w:sz w:val="24"/>
              </w:rPr>
              <w:t xml:space="preserve">Pranešėjai </w:t>
            </w:r>
            <w:r>
              <w:rPr>
                <w:rFonts w:ascii="Times New Roman" w:hAnsi="Times New Roman"/>
                <w:b/>
                <w:sz w:val="24"/>
              </w:rPr>
              <w:t>Peter Schmidt</w:t>
            </w:r>
          </w:p>
          <w:p w:rsidRPr="00EF3B48" w:rsidR="00F4047E" w:rsidP="00EF3B48" w:rsidRDefault="00F4047E">
            <w:pPr>
              <w:spacing w:after="0" w:line="288" w:lineRule="auto"/>
              <w:ind w:left="2098"/>
              <w:jc w:val="center"/>
              <w:rPr>
                <w:rFonts w:ascii="Times New Roman" w:hAnsi="Times New Roman" w:cs="Times New Roman"/>
                <w:b/>
                <w:sz w:val="24"/>
                <w:szCs w:val="24"/>
              </w:rPr>
            </w:pPr>
            <w:r>
              <w:rPr>
                <w:rFonts w:ascii="Times New Roman" w:hAnsi="Times New Roman"/>
                <w:b/>
                <w:sz w:val="24"/>
              </w:rPr>
              <w:t>Isabel Caño Aguilar</w:t>
            </w:r>
          </w:p>
          <w:p w:rsidRPr="00EF3B48" w:rsidR="00F4047E" w:rsidP="00EF3B48" w:rsidRDefault="00F4047E">
            <w:pPr>
              <w:spacing w:after="0" w:line="288" w:lineRule="auto"/>
              <w:ind w:left="1456"/>
              <w:jc w:val="center"/>
              <w:rPr>
                <w:rFonts w:ascii="Times New Roman" w:hAnsi="Times New Roman" w:cs="Times New Roman"/>
                <w:b/>
                <w:sz w:val="24"/>
                <w:szCs w:val="24"/>
              </w:rPr>
            </w:pPr>
            <w:r>
              <w:rPr>
                <w:rFonts w:ascii="Times New Roman" w:hAnsi="Times New Roman"/>
                <w:b/>
                <w:sz w:val="24"/>
              </w:rPr>
              <w:t>Sandra Parthie</w:t>
            </w:r>
          </w:p>
          <w:p w:rsidRPr="00EF3B48" w:rsidR="00F4047E" w:rsidP="00EF3B48" w:rsidRDefault="00F4047E">
            <w:pPr>
              <w:spacing w:after="0" w:line="288" w:lineRule="auto"/>
              <w:ind w:left="2495"/>
              <w:jc w:val="center"/>
              <w:rPr>
                <w:rFonts w:ascii="Times New Roman" w:hAnsi="Times New Roman" w:cs="Times New Roman"/>
                <w:b/>
                <w:sz w:val="24"/>
                <w:szCs w:val="24"/>
              </w:rPr>
            </w:pPr>
            <w:r>
              <w:rPr>
                <w:rFonts w:ascii="Times New Roman" w:hAnsi="Times New Roman"/>
                <w:b/>
                <w:sz w:val="24"/>
              </w:rPr>
              <w:t>Josep Puxeu Rocamora</w:t>
            </w:r>
          </w:p>
          <w:p w:rsidRPr="00EF3B48" w:rsidR="00F4047E" w:rsidP="00EF3B48" w:rsidRDefault="00F4047E">
            <w:pPr>
              <w:spacing w:after="0" w:line="288" w:lineRule="auto"/>
              <w:ind w:left="1418"/>
              <w:jc w:val="center"/>
              <w:rPr>
                <w:rFonts w:ascii="Times New Roman" w:hAnsi="Times New Roman" w:cs="Times New Roman"/>
                <w:b/>
                <w:sz w:val="24"/>
                <w:szCs w:val="24"/>
              </w:rPr>
            </w:pPr>
            <w:r>
              <w:rPr>
                <w:rFonts w:ascii="Times New Roman" w:hAnsi="Times New Roman"/>
                <w:b/>
                <w:sz w:val="24"/>
              </w:rPr>
              <w:t>Neža Repanšek</w:t>
            </w:r>
          </w:p>
          <w:p w:rsidRPr="00424F46" w:rsidR="00180C9D" w:rsidP="00EF3B48" w:rsidRDefault="00F4047E">
            <w:pPr>
              <w:spacing w:after="0" w:line="288" w:lineRule="auto"/>
              <w:ind w:left="822"/>
              <w:jc w:val="center"/>
              <w:rPr>
                <w:rFonts w:ascii="Times New Roman" w:hAnsi="Times New Roman" w:eastAsia="Times New Roman" w:cs="Times New Roman"/>
              </w:rPr>
            </w:pPr>
            <w:r>
              <w:rPr>
                <w:rFonts w:ascii="Times New Roman" w:hAnsi="Times New Roman"/>
                <w:b/>
                <w:sz w:val="24"/>
              </w:rPr>
              <w:t>Lutz Ribbe</w:t>
            </w:r>
          </w:p>
        </w:tc>
      </w:tr>
    </w:tbl>
    <w:p w:rsidR="008A6CF4" w:rsidP="00180C9D" w:rsidRDefault="008A6CF4">
      <w:pPr>
        <w:spacing w:after="0" w:line="288" w:lineRule="auto"/>
        <w:jc w:val="center"/>
        <w:rPr>
          <w:rFonts w:ascii="Times New Roman" w:hAnsi="Times New Roman" w:eastAsia="Times New Roman" w:cs="Times New Roman"/>
        </w:rPr>
      </w:pPr>
      <w:r>
        <w:rPr>
          <w:rFonts w:ascii="Times New Roman" w:hAnsi="Times New Roman"/>
          <w:noProof/>
          <w:lang w:val="en-US"/>
        </w:rPr>
        <mc:AlternateContent>
          <mc:Choice Requires="wps">
            <w:drawing>
              <wp:anchor distT="0" distB="0" distL="114300" distR="114300" simplePos="0" relativeHeight="251659776" behindDoc="1" locked="0" layoutInCell="0" allowOverlap="1" wp14:editId="45C41535" wp14:anchorId="1E2F02F8">
                <wp:simplePos x="0" y="0"/>
                <wp:positionH relativeFrom="rightMargin">
                  <wp:posOffset>-204079</wp:posOffset>
                </wp:positionH>
                <wp:positionV relativeFrom="page">
                  <wp:posOffset>9488658</wp:posOffset>
                </wp:positionV>
                <wp:extent cx="741045" cy="431800"/>
                <wp:effectExtent l="0" t="0" r="0" b="6350"/>
                <wp:wrapNone/>
                <wp:docPr id="3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C9D" w:rsidP="00180C9D" w:rsidRDefault="00180C9D">
                            <w:pPr>
                              <w:jc w:val="center"/>
                            </w:pPr>
                            <w:r>
                              <w:rPr>
                                <w:rFonts w:ascii="Arial" w:hAnsi="Arial"/>
                                <w:b/>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E2F02F8">
                <v:stroke joinstyle="miter"/>
                <v:path gradientshapeok="t" o:connecttype="rect"/>
              </v:shapetype>
              <v:shape id="Text Box 17" style="position:absolute;left:0;text-align:left;margin-left:-16.05pt;margin-top:747.15pt;width:58.35pt;height:34pt;z-index:-2516567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YqDuAIAALo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">
                <v:textbox>
                  <w:txbxContent>
                    <w:p w:rsidR="00180C9D" w:rsidP="00180C9D" w:rsidRDefault="00180C9D">
                      <w:pPr>
                        <w:jc w:val="center"/>
                      </w:pPr>
                      <w:r>
                        <w:rPr>
                          <w:rFonts w:ascii="Arial" w:hAnsi="Arial"/>
                          <w:b/>
                          <w:sz w:val="48"/>
                        </w:rPr>
                        <w:t>LT</w:t>
                      </w:r>
                    </w:p>
                  </w:txbxContent>
                </v:textbox>
                <w10:wrap anchorx="margin" anchory="page"/>
              </v:shape>
            </w:pict>
          </mc:Fallback>
        </mc:AlternateContent>
      </w:r>
    </w:p>
    <w:p w:rsidRPr="00424F46" w:rsidR="00180C9D" w:rsidP="00180C9D" w:rsidRDefault="00180C9D">
      <w:pPr>
        <w:spacing w:after="0" w:line="288" w:lineRule="auto"/>
        <w:jc w:val="center"/>
        <w:rPr>
          <w:rFonts w:ascii="Times New Roman" w:hAnsi="Times New Roman" w:eastAsia="Times New Roman" w:cs="Times New Roman"/>
          <w:lang w:val="en-GB"/>
        </w:rPr>
      </w:pPr>
    </w:p>
    <w:p w:rsidRPr="00424F46" w:rsidR="00180C9D" w:rsidP="00180C9D" w:rsidRDefault="00180C9D">
      <w:pPr>
        <w:spacing w:after="0" w:line="288" w:lineRule="auto"/>
        <w:jc w:val="center"/>
        <w:rPr>
          <w:rFonts w:ascii="Times New Roman" w:hAnsi="Times New Roman" w:eastAsia="Times New Roman" w:cs="Times New Roman"/>
          <w:lang w:val="en-GB"/>
        </w:rPr>
        <w:sectPr w:rsidRPr="00424F46" w:rsidR="00180C9D" w:rsidSect="008A6CF4">
          <w:headerReference w:type="even" r:id="rId11"/>
          <w:headerReference w:type="default" r:id="rId12"/>
          <w:footerReference w:type="even" r:id="rId13"/>
          <w:footerReference w:type="default" r:id="rId14"/>
          <w:headerReference w:type="first" r:id="rId15"/>
          <w:footerReference w:type="first" r:id="rId16"/>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FE07DC">
        <w:tc>
          <w:tcPr>
            <w:tcW w:w="3085" w:type="dxa"/>
          </w:tcPr>
          <w:p w:rsidRPr="00424F46" w:rsidR="00180C9D" w:rsidP="00F4047E" w:rsidRDefault="009A4326">
            <w:pPr>
              <w:spacing w:after="0" w:line="288" w:lineRule="auto"/>
              <w:jc w:val="both"/>
              <w:rPr>
                <w:rFonts w:ascii="Times New Roman" w:hAnsi="Times New Roman" w:eastAsia="Times New Roman" w:cs="Times New Roman"/>
              </w:rPr>
            </w:pPr>
            <w:r>
              <w:rPr>
                <w:rFonts w:ascii="Times New Roman" w:hAnsi="Times New Roman"/>
              </w:rPr>
              <w:lastRenderedPageBreak/>
              <w:t>Teisinis pagrindas</w:t>
            </w:r>
          </w:p>
        </w:tc>
        <w:tc>
          <w:tcPr>
            <w:tcW w:w="6204" w:type="dxa"/>
            <w:vAlign w:val="bottom"/>
          </w:tcPr>
          <w:p w:rsidRPr="00424F46" w:rsidR="009A4326" w:rsidP="009A4326" w:rsidRDefault="009A4326">
            <w:pPr>
              <w:spacing w:after="0" w:line="288" w:lineRule="auto"/>
              <w:jc w:val="both"/>
              <w:rPr>
                <w:rFonts w:ascii="Times New Roman" w:hAnsi="Times New Roman" w:eastAsia="Times New Roman" w:cs="Times New Roman"/>
              </w:rPr>
            </w:pPr>
            <w:r>
              <w:rPr>
                <w:rFonts w:ascii="Times New Roman" w:hAnsi="Times New Roman"/>
              </w:rPr>
              <w:t>Darbo tvarkos taisyklių 50 straipsnis</w:t>
            </w:r>
          </w:p>
          <w:p w:rsidRPr="00424F46" w:rsidR="00180C9D" w:rsidP="009A4326" w:rsidRDefault="009A4326">
            <w:pPr>
              <w:spacing w:after="0" w:line="288" w:lineRule="auto"/>
              <w:jc w:val="both"/>
              <w:rPr>
                <w:rFonts w:ascii="Times New Roman" w:hAnsi="Times New Roman" w:eastAsia="Times New Roman" w:cs="Times New Roman"/>
              </w:rPr>
            </w:pPr>
            <w:r>
              <w:rPr>
                <w:rFonts w:ascii="Times New Roman" w:hAnsi="Times New Roman"/>
              </w:rPr>
              <w:t>Rezoliucija</w:t>
            </w:r>
          </w:p>
        </w:tc>
      </w:tr>
      <w:tr w:rsidR="00FE07DC">
        <w:tc>
          <w:tcPr>
            <w:tcW w:w="3085" w:type="dxa"/>
          </w:tcPr>
          <w:p w:rsidRPr="00424F46" w:rsidR="00180C9D" w:rsidP="00F4047E" w:rsidRDefault="009A4326">
            <w:pPr>
              <w:spacing w:after="0" w:line="288" w:lineRule="auto"/>
              <w:jc w:val="both"/>
              <w:rPr>
                <w:rFonts w:ascii="Times New Roman" w:hAnsi="Times New Roman" w:eastAsia="Times New Roman" w:cs="Times New Roman"/>
              </w:rPr>
            </w:pPr>
            <w:r>
              <w:rPr>
                <w:rFonts w:ascii="Times New Roman" w:hAnsi="Times New Roman"/>
              </w:rPr>
              <w:t>Priimta plenarinėje sesijoje</w:t>
            </w:r>
          </w:p>
        </w:tc>
        <w:tc>
          <w:tcPr>
            <w:tcW w:w="6204" w:type="dxa"/>
            <w:vAlign w:val="bottom"/>
          </w:tcPr>
          <w:p w:rsidRPr="00424F46" w:rsidR="00180C9D" w:rsidP="00F4047E" w:rsidRDefault="006B78AF">
            <w:pPr>
              <w:spacing w:after="0" w:line="288" w:lineRule="auto"/>
              <w:jc w:val="both"/>
              <w:rPr>
                <w:rFonts w:ascii="Times New Roman" w:hAnsi="Times New Roman" w:eastAsia="Times New Roman" w:cs="Times New Roman"/>
              </w:rPr>
            </w:pPr>
            <w:r>
              <w:rPr>
                <w:rFonts w:ascii="Times New Roman" w:hAnsi="Times New Roman"/>
              </w:rPr>
              <w:t>26/10/2022</w:t>
            </w:r>
          </w:p>
        </w:tc>
      </w:tr>
      <w:tr w:rsidR="00FE07DC">
        <w:tc>
          <w:tcPr>
            <w:tcW w:w="3085" w:type="dxa"/>
          </w:tcPr>
          <w:p w:rsidRPr="00424F46" w:rsidR="00180C9D" w:rsidP="00F4047E" w:rsidRDefault="009A4326">
            <w:pPr>
              <w:spacing w:after="0" w:line="288" w:lineRule="auto"/>
              <w:jc w:val="both"/>
              <w:rPr>
                <w:rFonts w:ascii="Times New Roman" w:hAnsi="Times New Roman" w:eastAsia="Times New Roman" w:cs="Times New Roman"/>
              </w:rPr>
            </w:pPr>
            <w:r>
              <w:rPr>
                <w:rFonts w:ascii="Times New Roman" w:hAnsi="Times New Roman"/>
              </w:rPr>
              <w:t>Plenarinė sesija Nr.</w:t>
            </w:r>
          </w:p>
        </w:tc>
        <w:tc>
          <w:tcPr>
            <w:tcW w:w="6204" w:type="dxa"/>
            <w:vAlign w:val="bottom"/>
          </w:tcPr>
          <w:p w:rsidRPr="00424F46" w:rsidR="00180C9D" w:rsidP="00F4047E" w:rsidRDefault="006B78AF">
            <w:pPr>
              <w:spacing w:after="0" w:line="288" w:lineRule="auto"/>
              <w:jc w:val="both"/>
              <w:rPr>
                <w:rFonts w:ascii="Times New Roman" w:hAnsi="Times New Roman" w:eastAsia="Times New Roman" w:cs="Times New Roman"/>
              </w:rPr>
            </w:pPr>
            <w:r>
              <w:rPr>
                <w:rFonts w:ascii="Times New Roman" w:hAnsi="Times New Roman"/>
              </w:rPr>
              <w:t>573</w:t>
            </w:r>
          </w:p>
        </w:tc>
      </w:tr>
      <w:tr w:rsidR="00FE07DC">
        <w:tc>
          <w:tcPr>
            <w:tcW w:w="3085" w:type="dxa"/>
          </w:tcPr>
          <w:p w:rsidRPr="00424F46" w:rsidR="00180C9D" w:rsidP="00F4047E" w:rsidRDefault="00033E2E">
            <w:pPr>
              <w:spacing w:after="0" w:line="288" w:lineRule="auto"/>
              <w:rPr>
                <w:rFonts w:ascii="Times New Roman" w:hAnsi="Times New Roman" w:eastAsia="Times New Roman" w:cs="Times New Roman"/>
              </w:rPr>
            </w:pPr>
            <w:r>
              <w:rPr>
                <w:rFonts w:ascii="Times New Roman" w:hAnsi="Times New Roman"/>
              </w:rPr>
              <w:t>Balsavimo rezultatai</w:t>
            </w:r>
            <w:r w:rsidR="009A4326">
              <w:rPr>
                <w:rFonts w:ascii="Times New Roman" w:hAnsi="Times New Roman"/>
              </w:rPr>
              <w:br/>
              <w:t>(už / prieš / susilaikė)</w:t>
            </w:r>
          </w:p>
        </w:tc>
        <w:tc>
          <w:tcPr>
            <w:tcW w:w="6204" w:type="dxa"/>
            <w:vAlign w:val="bottom"/>
          </w:tcPr>
          <w:p w:rsidRPr="00424F46" w:rsidR="00180C9D" w:rsidP="00E567D2" w:rsidRDefault="00B45F35">
            <w:pPr>
              <w:spacing w:after="0" w:line="288" w:lineRule="auto"/>
              <w:jc w:val="both"/>
              <w:rPr>
                <w:rFonts w:ascii="Times New Roman" w:hAnsi="Times New Roman" w:eastAsia="Times New Roman" w:cs="Times New Roman"/>
              </w:rPr>
            </w:pPr>
            <w:r>
              <w:rPr>
                <w:rFonts w:ascii="Times New Roman" w:hAnsi="Times New Roman"/>
              </w:rPr>
              <w:t>104 / 1 / 0</w:t>
            </w:r>
          </w:p>
        </w:tc>
      </w:tr>
    </w:tbl>
    <w:p w:rsidRPr="00424F46" w:rsidR="00180C9D" w:rsidP="00180C9D" w:rsidRDefault="00180C9D">
      <w:pPr>
        <w:spacing w:after="0" w:line="288" w:lineRule="auto"/>
        <w:jc w:val="center"/>
        <w:rPr>
          <w:rFonts w:ascii="Times New Roman" w:hAnsi="Times New Roman" w:eastAsia="Times New Roman" w:cs="Times New Roman"/>
          <w:lang w:val="en-GB"/>
        </w:rPr>
      </w:pPr>
    </w:p>
    <w:p w:rsidRPr="00424F46" w:rsidR="00180C9D" w:rsidP="00180C9D" w:rsidRDefault="00180C9D">
      <w:pPr>
        <w:spacing w:after="0" w:line="288" w:lineRule="auto"/>
        <w:jc w:val="center"/>
        <w:rPr>
          <w:rFonts w:ascii="Times New Roman" w:hAnsi="Times New Roman" w:eastAsia="Times New Roman" w:cs="Times New Roman"/>
          <w:lang w:val="en-GB"/>
        </w:rPr>
        <w:sectPr w:rsidRPr="00424F46" w:rsidR="00180C9D" w:rsidSect="008A6CF4">
          <w:headerReference w:type="even" r:id="rId17"/>
          <w:headerReference w:type="default" r:id="rId18"/>
          <w:footerReference w:type="default" r:id="rId19"/>
          <w:headerReference w:type="first" r:id="rId20"/>
          <w:pgSz w:w="11907" w:h="16839" w:code="9"/>
          <w:pgMar w:top="5669" w:right="1418" w:bottom="1418" w:left="1418" w:header="709" w:footer="709" w:gutter="0"/>
          <w:cols w:space="720"/>
          <w:docGrid w:linePitch="360"/>
        </w:sectPr>
      </w:pPr>
    </w:p>
    <w:p w:rsidRPr="00424F46" w:rsidR="00020F19" w:rsidP="00EF3B48" w:rsidRDefault="00020F19">
      <w:pPr>
        <w:keepNext/>
        <w:spacing w:after="0" w:line="288" w:lineRule="auto"/>
        <w:jc w:val="center"/>
        <w:rPr>
          <w:rFonts w:ascii="Times New Roman" w:hAnsi="Times New Roman" w:cs="Times New Roman"/>
          <w:b/>
          <w:sz w:val="24"/>
          <w:szCs w:val="24"/>
        </w:rPr>
      </w:pPr>
      <w:r>
        <w:rPr>
          <w:rFonts w:ascii="Times New Roman" w:hAnsi="Times New Roman"/>
          <w:b/>
          <w:sz w:val="24"/>
        </w:rPr>
        <w:lastRenderedPageBreak/>
        <w:t>Kartu kovoti su egzistencine grėsme. Socialiniai partneriai ir pilietinė visuomenė už plataus užmojo klimato politikos veiksmų įgyvendinimą</w:t>
      </w:r>
    </w:p>
    <w:p w:rsidRPr="00424F46" w:rsidR="00020F19" w:rsidP="00EF3B48" w:rsidRDefault="00020F19">
      <w:pPr>
        <w:keepNext/>
        <w:spacing w:after="0" w:line="288" w:lineRule="auto"/>
        <w:jc w:val="center"/>
        <w:rPr>
          <w:rFonts w:ascii="Times New Roman" w:hAnsi="Times New Roman" w:cs="Times New Roman"/>
          <w:bCs/>
          <w:lang w:val="en-GB"/>
        </w:rPr>
      </w:pPr>
    </w:p>
    <w:p w:rsidRPr="00424F46" w:rsidR="00020F19" w:rsidP="00EF3B48" w:rsidRDefault="00020F19">
      <w:pPr>
        <w:keepNext/>
        <w:spacing w:after="0" w:line="288" w:lineRule="auto"/>
        <w:jc w:val="both"/>
        <w:rPr>
          <w:rFonts w:ascii="Times New Roman" w:hAnsi="Times New Roman" w:cs="Times New Roman"/>
          <w:bCs/>
        </w:rPr>
      </w:pPr>
      <w:r>
        <w:rPr>
          <w:rFonts w:ascii="Times New Roman" w:hAnsi="Times New Roman"/>
        </w:rPr>
        <w:t>Metinis Jungtinių Tautų bendrosios klimato kaitos konvencijos šalių konferencijos susitikimas (COP 27) vyks lapkričio 6–18 d. Šarm aš Šeiche (Egipte).</w:t>
      </w:r>
    </w:p>
    <w:p w:rsidRPr="00424F46" w:rsidR="00C0106D" w:rsidP="00765637" w:rsidRDefault="00C0106D">
      <w:pPr>
        <w:spacing w:after="0" w:line="288" w:lineRule="auto"/>
        <w:jc w:val="both"/>
        <w:rPr>
          <w:rFonts w:ascii="Times New Roman" w:hAnsi="Times New Roman" w:cs="Times New Roman"/>
          <w:bCs/>
          <w:sz w:val="18"/>
          <w:szCs w:val="18"/>
          <w:lang w:val="en-GB"/>
        </w:rPr>
      </w:pPr>
    </w:p>
    <w:p w:rsidRPr="00424F46" w:rsidR="00020F19" w:rsidP="00765637" w:rsidRDefault="00570F8A">
      <w:pPr>
        <w:spacing w:after="0" w:line="288" w:lineRule="auto"/>
        <w:jc w:val="both"/>
        <w:rPr>
          <w:rFonts w:ascii="Times New Roman" w:hAnsi="Times New Roman" w:cs="Times New Roman"/>
          <w:bCs/>
        </w:rPr>
      </w:pPr>
      <w:r>
        <w:rPr>
          <w:rFonts w:ascii="Times New Roman" w:hAnsi="Times New Roman"/>
        </w:rPr>
        <w:t xml:space="preserve">Atsižvelgdamas į 2022 m. vasario 22 d. EESRK biuro pranešimą, EESRK įsteigė </w:t>
      </w:r>
      <w:r>
        <w:rPr>
          <w:rFonts w:ascii="Times New Roman" w:hAnsi="Times New Roman"/>
          <w:i/>
        </w:rPr>
        <w:t>ad hoc</w:t>
      </w:r>
      <w:r>
        <w:rPr>
          <w:rFonts w:ascii="Times New Roman" w:hAnsi="Times New Roman"/>
        </w:rPr>
        <w:t xml:space="preserve"> grupę dėl Jungtinių Tautų bendrosios klimato kaitos konvencijos šalių konferencijos, kad parengtų EESRK COP rezoliuciją, suderintą su kitos COP prioritetais ir UNFCCC derybų procesais, ir kad Komitetas apskritai geriau susipažintų su UNFCCC procesu ir įsitrauktų į derybas dėl klimato kaitos.</w:t>
      </w:r>
    </w:p>
    <w:p w:rsidRPr="00424F46" w:rsidR="00C0106D" w:rsidP="00765637" w:rsidRDefault="00C0106D">
      <w:pPr>
        <w:spacing w:after="0" w:line="288" w:lineRule="auto"/>
        <w:jc w:val="both"/>
        <w:rPr>
          <w:rFonts w:ascii="Times New Roman" w:hAnsi="Times New Roman" w:cs="Times New Roman"/>
          <w:bCs/>
          <w:sz w:val="18"/>
          <w:szCs w:val="18"/>
          <w:lang w:val="en-GB"/>
        </w:rPr>
      </w:pPr>
    </w:p>
    <w:p w:rsidRPr="00424F46" w:rsidR="00020F19" w:rsidP="00765637" w:rsidRDefault="00020F19">
      <w:pPr>
        <w:spacing w:after="0" w:line="288" w:lineRule="auto"/>
        <w:jc w:val="both"/>
        <w:rPr>
          <w:rFonts w:ascii="Times New Roman" w:hAnsi="Times New Roman" w:cs="Times New Roman"/>
          <w:bCs/>
          <w:spacing w:val="-6"/>
        </w:rPr>
      </w:pPr>
      <w:r>
        <w:rPr>
          <w:rFonts w:ascii="Times New Roman" w:hAnsi="Times New Roman"/>
          <w:i/>
        </w:rPr>
        <w:t>Ad hoc</w:t>
      </w:r>
      <w:r>
        <w:rPr>
          <w:rFonts w:ascii="Times New Roman" w:hAnsi="Times New Roman"/>
        </w:rPr>
        <w:t xml:space="preserve"> grupę sudaro šeši nariai iš NAT skyriaus ir reguliariai dalyvaujantis jaunimo atstovas, atsižvelgiant į nuomonę savo iniciatyva </w:t>
      </w:r>
      <w:hyperlink w:history="1" r:id="rId21">
        <w:r>
          <w:rPr>
            <w:rStyle w:val="Hyperlink"/>
            <w:rFonts w:ascii="Times New Roman" w:hAnsi="Times New Roman"/>
          </w:rPr>
          <w:t>NAT/788 „Struktūruoto jaunimo dalyvavimo ES sprendimų priėmimo procese klimato ir tvarumo klausimais skatinimas“</w:t>
        </w:r>
      </w:hyperlink>
      <w:r>
        <w:rPr>
          <w:rFonts w:ascii="Times New Roman" w:hAnsi="Times New Roman"/>
        </w:rPr>
        <w:t xml:space="preserve">. Per pastaruosius kelis mėnesius </w:t>
      </w:r>
      <w:r>
        <w:rPr>
          <w:rFonts w:ascii="Times New Roman" w:hAnsi="Times New Roman"/>
          <w:i/>
        </w:rPr>
        <w:t>ad hoc</w:t>
      </w:r>
      <w:r>
        <w:rPr>
          <w:rFonts w:ascii="Times New Roman" w:hAnsi="Times New Roman"/>
        </w:rPr>
        <w:t xml:space="preserve"> grupė susitiko su atitinkamomis organizacijomis ir institucijomis, pavyzdžiui, Europos Komisija, Regionų komitetu, Aukšto lygio lyderių klimato kaitos srityje biuru ir organizacija „Climate Action Tracker“, taip pat pilietinės visuomenės grupių – jaunimo, verslo, ūkininkų, profesinių sąjungų ir aplinkosaugos NVO – atstovais, kad pasikeistų informacija ir skatintų sinergiją. Visuose šiuose pokalbiuose buvo pabrėžiama, jog klimato situacija yra ekstremali.</w:t>
      </w:r>
    </w:p>
    <w:p w:rsidRPr="00424F46" w:rsidR="00C0106D" w:rsidP="00765637" w:rsidRDefault="00C0106D">
      <w:pPr>
        <w:spacing w:after="0" w:line="288" w:lineRule="auto"/>
        <w:jc w:val="both"/>
        <w:rPr>
          <w:rFonts w:ascii="Times New Roman" w:hAnsi="Times New Roman" w:cs="Times New Roman"/>
          <w:bCs/>
          <w:sz w:val="18"/>
          <w:szCs w:val="18"/>
          <w:lang w:val="en-GB"/>
        </w:rPr>
      </w:pPr>
    </w:p>
    <w:p w:rsidRPr="00424F46" w:rsidR="00020F19" w:rsidP="00765637" w:rsidRDefault="00020F19">
      <w:pPr>
        <w:spacing w:after="0" w:line="288" w:lineRule="auto"/>
        <w:jc w:val="both"/>
        <w:rPr>
          <w:rFonts w:ascii="Times New Roman" w:hAnsi="Times New Roman" w:cs="Times New Roman"/>
          <w:bCs/>
        </w:rPr>
      </w:pPr>
      <w:r>
        <w:rPr>
          <w:rFonts w:ascii="Times New Roman" w:hAnsi="Times New Roman"/>
        </w:rPr>
        <w:t>2022-ieji tampa metais, kai dėl klimato kaitos ekstremalūs meteorologiniai reiškiniai darosi vis dažnesni nei kada nors anksčiau: pradedant karščio bangomis ir gaisrais Europoje ir kai kuriose Pietų Azijos dalyse, baigiant pražūtingais potvyniais Pakistane ir Bangladeše ir užsitęsusia sausra Rytų Afrikoje, kai tūkstančiai žmonių žuvo ir milijonai buvo priversti palikti savo gyvenamas vietas arba atsidūrė ties bado riba.</w:t>
      </w:r>
    </w:p>
    <w:p w:rsidRPr="00424F46" w:rsidR="00C0106D" w:rsidP="00765637" w:rsidRDefault="00C0106D">
      <w:pPr>
        <w:spacing w:after="0" w:line="288" w:lineRule="auto"/>
        <w:jc w:val="both"/>
        <w:rPr>
          <w:rFonts w:ascii="Times New Roman" w:hAnsi="Times New Roman" w:cs="Times New Roman"/>
          <w:bCs/>
          <w:sz w:val="18"/>
          <w:szCs w:val="18"/>
          <w:lang w:val="en-GB"/>
        </w:rPr>
      </w:pPr>
    </w:p>
    <w:p w:rsidRPr="00424F46" w:rsidR="00020F19" w:rsidP="00765637" w:rsidRDefault="00020F19">
      <w:pPr>
        <w:spacing w:after="0" w:line="288" w:lineRule="auto"/>
        <w:jc w:val="both"/>
        <w:rPr>
          <w:rFonts w:ascii="Times New Roman" w:hAnsi="Times New Roman" w:cs="Times New Roman"/>
          <w:bCs/>
        </w:rPr>
      </w:pPr>
      <w:r>
        <w:rPr>
          <w:rFonts w:ascii="Times New Roman" w:hAnsi="Times New Roman"/>
        </w:rPr>
        <w:t xml:space="preserve">Šiuo atžvilgiu </w:t>
      </w:r>
      <w:hyperlink w:history="1" r:id="rId22">
        <w:r>
          <w:rPr>
            <w:rStyle w:val="Hyperlink"/>
            <w:rFonts w:ascii="Times New Roman" w:hAnsi="Times New Roman"/>
          </w:rPr>
          <w:t>Tarpvyriausybinės klimato kaitos komisijos</w:t>
        </w:r>
      </w:hyperlink>
      <w:r>
        <w:rPr>
          <w:rFonts w:ascii="Times New Roman" w:hAnsi="Times New Roman"/>
        </w:rPr>
        <w:t xml:space="preserve"> neseniai pateiktoje ataskaitoje teigiama, kad, siekiant apriboti visuotinį atšilimą iki 1,5 °C, išmetamas šiltnamio efektą sukeliančių dujų kiekis turi nustoti didėti „ne vėliau kaip iki 2025 m.“, kad iki 2030 m. išmetamųjų teršalų kiekis turi būti sumažintas perpus ir kad tam būtina iš esmės ir nedelsiant sumažinti išmetamųjų teršalų kiekį visuose sektoriuose. Tačiau prognozuojama, kad dėl </w:t>
      </w:r>
      <w:hyperlink w:history="1" r:id="rId23">
        <w:r>
          <w:rPr>
            <w:rStyle w:val="Hyperlink"/>
            <w:rFonts w:ascii="Times New Roman" w:hAnsi="Times New Roman"/>
          </w:rPr>
          <w:t>šiuo metu vykdomos politikos</w:t>
        </w:r>
      </w:hyperlink>
      <w:r>
        <w:rPr>
          <w:rFonts w:ascii="Times New Roman" w:hAnsi="Times New Roman"/>
        </w:rPr>
        <w:t xml:space="preserve"> visuotinį atšilimą pavyks apriboti iki maždaug 2,7 °C, o dėl dabartinių šalių įsipareigojimų – nacionaliniu lygmeniu nustatytų įpareigojančių veiksmų – iki 2,4 °C.</w:t>
      </w:r>
    </w:p>
    <w:p w:rsidRPr="00424F46" w:rsidR="00C0106D" w:rsidP="00765637" w:rsidRDefault="00C0106D">
      <w:pPr>
        <w:spacing w:after="0" w:line="288" w:lineRule="auto"/>
        <w:jc w:val="both"/>
        <w:rPr>
          <w:rFonts w:ascii="Times New Roman" w:hAnsi="Times New Roman" w:cs="Times New Roman"/>
          <w:bCs/>
          <w:sz w:val="18"/>
          <w:szCs w:val="18"/>
          <w:lang w:val="en-GB"/>
        </w:rPr>
      </w:pPr>
    </w:p>
    <w:p w:rsidRPr="00424F46" w:rsidR="00020F19" w:rsidP="00765637" w:rsidRDefault="00020F19">
      <w:pPr>
        <w:spacing w:after="0" w:line="288" w:lineRule="auto"/>
        <w:jc w:val="both"/>
        <w:rPr>
          <w:rFonts w:ascii="Times New Roman" w:hAnsi="Times New Roman" w:cs="Times New Roman"/>
          <w:bCs/>
        </w:rPr>
      </w:pPr>
      <w:r>
        <w:rPr>
          <w:rFonts w:ascii="Times New Roman" w:hAnsi="Times New Roman"/>
        </w:rPr>
        <w:t>Rusijos invazija į Ukrainą labai apsunkino ir taip sudėtingą ekonominę ir socialinę situaciją. Nepaisant to, klimato klausimo sprendimo negalima atidėlioti. Visos priimtos specialios priemonės turi būti išimtinės ir ribotos trukmės, o Europos Sąjunga turi paspartinti savo energetikos ir klimato politikos pertvarkymą, kad būtų galima įveikti trumpalaikius sukrėtimus ir kartu siekti neišvengiamo visuomenės priklausomybės nuo iškastinio kuro mažinimo. Europa turi pirmauti klimato politikos srityje ir panaikinti atotrūkį tarp užmojų ir politikos priemonių.</w:t>
      </w:r>
    </w:p>
    <w:p w:rsidRPr="00424F46" w:rsidR="00C0106D" w:rsidP="00765637" w:rsidRDefault="00C0106D">
      <w:pPr>
        <w:spacing w:after="0" w:line="288" w:lineRule="auto"/>
        <w:jc w:val="both"/>
        <w:rPr>
          <w:rFonts w:ascii="Times New Roman" w:hAnsi="Times New Roman" w:cs="Times New Roman"/>
          <w:bCs/>
          <w:sz w:val="18"/>
          <w:szCs w:val="18"/>
          <w:lang w:val="en-GB"/>
        </w:rPr>
      </w:pPr>
    </w:p>
    <w:p w:rsidRPr="00424F46" w:rsidR="00020F19" w:rsidP="00765637" w:rsidRDefault="00020F19">
      <w:pPr>
        <w:spacing w:after="0" w:line="288" w:lineRule="auto"/>
        <w:jc w:val="both"/>
        <w:rPr>
          <w:rFonts w:ascii="Times New Roman" w:hAnsi="Times New Roman" w:cs="Times New Roman"/>
          <w:bCs/>
        </w:rPr>
      </w:pPr>
      <w:r>
        <w:rPr>
          <w:rFonts w:ascii="Times New Roman" w:hAnsi="Times New Roman"/>
          <w:i/>
          <w:iCs/>
        </w:rPr>
        <w:t>Ad hoc</w:t>
      </w:r>
      <w:r>
        <w:rPr>
          <w:rFonts w:ascii="Times New Roman" w:hAnsi="Times New Roman"/>
        </w:rPr>
        <w:t xml:space="preserve"> grupės narių parengtoje rezoliucijoje ES institucijos ir vyriausybės raginamos, vadovaujantis mokslu ir moksline informacija,  didinti klimato srities užmojus, ir ypatingas dėmesys skiriamas organizuotos pilietinės visuomenės vaidmeniui spartinant klimato politikos veiksmus. Socialinį atsparumą galima sustiprinti tik įgalėjus pilietinei visuomenei, socialiniams veikėjams ir visuomeniniams judėjimams.</w:t>
      </w:r>
    </w:p>
    <w:p w:rsidRPr="00424F46" w:rsidR="00765637" w:rsidP="00765637" w:rsidRDefault="00765637">
      <w:pPr>
        <w:spacing w:after="0" w:line="288" w:lineRule="auto"/>
        <w:jc w:val="both"/>
        <w:rPr>
          <w:rFonts w:ascii="Times New Roman" w:hAnsi="Times New Roman" w:cs="Times New Roman"/>
          <w:bCs/>
          <w:sz w:val="18"/>
          <w:szCs w:val="18"/>
          <w:lang w:val="en-GB"/>
        </w:rPr>
      </w:pPr>
    </w:p>
    <w:p w:rsidRPr="00424F46" w:rsidR="00765637" w:rsidRDefault="00020F19">
      <w:pPr>
        <w:spacing w:after="0" w:line="288" w:lineRule="auto"/>
        <w:jc w:val="center"/>
        <w:rPr>
          <w:rFonts w:ascii="Times New Roman" w:hAnsi="Times New Roman" w:cs="Times New Roman"/>
          <w:bCs/>
          <w:i/>
          <w:iCs/>
        </w:rPr>
      </w:pPr>
      <w:r>
        <w:rPr>
          <w:rFonts w:ascii="Times New Roman" w:hAnsi="Times New Roman"/>
          <w:i/>
        </w:rPr>
        <w:lastRenderedPageBreak/>
        <w:t>Esame paskutinė karta, galinti sustabdyti klimato kaitą, ir EESRK, kalbantis Europos pilietinės visuomenės vardu, turėtų atlikti pagrindinį vaidmenį skatindamas šiuos pokyčius siekiant neutralaus anglies dioksido poveikio, įtraukios ir socialiai teisingos visuomenės.</w:t>
      </w:r>
      <w:r>
        <w:rPr>
          <w:rFonts w:ascii="Times New Roman" w:hAnsi="Times New Roman"/>
          <w:i/>
        </w:rPr>
        <w:br w:type="page"/>
      </w:r>
    </w:p>
    <w:p w:rsidRPr="00424F46" w:rsidR="0040134E" w:rsidP="00EF3B48" w:rsidRDefault="0040134E">
      <w:pPr>
        <w:keepNext/>
        <w:spacing w:after="0" w:line="288" w:lineRule="auto"/>
        <w:jc w:val="both"/>
        <w:rPr>
          <w:rFonts w:ascii="Times New Roman" w:hAnsi="Times New Roman" w:cs="Times New Roman"/>
          <w:b/>
        </w:rPr>
      </w:pPr>
      <w:r>
        <w:rPr>
          <w:rFonts w:ascii="Times New Roman" w:hAnsi="Times New Roman"/>
          <w:b/>
        </w:rPr>
        <w:lastRenderedPageBreak/>
        <w:t>EUROPOS EKONOMIKOS IR SOCIALINIŲ REIKALŲ KOMITETO POLITINĖS REKOMENDACIJOS</w:t>
      </w:r>
    </w:p>
    <w:p w:rsidRPr="00424F46" w:rsidR="00765637" w:rsidP="00EF3B48" w:rsidRDefault="00765637">
      <w:pPr>
        <w:keepNext/>
        <w:spacing w:after="0" w:line="288" w:lineRule="auto"/>
        <w:jc w:val="both"/>
        <w:rPr>
          <w:rFonts w:ascii="Times New Roman" w:hAnsi="Times New Roman" w:cs="Times New Roman"/>
          <w:b/>
          <w:lang w:val="en-GB"/>
        </w:rPr>
      </w:pPr>
    </w:p>
    <w:p w:rsidRPr="00424F46" w:rsidR="0040134E" w:rsidP="00EF3B48" w:rsidRDefault="00492189">
      <w:pPr>
        <w:keepNext/>
        <w:spacing w:after="0" w:line="288" w:lineRule="auto"/>
        <w:jc w:val="both"/>
        <w:rPr>
          <w:rFonts w:ascii="Times New Roman" w:hAnsi="Times New Roman"/>
          <w:b/>
          <w:i/>
        </w:rPr>
      </w:pPr>
      <w:r>
        <w:rPr>
          <w:rFonts w:ascii="Times New Roman" w:hAnsi="Times New Roman"/>
          <w:b/>
          <w:i/>
        </w:rPr>
        <w:t>Didinti klimato srities užmojus reaguojant į kritinę klimato padėtį ir stiprinti ES klimato politikos veiksmus</w:t>
      </w:r>
    </w:p>
    <w:p w:rsidRPr="00424F46" w:rsidR="00765637" w:rsidP="00EF3B48" w:rsidRDefault="00765637">
      <w:pPr>
        <w:keepNext/>
        <w:spacing w:after="0" w:line="288" w:lineRule="auto"/>
        <w:jc w:val="both"/>
        <w:rPr>
          <w:rFonts w:ascii="Times New Roman" w:hAnsi="Times New Roman" w:cs="Times New Roman"/>
          <w:bCs/>
          <w:iCs/>
          <w:lang w:val="en-GB" w:eastAsia="en-GB"/>
        </w:rPr>
      </w:pPr>
    </w:p>
    <w:p w:rsidRPr="00424F46" w:rsidR="00A133B3" w:rsidRDefault="001522F6">
      <w:pPr>
        <w:pStyle w:val="ListParagraph"/>
        <w:spacing w:after="0" w:line="288" w:lineRule="auto"/>
        <w:ind w:left="0"/>
        <w:jc w:val="both"/>
        <w:rPr>
          <w:rFonts w:ascii="Times New Roman" w:hAnsi="Times New Roman" w:cs="Times New Roman"/>
          <w:bCs/>
          <w:iCs/>
        </w:rPr>
      </w:pPr>
      <w:r>
        <w:rPr>
          <w:rFonts w:ascii="Times New Roman" w:hAnsi="Times New Roman"/>
        </w:rPr>
        <w:t>Europos ekonomikos ir socialinių reikalų komitetas (EESRK), atstovaudamas Europos organizuotai pilietinei visuomenei ir veikdamas kaip Europos Parlamento, Tarybos ir Komisijos patariamoji institucija ir pasaulio pilietinės visuomenės organizacijų bendruomenės narys,</w:t>
      </w:r>
    </w:p>
    <w:p w:rsidRPr="00424F46" w:rsidR="00A133B3" w:rsidP="00F5520F" w:rsidRDefault="00A133B3">
      <w:pPr>
        <w:pStyle w:val="ListParagraph"/>
        <w:spacing w:after="0" w:line="288" w:lineRule="auto"/>
        <w:ind w:left="0"/>
        <w:jc w:val="both"/>
        <w:rPr>
          <w:rFonts w:ascii="Times New Roman" w:hAnsi="Times New Roman" w:cs="Times New Roman"/>
          <w:bCs/>
          <w:iCs/>
          <w:lang w:val="en-GB" w:eastAsia="en-GB"/>
        </w:rPr>
      </w:pPr>
    </w:p>
    <w:p w:rsidRPr="00424F46" w:rsidR="00C5108E" w:rsidP="00F5520F" w:rsidRDefault="001522F6">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primena, kad prieš 30 metų buvo priimta Jungtinių Tautų bendroji klimato kaitos konvencija (UNFCCC), kurios galutinis tikslas – „pasiekti [...], kad šiltnamio efektą sukeliančių dujų koncentracija atmosferoje stabilizuotųsi tokiame lygyje, kuriame klimato sistemai negalėtų kilti pavojus dėl pavojingo žmogaus veiklos poveikio“ (2 straipsnis), ir kad šis tikslas nebuvo pasiektas;</w:t>
      </w:r>
    </w:p>
    <w:p w:rsidRPr="00424F46" w:rsidR="00E25EDF" w:rsidP="00F5520F" w:rsidRDefault="00E25EDF">
      <w:pPr>
        <w:pStyle w:val="ListParagraph"/>
        <w:spacing w:after="0" w:line="288" w:lineRule="auto"/>
        <w:ind w:left="567" w:hanging="567"/>
        <w:jc w:val="both"/>
        <w:rPr>
          <w:rFonts w:ascii="Times New Roman" w:hAnsi="Times New Roman" w:cs="Times New Roman"/>
          <w:lang w:val="en-GB"/>
        </w:rPr>
      </w:pPr>
    </w:p>
    <w:p w:rsidRPr="00424F46" w:rsidR="00A73469" w:rsidP="00F5520F" w:rsidRDefault="00FC5DCF">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pažymi, kad 2015 m. priimtas Paryžiaus susitarimas mus visus paskatino pereiti nuo kokybinio Klimato kaitos konvencijos tikslo – išvengti poveikio klimatui, prie kiekybinio tikslo – „užtikrinti, kad vidutinės pasaulio temperatūros didėjimas būtų gerokai mažesnis nei 2 °C, palyginti su ikipramoninio laikotarpio lygiu, dedant pastangas, kad temperatūros didėjimas neviršytų 1,5 °C, palyginti su ikipramoninio laikotarpio lygiu“</w:t>
      </w:r>
      <w:r w:rsidRPr="00424F46" w:rsidR="00C5108E">
        <w:rPr>
          <w:rStyle w:val="FootnoteReference"/>
          <w:rFonts w:ascii="Times New Roman" w:hAnsi="Times New Roman" w:cs="Times New Roman"/>
          <w:lang w:val="en-GB"/>
        </w:rPr>
        <w:footnoteReference w:id="2"/>
      </w:r>
      <w:r>
        <w:rPr>
          <w:rFonts w:ascii="Times New Roman" w:hAnsi="Times New Roman"/>
        </w:rPr>
        <w:t>;</w:t>
      </w:r>
    </w:p>
    <w:p w:rsidRPr="00424F46" w:rsidR="00A73469" w:rsidP="00F5520F" w:rsidRDefault="00A73469">
      <w:pPr>
        <w:pStyle w:val="ListParagraph"/>
        <w:spacing w:after="0" w:line="288" w:lineRule="auto"/>
        <w:ind w:left="567" w:hanging="567"/>
        <w:jc w:val="both"/>
        <w:rPr>
          <w:rFonts w:ascii="Times New Roman" w:hAnsi="Times New Roman" w:cs="Times New Roman"/>
          <w:lang w:val="en-GB"/>
        </w:rPr>
      </w:pPr>
    </w:p>
    <w:p w:rsidRPr="00424F46" w:rsidR="00C5108E" w:rsidP="00F5520F" w:rsidRDefault="00C5108E">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pabrėžia, kad 1,5 °C tikslo nepakaks norint išvengti dramatiškų klimato kaitos padarinių. Esama akivaizdžių įrodymų, kad jau dabar klimato kaita keičia kiekvieną pasaulio regioną.</w:t>
      </w:r>
      <w:r>
        <w:t xml:space="preserve"> </w:t>
      </w:r>
      <w:r>
        <w:rPr>
          <w:rFonts w:ascii="Times New Roman" w:hAnsi="Times New Roman"/>
        </w:rPr>
        <w:t>Eksponentiškai dažnėjantys potvyniai, sausros, audros, gaisrai ir karščio bangos daro pragaištingą socialinį poveikį, o ekonominiai nuostoliai kasmet vertinami milijardais</w:t>
      </w:r>
      <w:r w:rsidRPr="00424F46">
        <w:rPr>
          <w:rStyle w:val="FootnoteReference"/>
          <w:rFonts w:ascii="Times New Roman" w:hAnsi="Times New Roman" w:cs="Times New Roman"/>
          <w:lang w:val="en-GB"/>
        </w:rPr>
        <w:footnoteReference w:id="3"/>
      </w:r>
      <w:r>
        <w:rPr>
          <w:rFonts w:ascii="Times New Roman" w:hAnsi="Times New Roman"/>
        </w:rPr>
        <w:t>;</w:t>
      </w:r>
    </w:p>
    <w:p w:rsidRPr="00424F46" w:rsidR="00A73469" w:rsidP="00F5520F" w:rsidRDefault="00A73469">
      <w:pPr>
        <w:pStyle w:val="ListParagraph"/>
        <w:spacing w:after="0" w:line="288" w:lineRule="auto"/>
        <w:ind w:left="567" w:hanging="567"/>
        <w:jc w:val="both"/>
        <w:rPr>
          <w:rFonts w:ascii="Times New Roman" w:hAnsi="Times New Roman" w:cs="Times New Roman"/>
          <w:lang w:val="en-GB"/>
        </w:rPr>
      </w:pPr>
    </w:p>
    <w:p w:rsidRPr="00424F46" w:rsidR="00A73469" w:rsidP="00F5520F" w:rsidRDefault="00A73469">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pabrėžia, kad šiuo metu gyvename kritinėmis klimato sąlygomis ir nors šiuo metu UNFCCC neturi pakankamai galimybių patenkinti lūkesčius, neturėtume atsisakyti Konvencijos 2-ojo straipsnio;</w:t>
      </w:r>
    </w:p>
    <w:p w:rsidRPr="00424F46" w:rsidR="00EA2B05" w:rsidP="00F5520F" w:rsidRDefault="00EA2B05">
      <w:pPr>
        <w:pStyle w:val="ListParagraph"/>
        <w:spacing w:after="0" w:line="288" w:lineRule="auto"/>
        <w:ind w:left="567" w:hanging="567"/>
        <w:jc w:val="both"/>
        <w:rPr>
          <w:rFonts w:ascii="Times New Roman" w:hAnsi="Times New Roman" w:cs="Times New Roman"/>
          <w:lang w:val="en-GB"/>
        </w:rPr>
      </w:pPr>
    </w:p>
    <w:p w:rsidRPr="00424F46" w:rsidR="00EA2B05" w:rsidP="00F5520F" w:rsidRDefault="00794F2D">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tvirtai tiki, kad priimant politinius sprendimus būtina remtis mokslu ir moksline informacija, ir pažymi, kad Tarpvyriausybinė klimato kaitos komisija (IPCC) yra nustačiusi aiškius kriterijus: iki 2025 m. pasaulyje išmetamas teršalų kiekis turi pasiekti aukščiausią tašką</w:t>
      </w:r>
      <w:r w:rsidRPr="00424F46" w:rsidR="00D27A92">
        <w:rPr>
          <w:rStyle w:val="FootnoteReference"/>
          <w:rFonts w:ascii="Times New Roman" w:hAnsi="Times New Roman" w:cs="Times New Roman"/>
          <w:lang w:val="en-GB"/>
        </w:rPr>
        <w:footnoteReference w:id="4"/>
      </w:r>
      <w:r>
        <w:rPr>
          <w:rFonts w:ascii="Times New Roman" w:hAnsi="Times New Roman"/>
        </w:rPr>
        <w:t xml:space="preserve"> ir tam, kad pavyktų sustabdyti klimato šilimą ties +1,5 °C riba, iki 2030 m. išmetamųjų teršalų kiekis pasaulyje turi būti sumažintas 45 proc. žemiau 2010 m. lygio;</w:t>
      </w:r>
    </w:p>
    <w:p w:rsidRPr="00424F46" w:rsidR="00EA2B05" w:rsidP="00F5520F" w:rsidRDefault="00EA2B05">
      <w:pPr>
        <w:pStyle w:val="ListParagraph"/>
        <w:spacing w:after="0" w:line="288" w:lineRule="auto"/>
        <w:ind w:left="567" w:hanging="567"/>
        <w:jc w:val="both"/>
        <w:rPr>
          <w:rFonts w:ascii="Times New Roman" w:hAnsi="Times New Roman" w:cs="Times New Roman"/>
          <w:lang w:val="en-GB"/>
        </w:rPr>
      </w:pPr>
    </w:p>
    <w:p w:rsidRPr="00424F46" w:rsidR="00EA1709" w:rsidP="00F5520F" w:rsidRDefault="00EA2B05">
      <w:pPr>
        <w:pStyle w:val="ListParagraph"/>
        <w:numPr>
          <w:ilvl w:val="0"/>
          <w:numId w:val="11"/>
        </w:numPr>
        <w:spacing w:after="0" w:line="288" w:lineRule="auto"/>
        <w:ind w:left="567" w:hanging="567"/>
        <w:jc w:val="both"/>
        <w:rPr>
          <w:rFonts w:ascii="Times New Roman" w:hAnsi="Times New Roman" w:cs="Times New Roman"/>
          <w:b/>
          <w:bCs/>
        </w:rPr>
      </w:pPr>
      <w:r>
        <w:rPr>
          <w:rFonts w:ascii="Times New Roman" w:hAnsi="Times New Roman"/>
        </w:rPr>
        <w:t xml:space="preserve">pripažįsta, kad Rusijos invazija į Ukrainą prisidėjo prie jau ir taip sudėtingos padėties, susidariusios dėl infliacijos, aukštų energijos ir maisto kainų ir galimo energijos trūkumo, </w:t>
      </w:r>
      <w:r>
        <w:rPr>
          <w:rFonts w:ascii="Times New Roman" w:hAnsi="Times New Roman"/>
        </w:rPr>
        <w:lastRenderedPageBreak/>
        <w:t xml:space="preserve">skaudžiai atsiliepiančių piliečių gyvenimui ir sukeliančių didelių socialinių bei ekonominių sunkumų, bent jau trumpuoju laikotarpiu. EESRK mano, kad dėl dabartinės padėties reikia dar skubiau imtis Europos klimato politikos veiksmų ir kad </w:t>
      </w:r>
      <w:r>
        <w:rPr>
          <w:rFonts w:ascii="Times New Roman" w:hAnsi="Times New Roman"/>
          <w:b/>
        </w:rPr>
        <w:t>dėl naujos geopolitinės situacijos ES turi sparčiau pertvarkyti savo energetikos ir klimato politiką</w:t>
      </w:r>
      <w:r>
        <w:rPr>
          <w:rFonts w:ascii="Times New Roman" w:hAnsi="Times New Roman"/>
        </w:rPr>
        <w:t>;</w:t>
      </w:r>
    </w:p>
    <w:p w:rsidRPr="00424F46" w:rsidR="00CB14BC" w:rsidP="00F5520F" w:rsidRDefault="00CB14BC">
      <w:pPr>
        <w:pStyle w:val="ListParagraph"/>
        <w:spacing w:after="0" w:line="288" w:lineRule="auto"/>
        <w:ind w:left="567" w:hanging="567"/>
        <w:jc w:val="both"/>
        <w:rPr>
          <w:rFonts w:ascii="Times New Roman" w:hAnsi="Times New Roman" w:cs="Times New Roman"/>
          <w:lang w:val="en-GB"/>
        </w:rPr>
      </w:pPr>
    </w:p>
    <w:p w:rsidRPr="00424F46" w:rsidR="00EA2B05" w:rsidP="00F5520F" w:rsidRDefault="003D0D15">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yra įsitikinęs, kad </w:t>
      </w:r>
      <w:r>
        <w:rPr>
          <w:rFonts w:ascii="Times New Roman" w:hAnsi="Times New Roman"/>
          <w:b/>
        </w:rPr>
        <w:t>reikia stiprinti Europos žaliąjį kursą</w:t>
      </w:r>
      <w:r>
        <w:rPr>
          <w:rFonts w:ascii="Times New Roman" w:hAnsi="Times New Roman"/>
        </w:rPr>
        <w:t>, kad būtų galima pasiekti ekonomikos priklausomybės nuo iškastinio kuro mažinimo tikslą, labiau sumažinti priklausomybę nuo išorės, užtikrinti atsparumą ir sustiprinti teisingą pertvarką, ir kad išimtinės nukrypti leidžiančios nuostatos dėl sutartų tikslų turi būti taikomos tik tam tikrą laikotarpį</w:t>
      </w:r>
      <w:r w:rsidRPr="00EF3B48" w:rsidR="00EA2B05">
        <w:rPr>
          <w:rStyle w:val="FootnoteReference"/>
          <w:rFonts w:ascii="Times New Roman" w:hAnsi="Times New Roman" w:cs="Times New Roman"/>
          <w:lang w:val="en-GB"/>
        </w:rPr>
        <w:footnoteReference w:id="5"/>
      </w:r>
      <w:r>
        <w:rPr>
          <w:rFonts w:ascii="Times New Roman" w:hAnsi="Times New Roman"/>
        </w:rPr>
        <w:t>; taip pat mano, kad plėtojant atvirą strateginį savarankiškumą reikėtų užtikrinti mažesnę priklausomybę energetikos, svarbiausiųjų žaliavų ir maisto srityse;</w:t>
      </w:r>
    </w:p>
    <w:p w:rsidRPr="00424F46" w:rsidR="00EA2B05" w:rsidP="00F5520F" w:rsidRDefault="00EA2B05">
      <w:pPr>
        <w:pStyle w:val="ListParagraph"/>
        <w:spacing w:after="0" w:line="288" w:lineRule="auto"/>
        <w:ind w:left="567" w:hanging="567"/>
        <w:jc w:val="both"/>
        <w:rPr>
          <w:rFonts w:ascii="Times New Roman" w:hAnsi="Times New Roman" w:cs="Times New Roman"/>
          <w:lang w:val="en-GB"/>
        </w:rPr>
      </w:pPr>
    </w:p>
    <w:p w:rsidRPr="00424F46" w:rsidR="00553760" w:rsidP="00F5520F" w:rsidRDefault="00EA2B05">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primygtinai ragina </w:t>
      </w:r>
      <w:r>
        <w:rPr>
          <w:rFonts w:ascii="Times New Roman" w:hAnsi="Times New Roman"/>
          <w:b/>
        </w:rPr>
        <w:t>ES imtis vadovaujamojo vaidmens</w:t>
      </w:r>
      <w:r>
        <w:rPr>
          <w:rFonts w:ascii="Times New Roman" w:hAnsi="Times New Roman"/>
        </w:rPr>
        <w:t xml:space="preserve"> ir kviečia Europos Komisiją ir ES valstybes nares pagal Glazgo klimato paktą </w:t>
      </w:r>
      <w:r>
        <w:rPr>
          <w:rFonts w:ascii="Times New Roman" w:hAnsi="Times New Roman"/>
          <w:b/>
        </w:rPr>
        <w:t>atnaujinti</w:t>
      </w:r>
      <w:r>
        <w:rPr>
          <w:rFonts w:ascii="Times New Roman" w:hAnsi="Times New Roman"/>
        </w:rPr>
        <w:t xml:space="preserve"> </w:t>
      </w:r>
      <w:r>
        <w:rPr>
          <w:rFonts w:ascii="Times New Roman" w:hAnsi="Times New Roman"/>
          <w:b/>
        </w:rPr>
        <w:t>nacionaliniu lygmeniu nustatytus įpareigojančius veiksmus</w:t>
      </w:r>
      <w:r>
        <w:rPr>
          <w:rFonts w:ascii="Times New Roman" w:hAnsi="Times New Roman"/>
        </w:rPr>
        <w:t>; ragina užtikrinti pasaulyje sąžiningą paskirstymą, kuris būtų grindžiamas teisingumu, istorine atsakomybe ir pajėgumais;</w:t>
      </w:r>
    </w:p>
    <w:p w:rsidRPr="00424F46" w:rsidR="00D27A92" w:rsidP="00F5520F" w:rsidRDefault="00D27A92">
      <w:pPr>
        <w:pStyle w:val="ListParagraph"/>
        <w:spacing w:after="0" w:line="288" w:lineRule="auto"/>
        <w:ind w:left="567" w:hanging="567"/>
        <w:jc w:val="both"/>
        <w:rPr>
          <w:rFonts w:ascii="Times New Roman" w:hAnsi="Times New Roman" w:cs="Times New Roman"/>
          <w:lang w:val="en-GB"/>
        </w:rPr>
      </w:pPr>
    </w:p>
    <w:p w:rsidRPr="00424F46" w:rsidR="00EA2B05" w:rsidP="00F5520F" w:rsidRDefault="00EA2B05">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palankiai vertina Europos Parlamento sprendimus dėl ATLPS</w:t>
      </w:r>
      <w:r w:rsidRPr="00424F46" w:rsidR="00CB14BC">
        <w:rPr>
          <w:rStyle w:val="FootnoteReference"/>
          <w:rFonts w:ascii="Times New Roman" w:hAnsi="Times New Roman" w:cs="Times New Roman"/>
          <w:lang w:val="en-GB"/>
        </w:rPr>
        <w:footnoteReference w:id="6"/>
      </w:r>
      <w:r>
        <w:rPr>
          <w:rFonts w:ascii="Times New Roman" w:hAnsi="Times New Roman"/>
        </w:rPr>
        <w:t xml:space="preserve"> ir anglies dioksido absorbentų</w:t>
      </w:r>
      <w:r w:rsidRPr="00424F46" w:rsidR="00CB14BC">
        <w:rPr>
          <w:rStyle w:val="FootnoteReference"/>
          <w:rFonts w:ascii="Times New Roman" w:hAnsi="Times New Roman" w:cs="Times New Roman"/>
          <w:lang w:val="en-GB"/>
        </w:rPr>
        <w:footnoteReference w:id="7"/>
      </w:r>
      <w:r>
        <w:rPr>
          <w:rFonts w:ascii="Times New Roman" w:hAnsi="Times New Roman"/>
        </w:rPr>
        <w:t>, paskatinusius šiek tiek padidinti ES išmetamųjų teršalų kiekio mažinimo tikslą, o tai yra raginimas, nors ir nepakankamas, padidinti ES nacionaliniu lygmeniu nustatytus įpareigojančius veiksmus;</w:t>
      </w:r>
    </w:p>
    <w:p w:rsidRPr="00424F46" w:rsidR="00EA2B05" w:rsidP="00F5520F" w:rsidRDefault="00EA2B05">
      <w:pPr>
        <w:pStyle w:val="ListParagraph"/>
        <w:spacing w:after="0" w:line="288" w:lineRule="auto"/>
        <w:ind w:left="567" w:hanging="567"/>
        <w:jc w:val="both"/>
        <w:rPr>
          <w:rFonts w:ascii="Times New Roman" w:hAnsi="Times New Roman" w:cs="Times New Roman"/>
          <w:lang w:val="en-GB"/>
        </w:rPr>
      </w:pPr>
    </w:p>
    <w:p w:rsidRPr="00424F46" w:rsidR="00EA2B05" w:rsidP="00F5520F" w:rsidRDefault="00D27A92">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reiškia susirūpinimą, kad daug šalių yra paskelbusios savo ilgalaikius planus, pagal kuriuos iki 2050 m. arba 2060 m. norima pasiekti poveikio klimatui neutralumą, tačiau jų nepapildo atitinkamais trumpalaikiais ir vidutinės trukmės planais, todėl ragina Europos Komisiją</w:t>
      </w:r>
      <w:r>
        <w:rPr>
          <w:rFonts w:ascii="Times New Roman" w:hAnsi="Times New Roman"/>
          <w:b/>
        </w:rPr>
        <w:t xml:space="preserve"> sustiprinti ES diplomatines pastangas</w:t>
      </w:r>
      <w:r>
        <w:rPr>
          <w:rFonts w:ascii="Times New Roman" w:hAnsi="Times New Roman"/>
        </w:rPr>
        <w:t xml:space="preserve"> skatinant tarptautinę bendruomenę patvirtinti į Europos žaliąjį kursą panašias politikos programas; yra pasirengęs remti šias pastangas bendradarbiaudamas su pilietinės visuomenės organizacijomis visame pasaulyje ir artimiausiais lemiamais metais vadovaudamasis Darbotvarke iki 2030 m. ir darnaus vystymosi tikslais kaip kelrodžiu lemtingais ateinančiais metais;</w:t>
      </w:r>
    </w:p>
    <w:p w:rsidRPr="00424F46" w:rsidR="00444B59" w:rsidP="00F5520F" w:rsidRDefault="00444B59">
      <w:pPr>
        <w:pStyle w:val="ListParagraph"/>
        <w:spacing w:after="0" w:line="288" w:lineRule="auto"/>
        <w:ind w:left="0"/>
        <w:rPr>
          <w:rFonts w:ascii="Times New Roman" w:hAnsi="Times New Roman" w:cs="Times New Roman"/>
          <w:lang w:val="en-GB"/>
        </w:rPr>
      </w:pPr>
    </w:p>
    <w:p w:rsidRPr="00424F46" w:rsidR="003D0D15" w:rsidP="00F5520F" w:rsidRDefault="00C375B8">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prašo ES toliau plėtoti sektorinius metodus individualiai pritaikytoms priemonėms arba „klimato klubus“, kuriuos galėtų tarpusavyje įsteigti plačiausio užmojo klimato politikos veiksmų programas įgyvendinančios šalys, taip paskatindamos kitas šalis skubiau imtis veiksmų; viena iš šių priemonių galėtų būti pasienio anglies dioksido korekcinio mechanizmo (PADKM) įgyvendinimas;</w:t>
      </w:r>
    </w:p>
    <w:p w:rsidRPr="00424F46" w:rsidR="00DE24B9" w:rsidP="00F5520F" w:rsidRDefault="00DE24B9">
      <w:pPr>
        <w:pStyle w:val="ListParagraph"/>
        <w:spacing w:after="0" w:line="288" w:lineRule="auto"/>
        <w:ind w:left="0"/>
        <w:jc w:val="both"/>
        <w:rPr>
          <w:rFonts w:ascii="Times New Roman" w:hAnsi="Times New Roman" w:cs="Times New Roman"/>
          <w:lang w:val="en-GB"/>
        </w:rPr>
      </w:pPr>
    </w:p>
    <w:p w:rsidRPr="00424F46" w:rsidR="001B07D7" w:rsidP="00F5520F" w:rsidRDefault="003D0D15">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mano, kad reikia imtis ryžtingų ir aiškiai apibrėžtų veiksmų, kad Paryžiaus susitarimo 6 straipsnis pradėtų veikti ir būtų užbaigtas Paryžiaus taisyklių rinkinys, kuriuo nustatoma savanoriško tarptautinio šalių bendradarbiavimo sistema, kad šalys, siekdamos įvykdyti savo </w:t>
      </w:r>
      <w:r>
        <w:rPr>
          <w:rFonts w:ascii="Times New Roman" w:hAnsi="Times New Roman"/>
        </w:rPr>
        <w:lastRenderedPageBreak/>
        <w:t>įsipareigojimus, galėtų sumažinti išmetamųjų teršalų kiekį išvengdamos kai kurių kliūčių, susijusių su dviguba apskaita arba suklastotų anglies dioksido kreditų rizika;</w:t>
      </w:r>
    </w:p>
    <w:p w:rsidRPr="00424F46" w:rsidR="00DA7721" w:rsidP="00F5520F" w:rsidRDefault="00DA7721">
      <w:pPr>
        <w:pStyle w:val="ListParagraph"/>
        <w:spacing w:after="0" w:line="288" w:lineRule="auto"/>
        <w:ind w:left="0"/>
        <w:jc w:val="both"/>
        <w:rPr>
          <w:rFonts w:ascii="Times New Roman" w:hAnsi="Times New Roman" w:cs="Times New Roman"/>
          <w:lang w:val="en-GB"/>
        </w:rPr>
      </w:pPr>
    </w:p>
    <w:p w:rsidRPr="00424F46" w:rsidR="00DA7721" w:rsidP="00F5520F" w:rsidRDefault="00DA7721">
      <w:pPr>
        <w:pStyle w:val="ListParagraph"/>
        <w:keepNext/>
        <w:keepLines/>
        <w:spacing w:after="0" w:line="288" w:lineRule="auto"/>
        <w:ind w:left="0"/>
        <w:jc w:val="both"/>
        <w:rPr>
          <w:rFonts w:ascii="Times New Roman" w:hAnsi="Times New Roman" w:cs="Times New Roman"/>
          <w:b/>
          <w:bCs/>
          <w:i/>
          <w:iCs/>
        </w:rPr>
      </w:pPr>
      <w:r>
        <w:rPr>
          <w:rFonts w:ascii="Times New Roman" w:hAnsi="Times New Roman"/>
          <w:b/>
          <w:i/>
        </w:rPr>
        <w:t>Peržiūrėti dabartinį mūsų ekonomikos modelį siekiant veiksmingai spręsti klimato kaitos švelninimo ir prisitaikymo prie jos klausimus ir užtikrinti deramas galimybes gauti kovos su klimato kaita finansavimą</w:t>
      </w:r>
    </w:p>
    <w:p w:rsidRPr="00424F46" w:rsidR="00DA7721" w:rsidP="00F5520F" w:rsidRDefault="00DA7721">
      <w:pPr>
        <w:pStyle w:val="ListParagraph"/>
        <w:keepNext/>
        <w:keepLines/>
        <w:spacing w:after="0" w:line="288" w:lineRule="auto"/>
        <w:ind w:left="0"/>
        <w:jc w:val="both"/>
        <w:rPr>
          <w:rFonts w:ascii="Times New Roman" w:hAnsi="Times New Roman" w:cs="Times New Roman"/>
          <w:b/>
          <w:bCs/>
          <w:lang w:val="en-GB"/>
        </w:rPr>
      </w:pPr>
    </w:p>
    <w:p w:rsidRPr="00424F46" w:rsidR="006D019C" w:rsidP="00F5520F" w:rsidRDefault="00D27A92">
      <w:pPr>
        <w:pStyle w:val="ListParagraph"/>
        <w:numPr>
          <w:ilvl w:val="0"/>
          <w:numId w:val="11"/>
        </w:numPr>
        <w:spacing w:after="0" w:line="288" w:lineRule="auto"/>
        <w:ind w:left="567" w:hanging="567"/>
        <w:jc w:val="both"/>
        <w:rPr>
          <w:rFonts w:ascii="Times New Roman" w:hAnsi="Times New Roman" w:cs="Times New Roman"/>
          <w:b/>
          <w:bCs/>
          <w:i/>
          <w:iCs/>
        </w:rPr>
      </w:pPr>
      <w:r>
        <w:rPr>
          <w:rFonts w:ascii="Times New Roman" w:hAnsi="Times New Roman"/>
        </w:rPr>
        <w:t xml:space="preserve">pabrėžia, kad norėdami greičiau pereiti prie neutralaus poveikio klimatui visuomenės turime imtis dabartinio mūsų </w:t>
      </w:r>
      <w:r>
        <w:rPr>
          <w:rFonts w:ascii="Times New Roman" w:hAnsi="Times New Roman"/>
          <w:b/>
        </w:rPr>
        <w:t>ekonomikos modelio peržiūros</w:t>
      </w:r>
      <w:r>
        <w:rPr>
          <w:rFonts w:ascii="Times New Roman" w:hAnsi="Times New Roman"/>
        </w:rPr>
        <w:t xml:space="preserve"> ir persvarstyti savo vartojimo ir gamybos būdus ir tai, kaip vertiname pakankamumą; taip pat ragina ES pasiūlyti naują žmonių ir planetos klestėjimo viziją, grindžiamą aplinkos tvarumo principais, teise į deramą gyvenimą ir socialinių vertybių apsauga</w:t>
      </w:r>
      <w:r w:rsidRPr="00424F46">
        <w:rPr>
          <w:rStyle w:val="FootnoteReference"/>
          <w:rFonts w:ascii="Times New Roman" w:hAnsi="Times New Roman" w:cs="Times New Roman"/>
          <w:lang w:val="en-GB"/>
        </w:rPr>
        <w:footnoteReference w:id="8"/>
      </w:r>
      <w:r>
        <w:rPr>
          <w:rFonts w:ascii="Times New Roman" w:hAnsi="Times New Roman"/>
        </w:rPr>
        <w:t>;</w:t>
      </w:r>
    </w:p>
    <w:p w:rsidRPr="00424F46" w:rsidR="00F426F7" w:rsidP="00F5520F" w:rsidRDefault="00F426F7">
      <w:pPr>
        <w:pStyle w:val="ListParagraph"/>
        <w:spacing w:after="0" w:line="288" w:lineRule="auto"/>
        <w:ind w:left="0"/>
        <w:jc w:val="both"/>
        <w:rPr>
          <w:rFonts w:ascii="Times New Roman" w:hAnsi="Times New Roman"/>
          <w:b/>
          <w:lang w:val="en-GB"/>
        </w:rPr>
      </w:pPr>
    </w:p>
    <w:p w:rsidRPr="00424F46" w:rsidR="00F426F7" w:rsidP="00F5520F" w:rsidRDefault="00F426F7">
      <w:pPr>
        <w:pStyle w:val="ListParagraph"/>
        <w:numPr>
          <w:ilvl w:val="0"/>
          <w:numId w:val="11"/>
        </w:numPr>
        <w:spacing w:after="0" w:line="288" w:lineRule="auto"/>
        <w:ind w:left="567" w:hanging="567"/>
        <w:jc w:val="both"/>
        <w:rPr>
          <w:rFonts w:ascii="Times New Roman" w:hAnsi="Times New Roman" w:cs="Times New Roman"/>
          <w:b/>
          <w:bCs/>
          <w:i/>
          <w:iCs/>
        </w:rPr>
      </w:pPr>
      <w:r>
        <w:rPr>
          <w:rFonts w:ascii="Times New Roman" w:hAnsi="Times New Roman"/>
        </w:rPr>
        <w:t xml:space="preserve">siūlo </w:t>
      </w:r>
      <w:r>
        <w:rPr>
          <w:rFonts w:ascii="Times New Roman" w:hAnsi="Times New Roman"/>
          <w:b/>
        </w:rPr>
        <w:t xml:space="preserve">naują valdymo sistemą </w:t>
      </w:r>
      <w:r>
        <w:rPr>
          <w:rFonts w:ascii="Times New Roman" w:hAnsi="Times New Roman"/>
        </w:rPr>
        <w:t xml:space="preserve">šiems transformaciniams pokyčiams skatinti ir ragina vyriausybes bei regionų valdžios institucijas įsteigti </w:t>
      </w:r>
      <w:r>
        <w:rPr>
          <w:rFonts w:ascii="Times New Roman" w:hAnsi="Times New Roman"/>
          <w:b/>
        </w:rPr>
        <w:t>teisingos pertvarkos komisijas</w:t>
      </w:r>
      <w:r>
        <w:rPr>
          <w:rFonts w:ascii="Times New Roman" w:hAnsi="Times New Roman"/>
        </w:rPr>
        <w:t>, kad socialiniai partneriai ir pilietinės visuomenės organizacijos, įskaitant jaunimo organizacijas, galėtų teikti rekomendacijas, derėtis ir kurti nacionalinius bei regioninius teisingos pertvarkos planus</w:t>
      </w:r>
      <w:r w:rsidRPr="00424F46">
        <w:rPr>
          <w:rStyle w:val="FootnoteReference"/>
          <w:rFonts w:ascii="Times New Roman" w:hAnsi="Times New Roman" w:cs="Times New Roman"/>
          <w:lang w:val="en-GB"/>
        </w:rPr>
        <w:footnoteReference w:id="9"/>
      </w:r>
      <w:r>
        <w:rPr>
          <w:rFonts w:ascii="Times New Roman" w:hAnsi="Times New Roman"/>
        </w:rPr>
        <w:t>; mano, kad esamos iniciatyvos, kuriomis siekiama spręsti su žaliąja pertvarka susijusius socialinius iššūkius, išliko fragmentiškos</w:t>
      </w:r>
      <w:r w:rsidRPr="00424F46" w:rsidR="00CA61D4">
        <w:rPr>
          <w:rStyle w:val="FootnoteReference"/>
          <w:rFonts w:ascii="Times New Roman" w:hAnsi="Times New Roman" w:cs="Times New Roman"/>
          <w:lang w:val="en-GB"/>
        </w:rPr>
        <w:footnoteReference w:id="10"/>
      </w:r>
      <w:r>
        <w:rPr>
          <w:rFonts w:ascii="Times New Roman" w:hAnsi="Times New Roman"/>
        </w:rPr>
        <w:t>;</w:t>
      </w:r>
    </w:p>
    <w:p w:rsidRPr="00424F46" w:rsidR="006D019C" w:rsidP="00F5520F" w:rsidRDefault="006D019C">
      <w:pPr>
        <w:pStyle w:val="ListParagraph"/>
        <w:spacing w:after="0" w:line="288" w:lineRule="auto"/>
        <w:ind w:left="0"/>
        <w:jc w:val="both"/>
        <w:rPr>
          <w:rFonts w:ascii="Times New Roman" w:hAnsi="Times New Roman" w:cs="Times New Roman"/>
          <w:lang w:val="en-GB"/>
        </w:rPr>
      </w:pPr>
    </w:p>
    <w:p w:rsidRPr="00424F46" w:rsidR="00492189" w:rsidP="00F5520F" w:rsidRDefault="00492189">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mano, kad dėl greito perėjimo prie nuo iškastinio kuro nepriklausomos ekonomikos kils didžiulių sunkumų piliečiams, darbuotojams, įmonėms ir regionams, ypač tiems, kurie labiausiai priklauso nuo sektorių ir pramonės šakų, kuriuose išskiriama daug anglies dioksido</w:t>
      </w:r>
      <w:r w:rsidRPr="00424F46">
        <w:rPr>
          <w:rStyle w:val="FootnoteReference"/>
          <w:rFonts w:ascii="Times New Roman" w:hAnsi="Times New Roman" w:cs="Times New Roman"/>
          <w:lang w:val="en-GB"/>
        </w:rPr>
        <w:footnoteReference w:id="11"/>
      </w:r>
      <w:r>
        <w:rPr>
          <w:rFonts w:ascii="Times New Roman" w:hAnsi="Times New Roman"/>
        </w:rPr>
        <w:t xml:space="preserve">, ir kad </w:t>
      </w:r>
      <w:r>
        <w:rPr>
          <w:rFonts w:ascii="Times New Roman" w:hAnsi="Times New Roman"/>
          <w:b/>
        </w:rPr>
        <w:t>nacionaliniu lygmeniu nustatyti įpareigojantys veiksmai turėtų apimti detalizuoto žemėlapio rengimą</w:t>
      </w:r>
      <w:r>
        <w:rPr>
          <w:rFonts w:ascii="Times New Roman" w:hAnsi="Times New Roman"/>
        </w:rPr>
        <w:t xml:space="preserve"> ir tyrimą, parodančius, kokį poveikį užimtumui ir įgūdžiams pertvarka daro įvairiose šalyse, paregioniuose ir sektoriuose, taip pat subrangovams ir galutinėms vertės grandinės grandims, </w:t>
      </w:r>
      <w:r>
        <w:rPr>
          <w:rFonts w:ascii="Times New Roman" w:hAnsi="Times New Roman"/>
          <w:b/>
        </w:rPr>
        <w:t>šiuo tikslu numatant nacionalinius užimtumo planus ir teisingos pertvarkos strategijas</w:t>
      </w:r>
      <w:r w:rsidRPr="00424F46">
        <w:rPr>
          <w:rStyle w:val="FootnoteReference"/>
          <w:rFonts w:ascii="Times New Roman" w:hAnsi="Times New Roman" w:cs="Times New Roman"/>
          <w:sz w:val="22"/>
          <w:lang w:val="en-GB"/>
        </w:rPr>
        <w:footnoteReference w:id="12"/>
      </w:r>
      <w:r>
        <w:rPr>
          <w:rFonts w:ascii="Times New Roman" w:hAnsi="Times New Roman"/>
        </w:rPr>
        <w:t>, grindžiamas TDO teisingos pertvarkos principu; todėl remia Konferencijoje dėl Europos ateities</w:t>
      </w:r>
      <w:r w:rsidRPr="00424F46">
        <w:rPr>
          <w:rStyle w:val="FootnoteReference"/>
          <w:rFonts w:ascii="Times New Roman" w:hAnsi="Times New Roman" w:cs="Times New Roman"/>
          <w:lang w:val="en-GB"/>
        </w:rPr>
        <w:footnoteReference w:id="13"/>
      </w:r>
      <w:r>
        <w:rPr>
          <w:rFonts w:ascii="Times New Roman" w:hAnsi="Times New Roman"/>
        </w:rPr>
        <w:t xml:space="preserve"> pateiktą pasiūlymą užtikrinti teisingą pertvarką, apsaugančią darbuotojus ir darbo vietas šiuo tikslu tinkamai finansuojant pertvarką ir papildomus mokslinius tyrimus;</w:t>
      </w:r>
    </w:p>
    <w:p w:rsidRPr="00424F46" w:rsidR="00492189" w:rsidP="00F5520F" w:rsidRDefault="00492189">
      <w:pPr>
        <w:pStyle w:val="ListParagraph"/>
        <w:spacing w:after="0" w:line="288" w:lineRule="auto"/>
        <w:ind w:left="0"/>
        <w:jc w:val="both"/>
        <w:rPr>
          <w:rFonts w:ascii="Times New Roman" w:hAnsi="Times New Roman" w:cs="Times New Roman"/>
          <w:lang w:val="en-GB"/>
        </w:rPr>
      </w:pPr>
    </w:p>
    <w:p w:rsidRPr="00424F46" w:rsidR="007322BD" w:rsidP="00F5520F" w:rsidRDefault="00492189">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pabrėžia, kad privačiojo sektoriaus atsakomybė siekiant priklausomybės nuo iškastinio kuro mažinimo tikslo įpareigos vykdyti sparčią precedento neturinčio masto sistemų transformaciją, ir atkreipia dėmesį į tai, kad šiame procese labai svarbus vaidmuo tenka privačiajam sektoriui;</w:t>
      </w:r>
    </w:p>
    <w:p w:rsidRPr="00424F46" w:rsidR="007322BD" w:rsidP="00F5520F" w:rsidRDefault="007322BD">
      <w:pPr>
        <w:pStyle w:val="ListParagraph"/>
        <w:spacing w:after="0" w:line="288" w:lineRule="auto"/>
        <w:ind w:left="0"/>
        <w:jc w:val="both"/>
        <w:rPr>
          <w:rFonts w:ascii="Times New Roman" w:hAnsi="Times New Roman" w:cs="Times New Roman"/>
          <w:lang w:val="en-GB"/>
        </w:rPr>
      </w:pPr>
    </w:p>
    <w:p w:rsidRPr="00424F46" w:rsidR="00492189" w:rsidP="00F5520F" w:rsidRDefault="00492189">
      <w:pPr>
        <w:pStyle w:val="ListParagraph"/>
        <w:numPr>
          <w:ilvl w:val="0"/>
          <w:numId w:val="11"/>
        </w:numPr>
        <w:spacing w:after="0" w:line="288" w:lineRule="auto"/>
        <w:ind w:left="567" w:hanging="567"/>
        <w:jc w:val="both"/>
        <w:rPr>
          <w:rFonts w:ascii="Times New Roman" w:hAnsi="Times New Roman"/>
        </w:rPr>
      </w:pPr>
      <w:r>
        <w:rPr>
          <w:rFonts w:ascii="Times New Roman" w:hAnsi="Times New Roman"/>
        </w:rPr>
        <w:t>pripažįsta, kad visoje ES įmonės ir verslininkai labai ir įvairiapusiškai stengiasi rasti verslo sprendimus, kad sumažintų su klimato kaita susijusius iššūkius ir prie jų prisitaikytų, ir mano, kad inovatyvaus bei atsakingo verslo modeliai turėtų padėti kovoti su klimato kaita, dėmesį sutelkiant į pamatuojamus tvarumo tikslus, įskaitant vandens, energijos ar cheminių medžiagų naudojimo mažinimą;</w:t>
      </w:r>
    </w:p>
    <w:p w:rsidRPr="00424F46" w:rsidR="00492189" w:rsidP="00F5520F" w:rsidRDefault="00492189">
      <w:pPr>
        <w:pStyle w:val="ListParagraph"/>
        <w:spacing w:after="0" w:line="288" w:lineRule="auto"/>
        <w:ind w:left="0"/>
        <w:jc w:val="both"/>
        <w:rPr>
          <w:rFonts w:ascii="Times New Roman" w:hAnsi="Times New Roman" w:cs="Times New Roman"/>
          <w:lang w:val="en-GB"/>
        </w:rPr>
      </w:pPr>
    </w:p>
    <w:p w:rsidRPr="00424F46" w:rsidR="00492189" w:rsidP="00F5520F" w:rsidRDefault="00492189">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reiškia susirūpinimą, kad sumažinus išmetamą šiltnamio efektą sukeliančių dujų kiekį ES didėja kitose šalyse išmetamųjų teršalų kiekis siekiant patenkinti ES vartojimo poreikius ir taip skatinamas </w:t>
      </w:r>
      <w:r>
        <w:rPr>
          <w:rFonts w:ascii="Times New Roman" w:hAnsi="Times New Roman"/>
          <w:b/>
        </w:rPr>
        <w:t>ŠESD šalutinis poveikis</w:t>
      </w:r>
      <w:r w:rsidRPr="00424F46">
        <w:rPr>
          <w:rStyle w:val="FootnoteReference"/>
          <w:rFonts w:ascii="Times New Roman" w:hAnsi="Times New Roman" w:cs="Times New Roman"/>
          <w:sz w:val="22"/>
          <w:lang w:val="en-GB"/>
        </w:rPr>
        <w:footnoteReference w:id="14"/>
      </w:r>
      <w:r>
        <w:rPr>
          <w:rFonts w:ascii="Times New Roman" w:hAnsi="Times New Roman"/>
        </w:rPr>
        <w:t>, ir mano, kad vertinant ES ŠESD kiekį turi būti įtrauktas su importuotais produktais siejamas išmetamas ŠESD kiekis, kad pirmenybė turi būti teikiama socialinės ir ekonominės pažangos atsiejimui nuo neigiamo šalies ir importuotų prekių poveikio klimatui ir biologinei įvairovei, ir kad PADKM yra šį tikslą pasiekti padedanti priemonė;</w:t>
      </w:r>
    </w:p>
    <w:p w:rsidRPr="00424F46" w:rsidR="00492189" w:rsidP="00F5520F" w:rsidRDefault="00492189">
      <w:pPr>
        <w:pStyle w:val="ListParagraph"/>
        <w:spacing w:after="0" w:line="288" w:lineRule="auto"/>
        <w:ind w:left="0"/>
        <w:jc w:val="both"/>
        <w:rPr>
          <w:rFonts w:ascii="Times New Roman" w:hAnsi="Times New Roman" w:cs="Times New Roman"/>
          <w:lang w:val="en-GB"/>
        </w:rPr>
      </w:pPr>
    </w:p>
    <w:p w:rsidRPr="00424F46" w:rsidR="007E0872" w:rsidP="00765637" w:rsidRDefault="00570EB2">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pažymi, kad, kaip pabrėžė mokslo bendruomenė, </w:t>
      </w:r>
      <w:r>
        <w:rPr>
          <w:rFonts w:ascii="Times New Roman" w:hAnsi="Times New Roman"/>
          <w:b/>
        </w:rPr>
        <w:t>biologinės įvairovės nykimas ir klimato kaita sustiprina vienas kito poveikį</w:t>
      </w:r>
      <w:r>
        <w:rPr>
          <w:rFonts w:ascii="Times New Roman" w:hAnsi="Times New Roman"/>
        </w:rPr>
        <w:t>, todėl ragina laikytis holistinio požiūrio į aplinkosaugos veiksmus, kuriais siekiama spręsti biologinės įvairovės nykimo ir klimato kaitos sąsajų klausimus, taip pat siūlo peržiūrėti ir padidinti saugomų teritorijų dydį bei telkti pastangas likusiems gamtos ištekliams apsaugoti pagal 2030 m. ES biologinės įvairovės strategiją</w:t>
      </w:r>
      <w:r w:rsidRPr="00424F46" w:rsidR="007E0872">
        <w:rPr>
          <w:rStyle w:val="FootnoteReference"/>
          <w:rFonts w:ascii="Times New Roman" w:hAnsi="Times New Roman" w:cs="Times New Roman"/>
          <w:lang w:val="en-GB"/>
        </w:rPr>
        <w:footnoteReference w:id="15"/>
      </w:r>
      <w:r>
        <w:rPr>
          <w:rFonts w:ascii="Times New Roman" w:hAnsi="Times New Roman"/>
        </w:rPr>
        <w:t>;</w:t>
      </w:r>
    </w:p>
    <w:p w:rsidRPr="00424F46" w:rsidR="007E0872" w:rsidP="00765637" w:rsidRDefault="007E0872">
      <w:pPr>
        <w:pStyle w:val="ListParagraph"/>
        <w:spacing w:after="0" w:line="288" w:lineRule="auto"/>
        <w:ind w:left="0"/>
        <w:jc w:val="both"/>
        <w:rPr>
          <w:rFonts w:ascii="Times New Roman" w:hAnsi="Times New Roman" w:cs="Times New Roman"/>
          <w:lang w:val="en-GB"/>
        </w:rPr>
      </w:pPr>
    </w:p>
    <w:p w:rsidRPr="00424F46" w:rsidR="00492189" w:rsidP="00F5520F" w:rsidRDefault="006D019C">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yra susirūpinęs dėl to, kad neproporcingai didelį klimato kaitos poveikį patiria pažeidžiamiausi asmenys ir kad bendruomenėms, kurioms tenka mažiausia atsakomybė už pasaulyje išmetamą teršalų kiekį, daromas didžiausias poveikis ir jos ne visada turi išteklių tam pasipriešinti;</w:t>
      </w:r>
    </w:p>
    <w:p w:rsidRPr="00424F46" w:rsidR="006D019C" w:rsidP="00F5520F" w:rsidRDefault="006D019C">
      <w:pPr>
        <w:pStyle w:val="ListParagraph"/>
        <w:spacing w:after="0" w:line="288" w:lineRule="auto"/>
        <w:ind w:left="0"/>
        <w:jc w:val="both"/>
        <w:rPr>
          <w:rFonts w:ascii="Times New Roman" w:hAnsi="Times New Roman" w:cs="Times New Roman"/>
          <w:lang w:val="en-GB"/>
        </w:rPr>
      </w:pPr>
    </w:p>
    <w:p w:rsidRPr="00424F46" w:rsidR="0044565F" w:rsidP="00F5520F" w:rsidRDefault="0044565F">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b/>
        </w:rPr>
        <w:t>atkreipia dėmesį į tai, kad prisitaikymo prie klimato kaitos veiksmai</w:t>
      </w:r>
      <w:r>
        <w:rPr>
          <w:rFonts w:ascii="Times New Roman" w:hAnsi="Times New Roman"/>
        </w:rPr>
        <w:t xml:space="preserve"> tampa vis svarbesni dažnėjant meteorologinėms anomalijoms ir kad labai svarbu geriau numatyti klimato kaitos poveikį; atkreipia dėmesį į tai, kad Paryžiaus susitarime pabrėžiama nacionalinio lygmens prisitaikymo prie klimato kaitos planavimo procesų svarba, taip įpareigojant visas šalis pranešti apie padarytą pažangą, ir primygtinai ragina visose srityse atsižvelgti į įtraukumą, kad dabartinė nelygybė dar labiau nepadidėtų;</w:t>
      </w:r>
    </w:p>
    <w:p w:rsidRPr="00424F46" w:rsidR="00803823" w:rsidP="00F5520F" w:rsidRDefault="00803823">
      <w:pPr>
        <w:pStyle w:val="ListParagraph"/>
        <w:spacing w:after="0" w:line="288" w:lineRule="auto"/>
        <w:ind w:left="0"/>
        <w:jc w:val="both"/>
        <w:rPr>
          <w:rFonts w:ascii="Times New Roman" w:hAnsi="Times New Roman" w:cs="Times New Roman"/>
          <w:lang w:val="en-GB"/>
        </w:rPr>
      </w:pPr>
    </w:p>
    <w:p w:rsidRPr="00424F46" w:rsidR="0044565F" w:rsidP="00F5520F" w:rsidRDefault="0044565F">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ragina padidinti bendro išsivysčiusių šalių klimato srities finansavimo įnašus ir </w:t>
      </w:r>
      <w:r>
        <w:rPr>
          <w:rFonts w:ascii="Times New Roman" w:hAnsi="Times New Roman"/>
          <w:b/>
        </w:rPr>
        <w:t>„skirti vienodą dėmesį“ poveikio švelninimo ir prisitaikymo politikos finansavimui</w:t>
      </w:r>
      <w:r>
        <w:rPr>
          <w:rFonts w:ascii="Times New Roman" w:hAnsi="Times New Roman"/>
        </w:rPr>
        <w:t>, nes be papildomo finansavimo prisitaikymui jo planavimas ir įgyvendinimas bus ribotas, ypač besivystančiose šalyse; ragina imtis tolesnių veiksmų siekiant užtikrinti šio principo laikymąsi, nes klimato kaitos švelninimas apsaugo ateities kartas nuo gilesnės klimato krizės, o prisitaikymas apsaugo dabartines ir būsimas kartas nuo ekstremalių meteorologinių reiškinių, kuriuos sukelia jau vykstanti klimato kaita</w:t>
      </w:r>
      <w:r w:rsidRPr="00424F46">
        <w:rPr>
          <w:rStyle w:val="FootnoteReference"/>
          <w:rFonts w:ascii="Times New Roman" w:hAnsi="Times New Roman" w:cs="Times New Roman"/>
          <w:lang w:val="en-GB"/>
        </w:rPr>
        <w:footnoteReference w:id="16"/>
      </w:r>
      <w:r>
        <w:rPr>
          <w:rFonts w:ascii="Times New Roman" w:hAnsi="Times New Roman"/>
        </w:rPr>
        <w:t xml:space="preserve">, ir primena, kad prisitaikymo prie klimato kaitos finansavimui šiuo metu tenka tik 25 proc. viso kovos su klimato kaita finansavimo ir kad anksčiau prisiimti </w:t>
      </w:r>
      <w:r>
        <w:rPr>
          <w:rFonts w:ascii="Times New Roman" w:hAnsi="Times New Roman"/>
        </w:rPr>
        <w:lastRenderedPageBreak/>
        <w:t>įsipareigojimai iki 2025 m. 40 proc. padidinti prisitaikymo politikos finansavimą yra nevykdomi</w:t>
      </w:r>
      <w:r w:rsidRPr="00424F46">
        <w:rPr>
          <w:rStyle w:val="FootnoteReference"/>
          <w:rFonts w:ascii="Times New Roman" w:hAnsi="Times New Roman" w:cs="Times New Roman"/>
          <w:lang w:val="en-GB"/>
        </w:rPr>
        <w:footnoteReference w:id="17"/>
      </w:r>
      <w:r>
        <w:rPr>
          <w:rFonts w:ascii="Times New Roman" w:hAnsi="Times New Roman"/>
        </w:rPr>
        <w:t>;</w:t>
      </w:r>
    </w:p>
    <w:p w:rsidRPr="00424F46" w:rsidR="002C59E9" w:rsidP="00F5520F" w:rsidRDefault="002C59E9">
      <w:pPr>
        <w:pStyle w:val="ListParagraph"/>
        <w:spacing w:after="0" w:line="288" w:lineRule="auto"/>
        <w:ind w:left="0"/>
        <w:jc w:val="both"/>
        <w:rPr>
          <w:rFonts w:ascii="Times New Roman" w:hAnsi="Times New Roman" w:cs="Times New Roman"/>
          <w:lang w:val="en-GB"/>
        </w:rPr>
      </w:pPr>
    </w:p>
    <w:p w:rsidRPr="00424F46" w:rsidR="00803823" w:rsidP="00F5520F" w:rsidRDefault="002C59E9">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palankiai vertina tai, kad Komisija </w:t>
      </w:r>
      <w:r>
        <w:rPr>
          <w:rFonts w:ascii="Times New Roman" w:hAnsi="Times New Roman"/>
          <w:b/>
        </w:rPr>
        <w:t>Prisitaikymo fondui</w:t>
      </w:r>
      <w:r>
        <w:rPr>
          <w:rFonts w:ascii="Times New Roman" w:hAnsi="Times New Roman"/>
        </w:rPr>
        <w:t xml:space="preserve"> skyrė 100 mln. EUR, o kartu ragina ES valstybes nares iki 2025 m., palyginti su 2019 m. lygiu, padvigubinti prisitaikymo finansavimą, ragina dėti daugiau pastangų, kad būtų įgyvendintas planas sutelkti 100 mlrd. JAV dolerių; pabrėžia, kad šiuo metu nėra pasaulinės finansavimo priemonės, kuria būtų remiamas nuostolių ir žalą patyrusių žmonių atsigavimas, taip pat primygtinai ragina ES valstybes nares ir Komisiją įsipareigoti sukurti finansinę </w:t>
      </w:r>
      <w:r>
        <w:rPr>
          <w:rFonts w:ascii="Times New Roman" w:hAnsi="Times New Roman"/>
          <w:b/>
        </w:rPr>
        <w:t xml:space="preserve">„nuostolių ir žalos atlyginimo priemonę“, </w:t>
      </w:r>
      <w:r>
        <w:rPr>
          <w:rFonts w:ascii="Times New Roman" w:hAnsi="Times New Roman"/>
        </w:rPr>
        <w:t>kad būtų šalinamos klimato kaitos pasekmės;</w:t>
      </w:r>
    </w:p>
    <w:p w:rsidRPr="00424F46" w:rsidR="00803823" w:rsidP="00F5520F" w:rsidRDefault="00803823">
      <w:pPr>
        <w:pStyle w:val="ListParagraph"/>
        <w:spacing w:after="0" w:line="288" w:lineRule="auto"/>
        <w:ind w:left="0"/>
        <w:jc w:val="both"/>
        <w:rPr>
          <w:rFonts w:ascii="Times New Roman" w:hAnsi="Times New Roman" w:cs="Times New Roman"/>
          <w:lang w:val="en-GB"/>
        </w:rPr>
      </w:pPr>
    </w:p>
    <w:p w:rsidRPr="00424F46" w:rsidR="00AF71F0" w:rsidP="00F5520F" w:rsidRDefault="00565A46">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mano, kad ES šalių vyriausybės ir institucijos, imdamosi veiksmų klimato teisingumo srityje, turi parengti </w:t>
      </w:r>
      <w:r>
        <w:rPr>
          <w:rFonts w:ascii="Times New Roman" w:hAnsi="Times New Roman"/>
          <w:b/>
        </w:rPr>
        <w:t>į ateitį orientuotą ir visapusišką Europos migracijos ir prieglobsčio politiką</w:t>
      </w:r>
      <w:r>
        <w:rPr>
          <w:rFonts w:ascii="Times New Roman" w:hAnsi="Times New Roman"/>
        </w:rPr>
        <w:t>, pagal kurią būtų užtikrinama dėl klimato kaitos perkeltų asmenų apsauga, pradedant nuo oficialaus pabėgėlių dėl klimato kaitos pripažinimo;</w:t>
      </w:r>
    </w:p>
    <w:p w:rsidRPr="00424F46" w:rsidR="00444B59" w:rsidP="00F5520F" w:rsidRDefault="00444B59">
      <w:pPr>
        <w:pStyle w:val="ListParagraph"/>
        <w:spacing w:after="0" w:line="288" w:lineRule="auto"/>
        <w:ind w:left="0"/>
        <w:rPr>
          <w:rFonts w:ascii="Times New Roman" w:hAnsi="Times New Roman" w:cs="Times New Roman"/>
          <w:lang w:val="en-GB"/>
        </w:rPr>
      </w:pPr>
    </w:p>
    <w:p w:rsidRPr="00424F46" w:rsidR="006D019C" w:rsidRDefault="00565A46">
      <w:pPr>
        <w:pStyle w:val="ListParagraph"/>
        <w:keepNext/>
        <w:keepLines/>
        <w:spacing w:after="0" w:line="288" w:lineRule="auto"/>
        <w:ind w:left="0"/>
        <w:jc w:val="both"/>
        <w:rPr>
          <w:rFonts w:ascii="Times New Roman" w:hAnsi="Times New Roman" w:cs="Times New Roman"/>
          <w:b/>
          <w:bCs/>
          <w:i/>
          <w:iCs/>
        </w:rPr>
      </w:pPr>
      <w:r>
        <w:rPr>
          <w:rFonts w:ascii="Times New Roman" w:hAnsi="Times New Roman"/>
          <w:b/>
          <w:i/>
        </w:rPr>
        <w:t>Skatinti veiksmingus sektorių veiksmus siekiant poveikio klimatui neutralumo</w:t>
      </w:r>
    </w:p>
    <w:p w:rsidRPr="00424F46" w:rsidR="00707DFC" w:rsidRDefault="00707DFC">
      <w:pPr>
        <w:pStyle w:val="ListParagraph"/>
        <w:keepNext/>
        <w:keepLines/>
        <w:spacing w:after="0" w:line="288" w:lineRule="auto"/>
        <w:ind w:left="0"/>
        <w:jc w:val="both"/>
        <w:rPr>
          <w:rFonts w:ascii="Times New Roman" w:hAnsi="Times New Roman" w:cs="Times New Roman"/>
          <w:lang w:val="en-GB"/>
        </w:rPr>
      </w:pPr>
    </w:p>
    <w:p w:rsidRPr="00424F46" w:rsidR="007E0872" w:rsidP="00EF3B48" w:rsidRDefault="00707DFC">
      <w:pPr>
        <w:pStyle w:val="ListParagraph"/>
        <w:keepNext/>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pabrėžia, kad </w:t>
      </w:r>
      <w:r>
        <w:rPr>
          <w:rFonts w:ascii="Times New Roman" w:hAnsi="Times New Roman"/>
          <w:b/>
        </w:rPr>
        <w:t>žiedinė ekonomika</w:t>
      </w:r>
      <w:r>
        <w:rPr>
          <w:rFonts w:ascii="Times New Roman" w:hAnsi="Times New Roman"/>
        </w:rPr>
        <w:t xml:space="preserve"> ir bioekonomika sudaro sąlygas plėtoti naują klestėjimo viziją žmonėms ir kad šias sritis reikia sparčiau vystyti</w:t>
      </w:r>
      <w:r w:rsidRPr="00424F46">
        <w:rPr>
          <w:rStyle w:val="FootnoteReference"/>
          <w:rFonts w:ascii="Times New Roman" w:hAnsi="Times New Roman" w:cs="Times New Roman"/>
          <w:lang w:val="en-GB"/>
        </w:rPr>
        <w:footnoteReference w:id="18"/>
      </w:r>
      <w:r>
        <w:rPr>
          <w:rFonts w:ascii="Times New Roman" w:hAnsi="Times New Roman"/>
        </w:rPr>
        <w:t>; nurodo kad įvairiuose sektoriuose ir šalyse įgyvendintos žiedinės ekonomikos strategijos gali žymiai – 39 proc. – sumažinti pasaulyje išmetamą ŠESD kiekį</w:t>
      </w:r>
      <w:r w:rsidRPr="00424F46">
        <w:rPr>
          <w:rStyle w:val="FootnoteReference"/>
          <w:rFonts w:ascii="Times New Roman" w:hAnsi="Times New Roman" w:cs="Times New Roman"/>
          <w:lang w:val="en-GB"/>
        </w:rPr>
        <w:footnoteReference w:id="19"/>
      </w:r>
      <w:r>
        <w:rPr>
          <w:rFonts w:ascii="Times New Roman" w:hAnsi="Times New Roman"/>
        </w:rPr>
        <w:t>; išreiškia susirūpinimą, kad nepaisant 2015 m. pagal pirmąjį ES žiedinės ekonomikos veiksmų planą pradėto didelio teisėkūros atnaujinimo proceso, ES ekonomika yra tik apie 12 proc. žiedinė, ir mano, kad tolesnę pažangą galima pasiekti tik bendradarbiaujant su visais pilietinės visuomenės segmentais, visų pirma siekiant įveikti išliekančias politines, kultūrines, infrastruktūros, valdymo ir finansines kliūtis</w:t>
      </w:r>
      <w:r w:rsidRPr="00424F46">
        <w:rPr>
          <w:rStyle w:val="FootnoteReference"/>
          <w:rFonts w:ascii="Times New Roman" w:hAnsi="Times New Roman" w:cs="Times New Roman"/>
          <w:lang w:val="en-GB"/>
        </w:rPr>
        <w:footnoteReference w:id="20"/>
      </w:r>
      <w:r>
        <w:rPr>
          <w:rFonts w:ascii="Times New Roman" w:hAnsi="Times New Roman"/>
        </w:rPr>
        <w:t>;</w:t>
      </w:r>
    </w:p>
    <w:p w:rsidRPr="00424F46" w:rsidR="007E0872" w:rsidP="00F5520F" w:rsidRDefault="007E0872">
      <w:pPr>
        <w:pStyle w:val="ListParagraph"/>
        <w:spacing w:after="0" w:line="288" w:lineRule="auto"/>
        <w:ind w:left="0"/>
        <w:jc w:val="both"/>
        <w:rPr>
          <w:rFonts w:ascii="Times New Roman" w:hAnsi="Times New Roman" w:cs="Times New Roman"/>
          <w:lang w:val="en-GB"/>
        </w:rPr>
      </w:pPr>
    </w:p>
    <w:p w:rsidRPr="00424F46" w:rsidR="00A42B33" w:rsidP="00F5520F" w:rsidRDefault="00444B59">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ragina parengti pereinamojo laikotarpio strategijas, kuriomis remiantis į nacionaliniu lygmeniu nustatytus įpareigojančius veiksmus būtų tinkamai įtrauktos </w:t>
      </w:r>
      <w:r>
        <w:rPr>
          <w:rFonts w:ascii="Times New Roman" w:hAnsi="Times New Roman"/>
          <w:b/>
        </w:rPr>
        <w:t>tvarios maisto sistemos</w:t>
      </w:r>
      <w:r>
        <w:rPr>
          <w:rFonts w:ascii="Times New Roman" w:hAnsi="Times New Roman"/>
        </w:rPr>
        <w:t>, ir pripažįsta, kad nors daugelis šalių savo nacionaliniu lygiu nustatytuose įpareigojančiuose veiksmuose mini žemės ūkio potencialą klimato kaitos švelninimo ir prisitaikymo prie jos srityse, vis dėlto labai nedaugelis iš jų yra nustačiusios su kitais maisto sistemos etapais susijusius tikslus</w:t>
      </w:r>
      <w:r w:rsidRPr="00424F46">
        <w:rPr>
          <w:rStyle w:val="FootnoteReference"/>
          <w:rFonts w:ascii="Times New Roman" w:hAnsi="Times New Roman" w:cs="Times New Roman"/>
          <w:sz w:val="22"/>
          <w:lang w:val="en-GB"/>
        </w:rPr>
        <w:footnoteReference w:id="21"/>
      </w:r>
      <w:r>
        <w:rPr>
          <w:rFonts w:ascii="Times New Roman" w:hAnsi="Times New Roman"/>
        </w:rPr>
        <w:t>, todėl palieka daug neišnaudotų galimybių</w:t>
      </w:r>
      <w:r w:rsidRPr="00424F46">
        <w:rPr>
          <w:rStyle w:val="FootnoteReference"/>
          <w:rFonts w:ascii="Times New Roman" w:hAnsi="Times New Roman" w:cs="Times New Roman"/>
          <w:sz w:val="22"/>
          <w:lang w:val="en-GB"/>
        </w:rPr>
        <w:footnoteReference w:id="22"/>
      </w:r>
      <w:r>
        <w:rPr>
          <w:rFonts w:ascii="Times New Roman" w:hAnsi="Times New Roman"/>
        </w:rPr>
        <w:t xml:space="preserve">; pakartoja savo rekomendacijas patvirtinti išsamią maisto politiką, kaip antai strategiją „Nuo ūkio iki stalo“, įskaitant atsako į klimato kaitą priemones, ir užtikrinti struktūruotą suinteresuotųjų subjektų dalyvavimą maisto </w:t>
      </w:r>
      <w:r>
        <w:rPr>
          <w:rFonts w:ascii="Times New Roman" w:hAnsi="Times New Roman"/>
        </w:rPr>
        <w:lastRenderedPageBreak/>
        <w:t>vertės grandinėje</w:t>
      </w:r>
      <w:r w:rsidRPr="00424F46">
        <w:rPr>
          <w:rStyle w:val="FootnoteReference"/>
          <w:rFonts w:ascii="Times New Roman" w:hAnsi="Times New Roman" w:cs="Times New Roman"/>
          <w:lang w:val="en-GB"/>
        </w:rPr>
        <w:footnoteReference w:id="23"/>
      </w:r>
      <w:r>
        <w:rPr>
          <w:rFonts w:ascii="Times New Roman" w:hAnsi="Times New Roman"/>
        </w:rPr>
        <w:t xml:space="preserve"> ir visais valdymo lygmenimis, visų pirma žemės ūkio strategijose daug dėmesio skiriant gamintojams ir įtraukiant juos į politikos formavimą;</w:t>
      </w:r>
    </w:p>
    <w:p w:rsidRPr="00424F46" w:rsidR="00A42B33" w:rsidP="00F5520F" w:rsidRDefault="00A42B33">
      <w:pPr>
        <w:pStyle w:val="ListParagraph"/>
        <w:spacing w:after="0" w:line="288" w:lineRule="auto"/>
        <w:ind w:left="0"/>
        <w:jc w:val="both"/>
        <w:rPr>
          <w:rFonts w:ascii="Times New Roman" w:hAnsi="Times New Roman" w:cs="Times New Roman"/>
          <w:lang w:val="en-GB"/>
        </w:rPr>
      </w:pPr>
    </w:p>
    <w:p w:rsidRPr="00424F46" w:rsidR="00E362FB" w:rsidP="00765637" w:rsidRDefault="00953E81">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yra susirūpinęs dėl padėties Afrikoje, kuri išmeta mažiau nei 4 proc. viso pasaulio išmetamųjų teršalų kiekio, tačiau neproporcingai išsiskiria kaip vienas iš pažeidžiamiausių pasaulio regionų, ir, </w:t>
      </w:r>
      <w:r>
        <w:rPr>
          <w:rFonts w:ascii="Times New Roman" w:hAnsi="Times New Roman"/>
          <w:b/>
        </w:rPr>
        <w:t>atsižvelgiant į tai, kad COP27 vyksta Afrikoje, aiškiai ragina ES teikti pirmenybę Afrikos finansiniams, techniniams ir gebėjimų stiprinimo ištekliams</w:t>
      </w:r>
      <w:r>
        <w:rPr>
          <w:rFonts w:ascii="Times New Roman" w:hAnsi="Times New Roman"/>
        </w:rPr>
        <w:t>, kad būtų remiamas žemyno įsipareigojimas Paryžiaus COP21 ir atsižvelgiama į tai, kad daugumoje Afrikos nacionaliniu lygmeniu nustatytų įpareigojančių veiksmų nustatyti tokie klimato kaitos švelninimo ir prisitaikymo prie jos tikslai, kurių įgyvendinimas priklauso nuo tinkamos tarptautinės paramos gavimo, todėl kyla klausimų dėl didelę išliekamąją vertę turinčių ekosistemų, pvz., miškų ar savanų, apsaugos, ir iškastinio kuro gavybos;</w:t>
      </w:r>
    </w:p>
    <w:p w:rsidRPr="00424F46" w:rsidR="00E362FB" w:rsidP="00765637" w:rsidRDefault="00E362FB">
      <w:pPr>
        <w:pStyle w:val="ListParagraph"/>
        <w:spacing w:after="0" w:line="288" w:lineRule="auto"/>
        <w:ind w:left="0"/>
        <w:jc w:val="both"/>
        <w:rPr>
          <w:rFonts w:ascii="Times New Roman" w:hAnsi="Times New Roman" w:cs="Times New Roman"/>
          <w:lang w:val="en-GB"/>
        </w:rPr>
      </w:pPr>
    </w:p>
    <w:p w:rsidRPr="00424F46" w:rsidR="00A42B33" w:rsidP="00526B40" w:rsidRDefault="00444B59">
      <w:pPr>
        <w:pStyle w:val="ListParagraph"/>
        <w:keepNext/>
        <w:keepLines/>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ragina nedelsiant sustabdyti </w:t>
      </w:r>
      <w:r>
        <w:rPr>
          <w:rFonts w:ascii="Times New Roman" w:hAnsi="Times New Roman"/>
          <w:b/>
        </w:rPr>
        <w:t>subsidijas iškastiniam kurui</w:t>
      </w:r>
      <w:r>
        <w:rPr>
          <w:rFonts w:ascii="Times New Roman" w:hAnsi="Times New Roman"/>
        </w:rPr>
        <w:t>; palankiai vertina komunikatą dėl „REPowerEU“, nes jame pateikiami sprendimai, atitinkantys žaliojo kurso ir Europos energetikos sąjungos tikslus</w:t>
      </w:r>
      <w:r w:rsidRPr="00424F46">
        <w:rPr>
          <w:rStyle w:val="FootnoteReference"/>
          <w:rFonts w:ascii="Times New Roman" w:hAnsi="Times New Roman" w:cs="Times New Roman"/>
          <w:lang w:val="en-GB"/>
        </w:rPr>
        <w:footnoteReference w:id="24"/>
      </w:r>
      <w:r>
        <w:rPr>
          <w:rFonts w:ascii="Times New Roman" w:hAnsi="Times New Roman"/>
        </w:rPr>
        <w:t xml:space="preserve"> </w:t>
      </w:r>
      <w:r w:rsidRPr="00424F46" w:rsidR="00EB27C9">
        <w:rPr>
          <w:rStyle w:val="FootnoteReference"/>
          <w:rFonts w:ascii="Times New Roman" w:hAnsi="Times New Roman" w:cs="Times New Roman"/>
          <w:lang w:val="en-GB"/>
        </w:rPr>
        <w:footnoteReference w:id="25"/>
      </w:r>
      <w:r>
        <w:rPr>
          <w:rFonts w:ascii="Times New Roman" w:hAnsi="Times New Roman"/>
        </w:rPr>
        <w:t>, ir mano, kad vyriausybės turi sukurti pagrindą investicijoms į proveržio technologijas tokiose srityse kaip energijos vartojimo efektyvumas ir atsinaujinančiųjų išteklių energijos gamyba, remdamos mokslinius tyrimus, inovacijas ir plėtrą, ir kad reglamentavimas turėtų būti parengtas taip, kad sudarytų sąlygas ir įgalintų kurti naujas technologijas ir jas diegti rinkoje, įskaitant paklausos valdymo priemones, siekiant kurti pirmaujančias rinkas ir skatinti mažo anglies dioksido kiekio produktų vartojimą</w:t>
      </w:r>
      <w:r w:rsidRPr="00424F46">
        <w:rPr>
          <w:rStyle w:val="FootnoteReference"/>
          <w:rFonts w:ascii="Times New Roman" w:hAnsi="Times New Roman" w:cs="Times New Roman"/>
          <w:lang w:val="en-GB"/>
        </w:rPr>
        <w:footnoteReference w:id="26"/>
      </w:r>
      <w:r>
        <w:rPr>
          <w:rFonts w:ascii="Times New Roman" w:hAnsi="Times New Roman"/>
        </w:rPr>
        <w:t>;</w:t>
      </w:r>
    </w:p>
    <w:p w:rsidRPr="00424F46" w:rsidR="00A42B33" w:rsidP="00F5520F" w:rsidRDefault="00A42B33">
      <w:pPr>
        <w:pStyle w:val="ListParagraph"/>
        <w:spacing w:after="0" w:line="288" w:lineRule="auto"/>
        <w:ind w:left="0"/>
        <w:jc w:val="both"/>
        <w:rPr>
          <w:rFonts w:ascii="Times New Roman" w:hAnsi="Times New Roman" w:cs="Times New Roman"/>
          <w:lang w:val="en-GB"/>
        </w:rPr>
      </w:pPr>
    </w:p>
    <w:p w:rsidRPr="00424F46" w:rsidR="00F81237" w:rsidP="00F5520F" w:rsidRDefault="00F81237">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palankiai vertina skaitmeninius sprendimus, kuriais sudaromos sąlygos aplinkos apsaugai ir transformacijai siekiant transporto, energetikos sistemų, pastatų, žemės ūkio ir kitų sektorių tvarumo, tačiau </w:t>
      </w:r>
      <w:r>
        <w:rPr>
          <w:rFonts w:ascii="Times New Roman" w:hAnsi="Times New Roman"/>
          <w:b/>
        </w:rPr>
        <w:t>pažymi, kad bendra skaitmenizacija iki šiol neprisidėjo prie energijos paklausos ir išmetamo anglies dioksido kiekio mažinimo</w:t>
      </w:r>
      <w:r>
        <w:rPr>
          <w:rFonts w:ascii="Times New Roman" w:hAnsi="Times New Roman"/>
        </w:rPr>
        <w:t>, ir todėl pabrėžia, kad būtina tam palanki politika siekiant sušvelninti grįžtamąjį ir indukcinį poveikį</w:t>
      </w:r>
      <w:r w:rsidRPr="00424F46">
        <w:rPr>
          <w:rStyle w:val="FootnoteReference"/>
          <w:rFonts w:ascii="Times New Roman" w:hAnsi="Times New Roman" w:cs="Times New Roman"/>
          <w:lang w:val="en-GB"/>
        </w:rPr>
        <w:footnoteReference w:id="27"/>
      </w:r>
      <w:r>
        <w:rPr>
          <w:rFonts w:ascii="Times New Roman" w:hAnsi="Times New Roman"/>
        </w:rPr>
        <w:t>;</w:t>
      </w:r>
    </w:p>
    <w:p w:rsidRPr="00424F46" w:rsidR="00F81237" w:rsidP="00F5520F" w:rsidRDefault="00F81237">
      <w:pPr>
        <w:pStyle w:val="ListParagraph"/>
        <w:spacing w:after="0" w:line="288" w:lineRule="auto"/>
        <w:ind w:left="0"/>
        <w:jc w:val="both"/>
        <w:rPr>
          <w:rFonts w:ascii="Times New Roman" w:hAnsi="Times New Roman" w:cs="Times New Roman"/>
          <w:lang w:val="en-GB"/>
        </w:rPr>
      </w:pPr>
    </w:p>
    <w:p w:rsidRPr="00424F46" w:rsidR="00A621E3" w:rsidP="00F5520F" w:rsidRDefault="00A42B33">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pabrėžia, kad klimato kaita taip pat daro didelį poveikį įmonėms, visų pirma MVĮ, nes dėl ekstremalių meteorologinių reiškinių nutrūksta tiekimo grandinės arba suniokojamos gamybos vietos; dėl to įmonės būna priverstos kartais brangiai keisti savo verslo ir veiklos modelius, taip pat skirti investicijų, kad atitiktų reguliavimo ir kitus reikalavimus; mano, kad </w:t>
      </w:r>
      <w:r>
        <w:rPr>
          <w:rFonts w:ascii="Times New Roman" w:hAnsi="Times New Roman"/>
          <w:b/>
        </w:rPr>
        <w:t>pirmuosius naujus tvaraus verslo modelių taikytojus</w:t>
      </w:r>
      <w:r>
        <w:rPr>
          <w:rFonts w:ascii="Times New Roman" w:hAnsi="Times New Roman"/>
        </w:rPr>
        <w:t xml:space="preserve"> </w:t>
      </w:r>
      <w:r>
        <w:rPr>
          <w:rFonts w:ascii="Times New Roman" w:hAnsi="Times New Roman"/>
          <w:b/>
        </w:rPr>
        <w:t>reikėtų remti</w:t>
      </w:r>
      <w:r>
        <w:rPr>
          <w:rFonts w:ascii="Times New Roman" w:hAnsi="Times New Roman"/>
        </w:rPr>
        <w:t xml:space="preserve"> siekiant užtikrinti, kad dėl savo inovacijų jie neatsidurtų nepalankioje konkurencinėje padėtyje;</w:t>
      </w:r>
    </w:p>
    <w:p w:rsidRPr="00424F46" w:rsidR="00A621E3" w:rsidP="00F5520F" w:rsidRDefault="00A621E3">
      <w:pPr>
        <w:pStyle w:val="ListParagraph"/>
        <w:spacing w:after="0" w:line="288" w:lineRule="auto"/>
        <w:ind w:left="0"/>
        <w:jc w:val="both"/>
        <w:rPr>
          <w:rFonts w:ascii="Times New Roman" w:hAnsi="Times New Roman" w:cs="Times New Roman"/>
          <w:lang w:val="en-GB"/>
        </w:rPr>
      </w:pPr>
    </w:p>
    <w:p w:rsidRPr="00424F46" w:rsidR="00444B59" w:rsidP="00F5520F" w:rsidRDefault="00444B59">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lastRenderedPageBreak/>
        <w:t>pabrėžia, kad remiant privatųjį sektorių turi būti laikomasi vienodos prieigos prie MVĮ skirto finansavimo priemonių principų ir kad parama turėtų būti grindžiama tik klimato srities tikslais</w:t>
      </w:r>
      <w:r w:rsidRPr="00EF3B48">
        <w:rPr>
          <w:rStyle w:val="FootnoteReference"/>
          <w:rFonts w:ascii="Times New Roman" w:hAnsi="Times New Roman" w:cs="Times New Roman"/>
          <w:szCs w:val="24"/>
          <w:lang w:val="en-GB"/>
        </w:rPr>
        <w:footnoteReference w:id="28"/>
      </w:r>
      <w:r>
        <w:rPr>
          <w:rFonts w:ascii="Times New Roman" w:hAnsi="Times New Roman"/>
        </w:rPr>
        <w:t>, kad tam reikės atlikti didelį darbą vertės grandinėse ir kad sektoriams reikės bendradarbiauti tarpusavyje;</w:t>
      </w:r>
    </w:p>
    <w:p w:rsidRPr="00424F46" w:rsidR="00444B59" w:rsidP="00F5520F" w:rsidRDefault="00444B59">
      <w:pPr>
        <w:pStyle w:val="ListParagraph"/>
        <w:spacing w:after="0" w:line="288" w:lineRule="auto"/>
        <w:ind w:left="0"/>
        <w:rPr>
          <w:rFonts w:ascii="Times New Roman" w:hAnsi="Times New Roman" w:cs="Times New Roman"/>
          <w:lang w:val="en-GB"/>
        </w:rPr>
      </w:pPr>
    </w:p>
    <w:p w:rsidRPr="00424F46" w:rsidR="00444B59" w:rsidP="00F5520F" w:rsidRDefault="00444B59">
      <w:pPr>
        <w:pStyle w:val="ListParagraph"/>
        <w:numPr>
          <w:ilvl w:val="0"/>
          <w:numId w:val="11"/>
        </w:numPr>
        <w:spacing w:after="0" w:line="288" w:lineRule="auto"/>
        <w:ind w:left="567" w:hanging="567"/>
        <w:jc w:val="both"/>
        <w:rPr>
          <w:rFonts w:ascii="Times New Roman" w:hAnsi="Times New Roman"/>
        </w:rPr>
      </w:pPr>
      <w:r>
        <w:rPr>
          <w:rFonts w:ascii="Times New Roman" w:hAnsi="Times New Roman"/>
        </w:rPr>
        <w:t>mano, kad derinimas ir standartizavimas yra labai svarbūs norint sprendimus taikyti visose pramonės šakose pasitelkus technologijas, įgūdžių gerinimą ir reguliavimą, o tai ES valstybių vyriausybės turėtų remti tarptautiniu lygmeniu, ir kad ypač MVĮ bus labai svarbu gauti papildomų priemonių ir stiprinti gebėjimus, kad jos patenkintų naujus reikalavimus ir pagerintų sąlygas patekti į ES rinką;</w:t>
      </w:r>
    </w:p>
    <w:p w:rsidRPr="00424F46" w:rsidR="00444B59" w:rsidP="00F5520F" w:rsidRDefault="00444B59">
      <w:pPr>
        <w:pStyle w:val="ListParagraph"/>
        <w:spacing w:after="0" w:line="288" w:lineRule="auto"/>
        <w:ind w:left="0"/>
        <w:jc w:val="both"/>
        <w:rPr>
          <w:rFonts w:ascii="Times New Roman" w:hAnsi="Times New Roman" w:cs="Times New Roman"/>
          <w:lang w:val="en-GB"/>
        </w:rPr>
      </w:pPr>
    </w:p>
    <w:p w:rsidRPr="00424F46" w:rsidR="006D2F1C" w:rsidRDefault="00565A46">
      <w:pPr>
        <w:pStyle w:val="ListParagraph"/>
        <w:keepNext/>
        <w:keepLines/>
        <w:spacing w:after="0" w:line="288" w:lineRule="auto"/>
        <w:ind w:left="0"/>
        <w:jc w:val="both"/>
        <w:rPr>
          <w:rFonts w:ascii="Times New Roman" w:hAnsi="Times New Roman"/>
          <w:b/>
          <w:i/>
        </w:rPr>
      </w:pPr>
      <w:r>
        <w:rPr>
          <w:rFonts w:ascii="Times New Roman" w:hAnsi="Times New Roman"/>
          <w:b/>
          <w:i/>
        </w:rPr>
        <w:t>Įgalinti pilietinę visuomenę skatinti skubiau imtis klimato politikos veiksmų ir raginti sukurti naują valdymo sistemą</w:t>
      </w:r>
    </w:p>
    <w:p w:rsidRPr="00424F46" w:rsidR="00EE319C" w:rsidRDefault="00EE319C">
      <w:pPr>
        <w:pStyle w:val="ListParagraph"/>
        <w:keepNext/>
        <w:keepLines/>
        <w:spacing w:after="0" w:line="288" w:lineRule="auto"/>
        <w:ind w:left="567" w:hanging="567"/>
        <w:jc w:val="both"/>
        <w:rPr>
          <w:rFonts w:ascii="Times New Roman" w:hAnsi="Times New Roman" w:cs="Times New Roman"/>
          <w:lang w:val="en-GB"/>
        </w:rPr>
      </w:pPr>
    </w:p>
    <w:p w:rsidRPr="00424F46" w:rsidR="00F426F7" w:rsidP="00EF3B48" w:rsidRDefault="00F426F7">
      <w:pPr>
        <w:pStyle w:val="ListParagraph"/>
        <w:keepNext/>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pabrėžia, kad dėl būtinų veiksmų masto reikia integruotos, daugiapakopės politikos ir tarpsektorinių sprendimų, kai pilietinė visuomenė iš tikrųjų dalyvauja, todėl siūlo numatyti </w:t>
      </w:r>
      <w:r>
        <w:rPr>
          <w:rFonts w:ascii="Times New Roman" w:hAnsi="Times New Roman"/>
          <w:b/>
        </w:rPr>
        <w:t>naują valdymo sistemą</w:t>
      </w:r>
      <w:r>
        <w:rPr>
          <w:rFonts w:ascii="Times New Roman" w:hAnsi="Times New Roman"/>
        </w:rPr>
        <w:t xml:space="preserve"> šiems transformaciniams pokyčiams plėtoti;</w:t>
      </w:r>
    </w:p>
    <w:p w:rsidRPr="00424F46" w:rsidR="00F426F7" w:rsidP="00F5520F" w:rsidRDefault="00F426F7">
      <w:pPr>
        <w:pStyle w:val="ListParagraph"/>
        <w:spacing w:after="0" w:line="288" w:lineRule="auto"/>
        <w:ind w:left="0"/>
        <w:jc w:val="both"/>
        <w:rPr>
          <w:rFonts w:ascii="Times New Roman" w:hAnsi="Times New Roman" w:cs="Times New Roman"/>
          <w:lang w:val="en-GB"/>
        </w:rPr>
      </w:pPr>
    </w:p>
    <w:p w:rsidRPr="00424F46" w:rsidR="00B27016" w:rsidP="00F5520F" w:rsidRDefault="00EE319C">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mano, kad </w:t>
      </w:r>
      <w:r>
        <w:rPr>
          <w:rFonts w:ascii="Times New Roman" w:hAnsi="Times New Roman"/>
          <w:b/>
        </w:rPr>
        <w:t>darbo vietos lygmeniu</w:t>
      </w:r>
      <w:r>
        <w:rPr>
          <w:rFonts w:ascii="Times New Roman" w:hAnsi="Times New Roman"/>
        </w:rPr>
        <w:t xml:space="preserve"> ši nauja valdymo sistema turėtų užtikrinti socialinį dialogą garantuojant darbuotojų teises ir dalyvavimą ir stiprinant kolektyvines sutartis;</w:t>
      </w:r>
    </w:p>
    <w:p w:rsidRPr="00424F46" w:rsidR="00B27016" w:rsidP="00F5520F" w:rsidRDefault="00B27016">
      <w:pPr>
        <w:pStyle w:val="ListParagraph"/>
        <w:spacing w:after="0" w:line="288" w:lineRule="auto"/>
        <w:ind w:left="567" w:hanging="567"/>
        <w:jc w:val="both"/>
        <w:rPr>
          <w:rFonts w:ascii="Times New Roman" w:hAnsi="Times New Roman" w:cs="Times New Roman"/>
          <w:lang w:val="en-GB"/>
        </w:rPr>
      </w:pPr>
    </w:p>
    <w:p w:rsidRPr="00424F46" w:rsidR="00EE319C" w:rsidP="00F5520F" w:rsidRDefault="00B27016">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mano, kad taip pat reikėtų sustiprinti </w:t>
      </w:r>
      <w:r>
        <w:rPr>
          <w:rFonts w:ascii="Times New Roman" w:hAnsi="Times New Roman"/>
          <w:b/>
        </w:rPr>
        <w:t>platesnį dialogą</w:t>
      </w:r>
      <w:r>
        <w:rPr>
          <w:rFonts w:ascii="Times New Roman" w:hAnsi="Times New Roman"/>
        </w:rPr>
        <w:t>, prie kurio prisidėtų regionai, kaimo vietovės ir miestai, socialiniai partneriai, kooperatyvai ir pilietinė visuomenė, kad būtų užtikrintas socialinis teisingumas ir patikimumas, ir konkrečiai įvardyti įsipareigojimą nė vieno nepalikti nuošalyje</w:t>
      </w:r>
      <w:r w:rsidRPr="00424F46" w:rsidR="003567A8">
        <w:rPr>
          <w:rStyle w:val="FootnoteReference"/>
          <w:rFonts w:ascii="Times New Roman" w:hAnsi="Times New Roman" w:cs="Times New Roman"/>
          <w:sz w:val="22"/>
          <w:lang w:val="en-GB"/>
        </w:rPr>
        <w:footnoteReference w:id="29"/>
      </w:r>
      <w:r>
        <w:rPr>
          <w:rFonts w:ascii="Times New Roman" w:hAnsi="Times New Roman"/>
        </w:rPr>
        <w:t>. Pavyzdžiui, skatinant gaminančių vartotojų koncepcijas galima paspartinti perėjimą prie švaresnės energijos sistemos, sukurti naujus ekonomikos modelius ir padėti ginti pažeidžiamiausias mūsų visuomenės grupes, kad iš jų, pavyzdžiui, nebūtų atimta galimybė naudotis šildymu, apšvietimu ir informacinėmis technologijomis;</w:t>
      </w:r>
    </w:p>
    <w:p w:rsidRPr="00424F46" w:rsidR="00F426F7" w:rsidP="00F5520F" w:rsidRDefault="00F426F7">
      <w:pPr>
        <w:pStyle w:val="ListParagraph"/>
        <w:spacing w:after="0" w:line="288" w:lineRule="auto"/>
        <w:ind w:left="0"/>
        <w:jc w:val="both"/>
        <w:rPr>
          <w:rFonts w:ascii="Times New Roman" w:hAnsi="Times New Roman" w:cs="Times New Roman"/>
          <w:lang w:val="en-GB"/>
        </w:rPr>
      </w:pPr>
    </w:p>
    <w:p w:rsidRPr="00424F46" w:rsidR="00F426F7" w:rsidP="00F5520F" w:rsidRDefault="00F426F7">
      <w:pPr>
        <w:pStyle w:val="ListParagraph"/>
        <w:numPr>
          <w:ilvl w:val="0"/>
          <w:numId w:val="11"/>
        </w:numPr>
        <w:spacing w:after="0" w:line="288" w:lineRule="auto"/>
        <w:ind w:left="567" w:hanging="567"/>
        <w:jc w:val="both"/>
        <w:rPr>
          <w:rFonts w:ascii="Times New Roman" w:hAnsi="Times New Roman"/>
        </w:rPr>
      </w:pPr>
      <w:r>
        <w:rPr>
          <w:rFonts w:ascii="Times New Roman" w:hAnsi="Times New Roman"/>
        </w:rPr>
        <w:t xml:space="preserve">tvirtai tiki, kad </w:t>
      </w:r>
      <w:r>
        <w:rPr>
          <w:rFonts w:ascii="Times New Roman" w:hAnsi="Times New Roman"/>
          <w:b/>
        </w:rPr>
        <w:t>reikia</w:t>
      </w:r>
      <w:r>
        <w:rPr>
          <w:rFonts w:ascii="Times New Roman" w:hAnsi="Times New Roman"/>
        </w:rPr>
        <w:t xml:space="preserve"> </w:t>
      </w:r>
      <w:r>
        <w:rPr>
          <w:rFonts w:ascii="Times New Roman" w:hAnsi="Times New Roman"/>
          <w:b/>
        </w:rPr>
        <w:t>iš tikrųjų remti ir skatinti pagal principą „iš apačios į viršų“ įgyvendinamas ir vietos lygmens iniciatyvas</w:t>
      </w:r>
      <w:r>
        <w:rPr>
          <w:rFonts w:ascii="Times New Roman" w:hAnsi="Times New Roman"/>
        </w:rPr>
        <w:t xml:space="preserve"> siekiant paspartinti klimato kaitos švelninimą ir prisitaikymą prie jos ir didinti socialinį atsparumą, taip išnaudojant bendradarbiavimo kultūros ir principu „iš apačios į viršų“ grindžiamų sprendimų potencialą; taip pat tiki, kad nemažiau svarbu daugiau investuoti į socialines inovacijas siekiant supaprastinti kultūrinius ir visuomeninius pokyčius, kurių reikia norint, kad klimato apsauga įmonėms, valdžios institucijoms ir namų ūkiams taptų kasdienybe;</w:t>
      </w:r>
    </w:p>
    <w:p w:rsidRPr="00424F46" w:rsidR="00707DFC" w:rsidP="00F5520F" w:rsidRDefault="00707DFC">
      <w:pPr>
        <w:pStyle w:val="ListParagraph"/>
        <w:spacing w:after="0" w:line="288" w:lineRule="auto"/>
        <w:ind w:left="0"/>
        <w:jc w:val="both"/>
        <w:rPr>
          <w:rFonts w:ascii="Times New Roman" w:hAnsi="Times New Roman" w:cs="Times New Roman"/>
          <w:lang w:val="en-GB"/>
        </w:rPr>
      </w:pPr>
    </w:p>
    <w:p w:rsidRPr="00424F46" w:rsidR="00EE319C" w:rsidP="00F5520F" w:rsidRDefault="00710362">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mano, kad nereikėtų </w:t>
      </w:r>
      <w:r>
        <w:rPr>
          <w:rFonts w:ascii="Times New Roman" w:hAnsi="Times New Roman"/>
          <w:b/>
        </w:rPr>
        <w:t>lyčių klausimo</w:t>
      </w:r>
      <w:r>
        <w:rPr>
          <w:rFonts w:ascii="Times New Roman" w:hAnsi="Times New Roman"/>
        </w:rPr>
        <w:t xml:space="preserve"> nagrinėti kaip atskiro ir uždaro klausimo, veikiau jis turėtų būti laikomas esminiu siekiant </w:t>
      </w:r>
      <w:r>
        <w:rPr>
          <w:rFonts w:ascii="Times New Roman" w:hAnsi="Times New Roman"/>
          <w:b/>
        </w:rPr>
        <w:t>išvengti lyčių atžvilgiu trumparegiškų priemonių ir politikos</w:t>
      </w:r>
      <w:r>
        <w:rPr>
          <w:rFonts w:ascii="Times New Roman" w:hAnsi="Times New Roman"/>
        </w:rPr>
        <w:t xml:space="preserve">. Klimato kaitos poveikis įvairioms gyventojų grupėms yra skirtingas ir jei kovos su klimato kaita politika nebus teisingai parengta, ji gali įtvirtinti šią neteisybę ir disbalansą. Pavyzdžiui, </w:t>
      </w:r>
      <w:r>
        <w:rPr>
          <w:rFonts w:ascii="Times New Roman" w:hAnsi="Times New Roman"/>
        </w:rPr>
        <w:lastRenderedPageBreak/>
        <w:t>nevienodas moterų dalyvavimas sprendimų priėmimo procesuose ir darbo rinkose pagilina nelygybę ir dažnai užkerta moterims kelią visapusiškai prisidėti prie klimato priemonių planavimo, klimato srities politikos formavimo ir įgyvendinimo</w:t>
      </w:r>
      <w:r w:rsidRPr="00424F46" w:rsidR="00EE319C">
        <w:rPr>
          <w:rStyle w:val="FootnoteReference"/>
          <w:rFonts w:ascii="Times New Roman" w:hAnsi="Times New Roman" w:cs="Times New Roman"/>
          <w:lang w:val="en-GB"/>
        </w:rPr>
        <w:footnoteReference w:id="30"/>
      </w:r>
      <w:r>
        <w:rPr>
          <w:rFonts w:ascii="Times New Roman" w:hAnsi="Times New Roman"/>
        </w:rPr>
        <w:t>;</w:t>
      </w:r>
    </w:p>
    <w:p w:rsidRPr="00424F46" w:rsidR="00EE319C" w:rsidP="00F5520F" w:rsidRDefault="00EE319C">
      <w:pPr>
        <w:pStyle w:val="ListParagraph"/>
        <w:spacing w:after="0" w:line="288" w:lineRule="auto"/>
        <w:ind w:left="567" w:hanging="567"/>
        <w:jc w:val="both"/>
        <w:rPr>
          <w:rFonts w:ascii="Times New Roman" w:hAnsi="Times New Roman" w:cs="Times New Roman"/>
          <w:lang w:val="en-GB"/>
        </w:rPr>
      </w:pPr>
    </w:p>
    <w:p w:rsidRPr="00424F46" w:rsidR="00B27016" w:rsidP="00F5520F" w:rsidRDefault="009F475F">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yra įsitikinęs, kad </w:t>
      </w:r>
      <w:r>
        <w:rPr>
          <w:rFonts w:ascii="Times New Roman" w:hAnsi="Times New Roman"/>
          <w:b/>
        </w:rPr>
        <w:t>jaunimui</w:t>
      </w:r>
      <w:r>
        <w:rPr>
          <w:rFonts w:ascii="Times New Roman" w:hAnsi="Times New Roman"/>
        </w:rPr>
        <w:t xml:space="preserve"> aktyviau</w:t>
      </w:r>
      <w:r>
        <w:rPr>
          <w:rFonts w:ascii="Times New Roman" w:hAnsi="Times New Roman"/>
          <w:b/>
        </w:rPr>
        <w:t xml:space="preserve"> dalyvaujant</w:t>
      </w:r>
      <w:r>
        <w:rPr>
          <w:rFonts w:ascii="Times New Roman" w:hAnsi="Times New Roman"/>
        </w:rPr>
        <w:t xml:space="preserve"> sprendimų priėmimo procese, pradedant pasiūlymų dėl teisės akto ir iniciatyvų rengimu ir baigiant jų įgyvendinimu, stebėsena ir tolesniu darbu, bus galima geriausiai atsižvelgti į šiems pokyčiams būdingą kartų aspektą</w:t>
      </w:r>
      <w:r w:rsidRPr="00424F46">
        <w:rPr>
          <w:rStyle w:val="FootnoteReference"/>
          <w:rFonts w:ascii="Times New Roman" w:hAnsi="Times New Roman" w:cs="Times New Roman"/>
          <w:sz w:val="22"/>
          <w:lang w:val="en-GB"/>
        </w:rPr>
        <w:footnoteReference w:id="31"/>
      </w:r>
      <w:r>
        <w:rPr>
          <w:rFonts w:ascii="Times New Roman" w:hAnsi="Times New Roman"/>
        </w:rPr>
        <w:t>. Todėl nuo 2021 m. EESRK pradėjo į UNFCCC COP posėdžiuose dalyvaujančią oficialią ES delegaciją įtraukti jaunimo atstovą ir įsipareigojo savo darbe labiau atsižvelgti į jaunimo ir jaunimo organizacijų nuomonę. EESRK primygtinai ragina kitas šalis ir suinteresuotuosius subjektus laikytis panašaus požiūrio;</w:t>
      </w:r>
    </w:p>
    <w:p w:rsidRPr="00424F46" w:rsidR="00B27016" w:rsidP="00F5520F" w:rsidRDefault="00B27016">
      <w:pPr>
        <w:pStyle w:val="ListParagraph"/>
        <w:spacing w:after="0" w:line="288" w:lineRule="auto"/>
        <w:ind w:left="567" w:hanging="567"/>
        <w:jc w:val="both"/>
        <w:rPr>
          <w:rFonts w:ascii="Times New Roman" w:hAnsi="Times New Roman" w:cs="Times New Roman"/>
          <w:lang w:val="en-GB"/>
        </w:rPr>
      </w:pPr>
    </w:p>
    <w:p w:rsidRPr="00424F46" w:rsidR="008D5813" w:rsidP="00F5520F" w:rsidRDefault="00B27016">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pripažįsta itin svarbų </w:t>
      </w:r>
      <w:r>
        <w:rPr>
          <w:rFonts w:ascii="Times New Roman" w:hAnsi="Times New Roman"/>
          <w:b/>
        </w:rPr>
        <w:t>čiabuvių</w:t>
      </w:r>
      <w:r>
        <w:rPr>
          <w:rFonts w:ascii="Times New Roman" w:hAnsi="Times New Roman"/>
        </w:rPr>
        <w:t xml:space="preserve"> vaidmenį kovojant su klimato kaita, nes jie rūpinasi daugiau kaip 80 proc. planetoje likusios biologinės įvairovės</w:t>
      </w:r>
      <w:r w:rsidRPr="00424F46">
        <w:rPr>
          <w:rFonts w:ascii="Times New Roman" w:hAnsi="Times New Roman" w:cs="Times New Roman"/>
          <w:vertAlign w:val="superscript"/>
          <w:lang w:val="en-GB"/>
        </w:rPr>
        <w:footnoteReference w:id="32"/>
      </w:r>
      <w:r>
        <w:rPr>
          <w:rFonts w:ascii="Times New Roman" w:hAnsi="Times New Roman"/>
        </w:rPr>
        <w:t>; palankiai vertina aktyvesnį čiabuvių tautų dalyvavimą klimato politikos srityje ir primygtinai ragina šalis aktyviai įtraukti juos į klimato politikos veiksmų įgyvendinimo procesą;</w:t>
      </w:r>
    </w:p>
    <w:p w:rsidRPr="00424F46" w:rsidR="003D0D15" w:rsidP="00F5520F" w:rsidRDefault="003D0D15">
      <w:pPr>
        <w:pStyle w:val="ListParagraph"/>
        <w:spacing w:after="0" w:line="288" w:lineRule="auto"/>
        <w:ind w:left="0"/>
        <w:jc w:val="both"/>
        <w:rPr>
          <w:rFonts w:ascii="Times New Roman" w:hAnsi="Times New Roman" w:cs="Times New Roman"/>
          <w:lang w:val="en-GB"/>
        </w:rPr>
      </w:pPr>
    </w:p>
    <w:p w:rsidRPr="00424F46" w:rsidR="003D0D15" w:rsidP="00F5520F" w:rsidRDefault="003D0D15">
      <w:pPr>
        <w:pStyle w:val="ListParagraph"/>
        <w:numPr>
          <w:ilvl w:val="0"/>
          <w:numId w:val="11"/>
        </w:numPr>
        <w:spacing w:after="0" w:line="288" w:lineRule="auto"/>
        <w:ind w:left="567" w:hanging="567"/>
        <w:contextualSpacing w:val="0"/>
        <w:jc w:val="both"/>
        <w:rPr>
          <w:rFonts w:ascii="Times New Roman" w:hAnsi="Times New Roman"/>
        </w:rPr>
      </w:pPr>
      <w:r>
        <w:rPr>
          <w:rFonts w:ascii="Times New Roman" w:hAnsi="Times New Roman"/>
        </w:rPr>
        <w:t>EESRK įsipareigoja imtis veiksmų pirmiau išdėstytoms politinėms rekomendacijoms įgyvendinti.</w:t>
      </w:r>
    </w:p>
    <w:p w:rsidRPr="00424F46" w:rsidR="00D27A92" w:rsidP="00E567D2" w:rsidRDefault="00D27A92">
      <w:pPr>
        <w:pStyle w:val="ListParagraph"/>
        <w:keepNext/>
        <w:keepLines/>
        <w:spacing w:after="0" w:line="288" w:lineRule="auto"/>
        <w:ind w:left="0"/>
        <w:jc w:val="both"/>
        <w:rPr>
          <w:rFonts w:ascii="Times New Roman" w:hAnsi="Times New Roman" w:cs="Times New Roman"/>
          <w:lang w:val="en-GB"/>
        </w:rPr>
      </w:pPr>
    </w:p>
    <w:p w:rsidRPr="00424F46" w:rsidR="005E5612" w:rsidP="00E567D2" w:rsidRDefault="005E5612">
      <w:pPr>
        <w:pStyle w:val="ListParagraph"/>
        <w:keepNext/>
        <w:keepLines/>
        <w:spacing w:after="0" w:line="288" w:lineRule="auto"/>
        <w:ind w:left="0"/>
        <w:jc w:val="both"/>
        <w:rPr>
          <w:rFonts w:ascii="Times New Roman" w:hAnsi="Times New Roman" w:cs="Times New Roman"/>
        </w:rPr>
      </w:pPr>
      <w:r>
        <w:rPr>
          <w:rFonts w:ascii="Times New Roman" w:hAnsi="Times New Roman"/>
        </w:rPr>
        <w:t>2022 m. spalio 26 d., Briuselis</w:t>
      </w:r>
    </w:p>
    <w:p w:rsidRPr="00424F46" w:rsidR="005E5612" w:rsidP="00E567D2" w:rsidRDefault="005E5612">
      <w:pPr>
        <w:pStyle w:val="ListParagraph"/>
        <w:keepNext/>
        <w:keepLines/>
        <w:spacing w:after="0" w:line="288" w:lineRule="auto"/>
        <w:ind w:left="0"/>
        <w:jc w:val="both"/>
        <w:rPr>
          <w:rFonts w:ascii="Times New Roman" w:hAnsi="Times New Roman" w:cs="Times New Roman"/>
          <w:lang w:val="en-GB"/>
        </w:rPr>
      </w:pPr>
    </w:p>
    <w:p w:rsidRPr="00424F46" w:rsidR="005E5612" w:rsidP="00E567D2" w:rsidRDefault="005E5612">
      <w:pPr>
        <w:pStyle w:val="ListParagraph"/>
        <w:keepNext/>
        <w:keepLines/>
        <w:spacing w:after="0" w:line="288" w:lineRule="auto"/>
        <w:ind w:left="0"/>
        <w:jc w:val="both"/>
        <w:rPr>
          <w:rFonts w:ascii="Times New Roman" w:hAnsi="Times New Roman" w:cs="Times New Roman"/>
          <w:lang w:val="en-GB"/>
        </w:rPr>
      </w:pPr>
    </w:p>
    <w:p w:rsidRPr="00424F46" w:rsidR="005E5612" w:rsidP="00E567D2" w:rsidRDefault="005E5612">
      <w:pPr>
        <w:pStyle w:val="ListParagraph"/>
        <w:keepNext/>
        <w:keepLines/>
        <w:spacing w:after="0" w:line="288" w:lineRule="auto"/>
        <w:ind w:left="0"/>
        <w:jc w:val="both"/>
        <w:rPr>
          <w:rFonts w:ascii="Times New Roman" w:hAnsi="Times New Roman" w:cs="Times New Roman"/>
          <w:lang w:val="en-GB"/>
        </w:rPr>
      </w:pPr>
    </w:p>
    <w:p w:rsidRPr="00424F46" w:rsidR="005E5612" w:rsidP="00E567D2" w:rsidRDefault="005E5612">
      <w:pPr>
        <w:pStyle w:val="ListParagraph"/>
        <w:keepNext/>
        <w:keepLines/>
        <w:spacing w:after="0" w:line="288" w:lineRule="auto"/>
        <w:ind w:left="0"/>
        <w:jc w:val="both"/>
        <w:rPr>
          <w:rFonts w:ascii="Times New Roman" w:hAnsi="Times New Roman" w:cs="Times New Roman"/>
        </w:rPr>
      </w:pPr>
      <w:r>
        <w:rPr>
          <w:rFonts w:ascii="Times New Roman" w:hAnsi="Times New Roman"/>
        </w:rPr>
        <w:t>Christa Schweng</w:t>
      </w:r>
    </w:p>
    <w:p w:rsidRPr="00424F46" w:rsidR="005E5612" w:rsidP="00E567D2" w:rsidRDefault="005E5612">
      <w:pPr>
        <w:pStyle w:val="ListParagraph"/>
        <w:keepNext/>
        <w:keepLines/>
        <w:spacing w:after="0" w:line="288" w:lineRule="auto"/>
        <w:ind w:left="0"/>
        <w:jc w:val="both"/>
        <w:rPr>
          <w:rFonts w:ascii="Times New Roman" w:hAnsi="Times New Roman" w:cs="Times New Roman"/>
        </w:rPr>
      </w:pPr>
      <w:r>
        <w:rPr>
          <w:rFonts w:ascii="Times New Roman" w:hAnsi="Times New Roman"/>
        </w:rPr>
        <w:t>Europos ekonomikos ir socialinių reikalų komiteto pirmininkė</w:t>
      </w:r>
    </w:p>
    <w:p w:rsidRPr="00424F46" w:rsidR="009C5FF9" w:rsidP="00E567D2" w:rsidRDefault="009C5FF9">
      <w:pPr>
        <w:pStyle w:val="ListParagraph"/>
        <w:keepNext/>
        <w:keepLines/>
        <w:spacing w:after="0" w:line="288" w:lineRule="auto"/>
        <w:ind w:left="0"/>
        <w:jc w:val="both"/>
        <w:rPr>
          <w:rFonts w:ascii="Times New Roman" w:hAnsi="Times New Roman" w:cs="Times New Roman"/>
          <w:lang w:val="en-GB"/>
        </w:rPr>
      </w:pPr>
    </w:p>
    <w:p w:rsidRPr="008A6CF4" w:rsidR="0078686E" w:rsidP="00EF3B48" w:rsidRDefault="002C2B01">
      <w:pPr>
        <w:pStyle w:val="ListParagraph"/>
        <w:keepNext/>
        <w:keepLines/>
        <w:spacing w:after="0" w:line="288" w:lineRule="auto"/>
        <w:ind w:left="0"/>
        <w:jc w:val="center"/>
        <w:rPr>
          <w:rFonts w:ascii="Times New Roman" w:hAnsi="Times New Roman" w:cs="Times New Roman"/>
        </w:rPr>
      </w:pPr>
      <w:r>
        <w:t>_____________</w:t>
      </w:r>
    </w:p>
    <w:sectPr w:rsidRPr="008A6CF4" w:rsidR="0078686E" w:rsidSect="00526B40">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948" w:rsidRDefault="00BD0948" w:rsidP="008A03FA">
      <w:pPr>
        <w:spacing w:after="0" w:line="240" w:lineRule="auto"/>
      </w:pPr>
      <w:r>
        <w:separator/>
      </w:r>
    </w:p>
  </w:endnote>
  <w:endnote w:type="continuationSeparator" w:id="0">
    <w:p w:rsidR="00BD0948" w:rsidRDefault="00BD0948" w:rsidP="008A03FA">
      <w:pPr>
        <w:spacing w:after="0" w:line="240" w:lineRule="auto"/>
      </w:pPr>
      <w:r>
        <w:continuationSeparator/>
      </w:r>
    </w:p>
  </w:endnote>
  <w:endnote w:type="continuationNotice" w:id="1">
    <w:p w:rsidR="00BD0948" w:rsidRDefault="00BD09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CF4" w:rsidRDefault="008A6C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CF4" w:rsidRDefault="008A6C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CF4" w:rsidRDefault="008A6C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C9D" w:rsidRDefault="00180C9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B40" w:rsidRPr="00526B40" w:rsidRDefault="00526B40" w:rsidP="00526B4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0A7" w:rsidRPr="00526B40" w:rsidRDefault="008A6CF4" w:rsidP="008A6CF4">
    <w:pPr>
      <w:pStyle w:val="Footer"/>
      <w:jc w:val="left"/>
    </w:pPr>
    <w:r>
      <w:t xml:space="preserve">EESC-2022-04116-00-01-RES-TRA (EN) </w:t>
    </w:r>
    <w:r>
      <w:fldChar w:fldCharType="begin"/>
    </w:r>
    <w:r>
      <w:instrText xml:space="preserve"> PAGE  \* Arabic  \* MERGEFORMAT </w:instrText>
    </w:r>
    <w:r>
      <w:fldChar w:fldCharType="separate"/>
    </w:r>
    <w:r w:rsidR="00B406FE">
      <w:rPr>
        <w:noProof/>
      </w:rPr>
      <w:t>10</w:t>
    </w:r>
    <w:r>
      <w:fldChar w:fldCharType="end"/>
    </w:r>
    <w:r>
      <w:t>/</w:t>
    </w:r>
    <w:r>
      <w:fldChar w:fldCharType="begin"/>
    </w:r>
    <w:r>
      <w:instrText xml:space="preserve"> = </w:instrText>
    </w:r>
    <w:r w:rsidR="00470E02">
      <w:fldChar w:fldCharType="begin"/>
    </w:r>
    <w:r w:rsidR="00470E02">
      <w:instrText xml:space="preserve"> NUMPAGES </w:instrText>
    </w:r>
    <w:r w:rsidR="00470E02">
      <w:fldChar w:fldCharType="separate"/>
    </w:r>
    <w:r w:rsidR="00B406FE">
      <w:rPr>
        <w:noProof/>
      </w:rPr>
      <w:instrText>12</w:instrText>
    </w:r>
    <w:r w:rsidR="00470E02">
      <w:fldChar w:fldCharType="end"/>
    </w:r>
    <w:r>
      <w:instrText xml:space="preserve"> - 2 </w:instrText>
    </w:r>
    <w:r>
      <w:fldChar w:fldCharType="separate"/>
    </w:r>
    <w:r w:rsidR="00B406FE">
      <w:rPr>
        <w:noProof/>
      </w:rPr>
      <w:t>10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B40" w:rsidRPr="00526B40" w:rsidRDefault="00526B40" w:rsidP="00526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948" w:rsidRDefault="00BD0948" w:rsidP="008A03FA">
      <w:pPr>
        <w:spacing w:after="0" w:line="240" w:lineRule="auto"/>
      </w:pPr>
      <w:r>
        <w:separator/>
      </w:r>
    </w:p>
  </w:footnote>
  <w:footnote w:type="continuationSeparator" w:id="0">
    <w:p w:rsidR="00BD0948" w:rsidRDefault="00BD0948" w:rsidP="008A03FA">
      <w:pPr>
        <w:spacing w:after="0" w:line="240" w:lineRule="auto"/>
      </w:pPr>
      <w:r>
        <w:continuationSeparator/>
      </w:r>
    </w:p>
  </w:footnote>
  <w:footnote w:type="continuationNotice" w:id="1">
    <w:p w:rsidR="00BD0948" w:rsidRDefault="00BD0948">
      <w:pPr>
        <w:spacing w:after="0" w:line="240" w:lineRule="auto"/>
      </w:pPr>
    </w:p>
  </w:footnote>
  <w:footnote w:id="2">
    <w:p w:rsidR="00C5108E" w:rsidRPr="005F3782" w:rsidRDefault="00C5108E" w:rsidP="00EF3B48">
      <w:pPr>
        <w:pStyle w:val="FootnoteText"/>
        <w:jc w:val="left"/>
        <w:rPr>
          <w:szCs w:val="16"/>
        </w:rPr>
      </w:pPr>
      <w:r>
        <w:rPr>
          <w:rStyle w:val="FootnoteReference"/>
          <w:szCs w:val="24"/>
        </w:rPr>
        <w:footnoteRef/>
      </w:r>
      <w:r>
        <w:tab/>
      </w:r>
      <w:hyperlink r:id="rId1" w:history="1">
        <w:r>
          <w:rPr>
            <w:rStyle w:val="Hyperlink"/>
          </w:rPr>
          <w:t>Paryžiaus susitarimas</w:t>
        </w:r>
      </w:hyperlink>
      <w:r>
        <w:t>.</w:t>
      </w:r>
    </w:p>
  </w:footnote>
  <w:footnote w:id="3">
    <w:p w:rsidR="00C5108E" w:rsidRPr="005F3782" w:rsidRDefault="00C5108E" w:rsidP="00EF3B48">
      <w:pPr>
        <w:pStyle w:val="FootnoteText"/>
      </w:pPr>
      <w:r>
        <w:rPr>
          <w:rStyle w:val="FootnoteReference"/>
          <w:szCs w:val="24"/>
        </w:rPr>
        <w:footnoteRef/>
      </w:r>
      <w:r>
        <w:tab/>
        <w:t xml:space="preserve">Remtasi </w:t>
      </w:r>
      <w:hyperlink r:id="rId2" w:history="1">
        <w:r>
          <w:rPr>
            <w:rStyle w:val="Hyperlink"/>
            <w:i/>
            <w:iCs/>
          </w:rPr>
          <w:t xml:space="preserve">Economic losses from weather and climate-related extremes in Europe reached around half a trillion euros </w:t>
        </w:r>
        <w:proofErr w:type="spellStart"/>
        <w:r>
          <w:rPr>
            <w:rStyle w:val="Hyperlink"/>
            <w:i/>
            <w:iCs/>
          </w:rPr>
          <w:t>over</w:t>
        </w:r>
        <w:proofErr w:type="spellEnd"/>
        <w:r>
          <w:rPr>
            <w:rStyle w:val="Hyperlink"/>
            <w:i/>
            <w:iCs/>
          </w:rPr>
          <w:t xml:space="preserve"> past 40 years – European </w:t>
        </w:r>
        <w:proofErr w:type="spellStart"/>
        <w:r>
          <w:rPr>
            <w:rStyle w:val="Hyperlink"/>
            <w:i/>
            <w:iCs/>
          </w:rPr>
          <w:t>Environment</w:t>
        </w:r>
        <w:proofErr w:type="spellEnd"/>
        <w:r>
          <w:rPr>
            <w:rStyle w:val="Hyperlink"/>
            <w:i/>
            <w:iCs/>
          </w:rPr>
          <w:t xml:space="preserve"> </w:t>
        </w:r>
        <w:proofErr w:type="spellStart"/>
        <w:r>
          <w:rPr>
            <w:rStyle w:val="Hyperlink"/>
            <w:i/>
            <w:iCs/>
          </w:rPr>
          <w:t>Agency</w:t>
        </w:r>
        <w:proofErr w:type="spellEnd"/>
      </w:hyperlink>
      <w:r>
        <w:t xml:space="preserve">, </w:t>
      </w:r>
      <w:hyperlink r:id="rId3" w:history="1">
        <w:proofErr w:type="spellStart"/>
        <w:r>
          <w:rPr>
            <w:rStyle w:val="Hyperlink"/>
            <w:i/>
            <w:iCs/>
          </w:rPr>
          <w:t>New</w:t>
        </w:r>
        <w:proofErr w:type="spellEnd"/>
        <w:r>
          <w:rPr>
            <w:rStyle w:val="Hyperlink"/>
            <w:i/>
            <w:iCs/>
          </w:rPr>
          <w:t xml:space="preserve"> </w:t>
        </w:r>
        <w:proofErr w:type="spellStart"/>
        <w:r>
          <w:rPr>
            <w:rStyle w:val="Hyperlink"/>
            <w:i/>
            <w:iCs/>
          </w:rPr>
          <w:t>report</w:t>
        </w:r>
        <w:proofErr w:type="spellEnd"/>
        <w:r>
          <w:rPr>
            <w:rStyle w:val="Hyperlink"/>
            <w:i/>
            <w:iCs/>
          </w:rPr>
          <w:t xml:space="preserve">: </w:t>
        </w:r>
        <w:proofErr w:type="spellStart"/>
        <w:r>
          <w:rPr>
            <w:rStyle w:val="Hyperlink"/>
            <w:i/>
            <w:iCs/>
          </w:rPr>
          <w:t>World</w:t>
        </w:r>
        <w:proofErr w:type="spellEnd"/>
        <w:r>
          <w:rPr>
            <w:rStyle w:val="Hyperlink"/>
            <w:i/>
            <w:iCs/>
          </w:rPr>
          <w:t xml:space="preserve"> </w:t>
        </w:r>
        <w:proofErr w:type="spellStart"/>
        <w:r>
          <w:rPr>
            <w:rStyle w:val="Hyperlink"/>
            <w:i/>
            <w:iCs/>
          </w:rPr>
          <w:t>counts</w:t>
        </w:r>
        <w:proofErr w:type="spellEnd"/>
        <w:r>
          <w:rPr>
            <w:rStyle w:val="Hyperlink"/>
            <w:i/>
            <w:iCs/>
          </w:rPr>
          <w:t xml:space="preserve"> </w:t>
        </w:r>
        <w:proofErr w:type="spellStart"/>
        <w:r>
          <w:rPr>
            <w:rStyle w:val="Hyperlink"/>
            <w:i/>
            <w:iCs/>
          </w:rPr>
          <w:t>the</w:t>
        </w:r>
        <w:proofErr w:type="spellEnd"/>
        <w:r>
          <w:rPr>
            <w:rStyle w:val="Hyperlink"/>
            <w:i/>
            <w:iCs/>
          </w:rPr>
          <w:t xml:space="preserve"> </w:t>
        </w:r>
        <w:proofErr w:type="spellStart"/>
        <w:r>
          <w:rPr>
            <w:rStyle w:val="Hyperlink"/>
            <w:i/>
            <w:iCs/>
          </w:rPr>
          <w:t>cost</w:t>
        </w:r>
        <w:proofErr w:type="spellEnd"/>
        <w:r>
          <w:rPr>
            <w:rStyle w:val="Hyperlink"/>
            <w:i/>
            <w:iCs/>
          </w:rPr>
          <w:t xml:space="preserve"> </w:t>
        </w:r>
        <w:proofErr w:type="spellStart"/>
        <w:r>
          <w:rPr>
            <w:rStyle w:val="Hyperlink"/>
            <w:i/>
            <w:iCs/>
          </w:rPr>
          <w:t>of</w:t>
        </w:r>
        <w:proofErr w:type="spellEnd"/>
        <w:r>
          <w:rPr>
            <w:rStyle w:val="Hyperlink"/>
            <w:i/>
            <w:iCs/>
          </w:rPr>
          <w:t xml:space="preserve"> a </w:t>
        </w:r>
        <w:proofErr w:type="spellStart"/>
        <w:r>
          <w:rPr>
            <w:rStyle w:val="Hyperlink"/>
            <w:i/>
            <w:iCs/>
          </w:rPr>
          <w:t>year</w:t>
        </w:r>
        <w:proofErr w:type="spellEnd"/>
        <w:r>
          <w:rPr>
            <w:rStyle w:val="Hyperlink"/>
            <w:i/>
            <w:iCs/>
          </w:rPr>
          <w:t xml:space="preserve"> </w:t>
        </w:r>
        <w:proofErr w:type="spellStart"/>
        <w:r>
          <w:rPr>
            <w:rStyle w:val="Hyperlink"/>
            <w:i/>
            <w:iCs/>
          </w:rPr>
          <w:t>of</w:t>
        </w:r>
        <w:proofErr w:type="spellEnd"/>
        <w:r>
          <w:rPr>
            <w:rStyle w:val="Hyperlink"/>
            <w:i/>
            <w:iCs/>
          </w:rPr>
          <w:t xml:space="preserve"> </w:t>
        </w:r>
        <w:proofErr w:type="spellStart"/>
        <w:r>
          <w:rPr>
            <w:rStyle w:val="Hyperlink"/>
            <w:i/>
            <w:iCs/>
          </w:rPr>
          <w:t>climate</w:t>
        </w:r>
        <w:proofErr w:type="spellEnd"/>
        <w:r>
          <w:rPr>
            <w:rStyle w:val="Hyperlink"/>
            <w:i/>
            <w:iCs/>
          </w:rPr>
          <w:t xml:space="preserve"> </w:t>
        </w:r>
        <w:proofErr w:type="spellStart"/>
        <w:r>
          <w:rPr>
            <w:rStyle w:val="Hyperlink"/>
            <w:i/>
            <w:iCs/>
          </w:rPr>
          <w:t>breakdown</w:t>
        </w:r>
        <w:proofErr w:type="spellEnd"/>
        <w:r>
          <w:rPr>
            <w:rStyle w:val="Hyperlink"/>
            <w:i/>
            <w:iCs/>
          </w:rPr>
          <w:t xml:space="preserve"> – UK </w:t>
        </w:r>
        <w:proofErr w:type="spellStart"/>
        <w:r>
          <w:rPr>
            <w:rStyle w:val="Hyperlink"/>
            <w:i/>
            <w:iCs/>
          </w:rPr>
          <w:t>charity</w:t>
        </w:r>
        <w:proofErr w:type="spellEnd"/>
        <w:r>
          <w:rPr>
            <w:rStyle w:val="Hyperlink"/>
            <w:i/>
            <w:iCs/>
          </w:rPr>
          <w:t xml:space="preserve"> </w:t>
        </w:r>
        <w:proofErr w:type="spellStart"/>
        <w:r>
          <w:rPr>
            <w:rStyle w:val="Hyperlink"/>
            <w:i/>
            <w:iCs/>
          </w:rPr>
          <w:t>fighting</w:t>
        </w:r>
        <w:proofErr w:type="spellEnd"/>
        <w:r>
          <w:rPr>
            <w:rStyle w:val="Hyperlink"/>
            <w:i/>
            <w:iCs/>
          </w:rPr>
          <w:t xml:space="preserve"> </w:t>
        </w:r>
        <w:proofErr w:type="spellStart"/>
        <w:r>
          <w:rPr>
            <w:rStyle w:val="Hyperlink"/>
            <w:i/>
            <w:iCs/>
          </w:rPr>
          <w:t>global</w:t>
        </w:r>
        <w:proofErr w:type="spellEnd"/>
        <w:r>
          <w:rPr>
            <w:rStyle w:val="Hyperlink"/>
            <w:i/>
            <w:iCs/>
          </w:rPr>
          <w:t xml:space="preserve"> </w:t>
        </w:r>
        <w:proofErr w:type="spellStart"/>
        <w:r>
          <w:rPr>
            <w:rStyle w:val="Hyperlink"/>
            <w:i/>
            <w:iCs/>
          </w:rPr>
          <w:t>poverty</w:t>
        </w:r>
        <w:proofErr w:type="spellEnd"/>
        <w:r>
          <w:rPr>
            <w:rStyle w:val="Hyperlink"/>
            <w:i/>
            <w:iCs/>
          </w:rPr>
          <w:t xml:space="preserve"> | </w:t>
        </w:r>
        <w:proofErr w:type="spellStart"/>
        <w:r>
          <w:rPr>
            <w:rStyle w:val="Hyperlink"/>
            <w:i/>
            <w:iCs/>
          </w:rPr>
          <w:t>Christian</w:t>
        </w:r>
        <w:proofErr w:type="spellEnd"/>
        <w:r>
          <w:rPr>
            <w:rStyle w:val="Hyperlink"/>
            <w:i/>
            <w:iCs/>
          </w:rPr>
          <w:t xml:space="preserve"> </w:t>
        </w:r>
        <w:proofErr w:type="spellStart"/>
        <w:r>
          <w:rPr>
            <w:rStyle w:val="Hyperlink"/>
            <w:i/>
            <w:iCs/>
          </w:rPr>
          <w:t>Aid</w:t>
        </w:r>
        <w:proofErr w:type="spellEnd"/>
        <w:r>
          <w:rPr>
            <w:rStyle w:val="Hyperlink"/>
            <w:i/>
            <w:iCs/>
          </w:rPr>
          <w:t xml:space="preserve"> | </w:t>
        </w:r>
        <w:proofErr w:type="spellStart"/>
        <w:r>
          <w:rPr>
            <w:rStyle w:val="Hyperlink"/>
            <w:i/>
            <w:iCs/>
          </w:rPr>
          <w:t>Mediacentre</w:t>
        </w:r>
        <w:proofErr w:type="spellEnd"/>
      </w:hyperlink>
      <w:r>
        <w:t xml:space="preserve">, </w:t>
      </w:r>
      <w:hyperlink r:id="rId4" w:anchor=":~:text=We%20estimate%20that%20climate%20change,such%20as%20DICE%20and%20FUND." w:history="1">
        <w:proofErr w:type="spellStart"/>
        <w:r>
          <w:rPr>
            <w:rStyle w:val="Hyperlink"/>
            <w:i/>
            <w:iCs/>
          </w:rPr>
          <w:t>The</w:t>
        </w:r>
        <w:proofErr w:type="spellEnd"/>
        <w:r>
          <w:rPr>
            <w:rStyle w:val="Hyperlink"/>
            <w:i/>
            <w:iCs/>
          </w:rPr>
          <w:t xml:space="preserve"> </w:t>
        </w:r>
        <w:proofErr w:type="spellStart"/>
        <w:r>
          <w:rPr>
            <w:rStyle w:val="Hyperlink"/>
            <w:i/>
            <w:iCs/>
          </w:rPr>
          <w:t>Costs</w:t>
        </w:r>
        <w:proofErr w:type="spellEnd"/>
        <w:r>
          <w:rPr>
            <w:rStyle w:val="Hyperlink"/>
            <w:i/>
            <w:iCs/>
          </w:rPr>
          <w:t xml:space="preserve"> </w:t>
        </w:r>
        <w:proofErr w:type="spellStart"/>
        <w:r>
          <w:rPr>
            <w:rStyle w:val="Hyperlink"/>
            <w:i/>
            <w:iCs/>
          </w:rPr>
          <w:t>of</w:t>
        </w:r>
        <w:proofErr w:type="spellEnd"/>
        <w:r>
          <w:rPr>
            <w:rStyle w:val="Hyperlink"/>
            <w:i/>
            <w:iCs/>
          </w:rPr>
          <w:t xml:space="preserve"> </w:t>
        </w:r>
        <w:proofErr w:type="spellStart"/>
        <w:r>
          <w:rPr>
            <w:rStyle w:val="Hyperlink"/>
            <w:i/>
            <w:iCs/>
          </w:rPr>
          <w:t>Extreme</w:t>
        </w:r>
        <w:proofErr w:type="spellEnd"/>
        <w:r>
          <w:rPr>
            <w:rStyle w:val="Hyperlink"/>
            <w:i/>
            <w:iCs/>
          </w:rPr>
          <w:t xml:space="preserve"> </w:t>
        </w:r>
        <w:proofErr w:type="spellStart"/>
        <w:r>
          <w:rPr>
            <w:rStyle w:val="Hyperlink"/>
            <w:i/>
            <w:iCs/>
          </w:rPr>
          <w:t>Weather</w:t>
        </w:r>
        <w:proofErr w:type="spellEnd"/>
        <w:r>
          <w:rPr>
            <w:rStyle w:val="Hyperlink"/>
            <w:i/>
            <w:iCs/>
          </w:rPr>
          <w:t xml:space="preserve"> </w:t>
        </w:r>
        <w:proofErr w:type="spellStart"/>
        <w:r>
          <w:rPr>
            <w:rStyle w:val="Hyperlink"/>
            <w:i/>
            <w:iCs/>
          </w:rPr>
          <w:t>Events</w:t>
        </w:r>
        <w:proofErr w:type="spellEnd"/>
        <w:r>
          <w:rPr>
            <w:rStyle w:val="Hyperlink"/>
            <w:i/>
            <w:iCs/>
          </w:rPr>
          <w:t xml:space="preserve"> </w:t>
        </w:r>
        <w:proofErr w:type="spellStart"/>
        <w:r>
          <w:rPr>
            <w:rStyle w:val="Hyperlink"/>
            <w:i/>
            <w:iCs/>
          </w:rPr>
          <w:t>Caused</w:t>
        </w:r>
        <w:proofErr w:type="spellEnd"/>
        <w:r>
          <w:rPr>
            <w:rStyle w:val="Hyperlink"/>
            <w:i/>
            <w:iCs/>
          </w:rPr>
          <w:t xml:space="preserve"> </w:t>
        </w:r>
        <w:proofErr w:type="spellStart"/>
        <w:r>
          <w:rPr>
            <w:rStyle w:val="Hyperlink"/>
            <w:i/>
            <w:iCs/>
          </w:rPr>
          <w:t>by</w:t>
        </w:r>
        <w:proofErr w:type="spellEnd"/>
        <w:r>
          <w:rPr>
            <w:rStyle w:val="Hyperlink"/>
            <w:i/>
            <w:iCs/>
          </w:rPr>
          <w:t xml:space="preserve"> </w:t>
        </w:r>
        <w:proofErr w:type="spellStart"/>
        <w:r>
          <w:rPr>
            <w:rStyle w:val="Hyperlink"/>
            <w:i/>
            <w:iCs/>
          </w:rPr>
          <w:t>Climate</w:t>
        </w:r>
        <w:proofErr w:type="spellEnd"/>
        <w:r>
          <w:rPr>
            <w:rStyle w:val="Hyperlink"/>
            <w:i/>
            <w:iCs/>
          </w:rPr>
          <w:t xml:space="preserve"> </w:t>
        </w:r>
        <w:proofErr w:type="spellStart"/>
        <w:r>
          <w:rPr>
            <w:rStyle w:val="Hyperlink"/>
            <w:i/>
            <w:iCs/>
          </w:rPr>
          <w:t>Change</w:t>
        </w:r>
        <w:proofErr w:type="spellEnd"/>
        <w:r>
          <w:rPr>
            <w:rStyle w:val="Hyperlink"/>
            <w:i/>
            <w:iCs/>
          </w:rPr>
          <w:t xml:space="preserve"> - CMCC</w:t>
        </w:r>
      </w:hyperlink>
      <w:r>
        <w:t xml:space="preserve">, </w:t>
      </w:r>
      <w:hyperlink r:id="rId5" w:history="1">
        <w:proofErr w:type="spellStart"/>
        <w:r>
          <w:rPr>
            <w:rStyle w:val="Hyperlink"/>
            <w:i/>
            <w:iCs/>
          </w:rPr>
          <w:t>Billion-Dollar</w:t>
        </w:r>
        <w:proofErr w:type="spellEnd"/>
        <w:r>
          <w:rPr>
            <w:rStyle w:val="Hyperlink"/>
            <w:i/>
            <w:iCs/>
          </w:rPr>
          <w:t xml:space="preserve"> </w:t>
        </w:r>
        <w:proofErr w:type="spellStart"/>
        <w:r>
          <w:rPr>
            <w:rStyle w:val="Hyperlink"/>
            <w:i/>
            <w:iCs/>
          </w:rPr>
          <w:t>Weather</w:t>
        </w:r>
        <w:proofErr w:type="spellEnd"/>
        <w:r>
          <w:rPr>
            <w:rStyle w:val="Hyperlink"/>
            <w:i/>
            <w:iCs/>
          </w:rPr>
          <w:t xml:space="preserve"> </w:t>
        </w:r>
        <w:proofErr w:type="spellStart"/>
        <w:r>
          <w:rPr>
            <w:rStyle w:val="Hyperlink"/>
            <w:i/>
            <w:iCs/>
          </w:rPr>
          <w:t>and</w:t>
        </w:r>
        <w:proofErr w:type="spellEnd"/>
        <w:r>
          <w:rPr>
            <w:rStyle w:val="Hyperlink"/>
            <w:i/>
            <w:iCs/>
          </w:rPr>
          <w:t xml:space="preserve"> </w:t>
        </w:r>
        <w:proofErr w:type="spellStart"/>
        <w:r>
          <w:rPr>
            <w:rStyle w:val="Hyperlink"/>
            <w:i/>
            <w:iCs/>
          </w:rPr>
          <w:t>Climate</w:t>
        </w:r>
        <w:proofErr w:type="spellEnd"/>
        <w:r>
          <w:rPr>
            <w:rStyle w:val="Hyperlink"/>
            <w:i/>
            <w:iCs/>
          </w:rPr>
          <w:t xml:space="preserve"> </w:t>
        </w:r>
        <w:proofErr w:type="spellStart"/>
        <w:r>
          <w:rPr>
            <w:rStyle w:val="Hyperlink"/>
            <w:i/>
            <w:iCs/>
          </w:rPr>
          <w:t>Disasters</w:t>
        </w:r>
        <w:proofErr w:type="spellEnd"/>
        <w:r>
          <w:rPr>
            <w:rStyle w:val="Hyperlink"/>
            <w:i/>
            <w:iCs/>
          </w:rPr>
          <w:t xml:space="preserve"> | </w:t>
        </w:r>
        <w:proofErr w:type="spellStart"/>
        <w:r>
          <w:rPr>
            <w:rStyle w:val="Hyperlink"/>
            <w:i/>
            <w:iCs/>
          </w:rPr>
          <w:t>National</w:t>
        </w:r>
        <w:proofErr w:type="spellEnd"/>
        <w:r>
          <w:rPr>
            <w:rStyle w:val="Hyperlink"/>
            <w:i/>
            <w:iCs/>
          </w:rPr>
          <w:t xml:space="preserve"> </w:t>
        </w:r>
        <w:proofErr w:type="spellStart"/>
        <w:r>
          <w:rPr>
            <w:rStyle w:val="Hyperlink"/>
            <w:i/>
            <w:iCs/>
          </w:rPr>
          <w:t>Centers</w:t>
        </w:r>
        <w:proofErr w:type="spellEnd"/>
        <w:r>
          <w:rPr>
            <w:rStyle w:val="Hyperlink"/>
            <w:i/>
            <w:iCs/>
          </w:rPr>
          <w:t xml:space="preserve"> </w:t>
        </w:r>
        <w:proofErr w:type="spellStart"/>
        <w:r>
          <w:rPr>
            <w:rStyle w:val="Hyperlink"/>
            <w:i/>
            <w:iCs/>
          </w:rPr>
          <w:t>for</w:t>
        </w:r>
        <w:proofErr w:type="spellEnd"/>
        <w:r>
          <w:rPr>
            <w:rStyle w:val="Hyperlink"/>
            <w:i/>
            <w:iCs/>
          </w:rPr>
          <w:t xml:space="preserve"> </w:t>
        </w:r>
        <w:proofErr w:type="spellStart"/>
        <w:r>
          <w:rPr>
            <w:rStyle w:val="Hyperlink"/>
            <w:i/>
            <w:iCs/>
          </w:rPr>
          <w:t>Environmental</w:t>
        </w:r>
        <w:proofErr w:type="spellEnd"/>
        <w:r>
          <w:rPr>
            <w:rStyle w:val="Hyperlink"/>
            <w:i/>
            <w:iCs/>
          </w:rPr>
          <w:t xml:space="preserve"> </w:t>
        </w:r>
        <w:proofErr w:type="spellStart"/>
        <w:r>
          <w:rPr>
            <w:rStyle w:val="Hyperlink"/>
            <w:i/>
            <w:iCs/>
          </w:rPr>
          <w:t>Information</w:t>
        </w:r>
        <w:proofErr w:type="spellEnd"/>
        <w:r>
          <w:rPr>
            <w:rStyle w:val="Hyperlink"/>
            <w:i/>
            <w:iCs/>
          </w:rPr>
          <w:t xml:space="preserve"> (NCEI) (noaa.gov)</w:t>
        </w:r>
      </w:hyperlink>
      <w:r>
        <w:t>.</w:t>
      </w:r>
    </w:p>
  </w:footnote>
  <w:footnote w:id="4">
    <w:p w:rsidR="00D27A92" w:rsidRPr="005F3782" w:rsidRDefault="00D27A92" w:rsidP="00EF3B48">
      <w:pPr>
        <w:pStyle w:val="FootnoteText"/>
        <w:rPr>
          <w:sz w:val="18"/>
          <w:szCs w:val="18"/>
        </w:rPr>
      </w:pPr>
      <w:r>
        <w:rPr>
          <w:rStyle w:val="FootnoteReference"/>
          <w:szCs w:val="24"/>
        </w:rPr>
        <w:footnoteRef/>
      </w:r>
      <w:r>
        <w:rPr>
          <w:sz w:val="18"/>
        </w:rPr>
        <w:tab/>
      </w:r>
      <w:hyperlink r:id="rId6" w:history="1">
        <w:proofErr w:type="spellStart"/>
        <w:r>
          <w:rPr>
            <w:rStyle w:val="Hyperlink"/>
            <w:i/>
          </w:rPr>
          <w:t>Climate</w:t>
        </w:r>
        <w:proofErr w:type="spellEnd"/>
        <w:r>
          <w:rPr>
            <w:rStyle w:val="Hyperlink"/>
            <w:i/>
          </w:rPr>
          <w:t xml:space="preserve"> </w:t>
        </w:r>
        <w:proofErr w:type="spellStart"/>
        <w:r>
          <w:rPr>
            <w:rStyle w:val="Hyperlink"/>
            <w:i/>
          </w:rPr>
          <w:t>Change</w:t>
        </w:r>
        <w:proofErr w:type="spellEnd"/>
        <w:r>
          <w:rPr>
            <w:rStyle w:val="Hyperlink"/>
            <w:i/>
          </w:rPr>
          <w:t xml:space="preserve"> 2022: </w:t>
        </w:r>
        <w:proofErr w:type="spellStart"/>
        <w:r>
          <w:rPr>
            <w:rStyle w:val="Hyperlink"/>
            <w:i/>
          </w:rPr>
          <w:t>Mitigation</w:t>
        </w:r>
        <w:proofErr w:type="spellEnd"/>
        <w:r>
          <w:rPr>
            <w:rStyle w:val="Hyperlink"/>
            <w:i/>
          </w:rPr>
          <w:t xml:space="preserve"> </w:t>
        </w:r>
        <w:proofErr w:type="spellStart"/>
        <w:r>
          <w:rPr>
            <w:rStyle w:val="Hyperlink"/>
            <w:i/>
          </w:rPr>
          <w:t>of</w:t>
        </w:r>
        <w:proofErr w:type="spellEnd"/>
        <w:r>
          <w:rPr>
            <w:rStyle w:val="Hyperlink"/>
            <w:i/>
          </w:rPr>
          <w:t xml:space="preserve"> </w:t>
        </w:r>
        <w:proofErr w:type="spellStart"/>
        <w:r>
          <w:rPr>
            <w:rStyle w:val="Hyperlink"/>
            <w:i/>
          </w:rPr>
          <w:t>Climate</w:t>
        </w:r>
        <w:proofErr w:type="spellEnd"/>
        <w:r>
          <w:rPr>
            <w:rStyle w:val="Hyperlink"/>
            <w:i/>
          </w:rPr>
          <w:t xml:space="preserve"> </w:t>
        </w:r>
        <w:proofErr w:type="spellStart"/>
        <w:r>
          <w:rPr>
            <w:rStyle w:val="Hyperlink"/>
            <w:i/>
          </w:rPr>
          <w:t>Change</w:t>
        </w:r>
        <w:proofErr w:type="spellEnd"/>
        <w:r>
          <w:rPr>
            <w:rStyle w:val="Hyperlink"/>
            <w:i/>
          </w:rPr>
          <w:t xml:space="preserve"> (ipcc.ch)</w:t>
        </w:r>
      </w:hyperlink>
      <w:r>
        <w:t>.</w:t>
      </w:r>
    </w:p>
  </w:footnote>
  <w:footnote w:id="5">
    <w:p w:rsidR="00EA2B05" w:rsidRPr="0039570B" w:rsidRDefault="00EA2B05" w:rsidP="00EF3B48">
      <w:pPr>
        <w:pStyle w:val="FootnoteText"/>
        <w:jc w:val="left"/>
        <w:rPr>
          <w:szCs w:val="16"/>
        </w:rPr>
      </w:pPr>
      <w:r>
        <w:rPr>
          <w:rStyle w:val="FootnoteReference"/>
          <w:szCs w:val="24"/>
        </w:rPr>
        <w:footnoteRef/>
      </w:r>
      <w:r>
        <w:tab/>
        <w:t xml:space="preserve">EESRK rezoliucija </w:t>
      </w:r>
      <w:hyperlink r:id="rId7" w:history="1">
        <w:r>
          <w:rPr>
            <w:rStyle w:val="Hyperlink"/>
          </w:rPr>
          <w:t>„Karas Ukrainoje ir jo ekonominiai, socialiniai bei aplinkosauginiai padariniai“</w:t>
        </w:r>
      </w:hyperlink>
      <w:r>
        <w:t>.</w:t>
      </w:r>
    </w:p>
  </w:footnote>
  <w:footnote w:id="6">
    <w:p w:rsidR="00CB14BC" w:rsidRPr="005F3782" w:rsidRDefault="00CB14BC" w:rsidP="00EF3B48">
      <w:pPr>
        <w:pStyle w:val="FootnoteText"/>
        <w:tabs>
          <w:tab w:val="left" w:pos="567"/>
        </w:tabs>
        <w:ind w:left="0" w:firstLine="0"/>
        <w:jc w:val="left"/>
        <w:rPr>
          <w:szCs w:val="16"/>
        </w:rPr>
      </w:pPr>
      <w:r>
        <w:rPr>
          <w:rStyle w:val="FootnoteReference"/>
          <w:szCs w:val="24"/>
        </w:rPr>
        <w:footnoteRef/>
      </w:r>
      <w:r>
        <w:tab/>
      </w:r>
      <w:hyperlink r:id="rId8" w:history="1">
        <w:r>
          <w:rPr>
            <w:rStyle w:val="Hyperlink"/>
          </w:rPr>
          <w:t>„Europos Parlamente priimti kertiniai sprendimai dėl klimato taršos mažinimo“</w:t>
        </w:r>
      </w:hyperlink>
      <w:r>
        <w:t>.</w:t>
      </w:r>
    </w:p>
  </w:footnote>
  <w:footnote w:id="7">
    <w:p w:rsidR="00CB14BC" w:rsidRPr="005F3782" w:rsidRDefault="00CB14BC" w:rsidP="00EF3B48">
      <w:pPr>
        <w:pStyle w:val="FootnoteText"/>
        <w:tabs>
          <w:tab w:val="left" w:pos="567"/>
        </w:tabs>
        <w:ind w:left="708" w:hanging="708"/>
        <w:jc w:val="left"/>
        <w:rPr>
          <w:szCs w:val="16"/>
        </w:rPr>
      </w:pPr>
      <w:r>
        <w:rPr>
          <w:rStyle w:val="FootnoteReference"/>
          <w:szCs w:val="24"/>
        </w:rPr>
        <w:footnoteRef/>
      </w:r>
      <w:r>
        <w:tab/>
      </w:r>
      <w:hyperlink r:id="rId9" w:history="1">
        <w:proofErr w:type="spellStart"/>
        <w:r>
          <w:rPr>
            <w:rStyle w:val="Hyperlink"/>
            <w:i/>
          </w:rPr>
          <w:t>Fit</w:t>
        </w:r>
        <w:proofErr w:type="spellEnd"/>
        <w:r>
          <w:rPr>
            <w:rStyle w:val="Hyperlink"/>
            <w:i/>
          </w:rPr>
          <w:t xml:space="preserve"> </w:t>
        </w:r>
        <w:proofErr w:type="spellStart"/>
        <w:r>
          <w:rPr>
            <w:rStyle w:val="Hyperlink"/>
            <w:i/>
          </w:rPr>
          <w:t>for</w:t>
        </w:r>
        <w:proofErr w:type="spellEnd"/>
        <w:r>
          <w:rPr>
            <w:rStyle w:val="Hyperlink"/>
            <w:i/>
          </w:rPr>
          <w:t xml:space="preserve"> 55: </w:t>
        </w:r>
        <w:proofErr w:type="spellStart"/>
        <w:r>
          <w:rPr>
            <w:rStyle w:val="Hyperlink"/>
            <w:i/>
          </w:rPr>
          <w:t>Parliament</w:t>
        </w:r>
        <w:proofErr w:type="spellEnd"/>
        <w:r>
          <w:rPr>
            <w:rStyle w:val="Hyperlink"/>
            <w:i/>
          </w:rPr>
          <w:t xml:space="preserve"> </w:t>
        </w:r>
        <w:proofErr w:type="spellStart"/>
        <w:r>
          <w:rPr>
            <w:rStyle w:val="Hyperlink"/>
            <w:i/>
          </w:rPr>
          <w:t>agrees</w:t>
        </w:r>
        <w:proofErr w:type="spellEnd"/>
        <w:r>
          <w:rPr>
            <w:rStyle w:val="Hyperlink"/>
            <w:i/>
          </w:rPr>
          <w:t xml:space="preserve"> to </w:t>
        </w:r>
        <w:proofErr w:type="spellStart"/>
        <w:r>
          <w:rPr>
            <w:rStyle w:val="Hyperlink"/>
            <w:i/>
          </w:rPr>
          <w:t>higher</w:t>
        </w:r>
        <w:proofErr w:type="spellEnd"/>
        <w:r>
          <w:rPr>
            <w:rStyle w:val="Hyperlink"/>
            <w:i/>
          </w:rPr>
          <w:t xml:space="preserve"> EU </w:t>
        </w:r>
        <w:proofErr w:type="spellStart"/>
        <w:r>
          <w:rPr>
            <w:rStyle w:val="Hyperlink"/>
            <w:i/>
          </w:rPr>
          <w:t>carbon</w:t>
        </w:r>
        <w:proofErr w:type="spellEnd"/>
        <w:r>
          <w:rPr>
            <w:rStyle w:val="Hyperlink"/>
            <w:i/>
          </w:rPr>
          <w:t xml:space="preserve"> </w:t>
        </w:r>
        <w:proofErr w:type="spellStart"/>
        <w:r>
          <w:rPr>
            <w:rStyle w:val="Hyperlink"/>
            <w:i/>
          </w:rPr>
          <w:t>sink</w:t>
        </w:r>
        <w:proofErr w:type="spellEnd"/>
        <w:r>
          <w:rPr>
            <w:rStyle w:val="Hyperlink"/>
            <w:i/>
          </w:rPr>
          <w:t xml:space="preserve"> </w:t>
        </w:r>
        <w:proofErr w:type="spellStart"/>
        <w:r>
          <w:rPr>
            <w:rStyle w:val="Hyperlink"/>
            <w:i/>
          </w:rPr>
          <w:t>ambitions</w:t>
        </w:r>
        <w:proofErr w:type="spellEnd"/>
        <w:r>
          <w:rPr>
            <w:rStyle w:val="Hyperlink"/>
            <w:i/>
          </w:rPr>
          <w:t xml:space="preserve"> </w:t>
        </w:r>
        <w:proofErr w:type="spellStart"/>
        <w:r>
          <w:rPr>
            <w:rStyle w:val="Hyperlink"/>
            <w:i/>
          </w:rPr>
          <w:t>by</w:t>
        </w:r>
        <w:proofErr w:type="spellEnd"/>
        <w:r>
          <w:rPr>
            <w:rStyle w:val="Hyperlink"/>
            <w:i/>
          </w:rPr>
          <w:t xml:space="preserve"> 2030</w:t>
        </w:r>
      </w:hyperlink>
      <w:r>
        <w:t>.</w:t>
      </w:r>
    </w:p>
  </w:footnote>
  <w:footnote w:id="8">
    <w:p w:rsidR="00D27A92" w:rsidRPr="0039570B" w:rsidRDefault="00D27A92" w:rsidP="00EF3B48">
      <w:pPr>
        <w:pStyle w:val="FootnoteText"/>
        <w:rPr>
          <w:szCs w:val="16"/>
        </w:rPr>
      </w:pPr>
      <w:r>
        <w:rPr>
          <w:rStyle w:val="FootnoteReference"/>
          <w:szCs w:val="24"/>
        </w:rPr>
        <w:footnoteRef/>
      </w:r>
      <w:r>
        <w:tab/>
        <w:t xml:space="preserve">EESRK nuomonė „Tvari ekonomika, kurios mums reikia“, </w:t>
      </w:r>
      <w:hyperlink r:id="rId10" w:anchor=":~:text=The%20EESC%20highlights%20that%20building%20the%20wellbeing%20economy%20must%20start%20by%20adopting%20a%20precautionary%20approach%20in%20which%20macroeconomic%20stability%20does%20not%20depend%20on%20GDP%20growth.%20It%20proposes%20the%20development%20of%20new%20indicators%20of%20economic%20performance%20and%20social%20progress%20beyond%20GDP." w:history="1">
        <w:r>
          <w:rPr>
            <w:rStyle w:val="Hyperlink"/>
          </w:rPr>
          <w:t>OL C 106, 2020 3 31, p. 1</w:t>
        </w:r>
      </w:hyperlink>
      <w:r>
        <w:t>.</w:t>
      </w:r>
    </w:p>
  </w:footnote>
  <w:footnote w:id="9">
    <w:p w:rsidR="00F426F7" w:rsidRPr="005F3782" w:rsidRDefault="00F426F7" w:rsidP="00EF3B48">
      <w:pPr>
        <w:pStyle w:val="FootnoteText"/>
        <w:rPr>
          <w:szCs w:val="16"/>
        </w:rPr>
      </w:pPr>
      <w:r>
        <w:rPr>
          <w:rStyle w:val="FootnoteReference"/>
          <w:szCs w:val="24"/>
        </w:rPr>
        <w:footnoteRef/>
      </w:r>
      <w:r>
        <w:tab/>
        <w:t xml:space="preserve">EESRK nuomonė „55 % tikslas – pasiekiamas. ES 2030 m. klimato tikslo įgyvendinimas siekiant neutralizuoti poveikį klimatui“, </w:t>
      </w:r>
      <w:hyperlink r:id="rId11" w:history="1">
        <w:r>
          <w:rPr>
            <w:rStyle w:val="Hyperlink"/>
          </w:rPr>
          <w:t>OL C 275, 2022 7 18, p. 101</w:t>
        </w:r>
      </w:hyperlink>
      <w:r>
        <w:t>.</w:t>
      </w:r>
    </w:p>
  </w:footnote>
  <w:footnote w:id="10">
    <w:p w:rsidR="00CA61D4" w:rsidRPr="0052304F" w:rsidRDefault="00CA61D4">
      <w:pPr>
        <w:pStyle w:val="FootnoteText"/>
      </w:pPr>
      <w:r>
        <w:rPr>
          <w:rStyle w:val="FootnoteReference"/>
        </w:rPr>
        <w:footnoteRef/>
      </w:r>
      <w:r>
        <w:t xml:space="preserve"> </w:t>
      </w:r>
      <w:r>
        <w:tab/>
        <w:t xml:space="preserve">EESRK nuomonė </w:t>
      </w:r>
      <w:hyperlink r:id="rId12" w:history="1">
        <w:r>
          <w:rPr>
            <w:rStyle w:val="Hyperlink"/>
            <w:i/>
          </w:rPr>
          <w:t>„Socialinis dialogas įgyvendinant žaliąją pertvarką“</w:t>
        </w:r>
      </w:hyperlink>
      <w:r>
        <w:t xml:space="preserve"> (dar nepaskelbta Oficialiajame leidinyje).</w:t>
      </w:r>
    </w:p>
  </w:footnote>
  <w:footnote w:id="11">
    <w:p w:rsidR="00492189" w:rsidRPr="009B16C4" w:rsidRDefault="00492189" w:rsidP="00EF3B48">
      <w:pPr>
        <w:pStyle w:val="FootnoteText"/>
        <w:jc w:val="left"/>
        <w:rPr>
          <w:szCs w:val="16"/>
        </w:rPr>
      </w:pPr>
      <w:r>
        <w:rPr>
          <w:rStyle w:val="FootnoteReference"/>
          <w:szCs w:val="24"/>
        </w:rPr>
        <w:footnoteRef/>
      </w:r>
      <w:r>
        <w:tab/>
        <w:t xml:space="preserve">EESRK nuomonė „55 % tikslas – pasiekiamas. ES 2030 m. klimato tikslo įgyvendinimas siekiant neutralizuoti poveikį klimatui“, </w:t>
      </w:r>
      <w:hyperlink r:id="rId13" w:history="1">
        <w:r>
          <w:rPr>
            <w:rStyle w:val="Hyperlink"/>
          </w:rPr>
          <w:t>OL C 275, 2022 7 18, p. 101</w:t>
        </w:r>
      </w:hyperlink>
      <w:hyperlink r:id="rId14" w:history="1">
        <w:r>
          <w:t>.</w:t>
        </w:r>
      </w:hyperlink>
    </w:p>
  </w:footnote>
  <w:footnote w:id="12">
    <w:p w:rsidR="00492189" w:rsidRPr="009B16C4" w:rsidRDefault="00492189" w:rsidP="00EF3B48">
      <w:pPr>
        <w:pStyle w:val="FootnoteText"/>
        <w:jc w:val="left"/>
        <w:rPr>
          <w:szCs w:val="16"/>
        </w:rPr>
      </w:pPr>
      <w:r>
        <w:rPr>
          <w:rStyle w:val="FootnoteReference"/>
          <w:szCs w:val="24"/>
        </w:rPr>
        <w:footnoteRef/>
      </w:r>
      <w:r>
        <w:tab/>
        <w:t xml:space="preserve">EESRK nuomonė „55 % tikslas – pasiekiamas. ES 2030 m. klimato tikslo įgyvendinimas siekiant neutralizuoti poveikį klimatui“, </w:t>
      </w:r>
      <w:hyperlink r:id="rId15" w:history="1">
        <w:r>
          <w:rPr>
            <w:rStyle w:val="Hyperlink"/>
          </w:rPr>
          <w:t>OL C 275, 2022 7 18, p. 101</w:t>
        </w:r>
      </w:hyperlink>
      <w:hyperlink r:id="rId16" w:history="1">
        <w:r>
          <w:t>.</w:t>
        </w:r>
      </w:hyperlink>
    </w:p>
  </w:footnote>
  <w:footnote w:id="13">
    <w:p w:rsidR="00492189" w:rsidRPr="005F3782" w:rsidRDefault="00492189" w:rsidP="00EF3B48">
      <w:pPr>
        <w:pStyle w:val="FootnoteText"/>
        <w:rPr>
          <w:szCs w:val="16"/>
        </w:rPr>
      </w:pPr>
      <w:r>
        <w:rPr>
          <w:rStyle w:val="FootnoteReference"/>
          <w:szCs w:val="24"/>
        </w:rPr>
        <w:footnoteRef/>
      </w:r>
      <w:r>
        <w:tab/>
      </w:r>
      <w:hyperlink r:id="rId17" w:history="1">
        <w:r>
          <w:rPr>
            <w:rStyle w:val="Hyperlink"/>
          </w:rPr>
          <w:t>Konferencija dėl Europos ateities. Europos piliečių forumo priimtos rekomendacijos</w:t>
        </w:r>
      </w:hyperlink>
      <w:r>
        <w:t>.</w:t>
      </w:r>
    </w:p>
  </w:footnote>
  <w:footnote w:id="14">
    <w:p w:rsidR="00492189" w:rsidRPr="009B16C4" w:rsidRDefault="00492189" w:rsidP="00EF3B48">
      <w:pPr>
        <w:pStyle w:val="FootnoteText"/>
        <w:jc w:val="left"/>
        <w:rPr>
          <w:szCs w:val="16"/>
        </w:rPr>
      </w:pPr>
      <w:r>
        <w:rPr>
          <w:rStyle w:val="FootnoteReference"/>
          <w:szCs w:val="24"/>
        </w:rPr>
        <w:footnoteRef/>
      </w:r>
      <w:r>
        <w:tab/>
      </w:r>
      <w:hyperlink r:id="rId18" w:history="1">
        <w:r>
          <w:rPr>
            <w:rStyle w:val="Hyperlink"/>
          </w:rPr>
          <w:t>2021 m. Europos darnaus vystymosi ataskaita. Europos SDSN</w:t>
        </w:r>
      </w:hyperlink>
      <w:r>
        <w:t>.</w:t>
      </w:r>
    </w:p>
  </w:footnote>
  <w:footnote w:id="15">
    <w:p w:rsidR="007E0872" w:rsidRPr="00E567D2" w:rsidRDefault="007E0872" w:rsidP="00EF3B48">
      <w:pPr>
        <w:pStyle w:val="FootnoteText"/>
      </w:pPr>
      <w:r>
        <w:rPr>
          <w:rStyle w:val="FootnoteReference"/>
        </w:rPr>
        <w:footnoteRef/>
      </w:r>
      <w:r>
        <w:tab/>
        <w:t xml:space="preserve">Rengiama EESRK nuomonė (NAT/841) </w:t>
      </w:r>
      <w:hyperlink r:id="rId19" w:history="1">
        <w:r>
          <w:rPr>
            <w:rStyle w:val="Hyperlink"/>
          </w:rPr>
          <w:t>„Gamtos atkūrimo tikslai pagal ES biologinės įvairovės strategiją“</w:t>
        </w:r>
      </w:hyperlink>
      <w:r>
        <w:t>.</w:t>
      </w:r>
    </w:p>
  </w:footnote>
  <w:footnote w:id="16">
    <w:p w:rsidR="0044565F" w:rsidRPr="005F3782" w:rsidRDefault="0044565F" w:rsidP="00EF3B48">
      <w:pPr>
        <w:pStyle w:val="FootnoteText"/>
        <w:tabs>
          <w:tab w:val="left" w:pos="567"/>
        </w:tabs>
        <w:rPr>
          <w:szCs w:val="16"/>
        </w:rPr>
      </w:pPr>
      <w:r>
        <w:rPr>
          <w:rStyle w:val="FootnoteReference"/>
          <w:szCs w:val="24"/>
        </w:rPr>
        <w:footnoteRef/>
      </w:r>
      <w:r>
        <w:tab/>
        <w:t xml:space="preserve">EESRK nuomonė „Naujoji ES prisitaikymo prie klimato kaitos strategija“, </w:t>
      </w:r>
      <w:hyperlink r:id="rId20" w:history="1">
        <w:r>
          <w:rPr>
            <w:rStyle w:val="Hyperlink"/>
          </w:rPr>
          <w:t>OL C 374, 2021 9 16, p. 84</w:t>
        </w:r>
      </w:hyperlink>
      <w:r>
        <w:t>.</w:t>
      </w:r>
    </w:p>
  </w:footnote>
  <w:footnote w:id="17">
    <w:p w:rsidR="0044565F" w:rsidRPr="005F3782" w:rsidRDefault="0044565F" w:rsidP="00EF3B48">
      <w:pPr>
        <w:pStyle w:val="FootnoteText"/>
        <w:tabs>
          <w:tab w:val="left" w:pos="567"/>
        </w:tabs>
        <w:rPr>
          <w:szCs w:val="16"/>
        </w:rPr>
      </w:pPr>
      <w:r>
        <w:rPr>
          <w:rStyle w:val="FootnoteReference"/>
          <w:szCs w:val="24"/>
        </w:rPr>
        <w:footnoteRef/>
      </w:r>
      <w:r>
        <w:tab/>
      </w:r>
      <w:hyperlink r:id="rId21" w:history="1">
        <w:proofErr w:type="spellStart"/>
        <w:r>
          <w:rPr>
            <w:rStyle w:val="Hyperlink"/>
            <w:i/>
          </w:rPr>
          <w:t>António</w:t>
        </w:r>
        <w:proofErr w:type="spellEnd"/>
        <w:r>
          <w:rPr>
            <w:rStyle w:val="Hyperlink"/>
            <w:i/>
          </w:rPr>
          <w:t xml:space="preserve"> </w:t>
        </w:r>
        <w:proofErr w:type="spellStart"/>
        <w:r>
          <w:rPr>
            <w:rStyle w:val="Hyperlink"/>
            <w:i/>
          </w:rPr>
          <w:t>Guterres</w:t>
        </w:r>
        <w:proofErr w:type="spellEnd"/>
        <w:r>
          <w:rPr>
            <w:rStyle w:val="Hyperlink"/>
            <w:i/>
          </w:rPr>
          <w:t xml:space="preserve">: 50% </w:t>
        </w:r>
        <w:proofErr w:type="spellStart"/>
        <w:r>
          <w:rPr>
            <w:rStyle w:val="Hyperlink"/>
            <w:i/>
          </w:rPr>
          <w:t>of</w:t>
        </w:r>
        <w:proofErr w:type="spellEnd"/>
        <w:r>
          <w:rPr>
            <w:rStyle w:val="Hyperlink"/>
            <w:i/>
          </w:rPr>
          <w:t xml:space="preserve"> </w:t>
        </w:r>
        <w:proofErr w:type="spellStart"/>
        <w:r>
          <w:rPr>
            <w:rStyle w:val="Hyperlink"/>
            <w:i/>
          </w:rPr>
          <w:t>All</w:t>
        </w:r>
        <w:proofErr w:type="spellEnd"/>
        <w:r>
          <w:rPr>
            <w:rStyle w:val="Hyperlink"/>
            <w:i/>
          </w:rPr>
          <w:t xml:space="preserve"> </w:t>
        </w:r>
        <w:proofErr w:type="spellStart"/>
        <w:r>
          <w:rPr>
            <w:rStyle w:val="Hyperlink"/>
            <w:i/>
          </w:rPr>
          <w:t>Climate</w:t>
        </w:r>
        <w:proofErr w:type="spellEnd"/>
        <w:r>
          <w:rPr>
            <w:rStyle w:val="Hyperlink"/>
            <w:i/>
          </w:rPr>
          <w:t xml:space="preserve"> </w:t>
        </w:r>
        <w:proofErr w:type="spellStart"/>
        <w:r>
          <w:rPr>
            <w:rStyle w:val="Hyperlink"/>
            <w:i/>
          </w:rPr>
          <w:t>Finance</w:t>
        </w:r>
        <w:proofErr w:type="spellEnd"/>
        <w:r>
          <w:rPr>
            <w:rStyle w:val="Hyperlink"/>
            <w:i/>
          </w:rPr>
          <w:t xml:space="preserve"> </w:t>
        </w:r>
        <w:proofErr w:type="spellStart"/>
        <w:r>
          <w:rPr>
            <w:rStyle w:val="Hyperlink"/>
            <w:i/>
          </w:rPr>
          <w:t>Needed</w:t>
        </w:r>
        <w:proofErr w:type="spellEnd"/>
        <w:r>
          <w:rPr>
            <w:rStyle w:val="Hyperlink"/>
            <w:i/>
          </w:rPr>
          <w:t xml:space="preserve"> </w:t>
        </w:r>
        <w:proofErr w:type="spellStart"/>
        <w:r>
          <w:rPr>
            <w:rStyle w:val="Hyperlink"/>
            <w:i/>
          </w:rPr>
          <w:t>for</w:t>
        </w:r>
        <w:proofErr w:type="spellEnd"/>
        <w:r>
          <w:rPr>
            <w:rStyle w:val="Hyperlink"/>
            <w:i/>
          </w:rPr>
          <w:t xml:space="preserve"> </w:t>
        </w:r>
        <w:proofErr w:type="spellStart"/>
        <w:r>
          <w:rPr>
            <w:rStyle w:val="Hyperlink"/>
            <w:i/>
          </w:rPr>
          <w:t>Adaptation</w:t>
        </w:r>
        <w:proofErr w:type="spellEnd"/>
      </w:hyperlink>
      <w:r>
        <w:t>.</w:t>
      </w:r>
    </w:p>
  </w:footnote>
  <w:footnote w:id="18">
    <w:p w:rsidR="00707DFC" w:rsidRPr="0039570B" w:rsidRDefault="00707DFC" w:rsidP="00EF3B48">
      <w:pPr>
        <w:pStyle w:val="FootnoteText"/>
        <w:tabs>
          <w:tab w:val="left" w:pos="567"/>
        </w:tabs>
        <w:jc w:val="left"/>
        <w:rPr>
          <w:szCs w:val="16"/>
        </w:rPr>
      </w:pPr>
      <w:r>
        <w:rPr>
          <w:rStyle w:val="FootnoteReference"/>
          <w:szCs w:val="24"/>
        </w:rPr>
        <w:footnoteRef/>
      </w:r>
      <w:r>
        <w:tab/>
        <w:t xml:space="preserve">EESRK nuomonė „Sąveikos įgyvendinant įvairius žiedinės ekonomikos veiksmų planus kūrimas“, </w:t>
      </w:r>
      <w:hyperlink r:id="rId22" w:history="1">
        <w:r>
          <w:rPr>
            <w:rStyle w:val="Hyperlink"/>
          </w:rPr>
          <w:t>OL C 14, 2020 1 15, p. 29</w:t>
        </w:r>
      </w:hyperlink>
      <w:r>
        <w:t>.</w:t>
      </w:r>
    </w:p>
  </w:footnote>
  <w:footnote w:id="19">
    <w:p w:rsidR="00707DFC" w:rsidRPr="0039570B" w:rsidRDefault="00707DFC" w:rsidP="00EF3B48">
      <w:pPr>
        <w:pStyle w:val="FootnoteText"/>
        <w:tabs>
          <w:tab w:val="left" w:pos="567"/>
        </w:tabs>
        <w:jc w:val="left"/>
        <w:rPr>
          <w:szCs w:val="16"/>
        </w:rPr>
      </w:pPr>
      <w:r>
        <w:rPr>
          <w:rStyle w:val="FootnoteReference"/>
          <w:szCs w:val="24"/>
        </w:rPr>
        <w:footnoteRef/>
      </w:r>
      <w:r>
        <w:tab/>
      </w:r>
      <w:proofErr w:type="spellStart"/>
      <w:r>
        <w:rPr>
          <w:i/>
        </w:rPr>
        <w:t>Circularity</w:t>
      </w:r>
      <w:proofErr w:type="spellEnd"/>
      <w:r>
        <w:rPr>
          <w:i/>
        </w:rPr>
        <w:t xml:space="preserve"> </w:t>
      </w:r>
      <w:proofErr w:type="spellStart"/>
      <w:r>
        <w:rPr>
          <w:i/>
        </w:rPr>
        <w:t>Gap</w:t>
      </w:r>
      <w:proofErr w:type="spellEnd"/>
      <w:r>
        <w:rPr>
          <w:i/>
        </w:rPr>
        <w:t xml:space="preserve"> </w:t>
      </w:r>
      <w:proofErr w:type="spellStart"/>
      <w:r>
        <w:rPr>
          <w:i/>
        </w:rPr>
        <w:t>Report</w:t>
      </w:r>
      <w:proofErr w:type="spellEnd"/>
      <w:r>
        <w:rPr>
          <w:i/>
        </w:rPr>
        <w:t xml:space="preserve"> 2021</w:t>
      </w:r>
      <w:r>
        <w:t xml:space="preserve"> </w:t>
      </w:r>
      <w:hyperlink r:id="rId23" w:history="1">
        <w:proofErr w:type="spellStart"/>
        <w:r>
          <w:rPr>
            <w:rStyle w:val="Hyperlink"/>
            <w:i/>
          </w:rPr>
          <w:t>Climate</w:t>
        </w:r>
        <w:proofErr w:type="spellEnd"/>
        <w:r>
          <w:rPr>
            <w:rStyle w:val="Hyperlink"/>
            <w:i/>
          </w:rPr>
          <w:t xml:space="preserve"> </w:t>
        </w:r>
        <w:proofErr w:type="spellStart"/>
        <w:r>
          <w:rPr>
            <w:rStyle w:val="Hyperlink"/>
            <w:i/>
          </w:rPr>
          <w:t>Change</w:t>
        </w:r>
        <w:proofErr w:type="spellEnd"/>
        <w:r>
          <w:rPr>
            <w:rStyle w:val="Hyperlink"/>
            <w:i/>
          </w:rPr>
          <w:t xml:space="preserve"> </w:t>
        </w:r>
        <w:proofErr w:type="spellStart"/>
        <w:r>
          <w:rPr>
            <w:rStyle w:val="Hyperlink"/>
            <w:i/>
          </w:rPr>
          <w:t>Mitigation</w:t>
        </w:r>
        <w:proofErr w:type="spellEnd"/>
        <w:r>
          <w:rPr>
            <w:rStyle w:val="Hyperlink"/>
            <w:i/>
          </w:rPr>
          <w:t xml:space="preserve"> </w:t>
        </w:r>
        <w:proofErr w:type="spellStart"/>
        <w:r>
          <w:rPr>
            <w:rStyle w:val="Hyperlink"/>
            <w:i/>
          </w:rPr>
          <w:t>through</w:t>
        </w:r>
        <w:proofErr w:type="spellEnd"/>
        <w:r>
          <w:rPr>
            <w:rStyle w:val="Hyperlink"/>
            <w:i/>
          </w:rPr>
          <w:t xml:space="preserve"> </w:t>
        </w:r>
        <w:proofErr w:type="spellStart"/>
        <w:r>
          <w:rPr>
            <w:rStyle w:val="Hyperlink"/>
            <w:i/>
          </w:rPr>
          <w:t>the</w:t>
        </w:r>
        <w:proofErr w:type="spellEnd"/>
        <w:r>
          <w:rPr>
            <w:rStyle w:val="Hyperlink"/>
            <w:i/>
          </w:rPr>
          <w:t xml:space="preserve"> </w:t>
        </w:r>
        <w:proofErr w:type="spellStart"/>
        <w:r>
          <w:rPr>
            <w:rStyle w:val="Hyperlink"/>
            <w:i/>
          </w:rPr>
          <w:t>Circular</w:t>
        </w:r>
        <w:proofErr w:type="spellEnd"/>
        <w:r>
          <w:rPr>
            <w:rStyle w:val="Hyperlink"/>
            <w:i/>
          </w:rPr>
          <w:t xml:space="preserve"> </w:t>
        </w:r>
        <w:proofErr w:type="spellStart"/>
        <w:r>
          <w:rPr>
            <w:rStyle w:val="Hyperlink"/>
            <w:i/>
          </w:rPr>
          <w:t>Economy</w:t>
        </w:r>
        <w:proofErr w:type="spellEnd"/>
      </w:hyperlink>
      <w:r>
        <w:t>.</w:t>
      </w:r>
    </w:p>
  </w:footnote>
  <w:footnote w:id="20">
    <w:p w:rsidR="00707DFC" w:rsidRPr="00BE77CC" w:rsidRDefault="00707DFC" w:rsidP="00EF3B48">
      <w:pPr>
        <w:pStyle w:val="FootnoteText"/>
        <w:tabs>
          <w:tab w:val="left" w:pos="567"/>
        </w:tabs>
        <w:jc w:val="left"/>
      </w:pPr>
      <w:r>
        <w:rPr>
          <w:rStyle w:val="FootnoteReference"/>
          <w:szCs w:val="24"/>
        </w:rPr>
        <w:footnoteRef/>
      </w:r>
      <w:r>
        <w:tab/>
        <w:t xml:space="preserve">EESRK nuomonė „Naujoji ES prisitaikymo prie klimato kaitos strategija“, </w:t>
      </w:r>
      <w:hyperlink r:id="rId24" w:history="1">
        <w:r>
          <w:rPr>
            <w:rStyle w:val="Hyperlink"/>
          </w:rPr>
          <w:t>OL C 374, 2021 9 16, p. 84</w:t>
        </w:r>
      </w:hyperlink>
      <w:r>
        <w:t>.</w:t>
      </w:r>
    </w:p>
  </w:footnote>
  <w:footnote w:id="21">
    <w:p w:rsidR="00444B59" w:rsidRPr="009B16C4" w:rsidRDefault="00444B59" w:rsidP="00EF3B48">
      <w:pPr>
        <w:pStyle w:val="FootnoteText"/>
        <w:jc w:val="left"/>
        <w:rPr>
          <w:szCs w:val="16"/>
        </w:rPr>
      </w:pPr>
      <w:r>
        <w:rPr>
          <w:rStyle w:val="FootnoteReference"/>
          <w:szCs w:val="24"/>
        </w:rPr>
        <w:footnoteRef/>
      </w:r>
      <w:r>
        <w:tab/>
      </w:r>
      <w:hyperlink r:id="rId25" w:history="1">
        <w:proofErr w:type="spellStart"/>
        <w:r>
          <w:rPr>
            <w:rStyle w:val="Hyperlink"/>
            <w:i/>
          </w:rPr>
          <w:t>Enhancing</w:t>
        </w:r>
        <w:proofErr w:type="spellEnd"/>
        <w:r>
          <w:rPr>
            <w:rStyle w:val="Hyperlink"/>
            <w:i/>
          </w:rPr>
          <w:t xml:space="preserve"> </w:t>
        </w:r>
        <w:proofErr w:type="spellStart"/>
        <w:r>
          <w:rPr>
            <w:rStyle w:val="Hyperlink"/>
            <w:i/>
          </w:rPr>
          <w:t>NDCs</w:t>
        </w:r>
        <w:proofErr w:type="spellEnd"/>
        <w:r>
          <w:rPr>
            <w:rStyle w:val="Hyperlink"/>
            <w:i/>
          </w:rPr>
          <w:t xml:space="preserve"> </w:t>
        </w:r>
        <w:proofErr w:type="spellStart"/>
        <w:r>
          <w:rPr>
            <w:rStyle w:val="Hyperlink"/>
            <w:i/>
          </w:rPr>
          <w:t>For</w:t>
        </w:r>
        <w:proofErr w:type="spellEnd"/>
        <w:r>
          <w:rPr>
            <w:rStyle w:val="Hyperlink"/>
            <w:i/>
          </w:rPr>
          <w:t xml:space="preserve"> </w:t>
        </w:r>
        <w:proofErr w:type="spellStart"/>
        <w:r>
          <w:rPr>
            <w:rStyle w:val="Hyperlink"/>
            <w:i/>
          </w:rPr>
          <w:t>Food</w:t>
        </w:r>
        <w:proofErr w:type="spellEnd"/>
        <w:r>
          <w:rPr>
            <w:rStyle w:val="Hyperlink"/>
            <w:i/>
          </w:rPr>
          <w:t xml:space="preserve"> </w:t>
        </w:r>
        <w:proofErr w:type="spellStart"/>
        <w:r>
          <w:rPr>
            <w:rStyle w:val="Hyperlink"/>
            <w:i/>
          </w:rPr>
          <w:t>Systems</w:t>
        </w:r>
        <w:proofErr w:type="spellEnd"/>
        <w:r>
          <w:rPr>
            <w:rStyle w:val="Hyperlink"/>
            <w:i/>
          </w:rPr>
          <w:t xml:space="preserve"> - </w:t>
        </w:r>
        <w:proofErr w:type="spellStart"/>
        <w:r>
          <w:rPr>
            <w:rStyle w:val="Hyperlink"/>
            <w:i/>
          </w:rPr>
          <w:t>recommendations</w:t>
        </w:r>
        <w:proofErr w:type="spellEnd"/>
        <w:r>
          <w:rPr>
            <w:rStyle w:val="Hyperlink"/>
            <w:i/>
          </w:rPr>
          <w:t xml:space="preserve"> </w:t>
        </w:r>
        <w:proofErr w:type="spellStart"/>
        <w:r>
          <w:rPr>
            <w:rStyle w:val="Hyperlink"/>
            <w:i/>
          </w:rPr>
          <w:t>for</w:t>
        </w:r>
        <w:proofErr w:type="spellEnd"/>
        <w:r>
          <w:rPr>
            <w:rStyle w:val="Hyperlink"/>
            <w:i/>
          </w:rPr>
          <w:t xml:space="preserve"> </w:t>
        </w:r>
        <w:proofErr w:type="spellStart"/>
        <w:r>
          <w:rPr>
            <w:rStyle w:val="Hyperlink"/>
            <w:i/>
          </w:rPr>
          <w:t>decision-makers</w:t>
        </w:r>
        <w:proofErr w:type="spellEnd"/>
        <w:r>
          <w:rPr>
            <w:rStyle w:val="Hyperlink"/>
            <w:i/>
          </w:rPr>
          <w:t xml:space="preserve"> | NDC </w:t>
        </w:r>
        <w:proofErr w:type="spellStart"/>
        <w:r>
          <w:rPr>
            <w:rStyle w:val="Hyperlink"/>
            <w:i/>
          </w:rPr>
          <w:t>Action</w:t>
        </w:r>
        <w:proofErr w:type="spellEnd"/>
        <w:r>
          <w:rPr>
            <w:rStyle w:val="Hyperlink"/>
            <w:i/>
          </w:rPr>
          <w:t xml:space="preserve"> Project</w:t>
        </w:r>
      </w:hyperlink>
      <w:r>
        <w:t>.</w:t>
      </w:r>
    </w:p>
  </w:footnote>
  <w:footnote w:id="22">
    <w:p w:rsidR="00444B59" w:rsidRPr="009B16C4" w:rsidRDefault="00444B59" w:rsidP="00EF3B48">
      <w:pPr>
        <w:pStyle w:val="FootnoteText"/>
        <w:jc w:val="left"/>
        <w:rPr>
          <w:szCs w:val="16"/>
        </w:rPr>
      </w:pPr>
      <w:r>
        <w:rPr>
          <w:rStyle w:val="FootnoteReference"/>
          <w:szCs w:val="24"/>
        </w:rPr>
        <w:footnoteRef/>
      </w:r>
      <w:r>
        <w:tab/>
        <w:t xml:space="preserve">EESRK nuomonė „Aprūpinimas maistu ir tvarios maisto sistemos“, </w:t>
      </w:r>
      <w:hyperlink r:id="rId26" w:history="1">
        <w:r>
          <w:rPr>
            <w:rStyle w:val="Hyperlink"/>
          </w:rPr>
          <w:t>OL C 194, 2022 5 12, p. 72</w:t>
        </w:r>
      </w:hyperlink>
    </w:p>
  </w:footnote>
  <w:footnote w:id="23">
    <w:p w:rsidR="00444B59" w:rsidRPr="009B16C4" w:rsidRDefault="00444B59" w:rsidP="00EF3B48">
      <w:pPr>
        <w:pStyle w:val="FootnoteText"/>
        <w:rPr>
          <w:szCs w:val="16"/>
        </w:rPr>
      </w:pPr>
      <w:r>
        <w:rPr>
          <w:rStyle w:val="FootnoteReference"/>
          <w:szCs w:val="24"/>
        </w:rPr>
        <w:footnoteRef/>
      </w:r>
      <w:r>
        <w:tab/>
        <w:t xml:space="preserve">EESRK nuomonė „Nuo ūkio iki stalo“ – tvaraus maisto strategija“, </w:t>
      </w:r>
      <w:hyperlink r:id="rId27" w:history="1">
        <w:r>
          <w:rPr>
            <w:rStyle w:val="Hyperlink"/>
          </w:rPr>
          <w:t>OL C 429, 2020 12 11, p. 268</w:t>
        </w:r>
      </w:hyperlink>
    </w:p>
  </w:footnote>
  <w:footnote w:id="24">
    <w:p w:rsidR="00444B59" w:rsidRPr="009B16C4" w:rsidRDefault="00444B59" w:rsidP="00EF3B48">
      <w:pPr>
        <w:pStyle w:val="FootnoteText"/>
        <w:jc w:val="left"/>
        <w:rPr>
          <w:szCs w:val="16"/>
        </w:rPr>
      </w:pPr>
      <w:r>
        <w:rPr>
          <w:rStyle w:val="FootnoteReference"/>
          <w:szCs w:val="24"/>
        </w:rPr>
        <w:footnoteRef/>
      </w:r>
      <w:r>
        <w:tab/>
        <w:t xml:space="preserve">EESRK nuomonė „Klimato teisingumas“, </w:t>
      </w:r>
      <w:hyperlink r:id="rId28" w:history="1">
        <w:r>
          <w:rPr>
            <w:rStyle w:val="Hyperlink"/>
          </w:rPr>
          <w:t>OL C 81, 2018 3 2, p. 22</w:t>
        </w:r>
      </w:hyperlink>
      <w:r>
        <w:t xml:space="preserve"> ir „Naujoji ES prisitaikymo prie klimato kaitos strategija“, </w:t>
      </w:r>
      <w:hyperlink r:id="rId29" w:history="1">
        <w:r>
          <w:rPr>
            <w:rStyle w:val="Hyperlink"/>
          </w:rPr>
          <w:t>OL C 374, 2021 9 16, p. 84</w:t>
        </w:r>
      </w:hyperlink>
      <w:r>
        <w:t>.</w:t>
      </w:r>
    </w:p>
  </w:footnote>
  <w:footnote w:id="25">
    <w:p w:rsidR="00EB27C9" w:rsidRPr="00E567D2" w:rsidRDefault="00EB27C9" w:rsidP="00EF3B48">
      <w:pPr>
        <w:pStyle w:val="FootnoteText"/>
      </w:pPr>
      <w:r>
        <w:rPr>
          <w:rStyle w:val="FootnoteReference"/>
        </w:rPr>
        <w:footnoteRef/>
      </w:r>
      <w:r>
        <w:tab/>
        <w:t>EESRK nuomonė „</w:t>
      </w:r>
      <w:proofErr w:type="spellStart"/>
      <w:r>
        <w:t>REPowerEU</w:t>
      </w:r>
      <w:proofErr w:type="spellEnd"/>
      <w:r>
        <w:t xml:space="preserve">“: bendri Europos veiksmai </w:t>
      </w:r>
      <w:proofErr w:type="spellStart"/>
      <w:r>
        <w:t>įperkamesnei</w:t>
      </w:r>
      <w:proofErr w:type="spellEnd"/>
      <w:r>
        <w:t xml:space="preserve"> energijai bei saugesnei ir tvaresnei energetikai užtikrinti“</w:t>
      </w:r>
      <w:r>
        <w:rPr>
          <w:rStyle w:val="Hyperlink"/>
          <w:color w:val="auto"/>
          <w:u w:val="none"/>
        </w:rPr>
        <w:t xml:space="preserve">, </w:t>
      </w:r>
      <w:hyperlink r:id="rId30" w:history="1">
        <w:r>
          <w:rPr>
            <w:rStyle w:val="Hyperlink"/>
          </w:rPr>
          <w:t>OL C 323, 2022 8 26, p. 123</w:t>
        </w:r>
      </w:hyperlink>
      <w:r>
        <w:t>.</w:t>
      </w:r>
    </w:p>
  </w:footnote>
  <w:footnote w:id="26">
    <w:p w:rsidR="00444B59" w:rsidRPr="005F3782" w:rsidRDefault="00444B59" w:rsidP="00EF3B48">
      <w:pPr>
        <w:pStyle w:val="FootnoteText"/>
        <w:rPr>
          <w:szCs w:val="16"/>
        </w:rPr>
      </w:pPr>
      <w:r>
        <w:rPr>
          <w:rStyle w:val="FootnoteReference"/>
          <w:szCs w:val="24"/>
        </w:rPr>
        <w:footnoteRef/>
      </w:r>
      <w:r>
        <w:tab/>
        <w:t xml:space="preserve">EESRK nuomonė „55 % tikslas – pasiekiamas. ES 2030 m. klimato tikslo įgyvendinimas siekiant neutralizuoti poveikį klimatui“, </w:t>
      </w:r>
      <w:hyperlink r:id="rId31" w:history="1">
        <w:r>
          <w:rPr>
            <w:rStyle w:val="Hyperlink"/>
          </w:rPr>
          <w:t>OL C 275, 2022 7 18, p. 101</w:t>
        </w:r>
      </w:hyperlink>
      <w:r>
        <w:t>.</w:t>
      </w:r>
    </w:p>
  </w:footnote>
  <w:footnote w:id="27">
    <w:p w:rsidR="00F81237" w:rsidRPr="00E567D2" w:rsidRDefault="00F81237" w:rsidP="00EF3B48">
      <w:pPr>
        <w:pStyle w:val="FootnoteText"/>
      </w:pPr>
      <w:r>
        <w:rPr>
          <w:rStyle w:val="FootnoteReference"/>
        </w:rPr>
        <w:footnoteRef/>
      </w:r>
      <w:r>
        <w:t xml:space="preserve"> </w:t>
      </w:r>
      <w:r>
        <w:tab/>
        <w:t xml:space="preserve">EESRK nuomonė „Skaitmeninimas ir tvarumas – esama padėtis ir būtinybė imtis veiksmų pilietinės visuomenės požiūriu“, </w:t>
      </w:r>
      <w:hyperlink r:id="rId32" w:history="1">
        <w:r>
          <w:rPr>
            <w:rStyle w:val="Hyperlink"/>
          </w:rPr>
          <w:t>OL C 429, 2020 12 11, p. 187</w:t>
        </w:r>
      </w:hyperlink>
      <w:r>
        <w:t>.</w:t>
      </w:r>
    </w:p>
  </w:footnote>
  <w:footnote w:id="28">
    <w:p w:rsidR="00444B59" w:rsidRPr="009B16C4" w:rsidRDefault="00444B59" w:rsidP="00EF3B48">
      <w:pPr>
        <w:pStyle w:val="FootnoteText"/>
        <w:jc w:val="left"/>
        <w:rPr>
          <w:szCs w:val="16"/>
        </w:rPr>
      </w:pPr>
      <w:r>
        <w:rPr>
          <w:rStyle w:val="FootnoteReference"/>
          <w:szCs w:val="24"/>
        </w:rPr>
        <w:footnoteRef/>
      </w:r>
      <w:r>
        <w:tab/>
        <w:t xml:space="preserve">EESRK nuomonė „55 % tikslas – pasiekiamas. ES 2030 m. klimato tikslo įgyvendinimas siekiant neutralizuoti poveikį klimatui“, </w:t>
      </w:r>
      <w:hyperlink r:id="rId33" w:history="1">
        <w:r>
          <w:rPr>
            <w:rStyle w:val="Hyperlink"/>
          </w:rPr>
          <w:t>OL C 275, 2022 7 18, p. 101</w:t>
        </w:r>
      </w:hyperlink>
      <w:r>
        <w:t>.</w:t>
      </w:r>
    </w:p>
  </w:footnote>
  <w:footnote w:id="29">
    <w:p w:rsidR="003567A8" w:rsidRPr="005F3782" w:rsidRDefault="003567A8" w:rsidP="00EF3B48">
      <w:pPr>
        <w:pStyle w:val="FootnoteText"/>
        <w:rPr>
          <w:szCs w:val="16"/>
        </w:rPr>
      </w:pPr>
      <w:r>
        <w:rPr>
          <w:rStyle w:val="FootnoteReference"/>
          <w:szCs w:val="24"/>
        </w:rPr>
        <w:footnoteRef/>
      </w:r>
      <w:r>
        <w:tab/>
        <w:t xml:space="preserve">EESRK nuomonė „55 % tikslas – pasiekiamas. ES 2030 m. klimato tikslo įgyvendinimas siekiant neutralizuoti poveikį klimatui“, </w:t>
      </w:r>
      <w:hyperlink r:id="rId34" w:history="1">
        <w:r>
          <w:rPr>
            <w:rStyle w:val="Hyperlink"/>
          </w:rPr>
          <w:t>OL C 275, 2022 7 18, p. 101</w:t>
        </w:r>
      </w:hyperlink>
      <w:r>
        <w:t>.</w:t>
      </w:r>
    </w:p>
  </w:footnote>
  <w:footnote w:id="30">
    <w:p w:rsidR="00EE319C" w:rsidRPr="005F3782" w:rsidRDefault="00EE319C" w:rsidP="00EF3B48">
      <w:pPr>
        <w:pStyle w:val="FootnoteText"/>
        <w:rPr>
          <w:szCs w:val="16"/>
        </w:rPr>
      </w:pPr>
      <w:r>
        <w:rPr>
          <w:rStyle w:val="FootnoteReference"/>
          <w:szCs w:val="24"/>
        </w:rPr>
        <w:footnoteRef/>
      </w:r>
      <w:r>
        <w:tab/>
      </w:r>
      <w:hyperlink r:id="rId35" w:history="1">
        <w:r>
          <w:rPr>
            <w:rStyle w:val="Hyperlink"/>
            <w:i/>
          </w:rPr>
          <w:t xml:space="preserve">2020 </w:t>
        </w:r>
        <w:proofErr w:type="spellStart"/>
        <w:r>
          <w:rPr>
            <w:rStyle w:val="Hyperlink"/>
            <w:i/>
          </w:rPr>
          <w:t>Pocket</w:t>
        </w:r>
        <w:proofErr w:type="spellEnd"/>
        <w:r>
          <w:rPr>
            <w:rStyle w:val="Hyperlink"/>
            <w:i/>
          </w:rPr>
          <w:t xml:space="preserve"> </w:t>
        </w:r>
        <w:proofErr w:type="spellStart"/>
        <w:r>
          <w:rPr>
            <w:rStyle w:val="Hyperlink"/>
            <w:i/>
          </w:rPr>
          <w:t>Guide</w:t>
        </w:r>
        <w:proofErr w:type="spellEnd"/>
        <w:r>
          <w:rPr>
            <w:rStyle w:val="Hyperlink"/>
            <w:i/>
          </w:rPr>
          <w:t xml:space="preserve"> to </w:t>
        </w:r>
        <w:proofErr w:type="spellStart"/>
        <w:r>
          <w:rPr>
            <w:rStyle w:val="Hyperlink"/>
            <w:i/>
          </w:rPr>
          <w:t>Gender</w:t>
        </w:r>
        <w:proofErr w:type="spellEnd"/>
        <w:r>
          <w:rPr>
            <w:rStyle w:val="Hyperlink"/>
            <w:i/>
          </w:rPr>
          <w:t xml:space="preserve"> </w:t>
        </w:r>
        <w:proofErr w:type="spellStart"/>
        <w:r>
          <w:rPr>
            <w:rStyle w:val="Hyperlink"/>
            <w:i/>
          </w:rPr>
          <w:t>Equality</w:t>
        </w:r>
        <w:proofErr w:type="spellEnd"/>
        <w:r>
          <w:rPr>
            <w:rStyle w:val="Hyperlink"/>
            <w:i/>
          </w:rPr>
          <w:t xml:space="preserve"> </w:t>
        </w:r>
        <w:proofErr w:type="spellStart"/>
        <w:r>
          <w:rPr>
            <w:rStyle w:val="Hyperlink"/>
            <w:i/>
          </w:rPr>
          <w:t>under</w:t>
        </w:r>
        <w:proofErr w:type="spellEnd"/>
        <w:r>
          <w:rPr>
            <w:rStyle w:val="Hyperlink"/>
            <w:i/>
          </w:rPr>
          <w:t xml:space="preserve"> </w:t>
        </w:r>
        <w:proofErr w:type="spellStart"/>
        <w:r>
          <w:rPr>
            <w:rStyle w:val="Hyperlink"/>
            <w:i/>
          </w:rPr>
          <w:t>the</w:t>
        </w:r>
        <w:proofErr w:type="spellEnd"/>
        <w:r>
          <w:rPr>
            <w:rStyle w:val="Hyperlink"/>
            <w:i/>
          </w:rPr>
          <w:t xml:space="preserve"> UNFCCC - WEDO</w:t>
        </w:r>
      </w:hyperlink>
      <w:r>
        <w:t>.</w:t>
      </w:r>
    </w:p>
  </w:footnote>
  <w:footnote w:id="31">
    <w:p w:rsidR="009F475F" w:rsidRPr="005F3782" w:rsidRDefault="009F475F" w:rsidP="00EF3B48">
      <w:pPr>
        <w:pStyle w:val="FootnoteText"/>
      </w:pPr>
      <w:r>
        <w:rPr>
          <w:rStyle w:val="FootnoteReference"/>
          <w:szCs w:val="24"/>
        </w:rPr>
        <w:footnoteRef/>
      </w:r>
      <w:r>
        <w:tab/>
        <w:t xml:space="preserve">Rengiama EESRK nuomonė (NAT/788) </w:t>
      </w:r>
      <w:hyperlink r:id="rId36" w:history="1">
        <w:r>
          <w:rPr>
            <w:rStyle w:val="Hyperlink"/>
            <w:i/>
          </w:rPr>
          <w:t>Struktūruoto jaunimo dalyvavimo ES sprendimų priėmimo procese klimato ir tvarumo klausimais skatinimas</w:t>
        </w:r>
      </w:hyperlink>
      <w:r>
        <w:t>.</w:t>
      </w:r>
    </w:p>
  </w:footnote>
  <w:footnote w:id="32">
    <w:p w:rsidR="00B27016" w:rsidRPr="005F3782" w:rsidRDefault="00B27016" w:rsidP="00EF3B48">
      <w:pPr>
        <w:pStyle w:val="FootnoteText"/>
        <w:rPr>
          <w:szCs w:val="16"/>
        </w:rPr>
      </w:pPr>
      <w:r>
        <w:rPr>
          <w:rStyle w:val="FootnoteReference"/>
          <w:szCs w:val="24"/>
        </w:rPr>
        <w:footnoteRef/>
      </w:r>
      <w:r>
        <w:tab/>
      </w:r>
      <w:hyperlink r:id="rId37" w:history="1">
        <w:proofErr w:type="spellStart"/>
        <w:r>
          <w:rPr>
            <w:rStyle w:val="Hyperlink"/>
            <w:i/>
          </w:rPr>
          <w:t>Indigenous</w:t>
        </w:r>
        <w:proofErr w:type="spellEnd"/>
        <w:r>
          <w:rPr>
            <w:rStyle w:val="Hyperlink"/>
            <w:i/>
          </w:rPr>
          <w:t xml:space="preserve"> </w:t>
        </w:r>
        <w:proofErr w:type="spellStart"/>
        <w:r>
          <w:rPr>
            <w:rStyle w:val="Hyperlink"/>
            <w:i/>
          </w:rPr>
          <w:t>peoples</w:t>
        </w:r>
        <w:proofErr w:type="spellEnd"/>
        <w:r>
          <w:rPr>
            <w:rStyle w:val="Hyperlink"/>
            <w:i/>
          </w:rPr>
          <w:t xml:space="preserve"> </w:t>
        </w:r>
        <w:proofErr w:type="spellStart"/>
        <w:r>
          <w:rPr>
            <w:rStyle w:val="Hyperlink"/>
            <w:i/>
          </w:rPr>
          <w:t>defend</w:t>
        </w:r>
        <w:proofErr w:type="spellEnd"/>
        <w:r>
          <w:rPr>
            <w:rStyle w:val="Hyperlink"/>
            <w:i/>
          </w:rPr>
          <w:t xml:space="preserve"> </w:t>
        </w:r>
        <w:proofErr w:type="spellStart"/>
        <w:r>
          <w:rPr>
            <w:rStyle w:val="Hyperlink"/>
            <w:i/>
          </w:rPr>
          <w:t>Earth‘s</w:t>
        </w:r>
        <w:proofErr w:type="spellEnd"/>
        <w:r>
          <w:rPr>
            <w:rStyle w:val="Hyperlink"/>
            <w:i/>
          </w:rPr>
          <w:t xml:space="preserve"> </w:t>
        </w:r>
        <w:proofErr w:type="spellStart"/>
        <w:r>
          <w:rPr>
            <w:rStyle w:val="Hyperlink"/>
            <w:i/>
          </w:rPr>
          <w:t>biodiversity</w:t>
        </w:r>
        <w:proofErr w:type="spellEnd"/>
        <w:r>
          <w:rPr>
            <w:rStyle w:val="Hyperlink"/>
            <w:i/>
          </w:rPr>
          <w:t xml:space="preserve"> – </w:t>
        </w:r>
        <w:proofErr w:type="spellStart"/>
        <w:r>
          <w:rPr>
            <w:rStyle w:val="Hyperlink"/>
            <w:i/>
          </w:rPr>
          <w:t>but</w:t>
        </w:r>
        <w:proofErr w:type="spellEnd"/>
        <w:r>
          <w:rPr>
            <w:rStyle w:val="Hyperlink"/>
            <w:i/>
          </w:rPr>
          <w:t xml:space="preserve"> </w:t>
        </w:r>
        <w:proofErr w:type="spellStart"/>
        <w:r>
          <w:rPr>
            <w:rStyle w:val="Hyperlink"/>
            <w:i/>
          </w:rPr>
          <w:t>they‘re</w:t>
        </w:r>
        <w:proofErr w:type="spellEnd"/>
        <w:r>
          <w:rPr>
            <w:rStyle w:val="Hyperlink"/>
            <w:i/>
          </w:rPr>
          <w:t xml:space="preserve"> </w:t>
        </w:r>
        <w:proofErr w:type="spellStart"/>
        <w:r>
          <w:rPr>
            <w:rStyle w:val="Hyperlink"/>
            <w:i/>
          </w:rPr>
          <w:t>in</w:t>
        </w:r>
        <w:proofErr w:type="spellEnd"/>
        <w:r>
          <w:rPr>
            <w:rStyle w:val="Hyperlink"/>
            <w:i/>
          </w:rPr>
          <w:t xml:space="preserve"> </w:t>
        </w:r>
        <w:proofErr w:type="spellStart"/>
        <w:r>
          <w:rPr>
            <w:rStyle w:val="Hyperlink"/>
            <w:i/>
          </w:rPr>
          <w:t>danger</w:t>
        </w:r>
        <w:proofErr w:type="spellEnd"/>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C9D" w:rsidRDefault="00470E02">
    <w:pPr>
      <w:pStyle w:val="Header"/>
    </w:pPr>
    <w:r>
      <w:pict w14:anchorId="4C30A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16391" type="#_x0000_t75" style="position:absolute;left:0;text-align:left;margin-left:0;margin-top:0;width:598.15pt;height:843.9pt;z-index:-251658752;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0C3" w:rsidRDefault="009320C3" w:rsidP="009320C3">
    <w:pPr>
      <w:pStyle w:val="Header"/>
    </w:pPr>
    <w:r>
      <w:rPr>
        <w:noProof/>
        <w:lang w:val="en-US"/>
      </w:rPr>
      <w:drawing>
        <wp:anchor distT="0" distB="0" distL="114300" distR="114300" simplePos="0" relativeHeight="251664384" behindDoc="0" locked="0" layoutInCell="1" allowOverlap="1" wp14:anchorId="13285CAF" wp14:editId="0E785083">
          <wp:simplePos x="0" y="0"/>
          <wp:positionH relativeFrom="page">
            <wp:align>center</wp:align>
          </wp:positionH>
          <wp:positionV relativeFrom="page">
            <wp:posOffset>288290</wp:posOffset>
          </wp:positionV>
          <wp:extent cx="6944400" cy="3348000"/>
          <wp:effectExtent l="0" t="0" r="8890" b="5080"/>
          <wp:wrapNone/>
          <wp:docPr id="2" name="Picture 2" title="EESCLogo2021_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logo and curves_LT.png"/>
                  <pic:cNvPicPr/>
                </pic:nvPicPr>
                <pic:blipFill>
                  <a:blip r:embed="rId1">
                    <a:extLst>
                      <a:ext uri="{28A0092B-C50C-407E-A947-70E740481C1C}">
                        <a14:useLocalDpi xmlns:a14="http://schemas.microsoft.com/office/drawing/2010/main" val="0"/>
                      </a:ext>
                    </a:extLst>
                  </a:blip>
                  <a:stretch>
                    <a:fillRect/>
                  </a:stretch>
                </pic:blipFill>
                <pic:spPr>
                  <a:xfrm>
                    <a:off x="0" y="0"/>
                    <a:ext cx="6944400" cy="3348000"/>
                  </a:xfrm>
                  <a:prstGeom prst="rect">
                    <a:avLst/>
                  </a:prstGeom>
                </pic:spPr>
              </pic:pic>
            </a:graphicData>
          </a:graphic>
          <wp14:sizeRelH relativeFrom="margin">
            <wp14:pctWidth>0</wp14:pctWidth>
          </wp14:sizeRelH>
          <wp14:sizeRelV relativeFrom="margin">
            <wp14:pctHeight>0</wp14:pctHeight>
          </wp14:sizeRelV>
        </wp:anchor>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16395" type="#_x0000_t75" style="position:absolute;left:0;text-align:left;margin-left:0;margin-top:0;width:598.15pt;height:843.9pt;z-index:-251653120;mso-position-horizontal:center;mso-position-horizontal-relative:page;mso-position-vertical:center;mso-position-vertical-relative:page" o:allowincell="f">
          <v:imagedata r:id="rId2" o:title="background watermark with footer"/>
          <w10:wrap anchorx="page" anchory="page"/>
        </v:shape>
      </w:pict>
    </w:r>
  </w:p>
  <w:p w:rsidR="009320C3" w:rsidRPr="009A4BFA" w:rsidRDefault="009320C3" w:rsidP="009320C3">
    <w:pPr>
      <w:pStyle w:val="Header"/>
    </w:pPr>
  </w:p>
  <w:p w:rsidR="00180C9D" w:rsidRPr="009320C3" w:rsidRDefault="00180C9D" w:rsidP="009320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C9D" w:rsidRDefault="00470E02">
    <w:pPr>
      <w:pStyle w:val="Header"/>
    </w:pPr>
    <w:r>
      <w:pict w14:anchorId="6655E5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16390" type="#_x0000_t75" style="position:absolute;left:0;text-align:left;margin-left:0;margin-top:0;width:598.15pt;height:843.9pt;z-index:-251659776;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C9D" w:rsidRDefault="00470E02">
    <w:pPr>
      <w:pStyle w:val="Header"/>
    </w:pPr>
    <w:r>
      <w:pict w14:anchorId="0845C8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16394" type="#_x0000_t75" style="position:absolute;left:0;text-align:left;margin-left:0;margin-top:0;width:598.15pt;height:843.9pt;z-index:-251655680;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C9D" w:rsidRDefault="00180C9D">
    <w:pPr>
      <w:pStyle w:val="Header"/>
    </w:pPr>
    <w:r>
      <w:rPr>
        <w:noProof/>
        <w:lang w:val="en-US"/>
      </w:rPr>
      <w:drawing>
        <wp:anchor distT="0" distB="0" distL="114300" distR="114300" simplePos="0" relativeHeight="251661312" behindDoc="1" locked="0" layoutInCell="1" allowOverlap="1" wp14:anchorId="2FB1CD0D" wp14:editId="06F585A8">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C9D" w:rsidRDefault="00470E02">
    <w:pPr>
      <w:pStyle w:val="Header"/>
    </w:pPr>
    <w:r>
      <w:pict w14:anchorId="781BD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16393" type="#_x0000_t75" style="position:absolute;left:0;text-align:left;margin-left:0;margin-top:0;width:598.15pt;height:843.9pt;z-index:-251656704;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B40" w:rsidRPr="00526B40" w:rsidRDefault="00526B40" w:rsidP="00526B4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B40" w:rsidRPr="002E7EE1" w:rsidRDefault="00526B40" w:rsidP="002E7EE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B40" w:rsidRPr="00526B40" w:rsidRDefault="00526B40" w:rsidP="00526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80A0DAE"/>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rPr>
        <w:i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2B337C2"/>
    <w:multiLevelType w:val="hybridMultilevel"/>
    <w:tmpl w:val="560A56B6"/>
    <w:lvl w:ilvl="0" w:tplc="130ADC20">
      <w:start w:val="1"/>
      <w:numFmt w:val="decimal"/>
      <w:lvlText w:val="%1."/>
      <w:lvlJc w:val="left"/>
      <w:pPr>
        <w:ind w:left="1070" w:hanging="71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B0A2414"/>
    <w:multiLevelType w:val="hybridMultilevel"/>
    <w:tmpl w:val="B4BAC6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5580BC9"/>
    <w:multiLevelType w:val="hybridMultilevel"/>
    <w:tmpl w:val="86222EB0"/>
    <w:lvl w:ilvl="0" w:tplc="9174A728">
      <w:start w:val="1"/>
      <w:numFmt w:val="decimal"/>
      <w:lvlText w:val="%1."/>
      <w:lvlJc w:val="left"/>
      <w:pPr>
        <w:ind w:left="360" w:hanging="360"/>
      </w:pPr>
      <w:rPr>
        <w:b w:val="0"/>
        <w:bCs w:val="0"/>
        <w:i w:val="0"/>
        <w:iCs w:val="0"/>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3A4B1F21"/>
    <w:multiLevelType w:val="hybridMultilevel"/>
    <w:tmpl w:val="FD7661AE"/>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42C77FC2"/>
    <w:multiLevelType w:val="hybridMultilevel"/>
    <w:tmpl w:val="29B0B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10200"/>
    <w:multiLevelType w:val="hybridMultilevel"/>
    <w:tmpl w:val="C99CE2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D201B5C"/>
    <w:multiLevelType w:val="hybridMultilevel"/>
    <w:tmpl w:val="9284693E"/>
    <w:lvl w:ilvl="0" w:tplc="6396C9CE">
      <w:start w:val="11"/>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5B093336"/>
    <w:multiLevelType w:val="hybridMultilevel"/>
    <w:tmpl w:val="AFEC9D88"/>
    <w:lvl w:ilvl="0" w:tplc="119618D6">
      <w:start w:val="1"/>
      <w:numFmt w:val="bullet"/>
      <w:lvlText w:val="•"/>
      <w:lvlJc w:val="left"/>
      <w:pPr>
        <w:tabs>
          <w:tab w:val="num" w:pos="720"/>
        </w:tabs>
        <w:ind w:left="720" w:hanging="360"/>
      </w:pPr>
      <w:rPr>
        <w:rFonts w:ascii="Arial" w:hAnsi="Arial" w:hint="default"/>
      </w:rPr>
    </w:lvl>
    <w:lvl w:ilvl="1" w:tplc="2DCA1636" w:tentative="1">
      <w:start w:val="1"/>
      <w:numFmt w:val="bullet"/>
      <w:lvlText w:val="•"/>
      <w:lvlJc w:val="left"/>
      <w:pPr>
        <w:tabs>
          <w:tab w:val="num" w:pos="1440"/>
        </w:tabs>
        <w:ind w:left="1440" w:hanging="360"/>
      </w:pPr>
      <w:rPr>
        <w:rFonts w:ascii="Arial" w:hAnsi="Arial" w:hint="default"/>
      </w:rPr>
    </w:lvl>
    <w:lvl w:ilvl="2" w:tplc="7FF2E13C" w:tentative="1">
      <w:start w:val="1"/>
      <w:numFmt w:val="bullet"/>
      <w:lvlText w:val="•"/>
      <w:lvlJc w:val="left"/>
      <w:pPr>
        <w:tabs>
          <w:tab w:val="num" w:pos="2160"/>
        </w:tabs>
        <w:ind w:left="2160" w:hanging="360"/>
      </w:pPr>
      <w:rPr>
        <w:rFonts w:ascii="Arial" w:hAnsi="Arial" w:hint="default"/>
      </w:rPr>
    </w:lvl>
    <w:lvl w:ilvl="3" w:tplc="715A25FC" w:tentative="1">
      <w:start w:val="1"/>
      <w:numFmt w:val="bullet"/>
      <w:lvlText w:val="•"/>
      <w:lvlJc w:val="left"/>
      <w:pPr>
        <w:tabs>
          <w:tab w:val="num" w:pos="2880"/>
        </w:tabs>
        <w:ind w:left="2880" w:hanging="360"/>
      </w:pPr>
      <w:rPr>
        <w:rFonts w:ascii="Arial" w:hAnsi="Arial" w:hint="default"/>
      </w:rPr>
    </w:lvl>
    <w:lvl w:ilvl="4" w:tplc="C0ECAC4E" w:tentative="1">
      <w:start w:val="1"/>
      <w:numFmt w:val="bullet"/>
      <w:lvlText w:val="•"/>
      <w:lvlJc w:val="left"/>
      <w:pPr>
        <w:tabs>
          <w:tab w:val="num" w:pos="3600"/>
        </w:tabs>
        <w:ind w:left="3600" w:hanging="360"/>
      </w:pPr>
      <w:rPr>
        <w:rFonts w:ascii="Arial" w:hAnsi="Arial" w:hint="default"/>
      </w:rPr>
    </w:lvl>
    <w:lvl w:ilvl="5" w:tplc="DBC0D4B6" w:tentative="1">
      <w:start w:val="1"/>
      <w:numFmt w:val="bullet"/>
      <w:lvlText w:val="•"/>
      <w:lvlJc w:val="left"/>
      <w:pPr>
        <w:tabs>
          <w:tab w:val="num" w:pos="4320"/>
        </w:tabs>
        <w:ind w:left="4320" w:hanging="360"/>
      </w:pPr>
      <w:rPr>
        <w:rFonts w:ascii="Arial" w:hAnsi="Arial" w:hint="default"/>
      </w:rPr>
    </w:lvl>
    <w:lvl w:ilvl="6" w:tplc="F8BCE15E" w:tentative="1">
      <w:start w:val="1"/>
      <w:numFmt w:val="bullet"/>
      <w:lvlText w:val="•"/>
      <w:lvlJc w:val="left"/>
      <w:pPr>
        <w:tabs>
          <w:tab w:val="num" w:pos="5040"/>
        </w:tabs>
        <w:ind w:left="5040" w:hanging="360"/>
      </w:pPr>
      <w:rPr>
        <w:rFonts w:ascii="Arial" w:hAnsi="Arial" w:hint="default"/>
      </w:rPr>
    </w:lvl>
    <w:lvl w:ilvl="7" w:tplc="836EB248" w:tentative="1">
      <w:start w:val="1"/>
      <w:numFmt w:val="bullet"/>
      <w:lvlText w:val="•"/>
      <w:lvlJc w:val="left"/>
      <w:pPr>
        <w:tabs>
          <w:tab w:val="num" w:pos="5760"/>
        </w:tabs>
        <w:ind w:left="5760" w:hanging="360"/>
      </w:pPr>
      <w:rPr>
        <w:rFonts w:ascii="Arial" w:hAnsi="Arial" w:hint="default"/>
      </w:rPr>
    </w:lvl>
    <w:lvl w:ilvl="8" w:tplc="1612320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BCD1D40"/>
    <w:multiLevelType w:val="hybridMultilevel"/>
    <w:tmpl w:val="572A74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23A6AD4"/>
    <w:multiLevelType w:val="hybridMultilevel"/>
    <w:tmpl w:val="156AF25E"/>
    <w:lvl w:ilvl="0" w:tplc="4C8629AC">
      <w:start w:val="1"/>
      <w:numFmt w:val="decimal"/>
      <w:lvlText w:val="%1."/>
      <w:lvlJc w:val="left"/>
      <w:pPr>
        <w:ind w:left="786" w:hanging="360"/>
      </w:pPr>
      <w:rPr>
        <w:b w:val="0"/>
        <w:bCs w:val="0"/>
        <w:i w:val="0"/>
        <w:iCs w:val="0"/>
      </w:r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11" w15:restartNumberingAfterBreak="0">
    <w:nsid w:val="7B7E514B"/>
    <w:multiLevelType w:val="hybridMultilevel"/>
    <w:tmpl w:val="C82A87C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9"/>
  </w:num>
  <w:num w:numId="6">
    <w:abstractNumId w:val="8"/>
  </w:num>
  <w:num w:numId="7">
    <w:abstractNumId w:val="4"/>
  </w:num>
  <w:num w:numId="8">
    <w:abstractNumId w:val="11"/>
  </w:num>
  <w:num w:numId="9">
    <w:abstractNumId w:val="3"/>
  </w:num>
  <w:num w:numId="10">
    <w:abstractNumId w:val="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6396"/>
    <o:shapelayout v:ext="edit">
      <o:idmap v:ext="edit" data="16"/>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B01"/>
    <w:rsid w:val="00007773"/>
    <w:rsid w:val="000079E5"/>
    <w:rsid w:val="00010FC6"/>
    <w:rsid w:val="000120CD"/>
    <w:rsid w:val="00013255"/>
    <w:rsid w:val="00020F19"/>
    <w:rsid w:val="00030E21"/>
    <w:rsid w:val="00032E37"/>
    <w:rsid w:val="00033E2E"/>
    <w:rsid w:val="0003449F"/>
    <w:rsid w:val="000358F0"/>
    <w:rsid w:val="00047980"/>
    <w:rsid w:val="00047D68"/>
    <w:rsid w:val="00050B81"/>
    <w:rsid w:val="00053594"/>
    <w:rsid w:val="00053B1C"/>
    <w:rsid w:val="00054D9D"/>
    <w:rsid w:val="000574BC"/>
    <w:rsid w:val="00062D0C"/>
    <w:rsid w:val="000710D8"/>
    <w:rsid w:val="00081EAE"/>
    <w:rsid w:val="0008251E"/>
    <w:rsid w:val="00082AB6"/>
    <w:rsid w:val="00083FD7"/>
    <w:rsid w:val="00091780"/>
    <w:rsid w:val="00094578"/>
    <w:rsid w:val="000A0FF9"/>
    <w:rsid w:val="000A58FB"/>
    <w:rsid w:val="000C30B4"/>
    <w:rsid w:val="000D1E9E"/>
    <w:rsid w:val="000F22F9"/>
    <w:rsid w:val="000F3131"/>
    <w:rsid w:val="000F577D"/>
    <w:rsid w:val="001024F7"/>
    <w:rsid w:val="0010269A"/>
    <w:rsid w:val="001063B3"/>
    <w:rsid w:val="00107725"/>
    <w:rsid w:val="00110795"/>
    <w:rsid w:val="00112C96"/>
    <w:rsid w:val="0011335A"/>
    <w:rsid w:val="001210DE"/>
    <w:rsid w:val="00122408"/>
    <w:rsid w:val="00127863"/>
    <w:rsid w:val="0014073F"/>
    <w:rsid w:val="001420B1"/>
    <w:rsid w:val="0014388E"/>
    <w:rsid w:val="001522F6"/>
    <w:rsid w:val="001528E9"/>
    <w:rsid w:val="00160934"/>
    <w:rsid w:val="00164C3A"/>
    <w:rsid w:val="00172E65"/>
    <w:rsid w:val="00180C9D"/>
    <w:rsid w:val="0018583B"/>
    <w:rsid w:val="001A1A3D"/>
    <w:rsid w:val="001A4755"/>
    <w:rsid w:val="001B07D7"/>
    <w:rsid w:val="001B74DB"/>
    <w:rsid w:val="001C13D6"/>
    <w:rsid w:val="001C5AD1"/>
    <w:rsid w:val="001C5CC5"/>
    <w:rsid w:val="001C6918"/>
    <w:rsid w:val="001D0A3D"/>
    <w:rsid w:val="001D3DDD"/>
    <w:rsid w:val="001D3EF3"/>
    <w:rsid w:val="001E56F8"/>
    <w:rsid w:val="001E70B5"/>
    <w:rsid w:val="001F2404"/>
    <w:rsid w:val="002025CA"/>
    <w:rsid w:val="00210AC4"/>
    <w:rsid w:val="00213319"/>
    <w:rsid w:val="00216D49"/>
    <w:rsid w:val="002200A3"/>
    <w:rsid w:val="00220171"/>
    <w:rsid w:val="0022449B"/>
    <w:rsid w:val="00224B58"/>
    <w:rsid w:val="002319CC"/>
    <w:rsid w:val="00245087"/>
    <w:rsid w:val="00246C92"/>
    <w:rsid w:val="00250853"/>
    <w:rsid w:val="00251F8E"/>
    <w:rsid w:val="0025667C"/>
    <w:rsid w:val="0027499D"/>
    <w:rsid w:val="00276FB4"/>
    <w:rsid w:val="00277BBA"/>
    <w:rsid w:val="0028320C"/>
    <w:rsid w:val="002911C6"/>
    <w:rsid w:val="0029184B"/>
    <w:rsid w:val="00293BF8"/>
    <w:rsid w:val="002A1DD3"/>
    <w:rsid w:val="002A4183"/>
    <w:rsid w:val="002B0474"/>
    <w:rsid w:val="002B24A9"/>
    <w:rsid w:val="002C2B01"/>
    <w:rsid w:val="002C3963"/>
    <w:rsid w:val="002C59E9"/>
    <w:rsid w:val="002D1697"/>
    <w:rsid w:val="002E4FAE"/>
    <w:rsid w:val="002E7EE1"/>
    <w:rsid w:val="002F108E"/>
    <w:rsid w:val="002F2E5C"/>
    <w:rsid w:val="00310649"/>
    <w:rsid w:val="0031122E"/>
    <w:rsid w:val="00312E1F"/>
    <w:rsid w:val="00317B29"/>
    <w:rsid w:val="0032590D"/>
    <w:rsid w:val="00325B6D"/>
    <w:rsid w:val="00327938"/>
    <w:rsid w:val="00333ED2"/>
    <w:rsid w:val="00353B1A"/>
    <w:rsid w:val="003567A8"/>
    <w:rsid w:val="00361AAA"/>
    <w:rsid w:val="0039570B"/>
    <w:rsid w:val="003A552C"/>
    <w:rsid w:val="003A5BD7"/>
    <w:rsid w:val="003C2548"/>
    <w:rsid w:val="003C63C8"/>
    <w:rsid w:val="003D02F9"/>
    <w:rsid w:val="003D0D15"/>
    <w:rsid w:val="003D0E4A"/>
    <w:rsid w:val="003D17B9"/>
    <w:rsid w:val="003E12B0"/>
    <w:rsid w:val="003E6F23"/>
    <w:rsid w:val="003F1226"/>
    <w:rsid w:val="003F3573"/>
    <w:rsid w:val="003F40D4"/>
    <w:rsid w:val="00400D58"/>
    <w:rsid w:val="0040134E"/>
    <w:rsid w:val="00411708"/>
    <w:rsid w:val="0041312C"/>
    <w:rsid w:val="00414F13"/>
    <w:rsid w:val="00424F46"/>
    <w:rsid w:val="0042531D"/>
    <w:rsid w:val="004254CB"/>
    <w:rsid w:val="00426786"/>
    <w:rsid w:val="00444B59"/>
    <w:rsid w:val="0044565F"/>
    <w:rsid w:val="004576EE"/>
    <w:rsid w:val="0046063B"/>
    <w:rsid w:val="00470E02"/>
    <w:rsid w:val="00475FDE"/>
    <w:rsid w:val="00481CE2"/>
    <w:rsid w:val="004825B2"/>
    <w:rsid w:val="00492189"/>
    <w:rsid w:val="00497488"/>
    <w:rsid w:val="004A2A58"/>
    <w:rsid w:val="004A3037"/>
    <w:rsid w:val="004A39C9"/>
    <w:rsid w:val="004A49B9"/>
    <w:rsid w:val="004C238F"/>
    <w:rsid w:val="004D233D"/>
    <w:rsid w:val="004E503C"/>
    <w:rsid w:val="004E5901"/>
    <w:rsid w:val="004F04C7"/>
    <w:rsid w:val="004F2471"/>
    <w:rsid w:val="004F2AA6"/>
    <w:rsid w:val="00506F07"/>
    <w:rsid w:val="00516A37"/>
    <w:rsid w:val="00516EDB"/>
    <w:rsid w:val="00520445"/>
    <w:rsid w:val="00522909"/>
    <w:rsid w:val="0052304F"/>
    <w:rsid w:val="005240E4"/>
    <w:rsid w:val="00524D70"/>
    <w:rsid w:val="005252C5"/>
    <w:rsid w:val="00526B40"/>
    <w:rsid w:val="00533DDC"/>
    <w:rsid w:val="005350BD"/>
    <w:rsid w:val="00540820"/>
    <w:rsid w:val="00543898"/>
    <w:rsid w:val="00545A8D"/>
    <w:rsid w:val="0055343D"/>
    <w:rsid w:val="00553760"/>
    <w:rsid w:val="00554DBC"/>
    <w:rsid w:val="00560833"/>
    <w:rsid w:val="00565A46"/>
    <w:rsid w:val="00567475"/>
    <w:rsid w:val="00570EB2"/>
    <w:rsid w:val="00570F8A"/>
    <w:rsid w:val="00577E20"/>
    <w:rsid w:val="00581CB9"/>
    <w:rsid w:val="00582ABD"/>
    <w:rsid w:val="00586755"/>
    <w:rsid w:val="005933EE"/>
    <w:rsid w:val="005942E9"/>
    <w:rsid w:val="00597A7F"/>
    <w:rsid w:val="005A1F93"/>
    <w:rsid w:val="005A2860"/>
    <w:rsid w:val="005A6199"/>
    <w:rsid w:val="005B331C"/>
    <w:rsid w:val="005C5960"/>
    <w:rsid w:val="005D233A"/>
    <w:rsid w:val="005D5E98"/>
    <w:rsid w:val="005D6C1C"/>
    <w:rsid w:val="005E2540"/>
    <w:rsid w:val="005E5612"/>
    <w:rsid w:val="005F3782"/>
    <w:rsid w:val="005F44F7"/>
    <w:rsid w:val="005F5E01"/>
    <w:rsid w:val="0060072A"/>
    <w:rsid w:val="00603282"/>
    <w:rsid w:val="00603397"/>
    <w:rsid w:val="006169F0"/>
    <w:rsid w:val="00617ABC"/>
    <w:rsid w:val="00617B1E"/>
    <w:rsid w:val="00626EA5"/>
    <w:rsid w:val="00630EFA"/>
    <w:rsid w:val="006377AD"/>
    <w:rsid w:val="0065059A"/>
    <w:rsid w:val="0065271C"/>
    <w:rsid w:val="00661468"/>
    <w:rsid w:val="006671F8"/>
    <w:rsid w:val="00670077"/>
    <w:rsid w:val="00670217"/>
    <w:rsid w:val="00692681"/>
    <w:rsid w:val="006A01E6"/>
    <w:rsid w:val="006A36E1"/>
    <w:rsid w:val="006B78AF"/>
    <w:rsid w:val="006C0250"/>
    <w:rsid w:val="006C5D3F"/>
    <w:rsid w:val="006D019C"/>
    <w:rsid w:val="006D2F1C"/>
    <w:rsid w:val="006E093F"/>
    <w:rsid w:val="006E3BC9"/>
    <w:rsid w:val="006F5D08"/>
    <w:rsid w:val="00700B2B"/>
    <w:rsid w:val="00705092"/>
    <w:rsid w:val="00707DFC"/>
    <w:rsid w:val="00710362"/>
    <w:rsid w:val="00710624"/>
    <w:rsid w:val="0071287F"/>
    <w:rsid w:val="00721976"/>
    <w:rsid w:val="007223E8"/>
    <w:rsid w:val="007224D6"/>
    <w:rsid w:val="00731E22"/>
    <w:rsid w:val="007322BD"/>
    <w:rsid w:val="00737DEA"/>
    <w:rsid w:val="00743DFE"/>
    <w:rsid w:val="00743E25"/>
    <w:rsid w:val="00745B9A"/>
    <w:rsid w:val="00746FB1"/>
    <w:rsid w:val="0076018C"/>
    <w:rsid w:val="00763C6B"/>
    <w:rsid w:val="00765637"/>
    <w:rsid w:val="007708BF"/>
    <w:rsid w:val="0077152F"/>
    <w:rsid w:val="00775484"/>
    <w:rsid w:val="00775637"/>
    <w:rsid w:val="0078686E"/>
    <w:rsid w:val="00786F2F"/>
    <w:rsid w:val="00790A6F"/>
    <w:rsid w:val="00794F2D"/>
    <w:rsid w:val="007A1151"/>
    <w:rsid w:val="007A5A88"/>
    <w:rsid w:val="007C32B7"/>
    <w:rsid w:val="007C4F70"/>
    <w:rsid w:val="007C5A1C"/>
    <w:rsid w:val="007C5F52"/>
    <w:rsid w:val="007D0A89"/>
    <w:rsid w:val="007D0B81"/>
    <w:rsid w:val="007E0872"/>
    <w:rsid w:val="007E34B1"/>
    <w:rsid w:val="007E39E9"/>
    <w:rsid w:val="007F5D59"/>
    <w:rsid w:val="00803823"/>
    <w:rsid w:val="00806BAA"/>
    <w:rsid w:val="00810157"/>
    <w:rsid w:val="008156F4"/>
    <w:rsid w:val="008176F0"/>
    <w:rsid w:val="00817935"/>
    <w:rsid w:val="008206AB"/>
    <w:rsid w:val="00824CD1"/>
    <w:rsid w:val="008277E1"/>
    <w:rsid w:val="00833E48"/>
    <w:rsid w:val="00844FC4"/>
    <w:rsid w:val="00845E39"/>
    <w:rsid w:val="00846350"/>
    <w:rsid w:val="0085156D"/>
    <w:rsid w:val="0085181B"/>
    <w:rsid w:val="00852FE8"/>
    <w:rsid w:val="0086482A"/>
    <w:rsid w:val="00866CDC"/>
    <w:rsid w:val="00870C63"/>
    <w:rsid w:val="008746D2"/>
    <w:rsid w:val="00882017"/>
    <w:rsid w:val="0088253F"/>
    <w:rsid w:val="008850FC"/>
    <w:rsid w:val="008863D6"/>
    <w:rsid w:val="0089555A"/>
    <w:rsid w:val="00897DDC"/>
    <w:rsid w:val="008A03FA"/>
    <w:rsid w:val="008A6CF4"/>
    <w:rsid w:val="008B12F6"/>
    <w:rsid w:val="008C1ADC"/>
    <w:rsid w:val="008D5813"/>
    <w:rsid w:val="008E0B59"/>
    <w:rsid w:val="008E15FF"/>
    <w:rsid w:val="008E35E8"/>
    <w:rsid w:val="008E5096"/>
    <w:rsid w:val="008F1733"/>
    <w:rsid w:val="008F45EA"/>
    <w:rsid w:val="008F6617"/>
    <w:rsid w:val="009018BB"/>
    <w:rsid w:val="009320C3"/>
    <w:rsid w:val="00940450"/>
    <w:rsid w:val="00952F11"/>
    <w:rsid w:val="00953E81"/>
    <w:rsid w:val="00956102"/>
    <w:rsid w:val="009562D0"/>
    <w:rsid w:val="00965573"/>
    <w:rsid w:val="00967726"/>
    <w:rsid w:val="0096791E"/>
    <w:rsid w:val="0098098C"/>
    <w:rsid w:val="0098098F"/>
    <w:rsid w:val="009813C0"/>
    <w:rsid w:val="00987D42"/>
    <w:rsid w:val="009905B3"/>
    <w:rsid w:val="00990615"/>
    <w:rsid w:val="009A4326"/>
    <w:rsid w:val="009A4328"/>
    <w:rsid w:val="009B07C8"/>
    <w:rsid w:val="009B16C4"/>
    <w:rsid w:val="009B4C74"/>
    <w:rsid w:val="009B5C4D"/>
    <w:rsid w:val="009B6837"/>
    <w:rsid w:val="009C586D"/>
    <w:rsid w:val="009C5FF9"/>
    <w:rsid w:val="009D72F3"/>
    <w:rsid w:val="009E2570"/>
    <w:rsid w:val="009E3EF9"/>
    <w:rsid w:val="009F3005"/>
    <w:rsid w:val="009F475F"/>
    <w:rsid w:val="00A00B14"/>
    <w:rsid w:val="00A03256"/>
    <w:rsid w:val="00A12E50"/>
    <w:rsid w:val="00A133B3"/>
    <w:rsid w:val="00A164BD"/>
    <w:rsid w:val="00A170B9"/>
    <w:rsid w:val="00A17E67"/>
    <w:rsid w:val="00A21967"/>
    <w:rsid w:val="00A222D7"/>
    <w:rsid w:val="00A259B7"/>
    <w:rsid w:val="00A36554"/>
    <w:rsid w:val="00A37E2A"/>
    <w:rsid w:val="00A42B33"/>
    <w:rsid w:val="00A5534E"/>
    <w:rsid w:val="00A621E3"/>
    <w:rsid w:val="00A62A18"/>
    <w:rsid w:val="00A67BB2"/>
    <w:rsid w:val="00A726A8"/>
    <w:rsid w:val="00A73469"/>
    <w:rsid w:val="00A853D9"/>
    <w:rsid w:val="00A876F4"/>
    <w:rsid w:val="00A92A06"/>
    <w:rsid w:val="00A9456F"/>
    <w:rsid w:val="00AA482D"/>
    <w:rsid w:val="00AA54B3"/>
    <w:rsid w:val="00AA6629"/>
    <w:rsid w:val="00AB53B4"/>
    <w:rsid w:val="00AB7934"/>
    <w:rsid w:val="00AC1A1D"/>
    <w:rsid w:val="00AD00BB"/>
    <w:rsid w:val="00AD4928"/>
    <w:rsid w:val="00AD7602"/>
    <w:rsid w:val="00AE2590"/>
    <w:rsid w:val="00AE4609"/>
    <w:rsid w:val="00AF25FB"/>
    <w:rsid w:val="00AF71F0"/>
    <w:rsid w:val="00B01289"/>
    <w:rsid w:val="00B01BA1"/>
    <w:rsid w:val="00B04342"/>
    <w:rsid w:val="00B04FF3"/>
    <w:rsid w:val="00B073B5"/>
    <w:rsid w:val="00B150DC"/>
    <w:rsid w:val="00B205A5"/>
    <w:rsid w:val="00B20ABB"/>
    <w:rsid w:val="00B2659F"/>
    <w:rsid w:val="00B27016"/>
    <w:rsid w:val="00B406FE"/>
    <w:rsid w:val="00B42531"/>
    <w:rsid w:val="00B45F35"/>
    <w:rsid w:val="00B52B01"/>
    <w:rsid w:val="00B626ED"/>
    <w:rsid w:val="00B62C19"/>
    <w:rsid w:val="00B642F9"/>
    <w:rsid w:val="00B7082E"/>
    <w:rsid w:val="00B71AC3"/>
    <w:rsid w:val="00B71DCF"/>
    <w:rsid w:val="00B77A3A"/>
    <w:rsid w:val="00B85401"/>
    <w:rsid w:val="00B87189"/>
    <w:rsid w:val="00B91C64"/>
    <w:rsid w:val="00BB4DFA"/>
    <w:rsid w:val="00BB788A"/>
    <w:rsid w:val="00BC103D"/>
    <w:rsid w:val="00BD0948"/>
    <w:rsid w:val="00BD3C5C"/>
    <w:rsid w:val="00BD3EB8"/>
    <w:rsid w:val="00BD5CD8"/>
    <w:rsid w:val="00BE6751"/>
    <w:rsid w:val="00BE77CC"/>
    <w:rsid w:val="00BF16EA"/>
    <w:rsid w:val="00BF1CE2"/>
    <w:rsid w:val="00C0106D"/>
    <w:rsid w:val="00C07570"/>
    <w:rsid w:val="00C12FAA"/>
    <w:rsid w:val="00C205C9"/>
    <w:rsid w:val="00C21A2C"/>
    <w:rsid w:val="00C238B1"/>
    <w:rsid w:val="00C23B16"/>
    <w:rsid w:val="00C3245F"/>
    <w:rsid w:val="00C36A32"/>
    <w:rsid w:val="00C375B8"/>
    <w:rsid w:val="00C5108E"/>
    <w:rsid w:val="00C52F45"/>
    <w:rsid w:val="00C551C1"/>
    <w:rsid w:val="00C57DA5"/>
    <w:rsid w:val="00C62504"/>
    <w:rsid w:val="00C63F7A"/>
    <w:rsid w:val="00C67831"/>
    <w:rsid w:val="00C7353C"/>
    <w:rsid w:val="00C740ED"/>
    <w:rsid w:val="00C852CF"/>
    <w:rsid w:val="00C908AB"/>
    <w:rsid w:val="00C92408"/>
    <w:rsid w:val="00C93B38"/>
    <w:rsid w:val="00CA61D4"/>
    <w:rsid w:val="00CA7EDF"/>
    <w:rsid w:val="00CA7FAC"/>
    <w:rsid w:val="00CB0629"/>
    <w:rsid w:val="00CB0BBD"/>
    <w:rsid w:val="00CB14BC"/>
    <w:rsid w:val="00CC20C3"/>
    <w:rsid w:val="00CC3A72"/>
    <w:rsid w:val="00CD1029"/>
    <w:rsid w:val="00CD43E8"/>
    <w:rsid w:val="00CD4643"/>
    <w:rsid w:val="00CD79AE"/>
    <w:rsid w:val="00CE4688"/>
    <w:rsid w:val="00CF1607"/>
    <w:rsid w:val="00CF2433"/>
    <w:rsid w:val="00D02FDF"/>
    <w:rsid w:val="00D12818"/>
    <w:rsid w:val="00D1414D"/>
    <w:rsid w:val="00D2042C"/>
    <w:rsid w:val="00D2231B"/>
    <w:rsid w:val="00D27851"/>
    <w:rsid w:val="00D27A92"/>
    <w:rsid w:val="00D51F5E"/>
    <w:rsid w:val="00D54118"/>
    <w:rsid w:val="00D570D3"/>
    <w:rsid w:val="00D574A2"/>
    <w:rsid w:val="00D60601"/>
    <w:rsid w:val="00D64047"/>
    <w:rsid w:val="00D6633E"/>
    <w:rsid w:val="00D67EFD"/>
    <w:rsid w:val="00D74893"/>
    <w:rsid w:val="00D77C17"/>
    <w:rsid w:val="00D77EA8"/>
    <w:rsid w:val="00D8252A"/>
    <w:rsid w:val="00D8439B"/>
    <w:rsid w:val="00D96182"/>
    <w:rsid w:val="00D96349"/>
    <w:rsid w:val="00D96634"/>
    <w:rsid w:val="00D96C2A"/>
    <w:rsid w:val="00DA0977"/>
    <w:rsid w:val="00DA10AF"/>
    <w:rsid w:val="00DA22B0"/>
    <w:rsid w:val="00DA7721"/>
    <w:rsid w:val="00DB5BB4"/>
    <w:rsid w:val="00DC6A9B"/>
    <w:rsid w:val="00DC6D66"/>
    <w:rsid w:val="00DD2A69"/>
    <w:rsid w:val="00DD3830"/>
    <w:rsid w:val="00DD4E5E"/>
    <w:rsid w:val="00DD6CEE"/>
    <w:rsid w:val="00DE24B9"/>
    <w:rsid w:val="00DE3250"/>
    <w:rsid w:val="00DE5B7A"/>
    <w:rsid w:val="00DE79F5"/>
    <w:rsid w:val="00DF32BE"/>
    <w:rsid w:val="00DF46E1"/>
    <w:rsid w:val="00DF7757"/>
    <w:rsid w:val="00E01716"/>
    <w:rsid w:val="00E05711"/>
    <w:rsid w:val="00E24747"/>
    <w:rsid w:val="00E25EDF"/>
    <w:rsid w:val="00E362FB"/>
    <w:rsid w:val="00E42D33"/>
    <w:rsid w:val="00E567D2"/>
    <w:rsid w:val="00E57DC0"/>
    <w:rsid w:val="00E6649F"/>
    <w:rsid w:val="00E66B87"/>
    <w:rsid w:val="00E80011"/>
    <w:rsid w:val="00E83BF6"/>
    <w:rsid w:val="00E83F17"/>
    <w:rsid w:val="00E9366E"/>
    <w:rsid w:val="00EA1709"/>
    <w:rsid w:val="00EA2B05"/>
    <w:rsid w:val="00EA5E8A"/>
    <w:rsid w:val="00EB0B86"/>
    <w:rsid w:val="00EB1B49"/>
    <w:rsid w:val="00EB240C"/>
    <w:rsid w:val="00EB27C9"/>
    <w:rsid w:val="00EC4EDF"/>
    <w:rsid w:val="00EC7600"/>
    <w:rsid w:val="00ED2C5C"/>
    <w:rsid w:val="00EE0E4F"/>
    <w:rsid w:val="00EE319C"/>
    <w:rsid w:val="00EE6795"/>
    <w:rsid w:val="00EE6803"/>
    <w:rsid w:val="00EE6D66"/>
    <w:rsid w:val="00EF3B48"/>
    <w:rsid w:val="00EF6F7C"/>
    <w:rsid w:val="00F07E26"/>
    <w:rsid w:val="00F14C0E"/>
    <w:rsid w:val="00F22EB4"/>
    <w:rsid w:val="00F23B61"/>
    <w:rsid w:val="00F25A8E"/>
    <w:rsid w:val="00F30C50"/>
    <w:rsid w:val="00F32CB4"/>
    <w:rsid w:val="00F34F7D"/>
    <w:rsid w:val="00F4047E"/>
    <w:rsid w:val="00F426F7"/>
    <w:rsid w:val="00F443E3"/>
    <w:rsid w:val="00F467FD"/>
    <w:rsid w:val="00F5520F"/>
    <w:rsid w:val="00F5730D"/>
    <w:rsid w:val="00F6135D"/>
    <w:rsid w:val="00F63D08"/>
    <w:rsid w:val="00F65972"/>
    <w:rsid w:val="00F71374"/>
    <w:rsid w:val="00F72497"/>
    <w:rsid w:val="00F73246"/>
    <w:rsid w:val="00F81237"/>
    <w:rsid w:val="00F8473A"/>
    <w:rsid w:val="00F95E1A"/>
    <w:rsid w:val="00F970A7"/>
    <w:rsid w:val="00FA47E2"/>
    <w:rsid w:val="00FA7C73"/>
    <w:rsid w:val="00FB4E1C"/>
    <w:rsid w:val="00FC13FF"/>
    <w:rsid w:val="00FC265D"/>
    <w:rsid w:val="00FC5DCF"/>
    <w:rsid w:val="00FD4C7F"/>
    <w:rsid w:val="00FE07DC"/>
    <w:rsid w:val="00FE3D81"/>
    <w:rsid w:val="00FE6FF6"/>
    <w:rsid w:val="00FE776D"/>
    <w:rsid w:val="00FE7EF1"/>
    <w:rsid w:val="00FF1E9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96"/>
    <o:shapelayout v:ext="edit">
      <o:idmap v:ext="edit" data="1"/>
    </o:shapelayout>
  </w:shapeDefaults>
  <w:decimalSymbol w:val=","/>
  <w:listSeparator w:val=";"/>
  <w14:docId w14:val="0454FBBD"/>
  <w15:chartTrackingRefBased/>
  <w15:docId w15:val="{A7A01279-E3D5-4F80-AAB3-1C26A53C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7C8"/>
    <w:pPr>
      <w:spacing w:after="160" w:line="259" w:lineRule="auto"/>
    </w:pPr>
  </w:style>
  <w:style w:type="paragraph" w:styleId="Heading1">
    <w:name w:val="heading 1"/>
    <w:basedOn w:val="Normal"/>
    <w:next w:val="Normal"/>
    <w:link w:val="Heading1Char"/>
    <w:qFormat/>
    <w:rsid w:val="008A03FA"/>
    <w:pPr>
      <w:numPr>
        <w:numId w:val="3"/>
      </w:numPr>
      <w:spacing w:after="0" w:line="288" w:lineRule="auto"/>
      <w:ind w:left="567" w:hanging="567"/>
      <w:jc w:val="both"/>
      <w:outlineLvl w:val="0"/>
    </w:pPr>
    <w:rPr>
      <w:rFonts w:ascii="Times New Roman" w:eastAsia="Times New Roman" w:hAnsi="Times New Roman" w:cs="Times New Roman"/>
      <w:kern w:val="28"/>
    </w:rPr>
  </w:style>
  <w:style w:type="paragraph" w:styleId="Heading2">
    <w:name w:val="heading 2"/>
    <w:basedOn w:val="Normal"/>
    <w:next w:val="Normal"/>
    <w:link w:val="Heading2Char"/>
    <w:qFormat/>
    <w:rsid w:val="008A03FA"/>
    <w:pPr>
      <w:numPr>
        <w:ilvl w:val="1"/>
        <w:numId w:val="3"/>
      </w:numPr>
      <w:spacing w:after="0" w:line="288" w:lineRule="auto"/>
      <w:ind w:left="567" w:hanging="567"/>
      <w:jc w:val="both"/>
      <w:outlineLvl w:val="1"/>
    </w:pPr>
    <w:rPr>
      <w:rFonts w:ascii="Times New Roman" w:eastAsia="Times New Roman" w:hAnsi="Times New Roman" w:cs="Times New Roman"/>
    </w:rPr>
  </w:style>
  <w:style w:type="paragraph" w:styleId="Heading3">
    <w:name w:val="heading 3"/>
    <w:basedOn w:val="Normal"/>
    <w:next w:val="Normal"/>
    <w:link w:val="Heading3Char"/>
    <w:qFormat/>
    <w:rsid w:val="008A03FA"/>
    <w:pPr>
      <w:numPr>
        <w:ilvl w:val="2"/>
        <w:numId w:val="3"/>
      </w:numPr>
      <w:spacing w:after="0" w:line="288" w:lineRule="auto"/>
      <w:ind w:left="567" w:hanging="567"/>
      <w:jc w:val="both"/>
      <w:outlineLvl w:val="2"/>
    </w:pPr>
    <w:rPr>
      <w:rFonts w:ascii="Times New Roman" w:eastAsia="Times New Roman" w:hAnsi="Times New Roman" w:cs="Times New Roman"/>
    </w:rPr>
  </w:style>
  <w:style w:type="paragraph" w:styleId="Heading4">
    <w:name w:val="heading 4"/>
    <w:basedOn w:val="Normal"/>
    <w:next w:val="Normal"/>
    <w:link w:val="Heading4Char"/>
    <w:qFormat/>
    <w:rsid w:val="008A03FA"/>
    <w:pPr>
      <w:numPr>
        <w:ilvl w:val="3"/>
        <w:numId w:val="3"/>
      </w:numPr>
      <w:spacing w:after="0" w:line="288" w:lineRule="auto"/>
      <w:ind w:left="567" w:hanging="567"/>
      <w:jc w:val="both"/>
      <w:outlineLvl w:val="3"/>
    </w:pPr>
    <w:rPr>
      <w:rFonts w:ascii="Times New Roman" w:eastAsia="Times New Roman" w:hAnsi="Times New Roman" w:cs="Times New Roman"/>
    </w:rPr>
  </w:style>
  <w:style w:type="paragraph" w:styleId="Heading5">
    <w:name w:val="heading 5"/>
    <w:basedOn w:val="Normal"/>
    <w:next w:val="Normal"/>
    <w:link w:val="Heading5Char"/>
    <w:qFormat/>
    <w:rsid w:val="008A03FA"/>
    <w:pPr>
      <w:numPr>
        <w:ilvl w:val="4"/>
        <w:numId w:val="3"/>
      </w:numPr>
      <w:spacing w:after="0" w:line="288" w:lineRule="auto"/>
      <w:ind w:left="567" w:hanging="567"/>
      <w:jc w:val="both"/>
      <w:outlineLvl w:val="4"/>
    </w:pPr>
    <w:rPr>
      <w:rFonts w:ascii="Times New Roman" w:eastAsia="Times New Roman" w:hAnsi="Times New Roman" w:cs="Times New Roman"/>
    </w:rPr>
  </w:style>
  <w:style w:type="paragraph" w:styleId="Heading6">
    <w:name w:val="heading 6"/>
    <w:basedOn w:val="Normal"/>
    <w:next w:val="Normal"/>
    <w:link w:val="Heading6Char"/>
    <w:qFormat/>
    <w:rsid w:val="008A03FA"/>
    <w:pPr>
      <w:numPr>
        <w:ilvl w:val="5"/>
        <w:numId w:val="3"/>
      </w:numPr>
      <w:spacing w:after="0" w:line="288" w:lineRule="auto"/>
      <w:ind w:left="567" w:hanging="567"/>
      <w:jc w:val="both"/>
      <w:outlineLvl w:val="5"/>
    </w:pPr>
    <w:rPr>
      <w:rFonts w:ascii="Times New Roman" w:eastAsia="Times New Roman" w:hAnsi="Times New Roman" w:cs="Times New Roman"/>
    </w:rPr>
  </w:style>
  <w:style w:type="paragraph" w:styleId="Heading7">
    <w:name w:val="heading 7"/>
    <w:basedOn w:val="Normal"/>
    <w:next w:val="Normal"/>
    <w:link w:val="Heading7Char"/>
    <w:qFormat/>
    <w:rsid w:val="008A03FA"/>
    <w:pPr>
      <w:numPr>
        <w:ilvl w:val="6"/>
        <w:numId w:val="3"/>
      </w:numPr>
      <w:spacing w:after="0" w:line="288" w:lineRule="auto"/>
      <w:ind w:left="567" w:hanging="567"/>
      <w:jc w:val="both"/>
      <w:outlineLvl w:val="6"/>
    </w:pPr>
    <w:rPr>
      <w:rFonts w:ascii="Times New Roman" w:eastAsia="Times New Roman" w:hAnsi="Times New Roman" w:cs="Times New Roman"/>
    </w:rPr>
  </w:style>
  <w:style w:type="paragraph" w:styleId="Heading8">
    <w:name w:val="heading 8"/>
    <w:basedOn w:val="Normal"/>
    <w:next w:val="Normal"/>
    <w:link w:val="Heading8Char"/>
    <w:qFormat/>
    <w:rsid w:val="008A03FA"/>
    <w:pPr>
      <w:numPr>
        <w:ilvl w:val="7"/>
        <w:numId w:val="3"/>
      </w:numPr>
      <w:spacing w:after="0" w:line="288" w:lineRule="auto"/>
      <w:ind w:left="567" w:hanging="567"/>
      <w:jc w:val="both"/>
      <w:outlineLvl w:val="7"/>
    </w:pPr>
    <w:rPr>
      <w:rFonts w:ascii="Times New Roman" w:eastAsia="Times New Roman" w:hAnsi="Times New Roman" w:cs="Times New Roman"/>
    </w:rPr>
  </w:style>
  <w:style w:type="paragraph" w:styleId="Heading9">
    <w:name w:val="heading 9"/>
    <w:basedOn w:val="Normal"/>
    <w:next w:val="Normal"/>
    <w:link w:val="Heading9Char"/>
    <w:qFormat/>
    <w:rsid w:val="008A03FA"/>
    <w:pPr>
      <w:numPr>
        <w:ilvl w:val="8"/>
        <w:numId w:val="3"/>
      </w:numPr>
      <w:spacing w:after="0" w:line="288" w:lineRule="auto"/>
      <w:ind w:left="567" w:hanging="567"/>
      <w:jc w:val="both"/>
      <w:outlineLvl w:val="8"/>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484"/>
    <w:rPr>
      <w:color w:val="0563C1"/>
      <w:u w:val="single"/>
    </w:rPr>
  </w:style>
  <w:style w:type="paragraph" w:styleId="ListParagraph">
    <w:name w:val="List Paragraph"/>
    <w:basedOn w:val="Normal"/>
    <w:uiPriority w:val="34"/>
    <w:qFormat/>
    <w:rsid w:val="00775484"/>
    <w:pPr>
      <w:ind w:left="720"/>
      <w:contextualSpacing/>
    </w:pPr>
  </w:style>
  <w:style w:type="character" w:customStyle="1" w:styleId="Heading1Char">
    <w:name w:val="Heading 1 Char"/>
    <w:basedOn w:val="DefaultParagraphFont"/>
    <w:link w:val="Heading1"/>
    <w:rsid w:val="008A03FA"/>
    <w:rPr>
      <w:rFonts w:ascii="Times New Roman" w:eastAsia="Times New Roman" w:hAnsi="Times New Roman" w:cs="Times New Roman"/>
      <w:kern w:val="28"/>
      <w:lang w:val="lt-LT"/>
    </w:rPr>
  </w:style>
  <w:style w:type="character" w:customStyle="1" w:styleId="Heading2Char">
    <w:name w:val="Heading 2 Char"/>
    <w:basedOn w:val="DefaultParagraphFont"/>
    <w:link w:val="Heading2"/>
    <w:rsid w:val="008A03FA"/>
    <w:rPr>
      <w:rFonts w:ascii="Times New Roman" w:eastAsia="Times New Roman" w:hAnsi="Times New Roman" w:cs="Times New Roman"/>
      <w:lang w:val="lt-LT"/>
    </w:rPr>
  </w:style>
  <w:style w:type="character" w:customStyle="1" w:styleId="Heading3Char">
    <w:name w:val="Heading 3 Char"/>
    <w:basedOn w:val="DefaultParagraphFont"/>
    <w:link w:val="Heading3"/>
    <w:rsid w:val="008A03FA"/>
    <w:rPr>
      <w:rFonts w:ascii="Times New Roman" w:eastAsia="Times New Roman" w:hAnsi="Times New Roman" w:cs="Times New Roman"/>
      <w:lang w:val="lt-LT"/>
    </w:rPr>
  </w:style>
  <w:style w:type="character" w:customStyle="1" w:styleId="Heading4Char">
    <w:name w:val="Heading 4 Char"/>
    <w:basedOn w:val="DefaultParagraphFont"/>
    <w:link w:val="Heading4"/>
    <w:rsid w:val="008A03FA"/>
    <w:rPr>
      <w:rFonts w:ascii="Times New Roman" w:eastAsia="Times New Roman" w:hAnsi="Times New Roman" w:cs="Times New Roman"/>
      <w:lang w:val="lt-LT"/>
    </w:rPr>
  </w:style>
  <w:style w:type="character" w:customStyle="1" w:styleId="Heading5Char">
    <w:name w:val="Heading 5 Char"/>
    <w:basedOn w:val="DefaultParagraphFont"/>
    <w:link w:val="Heading5"/>
    <w:rsid w:val="008A03FA"/>
    <w:rPr>
      <w:rFonts w:ascii="Times New Roman" w:eastAsia="Times New Roman" w:hAnsi="Times New Roman" w:cs="Times New Roman"/>
      <w:lang w:val="lt-LT"/>
    </w:rPr>
  </w:style>
  <w:style w:type="character" w:customStyle="1" w:styleId="Heading6Char">
    <w:name w:val="Heading 6 Char"/>
    <w:basedOn w:val="DefaultParagraphFont"/>
    <w:link w:val="Heading6"/>
    <w:rsid w:val="008A03FA"/>
    <w:rPr>
      <w:rFonts w:ascii="Times New Roman" w:eastAsia="Times New Roman" w:hAnsi="Times New Roman" w:cs="Times New Roman"/>
      <w:lang w:val="lt-LT"/>
    </w:rPr>
  </w:style>
  <w:style w:type="character" w:customStyle="1" w:styleId="Heading7Char">
    <w:name w:val="Heading 7 Char"/>
    <w:basedOn w:val="DefaultParagraphFont"/>
    <w:link w:val="Heading7"/>
    <w:rsid w:val="008A03FA"/>
    <w:rPr>
      <w:rFonts w:ascii="Times New Roman" w:eastAsia="Times New Roman" w:hAnsi="Times New Roman" w:cs="Times New Roman"/>
      <w:lang w:val="lt-LT"/>
    </w:rPr>
  </w:style>
  <w:style w:type="character" w:customStyle="1" w:styleId="Heading8Char">
    <w:name w:val="Heading 8 Char"/>
    <w:basedOn w:val="DefaultParagraphFont"/>
    <w:link w:val="Heading8"/>
    <w:rsid w:val="008A03FA"/>
    <w:rPr>
      <w:rFonts w:ascii="Times New Roman" w:eastAsia="Times New Roman" w:hAnsi="Times New Roman" w:cs="Times New Roman"/>
      <w:lang w:val="lt-LT"/>
    </w:rPr>
  </w:style>
  <w:style w:type="character" w:customStyle="1" w:styleId="Heading9Char">
    <w:name w:val="Heading 9 Char"/>
    <w:basedOn w:val="DefaultParagraphFont"/>
    <w:link w:val="Heading9"/>
    <w:rsid w:val="008A03FA"/>
    <w:rPr>
      <w:rFonts w:ascii="Times New Roman" w:eastAsia="Times New Roman" w:hAnsi="Times New Roman" w:cs="Times New Roman"/>
      <w:lang w:val="lt-LT"/>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fußn,o"/>
    <w:basedOn w:val="Normal"/>
    <w:link w:val="FootnoteTextChar"/>
    <w:uiPriority w:val="99"/>
    <w:qFormat/>
    <w:rsid w:val="008A03FA"/>
    <w:pPr>
      <w:keepLines/>
      <w:spacing w:after="60" w:line="240" w:lineRule="auto"/>
      <w:ind w:left="567" w:hanging="567"/>
      <w:jc w:val="both"/>
    </w:pPr>
    <w:rPr>
      <w:rFonts w:ascii="Times New Roman" w:eastAsia="Times New Roman" w:hAnsi="Times New Roman" w:cs="Times New Roman"/>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uiPriority w:val="99"/>
    <w:rsid w:val="008A03FA"/>
    <w:rPr>
      <w:rFonts w:ascii="Times New Roman" w:eastAsia="Times New Roman" w:hAnsi="Times New Roman" w:cs="Times New Roman"/>
      <w:sz w:val="16"/>
      <w:lang w:val="lt-LT"/>
    </w:rPr>
  </w:style>
  <w:style w:type="character" w:styleId="FootnoteReference">
    <w:name w:val="footnote reference"/>
    <w:basedOn w:val="DefaultParagraphFont"/>
    <w:uiPriority w:val="99"/>
    <w:unhideWhenUsed/>
    <w:qFormat/>
    <w:rsid w:val="008A03FA"/>
    <w:rPr>
      <w:sz w:val="24"/>
      <w:vertAlign w:val="superscript"/>
    </w:rPr>
  </w:style>
  <w:style w:type="character" w:styleId="FollowedHyperlink">
    <w:name w:val="FollowedHyperlink"/>
    <w:basedOn w:val="DefaultParagraphFont"/>
    <w:uiPriority w:val="99"/>
    <w:semiHidden/>
    <w:unhideWhenUsed/>
    <w:rsid w:val="00C908AB"/>
    <w:rPr>
      <w:color w:val="800080" w:themeColor="followedHyperlink"/>
      <w:u w:val="single"/>
    </w:rPr>
  </w:style>
  <w:style w:type="paragraph" w:styleId="BalloonText">
    <w:name w:val="Balloon Text"/>
    <w:basedOn w:val="Normal"/>
    <w:link w:val="BalloonTextChar"/>
    <w:uiPriority w:val="99"/>
    <w:semiHidden/>
    <w:unhideWhenUsed/>
    <w:rsid w:val="00202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5CA"/>
    <w:rPr>
      <w:rFonts w:ascii="Segoe UI" w:hAnsi="Segoe UI" w:cs="Segoe UI"/>
      <w:sz w:val="18"/>
      <w:szCs w:val="18"/>
    </w:rPr>
  </w:style>
  <w:style w:type="character" w:styleId="CommentReference">
    <w:name w:val="annotation reference"/>
    <w:basedOn w:val="DefaultParagraphFont"/>
    <w:uiPriority w:val="99"/>
    <w:semiHidden/>
    <w:unhideWhenUsed/>
    <w:rsid w:val="002F108E"/>
    <w:rPr>
      <w:sz w:val="16"/>
      <w:szCs w:val="16"/>
    </w:rPr>
  </w:style>
  <w:style w:type="paragraph" w:styleId="CommentText">
    <w:name w:val="annotation text"/>
    <w:basedOn w:val="Normal"/>
    <w:link w:val="CommentTextChar"/>
    <w:uiPriority w:val="99"/>
    <w:semiHidden/>
    <w:unhideWhenUsed/>
    <w:rsid w:val="002F108E"/>
    <w:pPr>
      <w:spacing w:line="240" w:lineRule="auto"/>
    </w:pPr>
    <w:rPr>
      <w:sz w:val="20"/>
      <w:szCs w:val="20"/>
    </w:rPr>
  </w:style>
  <w:style w:type="character" w:customStyle="1" w:styleId="CommentTextChar">
    <w:name w:val="Comment Text Char"/>
    <w:basedOn w:val="DefaultParagraphFont"/>
    <w:link w:val="CommentText"/>
    <w:uiPriority w:val="99"/>
    <w:semiHidden/>
    <w:rsid w:val="002F108E"/>
    <w:rPr>
      <w:sz w:val="20"/>
      <w:szCs w:val="20"/>
    </w:rPr>
  </w:style>
  <w:style w:type="paragraph" w:styleId="CommentSubject">
    <w:name w:val="annotation subject"/>
    <w:basedOn w:val="CommentText"/>
    <w:next w:val="CommentText"/>
    <w:link w:val="CommentSubjectChar"/>
    <w:uiPriority w:val="99"/>
    <w:semiHidden/>
    <w:unhideWhenUsed/>
    <w:rsid w:val="002F108E"/>
    <w:rPr>
      <w:b/>
      <w:bCs/>
    </w:rPr>
  </w:style>
  <w:style w:type="character" w:customStyle="1" w:styleId="CommentSubjectChar">
    <w:name w:val="Comment Subject Char"/>
    <w:basedOn w:val="CommentTextChar"/>
    <w:link w:val="CommentSubject"/>
    <w:uiPriority w:val="99"/>
    <w:semiHidden/>
    <w:rsid w:val="002F108E"/>
    <w:rPr>
      <w:b/>
      <w:bCs/>
      <w:sz w:val="20"/>
      <w:szCs w:val="20"/>
    </w:rPr>
  </w:style>
  <w:style w:type="character" w:customStyle="1" w:styleId="Mencinsinresolver1">
    <w:name w:val="Mención sin resolver1"/>
    <w:basedOn w:val="DefaultParagraphFont"/>
    <w:uiPriority w:val="99"/>
    <w:semiHidden/>
    <w:unhideWhenUsed/>
    <w:rsid w:val="00F970A7"/>
    <w:rPr>
      <w:color w:val="605E5C"/>
      <w:shd w:val="clear" w:color="auto" w:fill="E1DFDD"/>
    </w:rPr>
  </w:style>
  <w:style w:type="paragraph" w:styleId="Header">
    <w:name w:val="header"/>
    <w:basedOn w:val="Normal"/>
    <w:link w:val="HeaderChar"/>
    <w:unhideWhenUsed/>
    <w:qFormat/>
    <w:rsid w:val="00F970A7"/>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rsid w:val="00F970A7"/>
    <w:rPr>
      <w:rFonts w:ascii="Times New Roman" w:hAnsi="Times New Roman" w:cs="Times New Roman"/>
      <w:lang w:val="lt-LT"/>
    </w:rPr>
  </w:style>
  <w:style w:type="paragraph" w:styleId="Footer">
    <w:name w:val="footer"/>
    <w:basedOn w:val="Normal"/>
    <w:link w:val="FooterChar"/>
    <w:uiPriority w:val="99"/>
    <w:unhideWhenUsed/>
    <w:rsid w:val="00F970A7"/>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F970A7"/>
    <w:rPr>
      <w:rFonts w:ascii="Times New Roman" w:hAnsi="Times New Roman" w:cs="Times New Roman"/>
      <w:lang w:val="lt-LT"/>
    </w:rPr>
  </w:style>
  <w:style w:type="paragraph" w:styleId="Revision">
    <w:name w:val="Revision"/>
    <w:hidden/>
    <w:uiPriority w:val="99"/>
    <w:semiHidden/>
    <w:rsid w:val="00353B1A"/>
    <w:pPr>
      <w:spacing w:after="0" w:line="240" w:lineRule="auto"/>
    </w:pPr>
  </w:style>
  <w:style w:type="character" w:customStyle="1" w:styleId="UnresolvedMention1">
    <w:name w:val="Unresolved Mention1"/>
    <w:basedOn w:val="DefaultParagraphFont"/>
    <w:uiPriority w:val="99"/>
    <w:semiHidden/>
    <w:unhideWhenUsed/>
    <w:rsid w:val="00F32CB4"/>
    <w:rPr>
      <w:color w:val="605E5C"/>
      <w:shd w:val="clear" w:color="auto" w:fill="E1DFDD"/>
    </w:rPr>
  </w:style>
  <w:style w:type="character" w:customStyle="1" w:styleId="UnresolvedMention2">
    <w:name w:val="Unresolved Mention2"/>
    <w:basedOn w:val="DefaultParagraphFont"/>
    <w:uiPriority w:val="99"/>
    <w:semiHidden/>
    <w:unhideWhenUsed/>
    <w:rsid w:val="00F95E1A"/>
    <w:rPr>
      <w:color w:val="605E5C"/>
      <w:shd w:val="clear" w:color="auto" w:fill="E1DFDD"/>
    </w:rPr>
  </w:style>
  <w:style w:type="table" w:customStyle="1" w:styleId="TableGrid1">
    <w:name w:val="Table Grid1"/>
    <w:basedOn w:val="TableNormal"/>
    <w:next w:val="TableGrid"/>
    <w:uiPriority w:val="39"/>
    <w:rsid w:val="00692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92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2C2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442947">
      <w:bodyDiv w:val="1"/>
      <w:marLeft w:val="0"/>
      <w:marRight w:val="0"/>
      <w:marTop w:val="0"/>
      <w:marBottom w:val="0"/>
      <w:divBdr>
        <w:top w:val="none" w:sz="0" w:space="0" w:color="auto"/>
        <w:left w:val="none" w:sz="0" w:space="0" w:color="auto"/>
        <w:bottom w:val="none" w:sz="0" w:space="0" w:color="auto"/>
        <w:right w:val="none" w:sz="0" w:space="0" w:color="auto"/>
      </w:divBdr>
    </w:div>
    <w:div w:id="576087027">
      <w:bodyDiv w:val="1"/>
      <w:marLeft w:val="0"/>
      <w:marRight w:val="0"/>
      <w:marTop w:val="0"/>
      <w:marBottom w:val="0"/>
      <w:divBdr>
        <w:top w:val="none" w:sz="0" w:space="0" w:color="auto"/>
        <w:left w:val="none" w:sz="0" w:space="0" w:color="auto"/>
        <w:bottom w:val="none" w:sz="0" w:space="0" w:color="auto"/>
        <w:right w:val="none" w:sz="0" w:space="0" w:color="auto"/>
      </w:divBdr>
    </w:div>
    <w:div w:id="732119233">
      <w:bodyDiv w:val="1"/>
      <w:marLeft w:val="0"/>
      <w:marRight w:val="0"/>
      <w:marTop w:val="0"/>
      <w:marBottom w:val="0"/>
      <w:divBdr>
        <w:top w:val="none" w:sz="0" w:space="0" w:color="auto"/>
        <w:left w:val="none" w:sz="0" w:space="0" w:color="auto"/>
        <w:bottom w:val="none" w:sz="0" w:space="0" w:color="auto"/>
        <w:right w:val="none" w:sz="0" w:space="0" w:color="auto"/>
      </w:divBdr>
    </w:div>
    <w:div w:id="1130511477">
      <w:bodyDiv w:val="1"/>
      <w:marLeft w:val="0"/>
      <w:marRight w:val="0"/>
      <w:marTop w:val="0"/>
      <w:marBottom w:val="0"/>
      <w:divBdr>
        <w:top w:val="none" w:sz="0" w:space="0" w:color="auto"/>
        <w:left w:val="none" w:sz="0" w:space="0" w:color="auto"/>
        <w:bottom w:val="none" w:sz="0" w:space="0" w:color="auto"/>
        <w:right w:val="none" w:sz="0" w:space="0" w:color="auto"/>
      </w:divBdr>
    </w:div>
    <w:div w:id="1253004182">
      <w:bodyDiv w:val="1"/>
      <w:marLeft w:val="0"/>
      <w:marRight w:val="0"/>
      <w:marTop w:val="0"/>
      <w:marBottom w:val="0"/>
      <w:divBdr>
        <w:top w:val="none" w:sz="0" w:space="0" w:color="auto"/>
        <w:left w:val="none" w:sz="0" w:space="0" w:color="auto"/>
        <w:bottom w:val="none" w:sz="0" w:space="0" w:color="auto"/>
        <w:right w:val="none" w:sz="0" w:space="0" w:color="auto"/>
      </w:divBdr>
    </w:div>
    <w:div w:id="1262105699">
      <w:bodyDiv w:val="1"/>
      <w:marLeft w:val="0"/>
      <w:marRight w:val="0"/>
      <w:marTop w:val="0"/>
      <w:marBottom w:val="0"/>
      <w:divBdr>
        <w:top w:val="none" w:sz="0" w:space="0" w:color="auto"/>
        <w:left w:val="none" w:sz="0" w:space="0" w:color="auto"/>
        <w:bottom w:val="none" w:sz="0" w:space="0" w:color="auto"/>
        <w:right w:val="none" w:sz="0" w:space="0" w:color="auto"/>
      </w:divBdr>
      <w:divsChild>
        <w:div w:id="650451345">
          <w:marLeft w:val="605"/>
          <w:marRight w:val="0"/>
          <w:marTop w:val="0"/>
          <w:marBottom w:val="240"/>
          <w:divBdr>
            <w:top w:val="none" w:sz="0" w:space="0" w:color="auto"/>
            <w:left w:val="none" w:sz="0" w:space="0" w:color="auto"/>
            <w:bottom w:val="none" w:sz="0" w:space="0" w:color="auto"/>
            <w:right w:val="none" w:sz="0" w:space="0" w:color="auto"/>
          </w:divBdr>
        </w:div>
        <w:div w:id="1596281621">
          <w:marLeft w:val="605"/>
          <w:marRight w:val="0"/>
          <w:marTop w:val="0"/>
          <w:marBottom w:val="240"/>
          <w:divBdr>
            <w:top w:val="none" w:sz="0" w:space="0" w:color="auto"/>
            <w:left w:val="none" w:sz="0" w:space="0" w:color="auto"/>
            <w:bottom w:val="none" w:sz="0" w:space="0" w:color="auto"/>
            <w:right w:val="none" w:sz="0" w:space="0" w:color="auto"/>
          </w:divBdr>
        </w:div>
        <w:div w:id="1379742035">
          <w:marLeft w:val="605"/>
          <w:marRight w:val="0"/>
          <w:marTop w:val="0"/>
          <w:marBottom w:val="240"/>
          <w:divBdr>
            <w:top w:val="none" w:sz="0" w:space="0" w:color="auto"/>
            <w:left w:val="none" w:sz="0" w:space="0" w:color="auto"/>
            <w:bottom w:val="none" w:sz="0" w:space="0" w:color="auto"/>
            <w:right w:val="none" w:sz="0" w:space="0" w:color="auto"/>
          </w:divBdr>
        </w:div>
      </w:divsChild>
    </w:div>
    <w:div w:id="1433086337">
      <w:bodyDiv w:val="1"/>
      <w:marLeft w:val="0"/>
      <w:marRight w:val="0"/>
      <w:marTop w:val="0"/>
      <w:marBottom w:val="0"/>
      <w:divBdr>
        <w:top w:val="none" w:sz="0" w:space="0" w:color="auto"/>
        <w:left w:val="none" w:sz="0" w:space="0" w:color="auto"/>
        <w:bottom w:val="none" w:sz="0" w:space="0" w:color="auto"/>
        <w:right w:val="none" w:sz="0" w:space="0" w:color="auto"/>
      </w:divBdr>
    </w:div>
    <w:div w:id="1651136034">
      <w:bodyDiv w:val="1"/>
      <w:marLeft w:val="0"/>
      <w:marRight w:val="0"/>
      <w:marTop w:val="0"/>
      <w:marBottom w:val="0"/>
      <w:divBdr>
        <w:top w:val="none" w:sz="0" w:space="0" w:color="auto"/>
        <w:left w:val="none" w:sz="0" w:space="0" w:color="auto"/>
        <w:bottom w:val="none" w:sz="0" w:space="0" w:color="auto"/>
        <w:right w:val="none" w:sz="0" w:space="0" w:color="auto"/>
      </w:divBdr>
    </w:div>
    <w:div w:id="1694108270">
      <w:bodyDiv w:val="1"/>
      <w:marLeft w:val="0"/>
      <w:marRight w:val="0"/>
      <w:marTop w:val="0"/>
      <w:marBottom w:val="0"/>
      <w:divBdr>
        <w:top w:val="none" w:sz="0" w:space="0" w:color="auto"/>
        <w:left w:val="none" w:sz="0" w:space="0" w:color="auto"/>
        <w:bottom w:val="none" w:sz="0" w:space="0" w:color="auto"/>
        <w:right w:val="none" w:sz="0" w:space="0" w:color="auto"/>
      </w:divBdr>
    </w:div>
    <w:div w:id="20604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5.xml"/><Relationship Id="rId21" Type="http://schemas.openxmlformats.org/officeDocument/2006/relationships/hyperlink" Target="https://www.eesc.europa.eu/lt/our-work/opinions-information-reports/opinions/towards-structured-youth-engagement-climate-and-sustainability-eu-decision-making-process-own-initiative-opinion" TargetMode="External"/><Relationship Id="rId34"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oter" Target="footer7.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customXml" Target="../customXml/item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climateactiontracker.org/global/temperatures/" TargetMode="Externa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ipcc.ch/2022/04/04/ipcc-ar6-wgiii-pressrelease/" TargetMode="External"/><Relationship Id="rId27" Type="http://schemas.openxmlformats.org/officeDocument/2006/relationships/footer" Target="footer6.xml"/><Relationship Id="rId30" Type="http://schemas.openxmlformats.org/officeDocument/2006/relationships/fontTable" Target="fontTable.xml"/><Relationship Id="rId35"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www.europarl.europa.eu/news/lt/press-room/20220616IPR33219/europos-parlamente-priimti-kertiniai-sprendimai-del-klimato-tarsos-mazinimo" TargetMode="External"/><Relationship Id="rId13" Type="http://schemas.openxmlformats.org/officeDocument/2006/relationships/hyperlink" Target="https://eur-lex.europa.eu/legal-content/LT/TXT/?uri=CELEX:52021AE5481" TargetMode="External"/><Relationship Id="rId18" Type="http://schemas.openxmlformats.org/officeDocument/2006/relationships/hyperlink" Target="https://sdsn.eu/2021-europe-sustainable-development-report/" TargetMode="External"/><Relationship Id="rId26" Type="http://schemas.openxmlformats.org/officeDocument/2006/relationships/hyperlink" Target="https://eur-lex.europa.eu/legal-content/LT/TXT/HTML/?uri=CELEX:52021AE5472&amp;from=EN" TargetMode="External"/><Relationship Id="rId3" Type="http://schemas.openxmlformats.org/officeDocument/2006/relationships/hyperlink" Target="https://mediacentre.christianaid.org.uk/counting-the-cost/" TargetMode="External"/><Relationship Id="rId21" Type="http://schemas.openxmlformats.org/officeDocument/2006/relationships/hyperlink" Target="https://unfccc.int/news/antonio-guterres-50-of-all-climate-finance-needed-for-adaptation" TargetMode="External"/><Relationship Id="rId34" Type="http://schemas.openxmlformats.org/officeDocument/2006/relationships/hyperlink" Target="https://eur-lex.europa.eu/legal-content/LT/TXT/?uri=CELEX:52021AE5481" TargetMode="External"/><Relationship Id="rId7" Type="http://schemas.openxmlformats.org/officeDocument/2006/relationships/hyperlink" Target="https://www.eesc.europa.eu/en/documents/resolution/war-ukraine-and-its-economic-social-and-environmental-impact" TargetMode="External"/><Relationship Id="rId12" Type="http://schemas.openxmlformats.org/officeDocument/2006/relationships/hyperlink" Target="https://www.eesc.europa.eu/lt/our-work/opinions-information-reports/opinions/social-dialogue-within-green-transition" TargetMode="External"/><Relationship Id="rId17" Type="http://schemas.openxmlformats.org/officeDocument/2006/relationships/hyperlink" Target="https://prod-cofe-platform.s3.eu-central-1.amazonaws.com/yrxmcjurtxgv7ststz3rsqtxiubh" TargetMode="External"/><Relationship Id="rId25" Type="http://schemas.openxmlformats.org/officeDocument/2006/relationships/hyperlink" Target="https://www.unep.org/ndc/resources/report/enhancing-ndcs-food-systems-recommendations-decision-makers" TargetMode="External"/><Relationship Id="rId33" Type="http://schemas.openxmlformats.org/officeDocument/2006/relationships/hyperlink" Target="https://eur-lex.europa.eu/legal-content/LT/TXT/?uri=CELEX:52021AE5481" TargetMode="External"/><Relationship Id="rId2" Type="http://schemas.openxmlformats.org/officeDocument/2006/relationships/hyperlink" Target="https://www.eea.europa.eu/highlights/economic-losses-from-weather-and" TargetMode="External"/><Relationship Id="rId16" Type="http://schemas.openxmlformats.org/officeDocument/2006/relationships/hyperlink" Target="https://www.eesc.europa.eu/lt/our-work/opinions-information-reports/opinions/fit-55-delivering-eus-2030-climate-target-way-climate-neutrality" TargetMode="External"/><Relationship Id="rId20" Type="http://schemas.openxmlformats.org/officeDocument/2006/relationships/hyperlink" Target="https://eur-lex.europa.eu/legal-content/LT/TXT/HTML/?uri=CELEX:52021AE1138&amp;from=EN" TargetMode="External"/><Relationship Id="rId29" Type="http://schemas.openxmlformats.org/officeDocument/2006/relationships/hyperlink" Target="https://eur-lex.europa.eu/legal-content/LT/TXT/HTML/?uri=CELEX:52021AE1138&amp;from=EN" TargetMode="External"/><Relationship Id="rId1" Type="http://schemas.openxmlformats.org/officeDocument/2006/relationships/hyperlink" Target="https://unfccc.int/sites/default/files/resource/parisagreement_publication.pdf" TargetMode="External"/><Relationship Id="rId6" Type="http://schemas.openxmlformats.org/officeDocument/2006/relationships/hyperlink" Target="https://www.ipcc.ch/report/ar6/wg3/" TargetMode="External"/><Relationship Id="rId11" Type="http://schemas.openxmlformats.org/officeDocument/2006/relationships/hyperlink" Target="https://eur-lex.europa.eu/legal-content/LT/TXT/?uri=CELEX:52021AE5481" TargetMode="External"/><Relationship Id="rId24" Type="http://schemas.openxmlformats.org/officeDocument/2006/relationships/hyperlink" Target="https://eur-lex.europa.eu/LexUriServ/LexUriServ.do?uri=OJ:C:2021:374:SOM:EN:HTML" TargetMode="External"/><Relationship Id="rId32" Type="http://schemas.openxmlformats.org/officeDocument/2006/relationships/hyperlink" Target="https://eur-lex.europa.eu/legal-content/LT/TXT/HTML/?uri=CELEX:52020AE1918&amp;=%201663579809098&amp;from=EN" TargetMode="External"/><Relationship Id="rId37" Type="http://schemas.openxmlformats.org/officeDocument/2006/relationships/hyperlink" Target="https://www.nationalgeographic.com/environment/article/can-indigenous-land-stewardship-protect-biodiversity-" TargetMode="External"/><Relationship Id="rId5" Type="http://schemas.openxmlformats.org/officeDocument/2006/relationships/hyperlink" Target="https://www.ncei.noaa.gov/access/billions/" TargetMode="External"/><Relationship Id="rId15" Type="http://schemas.openxmlformats.org/officeDocument/2006/relationships/hyperlink" Target="https://eur-lex.europa.eu/legal-content/LT/TXT/?uri=CELEX:52021AE5481" TargetMode="External"/><Relationship Id="rId23" Type="http://schemas.openxmlformats.org/officeDocument/2006/relationships/hyperlink" Target="https://assets.website-files.com/5d26d80e8836af2d12ed1269/61657f127a13715bb8744ec3_Climate%20Change%20Mitigation%20Through%20the%20Circular%20Economy%20-%20STAP%20-%20report.pdf" TargetMode="External"/><Relationship Id="rId28" Type="http://schemas.openxmlformats.org/officeDocument/2006/relationships/hyperlink" Target="https://eur-lex.europa.eu/legal-content/LT/TXT/HTML/?uri=CELEX:52017IE1144&amp;from=EN" TargetMode="External"/><Relationship Id="rId36" Type="http://schemas.openxmlformats.org/officeDocument/2006/relationships/hyperlink" Target="https://www.eesc.europa.eu/lt/our-work/opinions-information-reports/opinions/towards-structured-youth-engagement-climate-and-sustainability-eu-decision-making-process-own-initiative-opinion" TargetMode="External"/><Relationship Id="rId10" Type="http://schemas.openxmlformats.org/officeDocument/2006/relationships/hyperlink" Target="https://eur-lex.europa.eu/legal-content/lt/TXT/?uri=CELEX:52019IE2316" TargetMode="External"/><Relationship Id="rId19" Type="http://schemas.openxmlformats.org/officeDocument/2006/relationships/hyperlink" Target="https://www.eesc.europa.eu/lt/our-work/opinions-information-reports/opinions/nature-restoration-targets-under-eu-biodiversity-strategy" TargetMode="External"/><Relationship Id="rId31" Type="http://schemas.openxmlformats.org/officeDocument/2006/relationships/hyperlink" Target="https://eur-lex.europa.eu/legal-content/LT/TXT/?uri=CELEX:52021AE5481" TargetMode="External"/><Relationship Id="rId4" Type="http://schemas.openxmlformats.org/officeDocument/2006/relationships/hyperlink" Target="https://www.cmcc.it/lectures_conferences/the-costs-of-extreme-weather-events-caused-by-climate-change" TargetMode="External"/><Relationship Id="rId9" Type="http://schemas.openxmlformats.org/officeDocument/2006/relationships/hyperlink" Target="https://www.europarl.europa.eu/news/lt/press-room/20220603IPR32133/fit-for-55-parliament-agrees-to-higher-eu-carbon-sink-ambitions-by-2030" TargetMode="External"/><Relationship Id="rId14" Type="http://schemas.openxmlformats.org/officeDocument/2006/relationships/hyperlink" Target="https://www.eesc.europa.eu/lt/our-work/opinions-information-reports/opinions/fit-55-delivering-eus-2030-climate-target-way-climate-neutrality" TargetMode="External"/><Relationship Id="rId22" Type="http://schemas.openxmlformats.org/officeDocument/2006/relationships/hyperlink" Target="https://eur-lex.europa.eu/legal-content/LT/TXT/HTML/?uri=CELEX:52019IE2078&amp;from=EN" TargetMode="External"/><Relationship Id="rId27" Type="http://schemas.openxmlformats.org/officeDocument/2006/relationships/hyperlink" Target="https://eur-lex.europa.eu/legal-content/LT/TXT/HTML/?uri=CELEX:52020AE0994&amp;from=EN" TargetMode="External"/><Relationship Id="rId30" Type="http://schemas.openxmlformats.org/officeDocument/2006/relationships/hyperlink" Target="https://eur-lex.europa.eu/legal-content/LT/TXT/HTML/?uri=CELEX:52022AE1686&amp;from=EN" TargetMode="External"/><Relationship Id="rId35" Type="http://schemas.openxmlformats.org/officeDocument/2006/relationships/hyperlink" Target="https://wedo.org/2020-pocket-guide-to-gender-equality-under-the-unfcc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48F447D380DEE94195D9369B0D252450" ma:contentTypeVersion="4" ma:contentTypeDescription="Defines the documents for Document Manager V2" ma:contentTypeScope="" ma:versionID="699c0fe4d6e743f76670b9a453ac587a">
  <xsd:schema xmlns:xsd="http://www.w3.org/2001/XMLSchema" xmlns:xs="http://www.w3.org/2001/XMLSchema" xmlns:p="http://schemas.microsoft.com/office/2006/metadata/properties" xmlns:ns2="1299d781-265f-4ceb-999e-e1eca3df2c90" xmlns:ns3="http://schemas.microsoft.com/sharepoint/v3/fields" xmlns:ns4="78feecd2-a259-4a5c-b48b-4ffcf5b9c8b1" targetNamespace="http://schemas.microsoft.com/office/2006/metadata/properties" ma:root="true" ma:fieldsID="6de033fe12ab72f6ce4561b0db774137" ns2:_="" ns3:_="" ns4:_="">
    <xsd:import namespace="1299d781-265f-4ceb-999e-e1eca3df2c90"/>
    <xsd:import namespace="http://schemas.microsoft.com/sharepoint/v3/fields"/>
    <xsd:import namespace="78feecd2-a259-4a5c-b48b-4ffcf5b9c8b1"/>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feecd2-a259-4a5c-b48b-4ffcf5b9c8b1"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P6FJPSUHKDC2-813086739-4160</_dlc_DocId>
    <_dlc_DocIdUrl xmlns="1299d781-265f-4ceb-999e-e1eca3df2c90">
      <Url>http://dm2016/eesc/2022/_layouts/15/DocIdRedir.aspx?ID=P6FJPSUHKDC2-813086739-4160</Url>
      <Description>P6FJPSUHKDC2-813086739-4160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2022-11-07T12:00:00+00:00</ProductionDate>
    <DocumentNumber xmlns="78feecd2-a259-4a5c-b48b-4ffcf5b9c8b1">4116</DocumentNumber>
    <FicheYear xmlns="1299d781-265f-4ceb-999e-e1eca3df2c90" xsi:nil="true"/>
    <DocumentVersion xmlns="1299d781-265f-4ceb-999e-e1eca3df2c90">1</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33</Value>
      <Value>31</Value>
      <Value>175</Value>
      <Value>44</Value>
      <Value>22</Value>
      <Value>46</Value>
      <Value>9</Value>
      <Value>7</Value>
      <Value>6</Value>
      <Value>42</Value>
      <Value>4</Value>
      <Value>1</Value>
      <Value>37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12880</FicheNumber>
    <OriginalSender xmlns="1299d781-265f-4ceb-999e-e1eca3df2c90">
      <UserInfo>
        <DisplayName>Acaite Ugne</DisplayName>
        <AccountId>1689</AccountId>
        <AccountType/>
      </UserInfo>
    </OriginalSender>
    <DocumentPart xmlns="1299d781-265f-4ceb-999e-e1eca3df2c90">0</DocumentPart>
    <AdoptionDate xmlns="1299d781-265f-4ceb-999e-e1eca3df2c90">2022-10-26T12:00:00+00:00</AdoptionDate>
    <RequestingService xmlns="1299d781-265f-4ceb-999e-e1eca3df2c90">Agriculture, développement rural et environnement</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8feecd2-a259-4a5c-b48b-4ffcf5b9c8b1"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F064B852-7976-42DA-A71C-B398553CC3F2}"/>
</file>

<file path=customXml/itemProps2.xml><?xml version="1.0" encoding="utf-8"?>
<ds:datastoreItem xmlns:ds="http://schemas.openxmlformats.org/officeDocument/2006/customXml" ds:itemID="{61F44B67-ABEF-47A1-A12D-B07E77A40D65}"/>
</file>

<file path=customXml/itemProps3.xml><?xml version="1.0" encoding="utf-8"?>
<ds:datastoreItem xmlns:ds="http://schemas.openxmlformats.org/officeDocument/2006/customXml" ds:itemID="{A5A24452-C91F-4CAB-9283-5C627C5CD1BC}"/>
</file>

<file path=customXml/itemProps4.xml><?xml version="1.0" encoding="utf-8"?>
<ds:datastoreItem xmlns:ds="http://schemas.openxmlformats.org/officeDocument/2006/customXml" ds:itemID="{8E548ECE-613E-4B34-BBC2-C3B748E466B2}"/>
</file>

<file path=docProps/app.xml><?xml version="1.0" encoding="utf-8"?>
<Properties xmlns="http://schemas.openxmlformats.org/officeDocument/2006/extended-properties" xmlns:vt="http://schemas.openxmlformats.org/officeDocument/2006/docPropsVTypes">
  <Template>Normal.dotm</Template>
  <TotalTime>4</TotalTime>
  <Pages>12</Pages>
  <Words>3701</Words>
  <Characters>21097</Characters>
  <Application>Microsoft Office Word</Application>
  <DocSecurity>0</DocSecurity>
  <Lines>175</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RESOLUTION - Jointly tackling an existential threat: social partners and civil society for implementation of ambitious climate action</vt:lpstr>
      <vt:lpstr/>
    </vt:vector>
  </TitlesOfParts>
  <Company>EESC-ECOR</Company>
  <LinksUpToDate>false</LinksUpToDate>
  <CharactersWithSpaces>24749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REZOLIUCIJA - Kartu kovoti su egzistencine grėsme. Socialiniai partneriai ir pilietinė visuomenė už plataus užmojo klimato politikos veiksmų įgyvendinimą</dc:title>
  <dc:subject>RES</dc:subject>
  <dc:creator>Guarinoni Monica</dc:creator>
  <cp:keywords>EESC-2022-04116-00-01-RES-TRA-EN</cp:keywords>
  <dc:description>Rapporteur:  - Original language: EN - Date of document: 07/11/2022 - Date of meeting:  - External documents:  - Administrator:  CARRERAS JUDIT</dc:description>
  <cp:lastModifiedBy>Acaite Ugne</cp:lastModifiedBy>
  <cp:revision>10</cp:revision>
  <cp:lastPrinted>2022-09-02T11:47:00Z</cp:lastPrinted>
  <dcterms:created xsi:type="dcterms:W3CDTF">2022-11-04T12:59:00Z</dcterms:created>
  <dcterms:modified xsi:type="dcterms:W3CDTF">2022-11-07T09:24:00Z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04/11/2022, 27/10/2022, 11/10/2022, 28/09/2022, 23/08/2022</vt:lpwstr>
  </property>
  <property fmtid="{D5CDD505-2E9C-101B-9397-08002B2CF9AE}" pid="4" name="Pref_Time">
    <vt:lpwstr>13:47:53, 09:22:51, 09:03:19, 11:45:42, 17:23:52</vt:lpwstr>
  </property>
  <property fmtid="{D5CDD505-2E9C-101B-9397-08002B2CF9AE}" pid="5" name="Pref_User">
    <vt:lpwstr>pacup, amett, jhvi, pacup, enied</vt:lpwstr>
  </property>
  <property fmtid="{D5CDD505-2E9C-101B-9397-08002B2CF9AE}" pid="6" name="Pref_FileName">
    <vt:lpwstr>EESC-2022-04116-00-01-RES-TRA-EN-CRR.docx, EESC-2022-04116-00-00-RES-TRA-EN-CRR.docx, EESC-2022-04116-00-01-PRES-ORI.docx, EESC-2022-04116-00-00-PRES-TRA.docx, EESC-2022-04116-00-00-TCD-ORI.docx</vt:lpwstr>
  </property>
  <property fmtid="{D5CDD505-2E9C-101B-9397-08002B2CF9AE}" pid="7" name="ContentTypeId">
    <vt:lpwstr>0x010100EA97B91038054C99906057A708A1480A0048F447D380DEE94195D9369B0D252450</vt:lpwstr>
  </property>
  <property fmtid="{D5CDD505-2E9C-101B-9397-08002B2CF9AE}" pid="8" name="_dlc_DocIdItemGuid">
    <vt:lpwstr>3a1b6305-e33e-48b7-b8bb-41aa439679e2</vt:lpwstr>
  </property>
  <property fmtid="{D5CDD505-2E9C-101B-9397-08002B2CF9AE}" pid="9" name="AvailableTranslations">
    <vt:lpwstr>37;#PT|50ccc04a-eadd-42ae-a0cb-acaf45f812ba;#44;#LT|a7ff5ce7-6123-4f68-865a-a57c31810414;#42;#SL|98a412ae-eb01-49e9-ae3d-585a81724cfc;#31;#ES|e7a6b05b-ae16-40c8-add9-68b64b03aeba;#46;#EL|6d4f4d51-af9b-4650-94b4-4276bee85c91;#22;#DE|f6b31e5a-26fa-4935-b661-318e46daf27e;#33;#IT|0774613c-01ed-4e5d-a25d-11d2388de825;#4;#EN|f2175f21-25d7-44a3-96da-d6a61b075e1b</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4116</vt:i4>
  </property>
  <property fmtid="{D5CDD505-2E9C-101B-9397-08002B2CF9AE}" pid="14" name="DocumentYear">
    <vt:i4>2022</vt:i4>
  </property>
  <property fmtid="{D5CDD505-2E9C-101B-9397-08002B2CF9AE}" pid="15" name="DocumentVersion">
    <vt:i4>1</vt:i4>
  </property>
  <property fmtid="{D5CDD505-2E9C-101B-9397-08002B2CF9AE}" pid="16" name="FicheNumber">
    <vt:i4>12880</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2022-10-26T12:00:00Z</vt:filetime>
  </property>
  <property fmtid="{D5CDD505-2E9C-101B-9397-08002B2CF9AE}" pid="22" name="DocumentType">
    <vt:lpwstr>175;#RES|9e3e62eb-6858-4bc7-8a50-3453e395fd01</vt:lpwstr>
  </property>
  <property fmtid="{D5CDD505-2E9C-101B-9397-08002B2CF9AE}" pid="23" name="RequestingService">
    <vt:lpwstr>Agriculture, développement rural et environnement</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PT|50ccc04a-eadd-42ae-a0cb-acaf45f812ba;SL|98a412ae-eb01-49e9-ae3d-585a81724cfc;ES|e7a6b05b-ae16-40c8-add9-68b64b03aeba;EL|6d4f4d51-af9b-4650-94b4-4276bee85c91;DE|f6b31e5a-26fa-4935-b661-318e46daf27e;IT|0774613c-01ed-4e5d-a25d-11d2388de825;EN|f2175f21-25d7-44a3-96da-d6a61b075e1b</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33;#IT|0774613c-01ed-4e5d-a25d-11d2388de825;#31;#ES|e7a6b05b-ae16-40c8-add9-68b64b03aeba;#175;#RES|9e3e62eb-6858-4bc7-8a50-3453e395fd01;#22;#DE|f6b31e5a-26fa-4935-b661-318e46daf27e;#46;#EL|6d4f4d51-af9b-4650-94b4-4276bee85c91;#9;#Unrestricted|826e22d7-d029-4ec0-a450-0c28ff673572;#7;#TRA|150d2a88-1431-44e6-a8ca-0bb753ab8672;#6;#Final|ea5e6674-7b27-4bac-b091-73adbb394efe;#42;#SL|98a412ae-eb01-49e9-ae3d-585a81724cfc;#4;#EN|f2175f21-25d7-44a3-96da-d6a61b075e1b;#1;#EESC|422833ec-8d7e-4e65-8e4e-8bed07ffb729;#37;#PT|50ccc04a-eadd-42ae-a0cb-acaf45f812ba</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44;#LT|a7ff5ce7-6123-4f68-865a-a57c31810414</vt:lpwstr>
  </property>
  <property fmtid="{D5CDD505-2E9C-101B-9397-08002B2CF9AE}" pid="37" name="_docset_NoMedatataSyncRequired">
    <vt:lpwstr>False</vt:lpwstr>
  </property>
</Properties>
</file>