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9.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rsidR="00777766">
        <w:trPr>
          <w:jc w:val="center"/>
        </w:trPr>
        <w:tc>
          <w:tcPr>
            <w:tcW w:w="5000" w:type="pct"/>
            <w:vAlign w:val="center"/>
          </w:tcPr>
          <w:p w:rsidRPr="00424F46" w:rsidR="00180C9D" w:rsidP="00180C9D" w:rsidRDefault="00F4047E">
            <w:pPr>
              <w:spacing w:line="288" w:lineRule="auto"/>
              <w:jc w:val="center"/>
              <w:rPr>
                <w:rFonts w:ascii="Times New Roman" w:hAnsi="Times New Roman" w:eastAsia="Times New Roman" w:cs="Times New Roman"/>
                <w:b/>
                <w:sz w:val="72"/>
                <w:szCs w:val="72"/>
              </w:rPr>
            </w:pPr>
            <w:r>
              <w:rPr>
                <w:rFonts w:ascii="Times New Roman" w:hAnsi="Times New Roman"/>
                <w:b/>
                <w:sz w:val="72"/>
              </w:rPr>
              <w:t>ÁLLÁSFOGLALÁS</w:t>
            </w:r>
          </w:p>
        </w:tc>
      </w:tr>
      <w:tr w:rsidR="00777766">
        <w:trPr>
          <w:trHeight w:val="567"/>
          <w:jc w:val="center"/>
        </w:trPr>
        <w:tc>
          <w:tcPr>
            <w:tcW w:w="5000" w:type="pct"/>
            <w:vAlign w:val="center"/>
          </w:tcPr>
          <w:p w:rsidRPr="00424F46" w:rsidR="00180C9D" w:rsidP="00180C9D" w:rsidRDefault="00180C9D">
            <w:pPr>
              <w:spacing w:line="288" w:lineRule="auto"/>
              <w:jc w:val="center"/>
              <w:rPr>
                <w:rFonts w:ascii="Times New Roman" w:hAnsi="Times New Roman" w:eastAsia="Times New Roman" w:cs="Times New Roman"/>
                <w:sz w:val="24"/>
                <w:szCs w:val="24"/>
              </w:rPr>
            </w:pPr>
            <w:r>
              <w:rPr>
                <w:rFonts w:ascii="Times New Roman" w:hAnsi="Times New Roman"/>
                <w:sz w:val="24"/>
              </w:rPr>
              <w:t>Európai Gazdasági és Szociális Bizottság</w:t>
            </w:r>
          </w:p>
        </w:tc>
      </w:tr>
      <w:tr w:rsidR="00777766">
        <w:trPr>
          <w:jc w:val="center"/>
        </w:trPr>
        <w:tc>
          <w:tcPr>
            <w:tcW w:w="5000" w:type="pct"/>
            <w:vAlign w:val="center"/>
          </w:tcPr>
          <w:p w:rsidRPr="00424F46" w:rsidR="00F4047E" w:rsidP="00EF3B48" w:rsidRDefault="00F4047E">
            <w:pPr>
              <w:spacing w:after="0" w:line="288" w:lineRule="auto"/>
              <w:jc w:val="center"/>
              <w:rPr>
                <w:rFonts w:ascii="Times New Roman" w:hAnsi="Times New Roman" w:eastAsia="Times New Roman" w:cs="Times New Roman"/>
                <w:sz w:val="44"/>
                <w:szCs w:val="44"/>
              </w:rPr>
            </w:pPr>
            <w:r>
              <w:rPr>
                <w:rFonts w:ascii="Times New Roman" w:hAnsi="Times New Roman"/>
                <w:b/>
                <w:sz w:val="44"/>
              </w:rPr>
              <w:t>Egy egzisztenciális fenyegetés közös kezelése: a szociális partnerek és a civil társadalom az ambiciózus éghajlat-politikai intézkedések végrehajtásáért</w:t>
            </w:r>
          </w:p>
        </w:tc>
      </w:tr>
      <w:tr w:rsidR="00777766">
        <w:trPr>
          <w:jc w:val="center"/>
        </w:trPr>
        <w:tc>
          <w:tcPr>
            <w:tcW w:w="5000" w:type="pct"/>
            <w:vAlign w:val="center"/>
          </w:tcPr>
          <w:p w:rsidRPr="00424F46" w:rsidR="008A6CF4" w:rsidRDefault="008A6CF4">
            <w:pPr>
              <w:spacing w:after="0" w:line="288" w:lineRule="auto"/>
              <w:jc w:val="center"/>
              <w:rPr>
                <w:rFonts w:ascii="Times New Roman" w:hAnsi="Times New Roman" w:eastAsia="Times New Roman" w:cs="Times New Roman"/>
                <w:b/>
                <w:bCs/>
                <w:sz w:val="44"/>
                <w:szCs w:val="44"/>
              </w:rPr>
            </w:pPr>
            <w:r>
              <w:rPr>
                <w:sz w:val="24"/>
              </w:rPr>
              <w:t>_____________</w:t>
            </w:r>
          </w:p>
        </w:tc>
      </w:tr>
      <w:tr w:rsidR="00777766">
        <w:trPr>
          <w:jc w:val="center"/>
        </w:trPr>
        <w:tc>
          <w:tcPr>
            <w:tcW w:w="5000" w:type="pct"/>
            <w:vAlign w:val="center"/>
          </w:tcPr>
          <w:p w:rsidRPr="00424F46" w:rsidR="009A4326" w:rsidP="00180C9D" w:rsidRDefault="009A4326">
            <w:pPr>
              <w:spacing w:line="288" w:lineRule="auto"/>
              <w:jc w:val="center"/>
              <w:rPr>
                <w:rFonts w:ascii="Times New Roman" w:hAnsi="Times New Roman" w:eastAsia="Times New Roman" w:cs="Times New Roman"/>
              </w:rPr>
            </w:pPr>
            <w:bookmarkStart w:name="_GoBack" w:id="0"/>
            <w:r>
              <w:rPr>
                <w:rFonts w:ascii="Times New Roman" w:hAnsi="Times New Roman"/>
                <w:sz w:val="24"/>
              </w:rPr>
              <w:t>Egy egzisztenciális fenyegetés közös kezelése: a szociális partnerek és a civil társadalom az ambiciózus éghajlat-politikai intézkedések végrehajtásáért</w:t>
            </w:r>
            <w:bookmarkEnd w:id="0"/>
          </w:p>
        </w:tc>
      </w:tr>
      <w:tr w:rsidR="00777766">
        <w:trPr>
          <w:jc w:val="center"/>
        </w:trPr>
        <w:tc>
          <w:tcPr>
            <w:tcW w:w="5000" w:type="pct"/>
            <w:vAlign w:val="center"/>
          </w:tcPr>
          <w:p w:rsidRPr="00EF3B48" w:rsidR="00F4047E" w:rsidP="009646F6" w:rsidRDefault="00180C9D">
            <w:pPr>
              <w:tabs>
                <w:tab w:val="left" w:pos="1276"/>
              </w:tabs>
              <w:spacing w:after="0" w:line="288" w:lineRule="auto"/>
              <w:jc w:val="center"/>
              <w:rPr>
                <w:rFonts w:ascii="Times New Roman" w:hAnsi="Times New Roman" w:cs="Times New Roman"/>
                <w:b/>
                <w:sz w:val="24"/>
                <w:szCs w:val="24"/>
              </w:rPr>
            </w:pPr>
            <w:r>
              <w:rPr>
                <w:rFonts w:ascii="Times New Roman" w:hAnsi="Times New Roman"/>
                <w:sz w:val="24"/>
              </w:rPr>
              <w:t>Előadók:</w:t>
            </w:r>
            <w:r w:rsidR="009646F6">
              <w:rPr>
                <w:rFonts w:ascii="Times New Roman" w:hAnsi="Times New Roman"/>
                <w:sz w:val="24"/>
              </w:rPr>
              <w:tab/>
            </w:r>
            <w:r>
              <w:rPr>
                <w:rFonts w:ascii="Times New Roman" w:hAnsi="Times New Roman"/>
                <w:b/>
                <w:sz w:val="24"/>
              </w:rPr>
              <w:t>Peter SCHMIDT</w:t>
            </w:r>
          </w:p>
          <w:p w:rsidRPr="00EF3B48" w:rsidR="00F4047E" w:rsidP="00EF3B48" w:rsidRDefault="00F4047E">
            <w:pPr>
              <w:spacing w:after="0" w:line="288" w:lineRule="auto"/>
              <w:ind w:left="2098"/>
              <w:jc w:val="center"/>
              <w:rPr>
                <w:rFonts w:ascii="Times New Roman" w:hAnsi="Times New Roman" w:cs="Times New Roman"/>
                <w:b/>
                <w:sz w:val="24"/>
                <w:szCs w:val="24"/>
              </w:rPr>
            </w:pPr>
            <w:r>
              <w:rPr>
                <w:rFonts w:ascii="Times New Roman" w:hAnsi="Times New Roman"/>
                <w:b/>
                <w:sz w:val="24"/>
              </w:rPr>
              <w:t>Isabel CAÑO AGUILAR</w:t>
            </w:r>
          </w:p>
          <w:p w:rsidRPr="00EF3B48" w:rsidR="00F4047E" w:rsidP="00EF3B48" w:rsidRDefault="00F4047E">
            <w:pPr>
              <w:spacing w:after="0" w:line="288" w:lineRule="auto"/>
              <w:ind w:left="1456"/>
              <w:jc w:val="center"/>
              <w:rPr>
                <w:rFonts w:ascii="Times New Roman" w:hAnsi="Times New Roman" w:cs="Times New Roman"/>
                <w:b/>
                <w:sz w:val="24"/>
                <w:szCs w:val="24"/>
              </w:rPr>
            </w:pPr>
            <w:r>
              <w:rPr>
                <w:rFonts w:ascii="Times New Roman" w:hAnsi="Times New Roman"/>
                <w:b/>
                <w:sz w:val="24"/>
              </w:rPr>
              <w:t>Sandra PARTHIE</w:t>
            </w:r>
          </w:p>
          <w:p w:rsidRPr="00EF3B48" w:rsidR="00F4047E" w:rsidP="00EF3B48" w:rsidRDefault="00F4047E">
            <w:pPr>
              <w:spacing w:after="0" w:line="288" w:lineRule="auto"/>
              <w:ind w:left="2495"/>
              <w:jc w:val="center"/>
              <w:rPr>
                <w:rFonts w:ascii="Times New Roman" w:hAnsi="Times New Roman" w:cs="Times New Roman"/>
                <w:b/>
                <w:sz w:val="24"/>
                <w:szCs w:val="24"/>
              </w:rPr>
            </w:pPr>
            <w:r>
              <w:rPr>
                <w:rFonts w:ascii="Times New Roman" w:hAnsi="Times New Roman"/>
                <w:b/>
                <w:sz w:val="24"/>
              </w:rPr>
              <w:t>Josep PUXEU ROCAMORA</w:t>
            </w:r>
          </w:p>
          <w:p w:rsidRPr="00EF3B48" w:rsidR="00F4047E" w:rsidP="00EF3B48" w:rsidRDefault="00F4047E">
            <w:pPr>
              <w:spacing w:after="0" w:line="288" w:lineRule="auto"/>
              <w:ind w:left="1418"/>
              <w:jc w:val="center"/>
              <w:rPr>
                <w:rFonts w:ascii="Times New Roman" w:hAnsi="Times New Roman" w:cs="Times New Roman"/>
                <w:b/>
                <w:sz w:val="24"/>
                <w:szCs w:val="24"/>
              </w:rPr>
            </w:pPr>
            <w:r>
              <w:rPr>
                <w:rFonts w:ascii="Times New Roman" w:hAnsi="Times New Roman"/>
                <w:b/>
                <w:sz w:val="24"/>
              </w:rPr>
              <w:t>Neža REPANŠEK</w:t>
            </w:r>
          </w:p>
          <w:p w:rsidRPr="00424F46" w:rsidR="00180C9D" w:rsidP="00EF3B48" w:rsidRDefault="00F4047E">
            <w:pPr>
              <w:spacing w:after="0" w:line="288" w:lineRule="auto"/>
              <w:ind w:left="822"/>
              <w:jc w:val="center"/>
              <w:rPr>
                <w:rFonts w:ascii="Times New Roman" w:hAnsi="Times New Roman" w:eastAsia="Times New Roman" w:cs="Times New Roman"/>
              </w:rPr>
            </w:pPr>
            <w:r>
              <w:rPr>
                <w:rFonts w:ascii="Times New Roman" w:hAnsi="Times New Roman"/>
                <w:b/>
                <w:sz w:val="24"/>
              </w:rPr>
              <w:t>Lutz RIBBE</w:t>
            </w:r>
          </w:p>
        </w:tc>
      </w:tr>
      <w:tr w:rsidR="009646F6">
        <w:trPr>
          <w:jc w:val="center"/>
        </w:trPr>
        <w:tc>
          <w:tcPr>
            <w:tcW w:w="5000" w:type="pct"/>
            <w:vAlign w:val="center"/>
          </w:tcPr>
          <w:p w:rsidR="009646F6" w:rsidP="00EF3B48" w:rsidRDefault="009646F6">
            <w:pPr>
              <w:spacing w:after="0" w:line="288" w:lineRule="auto"/>
              <w:jc w:val="center"/>
              <w:rPr>
                <w:rFonts w:ascii="Times New Roman" w:hAnsi="Times New Roman"/>
                <w:sz w:val="24"/>
              </w:rPr>
            </w:pPr>
          </w:p>
        </w:tc>
      </w:tr>
    </w:tbl>
    <w:p w:rsidR="008A6CF4" w:rsidP="00180C9D" w:rsidRDefault="008A6CF4">
      <w:pPr>
        <w:spacing w:after="0" w:line="288" w:lineRule="auto"/>
        <w:jc w:val="center"/>
        <w:rPr>
          <w:rFonts w:ascii="Times New Roman" w:hAnsi="Times New Roman" w:eastAsia="Times New Roman" w:cs="Times New Roman"/>
        </w:rPr>
      </w:pPr>
      <w:r>
        <w:rPr>
          <w:rFonts w:ascii="Times New Roman" w:hAnsi="Times New Roman"/>
          <w:noProof/>
          <w:lang w:val="en-GB" w:eastAsia="en-GB" w:bidi="ne-IN"/>
        </w:rPr>
        <mc:AlternateContent>
          <mc:Choice Requires="wps">
            <w:drawing>
              <wp:anchor distT="0" distB="0" distL="114300" distR="114300" simplePos="0" relativeHeight="251659776" behindDoc="1" locked="0" layoutInCell="0" allowOverlap="1" wp14:editId="45C41535" wp14:anchorId="1E2F02F8">
                <wp:simplePos x="0" y="0"/>
                <wp:positionH relativeFrom="rightMargin">
                  <wp:posOffset>-204079</wp:posOffset>
                </wp:positionH>
                <wp:positionV relativeFrom="page">
                  <wp:posOffset>9488658</wp:posOffset>
                </wp:positionV>
                <wp:extent cx="741045" cy="431800"/>
                <wp:effectExtent l="0" t="0" r="0" b="6350"/>
                <wp:wrapNone/>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C9D" w:rsidP="00180C9D" w:rsidRDefault="00180C9D">
                            <w:pPr>
                              <w:jc w:val="center"/>
                            </w:pPr>
                            <w:r>
                              <w:rPr>
                                <w:rFonts w:ascii="Arial" w:hAnsi="Arial"/>
                                <w:b/>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E2F02F8">
                <v:stroke joinstyle="miter"/>
                <v:path gradientshapeok="t" o:connecttype="rect"/>
              </v:shapetype>
              <v:shape id="Text Box 17" style="position:absolute;left:0;text-align:left;margin-left:-16.05pt;margin-top:747.15pt;width:58.35pt;height:34pt;z-index:-2516567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qDuA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">
                <v:textbox>
                  <w:txbxContent>
                    <w:p w:rsidR="00180C9D" w:rsidP="00180C9D" w:rsidRDefault="00180C9D">
                      <w:pPr>
                        <w:jc w:val="center"/>
                      </w:pPr>
                      <w:r>
                        <w:rPr>
                          <w:rFonts w:ascii="Arial" w:hAnsi="Arial"/>
                          <w:b/>
                          <w:sz w:val="48"/>
                        </w:rPr>
                        <w:t>HU</w:t>
                      </w:r>
                    </w:p>
                  </w:txbxContent>
                </v:textbox>
                <w10:wrap anchorx="margin" anchory="page"/>
              </v:shape>
            </w:pict>
          </mc:Fallback>
        </mc:AlternateContent>
      </w:r>
    </w:p>
    <w:p w:rsidRPr="00424F46" w:rsidR="00180C9D" w:rsidP="00180C9D" w:rsidRDefault="00180C9D">
      <w:pPr>
        <w:spacing w:after="0" w:line="288" w:lineRule="auto"/>
        <w:jc w:val="center"/>
        <w:rPr>
          <w:rFonts w:ascii="Times New Roman" w:hAnsi="Times New Roman" w:eastAsia="Times New Roman" w:cs="Times New Roman"/>
          <w:lang w:val="en-GB"/>
        </w:rPr>
      </w:pPr>
    </w:p>
    <w:p w:rsidRPr="00424F46" w:rsidR="00180C9D" w:rsidP="00180C9D" w:rsidRDefault="00180C9D">
      <w:pPr>
        <w:spacing w:after="0" w:line="288" w:lineRule="auto"/>
        <w:jc w:val="center"/>
        <w:rPr>
          <w:rFonts w:ascii="Times New Roman" w:hAnsi="Times New Roman" w:eastAsia="Times New Roman" w:cs="Times New Roman"/>
          <w:lang w:val="en-GB"/>
        </w:rPr>
        <w:sectPr w:rsidRPr="00424F46" w:rsidR="00180C9D" w:rsidSect="008A6CF4">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777766">
        <w:tc>
          <w:tcPr>
            <w:tcW w:w="3085" w:type="dxa"/>
          </w:tcPr>
          <w:p w:rsidRPr="00424F46" w:rsidR="00180C9D" w:rsidP="00F4047E" w:rsidRDefault="009A4326">
            <w:pPr>
              <w:spacing w:after="0" w:line="288" w:lineRule="auto"/>
              <w:jc w:val="both"/>
              <w:rPr>
                <w:rFonts w:ascii="Times New Roman" w:hAnsi="Times New Roman" w:eastAsia="Times New Roman" w:cs="Times New Roman"/>
              </w:rPr>
            </w:pPr>
            <w:r>
              <w:rPr>
                <w:rFonts w:ascii="Times New Roman" w:hAnsi="Times New Roman"/>
              </w:rPr>
              <w:lastRenderedPageBreak/>
              <w:t>Jogalap:</w:t>
            </w:r>
          </w:p>
        </w:tc>
        <w:tc>
          <w:tcPr>
            <w:tcW w:w="6204" w:type="dxa"/>
            <w:vAlign w:val="bottom"/>
          </w:tcPr>
          <w:p w:rsidRPr="00424F46" w:rsidR="009A4326" w:rsidP="009A4326" w:rsidRDefault="009A4326">
            <w:pPr>
              <w:spacing w:after="0" w:line="288" w:lineRule="auto"/>
              <w:jc w:val="both"/>
              <w:rPr>
                <w:rFonts w:ascii="Times New Roman" w:hAnsi="Times New Roman" w:eastAsia="Times New Roman" w:cs="Times New Roman"/>
              </w:rPr>
            </w:pPr>
            <w:r>
              <w:rPr>
                <w:rFonts w:ascii="Times New Roman" w:hAnsi="Times New Roman"/>
              </w:rPr>
              <w:t>az eljárási szabályzat 50. cikke</w:t>
            </w:r>
          </w:p>
          <w:p w:rsidRPr="00424F46" w:rsidR="00180C9D" w:rsidP="009A4326" w:rsidRDefault="009A4326">
            <w:pPr>
              <w:spacing w:after="0" w:line="288" w:lineRule="auto"/>
              <w:jc w:val="both"/>
              <w:rPr>
                <w:rFonts w:ascii="Times New Roman" w:hAnsi="Times New Roman" w:eastAsia="Times New Roman" w:cs="Times New Roman"/>
              </w:rPr>
            </w:pPr>
            <w:r>
              <w:rPr>
                <w:rFonts w:ascii="Times New Roman" w:hAnsi="Times New Roman"/>
              </w:rPr>
              <w:t>állásfoglalás</w:t>
            </w:r>
          </w:p>
        </w:tc>
      </w:tr>
      <w:tr w:rsidR="00777766">
        <w:tc>
          <w:tcPr>
            <w:tcW w:w="3085" w:type="dxa"/>
          </w:tcPr>
          <w:p w:rsidRPr="00424F46" w:rsidR="00180C9D" w:rsidP="00F4047E" w:rsidRDefault="009A4326">
            <w:pPr>
              <w:spacing w:after="0" w:line="288" w:lineRule="auto"/>
              <w:jc w:val="both"/>
              <w:rPr>
                <w:rFonts w:ascii="Times New Roman" w:hAnsi="Times New Roman" w:eastAsia="Times New Roman" w:cs="Times New Roman"/>
              </w:rPr>
            </w:pPr>
            <w:r>
              <w:rPr>
                <w:rFonts w:ascii="Times New Roman" w:hAnsi="Times New Roman"/>
              </w:rPr>
              <w:t>Plenáris ülésen történő elfogadás időpontja:</w:t>
            </w:r>
          </w:p>
        </w:tc>
        <w:tc>
          <w:tcPr>
            <w:tcW w:w="6204" w:type="dxa"/>
            <w:vAlign w:val="bottom"/>
          </w:tcPr>
          <w:p w:rsidRPr="00424F46" w:rsidR="00180C9D" w:rsidP="00F4047E" w:rsidRDefault="006B78AF">
            <w:pPr>
              <w:spacing w:after="0" w:line="288" w:lineRule="auto"/>
              <w:jc w:val="both"/>
              <w:rPr>
                <w:rFonts w:ascii="Times New Roman" w:hAnsi="Times New Roman" w:eastAsia="Times New Roman" w:cs="Times New Roman"/>
              </w:rPr>
            </w:pPr>
            <w:r>
              <w:rPr>
                <w:rFonts w:ascii="Times New Roman" w:hAnsi="Times New Roman"/>
              </w:rPr>
              <w:t>2022. 10. 26.</w:t>
            </w:r>
          </w:p>
        </w:tc>
      </w:tr>
      <w:tr w:rsidR="00777766">
        <w:tc>
          <w:tcPr>
            <w:tcW w:w="3085" w:type="dxa"/>
          </w:tcPr>
          <w:p w:rsidRPr="00424F46" w:rsidR="00180C9D" w:rsidP="00F4047E" w:rsidRDefault="009A4326">
            <w:pPr>
              <w:spacing w:after="0" w:line="288" w:lineRule="auto"/>
              <w:jc w:val="both"/>
              <w:rPr>
                <w:rFonts w:ascii="Times New Roman" w:hAnsi="Times New Roman" w:eastAsia="Times New Roman" w:cs="Times New Roman"/>
              </w:rPr>
            </w:pPr>
            <w:r>
              <w:rPr>
                <w:rFonts w:ascii="Times New Roman" w:hAnsi="Times New Roman"/>
              </w:rPr>
              <w:t>Plenáris ülésszak száma:</w:t>
            </w:r>
          </w:p>
        </w:tc>
        <w:tc>
          <w:tcPr>
            <w:tcW w:w="6204" w:type="dxa"/>
            <w:vAlign w:val="bottom"/>
          </w:tcPr>
          <w:p w:rsidRPr="00424F46" w:rsidR="00180C9D" w:rsidP="00F4047E" w:rsidRDefault="006B78AF">
            <w:pPr>
              <w:spacing w:after="0" w:line="288" w:lineRule="auto"/>
              <w:jc w:val="both"/>
              <w:rPr>
                <w:rFonts w:ascii="Times New Roman" w:hAnsi="Times New Roman" w:eastAsia="Times New Roman" w:cs="Times New Roman"/>
              </w:rPr>
            </w:pPr>
            <w:r>
              <w:rPr>
                <w:rFonts w:ascii="Times New Roman" w:hAnsi="Times New Roman"/>
              </w:rPr>
              <w:t>573.</w:t>
            </w:r>
          </w:p>
        </w:tc>
      </w:tr>
      <w:tr w:rsidR="00777766">
        <w:tc>
          <w:tcPr>
            <w:tcW w:w="3085" w:type="dxa"/>
          </w:tcPr>
          <w:p w:rsidRPr="00424F46" w:rsidR="00180C9D" w:rsidP="00F4047E" w:rsidRDefault="009A4326">
            <w:pPr>
              <w:spacing w:after="0" w:line="288" w:lineRule="auto"/>
              <w:rPr>
                <w:rFonts w:ascii="Times New Roman" w:hAnsi="Times New Roman" w:eastAsia="Times New Roman" w:cs="Times New Roman"/>
              </w:rPr>
            </w:pPr>
            <w:r>
              <w:rPr>
                <w:rFonts w:ascii="Times New Roman" w:hAnsi="Times New Roman"/>
              </w:rPr>
              <w:t>A szavazás eredménye:</w:t>
            </w:r>
            <w:r>
              <w:rPr>
                <w:rFonts w:ascii="Times New Roman" w:hAnsi="Times New Roman"/>
              </w:rPr>
              <w:br/>
              <w:t>(mellette/ellene/tartózkodott)</w:t>
            </w:r>
          </w:p>
        </w:tc>
        <w:tc>
          <w:tcPr>
            <w:tcW w:w="6204" w:type="dxa"/>
            <w:vAlign w:val="bottom"/>
          </w:tcPr>
          <w:p w:rsidRPr="00424F46" w:rsidR="00180C9D" w:rsidP="00E567D2" w:rsidRDefault="00B45F35">
            <w:pPr>
              <w:spacing w:after="0" w:line="288" w:lineRule="auto"/>
              <w:jc w:val="both"/>
              <w:rPr>
                <w:rFonts w:ascii="Times New Roman" w:hAnsi="Times New Roman" w:eastAsia="Times New Roman" w:cs="Times New Roman"/>
              </w:rPr>
            </w:pPr>
            <w:r>
              <w:rPr>
                <w:rFonts w:ascii="Times New Roman" w:hAnsi="Times New Roman"/>
              </w:rPr>
              <w:t>104/1/0</w:t>
            </w:r>
          </w:p>
        </w:tc>
      </w:tr>
    </w:tbl>
    <w:p w:rsidRPr="00424F46" w:rsidR="00180C9D" w:rsidP="00180C9D" w:rsidRDefault="00180C9D">
      <w:pPr>
        <w:spacing w:after="0" w:line="288" w:lineRule="auto"/>
        <w:jc w:val="center"/>
        <w:rPr>
          <w:rFonts w:ascii="Times New Roman" w:hAnsi="Times New Roman" w:eastAsia="Times New Roman" w:cs="Times New Roman"/>
          <w:lang w:val="en-GB"/>
        </w:rPr>
      </w:pPr>
    </w:p>
    <w:p w:rsidRPr="00424F46" w:rsidR="00180C9D" w:rsidP="00180C9D" w:rsidRDefault="00180C9D">
      <w:pPr>
        <w:spacing w:after="0" w:line="288" w:lineRule="auto"/>
        <w:jc w:val="center"/>
        <w:rPr>
          <w:rFonts w:ascii="Times New Roman" w:hAnsi="Times New Roman" w:eastAsia="Times New Roman" w:cs="Times New Roman"/>
          <w:lang w:val="en-GB"/>
        </w:rPr>
        <w:sectPr w:rsidRPr="00424F46" w:rsidR="00180C9D" w:rsidSect="008A6CF4">
          <w:headerReference w:type="even" r:id="rId14"/>
          <w:headerReference w:type="default" r:id="rId15"/>
          <w:footerReference w:type="default" r:id="rId16"/>
          <w:headerReference w:type="first" r:id="rId17"/>
          <w:pgSz w:w="11907" w:h="16839" w:code="9"/>
          <w:pgMar w:top="5669" w:right="1418" w:bottom="1418" w:left="1418" w:header="709" w:footer="709" w:gutter="0"/>
          <w:cols w:space="720"/>
          <w:docGrid w:linePitch="360"/>
        </w:sectPr>
      </w:pPr>
    </w:p>
    <w:p w:rsidRPr="00424F46" w:rsidR="00020F19" w:rsidP="00EF3B48" w:rsidRDefault="00020F19">
      <w:pPr>
        <w:keepNext/>
        <w:spacing w:after="0" w:line="288" w:lineRule="auto"/>
        <w:jc w:val="center"/>
        <w:rPr>
          <w:rFonts w:ascii="Times New Roman" w:hAnsi="Times New Roman" w:cs="Times New Roman"/>
          <w:b/>
          <w:sz w:val="24"/>
          <w:szCs w:val="24"/>
        </w:rPr>
      </w:pPr>
      <w:r>
        <w:rPr>
          <w:rFonts w:ascii="Times New Roman" w:hAnsi="Times New Roman"/>
          <w:b/>
          <w:sz w:val="24"/>
        </w:rPr>
        <w:lastRenderedPageBreak/>
        <w:t>Egy egzisztenciális fenyegetés közös kezelése: a szociális partnerek és a civil társadalom az ambiciózus éghajlat-politikai intézkedések végrehajtásáért</w:t>
      </w:r>
    </w:p>
    <w:p w:rsidRPr="00424F46" w:rsidR="00020F19" w:rsidP="00EF3B48" w:rsidRDefault="00020F19">
      <w:pPr>
        <w:keepNext/>
        <w:spacing w:after="0" w:line="288" w:lineRule="auto"/>
        <w:jc w:val="center"/>
        <w:rPr>
          <w:rFonts w:ascii="Times New Roman" w:hAnsi="Times New Roman" w:cs="Times New Roman"/>
          <w:bCs/>
          <w:lang w:val="en-GB"/>
        </w:rPr>
      </w:pPr>
    </w:p>
    <w:p w:rsidRPr="00424F46" w:rsidR="00020F19" w:rsidP="00EF3B48" w:rsidRDefault="00020F19">
      <w:pPr>
        <w:keepNext/>
        <w:spacing w:after="0" w:line="288" w:lineRule="auto"/>
        <w:jc w:val="both"/>
        <w:rPr>
          <w:rFonts w:ascii="Times New Roman" w:hAnsi="Times New Roman" w:cs="Times New Roman"/>
          <w:bCs/>
        </w:rPr>
      </w:pPr>
      <w:r>
        <w:rPr>
          <w:rFonts w:ascii="Times New Roman" w:hAnsi="Times New Roman"/>
        </w:rPr>
        <w:t>Az ENSZ Éghajlatváltozási Keretegyezményének éves ülésére (COP27) november 6. és 18. között kerül sor az egyiptomi Sarm-es-Sejkben.</w:t>
      </w:r>
    </w:p>
    <w:p w:rsidRPr="00424F46" w:rsidR="00C0106D" w:rsidP="00765637" w:rsidRDefault="00C0106D">
      <w:pPr>
        <w:spacing w:after="0" w:line="288" w:lineRule="auto"/>
        <w:jc w:val="both"/>
        <w:rPr>
          <w:rFonts w:ascii="Times New Roman" w:hAnsi="Times New Roman" w:cs="Times New Roman"/>
          <w:bCs/>
          <w:sz w:val="18"/>
          <w:szCs w:val="18"/>
          <w:lang w:val="en-GB"/>
        </w:rPr>
      </w:pPr>
    </w:p>
    <w:p w:rsidRPr="00424F46" w:rsidR="00020F19" w:rsidP="00765637" w:rsidRDefault="00570F8A">
      <w:pPr>
        <w:spacing w:after="0" w:line="288" w:lineRule="auto"/>
        <w:jc w:val="both"/>
        <w:rPr>
          <w:rFonts w:ascii="Times New Roman" w:hAnsi="Times New Roman" w:cs="Times New Roman"/>
          <w:bCs/>
        </w:rPr>
      </w:pPr>
      <w:r>
        <w:rPr>
          <w:rFonts w:ascii="Times New Roman" w:hAnsi="Times New Roman"/>
        </w:rPr>
        <w:t>Az EGSZB 2022. február 22-i elnökségi feljegyzésével összhangban az EGSZB létrehozta az ENSZ Éghajlatváltozási Keretegyezménye Feleinek Konferenciájával foglalkozó ad hoc csoportot, egyrészt azért, hogy előkészítse az EGSZB COP-pal kapcsolatos, a következő COP prioritásaival és az UNFCCC tárgyalási folyamataival összhangban lévő állásfoglalását, másrészt azért, hogy az egész EGSZB-t jobban megismertesse az UNFCCC-folyamattal és bevonja az éghajlatváltozással kapcsolatos tárgyalásokba.</w:t>
      </w:r>
    </w:p>
    <w:p w:rsidRPr="00424F46" w:rsidR="00C0106D" w:rsidP="00765637" w:rsidRDefault="00C0106D">
      <w:pPr>
        <w:spacing w:after="0" w:line="288" w:lineRule="auto"/>
        <w:jc w:val="both"/>
        <w:rPr>
          <w:rFonts w:ascii="Times New Roman" w:hAnsi="Times New Roman" w:cs="Times New Roman"/>
          <w:bCs/>
          <w:sz w:val="18"/>
          <w:szCs w:val="18"/>
          <w:lang w:val="en-GB"/>
        </w:rPr>
      </w:pPr>
    </w:p>
    <w:p w:rsidRPr="00424F46" w:rsidR="00020F19" w:rsidP="00765637" w:rsidRDefault="00020F19">
      <w:pPr>
        <w:spacing w:after="0" w:line="288" w:lineRule="auto"/>
        <w:jc w:val="both"/>
        <w:rPr>
          <w:rFonts w:ascii="Times New Roman" w:hAnsi="Times New Roman" w:cs="Times New Roman"/>
          <w:bCs/>
          <w:spacing w:val="-6"/>
        </w:rPr>
      </w:pPr>
      <w:r>
        <w:rPr>
          <w:rFonts w:ascii="Times New Roman" w:hAnsi="Times New Roman"/>
        </w:rPr>
        <w:t xml:space="preserve">Az ad hoc csoportnak hat tagja van a NAT szekcióból, és </w:t>
      </w:r>
      <w:hyperlink w:history="1" r:id="rId18">
        <w:r>
          <w:rPr>
            <w:rStyle w:val="Hyperlink"/>
            <w:rFonts w:ascii="Times New Roman" w:hAnsi="Times New Roman"/>
          </w:rPr>
          <w:t>„A fiatalok strukturált részvétele az éghajlat és a fenntarthatóság terén az uniós döntéshozatali folyamatban” című NAT/788. sz.</w:t>
        </w:r>
      </w:hyperlink>
      <w:r>
        <w:rPr>
          <w:rFonts w:ascii="Times New Roman" w:hAnsi="Times New Roman"/>
        </w:rPr>
        <w:t xml:space="preserve"> saját kezdeményezésű véleménynek megfelelően egy ifjúsági képviselő is rendszeresen részt vesz benne. Az elmúlt néhány hónapban az ad hoc csoport találkozott az érintett szervezetekkel és intézményekkel, például az Európai Bizottsággal, a Régiók Bizottságával, a magas szintű éghajlatvédelmi élharcosok hivatalával és a Climate Action Trackerrel, valamint a különböző civil társadalmi csoportok – fiatalok, vállalkozások, mezőgazdasági termelők, szakszervezetek és környezetvédelmi nem kormányzati szervezetek – képviselőivel, hogy információkat cseréljenek és szinergiákat keressenek. Az éghajlati vészhelyzet mindezen beszélgetések során nagy hangsúlyt kapott.</w:t>
      </w:r>
    </w:p>
    <w:p w:rsidRPr="00424F46" w:rsidR="00C0106D" w:rsidP="00765637" w:rsidRDefault="00C0106D">
      <w:pPr>
        <w:spacing w:after="0" w:line="288" w:lineRule="auto"/>
        <w:jc w:val="both"/>
        <w:rPr>
          <w:rFonts w:ascii="Times New Roman" w:hAnsi="Times New Roman" w:cs="Times New Roman"/>
          <w:bCs/>
          <w:sz w:val="18"/>
          <w:szCs w:val="18"/>
          <w:lang w:val="en-GB"/>
        </w:rPr>
      </w:pPr>
    </w:p>
    <w:p w:rsidRPr="00424F46" w:rsidR="00020F19" w:rsidP="00765637" w:rsidRDefault="00020F19">
      <w:pPr>
        <w:spacing w:after="0" w:line="288" w:lineRule="auto"/>
        <w:jc w:val="both"/>
        <w:rPr>
          <w:rFonts w:ascii="Times New Roman" w:hAnsi="Times New Roman" w:cs="Times New Roman"/>
          <w:bCs/>
        </w:rPr>
      </w:pPr>
      <w:r>
        <w:rPr>
          <w:rFonts w:ascii="Times New Roman" w:hAnsi="Times New Roman"/>
        </w:rPr>
        <w:t>Már most nyilvánvaló, hogy 2022-ben az éghajlatváltozás minden eddiginél nagyobb mértékben idéz elő szélsőséges időjárási eseményeket. Az Európát és Dél-Ázsia egyes részeit felperzselő hőhullámok és erdőtüzek, a pakisztáni és bangladesi katasztrofális áradások, valamint a Kelet-Afrikát sújtó tartós aszály következtében több ezer ember vesztette életét, és több millióan kényszerültek lakóhelyük elhagyására vagy kerültek az éhínség küszöbére.</w:t>
      </w:r>
    </w:p>
    <w:p w:rsidRPr="00424F46" w:rsidR="00C0106D" w:rsidP="00765637" w:rsidRDefault="00C0106D">
      <w:pPr>
        <w:spacing w:after="0" w:line="288" w:lineRule="auto"/>
        <w:jc w:val="both"/>
        <w:rPr>
          <w:rFonts w:ascii="Times New Roman" w:hAnsi="Times New Roman" w:cs="Times New Roman"/>
          <w:bCs/>
          <w:sz w:val="18"/>
          <w:szCs w:val="18"/>
          <w:lang w:val="en-GB"/>
        </w:rPr>
      </w:pPr>
    </w:p>
    <w:p w:rsidRPr="00424F46" w:rsidR="00020F19" w:rsidP="00765637" w:rsidRDefault="00020F19">
      <w:pPr>
        <w:spacing w:after="0" w:line="288" w:lineRule="auto"/>
        <w:jc w:val="both"/>
        <w:rPr>
          <w:rFonts w:ascii="Times New Roman" w:hAnsi="Times New Roman" w:cs="Times New Roman"/>
          <w:bCs/>
        </w:rPr>
      </w:pPr>
      <w:r>
        <w:rPr>
          <w:rFonts w:ascii="Times New Roman" w:hAnsi="Times New Roman"/>
        </w:rPr>
        <w:t>E tekintetben az</w:t>
      </w:r>
      <w:r>
        <w:t xml:space="preserve"> </w:t>
      </w:r>
      <w:hyperlink w:history="1" r:id="rId19">
        <w:r>
          <w:rPr>
            <w:rStyle w:val="Hyperlink"/>
            <w:rFonts w:ascii="Times New Roman" w:hAnsi="Times New Roman"/>
          </w:rPr>
          <w:t>Éghajlatváltozási Kormányközi Testület</w:t>
        </w:r>
      </w:hyperlink>
      <w:r>
        <w:rPr>
          <w:rFonts w:ascii="Times New Roman" w:hAnsi="Times New Roman"/>
        </w:rPr>
        <w:t xml:space="preserve"> közelmúltbeli jelentése megállapítja, hogy ahhoz, hogy a globális felmelegedést 1,5 °C-ra korlátozzuk, az üvegházhatásúgáz-kibocsátásnak „legkésőbb 2025 előtt” tetőznie kell, hogy a kibocsátásokat 2030-ig felére kell csökkenteni, és hogy ez az összes ágazatban azonnali, drasztikus kibocsátáscsökkentést követel. </w:t>
      </w:r>
      <w:hyperlink w:history="1" r:id="rId20">
        <w:r>
          <w:rPr>
            <w:rStyle w:val="Hyperlink"/>
            <w:rFonts w:ascii="Times New Roman" w:hAnsi="Times New Roman"/>
          </w:rPr>
          <w:t>A jelenleg érvényben lévő szakpolitikák</w:t>
        </w:r>
      </w:hyperlink>
      <w:r>
        <w:rPr>
          <w:rFonts w:ascii="Times New Roman" w:hAnsi="Times New Roman"/>
        </w:rPr>
        <w:t xml:space="preserve"> azonban az előrejelzések szerint mintegy 2,7 °C-os hőmérséklet-emelkedéshez vezetnek, és az egyes országok által tett jelenlegi kötelezettségvállalások – a </w:t>
      </w:r>
      <w:r>
        <w:rPr>
          <w:rFonts w:ascii="Times New Roman" w:hAnsi="Times New Roman"/>
          <w:i/>
        </w:rPr>
        <w:t>nemzetileg meghatározott hozzájárulások</w:t>
      </w:r>
      <w:r>
        <w:rPr>
          <w:rFonts w:ascii="Times New Roman" w:hAnsi="Times New Roman"/>
        </w:rPr>
        <w:t xml:space="preserve"> – a felmelegedést 2,4 °C-ra korlátozzák.</w:t>
      </w:r>
    </w:p>
    <w:p w:rsidRPr="00424F46" w:rsidR="00C0106D" w:rsidP="00765637" w:rsidRDefault="00C0106D">
      <w:pPr>
        <w:spacing w:after="0" w:line="288" w:lineRule="auto"/>
        <w:jc w:val="both"/>
        <w:rPr>
          <w:rFonts w:ascii="Times New Roman" w:hAnsi="Times New Roman" w:cs="Times New Roman"/>
          <w:bCs/>
          <w:sz w:val="18"/>
          <w:szCs w:val="18"/>
          <w:lang w:val="en-GB"/>
        </w:rPr>
      </w:pPr>
    </w:p>
    <w:p w:rsidRPr="00424F46" w:rsidR="00020F19" w:rsidP="00765637" w:rsidRDefault="00020F19">
      <w:pPr>
        <w:spacing w:after="0" w:line="288" w:lineRule="auto"/>
        <w:jc w:val="both"/>
        <w:rPr>
          <w:rFonts w:ascii="Times New Roman" w:hAnsi="Times New Roman" w:cs="Times New Roman"/>
          <w:bCs/>
        </w:rPr>
      </w:pPr>
      <w:r>
        <w:rPr>
          <w:rFonts w:ascii="Times New Roman" w:hAnsi="Times New Roman"/>
        </w:rPr>
        <w:t>Oroszország Ukrajna elleni inváziója drámai mértékben súlyosbította a már amúgy is nehéz gazdasági és szociális helyzetet. Az éghajlatváltozás elleni sürgős fellépést azonban nem lehet felfüggeszteni. Az elfogadott egyedi intézkedéseknek kivételesnek kell lenniük és korlátozott időtartamra kell szólniuk, és az Európai Uniónak fel kell gyorsítania energia- és éghajlat-politikájának átalakítását, hogy kezelni tudja a rövid távú sokkhatásokat, miközben folytatnia kell a társadalmak elkerülhetetlen dekarbonizációját. Európának vezető szerepet kell betöltenie az éghajlat-politikai fellépés terén, megszüntetve a törekvések és a szakpolitikai intézkedések közötti szakadékot.</w:t>
      </w:r>
    </w:p>
    <w:p w:rsidRPr="00424F46" w:rsidR="00C0106D" w:rsidP="00765637" w:rsidRDefault="00C0106D">
      <w:pPr>
        <w:spacing w:after="0" w:line="288" w:lineRule="auto"/>
        <w:jc w:val="both"/>
        <w:rPr>
          <w:rFonts w:ascii="Times New Roman" w:hAnsi="Times New Roman" w:cs="Times New Roman"/>
          <w:bCs/>
          <w:sz w:val="18"/>
          <w:szCs w:val="18"/>
          <w:lang w:val="en-GB"/>
        </w:rPr>
      </w:pPr>
    </w:p>
    <w:p w:rsidRPr="00424F46" w:rsidR="00020F19" w:rsidP="00765637" w:rsidRDefault="00020F19">
      <w:pPr>
        <w:spacing w:after="0" w:line="288" w:lineRule="auto"/>
        <w:jc w:val="both"/>
        <w:rPr>
          <w:rFonts w:ascii="Times New Roman" w:hAnsi="Times New Roman" w:cs="Times New Roman"/>
          <w:bCs/>
        </w:rPr>
      </w:pPr>
      <w:r>
        <w:rPr>
          <w:rFonts w:ascii="Times New Roman" w:hAnsi="Times New Roman"/>
        </w:rPr>
        <w:t xml:space="preserve">Az ad hoc csoport tagjai által készített állásfoglalás felkéri az uniós intézményeket és kormányokat, hogy a tudománnyal és a tudományos ismeretekkel összhangban fokozzák az éghajlat-politikai </w:t>
      </w:r>
      <w:r>
        <w:rPr>
          <w:rFonts w:ascii="Times New Roman" w:hAnsi="Times New Roman"/>
        </w:rPr>
        <w:lastRenderedPageBreak/>
        <w:t>törekvéseket, és különös figyelmet fordít a szervezett civil társadalomnak az éghajlat-politikai fellépések felgyorsításában játszott szerepére. A társadalmi reziliencia csak cselekvőképes civil társadalommal, szociális szereplőkkel és alulról szerveződő mozgalmakkal erősíthető meg.</w:t>
      </w:r>
    </w:p>
    <w:p w:rsidRPr="00424F46" w:rsidR="00765637" w:rsidP="00765637" w:rsidRDefault="00765637">
      <w:pPr>
        <w:spacing w:after="0" w:line="288" w:lineRule="auto"/>
        <w:jc w:val="both"/>
        <w:rPr>
          <w:rFonts w:ascii="Times New Roman" w:hAnsi="Times New Roman" w:cs="Times New Roman"/>
          <w:bCs/>
          <w:sz w:val="18"/>
          <w:szCs w:val="18"/>
          <w:lang w:val="en-GB"/>
        </w:rPr>
      </w:pPr>
    </w:p>
    <w:p w:rsidRPr="00424F46" w:rsidR="00765637" w:rsidRDefault="00020F19">
      <w:pPr>
        <w:spacing w:after="0" w:line="288" w:lineRule="auto"/>
        <w:jc w:val="center"/>
        <w:rPr>
          <w:rFonts w:ascii="Times New Roman" w:hAnsi="Times New Roman" w:cs="Times New Roman"/>
          <w:bCs/>
          <w:i/>
          <w:iCs/>
        </w:rPr>
      </w:pPr>
      <w:r>
        <w:rPr>
          <w:rFonts w:ascii="Times New Roman" w:hAnsi="Times New Roman"/>
          <w:i/>
        </w:rPr>
        <w:t>Mi vagyunk az utolsó generáció, amely képes megállítani az éghajlatváltozást, és az EGSZB-nek mint az európai civil társadalom szószólójának vezető szerepet kell játszania a szén-dioxid-semleges, inkluzív és társadalmilag igazságos társadalmak megvalósításához szükséges átállások előmozdításában.</w:t>
      </w:r>
      <w:r>
        <w:rPr>
          <w:rFonts w:ascii="Times New Roman" w:hAnsi="Times New Roman"/>
          <w:i/>
        </w:rPr>
        <w:br w:type="page"/>
      </w:r>
    </w:p>
    <w:p w:rsidRPr="00424F46" w:rsidR="0040134E" w:rsidP="00EF3B48" w:rsidRDefault="0040134E">
      <w:pPr>
        <w:keepNext/>
        <w:spacing w:after="0" w:line="288" w:lineRule="auto"/>
        <w:jc w:val="both"/>
        <w:rPr>
          <w:rFonts w:ascii="Times New Roman" w:hAnsi="Times New Roman" w:cs="Times New Roman"/>
          <w:b/>
        </w:rPr>
      </w:pPr>
      <w:r>
        <w:rPr>
          <w:rFonts w:ascii="Times New Roman" w:hAnsi="Times New Roman"/>
          <w:b/>
        </w:rPr>
        <w:lastRenderedPageBreak/>
        <w:t>AZ EURÓPAI GAZDASÁGI ÉS SZOCIÁLIS BIZOTTSÁG SZAKPOLITIKAI AJÁNLÁSAI:</w:t>
      </w:r>
    </w:p>
    <w:p w:rsidRPr="00424F46" w:rsidR="00765637" w:rsidP="00EF3B48" w:rsidRDefault="00765637">
      <w:pPr>
        <w:keepNext/>
        <w:spacing w:after="0" w:line="288" w:lineRule="auto"/>
        <w:jc w:val="both"/>
        <w:rPr>
          <w:rFonts w:ascii="Times New Roman" w:hAnsi="Times New Roman" w:cs="Times New Roman"/>
          <w:b/>
          <w:lang w:val="en-GB"/>
        </w:rPr>
      </w:pPr>
    </w:p>
    <w:p w:rsidRPr="00424F46" w:rsidR="0040134E" w:rsidP="00EF3B48" w:rsidRDefault="00492189">
      <w:pPr>
        <w:keepNext/>
        <w:spacing w:after="0" w:line="288" w:lineRule="auto"/>
        <w:jc w:val="both"/>
        <w:rPr>
          <w:rFonts w:ascii="Times New Roman" w:hAnsi="Times New Roman"/>
          <w:b/>
          <w:i/>
        </w:rPr>
      </w:pPr>
      <w:r>
        <w:rPr>
          <w:rFonts w:ascii="Times New Roman" w:hAnsi="Times New Roman"/>
          <w:b/>
          <w:i/>
        </w:rPr>
        <w:t>Az éghajlat-politikai törekvések fokozása az éghajlati vészhelyzet kezelése és az uniós éghajlat-politikai fellépés fokozása érdekében</w:t>
      </w:r>
    </w:p>
    <w:p w:rsidRPr="00424F46" w:rsidR="00765637" w:rsidP="00EF3B48" w:rsidRDefault="00765637">
      <w:pPr>
        <w:keepNext/>
        <w:spacing w:after="0" w:line="288" w:lineRule="auto"/>
        <w:jc w:val="both"/>
        <w:rPr>
          <w:rFonts w:ascii="Times New Roman" w:hAnsi="Times New Roman" w:cs="Times New Roman"/>
          <w:bCs/>
          <w:iCs/>
          <w:lang w:val="en-GB" w:eastAsia="en-GB"/>
        </w:rPr>
      </w:pPr>
    </w:p>
    <w:p w:rsidRPr="00424F46" w:rsidR="00A133B3" w:rsidRDefault="001522F6">
      <w:pPr>
        <w:pStyle w:val="ListParagraph"/>
        <w:spacing w:after="0" w:line="288" w:lineRule="auto"/>
        <w:ind w:left="0"/>
        <w:jc w:val="both"/>
        <w:rPr>
          <w:rFonts w:ascii="Times New Roman" w:hAnsi="Times New Roman" w:cs="Times New Roman"/>
          <w:bCs/>
          <w:iCs/>
        </w:rPr>
      </w:pPr>
      <w:r>
        <w:rPr>
          <w:rFonts w:ascii="Times New Roman" w:hAnsi="Times New Roman"/>
        </w:rPr>
        <w:t>Az Európai Gazdasági és Szociális Bizottság (EGSZB) mint az európai szervezett civil társadalom szócsöve, az Európai Parlament, a Tanács és az Európai Bizottság tanácsadó szerve és a globális civil társadalmi közösség része</w:t>
      </w:r>
    </w:p>
    <w:p w:rsidRPr="00424F46" w:rsidR="00A133B3" w:rsidP="00F5520F" w:rsidRDefault="00A133B3">
      <w:pPr>
        <w:pStyle w:val="ListParagraph"/>
        <w:spacing w:after="0" w:line="288" w:lineRule="auto"/>
        <w:ind w:left="0"/>
        <w:jc w:val="both"/>
        <w:rPr>
          <w:rFonts w:ascii="Times New Roman" w:hAnsi="Times New Roman" w:cs="Times New Roman"/>
          <w:bCs/>
          <w:iCs/>
          <w:lang w:val="en-GB" w:eastAsia="en-GB"/>
        </w:rPr>
      </w:pPr>
    </w:p>
    <w:p w:rsidRPr="00424F46" w:rsidR="00C5108E" w:rsidP="00F5520F" w:rsidRDefault="001522F6">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rámutat arra, hogy 30 évvel ezelőtt fogadták el az ENSZ Éghajlatváltozási Keretegyezményét (UNFCCC), amelynek végső célja, hogy „olyan szinten stabilizálják az üvegházhatást okozó gázok koncentrációját a légkörben, amely meggátolja az éghajlati rendszerre gyakorolt káros, emberi eredetű hatást” (2. cikk), ezt a célt pedig nem sikerült elérni;</w:t>
      </w:r>
    </w:p>
    <w:p w:rsidRPr="00424F46" w:rsidR="00E25EDF" w:rsidP="00F5520F" w:rsidRDefault="00E25EDF">
      <w:pPr>
        <w:pStyle w:val="ListParagraph"/>
        <w:spacing w:after="0" w:line="288" w:lineRule="auto"/>
        <w:ind w:left="567" w:hanging="567"/>
        <w:jc w:val="both"/>
        <w:rPr>
          <w:rFonts w:ascii="Times New Roman" w:hAnsi="Times New Roman" w:cs="Times New Roman"/>
          <w:lang w:val="en-GB"/>
        </w:rPr>
      </w:pPr>
    </w:p>
    <w:p w:rsidRPr="00424F46" w:rsidR="00A73469" w:rsidP="00F5520F" w:rsidRDefault="00FC5DCF">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felhívja a figyelmet arra, hogy a 2015-ös Párizsi Megállapodás az Éghajlatváltozási Egyezmény minőségi célkitűzése – az éghajlatba való beavatkozás megelőzése – helyett egy mennyiségi célkitűzést állított elénk: „a globális átlaghőmérséklet emelkedését jóval az iparosodás előtti átlaghőmérsékletnél 2 °C-kal magasabb hőmérsékletszint alatt lehessen tartani; egyúttal törekedve arra, hogy a hőmérséklet-emelkedés az iparosodás előtti átlaghőmérséklet feletti 1,5 °C mértékre korlátozódjon”</w:t>
      </w:r>
      <w:r w:rsidRPr="00424F46" w:rsidR="00C5108E">
        <w:rPr>
          <w:rStyle w:val="FootnoteReference"/>
          <w:rFonts w:ascii="Times New Roman" w:hAnsi="Times New Roman" w:cs="Times New Roman"/>
          <w:lang w:val="en-GB"/>
        </w:rPr>
        <w:footnoteReference w:id="2"/>
      </w:r>
      <w:r>
        <w:rPr>
          <w:rFonts w:ascii="Times New Roman" w:hAnsi="Times New Roman"/>
        </w:rPr>
        <w:t>;</w:t>
      </w:r>
    </w:p>
    <w:p w:rsidRPr="00424F46" w:rsidR="00A73469" w:rsidP="00F5520F" w:rsidRDefault="00A73469">
      <w:pPr>
        <w:pStyle w:val="ListParagraph"/>
        <w:spacing w:after="0" w:line="288" w:lineRule="auto"/>
        <w:ind w:left="567" w:hanging="567"/>
        <w:jc w:val="both"/>
        <w:rPr>
          <w:rFonts w:ascii="Times New Roman" w:hAnsi="Times New Roman" w:cs="Times New Roman"/>
          <w:lang w:val="en-GB"/>
        </w:rPr>
      </w:pPr>
    </w:p>
    <w:p w:rsidRPr="00424F46" w:rsidR="00C5108E" w:rsidP="00F5520F" w:rsidRDefault="00C5108E">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hangsúlyozza, hogy az 1,5 °C-os cél nem lesz elegendő az éghajlatváltozás drámai következményeinek elkerüléséhez. Amint azt a bizonyítékok is mutatják, az éghajlatváltozás már most is világszerte minden régiót megváltoztat.</w:t>
      </w:r>
      <w:r>
        <w:t xml:space="preserve"> </w:t>
      </w:r>
      <w:r>
        <w:rPr>
          <w:rFonts w:ascii="Times New Roman" w:hAnsi="Times New Roman"/>
        </w:rPr>
        <w:t>Az árvizek, aszályok, viharok, tüzek és hőhullámok száma exponenciálisan növekszik, ami pusztító társadalmi hatásokkal és évente több milliárdos gazdasági hatással jár</w:t>
      </w:r>
      <w:r w:rsidRPr="00424F46">
        <w:rPr>
          <w:rStyle w:val="FootnoteReference"/>
          <w:rFonts w:ascii="Times New Roman" w:hAnsi="Times New Roman" w:cs="Times New Roman"/>
          <w:lang w:val="en-GB"/>
        </w:rPr>
        <w:footnoteReference w:id="3"/>
      </w:r>
      <w:r>
        <w:rPr>
          <w:rFonts w:ascii="Times New Roman" w:hAnsi="Times New Roman"/>
        </w:rPr>
        <w:t>;</w:t>
      </w:r>
    </w:p>
    <w:p w:rsidRPr="00424F46" w:rsidR="00A73469" w:rsidP="00F5520F" w:rsidRDefault="00A73469">
      <w:pPr>
        <w:pStyle w:val="ListParagraph"/>
        <w:spacing w:after="0" w:line="288" w:lineRule="auto"/>
        <w:ind w:left="567" w:hanging="567"/>
        <w:jc w:val="both"/>
        <w:rPr>
          <w:rFonts w:ascii="Times New Roman" w:hAnsi="Times New Roman" w:cs="Times New Roman"/>
          <w:lang w:val="en-GB"/>
        </w:rPr>
      </w:pPr>
    </w:p>
    <w:p w:rsidRPr="00424F46" w:rsidR="00A73469" w:rsidP="00F5520F" w:rsidRDefault="00A73469">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hangsúlyozza, hogy éghajlati vészhelyzetben élünk, és az Egyezmény 2. cikkét annak ellenére sem lenne szabad feladnunk, hogy azt az UNFCCC jelenleg nem képes teljesíteni;</w:t>
      </w:r>
    </w:p>
    <w:p w:rsidRPr="00424F46" w:rsidR="00EA2B05" w:rsidP="00F5520F" w:rsidRDefault="00EA2B05">
      <w:pPr>
        <w:pStyle w:val="ListParagraph"/>
        <w:spacing w:after="0" w:line="288" w:lineRule="auto"/>
        <w:ind w:left="567" w:hanging="567"/>
        <w:jc w:val="both"/>
        <w:rPr>
          <w:rFonts w:ascii="Times New Roman" w:hAnsi="Times New Roman" w:cs="Times New Roman"/>
          <w:lang w:val="en-GB"/>
        </w:rPr>
      </w:pPr>
    </w:p>
    <w:p w:rsidRPr="00424F46" w:rsidR="00EA2B05" w:rsidP="00F5520F" w:rsidRDefault="00794F2D">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mély meggyőződése, hogy a szakpolitikai döntéseknek a tudományra és a tudományos információkra kell reagálniuk, és rámutat, hogy az IPCC egyértelmű referenciaértékeket határozott meg: a kibocsátásoknak „legkésőbb 2025 előtt” kell tetőzniük</w:t>
      </w:r>
      <w:r w:rsidRPr="00424F46" w:rsidR="00D27A92">
        <w:rPr>
          <w:rStyle w:val="FootnoteReference"/>
          <w:rFonts w:ascii="Times New Roman" w:hAnsi="Times New Roman" w:cs="Times New Roman"/>
          <w:lang w:val="en-GB"/>
        </w:rPr>
        <w:footnoteReference w:id="4"/>
      </w:r>
      <w:r>
        <w:rPr>
          <w:rFonts w:ascii="Times New Roman" w:hAnsi="Times New Roman"/>
        </w:rPr>
        <w:t>, a világnak pedig 2030-ig 45%-kal kell csökkentenie a kibocsátást a 2010-es szinthez képest, hogy fenntartsa az 1,5 °C-os hőmérséklet-növekedés lehetőségét;</w:t>
      </w:r>
    </w:p>
    <w:p w:rsidRPr="00424F46" w:rsidR="00EA2B05" w:rsidP="00F5520F" w:rsidRDefault="00EA2B05">
      <w:pPr>
        <w:pStyle w:val="ListParagraph"/>
        <w:spacing w:after="0" w:line="288" w:lineRule="auto"/>
        <w:ind w:left="567" w:hanging="567"/>
        <w:jc w:val="both"/>
        <w:rPr>
          <w:rFonts w:ascii="Times New Roman" w:hAnsi="Times New Roman" w:cs="Times New Roman"/>
          <w:lang w:val="en-GB"/>
        </w:rPr>
      </w:pPr>
    </w:p>
    <w:p w:rsidRPr="00424F46" w:rsidR="00EA1709" w:rsidP="00F5520F" w:rsidRDefault="00EA2B05">
      <w:pPr>
        <w:pStyle w:val="ListParagraph"/>
        <w:numPr>
          <w:ilvl w:val="0"/>
          <w:numId w:val="11"/>
        </w:numPr>
        <w:spacing w:after="0" w:line="288" w:lineRule="auto"/>
        <w:ind w:left="567" w:hanging="567"/>
        <w:jc w:val="both"/>
        <w:rPr>
          <w:rFonts w:ascii="Times New Roman" w:hAnsi="Times New Roman" w:cs="Times New Roman"/>
          <w:b/>
          <w:bCs/>
        </w:rPr>
      </w:pPr>
      <w:r>
        <w:rPr>
          <w:rFonts w:ascii="Times New Roman" w:hAnsi="Times New Roman"/>
        </w:rPr>
        <w:t xml:space="preserve">elismeri, hogy Oroszország Ukrajna elleni inváziója tovább súlyosbította a már amúgy is nehéz helyzetet, amelyet az infláció, a magas energia- és élelmiszerárak és az esetleges energiahiány </w:t>
      </w:r>
      <w:r>
        <w:rPr>
          <w:rFonts w:ascii="Times New Roman" w:hAnsi="Times New Roman"/>
        </w:rPr>
        <w:lastRenderedPageBreak/>
        <w:t xml:space="preserve">jellemez, ami súlyos hatást gyakorol a polgárok életére, és – legalábbis rövid távon – súlyos társadalmi és gazdasági kihívásokat teremt. Az EGSZB úgy véli, hogy a jelenlegi helyzet még sürgetőbbé teszi az európai éghajlat-politikai fellépést, és hogy </w:t>
      </w:r>
      <w:r>
        <w:rPr>
          <w:rFonts w:ascii="Times New Roman" w:hAnsi="Times New Roman"/>
          <w:b/>
        </w:rPr>
        <w:t>az új geopolitikai helyzet megerősíti, hogy az EU-nak fel kell gyorsítania energia- és éghajlat-politikájának átalakítását</w:t>
      </w:r>
      <w:r>
        <w:rPr>
          <w:rFonts w:ascii="Times New Roman" w:hAnsi="Times New Roman"/>
        </w:rPr>
        <w:t>;</w:t>
      </w:r>
    </w:p>
    <w:p w:rsidRPr="00424F46" w:rsidR="00CB14BC" w:rsidP="00F5520F" w:rsidRDefault="00CB14BC">
      <w:pPr>
        <w:pStyle w:val="ListParagraph"/>
        <w:spacing w:after="0" w:line="288" w:lineRule="auto"/>
        <w:ind w:left="567" w:hanging="567"/>
        <w:jc w:val="both"/>
        <w:rPr>
          <w:rFonts w:ascii="Times New Roman" w:hAnsi="Times New Roman" w:cs="Times New Roman"/>
          <w:lang w:val="en-GB"/>
        </w:rPr>
      </w:pPr>
    </w:p>
    <w:p w:rsidRPr="00424F46" w:rsidR="00EA2B05" w:rsidP="00F5520F" w:rsidRDefault="003D0D15">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meggyőződése, hogy a gazdaság dekarbonizációjára, a külső függőségek további csökkentésére, a reziliencia biztosítására és az igazságos átmenet elősegítésére irányuló célkitűzés elérése érdekében </w:t>
      </w:r>
      <w:r>
        <w:rPr>
          <w:rFonts w:ascii="Times New Roman" w:hAnsi="Times New Roman"/>
          <w:b/>
        </w:rPr>
        <w:t>meg kell erősíteni az európai zöld megállapodást</w:t>
      </w:r>
      <w:r>
        <w:rPr>
          <w:rFonts w:ascii="Times New Roman" w:hAnsi="Times New Roman"/>
        </w:rPr>
        <w:t>, és az elfogadott céloktól való kivételes eltérések csak korlátozott időtartamra engedélyezhetők</w:t>
      </w:r>
      <w:r w:rsidRPr="00EF3B48" w:rsidR="00EA2B05">
        <w:rPr>
          <w:rStyle w:val="FootnoteReference"/>
          <w:rFonts w:ascii="Times New Roman" w:hAnsi="Times New Roman" w:cs="Times New Roman"/>
          <w:lang w:val="en-GB"/>
        </w:rPr>
        <w:footnoteReference w:id="5"/>
      </w:r>
      <w:r>
        <w:rPr>
          <w:rFonts w:ascii="Times New Roman" w:hAnsi="Times New Roman"/>
        </w:rPr>
        <w:t>; úgy véli továbbá, hogy a nyitott stratégiai autonómia kialakításának biztosítania kell az energia, a kritikus fontosságú nyersanyagok és az élelmiszerek terén meglévő függőségek csökkentését;</w:t>
      </w:r>
    </w:p>
    <w:p w:rsidRPr="00424F46" w:rsidR="00EA2B05" w:rsidP="00F5520F" w:rsidRDefault="00EA2B05">
      <w:pPr>
        <w:pStyle w:val="ListParagraph"/>
        <w:spacing w:after="0" w:line="288" w:lineRule="auto"/>
        <w:ind w:left="567" w:hanging="567"/>
        <w:jc w:val="both"/>
        <w:rPr>
          <w:rFonts w:ascii="Times New Roman" w:hAnsi="Times New Roman" w:cs="Times New Roman"/>
          <w:lang w:val="en-GB"/>
        </w:rPr>
      </w:pPr>
    </w:p>
    <w:p w:rsidRPr="00424F46" w:rsidR="00553760" w:rsidP="00F5520F" w:rsidRDefault="00EA2B05">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sürgeti az </w:t>
      </w:r>
      <w:r>
        <w:rPr>
          <w:rFonts w:ascii="Times New Roman" w:hAnsi="Times New Roman"/>
          <w:b/>
        </w:rPr>
        <w:t>EU-t, hogy vállaljon vezető szerepet</w:t>
      </w:r>
      <w:r>
        <w:rPr>
          <w:rFonts w:ascii="Times New Roman" w:hAnsi="Times New Roman"/>
        </w:rPr>
        <w:t xml:space="preserve">, és kéri az Európai Bizottságot és az uniós tagállamokat, hogy a glasgow-i éghajlati paktumot követően </w:t>
      </w:r>
      <w:r>
        <w:rPr>
          <w:rFonts w:ascii="Times New Roman" w:hAnsi="Times New Roman"/>
          <w:b/>
        </w:rPr>
        <w:t>aktualizálják a nemzetileg meghatározott hozzájárulást</w:t>
      </w:r>
      <w:r>
        <w:rPr>
          <w:rFonts w:ascii="Times New Roman" w:hAnsi="Times New Roman"/>
        </w:rPr>
        <w:t>, és a méltányosságon, a történelmi felelősségvállaláson és a képességeken alapuló globális méltányos elosztást szorgalmaz;</w:t>
      </w:r>
    </w:p>
    <w:p w:rsidRPr="00424F46" w:rsidR="00D27A92" w:rsidP="00F5520F" w:rsidRDefault="00D27A92">
      <w:pPr>
        <w:pStyle w:val="ListParagraph"/>
        <w:spacing w:after="0" w:line="288" w:lineRule="auto"/>
        <w:ind w:left="567" w:hanging="567"/>
        <w:jc w:val="both"/>
        <w:rPr>
          <w:rFonts w:ascii="Times New Roman" w:hAnsi="Times New Roman" w:cs="Times New Roman"/>
          <w:lang w:val="en-GB"/>
        </w:rPr>
      </w:pPr>
    </w:p>
    <w:p w:rsidRPr="00424F46" w:rsidR="00EA2B05" w:rsidP="00F5520F" w:rsidRDefault="00EA2B05">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üdvözli az Európai Parlamentnek a kibocsátáskereskedelmi rendszerről</w:t>
      </w:r>
      <w:r w:rsidRPr="00424F46" w:rsidR="00CB14BC">
        <w:rPr>
          <w:rStyle w:val="FootnoteReference"/>
          <w:rFonts w:ascii="Times New Roman" w:hAnsi="Times New Roman" w:cs="Times New Roman"/>
          <w:lang w:val="en-GB"/>
        </w:rPr>
        <w:footnoteReference w:id="6"/>
      </w:r>
      <w:r>
        <w:rPr>
          <w:rFonts w:ascii="Times New Roman" w:hAnsi="Times New Roman"/>
        </w:rPr>
        <w:t xml:space="preserve"> és a szénelnyelőkről</w:t>
      </w:r>
      <w:r w:rsidRPr="00424F46" w:rsidR="00CB14BC">
        <w:rPr>
          <w:rStyle w:val="FootnoteReference"/>
          <w:rFonts w:ascii="Times New Roman" w:hAnsi="Times New Roman" w:cs="Times New Roman"/>
          <w:lang w:val="en-GB"/>
        </w:rPr>
        <w:footnoteReference w:id="7"/>
      </w:r>
      <w:r>
        <w:rPr>
          <w:rFonts w:ascii="Times New Roman" w:hAnsi="Times New Roman"/>
        </w:rPr>
        <w:t xml:space="preserve"> szóló határozatait, amelyek az uniós kibocsátáscsökkentési cél kismértékű emelkedését eredményezik, ami – bár nem elégséges – felhívást jelent az uniós nemzetileg meghatározott hozzájárulások növelésére;</w:t>
      </w:r>
    </w:p>
    <w:p w:rsidRPr="00424F46" w:rsidR="00EA2B05" w:rsidP="00F5520F" w:rsidRDefault="00EA2B05">
      <w:pPr>
        <w:pStyle w:val="ListParagraph"/>
        <w:spacing w:after="0" w:line="288" w:lineRule="auto"/>
        <w:ind w:left="567" w:hanging="567"/>
        <w:jc w:val="both"/>
        <w:rPr>
          <w:rFonts w:ascii="Times New Roman" w:hAnsi="Times New Roman" w:cs="Times New Roman"/>
          <w:lang w:val="en-GB"/>
        </w:rPr>
      </w:pPr>
    </w:p>
    <w:p w:rsidRPr="00424F46" w:rsidR="00EA2B05" w:rsidP="00F5520F" w:rsidRDefault="00D27A92">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aggodalmát fejezi ki amiatt, hogy számos ország olyan hosszú távú terveket jelentett be, amelyek célja a klímasemlegesség 2050-ig vagy 2060-ig történő elérése, és amelyeket nem támasztanak alá megfelelő rövid és középtávú tervek, ezért kéri az Európai Bizottságot, hogy </w:t>
      </w:r>
      <w:r>
        <w:rPr>
          <w:rFonts w:ascii="Times New Roman" w:hAnsi="Times New Roman"/>
          <w:b/>
        </w:rPr>
        <w:t>fokozza</w:t>
      </w:r>
      <w:r>
        <w:rPr>
          <w:rFonts w:ascii="Times New Roman" w:hAnsi="Times New Roman"/>
        </w:rPr>
        <w:t xml:space="preserve"> az annak ösztönzésére irányuló</w:t>
      </w:r>
      <w:r>
        <w:rPr>
          <w:rFonts w:ascii="Times New Roman" w:hAnsi="Times New Roman"/>
          <w:b/>
        </w:rPr>
        <w:t xml:space="preserve"> uniós diplomáciai erőfeszítéseket</w:t>
      </w:r>
      <w:r>
        <w:rPr>
          <w:rFonts w:ascii="Times New Roman" w:hAnsi="Times New Roman"/>
        </w:rPr>
        <w:t>, hogy a nemzetközi közösség az európai zöld megállapodáshoz hasonló szakpolitikai kereteket fogadjon el; készen áll arra, hogy támogassa ezt a törekvést azáltal, hogy világszerte együttműködik a civil társadalmi szervezetekkel, és a 2030-ig tartó időszakra szóló menetrendet és a fenntartható fejlődési célokat iránytűként kezeli az elkövetkező, döntő jelentőségű években;</w:t>
      </w:r>
    </w:p>
    <w:p w:rsidRPr="00424F46" w:rsidR="00444B59" w:rsidP="00F5520F" w:rsidRDefault="00444B59">
      <w:pPr>
        <w:pStyle w:val="ListParagraph"/>
        <w:spacing w:after="0" w:line="288" w:lineRule="auto"/>
        <w:ind w:left="0"/>
        <w:rPr>
          <w:rFonts w:ascii="Times New Roman" w:hAnsi="Times New Roman" w:cs="Times New Roman"/>
          <w:lang w:val="en-GB"/>
        </w:rPr>
      </w:pPr>
    </w:p>
    <w:p w:rsidRPr="00424F46" w:rsidR="003D0D15" w:rsidP="00F5520F" w:rsidRDefault="00C375B8">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kéri az EU-t, hogy fejlessze tovább a testre szabott intézkedésekre vagy „éghajlati klubokra” vonatkozó ágazati megközelítéseket, amelyeket a legambiciózusabb éghajlat-politikai cselekvési programokkal rendelkező országok között lehetne kidolgozni a többi nemzet gyorsabb fellépésének ösztönzése érdekében – ennek egyik eszköze lehetne az importáruk karbonintenzitását ellensúlyozó mechanizmus (CBAM) végrehajtása;</w:t>
      </w:r>
    </w:p>
    <w:p w:rsidRPr="00424F46" w:rsidR="00DE24B9" w:rsidP="00F5520F" w:rsidRDefault="00DE24B9">
      <w:pPr>
        <w:pStyle w:val="ListParagraph"/>
        <w:spacing w:after="0" w:line="288" w:lineRule="auto"/>
        <w:ind w:left="0"/>
        <w:jc w:val="both"/>
        <w:rPr>
          <w:rFonts w:ascii="Times New Roman" w:hAnsi="Times New Roman" w:cs="Times New Roman"/>
          <w:lang w:val="en-GB"/>
        </w:rPr>
      </w:pPr>
    </w:p>
    <w:p w:rsidRPr="00424F46" w:rsidR="001B07D7" w:rsidP="00F5520F" w:rsidRDefault="003D0D15">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úgy véli, hogy döntő és egyértelműen meghatározott fellépésre van szükség a Párizsi Megállapodás 6. cikkének végrehajtásához és a párizsi szabálykönyv kiegészítéséhez, amely keretet hoz létre az egyes országok kötelezettségvállalásainak teljesítését célzó </w:t>
      </w:r>
      <w:r>
        <w:rPr>
          <w:rFonts w:ascii="Times New Roman" w:hAnsi="Times New Roman"/>
        </w:rPr>
        <w:lastRenderedPageBreak/>
        <w:t>kibocsátáscsökkentésre irányuló önkéntes nemzetközi együttműködéshez, elkerülve a kettős elszámolással vagy a hamis kibocsátáscsökkentési kreditek kockázatával kapcsolatos egyes buktatókat;</w:t>
      </w:r>
    </w:p>
    <w:p w:rsidRPr="00424F46" w:rsidR="00DA7721" w:rsidP="00F5520F" w:rsidRDefault="00DA7721">
      <w:pPr>
        <w:pStyle w:val="ListParagraph"/>
        <w:spacing w:after="0" w:line="288" w:lineRule="auto"/>
        <w:ind w:left="0"/>
        <w:jc w:val="both"/>
        <w:rPr>
          <w:rFonts w:ascii="Times New Roman" w:hAnsi="Times New Roman" w:cs="Times New Roman"/>
          <w:lang w:val="en-GB"/>
        </w:rPr>
      </w:pPr>
    </w:p>
    <w:p w:rsidRPr="00424F46" w:rsidR="00DA7721" w:rsidP="00F5520F" w:rsidRDefault="00DA7721">
      <w:pPr>
        <w:pStyle w:val="ListParagraph"/>
        <w:keepNext/>
        <w:keepLines/>
        <w:spacing w:after="0" w:line="288" w:lineRule="auto"/>
        <w:ind w:left="0"/>
        <w:jc w:val="both"/>
        <w:rPr>
          <w:rFonts w:ascii="Times New Roman" w:hAnsi="Times New Roman" w:cs="Times New Roman"/>
          <w:b/>
          <w:bCs/>
          <w:i/>
          <w:iCs/>
        </w:rPr>
      </w:pPr>
      <w:r>
        <w:rPr>
          <w:rFonts w:ascii="Times New Roman" w:hAnsi="Times New Roman"/>
          <w:b/>
          <w:i/>
        </w:rPr>
        <w:t>Jelenlegi gazdasági modellünk felülvizsgálata az éghajlatváltozás mérséklésének és az ahhoz való alkalmazkodásnak a hatékony kezelése, valamint az éghajlatváltozás elleni küzdelem finanszírozásához való megfelelő hozzáférés biztosítása érdekében</w:t>
      </w:r>
    </w:p>
    <w:p w:rsidRPr="00424F46" w:rsidR="00DA7721" w:rsidP="00F5520F" w:rsidRDefault="00DA7721">
      <w:pPr>
        <w:pStyle w:val="ListParagraph"/>
        <w:keepNext/>
        <w:keepLines/>
        <w:spacing w:after="0" w:line="288" w:lineRule="auto"/>
        <w:ind w:left="0"/>
        <w:jc w:val="both"/>
        <w:rPr>
          <w:rFonts w:ascii="Times New Roman" w:hAnsi="Times New Roman" w:cs="Times New Roman"/>
          <w:b/>
          <w:bCs/>
          <w:lang w:val="en-GB"/>
        </w:rPr>
      </w:pPr>
    </w:p>
    <w:p w:rsidRPr="00424F46" w:rsidR="006D019C" w:rsidP="00F5520F" w:rsidRDefault="00D27A92">
      <w:pPr>
        <w:pStyle w:val="ListParagraph"/>
        <w:numPr>
          <w:ilvl w:val="0"/>
          <w:numId w:val="11"/>
        </w:numPr>
        <w:spacing w:after="0" w:line="288" w:lineRule="auto"/>
        <w:ind w:left="567" w:hanging="567"/>
        <w:jc w:val="both"/>
        <w:rPr>
          <w:rFonts w:ascii="Times New Roman" w:hAnsi="Times New Roman" w:cs="Times New Roman"/>
          <w:b/>
          <w:bCs/>
          <w:i/>
          <w:iCs/>
        </w:rPr>
      </w:pPr>
      <w:r>
        <w:rPr>
          <w:rFonts w:ascii="Times New Roman" w:hAnsi="Times New Roman"/>
        </w:rPr>
        <w:t xml:space="preserve">hangsúlyozza, hogy a klímasemleges társadalomra való átállás felgyorsítása érdekében </w:t>
      </w:r>
      <w:r>
        <w:rPr>
          <w:rFonts w:ascii="Times New Roman" w:hAnsi="Times New Roman"/>
          <w:b/>
        </w:rPr>
        <w:t>felül kell vizsgálnunk jelenlegi gazdasági modellünket</w:t>
      </w:r>
      <w:r>
        <w:rPr>
          <w:rFonts w:ascii="Times New Roman" w:hAnsi="Times New Roman"/>
        </w:rPr>
        <w:t xml:space="preserve"> annak érdekében, hogy újragondoljuk fogyasztásunk és termelésünk módját, valamint azt, hogy miként értékeljük a mértékletességet; kéri továbbá az EU-t, hogy a környezeti fenntarthatóság, a méltó élethez való jog és a társadalmi értékek védelmének elve alapján tegyen javaslatot az emberek és a bolygó jólétére vonatkozó új jövőképre</w:t>
      </w:r>
      <w:r w:rsidRPr="00424F46">
        <w:rPr>
          <w:rStyle w:val="FootnoteReference"/>
          <w:rFonts w:ascii="Times New Roman" w:hAnsi="Times New Roman" w:cs="Times New Roman"/>
          <w:lang w:val="en-GB"/>
        </w:rPr>
        <w:footnoteReference w:id="8"/>
      </w:r>
      <w:r>
        <w:rPr>
          <w:rFonts w:ascii="Times New Roman" w:hAnsi="Times New Roman"/>
        </w:rPr>
        <w:t>;</w:t>
      </w:r>
    </w:p>
    <w:p w:rsidRPr="00424F46" w:rsidR="00F426F7" w:rsidP="00F5520F" w:rsidRDefault="00F426F7">
      <w:pPr>
        <w:pStyle w:val="ListParagraph"/>
        <w:spacing w:after="0" w:line="288" w:lineRule="auto"/>
        <w:ind w:left="0"/>
        <w:jc w:val="both"/>
        <w:rPr>
          <w:rFonts w:ascii="Times New Roman" w:hAnsi="Times New Roman"/>
          <w:b/>
          <w:lang w:val="en-GB"/>
        </w:rPr>
      </w:pPr>
    </w:p>
    <w:p w:rsidRPr="00424F46" w:rsidR="00F426F7" w:rsidP="00F5520F" w:rsidRDefault="00F426F7">
      <w:pPr>
        <w:pStyle w:val="ListParagraph"/>
        <w:numPr>
          <w:ilvl w:val="0"/>
          <w:numId w:val="11"/>
        </w:numPr>
        <w:spacing w:after="0" w:line="288" w:lineRule="auto"/>
        <w:ind w:left="567" w:hanging="567"/>
        <w:jc w:val="both"/>
        <w:rPr>
          <w:rFonts w:ascii="Times New Roman" w:hAnsi="Times New Roman" w:cs="Times New Roman"/>
          <w:b/>
          <w:bCs/>
          <w:i/>
          <w:iCs/>
        </w:rPr>
      </w:pPr>
      <w:r>
        <w:rPr>
          <w:rFonts w:ascii="Times New Roman" w:hAnsi="Times New Roman"/>
          <w:b/>
        </w:rPr>
        <w:t>új irányítási keretet</w:t>
      </w:r>
      <w:r>
        <w:rPr>
          <w:rFonts w:ascii="Times New Roman" w:hAnsi="Times New Roman"/>
        </w:rPr>
        <w:t xml:space="preserve"> javasol ezeknek a gyökeres változásoknak a kidolgozása érdekében, és arra ösztönzi a kormányokat és a regionális hatóságokat, hogy hozzanak létre </w:t>
      </w:r>
      <w:r>
        <w:rPr>
          <w:rFonts w:ascii="Times New Roman" w:hAnsi="Times New Roman"/>
          <w:b/>
        </w:rPr>
        <w:t>az igazságos átmenettel foglalkozó bizottságokat,</w:t>
      </w:r>
      <w:r>
        <w:rPr>
          <w:rFonts w:ascii="Times New Roman" w:hAnsi="Times New Roman"/>
        </w:rPr>
        <w:t xml:space="preserve"> amelyek lehetővé teszik a szociális partnerek és a civil társadalmi – köztük az ifjúsági – szervezetek számára, hogy ajánlásokat tegyenek, valamint az igazságos átmenettel kapcsolatos nemzeti és regionális terveket tárgyaljanak és dolgozzanak ki</w:t>
      </w:r>
      <w:r w:rsidRPr="00424F46">
        <w:rPr>
          <w:rStyle w:val="FootnoteReference"/>
          <w:rFonts w:ascii="Times New Roman" w:hAnsi="Times New Roman" w:cs="Times New Roman"/>
          <w:lang w:val="en-GB"/>
        </w:rPr>
        <w:footnoteReference w:id="9"/>
      </w:r>
      <w:r>
        <w:rPr>
          <w:rFonts w:ascii="Times New Roman" w:hAnsi="Times New Roman"/>
        </w:rPr>
        <w:t>; úgy véli, hogy a zöld átállás társadalmi kihívásainak kezelésére irányuló, meglévő kezdeményezések továbbra is széttagoltak</w:t>
      </w:r>
      <w:r w:rsidRPr="00424F46" w:rsidR="00CA61D4">
        <w:rPr>
          <w:rStyle w:val="FootnoteReference"/>
          <w:rFonts w:ascii="Times New Roman" w:hAnsi="Times New Roman" w:cs="Times New Roman"/>
          <w:lang w:val="en-GB"/>
        </w:rPr>
        <w:footnoteReference w:id="10"/>
      </w:r>
      <w:r>
        <w:rPr>
          <w:rFonts w:ascii="Times New Roman" w:hAnsi="Times New Roman"/>
        </w:rPr>
        <w:t>;</w:t>
      </w:r>
    </w:p>
    <w:p w:rsidRPr="00424F46" w:rsidR="006D019C" w:rsidP="00F5520F" w:rsidRDefault="006D019C">
      <w:pPr>
        <w:pStyle w:val="ListParagraph"/>
        <w:spacing w:after="0" w:line="288" w:lineRule="auto"/>
        <w:ind w:left="0"/>
        <w:jc w:val="both"/>
        <w:rPr>
          <w:rFonts w:ascii="Times New Roman" w:hAnsi="Times New Roman" w:cs="Times New Roman"/>
          <w:lang w:val="en-GB"/>
        </w:rPr>
      </w:pPr>
    </w:p>
    <w:p w:rsidRPr="00424F46" w:rsidR="00492189" w:rsidP="00F5520F" w:rsidRDefault="00492189">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úgy véli, hogy a dekarbonizált gazdaságra való gyors átállás hatalmas kihívásokat fog jelenteni a polgárok, a munkavállalók, a vállalatok és a régiók számára, különösen azok számára, amelyek a leginkább függenek a nagy szén-dioxid-kibocsátású ágazatoktól és iparágaktól</w:t>
      </w:r>
      <w:r w:rsidRPr="00424F46">
        <w:rPr>
          <w:rStyle w:val="FootnoteReference"/>
          <w:rFonts w:ascii="Times New Roman" w:hAnsi="Times New Roman" w:cs="Times New Roman"/>
          <w:lang w:val="en-GB"/>
        </w:rPr>
        <w:footnoteReference w:id="11"/>
      </w:r>
      <w:r>
        <w:rPr>
          <w:rFonts w:ascii="Times New Roman" w:hAnsi="Times New Roman"/>
        </w:rPr>
        <w:t xml:space="preserve">, és hogy a </w:t>
      </w:r>
      <w:r>
        <w:rPr>
          <w:rFonts w:ascii="Times New Roman" w:hAnsi="Times New Roman"/>
          <w:b/>
        </w:rPr>
        <w:t>nemzetileg meghatározott hozzájárulásoknak magukban kell foglalniuk annak részletes feltérképezését</w:t>
      </w:r>
      <w:r>
        <w:rPr>
          <w:rFonts w:ascii="Times New Roman" w:hAnsi="Times New Roman"/>
        </w:rPr>
        <w:t xml:space="preserve"> és elemzését, hogy az átállás milyen hatást gyakorol az országban, az alrégiókban és az ágazatokban a foglalkoztatásra és a készségekre, beleértve az alvállalkozókat és a downstream értékláncokat is, </w:t>
      </w:r>
      <w:r>
        <w:rPr>
          <w:rFonts w:ascii="Times New Roman" w:hAnsi="Times New Roman"/>
          <w:b/>
        </w:rPr>
        <w:t>nemzeti foglalkoztatási tervek és az igazságos átmenetet szolgáló stratégiák kíséretében</w:t>
      </w:r>
      <w:r w:rsidRPr="00424F46">
        <w:rPr>
          <w:rStyle w:val="FootnoteReference"/>
          <w:rFonts w:ascii="Times New Roman" w:hAnsi="Times New Roman" w:cs="Times New Roman"/>
          <w:sz w:val="22"/>
          <w:lang w:val="en-GB"/>
        </w:rPr>
        <w:footnoteReference w:id="12"/>
      </w:r>
      <w:r>
        <w:rPr>
          <w:rFonts w:ascii="Times New Roman" w:hAnsi="Times New Roman"/>
        </w:rPr>
        <w:t>, az ILO igazságos átmenetre vonatkozó elve alapján; ezért támogatja az Európa jövőjéről szóló konferencia javaslatát</w:t>
      </w:r>
      <w:r w:rsidRPr="00424F46">
        <w:rPr>
          <w:rStyle w:val="FootnoteReference"/>
          <w:rFonts w:ascii="Times New Roman" w:hAnsi="Times New Roman" w:cs="Times New Roman"/>
          <w:lang w:val="en-GB"/>
        </w:rPr>
        <w:footnoteReference w:id="13"/>
      </w:r>
      <w:r>
        <w:rPr>
          <w:rFonts w:ascii="Times New Roman" w:hAnsi="Times New Roman"/>
        </w:rPr>
        <w:t xml:space="preserve"> egy olyan igazságos átmenet biztosítására, amely az átállás és a további kutatás megfelelő finanszírozása révén védi a munkavállalókat és a munkahelyeket;</w:t>
      </w:r>
    </w:p>
    <w:p w:rsidRPr="00424F46" w:rsidR="00492189" w:rsidP="00F5520F" w:rsidRDefault="00492189">
      <w:pPr>
        <w:pStyle w:val="ListParagraph"/>
        <w:spacing w:after="0" w:line="288" w:lineRule="auto"/>
        <w:ind w:left="0"/>
        <w:jc w:val="both"/>
        <w:rPr>
          <w:rFonts w:ascii="Times New Roman" w:hAnsi="Times New Roman" w:cs="Times New Roman"/>
          <w:lang w:val="en-GB"/>
        </w:rPr>
      </w:pPr>
    </w:p>
    <w:p w:rsidRPr="00424F46" w:rsidR="007322BD" w:rsidP="00F5520F" w:rsidRDefault="00492189">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lastRenderedPageBreak/>
        <w:t>hangsúlyozza, hogy a dekarbonizációs cél eléréséhez a rendszerek gyors, példátlan mértékű átalakítására lesz szükség, és a magánszektornak felelősséget kell vállalnia, és döntő szerepet kell játszania a folyamatban;</w:t>
      </w:r>
    </w:p>
    <w:p w:rsidRPr="00424F46" w:rsidR="007322BD" w:rsidP="00F5520F" w:rsidRDefault="007322BD">
      <w:pPr>
        <w:pStyle w:val="ListParagraph"/>
        <w:spacing w:after="0" w:line="288" w:lineRule="auto"/>
        <w:ind w:left="0"/>
        <w:jc w:val="both"/>
        <w:rPr>
          <w:rFonts w:ascii="Times New Roman" w:hAnsi="Times New Roman" w:cs="Times New Roman"/>
          <w:lang w:val="en-GB"/>
        </w:rPr>
      </w:pPr>
    </w:p>
    <w:p w:rsidRPr="00424F46" w:rsidR="00492189" w:rsidP="00F5520F" w:rsidRDefault="00492189">
      <w:pPr>
        <w:pStyle w:val="ListParagraph"/>
        <w:numPr>
          <w:ilvl w:val="0"/>
          <w:numId w:val="11"/>
        </w:numPr>
        <w:spacing w:after="0" w:line="288" w:lineRule="auto"/>
        <w:ind w:left="567" w:hanging="567"/>
        <w:jc w:val="both"/>
        <w:rPr>
          <w:rFonts w:ascii="Times New Roman" w:hAnsi="Times New Roman"/>
        </w:rPr>
      </w:pPr>
      <w:r>
        <w:rPr>
          <w:rFonts w:ascii="Times New Roman" w:hAnsi="Times New Roman"/>
        </w:rPr>
        <w:t>elismeri, hogy a vállalatok és a vállalkozók Unió-szerte számos különböző erőfeszítést tesznek annak érdekében, hogy üzleti megoldásokat dolgozzanak ki az éghajlatváltozással kapcsolatos kihívások enyhítésére és az azokhoz való alkalmazkodásra, és úgy véli, hogy az innovatív és felelős üzleti modelleknek mérhető fenntarthatósági célokra – többek között a víz, az energia vagy a vegyi anyagok csökkentett felhasználására – összpontosítva kell kezelniük az éghajlatváltozást;</w:t>
      </w:r>
    </w:p>
    <w:p w:rsidRPr="00424F46" w:rsidR="00492189" w:rsidP="00F5520F" w:rsidRDefault="00492189">
      <w:pPr>
        <w:pStyle w:val="ListParagraph"/>
        <w:spacing w:after="0" w:line="288" w:lineRule="auto"/>
        <w:ind w:left="0"/>
        <w:jc w:val="both"/>
        <w:rPr>
          <w:rFonts w:ascii="Times New Roman" w:hAnsi="Times New Roman" w:cs="Times New Roman"/>
          <w:lang w:val="en-GB"/>
        </w:rPr>
      </w:pPr>
    </w:p>
    <w:p w:rsidRPr="00424F46" w:rsidR="00492189" w:rsidP="00F5520F" w:rsidRDefault="00492189">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aggodalmát fejezi ki amiatt, hogy az EU-ban az üvegházhatást okozó gázok (ÜHG) kibocsátásának csökkentése az uniós fogyasztás kielégítése érdekében a külföldi kibocsátások növekedésével jár, ami az </w:t>
      </w:r>
      <w:r>
        <w:rPr>
          <w:rFonts w:ascii="Times New Roman" w:hAnsi="Times New Roman"/>
          <w:b/>
        </w:rPr>
        <w:t>ÜHG-k továbbgyűrűző hatásait</w:t>
      </w:r>
      <w:r>
        <w:rPr>
          <w:rFonts w:ascii="Times New Roman" w:hAnsi="Times New Roman"/>
        </w:rPr>
        <w:t xml:space="preserve"> eredményezi</w:t>
      </w:r>
      <w:r w:rsidRPr="00424F46">
        <w:rPr>
          <w:rStyle w:val="FootnoteReference"/>
          <w:rFonts w:ascii="Times New Roman" w:hAnsi="Times New Roman" w:cs="Times New Roman"/>
          <w:sz w:val="22"/>
          <w:lang w:val="en-GB"/>
        </w:rPr>
        <w:footnoteReference w:id="14"/>
      </w:r>
      <w:r>
        <w:rPr>
          <w:rFonts w:ascii="Times New Roman" w:hAnsi="Times New Roman"/>
        </w:rPr>
        <w:t>, és úgy véli, hogy az ÜHG-jegyzékre vonatkozó uniós megközelítésnek figyelembe kell vennie az importált termékekhez kapcsolódó ÜHG-kibocsátásokat, és prioritásként kell kezelni a társadalmi-gazdasági fejlődésnek az éghajlatra és a biológiai sokféleségre gyakorolt negatív hazai és importált hatásoktól való függetlenítését. A CBAM támogató intézkedést jelent ennek a célnak az eléréséhez;</w:t>
      </w:r>
    </w:p>
    <w:p w:rsidRPr="00424F46" w:rsidR="00492189" w:rsidP="00F5520F" w:rsidRDefault="00492189">
      <w:pPr>
        <w:pStyle w:val="ListParagraph"/>
        <w:spacing w:after="0" w:line="288" w:lineRule="auto"/>
        <w:ind w:left="0"/>
        <w:jc w:val="both"/>
        <w:rPr>
          <w:rFonts w:ascii="Times New Roman" w:hAnsi="Times New Roman" w:cs="Times New Roman"/>
          <w:lang w:val="en-GB"/>
        </w:rPr>
      </w:pPr>
    </w:p>
    <w:p w:rsidRPr="00424F46" w:rsidR="007E0872" w:rsidP="00765637" w:rsidRDefault="00570EB2">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megjegyzi, hogy </w:t>
      </w:r>
      <w:r>
        <w:rPr>
          <w:rFonts w:ascii="Times New Roman" w:hAnsi="Times New Roman"/>
          <w:b/>
        </w:rPr>
        <w:t>a biológiai sokféleség csökkenése és az éghajlatváltozás kölcsönösen erősítik egymást</w:t>
      </w:r>
      <w:r>
        <w:rPr>
          <w:rFonts w:ascii="Times New Roman" w:hAnsi="Times New Roman"/>
        </w:rPr>
        <w:t>, amint azt a tudományos közösség is hangsúlyozta; a biológiai sokféleség csökkenése és az éghajlatváltozás közötti kapcsolatok kezelésére irányuló környezetvédelmi fellépés holisztikus megközelítését szorgalmazza, és javasolja a védett területek méretének és a még meglévő természeti erőforrások védelmére irányuló erőfeszítéseknek a felülvizsgálatát és növelését a 2030-ig tartó időszakra szóló uniós biodiverzitási stratégia keretében</w:t>
      </w:r>
      <w:r w:rsidRPr="00424F46" w:rsidR="007E0872">
        <w:rPr>
          <w:rStyle w:val="FootnoteReference"/>
          <w:rFonts w:ascii="Times New Roman" w:hAnsi="Times New Roman" w:cs="Times New Roman"/>
          <w:lang w:val="en-GB"/>
        </w:rPr>
        <w:footnoteReference w:id="15"/>
      </w:r>
      <w:r>
        <w:rPr>
          <w:rFonts w:ascii="Times New Roman" w:hAnsi="Times New Roman"/>
        </w:rPr>
        <w:t>;</w:t>
      </w:r>
    </w:p>
    <w:p w:rsidRPr="00424F46" w:rsidR="007E0872" w:rsidP="00765637" w:rsidRDefault="007E0872">
      <w:pPr>
        <w:pStyle w:val="ListParagraph"/>
        <w:spacing w:after="0" w:line="288" w:lineRule="auto"/>
        <w:ind w:left="0"/>
        <w:jc w:val="both"/>
        <w:rPr>
          <w:rFonts w:ascii="Times New Roman" w:hAnsi="Times New Roman" w:cs="Times New Roman"/>
          <w:lang w:val="en-GB"/>
        </w:rPr>
      </w:pPr>
    </w:p>
    <w:p w:rsidRPr="00424F46" w:rsidR="00492189" w:rsidP="00F5520F" w:rsidRDefault="006D019C">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aggodalmát fejezi ki amiatt, hogy az éghajlatváltozás hatásai aránytalanul sújtják a legkiszolgáltatottabb helyzetű embereket, és hogy a globális kibocsátásokért legkevésbé felelős közösségek a legsúlyosabb hatásokkal szembesülnek, és nem mindig rendelkeznek a megküzdéshez szükséges erőforrásokkal;</w:t>
      </w:r>
    </w:p>
    <w:p w:rsidRPr="00424F46" w:rsidR="006D019C" w:rsidP="00F5520F" w:rsidRDefault="006D019C">
      <w:pPr>
        <w:pStyle w:val="ListParagraph"/>
        <w:spacing w:after="0" w:line="288" w:lineRule="auto"/>
        <w:ind w:left="0"/>
        <w:jc w:val="both"/>
        <w:rPr>
          <w:rFonts w:ascii="Times New Roman" w:hAnsi="Times New Roman" w:cs="Times New Roman"/>
          <w:lang w:val="en-GB"/>
        </w:rPr>
      </w:pPr>
    </w:p>
    <w:p w:rsidRPr="00424F46" w:rsidR="0044565F" w:rsidP="00F5520F" w:rsidRDefault="0044565F">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b/>
        </w:rPr>
        <w:t>rámutat arra, hogy az alkalmazkodásra irányuló fellépés</w:t>
      </w:r>
      <w:r>
        <w:rPr>
          <w:rFonts w:ascii="Times New Roman" w:hAnsi="Times New Roman"/>
        </w:rPr>
        <w:t xml:space="preserve"> egyre inkább létfontosságú, mivel az abnormális éghajlati események megsokszorozódnak, és hogy alapvetően fontos az éghajlatváltozás hatásainak jobb előrejelzése; rámutat, hogy a Párizsi Megállapodás hangsúlyozza a nemzeti szintű alkalmazkodás tervezési folyamatainak fontosságát azáltal, hogy valamennyi országot kötelezi az elért eredményekről való jelentéstételre, és a meglévő egyenlőtlenségek felerősítésének elkerülése érdekében sürgeti az inkluzivitás általános érvényesítését;</w:t>
      </w:r>
    </w:p>
    <w:p w:rsidRPr="00424F46" w:rsidR="00803823" w:rsidP="00F5520F" w:rsidRDefault="00803823">
      <w:pPr>
        <w:pStyle w:val="ListParagraph"/>
        <w:spacing w:after="0" w:line="288" w:lineRule="auto"/>
        <w:ind w:left="0"/>
        <w:jc w:val="both"/>
        <w:rPr>
          <w:rFonts w:ascii="Times New Roman" w:hAnsi="Times New Roman" w:cs="Times New Roman"/>
          <w:lang w:val="en-GB"/>
        </w:rPr>
      </w:pPr>
    </w:p>
    <w:p w:rsidRPr="00424F46" w:rsidR="0044565F" w:rsidP="00F5520F" w:rsidRDefault="0044565F">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lastRenderedPageBreak/>
        <w:t xml:space="preserve">kéri, hogy a fejlett országok növeljék a klímafinanszírozáshoz való teljes hozzájárulásukat, </w:t>
      </w:r>
      <w:r>
        <w:rPr>
          <w:rFonts w:ascii="Times New Roman" w:hAnsi="Times New Roman"/>
          <w:b/>
        </w:rPr>
        <w:t>„egyenlő hangsúlyt” helyezve a mérséklés és az alkalmazkodás finanszírozására</w:t>
      </w:r>
      <w:r>
        <w:rPr>
          <w:rFonts w:ascii="Times New Roman" w:hAnsi="Times New Roman"/>
        </w:rPr>
        <w:t>: az alkalmazkodás további finanszírozása nélkül korlátozott lesz az alkalmazkodás tervezése és végrehajtása, különösen a fejlődő országokban; további lépéseket szorgalmaz ennek az elvnek a tiszteletben tartása érdekében, tekintettel arra, hogy az éghajlatváltozás mérséklése megóv attól, hogy még mélyebb éghajlati válságot hagyjunk a jövő generációira, miközben az alkalmazkodás védi a jelenlegi és jövőbeli generációkat a már folyamatban lévő éghajlatváltozás okozta szélsőséges időjárási eseményektől</w:t>
      </w:r>
      <w:r w:rsidRPr="00424F46">
        <w:rPr>
          <w:rStyle w:val="FootnoteReference"/>
          <w:rFonts w:ascii="Times New Roman" w:hAnsi="Times New Roman" w:cs="Times New Roman"/>
          <w:lang w:val="en-GB"/>
        </w:rPr>
        <w:footnoteReference w:id="16"/>
      </w:r>
      <w:r>
        <w:rPr>
          <w:rFonts w:ascii="Times New Roman" w:hAnsi="Times New Roman"/>
        </w:rPr>
        <w:t>; emlékeztet továbbá arra, hogy az éghajlatváltozáshoz való alkalmazkodás finanszírozása jelenleg az éghajlatváltozás elleni küzdelem globális finanszírozásának csupán 25%-át teszi ki, és hogy nem teljesítik azokat a korábbi kötelezettségvállalásokat, amelyek szerint az alkalmazkodás finanszírozása 2025-ig 40%-ra nő</w:t>
      </w:r>
      <w:r w:rsidRPr="00424F46">
        <w:rPr>
          <w:rStyle w:val="FootnoteReference"/>
          <w:rFonts w:ascii="Times New Roman" w:hAnsi="Times New Roman" w:cs="Times New Roman"/>
          <w:lang w:val="en-GB"/>
        </w:rPr>
        <w:footnoteReference w:id="17"/>
      </w:r>
      <w:r>
        <w:rPr>
          <w:rFonts w:ascii="Times New Roman" w:hAnsi="Times New Roman"/>
        </w:rPr>
        <w:t>;</w:t>
      </w:r>
    </w:p>
    <w:p w:rsidRPr="00424F46" w:rsidR="002C59E9" w:rsidP="00F5520F" w:rsidRDefault="002C59E9">
      <w:pPr>
        <w:pStyle w:val="ListParagraph"/>
        <w:spacing w:after="0" w:line="288" w:lineRule="auto"/>
        <w:ind w:left="0"/>
        <w:jc w:val="both"/>
        <w:rPr>
          <w:rFonts w:ascii="Times New Roman" w:hAnsi="Times New Roman" w:cs="Times New Roman"/>
          <w:lang w:val="en-GB"/>
        </w:rPr>
      </w:pPr>
    </w:p>
    <w:p w:rsidRPr="00424F46" w:rsidR="00803823" w:rsidP="00F5520F" w:rsidRDefault="002C59E9">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üdvözli, hogy az Európai Bizottság 100 millió euróval járul hozzá </w:t>
      </w:r>
      <w:r>
        <w:rPr>
          <w:rFonts w:ascii="Times New Roman" w:hAnsi="Times New Roman"/>
          <w:b/>
        </w:rPr>
        <w:t>a Kiotói Jegyzőkönyv Alkalmazkodási Alapjához</w:t>
      </w:r>
      <w:r>
        <w:rPr>
          <w:rFonts w:ascii="Times New Roman" w:hAnsi="Times New Roman"/>
        </w:rPr>
        <w:t xml:space="preserve">, ugyanakkor sürgeti az uniós tagállamokat, hogy 2025-ig a 2019-es szinthez képest kétszerezzék meg az alkalmazkodás finanszírozását, és további erőfeszítéseket szorgalmaz a 100 milliárd dollárosra célzott végrehajtási terv teljesítése érdekében; kiemeli továbbá, hogy jelenleg nincs globális finanszírozási eszköz annak támogatására, hogy ezek az emberek talpra álljanak az elszenvedett veszteségek és károk után, és sürgeti az uniós tagállamokat és az Európai Bizottságot, hogy az éghajlatváltozás következményeinek orvoslása érdekében vállaljanak részt a </w:t>
      </w:r>
      <w:r>
        <w:rPr>
          <w:rFonts w:ascii="Times New Roman" w:hAnsi="Times New Roman"/>
          <w:b/>
        </w:rPr>
        <w:t>„veszteségek és károk kezelését célzó eszközben”</w:t>
      </w:r>
      <w:r>
        <w:rPr>
          <w:rFonts w:ascii="Times New Roman" w:hAnsi="Times New Roman"/>
        </w:rPr>
        <w:t>;</w:t>
      </w:r>
    </w:p>
    <w:p w:rsidRPr="00424F46" w:rsidR="00803823" w:rsidP="00F5520F" w:rsidRDefault="00803823">
      <w:pPr>
        <w:pStyle w:val="ListParagraph"/>
        <w:spacing w:after="0" w:line="288" w:lineRule="auto"/>
        <w:ind w:left="0"/>
        <w:jc w:val="both"/>
        <w:rPr>
          <w:rFonts w:ascii="Times New Roman" w:hAnsi="Times New Roman" w:cs="Times New Roman"/>
          <w:lang w:val="en-GB"/>
        </w:rPr>
      </w:pPr>
    </w:p>
    <w:p w:rsidRPr="00424F46" w:rsidR="00AF71F0" w:rsidP="00F5520F" w:rsidRDefault="00565A46">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úgy véli, hogy az éghajlati igazságosságra irányuló fellépés részeként az uniós kormányoknak és intézményeknek </w:t>
      </w:r>
      <w:r>
        <w:rPr>
          <w:rFonts w:ascii="Times New Roman" w:hAnsi="Times New Roman"/>
          <w:b/>
        </w:rPr>
        <w:t>előretekintő és átfogó európai migrációs és menekültügyi politikát</w:t>
      </w:r>
      <w:r>
        <w:rPr>
          <w:rFonts w:ascii="Times New Roman" w:hAnsi="Times New Roman"/>
        </w:rPr>
        <w:t xml:space="preserve"> kell kidolgozniuk, amely védelmet nyújt az éghajlatváltozás miatt lakóhelyüket elhagyni kényszerülő személyek számára, kezdve a klímamenekültek hivatalos elismerésével;</w:t>
      </w:r>
    </w:p>
    <w:p w:rsidRPr="00424F46" w:rsidR="00444B59" w:rsidP="00F5520F" w:rsidRDefault="00444B59">
      <w:pPr>
        <w:pStyle w:val="ListParagraph"/>
        <w:spacing w:after="0" w:line="288" w:lineRule="auto"/>
        <w:ind w:left="0"/>
        <w:rPr>
          <w:rFonts w:ascii="Times New Roman" w:hAnsi="Times New Roman" w:cs="Times New Roman"/>
          <w:lang w:val="en-GB"/>
        </w:rPr>
      </w:pPr>
    </w:p>
    <w:p w:rsidRPr="00424F46" w:rsidR="006D019C" w:rsidRDefault="00565A46">
      <w:pPr>
        <w:pStyle w:val="ListParagraph"/>
        <w:keepNext/>
        <w:keepLines/>
        <w:spacing w:after="0" w:line="288" w:lineRule="auto"/>
        <w:ind w:left="0"/>
        <w:jc w:val="both"/>
        <w:rPr>
          <w:rFonts w:ascii="Times New Roman" w:hAnsi="Times New Roman" w:cs="Times New Roman"/>
          <w:b/>
          <w:bCs/>
          <w:i/>
          <w:iCs/>
        </w:rPr>
      </w:pPr>
      <w:r>
        <w:rPr>
          <w:rFonts w:ascii="Times New Roman" w:hAnsi="Times New Roman"/>
          <w:b/>
          <w:i/>
        </w:rPr>
        <w:t>A hatékony ágazati fellépés fokozása a klímasemlegesség elérése érdekében</w:t>
      </w:r>
    </w:p>
    <w:p w:rsidRPr="00424F46" w:rsidR="00707DFC" w:rsidRDefault="00707DFC">
      <w:pPr>
        <w:pStyle w:val="ListParagraph"/>
        <w:keepNext/>
        <w:keepLines/>
        <w:spacing w:after="0" w:line="288" w:lineRule="auto"/>
        <w:ind w:left="0"/>
        <w:jc w:val="both"/>
        <w:rPr>
          <w:rFonts w:ascii="Times New Roman" w:hAnsi="Times New Roman" w:cs="Times New Roman"/>
          <w:lang w:val="en-GB"/>
        </w:rPr>
      </w:pPr>
    </w:p>
    <w:p w:rsidRPr="00424F46" w:rsidR="007E0872" w:rsidP="00EF3B48" w:rsidRDefault="00707DFC">
      <w:pPr>
        <w:pStyle w:val="ListParagraph"/>
        <w:keepNext/>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kiemeli, hogy a </w:t>
      </w:r>
      <w:r>
        <w:rPr>
          <w:rFonts w:ascii="Times New Roman" w:hAnsi="Times New Roman"/>
          <w:b/>
        </w:rPr>
        <w:t>körforgásos gazdaság</w:t>
      </w:r>
      <w:r>
        <w:rPr>
          <w:rFonts w:ascii="Times New Roman" w:hAnsi="Times New Roman"/>
        </w:rPr>
        <w:t xml:space="preserve"> és a biogazdaság lehetővé teszi az emberek jólétére vonatkozó új jövőkép kialakítását, és ezek megvalósítását tovább kell gyorsítani</w:t>
      </w:r>
      <w:r w:rsidRPr="00424F46">
        <w:rPr>
          <w:rStyle w:val="FootnoteReference"/>
          <w:rFonts w:ascii="Times New Roman" w:hAnsi="Times New Roman" w:cs="Times New Roman"/>
          <w:lang w:val="en-GB"/>
        </w:rPr>
        <w:footnoteReference w:id="18"/>
      </w:r>
      <w:r>
        <w:rPr>
          <w:rFonts w:ascii="Times New Roman" w:hAnsi="Times New Roman"/>
        </w:rPr>
        <w:t>; rámutat arra, hogy az egyes ágazatokban és országokban végrehajtott, körforgásos gazdaságra vonatkozó stratégiák 39%-kal csökkenthetik a globális ÜHG-kibocsátást</w:t>
      </w:r>
      <w:r w:rsidRPr="00424F46">
        <w:rPr>
          <w:rStyle w:val="FootnoteReference"/>
          <w:rFonts w:ascii="Times New Roman" w:hAnsi="Times New Roman" w:cs="Times New Roman"/>
          <w:lang w:val="en-GB"/>
        </w:rPr>
        <w:footnoteReference w:id="19"/>
      </w:r>
      <w:r>
        <w:rPr>
          <w:rFonts w:ascii="Times New Roman" w:hAnsi="Times New Roman"/>
        </w:rPr>
        <w:t xml:space="preserve">; aggodalmát fejezi ki amiatt, hogy az EU a körforgásos gazdaságra vonatkozó első uniós cselekvési terv révén 2015-ben elindított jelentős jogalkotási korszerűsítési folyamat ellenére csak mintegy 12%-ban körforgásos; és úgy véli, hogy további előrelépés csak a civil társadalom valamennyi </w:t>
      </w:r>
      <w:r>
        <w:rPr>
          <w:rFonts w:ascii="Times New Roman" w:hAnsi="Times New Roman"/>
        </w:rPr>
        <w:lastRenderedPageBreak/>
        <w:t>alkotóelemének bevonásával érhető el, különösen a fennmaradó politikai, kulturális, infrastrukturális, kormányzással kapcsolatos és pénzügyi akadályok leküzdése érdekében</w:t>
      </w:r>
      <w:r w:rsidRPr="00424F46">
        <w:rPr>
          <w:rStyle w:val="FootnoteReference"/>
          <w:rFonts w:ascii="Times New Roman" w:hAnsi="Times New Roman" w:cs="Times New Roman"/>
          <w:lang w:val="en-GB"/>
        </w:rPr>
        <w:footnoteReference w:id="20"/>
      </w:r>
      <w:r>
        <w:rPr>
          <w:rFonts w:ascii="Times New Roman" w:hAnsi="Times New Roman"/>
        </w:rPr>
        <w:t>;</w:t>
      </w:r>
    </w:p>
    <w:p w:rsidRPr="00424F46" w:rsidR="007E0872" w:rsidP="00F5520F" w:rsidRDefault="007E0872">
      <w:pPr>
        <w:pStyle w:val="ListParagraph"/>
        <w:spacing w:after="0" w:line="288" w:lineRule="auto"/>
        <w:ind w:left="0"/>
        <w:jc w:val="both"/>
        <w:rPr>
          <w:rFonts w:ascii="Times New Roman" w:hAnsi="Times New Roman" w:cs="Times New Roman"/>
          <w:lang w:val="en-GB"/>
        </w:rPr>
      </w:pPr>
    </w:p>
    <w:p w:rsidRPr="00424F46" w:rsidR="00A42B33" w:rsidP="00F5520F" w:rsidRDefault="00444B59">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kéri, hogy a </w:t>
      </w:r>
      <w:r>
        <w:rPr>
          <w:rFonts w:ascii="Times New Roman" w:hAnsi="Times New Roman"/>
          <w:b/>
        </w:rPr>
        <w:t>fenntartható élelmiszerrendszerek</w:t>
      </w:r>
      <w:r>
        <w:rPr>
          <w:rFonts w:ascii="Times New Roman" w:hAnsi="Times New Roman"/>
        </w:rPr>
        <w:t xml:space="preserve"> bevezetésére irányuló átmeneti stratégiákat megfelelően építsék be a nemzetileg meghatározott hozzájárulásokba, és elismeri, hogy bár sok ország megemlíti a mezőgazdaság mérséklési és alkalmazkodási potenciálját nemzetileg meghatározott hozzájárulásaiban, nagyon kevés ország tűzött ki célt az élelmiszerrendszer más szakaszaival kapcsolatban</w:t>
      </w:r>
      <w:r w:rsidRPr="00424F46">
        <w:rPr>
          <w:rStyle w:val="FootnoteReference"/>
          <w:rFonts w:ascii="Times New Roman" w:hAnsi="Times New Roman" w:cs="Times New Roman"/>
          <w:sz w:val="22"/>
          <w:lang w:val="en-GB"/>
        </w:rPr>
        <w:footnoteReference w:id="21"/>
      </w:r>
      <w:r>
        <w:rPr>
          <w:rFonts w:ascii="Times New Roman" w:hAnsi="Times New Roman"/>
        </w:rPr>
        <w:t>, ami nagyrészt kiaknázatlanul hagyja a lehetőségeket</w:t>
      </w:r>
      <w:r w:rsidRPr="00424F46">
        <w:rPr>
          <w:rStyle w:val="FootnoteReference"/>
          <w:rFonts w:ascii="Times New Roman" w:hAnsi="Times New Roman" w:cs="Times New Roman"/>
          <w:sz w:val="22"/>
          <w:lang w:val="en-GB"/>
        </w:rPr>
        <w:footnoteReference w:id="22"/>
      </w:r>
      <w:r>
        <w:rPr>
          <w:rFonts w:ascii="Times New Roman" w:hAnsi="Times New Roman"/>
        </w:rPr>
        <w:t>; megismétli azokat az ajánlásait, hogy fogadjanak el „a termelőtől a fogyasztóig” stratégiához hasonló, átfogó élelmiszer-politikákat, amelyek éghajlat-politikai intézkedéseket is tartalmaznak, és biztosítsák az érdekelt felek strukturált bevonását az élelmiszer-ellátási lánc minden szintjén</w:t>
      </w:r>
      <w:r w:rsidRPr="00424F46">
        <w:rPr>
          <w:rStyle w:val="FootnoteReference"/>
          <w:rFonts w:ascii="Times New Roman" w:hAnsi="Times New Roman" w:cs="Times New Roman"/>
          <w:lang w:val="en-GB"/>
        </w:rPr>
        <w:footnoteReference w:id="23"/>
      </w:r>
      <w:r>
        <w:rPr>
          <w:rFonts w:ascii="Times New Roman" w:hAnsi="Times New Roman"/>
        </w:rPr>
        <w:t xml:space="preserve"> és valamennyi kormányzati szinten, különösen a termelőket helyezve a mezőgazdasági stratégiák középpontjába, és bevonva őket a politikai döntéshozatalba;</w:t>
      </w:r>
    </w:p>
    <w:p w:rsidRPr="00424F46" w:rsidR="00A42B33" w:rsidP="00F5520F" w:rsidRDefault="00A42B33">
      <w:pPr>
        <w:pStyle w:val="ListParagraph"/>
        <w:spacing w:after="0" w:line="288" w:lineRule="auto"/>
        <w:ind w:left="0"/>
        <w:jc w:val="both"/>
        <w:rPr>
          <w:rFonts w:ascii="Times New Roman" w:hAnsi="Times New Roman" w:cs="Times New Roman"/>
          <w:lang w:val="en-GB"/>
        </w:rPr>
      </w:pPr>
    </w:p>
    <w:p w:rsidRPr="00424F46" w:rsidR="00E362FB" w:rsidP="00765637" w:rsidRDefault="00953E81">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aggodalmát fejezi ki Afrika helyzete miatt, amely a globális kibocsátások kevesebb mint 4%-áért felelős, de aránytalan módon messze a világ egyik legsérülékenyebb régiója, és </w:t>
      </w:r>
      <w:r>
        <w:rPr>
          <w:rFonts w:ascii="Times New Roman" w:hAnsi="Times New Roman"/>
          <w:b/>
        </w:rPr>
        <w:t>mivel a COP27-re Afrikában kerül sor, határozottan arra kéri az EU-t, hogy részesítse előnyben az Afrika számára biztosítandó pénzügyi, technikai és kapacitásépítési forrásokat</w:t>
      </w:r>
      <w:r>
        <w:rPr>
          <w:rFonts w:ascii="Times New Roman" w:hAnsi="Times New Roman"/>
        </w:rPr>
        <w:t xml:space="preserve"> annak érdekében, hogy támogassa a kontinenst a párizsi COP21 konferencián tett kötelezettségvállalásának teljesítésében, és hogy vegye figyelembe, hogy az afrikai nemzetileg meghatározott hozzájárulások többsége olyan csökkentési és alkalmazkodási célokat tartalmaz, amelyek csak megfelelő nemzetközi támogatás mellett valósíthatók meg, megkérdőjelezve a nagy értékű természetvédelmi ökoszisztémák, például az erdők vagy a szavannák védelmét és a fosszilis tüzelőanyagok kitermelésének leállítását;</w:t>
      </w:r>
    </w:p>
    <w:p w:rsidRPr="00424F46" w:rsidR="00E362FB" w:rsidP="00765637" w:rsidRDefault="00E362FB">
      <w:pPr>
        <w:pStyle w:val="ListParagraph"/>
        <w:spacing w:after="0" w:line="288" w:lineRule="auto"/>
        <w:ind w:left="0"/>
        <w:jc w:val="both"/>
        <w:rPr>
          <w:rFonts w:ascii="Times New Roman" w:hAnsi="Times New Roman" w:cs="Times New Roman"/>
          <w:lang w:val="en-GB"/>
        </w:rPr>
      </w:pPr>
    </w:p>
    <w:p w:rsidRPr="00424F46" w:rsidR="00A42B33" w:rsidP="00526B40" w:rsidRDefault="00444B59">
      <w:pPr>
        <w:pStyle w:val="ListParagraph"/>
        <w:keepNext/>
        <w:keepLines/>
        <w:numPr>
          <w:ilvl w:val="0"/>
          <w:numId w:val="11"/>
        </w:numPr>
        <w:spacing w:after="0" w:line="288" w:lineRule="auto"/>
        <w:ind w:left="567" w:hanging="567"/>
        <w:jc w:val="both"/>
        <w:rPr>
          <w:rFonts w:ascii="Times New Roman" w:hAnsi="Times New Roman" w:cs="Times New Roman"/>
        </w:rPr>
      </w:pPr>
      <w:r>
        <w:rPr>
          <w:rFonts w:ascii="Times New Roman" w:hAnsi="Times New Roman"/>
        </w:rPr>
        <w:lastRenderedPageBreak/>
        <w:t xml:space="preserve">kéri a </w:t>
      </w:r>
      <w:r>
        <w:rPr>
          <w:rFonts w:ascii="Times New Roman" w:hAnsi="Times New Roman"/>
          <w:b/>
        </w:rPr>
        <w:t>fosszilis tüzelőanyagok támogatásának</w:t>
      </w:r>
      <w:r>
        <w:rPr>
          <w:rFonts w:ascii="Times New Roman" w:hAnsi="Times New Roman"/>
        </w:rPr>
        <w:t xml:space="preserve"> azonnali leállítását, és üdvözli a REPowerEU-ról szóló közleményt, mivel az a zöld megállapodás és az európai energiaunió célkitűzéseivel összhangban lévő megoldásokat kínál</w:t>
      </w:r>
      <w:r w:rsidRPr="00424F46">
        <w:rPr>
          <w:rStyle w:val="FootnoteReference"/>
          <w:rFonts w:ascii="Times New Roman" w:hAnsi="Times New Roman" w:cs="Times New Roman"/>
          <w:lang w:val="en-GB"/>
        </w:rPr>
        <w:footnoteReference w:id="24"/>
      </w:r>
      <w:r w:rsidRPr="00424F46" w:rsidR="00EB27C9">
        <w:rPr>
          <w:rStyle w:val="FootnoteReference"/>
          <w:rFonts w:ascii="Times New Roman" w:hAnsi="Times New Roman" w:cs="Times New Roman"/>
          <w:lang w:val="en-GB"/>
        </w:rPr>
        <w:footnoteReference w:id="25"/>
      </w:r>
      <w:r>
        <w:rPr>
          <w:rFonts w:ascii="Times New Roman" w:hAnsi="Times New Roman"/>
        </w:rPr>
        <w:t>; úgy véli továbbá, hogy a kormányoknak a kutatás, az innováció és a fejlesztés támogatása révén keretet kell biztosítaniuk az áttörést jelentő technológiákba való beruházásokhoz olyan területeken, mint az energiahatékonyság és a megújulóenergia-termelés, és a szabályozást úgy kell kialakítani, hogy lehetővé tegye és megerősítse az új technológiák fejlesztését és piaci elterjedését, beleértve a vezető piacok létrehozására és az alacsony szén-dioxid-kibocsátású termékek fogyasztásának ösztönzésére irányuló keresletoldali intézkedéseket is</w:t>
      </w:r>
      <w:r w:rsidRPr="00424F46">
        <w:rPr>
          <w:rStyle w:val="FootnoteReference"/>
          <w:rFonts w:ascii="Times New Roman" w:hAnsi="Times New Roman" w:cs="Times New Roman"/>
          <w:lang w:val="en-GB"/>
        </w:rPr>
        <w:footnoteReference w:id="26"/>
      </w:r>
      <w:r>
        <w:rPr>
          <w:rFonts w:ascii="Times New Roman" w:hAnsi="Times New Roman"/>
        </w:rPr>
        <w:t>;</w:t>
      </w:r>
    </w:p>
    <w:p w:rsidRPr="00424F46" w:rsidR="00A42B33" w:rsidP="00F5520F" w:rsidRDefault="00A42B33">
      <w:pPr>
        <w:pStyle w:val="ListParagraph"/>
        <w:spacing w:after="0" w:line="288" w:lineRule="auto"/>
        <w:ind w:left="0"/>
        <w:jc w:val="both"/>
        <w:rPr>
          <w:rFonts w:ascii="Times New Roman" w:hAnsi="Times New Roman" w:cs="Times New Roman"/>
          <w:lang w:val="en-GB"/>
        </w:rPr>
      </w:pPr>
    </w:p>
    <w:p w:rsidRPr="00424F46" w:rsidR="00F81237" w:rsidP="00F5520F" w:rsidRDefault="00F8123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üdvözli azokat a digitális megoldásokat, amelyek lehetővé teszik a környezetvédelmet és a közlekedés, az energiarendszerek, az épületek, a mezőgazdaság és más ágazatok fenntarthatóbbá tételét, ugyanakkor </w:t>
      </w:r>
      <w:r>
        <w:rPr>
          <w:rFonts w:ascii="Times New Roman" w:hAnsi="Times New Roman"/>
          <w:b/>
        </w:rPr>
        <w:t>megjegyzi, hogy az általános digitalizáció eddig nem járult hozzá az energiakereslet és a szén-dioxid-kibocsátás csökkentéséhez</w:t>
      </w:r>
      <w:r>
        <w:rPr>
          <w:rFonts w:ascii="Times New Roman" w:hAnsi="Times New Roman"/>
        </w:rPr>
        <w:t>, ezért hangsúlyozza, hogy támogató politikákra van szükség a visszapattanó és indukciós hatások mérséklése érdekében</w:t>
      </w:r>
      <w:r w:rsidRPr="00424F46">
        <w:rPr>
          <w:rStyle w:val="FootnoteReference"/>
          <w:rFonts w:ascii="Times New Roman" w:hAnsi="Times New Roman" w:cs="Times New Roman"/>
          <w:lang w:val="en-GB"/>
        </w:rPr>
        <w:footnoteReference w:id="27"/>
      </w:r>
      <w:r>
        <w:rPr>
          <w:rFonts w:ascii="Times New Roman" w:hAnsi="Times New Roman"/>
        </w:rPr>
        <w:t>;</w:t>
      </w:r>
    </w:p>
    <w:p w:rsidRPr="00424F46" w:rsidR="00F81237" w:rsidP="00F5520F" w:rsidRDefault="00F81237">
      <w:pPr>
        <w:pStyle w:val="ListParagraph"/>
        <w:spacing w:after="0" w:line="288" w:lineRule="auto"/>
        <w:ind w:left="0"/>
        <w:jc w:val="both"/>
        <w:rPr>
          <w:rFonts w:ascii="Times New Roman" w:hAnsi="Times New Roman" w:cs="Times New Roman"/>
          <w:lang w:val="en-GB"/>
        </w:rPr>
      </w:pPr>
    </w:p>
    <w:p w:rsidRPr="00424F46" w:rsidR="00A621E3" w:rsidP="00F5520F" w:rsidRDefault="00A42B33">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hangsúlyozza, hogy az éghajlatváltozás súlyos következményekkel jár a vállalatokra, különösen a kkv-kra nézve is – ilyen például az ellátási láncok megszakadása vagy a termelési helyszínek szélsőséges időjárási jelenségek miatti károsodása –, és arra kényszeríti őket, hogy időnként költséges változtatásokat hajtsanak végre üzleti és működési modelljükben, valamint a szabályozási vagy egyéb követelményeknek való megfelelést célzó beruházásokat végezzenek; úgy véli, hogy </w:t>
      </w:r>
      <w:r>
        <w:rPr>
          <w:rFonts w:ascii="Times New Roman" w:hAnsi="Times New Roman"/>
          <w:b/>
        </w:rPr>
        <w:t>támogatni kell az új fenntartható üzleti modellek korai alkalmazóit</w:t>
      </w:r>
      <w:r>
        <w:rPr>
          <w:rFonts w:ascii="Times New Roman" w:hAnsi="Times New Roman"/>
        </w:rPr>
        <w:t xml:space="preserve"> annak biztosítása érdekében, hogy innovációjuk ne vezessen versenyhátrányhoz;</w:t>
      </w:r>
    </w:p>
    <w:p w:rsidRPr="00424F46" w:rsidR="00A621E3" w:rsidP="00F5520F" w:rsidRDefault="00A621E3">
      <w:pPr>
        <w:pStyle w:val="ListParagraph"/>
        <w:spacing w:after="0" w:line="288" w:lineRule="auto"/>
        <w:ind w:left="0"/>
        <w:jc w:val="both"/>
        <w:rPr>
          <w:rFonts w:ascii="Times New Roman" w:hAnsi="Times New Roman" w:cs="Times New Roman"/>
          <w:lang w:val="en-GB"/>
        </w:rPr>
      </w:pPr>
    </w:p>
    <w:p w:rsidRPr="00424F46" w:rsidR="00444B59" w:rsidP="00F5520F" w:rsidRDefault="00444B59">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hangsúlyozza, hogy a magánszektornak nyújtott támogatásnak tiszteletben kell tartania a kkv-kat célzó finanszírozási eszközökhöz való méltányos hozzáférés elvét, és annak kizárólag az éghajlat-politikai célkitűzéseken kell alapulnia</w:t>
      </w:r>
      <w:r w:rsidRPr="00EF3B48">
        <w:rPr>
          <w:rStyle w:val="FootnoteReference"/>
          <w:rFonts w:ascii="Times New Roman" w:hAnsi="Times New Roman" w:cs="Times New Roman"/>
          <w:szCs w:val="24"/>
          <w:lang w:val="en-GB"/>
        </w:rPr>
        <w:footnoteReference w:id="28"/>
      </w:r>
      <w:r>
        <w:rPr>
          <w:rFonts w:ascii="Times New Roman" w:hAnsi="Times New Roman"/>
        </w:rPr>
        <w:t>, valamint hogy az értékláncokon átívelő, széles körű munkára és ágazatközi együttműködésre lesz szükség;</w:t>
      </w:r>
    </w:p>
    <w:p w:rsidRPr="00424F46" w:rsidR="00444B59" w:rsidP="00F5520F" w:rsidRDefault="00444B59">
      <w:pPr>
        <w:pStyle w:val="ListParagraph"/>
        <w:spacing w:after="0" w:line="288" w:lineRule="auto"/>
        <w:ind w:left="0"/>
        <w:rPr>
          <w:rFonts w:ascii="Times New Roman" w:hAnsi="Times New Roman" w:cs="Times New Roman"/>
          <w:lang w:val="en-GB"/>
        </w:rPr>
      </w:pPr>
    </w:p>
    <w:p w:rsidRPr="00424F46" w:rsidR="00444B59" w:rsidP="00F5520F" w:rsidRDefault="00444B59">
      <w:pPr>
        <w:pStyle w:val="ListParagraph"/>
        <w:numPr>
          <w:ilvl w:val="0"/>
          <w:numId w:val="11"/>
        </w:numPr>
        <w:spacing w:after="0" w:line="288" w:lineRule="auto"/>
        <w:ind w:left="567" w:hanging="567"/>
        <w:jc w:val="both"/>
        <w:rPr>
          <w:rFonts w:ascii="Times New Roman" w:hAnsi="Times New Roman"/>
        </w:rPr>
      </w:pPr>
      <w:r>
        <w:rPr>
          <w:rFonts w:ascii="Times New Roman" w:hAnsi="Times New Roman"/>
        </w:rPr>
        <w:t xml:space="preserve">úgy véli, hogy a harmonizáció és a szabványosítás kulcsfontosságú a megoldások egész iparágra kiterjedő méretezhetőségének – a technológia, a készségfejlesztés és a szabályozás révén történő – megvalósításához, amit az uniós kormányoknak nemzetközi szinten támogatniuk kell, és különösen a kkv-k számára kulcsfontosságú lesz, hogy kiegészítő eszközöket és kapacitásépítési </w:t>
      </w:r>
      <w:r>
        <w:rPr>
          <w:rFonts w:ascii="Times New Roman" w:hAnsi="Times New Roman"/>
        </w:rPr>
        <w:lastRenderedPageBreak/>
        <w:t>támogatást kapjanak ahhoz, hogy megfeleljenek az új követelményeknek, és az EU-n belül fokozzák piaci hozzáférésüket;</w:t>
      </w:r>
    </w:p>
    <w:p w:rsidRPr="00424F46" w:rsidR="00444B59" w:rsidP="00F5520F" w:rsidRDefault="00444B59">
      <w:pPr>
        <w:pStyle w:val="ListParagraph"/>
        <w:spacing w:after="0" w:line="288" w:lineRule="auto"/>
        <w:ind w:left="0"/>
        <w:jc w:val="both"/>
        <w:rPr>
          <w:rFonts w:ascii="Times New Roman" w:hAnsi="Times New Roman" w:cs="Times New Roman"/>
          <w:lang w:val="en-GB"/>
        </w:rPr>
      </w:pPr>
    </w:p>
    <w:p w:rsidRPr="00424F46" w:rsidR="006D2F1C" w:rsidRDefault="00565A46">
      <w:pPr>
        <w:pStyle w:val="ListParagraph"/>
        <w:keepNext/>
        <w:keepLines/>
        <w:spacing w:after="0" w:line="288" w:lineRule="auto"/>
        <w:ind w:left="0"/>
        <w:jc w:val="both"/>
        <w:rPr>
          <w:rFonts w:ascii="Times New Roman" w:hAnsi="Times New Roman"/>
          <w:b/>
          <w:i/>
        </w:rPr>
      </w:pPr>
      <w:r>
        <w:rPr>
          <w:rFonts w:ascii="Times New Roman" w:hAnsi="Times New Roman"/>
          <w:b/>
          <w:i/>
        </w:rPr>
        <w:t>A civil társadalom szerepvállalása az éghajlat-politikai fellépés felgyorsításában és egy új irányítási keret szorgalmazása</w:t>
      </w:r>
    </w:p>
    <w:p w:rsidRPr="00424F46" w:rsidR="00EE319C" w:rsidRDefault="00EE319C">
      <w:pPr>
        <w:pStyle w:val="ListParagraph"/>
        <w:keepNext/>
        <w:keepLines/>
        <w:spacing w:after="0" w:line="288" w:lineRule="auto"/>
        <w:ind w:left="567" w:hanging="567"/>
        <w:jc w:val="both"/>
        <w:rPr>
          <w:rFonts w:ascii="Times New Roman" w:hAnsi="Times New Roman" w:cs="Times New Roman"/>
          <w:lang w:val="en-GB"/>
        </w:rPr>
      </w:pPr>
    </w:p>
    <w:p w:rsidRPr="00424F46" w:rsidR="00F426F7" w:rsidP="00EF3B48" w:rsidRDefault="00F426F7">
      <w:pPr>
        <w:pStyle w:val="ListParagraph"/>
        <w:keepNext/>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kiemeli, hogy a szükséges fellépés nagyságrendje integrált, többszintű politikákat és ágazatközi megoldásokat igényel a civil társadalom tényleges bevonásával, ezért </w:t>
      </w:r>
      <w:r>
        <w:rPr>
          <w:rFonts w:ascii="Times New Roman" w:hAnsi="Times New Roman"/>
          <w:b/>
        </w:rPr>
        <w:t>új irányítási keretet</w:t>
      </w:r>
      <w:r>
        <w:rPr>
          <w:rFonts w:ascii="Times New Roman" w:hAnsi="Times New Roman"/>
        </w:rPr>
        <w:t xml:space="preserve"> javasol ezeknek az átalakító erejű változásoknak a kidolgozása érdekében;</w:t>
      </w:r>
    </w:p>
    <w:p w:rsidRPr="00424F46" w:rsidR="00F426F7" w:rsidP="00F5520F" w:rsidRDefault="00F426F7">
      <w:pPr>
        <w:pStyle w:val="ListParagraph"/>
        <w:spacing w:after="0" w:line="288" w:lineRule="auto"/>
        <w:ind w:left="0"/>
        <w:jc w:val="both"/>
        <w:rPr>
          <w:rFonts w:ascii="Times New Roman" w:hAnsi="Times New Roman" w:cs="Times New Roman"/>
          <w:lang w:val="en-GB"/>
        </w:rPr>
      </w:pPr>
    </w:p>
    <w:p w:rsidRPr="00424F46" w:rsidR="00B27016" w:rsidP="00F5520F" w:rsidRDefault="00EE319C">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úgy véli, hogy </w:t>
      </w:r>
      <w:r>
        <w:rPr>
          <w:rFonts w:ascii="Times New Roman" w:hAnsi="Times New Roman"/>
          <w:b/>
        </w:rPr>
        <w:t>munkahelyi szinten</w:t>
      </w:r>
      <w:r>
        <w:rPr>
          <w:rFonts w:ascii="Times New Roman" w:hAnsi="Times New Roman"/>
        </w:rPr>
        <w:t xml:space="preserve"> ennek az új irányítási keretnek garantálnia kell a szociális párbeszédet a munkavállalók jogainak és részvételének biztosítása, valamint a kollektív szerződések megerősítése révén;</w:t>
      </w:r>
    </w:p>
    <w:p w:rsidRPr="00424F46" w:rsidR="00B27016" w:rsidP="00F5520F" w:rsidRDefault="00B27016">
      <w:pPr>
        <w:pStyle w:val="ListParagraph"/>
        <w:spacing w:after="0" w:line="288" w:lineRule="auto"/>
        <w:ind w:left="567" w:hanging="567"/>
        <w:jc w:val="both"/>
        <w:rPr>
          <w:rFonts w:ascii="Times New Roman" w:hAnsi="Times New Roman" w:cs="Times New Roman"/>
          <w:lang w:val="en-GB"/>
        </w:rPr>
      </w:pPr>
    </w:p>
    <w:p w:rsidRPr="00424F46" w:rsidR="00EE319C" w:rsidP="00F5520F" w:rsidRDefault="00B27016">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úgy véli, hogy a </w:t>
      </w:r>
      <w:r>
        <w:rPr>
          <w:rFonts w:ascii="Times New Roman" w:hAnsi="Times New Roman"/>
          <w:b/>
        </w:rPr>
        <w:t>szélesebb körű párbeszédet</w:t>
      </w:r>
      <w:r>
        <w:rPr>
          <w:rFonts w:ascii="Times New Roman" w:hAnsi="Times New Roman"/>
        </w:rPr>
        <w:t xml:space="preserve"> is meg kell erősíteni a régiók, a vidéki szereplők és a városok, a szociális partnerek, a szövetkezetek és a civil társadalom bevonásával, a társadalmi igazságosság és hitelesség biztosítása érdekében, valamint azért, hogy konkrét jelentést kapjon az a kötelezettségvállalás, hogy senkit sem szabad hátrahagyni</w:t>
      </w:r>
      <w:r w:rsidRPr="00424F46" w:rsidR="003567A8">
        <w:rPr>
          <w:rStyle w:val="FootnoteReference"/>
          <w:rFonts w:ascii="Times New Roman" w:hAnsi="Times New Roman" w:cs="Times New Roman"/>
          <w:sz w:val="22"/>
          <w:lang w:val="en-GB"/>
        </w:rPr>
        <w:footnoteReference w:id="29"/>
      </w:r>
      <w:r>
        <w:rPr>
          <w:rFonts w:ascii="Times New Roman" w:hAnsi="Times New Roman"/>
        </w:rPr>
        <w:t>. Például a termelő-fogyasztói megközelítések elősegítése felgyorsíthatja a tisztább energiarendszerre való átállást, új gazdasági modelleket hozhat létre, és segíthet megvédeni társadalmaink legsérülékenyebb csoportjait például attól, hogy ne jussanak hozzá fűtéshez, világításhoz és az információs technológiákhoz;</w:t>
      </w:r>
    </w:p>
    <w:p w:rsidRPr="00424F46" w:rsidR="00F426F7" w:rsidP="00F5520F" w:rsidRDefault="00F426F7">
      <w:pPr>
        <w:pStyle w:val="ListParagraph"/>
        <w:spacing w:after="0" w:line="288" w:lineRule="auto"/>
        <w:ind w:left="0"/>
        <w:jc w:val="both"/>
        <w:rPr>
          <w:rFonts w:ascii="Times New Roman" w:hAnsi="Times New Roman" w:cs="Times New Roman"/>
          <w:lang w:val="en-GB"/>
        </w:rPr>
      </w:pPr>
    </w:p>
    <w:p w:rsidRPr="00424F46" w:rsidR="00F426F7" w:rsidP="00F5520F" w:rsidRDefault="00F426F7">
      <w:pPr>
        <w:pStyle w:val="ListParagraph"/>
        <w:numPr>
          <w:ilvl w:val="0"/>
          <w:numId w:val="11"/>
        </w:numPr>
        <w:spacing w:after="0" w:line="288" w:lineRule="auto"/>
        <w:ind w:left="567" w:hanging="567"/>
        <w:jc w:val="both"/>
        <w:rPr>
          <w:rFonts w:ascii="Times New Roman" w:hAnsi="Times New Roman"/>
        </w:rPr>
      </w:pPr>
      <w:r>
        <w:rPr>
          <w:rFonts w:ascii="Times New Roman" w:hAnsi="Times New Roman"/>
        </w:rPr>
        <w:t xml:space="preserve">határozott meggyőződése, hogy </w:t>
      </w:r>
      <w:r>
        <w:rPr>
          <w:rFonts w:ascii="Times New Roman" w:hAnsi="Times New Roman"/>
          <w:b/>
        </w:rPr>
        <w:t>az alulról építkező és önszerveződő kezdeményezéseket valóban támogatni és ösztönözni kell</w:t>
      </w:r>
      <w:r>
        <w:rPr>
          <w:rFonts w:ascii="Times New Roman" w:hAnsi="Times New Roman"/>
        </w:rPr>
        <w:t xml:space="preserve"> az éghajlatváltozás mérséklésének és az ahhoz való alkalmazkodásnak a felgyorsítása, valamint a társadalmi reziliencia megerősítése érdekében, felszabadítva ezáltal az együttműködés kultúrájában és az alulról építkező megoldásokban rejlő lehetőségeket; és úgy véli, hogy ugyanilyen alapvető szükség van arra, hogy többet fektessenek be a társadalmi innovációba annak érdekében, hogy általánosan érvényesüljenek az ahhoz szükséges kulturális és társadalmi változások, hogy az éghajlatvédelem beépüljön a vállalkozások, a hatóságok és a háztartások mindennapi életébe;</w:t>
      </w:r>
    </w:p>
    <w:p w:rsidRPr="00424F46" w:rsidR="00707DFC" w:rsidP="00F5520F" w:rsidRDefault="00707DFC">
      <w:pPr>
        <w:pStyle w:val="ListParagraph"/>
        <w:spacing w:after="0" w:line="288" w:lineRule="auto"/>
        <w:ind w:left="0"/>
        <w:jc w:val="both"/>
        <w:rPr>
          <w:rFonts w:ascii="Times New Roman" w:hAnsi="Times New Roman" w:cs="Times New Roman"/>
          <w:lang w:val="en-GB"/>
        </w:rPr>
      </w:pPr>
    </w:p>
    <w:p w:rsidRPr="00424F46" w:rsidR="00EE319C" w:rsidP="00F5520F" w:rsidRDefault="00710362">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úgy véli, hogy a </w:t>
      </w:r>
      <w:r>
        <w:rPr>
          <w:rFonts w:ascii="Times New Roman" w:hAnsi="Times New Roman"/>
          <w:b/>
        </w:rPr>
        <w:t>nemek közötti egyenlőséget</w:t>
      </w:r>
      <w:r>
        <w:rPr>
          <w:rFonts w:ascii="Times New Roman" w:hAnsi="Times New Roman"/>
        </w:rPr>
        <w:t xml:space="preserve"> nem szabad különálló és elszigetelt kérdésként kezelni, hanem alapvetően fontosnak kell tekinteni a</w:t>
      </w:r>
      <w:r>
        <w:rPr>
          <w:rFonts w:ascii="Times New Roman" w:hAnsi="Times New Roman"/>
          <w:b/>
        </w:rPr>
        <w:t xml:space="preserve"> nemek közti egyenlőséget figyelmen kívül hagyó intézkedések és politikák elkerülése érdekében</w:t>
      </w:r>
      <w:r>
        <w:rPr>
          <w:rFonts w:ascii="Times New Roman" w:hAnsi="Times New Roman"/>
        </w:rPr>
        <w:t>. Az éghajlatváltozás nem ugyanolyan hatással van a lakosság minden rétegére, és az éghajlatváltozásra vonatkozó politikák – ha azokat nem megfelelően alakítják ki – állandósíthatják ezeket az igazságtalanságokat és egyensúlyhiányt. Például a nőknek a döntéshozatalban és a munkaerőpiacon való egyenlőtlen részvétele következtében összeadódnak az egyenlőtlenségek, és ez gyakran megakadályozza a nőket abban, hogy teljes mértékben hozzájáruljanak az éghajlat-politikai tervezéshez, döntéshozatalhoz és végrehajtáshoz</w:t>
      </w:r>
      <w:r w:rsidRPr="00424F46" w:rsidR="00EE319C">
        <w:rPr>
          <w:rStyle w:val="FootnoteReference"/>
          <w:rFonts w:ascii="Times New Roman" w:hAnsi="Times New Roman" w:cs="Times New Roman"/>
          <w:lang w:val="en-GB"/>
        </w:rPr>
        <w:footnoteReference w:id="30"/>
      </w:r>
      <w:r>
        <w:rPr>
          <w:rFonts w:ascii="Times New Roman" w:hAnsi="Times New Roman"/>
        </w:rPr>
        <w:t>;</w:t>
      </w:r>
    </w:p>
    <w:p w:rsidRPr="00424F46" w:rsidR="00EE319C" w:rsidP="00F5520F" w:rsidRDefault="00EE319C">
      <w:pPr>
        <w:pStyle w:val="ListParagraph"/>
        <w:spacing w:after="0" w:line="288" w:lineRule="auto"/>
        <w:ind w:left="567" w:hanging="567"/>
        <w:jc w:val="both"/>
        <w:rPr>
          <w:rFonts w:ascii="Times New Roman" w:hAnsi="Times New Roman" w:cs="Times New Roman"/>
          <w:lang w:val="en-GB"/>
        </w:rPr>
      </w:pPr>
    </w:p>
    <w:p w:rsidRPr="00424F46" w:rsidR="00B27016" w:rsidP="00F5520F" w:rsidRDefault="009F475F">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meggyőződése, hogy </w:t>
      </w:r>
      <w:r>
        <w:rPr>
          <w:rFonts w:ascii="Times New Roman" w:hAnsi="Times New Roman"/>
          <w:b/>
        </w:rPr>
        <w:t>a fiataloknak</w:t>
      </w:r>
      <w:r>
        <w:rPr>
          <w:rFonts w:ascii="Times New Roman" w:hAnsi="Times New Roman"/>
        </w:rPr>
        <w:t xml:space="preserve"> a döntéshozatali folyamatokban való erőteljesebb </w:t>
      </w:r>
      <w:r>
        <w:rPr>
          <w:rFonts w:ascii="Times New Roman" w:hAnsi="Times New Roman"/>
          <w:b/>
        </w:rPr>
        <w:t>részvétele</w:t>
      </w:r>
      <w:r>
        <w:rPr>
          <w:rFonts w:ascii="Times New Roman" w:hAnsi="Times New Roman"/>
        </w:rPr>
        <w:t xml:space="preserve"> – a jogalkotási javaslatok és kezdeményezések kidolgozásától kezdve egészen azok végrehajtásáig, ellenőrzéséig és nyomon követéséig – a legjobb módja annak, hogy figyelembe vegyük ezen átállások generációk közötti dimenzióját</w:t>
      </w:r>
      <w:r w:rsidRPr="00424F46">
        <w:rPr>
          <w:rStyle w:val="FootnoteReference"/>
          <w:rFonts w:ascii="Times New Roman" w:hAnsi="Times New Roman" w:cs="Times New Roman"/>
          <w:sz w:val="22"/>
          <w:lang w:val="en-GB"/>
        </w:rPr>
        <w:footnoteReference w:id="31"/>
      </w:r>
      <w:r>
        <w:rPr>
          <w:rFonts w:ascii="Times New Roman" w:hAnsi="Times New Roman"/>
        </w:rPr>
        <w:t>. Ez az oka annak, hogy 2021 óta az EGSZB egy ifjúsági küldöttet is bevon az UNFCCC COP üléseire delegált hivatalos uniós küldöttségbe, és vállalta, hogy munkájában nagy hangsúlyt fektet a fiatalok és az ifjúsági szervezetek véleményének közvetítésére; az EGSZB határozottan azt ajánlja a feleknek és más érdekelteknek, hogy hasonló megközelítést alkalmazzanak;</w:t>
      </w:r>
    </w:p>
    <w:p w:rsidRPr="00424F46" w:rsidR="00B27016" w:rsidP="00F5520F" w:rsidRDefault="00B27016">
      <w:pPr>
        <w:pStyle w:val="ListParagraph"/>
        <w:spacing w:after="0" w:line="288" w:lineRule="auto"/>
        <w:ind w:left="567" w:hanging="567"/>
        <w:jc w:val="both"/>
        <w:rPr>
          <w:rFonts w:ascii="Times New Roman" w:hAnsi="Times New Roman" w:cs="Times New Roman"/>
          <w:lang w:val="en-GB"/>
        </w:rPr>
      </w:pPr>
    </w:p>
    <w:p w:rsidRPr="00424F46" w:rsidR="008D5813" w:rsidP="00F5520F" w:rsidRDefault="00B27016">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elismeri az </w:t>
      </w:r>
      <w:r>
        <w:rPr>
          <w:rFonts w:ascii="Times New Roman" w:hAnsi="Times New Roman"/>
          <w:b/>
        </w:rPr>
        <w:t>őslakos népek</w:t>
      </w:r>
      <w:r>
        <w:rPr>
          <w:rFonts w:ascii="Times New Roman" w:hAnsi="Times New Roman"/>
        </w:rPr>
        <w:t xml:space="preserve"> szerepét az éghajlatváltozás elleni küzdelem frontvonalában: bolygónk fennmaradó biológiai sokféleségének több mint 80%-a felett őrködnek</w:t>
      </w:r>
      <w:r w:rsidRPr="00424F46">
        <w:rPr>
          <w:rFonts w:ascii="Times New Roman" w:hAnsi="Times New Roman" w:cs="Times New Roman"/>
          <w:vertAlign w:val="superscript"/>
          <w:lang w:val="en-GB"/>
        </w:rPr>
        <w:footnoteReference w:id="32"/>
      </w:r>
      <w:r>
        <w:rPr>
          <w:rFonts w:ascii="Times New Roman" w:hAnsi="Times New Roman"/>
        </w:rPr>
        <w:t>; üdvözli az őslakos népek növekvő szerepvállalását az éghajlat-politikában, és sürgeti a feleket, hogy aktívan vonják be e népeket az éghajlat-politikai intézkedések végrehajtásába;</w:t>
      </w:r>
    </w:p>
    <w:p w:rsidRPr="00424F46" w:rsidR="003D0D15" w:rsidP="00F5520F" w:rsidRDefault="003D0D15">
      <w:pPr>
        <w:pStyle w:val="ListParagraph"/>
        <w:spacing w:after="0" w:line="288" w:lineRule="auto"/>
        <w:ind w:left="0"/>
        <w:jc w:val="both"/>
        <w:rPr>
          <w:rFonts w:ascii="Times New Roman" w:hAnsi="Times New Roman" w:cs="Times New Roman"/>
          <w:lang w:val="en-GB"/>
        </w:rPr>
      </w:pPr>
    </w:p>
    <w:p w:rsidRPr="00424F46" w:rsidR="003D0D15" w:rsidP="00F5520F" w:rsidRDefault="003D0D15">
      <w:pPr>
        <w:pStyle w:val="ListParagraph"/>
        <w:numPr>
          <w:ilvl w:val="0"/>
          <w:numId w:val="11"/>
        </w:numPr>
        <w:spacing w:after="0" w:line="288" w:lineRule="auto"/>
        <w:ind w:left="567" w:hanging="567"/>
        <w:contextualSpacing w:val="0"/>
        <w:jc w:val="both"/>
        <w:rPr>
          <w:rFonts w:ascii="Times New Roman" w:hAnsi="Times New Roman"/>
        </w:rPr>
      </w:pPr>
      <w:r>
        <w:rPr>
          <w:rFonts w:ascii="Times New Roman" w:hAnsi="Times New Roman"/>
        </w:rPr>
        <w:t>az EGSZB vállalja, hogy intézkedéseket tesz a fent említett szakpolitikai ajánlások végrehajtására.</w:t>
      </w:r>
    </w:p>
    <w:p w:rsidRPr="00424F46" w:rsidR="00D27A92" w:rsidP="00E567D2" w:rsidRDefault="00D27A92">
      <w:pPr>
        <w:pStyle w:val="ListParagraph"/>
        <w:keepNext/>
        <w:keepLines/>
        <w:spacing w:after="0" w:line="288" w:lineRule="auto"/>
        <w:ind w:left="0"/>
        <w:jc w:val="both"/>
        <w:rPr>
          <w:rFonts w:ascii="Times New Roman" w:hAnsi="Times New Roman" w:cs="Times New Roman"/>
          <w:lang w:val="en-GB"/>
        </w:rPr>
      </w:pPr>
    </w:p>
    <w:p w:rsidRPr="00424F46" w:rsidR="005E5612" w:rsidP="00E567D2" w:rsidRDefault="005E5612">
      <w:pPr>
        <w:pStyle w:val="ListParagraph"/>
        <w:keepNext/>
        <w:keepLines/>
        <w:spacing w:after="0" w:line="288" w:lineRule="auto"/>
        <w:ind w:left="0"/>
        <w:jc w:val="both"/>
        <w:rPr>
          <w:rFonts w:ascii="Times New Roman" w:hAnsi="Times New Roman" w:cs="Times New Roman"/>
        </w:rPr>
      </w:pPr>
      <w:r>
        <w:rPr>
          <w:rFonts w:ascii="Times New Roman" w:hAnsi="Times New Roman"/>
        </w:rPr>
        <w:t>Kelt Brüsszelben, 2022. október 26-án.</w:t>
      </w:r>
    </w:p>
    <w:p w:rsidRPr="00424F46" w:rsidR="005E5612" w:rsidP="00E567D2" w:rsidRDefault="005E5612">
      <w:pPr>
        <w:pStyle w:val="ListParagraph"/>
        <w:keepNext/>
        <w:keepLines/>
        <w:spacing w:after="0" w:line="288" w:lineRule="auto"/>
        <w:ind w:left="0"/>
        <w:jc w:val="both"/>
        <w:rPr>
          <w:rFonts w:ascii="Times New Roman" w:hAnsi="Times New Roman" w:cs="Times New Roman"/>
          <w:lang w:val="en-GB"/>
        </w:rPr>
      </w:pPr>
    </w:p>
    <w:p w:rsidRPr="00424F46" w:rsidR="005E5612" w:rsidP="00E567D2" w:rsidRDefault="005E5612">
      <w:pPr>
        <w:pStyle w:val="ListParagraph"/>
        <w:keepNext/>
        <w:keepLines/>
        <w:spacing w:after="0" w:line="288" w:lineRule="auto"/>
        <w:ind w:left="0"/>
        <w:jc w:val="both"/>
        <w:rPr>
          <w:rFonts w:ascii="Times New Roman" w:hAnsi="Times New Roman" w:cs="Times New Roman"/>
          <w:lang w:val="en-GB"/>
        </w:rPr>
      </w:pPr>
    </w:p>
    <w:p w:rsidRPr="00424F46" w:rsidR="005E5612" w:rsidP="00E567D2" w:rsidRDefault="005E5612">
      <w:pPr>
        <w:pStyle w:val="ListParagraph"/>
        <w:keepNext/>
        <w:keepLines/>
        <w:spacing w:after="0" w:line="288" w:lineRule="auto"/>
        <w:ind w:left="0"/>
        <w:jc w:val="both"/>
        <w:rPr>
          <w:rFonts w:ascii="Times New Roman" w:hAnsi="Times New Roman" w:cs="Times New Roman"/>
          <w:lang w:val="en-GB"/>
        </w:rPr>
      </w:pPr>
    </w:p>
    <w:p w:rsidRPr="00424F46" w:rsidR="005E5612" w:rsidP="00E567D2" w:rsidRDefault="005E5612">
      <w:pPr>
        <w:pStyle w:val="ListParagraph"/>
        <w:keepNext/>
        <w:keepLines/>
        <w:spacing w:after="0" w:line="288" w:lineRule="auto"/>
        <w:ind w:left="0"/>
        <w:jc w:val="both"/>
        <w:rPr>
          <w:rFonts w:ascii="Times New Roman" w:hAnsi="Times New Roman" w:cs="Times New Roman"/>
        </w:rPr>
      </w:pPr>
      <w:r>
        <w:rPr>
          <w:rFonts w:ascii="Times New Roman" w:hAnsi="Times New Roman"/>
        </w:rPr>
        <w:t>Christa Schweng</w:t>
      </w:r>
    </w:p>
    <w:p w:rsidRPr="00424F46" w:rsidR="005E5612" w:rsidP="00E567D2" w:rsidRDefault="005E5612">
      <w:pPr>
        <w:pStyle w:val="ListParagraph"/>
        <w:keepNext/>
        <w:keepLines/>
        <w:spacing w:after="0" w:line="288" w:lineRule="auto"/>
        <w:ind w:left="0"/>
        <w:jc w:val="both"/>
        <w:rPr>
          <w:rFonts w:ascii="Times New Roman" w:hAnsi="Times New Roman" w:cs="Times New Roman"/>
        </w:rPr>
      </w:pPr>
      <w:r>
        <w:rPr>
          <w:rFonts w:ascii="Times New Roman" w:hAnsi="Times New Roman"/>
        </w:rPr>
        <w:t>az Európai Gazdasági és Szociális Bizottság elnöke</w:t>
      </w:r>
    </w:p>
    <w:p w:rsidRPr="00424F46" w:rsidR="009C5FF9" w:rsidP="00E567D2" w:rsidRDefault="009C5FF9">
      <w:pPr>
        <w:pStyle w:val="ListParagraph"/>
        <w:keepNext/>
        <w:keepLines/>
        <w:spacing w:after="0" w:line="288" w:lineRule="auto"/>
        <w:ind w:left="0"/>
        <w:jc w:val="both"/>
        <w:rPr>
          <w:rFonts w:ascii="Times New Roman" w:hAnsi="Times New Roman" w:cs="Times New Roman"/>
          <w:lang w:val="en-GB"/>
        </w:rPr>
      </w:pPr>
    </w:p>
    <w:p w:rsidRPr="008A6CF4" w:rsidR="0078686E" w:rsidP="00EF3B48" w:rsidRDefault="002C2B01">
      <w:pPr>
        <w:pStyle w:val="ListParagraph"/>
        <w:keepNext/>
        <w:keepLines/>
        <w:spacing w:after="0" w:line="288" w:lineRule="auto"/>
        <w:ind w:left="0"/>
        <w:jc w:val="center"/>
        <w:rPr>
          <w:rFonts w:ascii="Times New Roman" w:hAnsi="Times New Roman" w:cs="Times New Roman"/>
        </w:rPr>
      </w:pPr>
      <w:r>
        <w:t>_____________</w:t>
      </w:r>
    </w:p>
    <w:sectPr w:rsidRPr="008A6CF4" w:rsidR="0078686E" w:rsidSect="00526B40">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948" w:rsidRDefault="00BD0948" w:rsidP="008A03FA">
      <w:pPr>
        <w:spacing w:after="0" w:line="240" w:lineRule="auto"/>
      </w:pPr>
      <w:r>
        <w:separator/>
      </w:r>
    </w:p>
  </w:endnote>
  <w:endnote w:type="continuationSeparator" w:id="0">
    <w:p w:rsidR="00BD0948" w:rsidRDefault="00BD0948" w:rsidP="008A03FA">
      <w:pPr>
        <w:spacing w:after="0" w:line="240" w:lineRule="auto"/>
      </w:pPr>
      <w:r>
        <w:continuationSeparator/>
      </w:r>
    </w:p>
  </w:endnote>
  <w:endnote w:type="continuationNotice" w:id="1">
    <w:p w:rsidR="00BD0948" w:rsidRDefault="00BD09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180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40" w:rsidRPr="00526B40" w:rsidRDefault="00526B40" w:rsidP="00526B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0A7" w:rsidRPr="00526B40" w:rsidRDefault="008A6CF4" w:rsidP="008A6CF4">
    <w:pPr>
      <w:pStyle w:val="Footer"/>
      <w:jc w:val="left"/>
    </w:pPr>
    <w:r>
      <w:t xml:space="preserve">EESC-2022-04116-00-01-RES-TRA (EN) </w:t>
    </w:r>
    <w:r>
      <w:fldChar w:fldCharType="begin"/>
    </w:r>
    <w:r>
      <w:instrText xml:space="preserve"> PAGE  \* Arabic  \* MERGEFORMAT </w:instrText>
    </w:r>
    <w:r>
      <w:fldChar w:fldCharType="separate"/>
    </w:r>
    <w:r w:rsidR="00BA5168">
      <w:rPr>
        <w:noProof/>
      </w:rPr>
      <w:t>11</w:t>
    </w:r>
    <w:r>
      <w:fldChar w:fldCharType="end"/>
    </w:r>
    <w:r>
      <w:t>/</w:t>
    </w:r>
    <w:r>
      <w:fldChar w:fldCharType="begin"/>
    </w:r>
    <w:r>
      <w:instrText xml:space="preserve"> = </w:instrText>
    </w:r>
    <w:r w:rsidR="00403D49">
      <w:fldChar w:fldCharType="begin"/>
    </w:r>
    <w:r w:rsidR="00403D49">
      <w:instrText xml:space="preserve"> NUMPAGES </w:instrText>
    </w:r>
    <w:r w:rsidR="00403D49">
      <w:fldChar w:fldCharType="separate"/>
    </w:r>
    <w:r w:rsidR="00BA5168">
      <w:rPr>
        <w:noProof/>
      </w:rPr>
      <w:instrText>13</w:instrText>
    </w:r>
    <w:r w:rsidR="00403D49">
      <w:fldChar w:fldCharType="end"/>
    </w:r>
    <w:r>
      <w:instrText xml:space="preserve"> - 2 </w:instrText>
    </w:r>
    <w:r>
      <w:fldChar w:fldCharType="separate"/>
    </w:r>
    <w:r w:rsidR="00BA5168">
      <w:rPr>
        <w:noProof/>
      </w:rPr>
      <w:t>11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40" w:rsidRPr="00526B40" w:rsidRDefault="00526B40" w:rsidP="005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948" w:rsidRDefault="00BD0948" w:rsidP="008A03FA">
      <w:pPr>
        <w:spacing w:after="0" w:line="240" w:lineRule="auto"/>
      </w:pPr>
      <w:r>
        <w:separator/>
      </w:r>
    </w:p>
  </w:footnote>
  <w:footnote w:type="continuationSeparator" w:id="0">
    <w:p w:rsidR="00BD0948" w:rsidRDefault="00BD0948" w:rsidP="008A03FA">
      <w:pPr>
        <w:spacing w:after="0" w:line="240" w:lineRule="auto"/>
      </w:pPr>
      <w:r>
        <w:continuationSeparator/>
      </w:r>
    </w:p>
  </w:footnote>
  <w:footnote w:type="continuationNotice" w:id="1">
    <w:p w:rsidR="00BD0948" w:rsidRDefault="00BD0948">
      <w:pPr>
        <w:spacing w:after="0" w:line="240" w:lineRule="auto"/>
      </w:pPr>
    </w:p>
  </w:footnote>
  <w:footnote w:id="2">
    <w:p w:rsidR="00C5108E" w:rsidRPr="005F3782" w:rsidRDefault="00C5108E" w:rsidP="00EF3B48">
      <w:pPr>
        <w:pStyle w:val="FootnoteText"/>
        <w:jc w:val="left"/>
        <w:rPr>
          <w:szCs w:val="16"/>
        </w:rPr>
      </w:pPr>
      <w:r>
        <w:rPr>
          <w:rStyle w:val="FootnoteReference"/>
          <w:szCs w:val="24"/>
        </w:rPr>
        <w:footnoteRef/>
      </w:r>
      <w:r>
        <w:tab/>
      </w:r>
      <w:hyperlink r:id="rId1" w:history="1">
        <w:r>
          <w:rPr>
            <w:rStyle w:val="Hyperlink"/>
          </w:rPr>
          <w:t>A Párizsi Megállapodás</w:t>
        </w:r>
      </w:hyperlink>
      <w:r>
        <w:t>.</w:t>
      </w:r>
    </w:p>
  </w:footnote>
  <w:footnote w:id="3">
    <w:p w:rsidR="00C5108E" w:rsidRPr="005F3782" w:rsidRDefault="00C5108E" w:rsidP="00EF3B48">
      <w:pPr>
        <w:pStyle w:val="FootnoteText"/>
      </w:pPr>
      <w:r>
        <w:rPr>
          <w:rStyle w:val="FootnoteReference"/>
          <w:szCs w:val="24"/>
        </w:rPr>
        <w:footnoteRef/>
      </w:r>
      <w:r>
        <w:tab/>
        <w:t xml:space="preserve">A következők alapján: </w:t>
      </w:r>
      <w:hyperlink r:id="rId2" w:history="1">
        <w:r>
          <w:rPr>
            <w:rStyle w:val="Hyperlink"/>
          </w:rPr>
          <w:t>Economic losses from weather and climate-related extremes in Europe reached around half a trillion euros over past 40 years – Európai Környezetvédelmi Ügynökség</w:t>
        </w:r>
      </w:hyperlink>
      <w:r>
        <w:t xml:space="preserve">; </w:t>
      </w:r>
      <w:hyperlink r:id="rId3" w:history="1">
        <w:r>
          <w:rPr>
            <w:rStyle w:val="Hyperlink"/>
          </w:rPr>
          <w:t>New report: World counts the cost of a year of climate breakdown – UK charity fighting global poverty | Christian Aid | Media Centre</w:t>
        </w:r>
      </w:hyperlink>
      <w:r>
        <w:t xml:space="preserve">; </w:t>
      </w:r>
      <w:hyperlink r:id="rId4" w:anchor=":~:text=We%20estimate%20that%20climate%20change,such%20as%20DICE%20and%20FUND." w:history="1">
        <w:r>
          <w:rPr>
            <w:rStyle w:val="Hyperlink"/>
          </w:rPr>
          <w:t>The Costs of Extreme Weather Events Caused by Climate Change – Euromediterrán Éghajlatváltozási Központ (CMCC)</w:t>
        </w:r>
      </w:hyperlink>
      <w:r>
        <w:t xml:space="preserve">; </w:t>
      </w:r>
      <w:hyperlink r:id="rId5" w:history="1">
        <w:r>
          <w:rPr>
            <w:rStyle w:val="Hyperlink"/>
          </w:rPr>
          <w:t>Billion-Dollar Weather and Climate Disasters | National Centers for Environmental Information (NCEI)</w:t>
        </w:r>
      </w:hyperlink>
      <w:r>
        <w:t>.</w:t>
      </w:r>
    </w:p>
  </w:footnote>
  <w:footnote w:id="4">
    <w:p w:rsidR="00D27A92" w:rsidRPr="005F3782" w:rsidRDefault="00D27A92" w:rsidP="00EF3B48">
      <w:pPr>
        <w:pStyle w:val="FootnoteText"/>
        <w:rPr>
          <w:sz w:val="18"/>
          <w:szCs w:val="18"/>
        </w:rPr>
      </w:pPr>
      <w:r>
        <w:rPr>
          <w:rStyle w:val="FootnoteReference"/>
          <w:szCs w:val="24"/>
        </w:rPr>
        <w:footnoteRef/>
      </w:r>
      <w:r>
        <w:rPr>
          <w:sz w:val="18"/>
        </w:rPr>
        <w:tab/>
      </w:r>
      <w:hyperlink r:id="rId6" w:history="1">
        <w:r>
          <w:rPr>
            <w:rStyle w:val="Hyperlink"/>
          </w:rPr>
          <w:t>Climate Change 2022: Mitigation of Climate Change | IPCC</w:t>
        </w:r>
      </w:hyperlink>
      <w:r>
        <w:t>.</w:t>
      </w:r>
    </w:p>
  </w:footnote>
  <w:footnote w:id="5">
    <w:p w:rsidR="00EA2B05" w:rsidRPr="0039570B" w:rsidRDefault="00EA2B05" w:rsidP="00EF3B48">
      <w:pPr>
        <w:pStyle w:val="FootnoteText"/>
        <w:jc w:val="left"/>
        <w:rPr>
          <w:szCs w:val="16"/>
        </w:rPr>
      </w:pPr>
      <w:r>
        <w:rPr>
          <w:rStyle w:val="FootnoteReference"/>
          <w:szCs w:val="24"/>
        </w:rPr>
        <w:footnoteRef/>
      </w:r>
      <w:r>
        <w:tab/>
        <w:t xml:space="preserve">Az EGSZB állásfoglalása: </w:t>
      </w:r>
      <w:hyperlink r:id="rId7" w:history="1">
        <w:r>
          <w:rPr>
            <w:rStyle w:val="Hyperlink"/>
          </w:rPr>
          <w:t>Az ukrajnai háború és annak gazdasági, társadalmi és környezeti hatása</w:t>
        </w:r>
      </w:hyperlink>
      <w:r>
        <w:t>.</w:t>
      </w:r>
    </w:p>
  </w:footnote>
  <w:footnote w:id="6">
    <w:p w:rsidR="00CB14BC" w:rsidRPr="005F3782" w:rsidRDefault="00CB14BC" w:rsidP="00EF3B48">
      <w:pPr>
        <w:pStyle w:val="FootnoteText"/>
        <w:tabs>
          <w:tab w:val="left" w:pos="567"/>
        </w:tabs>
        <w:ind w:left="0" w:firstLine="0"/>
        <w:jc w:val="left"/>
        <w:rPr>
          <w:szCs w:val="16"/>
        </w:rPr>
      </w:pPr>
      <w:r>
        <w:rPr>
          <w:rStyle w:val="FootnoteReference"/>
          <w:szCs w:val="24"/>
        </w:rPr>
        <w:footnoteRef/>
      </w:r>
      <w:r>
        <w:tab/>
      </w:r>
      <w:hyperlink r:id="rId8" w:history="1">
        <w:r>
          <w:rPr>
            <w:rStyle w:val="Hyperlink"/>
          </w:rPr>
          <w:t>Klímaváltozás: gyorsabb cselekvést és energiafüggetlenséget sürget a Parlament</w:t>
        </w:r>
      </w:hyperlink>
      <w:r>
        <w:t>.</w:t>
      </w:r>
    </w:p>
  </w:footnote>
  <w:footnote w:id="7">
    <w:p w:rsidR="00CB14BC" w:rsidRPr="005F3782" w:rsidRDefault="00CB14BC" w:rsidP="00EF3B48">
      <w:pPr>
        <w:pStyle w:val="FootnoteText"/>
        <w:tabs>
          <w:tab w:val="left" w:pos="567"/>
        </w:tabs>
        <w:ind w:left="708" w:hanging="708"/>
        <w:jc w:val="left"/>
        <w:rPr>
          <w:szCs w:val="16"/>
        </w:rPr>
      </w:pPr>
      <w:r>
        <w:rPr>
          <w:rStyle w:val="FootnoteReference"/>
          <w:szCs w:val="24"/>
        </w:rPr>
        <w:footnoteRef/>
      </w:r>
      <w:r>
        <w:tab/>
      </w:r>
      <w:hyperlink r:id="rId9" w:history="1">
        <w:r>
          <w:rPr>
            <w:rStyle w:val="Hyperlink"/>
          </w:rPr>
          <w:t>Irány az 55%: a Parlament nagyobb szerepet szán a szénelnyelőknek</w:t>
        </w:r>
      </w:hyperlink>
      <w:r>
        <w:t>.</w:t>
      </w:r>
    </w:p>
  </w:footnote>
  <w:footnote w:id="8">
    <w:p w:rsidR="00D27A92" w:rsidRPr="0039570B" w:rsidRDefault="00D27A92" w:rsidP="00EF3B48">
      <w:pPr>
        <w:pStyle w:val="FootnoteText"/>
        <w:rPr>
          <w:szCs w:val="16"/>
        </w:rPr>
      </w:pPr>
      <w:r>
        <w:rPr>
          <w:rStyle w:val="FootnoteReference"/>
          <w:szCs w:val="24"/>
        </w:rPr>
        <w:footnoteRef/>
      </w:r>
      <w:r>
        <w:tab/>
        <w:t xml:space="preserve">EGSZB-vélemény: </w:t>
      </w:r>
      <w:r>
        <w:rPr>
          <w:i/>
        </w:rPr>
        <w:t>A fenntartható gazdaság, amelyre szükségünk van</w:t>
      </w:r>
      <w:r>
        <w:t xml:space="preserve">, </w:t>
      </w:r>
      <w:hyperlink r:id="rId10" w:anchor=":~:text=The%20EESC%20highlights%20that%20building%20the%20wellbeing%20economy%20must%20start%20by%20adopting%20a%20precautionary%20approach%20in%20which%20macroeconomic%20stability%20does%20not%20depend%20on%20GDP%20growth.%20It%20proposes%20the%20development%20of%20new%20indicators%20of%20economic%20performance%20and%20social%20progress%20beyond%20GDP." w:history="1">
        <w:r>
          <w:rPr>
            <w:rStyle w:val="Hyperlink"/>
          </w:rPr>
          <w:t>HL C 106., 2020.3.31., 1. o.</w:t>
        </w:r>
      </w:hyperlink>
    </w:p>
  </w:footnote>
  <w:footnote w:id="9">
    <w:p w:rsidR="00F426F7" w:rsidRPr="005F3782" w:rsidRDefault="00F426F7" w:rsidP="00EF3B48">
      <w:pPr>
        <w:pStyle w:val="FootnoteText"/>
        <w:rPr>
          <w:szCs w:val="16"/>
        </w:rPr>
      </w:pPr>
      <w:r>
        <w:rPr>
          <w:rStyle w:val="FootnoteReference"/>
          <w:szCs w:val="24"/>
        </w:rPr>
        <w:footnoteRef/>
      </w:r>
      <w:r>
        <w:tab/>
        <w:t xml:space="preserve">EGSZB-vélemény: </w:t>
      </w:r>
      <w:r>
        <w:rPr>
          <w:i/>
        </w:rPr>
        <w:t>„Irány az 55%!”: az EU 2030-ra vonatkozó éghajlat-politikai célkitűzésének megvalósítása a klímasemlegesség elérése érdekében</w:t>
      </w:r>
      <w:r>
        <w:t xml:space="preserve">, </w:t>
      </w:r>
      <w:hyperlink r:id="rId11" w:history="1">
        <w:r>
          <w:rPr>
            <w:rStyle w:val="Hyperlink"/>
          </w:rPr>
          <w:t>HL C 275., 2022.7.18., 101. o.</w:t>
        </w:r>
      </w:hyperlink>
    </w:p>
  </w:footnote>
  <w:footnote w:id="10">
    <w:p w:rsidR="00CA61D4" w:rsidRPr="0052304F" w:rsidRDefault="00CA61D4">
      <w:pPr>
        <w:pStyle w:val="FootnoteText"/>
      </w:pPr>
      <w:r>
        <w:rPr>
          <w:rStyle w:val="FootnoteReference"/>
        </w:rPr>
        <w:footnoteRef/>
      </w:r>
      <w:r>
        <w:t xml:space="preserve"> </w:t>
      </w:r>
      <w:r>
        <w:tab/>
        <w:t xml:space="preserve">EGSZB-vélemény: </w:t>
      </w:r>
      <w:hyperlink r:id="rId12" w:history="1">
        <w:r>
          <w:rPr>
            <w:rStyle w:val="Hyperlink"/>
            <w:i/>
          </w:rPr>
          <w:t>Szociális párbeszéd a zöld átállás keretében</w:t>
        </w:r>
      </w:hyperlink>
      <w:r>
        <w:t xml:space="preserve"> </w:t>
      </w:r>
      <w:r>
        <w:rPr>
          <w:i/>
        </w:rPr>
        <w:t>(a Hivatalos Lapban még nem tették közzé)</w:t>
      </w:r>
      <w:r>
        <w:t>.</w:t>
      </w:r>
    </w:p>
  </w:footnote>
  <w:footnote w:id="11">
    <w:p w:rsidR="00492189" w:rsidRPr="009B16C4" w:rsidRDefault="00492189" w:rsidP="00EF3B48">
      <w:pPr>
        <w:pStyle w:val="FootnoteText"/>
        <w:jc w:val="left"/>
        <w:rPr>
          <w:szCs w:val="16"/>
        </w:rPr>
      </w:pPr>
      <w:r>
        <w:rPr>
          <w:rStyle w:val="FootnoteReference"/>
          <w:szCs w:val="24"/>
        </w:rPr>
        <w:footnoteRef/>
      </w:r>
      <w:r>
        <w:tab/>
        <w:t xml:space="preserve">EGSZB-vélemény: </w:t>
      </w:r>
      <w:r>
        <w:rPr>
          <w:i/>
        </w:rPr>
        <w:t>„Irány az 55%!”: az EU 2030-ra vonatkozó éghajlat-politikai célkitűzésének megvalósítása a klímasemlegesség elérése érdekében</w:t>
      </w:r>
      <w:r>
        <w:t xml:space="preserve">, </w:t>
      </w:r>
      <w:hyperlink r:id="rId13" w:history="1">
        <w:r>
          <w:rPr>
            <w:rStyle w:val="Hyperlink"/>
          </w:rPr>
          <w:t>HL C 275., 2022.7.18., 101. o.</w:t>
        </w:r>
      </w:hyperlink>
    </w:p>
  </w:footnote>
  <w:footnote w:id="12">
    <w:p w:rsidR="00492189" w:rsidRPr="009B16C4" w:rsidRDefault="00492189" w:rsidP="00EF3B48">
      <w:pPr>
        <w:pStyle w:val="FootnoteText"/>
        <w:jc w:val="left"/>
        <w:rPr>
          <w:szCs w:val="16"/>
        </w:rPr>
      </w:pPr>
      <w:r>
        <w:rPr>
          <w:rStyle w:val="FootnoteReference"/>
          <w:szCs w:val="24"/>
        </w:rPr>
        <w:footnoteRef/>
      </w:r>
      <w:r>
        <w:tab/>
        <w:t xml:space="preserve">EGSZB-vélemény: </w:t>
      </w:r>
      <w:r>
        <w:rPr>
          <w:i/>
        </w:rPr>
        <w:t>„Irány az 55%!”: az EU 2030-ra vonatkozó éghajlat-politikai célkitűzésének megvalósítása a klímasemlegesség elérése érdekében</w:t>
      </w:r>
      <w:r>
        <w:t xml:space="preserve">, </w:t>
      </w:r>
      <w:hyperlink r:id="rId14" w:history="1">
        <w:r>
          <w:rPr>
            <w:rStyle w:val="Hyperlink"/>
          </w:rPr>
          <w:t>HL C 275., 2022.7.18., 101. o.</w:t>
        </w:r>
      </w:hyperlink>
    </w:p>
  </w:footnote>
  <w:footnote w:id="13">
    <w:p w:rsidR="00492189" w:rsidRPr="005F3782" w:rsidRDefault="00492189" w:rsidP="00EF3B48">
      <w:pPr>
        <w:pStyle w:val="FootnoteText"/>
        <w:rPr>
          <w:szCs w:val="16"/>
        </w:rPr>
      </w:pPr>
      <w:r>
        <w:rPr>
          <w:rStyle w:val="FootnoteReference"/>
          <w:szCs w:val="24"/>
        </w:rPr>
        <w:footnoteRef/>
      </w:r>
      <w:r>
        <w:tab/>
      </w:r>
      <w:hyperlink r:id="rId15" w:history="1">
        <w:r>
          <w:rPr>
            <w:rStyle w:val="Hyperlink"/>
          </w:rPr>
          <w:t>Konferencia Európa jövőjéről – Az európai polgári vitacsoport által elfogadott ajánlások</w:t>
        </w:r>
      </w:hyperlink>
      <w:r>
        <w:t>.</w:t>
      </w:r>
    </w:p>
  </w:footnote>
  <w:footnote w:id="14">
    <w:p w:rsidR="00492189" w:rsidRPr="009B16C4" w:rsidRDefault="00492189" w:rsidP="00EF3B48">
      <w:pPr>
        <w:pStyle w:val="FootnoteText"/>
        <w:jc w:val="left"/>
        <w:rPr>
          <w:szCs w:val="16"/>
        </w:rPr>
      </w:pPr>
      <w:r>
        <w:rPr>
          <w:rStyle w:val="FootnoteReference"/>
          <w:szCs w:val="24"/>
        </w:rPr>
        <w:footnoteRef/>
      </w:r>
      <w:r>
        <w:tab/>
      </w:r>
      <w:hyperlink r:id="rId16" w:history="1">
        <w:r>
          <w:rPr>
            <w:rStyle w:val="Hyperlink"/>
          </w:rPr>
          <w:t>2021 Europe Sustainable Development Report – Európai Fenntartható Fejlődési Megoldásokkal Foglalkozó Hálózat (SDSN Europe)</w:t>
        </w:r>
      </w:hyperlink>
      <w:r>
        <w:t>.</w:t>
      </w:r>
    </w:p>
  </w:footnote>
  <w:footnote w:id="15">
    <w:p w:rsidR="007E0872" w:rsidRPr="00E567D2" w:rsidRDefault="007E0872" w:rsidP="00EF3B48">
      <w:pPr>
        <w:pStyle w:val="FootnoteText"/>
      </w:pPr>
      <w:r>
        <w:rPr>
          <w:rStyle w:val="FootnoteReference"/>
        </w:rPr>
        <w:footnoteRef/>
      </w:r>
      <w:r>
        <w:tab/>
        <w:t xml:space="preserve">Előkészületben lévő EGSZB-vélemény (NAT/841): </w:t>
      </w:r>
      <w:hyperlink r:id="rId17" w:history="1">
        <w:r>
          <w:rPr>
            <w:rStyle w:val="Hyperlink"/>
            <w:i/>
          </w:rPr>
          <w:t>Természet-helyreállítási célok az uniós biodiverzitási stratégia keretében</w:t>
        </w:r>
      </w:hyperlink>
      <w:r>
        <w:t>.</w:t>
      </w:r>
    </w:p>
  </w:footnote>
  <w:footnote w:id="16">
    <w:p w:rsidR="0044565F" w:rsidRPr="005F3782" w:rsidRDefault="0044565F" w:rsidP="00EF3B48">
      <w:pPr>
        <w:pStyle w:val="FootnoteText"/>
        <w:tabs>
          <w:tab w:val="left" w:pos="567"/>
        </w:tabs>
        <w:rPr>
          <w:szCs w:val="16"/>
        </w:rPr>
      </w:pPr>
      <w:r>
        <w:rPr>
          <w:rStyle w:val="FootnoteReference"/>
          <w:szCs w:val="24"/>
        </w:rPr>
        <w:footnoteRef/>
      </w:r>
      <w:r>
        <w:tab/>
        <w:t xml:space="preserve">EGSZB-vélemény: </w:t>
      </w:r>
      <w:r>
        <w:rPr>
          <w:i/>
        </w:rPr>
        <w:t>Az éghajlatváltozáshoz való alkalmazkodásra vonatkozó új uniós stratégia</w:t>
      </w:r>
      <w:r>
        <w:t xml:space="preserve">, </w:t>
      </w:r>
      <w:hyperlink r:id="rId18" w:history="1">
        <w:r>
          <w:rPr>
            <w:rStyle w:val="Hyperlink"/>
          </w:rPr>
          <w:t>HL C 374., 2021.9.16., 84. o.</w:t>
        </w:r>
      </w:hyperlink>
    </w:p>
  </w:footnote>
  <w:footnote w:id="17">
    <w:p w:rsidR="0044565F" w:rsidRPr="005F3782" w:rsidRDefault="0044565F" w:rsidP="00EF3B48">
      <w:pPr>
        <w:pStyle w:val="FootnoteText"/>
        <w:tabs>
          <w:tab w:val="left" w:pos="567"/>
        </w:tabs>
        <w:rPr>
          <w:szCs w:val="16"/>
        </w:rPr>
      </w:pPr>
      <w:r>
        <w:rPr>
          <w:rStyle w:val="FootnoteReference"/>
          <w:szCs w:val="24"/>
        </w:rPr>
        <w:footnoteRef/>
      </w:r>
      <w:r>
        <w:tab/>
      </w:r>
      <w:hyperlink r:id="rId19" w:history="1">
        <w:r>
          <w:rPr>
            <w:rStyle w:val="Hyperlink"/>
          </w:rPr>
          <w:t>António Guterres: 50% of All Climate Finance Needed for Adaptation</w:t>
        </w:r>
      </w:hyperlink>
      <w:r>
        <w:t>.</w:t>
      </w:r>
    </w:p>
  </w:footnote>
  <w:footnote w:id="18">
    <w:p w:rsidR="00707DFC" w:rsidRPr="0039570B" w:rsidRDefault="00707DFC" w:rsidP="00EF3B48">
      <w:pPr>
        <w:pStyle w:val="FootnoteText"/>
        <w:tabs>
          <w:tab w:val="left" w:pos="567"/>
        </w:tabs>
        <w:jc w:val="left"/>
        <w:rPr>
          <w:szCs w:val="16"/>
        </w:rPr>
      </w:pPr>
      <w:r>
        <w:rPr>
          <w:rStyle w:val="FootnoteReference"/>
          <w:szCs w:val="24"/>
        </w:rPr>
        <w:footnoteRef/>
      </w:r>
      <w:r>
        <w:tab/>
        <w:t xml:space="preserve">EGSZB-vélemény: </w:t>
      </w:r>
      <w:r>
        <w:rPr>
          <w:i/>
        </w:rPr>
        <w:t>Szinergiák létrehozása a körforgásos gazdaság különböző ütemtervei között</w:t>
      </w:r>
      <w:r>
        <w:t xml:space="preserve">, </w:t>
      </w:r>
      <w:hyperlink r:id="rId20" w:history="1">
        <w:r>
          <w:rPr>
            <w:rStyle w:val="Hyperlink"/>
          </w:rPr>
          <w:t>HL C 14., 2020.1.15., 29. o.</w:t>
        </w:r>
      </w:hyperlink>
    </w:p>
  </w:footnote>
  <w:footnote w:id="19">
    <w:p w:rsidR="00707DFC" w:rsidRPr="0039570B" w:rsidRDefault="00707DFC" w:rsidP="00EF3B48">
      <w:pPr>
        <w:pStyle w:val="FootnoteText"/>
        <w:tabs>
          <w:tab w:val="left" w:pos="567"/>
        </w:tabs>
        <w:jc w:val="left"/>
        <w:rPr>
          <w:szCs w:val="16"/>
        </w:rPr>
      </w:pPr>
      <w:r>
        <w:rPr>
          <w:rStyle w:val="FootnoteReference"/>
          <w:szCs w:val="24"/>
        </w:rPr>
        <w:footnoteRef/>
      </w:r>
      <w:r>
        <w:tab/>
        <w:t xml:space="preserve">Circularity Gap Report 2021 </w:t>
      </w:r>
      <w:hyperlink r:id="rId21" w:history="1">
        <w:r>
          <w:rPr>
            <w:rStyle w:val="Hyperlink"/>
          </w:rPr>
          <w:t>Climate Change Mitigation through the Circular Economy</w:t>
        </w:r>
      </w:hyperlink>
      <w:r>
        <w:t>.</w:t>
      </w:r>
    </w:p>
  </w:footnote>
  <w:footnote w:id="20">
    <w:p w:rsidR="00707DFC" w:rsidRPr="00BE77CC" w:rsidRDefault="00707DFC" w:rsidP="00EF3B48">
      <w:pPr>
        <w:pStyle w:val="FootnoteText"/>
        <w:tabs>
          <w:tab w:val="left" w:pos="567"/>
        </w:tabs>
        <w:jc w:val="left"/>
      </w:pPr>
      <w:r>
        <w:rPr>
          <w:rStyle w:val="FootnoteReference"/>
          <w:szCs w:val="24"/>
        </w:rPr>
        <w:footnoteRef/>
      </w:r>
      <w:r>
        <w:tab/>
        <w:t xml:space="preserve">EGSZB-vélemény: </w:t>
      </w:r>
      <w:r>
        <w:rPr>
          <w:i/>
        </w:rPr>
        <w:t>Az éghajlatváltozáshoz való alkalmazkodásra vonatkozó új uniós stratégia</w:t>
      </w:r>
      <w:r>
        <w:t xml:space="preserve">, </w:t>
      </w:r>
      <w:hyperlink r:id="rId22" w:history="1">
        <w:r>
          <w:rPr>
            <w:rStyle w:val="Hyperlink"/>
          </w:rPr>
          <w:t>HL C 374., 2021.9.16., 84. o.</w:t>
        </w:r>
      </w:hyperlink>
    </w:p>
  </w:footnote>
  <w:footnote w:id="21">
    <w:p w:rsidR="00444B59" w:rsidRPr="009B16C4" w:rsidRDefault="00444B59" w:rsidP="00EF3B48">
      <w:pPr>
        <w:pStyle w:val="FootnoteText"/>
        <w:jc w:val="left"/>
        <w:rPr>
          <w:szCs w:val="16"/>
        </w:rPr>
      </w:pPr>
      <w:r>
        <w:rPr>
          <w:rStyle w:val="FootnoteReference"/>
          <w:szCs w:val="24"/>
        </w:rPr>
        <w:footnoteRef/>
      </w:r>
      <w:r>
        <w:tab/>
      </w:r>
      <w:hyperlink r:id="rId23" w:history="1">
        <w:r>
          <w:rPr>
            <w:rStyle w:val="Hyperlink"/>
          </w:rPr>
          <w:t>Enhancing NDCs For Food Systems - recommendations for decision-makers | NDC Action Project</w:t>
        </w:r>
      </w:hyperlink>
      <w:r>
        <w:t>.</w:t>
      </w:r>
    </w:p>
  </w:footnote>
  <w:footnote w:id="22">
    <w:p w:rsidR="00444B59" w:rsidRPr="009B16C4" w:rsidRDefault="00444B59" w:rsidP="00EF3B48">
      <w:pPr>
        <w:pStyle w:val="FootnoteText"/>
        <w:jc w:val="left"/>
        <w:rPr>
          <w:szCs w:val="16"/>
        </w:rPr>
      </w:pPr>
      <w:r>
        <w:rPr>
          <w:rStyle w:val="FootnoteReference"/>
          <w:szCs w:val="24"/>
        </w:rPr>
        <w:footnoteRef/>
      </w:r>
      <w:r>
        <w:tab/>
        <w:t xml:space="preserve">EGSZB-vélemény: </w:t>
      </w:r>
      <w:r>
        <w:rPr>
          <w:i/>
        </w:rPr>
        <w:t>Stratégiai autonómia, élelmezésbiztonság és fenntarthatóság</w:t>
      </w:r>
      <w:r>
        <w:t xml:space="preserve">, </w:t>
      </w:r>
      <w:hyperlink r:id="rId24" w:history="1">
        <w:r>
          <w:rPr>
            <w:rStyle w:val="Hyperlink"/>
          </w:rPr>
          <w:t>HL C 194., 2022.5.12., 72. o.</w:t>
        </w:r>
      </w:hyperlink>
    </w:p>
  </w:footnote>
  <w:footnote w:id="23">
    <w:p w:rsidR="00444B59" w:rsidRPr="009B16C4" w:rsidRDefault="00444B59" w:rsidP="00EF3B48">
      <w:pPr>
        <w:pStyle w:val="FootnoteText"/>
        <w:rPr>
          <w:szCs w:val="16"/>
        </w:rPr>
      </w:pPr>
      <w:r>
        <w:rPr>
          <w:rStyle w:val="FootnoteReference"/>
          <w:szCs w:val="24"/>
        </w:rPr>
        <w:footnoteRef/>
      </w:r>
      <w:r>
        <w:tab/>
        <w:t xml:space="preserve">EGSZB-vélemény: </w:t>
      </w:r>
      <w:r>
        <w:rPr>
          <w:i/>
        </w:rPr>
        <w:t>A „termelőtől a fogyasztóig” stratégia a méltányos, egészséges és környezetbarát élelmiszerrendszerért</w:t>
      </w:r>
      <w:r>
        <w:t xml:space="preserve">, </w:t>
      </w:r>
      <w:hyperlink r:id="rId25" w:history="1">
        <w:r>
          <w:rPr>
            <w:rStyle w:val="Hyperlink"/>
          </w:rPr>
          <w:t>HL C 429., 2020.12.11., 268. o.</w:t>
        </w:r>
      </w:hyperlink>
    </w:p>
  </w:footnote>
  <w:footnote w:id="24">
    <w:p w:rsidR="00444B59" w:rsidRPr="009B16C4" w:rsidRDefault="00444B59" w:rsidP="00EF3B48">
      <w:pPr>
        <w:pStyle w:val="FootnoteText"/>
        <w:jc w:val="left"/>
        <w:rPr>
          <w:szCs w:val="16"/>
        </w:rPr>
      </w:pPr>
      <w:r>
        <w:rPr>
          <w:rStyle w:val="FootnoteReference"/>
          <w:szCs w:val="24"/>
        </w:rPr>
        <w:footnoteRef/>
      </w:r>
      <w:r>
        <w:tab/>
        <w:t xml:space="preserve">EGSZB-vélemények: </w:t>
      </w:r>
      <w:r>
        <w:rPr>
          <w:i/>
        </w:rPr>
        <w:t>Éghajlati igazságosság</w:t>
      </w:r>
      <w:r>
        <w:t xml:space="preserve">, </w:t>
      </w:r>
      <w:hyperlink r:id="rId26" w:history="1">
        <w:r>
          <w:rPr>
            <w:rStyle w:val="Hyperlink"/>
          </w:rPr>
          <w:t>HL C 81., 2018.3.2., 22. o.</w:t>
        </w:r>
      </w:hyperlink>
      <w:r>
        <w:t xml:space="preserve"> és </w:t>
      </w:r>
      <w:r>
        <w:rPr>
          <w:i/>
        </w:rPr>
        <w:t>Az éghajlatváltozáshoz való alkalmazkodásra vonatkozó új uniós stratégia</w:t>
      </w:r>
      <w:r>
        <w:t xml:space="preserve">, </w:t>
      </w:r>
      <w:hyperlink r:id="rId27" w:history="1">
        <w:r>
          <w:rPr>
            <w:rStyle w:val="Hyperlink"/>
          </w:rPr>
          <w:t>HL C 374., 2021.9.16., 84. o.</w:t>
        </w:r>
      </w:hyperlink>
    </w:p>
  </w:footnote>
  <w:footnote w:id="25">
    <w:p w:rsidR="00EB27C9" w:rsidRPr="00E567D2" w:rsidRDefault="00EB27C9" w:rsidP="00EF3B48">
      <w:pPr>
        <w:pStyle w:val="FootnoteText"/>
      </w:pPr>
      <w:r>
        <w:rPr>
          <w:rStyle w:val="FootnoteReference"/>
        </w:rPr>
        <w:footnoteRef/>
      </w:r>
      <w:r>
        <w:tab/>
        <w:t xml:space="preserve">EGSZB-vélemény: </w:t>
      </w:r>
      <w:r>
        <w:rPr>
          <w:i/>
        </w:rPr>
        <w:t>REPowerEU: Közös európai fellépés a megfizethetőbb, biztonságosabb és fenntarthatóbb energiáért</w:t>
      </w:r>
      <w:r>
        <w:t xml:space="preserve">, </w:t>
      </w:r>
      <w:hyperlink r:id="rId28" w:history="1">
        <w:r>
          <w:rPr>
            <w:rStyle w:val="Hyperlink"/>
          </w:rPr>
          <w:t>HL C 323., 2022.8.26., 123. o.</w:t>
        </w:r>
      </w:hyperlink>
    </w:p>
  </w:footnote>
  <w:footnote w:id="26">
    <w:p w:rsidR="00444B59" w:rsidRPr="005F3782" w:rsidRDefault="00444B59" w:rsidP="00EF3B48">
      <w:pPr>
        <w:pStyle w:val="FootnoteText"/>
        <w:rPr>
          <w:szCs w:val="16"/>
        </w:rPr>
      </w:pPr>
      <w:r>
        <w:rPr>
          <w:rStyle w:val="FootnoteReference"/>
          <w:szCs w:val="24"/>
        </w:rPr>
        <w:footnoteRef/>
      </w:r>
      <w:r>
        <w:tab/>
        <w:t xml:space="preserve">EGSZB-vélemény: </w:t>
      </w:r>
      <w:r>
        <w:rPr>
          <w:i/>
        </w:rPr>
        <w:t>„Irány az 55%!”: az EU 2030-ra vonatkozó éghajlat-politikai célkitűzésének megvalósítása a klímasemlegesség elérése érdekében</w:t>
      </w:r>
      <w:r>
        <w:t xml:space="preserve">, </w:t>
      </w:r>
      <w:hyperlink r:id="rId29" w:history="1">
        <w:r>
          <w:rPr>
            <w:rStyle w:val="Hyperlink"/>
          </w:rPr>
          <w:t>HL C 275., 2022.7.18., 101. o.</w:t>
        </w:r>
      </w:hyperlink>
    </w:p>
  </w:footnote>
  <w:footnote w:id="27">
    <w:p w:rsidR="00F81237" w:rsidRPr="00E567D2" w:rsidRDefault="00F81237" w:rsidP="00EF3B48">
      <w:pPr>
        <w:pStyle w:val="FootnoteText"/>
      </w:pPr>
      <w:r>
        <w:rPr>
          <w:rStyle w:val="FootnoteReference"/>
        </w:rPr>
        <w:footnoteRef/>
      </w:r>
      <w:r>
        <w:tab/>
        <w:t xml:space="preserve">EGSZB-vélemény: </w:t>
      </w:r>
      <w:r>
        <w:rPr>
          <w:i/>
        </w:rPr>
        <w:t>Digitalizáció és fenntarthatóság – a jelenlegi helyzet és a szükséges fellépések a civil társadalom szemszögéből</w:t>
      </w:r>
      <w:r>
        <w:t xml:space="preserve">, </w:t>
      </w:r>
      <w:hyperlink r:id="rId30" w:history="1">
        <w:r>
          <w:rPr>
            <w:rStyle w:val="Hyperlink"/>
          </w:rPr>
          <w:t>HL C 429., 2020.12.11., 187. o.</w:t>
        </w:r>
      </w:hyperlink>
    </w:p>
  </w:footnote>
  <w:footnote w:id="28">
    <w:p w:rsidR="00444B59" w:rsidRPr="009B16C4" w:rsidRDefault="00444B59" w:rsidP="00EF3B48">
      <w:pPr>
        <w:pStyle w:val="FootnoteText"/>
        <w:jc w:val="left"/>
        <w:rPr>
          <w:szCs w:val="16"/>
        </w:rPr>
      </w:pPr>
      <w:r>
        <w:rPr>
          <w:rStyle w:val="FootnoteReference"/>
          <w:szCs w:val="24"/>
        </w:rPr>
        <w:footnoteRef/>
      </w:r>
      <w:r>
        <w:tab/>
        <w:t xml:space="preserve">EGSZB-vélemény: </w:t>
      </w:r>
      <w:r>
        <w:rPr>
          <w:i/>
        </w:rPr>
        <w:t>„Irány az 55%!”: az EU 2030-ra vonatkozó éghajlat-politikai célkitűzésének megvalósítása a klímasemlegesség elérése érdekében</w:t>
      </w:r>
      <w:r>
        <w:t xml:space="preserve">, </w:t>
      </w:r>
      <w:hyperlink r:id="rId31" w:history="1">
        <w:r>
          <w:rPr>
            <w:rStyle w:val="Hyperlink"/>
          </w:rPr>
          <w:t>HL C 275., 2022.7.18., 101. o.</w:t>
        </w:r>
      </w:hyperlink>
    </w:p>
  </w:footnote>
  <w:footnote w:id="29">
    <w:p w:rsidR="003567A8" w:rsidRPr="005F3782" w:rsidRDefault="003567A8" w:rsidP="00EF3B48">
      <w:pPr>
        <w:pStyle w:val="FootnoteText"/>
        <w:rPr>
          <w:szCs w:val="16"/>
        </w:rPr>
      </w:pPr>
      <w:r>
        <w:rPr>
          <w:rStyle w:val="FootnoteReference"/>
          <w:szCs w:val="24"/>
        </w:rPr>
        <w:footnoteRef/>
      </w:r>
      <w:r>
        <w:tab/>
        <w:t xml:space="preserve">EGSZB-vélemény: </w:t>
      </w:r>
      <w:r>
        <w:rPr>
          <w:i/>
        </w:rPr>
        <w:t>„Irány az 55%!”: az EU 2030-ra vonatkozó éghajlat-politikai célkitűzésének megvalósítása a klímasemlegesség elérése érdekében</w:t>
      </w:r>
      <w:r>
        <w:t xml:space="preserve">, </w:t>
      </w:r>
      <w:hyperlink r:id="rId32" w:history="1">
        <w:r>
          <w:rPr>
            <w:rStyle w:val="Hyperlink"/>
          </w:rPr>
          <w:t>HL C 275., 2022.7.18., 101. o.</w:t>
        </w:r>
      </w:hyperlink>
    </w:p>
  </w:footnote>
  <w:footnote w:id="30">
    <w:p w:rsidR="00EE319C" w:rsidRPr="005F3782" w:rsidRDefault="00EE319C" w:rsidP="00EF3B48">
      <w:pPr>
        <w:pStyle w:val="FootnoteText"/>
        <w:rPr>
          <w:szCs w:val="16"/>
        </w:rPr>
      </w:pPr>
      <w:r>
        <w:rPr>
          <w:rStyle w:val="FootnoteReference"/>
          <w:szCs w:val="24"/>
        </w:rPr>
        <w:footnoteRef/>
      </w:r>
      <w:r>
        <w:tab/>
      </w:r>
      <w:hyperlink r:id="rId33" w:history="1">
        <w:r>
          <w:rPr>
            <w:rStyle w:val="Hyperlink"/>
          </w:rPr>
          <w:t>2020 Pocket Guide to Gender Equality under the UNFCCC - WEDO</w:t>
        </w:r>
      </w:hyperlink>
      <w:r>
        <w:t>.</w:t>
      </w:r>
    </w:p>
  </w:footnote>
  <w:footnote w:id="31">
    <w:p w:rsidR="009F475F" w:rsidRPr="005F3782" w:rsidRDefault="009F475F" w:rsidP="00EF3B48">
      <w:pPr>
        <w:pStyle w:val="FootnoteText"/>
      </w:pPr>
      <w:r>
        <w:rPr>
          <w:rStyle w:val="FootnoteReference"/>
          <w:szCs w:val="24"/>
        </w:rPr>
        <w:footnoteRef/>
      </w:r>
      <w:r>
        <w:t xml:space="preserve"> </w:t>
      </w:r>
      <w:r>
        <w:tab/>
        <w:t xml:space="preserve">Előkészületben lévő EGSZB-vélemény (NAT/788): </w:t>
      </w:r>
      <w:hyperlink r:id="rId34" w:history="1">
        <w:r>
          <w:rPr>
            <w:rStyle w:val="Hyperlink"/>
            <w:i/>
          </w:rPr>
          <w:t>A fiatalok strukturált részvétele az éghajlattal és a fenntarthatósággal kapcsolatban az uniós döntéshozatali folyamatban</w:t>
        </w:r>
      </w:hyperlink>
      <w:r>
        <w:t>.</w:t>
      </w:r>
    </w:p>
  </w:footnote>
  <w:footnote w:id="32">
    <w:p w:rsidR="00B27016" w:rsidRPr="005F3782" w:rsidRDefault="00B27016" w:rsidP="00EF3B48">
      <w:pPr>
        <w:pStyle w:val="FootnoteText"/>
        <w:rPr>
          <w:szCs w:val="16"/>
        </w:rPr>
      </w:pPr>
      <w:r>
        <w:rPr>
          <w:rStyle w:val="FootnoteReference"/>
          <w:szCs w:val="24"/>
        </w:rPr>
        <w:footnoteRef/>
      </w:r>
      <w:r>
        <w:tab/>
      </w:r>
      <w:hyperlink r:id="rId35" w:history="1">
        <w:r>
          <w:rPr>
            <w:rStyle w:val="Hyperlink"/>
          </w:rPr>
          <w:t>Indigenous peoples defend Earth's biodiversity – but they're in danger</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403D49">
    <w:pPr>
      <w:pStyle w:val="Header"/>
    </w:pPr>
    <w:r>
      <w:pict w14:anchorId="4C30A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16391" type="#_x0000_t75" style="position:absolute;left:0;text-align:left;margin-left:0;margin-top:0;width:598.15pt;height:843.9pt;z-index:-251658752;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180C9D">
    <w:pPr>
      <w:pStyle w:val="Header"/>
    </w:pPr>
    <w:r>
      <w:rPr>
        <w:noProof/>
        <w:lang w:val="en-GB" w:eastAsia="en-GB" w:bidi="ne-IN"/>
      </w:rPr>
      <w:drawing>
        <wp:anchor distT="0" distB="0" distL="114300" distR="114300" simplePos="0" relativeHeight="251657216" behindDoc="0" locked="0" layoutInCell="1" allowOverlap="1" wp14:anchorId="346ADD29" wp14:editId="61474A2D">
          <wp:simplePos x="898497" y="453224"/>
          <wp:positionH relativeFrom="page">
            <wp:align>center</wp:align>
          </wp:positionH>
          <wp:positionV relativeFrom="page">
            <wp:posOffset>288290</wp:posOffset>
          </wp:positionV>
          <wp:extent cx="6944398" cy="334427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403D49">
      <w:pict w14:anchorId="00D77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16392" type="#_x0000_t75" style="position:absolute;left:0;text-align:left;margin-left:0;margin-top:0;width:598.15pt;height:843.9pt;z-index:-251657728;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403D49">
    <w:pPr>
      <w:pStyle w:val="Header"/>
    </w:pPr>
    <w:r>
      <w:pict w14:anchorId="6655E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16390" type="#_x0000_t75" style="position:absolute;left:0;text-align:left;margin-left:0;margin-top:0;width:598.15pt;height:843.9pt;z-index:-251659776;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403D49">
    <w:pPr>
      <w:pStyle w:val="Header"/>
    </w:pPr>
    <w:r>
      <w:pict w14:anchorId="0845C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16394" type="#_x0000_t75" style="position:absolute;left:0;text-align:left;margin-left:0;margin-top:0;width:598.15pt;height:843.9pt;z-index:-251655680;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180C9D">
    <w:pPr>
      <w:pStyle w:val="Header"/>
    </w:pPr>
    <w:r>
      <w:rPr>
        <w:noProof/>
        <w:lang w:val="en-GB" w:eastAsia="en-GB" w:bidi="ne-IN"/>
      </w:rPr>
      <w:drawing>
        <wp:anchor distT="0" distB="0" distL="114300" distR="114300" simplePos="0" relativeHeight="251661312" behindDoc="1" locked="0" layoutInCell="1" allowOverlap="1" wp14:anchorId="2FB1CD0D" wp14:editId="06F585A8">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403D49">
    <w:pPr>
      <w:pStyle w:val="Header"/>
    </w:pPr>
    <w:r>
      <w:pict w14:anchorId="781BD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16393" type="#_x0000_t75" style="position:absolute;left:0;text-align:left;margin-left:0;margin-top:0;width:598.15pt;height:843.9pt;z-index:-251656704;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40" w:rsidRPr="00526B40" w:rsidRDefault="00526B40" w:rsidP="00526B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40" w:rsidRPr="002E7EE1" w:rsidRDefault="00526B40" w:rsidP="002E7E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40" w:rsidRPr="00526B40" w:rsidRDefault="00526B40" w:rsidP="00526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80A0DAE"/>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rPr>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B337C2"/>
    <w:multiLevelType w:val="hybridMultilevel"/>
    <w:tmpl w:val="560A56B6"/>
    <w:lvl w:ilvl="0" w:tplc="130ADC20">
      <w:start w:val="1"/>
      <w:numFmt w:val="decimal"/>
      <w:lvlText w:val="%1."/>
      <w:lvlJc w:val="left"/>
      <w:pPr>
        <w:ind w:left="1070" w:hanging="71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B0A2414"/>
    <w:multiLevelType w:val="hybridMultilevel"/>
    <w:tmpl w:val="B4BAC6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5580BC9"/>
    <w:multiLevelType w:val="hybridMultilevel"/>
    <w:tmpl w:val="86222EB0"/>
    <w:lvl w:ilvl="0" w:tplc="9174A728">
      <w:start w:val="1"/>
      <w:numFmt w:val="decimal"/>
      <w:lvlText w:val="%1."/>
      <w:lvlJc w:val="left"/>
      <w:pPr>
        <w:ind w:left="360" w:hanging="360"/>
      </w:pPr>
      <w:rPr>
        <w:b w:val="0"/>
        <w:bCs w:val="0"/>
        <w:i w:val="0"/>
        <w:iCs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3A4B1F21"/>
    <w:multiLevelType w:val="hybridMultilevel"/>
    <w:tmpl w:val="FD7661AE"/>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42C77FC2"/>
    <w:multiLevelType w:val="hybridMultilevel"/>
    <w:tmpl w:val="29B0B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10200"/>
    <w:multiLevelType w:val="hybridMultilevel"/>
    <w:tmpl w:val="C99CE2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D201B5C"/>
    <w:multiLevelType w:val="hybridMultilevel"/>
    <w:tmpl w:val="9284693E"/>
    <w:lvl w:ilvl="0" w:tplc="6396C9CE">
      <w:start w:val="11"/>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5B093336"/>
    <w:multiLevelType w:val="hybridMultilevel"/>
    <w:tmpl w:val="AFEC9D88"/>
    <w:lvl w:ilvl="0" w:tplc="119618D6">
      <w:start w:val="1"/>
      <w:numFmt w:val="bullet"/>
      <w:lvlText w:val="•"/>
      <w:lvlJc w:val="left"/>
      <w:pPr>
        <w:tabs>
          <w:tab w:val="num" w:pos="720"/>
        </w:tabs>
        <w:ind w:left="720" w:hanging="360"/>
      </w:pPr>
      <w:rPr>
        <w:rFonts w:ascii="Arial" w:hAnsi="Arial" w:hint="default"/>
      </w:rPr>
    </w:lvl>
    <w:lvl w:ilvl="1" w:tplc="2DCA1636" w:tentative="1">
      <w:start w:val="1"/>
      <w:numFmt w:val="bullet"/>
      <w:lvlText w:val="•"/>
      <w:lvlJc w:val="left"/>
      <w:pPr>
        <w:tabs>
          <w:tab w:val="num" w:pos="1440"/>
        </w:tabs>
        <w:ind w:left="1440" w:hanging="360"/>
      </w:pPr>
      <w:rPr>
        <w:rFonts w:ascii="Arial" w:hAnsi="Arial" w:hint="default"/>
      </w:rPr>
    </w:lvl>
    <w:lvl w:ilvl="2" w:tplc="7FF2E13C" w:tentative="1">
      <w:start w:val="1"/>
      <w:numFmt w:val="bullet"/>
      <w:lvlText w:val="•"/>
      <w:lvlJc w:val="left"/>
      <w:pPr>
        <w:tabs>
          <w:tab w:val="num" w:pos="2160"/>
        </w:tabs>
        <w:ind w:left="2160" w:hanging="360"/>
      </w:pPr>
      <w:rPr>
        <w:rFonts w:ascii="Arial" w:hAnsi="Arial" w:hint="default"/>
      </w:rPr>
    </w:lvl>
    <w:lvl w:ilvl="3" w:tplc="715A25FC" w:tentative="1">
      <w:start w:val="1"/>
      <w:numFmt w:val="bullet"/>
      <w:lvlText w:val="•"/>
      <w:lvlJc w:val="left"/>
      <w:pPr>
        <w:tabs>
          <w:tab w:val="num" w:pos="2880"/>
        </w:tabs>
        <w:ind w:left="2880" w:hanging="360"/>
      </w:pPr>
      <w:rPr>
        <w:rFonts w:ascii="Arial" w:hAnsi="Arial" w:hint="default"/>
      </w:rPr>
    </w:lvl>
    <w:lvl w:ilvl="4" w:tplc="C0ECAC4E" w:tentative="1">
      <w:start w:val="1"/>
      <w:numFmt w:val="bullet"/>
      <w:lvlText w:val="•"/>
      <w:lvlJc w:val="left"/>
      <w:pPr>
        <w:tabs>
          <w:tab w:val="num" w:pos="3600"/>
        </w:tabs>
        <w:ind w:left="3600" w:hanging="360"/>
      </w:pPr>
      <w:rPr>
        <w:rFonts w:ascii="Arial" w:hAnsi="Arial" w:hint="default"/>
      </w:rPr>
    </w:lvl>
    <w:lvl w:ilvl="5" w:tplc="DBC0D4B6" w:tentative="1">
      <w:start w:val="1"/>
      <w:numFmt w:val="bullet"/>
      <w:lvlText w:val="•"/>
      <w:lvlJc w:val="left"/>
      <w:pPr>
        <w:tabs>
          <w:tab w:val="num" w:pos="4320"/>
        </w:tabs>
        <w:ind w:left="4320" w:hanging="360"/>
      </w:pPr>
      <w:rPr>
        <w:rFonts w:ascii="Arial" w:hAnsi="Arial" w:hint="default"/>
      </w:rPr>
    </w:lvl>
    <w:lvl w:ilvl="6" w:tplc="F8BCE15E" w:tentative="1">
      <w:start w:val="1"/>
      <w:numFmt w:val="bullet"/>
      <w:lvlText w:val="•"/>
      <w:lvlJc w:val="left"/>
      <w:pPr>
        <w:tabs>
          <w:tab w:val="num" w:pos="5040"/>
        </w:tabs>
        <w:ind w:left="5040" w:hanging="360"/>
      </w:pPr>
      <w:rPr>
        <w:rFonts w:ascii="Arial" w:hAnsi="Arial" w:hint="default"/>
      </w:rPr>
    </w:lvl>
    <w:lvl w:ilvl="7" w:tplc="836EB248" w:tentative="1">
      <w:start w:val="1"/>
      <w:numFmt w:val="bullet"/>
      <w:lvlText w:val="•"/>
      <w:lvlJc w:val="left"/>
      <w:pPr>
        <w:tabs>
          <w:tab w:val="num" w:pos="5760"/>
        </w:tabs>
        <w:ind w:left="5760" w:hanging="360"/>
      </w:pPr>
      <w:rPr>
        <w:rFonts w:ascii="Arial" w:hAnsi="Arial" w:hint="default"/>
      </w:rPr>
    </w:lvl>
    <w:lvl w:ilvl="8" w:tplc="161232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CD1D40"/>
    <w:multiLevelType w:val="hybridMultilevel"/>
    <w:tmpl w:val="572A74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23A6AD4"/>
    <w:multiLevelType w:val="hybridMultilevel"/>
    <w:tmpl w:val="156AF25E"/>
    <w:lvl w:ilvl="0" w:tplc="4C8629AC">
      <w:start w:val="1"/>
      <w:numFmt w:val="decimal"/>
      <w:lvlText w:val="%1."/>
      <w:lvlJc w:val="left"/>
      <w:pPr>
        <w:ind w:left="786" w:hanging="360"/>
      </w:pPr>
      <w:rPr>
        <w:b w:val="0"/>
        <w:bCs w:val="0"/>
        <w:i w:val="0"/>
        <w:iCs w:val="0"/>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11" w15:restartNumberingAfterBreak="0">
    <w:nsid w:val="7B7E514B"/>
    <w:multiLevelType w:val="hybridMultilevel"/>
    <w:tmpl w:val="C82A87C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9"/>
  </w:num>
  <w:num w:numId="6">
    <w:abstractNumId w:val="8"/>
  </w:num>
  <w:num w:numId="7">
    <w:abstractNumId w:val="4"/>
  </w:num>
  <w:num w:numId="8">
    <w:abstractNumId w:val="11"/>
  </w:num>
  <w:num w:numId="9">
    <w:abstractNumId w:val="3"/>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95"/>
    <o:shapelayout v:ext="edit">
      <o:idmap v:ext="edit" data="16"/>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01"/>
    <w:rsid w:val="00007773"/>
    <w:rsid w:val="000079E5"/>
    <w:rsid w:val="00010FC6"/>
    <w:rsid w:val="000120CD"/>
    <w:rsid w:val="00013255"/>
    <w:rsid w:val="00020F19"/>
    <w:rsid w:val="00030E21"/>
    <w:rsid w:val="00032E37"/>
    <w:rsid w:val="0003449F"/>
    <w:rsid w:val="000358F0"/>
    <w:rsid w:val="00047980"/>
    <w:rsid w:val="00047D68"/>
    <w:rsid w:val="00050B81"/>
    <w:rsid w:val="00053594"/>
    <w:rsid w:val="00053B1C"/>
    <w:rsid w:val="00054D9D"/>
    <w:rsid w:val="000574BC"/>
    <w:rsid w:val="00062D0C"/>
    <w:rsid w:val="000710D8"/>
    <w:rsid w:val="00081EAE"/>
    <w:rsid w:val="0008251E"/>
    <w:rsid w:val="00082AB6"/>
    <w:rsid w:val="00083FD7"/>
    <w:rsid w:val="00091780"/>
    <w:rsid w:val="00094578"/>
    <w:rsid w:val="000A0FF9"/>
    <w:rsid w:val="000A58FB"/>
    <w:rsid w:val="000C30B4"/>
    <w:rsid w:val="000D1E9E"/>
    <w:rsid w:val="000F22F9"/>
    <w:rsid w:val="000F3131"/>
    <w:rsid w:val="000F577D"/>
    <w:rsid w:val="001024F7"/>
    <w:rsid w:val="0010269A"/>
    <w:rsid w:val="001063B3"/>
    <w:rsid w:val="00107725"/>
    <w:rsid w:val="00110795"/>
    <w:rsid w:val="00112C96"/>
    <w:rsid w:val="0011335A"/>
    <w:rsid w:val="001210DE"/>
    <w:rsid w:val="00122408"/>
    <w:rsid w:val="00127863"/>
    <w:rsid w:val="0014073F"/>
    <w:rsid w:val="001420B1"/>
    <w:rsid w:val="0014388E"/>
    <w:rsid w:val="001522F6"/>
    <w:rsid w:val="001528E9"/>
    <w:rsid w:val="00160934"/>
    <w:rsid w:val="00164C3A"/>
    <w:rsid w:val="00172E65"/>
    <w:rsid w:val="00180C9D"/>
    <w:rsid w:val="0018583B"/>
    <w:rsid w:val="001A1A3D"/>
    <w:rsid w:val="001A4755"/>
    <w:rsid w:val="001B07D7"/>
    <w:rsid w:val="001B74DB"/>
    <w:rsid w:val="001C13D6"/>
    <w:rsid w:val="001C5AD1"/>
    <w:rsid w:val="001C5CC5"/>
    <w:rsid w:val="001C6918"/>
    <w:rsid w:val="001D0A3D"/>
    <w:rsid w:val="001D3DDD"/>
    <w:rsid w:val="001D3EF3"/>
    <w:rsid w:val="001E56F8"/>
    <w:rsid w:val="001E70B5"/>
    <w:rsid w:val="001F2404"/>
    <w:rsid w:val="002025CA"/>
    <w:rsid w:val="00210AC4"/>
    <w:rsid w:val="00213319"/>
    <w:rsid w:val="00216D49"/>
    <w:rsid w:val="002200A3"/>
    <w:rsid w:val="00220171"/>
    <w:rsid w:val="0022449B"/>
    <w:rsid w:val="00224B58"/>
    <w:rsid w:val="002319CC"/>
    <w:rsid w:val="00245087"/>
    <w:rsid w:val="00246C92"/>
    <w:rsid w:val="00250853"/>
    <w:rsid w:val="00251F8E"/>
    <w:rsid w:val="0025667C"/>
    <w:rsid w:val="0027499D"/>
    <w:rsid w:val="00276FB4"/>
    <w:rsid w:val="00277BBA"/>
    <w:rsid w:val="0028320C"/>
    <w:rsid w:val="002911C6"/>
    <w:rsid w:val="0029184B"/>
    <w:rsid w:val="00293BF8"/>
    <w:rsid w:val="002A1DD3"/>
    <w:rsid w:val="002A4183"/>
    <w:rsid w:val="002B0474"/>
    <w:rsid w:val="002B24A9"/>
    <w:rsid w:val="002C2B01"/>
    <w:rsid w:val="002C3963"/>
    <w:rsid w:val="002C59E9"/>
    <w:rsid w:val="002D1697"/>
    <w:rsid w:val="002E4FAE"/>
    <w:rsid w:val="002E7EE1"/>
    <w:rsid w:val="002F108E"/>
    <w:rsid w:val="002F2E5C"/>
    <w:rsid w:val="00310649"/>
    <w:rsid w:val="0031122E"/>
    <w:rsid w:val="00312E1F"/>
    <w:rsid w:val="00317B29"/>
    <w:rsid w:val="0032590D"/>
    <w:rsid w:val="00325B6D"/>
    <w:rsid w:val="00327938"/>
    <w:rsid w:val="00333ED2"/>
    <w:rsid w:val="00353B1A"/>
    <w:rsid w:val="003567A8"/>
    <w:rsid w:val="00361AAA"/>
    <w:rsid w:val="0039570B"/>
    <w:rsid w:val="003A552C"/>
    <w:rsid w:val="003A5BD7"/>
    <w:rsid w:val="003C2548"/>
    <w:rsid w:val="003C63C8"/>
    <w:rsid w:val="003D02F9"/>
    <w:rsid w:val="003D0D15"/>
    <w:rsid w:val="003D0E4A"/>
    <w:rsid w:val="003D17B9"/>
    <w:rsid w:val="003E12B0"/>
    <w:rsid w:val="003E6F23"/>
    <w:rsid w:val="003F1226"/>
    <w:rsid w:val="003F3573"/>
    <w:rsid w:val="003F40D4"/>
    <w:rsid w:val="00400D58"/>
    <w:rsid w:val="0040134E"/>
    <w:rsid w:val="00403D49"/>
    <w:rsid w:val="00411708"/>
    <w:rsid w:val="0041312C"/>
    <w:rsid w:val="00414F13"/>
    <w:rsid w:val="00424F46"/>
    <w:rsid w:val="0042531D"/>
    <w:rsid w:val="004254CB"/>
    <w:rsid w:val="00426786"/>
    <w:rsid w:val="00444B59"/>
    <w:rsid w:val="0044565F"/>
    <w:rsid w:val="004576EE"/>
    <w:rsid w:val="0046063B"/>
    <w:rsid w:val="00475FDE"/>
    <w:rsid w:val="00481CE2"/>
    <w:rsid w:val="004825B2"/>
    <w:rsid w:val="00492189"/>
    <w:rsid w:val="00497488"/>
    <w:rsid w:val="004A2A58"/>
    <w:rsid w:val="004A3037"/>
    <w:rsid w:val="004A39C9"/>
    <w:rsid w:val="004A49B9"/>
    <w:rsid w:val="004C238F"/>
    <w:rsid w:val="004E503C"/>
    <w:rsid w:val="004E5901"/>
    <w:rsid w:val="004F04C7"/>
    <w:rsid w:val="004F2471"/>
    <w:rsid w:val="004F2AA6"/>
    <w:rsid w:val="00506F07"/>
    <w:rsid w:val="00516A37"/>
    <w:rsid w:val="00516EDB"/>
    <w:rsid w:val="00520445"/>
    <w:rsid w:val="00522909"/>
    <w:rsid w:val="0052304F"/>
    <w:rsid w:val="005240E4"/>
    <w:rsid w:val="00524D70"/>
    <w:rsid w:val="005252C5"/>
    <w:rsid w:val="00526B40"/>
    <w:rsid w:val="00533DDC"/>
    <w:rsid w:val="005350BD"/>
    <w:rsid w:val="00540820"/>
    <w:rsid w:val="00543898"/>
    <w:rsid w:val="00545A8D"/>
    <w:rsid w:val="0055343D"/>
    <w:rsid w:val="00553760"/>
    <w:rsid w:val="00554DBC"/>
    <w:rsid w:val="00560833"/>
    <w:rsid w:val="00565A46"/>
    <w:rsid w:val="00567475"/>
    <w:rsid w:val="00570EB2"/>
    <w:rsid w:val="00570F8A"/>
    <w:rsid w:val="00577E20"/>
    <w:rsid w:val="00581CB9"/>
    <w:rsid w:val="00582ABD"/>
    <w:rsid w:val="00586755"/>
    <w:rsid w:val="005933EE"/>
    <w:rsid w:val="005942E9"/>
    <w:rsid w:val="00597A7F"/>
    <w:rsid w:val="005A1F93"/>
    <w:rsid w:val="005A2860"/>
    <w:rsid w:val="005A6199"/>
    <w:rsid w:val="005B331C"/>
    <w:rsid w:val="005C5960"/>
    <w:rsid w:val="005D233A"/>
    <w:rsid w:val="005D5E98"/>
    <w:rsid w:val="005D6C1C"/>
    <w:rsid w:val="005E2540"/>
    <w:rsid w:val="005E5612"/>
    <w:rsid w:val="005F3782"/>
    <w:rsid w:val="005F44F7"/>
    <w:rsid w:val="005F5E01"/>
    <w:rsid w:val="0060072A"/>
    <w:rsid w:val="00603282"/>
    <w:rsid w:val="00603397"/>
    <w:rsid w:val="006169F0"/>
    <w:rsid w:val="00617ABC"/>
    <w:rsid w:val="00617B1E"/>
    <w:rsid w:val="00626EA5"/>
    <w:rsid w:val="00630EFA"/>
    <w:rsid w:val="006377AD"/>
    <w:rsid w:val="0065059A"/>
    <w:rsid w:val="0065271C"/>
    <w:rsid w:val="00661468"/>
    <w:rsid w:val="006671F8"/>
    <w:rsid w:val="00670077"/>
    <w:rsid w:val="00670217"/>
    <w:rsid w:val="00692681"/>
    <w:rsid w:val="006A01E6"/>
    <w:rsid w:val="006A36E1"/>
    <w:rsid w:val="006B78AF"/>
    <w:rsid w:val="006C0250"/>
    <w:rsid w:val="006C5D3F"/>
    <w:rsid w:val="006D019C"/>
    <w:rsid w:val="006D2F1C"/>
    <w:rsid w:val="006E093F"/>
    <w:rsid w:val="006E3BC9"/>
    <w:rsid w:val="006F5D08"/>
    <w:rsid w:val="00700B2B"/>
    <w:rsid w:val="00705092"/>
    <w:rsid w:val="00707DFC"/>
    <w:rsid w:val="00710362"/>
    <w:rsid w:val="00710624"/>
    <w:rsid w:val="0071287F"/>
    <w:rsid w:val="00721976"/>
    <w:rsid w:val="007223E8"/>
    <w:rsid w:val="007224D6"/>
    <w:rsid w:val="00731E22"/>
    <w:rsid w:val="007322BD"/>
    <w:rsid w:val="00737DEA"/>
    <w:rsid w:val="00743DFE"/>
    <w:rsid w:val="00743E25"/>
    <w:rsid w:val="00745B9A"/>
    <w:rsid w:val="00746FB1"/>
    <w:rsid w:val="0076018C"/>
    <w:rsid w:val="00763C6B"/>
    <w:rsid w:val="00765637"/>
    <w:rsid w:val="007708BF"/>
    <w:rsid w:val="0077152F"/>
    <w:rsid w:val="00775484"/>
    <w:rsid w:val="00775637"/>
    <w:rsid w:val="00777766"/>
    <w:rsid w:val="0078686E"/>
    <w:rsid w:val="00786F2F"/>
    <w:rsid w:val="00790A6F"/>
    <w:rsid w:val="00794F2D"/>
    <w:rsid w:val="007A1151"/>
    <w:rsid w:val="007A5A88"/>
    <w:rsid w:val="007C32B7"/>
    <w:rsid w:val="007C4F70"/>
    <w:rsid w:val="007C5A1C"/>
    <w:rsid w:val="007C5F52"/>
    <w:rsid w:val="007D0A89"/>
    <w:rsid w:val="007D0B81"/>
    <w:rsid w:val="007E0872"/>
    <w:rsid w:val="007E34B1"/>
    <w:rsid w:val="007E39E9"/>
    <w:rsid w:val="007F5D59"/>
    <w:rsid w:val="00803823"/>
    <w:rsid w:val="00806BAA"/>
    <w:rsid w:val="00810157"/>
    <w:rsid w:val="008156F4"/>
    <w:rsid w:val="008176F0"/>
    <w:rsid w:val="00817935"/>
    <w:rsid w:val="008206AB"/>
    <w:rsid w:val="00824CD1"/>
    <w:rsid w:val="008277E1"/>
    <w:rsid w:val="00833E48"/>
    <w:rsid w:val="00844FC4"/>
    <w:rsid w:val="00845E39"/>
    <w:rsid w:val="00846350"/>
    <w:rsid w:val="0085156D"/>
    <w:rsid w:val="0085181B"/>
    <w:rsid w:val="00852FE8"/>
    <w:rsid w:val="0086482A"/>
    <w:rsid w:val="00866CDC"/>
    <w:rsid w:val="00870C63"/>
    <w:rsid w:val="008746D2"/>
    <w:rsid w:val="00882017"/>
    <w:rsid w:val="0088253F"/>
    <w:rsid w:val="008850FC"/>
    <w:rsid w:val="008863D6"/>
    <w:rsid w:val="0089555A"/>
    <w:rsid w:val="00897DDC"/>
    <w:rsid w:val="008A03FA"/>
    <w:rsid w:val="008A6CF4"/>
    <w:rsid w:val="008B12F6"/>
    <w:rsid w:val="008B7E73"/>
    <w:rsid w:val="008C1ADC"/>
    <w:rsid w:val="008D5813"/>
    <w:rsid w:val="008E0B59"/>
    <w:rsid w:val="008E15FF"/>
    <w:rsid w:val="008E35E8"/>
    <w:rsid w:val="008E5096"/>
    <w:rsid w:val="008F1733"/>
    <w:rsid w:val="008F45EA"/>
    <w:rsid w:val="008F6617"/>
    <w:rsid w:val="009018BB"/>
    <w:rsid w:val="00940450"/>
    <w:rsid w:val="00952F11"/>
    <w:rsid w:val="00953E81"/>
    <w:rsid w:val="00956102"/>
    <w:rsid w:val="009562D0"/>
    <w:rsid w:val="009646F6"/>
    <w:rsid w:val="00965573"/>
    <w:rsid w:val="00967726"/>
    <w:rsid w:val="0096791E"/>
    <w:rsid w:val="0098098C"/>
    <w:rsid w:val="0098098F"/>
    <w:rsid w:val="009813C0"/>
    <w:rsid w:val="00987D42"/>
    <w:rsid w:val="009905B3"/>
    <w:rsid w:val="009A4326"/>
    <w:rsid w:val="009A4328"/>
    <w:rsid w:val="009B07C8"/>
    <w:rsid w:val="009B16C4"/>
    <w:rsid w:val="009B4C74"/>
    <w:rsid w:val="009B5C4D"/>
    <w:rsid w:val="009B6837"/>
    <w:rsid w:val="009C586D"/>
    <w:rsid w:val="009C5FF9"/>
    <w:rsid w:val="009D72F3"/>
    <w:rsid w:val="009E2570"/>
    <w:rsid w:val="009E3EF9"/>
    <w:rsid w:val="009F3005"/>
    <w:rsid w:val="009F475F"/>
    <w:rsid w:val="00A00B14"/>
    <w:rsid w:val="00A03256"/>
    <w:rsid w:val="00A12E50"/>
    <w:rsid w:val="00A133B3"/>
    <w:rsid w:val="00A164BD"/>
    <w:rsid w:val="00A170B9"/>
    <w:rsid w:val="00A17E67"/>
    <w:rsid w:val="00A21967"/>
    <w:rsid w:val="00A222D7"/>
    <w:rsid w:val="00A259B7"/>
    <w:rsid w:val="00A36554"/>
    <w:rsid w:val="00A37E2A"/>
    <w:rsid w:val="00A42B33"/>
    <w:rsid w:val="00A5534E"/>
    <w:rsid w:val="00A621E3"/>
    <w:rsid w:val="00A62A18"/>
    <w:rsid w:val="00A67BB2"/>
    <w:rsid w:val="00A726A8"/>
    <w:rsid w:val="00A73469"/>
    <w:rsid w:val="00A853D9"/>
    <w:rsid w:val="00A876F4"/>
    <w:rsid w:val="00A92A06"/>
    <w:rsid w:val="00A9456F"/>
    <w:rsid w:val="00AA482D"/>
    <w:rsid w:val="00AA54B3"/>
    <w:rsid w:val="00AA6629"/>
    <w:rsid w:val="00AB53B4"/>
    <w:rsid w:val="00AB7934"/>
    <w:rsid w:val="00AC1A1D"/>
    <w:rsid w:val="00AD00BB"/>
    <w:rsid w:val="00AD4928"/>
    <w:rsid w:val="00AD7602"/>
    <w:rsid w:val="00AE2590"/>
    <w:rsid w:val="00AE4609"/>
    <w:rsid w:val="00AF02EC"/>
    <w:rsid w:val="00AF25FB"/>
    <w:rsid w:val="00AF71F0"/>
    <w:rsid w:val="00B01289"/>
    <w:rsid w:val="00B01BA1"/>
    <w:rsid w:val="00B04342"/>
    <w:rsid w:val="00B04FF3"/>
    <w:rsid w:val="00B073B5"/>
    <w:rsid w:val="00B150DC"/>
    <w:rsid w:val="00B205A5"/>
    <w:rsid w:val="00B20ABB"/>
    <w:rsid w:val="00B2659F"/>
    <w:rsid w:val="00B27016"/>
    <w:rsid w:val="00B42531"/>
    <w:rsid w:val="00B45F35"/>
    <w:rsid w:val="00B52B01"/>
    <w:rsid w:val="00B626ED"/>
    <w:rsid w:val="00B62C19"/>
    <w:rsid w:val="00B642F9"/>
    <w:rsid w:val="00B7082E"/>
    <w:rsid w:val="00B71AC3"/>
    <w:rsid w:val="00B71DCF"/>
    <w:rsid w:val="00B77A3A"/>
    <w:rsid w:val="00B85401"/>
    <w:rsid w:val="00B87189"/>
    <w:rsid w:val="00B91C64"/>
    <w:rsid w:val="00BA5168"/>
    <w:rsid w:val="00BB4DFA"/>
    <w:rsid w:val="00BB788A"/>
    <w:rsid w:val="00BC103D"/>
    <w:rsid w:val="00BD0948"/>
    <w:rsid w:val="00BD3C5C"/>
    <w:rsid w:val="00BD3EB8"/>
    <w:rsid w:val="00BD5CD8"/>
    <w:rsid w:val="00BE6751"/>
    <w:rsid w:val="00BE77CC"/>
    <w:rsid w:val="00BF16EA"/>
    <w:rsid w:val="00BF1CE2"/>
    <w:rsid w:val="00C0106D"/>
    <w:rsid w:val="00C07570"/>
    <w:rsid w:val="00C12FAA"/>
    <w:rsid w:val="00C205C9"/>
    <w:rsid w:val="00C21A2C"/>
    <w:rsid w:val="00C238B1"/>
    <w:rsid w:val="00C23B16"/>
    <w:rsid w:val="00C3245F"/>
    <w:rsid w:val="00C36A32"/>
    <w:rsid w:val="00C375B8"/>
    <w:rsid w:val="00C5108E"/>
    <w:rsid w:val="00C52F45"/>
    <w:rsid w:val="00C551C1"/>
    <w:rsid w:val="00C57DA5"/>
    <w:rsid w:val="00C62504"/>
    <w:rsid w:val="00C63F7A"/>
    <w:rsid w:val="00C67831"/>
    <w:rsid w:val="00C7353C"/>
    <w:rsid w:val="00C740ED"/>
    <w:rsid w:val="00C852CF"/>
    <w:rsid w:val="00C908AB"/>
    <w:rsid w:val="00C92408"/>
    <w:rsid w:val="00C93B38"/>
    <w:rsid w:val="00CA61D4"/>
    <w:rsid w:val="00CA7EDF"/>
    <w:rsid w:val="00CA7FAC"/>
    <w:rsid w:val="00CB0629"/>
    <w:rsid w:val="00CB0BBD"/>
    <w:rsid w:val="00CB14BC"/>
    <w:rsid w:val="00CC20C3"/>
    <w:rsid w:val="00CC3A72"/>
    <w:rsid w:val="00CD1029"/>
    <w:rsid w:val="00CD43E8"/>
    <w:rsid w:val="00CD4643"/>
    <w:rsid w:val="00CD79AE"/>
    <w:rsid w:val="00CE1AF7"/>
    <w:rsid w:val="00CE34E3"/>
    <w:rsid w:val="00CE4688"/>
    <w:rsid w:val="00CF1607"/>
    <w:rsid w:val="00CF2433"/>
    <w:rsid w:val="00D02FDF"/>
    <w:rsid w:val="00D12818"/>
    <w:rsid w:val="00D1414D"/>
    <w:rsid w:val="00D2042C"/>
    <w:rsid w:val="00D2231B"/>
    <w:rsid w:val="00D27851"/>
    <w:rsid w:val="00D27A92"/>
    <w:rsid w:val="00D51F5E"/>
    <w:rsid w:val="00D54118"/>
    <w:rsid w:val="00D570D3"/>
    <w:rsid w:val="00D574A2"/>
    <w:rsid w:val="00D60601"/>
    <w:rsid w:val="00D64047"/>
    <w:rsid w:val="00D6633E"/>
    <w:rsid w:val="00D67EFD"/>
    <w:rsid w:val="00D74893"/>
    <w:rsid w:val="00D77C17"/>
    <w:rsid w:val="00D77EA8"/>
    <w:rsid w:val="00D8252A"/>
    <w:rsid w:val="00D8439B"/>
    <w:rsid w:val="00D96182"/>
    <w:rsid w:val="00D96349"/>
    <w:rsid w:val="00D96634"/>
    <w:rsid w:val="00D96C2A"/>
    <w:rsid w:val="00DA0977"/>
    <w:rsid w:val="00DA10AF"/>
    <w:rsid w:val="00DA22B0"/>
    <w:rsid w:val="00DA7721"/>
    <w:rsid w:val="00DB5BB4"/>
    <w:rsid w:val="00DC6A9B"/>
    <w:rsid w:val="00DC6D66"/>
    <w:rsid w:val="00DD1903"/>
    <w:rsid w:val="00DD2A69"/>
    <w:rsid w:val="00DD3830"/>
    <w:rsid w:val="00DD4E5E"/>
    <w:rsid w:val="00DD6CEE"/>
    <w:rsid w:val="00DE24B9"/>
    <w:rsid w:val="00DE3250"/>
    <w:rsid w:val="00DE5B7A"/>
    <w:rsid w:val="00DE79F5"/>
    <w:rsid w:val="00DF32BE"/>
    <w:rsid w:val="00DF46E1"/>
    <w:rsid w:val="00DF7757"/>
    <w:rsid w:val="00E01716"/>
    <w:rsid w:val="00E05711"/>
    <w:rsid w:val="00E24747"/>
    <w:rsid w:val="00E25EDF"/>
    <w:rsid w:val="00E362FB"/>
    <w:rsid w:val="00E42D33"/>
    <w:rsid w:val="00E567D2"/>
    <w:rsid w:val="00E57B0C"/>
    <w:rsid w:val="00E57DC0"/>
    <w:rsid w:val="00E6649F"/>
    <w:rsid w:val="00E66B87"/>
    <w:rsid w:val="00E80011"/>
    <w:rsid w:val="00E83BF6"/>
    <w:rsid w:val="00E83F17"/>
    <w:rsid w:val="00E9366E"/>
    <w:rsid w:val="00EA1709"/>
    <w:rsid w:val="00EA2B05"/>
    <w:rsid w:val="00EA5E8A"/>
    <w:rsid w:val="00EB0B86"/>
    <w:rsid w:val="00EB1B49"/>
    <w:rsid w:val="00EB240C"/>
    <w:rsid w:val="00EB27C9"/>
    <w:rsid w:val="00EC4EDF"/>
    <w:rsid w:val="00EC7600"/>
    <w:rsid w:val="00ED2C5C"/>
    <w:rsid w:val="00EE0E4F"/>
    <w:rsid w:val="00EE319C"/>
    <w:rsid w:val="00EE6795"/>
    <w:rsid w:val="00EE6803"/>
    <w:rsid w:val="00EE6D66"/>
    <w:rsid w:val="00EF3B48"/>
    <w:rsid w:val="00EF6F7C"/>
    <w:rsid w:val="00F07E26"/>
    <w:rsid w:val="00F14C0E"/>
    <w:rsid w:val="00F22EB4"/>
    <w:rsid w:val="00F23B61"/>
    <w:rsid w:val="00F25A8E"/>
    <w:rsid w:val="00F30C50"/>
    <w:rsid w:val="00F31A1C"/>
    <w:rsid w:val="00F32CB4"/>
    <w:rsid w:val="00F34F7D"/>
    <w:rsid w:val="00F4047E"/>
    <w:rsid w:val="00F426F7"/>
    <w:rsid w:val="00F443E3"/>
    <w:rsid w:val="00F467FD"/>
    <w:rsid w:val="00F5520F"/>
    <w:rsid w:val="00F5730D"/>
    <w:rsid w:val="00F6135D"/>
    <w:rsid w:val="00F63D08"/>
    <w:rsid w:val="00F65972"/>
    <w:rsid w:val="00F71374"/>
    <w:rsid w:val="00F72497"/>
    <w:rsid w:val="00F73246"/>
    <w:rsid w:val="00F81237"/>
    <w:rsid w:val="00F8473A"/>
    <w:rsid w:val="00F95E1A"/>
    <w:rsid w:val="00F970A7"/>
    <w:rsid w:val="00FA47E2"/>
    <w:rsid w:val="00FA7C73"/>
    <w:rsid w:val="00FB4E1C"/>
    <w:rsid w:val="00FC13FF"/>
    <w:rsid w:val="00FC265D"/>
    <w:rsid w:val="00FC5DCF"/>
    <w:rsid w:val="00FD4C7F"/>
    <w:rsid w:val="00FE3D81"/>
    <w:rsid w:val="00FE6FF6"/>
    <w:rsid w:val="00FE776D"/>
    <w:rsid w:val="00FE7EF1"/>
    <w:rsid w:val="00FF1E91"/>
    <w:rsid w:val="00FF39FE"/>
  </w:rsids>
  <m:mathPr>
    <m:mathFont m:val="Cambria Math"/>
    <m:brkBin m:val="before"/>
    <m:brkBinSub m:val="--"/>
    <m:smallFrac m:val="0"/>
    <m:dispDef/>
    <m:lMargin m:val="0"/>
    <m:rMargin m:val="0"/>
    <m:defJc m:val="centerGroup"/>
    <m:wrapIndent m:val="1440"/>
    <m:intLim m:val="subSup"/>
    <m:naryLim m:val="undOvr"/>
  </m:mathPr>
  <w:themeFontLang w:val="fr-BE" w:bidi="ne-IN"/>
  <w:clrSchemeMapping w:bg1="light1" w:t1="dark1" w:bg2="light2" w:t2="dark2" w:accent1="accent1" w:accent2="accent2" w:accent3="accent3" w:accent4="accent4" w:accent5="accent5" w:accent6="accent6" w:hyperlink="hyperlink" w:followedHyperlink="followedHyperlink"/>
  <w:shapeDefaults>
    <o:shapedefaults v:ext="edit" spidmax="16395"/>
    <o:shapelayout v:ext="edit">
      <o:idmap v:ext="edit" data="1"/>
    </o:shapelayout>
  </w:shapeDefaults>
  <w:decimalSymbol w:val=","/>
  <w:listSeparator w:val=";"/>
  <w14:docId w14:val="7927BDF7"/>
  <w15:chartTrackingRefBased/>
  <w15:docId w15:val="{A7A01279-E3D5-4F80-AAB3-1C26A53C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7C8"/>
    <w:pPr>
      <w:spacing w:after="160" w:line="259" w:lineRule="auto"/>
    </w:pPr>
  </w:style>
  <w:style w:type="paragraph" w:styleId="Heading1">
    <w:name w:val="heading 1"/>
    <w:basedOn w:val="Normal"/>
    <w:next w:val="Normal"/>
    <w:link w:val="Heading1Char"/>
    <w:qFormat/>
    <w:rsid w:val="008A03FA"/>
    <w:pPr>
      <w:numPr>
        <w:numId w:val="3"/>
      </w:numPr>
      <w:spacing w:after="0" w:line="288" w:lineRule="auto"/>
      <w:ind w:left="567" w:hanging="567"/>
      <w:jc w:val="both"/>
      <w:outlineLvl w:val="0"/>
    </w:pPr>
    <w:rPr>
      <w:rFonts w:ascii="Times New Roman" w:eastAsia="Times New Roman" w:hAnsi="Times New Roman" w:cs="Times New Roman"/>
      <w:kern w:val="28"/>
    </w:rPr>
  </w:style>
  <w:style w:type="paragraph" w:styleId="Heading2">
    <w:name w:val="heading 2"/>
    <w:basedOn w:val="Normal"/>
    <w:next w:val="Normal"/>
    <w:link w:val="Heading2Char"/>
    <w:qFormat/>
    <w:rsid w:val="008A03FA"/>
    <w:pPr>
      <w:numPr>
        <w:ilvl w:val="1"/>
        <w:numId w:val="3"/>
      </w:numPr>
      <w:spacing w:after="0" w:line="288" w:lineRule="auto"/>
      <w:ind w:left="567" w:hanging="567"/>
      <w:jc w:val="both"/>
      <w:outlineLvl w:val="1"/>
    </w:pPr>
    <w:rPr>
      <w:rFonts w:ascii="Times New Roman" w:eastAsia="Times New Roman" w:hAnsi="Times New Roman" w:cs="Times New Roman"/>
    </w:rPr>
  </w:style>
  <w:style w:type="paragraph" w:styleId="Heading3">
    <w:name w:val="heading 3"/>
    <w:basedOn w:val="Normal"/>
    <w:next w:val="Normal"/>
    <w:link w:val="Heading3Char"/>
    <w:qFormat/>
    <w:rsid w:val="008A03FA"/>
    <w:pPr>
      <w:numPr>
        <w:ilvl w:val="2"/>
        <w:numId w:val="3"/>
      </w:numPr>
      <w:spacing w:after="0" w:line="288" w:lineRule="auto"/>
      <w:ind w:left="567" w:hanging="567"/>
      <w:jc w:val="both"/>
      <w:outlineLvl w:val="2"/>
    </w:pPr>
    <w:rPr>
      <w:rFonts w:ascii="Times New Roman" w:eastAsia="Times New Roman" w:hAnsi="Times New Roman" w:cs="Times New Roman"/>
    </w:rPr>
  </w:style>
  <w:style w:type="paragraph" w:styleId="Heading4">
    <w:name w:val="heading 4"/>
    <w:basedOn w:val="Normal"/>
    <w:next w:val="Normal"/>
    <w:link w:val="Heading4Char"/>
    <w:qFormat/>
    <w:rsid w:val="008A03FA"/>
    <w:pPr>
      <w:numPr>
        <w:ilvl w:val="3"/>
        <w:numId w:val="3"/>
      </w:numPr>
      <w:spacing w:after="0" w:line="288" w:lineRule="auto"/>
      <w:ind w:left="567" w:hanging="567"/>
      <w:jc w:val="both"/>
      <w:outlineLvl w:val="3"/>
    </w:pPr>
    <w:rPr>
      <w:rFonts w:ascii="Times New Roman" w:eastAsia="Times New Roman" w:hAnsi="Times New Roman" w:cs="Times New Roman"/>
    </w:rPr>
  </w:style>
  <w:style w:type="paragraph" w:styleId="Heading5">
    <w:name w:val="heading 5"/>
    <w:basedOn w:val="Normal"/>
    <w:next w:val="Normal"/>
    <w:link w:val="Heading5Char"/>
    <w:qFormat/>
    <w:rsid w:val="008A03FA"/>
    <w:pPr>
      <w:numPr>
        <w:ilvl w:val="4"/>
        <w:numId w:val="3"/>
      </w:numPr>
      <w:spacing w:after="0" w:line="288" w:lineRule="auto"/>
      <w:ind w:left="567" w:hanging="567"/>
      <w:jc w:val="both"/>
      <w:outlineLvl w:val="4"/>
    </w:pPr>
    <w:rPr>
      <w:rFonts w:ascii="Times New Roman" w:eastAsia="Times New Roman" w:hAnsi="Times New Roman" w:cs="Times New Roman"/>
    </w:rPr>
  </w:style>
  <w:style w:type="paragraph" w:styleId="Heading6">
    <w:name w:val="heading 6"/>
    <w:basedOn w:val="Normal"/>
    <w:next w:val="Normal"/>
    <w:link w:val="Heading6Char"/>
    <w:qFormat/>
    <w:rsid w:val="008A03FA"/>
    <w:pPr>
      <w:numPr>
        <w:ilvl w:val="5"/>
        <w:numId w:val="3"/>
      </w:numPr>
      <w:spacing w:after="0" w:line="288" w:lineRule="auto"/>
      <w:ind w:left="567" w:hanging="567"/>
      <w:jc w:val="both"/>
      <w:outlineLvl w:val="5"/>
    </w:pPr>
    <w:rPr>
      <w:rFonts w:ascii="Times New Roman" w:eastAsia="Times New Roman" w:hAnsi="Times New Roman" w:cs="Times New Roman"/>
    </w:rPr>
  </w:style>
  <w:style w:type="paragraph" w:styleId="Heading7">
    <w:name w:val="heading 7"/>
    <w:basedOn w:val="Normal"/>
    <w:next w:val="Normal"/>
    <w:link w:val="Heading7Char"/>
    <w:qFormat/>
    <w:rsid w:val="008A03FA"/>
    <w:pPr>
      <w:numPr>
        <w:ilvl w:val="6"/>
        <w:numId w:val="3"/>
      </w:numPr>
      <w:spacing w:after="0" w:line="288" w:lineRule="auto"/>
      <w:ind w:left="567" w:hanging="567"/>
      <w:jc w:val="both"/>
      <w:outlineLvl w:val="6"/>
    </w:pPr>
    <w:rPr>
      <w:rFonts w:ascii="Times New Roman" w:eastAsia="Times New Roman" w:hAnsi="Times New Roman" w:cs="Times New Roman"/>
    </w:rPr>
  </w:style>
  <w:style w:type="paragraph" w:styleId="Heading8">
    <w:name w:val="heading 8"/>
    <w:basedOn w:val="Normal"/>
    <w:next w:val="Normal"/>
    <w:link w:val="Heading8Char"/>
    <w:qFormat/>
    <w:rsid w:val="008A03FA"/>
    <w:pPr>
      <w:numPr>
        <w:ilvl w:val="7"/>
        <w:numId w:val="3"/>
      </w:numPr>
      <w:spacing w:after="0" w:line="288" w:lineRule="auto"/>
      <w:ind w:left="567" w:hanging="567"/>
      <w:jc w:val="both"/>
      <w:outlineLvl w:val="7"/>
    </w:pPr>
    <w:rPr>
      <w:rFonts w:ascii="Times New Roman" w:eastAsia="Times New Roman" w:hAnsi="Times New Roman" w:cs="Times New Roman"/>
    </w:rPr>
  </w:style>
  <w:style w:type="paragraph" w:styleId="Heading9">
    <w:name w:val="heading 9"/>
    <w:basedOn w:val="Normal"/>
    <w:next w:val="Normal"/>
    <w:link w:val="Heading9Char"/>
    <w:qFormat/>
    <w:rsid w:val="008A03FA"/>
    <w:pPr>
      <w:numPr>
        <w:ilvl w:val="8"/>
        <w:numId w:val="3"/>
      </w:numPr>
      <w:spacing w:after="0" w:line="288" w:lineRule="auto"/>
      <w:ind w:left="567" w:hanging="567"/>
      <w:jc w:val="both"/>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484"/>
    <w:rPr>
      <w:color w:val="0563C1"/>
      <w:u w:val="single"/>
    </w:rPr>
  </w:style>
  <w:style w:type="paragraph" w:styleId="ListParagraph">
    <w:name w:val="List Paragraph"/>
    <w:basedOn w:val="Normal"/>
    <w:uiPriority w:val="34"/>
    <w:qFormat/>
    <w:rsid w:val="00775484"/>
    <w:pPr>
      <w:ind w:left="720"/>
      <w:contextualSpacing/>
    </w:pPr>
  </w:style>
  <w:style w:type="character" w:customStyle="1" w:styleId="Heading1Char">
    <w:name w:val="Heading 1 Char"/>
    <w:basedOn w:val="DefaultParagraphFont"/>
    <w:link w:val="Heading1"/>
    <w:rsid w:val="008A03FA"/>
    <w:rPr>
      <w:rFonts w:ascii="Times New Roman" w:eastAsia="Times New Roman" w:hAnsi="Times New Roman" w:cs="Times New Roman"/>
      <w:kern w:val="28"/>
      <w:lang w:val="hu-HU"/>
    </w:rPr>
  </w:style>
  <w:style w:type="character" w:customStyle="1" w:styleId="Heading2Char">
    <w:name w:val="Heading 2 Char"/>
    <w:basedOn w:val="DefaultParagraphFont"/>
    <w:link w:val="Heading2"/>
    <w:rsid w:val="008A03FA"/>
    <w:rPr>
      <w:rFonts w:ascii="Times New Roman" w:eastAsia="Times New Roman" w:hAnsi="Times New Roman" w:cs="Times New Roman"/>
      <w:lang w:val="hu-HU"/>
    </w:rPr>
  </w:style>
  <w:style w:type="character" w:customStyle="1" w:styleId="Heading3Char">
    <w:name w:val="Heading 3 Char"/>
    <w:basedOn w:val="DefaultParagraphFont"/>
    <w:link w:val="Heading3"/>
    <w:rsid w:val="008A03FA"/>
    <w:rPr>
      <w:rFonts w:ascii="Times New Roman" w:eastAsia="Times New Roman" w:hAnsi="Times New Roman" w:cs="Times New Roman"/>
      <w:lang w:val="hu-HU"/>
    </w:rPr>
  </w:style>
  <w:style w:type="character" w:customStyle="1" w:styleId="Heading4Char">
    <w:name w:val="Heading 4 Char"/>
    <w:basedOn w:val="DefaultParagraphFont"/>
    <w:link w:val="Heading4"/>
    <w:rsid w:val="008A03FA"/>
    <w:rPr>
      <w:rFonts w:ascii="Times New Roman" w:eastAsia="Times New Roman" w:hAnsi="Times New Roman" w:cs="Times New Roman"/>
      <w:lang w:val="hu-HU"/>
    </w:rPr>
  </w:style>
  <w:style w:type="character" w:customStyle="1" w:styleId="Heading5Char">
    <w:name w:val="Heading 5 Char"/>
    <w:basedOn w:val="DefaultParagraphFont"/>
    <w:link w:val="Heading5"/>
    <w:rsid w:val="008A03FA"/>
    <w:rPr>
      <w:rFonts w:ascii="Times New Roman" w:eastAsia="Times New Roman" w:hAnsi="Times New Roman" w:cs="Times New Roman"/>
      <w:lang w:val="hu-HU"/>
    </w:rPr>
  </w:style>
  <w:style w:type="character" w:customStyle="1" w:styleId="Heading6Char">
    <w:name w:val="Heading 6 Char"/>
    <w:basedOn w:val="DefaultParagraphFont"/>
    <w:link w:val="Heading6"/>
    <w:rsid w:val="008A03FA"/>
    <w:rPr>
      <w:rFonts w:ascii="Times New Roman" w:eastAsia="Times New Roman" w:hAnsi="Times New Roman" w:cs="Times New Roman"/>
      <w:lang w:val="hu-HU"/>
    </w:rPr>
  </w:style>
  <w:style w:type="character" w:customStyle="1" w:styleId="Heading7Char">
    <w:name w:val="Heading 7 Char"/>
    <w:basedOn w:val="DefaultParagraphFont"/>
    <w:link w:val="Heading7"/>
    <w:rsid w:val="008A03FA"/>
    <w:rPr>
      <w:rFonts w:ascii="Times New Roman" w:eastAsia="Times New Roman" w:hAnsi="Times New Roman" w:cs="Times New Roman"/>
      <w:lang w:val="hu-HU"/>
    </w:rPr>
  </w:style>
  <w:style w:type="character" w:customStyle="1" w:styleId="Heading8Char">
    <w:name w:val="Heading 8 Char"/>
    <w:basedOn w:val="DefaultParagraphFont"/>
    <w:link w:val="Heading8"/>
    <w:rsid w:val="008A03FA"/>
    <w:rPr>
      <w:rFonts w:ascii="Times New Roman" w:eastAsia="Times New Roman" w:hAnsi="Times New Roman" w:cs="Times New Roman"/>
      <w:lang w:val="hu-HU"/>
    </w:rPr>
  </w:style>
  <w:style w:type="character" w:customStyle="1" w:styleId="Heading9Char">
    <w:name w:val="Heading 9 Char"/>
    <w:basedOn w:val="DefaultParagraphFont"/>
    <w:link w:val="Heading9"/>
    <w:rsid w:val="008A03FA"/>
    <w:rPr>
      <w:rFonts w:ascii="Times New Roman" w:eastAsia="Times New Roman" w:hAnsi="Times New Roman" w:cs="Times New Roman"/>
      <w:lang w:val="hu-HU"/>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fußn,o"/>
    <w:basedOn w:val="Normal"/>
    <w:link w:val="FootnoteTextChar"/>
    <w:uiPriority w:val="99"/>
    <w:qFormat/>
    <w:rsid w:val="008A03FA"/>
    <w:pPr>
      <w:keepLines/>
      <w:spacing w:after="60" w:line="240" w:lineRule="auto"/>
      <w:ind w:left="567" w:hanging="567"/>
      <w:jc w:val="both"/>
    </w:pPr>
    <w:rPr>
      <w:rFonts w:ascii="Times New Roman" w:eastAsia="Times New Roman" w:hAnsi="Times New Roman" w:cs="Times New Roman"/>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uiPriority w:val="99"/>
    <w:rsid w:val="008A03FA"/>
    <w:rPr>
      <w:rFonts w:ascii="Times New Roman" w:eastAsia="Times New Roman" w:hAnsi="Times New Roman" w:cs="Times New Roman"/>
      <w:sz w:val="16"/>
      <w:lang w:val="hu-HU"/>
    </w:rPr>
  </w:style>
  <w:style w:type="character" w:styleId="FootnoteReference">
    <w:name w:val="footnote reference"/>
    <w:basedOn w:val="DefaultParagraphFont"/>
    <w:uiPriority w:val="99"/>
    <w:unhideWhenUsed/>
    <w:qFormat/>
    <w:rsid w:val="008A03FA"/>
    <w:rPr>
      <w:sz w:val="24"/>
      <w:vertAlign w:val="superscript"/>
    </w:rPr>
  </w:style>
  <w:style w:type="character" w:styleId="FollowedHyperlink">
    <w:name w:val="FollowedHyperlink"/>
    <w:basedOn w:val="DefaultParagraphFont"/>
    <w:uiPriority w:val="99"/>
    <w:semiHidden/>
    <w:unhideWhenUsed/>
    <w:rsid w:val="00C908AB"/>
    <w:rPr>
      <w:color w:val="800080" w:themeColor="followedHyperlink"/>
      <w:u w:val="single"/>
    </w:rPr>
  </w:style>
  <w:style w:type="paragraph" w:styleId="BalloonText">
    <w:name w:val="Balloon Text"/>
    <w:basedOn w:val="Normal"/>
    <w:link w:val="BalloonTextChar"/>
    <w:uiPriority w:val="99"/>
    <w:semiHidden/>
    <w:unhideWhenUsed/>
    <w:rsid w:val="00202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CA"/>
    <w:rPr>
      <w:rFonts w:ascii="Segoe UI" w:hAnsi="Segoe UI" w:cs="Segoe UI"/>
      <w:sz w:val="18"/>
      <w:szCs w:val="18"/>
    </w:rPr>
  </w:style>
  <w:style w:type="character" w:styleId="CommentReference">
    <w:name w:val="annotation reference"/>
    <w:basedOn w:val="DefaultParagraphFont"/>
    <w:uiPriority w:val="99"/>
    <w:semiHidden/>
    <w:unhideWhenUsed/>
    <w:rsid w:val="002F108E"/>
    <w:rPr>
      <w:sz w:val="16"/>
      <w:szCs w:val="16"/>
    </w:rPr>
  </w:style>
  <w:style w:type="paragraph" w:styleId="CommentText">
    <w:name w:val="annotation text"/>
    <w:basedOn w:val="Normal"/>
    <w:link w:val="CommentTextChar"/>
    <w:uiPriority w:val="99"/>
    <w:semiHidden/>
    <w:unhideWhenUsed/>
    <w:rsid w:val="002F108E"/>
    <w:pPr>
      <w:spacing w:line="240" w:lineRule="auto"/>
    </w:pPr>
    <w:rPr>
      <w:sz w:val="20"/>
      <w:szCs w:val="20"/>
    </w:rPr>
  </w:style>
  <w:style w:type="character" w:customStyle="1" w:styleId="CommentTextChar">
    <w:name w:val="Comment Text Char"/>
    <w:basedOn w:val="DefaultParagraphFont"/>
    <w:link w:val="CommentText"/>
    <w:uiPriority w:val="99"/>
    <w:semiHidden/>
    <w:rsid w:val="002F108E"/>
    <w:rPr>
      <w:sz w:val="20"/>
      <w:szCs w:val="20"/>
    </w:rPr>
  </w:style>
  <w:style w:type="paragraph" w:styleId="CommentSubject">
    <w:name w:val="annotation subject"/>
    <w:basedOn w:val="CommentText"/>
    <w:next w:val="CommentText"/>
    <w:link w:val="CommentSubjectChar"/>
    <w:uiPriority w:val="99"/>
    <w:semiHidden/>
    <w:unhideWhenUsed/>
    <w:rsid w:val="002F108E"/>
    <w:rPr>
      <w:b/>
      <w:bCs/>
    </w:rPr>
  </w:style>
  <w:style w:type="character" w:customStyle="1" w:styleId="CommentSubjectChar">
    <w:name w:val="Comment Subject Char"/>
    <w:basedOn w:val="CommentTextChar"/>
    <w:link w:val="CommentSubject"/>
    <w:uiPriority w:val="99"/>
    <w:semiHidden/>
    <w:rsid w:val="002F108E"/>
    <w:rPr>
      <w:b/>
      <w:bCs/>
      <w:sz w:val="20"/>
      <w:szCs w:val="20"/>
    </w:rPr>
  </w:style>
  <w:style w:type="character" w:customStyle="1" w:styleId="Mencinsinresolver1">
    <w:name w:val="Mención sin resolver1"/>
    <w:basedOn w:val="DefaultParagraphFont"/>
    <w:uiPriority w:val="99"/>
    <w:semiHidden/>
    <w:unhideWhenUsed/>
    <w:rsid w:val="00F970A7"/>
    <w:rPr>
      <w:color w:val="605E5C"/>
      <w:shd w:val="clear" w:color="auto" w:fill="E1DFDD"/>
    </w:rPr>
  </w:style>
  <w:style w:type="paragraph" w:styleId="Header">
    <w:name w:val="header"/>
    <w:basedOn w:val="Normal"/>
    <w:link w:val="HeaderChar"/>
    <w:uiPriority w:val="99"/>
    <w:unhideWhenUsed/>
    <w:rsid w:val="00F970A7"/>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F970A7"/>
    <w:rPr>
      <w:rFonts w:ascii="Times New Roman" w:hAnsi="Times New Roman" w:cs="Times New Roman"/>
      <w:lang w:val="hu-HU"/>
    </w:rPr>
  </w:style>
  <w:style w:type="paragraph" w:styleId="Footer">
    <w:name w:val="footer"/>
    <w:basedOn w:val="Normal"/>
    <w:link w:val="FooterChar"/>
    <w:uiPriority w:val="99"/>
    <w:unhideWhenUsed/>
    <w:rsid w:val="00F970A7"/>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F970A7"/>
    <w:rPr>
      <w:rFonts w:ascii="Times New Roman" w:hAnsi="Times New Roman" w:cs="Times New Roman"/>
      <w:lang w:val="hu-HU"/>
    </w:rPr>
  </w:style>
  <w:style w:type="paragraph" w:styleId="Revision">
    <w:name w:val="Revision"/>
    <w:hidden/>
    <w:uiPriority w:val="99"/>
    <w:semiHidden/>
    <w:rsid w:val="00353B1A"/>
    <w:pPr>
      <w:spacing w:after="0" w:line="240" w:lineRule="auto"/>
    </w:pPr>
  </w:style>
  <w:style w:type="character" w:customStyle="1" w:styleId="UnresolvedMention1">
    <w:name w:val="Unresolved Mention1"/>
    <w:basedOn w:val="DefaultParagraphFont"/>
    <w:uiPriority w:val="99"/>
    <w:semiHidden/>
    <w:unhideWhenUsed/>
    <w:rsid w:val="00F32CB4"/>
    <w:rPr>
      <w:color w:val="605E5C"/>
      <w:shd w:val="clear" w:color="auto" w:fill="E1DFDD"/>
    </w:rPr>
  </w:style>
  <w:style w:type="character" w:customStyle="1" w:styleId="UnresolvedMention2">
    <w:name w:val="Unresolved Mention2"/>
    <w:basedOn w:val="DefaultParagraphFont"/>
    <w:uiPriority w:val="99"/>
    <w:semiHidden/>
    <w:unhideWhenUsed/>
    <w:rsid w:val="00F95E1A"/>
    <w:rPr>
      <w:color w:val="605E5C"/>
      <w:shd w:val="clear" w:color="auto" w:fill="E1DFDD"/>
    </w:rPr>
  </w:style>
  <w:style w:type="table" w:customStyle="1" w:styleId="TableGrid1">
    <w:name w:val="Table Grid1"/>
    <w:basedOn w:val="TableNormal"/>
    <w:next w:val="TableGrid"/>
    <w:uiPriority w:val="39"/>
    <w:rsid w:val="00692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92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2C2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42947">
      <w:bodyDiv w:val="1"/>
      <w:marLeft w:val="0"/>
      <w:marRight w:val="0"/>
      <w:marTop w:val="0"/>
      <w:marBottom w:val="0"/>
      <w:divBdr>
        <w:top w:val="none" w:sz="0" w:space="0" w:color="auto"/>
        <w:left w:val="none" w:sz="0" w:space="0" w:color="auto"/>
        <w:bottom w:val="none" w:sz="0" w:space="0" w:color="auto"/>
        <w:right w:val="none" w:sz="0" w:space="0" w:color="auto"/>
      </w:divBdr>
    </w:div>
    <w:div w:id="576087027">
      <w:bodyDiv w:val="1"/>
      <w:marLeft w:val="0"/>
      <w:marRight w:val="0"/>
      <w:marTop w:val="0"/>
      <w:marBottom w:val="0"/>
      <w:divBdr>
        <w:top w:val="none" w:sz="0" w:space="0" w:color="auto"/>
        <w:left w:val="none" w:sz="0" w:space="0" w:color="auto"/>
        <w:bottom w:val="none" w:sz="0" w:space="0" w:color="auto"/>
        <w:right w:val="none" w:sz="0" w:space="0" w:color="auto"/>
      </w:divBdr>
    </w:div>
    <w:div w:id="732119233">
      <w:bodyDiv w:val="1"/>
      <w:marLeft w:val="0"/>
      <w:marRight w:val="0"/>
      <w:marTop w:val="0"/>
      <w:marBottom w:val="0"/>
      <w:divBdr>
        <w:top w:val="none" w:sz="0" w:space="0" w:color="auto"/>
        <w:left w:val="none" w:sz="0" w:space="0" w:color="auto"/>
        <w:bottom w:val="none" w:sz="0" w:space="0" w:color="auto"/>
        <w:right w:val="none" w:sz="0" w:space="0" w:color="auto"/>
      </w:divBdr>
    </w:div>
    <w:div w:id="1130511477">
      <w:bodyDiv w:val="1"/>
      <w:marLeft w:val="0"/>
      <w:marRight w:val="0"/>
      <w:marTop w:val="0"/>
      <w:marBottom w:val="0"/>
      <w:divBdr>
        <w:top w:val="none" w:sz="0" w:space="0" w:color="auto"/>
        <w:left w:val="none" w:sz="0" w:space="0" w:color="auto"/>
        <w:bottom w:val="none" w:sz="0" w:space="0" w:color="auto"/>
        <w:right w:val="none" w:sz="0" w:space="0" w:color="auto"/>
      </w:divBdr>
    </w:div>
    <w:div w:id="1253004182">
      <w:bodyDiv w:val="1"/>
      <w:marLeft w:val="0"/>
      <w:marRight w:val="0"/>
      <w:marTop w:val="0"/>
      <w:marBottom w:val="0"/>
      <w:divBdr>
        <w:top w:val="none" w:sz="0" w:space="0" w:color="auto"/>
        <w:left w:val="none" w:sz="0" w:space="0" w:color="auto"/>
        <w:bottom w:val="none" w:sz="0" w:space="0" w:color="auto"/>
        <w:right w:val="none" w:sz="0" w:space="0" w:color="auto"/>
      </w:divBdr>
    </w:div>
    <w:div w:id="1262105699">
      <w:bodyDiv w:val="1"/>
      <w:marLeft w:val="0"/>
      <w:marRight w:val="0"/>
      <w:marTop w:val="0"/>
      <w:marBottom w:val="0"/>
      <w:divBdr>
        <w:top w:val="none" w:sz="0" w:space="0" w:color="auto"/>
        <w:left w:val="none" w:sz="0" w:space="0" w:color="auto"/>
        <w:bottom w:val="none" w:sz="0" w:space="0" w:color="auto"/>
        <w:right w:val="none" w:sz="0" w:space="0" w:color="auto"/>
      </w:divBdr>
      <w:divsChild>
        <w:div w:id="650451345">
          <w:marLeft w:val="605"/>
          <w:marRight w:val="0"/>
          <w:marTop w:val="0"/>
          <w:marBottom w:val="240"/>
          <w:divBdr>
            <w:top w:val="none" w:sz="0" w:space="0" w:color="auto"/>
            <w:left w:val="none" w:sz="0" w:space="0" w:color="auto"/>
            <w:bottom w:val="none" w:sz="0" w:space="0" w:color="auto"/>
            <w:right w:val="none" w:sz="0" w:space="0" w:color="auto"/>
          </w:divBdr>
        </w:div>
        <w:div w:id="1596281621">
          <w:marLeft w:val="605"/>
          <w:marRight w:val="0"/>
          <w:marTop w:val="0"/>
          <w:marBottom w:val="240"/>
          <w:divBdr>
            <w:top w:val="none" w:sz="0" w:space="0" w:color="auto"/>
            <w:left w:val="none" w:sz="0" w:space="0" w:color="auto"/>
            <w:bottom w:val="none" w:sz="0" w:space="0" w:color="auto"/>
            <w:right w:val="none" w:sz="0" w:space="0" w:color="auto"/>
          </w:divBdr>
        </w:div>
        <w:div w:id="1379742035">
          <w:marLeft w:val="605"/>
          <w:marRight w:val="0"/>
          <w:marTop w:val="0"/>
          <w:marBottom w:val="240"/>
          <w:divBdr>
            <w:top w:val="none" w:sz="0" w:space="0" w:color="auto"/>
            <w:left w:val="none" w:sz="0" w:space="0" w:color="auto"/>
            <w:bottom w:val="none" w:sz="0" w:space="0" w:color="auto"/>
            <w:right w:val="none" w:sz="0" w:space="0" w:color="auto"/>
          </w:divBdr>
        </w:div>
      </w:divsChild>
    </w:div>
    <w:div w:id="1433086337">
      <w:bodyDiv w:val="1"/>
      <w:marLeft w:val="0"/>
      <w:marRight w:val="0"/>
      <w:marTop w:val="0"/>
      <w:marBottom w:val="0"/>
      <w:divBdr>
        <w:top w:val="none" w:sz="0" w:space="0" w:color="auto"/>
        <w:left w:val="none" w:sz="0" w:space="0" w:color="auto"/>
        <w:bottom w:val="none" w:sz="0" w:space="0" w:color="auto"/>
        <w:right w:val="none" w:sz="0" w:space="0" w:color="auto"/>
      </w:divBdr>
    </w:div>
    <w:div w:id="1651136034">
      <w:bodyDiv w:val="1"/>
      <w:marLeft w:val="0"/>
      <w:marRight w:val="0"/>
      <w:marTop w:val="0"/>
      <w:marBottom w:val="0"/>
      <w:divBdr>
        <w:top w:val="none" w:sz="0" w:space="0" w:color="auto"/>
        <w:left w:val="none" w:sz="0" w:space="0" w:color="auto"/>
        <w:bottom w:val="none" w:sz="0" w:space="0" w:color="auto"/>
        <w:right w:val="none" w:sz="0" w:space="0" w:color="auto"/>
      </w:divBdr>
    </w:div>
    <w:div w:id="1694108270">
      <w:bodyDiv w:val="1"/>
      <w:marLeft w:val="0"/>
      <w:marRight w:val="0"/>
      <w:marTop w:val="0"/>
      <w:marBottom w:val="0"/>
      <w:divBdr>
        <w:top w:val="none" w:sz="0" w:space="0" w:color="auto"/>
        <w:left w:val="none" w:sz="0" w:space="0" w:color="auto"/>
        <w:bottom w:val="none" w:sz="0" w:space="0" w:color="auto"/>
        <w:right w:val="none" w:sz="0" w:space="0" w:color="auto"/>
      </w:divBdr>
    </w:div>
    <w:div w:id="20604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s://www.eesc.europa.eu/hu/our-work/opinions-information-reports/opinions/towards-structured-youth-engagement-climate-and-sustainability-eu-decision-making-process-own-initiative-opinion" TargetMode="External"/><Relationship Id="rId26" Type="http://schemas.openxmlformats.org/officeDocument/2006/relationships/footer" Target="footer4.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9.xml"/><Relationship Id="rId16" Type="http://schemas.openxmlformats.org/officeDocument/2006/relationships/footer" Target="footer1.xml"/><Relationship Id="rId20" Type="http://schemas.openxmlformats.org/officeDocument/2006/relationships/hyperlink" Target="https://climateactiontracker.org/global/temperatures/" TargetMode="External"/><Relationship Id="rId29"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pcc.ch/2022/04/04/ipcc-ar6-wgiii-pressrelease/" TargetMode="External"/><Relationship Id="rId31"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 Id="rId30"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europarl.europa.eu/news/hu/press-room/20220616IPR33219/climate-change-parliament-pushes-for-faster-eu-action-and-energy-independence" TargetMode="External"/><Relationship Id="rId13" Type="http://schemas.openxmlformats.org/officeDocument/2006/relationships/hyperlink" Target="https://eur-lex.europa.eu/legal-content/HU/ALL/?uri=CELEX:52021AE5481" TargetMode="External"/><Relationship Id="rId18" Type="http://schemas.openxmlformats.org/officeDocument/2006/relationships/hyperlink" Target="https://eur-lex.europa.eu/legal-content/HU/TXT/?uri=uriserv:OJ.C_.2021.374.01.0084.01.HUN&amp;toc=OJ:C:2021:374:TOC" TargetMode="External"/><Relationship Id="rId26" Type="http://schemas.openxmlformats.org/officeDocument/2006/relationships/hyperlink" Target="https://eur-lex.europa.eu/legal-content/HU/TXT/?uri=CELEX:52017IE1144&amp;qid=1663579454681" TargetMode="External"/><Relationship Id="rId3" Type="http://schemas.openxmlformats.org/officeDocument/2006/relationships/hyperlink" Target="https://mediacentre.christianaid.org.uk/counting-the-cost/" TargetMode="External"/><Relationship Id="rId21" Type="http://schemas.openxmlformats.org/officeDocument/2006/relationships/hyperlink" Target="https://assets.website-files.com/5d26d80e8836af2d12ed1269/61657f127a13715bb8744ec3_Climate%20Change%20Mitigation%20Through%20the%20Circular%20Economy%20-%20STAP%20-%20report.pdf" TargetMode="External"/><Relationship Id="rId34" Type="http://schemas.openxmlformats.org/officeDocument/2006/relationships/hyperlink" Target="https://www.eesc.europa.eu/hu/our-work/opinions-information-reports/opinions/towards-structured-youth-engagement-climate-and-sustainability-eu-decision-making-process-own-initiative-opinion" TargetMode="External"/><Relationship Id="rId7" Type="http://schemas.openxmlformats.org/officeDocument/2006/relationships/hyperlink" Target="https://www.eesc.europa.eu/hu/documents/resolution/war-ukraine-and-its-economic-social-and-environmental-impact" TargetMode="External"/><Relationship Id="rId12" Type="http://schemas.openxmlformats.org/officeDocument/2006/relationships/hyperlink" Target="https://www.eesc.europa.eu/hu/our-work/opinions-information-reports/opinions/social-dialogue-within-green-transition" TargetMode="External"/><Relationship Id="rId17" Type="http://schemas.openxmlformats.org/officeDocument/2006/relationships/hyperlink" Target="https://www.eesc.europa.eu/hu/our-work/opinions-information-reports/opinions/nature-restoration-targets-under-eu-biodiversity-strategy" TargetMode="External"/><Relationship Id="rId25" Type="http://schemas.openxmlformats.org/officeDocument/2006/relationships/hyperlink" Target="https://eur-lex.europa.eu/legal-content/HU/TXT/?uri=CELEX:52020AE0994&amp;qid=1663579304870" TargetMode="External"/><Relationship Id="rId33" Type="http://schemas.openxmlformats.org/officeDocument/2006/relationships/hyperlink" Target="https://wedo.org/2020-pocket-guide-to-gender-equality-under-the-unfccc/" TargetMode="External"/><Relationship Id="rId2" Type="http://schemas.openxmlformats.org/officeDocument/2006/relationships/hyperlink" Target="https://www.eea.europa.eu/highlights/economic-losses-from-weather-and" TargetMode="External"/><Relationship Id="rId16" Type="http://schemas.openxmlformats.org/officeDocument/2006/relationships/hyperlink" Target="https://sdsn.eu/2021-europe-sustainable-development-report/" TargetMode="External"/><Relationship Id="rId20" Type="http://schemas.openxmlformats.org/officeDocument/2006/relationships/hyperlink" Target="https://eur-lex.europa.eu/legal-content/HU/TXT/?uri=uriserv:OJ.C_.2020.014.01.0029.01.HUN&amp;toc=OJ:C:2020:014:TOC" TargetMode="External"/><Relationship Id="rId29" Type="http://schemas.openxmlformats.org/officeDocument/2006/relationships/hyperlink" Target="https://eur-lex.europa.eu/legal-content/HU/ALL/?uri=CELEX:52021AE5481" TargetMode="External"/><Relationship Id="rId1" Type="http://schemas.openxmlformats.org/officeDocument/2006/relationships/hyperlink" Target="https://unfccc.int/sites/default/files/resource/parisagreement_publication.pdf" TargetMode="External"/><Relationship Id="rId6" Type="http://schemas.openxmlformats.org/officeDocument/2006/relationships/hyperlink" Target="https://www.ipcc.ch/report/ar6/wg3/" TargetMode="External"/><Relationship Id="rId11" Type="http://schemas.openxmlformats.org/officeDocument/2006/relationships/hyperlink" Target="https://eur-lex.europa.eu/legal-content/HU/ALL/?uri=CELEX:52021AE5481" TargetMode="External"/><Relationship Id="rId24" Type="http://schemas.openxmlformats.org/officeDocument/2006/relationships/hyperlink" Target="https://eur-lex.europa.eu/legal-content/AUTO/?uri=OJ:JOC_2022_194_R_0010" TargetMode="External"/><Relationship Id="rId32" Type="http://schemas.openxmlformats.org/officeDocument/2006/relationships/hyperlink" Target="https://eur-lex.europa.eu/legal-content/HU/ALL/?uri=CELEX:52021AE5481" TargetMode="External"/><Relationship Id="rId5" Type="http://schemas.openxmlformats.org/officeDocument/2006/relationships/hyperlink" Target="https://www.ncei.noaa.gov/access/billions/" TargetMode="External"/><Relationship Id="rId15" Type="http://schemas.openxmlformats.org/officeDocument/2006/relationships/hyperlink" Target="https://prod-cofe-platform.s3.eu-central-1.amazonaws.com/yrxmcjurtxgv7ststz3rsqtxiubh" TargetMode="External"/><Relationship Id="rId23" Type="http://schemas.openxmlformats.org/officeDocument/2006/relationships/hyperlink" Target="https://www.unep.org/ndc/resources/report/enhancing-ndcs-food-systems-recommendations-decision-makers" TargetMode="External"/><Relationship Id="rId28" Type="http://schemas.openxmlformats.org/officeDocument/2006/relationships/hyperlink" Target="https://eur-lex.europa.eu/legal-content/HU/TXT/?uri=CELEX:52022AE1686&amp;qid=1663579575615" TargetMode="External"/><Relationship Id="rId10" Type="http://schemas.openxmlformats.org/officeDocument/2006/relationships/hyperlink" Target="https://eur-lex.europa.eu/legal-content/HU/TXT/?uri=CELEX:52019IE2316" TargetMode="External"/><Relationship Id="rId19" Type="http://schemas.openxmlformats.org/officeDocument/2006/relationships/hyperlink" Target="https://unfccc.int/news/antonio-guterres-50-of-all-climate-finance-needed-for-adaptation" TargetMode="External"/><Relationship Id="rId31" Type="http://schemas.openxmlformats.org/officeDocument/2006/relationships/hyperlink" Target="https://eur-lex.europa.eu/legal-content/HU/ALL/?uri=CELEX:52021AE5481" TargetMode="External"/><Relationship Id="rId4" Type="http://schemas.openxmlformats.org/officeDocument/2006/relationships/hyperlink" Target="https://www.cmcc.it/lectures_conferences/the-costs-of-extreme-weather-events-caused-by-climate-change" TargetMode="External"/><Relationship Id="rId9" Type="http://schemas.openxmlformats.org/officeDocument/2006/relationships/hyperlink" Target="https://www.europarl.europa.eu/news/hu/press-room/20220603IPR32133/fit-for-55-parliament-agrees-to-higher-eu-carbon-sink-ambitions-by-2030" TargetMode="External"/><Relationship Id="rId14" Type="http://schemas.openxmlformats.org/officeDocument/2006/relationships/hyperlink" Target="https://eur-lex.europa.eu/legal-content/HU/ALL/?uri=CELEX:52021AE5481" TargetMode="External"/><Relationship Id="rId22" Type="http://schemas.openxmlformats.org/officeDocument/2006/relationships/hyperlink" Target="https://eur-lex.europa.eu/LexUriServ/LexUriServ.do?uri=OJ:C:2021:374:SOM:HU:HTML" TargetMode="External"/><Relationship Id="rId27" Type="http://schemas.openxmlformats.org/officeDocument/2006/relationships/hyperlink" Target="https://eur-lex.europa.eu/legal-content/HU/TXT/?uri=uriserv:OJ.C_.2021.374.01.0084.01.HUN&amp;toc=OJ:C:2021:374:TOC" TargetMode="External"/><Relationship Id="rId30" Type="http://schemas.openxmlformats.org/officeDocument/2006/relationships/hyperlink" Target="https://eur-lex.europa.eu/legal-content/HU/TXT/?uri=CELEX:52020AE1918&amp;qid=1663579809098" TargetMode="External"/><Relationship Id="rId35" Type="http://schemas.openxmlformats.org/officeDocument/2006/relationships/hyperlink" Target="https://www.nationalgeographic.com/environment/article/can-indigenous-land-stewardship-protect-biodivers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8F447D380DEE94195D9369B0D252450" ma:contentTypeVersion="4" ma:contentTypeDescription="Defines the documents for Document Manager V2" ma:contentTypeScope="" ma:versionID="699c0fe4d6e743f76670b9a453ac587a">
  <xsd:schema xmlns:xsd="http://www.w3.org/2001/XMLSchema" xmlns:xs="http://www.w3.org/2001/XMLSchema" xmlns:p="http://schemas.microsoft.com/office/2006/metadata/properties" xmlns:ns2="1299d781-265f-4ceb-999e-e1eca3df2c90" xmlns:ns3="http://schemas.microsoft.com/sharepoint/v3/fields" xmlns:ns4="78feecd2-a259-4a5c-b48b-4ffcf5b9c8b1" targetNamespace="http://schemas.microsoft.com/office/2006/metadata/properties" ma:root="true" ma:fieldsID="6de033fe12ab72f6ce4561b0db774137" ns2:_="" ns3:_="" ns4:_="">
    <xsd:import namespace="1299d781-265f-4ceb-999e-e1eca3df2c90"/>
    <xsd:import namespace="http://schemas.microsoft.com/sharepoint/v3/fields"/>
    <xsd:import namespace="78feecd2-a259-4a5c-b48b-4ffcf5b9c8b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feecd2-a259-4a5c-b48b-4ffcf5b9c8b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P6FJPSUHKDC2-813086739-4374</_dlc_DocId>
    <_dlc_DocIdUrl xmlns="1299d781-265f-4ceb-999e-e1eca3df2c90">
      <Url>http://dm2016/eesc/2022/_layouts/15/DocIdRedir.aspx?ID=P6FJPSUHKDC2-813086739-4374</Url>
      <Description>P6FJPSUHKDC2-813086739-4374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2022-11-08T12:00:00+00:00</ProductionDate>
    <DocumentNumber xmlns="78feecd2-a259-4a5c-b48b-4ffcf5b9c8b1">4116</DocumentNumber>
    <FicheYear xmlns="1299d781-265f-4ceb-999e-e1eca3df2c90" xsi:nil="true"/>
    <DocumentVersion xmlns="1299d781-265f-4ceb-999e-e1eca3df2c90">1</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175</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12880</FicheNumber>
    <OriginalSender xmlns="1299d781-265f-4ceb-999e-e1eca3df2c90">
      <UserInfo>
        <DisplayName>Repas Szilvia</DisplayName>
        <AccountId>1750</AccountId>
        <AccountType/>
      </UserInfo>
    </OriginalSender>
    <DocumentPart xmlns="1299d781-265f-4ceb-999e-e1eca3df2c90">0</DocumentPart>
    <AdoptionDate xmlns="1299d781-265f-4ceb-999e-e1eca3df2c90">2022-10-26T12:00:00+00:00</AdoptionDate>
    <RequestingService xmlns="1299d781-265f-4ceb-999e-e1eca3df2c90">Agriculture, développement rural et environnement</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8feecd2-a259-4a5c-b48b-4ffcf5b9c8b1"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8A832791-111F-4E19-A9BA-6D558364958C}"/>
</file>

<file path=customXml/itemProps2.xml><?xml version="1.0" encoding="utf-8"?>
<ds:datastoreItem xmlns:ds="http://schemas.openxmlformats.org/officeDocument/2006/customXml" ds:itemID="{763DA198-E377-4AE1-AD0B-0B5DDF7F55DA}"/>
</file>

<file path=customXml/itemProps3.xml><?xml version="1.0" encoding="utf-8"?>
<ds:datastoreItem xmlns:ds="http://schemas.openxmlformats.org/officeDocument/2006/customXml" ds:itemID="{086D5E73-D6C9-4A4A-98BB-A62323C35200}"/>
</file>

<file path=customXml/itemProps4.xml><?xml version="1.0" encoding="utf-8"?>
<ds:datastoreItem xmlns:ds="http://schemas.openxmlformats.org/officeDocument/2006/customXml" ds:itemID="{34D00719-9ABF-46D7-8D44-BB5B03AD379B}"/>
</file>

<file path=docProps/app.xml><?xml version="1.0" encoding="utf-8"?>
<Properties xmlns="http://schemas.openxmlformats.org/officeDocument/2006/extended-properties" xmlns:vt="http://schemas.openxmlformats.org/officeDocument/2006/docPropsVTypes">
  <Template>Normal.dotm</Template>
  <TotalTime>5</TotalTime>
  <Pages>13</Pages>
  <Words>4041</Words>
  <Characters>23040</Characters>
  <Application>Microsoft Office Word</Application>
  <DocSecurity>0</DocSecurity>
  <Lines>192</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RESOLUTION - Jointly tackling an existential threat: social partners and civil society for implementation of ambitious climate action</vt:lpstr>
      <vt:lpstr/>
    </vt:vector>
  </TitlesOfParts>
  <Company>EESC-ECOR</Company>
  <LinksUpToDate>false</LinksUpToDate>
  <CharactersWithSpaces>27027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ÁLLÁSFOGLALÁS- Egy egzisztenciális fenyegetés közös kezelése: a szociális partnerek és a civil társadalom az ambiciózus éghajlat-politikai intézkedések végrehajtásáért</dc:title>
  <dc:subject>RES</dc:subject>
  <dc:creator>Guarinoni Monica</dc:creator>
  <cp:keywords>EESC-2022-04116-00-01-RES-TRA-EN</cp:keywords>
  <dc:description>Rapporteur:  - Original language: EN - Date of document: 08/11/2022 - Date of meeting:  - External documents:  - Administrator:  CARRERAS JUDIT</dc:description>
  <cp:lastModifiedBy>Repas Szilvia</cp:lastModifiedBy>
  <cp:revision>16</cp:revision>
  <cp:lastPrinted>2022-09-02T11:47:00Z</cp:lastPrinted>
  <dcterms:created xsi:type="dcterms:W3CDTF">2022-11-04T12:59:00Z</dcterms:created>
  <dcterms:modified xsi:type="dcterms:W3CDTF">2022-11-08T14:42:00Z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04/11/2022, 27/10/2022, 11/10/2022, 28/09/2022, 23/08/2022</vt:lpwstr>
  </property>
  <property fmtid="{D5CDD505-2E9C-101B-9397-08002B2CF9AE}" pid="4" name="Pref_Time">
    <vt:lpwstr>13:47:53, 09:22:51, 09:03:19, 11:45:42, 17:23:52</vt:lpwstr>
  </property>
  <property fmtid="{D5CDD505-2E9C-101B-9397-08002B2CF9AE}" pid="5" name="Pref_User">
    <vt:lpwstr>pacup, amett, jhvi, pacup, enied</vt:lpwstr>
  </property>
  <property fmtid="{D5CDD505-2E9C-101B-9397-08002B2CF9AE}" pid="6" name="Pref_FileName">
    <vt:lpwstr>EESC-2022-04116-00-01-RES-TRA-EN-CRR.docx, EESC-2022-04116-00-00-RES-TRA-EN-CRR.docx, EESC-2022-04116-00-01-PRES-ORI.docx, EESC-2022-04116-00-00-PRES-TRA.docx, EESC-2022-04116-00-00-TCD-ORI.docx</vt:lpwstr>
  </property>
  <property fmtid="{D5CDD505-2E9C-101B-9397-08002B2CF9AE}" pid="7" name="ContentTypeId">
    <vt:lpwstr>0x010100EA97B91038054C99906057A708A1480A0048F447D380DEE94195D9369B0D252450</vt:lpwstr>
  </property>
  <property fmtid="{D5CDD505-2E9C-101B-9397-08002B2CF9AE}" pid="8" name="_dlc_DocIdItemGuid">
    <vt:lpwstr>7e8d1f2b-4361-4db6-a334-a84e3757a93a</vt:lpwstr>
  </property>
  <property fmtid="{D5CDD505-2E9C-101B-9397-08002B2CF9AE}" pid="9" name="AvailableTranslations">
    <vt:lpwstr>41;#CS|72f9705b-0217-4fd3-bea2-cbc7ed80e26e;#43;#NL|55c6556c-b4f4-441d-9acf-c498d4f838bd;#37;#PT|50ccc04a-eadd-42ae-a0cb-acaf45f812ba;#29;#SV|c2ed69e7-a339-43d7-8f22-d93680a92aa0;#34;#SK|46d9fce0-ef79-4f71-b89b-cd6aa82426b8;#30;#PL|1e03da61-4678-4e07-b136-b5024ca9197b;#44;#LT|a7ff5ce7-6123-4f68-865a-a57c31810414;#42;#SL|98a412ae-eb01-49e9-ae3d-585a81724cfc;#31;#ES|e7a6b05b-ae16-40c8-add9-68b64b03aeba;#32;#DA|5d49c027-8956-412b-aa16-e85a0f96ad0e;#38;#FI|87606a43-d45f-42d6-b8c9-e1a3457db5b7;#46;#EL|6d4f4d51-af9b-4650-94b4-4276bee85c91;#22;#DE|f6b31e5a-26fa-4935-b661-318e46daf27e;#33;#IT|0774613c-01ed-4e5d-a25d-11d2388de825;#36;#HU|6b229040-c589-4408-b4c1-4285663d20a8;#40;#BG|1a1b3951-7821-4e6a-85f5-5673fc08bd2c;#4;#EN|f2175f21-25d7-44a3-96da-d6a61b075e1b;#26;#LV|46f7e311-5d9f-4663-b433-18aeccb7ace7;#54;#ET|ff6c3f4c-b02c-4c3c-ab07-2c37995a7a0a;#55;#HR|2f555653-ed1a-4fe6-8362-9082d95989e5;#45;#RO|feb747a2-64cd-4299-af12-4833ddc30497;#11;#FR|d2afafd3-4c81-4f60-8f52-ee33f2f54ff3;#35;#MT|7df99101-6854-4a26-b53a-b88c0da02c26</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4116</vt:i4>
  </property>
  <property fmtid="{D5CDD505-2E9C-101B-9397-08002B2CF9AE}" pid="14" name="DocumentYear">
    <vt:i4>2022</vt:i4>
  </property>
  <property fmtid="{D5CDD505-2E9C-101B-9397-08002B2CF9AE}" pid="15" name="DocumentVersion">
    <vt:i4>1</vt:i4>
  </property>
  <property fmtid="{D5CDD505-2E9C-101B-9397-08002B2CF9AE}" pid="16" name="FicheNumber">
    <vt:i4>12880</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2022-10-26T12:00:00Z</vt:filetime>
  </property>
  <property fmtid="{D5CDD505-2E9C-101B-9397-08002B2CF9AE}" pid="22" name="DocumentType">
    <vt:lpwstr>175;#RES|9e3e62eb-6858-4bc7-8a50-3453e395fd01</vt:lpwstr>
  </property>
  <property fmtid="{D5CDD505-2E9C-101B-9397-08002B2CF9AE}" pid="23" name="RequestingService">
    <vt:lpwstr>Agriculture, développement rural et environnement</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CS|72f9705b-0217-4fd3-bea2-cbc7ed80e26e;NL|55c6556c-b4f4-441d-9acf-c498d4f838bd;PT|50ccc04a-eadd-42ae-a0cb-acaf45f812ba;SV|c2ed69e7-a339-43d7-8f22-d93680a92aa0;SK|46d9fce0-ef79-4f71-b89b-cd6aa82426b8;PL|1e03da61-4678-4e07-b136-b5024ca9197b;LT|a7ff5ce7-6123-4f68-865a-a57c31810414;SL|98a412ae-eb01-49e9-ae3d-585a81724cfc;ES|e7a6b05b-ae16-40c8-add9-68b64b03aeba;DA|5d49c027-8956-412b-aa16-e85a0f96ad0e;FI|87606a43-d45f-42d6-b8c9-e1a3457db5b7;EL|6d4f4d51-af9b-4650-94b4-4276bee85c91;DE|f6b31e5a-26fa-4935-b661-318e46daf27e;IT|0774613c-01ed-4e5d-a25d-11d2388de825;BG|1a1b3951-7821-4e6a-85f5-5673fc08bd2c;EN|f2175f21-25d7-44a3-96da-d6a61b075e1b;ET|ff6c3f4c-b02c-4c3c-ab07-2c37995a7a0a;HR|2f555653-ed1a-4fe6-8362-9082d95989e5;RO|feb747a2-64cd-4299-af12-4833ddc30497;FR|d2afafd3-4c81-4f60-8f52-ee33f2f54ff3;MT|7df99101-6854-4a26-b53a-b88c0da02c26</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35;#MT|7df99101-6854-4a26-b53a-b88c0da02c26;#34;#SK|46d9fce0-ef79-4f71-b89b-cd6aa82426b8;#33;#IT|0774613c-01ed-4e5d-a25d-11d2388de825;#32;#DA|5d49c027-8956-412b-aa16-e85a0f96ad0e;#6;#Final|ea5e6674-7b27-4bac-b091-73adbb394efe;#30;#PL|1e03da61-4678-4e07-b136-b5024ca9197b;#29;#SV|c2ed69e7-a339-43d7-8f22-d93680a92aa0;#31;#ES|e7a6b05b-ae16-40c8-add9-68b64b03aeba;#175;#RES|9e3e62eb-6858-4bc7-8a50-3453e395fd01;#44;#LT|a7ff5ce7-6123-4f68-865a-a57c31810414;#11;#FR|d2afafd3-4c81-4f60-8f52-ee33f2f54ff3;#22;#DE|f6b31e5a-26fa-4935-b661-318e46daf27e;#55;#HR|2f555653-ed1a-4fe6-8362-9082d95989e5;#54;#ET|ff6c3f4c-b02c-4c3c-ab07-2c37995a7a0a;#46;#EL|6d4f4d51-af9b-4650-94b4-4276bee85c91;#45;#RO|feb747a2-64cd-4299-af12-4833ddc30497;#38;#FI|87606a43-d45f-42d6-b8c9-e1a3457db5b7;#9;#Unrestricted|826e22d7-d029-4ec0-a450-0c28ff673572;#41;#CS|72f9705b-0217-4fd3-bea2-cbc7ed80e26e;#7;#TRA|150d2a88-1431-44e6-a8ca-0bb753ab8672;#43;#NL|55c6556c-b4f4-441d-9acf-c498d4f838bd;#42;#SL|98a412ae-eb01-49e9-ae3d-585a81724cfc;#4;#EN|f2175f21-25d7-44a3-96da-d6a61b075e1b;#40;#BG|1a1b3951-7821-4e6a-85f5-5673fc08bd2c;#1;#EESC|422833ec-8d7e-4e65-8e4e-8bed07ffb729;#37;#PT|50ccc04a-eadd-42ae-a0cb-acaf45f812ba</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36;#HU|6b229040-c589-4408-b4c1-4285663d20a8</vt:lpwstr>
  </property>
</Properties>
</file>