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3"/>
      </w:tblGrid>
      <w:tr w:rsidR="003416E5" w14:paraId="26174C4E" w14:textId="77777777">
        <w:trPr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F4047E" w14:paraId="27C0AF71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</w:rPr>
              <w:t>REZOLUCIJA</w:t>
            </w:r>
          </w:p>
        </w:tc>
      </w:tr>
      <w:tr w:rsidR="003416E5" w14:paraId="66E8FDA1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180C9D" w14:paraId="66D72666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Europski gospodarski i socijalni odbor</w:t>
            </w:r>
          </w:p>
        </w:tc>
      </w:tr>
      <w:tr w:rsidR="003416E5" w14:paraId="0B301317" w14:textId="77777777">
        <w:trPr>
          <w:jc w:val="center"/>
        </w:trPr>
        <w:tc>
          <w:tcPr>
            <w:tcW w:w="5000" w:type="pct"/>
            <w:vAlign w:val="center"/>
          </w:tcPr>
          <w:p w:rsidRPr="00424F46" w:rsidR="00F4047E" w:rsidP="00EF3B48" w:rsidRDefault="00F4047E" w14:paraId="1356FCE2" w14:textId="77777777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</w:rPr>
              <w:t>Zajednička borba protiv egzistencijalne prijetnje: socijalni partneri i civilno društvo za provedbu ambicioznih klimatskih mjera</w:t>
            </w:r>
          </w:p>
        </w:tc>
      </w:tr>
      <w:tr w:rsidR="003416E5" w14:paraId="4B5C2162" w14:textId="77777777">
        <w:trPr>
          <w:jc w:val="center"/>
        </w:trPr>
        <w:tc>
          <w:tcPr>
            <w:tcW w:w="5000" w:type="pct"/>
            <w:vAlign w:val="center"/>
          </w:tcPr>
          <w:p w:rsidRPr="00424F46" w:rsidR="008A6CF4" w:rsidRDefault="008A6CF4" w14:paraId="4E591A8B" w14:textId="77777777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4"/>
                <w:szCs w:val="44"/>
              </w:rPr>
            </w:pPr>
            <w:r>
              <w:rPr>
                <w:sz w:val="24"/>
              </w:rPr>
              <w:t>_____________</w:t>
            </w:r>
          </w:p>
        </w:tc>
      </w:tr>
      <w:tr w:rsidR="003416E5" w14:paraId="5B0D38DD" w14:textId="77777777">
        <w:trPr>
          <w:jc w:val="center"/>
        </w:trPr>
        <w:tc>
          <w:tcPr>
            <w:tcW w:w="5000" w:type="pct"/>
            <w:vAlign w:val="center"/>
          </w:tcPr>
          <w:p w:rsidRPr="00424F46" w:rsidR="009A4326" w:rsidP="00180C9D" w:rsidRDefault="009A4326" w14:paraId="2879931B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Zajednička borba protiv egzistencijalne prijetnje: socijalni partneri i civilno društvo za provedbu ambicioznih klimatskih mjera</w:t>
            </w:r>
          </w:p>
        </w:tc>
      </w:tr>
      <w:tr w:rsidR="003416E5" w14:paraId="6D8A1D11" w14:textId="77777777">
        <w:trPr>
          <w:jc w:val="center"/>
        </w:trPr>
        <w:tc>
          <w:tcPr>
            <w:tcW w:w="5000" w:type="pct"/>
            <w:vAlign w:val="center"/>
          </w:tcPr>
          <w:p w:rsidRPr="00EF3B48" w:rsidR="00F4047E" w:rsidP="00EF3B48" w:rsidRDefault="00180C9D" w14:paraId="254B701F" w14:textId="7777777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Izvjestitelji i izvjestiteljice: </w:t>
            </w:r>
            <w:r>
              <w:rPr>
                <w:rFonts w:ascii="Times New Roman" w:hAnsi="Times New Roman"/>
                <w:b/>
                <w:sz w:val="24"/>
              </w:rPr>
              <w:t>Peter SCHMIDT</w:t>
            </w:r>
          </w:p>
          <w:p w:rsidRPr="00EF3B48" w:rsidR="00F4047E" w:rsidP="00EF3B48" w:rsidRDefault="00F4047E" w14:paraId="5A191613" w14:textId="77777777">
            <w:pPr>
              <w:spacing w:after="0" w:line="288" w:lineRule="auto"/>
              <w:ind w:left="20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Isabel CAÑO AGUILAR</w:t>
            </w:r>
          </w:p>
          <w:p w:rsidRPr="00EF3B48" w:rsidR="00F4047E" w:rsidP="00EF3B48" w:rsidRDefault="00F4047E" w14:paraId="0F70B551" w14:textId="77777777">
            <w:pPr>
              <w:spacing w:after="0" w:line="288" w:lineRule="auto"/>
              <w:ind w:left="1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Sandra PARTHIE</w:t>
            </w:r>
          </w:p>
          <w:p w:rsidRPr="00EF3B48" w:rsidR="00F4047E" w:rsidP="00EF3B48" w:rsidRDefault="00F4047E" w14:paraId="71E892CE" w14:textId="77777777">
            <w:pPr>
              <w:spacing w:after="0" w:line="288" w:lineRule="auto"/>
              <w:ind w:left="2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Josep PUXEU ROCAMORA</w:t>
            </w:r>
          </w:p>
          <w:p w:rsidRPr="00EF3B48" w:rsidR="00F4047E" w:rsidP="00EF3B48" w:rsidRDefault="00F4047E" w14:paraId="0254D363" w14:textId="77777777">
            <w:pPr>
              <w:spacing w:after="0" w:line="288" w:lineRule="auto"/>
              <w:ind w:left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Neža REPANŠEK</w:t>
            </w:r>
          </w:p>
          <w:p w:rsidRPr="00424F46" w:rsidR="00180C9D" w:rsidP="00EF3B48" w:rsidRDefault="00F4047E" w14:paraId="0B3E3BD5" w14:textId="77777777">
            <w:pPr>
              <w:spacing w:after="0" w:line="288" w:lineRule="auto"/>
              <w:ind w:left="82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Lutz RIBBE</w:t>
            </w:r>
          </w:p>
        </w:tc>
      </w:tr>
    </w:tbl>
    <w:p w:rsidR="008A6CF4" w:rsidP="00180C9D" w:rsidRDefault="008A6CF4" w14:paraId="6689F8F8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editId="44313B40" wp14:anchorId="70493989">
                <wp:simplePos x="0" y="0"/>
                <wp:positionH relativeFrom="rightMargin">
                  <wp:posOffset>-204079</wp:posOffset>
                </wp:positionH>
                <wp:positionV relativeFrom="page">
                  <wp:posOffset>9488658</wp:posOffset>
                </wp:positionV>
                <wp:extent cx="741045" cy="431800"/>
                <wp:effectExtent l="0" t="0" r="0" b="635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9D" w:rsidP="00180C9D" w:rsidRDefault="00180C9D" w14:paraId="536BC90E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493989">
                <v:stroke joinstyle="miter"/>
                <v:path gradientshapeok="t" o:connecttype="rect"/>
              </v:shapetype>
              <v:shape id="Text Box 17" style="position:absolute;left:0;text-align:left;margin-left:-16.05pt;margin-top:747.15pt;width:58.3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">
                <v:textbox>
                  <w:txbxContent>
                    <w:p w:rsidR="00180C9D" w:rsidP="00180C9D" w:rsidRDefault="00180C9D" w14:paraId="536BC90E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424F46" w:rsidR="00180C9D" w:rsidP="00180C9D" w:rsidRDefault="00180C9D" w14:paraId="56213110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 w14:paraId="52640D06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6644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3416E5" w14:paraId="569E08E2" w14:textId="77777777">
        <w:tc>
          <w:tcPr>
            <w:tcW w:w="3085" w:type="dxa"/>
          </w:tcPr>
          <w:p w:rsidRPr="00424F46" w:rsidR="00180C9D" w:rsidP="00F4047E" w:rsidRDefault="009A4326" w14:paraId="635493B1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Pravna osnova:</w:t>
            </w:r>
          </w:p>
        </w:tc>
        <w:tc>
          <w:tcPr>
            <w:tcW w:w="6204" w:type="dxa"/>
            <w:vAlign w:val="bottom"/>
          </w:tcPr>
          <w:p w:rsidRPr="00424F46" w:rsidR="009A4326" w:rsidP="009A4326" w:rsidRDefault="009A4326" w14:paraId="3EB2D873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pravilo 50. Poslovnika</w:t>
            </w:r>
          </w:p>
          <w:p w:rsidRPr="00424F46" w:rsidR="00180C9D" w:rsidP="009A4326" w:rsidRDefault="009A4326" w14:paraId="6E2683E0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rezolucija</w:t>
            </w:r>
          </w:p>
        </w:tc>
      </w:tr>
      <w:tr w:rsidR="003416E5" w14:paraId="05DB20B9" w14:textId="77777777">
        <w:tc>
          <w:tcPr>
            <w:tcW w:w="3085" w:type="dxa"/>
          </w:tcPr>
          <w:p w:rsidRPr="00424F46" w:rsidR="00180C9D" w:rsidP="00F4047E" w:rsidRDefault="009A4326" w14:paraId="07C79E25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Datum usvajanja na plenarnom zasjedanju: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 w14:paraId="100AB554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26/10/2022</w:t>
            </w:r>
          </w:p>
        </w:tc>
      </w:tr>
      <w:tr w:rsidR="003416E5" w14:paraId="47D7BD5D" w14:textId="77777777">
        <w:tc>
          <w:tcPr>
            <w:tcW w:w="3085" w:type="dxa"/>
          </w:tcPr>
          <w:p w:rsidRPr="00424F46" w:rsidR="00180C9D" w:rsidP="00F4047E" w:rsidRDefault="009A4326" w14:paraId="42831E71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Plenarno zasjedanje br.: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 w14:paraId="3B33A899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</w:tr>
      <w:tr w:rsidR="003416E5" w14:paraId="429D27D8" w14:textId="77777777">
        <w:tc>
          <w:tcPr>
            <w:tcW w:w="3085" w:type="dxa"/>
          </w:tcPr>
          <w:p w:rsidRPr="00424F46" w:rsidR="00180C9D" w:rsidP="00F4047E" w:rsidRDefault="009A4326" w14:paraId="3A887313" w14:textId="77777777">
            <w:pPr>
              <w:spacing w:after="0" w:line="28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Rezultat glasanja </w:t>
            </w:r>
            <w:r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br/>
              <w:t>(za/protiv/suzdržani):</w:t>
            </w:r>
          </w:p>
        </w:tc>
        <w:tc>
          <w:tcPr>
            <w:tcW w:w="6204" w:type="dxa"/>
            <w:vAlign w:val="bottom"/>
          </w:tcPr>
          <w:p w:rsidRPr="00424F46" w:rsidR="00180C9D" w:rsidP="00E567D2" w:rsidRDefault="00B45F35" w14:paraId="1FB37506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104/1/0</w:t>
            </w:r>
          </w:p>
        </w:tc>
      </w:tr>
    </w:tbl>
    <w:p w:rsidRPr="00424F46" w:rsidR="00180C9D" w:rsidP="00180C9D" w:rsidRDefault="00180C9D" w14:paraId="220E59F2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 w14:paraId="1B9D4F8A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6644A2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Pr="00424F46" w:rsidR="00020F19" w:rsidP="00EF3B48" w:rsidRDefault="00020F19" w14:paraId="7D012491" w14:textId="77777777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Zajednička borba protiv egzistencijalne prijetnje: socijalni partneri i civilno društvo za provedbu ambicioznih klimatskih mjera</w:t>
      </w:r>
    </w:p>
    <w:p w:rsidRPr="00424F46" w:rsidR="00020F19" w:rsidP="00EF3B48" w:rsidRDefault="00020F19" w14:paraId="2FE4BACC" w14:textId="77777777">
      <w:pPr>
        <w:keepNext/>
        <w:spacing w:after="0" w:line="288" w:lineRule="auto"/>
        <w:jc w:val="center"/>
        <w:rPr>
          <w:rFonts w:ascii="Times New Roman" w:hAnsi="Times New Roman" w:cs="Times New Roman"/>
          <w:bCs/>
          <w:lang w:val="en-GB"/>
        </w:rPr>
      </w:pPr>
    </w:p>
    <w:p w:rsidRPr="00424F46" w:rsidR="00020F19" w:rsidP="00EF3B48" w:rsidRDefault="00020F19" w14:paraId="74DF0224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Godišnji sastanak Konferencije stranaka Okvirne konvencije Ujedinjenih naroda o promjeni klime (COP 27) održat će se od 6. do 18. studenoga u Sharm El-Sheikhu u Egiptu.</w:t>
      </w:r>
    </w:p>
    <w:p w:rsidRPr="00424F46" w:rsidR="00C0106D" w:rsidP="00765637" w:rsidRDefault="00C0106D" w14:paraId="2A621DB5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570F8A" w14:paraId="111A81B2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U skladu s memorandumom Predsjedništva EGSO-a od 22. veljače 2022. EGSO je osnovao </w:t>
      </w:r>
      <w:r>
        <w:rPr>
          <w:rFonts w:ascii="Times New Roman" w:hAnsi="Times New Roman"/>
          <w:i/>
        </w:rPr>
        <w:t>Ad hoc</w:t>
      </w:r>
      <w:r>
        <w:rPr>
          <w:rFonts w:ascii="Times New Roman" w:hAnsi="Times New Roman"/>
        </w:rPr>
        <w:t xml:space="preserve"> skupinu za Konferenciju stranaka (COP) Okvirne konvencije Ujedinjenih naroda o promjeni klime (UNFCCC) kako bi se pripremila rezolucija EGSO-a za COP, usklađena sa sljedećim prioritetima COP-a i pregovaračkim procesima UNFCCC-a te kako bi se Odbor u cjelini bolje upoznao s procesom UNFCCC-a i uključio se u pregovore o klimatskim promjenama.</w:t>
      </w:r>
    </w:p>
    <w:p w:rsidRPr="00424F46" w:rsidR="00C0106D" w:rsidP="00765637" w:rsidRDefault="00C0106D" w14:paraId="40EE5471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122A5788" w14:textId="77777777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/>
        </w:rPr>
        <w:t xml:space="preserve">Ta skupina sastoji se od šest članova i članica iz stručne skupine NAT i jedne predstavnice mladih koja redovito sudjeluje u njezinom radu u duhu samoinicijativnog mišljenja NAT/788 </w:t>
      </w:r>
      <w:hyperlink w:history="1" r:id="rId21">
        <w:r>
          <w:rPr>
            <w:rStyle w:val="Hyperlink"/>
            <w:rFonts w:ascii="Times New Roman" w:hAnsi="Times New Roman"/>
          </w:rPr>
          <w:t>„Ususret strukturiranom angažmanu mladih u području klime i održivosti u postupku donošenja odluka EU-a”</w:t>
        </w:r>
      </w:hyperlink>
      <w:r>
        <w:t>.</w:t>
      </w:r>
      <w:r>
        <w:rPr>
          <w:rFonts w:ascii="Times New Roman" w:hAnsi="Times New Roman"/>
        </w:rPr>
        <w:t xml:space="preserve"> Skupina se u posljednjih nekoliko mjeseci sastala s relevantnim organizacijama i institucijama, kao što su Europska komisija, Odbor regija, Ured na visokoj razini za klimatske predvodnike i praćenje djelovanja u području klime, kao i s predstavnicima civilnog društva (mladi, poduzeća, poljoprivrednici, sindikati i nevladine organizacije za zaštitu okoliša) u svrhu razmjene informacija i traženja sinergija. U svim tim razgovorima naglasak je bio na klimatskoj krizi.</w:t>
      </w:r>
    </w:p>
    <w:p w:rsidRPr="00424F46" w:rsidR="00C0106D" w:rsidP="00765637" w:rsidRDefault="00C0106D" w14:paraId="7D6CC622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50F9FC5D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Godina 2022. postaje godina u kojoj klimatske promjene uzrokuju ekstremne vremenske nepogode više nego ikad prije: od izrazito jakih toplinskih valova i požara u Europi i dijelovima južne Azije do katastrofalnih poplava u Pakistanu i Bangladešu i dugotrajne suše u istočnoj Africi, zbog koje su život izgubile tisuće ljudi, a milijuni su raseljeni ili su na rubu gladi.</w:t>
      </w:r>
    </w:p>
    <w:p w:rsidRPr="00424F46" w:rsidR="00C0106D" w:rsidP="00765637" w:rsidRDefault="00C0106D" w14:paraId="215358EC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1587271C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S tim u vezi, u nedavnom izvješću </w:t>
      </w:r>
      <w:hyperlink w:history="1" r:id="rId22">
        <w:r>
          <w:rPr>
            <w:rStyle w:val="Hyperlink"/>
            <w:rFonts w:ascii="Times New Roman" w:hAnsi="Times New Roman"/>
          </w:rPr>
          <w:t>Međuvladinog panela o klimatskim promjenama</w:t>
        </w:r>
      </w:hyperlink>
      <w:r>
        <w:rPr>
          <w:rFonts w:ascii="Times New Roman" w:hAnsi="Times New Roman"/>
        </w:rPr>
        <w:t xml:space="preserve"> navodi se da, ako želimo da se globalno zagrijavanje zadrži na 1,5 °C, emisije stakleničkih plinova moraju doseći vrhunac „najkasnije do 2025.”, da se emisije moraju smanjiti za 50 % do 2030. te da je za to nužno znatno i hitno smanjenje emisija u svim sektorima. Međutim, predviđa se da će </w:t>
      </w:r>
      <w:hyperlink w:history="1" r:id="rId23">
        <w:r>
          <w:rPr>
            <w:rStyle w:val="Hyperlink"/>
            <w:rFonts w:ascii="Times New Roman" w:hAnsi="Times New Roman"/>
          </w:rPr>
          <w:t>postojeće politike</w:t>
        </w:r>
      </w:hyperlink>
      <w:r>
        <w:rPr>
          <w:rFonts w:ascii="Times New Roman" w:hAnsi="Times New Roman"/>
        </w:rPr>
        <w:t xml:space="preserve"> dovesti do povećanja od oko 2,7 °C, a trenutačne obveze zemalja (nacionalno utvrđeni doprinosi) ograničit će zagrijavanje na 2,4 °C.</w:t>
      </w:r>
    </w:p>
    <w:p w:rsidRPr="00424F46" w:rsidR="00C0106D" w:rsidP="00765637" w:rsidRDefault="00C0106D" w14:paraId="7CF41AAF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3BB0B0A6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Ruska invazija na Ukrajinu drastično je povećala složenost ionako teške socioekonomske situacije. Međutim, klimatska kriza iziskuje hitno djelovanje. Svaka posebna mjera koja se usvoji mora biti iznimna i vremenski ograničena, a Europska unija mora ubrzati preoblikovanje svoje energetske i klimatske politike kako bi se odgovorilo na kratkoročne šokove i istodobno napredovalo prema neizbježnoj dekarbonizaciji društava. Europa mora biti predvodnik u djelovanju u području klime i premostiti jaz između ambicija i mjera politike.</w:t>
      </w:r>
    </w:p>
    <w:p w:rsidRPr="00424F46" w:rsidR="00C0106D" w:rsidP="00765637" w:rsidRDefault="00C0106D" w14:paraId="04759A90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2EB73A04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U rezoluciji koju su pripremili članovi i članice </w:t>
      </w:r>
      <w:r>
        <w:rPr>
          <w:rFonts w:ascii="Times New Roman" w:hAnsi="Times New Roman"/>
          <w:i/>
          <w:iCs/>
        </w:rPr>
        <w:t>Ad hoc</w:t>
      </w:r>
      <w:r>
        <w:rPr>
          <w:rFonts w:ascii="Times New Roman" w:hAnsi="Times New Roman"/>
        </w:rPr>
        <w:t xml:space="preserve"> skupine, institucije i vlade EU-a pozivaju se da u skladu sa znanstvenim spoznajama i informacijama povećaju klimatske ambicije, a poseban se naglasak stavlja na ulogu organiziranog civilnog društva u ubrzavanju djelovanja u području klime. Socijalna otpornost može se ojačati samo uz pomoć osnaženog civilnog društva, socijalnih aktera i pokreta na terenu.</w:t>
      </w:r>
    </w:p>
    <w:p w:rsidRPr="00424F46" w:rsidR="00765637" w:rsidP="00765637" w:rsidRDefault="00765637" w14:paraId="46396BAB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765637" w:rsidRDefault="00020F19" w14:paraId="23E44C26" w14:textId="77777777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/>
          <w:i/>
        </w:rPr>
        <w:lastRenderedPageBreak/>
        <w:t>Mi smo posljednja generacija koja može zaustaviti klimatske promjene, a EGSO, kao glas europskog civilnog društva, treba imati vodeću ulogu u promicanju transformacija prema ugljično neutralnim, uključivim i socijalno pravednim društvima.</w:t>
      </w:r>
      <w:r>
        <w:rPr>
          <w:rFonts w:ascii="Times New Roman" w:hAnsi="Times New Roman"/>
          <w:i/>
        </w:rPr>
        <w:br w:type="page"/>
      </w:r>
    </w:p>
    <w:p w:rsidRPr="00424F46" w:rsidR="0040134E" w:rsidP="00EF3B48" w:rsidRDefault="0040134E" w14:paraId="084A1D28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PREPORUKE ZA POLITIKU EUROPSKOG GOSPODARSKOG I SOCIJALNOG ODBORA</w:t>
      </w:r>
    </w:p>
    <w:p w:rsidRPr="00424F46" w:rsidR="00765637" w:rsidP="00EF3B48" w:rsidRDefault="00765637" w14:paraId="1E4D48B9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/>
          <w:lang w:val="en-GB"/>
        </w:rPr>
      </w:pPr>
    </w:p>
    <w:p w:rsidRPr="00424F46" w:rsidR="0040134E" w:rsidP="00EF3B48" w:rsidRDefault="00492189" w14:paraId="15EB95BC" w14:textId="77777777">
      <w:pPr>
        <w:keepNext/>
        <w:spacing w:after="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Povećanje klimatskih ambicija radi svladavanja klimatske krize i unapređenja djelovanja EU-a u području klime</w:t>
      </w:r>
    </w:p>
    <w:p w:rsidRPr="00424F46" w:rsidR="00765637" w:rsidP="00EF3B48" w:rsidRDefault="00765637" w14:paraId="09DC0D70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A133B3" w:rsidRDefault="001522F6" w14:paraId="59FC47BF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</w:rPr>
        <w:t>Kao glas organiziranog civilnog društva u Europi i djelujući u svojstvu savjetodavnog tijela Europskog parlamenta, Vijeća i Komisije te kao dio globalne zajednice civilnog društva,</w:t>
      </w:r>
    </w:p>
    <w:p w:rsidRPr="00424F46" w:rsidR="00A133B3" w:rsidP="00F5520F" w:rsidRDefault="00A133B3" w14:paraId="3E593DDB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C5108E" w:rsidP="00F5520F" w:rsidRDefault="001522F6" w14:paraId="00A6E1B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Europski gospodarski i socijalni odbor (EGSO) ističe da je Okvirna konvencija Ujedinjenih naroda o promjeni klime (UNFCCC) usvojena prije 30 godina s krajnjim ciljem stabiliziranja koncentracija stakleničkih plinova u atmosferi na razini koja bi spriječila opasno antropogeno ometanje klimatskog sustava (članak 2.) i da taj cilj nije postignut;</w:t>
      </w:r>
    </w:p>
    <w:p w:rsidRPr="00424F46" w:rsidR="00E25EDF" w:rsidP="00F5520F" w:rsidRDefault="00E25EDF" w14:paraId="1D2EC7B5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FC5DCF" w14:paraId="26B03F80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ističe da smo se zahvaljujući Pariškom sporazumu 2015. godine odmaknuli od kvalitativnog cilja Konvencije o promjeni klime (sprečavanje ometanja klimatskog sustava) i prihvatili kvantitativni cilj „zadržavanj[a] povećanja globalne prosječne temperature na razini koja je znatno niža od 2 °C iznad razine u predindustrijskom razdoblju te ulaganj[a] napora u ograničavanje povišenja temperature na 1,5 °C iznad razine u predindustrijskom razdoblju”</w:t>
      </w:r>
      <w:r w:rsidRPr="00424F46" w:rsidR="00C5108E">
        <w:rPr>
          <w:rStyle w:val="FootnoteReference"/>
          <w:rFonts w:ascii="Times New Roman" w:hAnsi="Times New Roman" w:cs="Times New Roman"/>
          <w:lang w:val="en-GB"/>
        </w:rPr>
        <w:footnoteReference w:id="2"/>
      </w:r>
      <w:r>
        <w:rPr>
          <w:rFonts w:ascii="Times New Roman" w:hAnsi="Times New Roman"/>
        </w:rPr>
        <w:t>;</w:t>
      </w:r>
    </w:p>
    <w:p w:rsidRPr="00424F46" w:rsidR="00A73469" w:rsidP="00F5520F" w:rsidRDefault="00A73469" w14:paraId="5280E12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C5108E" w:rsidP="00F5520F" w:rsidRDefault="00C5108E" w14:paraId="354BBBC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naglašava da cilj od 1,5 °C neće biti dovoljan da se izbjegnu dramatične posljedice klimatskih promjena. Kao što se vidi iz priloženih podataka, klimatske promjene već utječu na sve regije diljem svijeta.</w:t>
      </w:r>
      <w:r>
        <w:t xml:space="preserve"> </w:t>
      </w:r>
      <w:r>
        <w:rPr>
          <w:rFonts w:ascii="Times New Roman" w:hAnsi="Times New Roman"/>
        </w:rPr>
        <w:t>Poplave, suše, oluje, požari i toplinski valovi eksponencijalno rastu, s razornim društvenim učinkom i gospodarskim posljedicama koje se svake godine mjere u milijardama;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3"/>
      </w:r>
    </w:p>
    <w:p w:rsidRPr="00424F46" w:rsidR="00A73469" w:rsidP="00F5520F" w:rsidRDefault="00A73469" w14:paraId="35708309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A73469" w14:paraId="385FC8C3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ističe da živimo u klimatskoj krizi i da, unatoč tome što se ciljevi UNFCCC-a trenutno ne uspijevaju postići, ne bismo smjeli odustati od članka 2. Konvencije;</w:t>
      </w:r>
    </w:p>
    <w:p w:rsidRPr="00424F46" w:rsidR="00EA2B05" w:rsidP="00F5520F" w:rsidRDefault="00EA2B05" w14:paraId="4DA5A82C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794F2D" w14:paraId="673176D3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čvrsto je uvjeren da odluke o politikama moraju biti u skladu sa znanošću i znanstvenim informacijama te ističe da je Međuvladin panel o klimatskim promjenama (IPCC) odredio jasne referentne vrijednosti: emisije moraju doseći vrhunac najkasnije do 2025.</w:t>
      </w:r>
      <w:r w:rsidRPr="00424F46" w:rsidR="00D27A92">
        <w:rPr>
          <w:rStyle w:val="FootnoteReference"/>
          <w:rFonts w:ascii="Times New Roman" w:hAnsi="Times New Roman" w:cs="Times New Roman"/>
          <w:lang w:val="en-GB"/>
        </w:rPr>
        <w:footnoteReference w:id="4"/>
      </w:r>
      <w:r>
        <w:rPr>
          <w:rFonts w:ascii="Times New Roman" w:hAnsi="Times New Roman"/>
        </w:rPr>
        <w:t>, a da bi se zadržala mogućnost ostvarenja cilja od 1,5 °C, svijet mora do 2030. godine smanjiti emisije za 45 % u odnosu na 2010.;</w:t>
      </w:r>
    </w:p>
    <w:p w:rsidRPr="00424F46" w:rsidR="00EA2B05" w:rsidP="00F5520F" w:rsidRDefault="00EA2B05" w14:paraId="6FA86A7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1709" w:rsidP="00C70BC5" w:rsidRDefault="00EA2B05" w14:paraId="2B0A6EEB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 xml:space="preserve">napominje da je invazija Rusije na Ukrajinu dodatno pogoršala već tešku situaciju koju karakteriziraju inflacija, visoke cijene energije i hrane te moguće nestašice energije, što u velikoj mjeri negativno utječe na život građana i, barem u kratkoročnom razdoblju, stvara ozbiljne socijalne i ekonomske izazove. EGSO smatra da je zbog trenutne situacije europsko djelovanje u području klime još hitnije potrebno i da je </w:t>
      </w:r>
      <w:r>
        <w:rPr>
          <w:rFonts w:ascii="Times New Roman" w:hAnsi="Times New Roman"/>
          <w:b/>
        </w:rPr>
        <w:t>zbog nove geopolitičke situacije još izraženija potreba da EU ubrza preoblikovanje svoje energetske i klimatske politike</w:t>
      </w:r>
      <w:r>
        <w:rPr>
          <w:rFonts w:ascii="Times New Roman" w:hAnsi="Times New Roman"/>
        </w:rPr>
        <w:t>;</w:t>
      </w:r>
    </w:p>
    <w:p w:rsidRPr="00424F46" w:rsidR="00CB14BC" w:rsidP="00F5520F" w:rsidRDefault="00CB14BC" w14:paraId="4A4DECA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3D0D15" w14:paraId="2A7DE21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uvjeren je da je </w:t>
      </w:r>
      <w:r>
        <w:rPr>
          <w:rFonts w:ascii="Times New Roman" w:hAnsi="Times New Roman"/>
          <w:b/>
        </w:rPr>
        <w:t>potrebno ojačati europski zeleni plan</w:t>
      </w:r>
      <w:r>
        <w:rPr>
          <w:rFonts w:ascii="Times New Roman" w:hAnsi="Times New Roman"/>
        </w:rPr>
        <w:t xml:space="preserve"> kako bi se postigao cilj dekarbonizacije gospodarstva, dodatno smanjile ovisnosti o vanjskim faktorima, osigurala otpornost i intenzivirala pravedna tranzicija, kao i da se izvanredna odstupanja od dogovorenih ciljeva mogu odobriti isključivo na ograničeno vremensko razdoblje;</w:t>
      </w:r>
      <w:r w:rsidRPr="00EF3B48" w:rsidR="00EA2B05">
        <w:rPr>
          <w:rStyle w:val="FootnoteReference"/>
          <w:rFonts w:ascii="Times New Roman" w:hAnsi="Times New Roman" w:cs="Times New Roman"/>
          <w:lang w:val="en-GB"/>
        </w:rPr>
        <w:footnoteReference w:id="5"/>
      </w:r>
      <w:r>
        <w:rPr>
          <w:rFonts w:ascii="Times New Roman" w:hAnsi="Times New Roman"/>
        </w:rPr>
        <w:t xml:space="preserve"> vjeruje da bi razvoj otvorene strateške autonomije trebao osigurati smanjenje ovisnosti o energiji, kritičnim sirovinama i hrani;</w:t>
      </w:r>
    </w:p>
    <w:p w:rsidRPr="00424F46" w:rsidR="00EA2B05" w:rsidP="00F5520F" w:rsidRDefault="00EA2B05" w14:paraId="3A56A6FA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553760" w:rsidP="00F5520F" w:rsidRDefault="00EA2B05" w14:paraId="2950A7E1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potiče </w:t>
      </w:r>
      <w:r>
        <w:rPr>
          <w:rFonts w:ascii="Times New Roman" w:hAnsi="Times New Roman"/>
          <w:b/>
        </w:rPr>
        <w:t>EU da preuzme vodeću ulogu</w:t>
      </w:r>
      <w:r>
        <w:rPr>
          <w:rFonts w:ascii="Times New Roman" w:hAnsi="Times New Roman"/>
        </w:rPr>
        <w:t xml:space="preserve"> i poziva Europsku komisiju i države članice EU-a da u skladu s Klimatskim paktom iz Glasgowa </w:t>
      </w:r>
      <w:r>
        <w:rPr>
          <w:rFonts w:ascii="Times New Roman" w:hAnsi="Times New Roman"/>
          <w:b/>
        </w:rPr>
        <w:t>ažuriraju nacionalno utvrđene doprinose</w:t>
      </w:r>
      <w:r>
        <w:rPr>
          <w:rFonts w:ascii="Times New Roman" w:hAnsi="Times New Roman"/>
        </w:rPr>
        <w:t>; poziva na pravednu raspodjelu na svjetskoj razini, utemeljenu na pravičnosti, povijesnoj odgovornosti i kapacitetima;</w:t>
      </w:r>
    </w:p>
    <w:p w:rsidRPr="00424F46" w:rsidR="00D27A92" w:rsidP="00F5520F" w:rsidRDefault="00D27A92" w14:paraId="16451B2A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EA2B05" w14:paraId="742FC51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pozdravlja odluke Europskog parlamenta o sustavu trgovanja emisijama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6"/>
      </w:r>
      <w:r>
        <w:rPr>
          <w:rFonts w:ascii="Times New Roman" w:hAnsi="Times New Roman"/>
        </w:rPr>
        <w:t xml:space="preserve"> i ponorima ugljika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7"/>
      </w:r>
      <w:r>
        <w:rPr>
          <w:rFonts w:ascii="Times New Roman" w:hAnsi="Times New Roman"/>
        </w:rPr>
        <w:t>, koje su dovele do blagog povećanja cilja EU-a za smanjenje emisija, što – iako nedovoljno – predstavlja poziv na povećanje nacionalno utvrđenih doprinosa u EU-u;</w:t>
      </w:r>
    </w:p>
    <w:p w:rsidRPr="00424F46" w:rsidR="00EA2B05" w:rsidP="00F5520F" w:rsidRDefault="00EA2B05" w14:paraId="67A9E5D7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D27A92" w14:paraId="7BE35021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izražava zabrinutost zbog činjenice da su mnoge zemlje najavile dugoročne planove za postizanje klimatske neutralnosti do 2050. ili 2060. koji nisu popraćeni razmjernim kratkoročnim i srednjoročnim planovima, pa stoga poziva Europsku komisiju da </w:t>
      </w:r>
      <w:r>
        <w:rPr>
          <w:rFonts w:ascii="Times New Roman" w:hAnsi="Times New Roman"/>
          <w:b/>
        </w:rPr>
        <w:t>intenzivira diplomatske aktivnosti EU-a</w:t>
      </w:r>
      <w:r>
        <w:rPr>
          <w:rFonts w:ascii="Times New Roman" w:hAnsi="Times New Roman"/>
        </w:rPr>
        <w:t xml:space="preserve"> na promicanju usvajanja okvirâ politika sličnih europskom zelenom planu u međunarodnoj zajednici; spreman je poduprijeti te aktivnosti kroz suradnju s organizacijama civilnog društva u cijelom svijetu, vodeći se pritom Programom održivog razvoja do 2030. i ciljevima održivog razvoja kao smjernicama za predstojeće odlučujuće godine;</w:t>
      </w:r>
    </w:p>
    <w:p w:rsidRPr="00424F46" w:rsidR="00444B59" w:rsidP="00F5520F" w:rsidRDefault="00444B59" w14:paraId="5A85F8D3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C375B8" w14:paraId="60A793C9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traži od EU-a da dodatno razvije sektorske pristupe za prilagođene mjere ili „klimatske klubove” koji bi se mogli osnivati među zemljama s najambicioznijim klimatskim programima kako bi se potaknulo brže djelovanje drugih država. Mehanizam za ugljičnu prilagodbu na granicama (CBAM) mogao bi poslužiti kao sredstvo za to;</w:t>
      </w:r>
    </w:p>
    <w:p w:rsidRPr="00424F46" w:rsidR="00DE24B9" w:rsidP="00F5520F" w:rsidRDefault="00DE24B9" w14:paraId="17DD7DC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1B07D7" w:rsidP="00F5520F" w:rsidRDefault="003D0D15" w14:paraId="272E38FF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smatra da je potrebno odlučno i jasno definirano djelovanje kako bi članak 6. Pariškog sporazuma postao operativan i kako bi se dovršio Pariški pravilnik, kojim se uspostavlja okvir za dobrovoljnu međunarodnu suradnju na temelju koje bi zemlje mogle smanjiti emisije radi ispunjavanja svojih obveza, pritom izbjegavajući probleme povezane s dvostrukim računanjem i rizik od lažnih ugljičnih kredita;</w:t>
      </w:r>
    </w:p>
    <w:p w:rsidRPr="00424F46" w:rsidR="00DA7721" w:rsidP="00F5520F" w:rsidRDefault="00DA7721" w14:paraId="334D46FC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DA7721" w:rsidP="00F5520F" w:rsidRDefault="00DA7721" w14:paraId="36A8FBCD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lastRenderedPageBreak/>
        <w:t>Preispitivanje postojećeg gospodarskog modela u svrhu poduzimanja djelotvornih koraka u pogledu ublažavanja i prilagodbe te osiguravanje primjerenog pristupa financijskim sredstvima za borbu protiv klimatskih promjena</w:t>
      </w:r>
    </w:p>
    <w:p w:rsidRPr="00424F46" w:rsidR="00DA7721" w:rsidP="00F5520F" w:rsidRDefault="00DA7721" w14:paraId="0BD0C18A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lang w:val="en-GB"/>
        </w:rPr>
      </w:pPr>
    </w:p>
    <w:p w:rsidRPr="00424F46" w:rsidR="006D019C" w:rsidP="00F5520F" w:rsidRDefault="00D27A92" w14:paraId="629D8B58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ističe da radi ubrzavanja tranzicije prema klimatski neutralnom društvu moramo </w:t>
      </w:r>
      <w:r>
        <w:rPr>
          <w:rFonts w:ascii="Times New Roman" w:hAnsi="Times New Roman"/>
          <w:b/>
        </w:rPr>
        <w:t>preispitati svoj postojeći gospodarski model</w:t>
      </w:r>
      <w:r>
        <w:rPr>
          <w:rFonts w:ascii="Times New Roman" w:hAnsi="Times New Roman"/>
        </w:rPr>
        <w:t xml:space="preserve"> kako bismo promijenili način na koji konzumiramo i proizvodimo, kao i način na koji vrednujemo samodostatnost te poziva EU da predloži novu viziju prosperiteta za ljude i planet, koja bi se temeljila na načelu okolišne održivosti, pravu na pristojan život i zaštiti društvenih vrijednosti;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8"/>
      </w:r>
    </w:p>
    <w:p w:rsidRPr="00424F46" w:rsidR="00F426F7" w:rsidP="00F5520F" w:rsidRDefault="00F426F7" w14:paraId="50F7A25C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lang w:val="en-GB"/>
        </w:rPr>
      </w:pPr>
    </w:p>
    <w:p w:rsidRPr="00424F46" w:rsidR="00F426F7" w:rsidP="00F5520F" w:rsidRDefault="00F426F7" w14:paraId="471C72C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predlaže </w:t>
      </w:r>
      <w:r>
        <w:rPr>
          <w:rFonts w:ascii="Times New Roman" w:hAnsi="Times New Roman"/>
          <w:b/>
        </w:rPr>
        <w:t>novi okvir upravljanja</w:t>
      </w:r>
      <w:r>
        <w:rPr>
          <w:rFonts w:ascii="Times New Roman" w:hAnsi="Times New Roman"/>
        </w:rPr>
        <w:t xml:space="preserve"> za razradu tih transformacijskih promjena te potiče vlade i regionalne vlasti da osnuju </w:t>
      </w:r>
      <w:r>
        <w:rPr>
          <w:rFonts w:ascii="Times New Roman" w:hAnsi="Times New Roman"/>
          <w:b/>
        </w:rPr>
        <w:t>povjerenstva za pravednu tranziciju</w:t>
      </w:r>
      <w:r>
        <w:rPr>
          <w:rFonts w:ascii="Times New Roman" w:hAnsi="Times New Roman"/>
        </w:rPr>
        <w:t xml:space="preserve"> kako bi se socijalnim partnerima i organizacijama civilnog društva, uključujući organizacije mladih, omogućilo da iznose preporuke te da pregovaraju i razvijaju nacionalne i regionalne planove za pravednu tranziciju;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9"/>
      </w:r>
      <w:r>
        <w:rPr>
          <w:rFonts w:ascii="Times New Roman" w:hAnsi="Times New Roman"/>
        </w:rPr>
        <w:t xml:space="preserve"> smatra da su postojeće inicijative za suočavanje s društvenim izazovima zelene transformacije i dalje fragmentirane;</w:t>
      </w:r>
      <w:r w:rsidRPr="00424F46" w:rsidR="00CA61D4">
        <w:rPr>
          <w:rStyle w:val="FootnoteReference"/>
          <w:rFonts w:ascii="Times New Roman" w:hAnsi="Times New Roman" w:cs="Times New Roman"/>
          <w:lang w:val="en-GB"/>
        </w:rPr>
        <w:footnoteReference w:id="10"/>
      </w:r>
    </w:p>
    <w:p w:rsidRPr="00424F46" w:rsidR="006D019C" w:rsidP="00F5520F" w:rsidRDefault="006D019C" w14:paraId="296BD71E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 w14:paraId="292874CA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smatra da će brzi pomak prema dekarboniziranom gospodarstvu sa sobom nositi ogromne izazove za građane, radnike, poduzeća i regije, naročito one koje se najviše oslanjaju na sektore i industrije s velikim emisijama ugljika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1"/>
      </w:r>
      <w:r>
        <w:rPr>
          <w:rFonts w:ascii="Times New Roman" w:hAnsi="Times New Roman"/>
        </w:rPr>
        <w:t xml:space="preserve"> i da bi </w:t>
      </w:r>
      <w:r>
        <w:rPr>
          <w:rFonts w:ascii="Times New Roman" w:hAnsi="Times New Roman"/>
          <w:b/>
        </w:rPr>
        <w:t>određivanje nacionalnih doprinosa trebalo uključivati i detaljno mapiranje</w:t>
      </w:r>
      <w:r>
        <w:rPr>
          <w:rFonts w:ascii="Times New Roman" w:hAnsi="Times New Roman"/>
        </w:rPr>
        <w:t xml:space="preserve"> i analizu učinka koji će tranzicija imati na zapošljavanje i vještine u raznim zemljama, podregijama i sektorima, uključujući i na podizvođače i kasnije faze u lancima vrijednosti, koji bi trebali biti </w:t>
      </w:r>
      <w:r>
        <w:rPr>
          <w:rFonts w:ascii="Times New Roman" w:hAnsi="Times New Roman"/>
          <w:b/>
        </w:rPr>
        <w:t>popraćeni nacionalnim planovima za zapošljavanje i strategijama za pravednu tranziciju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2"/>
      </w:r>
      <w:r>
        <w:rPr>
          <w:rFonts w:ascii="Times New Roman" w:hAnsi="Times New Roman"/>
        </w:rPr>
        <w:t>, na temelju načela pravedne tranzicije Međunarodne organizacije rada; stoga podržava prijedlog proizašao iz Konferencije o budućnosti Europe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3"/>
      </w:r>
      <w:r>
        <w:rPr>
          <w:rFonts w:ascii="Times New Roman" w:hAnsi="Times New Roman"/>
        </w:rPr>
        <w:t xml:space="preserve"> da se osigura pravedna tranzicija u kojoj se s pomoću odgovarajućeg financiranja tranzicije i daljnjeg istraživanja štite radnici i radna mjesta;</w:t>
      </w:r>
    </w:p>
    <w:p w:rsidRPr="00424F46" w:rsidR="00492189" w:rsidP="00F5520F" w:rsidRDefault="00492189" w14:paraId="1015298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322BD" w:rsidP="00F5520F" w:rsidRDefault="00492189" w14:paraId="16E6BFBE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naglašava da će za odgovornost privatnog sektora za postizanje cilja dekarbonizacije biti potrebna brza transformacija sustavâ dosad nezabilježenih razmjera te ističe da privatni sektor ima ključnu ulogu u tom procesu;</w:t>
      </w:r>
    </w:p>
    <w:p w:rsidRPr="00424F46" w:rsidR="007322BD" w:rsidP="00F5520F" w:rsidRDefault="007322BD" w14:paraId="2D56892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C70BC5" w:rsidRDefault="00492189" w14:paraId="6BD79E2A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uvažava napore koje u brojnim slučajevima i na raznovrsne načine poduzeća i poduzetnici u cijelom EU-u ulažu u razvijanje poslovnih rješenja za ublažavanje izazova povezanih s klimatskim promjenama i prilagodbu njima te smatra da bi se protiv klimatskih promjena trebalo boriti inovativnim i odgovornim poslovnim modelima, i to stavljanjem naglaska na mjerljive ciljeve održivosti, uključujući smanjenu upotrebu vode, energije i kemikalija;</w:t>
      </w:r>
    </w:p>
    <w:p w:rsidRPr="00C70BC5" w:rsidR="00492189" w:rsidP="00F5520F" w:rsidRDefault="00492189" w14:paraId="49DB8FAB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Pr="00424F46" w:rsidR="00492189" w:rsidP="00F5520F" w:rsidRDefault="00492189" w14:paraId="072367DE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zabrinut je zbog toga što uslijed smanjenja emisija stakleničkih plinova u EU-u dolazi do povećanja emisija u inozemstvu radi zadovoljavanja potrošnje u EU-u, što dovodi do </w:t>
      </w:r>
      <w:r>
        <w:rPr>
          <w:rFonts w:ascii="Times New Roman" w:hAnsi="Times New Roman"/>
          <w:b/>
        </w:rPr>
        <w:t>učinka prelijevanja stakleničkih plinova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4"/>
      </w:r>
      <w:r>
        <w:rPr>
          <w:rFonts w:ascii="Times New Roman" w:hAnsi="Times New Roman"/>
        </w:rPr>
        <w:t xml:space="preserve"> te smatra da u pristup EU-a koji se temelji na inventaru stakleničkih plinova treba uključiti i emisije stakleničkih plinova povezane s uvezenim proizvodima, da prednost moramo dati razdvajanju socioekonomskog napretka od negativnih učinaka na klimu i bioraznolikost, bez obzira na to dolazi li do njih u EU-u ili u zemljama izvoznicama, kao i da je CBAM mjera kojom se podupire postizanje tog cilja;</w:t>
      </w:r>
    </w:p>
    <w:p w:rsidRPr="00C70BC5" w:rsidR="00492189" w:rsidP="00F5520F" w:rsidRDefault="00492189" w14:paraId="745473D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Pr="00424F46" w:rsidR="007E0872" w:rsidP="00765637" w:rsidRDefault="00570EB2" w14:paraId="66EC977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napominje da se, kao što je naglasila znanstvena zajednica, </w:t>
      </w:r>
      <w:r>
        <w:rPr>
          <w:rFonts w:ascii="Times New Roman" w:hAnsi="Times New Roman"/>
          <w:b/>
        </w:rPr>
        <w:t>klimatske promjene i gubitak bioraznolikosti uzajamno intenziviraju</w:t>
      </w:r>
      <w:r>
        <w:rPr>
          <w:rFonts w:ascii="Times New Roman" w:hAnsi="Times New Roman"/>
        </w:rPr>
        <w:t>; poziva na holistički pristup zaštiti okoliša kojim bi se rješavao problem povezanosti između gubitka bioraznolikosti i klimatskih promjena te predlaže da se ponovno razmotre i povećaju površine zaštićenih područja, kao i napori za zaštitu preostalih prirodnih resursa u okviru Strategije EU-a za bioraznolikost do 2030.;</w:t>
      </w:r>
      <w:r w:rsidRPr="00424F46" w:rsidR="007E0872">
        <w:rPr>
          <w:rStyle w:val="FootnoteReference"/>
          <w:rFonts w:ascii="Times New Roman" w:hAnsi="Times New Roman" w:cs="Times New Roman"/>
          <w:lang w:val="en-GB"/>
        </w:rPr>
        <w:footnoteReference w:id="15"/>
      </w:r>
    </w:p>
    <w:p w:rsidRPr="00C70BC5" w:rsidR="007E0872" w:rsidP="00765637" w:rsidRDefault="007E0872" w14:paraId="1D7B3EB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Pr="00424F46" w:rsidR="00492189" w:rsidP="00F5520F" w:rsidRDefault="006D019C" w14:paraId="1C20E851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zabrinut je zbog činjenice da klimatske promjene nesrazmjerno utječu na najranjivije osobe i da se zajednice koje su najmanje odgovorne za globalne emisije suočavaju s najgorim posljedicama, a ne raspolažu uvijek resursima da se s njima nose;</w:t>
      </w:r>
    </w:p>
    <w:p w:rsidRPr="00C70BC5" w:rsidR="006D019C" w:rsidP="00F5520F" w:rsidRDefault="006D019C" w14:paraId="357D2100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Pr="00424F46" w:rsidR="0044565F" w:rsidP="00F5520F" w:rsidRDefault="0044565F" w14:paraId="1C67D1F9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ističe da mjere prilagodbe</w:t>
      </w:r>
      <w:r>
        <w:rPr>
          <w:rFonts w:ascii="Times New Roman" w:hAnsi="Times New Roman"/>
        </w:rPr>
        <w:t xml:space="preserve"> poprimaju sve veću važnost s obzirom na to da su neuobičajene klimatske pojave sve učestalije i da je od presudne važnosti bolje predviđati učinke klimatskih promjena; naglašava da se u Pariškom sporazumu ističe važnost procesa planiranja prilagodbe na nacionalnoj razini tako što se sve zemlje obvezuje na izvještavanje o postignutom napretku; ujedno poziva na to da se u svim područjima vodi računa o uključivosti kako bi se izbjeglo povećanje postojećih nejednakosti;</w:t>
      </w:r>
    </w:p>
    <w:p w:rsidRPr="00C70BC5" w:rsidR="00803823" w:rsidP="00F5520F" w:rsidRDefault="00803823" w14:paraId="55EEF02F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Pr="00424F46" w:rsidR="0044565F" w:rsidP="00F5520F" w:rsidRDefault="0044565F" w14:paraId="4A8113CA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poziva na to da razvijene zemlje povećaju ukupni doprinos financiranju borbe protiv klimatskih promjena i da se pritom </w:t>
      </w:r>
      <w:r>
        <w:rPr>
          <w:rFonts w:ascii="Times New Roman" w:hAnsi="Times New Roman"/>
          <w:b/>
        </w:rPr>
        <w:t>pridaje jednaka važnost financiranju ublažavanja i prilagodbe</w:t>
      </w:r>
      <w:r>
        <w:rPr>
          <w:rFonts w:ascii="Times New Roman" w:hAnsi="Times New Roman"/>
        </w:rPr>
        <w:t xml:space="preserve"> jer će, ako se za to ne osiguraju dodatna financijska sredstva, planiranje i provedba prilagodbe biti ograničeni, naročito u zemljama u razvoju; poziva na poduzimanje daljnjih koraka kako bi se osiguralo poštovanje tog načela s obzirom na to da ublažavanje klimatskih promjena štiti buduće naraštaje od pogoršavanja klimatske krize, dok prilagodba tim promjenama štiti sadašnje i buduće naraštaje od ekstremnih vremenskih nepogoda uzrokovanih već postojećim klimatskim promjenama;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6"/>
      </w:r>
      <w:r>
        <w:rPr>
          <w:rFonts w:ascii="Times New Roman" w:hAnsi="Times New Roman"/>
        </w:rPr>
        <w:t xml:space="preserve"> podsjeća na to da se trenutno samo 25 % ukupnih financijskih sredstava za klimu izdvaja za financiranje prilagodbe klimatskim promjenama i da se ne ostvaruju ranija obećanja da će se do 2025. godine sredstva za tu svrhu povećati na 40 %;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7"/>
      </w:r>
    </w:p>
    <w:p w:rsidRPr="00424F46" w:rsidR="00803823" w:rsidP="00F5520F" w:rsidRDefault="002C59E9" w14:paraId="5814863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pozdravlja doprinos Komisije </w:t>
      </w:r>
      <w:r>
        <w:rPr>
          <w:rFonts w:ascii="Times New Roman" w:hAnsi="Times New Roman"/>
          <w:b/>
        </w:rPr>
        <w:t>Fondu za prilagodbu</w:t>
      </w:r>
      <w:r>
        <w:rPr>
          <w:rFonts w:ascii="Times New Roman" w:hAnsi="Times New Roman"/>
        </w:rPr>
        <w:t xml:space="preserve"> u iznosu od 100 milijuna eura, a države članice EU-a istovremeno potiče da do 2025. udvostruče financijska sredstva za prilagodbu u odnosu na razinu iz 2019. te poziva na ulaganje dodatnih napora kako bi se prikupilo 100 milijardi američkih dolara za „plan provedbe“; ističe činjenicu da trenutno ne postoji globalni mehanizam financiranja kojim bi se podupirao oporavak od gubitaka i štete koje dotični ljudi trpe te poziva države članice EU-a i Komisiju da se obvežu na uspostavu </w:t>
      </w:r>
      <w:r>
        <w:rPr>
          <w:rFonts w:ascii="Times New Roman" w:hAnsi="Times New Roman"/>
          <w:b/>
        </w:rPr>
        <w:t>„financijskog mehanizma za gubitke i štetu“</w:t>
      </w:r>
      <w:r>
        <w:rPr>
          <w:rFonts w:ascii="Times New Roman" w:hAnsi="Times New Roman"/>
        </w:rPr>
        <w:t xml:space="preserve"> kako bi se sanirale posljedice klimatskih promjena;</w:t>
      </w:r>
    </w:p>
    <w:p w:rsidRPr="00424F46" w:rsidR="00803823" w:rsidP="00F5520F" w:rsidRDefault="00803823" w14:paraId="266EC12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F71F0" w:rsidP="00F5520F" w:rsidRDefault="00565A46" w14:paraId="01F3E93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smatra da u okviru djelovanja u interesu klimatske pravde vlade i institucije EU-a moraju osmisliti </w:t>
      </w:r>
      <w:r>
        <w:rPr>
          <w:rFonts w:ascii="Times New Roman" w:hAnsi="Times New Roman"/>
          <w:b/>
        </w:rPr>
        <w:t>sveobuhvatnu europsku politiku migracija i azila okrenutu budućnosti</w:t>
      </w:r>
      <w:r>
        <w:rPr>
          <w:rFonts w:ascii="Times New Roman" w:hAnsi="Times New Roman"/>
        </w:rPr>
        <w:t xml:space="preserve"> koja bi pružala zaštitu osobama raseljenima zbog klimatskih promjena, pri čemu bi prvi korak trebao biti službeno priznavanje statusa klimatskih izbjeglica;</w:t>
      </w:r>
    </w:p>
    <w:p w:rsidRPr="00424F46" w:rsidR="00444B59" w:rsidP="00F5520F" w:rsidRDefault="00444B59" w14:paraId="05463E0B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6D019C" w:rsidRDefault="00565A46" w14:paraId="72C6F0C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Jačanje djelotvornih sektorskih mjera radi postizanja klimatske neutralnosti</w:t>
      </w:r>
    </w:p>
    <w:p w:rsidRPr="00424F46" w:rsidR="00707DFC" w:rsidRDefault="00707DFC" w14:paraId="55100FBF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EF3B48" w:rsidRDefault="00707DFC" w14:paraId="6439010E" w14:textId="7777777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ističe da su </w:t>
      </w:r>
      <w:r>
        <w:rPr>
          <w:rFonts w:ascii="Times New Roman" w:hAnsi="Times New Roman"/>
          <w:b/>
        </w:rPr>
        <w:t>kružno gospodarstvo</w:t>
      </w:r>
      <w:r>
        <w:rPr>
          <w:rFonts w:ascii="Times New Roman" w:hAnsi="Times New Roman"/>
        </w:rPr>
        <w:t xml:space="preserve"> i biogospodarstvo poticajni faktori za osmišljavanje nove vizije prosperiteta za ljude i da ih treba dodatno ubrzati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8"/>
      </w:r>
      <w:r>
        <w:rPr>
          <w:rFonts w:ascii="Times New Roman" w:hAnsi="Times New Roman"/>
        </w:rPr>
        <w:t xml:space="preserve"> te naglašava da strategije kružnog gospodarstva koje se provode u svim sektorima i zemljama imaju potencijal za smanjenje globalnih emisija stakleničkih plinova za 39 %;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9"/>
      </w:r>
      <w:r>
        <w:rPr>
          <w:rFonts w:ascii="Times New Roman" w:hAnsi="Times New Roman"/>
        </w:rPr>
        <w:t xml:space="preserve"> izražava zabrinutost zbog toga što je stopa kružnosti u EU-u samo 12 % unatoč opsežnom procesu ažuriranja zakonodavstva pokrenutom 2015. prvim akcijskim planom EU-a za kružno gospodarstvo i smatra da se daljnji napredak može postići samo kroz uključivanje svih komponenata civilnog društva, prije svega kako bi se prevladale preostale političke, kulturne, infrastrukturne, upravljačke i financijske prepreke;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0"/>
      </w:r>
    </w:p>
    <w:p w:rsidRPr="00424F46" w:rsidR="007E0872" w:rsidP="00F5520F" w:rsidRDefault="007E0872" w14:paraId="79EA5AC9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F5520F" w:rsidRDefault="00444B59" w14:paraId="2EA9D60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poziva na to da se tranzicijske strategije za uspostavu </w:t>
      </w:r>
      <w:r>
        <w:rPr>
          <w:rFonts w:ascii="Times New Roman" w:hAnsi="Times New Roman"/>
          <w:b/>
        </w:rPr>
        <w:t>održivih prehrambenih sustava</w:t>
      </w:r>
      <w:r>
        <w:rPr>
          <w:rFonts w:ascii="Times New Roman" w:hAnsi="Times New Roman"/>
        </w:rPr>
        <w:t xml:space="preserve"> na odgovarajući način uključe u nacionalno utvrđene doprinose i napominje da, iako mnoge zemlje u svojim nacionalno utvrđenim doprinosima navode potencijal koji za ublažavanje i prilagodbu ima poljoprivreda, vrlo ih je malo postavilo ciljeve u pogledu drugih faza prehrambenog sustava,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1"/>
      </w:r>
      <w:r>
        <w:rPr>
          <w:rFonts w:ascii="Times New Roman" w:hAnsi="Times New Roman"/>
        </w:rPr>
        <w:t xml:space="preserve"> što znači da velik broj prilika nije iskorišten;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2"/>
      </w:r>
      <w:r>
        <w:rPr>
          <w:rFonts w:ascii="Times New Roman" w:hAnsi="Times New Roman"/>
        </w:rPr>
        <w:t xml:space="preserve"> ponavlja svoje preporuke da se donesu sveobuhvatne prehrambene politike, kao što je strategija „od polja do stola”, uključujući i klimatske mjere, te da se osigura strukturirano sudjelovanje dionika u cijelom lancu opskrbe hranom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3"/>
      </w:r>
      <w:r>
        <w:rPr>
          <w:rFonts w:ascii="Times New Roman" w:hAnsi="Times New Roman"/>
        </w:rPr>
        <w:t xml:space="preserve"> i na svim razinama upravljanja, a prije svega da se proizvođači stave u središte poljoprivrednih strategija i da ih se uključi u izradu politika;</w:t>
      </w:r>
    </w:p>
    <w:p w:rsidRPr="00424F46" w:rsidR="00A42B33" w:rsidP="00F5520F" w:rsidRDefault="00A42B33" w14:paraId="4484412D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362FB" w:rsidP="0062301F" w:rsidRDefault="00953E81" w14:paraId="20C54081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zabrinut je zbog situacije u Africi, čiji je udio u globalnim emisijama manji od 4 %, što je u velikom nesrazmjeru s činjenicom da je Afrika jedna od najranjivijih regija na svijetu; </w:t>
      </w:r>
      <w:r>
        <w:rPr>
          <w:rFonts w:ascii="Times New Roman" w:hAnsi="Times New Roman"/>
          <w:b/>
        </w:rPr>
        <w:t>s obzirom na to da se sastanak COP 27 održava u Africi, odlučno apelira na EU da prioritetno stavi na raspolaganje financijske i tehničke resurse te resurse za izgradnju kapaciteta za Afriku</w:t>
      </w:r>
      <w:r>
        <w:rPr>
          <w:rFonts w:ascii="Times New Roman" w:hAnsi="Times New Roman"/>
        </w:rPr>
        <w:t xml:space="preserve"> kako bi se poduprle obveze koje je taj kontinent preuzeo na sastanku COP 21 u Parizu; ujedno traži da EU uzme u obzir činjenicu da većina afričkih nacionalno utvrđenih doprinosa sadrži ciljeve ublažavanja i prilagodbe koji ovise o primanju odgovarajuće međunarodne potpore, što otvara pitanje zaštite visokovrijednih ekosustava očuvanja kao što su šume i savane, kao i pitanje ekstrakcije fosilnih goriva;</w:t>
      </w:r>
    </w:p>
    <w:p w:rsidRPr="00424F46" w:rsidR="00E362FB" w:rsidP="00765637" w:rsidRDefault="00E362FB" w14:paraId="4A48509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526B40" w:rsidRDefault="00444B59" w14:paraId="5348350D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poziva na to da se odmah obustave </w:t>
      </w:r>
      <w:r>
        <w:rPr>
          <w:rFonts w:ascii="Times New Roman" w:hAnsi="Times New Roman"/>
          <w:b/>
        </w:rPr>
        <w:t>subvencije za fosilna goriva</w:t>
      </w:r>
      <w:r>
        <w:rPr>
          <w:rFonts w:ascii="Times New Roman" w:hAnsi="Times New Roman"/>
        </w:rPr>
        <w:t xml:space="preserve"> i pozdravlja Komunikaciju o planu REPowerEU jer se u njoj iznose rješenja koja su u skladu s ciljevima zelenog plana i europske energetske unije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4"/>
      </w:r>
      <w:r w:rsidRPr="00424F46" w:rsidR="00EB27C9">
        <w:rPr>
          <w:rStyle w:val="FootnoteReference"/>
          <w:rFonts w:ascii="Times New Roman" w:hAnsi="Times New Roman" w:cs="Times New Roman"/>
          <w:lang w:val="en-GB"/>
        </w:rPr>
        <w:footnoteReference w:id="25"/>
      </w:r>
      <w:r>
        <w:rPr>
          <w:rFonts w:ascii="Times New Roman" w:hAnsi="Times New Roman"/>
        </w:rPr>
        <w:t>; smatra da vlade moraju uspostaviti okvir za ulaganja u revolucionarne tehnologije u područjima kao što su energetska učinkovitost i proizvodnja obnovljive energije, i to podupiranjem istraživanja, inovacija i razvoja, te da bi propisi trebali biti osmišljeni tako da omogućuju i unapređuju razvoj i prihvaćanje novih tehnologija na tržištu, uključujući mjere na strani potražnje kako bi se stvorila vodeća tržišta i poticaji za potrošnju proizvoda s niskim emisijama ugljika;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6"/>
      </w:r>
    </w:p>
    <w:p w:rsidRPr="00424F46" w:rsidR="00A42B33" w:rsidP="00F5520F" w:rsidRDefault="00A42B33" w14:paraId="14281429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81237" w:rsidP="00F5520F" w:rsidRDefault="00F81237" w14:paraId="609A139A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pozdravlja digitalna rješenja kojima se omogućuju zaštita okoliša i prelazak na održivost u prometu, energetskim sustavima, zgradama, poljoprivredi i drugim sektorima, ali ujedno </w:t>
      </w:r>
      <w:r>
        <w:rPr>
          <w:rFonts w:ascii="Times New Roman" w:hAnsi="Times New Roman"/>
          <w:b/>
        </w:rPr>
        <w:t>napominje da sveukupno gledajući digitalizacija dosad nije doprinijela smanjenju potražnje za energijom i smanjenju emisija ugljika</w:t>
      </w:r>
      <w:r>
        <w:rPr>
          <w:rFonts w:ascii="Times New Roman" w:hAnsi="Times New Roman"/>
        </w:rPr>
        <w:t xml:space="preserve"> pa stoga naglašava da su potrebne politike potpore kako bi se ublažili povratni i indukcijski učinci;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7"/>
      </w:r>
    </w:p>
    <w:p w:rsidRPr="00424F46" w:rsidR="00F81237" w:rsidP="00F5520F" w:rsidRDefault="00F81237" w14:paraId="11EEE95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621E3" w:rsidP="00F5520F" w:rsidRDefault="00A42B33" w14:paraId="1579914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naglašava da klimatske promjene imaju ozbiljne posljedice i za poduzeća, naročito MSP-ove (primjerice, prekid lanaca opskrbe i šteta na proizvodnim postrojenjima zbog ekstremnih vremenskih pojava) i prisiljavaju ih da uvode ponekad skupe promjene u svoje poslovne i operativne modele i provode ulaganja kako bi se nosila s regulatornim i drugim zahtjevima; smatra da </w:t>
      </w:r>
      <w:r>
        <w:rPr>
          <w:rFonts w:ascii="Times New Roman" w:hAnsi="Times New Roman"/>
          <w:b/>
        </w:rPr>
        <w:t>treba podupirati one koji ranije uvode nove održive poslovne modele</w:t>
      </w:r>
      <w:r>
        <w:rPr>
          <w:rFonts w:ascii="Times New Roman" w:hAnsi="Times New Roman"/>
        </w:rPr>
        <w:t xml:space="preserve"> kako bi se spriječilo da zbog svoje inovativnost budu stavljeni u nepovoljan položaj u odnosu na konkurenciju;</w:t>
      </w:r>
    </w:p>
    <w:p w:rsidRPr="00424F46" w:rsidR="00A621E3" w:rsidP="00F5520F" w:rsidRDefault="00A621E3" w14:paraId="73C659BB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4B59" w:rsidP="0062301F" w:rsidRDefault="00444B59" w14:paraId="1B6D4316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naglašava da se u okviru potpore privatnom sektoru moraju poštovati načela pravednog pristupa financijskim instrumentima za MSP-ove i da se potpora treba zasnivati isključivo na klimatskim </w:t>
      </w:r>
      <w:r>
        <w:rPr>
          <w:rFonts w:ascii="Times New Roman" w:hAnsi="Times New Roman"/>
        </w:rPr>
        <w:lastRenderedPageBreak/>
        <w:t>ciljevima</w:t>
      </w:r>
      <w:r w:rsidRPr="00EF3B48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8"/>
      </w:r>
      <w:r>
        <w:rPr>
          <w:rFonts w:ascii="Times New Roman" w:hAnsi="Times New Roman"/>
        </w:rPr>
        <w:t xml:space="preserve"> te da će u svim lancima vrijednosti trebati učiniti mnogo toga i da će biti potrebna međusektorska suradnja;</w:t>
      </w:r>
    </w:p>
    <w:p w:rsidRPr="00424F46" w:rsidR="00444B59" w:rsidP="00F5520F" w:rsidRDefault="00444B59" w14:paraId="49B3690D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444B59" w:rsidP="00F5520F" w:rsidRDefault="00444B59" w14:paraId="02D1EB3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smatra da su usklađivanje i standardizacija ključni za prilagođavanje razmjera rješenja potrebama industrijskih sektora, uz pomoć tehnologije, jačanja vještina i regulative, što bi vlade EU-a trebale podupirati na međunarodnoj razini, te da će naročito za MSP-ove biti ključno da im se osiguraju prateći instrumenti i izgradnja kapaciteta kako bi ispunili nove zahtjeve i povećali svoj pristup tržištu u EU-u;</w:t>
      </w:r>
    </w:p>
    <w:p w:rsidRPr="00424F46" w:rsidR="00444B59" w:rsidP="00F5520F" w:rsidRDefault="00444B59" w14:paraId="4A389DF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6D2F1C" w:rsidRDefault="00565A46" w14:paraId="79115E3B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Osnaživanje civilnog društva u cilju ubrzavanja djelovanja u području klime i poziv na uvođenje novog okvira upravljanja</w:t>
      </w:r>
    </w:p>
    <w:p w:rsidRPr="00424F46" w:rsidR="00EE319C" w:rsidRDefault="00EE319C" w14:paraId="2A58E92F" w14:textId="77777777">
      <w:pPr>
        <w:pStyle w:val="ListParagraph"/>
        <w:keepNext/>
        <w:keepLines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EF3B48" w:rsidRDefault="00F426F7" w14:paraId="2FF66B58" w14:textId="7777777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ističe da razmjer potrebnog djelovanja iziskuje integrirane, višerazinske politike i međusektorska rješenja, uz istinski angažman civilnog društva, pa stoga predlaže uvođenje </w:t>
      </w:r>
      <w:r>
        <w:rPr>
          <w:rFonts w:ascii="Times New Roman" w:hAnsi="Times New Roman"/>
          <w:b/>
        </w:rPr>
        <w:t>novog okvira upravljanja</w:t>
      </w:r>
      <w:r>
        <w:rPr>
          <w:rFonts w:ascii="Times New Roman" w:hAnsi="Times New Roman"/>
        </w:rPr>
        <w:t xml:space="preserve"> kako bi se razradile te transformacijske promjene;</w:t>
      </w:r>
    </w:p>
    <w:p w:rsidRPr="00424F46" w:rsidR="00F426F7" w:rsidP="00F5520F" w:rsidRDefault="00F426F7" w14:paraId="1B80DC7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EE319C" w14:paraId="3995D436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smatra da bi se </w:t>
      </w:r>
      <w:r>
        <w:rPr>
          <w:rFonts w:ascii="Times New Roman" w:hAnsi="Times New Roman"/>
          <w:b/>
        </w:rPr>
        <w:t>na razini radnog mjesta</w:t>
      </w:r>
      <w:r>
        <w:rPr>
          <w:rFonts w:ascii="Times New Roman" w:hAnsi="Times New Roman"/>
        </w:rPr>
        <w:t xml:space="preserve"> tim novim okvirom upravljanja trebao zajamčiti socijalni dijalog osiguravanjem radničkih prava i sudjelovanja radnika, kao i jačanjem kolektivnih ugovora;</w:t>
      </w:r>
    </w:p>
    <w:p w:rsidRPr="00424F46" w:rsidR="00B27016" w:rsidP="00F5520F" w:rsidRDefault="00B27016" w14:paraId="43FAEA71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F5520F" w:rsidRDefault="00B27016" w14:paraId="0C00CE31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osim toga, smatra da treba ojačati i </w:t>
      </w:r>
      <w:r>
        <w:rPr>
          <w:rFonts w:ascii="Times New Roman" w:hAnsi="Times New Roman"/>
          <w:b/>
        </w:rPr>
        <w:t>širi dijalog</w:t>
      </w:r>
      <w:r>
        <w:rPr>
          <w:rFonts w:ascii="Times New Roman" w:hAnsi="Times New Roman"/>
        </w:rPr>
        <w:t>, uz sudjelovanje regija, ruralnih aktera i gradova, socijalnih partnera, zadruga i civilnog društva, kako bi se zajamčile socijalna pravda i vjerodostojnost te kako bi se konkretiziralo obećanje da nitko ne smije biti zapostavljen.</w:t>
      </w:r>
      <w:r w:rsidRPr="00424F46" w:rsidR="003567A8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9"/>
      </w:r>
      <w:r>
        <w:rPr>
          <w:rFonts w:ascii="Times New Roman" w:hAnsi="Times New Roman"/>
        </w:rPr>
        <w:t xml:space="preserve"> Na primjer, olakšavanjem aktivnosti prozumenata može se ubrzati tranzicija prema čišćem energetskom sustavu, stvoriti novi gospodarski modeli i pomoći u zaštiti najranjivijih skupina u našim društvima, primjerice kako ih se ne bi isključilo iz sustava grijanja i rasvjete i iz informacijske tehnologije;</w:t>
      </w:r>
    </w:p>
    <w:p w:rsidRPr="00424F46" w:rsidR="00F426F7" w:rsidP="00F5520F" w:rsidRDefault="00F426F7" w14:paraId="15F2D8D0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F5520F" w:rsidRDefault="00F426F7" w14:paraId="2074611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čvrsto je uvjeren da radi bržeg ublažavanja klimatskih promjena i prilagodbe njima, kao i radi jačanja socijalne otpornosti </w:t>
      </w:r>
      <w:r>
        <w:rPr>
          <w:rFonts w:ascii="Times New Roman" w:hAnsi="Times New Roman"/>
          <w:b/>
        </w:rPr>
        <w:t>treba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zaista podupirati i poticati inicijative odozdo prema gore i građanske inicijative </w:t>
      </w:r>
      <w:r>
        <w:rPr>
          <w:rFonts w:ascii="Times New Roman" w:hAnsi="Times New Roman"/>
        </w:rPr>
        <w:t>i time osloboditi potencijal kulture suradnje i rješenja odozdo prema gore; vjeruje da je jednako tako potrebno više ulagati u socijalne inovacije kako bi posvuda došlo do kulturnih i društvenih promjena potrebnih za to da zaštita klime postane dio svakodnevnog života poduzeća, javnih vlasti i domaćinstava;</w:t>
      </w:r>
    </w:p>
    <w:p w:rsidRPr="00424F46" w:rsidR="00707DFC" w:rsidP="00F5520F" w:rsidRDefault="00707DFC" w14:paraId="2BBD1AF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62301F" w:rsidRDefault="00710362" w14:paraId="10C0B314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smatra da se</w:t>
      </w:r>
      <w:r>
        <w:rPr>
          <w:rFonts w:ascii="Times New Roman" w:hAnsi="Times New Roman"/>
          <w:b/>
        </w:rPr>
        <w:t xml:space="preserve"> pitanje roda</w:t>
      </w:r>
      <w:r>
        <w:rPr>
          <w:rFonts w:ascii="Times New Roman" w:hAnsi="Times New Roman"/>
        </w:rPr>
        <w:t xml:space="preserve"> ne bi trebalo rješavati kao zasebni i izolirani problem, već da ga treba smatrati osnovnim pitanjem kako bi se </w:t>
      </w:r>
      <w:r>
        <w:rPr>
          <w:rFonts w:ascii="Times New Roman" w:hAnsi="Times New Roman"/>
          <w:b/>
        </w:rPr>
        <w:t>izbjeglo usvajanje mjera i politika u kojima se to pitanje ne uzima u obzir</w:t>
      </w:r>
      <w:r>
        <w:rPr>
          <w:rFonts w:ascii="Times New Roman" w:hAnsi="Times New Roman"/>
        </w:rPr>
        <w:t xml:space="preserve">. Klimatske promjene nemaju jednak učinak na sve segmente stanovništva, a ako se klimatske politike ne osmisle na ispravan način, mogle bi perpetuirati nepravde i neuravnoteženosti te vrste. Na primjer, nejednako sudjelovanje žena u postupcima </w:t>
      </w:r>
      <w:r>
        <w:rPr>
          <w:rFonts w:ascii="Times New Roman" w:hAnsi="Times New Roman"/>
        </w:rPr>
        <w:lastRenderedPageBreak/>
        <w:t>donošenja odluka i na tržištu rada povećava nejednakosti i ženama često onemogućuje puno sudjelovanje u planiranju klimatskih politika, njihovoj izradi i provedbi;</w:t>
      </w:r>
      <w:r w:rsidRPr="00424F46" w:rsidR="00EE319C">
        <w:rPr>
          <w:rStyle w:val="FootnoteReference"/>
          <w:rFonts w:ascii="Times New Roman" w:hAnsi="Times New Roman" w:cs="Times New Roman"/>
          <w:lang w:val="en-GB"/>
        </w:rPr>
        <w:footnoteReference w:id="30"/>
      </w:r>
    </w:p>
    <w:p w:rsidRPr="00424F46" w:rsidR="00EE319C" w:rsidP="00F5520F" w:rsidRDefault="00EE319C" w14:paraId="4BA2B9F7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9F475F" w14:paraId="3CC51F4F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uvjeren je da će se snažnijim </w:t>
      </w:r>
      <w:r>
        <w:rPr>
          <w:rFonts w:ascii="Times New Roman" w:hAnsi="Times New Roman"/>
          <w:b/>
        </w:rPr>
        <w:t>angažmanom mladih</w:t>
      </w:r>
      <w:r>
        <w:rPr>
          <w:rFonts w:ascii="Times New Roman" w:hAnsi="Times New Roman"/>
        </w:rPr>
        <w:t xml:space="preserve"> u postupcima donošenja odluka – od sastavljanja zakonodavnih prijedloga i inicijativa do provedbe, nadzora i praćenja – najbolje uzeti u obzir međugeneracijska dimenzija tih promjena.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31"/>
      </w:r>
      <w:r>
        <w:rPr>
          <w:rFonts w:ascii="Times New Roman" w:hAnsi="Times New Roman"/>
        </w:rPr>
        <w:t xml:space="preserve"> EGSO zbog toga od 2021. u službeno izaslanstvo EU-a na sastancima Konferencije stranaka UNFCCC-a uključuje predstavnika ili predstavnicu mladih i obvezao se na to da će u svom radu davati više prostora stavovima mladih i njihovih organizacija; odlučno preporučuje strankama i drugim dionicima da usvoje sličan pristup;</w:t>
      </w:r>
    </w:p>
    <w:p w:rsidRPr="00424F46" w:rsidR="00B27016" w:rsidP="00F5520F" w:rsidRDefault="00B27016" w14:paraId="714EE6B9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8D5813" w:rsidP="00F5520F" w:rsidRDefault="00B27016" w14:paraId="7AF63CEB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napominje da se </w:t>
      </w:r>
      <w:r>
        <w:rPr>
          <w:rFonts w:ascii="Times New Roman" w:hAnsi="Times New Roman"/>
          <w:b/>
        </w:rPr>
        <w:t>autohtoni narodi</w:t>
      </w:r>
      <w:r>
        <w:rPr>
          <w:rFonts w:ascii="Times New Roman" w:hAnsi="Times New Roman"/>
        </w:rPr>
        <w:t xml:space="preserve"> nalaze u prvim redovima borbe protiv klimatskih promjena – oni su čuvari više od 80 % preostale bioraznolikosti planeta</w:t>
      </w:r>
      <w:r w:rsidRPr="00424F46">
        <w:rPr>
          <w:rFonts w:ascii="Times New Roman" w:hAnsi="Times New Roman" w:cs="Times New Roman"/>
          <w:vertAlign w:val="superscript"/>
          <w:lang w:val="en-GB"/>
        </w:rPr>
        <w:footnoteReference w:id="32"/>
      </w:r>
      <w:r>
        <w:rPr>
          <w:rFonts w:ascii="Times New Roman" w:hAnsi="Times New Roman"/>
        </w:rPr>
        <w:t>; pozdravlja njihov sve veći angažman u klimatskoj politici i potiče stranke da ih aktivno uključe u provedbu klimatskih mjera;</w:t>
      </w:r>
    </w:p>
    <w:p w:rsidRPr="00424F46" w:rsidR="003D0D15" w:rsidP="00F5520F" w:rsidRDefault="003D0D15" w14:paraId="538BEAFF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3D0D15" w14:paraId="39C31A9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EGSO se obvezuje da će poduzeti mjere za provedbu navedenih preporuka o politikama.</w:t>
      </w:r>
    </w:p>
    <w:p w:rsidRPr="00424F46" w:rsidR="00D27A92" w:rsidP="00E567D2" w:rsidRDefault="00D27A92" w14:paraId="0CDF1607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655CCCDA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Bruxelles, 26. listopada 2022.</w:t>
      </w:r>
    </w:p>
    <w:p w:rsidRPr="00424F46" w:rsidR="005E5612" w:rsidP="00E567D2" w:rsidRDefault="005E5612" w14:paraId="342BBDE2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0D20562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2C95E1D9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0D0606D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Christa Schweng</w:t>
      </w:r>
    </w:p>
    <w:p w:rsidRPr="00424F46" w:rsidR="005E5612" w:rsidP="00E567D2" w:rsidRDefault="005E5612" w14:paraId="3B414B1C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Predsjednica Europskog gospodarskog i socijalnog odbora</w:t>
      </w:r>
    </w:p>
    <w:p w:rsidRPr="00424F46" w:rsidR="009C5FF9" w:rsidP="00E567D2" w:rsidRDefault="009C5FF9" w14:paraId="52EB4551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8A6CF4" w:rsidR="0078686E" w:rsidP="00EF3B48" w:rsidRDefault="002C2B01" w14:paraId="26CF0D98" w14:textId="77777777">
      <w:pPr>
        <w:pStyle w:val="ListParagraph"/>
        <w:keepNext/>
        <w:keepLines/>
        <w:spacing w:after="0" w:line="288" w:lineRule="auto"/>
        <w:ind w:left="0"/>
        <w:jc w:val="center"/>
        <w:rPr>
          <w:rFonts w:ascii="Times New Roman" w:hAnsi="Times New Roman" w:cs="Times New Roman"/>
        </w:rPr>
      </w:pPr>
      <w:r>
        <w:t>_____________</w:t>
      </w:r>
    </w:p>
    <w:sectPr w:rsidRPr="008A6CF4" w:rsidR="0078686E" w:rsidSect="00526B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5B79" w14:textId="77777777" w:rsidR="00BD0948" w:rsidRDefault="00BD0948" w:rsidP="008A03FA">
      <w:pPr>
        <w:spacing w:after="0" w:line="240" w:lineRule="auto"/>
      </w:pPr>
      <w:r>
        <w:separator/>
      </w:r>
    </w:p>
  </w:endnote>
  <w:endnote w:type="continuationSeparator" w:id="0">
    <w:p w14:paraId="4B5CE387" w14:textId="77777777" w:rsidR="00BD0948" w:rsidRDefault="00BD0948" w:rsidP="008A03FA">
      <w:pPr>
        <w:spacing w:after="0" w:line="240" w:lineRule="auto"/>
      </w:pPr>
      <w:r>
        <w:continuationSeparator/>
      </w:r>
    </w:p>
  </w:endnote>
  <w:endnote w:type="continuationNotice" w:id="1">
    <w:p w14:paraId="79EFC2F2" w14:textId="77777777" w:rsidR="00BD0948" w:rsidRDefault="00BD0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C96" w14:textId="77777777" w:rsidR="008A6CF4" w:rsidRDefault="008A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84B0" w14:textId="77777777" w:rsidR="008A6CF4" w:rsidRDefault="008A6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6522" w14:textId="77777777" w:rsidR="008A6CF4" w:rsidRDefault="008A6C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6EB4" w14:textId="77777777" w:rsidR="00180C9D" w:rsidRDefault="00180C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6C5" w14:textId="77777777" w:rsidR="00526B40" w:rsidRPr="00526B40" w:rsidRDefault="00526B40" w:rsidP="00526B4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BE33" w14:textId="2B5DEC7E" w:rsidR="00F970A7" w:rsidRPr="00526B40" w:rsidRDefault="006644A2" w:rsidP="006644A2">
    <w:pPr>
      <w:pStyle w:val="Footer"/>
      <w:jc w:val="left"/>
    </w:pPr>
    <w:r>
      <w:t xml:space="preserve">EESC-2022-04116-00-01-RES-TRA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10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01C21">
        <w:rPr>
          <w:noProof/>
        </w:rPr>
        <w:instrText>12</w:instrText>
      </w:r>
    </w:fldSimple>
    <w:r>
      <w:instrText xml:space="preserve"> - 2 </w:instrText>
    </w:r>
    <w:r>
      <w:fldChar w:fldCharType="separate"/>
    </w:r>
    <w:r w:rsidR="00701C21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61CD" w14:textId="77777777" w:rsidR="00526B40" w:rsidRPr="00526B40" w:rsidRDefault="00526B40" w:rsidP="0052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D11B" w14:textId="77777777" w:rsidR="00BD0948" w:rsidRDefault="00BD0948" w:rsidP="008A03FA">
      <w:pPr>
        <w:spacing w:after="0" w:line="240" w:lineRule="auto"/>
      </w:pPr>
      <w:r>
        <w:separator/>
      </w:r>
    </w:p>
  </w:footnote>
  <w:footnote w:type="continuationSeparator" w:id="0">
    <w:p w14:paraId="4425BFCD" w14:textId="77777777" w:rsidR="00BD0948" w:rsidRDefault="00BD0948" w:rsidP="008A03FA">
      <w:pPr>
        <w:spacing w:after="0" w:line="240" w:lineRule="auto"/>
      </w:pPr>
      <w:r>
        <w:continuationSeparator/>
      </w:r>
    </w:p>
  </w:footnote>
  <w:footnote w:type="continuationNotice" w:id="1">
    <w:p w14:paraId="50C640AD" w14:textId="77777777" w:rsidR="00BD0948" w:rsidRDefault="00BD0948">
      <w:pPr>
        <w:spacing w:after="0" w:line="240" w:lineRule="auto"/>
      </w:pPr>
    </w:p>
  </w:footnote>
  <w:footnote w:id="2">
    <w:p w14:paraId="39EBC2BF" w14:textId="77777777" w:rsidR="00C5108E" w:rsidRPr="005F3782" w:rsidRDefault="00C5108E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 w:history="1">
        <w:r>
          <w:rPr>
            <w:rStyle w:val="Hyperlink"/>
          </w:rPr>
          <w:t>Pariški sporazum</w:t>
        </w:r>
      </w:hyperlink>
      <w:r>
        <w:t>.</w:t>
      </w:r>
    </w:p>
  </w:footnote>
  <w:footnote w:id="3">
    <w:p w14:paraId="249AE1C5" w14:textId="77777777" w:rsidR="00C5108E" w:rsidRPr="005F3782" w:rsidRDefault="00C5108E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Izvor: </w:t>
      </w:r>
      <w:hyperlink r:id="rId2" w:history="1">
        <w:r>
          <w:rPr>
            <w:rStyle w:val="Hyperlink"/>
            <w:i/>
            <w:iCs/>
          </w:rPr>
          <w:t>Economic losses from weather and climate-related extremes in Europe reached around half a trillion euros over past 40 years</w:t>
        </w:r>
        <w:r>
          <w:rPr>
            <w:rStyle w:val="Hyperlink"/>
          </w:rPr>
          <w:t xml:space="preserve"> (Ekonomski gubici uzrokovani ekstremnim vremenskim i klimatskim pojavama u Europi u posljednjih 40 godina popeli su se na oko pola bilijuna eura), Europska agencija za okoliš</w:t>
        </w:r>
      </w:hyperlink>
      <w:r>
        <w:t xml:space="preserve">; </w:t>
      </w:r>
      <w:hyperlink r:id="rId3" w:history="1">
        <w:r>
          <w:rPr>
            <w:rStyle w:val="Hyperlink"/>
            <w:i/>
            <w:iCs/>
          </w:rPr>
          <w:t>New report: World counts the cost of a year of climate breakdown</w:t>
        </w:r>
        <w:r>
          <w:rPr>
            <w:rStyle w:val="Hyperlink"/>
          </w:rPr>
          <w:t xml:space="preserve"> (Novo izvješće: svijet računa koliko ga je koštala jedna godina klimatskog raspada), britansko dobrotvorno društvo koje se bori protiv siromaštva u svijetu </w:t>
        </w:r>
        <w:r>
          <w:rPr>
            <w:rStyle w:val="Hyperlink"/>
            <w:i/>
            <w:iCs/>
          </w:rPr>
          <w:t>Christian Aid, Media Centre</w:t>
        </w:r>
      </w:hyperlink>
      <w:r>
        <w:t xml:space="preserve">; </w:t>
      </w:r>
      <w:hyperlink r:id="rId4" w:anchor=":~:text=We%20estimate%20that%20climate%20change,such%20as%20DICE%20and%20FUND." w:history="1">
        <w:r>
          <w:rPr>
            <w:rStyle w:val="Hyperlink"/>
            <w:i/>
            <w:iCs/>
          </w:rPr>
          <w:t>The Costs of Extreme Weather Events Caused by Climate Change</w:t>
        </w:r>
        <w:r>
          <w:rPr>
            <w:rStyle w:val="Hyperlink"/>
          </w:rPr>
          <w:t xml:space="preserve"> (Cijena ekstremnih vremenskih nepogoda uzrokovanih klimatskim promjenama), Euromediteranski centar za klimatske promjene – CMCC</w:t>
        </w:r>
      </w:hyperlink>
      <w:r>
        <w:t xml:space="preserve">; </w:t>
      </w:r>
      <w:hyperlink r:id="rId5" w:history="1">
        <w:r>
          <w:rPr>
            <w:rStyle w:val="Hyperlink"/>
            <w:i/>
            <w:iCs/>
          </w:rPr>
          <w:t>Billion-Dollar Weather and Climate Disasters</w:t>
        </w:r>
        <w:r>
          <w:rPr>
            <w:rStyle w:val="Hyperlink"/>
          </w:rPr>
          <w:t xml:space="preserve"> (Vremenske i klimatske katastrofe koje su koštale najmanje milijardu dolara), Nacionalni centri za informacije o okolišu – NCEI</w:t>
        </w:r>
      </w:hyperlink>
      <w:r>
        <w:t>.</w:t>
      </w:r>
    </w:p>
  </w:footnote>
  <w:footnote w:id="4">
    <w:p w14:paraId="64D407E0" w14:textId="77777777" w:rsidR="00D27A92" w:rsidRPr="005F3782" w:rsidRDefault="00D27A92" w:rsidP="00EF3B48">
      <w:pPr>
        <w:pStyle w:val="FootnoteText"/>
        <w:rPr>
          <w:sz w:val="18"/>
          <w:szCs w:val="18"/>
        </w:rPr>
      </w:pPr>
      <w:r>
        <w:rPr>
          <w:rStyle w:val="FootnoteReference"/>
          <w:szCs w:val="24"/>
        </w:rPr>
        <w:footnoteRef/>
      </w:r>
      <w:r>
        <w:rPr>
          <w:sz w:val="18"/>
        </w:rPr>
        <w:tab/>
      </w:r>
      <w:hyperlink r:id="rId6" w:history="1">
        <w:r>
          <w:rPr>
            <w:rStyle w:val="Hyperlink"/>
            <w:i/>
          </w:rPr>
          <w:t>Climate Change 2022: Mitigation of Climate Change</w:t>
        </w:r>
        <w:r>
          <w:rPr>
            <w:rStyle w:val="Hyperlink"/>
          </w:rPr>
          <w:t xml:space="preserve"> (Klimatske promjene 2022.: ublažavanje klimatskih promjena), IPCC</w:t>
        </w:r>
      </w:hyperlink>
      <w:r>
        <w:t>.</w:t>
      </w:r>
    </w:p>
  </w:footnote>
  <w:footnote w:id="5">
    <w:p w14:paraId="353EF6E4" w14:textId="77777777" w:rsidR="00EA2B05" w:rsidRPr="0039570B" w:rsidRDefault="00EA2B05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Rezolucija EGSO-a </w:t>
      </w:r>
      <w:hyperlink r:id="rId7" w:history="1">
        <w:r>
          <w:rPr>
            <w:rStyle w:val="Hyperlink"/>
          </w:rPr>
          <w:t>„Rat u Ukrajini i njegove gospodarske, socijalne i okolišne posljedice”</w:t>
        </w:r>
      </w:hyperlink>
      <w:r>
        <w:t>.</w:t>
      </w:r>
    </w:p>
  </w:footnote>
  <w:footnote w:id="6">
    <w:p w14:paraId="4B924C7D" w14:textId="77777777" w:rsidR="00CB14BC" w:rsidRPr="005F3782" w:rsidRDefault="00CB14BC" w:rsidP="00EF3B48">
      <w:pPr>
        <w:pStyle w:val="FootnoteText"/>
        <w:tabs>
          <w:tab w:val="left" w:pos="567"/>
        </w:tabs>
        <w:ind w:left="0" w:firstLine="0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8" w:history="1">
        <w:r>
          <w:rPr>
            <w:rStyle w:val="Hyperlink"/>
          </w:rPr>
          <w:t>Klimatske promjene: Parlament traži brže djelovanje i energetsku neovisnost EU-a</w:t>
        </w:r>
      </w:hyperlink>
      <w:r>
        <w:t>.</w:t>
      </w:r>
    </w:p>
  </w:footnote>
  <w:footnote w:id="7">
    <w:p w14:paraId="468D3213" w14:textId="3B58A425" w:rsidR="00CB14BC" w:rsidRPr="005F3782" w:rsidRDefault="00CB14BC" w:rsidP="00EF3B48">
      <w:pPr>
        <w:pStyle w:val="FootnoteText"/>
        <w:tabs>
          <w:tab w:val="left" w:pos="567"/>
        </w:tabs>
        <w:ind w:left="708" w:hanging="708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9" w:history="1">
        <w:r>
          <w:rPr>
            <w:rStyle w:val="Hyperlink"/>
          </w:rPr>
          <w:t>Paket mjera „Spremni za 55 %”: Parlamen</w:t>
        </w:r>
        <w:r>
          <w:rPr>
            <w:rStyle w:val="Hyperlink"/>
          </w:rPr>
          <w:t>t se slaže s povećanjem ambicija u pogledu ponora ugljika do 2030</w:t>
        </w:r>
      </w:hyperlink>
      <w:r>
        <w:t>.</w:t>
      </w:r>
    </w:p>
  </w:footnote>
  <w:footnote w:id="8">
    <w:p w14:paraId="31C6D480" w14:textId="77777777" w:rsidR="00D27A92" w:rsidRPr="0039570B" w:rsidRDefault="00D27A92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„Održivo gospodarstvo kakvo trebamo”, </w:t>
      </w:r>
      <w:hyperlink r:id="rId10" w:anchor=":~:text=The%20EESC%20highlights%20that%20building%20the%20wellbeing%20economy%20must%20start%20by%20adopting%20a%20precautionary%20approach%20in%20which%20macroeconomic%20stability%20does%20not%20depend%20on%20GDP%20growth.%20It%20proposes%20the%20development%20of%20new%20indicators%20of%20economic%20performance%20and%20social%20progress%20beyond%20GDP." w:history="1">
        <w:r>
          <w:rPr>
            <w:rStyle w:val="Hyperlink"/>
          </w:rPr>
          <w:t>SL C 106, 31</w:t>
        </w:r>
        <w:r>
          <w:rPr>
            <w:rStyle w:val="Hyperlink"/>
          </w:rPr>
          <w:t>.3.2020., str. 1.</w:t>
        </w:r>
      </w:hyperlink>
      <w:r>
        <w:t>.</w:t>
      </w:r>
    </w:p>
  </w:footnote>
  <w:footnote w:id="9">
    <w:p w14:paraId="33D304EC" w14:textId="77777777" w:rsidR="00F426F7" w:rsidRPr="005F3782" w:rsidRDefault="00F426F7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11" w:history="1">
        <w:r>
          <w:rPr>
            <w:rStyle w:val="Hyperlink"/>
          </w:rPr>
          <w:t>SL C 275, 18.7.2022., str. 101.</w:t>
        </w:r>
      </w:hyperlink>
    </w:p>
  </w:footnote>
  <w:footnote w:id="10">
    <w:p w14:paraId="4170A415" w14:textId="77777777" w:rsidR="00CA61D4" w:rsidRPr="0052304F" w:rsidRDefault="00CA61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Mišljenje EGSO-a </w:t>
      </w:r>
      <w:hyperlink r:id="rId12" w:history="1">
        <w:r>
          <w:rPr>
            <w:rStyle w:val="Hyperlink"/>
          </w:rPr>
          <w:t>„Socijalni dijalog u kontekstu zelene tranzicije”</w:t>
        </w:r>
      </w:hyperlink>
      <w:r>
        <w:t xml:space="preserve"> </w:t>
      </w:r>
      <w:r>
        <w:rPr>
          <w:i/>
        </w:rPr>
        <w:t>(još nije objavljeno u Službenom listu)</w:t>
      </w:r>
      <w:r>
        <w:t>.</w:t>
      </w:r>
    </w:p>
  </w:footnote>
  <w:footnote w:id="11">
    <w:p w14:paraId="19538502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13" w:history="1">
        <w:r>
          <w:rPr>
            <w:rStyle w:val="Hyperlink"/>
          </w:rPr>
          <w:t>SL C 275, 18.7.2022., str. 101</w:t>
        </w:r>
      </w:hyperlink>
      <w:hyperlink r:id="rId14" w:history="1">
        <w:r>
          <w:t>.</w:t>
        </w:r>
      </w:hyperlink>
    </w:p>
  </w:footnote>
  <w:footnote w:id="12">
    <w:p w14:paraId="34226D3A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15" w:history="1">
        <w:r>
          <w:rPr>
            <w:rStyle w:val="Hyperlink"/>
          </w:rPr>
          <w:t>SL C 275, 18.7.2022., str. 101</w:t>
        </w:r>
      </w:hyperlink>
      <w:hyperlink r:id="rId16" w:history="1">
        <w:r>
          <w:t>.</w:t>
        </w:r>
      </w:hyperlink>
    </w:p>
  </w:footnote>
  <w:footnote w:id="13">
    <w:p w14:paraId="27C51932" w14:textId="77777777" w:rsidR="00492189" w:rsidRPr="005F3782" w:rsidRDefault="0049218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7" w:history="1">
        <w:r>
          <w:rPr>
            <w:rStyle w:val="Hyperlink"/>
          </w:rPr>
          <w:t>Konferencija o budućnosti Europe – preporuke koje je usvojio europski panel građana i građanki</w:t>
        </w:r>
      </w:hyperlink>
      <w:r>
        <w:t>.</w:t>
      </w:r>
    </w:p>
  </w:footnote>
  <w:footnote w:id="14">
    <w:p w14:paraId="4F6465CF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8" w:history="1">
        <w:r>
          <w:rPr>
            <w:rStyle w:val="Hyperlink"/>
          </w:rPr>
          <w:t>Izvješće o održivom razvoju Europe 2021., SDSN Europa</w:t>
        </w:r>
      </w:hyperlink>
      <w:r>
        <w:t>.</w:t>
      </w:r>
    </w:p>
  </w:footnote>
  <w:footnote w:id="15">
    <w:p w14:paraId="59A29D73" w14:textId="34137290" w:rsidR="007E0872" w:rsidRPr="00E567D2" w:rsidRDefault="007E0872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Mišljenje EGSO-a u pripremi (NAT/841) </w:t>
      </w:r>
      <w:hyperlink r:id="rId19" w:history="1">
        <w:r>
          <w:rPr>
            <w:rStyle w:val="Hyperlink"/>
          </w:rPr>
          <w:t>„Ciljevi EU-a za obnovu prirode u okviru Strategije EU-a za bioraznolikost”</w:t>
        </w:r>
      </w:hyperlink>
      <w:r>
        <w:t>.</w:t>
      </w:r>
    </w:p>
  </w:footnote>
  <w:footnote w:id="16">
    <w:p w14:paraId="4E7F2A28" w14:textId="1415784F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„Stvaranje Europe otporne na klimatske promjene – nova strategija EU-a za prilagodbu klimatskim promjenama”, </w:t>
      </w:r>
      <w:hyperlink r:id="rId20" w:history="1">
        <w:r>
          <w:rPr>
            <w:rStyle w:val="Hyperlink"/>
          </w:rPr>
          <w:t>SL C 374, 16.9.2021., str. 84</w:t>
        </w:r>
      </w:hyperlink>
      <w:r>
        <w:t>.</w:t>
      </w:r>
    </w:p>
  </w:footnote>
  <w:footnote w:id="17">
    <w:p w14:paraId="7F811127" w14:textId="77777777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1" w:history="1">
        <w:r>
          <w:rPr>
            <w:rStyle w:val="Hyperlink"/>
          </w:rPr>
          <w:t>António Guterres: 50 % svih financijskih sredstava za klimu potrebno je za prilagodbu</w:t>
        </w:r>
      </w:hyperlink>
      <w:r>
        <w:t>.</w:t>
      </w:r>
    </w:p>
  </w:footnote>
  <w:footnote w:id="18">
    <w:p w14:paraId="157BF018" w14:textId="5A4A6A04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„Stvaranje sinergija među različitim planovima za kružno gospodarstvo”, </w:t>
      </w:r>
      <w:hyperlink r:id="rId22" w:history="1">
        <w:r>
          <w:rPr>
            <w:rStyle w:val="Hyperlink"/>
          </w:rPr>
          <w:t>SL C 14, 15.1.2020., str. 29.</w:t>
        </w:r>
      </w:hyperlink>
    </w:p>
  </w:footnote>
  <w:footnote w:id="19">
    <w:p w14:paraId="4EB683FD" w14:textId="77777777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r>
        <w:rPr>
          <w:i/>
        </w:rPr>
        <w:t>Circularity Gap Report 2021</w:t>
      </w:r>
      <w:r>
        <w:t xml:space="preserve"> </w:t>
      </w:r>
      <w:hyperlink r:id="rId23" w:history="1">
        <w:r>
          <w:rPr>
            <w:rStyle w:val="Hyperlink"/>
            <w:i/>
          </w:rPr>
          <w:t>Climate Change Mitigation through the Circular Economy</w:t>
        </w:r>
        <w:r>
          <w:rPr>
            <w:rStyle w:val="Hyperlink"/>
          </w:rPr>
          <w:t xml:space="preserve"> (Izvješće o stanju kružnosti za 2021.: Ublažavanje klimatskih promjena uz pomoć kružnog gospodarstva)</w:t>
        </w:r>
      </w:hyperlink>
      <w:r>
        <w:t>.</w:t>
      </w:r>
    </w:p>
  </w:footnote>
  <w:footnote w:id="20">
    <w:p w14:paraId="4AF24E63" w14:textId="541143E4" w:rsidR="00707DFC" w:rsidRPr="00BE77CC" w:rsidRDefault="00707DFC" w:rsidP="00EF3B48">
      <w:pPr>
        <w:pStyle w:val="FootnoteText"/>
        <w:tabs>
          <w:tab w:val="left" w:pos="567"/>
        </w:tabs>
        <w:jc w:val="left"/>
      </w:pPr>
      <w:r>
        <w:rPr>
          <w:rStyle w:val="FootnoteReference"/>
          <w:szCs w:val="24"/>
        </w:rPr>
        <w:footnoteRef/>
      </w:r>
      <w:r>
        <w:tab/>
        <w:t xml:space="preserve">Mišljenje EGSO-a „Stvaranje Europe otporne na klimatske promjene – nova strategija EU-a za prilagodbu klimatskim promjenama”, </w:t>
      </w:r>
      <w:hyperlink r:id="rId24" w:history="1">
        <w:r>
          <w:rPr>
            <w:rStyle w:val="Hyperlink"/>
          </w:rPr>
          <w:t xml:space="preserve">SL C 374, 16.9.2021., </w:t>
        </w:r>
        <w:r>
          <w:rPr>
            <w:rStyle w:val="Hyperlink"/>
          </w:rPr>
          <w:t>s</w:t>
        </w:r>
        <w:r>
          <w:rPr>
            <w:rStyle w:val="Hyperlink"/>
          </w:rPr>
          <w:t>tr. 84</w:t>
        </w:r>
      </w:hyperlink>
      <w:r>
        <w:t>.</w:t>
      </w:r>
    </w:p>
  </w:footnote>
  <w:footnote w:id="21">
    <w:p w14:paraId="4CB5FEC3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5" w:history="1">
        <w:r>
          <w:rPr>
            <w:rStyle w:val="Hyperlink"/>
            <w:i/>
          </w:rPr>
          <w:t>Enhancing NDCs For Food Systems - recommendations for decision-makers | NDC Action Project</w:t>
        </w:r>
      </w:hyperlink>
      <w:r>
        <w:t xml:space="preserve"> (Jačanje nacionalno utvrđenih doprinosa u području prehrambenih sustava – preporuke za donositelje odluka, Projekt za mjere za nacionalno utvrđene doprinose).</w:t>
      </w:r>
    </w:p>
  </w:footnote>
  <w:footnote w:id="22">
    <w:p w14:paraId="7CFB4DA9" w14:textId="6B08839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„Sigurnost opskrbe hranom i održivi prehrambeni sustavi”, </w:t>
      </w:r>
      <w:hyperlink r:id="rId26" w:history="1">
        <w:r>
          <w:rPr>
            <w:rStyle w:val="Hyperlink"/>
          </w:rPr>
          <w:t>SL C 194,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12.5.2022., str. 72.</w:t>
        </w:r>
      </w:hyperlink>
    </w:p>
  </w:footnote>
  <w:footnote w:id="23">
    <w:p w14:paraId="4FDF4FE5" w14:textId="3EBAB95C" w:rsidR="00444B59" w:rsidRPr="009B16C4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„Od polja do stola: strategija održive prehrane”, </w:t>
      </w:r>
      <w:hyperlink r:id="rId27" w:history="1">
        <w:r>
          <w:rPr>
            <w:rStyle w:val="Hyperlink"/>
          </w:rPr>
          <w:t>SL C 429, 11.</w:t>
        </w:r>
        <w:r>
          <w:rPr>
            <w:rStyle w:val="Hyperlink"/>
          </w:rPr>
          <w:t>1</w:t>
        </w:r>
        <w:r>
          <w:rPr>
            <w:rStyle w:val="Hyperlink"/>
          </w:rPr>
          <w:t>2.2020., str. 268.</w:t>
        </w:r>
      </w:hyperlink>
    </w:p>
  </w:footnote>
  <w:footnote w:id="24">
    <w:p w14:paraId="4508D5A3" w14:textId="30ECE906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Mišljenja EGSO-a „Klimatska pravda” </w:t>
      </w:r>
      <w:hyperlink r:id="rId28" w:history="1">
        <w:r>
          <w:rPr>
            <w:rStyle w:val="Hyperlink"/>
          </w:rPr>
          <w:t>SL C 81, 2.3.2018., str. 22.</w:t>
        </w:r>
      </w:hyperlink>
      <w:r>
        <w:t xml:space="preserve"> i „Stvaranje Europe otporne na klimatske promjene – nova strategija EU-a za prilagodbu klimatskim promjenama”, </w:t>
      </w:r>
      <w:hyperlink r:id="rId29" w:history="1">
        <w:r>
          <w:rPr>
            <w:rStyle w:val="Hyperlink"/>
          </w:rPr>
          <w:t>SL C 374, 16.9.2021., str. 84</w:t>
        </w:r>
      </w:hyperlink>
      <w:r>
        <w:t>.</w:t>
      </w:r>
    </w:p>
  </w:footnote>
  <w:footnote w:id="25">
    <w:p w14:paraId="7EF8B90F" w14:textId="77777777" w:rsidR="00EB27C9" w:rsidRPr="00E567D2" w:rsidRDefault="00EB27C9" w:rsidP="00EF3B48">
      <w:pPr>
        <w:pStyle w:val="FootnoteText"/>
      </w:pPr>
      <w:r>
        <w:rPr>
          <w:rStyle w:val="FootnoteReference"/>
        </w:rPr>
        <w:footnoteRef/>
      </w:r>
      <w:r>
        <w:tab/>
        <w:t>Mišljenje EGSO-a „REPowerEU: zajedničko europsko djelovanje za povoljniju, sigurniju i održiviju energiju”</w:t>
      </w:r>
      <w:r>
        <w:rPr>
          <w:rStyle w:val="Hyperlink"/>
          <w:color w:val="auto"/>
          <w:u w:val="none"/>
        </w:rPr>
        <w:t xml:space="preserve">, </w:t>
      </w:r>
      <w:hyperlink r:id="rId30" w:history="1">
        <w:r>
          <w:rPr>
            <w:rStyle w:val="Hyperlink"/>
          </w:rPr>
          <w:t>SL C 323, 26.8.2022., str. 123.</w:t>
        </w:r>
      </w:hyperlink>
      <w:r>
        <w:t>.</w:t>
      </w:r>
    </w:p>
  </w:footnote>
  <w:footnote w:id="26">
    <w:p w14:paraId="26E07567" w14:textId="77777777" w:rsidR="00444B59" w:rsidRPr="005F3782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31" w:history="1">
        <w:r>
          <w:rPr>
            <w:rStyle w:val="Hyperlink"/>
          </w:rPr>
          <w:t>SL C 275, 18.7.2022., str. 101</w:t>
        </w:r>
      </w:hyperlink>
      <w:r>
        <w:t>.</w:t>
      </w:r>
    </w:p>
  </w:footnote>
  <w:footnote w:id="27">
    <w:p w14:paraId="0C04BB20" w14:textId="77777777" w:rsidR="00F81237" w:rsidRPr="00E567D2" w:rsidRDefault="00F81237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Mišljenje EGSO-a „Digitalizacija i održivost – trenutačno stanje i potreba za djelovanjem iz perspektive civilnog društva”, </w:t>
      </w:r>
      <w:hyperlink r:id="rId32" w:history="1">
        <w:r>
          <w:rPr>
            <w:rStyle w:val="Hyperlink"/>
          </w:rPr>
          <w:t>SL C 429, 11.12.2020., str. 187.</w:t>
        </w:r>
      </w:hyperlink>
    </w:p>
  </w:footnote>
  <w:footnote w:id="28">
    <w:p w14:paraId="2C8B71C6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33" w:history="1">
        <w:r>
          <w:rPr>
            <w:rStyle w:val="Hyperlink"/>
          </w:rPr>
          <w:t>SL C 275, 18.7.2022., str. 101.</w:t>
        </w:r>
      </w:hyperlink>
    </w:p>
  </w:footnote>
  <w:footnote w:id="29">
    <w:p w14:paraId="7C9886C7" w14:textId="77777777" w:rsidR="003567A8" w:rsidRPr="005F3782" w:rsidRDefault="003567A8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Mišljenje EGSO-a „Spremni za 55 %: ostvarivanje klimatskog cilja EU-a za 2030. na putu ka klimatskoj neutralnosti”, </w:t>
      </w:r>
      <w:hyperlink r:id="rId34" w:history="1">
        <w:r>
          <w:rPr>
            <w:rStyle w:val="Hyperlink"/>
          </w:rPr>
          <w:t>SL C 275, 18.7.2022., str. 101.</w:t>
        </w:r>
      </w:hyperlink>
    </w:p>
  </w:footnote>
  <w:footnote w:id="30">
    <w:p w14:paraId="027775EF" w14:textId="77777777" w:rsidR="00EE319C" w:rsidRPr="005F3782" w:rsidRDefault="00EE319C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5" w:history="1">
        <w:r>
          <w:rPr>
            <w:rStyle w:val="Hyperlink"/>
            <w:i/>
          </w:rPr>
          <w:t>2020 Pocket Guide to Gender Equality under the UNFCCC</w:t>
        </w:r>
      </w:hyperlink>
      <w:r>
        <w:t xml:space="preserve"> (Kratki vodič o pitanju rodne ravnopravnosti u okviru UNFCCC-a za 2020.), organizacija WEDO.</w:t>
      </w:r>
    </w:p>
  </w:footnote>
  <w:footnote w:id="31">
    <w:p w14:paraId="3BF40C32" w14:textId="77777777" w:rsidR="009F475F" w:rsidRPr="005F3782" w:rsidRDefault="009F475F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Mišljenje EGSO-a u pripremi (NAT/788) </w:t>
      </w:r>
      <w:hyperlink r:id="rId36" w:history="1">
        <w:r>
          <w:rPr>
            <w:rStyle w:val="Hyperlink"/>
          </w:rPr>
          <w:t>„Ususret strukturiranom angažmanu mladih u području klime i održivosti u postupku donošenja odluka EU-a”</w:t>
        </w:r>
      </w:hyperlink>
      <w:r>
        <w:t>.</w:t>
      </w:r>
    </w:p>
  </w:footnote>
  <w:footnote w:id="32">
    <w:p w14:paraId="1C84A0C0" w14:textId="77777777" w:rsidR="00B27016" w:rsidRPr="005F3782" w:rsidRDefault="00B27016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7" w:history="1">
        <w:r>
          <w:rPr>
            <w:rStyle w:val="Hyperlink"/>
            <w:i/>
          </w:rPr>
          <w:t>Indigenous peoples defend Earth’s biodiversity but they’re in dange</w:t>
        </w:r>
        <w:r>
          <w:rPr>
            <w:rStyle w:val="Hyperlink"/>
          </w:rPr>
          <w:t>r</w:t>
        </w:r>
      </w:hyperlink>
      <w:r>
        <w:t xml:space="preserve"> (Autohtoni narodi brane biološku raznolikost planeta Zemlje, ali su i sami ugroženi).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A775" w14:textId="77777777" w:rsidR="00180C9D" w:rsidRDefault="00A02E28">
    <w:pPr>
      <w:pStyle w:val="Header"/>
    </w:pPr>
    <w:r>
      <w:pict w14:anchorId="78BB1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16391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030" w14:textId="77777777" w:rsidR="006644A2" w:rsidRDefault="006644A2" w:rsidP="006644A2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E638CF6" wp14:editId="2C23B048">
          <wp:simplePos x="0" y="0"/>
          <wp:positionH relativeFrom="margin">
            <wp:posOffset>-584338</wp:posOffset>
          </wp:positionH>
          <wp:positionV relativeFrom="page">
            <wp:posOffset>135172</wp:posOffset>
          </wp:positionV>
          <wp:extent cx="6944398" cy="3344275"/>
          <wp:effectExtent l="0" t="0" r="0" b="8890"/>
          <wp:wrapNone/>
          <wp:docPr id="1" name="Picture 1" title="EESCLogo2021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39EF9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16395" type="#_x0000_t75" style="position:absolute;left:0;text-align:left;margin-left:0;margin-top:0;width:598.15pt;height:843.9pt;z-index:-251653120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14:paraId="0A46EFA0" w14:textId="77777777" w:rsidR="006644A2" w:rsidRPr="00283B67" w:rsidRDefault="006644A2" w:rsidP="006644A2">
    <w:pPr>
      <w:pStyle w:val="Header"/>
    </w:pPr>
  </w:p>
  <w:p w14:paraId="6D68F196" w14:textId="2BD7B6EA" w:rsidR="00180C9D" w:rsidRPr="006644A2" w:rsidRDefault="00180C9D" w:rsidP="00664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9D8E" w14:textId="77777777" w:rsidR="00180C9D" w:rsidRDefault="00A02E28">
    <w:pPr>
      <w:pStyle w:val="Header"/>
    </w:pPr>
    <w:r>
      <w:pict w14:anchorId="2FBC3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16390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FDF5" w14:textId="77777777" w:rsidR="00180C9D" w:rsidRDefault="00A02E28">
    <w:pPr>
      <w:pStyle w:val="Header"/>
    </w:pPr>
    <w:r>
      <w:pict w14:anchorId="63D29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16394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4554" w14:textId="77777777" w:rsidR="00180C9D" w:rsidRDefault="00180C9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0375F" wp14:editId="74C8FF71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CF5" w14:textId="77777777" w:rsidR="00180C9D" w:rsidRDefault="00A02E28">
    <w:pPr>
      <w:pStyle w:val="Header"/>
    </w:pPr>
    <w:r>
      <w:pict w14:anchorId="5DFC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16393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FF48" w14:textId="77777777" w:rsidR="00526B40" w:rsidRPr="00526B40" w:rsidRDefault="00526B40" w:rsidP="00526B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A23" w14:textId="77777777" w:rsidR="00526B40" w:rsidRPr="002E7EE1" w:rsidRDefault="00526B40" w:rsidP="002E7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FFF" w14:textId="77777777" w:rsidR="00526B40" w:rsidRPr="00526B40" w:rsidRDefault="00526B40" w:rsidP="0052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0A0DA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337C2"/>
    <w:multiLevelType w:val="hybridMultilevel"/>
    <w:tmpl w:val="560A56B6"/>
    <w:lvl w:ilvl="0" w:tplc="130ADC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414"/>
    <w:multiLevelType w:val="hybridMultilevel"/>
    <w:tmpl w:val="B4BA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C9"/>
    <w:multiLevelType w:val="hybridMultilevel"/>
    <w:tmpl w:val="86222EB0"/>
    <w:lvl w:ilvl="0" w:tplc="9174A72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B1F21"/>
    <w:multiLevelType w:val="hybridMultilevel"/>
    <w:tmpl w:val="FD7661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77FC2"/>
    <w:multiLevelType w:val="hybridMultilevel"/>
    <w:tmpl w:val="29B0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200"/>
    <w:multiLevelType w:val="hybridMultilevel"/>
    <w:tmpl w:val="C99C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B5C"/>
    <w:multiLevelType w:val="hybridMultilevel"/>
    <w:tmpl w:val="9284693E"/>
    <w:lvl w:ilvl="0" w:tplc="6396C9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336"/>
    <w:multiLevelType w:val="hybridMultilevel"/>
    <w:tmpl w:val="AFEC9D88"/>
    <w:lvl w:ilvl="0" w:tplc="1196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D1D40"/>
    <w:multiLevelType w:val="hybridMultilevel"/>
    <w:tmpl w:val="572A7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AD4"/>
    <w:multiLevelType w:val="hybridMultilevel"/>
    <w:tmpl w:val="156AF25E"/>
    <w:lvl w:ilvl="0" w:tplc="4C8629A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7E514B"/>
    <w:multiLevelType w:val="hybridMultilevel"/>
    <w:tmpl w:val="C82A87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96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01"/>
    <w:rsid w:val="00007773"/>
    <w:rsid w:val="000079E5"/>
    <w:rsid w:val="00010FC6"/>
    <w:rsid w:val="000120CD"/>
    <w:rsid w:val="00013255"/>
    <w:rsid w:val="00020F19"/>
    <w:rsid w:val="00030E21"/>
    <w:rsid w:val="00032E37"/>
    <w:rsid w:val="0003449F"/>
    <w:rsid w:val="000358F0"/>
    <w:rsid w:val="00047980"/>
    <w:rsid w:val="00047D68"/>
    <w:rsid w:val="00050B81"/>
    <w:rsid w:val="00053594"/>
    <w:rsid w:val="00053B1C"/>
    <w:rsid w:val="00054D9D"/>
    <w:rsid w:val="000574BC"/>
    <w:rsid w:val="00062D0C"/>
    <w:rsid w:val="000710D8"/>
    <w:rsid w:val="00081EAE"/>
    <w:rsid w:val="0008251E"/>
    <w:rsid w:val="00082AB6"/>
    <w:rsid w:val="00083FD7"/>
    <w:rsid w:val="00091780"/>
    <w:rsid w:val="00094578"/>
    <w:rsid w:val="000A0FF9"/>
    <w:rsid w:val="000A58FB"/>
    <w:rsid w:val="000C30B4"/>
    <w:rsid w:val="000D1E9E"/>
    <w:rsid w:val="000F22F9"/>
    <w:rsid w:val="000F26D3"/>
    <w:rsid w:val="000F3131"/>
    <w:rsid w:val="000F577D"/>
    <w:rsid w:val="001024F7"/>
    <w:rsid w:val="0010269A"/>
    <w:rsid w:val="001063B3"/>
    <w:rsid w:val="00107725"/>
    <w:rsid w:val="00110795"/>
    <w:rsid w:val="00112C96"/>
    <w:rsid w:val="0011335A"/>
    <w:rsid w:val="001210DE"/>
    <w:rsid w:val="00122408"/>
    <w:rsid w:val="00127863"/>
    <w:rsid w:val="0014073F"/>
    <w:rsid w:val="001420B1"/>
    <w:rsid w:val="0014388E"/>
    <w:rsid w:val="001522F6"/>
    <w:rsid w:val="001528E9"/>
    <w:rsid w:val="00160934"/>
    <w:rsid w:val="00164C3A"/>
    <w:rsid w:val="00172E65"/>
    <w:rsid w:val="00180C9D"/>
    <w:rsid w:val="0018583B"/>
    <w:rsid w:val="001A1A3D"/>
    <w:rsid w:val="001A4755"/>
    <w:rsid w:val="001B07D7"/>
    <w:rsid w:val="001B74DB"/>
    <w:rsid w:val="001C13D6"/>
    <w:rsid w:val="001C5AD1"/>
    <w:rsid w:val="001C5CC5"/>
    <w:rsid w:val="001C6918"/>
    <w:rsid w:val="001D0A3D"/>
    <w:rsid w:val="001D3DDD"/>
    <w:rsid w:val="001D3EF3"/>
    <w:rsid w:val="001E56F8"/>
    <w:rsid w:val="001E70B5"/>
    <w:rsid w:val="001F2404"/>
    <w:rsid w:val="002025CA"/>
    <w:rsid w:val="00210AC4"/>
    <w:rsid w:val="00213319"/>
    <w:rsid w:val="00216D49"/>
    <w:rsid w:val="002200A3"/>
    <w:rsid w:val="00220171"/>
    <w:rsid w:val="0022449B"/>
    <w:rsid w:val="00224B58"/>
    <w:rsid w:val="002319CC"/>
    <w:rsid w:val="00245087"/>
    <w:rsid w:val="00246C92"/>
    <w:rsid w:val="00250853"/>
    <w:rsid w:val="00251F8E"/>
    <w:rsid w:val="0025667C"/>
    <w:rsid w:val="0027499D"/>
    <w:rsid w:val="00276FB4"/>
    <w:rsid w:val="00277BBA"/>
    <w:rsid w:val="0028320C"/>
    <w:rsid w:val="002911C6"/>
    <w:rsid w:val="0029184B"/>
    <w:rsid w:val="00293BF8"/>
    <w:rsid w:val="002A1DD3"/>
    <w:rsid w:val="002A4183"/>
    <w:rsid w:val="002B0474"/>
    <w:rsid w:val="002B24A9"/>
    <w:rsid w:val="002C2B01"/>
    <w:rsid w:val="002C3963"/>
    <w:rsid w:val="002C59E9"/>
    <w:rsid w:val="002D1697"/>
    <w:rsid w:val="002E4FAE"/>
    <w:rsid w:val="002E7EE1"/>
    <w:rsid w:val="002F108E"/>
    <w:rsid w:val="002F2E5C"/>
    <w:rsid w:val="00310649"/>
    <w:rsid w:val="0031122E"/>
    <w:rsid w:val="00312E1F"/>
    <w:rsid w:val="00317B29"/>
    <w:rsid w:val="0032590D"/>
    <w:rsid w:val="00325B6D"/>
    <w:rsid w:val="00327938"/>
    <w:rsid w:val="00333ED2"/>
    <w:rsid w:val="003416E5"/>
    <w:rsid w:val="00353B1A"/>
    <w:rsid w:val="003567A8"/>
    <w:rsid w:val="00361AAA"/>
    <w:rsid w:val="0039570B"/>
    <w:rsid w:val="003A552C"/>
    <w:rsid w:val="003A5BD7"/>
    <w:rsid w:val="003C2548"/>
    <w:rsid w:val="003C63C8"/>
    <w:rsid w:val="003D02F9"/>
    <w:rsid w:val="003D0D15"/>
    <w:rsid w:val="003D0E4A"/>
    <w:rsid w:val="003D17B9"/>
    <w:rsid w:val="003E12B0"/>
    <w:rsid w:val="003E6F23"/>
    <w:rsid w:val="003F1226"/>
    <w:rsid w:val="003F3573"/>
    <w:rsid w:val="003F40D4"/>
    <w:rsid w:val="00400D58"/>
    <w:rsid w:val="0040134E"/>
    <w:rsid w:val="00411708"/>
    <w:rsid w:val="0041312C"/>
    <w:rsid w:val="00414F13"/>
    <w:rsid w:val="00424F46"/>
    <w:rsid w:val="0042531D"/>
    <w:rsid w:val="004254CB"/>
    <w:rsid w:val="00426786"/>
    <w:rsid w:val="00440187"/>
    <w:rsid w:val="00444B59"/>
    <w:rsid w:val="0044565F"/>
    <w:rsid w:val="004576EE"/>
    <w:rsid w:val="0046063B"/>
    <w:rsid w:val="00475FDE"/>
    <w:rsid w:val="00481CE2"/>
    <w:rsid w:val="004825B2"/>
    <w:rsid w:val="00492189"/>
    <w:rsid w:val="00497488"/>
    <w:rsid w:val="004A2A58"/>
    <w:rsid w:val="004A3037"/>
    <w:rsid w:val="004A39C9"/>
    <w:rsid w:val="004A49B9"/>
    <w:rsid w:val="004C238F"/>
    <w:rsid w:val="004E503C"/>
    <w:rsid w:val="004E5901"/>
    <w:rsid w:val="004F04C7"/>
    <w:rsid w:val="004F2471"/>
    <w:rsid w:val="004F2AA6"/>
    <w:rsid w:val="00506F07"/>
    <w:rsid w:val="00516A37"/>
    <w:rsid w:val="00516EDB"/>
    <w:rsid w:val="00520445"/>
    <w:rsid w:val="00522909"/>
    <w:rsid w:val="0052304F"/>
    <w:rsid w:val="005240E4"/>
    <w:rsid w:val="00524D70"/>
    <w:rsid w:val="005252C5"/>
    <w:rsid w:val="00526B40"/>
    <w:rsid w:val="00533DDC"/>
    <w:rsid w:val="005350BD"/>
    <w:rsid w:val="005366DB"/>
    <w:rsid w:val="00540820"/>
    <w:rsid w:val="00543898"/>
    <w:rsid w:val="00545A8D"/>
    <w:rsid w:val="0055343D"/>
    <w:rsid w:val="00553760"/>
    <w:rsid w:val="00554DBC"/>
    <w:rsid w:val="00560833"/>
    <w:rsid w:val="00565A46"/>
    <w:rsid w:val="00567475"/>
    <w:rsid w:val="00570EB2"/>
    <w:rsid w:val="00570F8A"/>
    <w:rsid w:val="00577E20"/>
    <w:rsid w:val="00581CB9"/>
    <w:rsid w:val="00582ABD"/>
    <w:rsid w:val="00586755"/>
    <w:rsid w:val="005933EE"/>
    <w:rsid w:val="005942E9"/>
    <w:rsid w:val="00597A7F"/>
    <w:rsid w:val="005A1F93"/>
    <w:rsid w:val="005A2860"/>
    <w:rsid w:val="005A6199"/>
    <w:rsid w:val="005B331C"/>
    <w:rsid w:val="005C5960"/>
    <w:rsid w:val="005C6F37"/>
    <w:rsid w:val="005D233A"/>
    <w:rsid w:val="005D5E98"/>
    <w:rsid w:val="005D6C1C"/>
    <w:rsid w:val="005E2540"/>
    <w:rsid w:val="005E5612"/>
    <w:rsid w:val="005F3782"/>
    <w:rsid w:val="005F44F7"/>
    <w:rsid w:val="005F5E01"/>
    <w:rsid w:val="0060072A"/>
    <w:rsid w:val="00603282"/>
    <w:rsid w:val="00603397"/>
    <w:rsid w:val="006169F0"/>
    <w:rsid w:val="00617ABC"/>
    <w:rsid w:val="00617B1E"/>
    <w:rsid w:val="0062301F"/>
    <w:rsid w:val="00626EA5"/>
    <w:rsid w:val="00630EFA"/>
    <w:rsid w:val="006377AD"/>
    <w:rsid w:val="0065059A"/>
    <w:rsid w:val="0065271C"/>
    <w:rsid w:val="00661468"/>
    <w:rsid w:val="006644A2"/>
    <w:rsid w:val="006671F8"/>
    <w:rsid w:val="00670077"/>
    <w:rsid w:val="00670217"/>
    <w:rsid w:val="00692681"/>
    <w:rsid w:val="006A01E6"/>
    <w:rsid w:val="006A36E1"/>
    <w:rsid w:val="006B78AF"/>
    <w:rsid w:val="006C0250"/>
    <w:rsid w:val="006C5D3F"/>
    <w:rsid w:val="006D019C"/>
    <w:rsid w:val="006D2F1C"/>
    <w:rsid w:val="006E093F"/>
    <w:rsid w:val="006E3BC9"/>
    <w:rsid w:val="006F5D08"/>
    <w:rsid w:val="00700B2B"/>
    <w:rsid w:val="00701C21"/>
    <w:rsid w:val="00705092"/>
    <w:rsid w:val="00707DFC"/>
    <w:rsid w:val="00710362"/>
    <w:rsid w:val="00710624"/>
    <w:rsid w:val="0071287F"/>
    <w:rsid w:val="00721976"/>
    <w:rsid w:val="007223E8"/>
    <w:rsid w:val="007224D6"/>
    <w:rsid w:val="00731E22"/>
    <w:rsid w:val="007322BD"/>
    <w:rsid w:val="00737DEA"/>
    <w:rsid w:val="00743DFE"/>
    <w:rsid w:val="00743E25"/>
    <w:rsid w:val="00745B9A"/>
    <w:rsid w:val="00746FB1"/>
    <w:rsid w:val="0076018C"/>
    <w:rsid w:val="00763C6B"/>
    <w:rsid w:val="00765637"/>
    <w:rsid w:val="007708BF"/>
    <w:rsid w:val="0077152F"/>
    <w:rsid w:val="00775484"/>
    <w:rsid w:val="00775637"/>
    <w:rsid w:val="0078686E"/>
    <w:rsid w:val="00786F2F"/>
    <w:rsid w:val="00790A6F"/>
    <w:rsid w:val="00794F2D"/>
    <w:rsid w:val="007A1151"/>
    <w:rsid w:val="007A5A88"/>
    <w:rsid w:val="007C32B7"/>
    <w:rsid w:val="007C4F70"/>
    <w:rsid w:val="007C5A1C"/>
    <w:rsid w:val="007C5F52"/>
    <w:rsid w:val="007D0A89"/>
    <w:rsid w:val="007D0B81"/>
    <w:rsid w:val="007E0872"/>
    <w:rsid w:val="007E34B1"/>
    <w:rsid w:val="007E39E9"/>
    <w:rsid w:val="007F5D59"/>
    <w:rsid w:val="008016B1"/>
    <w:rsid w:val="00803823"/>
    <w:rsid w:val="00806BAA"/>
    <w:rsid w:val="00810157"/>
    <w:rsid w:val="008156F4"/>
    <w:rsid w:val="008176F0"/>
    <w:rsid w:val="00817935"/>
    <w:rsid w:val="008206AB"/>
    <w:rsid w:val="00824CD1"/>
    <w:rsid w:val="008277E1"/>
    <w:rsid w:val="00833E48"/>
    <w:rsid w:val="00844FC4"/>
    <w:rsid w:val="00845E39"/>
    <w:rsid w:val="00846350"/>
    <w:rsid w:val="0085156D"/>
    <w:rsid w:val="0085181B"/>
    <w:rsid w:val="00852FE8"/>
    <w:rsid w:val="0086482A"/>
    <w:rsid w:val="00866CDC"/>
    <w:rsid w:val="00870C63"/>
    <w:rsid w:val="008746D2"/>
    <w:rsid w:val="00882017"/>
    <w:rsid w:val="0088253F"/>
    <w:rsid w:val="008850FC"/>
    <w:rsid w:val="008863D6"/>
    <w:rsid w:val="0089555A"/>
    <w:rsid w:val="00897DDC"/>
    <w:rsid w:val="008A02B2"/>
    <w:rsid w:val="008A03FA"/>
    <w:rsid w:val="008A6CF4"/>
    <w:rsid w:val="008B12F6"/>
    <w:rsid w:val="008C1ADC"/>
    <w:rsid w:val="008D5813"/>
    <w:rsid w:val="008E0B59"/>
    <w:rsid w:val="008E15FF"/>
    <w:rsid w:val="008E35E8"/>
    <w:rsid w:val="008E5096"/>
    <w:rsid w:val="008F1733"/>
    <w:rsid w:val="008F45EA"/>
    <w:rsid w:val="008F6617"/>
    <w:rsid w:val="009018BB"/>
    <w:rsid w:val="00940450"/>
    <w:rsid w:val="00952F11"/>
    <w:rsid w:val="00953E81"/>
    <w:rsid w:val="00956102"/>
    <w:rsid w:val="009562D0"/>
    <w:rsid w:val="00965573"/>
    <w:rsid w:val="00967726"/>
    <w:rsid w:val="0096791E"/>
    <w:rsid w:val="0098098C"/>
    <w:rsid w:val="0098098F"/>
    <w:rsid w:val="009813C0"/>
    <w:rsid w:val="00987D42"/>
    <w:rsid w:val="009905B3"/>
    <w:rsid w:val="009A4326"/>
    <w:rsid w:val="009A4328"/>
    <w:rsid w:val="009B07C8"/>
    <w:rsid w:val="009B16C4"/>
    <w:rsid w:val="009B4C74"/>
    <w:rsid w:val="009B5C4D"/>
    <w:rsid w:val="009B6837"/>
    <w:rsid w:val="009C586D"/>
    <w:rsid w:val="009C5FF9"/>
    <w:rsid w:val="009D72F3"/>
    <w:rsid w:val="009E2570"/>
    <w:rsid w:val="009E3EF9"/>
    <w:rsid w:val="009F3005"/>
    <w:rsid w:val="009F475F"/>
    <w:rsid w:val="00A00B14"/>
    <w:rsid w:val="00A02E28"/>
    <w:rsid w:val="00A03256"/>
    <w:rsid w:val="00A12E50"/>
    <w:rsid w:val="00A133B3"/>
    <w:rsid w:val="00A164BD"/>
    <w:rsid w:val="00A170B9"/>
    <w:rsid w:val="00A17E67"/>
    <w:rsid w:val="00A21967"/>
    <w:rsid w:val="00A222D7"/>
    <w:rsid w:val="00A259B7"/>
    <w:rsid w:val="00A36554"/>
    <w:rsid w:val="00A37E2A"/>
    <w:rsid w:val="00A42B33"/>
    <w:rsid w:val="00A5534E"/>
    <w:rsid w:val="00A621E3"/>
    <w:rsid w:val="00A62A18"/>
    <w:rsid w:val="00A67BB2"/>
    <w:rsid w:val="00A726A8"/>
    <w:rsid w:val="00A73469"/>
    <w:rsid w:val="00A853D9"/>
    <w:rsid w:val="00A876F4"/>
    <w:rsid w:val="00A92A06"/>
    <w:rsid w:val="00A9456F"/>
    <w:rsid w:val="00AA482D"/>
    <w:rsid w:val="00AA54B3"/>
    <w:rsid w:val="00AA6629"/>
    <w:rsid w:val="00AB53B4"/>
    <w:rsid w:val="00AB7934"/>
    <w:rsid w:val="00AC1A1D"/>
    <w:rsid w:val="00AD00BB"/>
    <w:rsid w:val="00AD4928"/>
    <w:rsid w:val="00AD7602"/>
    <w:rsid w:val="00AE2590"/>
    <w:rsid w:val="00AE4609"/>
    <w:rsid w:val="00AF25FB"/>
    <w:rsid w:val="00AF71F0"/>
    <w:rsid w:val="00B01289"/>
    <w:rsid w:val="00B01BA1"/>
    <w:rsid w:val="00B04342"/>
    <w:rsid w:val="00B04FF3"/>
    <w:rsid w:val="00B073B5"/>
    <w:rsid w:val="00B150DC"/>
    <w:rsid w:val="00B205A5"/>
    <w:rsid w:val="00B20ABB"/>
    <w:rsid w:val="00B2659F"/>
    <w:rsid w:val="00B27016"/>
    <w:rsid w:val="00B42531"/>
    <w:rsid w:val="00B45F35"/>
    <w:rsid w:val="00B52B01"/>
    <w:rsid w:val="00B626ED"/>
    <w:rsid w:val="00B62C19"/>
    <w:rsid w:val="00B642F9"/>
    <w:rsid w:val="00B7082E"/>
    <w:rsid w:val="00B71AC3"/>
    <w:rsid w:val="00B71DCF"/>
    <w:rsid w:val="00B77A3A"/>
    <w:rsid w:val="00B85401"/>
    <w:rsid w:val="00B87189"/>
    <w:rsid w:val="00B91C64"/>
    <w:rsid w:val="00BB4DFA"/>
    <w:rsid w:val="00BB788A"/>
    <w:rsid w:val="00BC103D"/>
    <w:rsid w:val="00BD0948"/>
    <w:rsid w:val="00BD3C5C"/>
    <w:rsid w:val="00BD3EB8"/>
    <w:rsid w:val="00BD5CD8"/>
    <w:rsid w:val="00BE6751"/>
    <w:rsid w:val="00BE77CC"/>
    <w:rsid w:val="00BF16EA"/>
    <w:rsid w:val="00BF1CE2"/>
    <w:rsid w:val="00C0106D"/>
    <w:rsid w:val="00C07570"/>
    <w:rsid w:val="00C12FAA"/>
    <w:rsid w:val="00C205C9"/>
    <w:rsid w:val="00C21A2C"/>
    <w:rsid w:val="00C238B1"/>
    <w:rsid w:val="00C23B16"/>
    <w:rsid w:val="00C3245F"/>
    <w:rsid w:val="00C36A32"/>
    <w:rsid w:val="00C375B8"/>
    <w:rsid w:val="00C5108E"/>
    <w:rsid w:val="00C52F45"/>
    <w:rsid w:val="00C551C1"/>
    <w:rsid w:val="00C57DA5"/>
    <w:rsid w:val="00C62504"/>
    <w:rsid w:val="00C63F7A"/>
    <w:rsid w:val="00C67831"/>
    <w:rsid w:val="00C70BC5"/>
    <w:rsid w:val="00C7353C"/>
    <w:rsid w:val="00C740ED"/>
    <w:rsid w:val="00C852CF"/>
    <w:rsid w:val="00C908AB"/>
    <w:rsid w:val="00C92408"/>
    <w:rsid w:val="00C93B38"/>
    <w:rsid w:val="00CA61D4"/>
    <w:rsid w:val="00CA7EDF"/>
    <w:rsid w:val="00CA7FAC"/>
    <w:rsid w:val="00CB0629"/>
    <w:rsid w:val="00CB0BBD"/>
    <w:rsid w:val="00CB14BC"/>
    <w:rsid w:val="00CC20C3"/>
    <w:rsid w:val="00CC3A72"/>
    <w:rsid w:val="00CD1029"/>
    <w:rsid w:val="00CD43E8"/>
    <w:rsid w:val="00CD4643"/>
    <w:rsid w:val="00CD79AE"/>
    <w:rsid w:val="00CE4688"/>
    <w:rsid w:val="00CF1607"/>
    <w:rsid w:val="00CF2433"/>
    <w:rsid w:val="00D02FDF"/>
    <w:rsid w:val="00D12818"/>
    <w:rsid w:val="00D1414D"/>
    <w:rsid w:val="00D2042C"/>
    <w:rsid w:val="00D2231B"/>
    <w:rsid w:val="00D27851"/>
    <w:rsid w:val="00D27A92"/>
    <w:rsid w:val="00D51F5E"/>
    <w:rsid w:val="00D54118"/>
    <w:rsid w:val="00D570D3"/>
    <w:rsid w:val="00D574A2"/>
    <w:rsid w:val="00D60601"/>
    <w:rsid w:val="00D64047"/>
    <w:rsid w:val="00D6633E"/>
    <w:rsid w:val="00D67EFD"/>
    <w:rsid w:val="00D74893"/>
    <w:rsid w:val="00D77C17"/>
    <w:rsid w:val="00D77EA8"/>
    <w:rsid w:val="00D8252A"/>
    <w:rsid w:val="00D8439B"/>
    <w:rsid w:val="00D96182"/>
    <w:rsid w:val="00D96349"/>
    <w:rsid w:val="00D96634"/>
    <w:rsid w:val="00D96C2A"/>
    <w:rsid w:val="00DA0977"/>
    <w:rsid w:val="00DA10AF"/>
    <w:rsid w:val="00DA22B0"/>
    <w:rsid w:val="00DA7721"/>
    <w:rsid w:val="00DB5BB4"/>
    <w:rsid w:val="00DC6A9B"/>
    <w:rsid w:val="00DC6D66"/>
    <w:rsid w:val="00DD2A69"/>
    <w:rsid w:val="00DD3830"/>
    <w:rsid w:val="00DD4E5E"/>
    <w:rsid w:val="00DD6CEE"/>
    <w:rsid w:val="00DE24B9"/>
    <w:rsid w:val="00DE3250"/>
    <w:rsid w:val="00DE5B7A"/>
    <w:rsid w:val="00DE79F5"/>
    <w:rsid w:val="00DF32BE"/>
    <w:rsid w:val="00DF46E1"/>
    <w:rsid w:val="00DF7757"/>
    <w:rsid w:val="00E01716"/>
    <w:rsid w:val="00E05711"/>
    <w:rsid w:val="00E24747"/>
    <w:rsid w:val="00E25EDF"/>
    <w:rsid w:val="00E362FB"/>
    <w:rsid w:val="00E42D33"/>
    <w:rsid w:val="00E567D2"/>
    <w:rsid w:val="00E57DC0"/>
    <w:rsid w:val="00E6649F"/>
    <w:rsid w:val="00E66B87"/>
    <w:rsid w:val="00E80011"/>
    <w:rsid w:val="00E83BF6"/>
    <w:rsid w:val="00E83F17"/>
    <w:rsid w:val="00E9366E"/>
    <w:rsid w:val="00EA1709"/>
    <w:rsid w:val="00EA2B05"/>
    <w:rsid w:val="00EA5E8A"/>
    <w:rsid w:val="00EB0B86"/>
    <w:rsid w:val="00EB1B49"/>
    <w:rsid w:val="00EB240C"/>
    <w:rsid w:val="00EB27C9"/>
    <w:rsid w:val="00EC4EDF"/>
    <w:rsid w:val="00EC7600"/>
    <w:rsid w:val="00ED2C5C"/>
    <w:rsid w:val="00EE0E4F"/>
    <w:rsid w:val="00EE319C"/>
    <w:rsid w:val="00EE6795"/>
    <w:rsid w:val="00EE6803"/>
    <w:rsid w:val="00EE6D66"/>
    <w:rsid w:val="00EF3B48"/>
    <w:rsid w:val="00EF6F7C"/>
    <w:rsid w:val="00F07E26"/>
    <w:rsid w:val="00F14C0E"/>
    <w:rsid w:val="00F22EB4"/>
    <w:rsid w:val="00F23B61"/>
    <w:rsid w:val="00F25A8E"/>
    <w:rsid w:val="00F30C50"/>
    <w:rsid w:val="00F32CB4"/>
    <w:rsid w:val="00F34F7D"/>
    <w:rsid w:val="00F4047E"/>
    <w:rsid w:val="00F426F7"/>
    <w:rsid w:val="00F443E3"/>
    <w:rsid w:val="00F467FD"/>
    <w:rsid w:val="00F5520F"/>
    <w:rsid w:val="00F5730D"/>
    <w:rsid w:val="00F6135D"/>
    <w:rsid w:val="00F63D08"/>
    <w:rsid w:val="00F65972"/>
    <w:rsid w:val="00F71374"/>
    <w:rsid w:val="00F72497"/>
    <w:rsid w:val="00F73246"/>
    <w:rsid w:val="00F81237"/>
    <w:rsid w:val="00F8473A"/>
    <w:rsid w:val="00F95E1A"/>
    <w:rsid w:val="00F970A7"/>
    <w:rsid w:val="00FA47E2"/>
    <w:rsid w:val="00FA7C73"/>
    <w:rsid w:val="00FB4E1C"/>
    <w:rsid w:val="00FC13FF"/>
    <w:rsid w:val="00FC265D"/>
    <w:rsid w:val="00FC5DCF"/>
    <w:rsid w:val="00FD4C7F"/>
    <w:rsid w:val="00FE3D81"/>
    <w:rsid w:val="00FE6FF6"/>
    <w:rsid w:val="00FE776D"/>
    <w:rsid w:val="00FE7EF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6"/>
    <o:shapelayout v:ext="edit">
      <o:idmap v:ext="edit" data="1"/>
    </o:shapelayout>
  </w:shapeDefaults>
  <w:decimalSymbol w:val="."/>
  <w:listSeparator w:val=","/>
  <w14:docId w14:val="5A5BC0EC"/>
  <w15:chartTrackingRefBased/>
  <w15:docId w15:val="{A7A01279-E3D5-4F80-AAB3-1C26A53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A03FA"/>
    <w:pPr>
      <w:numPr>
        <w:numId w:val="3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A03FA"/>
    <w:pPr>
      <w:numPr>
        <w:ilvl w:val="1"/>
        <w:numId w:val="3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A03FA"/>
    <w:pPr>
      <w:numPr>
        <w:ilvl w:val="2"/>
        <w:numId w:val="3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A03FA"/>
    <w:pPr>
      <w:numPr>
        <w:ilvl w:val="3"/>
        <w:numId w:val="3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03FA"/>
    <w:pPr>
      <w:numPr>
        <w:ilvl w:val="4"/>
        <w:numId w:val="3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A03FA"/>
    <w:pPr>
      <w:numPr>
        <w:ilvl w:val="5"/>
        <w:numId w:val="3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A03FA"/>
    <w:pPr>
      <w:numPr>
        <w:ilvl w:val="6"/>
        <w:numId w:val="3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A03FA"/>
    <w:pPr>
      <w:numPr>
        <w:ilvl w:val="7"/>
        <w:numId w:val="3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A03FA"/>
    <w:pPr>
      <w:numPr>
        <w:ilvl w:val="8"/>
        <w:numId w:val="3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3FA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8A03FA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8A03FA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,fußn,o"/>
    <w:basedOn w:val="Normal"/>
    <w:link w:val="FootnoteTextChar"/>
    <w:uiPriority w:val="99"/>
    <w:qFormat/>
    <w:rsid w:val="008A03FA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8A03FA"/>
    <w:rPr>
      <w:rFonts w:ascii="Times New Roman" w:eastAsia="Times New Roman" w:hAnsi="Times New Roman" w:cs="Times New Roman"/>
      <w:sz w:val="16"/>
      <w:lang w:val="hr-HR"/>
    </w:rPr>
  </w:style>
  <w:style w:type="character" w:styleId="FootnoteReference">
    <w:name w:val="footnote reference"/>
    <w:basedOn w:val="DefaultParagraphFont"/>
    <w:uiPriority w:val="99"/>
    <w:unhideWhenUsed/>
    <w:qFormat/>
    <w:rsid w:val="008A03F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8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97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970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70A7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53B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E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2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21" Type="http://schemas.openxmlformats.org/officeDocument/2006/relationships/hyperlink" Target="https://www.eesc.europa.eu/hr/our-work/opinions-information-reports/opinions/towards-structured-youth-engagement-climate-and-sustainability-eu-decision-making-process-own-initiative-opinion" TargetMode="External"/><Relationship Id="rId34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climateactiontracker.org/global/temperatures/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ipcc.ch/2022/04/04/ipcc-ar6-wgiii-pressrelease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hr/press-room/20220616IPR33219/climate-change-parliament-pushes-for-faster-eu-action-and-energy-independence" TargetMode="External"/><Relationship Id="rId13" Type="http://schemas.openxmlformats.org/officeDocument/2006/relationships/hyperlink" Target="https://eur-lex.europa.eu/legal-content/HR/ALL/?uri=CELEX:52021AE5481" TargetMode="External"/><Relationship Id="rId18" Type="http://schemas.openxmlformats.org/officeDocument/2006/relationships/hyperlink" Target="https://sdsn.eu/2021-europe-sustainable-development-report/" TargetMode="External"/><Relationship Id="rId26" Type="http://schemas.openxmlformats.org/officeDocument/2006/relationships/hyperlink" Target="https://eur-lex.europa.eu/legal-content/HR/TXT/?uri=OJ%3AJOC_2022_194_R_0010" TargetMode="External"/><Relationship Id="rId3" Type="http://schemas.openxmlformats.org/officeDocument/2006/relationships/hyperlink" Target="https://mediacentre.christianaid.org.uk/counting-the-cost/" TargetMode="External"/><Relationship Id="rId21" Type="http://schemas.openxmlformats.org/officeDocument/2006/relationships/hyperlink" Target="https://unfccc.int/news/antonio-guterres-50-of-all-climate-finance-needed-for-adaptation" TargetMode="External"/><Relationship Id="rId34" Type="http://schemas.openxmlformats.org/officeDocument/2006/relationships/hyperlink" Target="https://eur-lex.europa.eu/legal-content/HR/ALL/?uri=CELEX:52021AE5481" TargetMode="External"/><Relationship Id="rId7" Type="http://schemas.openxmlformats.org/officeDocument/2006/relationships/hyperlink" Target="https://www.eesc.europa.eu/hr/documents/resolution/war-ukraine-and-its-economic-social-and-environmental-impact" TargetMode="External"/><Relationship Id="rId12" Type="http://schemas.openxmlformats.org/officeDocument/2006/relationships/hyperlink" Target="https://www.eesc.europa.eu/hr/our-work/opinions-information-reports/opinions/social-dialogue-within-green-transition" TargetMode="External"/><Relationship Id="rId17" Type="http://schemas.openxmlformats.org/officeDocument/2006/relationships/hyperlink" Target="https://prod-cofe-platform.s3.eu-central-1.amazonaws.com/yrxmcjurtxgv7ststz3rsqtxiubh" TargetMode="External"/><Relationship Id="rId25" Type="http://schemas.openxmlformats.org/officeDocument/2006/relationships/hyperlink" Target="https://www.unep.org/ndc/resources/report/enhancing-ndcs-food-systems-recommendations-decision-makers" TargetMode="External"/><Relationship Id="rId33" Type="http://schemas.openxmlformats.org/officeDocument/2006/relationships/hyperlink" Target="https://eur-lex.europa.eu/legal-content/HR/ALL/?uri=CELEX:52021AE5481" TargetMode="External"/><Relationship Id="rId2" Type="http://schemas.openxmlformats.org/officeDocument/2006/relationships/hyperlink" Target="https://www.eea.europa.eu/highlights/economic-losses-from-weather-and" TargetMode="External"/><Relationship Id="rId16" Type="http://schemas.openxmlformats.org/officeDocument/2006/relationships/hyperlink" Target="https://www.eesc.europa.eu/en/our-work/opinions-information-reports/opinions/fit-55-delivering-eus-2030-climate-target-way-climate-neutrality" TargetMode="External"/><Relationship Id="rId20" Type="http://schemas.openxmlformats.org/officeDocument/2006/relationships/hyperlink" Target="https://eur-lex.europa.eu/legal-content/hr/TXT/?uri=uriserv:OJ.C_.2021.374.01.0084.01.ENG&amp;toc=OJ:C:2021:374:TOC" TargetMode="External"/><Relationship Id="rId29" Type="http://schemas.openxmlformats.org/officeDocument/2006/relationships/hyperlink" Target="https://eur-lex.europa.eu/legal-content/hr/TXT/?uri=uriserv:OJ.C_.2021.374.01.0084.01.ENG&amp;toc=OJ:C:2021:374:TOC" TargetMode="External"/><Relationship Id="rId1" Type="http://schemas.openxmlformats.org/officeDocument/2006/relationships/hyperlink" Target="https://eur-lex.europa.eu/legal-content/HR/TXT/HTML/?uri=CELEX:22016A1019(01)&amp;from=HR" TargetMode="External"/><Relationship Id="rId6" Type="http://schemas.openxmlformats.org/officeDocument/2006/relationships/hyperlink" Target="https://www.ipcc.ch/report/ar6/wg3/" TargetMode="External"/><Relationship Id="rId11" Type="http://schemas.openxmlformats.org/officeDocument/2006/relationships/hyperlink" Target="https://eur-lex.europa.eu/legal-content/HR/ALL/?uri=CELEX:52021AE5481" TargetMode="External"/><Relationship Id="rId24" Type="http://schemas.openxmlformats.org/officeDocument/2006/relationships/hyperlink" Target="https://eur-lex.europa.eu/LexUriServ/LexUriServ.do?uri=OJ:C:2021:374:SOM:hr:HTML" TargetMode="External"/><Relationship Id="rId32" Type="http://schemas.openxmlformats.org/officeDocument/2006/relationships/hyperlink" Target="https://eur-lex.europa.eu/legal-content/HR/TXT/?uri=CELEX:52020AE1918&amp;qid=1663579809098" TargetMode="External"/><Relationship Id="rId37" Type="http://schemas.openxmlformats.org/officeDocument/2006/relationships/hyperlink" Target="https://www.nationalgeographic.com/environment/article/can-indigenous-land-stewardship-protect-biodiversity-" TargetMode="External"/><Relationship Id="rId5" Type="http://schemas.openxmlformats.org/officeDocument/2006/relationships/hyperlink" Target="https://www.ncei.noaa.gov/access/billions/" TargetMode="External"/><Relationship Id="rId15" Type="http://schemas.openxmlformats.org/officeDocument/2006/relationships/hyperlink" Target="https://eur-lex.europa.eu/legal-content/HR/ALL/?uri=CELEX:52021AE5481" TargetMode="External"/><Relationship Id="rId23" Type="http://schemas.openxmlformats.org/officeDocument/2006/relationships/hyperlink" Target="https://assets.website-files.com/5d26d80e8836af2d12ed1269/61657f127a13715bb8744ec3_Climate%20Change%20Mitigation%20Through%20the%20Circular%20Economy%20-%20STAP%20-%20report.pdf" TargetMode="External"/><Relationship Id="rId28" Type="http://schemas.openxmlformats.org/officeDocument/2006/relationships/hyperlink" Target="https://eur-lex.europa.eu/legal-content/HR/TXT/?uri=CELEX:52017IE1144&amp;qid=1663579454681" TargetMode="External"/><Relationship Id="rId36" Type="http://schemas.openxmlformats.org/officeDocument/2006/relationships/hyperlink" Target="https://www.eesc.europa.eu/hr/our-work/opinions-information-reports/opinions/towards-structured-youth-engagement-climate-and-sustainability-eu-decision-making-process-own-initiative-opinion" TargetMode="External"/><Relationship Id="rId10" Type="http://schemas.openxmlformats.org/officeDocument/2006/relationships/hyperlink" Target="https://eur-lex.europa.eu/legal-content/HR/TXT/PDF/?uri=CELEX:52019IE2316&amp;from=EN" TargetMode="External"/><Relationship Id="rId19" Type="http://schemas.openxmlformats.org/officeDocument/2006/relationships/hyperlink" Target="https://www.eesc.europa.eu/hr/our-work/opinions-information-reports/opinions/nature-restoration-targets-under-eu-biodiversity-strategy" TargetMode="External"/><Relationship Id="rId31" Type="http://schemas.openxmlformats.org/officeDocument/2006/relationships/hyperlink" Target="https://eur-lex.europa.eu/legal-content/HR/ALL/?uri=CELEX:52021AE5481" TargetMode="External"/><Relationship Id="rId4" Type="http://schemas.openxmlformats.org/officeDocument/2006/relationships/hyperlink" Target="https://www.cmcc.it/lectures_conferences/the-costs-of-extreme-weather-events-caused-by-climate-change" TargetMode="External"/><Relationship Id="rId9" Type="http://schemas.openxmlformats.org/officeDocument/2006/relationships/hyperlink" Target="https://www.europarl.europa.eu/news/hr/press-room/20220603IPR32133/fit-for-55-parliament-agrees-to-higher-eu-carbon-sink-ambitions-by-2030" TargetMode="External"/><Relationship Id="rId14" Type="http://schemas.openxmlformats.org/officeDocument/2006/relationships/hyperlink" Target="https://www.eesc.europa.eu/en/our-work/opinions-information-reports/opinions/fit-55-delivering-eus-2030-climate-target-way-climate-neutrality" TargetMode="External"/><Relationship Id="rId22" Type="http://schemas.openxmlformats.org/officeDocument/2006/relationships/hyperlink" Target="https://eur-lex.europa.eu/legal-content/hr/TXT/?uri=uriserv:OJ.C_.2020.014.01.0029.01.ENG&amp;toc=OJ:C:2020:014:TOC" TargetMode="External"/><Relationship Id="rId27" Type="http://schemas.openxmlformats.org/officeDocument/2006/relationships/hyperlink" Target="https://eur-lex.europa.eu/legal-content/HR/TXT/?qid=1663579304870&amp;uri=CELEX%3A52020AE0994" TargetMode="External"/><Relationship Id="rId30" Type="http://schemas.openxmlformats.org/officeDocument/2006/relationships/hyperlink" Target="https://eur-lex.europa.eu/legal-content/HR/TXT/?uri=CELEX:52022AE1686&amp;qid=1663579575615" TargetMode="External"/><Relationship Id="rId35" Type="http://schemas.openxmlformats.org/officeDocument/2006/relationships/hyperlink" Target="https://wedo.org/2020-pocket-guide-to-gender-equality-under-the-unfc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P6FJPSUHKDC2-813086739-4273</_dlc_DocId>
    <_dlc_DocIdUrl xmlns="1299d781-265f-4ceb-999e-e1eca3df2c90">
      <Url>http://dm2016/eesc/2022/_layouts/15/DocIdRedir.aspx?ID=P6FJPSUHKDC2-813086739-4273</Url>
      <Description>P6FJPSUHKDC2-813086739-4273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2022-11-07T12:00:00+00:00</ProductionDate>
    <DocumentNumber xmlns="78feecd2-a259-4a5c-b48b-4ffcf5b9c8b1">4116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6</Value>
      <Value>30</Value>
      <Value>29</Value>
      <Value>31</Value>
      <Value>175</Value>
      <Value>44</Value>
      <Value>22</Value>
      <Value>55</Value>
      <Value>54</Value>
      <Value>46</Value>
      <Value>9</Value>
      <Value>41</Value>
      <Value>7</Value>
      <Value>43</Value>
      <Value>42</Value>
      <Value>4</Value>
      <Value>1</Value>
      <Value>37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12880</FicheNumber>
    <OriginalSender xmlns="1299d781-265f-4ceb-999e-e1eca3df2c90">
      <UserInfo>
        <DisplayName>Briski Petra</DisplayName>
        <AccountId>1716</AccountId>
        <AccountType/>
      </UserInfo>
    </OriginalSender>
    <DocumentPart xmlns="1299d781-265f-4ceb-999e-e1eca3df2c90">0</DocumentPart>
    <AdoptionDate xmlns="1299d781-265f-4ceb-999e-e1eca3df2c90">2022-10-26T12:00:00+00:00</AdoptionDate>
    <RequestingService xmlns="1299d781-265f-4ceb-999e-e1eca3df2c90">Agriculture, développement rural et environnement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536E7EA-3CD2-47E6-B8D2-2C0730722623}"/>
</file>

<file path=customXml/itemProps2.xml><?xml version="1.0" encoding="utf-8"?>
<ds:datastoreItem xmlns:ds="http://schemas.openxmlformats.org/officeDocument/2006/customXml" ds:itemID="{5DC314E5-4CC6-4CF1-BCE9-E9F59E07932A}"/>
</file>

<file path=customXml/itemProps3.xml><?xml version="1.0" encoding="utf-8"?>
<ds:datastoreItem xmlns:ds="http://schemas.openxmlformats.org/officeDocument/2006/customXml" ds:itemID="{63194B53-529C-4156-B3D1-B06DDC6FE4EA}"/>
</file>

<file path=customXml/itemProps4.xml><?xml version="1.0" encoding="utf-8"?>
<ds:datastoreItem xmlns:ds="http://schemas.openxmlformats.org/officeDocument/2006/customXml" ds:itemID="{B6DE9371-2FCA-4179-8EF8-C2C817C07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3582</Words>
  <Characters>20420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RESOLUTION - Jointly tackling an existential threat: social partners and civil society for implementation of ambitious climate action</vt:lpstr>
      <vt:lpstr/>
    </vt:vector>
  </TitlesOfParts>
  <Company>EESC-ECOR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REZOLUCIJA - Zajednička borba protiv egzistencijalne prijetnje: socijalni partneri i civilno društvo za provedbu ambicioznih klimatskih mjera</dc:title>
  <dc:subject>RES</dc:subject>
  <dc:creator>Guarinoni Monica</dc:creator>
  <cp:keywords>EESC-2022-04116-00-01-RES-TRA-EN</cp:keywords>
  <dc:description>Rapporteur:  - Original language: EN - Date of document: 07/11/2022 - Date of meeting:  - External documents:  - Administrator:  CARRERAS JUDIT</dc:description>
  <cp:lastModifiedBy>Briski Petra</cp:lastModifiedBy>
  <cp:revision>11</cp:revision>
  <cp:lastPrinted>2022-09-02T11:47:00Z</cp:lastPrinted>
  <dcterms:created xsi:type="dcterms:W3CDTF">2022-11-07T14:39:00Z</dcterms:created>
  <dcterms:modified xsi:type="dcterms:W3CDTF">2022-11-07T14:46:00Z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04/11/2022, 27/10/2022, 11/10/2022, 28/09/2022, 23/08/2022</vt:lpwstr>
  </property>
  <property fmtid="{D5CDD505-2E9C-101B-9397-08002B2CF9AE}" pid="4" name="Pref_Time">
    <vt:lpwstr>13:47:53, 09:22:51, 09:03:19, 11:45:42, 17:23:52</vt:lpwstr>
  </property>
  <property fmtid="{D5CDD505-2E9C-101B-9397-08002B2CF9AE}" pid="5" name="Pref_User">
    <vt:lpwstr>pacup, amett, jhvi, pacup, enied</vt:lpwstr>
  </property>
  <property fmtid="{D5CDD505-2E9C-101B-9397-08002B2CF9AE}" pid="6" name="Pref_FileName">
    <vt:lpwstr>EESC-2022-04116-00-01-RES-TRA-EN-CRR.docx, EESC-2022-04116-00-00-RES-TRA-EN-CRR.docx, EESC-2022-04116-00-01-PRES-ORI.docx, EESC-2022-04116-00-00-PRES-TRA.docx, EESC-2022-04116-00-00-TCD-ORI.docx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053312d3-3776-48d0-8dc7-e168daa794ad</vt:lpwstr>
  </property>
  <property fmtid="{D5CDD505-2E9C-101B-9397-08002B2CF9AE}" pid="9" name="AvailableTranslations">
    <vt:lpwstr>41;#CS|72f9705b-0217-4fd3-bea2-cbc7ed80e26e;#43;#NL|55c6556c-b4f4-441d-9acf-c498d4f838bd;#37;#PT|50ccc04a-eadd-42ae-a0cb-acaf45f812ba;#29;#SV|c2ed69e7-a339-43d7-8f22-d93680a92aa0;#30;#PL|1e03da61-4678-4e07-b136-b5024ca9197b;#44;#LT|a7ff5ce7-6123-4f68-865a-a57c31810414;#42;#SL|98a412ae-eb01-49e9-ae3d-585a81724cfc;#31;#ES|e7a6b05b-ae16-40c8-add9-68b64b03aeba;#46;#EL|6d4f4d51-af9b-4650-94b4-4276bee85c91;#22;#DE|f6b31e5a-26fa-4935-b661-318e46daf27e;#33;#IT|0774613c-01ed-4e5d-a25d-11d2388de825;#4;#EN|f2175f21-25d7-44a3-96da-d6a61b075e1b;#54;#ET|ff6c3f4c-b02c-4c3c-ab07-2c37995a7a0a;#55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4116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12880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2022-10-26T12:00:00Z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Agriculture, développement rural et environnement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PT|50ccc04a-eadd-42ae-a0cb-acaf45f812ba;SV|c2ed69e7-a339-43d7-8f22-d93680a92aa0;PL|1e03da61-4678-4e07-b136-b5024ca9197b;LT|a7ff5ce7-6123-4f68-865a-a57c31810414;SL|98a412ae-eb01-49e9-ae3d-585a81724cfc;ES|e7a6b05b-ae16-40c8-add9-68b64b03aeba;EL|6d4f4d51-af9b-4650-94b4-4276bee85c91;DE|f6b31e5a-26fa-4935-b661-318e46daf27e;IT|0774613c-01ed-4e5d-a25d-11d2388de825;EN|f2175f21-25d7-44a3-96da-d6a61b075e1b;ET|ff6c3f4c-b02c-4c3c-ab07-2c37995a7a0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31;#ES|e7a6b05b-ae16-40c8-add9-68b64b03aeba;#30;#PL|1e03da61-4678-4e07-b136-b5024ca9197b;#29;#SV|c2ed69e7-a339-43d7-8f22-d93680a92aa0;#175;#RES|9e3e62eb-6858-4bc7-8a50-3453e395fd01;#44;#LT|a7ff5ce7-6123-4f68-865a-a57c31810414;#22;#DE|f6b31e5a-26fa-4935-b661-318e46daf27e;#54;#ET|ff6c3f4c-b02c-4c3c-ab07-2c37995a7a0a;#46;#EL|6d4f4d51-af9b-4650-94b4-4276bee85c91;#9;#Unrestricted|826e22d7-d029-4ec0-a450-0c28ff673572;#7;#TRA|150d2a88-1431-44e6-a8ca-0bb753ab8672;#6;#Final|ea5e6674-7b27-4bac-b091-73adbb394efe;#42;#SL|98a412ae-eb01-49e9-ae3d-585a81724cfc;#4;#EN|f2175f21-25d7-44a3-96da-d6a61b075e1b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55;#HR|2f555653-ed1a-4fe6-8362-9082d95989e5</vt:lpwstr>
  </property>
</Properties>
</file>