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DF0DF5">
        <w:trPr>
          <w:jc w:val="center"/>
        </w:trPr>
        <w:tc>
          <w:tcPr>
            <w:tcW w:w="5000" w:type="pct"/>
            <w:vAlign w:val="center"/>
          </w:tcPr>
          <w:p w:rsidRPr="00424F46" w:rsidR="00180C9D" w:rsidP="00180C9D" w:rsidRDefault="00F4047E">
            <w:pPr>
              <w:spacing w:line="288" w:lineRule="auto"/>
              <w:jc w:val="center"/>
              <w:rPr>
                <w:rFonts w:ascii="Times New Roman" w:hAnsi="Times New Roman" w:eastAsia="Times New Roman" w:cs="Times New Roman"/>
                <w:b/>
                <w:sz w:val="72"/>
                <w:szCs w:val="72"/>
              </w:rPr>
            </w:pPr>
            <w:r>
              <w:rPr>
                <w:rFonts w:ascii="Times New Roman" w:hAnsi="Times New Roman"/>
                <w:b/>
                <w:sz w:val="72"/>
              </w:rPr>
              <w:t>PÄÄTÖSLAUSELMA</w:t>
            </w:r>
          </w:p>
        </w:tc>
      </w:tr>
      <w:tr w:rsidR="00DF0DF5">
        <w:trPr>
          <w:trHeight w:val="567"/>
          <w:jc w:val="center"/>
        </w:trPr>
        <w:tc>
          <w:tcPr>
            <w:tcW w:w="5000" w:type="pct"/>
            <w:vAlign w:val="center"/>
          </w:tcPr>
          <w:p w:rsidRPr="00424F46" w:rsidR="00180C9D" w:rsidP="00180C9D" w:rsidRDefault="00180C9D">
            <w:pPr>
              <w:spacing w:line="288" w:lineRule="auto"/>
              <w:jc w:val="center"/>
              <w:rPr>
                <w:rFonts w:ascii="Times New Roman" w:hAnsi="Times New Roman" w:eastAsia="Times New Roman" w:cs="Times New Roman"/>
                <w:sz w:val="24"/>
                <w:szCs w:val="24"/>
              </w:rPr>
            </w:pPr>
            <w:r>
              <w:rPr>
                <w:rFonts w:ascii="Times New Roman" w:hAnsi="Times New Roman"/>
                <w:sz w:val="24"/>
              </w:rPr>
              <w:t>Euroopan talous- ja sosiaalikomitea</w:t>
            </w:r>
          </w:p>
        </w:tc>
      </w:tr>
      <w:tr w:rsidR="00DF0DF5">
        <w:trPr>
          <w:jc w:val="center"/>
        </w:trPr>
        <w:tc>
          <w:tcPr>
            <w:tcW w:w="5000" w:type="pct"/>
            <w:vAlign w:val="center"/>
          </w:tcPr>
          <w:p w:rsidRPr="00424F46" w:rsidR="00F4047E" w:rsidP="00EF3B48" w:rsidRDefault="00F4047E">
            <w:pPr>
              <w:spacing w:after="0" w:line="288" w:lineRule="auto"/>
              <w:jc w:val="center"/>
              <w:rPr>
                <w:rFonts w:ascii="Times New Roman" w:hAnsi="Times New Roman" w:eastAsia="Times New Roman" w:cs="Times New Roman"/>
                <w:sz w:val="44"/>
                <w:szCs w:val="44"/>
              </w:rPr>
            </w:pPr>
            <w:r>
              <w:rPr>
                <w:rFonts w:ascii="Times New Roman" w:hAnsi="Times New Roman"/>
                <w:b/>
                <w:sz w:val="44"/>
              </w:rPr>
              <w:t>Torjutaan yhdessä uhkaa ihmiskunnan olemassaololle: työmarkkinaosapuolet ja kansalaisyhteiskunta antavat tukensa kunnianhimoisten ilmastotoimien toteuttamiselle</w:t>
            </w:r>
          </w:p>
        </w:tc>
      </w:tr>
      <w:tr w:rsidR="00DF0DF5">
        <w:trPr>
          <w:jc w:val="center"/>
        </w:trPr>
        <w:tc>
          <w:tcPr>
            <w:tcW w:w="5000" w:type="pct"/>
            <w:vAlign w:val="center"/>
          </w:tcPr>
          <w:p w:rsidRPr="00424F46" w:rsidR="008A6CF4" w:rsidRDefault="008A6CF4">
            <w:pPr>
              <w:spacing w:after="0" w:line="288" w:lineRule="auto"/>
              <w:jc w:val="center"/>
              <w:rPr>
                <w:rFonts w:ascii="Times New Roman" w:hAnsi="Times New Roman" w:eastAsia="Times New Roman" w:cs="Times New Roman"/>
                <w:b/>
                <w:bCs/>
                <w:sz w:val="44"/>
                <w:szCs w:val="44"/>
              </w:rPr>
            </w:pPr>
            <w:r>
              <w:rPr>
                <w:sz w:val="24"/>
              </w:rPr>
              <w:t>_____________</w:t>
            </w:r>
          </w:p>
        </w:tc>
      </w:tr>
      <w:tr w:rsidR="00DF0DF5">
        <w:trPr>
          <w:jc w:val="center"/>
        </w:trPr>
        <w:tc>
          <w:tcPr>
            <w:tcW w:w="5000" w:type="pct"/>
            <w:vAlign w:val="center"/>
          </w:tcPr>
          <w:p w:rsidRPr="00424F46" w:rsidR="009A4326" w:rsidP="00180C9D" w:rsidRDefault="009A4326">
            <w:pPr>
              <w:spacing w:line="288" w:lineRule="auto"/>
              <w:jc w:val="center"/>
              <w:rPr>
                <w:rFonts w:ascii="Times New Roman" w:hAnsi="Times New Roman" w:eastAsia="Times New Roman" w:cs="Times New Roman"/>
              </w:rPr>
            </w:pPr>
            <w:r>
              <w:rPr>
                <w:rFonts w:ascii="Times New Roman" w:hAnsi="Times New Roman"/>
                <w:sz w:val="24"/>
              </w:rPr>
              <w:t>Torjutaan yhdessä uhkaa ihmiskunnan olemassaololle: työmarkkinaosapuolet ja kansalaisyhteiskunta antavat tukensa kunnianhimoisten ilmastotoimien toteuttamiselle</w:t>
            </w:r>
          </w:p>
        </w:tc>
      </w:tr>
      <w:tr w:rsidR="00DF0DF5">
        <w:trPr>
          <w:jc w:val="center"/>
        </w:trPr>
        <w:tc>
          <w:tcPr>
            <w:tcW w:w="5000" w:type="pct"/>
            <w:vAlign w:val="center"/>
          </w:tcPr>
          <w:p w:rsidRPr="00EF3B48" w:rsidR="00F4047E" w:rsidP="00EF3B48" w:rsidRDefault="00180C9D">
            <w:pPr>
              <w:spacing w:after="0" w:line="288" w:lineRule="auto"/>
              <w:jc w:val="center"/>
              <w:rPr>
                <w:rFonts w:ascii="Times New Roman" w:hAnsi="Times New Roman" w:cs="Times New Roman"/>
                <w:b/>
                <w:sz w:val="24"/>
                <w:szCs w:val="24"/>
              </w:rPr>
            </w:pPr>
            <w:r>
              <w:rPr>
                <w:rFonts w:ascii="Times New Roman" w:hAnsi="Times New Roman"/>
                <w:sz w:val="24"/>
              </w:rPr>
              <w:t xml:space="preserve">Esittelijät: </w:t>
            </w:r>
            <w:r>
              <w:rPr>
                <w:rFonts w:ascii="Times New Roman" w:hAnsi="Times New Roman"/>
                <w:b/>
                <w:sz w:val="24"/>
              </w:rPr>
              <w:t>Peter Schmidt</w:t>
            </w:r>
          </w:p>
          <w:p w:rsidRPr="00EF3B48" w:rsidR="00F4047E" w:rsidP="00EF3B48" w:rsidRDefault="00F4047E">
            <w:pPr>
              <w:spacing w:after="0" w:line="288" w:lineRule="auto"/>
              <w:ind w:left="2098"/>
              <w:jc w:val="center"/>
              <w:rPr>
                <w:rFonts w:ascii="Times New Roman" w:hAnsi="Times New Roman" w:cs="Times New Roman"/>
                <w:b/>
                <w:sz w:val="24"/>
                <w:szCs w:val="24"/>
              </w:rPr>
            </w:pPr>
            <w:proofErr w:type="spellStart"/>
            <w:r>
              <w:rPr>
                <w:rFonts w:ascii="Times New Roman" w:hAnsi="Times New Roman"/>
                <w:b/>
                <w:sz w:val="24"/>
              </w:rPr>
              <w:t>Isabel</w:t>
            </w:r>
            <w:proofErr w:type="spellEnd"/>
            <w:r>
              <w:rPr>
                <w:rFonts w:ascii="Times New Roman" w:hAnsi="Times New Roman"/>
                <w:b/>
                <w:sz w:val="24"/>
              </w:rPr>
              <w:t xml:space="preserve"> </w:t>
            </w:r>
            <w:proofErr w:type="spellStart"/>
            <w:r>
              <w:rPr>
                <w:rFonts w:ascii="Times New Roman" w:hAnsi="Times New Roman"/>
                <w:b/>
                <w:sz w:val="24"/>
              </w:rPr>
              <w:t>Caño</w:t>
            </w:r>
            <w:proofErr w:type="spellEnd"/>
            <w:r>
              <w:rPr>
                <w:rFonts w:ascii="Times New Roman" w:hAnsi="Times New Roman"/>
                <w:b/>
                <w:sz w:val="24"/>
              </w:rPr>
              <w:t xml:space="preserve"> </w:t>
            </w:r>
            <w:proofErr w:type="spellStart"/>
            <w:r>
              <w:rPr>
                <w:rFonts w:ascii="Times New Roman" w:hAnsi="Times New Roman"/>
                <w:b/>
                <w:sz w:val="24"/>
              </w:rPr>
              <w:t>Aguilar</w:t>
            </w:r>
            <w:proofErr w:type="spellEnd"/>
          </w:p>
          <w:p w:rsidRPr="00EF3B48" w:rsidR="00F4047E" w:rsidP="00EF3B48" w:rsidRDefault="00F4047E">
            <w:pPr>
              <w:spacing w:after="0" w:line="288" w:lineRule="auto"/>
              <w:ind w:left="1456"/>
              <w:jc w:val="center"/>
              <w:rPr>
                <w:rFonts w:ascii="Times New Roman" w:hAnsi="Times New Roman" w:cs="Times New Roman"/>
                <w:b/>
                <w:sz w:val="24"/>
                <w:szCs w:val="24"/>
              </w:rPr>
            </w:pPr>
            <w:r>
              <w:rPr>
                <w:rFonts w:ascii="Times New Roman" w:hAnsi="Times New Roman"/>
                <w:b/>
                <w:sz w:val="24"/>
              </w:rPr>
              <w:t xml:space="preserve">Sandra </w:t>
            </w:r>
            <w:proofErr w:type="spellStart"/>
            <w:r>
              <w:rPr>
                <w:rFonts w:ascii="Times New Roman" w:hAnsi="Times New Roman"/>
                <w:b/>
                <w:sz w:val="24"/>
              </w:rPr>
              <w:t>Parthie</w:t>
            </w:r>
            <w:proofErr w:type="spellEnd"/>
          </w:p>
          <w:p w:rsidRPr="00EF3B48" w:rsidR="00F4047E" w:rsidP="00EF3B48" w:rsidRDefault="00F4047E">
            <w:pPr>
              <w:spacing w:after="0" w:line="288" w:lineRule="auto"/>
              <w:ind w:left="2495"/>
              <w:jc w:val="center"/>
              <w:rPr>
                <w:rFonts w:ascii="Times New Roman" w:hAnsi="Times New Roman" w:cs="Times New Roman"/>
                <w:b/>
                <w:sz w:val="24"/>
                <w:szCs w:val="24"/>
              </w:rPr>
            </w:pPr>
            <w:proofErr w:type="spellStart"/>
            <w:r>
              <w:rPr>
                <w:rFonts w:ascii="Times New Roman" w:hAnsi="Times New Roman"/>
                <w:b/>
                <w:sz w:val="24"/>
              </w:rPr>
              <w:t>Josep</w:t>
            </w:r>
            <w:proofErr w:type="spellEnd"/>
            <w:r>
              <w:rPr>
                <w:rFonts w:ascii="Times New Roman" w:hAnsi="Times New Roman"/>
                <w:b/>
                <w:sz w:val="24"/>
              </w:rPr>
              <w:t xml:space="preserve"> </w:t>
            </w:r>
            <w:proofErr w:type="spellStart"/>
            <w:r>
              <w:rPr>
                <w:rFonts w:ascii="Times New Roman" w:hAnsi="Times New Roman"/>
                <w:b/>
                <w:sz w:val="24"/>
              </w:rPr>
              <w:t>Puxeu</w:t>
            </w:r>
            <w:proofErr w:type="spellEnd"/>
            <w:r>
              <w:rPr>
                <w:rFonts w:ascii="Times New Roman" w:hAnsi="Times New Roman"/>
                <w:b/>
                <w:sz w:val="24"/>
              </w:rPr>
              <w:t xml:space="preserve"> </w:t>
            </w:r>
            <w:proofErr w:type="spellStart"/>
            <w:r>
              <w:rPr>
                <w:rFonts w:ascii="Times New Roman" w:hAnsi="Times New Roman"/>
                <w:b/>
                <w:sz w:val="24"/>
              </w:rPr>
              <w:t>Rocamora</w:t>
            </w:r>
            <w:proofErr w:type="spellEnd"/>
          </w:p>
          <w:p w:rsidRPr="00EF3B48" w:rsidR="00F4047E" w:rsidP="00EF3B48" w:rsidRDefault="00F4047E">
            <w:pPr>
              <w:spacing w:after="0" w:line="288" w:lineRule="auto"/>
              <w:ind w:left="1418"/>
              <w:jc w:val="center"/>
              <w:rPr>
                <w:rFonts w:ascii="Times New Roman" w:hAnsi="Times New Roman" w:cs="Times New Roman"/>
                <w:b/>
                <w:sz w:val="24"/>
                <w:szCs w:val="24"/>
              </w:rPr>
            </w:pPr>
            <w:proofErr w:type="spellStart"/>
            <w:r>
              <w:rPr>
                <w:rFonts w:ascii="Times New Roman" w:hAnsi="Times New Roman"/>
                <w:b/>
                <w:sz w:val="24"/>
              </w:rPr>
              <w:t>Neža</w:t>
            </w:r>
            <w:proofErr w:type="spellEnd"/>
            <w:r>
              <w:rPr>
                <w:rFonts w:ascii="Times New Roman" w:hAnsi="Times New Roman"/>
                <w:b/>
                <w:sz w:val="24"/>
              </w:rPr>
              <w:t xml:space="preserve"> </w:t>
            </w:r>
            <w:proofErr w:type="spellStart"/>
            <w:r>
              <w:rPr>
                <w:rFonts w:ascii="Times New Roman" w:hAnsi="Times New Roman"/>
                <w:b/>
                <w:sz w:val="24"/>
              </w:rPr>
              <w:t>Repanšek</w:t>
            </w:r>
            <w:proofErr w:type="spellEnd"/>
          </w:p>
          <w:p w:rsidRPr="00424F46" w:rsidR="00180C9D" w:rsidP="00EF3B48" w:rsidRDefault="00F4047E">
            <w:pPr>
              <w:spacing w:after="0" w:line="288" w:lineRule="auto"/>
              <w:ind w:left="822"/>
              <w:jc w:val="center"/>
              <w:rPr>
                <w:rFonts w:ascii="Times New Roman" w:hAnsi="Times New Roman" w:eastAsia="Times New Roman" w:cs="Times New Roman"/>
              </w:rPr>
            </w:pPr>
            <w:proofErr w:type="spellStart"/>
            <w:r>
              <w:rPr>
                <w:rFonts w:ascii="Times New Roman" w:hAnsi="Times New Roman"/>
                <w:b/>
                <w:sz w:val="24"/>
              </w:rPr>
              <w:t>Lutz</w:t>
            </w:r>
            <w:proofErr w:type="spellEnd"/>
            <w:r>
              <w:rPr>
                <w:rFonts w:ascii="Times New Roman" w:hAnsi="Times New Roman"/>
                <w:b/>
                <w:sz w:val="24"/>
              </w:rPr>
              <w:t xml:space="preserve"> </w:t>
            </w:r>
            <w:proofErr w:type="spellStart"/>
            <w:r>
              <w:rPr>
                <w:rFonts w:ascii="Times New Roman" w:hAnsi="Times New Roman"/>
                <w:b/>
                <w:sz w:val="24"/>
              </w:rPr>
              <w:t>Ribbe</w:t>
            </w:r>
            <w:proofErr w:type="spellEnd"/>
          </w:p>
        </w:tc>
      </w:tr>
    </w:tbl>
    <w:p w:rsidR="008A6CF4" w:rsidP="00180C9D" w:rsidRDefault="008A6CF4">
      <w:pPr>
        <w:spacing w:after="0" w:line="288" w:lineRule="auto"/>
        <w:jc w:val="center"/>
        <w:rPr>
          <w:rFonts w:ascii="Times New Roman" w:hAnsi="Times New Roman" w:eastAsia="Times New Roman" w:cs="Times New Roman"/>
        </w:rPr>
      </w:pPr>
      <w:r>
        <w:rPr>
          <w:rFonts w:ascii="Times New Roman" w:hAnsi="Times New Roman"/>
          <w:noProof/>
          <w:lang w:val="en-US"/>
        </w:rPr>
        <mc:AlternateContent>
          <mc:Choice Requires="wps">
            <w:drawing>
              <wp:anchor distT="0" distB="0" distL="114300" distR="114300" simplePos="0" relativeHeight="251659776" behindDoc="1" locked="0" layoutInCell="0" allowOverlap="1" wp14:editId="45C41535" wp14:anchorId="1E2F02F8">
                <wp:simplePos x="0" y="0"/>
                <wp:positionH relativeFrom="rightMargin">
                  <wp:posOffset>-204079</wp:posOffset>
                </wp:positionH>
                <wp:positionV relativeFrom="page">
                  <wp:posOffset>9488658</wp:posOffset>
                </wp:positionV>
                <wp:extent cx="741045" cy="431800"/>
                <wp:effectExtent l="0" t="0" r="0" b="6350"/>
                <wp:wrapNone/>
                <wp:docPr id="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C9D" w:rsidP="00180C9D" w:rsidRDefault="00180C9D">
                            <w:pPr>
                              <w:jc w:val="cente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E2F02F8">
                <v:stroke joinstyle="miter"/>
                <v:path gradientshapeok="t" o:connecttype="rect"/>
              </v:shapetype>
              <v:shape id="Text Box 17" style="position:absolute;left:0;text-align:left;margin-left:-16.05pt;margin-top:747.15pt;width:58.35pt;height:34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qD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">
                <v:textbox>
                  <w:txbxContent>
                    <w:p w:rsidR="00180C9D" w:rsidP="00180C9D" w:rsidRDefault="00180C9D">
                      <w:pPr>
                        <w:jc w:val="center"/>
                      </w:pPr>
                      <w:r>
                        <w:rPr>
                          <w:rFonts w:ascii="Arial" w:hAnsi="Arial"/>
                          <w:b/>
                          <w:sz w:val="48"/>
                        </w:rPr>
                        <w:t>FI</w:t>
                      </w:r>
                    </w:p>
                  </w:txbxContent>
                </v:textbox>
                <w10:wrap anchorx="margin" anchory="page"/>
              </v:shape>
            </w:pict>
          </mc:Fallback>
        </mc:AlternateContent>
      </w:r>
    </w:p>
    <w:p w:rsidRPr="00424F46" w:rsidR="00180C9D" w:rsidP="00180C9D" w:rsidRDefault="00180C9D">
      <w:pPr>
        <w:spacing w:after="0" w:line="288" w:lineRule="auto"/>
        <w:jc w:val="center"/>
        <w:rPr>
          <w:rFonts w:ascii="Times New Roman" w:hAnsi="Times New Roman" w:eastAsia="Times New Roman" w:cs="Times New Roman"/>
          <w:lang w:val="en-GB"/>
        </w:rPr>
      </w:pPr>
      <w:bookmarkStart w:name="_GoBack" w:id="0"/>
      <w:bookmarkEnd w:id="0"/>
    </w:p>
    <w:p w:rsidRPr="00424F46" w:rsidR="00180C9D" w:rsidP="00180C9D" w:rsidRDefault="00180C9D">
      <w:pPr>
        <w:spacing w:after="0" w:line="288" w:lineRule="auto"/>
        <w:jc w:val="center"/>
        <w:rPr>
          <w:rFonts w:ascii="Times New Roman" w:hAnsi="Times New Roman" w:eastAsia="Times New Roman" w:cs="Times New Roman"/>
          <w:lang w:val="en-GB"/>
        </w:rPr>
        <w:sectPr w:rsidRPr="00424F46" w:rsidR="00180C9D" w:rsidSect="008A6CF4">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DF0DF5">
        <w:tc>
          <w:tcPr>
            <w:tcW w:w="3085" w:type="dxa"/>
          </w:tcPr>
          <w:p w:rsidRPr="00424F46" w:rsidR="00180C9D" w:rsidP="00F4047E" w:rsidRDefault="009A4326">
            <w:pPr>
              <w:spacing w:after="0" w:line="288" w:lineRule="auto"/>
              <w:jc w:val="both"/>
              <w:rPr>
                <w:rFonts w:ascii="Times New Roman" w:hAnsi="Times New Roman" w:eastAsia="Times New Roman" w:cs="Times New Roman"/>
              </w:rPr>
            </w:pPr>
            <w:r>
              <w:rPr>
                <w:rFonts w:ascii="Times New Roman" w:hAnsi="Times New Roman"/>
              </w:rPr>
              <w:lastRenderedPageBreak/>
              <w:t>Oikeusperusta</w:t>
            </w:r>
          </w:p>
        </w:tc>
        <w:tc>
          <w:tcPr>
            <w:tcW w:w="6204" w:type="dxa"/>
            <w:vAlign w:val="bottom"/>
          </w:tcPr>
          <w:p w:rsidRPr="00424F46" w:rsidR="009A4326" w:rsidP="009A4326" w:rsidRDefault="009A4326">
            <w:pPr>
              <w:spacing w:after="0" w:line="288" w:lineRule="auto"/>
              <w:jc w:val="both"/>
              <w:rPr>
                <w:rFonts w:ascii="Times New Roman" w:hAnsi="Times New Roman" w:eastAsia="Times New Roman" w:cs="Times New Roman"/>
              </w:rPr>
            </w:pPr>
            <w:r>
              <w:rPr>
                <w:rFonts w:ascii="Times New Roman" w:hAnsi="Times New Roman"/>
              </w:rPr>
              <w:t>työjärjestyksen 50 artikla</w:t>
            </w:r>
          </w:p>
          <w:p w:rsidRPr="00424F46" w:rsidR="00180C9D" w:rsidP="009A4326" w:rsidRDefault="009A4326">
            <w:pPr>
              <w:spacing w:after="0" w:line="288" w:lineRule="auto"/>
              <w:jc w:val="both"/>
              <w:rPr>
                <w:rFonts w:ascii="Times New Roman" w:hAnsi="Times New Roman" w:eastAsia="Times New Roman" w:cs="Times New Roman"/>
              </w:rPr>
            </w:pPr>
            <w:r>
              <w:rPr>
                <w:rFonts w:ascii="Times New Roman" w:hAnsi="Times New Roman"/>
              </w:rPr>
              <w:t>päätöslauselma</w:t>
            </w:r>
          </w:p>
        </w:tc>
      </w:tr>
      <w:tr w:rsidR="00DF0DF5">
        <w:tc>
          <w:tcPr>
            <w:tcW w:w="3085" w:type="dxa"/>
          </w:tcPr>
          <w:p w:rsidRPr="00424F46" w:rsidR="00180C9D" w:rsidP="00F4047E" w:rsidRDefault="009A4326">
            <w:pPr>
              <w:spacing w:after="0" w:line="288" w:lineRule="auto"/>
              <w:jc w:val="both"/>
              <w:rPr>
                <w:rFonts w:ascii="Times New Roman" w:hAnsi="Times New Roman" w:eastAsia="Times New Roman" w:cs="Times New Roman"/>
              </w:rPr>
            </w:pPr>
            <w:r>
              <w:rPr>
                <w:rFonts w:ascii="Times New Roman" w:hAnsi="Times New Roman"/>
              </w:rPr>
              <w:t>Hyväksyminen täysistunnossa</w:t>
            </w:r>
          </w:p>
        </w:tc>
        <w:tc>
          <w:tcPr>
            <w:tcW w:w="6204" w:type="dxa"/>
            <w:vAlign w:val="bottom"/>
          </w:tcPr>
          <w:p w:rsidRPr="00424F46" w:rsidR="00180C9D" w:rsidP="00F4047E" w:rsidRDefault="006B78AF">
            <w:pPr>
              <w:spacing w:after="0" w:line="288" w:lineRule="auto"/>
              <w:jc w:val="both"/>
              <w:rPr>
                <w:rFonts w:ascii="Times New Roman" w:hAnsi="Times New Roman" w:eastAsia="Times New Roman" w:cs="Times New Roman"/>
              </w:rPr>
            </w:pPr>
            <w:r>
              <w:rPr>
                <w:rFonts w:ascii="Times New Roman" w:hAnsi="Times New Roman"/>
              </w:rPr>
              <w:t>26/10/2022</w:t>
            </w:r>
          </w:p>
        </w:tc>
      </w:tr>
      <w:tr w:rsidR="00DF0DF5">
        <w:tc>
          <w:tcPr>
            <w:tcW w:w="3085" w:type="dxa"/>
          </w:tcPr>
          <w:p w:rsidRPr="00424F46" w:rsidR="00180C9D" w:rsidP="00F4047E" w:rsidRDefault="009A4326">
            <w:pPr>
              <w:spacing w:after="0" w:line="288" w:lineRule="auto"/>
              <w:jc w:val="both"/>
              <w:rPr>
                <w:rFonts w:ascii="Times New Roman" w:hAnsi="Times New Roman" w:eastAsia="Times New Roman" w:cs="Times New Roman"/>
              </w:rPr>
            </w:pPr>
            <w:r>
              <w:rPr>
                <w:rFonts w:ascii="Times New Roman" w:hAnsi="Times New Roman"/>
              </w:rPr>
              <w:t>Täysistunnon nro</w:t>
            </w:r>
          </w:p>
        </w:tc>
        <w:tc>
          <w:tcPr>
            <w:tcW w:w="6204" w:type="dxa"/>
            <w:vAlign w:val="bottom"/>
          </w:tcPr>
          <w:p w:rsidRPr="00424F46" w:rsidR="00180C9D" w:rsidP="00F4047E" w:rsidRDefault="006B78AF">
            <w:pPr>
              <w:spacing w:after="0" w:line="288" w:lineRule="auto"/>
              <w:jc w:val="both"/>
              <w:rPr>
                <w:rFonts w:ascii="Times New Roman" w:hAnsi="Times New Roman" w:eastAsia="Times New Roman" w:cs="Times New Roman"/>
              </w:rPr>
            </w:pPr>
            <w:r>
              <w:rPr>
                <w:rFonts w:ascii="Times New Roman" w:hAnsi="Times New Roman"/>
              </w:rPr>
              <w:t>573</w:t>
            </w:r>
          </w:p>
        </w:tc>
      </w:tr>
      <w:tr w:rsidR="00DF0DF5">
        <w:tc>
          <w:tcPr>
            <w:tcW w:w="3085" w:type="dxa"/>
          </w:tcPr>
          <w:p w:rsidRPr="00424F46" w:rsidR="00180C9D" w:rsidP="00F4047E" w:rsidRDefault="009A4326">
            <w:pPr>
              <w:spacing w:after="0" w:line="288" w:lineRule="auto"/>
              <w:rPr>
                <w:rFonts w:ascii="Times New Roman" w:hAnsi="Times New Roman" w:eastAsia="Times New Roman" w:cs="Times New Roman"/>
              </w:rPr>
            </w:pPr>
            <w:r>
              <w:rPr>
                <w:rFonts w:ascii="Times New Roman" w:hAnsi="Times New Roman"/>
              </w:rPr>
              <w:t>Äänestystulos</w:t>
            </w:r>
            <w:r>
              <w:rPr>
                <w:rFonts w:ascii="Times New Roman" w:hAnsi="Times New Roman"/>
              </w:rPr>
              <w:br/>
              <w:t>(puolesta / vastaan / pidättyi äänestämästä)</w:t>
            </w:r>
          </w:p>
        </w:tc>
        <w:tc>
          <w:tcPr>
            <w:tcW w:w="6204" w:type="dxa"/>
            <w:vAlign w:val="bottom"/>
          </w:tcPr>
          <w:p w:rsidRPr="00424F46" w:rsidR="00180C9D" w:rsidP="00E567D2" w:rsidRDefault="00B45F35">
            <w:pPr>
              <w:spacing w:after="0" w:line="288" w:lineRule="auto"/>
              <w:jc w:val="both"/>
              <w:rPr>
                <w:rFonts w:ascii="Times New Roman" w:hAnsi="Times New Roman" w:eastAsia="Times New Roman" w:cs="Times New Roman"/>
              </w:rPr>
            </w:pPr>
            <w:r>
              <w:rPr>
                <w:rFonts w:ascii="Times New Roman" w:hAnsi="Times New Roman"/>
              </w:rPr>
              <w:t>104/1/0</w:t>
            </w:r>
          </w:p>
        </w:tc>
      </w:tr>
    </w:tbl>
    <w:p w:rsidRPr="00424F46" w:rsidR="00180C9D" w:rsidP="00180C9D" w:rsidRDefault="00180C9D">
      <w:pPr>
        <w:spacing w:after="0" w:line="288" w:lineRule="auto"/>
        <w:jc w:val="center"/>
        <w:rPr>
          <w:rFonts w:ascii="Times New Roman" w:hAnsi="Times New Roman" w:eastAsia="Times New Roman" w:cs="Times New Roman"/>
          <w:lang w:val="en-GB"/>
        </w:rPr>
      </w:pPr>
    </w:p>
    <w:p w:rsidRPr="00424F46" w:rsidR="00180C9D" w:rsidP="00180C9D" w:rsidRDefault="00180C9D">
      <w:pPr>
        <w:spacing w:after="0" w:line="288" w:lineRule="auto"/>
        <w:jc w:val="center"/>
        <w:rPr>
          <w:rFonts w:ascii="Times New Roman" w:hAnsi="Times New Roman" w:eastAsia="Times New Roman" w:cs="Times New Roman"/>
          <w:lang w:val="en-GB"/>
        </w:rPr>
        <w:sectPr w:rsidRPr="00424F46" w:rsidR="00180C9D" w:rsidSect="008A6CF4">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424F46" w:rsidR="00020F19" w:rsidP="00EF3B48" w:rsidRDefault="00020F19">
      <w:pPr>
        <w:keepNext/>
        <w:spacing w:after="0" w:line="288" w:lineRule="auto"/>
        <w:jc w:val="center"/>
        <w:rPr>
          <w:rFonts w:ascii="Times New Roman" w:hAnsi="Times New Roman" w:cs="Times New Roman"/>
          <w:b/>
          <w:sz w:val="24"/>
          <w:szCs w:val="24"/>
        </w:rPr>
      </w:pPr>
      <w:r>
        <w:rPr>
          <w:rFonts w:ascii="Times New Roman" w:hAnsi="Times New Roman"/>
          <w:b/>
          <w:sz w:val="24"/>
        </w:rPr>
        <w:lastRenderedPageBreak/>
        <w:t>Torjutaan yhdessä uhkaa ihmiskunnan olemassaololle: työmarkkinaosapuolet ja kansalaisyhteiskunta antavat tukensa kunnianhimoisten ilmastotoimien toteuttamiselle</w:t>
      </w:r>
    </w:p>
    <w:p w:rsidRPr="00424F46" w:rsidR="00020F19" w:rsidP="00EF3B48" w:rsidRDefault="00020F19">
      <w:pPr>
        <w:keepNext/>
        <w:spacing w:after="0" w:line="288" w:lineRule="auto"/>
        <w:jc w:val="center"/>
        <w:rPr>
          <w:rFonts w:ascii="Times New Roman" w:hAnsi="Times New Roman" w:cs="Times New Roman"/>
          <w:bCs/>
          <w:lang w:val="en-GB"/>
        </w:rPr>
      </w:pPr>
    </w:p>
    <w:p w:rsidRPr="00424F46" w:rsidR="00020F19" w:rsidP="00EF3B48" w:rsidRDefault="00020F19">
      <w:pPr>
        <w:keepNext/>
        <w:spacing w:after="0" w:line="288" w:lineRule="auto"/>
        <w:jc w:val="both"/>
        <w:rPr>
          <w:rFonts w:ascii="Times New Roman" w:hAnsi="Times New Roman" w:cs="Times New Roman"/>
          <w:bCs/>
        </w:rPr>
      </w:pPr>
      <w:r>
        <w:rPr>
          <w:rFonts w:ascii="Times New Roman" w:hAnsi="Times New Roman"/>
        </w:rPr>
        <w:t xml:space="preserve">Ilmastonmuutosta koskevan Yhdistyneiden kansakuntien puitesopimuksen vuosikokous (COP27) pidetään </w:t>
      </w:r>
      <w:proofErr w:type="spellStart"/>
      <w:r>
        <w:rPr>
          <w:rFonts w:ascii="Times New Roman" w:hAnsi="Times New Roman"/>
        </w:rPr>
        <w:t>Sharm</w:t>
      </w:r>
      <w:proofErr w:type="spellEnd"/>
      <w:r>
        <w:rPr>
          <w:rFonts w:ascii="Times New Roman" w:hAnsi="Times New Roman"/>
        </w:rPr>
        <w:t xml:space="preserve"> </w:t>
      </w:r>
      <w:proofErr w:type="spellStart"/>
      <w:r>
        <w:rPr>
          <w:rFonts w:ascii="Times New Roman" w:hAnsi="Times New Roman"/>
        </w:rPr>
        <w:t>El-Sheikhissä</w:t>
      </w:r>
      <w:proofErr w:type="spellEnd"/>
      <w:r>
        <w:rPr>
          <w:rFonts w:ascii="Times New Roman" w:hAnsi="Times New Roman"/>
        </w:rPr>
        <w:t xml:space="preserve"> Egyptissä 6.–18. marraskuuta 2022.</w:t>
      </w:r>
    </w:p>
    <w:p w:rsidRPr="00424F46" w:rsidR="00C0106D" w:rsidP="00765637" w:rsidRDefault="00C0106D">
      <w:pPr>
        <w:spacing w:after="0" w:line="288" w:lineRule="auto"/>
        <w:jc w:val="both"/>
        <w:rPr>
          <w:rFonts w:ascii="Times New Roman" w:hAnsi="Times New Roman" w:cs="Times New Roman"/>
          <w:bCs/>
          <w:sz w:val="18"/>
          <w:szCs w:val="18"/>
          <w:lang w:val="en-GB"/>
        </w:rPr>
      </w:pPr>
    </w:p>
    <w:p w:rsidRPr="00424F46" w:rsidR="00020F19" w:rsidP="00765637" w:rsidRDefault="00570F8A">
      <w:pPr>
        <w:spacing w:after="0" w:line="288" w:lineRule="auto"/>
        <w:jc w:val="both"/>
        <w:rPr>
          <w:rFonts w:ascii="Times New Roman" w:hAnsi="Times New Roman" w:cs="Times New Roman"/>
          <w:bCs/>
        </w:rPr>
      </w:pPr>
      <w:proofErr w:type="spellStart"/>
      <w:r>
        <w:rPr>
          <w:rFonts w:ascii="Times New Roman" w:hAnsi="Times New Roman"/>
        </w:rPr>
        <w:t>ETSK:n</w:t>
      </w:r>
      <w:proofErr w:type="spellEnd"/>
      <w:r>
        <w:rPr>
          <w:rFonts w:ascii="Times New Roman" w:hAnsi="Times New Roman"/>
        </w:rPr>
        <w:t xml:space="preserve"> työvaliokunnan 22. helmikuuta 2022 päivätyn muistion mukaisesti komitea perusti ilmastonmuutosta koskevan Yhdistyneiden kansakuntien puitesopimuksen osapuolten konferenssia (COP) käsittelevän väliaikaisen ryhmän valmistelemaan </w:t>
      </w:r>
      <w:proofErr w:type="spellStart"/>
      <w:r>
        <w:rPr>
          <w:rFonts w:ascii="Times New Roman" w:hAnsi="Times New Roman"/>
        </w:rPr>
        <w:t>ETSK:n</w:t>
      </w:r>
      <w:proofErr w:type="spellEnd"/>
      <w:r>
        <w:rPr>
          <w:rFonts w:ascii="Times New Roman" w:hAnsi="Times New Roman"/>
        </w:rPr>
        <w:t xml:space="preserve"> COP-päätöslauselmaa seuraavan COP-kokouksen painopisteiden ja </w:t>
      </w:r>
      <w:proofErr w:type="spellStart"/>
      <w:r>
        <w:rPr>
          <w:rFonts w:ascii="Times New Roman" w:hAnsi="Times New Roman"/>
        </w:rPr>
        <w:t>UNFCCC:n</w:t>
      </w:r>
      <w:proofErr w:type="spellEnd"/>
      <w:r>
        <w:rPr>
          <w:rFonts w:ascii="Times New Roman" w:hAnsi="Times New Roman"/>
        </w:rPr>
        <w:t xml:space="preserve"> neuvotteluprosessien mukaisesti sekä lisäämään komitean tietämystä UNFCCC-prosessista ja ottamaan osaa ilmastonmuutosneuvotteluihin.</w:t>
      </w:r>
    </w:p>
    <w:p w:rsidRPr="00424F46" w:rsidR="00C0106D" w:rsidP="00765637" w:rsidRDefault="00C0106D">
      <w:pPr>
        <w:spacing w:after="0" w:line="288" w:lineRule="auto"/>
        <w:jc w:val="both"/>
        <w:rPr>
          <w:rFonts w:ascii="Times New Roman" w:hAnsi="Times New Roman" w:cs="Times New Roman"/>
          <w:bCs/>
          <w:sz w:val="18"/>
          <w:szCs w:val="18"/>
          <w:lang w:val="en-GB"/>
        </w:rPr>
      </w:pPr>
    </w:p>
    <w:p w:rsidRPr="00424F46" w:rsidR="00020F19" w:rsidP="00765637" w:rsidRDefault="00020F19">
      <w:pPr>
        <w:spacing w:after="0" w:line="288" w:lineRule="auto"/>
        <w:jc w:val="both"/>
        <w:rPr>
          <w:rFonts w:ascii="Times New Roman" w:hAnsi="Times New Roman" w:cs="Times New Roman"/>
          <w:bCs/>
          <w:spacing w:val="-6"/>
        </w:rPr>
      </w:pPr>
      <w:r>
        <w:rPr>
          <w:rFonts w:ascii="Times New Roman" w:hAnsi="Times New Roman"/>
        </w:rPr>
        <w:t xml:space="preserve">Väliaikaisessa ryhmässä on kuusi jäsentä NAT-jaostosta sekä säännöllisesti osallistuva nuorison edustaja asiakokonaisuuteen NAT/788 kuuluvan oma-aloitteisen lausunnon </w:t>
      </w:r>
      <w:hyperlink w:history="1" r:id="rId21">
        <w:r>
          <w:rPr>
            <w:rStyle w:val="Hyperlink"/>
            <w:rFonts w:ascii="Times New Roman" w:hAnsi="Times New Roman"/>
          </w:rPr>
          <w:t>Kohti nuorten järjestelmällistä osallistamista ilmastoa ja kestävää kehitystä koskevaan EU:n päätöksentekoon</w:t>
        </w:r>
      </w:hyperlink>
      <w:r>
        <w:rPr>
          <w:rFonts w:ascii="Times New Roman" w:hAnsi="Times New Roman"/>
        </w:rPr>
        <w:t xml:space="preserve"> mukaisesti. Väliaikainen ryhmä on viime kuukausina vaihtanut tietoja ja etsinyt synergioita asianomaisten organisaatioiden ja toimielinten – kuten Euroopan komission, alueiden komitean, korkean tason ilmastotoimijoiden toimiston ja </w:t>
      </w:r>
      <w:proofErr w:type="spellStart"/>
      <w:r>
        <w:rPr>
          <w:rFonts w:ascii="Times New Roman" w:hAnsi="Times New Roman"/>
        </w:rPr>
        <w:t>Climate</w:t>
      </w:r>
      <w:proofErr w:type="spellEnd"/>
      <w:r>
        <w:rPr>
          <w:rFonts w:ascii="Times New Roman" w:hAnsi="Times New Roman"/>
        </w:rPr>
        <w:t xml:space="preserve"> Action </w:t>
      </w:r>
      <w:proofErr w:type="spellStart"/>
      <w:r>
        <w:rPr>
          <w:rFonts w:ascii="Times New Roman" w:hAnsi="Times New Roman"/>
        </w:rPr>
        <w:t>Tracker</w:t>
      </w:r>
      <w:proofErr w:type="spellEnd"/>
      <w:r>
        <w:rPr>
          <w:rFonts w:ascii="Times New Roman" w:hAnsi="Times New Roman"/>
        </w:rPr>
        <w:t xml:space="preserve"> -yhteenliittymän – sekä kansalaisyhteiskunnan osien – kuten nuorten, yritysten, viljelijöiden, ammattijärjestöjen ja ympäristöalan kansalaisjärjestöjen – edustajien kanssa. Kaikissa näissä keskusteluissa korostettiin ilmaston hätätilaa.</w:t>
      </w:r>
    </w:p>
    <w:p w:rsidRPr="00424F46" w:rsidR="00C0106D" w:rsidP="00765637" w:rsidRDefault="00C0106D">
      <w:pPr>
        <w:spacing w:after="0" w:line="288" w:lineRule="auto"/>
        <w:jc w:val="both"/>
        <w:rPr>
          <w:rFonts w:ascii="Times New Roman" w:hAnsi="Times New Roman" w:cs="Times New Roman"/>
          <w:bCs/>
          <w:sz w:val="18"/>
          <w:szCs w:val="18"/>
          <w:lang w:val="en-GB"/>
        </w:rPr>
      </w:pPr>
    </w:p>
    <w:p w:rsidRPr="00424F46" w:rsidR="00020F19" w:rsidP="00765637" w:rsidRDefault="00020F19">
      <w:pPr>
        <w:spacing w:after="0" w:line="288" w:lineRule="auto"/>
        <w:jc w:val="both"/>
        <w:rPr>
          <w:rFonts w:ascii="Times New Roman" w:hAnsi="Times New Roman" w:cs="Times New Roman"/>
          <w:bCs/>
        </w:rPr>
      </w:pPr>
      <w:r>
        <w:rPr>
          <w:rFonts w:ascii="Times New Roman" w:hAnsi="Times New Roman"/>
        </w:rPr>
        <w:t>Vuodesta 2022 on tulossa vuosi, jolloin ilmastonmuutos on aiheuttanut enemmän äärimmäisiä sääilmiöitä kuin koskaan aikaisemmin. Se on tarkoittanut rajuja helleaaltoja ja maastopaloja Euroopassa ja Etelä-Aasian osissa, tuhoisia tulvia Pakistanissa ja Bangladeshissa sekä pitkittynyttä kuivuutta Itä-Afrikassa, seurauksena on ollut tuhansia kuolonuhreja, ja miljoonat ihmiset ovat joutuneet siirtymään asuinseuduiltaan tai nälänhädän partaalle.</w:t>
      </w:r>
    </w:p>
    <w:p w:rsidRPr="00424F46" w:rsidR="00C0106D" w:rsidP="00765637" w:rsidRDefault="00C0106D">
      <w:pPr>
        <w:spacing w:after="0" w:line="288" w:lineRule="auto"/>
        <w:jc w:val="both"/>
        <w:rPr>
          <w:rFonts w:ascii="Times New Roman" w:hAnsi="Times New Roman" w:cs="Times New Roman"/>
          <w:bCs/>
          <w:sz w:val="18"/>
          <w:szCs w:val="18"/>
          <w:lang w:val="en-GB"/>
        </w:rPr>
      </w:pPr>
    </w:p>
    <w:p w:rsidRPr="00424F46" w:rsidR="00020F19" w:rsidP="00765637" w:rsidRDefault="00020F19">
      <w:pPr>
        <w:spacing w:after="0" w:line="288" w:lineRule="auto"/>
        <w:jc w:val="both"/>
        <w:rPr>
          <w:rFonts w:ascii="Times New Roman" w:hAnsi="Times New Roman" w:cs="Times New Roman"/>
          <w:bCs/>
        </w:rPr>
      </w:pPr>
      <w:r>
        <w:rPr>
          <w:rFonts w:ascii="Times New Roman" w:hAnsi="Times New Roman"/>
        </w:rPr>
        <w:t xml:space="preserve">Tältä osin </w:t>
      </w:r>
      <w:hyperlink w:history="1" r:id="rId22">
        <w:r>
          <w:rPr>
            <w:rStyle w:val="Hyperlink"/>
            <w:rFonts w:ascii="Times New Roman" w:hAnsi="Times New Roman"/>
          </w:rPr>
          <w:t>hallitustenvälisen ilmastonmuutospaneelin</w:t>
        </w:r>
      </w:hyperlink>
      <w:r>
        <w:rPr>
          <w:rFonts w:ascii="Times New Roman" w:hAnsi="Times New Roman"/>
        </w:rPr>
        <w:t xml:space="preserve"> äskettäisessä raportissa todetaan, että maapallon lämpenemisen rajoittamiseksi 1,5 celsiusasteeseen kasvihuonekaasupäästöjen huippu on ohitettava ”viimeistään ennen vuotta 2025”, että päästöt on puolitettava vuoteen 2030 mennessä ja että tämän saavuttaminen edellyttää huomattavia ja välittömiä päästövähennyksiä kaikilla aloilla. Tällä hetkellä </w:t>
      </w:r>
      <w:hyperlink w:history="1" r:id="rId23">
        <w:r>
          <w:rPr>
            <w:rStyle w:val="Hyperlink"/>
            <w:rFonts w:ascii="Times New Roman" w:hAnsi="Times New Roman"/>
          </w:rPr>
          <w:t>käytössä olevien toimintapolitiikkojen</w:t>
        </w:r>
      </w:hyperlink>
      <w:r>
        <w:rPr>
          <w:rFonts w:ascii="Times New Roman" w:hAnsi="Times New Roman"/>
        </w:rPr>
        <w:t xml:space="preserve"> ennustetaan kuitenkin johtavan ilmaston lämpenemiseen noin 2,7 celsiusasteella, ja nykyiset maakohtaiset sitoumukset – </w:t>
      </w:r>
      <w:r>
        <w:rPr>
          <w:rFonts w:ascii="Times New Roman" w:hAnsi="Times New Roman"/>
          <w:i/>
        </w:rPr>
        <w:t>kansallisesti määritellyt panokset</w:t>
      </w:r>
      <w:r>
        <w:rPr>
          <w:rFonts w:ascii="Times New Roman" w:hAnsi="Times New Roman"/>
        </w:rPr>
        <w:t xml:space="preserve"> – rajoittavat lämpenemisen 2,4 celsiusasteeseen.</w:t>
      </w:r>
    </w:p>
    <w:p w:rsidRPr="00424F46" w:rsidR="00C0106D" w:rsidP="00765637" w:rsidRDefault="00C0106D">
      <w:pPr>
        <w:spacing w:after="0" w:line="288" w:lineRule="auto"/>
        <w:jc w:val="both"/>
        <w:rPr>
          <w:rFonts w:ascii="Times New Roman" w:hAnsi="Times New Roman" w:cs="Times New Roman"/>
          <w:bCs/>
          <w:sz w:val="18"/>
          <w:szCs w:val="18"/>
          <w:lang w:val="en-GB"/>
        </w:rPr>
      </w:pPr>
    </w:p>
    <w:p w:rsidRPr="00424F46" w:rsidR="00020F19" w:rsidP="00765637" w:rsidRDefault="00020F19">
      <w:pPr>
        <w:spacing w:after="0" w:line="288" w:lineRule="auto"/>
        <w:jc w:val="both"/>
        <w:rPr>
          <w:rFonts w:ascii="Times New Roman" w:hAnsi="Times New Roman" w:cs="Times New Roman"/>
          <w:bCs/>
        </w:rPr>
      </w:pPr>
      <w:r>
        <w:rPr>
          <w:rFonts w:ascii="Times New Roman" w:hAnsi="Times New Roman"/>
        </w:rPr>
        <w:t>Venäjän hyökkäys Ukrainaan on monimutkaistanut merkittävästi jo ennestään taloudellisesti ja sosiaalisesti vaikeaa tilannetta. Ilmaston hätätilaa ei kuitenkaan voida siirtää tauolle. Kaikkien hyväksyttyjen erityistoimenpiteiden on oltava poikkeuksellisia ja ajallisesti rajattuja, ja Euroopan unionin on nopeutettava energia- ja ilmastopolitiikkansa uudistamista, jotta voidaan puuttua lyhyen aikavälin häiriöihin ja samalla edetä kohti väistämätöntä yhteiskuntien hiilestä irtautumista. Euroopan on oltava ilmastotoimien toteuttamisen kärjessä ja kurottava umpeen asetettujen tavoitteiden ja poliittisten toimenpiteiden välillä olevaa kuilua.</w:t>
      </w:r>
    </w:p>
    <w:p w:rsidRPr="00424F46" w:rsidR="00C0106D" w:rsidP="00765637" w:rsidRDefault="00C0106D">
      <w:pPr>
        <w:spacing w:after="0" w:line="288" w:lineRule="auto"/>
        <w:jc w:val="both"/>
        <w:rPr>
          <w:rFonts w:ascii="Times New Roman" w:hAnsi="Times New Roman" w:cs="Times New Roman"/>
          <w:bCs/>
          <w:sz w:val="18"/>
          <w:szCs w:val="18"/>
          <w:lang w:val="en-GB"/>
        </w:rPr>
      </w:pPr>
    </w:p>
    <w:p w:rsidRPr="00424F46" w:rsidR="00020F19" w:rsidP="00765637" w:rsidRDefault="00020F19">
      <w:pPr>
        <w:spacing w:after="0" w:line="288" w:lineRule="auto"/>
        <w:jc w:val="both"/>
        <w:rPr>
          <w:rFonts w:ascii="Times New Roman" w:hAnsi="Times New Roman" w:cs="Times New Roman"/>
          <w:bCs/>
        </w:rPr>
      </w:pPr>
      <w:r>
        <w:rPr>
          <w:rFonts w:ascii="Times New Roman" w:hAnsi="Times New Roman"/>
        </w:rPr>
        <w:t xml:space="preserve">Väliaikaisen ryhmän jäsenten laatimassa päätöslauselmassa kehotetaan EU:n toimielimiä ja hallituksia tiukentamaan ilmastotavoitteita tieteellisen tiedon pohjalta ja siinä kiinnitetään erityistä huomiota järjestäytyneen kansalaisyhteiskunnan rooliin ilmastotoimien vauhdittamisessa. Sosiaalista </w:t>
      </w:r>
      <w:r>
        <w:rPr>
          <w:rFonts w:ascii="Times New Roman" w:hAnsi="Times New Roman"/>
        </w:rPr>
        <w:lastRenderedPageBreak/>
        <w:t>selviytymiskykyä voidaan vahvistaa vain vaikutusvaltaisen kansalaisyhteiskunnan sekä yhteiskunnallisten toimijoiden ja ruohonjuuritason liikkeiden voimaantumisen avulla.</w:t>
      </w:r>
    </w:p>
    <w:p w:rsidRPr="00424F46" w:rsidR="00765637" w:rsidP="00765637" w:rsidRDefault="00765637">
      <w:pPr>
        <w:spacing w:after="0" w:line="288" w:lineRule="auto"/>
        <w:jc w:val="both"/>
        <w:rPr>
          <w:rFonts w:ascii="Times New Roman" w:hAnsi="Times New Roman" w:cs="Times New Roman"/>
          <w:bCs/>
          <w:sz w:val="18"/>
          <w:szCs w:val="18"/>
          <w:lang w:val="en-GB"/>
        </w:rPr>
      </w:pPr>
    </w:p>
    <w:p w:rsidRPr="00424F46" w:rsidR="00765637" w:rsidRDefault="00020F19">
      <w:pPr>
        <w:spacing w:after="0" w:line="288" w:lineRule="auto"/>
        <w:jc w:val="center"/>
        <w:rPr>
          <w:rFonts w:ascii="Times New Roman" w:hAnsi="Times New Roman" w:cs="Times New Roman"/>
          <w:bCs/>
          <w:i/>
          <w:iCs/>
        </w:rPr>
      </w:pPr>
      <w:r>
        <w:rPr>
          <w:rFonts w:ascii="Times New Roman" w:hAnsi="Times New Roman"/>
          <w:i/>
        </w:rPr>
        <w:t xml:space="preserve">Olemme viimeinen sukupolvi, joka voi pysäyttää ilmastonmuutoksen, ja </w:t>
      </w:r>
      <w:proofErr w:type="spellStart"/>
      <w:r>
        <w:rPr>
          <w:rFonts w:ascii="Times New Roman" w:hAnsi="Times New Roman"/>
          <w:i/>
        </w:rPr>
        <w:t>ETSK:n</w:t>
      </w:r>
      <w:proofErr w:type="spellEnd"/>
      <w:r>
        <w:rPr>
          <w:rFonts w:ascii="Times New Roman" w:hAnsi="Times New Roman"/>
          <w:i/>
        </w:rPr>
        <w:t xml:space="preserve"> tulisi Euroopan kansalaisyhteiskunnan äänenä olla johtavassa asemassa edistettäessä siirtymää kohti hiilineutraalia, osallistavaa ja sosiaalisesti oikeudenmukaista yhteiskuntaa.</w:t>
      </w:r>
      <w:r>
        <w:rPr>
          <w:rFonts w:ascii="Times New Roman" w:hAnsi="Times New Roman"/>
          <w:i/>
        </w:rPr>
        <w:br w:type="page"/>
      </w:r>
    </w:p>
    <w:p w:rsidRPr="00424F46" w:rsidR="0040134E" w:rsidP="00EF3B48" w:rsidRDefault="0040134E">
      <w:pPr>
        <w:keepNext/>
        <w:spacing w:after="0" w:line="288" w:lineRule="auto"/>
        <w:jc w:val="both"/>
        <w:rPr>
          <w:rFonts w:ascii="Times New Roman" w:hAnsi="Times New Roman" w:cs="Times New Roman"/>
          <w:b/>
        </w:rPr>
      </w:pPr>
      <w:r>
        <w:rPr>
          <w:rFonts w:ascii="Times New Roman" w:hAnsi="Times New Roman"/>
          <w:b/>
        </w:rPr>
        <w:lastRenderedPageBreak/>
        <w:t>EUROOPAN TALOUS- JA SOSIAALIKOMITEAN TOIMINTAPOLIITTISET SUOSITUKSET:</w:t>
      </w:r>
    </w:p>
    <w:p w:rsidRPr="00424F46" w:rsidR="00765637" w:rsidP="00EF3B48" w:rsidRDefault="00765637">
      <w:pPr>
        <w:keepNext/>
        <w:spacing w:after="0" w:line="288" w:lineRule="auto"/>
        <w:jc w:val="both"/>
        <w:rPr>
          <w:rFonts w:ascii="Times New Roman" w:hAnsi="Times New Roman" w:cs="Times New Roman"/>
          <w:b/>
          <w:lang w:val="en-GB"/>
        </w:rPr>
      </w:pPr>
    </w:p>
    <w:p w:rsidRPr="00424F46" w:rsidR="0040134E" w:rsidP="00EF3B48" w:rsidRDefault="00492189">
      <w:pPr>
        <w:keepNext/>
        <w:spacing w:after="0" w:line="288" w:lineRule="auto"/>
        <w:jc w:val="both"/>
        <w:rPr>
          <w:rFonts w:ascii="Times New Roman" w:hAnsi="Times New Roman"/>
          <w:b/>
          <w:i/>
        </w:rPr>
      </w:pPr>
      <w:r>
        <w:rPr>
          <w:rFonts w:ascii="Times New Roman" w:hAnsi="Times New Roman"/>
          <w:b/>
          <w:i/>
        </w:rPr>
        <w:t>Ilmastotavoitteiden nostaminen ilmastokriisiin vastaamiseksi ja EU:n ilmastotoimien tehostaminen</w:t>
      </w:r>
    </w:p>
    <w:p w:rsidRPr="00424F46" w:rsidR="00765637" w:rsidP="00EF3B48" w:rsidRDefault="00765637">
      <w:pPr>
        <w:keepNext/>
        <w:spacing w:after="0" w:line="288" w:lineRule="auto"/>
        <w:jc w:val="both"/>
        <w:rPr>
          <w:rFonts w:ascii="Times New Roman" w:hAnsi="Times New Roman" w:cs="Times New Roman"/>
          <w:bCs/>
          <w:iCs/>
          <w:lang w:val="en-GB" w:eastAsia="en-GB"/>
        </w:rPr>
      </w:pPr>
    </w:p>
    <w:p w:rsidRPr="00424F46" w:rsidR="00A133B3" w:rsidRDefault="001522F6">
      <w:pPr>
        <w:pStyle w:val="ListParagraph"/>
        <w:spacing w:after="0" w:line="288" w:lineRule="auto"/>
        <w:ind w:left="0"/>
        <w:jc w:val="both"/>
        <w:rPr>
          <w:rFonts w:ascii="Times New Roman" w:hAnsi="Times New Roman" w:cs="Times New Roman"/>
          <w:bCs/>
          <w:iCs/>
        </w:rPr>
      </w:pPr>
      <w:r>
        <w:rPr>
          <w:rFonts w:ascii="Times New Roman" w:hAnsi="Times New Roman"/>
        </w:rPr>
        <w:t>Euroopan järjestäytyneen kansalaisyhteiskunnan äänenä ja Euroopan parlamentille, neuvostolle ja komissiolle neuvoa antavana toimielimenä sekä osana maailmanlaajuista kansalaisyhteiskuntaa Euroopan talous- ja sosiaalikomitea (ETSK)</w:t>
      </w:r>
    </w:p>
    <w:p w:rsidRPr="00424F46" w:rsidR="00A133B3" w:rsidP="00F5520F" w:rsidRDefault="00A133B3">
      <w:pPr>
        <w:pStyle w:val="ListParagraph"/>
        <w:spacing w:after="0" w:line="288" w:lineRule="auto"/>
        <w:ind w:left="0"/>
        <w:jc w:val="both"/>
        <w:rPr>
          <w:rFonts w:ascii="Times New Roman" w:hAnsi="Times New Roman" w:cs="Times New Roman"/>
          <w:bCs/>
          <w:iCs/>
          <w:lang w:val="en-GB" w:eastAsia="en-GB"/>
        </w:rPr>
      </w:pPr>
    </w:p>
    <w:p w:rsidRPr="00424F46" w:rsidR="00C5108E" w:rsidP="00F5520F" w:rsidRDefault="001522F6">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huomauttaa, että ilmastonmuutosta koskeva Yhdistyneiden Kansakuntien puitesopimus (UNFCCC) hyväksyttiin 30 vuotta sitten ja että sen perimmäisenä tavoitteena on ”saada aikaan kasvihuonekaasujen pitoisuuksien vakiintuminen ilmakehässä sellaiselle tasolle, ettei ihmisen toiminnasta aiheudu vaarallista häiriötä ilmastojärjestelmässä” (2 artikla) ja että tätä tavoitetta ei ole saavutettu.</w:t>
      </w:r>
    </w:p>
    <w:p w:rsidRPr="00424F46" w:rsidR="00E25EDF" w:rsidP="00F5520F" w:rsidRDefault="00E25EDF">
      <w:pPr>
        <w:pStyle w:val="ListParagraph"/>
        <w:spacing w:after="0" w:line="288" w:lineRule="auto"/>
        <w:ind w:left="567" w:hanging="567"/>
        <w:jc w:val="both"/>
        <w:rPr>
          <w:rFonts w:ascii="Times New Roman" w:hAnsi="Times New Roman" w:cs="Times New Roman"/>
          <w:lang w:val="en-GB"/>
        </w:rPr>
      </w:pPr>
    </w:p>
    <w:p w:rsidRPr="00424F46" w:rsidR="00A73469" w:rsidP="00F5520F" w:rsidRDefault="00FC5DCF">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huomauttaa, että vuonna 2015 tehdyssä Pariisin sopimuksessa siirryttiin ilmastosopimuksen laadullisesta tavoitteesta eli ilmastovaikutusten välttämisestä määrälliseen tavoitteeseen: pitämään maapallon keskilämpötilan nousu selvästi alle 2 celsiusasteessa suhteessa esiteolliseen aikaan ja pyrkimään toimiin, joilla lämpötilan nousu saataisiin rajattua 1,5 celsiusasteeseen suhteessa esiteolliseen aikaan.</w:t>
      </w:r>
      <w:r w:rsidRPr="00424F46" w:rsidR="00C5108E">
        <w:rPr>
          <w:rStyle w:val="FootnoteReference"/>
          <w:rFonts w:ascii="Times New Roman" w:hAnsi="Times New Roman" w:cs="Times New Roman"/>
          <w:lang w:val="en-GB"/>
        </w:rPr>
        <w:footnoteReference w:id="2"/>
      </w:r>
    </w:p>
    <w:p w:rsidRPr="00424F46" w:rsidR="00A73469" w:rsidP="00F5520F" w:rsidRDefault="00A73469">
      <w:pPr>
        <w:pStyle w:val="ListParagraph"/>
        <w:spacing w:after="0" w:line="288" w:lineRule="auto"/>
        <w:ind w:left="567" w:hanging="567"/>
        <w:jc w:val="both"/>
        <w:rPr>
          <w:rFonts w:ascii="Times New Roman" w:hAnsi="Times New Roman" w:cs="Times New Roman"/>
          <w:lang w:val="en-GB"/>
        </w:rPr>
      </w:pPr>
    </w:p>
    <w:p w:rsidRPr="00424F46" w:rsidR="00C5108E" w:rsidP="00F5520F" w:rsidRDefault="00C5108E">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korostaa, että 1,5 celsiusasteen tavoite ei ole riittävä ilmastonmuutoksen dramaattisten seurausten välttämiseksi. Kuten on nähty, ilmastonmuutos muuttaa jo nyt kaikkia alueita eri puolilla maailmaa.</w:t>
      </w:r>
      <w:r>
        <w:t xml:space="preserve"> </w:t>
      </w:r>
      <w:r>
        <w:rPr>
          <w:rFonts w:ascii="Times New Roman" w:hAnsi="Times New Roman"/>
        </w:rPr>
        <w:t>Tulvat, kuivuus, myrskyt, palot ja helleaallot lisääntyvät eksponentiaalisesti, ja niillä on tuhoisia sosiaalisia vaikutuksia ja miljardien taloudelliset vaikutukset vuosittain.</w:t>
      </w:r>
      <w:r w:rsidRPr="00424F46">
        <w:rPr>
          <w:rStyle w:val="FootnoteReference"/>
          <w:rFonts w:ascii="Times New Roman" w:hAnsi="Times New Roman" w:cs="Times New Roman"/>
          <w:lang w:val="en-GB"/>
        </w:rPr>
        <w:footnoteReference w:id="3"/>
      </w:r>
    </w:p>
    <w:p w:rsidRPr="00424F46" w:rsidR="00A73469" w:rsidP="00F5520F" w:rsidRDefault="00A73469">
      <w:pPr>
        <w:pStyle w:val="ListParagraph"/>
        <w:spacing w:after="0" w:line="288" w:lineRule="auto"/>
        <w:ind w:left="567" w:hanging="567"/>
        <w:jc w:val="both"/>
        <w:rPr>
          <w:rFonts w:ascii="Times New Roman" w:hAnsi="Times New Roman" w:cs="Times New Roman"/>
          <w:lang w:val="en-GB"/>
        </w:rPr>
      </w:pPr>
    </w:p>
    <w:p w:rsidRPr="00424F46" w:rsidR="00A73469" w:rsidP="00F5520F" w:rsidRDefault="00A73469">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korostaa, että elämme ilmastohätätilassa ja että emme saisi luopua yleissopimuksen 2 artiklasta, vaikka ilmastosopimus ei ole vielä pystynyt vastaamaan odotuksiin.</w:t>
      </w:r>
    </w:p>
    <w:p w:rsidRPr="00424F46" w:rsidR="00EA2B05" w:rsidP="00F5520F" w:rsidRDefault="00EA2B05">
      <w:pPr>
        <w:pStyle w:val="ListParagraph"/>
        <w:spacing w:after="0" w:line="288" w:lineRule="auto"/>
        <w:ind w:left="567" w:hanging="567"/>
        <w:jc w:val="both"/>
        <w:rPr>
          <w:rFonts w:ascii="Times New Roman" w:hAnsi="Times New Roman" w:cs="Times New Roman"/>
          <w:lang w:val="en-GB"/>
        </w:rPr>
      </w:pPr>
    </w:p>
    <w:p w:rsidRPr="00424F46" w:rsidR="00EA2B05" w:rsidP="00F5520F" w:rsidRDefault="00794F2D">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on erittäin vakuuttunut siitä, että poliittisissa päätöksissä on otettava huomioon tiede ja tutkimukset, ja huomauttaa, että hallitustenvälinen ilmastopaneeli (IPCC) on asettanut selkeät vertailuarvot: päästöjen huippu on ohitettava viimeistään ennen vuotta 2025</w:t>
      </w:r>
      <w:r w:rsidRPr="00424F46" w:rsidR="00D27A92">
        <w:rPr>
          <w:rStyle w:val="FootnoteReference"/>
          <w:rFonts w:ascii="Times New Roman" w:hAnsi="Times New Roman" w:cs="Times New Roman"/>
          <w:lang w:val="en-GB"/>
        </w:rPr>
        <w:footnoteReference w:id="4"/>
      </w:r>
      <w:r>
        <w:rPr>
          <w:rFonts w:ascii="Times New Roman" w:hAnsi="Times New Roman"/>
        </w:rPr>
        <w:t>, ja maailman on vähennettävä päästöjä 45 prosenttia vuoden 2010 tasosta vuoteen 2030 mennessä, jotta mahdollisuus rajata lämpötilan nousu 1,5 celsiusasteeseen säilyy.</w:t>
      </w:r>
    </w:p>
    <w:p w:rsidRPr="00424F46" w:rsidR="00EA2B05" w:rsidP="00F5520F" w:rsidRDefault="00EA2B05">
      <w:pPr>
        <w:pStyle w:val="ListParagraph"/>
        <w:spacing w:after="0" w:line="288" w:lineRule="auto"/>
        <w:ind w:left="567" w:hanging="567"/>
        <w:jc w:val="both"/>
        <w:rPr>
          <w:rFonts w:ascii="Times New Roman" w:hAnsi="Times New Roman" w:cs="Times New Roman"/>
          <w:lang w:val="en-GB"/>
        </w:rPr>
      </w:pPr>
    </w:p>
    <w:p w:rsidRPr="00424F46" w:rsidR="00EA1709" w:rsidP="00F5520F" w:rsidRDefault="00EA2B05">
      <w:pPr>
        <w:pStyle w:val="ListParagraph"/>
        <w:numPr>
          <w:ilvl w:val="0"/>
          <w:numId w:val="11"/>
        </w:numPr>
        <w:spacing w:after="0" w:line="288" w:lineRule="auto"/>
        <w:ind w:left="567" w:hanging="567"/>
        <w:jc w:val="both"/>
        <w:rPr>
          <w:rFonts w:ascii="Times New Roman" w:hAnsi="Times New Roman" w:cs="Times New Roman"/>
          <w:b/>
          <w:bCs/>
        </w:rPr>
      </w:pPr>
      <w:r>
        <w:rPr>
          <w:rFonts w:ascii="Times New Roman" w:hAnsi="Times New Roman"/>
        </w:rPr>
        <w:t xml:space="preserve">toteaa, että Venäjän hyökkäys Ukrainaan on pahentanut jo ennestään vaikeaa tilannetta, jolle ovat ominaisia inflaatio, korkeat energian ja ruoan hinnat ja mahdollinen energiapula. Nämä vaikuttavat hyvin kielteisesti kansalaisten elämään ja aiheuttavat vakavia sosiaalisia ja taloudellisia haasteita ainakin lyhyellä aikavälillä. ETSK katsoo, että nykyinen tilanne lisää </w:t>
      </w:r>
      <w:r>
        <w:rPr>
          <w:rFonts w:ascii="Times New Roman" w:hAnsi="Times New Roman"/>
        </w:rPr>
        <w:lastRenderedPageBreak/>
        <w:t xml:space="preserve">entisestään EU:n ilmastotoimien kiireellisyyttä ja että </w:t>
      </w:r>
      <w:r>
        <w:rPr>
          <w:rFonts w:ascii="Times New Roman" w:hAnsi="Times New Roman"/>
          <w:b/>
        </w:rPr>
        <w:t>uusi geopoliittinen tilanne vahvistaa EU:n tarvetta nopeuttaa energia- ja ilmastopolitiikkansa uudistamista</w:t>
      </w:r>
      <w:r>
        <w:rPr>
          <w:rFonts w:ascii="Times New Roman" w:hAnsi="Times New Roman"/>
        </w:rPr>
        <w:t>.</w:t>
      </w:r>
    </w:p>
    <w:p w:rsidRPr="00424F46" w:rsidR="00CB14BC" w:rsidP="00F5520F" w:rsidRDefault="00CB14BC">
      <w:pPr>
        <w:pStyle w:val="ListParagraph"/>
        <w:spacing w:after="0" w:line="288" w:lineRule="auto"/>
        <w:ind w:left="567" w:hanging="567"/>
        <w:jc w:val="both"/>
        <w:rPr>
          <w:rFonts w:ascii="Times New Roman" w:hAnsi="Times New Roman" w:cs="Times New Roman"/>
          <w:lang w:val="en-GB"/>
        </w:rPr>
      </w:pPr>
    </w:p>
    <w:p w:rsidRPr="00424F46" w:rsidR="00EA2B05" w:rsidP="00F5520F" w:rsidRDefault="003D0D15">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on vakuuttunut siitä, että </w:t>
      </w:r>
      <w:r>
        <w:rPr>
          <w:rFonts w:ascii="Times New Roman" w:hAnsi="Times New Roman"/>
          <w:b/>
        </w:rPr>
        <w:t>Euroopan vihreän kehityksen ohjelmaa on vahvistettava</w:t>
      </w:r>
      <w:r>
        <w:rPr>
          <w:rFonts w:ascii="Times New Roman" w:hAnsi="Times New Roman"/>
        </w:rPr>
        <w:t xml:space="preserve"> talouden hiilestä irtautumista koskevan tavoitteen saavuttamiseksi, ulkoisten riippuvuuksien vähentämiseksi edelleen, häiriönsietokyvyn varmistamiseksi ja oikeudenmukaisen siirtymän edistämiseksi ja että ylimääräisiä poikkeuksia sovittuihin tavoitteisiin voidaan myöntää vain lyhyelle ajalle.</w:t>
      </w:r>
      <w:r w:rsidRPr="00EF3B48" w:rsidR="00EA2B05">
        <w:rPr>
          <w:rStyle w:val="FootnoteReference"/>
          <w:rFonts w:ascii="Times New Roman" w:hAnsi="Times New Roman" w:cs="Times New Roman"/>
          <w:lang w:val="en-GB"/>
        </w:rPr>
        <w:footnoteReference w:id="5"/>
      </w:r>
      <w:r>
        <w:rPr>
          <w:rFonts w:ascii="Times New Roman" w:hAnsi="Times New Roman"/>
        </w:rPr>
        <w:t xml:space="preserve"> Komitea katsoo, että avoimen strategisen riippumattomuuden kehittämisellä olisi varmistettava riippuvuuden vähentäminen energian, kriittisten raaka-aineiden ja elintarvikkeiden alalla.</w:t>
      </w:r>
    </w:p>
    <w:p w:rsidRPr="00424F46" w:rsidR="00EA2B05" w:rsidP="00F5520F" w:rsidRDefault="00EA2B05">
      <w:pPr>
        <w:pStyle w:val="ListParagraph"/>
        <w:spacing w:after="0" w:line="288" w:lineRule="auto"/>
        <w:ind w:left="567" w:hanging="567"/>
        <w:jc w:val="both"/>
        <w:rPr>
          <w:rFonts w:ascii="Times New Roman" w:hAnsi="Times New Roman" w:cs="Times New Roman"/>
          <w:lang w:val="en-GB"/>
        </w:rPr>
      </w:pPr>
    </w:p>
    <w:p w:rsidRPr="00424F46" w:rsidR="00553760" w:rsidP="00F5520F" w:rsidRDefault="00EA2B05">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vaatii </w:t>
      </w:r>
      <w:r>
        <w:rPr>
          <w:rFonts w:ascii="Times New Roman" w:hAnsi="Times New Roman"/>
          <w:b/>
        </w:rPr>
        <w:t>EU:ta ottamaan johtoaseman</w:t>
      </w:r>
      <w:r>
        <w:rPr>
          <w:rFonts w:ascii="Times New Roman" w:hAnsi="Times New Roman"/>
        </w:rPr>
        <w:t xml:space="preserve"> ja kehottaa Euroopan komissiota ja EU:n jäsenvaltioita </w:t>
      </w:r>
      <w:r>
        <w:rPr>
          <w:rFonts w:ascii="Times New Roman" w:hAnsi="Times New Roman"/>
          <w:b/>
        </w:rPr>
        <w:t>päivittämään kansallisesti määritellyn panoksensa</w:t>
      </w:r>
      <w:r>
        <w:rPr>
          <w:rFonts w:ascii="Times New Roman" w:hAnsi="Times New Roman"/>
        </w:rPr>
        <w:t xml:space="preserve"> Glasgow’n ilmastosopimuksen mukaisesti. Komitea vaatii maailmanlaajuista oikeudenmukaista jakoa, joka perustuu tasapuolisuuteen, historialliseen vastuuseen ja valmiuksiin.</w:t>
      </w:r>
    </w:p>
    <w:p w:rsidRPr="00424F46" w:rsidR="00D27A92" w:rsidP="00F5520F" w:rsidRDefault="00D27A92">
      <w:pPr>
        <w:pStyle w:val="ListParagraph"/>
        <w:spacing w:after="0" w:line="288" w:lineRule="auto"/>
        <w:ind w:left="567" w:hanging="567"/>
        <w:jc w:val="both"/>
        <w:rPr>
          <w:rFonts w:ascii="Times New Roman" w:hAnsi="Times New Roman" w:cs="Times New Roman"/>
          <w:lang w:val="en-GB"/>
        </w:rPr>
      </w:pPr>
    </w:p>
    <w:p w:rsidRPr="00424F46" w:rsidR="00EA2B05" w:rsidP="00F5520F" w:rsidRDefault="00EA2B05">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suhtautuu myönteisesti päästökauppajärjestelmää</w:t>
      </w:r>
      <w:r w:rsidRPr="00424F46" w:rsidR="00CB14BC">
        <w:rPr>
          <w:rStyle w:val="FootnoteReference"/>
          <w:rFonts w:ascii="Times New Roman" w:hAnsi="Times New Roman" w:cs="Times New Roman"/>
          <w:lang w:val="en-GB"/>
        </w:rPr>
        <w:footnoteReference w:id="6"/>
      </w:r>
      <w:r>
        <w:rPr>
          <w:rFonts w:ascii="Times New Roman" w:hAnsi="Times New Roman"/>
        </w:rPr>
        <w:t xml:space="preserve"> ja hiilinieluja</w:t>
      </w:r>
      <w:r w:rsidRPr="00424F46" w:rsidR="00CB14BC">
        <w:rPr>
          <w:rStyle w:val="FootnoteReference"/>
          <w:rFonts w:ascii="Times New Roman" w:hAnsi="Times New Roman" w:cs="Times New Roman"/>
          <w:lang w:val="en-GB"/>
        </w:rPr>
        <w:footnoteReference w:id="7"/>
      </w:r>
      <w:r>
        <w:rPr>
          <w:rFonts w:ascii="Times New Roman" w:hAnsi="Times New Roman"/>
        </w:rPr>
        <w:t xml:space="preserve"> koskeviin Euroopan parlamentin päätöksiin, jotka ovat johtaneet EU:n päästövähennystavoitteen hienoiseen nousuun, mikä on kehotus – vaikkakin riittämätön – lisätä EU:n kansallisesti määriteltyjä panoksia.</w:t>
      </w:r>
    </w:p>
    <w:p w:rsidRPr="00424F46" w:rsidR="00EA2B05" w:rsidP="00F5520F" w:rsidRDefault="00EA2B05">
      <w:pPr>
        <w:pStyle w:val="ListParagraph"/>
        <w:spacing w:after="0" w:line="288" w:lineRule="auto"/>
        <w:ind w:left="567" w:hanging="567"/>
        <w:jc w:val="both"/>
        <w:rPr>
          <w:rFonts w:ascii="Times New Roman" w:hAnsi="Times New Roman" w:cs="Times New Roman"/>
          <w:lang w:val="en-GB"/>
        </w:rPr>
      </w:pPr>
    </w:p>
    <w:p w:rsidRPr="00424F46" w:rsidR="00EA2B05" w:rsidP="00F5520F" w:rsidRDefault="00D27A92">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on huolissaan siitä, että vaikka monet maat ovat ilmoittaneet pitkän aikavälin suunnitelmistaan, joilla pyritään saavuttamaan ilmastoneutraalius vuoteen 2050 tai 2060 mennessä, niitä ei ole tuettu vastaavilla lyhyen ja keskipitkän aikavälin suunnitelmilla, ja kehottaa siksi Euroopan komissiota </w:t>
      </w:r>
      <w:r>
        <w:rPr>
          <w:rFonts w:ascii="Times New Roman" w:hAnsi="Times New Roman"/>
          <w:b/>
        </w:rPr>
        <w:t>tehostamaan EU:n diplomatiatoimia</w:t>
      </w:r>
      <w:r>
        <w:rPr>
          <w:rFonts w:ascii="Times New Roman" w:hAnsi="Times New Roman"/>
        </w:rPr>
        <w:t>, joilla edistetään sitä, että kansainvälinen yhteisö hyväksyy Euroopan vihreän kehityksen ohjelman kaltaiset poliittiset kehykset. Komitea on valmis tukemaan tätä pyrkimystä tekemällä maailmanlaajuista yhteistyötä kansalaisjärjestöjen kanssa käyttäen Agenda 2030 -toimintaohjelmaa ja kestävän kehityksen tavoitteita ohjenuorana seuraavien ratkaisevien vuosien aikana.</w:t>
      </w:r>
    </w:p>
    <w:p w:rsidRPr="00424F46" w:rsidR="00444B59" w:rsidP="00F5520F" w:rsidRDefault="00444B59">
      <w:pPr>
        <w:pStyle w:val="ListParagraph"/>
        <w:spacing w:after="0" w:line="288" w:lineRule="auto"/>
        <w:ind w:left="0"/>
        <w:rPr>
          <w:rFonts w:ascii="Times New Roman" w:hAnsi="Times New Roman" w:cs="Times New Roman"/>
          <w:lang w:val="en-GB"/>
        </w:rPr>
      </w:pPr>
    </w:p>
    <w:p w:rsidRPr="00424F46" w:rsidR="003D0D15" w:rsidP="00F5520F" w:rsidRDefault="00C375B8">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pyytää EU:ta kehittämään edelleen alakohtaisia lähestymistapoja räätälöityjä toimenpiteitä tai ”ilmastokerhoja” varten, joita voitaisiin kehittää sellaisten maiden kesken, joilla on kunnianhimoisimmat ilmastotoimintaohjelmat, jotta voidaan kannustaa muita maita toimimaan nopeammin. Hiilirajamekanismin (CBAM) täytäntöönpano voisi olla tässä yhteydessä käyttökelpoinen väline.</w:t>
      </w:r>
    </w:p>
    <w:p w:rsidRPr="00424F46" w:rsidR="00DE24B9" w:rsidP="00F5520F" w:rsidRDefault="00DE24B9">
      <w:pPr>
        <w:pStyle w:val="ListParagraph"/>
        <w:spacing w:after="0" w:line="288" w:lineRule="auto"/>
        <w:ind w:left="0"/>
        <w:jc w:val="both"/>
        <w:rPr>
          <w:rFonts w:ascii="Times New Roman" w:hAnsi="Times New Roman" w:cs="Times New Roman"/>
          <w:lang w:val="en-GB"/>
        </w:rPr>
      </w:pPr>
    </w:p>
    <w:p w:rsidRPr="00424F46" w:rsidR="001B07D7" w:rsidP="00F5520F" w:rsidRDefault="003D0D15">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katsoo, että tarvitaan määrätietoisia ja selkeästi määriteltyjä toimia, jotta Pariisin sopimuksen 6 artikla saadaan toimintavalmiiksi ja saadaan viimeisteltyä Pariisin sääntökirja, jossa vahvistetaan puitteet maiden vapaaehtoiselle kansainväliselle yhteistyölle päästöjen vähentämiseksi ja niiden sitoumusten täyttämiseksi, ja samalla vältetään eräitä kaksinkertaisen laskennan ansoja tai väärennettyjen päästövähennyshyvitysten riskiä.</w:t>
      </w:r>
    </w:p>
    <w:p w:rsidRPr="00424F46" w:rsidR="00DA7721" w:rsidP="00F5520F" w:rsidRDefault="00DA7721">
      <w:pPr>
        <w:pStyle w:val="ListParagraph"/>
        <w:spacing w:after="0" w:line="288" w:lineRule="auto"/>
        <w:ind w:left="0"/>
        <w:jc w:val="both"/>
        <w:rPr>
          <w:rFonts w:ascii="Times New Roman" w:hAnsi="Times New Roman" w:cs="Times New Roman"/>
          <w:lang w:val="en-GB"/>
        </w:rPr>
      </w:pPr>
    </w:p>
    <w:p w:rsidRPr="00424F46" w:rsidR="00DA7721" w:rsidP="00F5520F" w:rsidRDefault="00DA7721">
      <w:pPr>
        <w:pStyle w:val="ListParagraph"/>
        <w:keepNext/>
        <w:keepLines/>
        <w:spacing w:after="0" w:line="288" w:lineRule="auto"/>
        <w:ind w:left="0"/>
        <w:jc w:val="both"/>
        <w:rPr>
          <w:rFonts w:ascii="Times New Roman" w:hAnsi="Times New Roman" w:cs="Times New Roman"/>
          <w:b/>
          <w:bCs/>
          <w:i/>
          <w:iCs/>
        </w:rPr>
      </w:pPr>
      <w:r>
        <w:rPr>
          <w:rFonts w:ascii="Times New Roman" w:hAnsi="Times New Roman"/>
          <w:b/>
          <w:i/>
        </w:rPr>
        <w:t>Nykyisen talousmallimme tarkistaminen ilmastonmuutoksen hillitsemisen ja siihen sopeutumisen tehostamiseksi sekä ilmastorahoituksen riittävän saatavuuden varmistamiseksi</w:t>
      </w:r>
    </w:p>
    <w:p w:rsidRPr="00424F46" w:rsidR="00DA7721" w:rsidP="00F5520F" w:rsidRDefault="00DA7721">
      <w:pPr>
        <w:pStyle w:val="ListParagraph"/>
        <w:keepNext/>
        <w:keepLines/>
        <w:spacing w:after="0" w:line="288" w:lineRule="auto"/>
        <w:ind w:left="0"/>
        <w:jc w:val="both"/>
        <w:rPr>
          <w:rFonts w:ascii="Times New Roman" w:hAnsi="Times New Roman" w:cs="Times New Roman"/>
          <w:b/>
          <w:bCs/>
          <w:lang w:val="en-GB"/>
        </w:rPr>
      </w:pPr>
    </w:p>
    <w:p w:rsidRPr="00424F46" w:rsidR="006D019C" w:rsidP="00F5520F" w:rsidRDefault="00D27A92">
      <w:pPr>
        <w:pStyle w:val="ListParagraph"/>
        <w:numPr>
          <w:ilvl w:val="0"/>
          <w:numId w:val="11"/>
        </w:numPr>
        <w:spacing w:after="0" w:line="288" w:lineRule="auto"/>
        <w:ind w:left="567" w:hanging="567"/>
        <w:jc w:val="both"/>
        <w:rPr>
          <w:rFonts w:ascii="Times New Roman" w:hAnsi="Times New Roman" w:cs="Times New Roman"/>
          <w:b/>
          <w:bCs/>
          <w:i/>
          <w:iCs/>
        </w:rPr>
      </w:pPr>
      <w:r>
        <w:rPr>
          <w:rFonts w:ascii="Times New Roman" w:hAnsi="Times New Roman"/>
        </w:rPr>
        <w:t xml:space="preserve">korostaa, että ilmastoneutraaliin yhteiskuntaan siirtymisen nopeuttamiseksi meidän on </w:t>
      </w:r>
      <w:r>
        <w:rPr>
          <w:rFonts w:ascii="Times New Roman" w:hAnsi="Times New Roman"/>
          <w:b/>
        </w:rPr>
        <w:t>tarkistettava nykyistä talousmalliamme</w:t>
      </w:r>
      <w:r>
        <w:rPr>
          <w:rFonts w:ascii="Times New Roman" w:hAnsi="Times New Roman"/>
        </w:rPr>
        <w:t>, jotta voidaan pohtia uudelleen kulutus- ja tuotantotapoja sekä tapaa, jolla arvostamme riittävyyttä, ja kehottaa EU:ta esittämään ihmisten ja maapallon hyvinvointia koskevan uuden vision, joka perustuu ympäristön kestävyyteen, oikeuteen ihmisarvoiseen elämään ja sosiaalisten arvojen suojeluun.</w:t>
      </w:r>
      <w:r w:rsidRPr="00424F46">
        <w:rPr>
          <w:rStyle w:val="FootnoteReference"/>
          <w:rFonts w:ascii="Times New Roman" w:hAnsi="Times New Roman" w:cs="Times New Roman"/>
          <w:lang w:val="en-GB"/>
        </w:rPr>
        <w:footnoteReference w:id="8"/>
      </w:r>
    </w:p>
    <w:p w:rsidRPr="00424F46" w:rsidR="00F426F7" w:rsidP="00F5520F" w:rsidRDefault="00F426F7">
      <w:pPr>
        <w:pStyle w:val="ListParagraph"/>
        <w:spacing w:after="0" w:line="288" w:lineRule="auto"/>
        <w:ind w:left="0"/>
        <w:jc w:val="both"/>
        <w:rPr>
          <w:rFonts w:ascii="Times New Roman" w:hAnsi="Times New Roman"/>
          <w:b/>
          <w:lang w:val="en-GB"/>
        </w:rPr>
      </w:pPr>
    </w:p>
    <w:p w:rsidRPr="00424F46" w:rsidR="00F426F7" w:rsidP="00F5520F" w:rsidRDefault="00F426F7">
      <w:pPr>
        <w:pStyle w:val="ListParagraph"/>
        <w:numPr>
          <w:ilvl w:val="0"/>
          <w:numId w:val="11"/>
        </w:numPr>
        <w:spacing w:after="0" w:line="288" w:lineRule="auto"/>
        <w:ind w:left="567" w:hanging="567"/>
        <w:jc w:val="both"/>
        <w:rPr>
          <w:rFonts w:ascii="Times New Roman" w:hAnsi="Times New Roman" w:cs="Times New Roman"/>
          <w:b/>
          <w:bCs/>
          <w:i/>
          <w:iCs/>
        </w:rPr>
      </w:pPr>
      <w:r>
        <w:rPr>
          <w:rFonts w:ascii="Times New Roman" w:hAnsi="Times New Roman"/>
        </w:rPr>
        <w:t xml:space="preserve">ehdottaa </w:t>
      </w:r>
      <w:r>
        <w:rPr>
          <w:rFonts w:ascii="Times New Roman" w:hAnsi="Times New Roman"/>
          <w:b/>
        </w:rPr>
        <w:t>uutta hallintokehystä</w:t>
      </w:r>
      <w:r>
        <w:rPr>
          <w:rFonts w:ascii="Times New Roman" w:hAnsi="Times New Roman"/>
        </w:rPr>
        <w:t xml:space="preserve"> näiden perustavanlaatuisten muutosten kehittämiseksi ja kannustaa hallituksia ja alueviranomaisia perustamaan </w:t>
      </w:r>
      <w:r>
        <w:rPr>
          <w:rFonts w:ascii="Times New Roman" w:hAnsi="Times New Roman"/>
          <w:b/>
        </w:rPr>
        <w:t>oikeudenmukaisen siirtymän toimikuntia</w:t>
      </w:r>
      <w:r>
        <w:rPr>
          <w:rFonts w:ascii="Times New Roman" w:hAnsi="Times New Roman"/>
        </w:rPr>
        <w:t>, joiden avulla työmarkkinaosapuolet ja kansalaisyhteiskunnan organisaatiot, myös nuorisojärjestöt, voivat esittää suosituksia ja osallistua neuvotteluihin kansallisista ja alueellisista oikeudenmukaisen siirtymän suunnitelmista ja kehittää niitä.</w:t>
      </w:r>
      <w:r w:rsidRPr="00424F46">
        <w:rPr>
          <w:rStyle w:val="FootnoteReference"/>
          <w:rFonts w:ascii="Times New Roman" w:hAnsi="Times New Roman" w:cs="Times New Roman"/>
          <w:lang w:val="en-GB"/>
        </w:rPr>
        <w:footnoteReference w:id="9"/>
      </w:r>
      <w:r>
        <w:rPr>
          <w:rFonts w:ascii="Times New Roman" w:hAnsi="Times New Roman"/>
        </w:rPr>
        <w:t xml:space="preserve"> Komitea katsoo, että tähänastiset aloitteet vihreän siirtymän sosiaalisiin haasteisiin vastaamiseksi ovat olleet hajanaisia.</w:t>
      </w:r>
      <w:r w:rsidRPr="00424F46" w:rsidR="00CA61D4">
        <w:rPr>
          <w:rStyle w:val="FootnoteReference"/>
          <w:rFonts w:ascii="Times New Roman" w:hAnsi="Times New Roman" w:cs="Times New Roman"/>
          <w:lang w:val="en-GB"/>
        </w:rPr>
        <w:footnoteReference w:id="10"/>
      </w:r>
    </w:p>
    <w:p w:rsidRPr="00424F46" w:rsidR="006D019C" w:rsidP="00F5520F" w:rsidRDefault="006D019C">
      <w:pPr>
        <w:pStyle w:val="ListParagraph"/>
        <w:spacing w:after="0" w:line="288" w:lineRule="auto"/>
        <w:ind w:left="0"/>
        <w:jc w:val="both"/>
        <w:rPr>
          <w:rFonts w:ascii="Times New Roman" w:hAnsi="Times New Roman" w:cs="Times New Roman"/>
          <w:lang w:val="en-GB"/>
        </w:rPr>
      </w:pPr>
    </w:p>
    <w:p w:rsidRPr="00424F46" w:rsidR="00492189" w:rsidP="00F5520F" w:rsidRDefault="00492189">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uskoo, että nopea siirtyminen vähähiiliseen talouteen aiheuttaa valtavia haasteita kansalaisille, työntekijöille, yrityksille ja alueille, erityisesti niille, jotka ovat riippuvaisimpia hiili-intensiivisistä toimi- ja teollisuudenaloista</w:t>
      </w:r>
      <w:r w:rsidRPr="00424F46">
        <w:rPr>
          <w:rStyle w:val="FootnoteReference"/>
          <w:rFonts w:ascii="Times New Roman" w:hAnsi="Times New Roman" w:cs="Times New Roman"/>
          <w:lang w:val="en-GB"/>
        </w:rPr>
        <w:footnoteReference w:id="11"/>
      </w:r>
      <w:r>
        <w:rPr>
          <w:rFonts w:ascii="Times New Roman" w:hAnsi="Times New Roman"/>
        </w:rPr>
        <w:t xml:space="preserve">, ja että </w:t>
      </w:r>
      <w:r>
        <w:rPr>
          <w:rFonts w:ascii="Times New Roman" w:hAnsi="Times New Roman"/>
          <w:b/>
        </w:rPr>
        <w:t xml:space="preserve">kansallisesti määritellyissä panoksissa olisi kartoitettava </w:t>
      </w:r>
      <w:r>
        <w:rPr>
          <w:rFonts w:ascii="Times New Roman" w:hAnsi="Times New Roman"/>
        </w:rPr>
        <w:t>ja analysoitava</w:t>
      </w:r>
      <w:r>
        <w:rPr>
          <w:rFonts w:ascii="Times New Roman" w:hAnsi="Times New Roman"/>
          <w:b/>
        </w:rPr>
        <w:t xml:space="preserve"> yksityiskohtaisesti</w:t>
      </w:r>
      <w:r>
        <w:rPr>
          <w:rFonts w:ascii="Times New Roman" w:hAnsi="Times New Roman"/>
        </w:rPr>
        <w:t xml:space="preserve"> vaikutuksia, joita siirtymällä on työllisyyteen ja osaamiseen kussakin maassa, sen osa-alueilla ja toimialoilla, alihankkijat ja arvoketjun loppupään toimijat mukaan luettuina, </w:t>
      </w:r>
      <w:r>
        <w:rPr>
          <w:rFonts w:ascii="Times New Roman" w:hAnsi="Times New Roman"/>
          <w:b/>
        </w:rPr>
        <w:t>ja niihin olisi liitettävä kansalliset työllisyyssuunnitelmat ja</w:t>
      </w:r>
      <w:r>
        <w:rPr>
          <w:rFonts w:ascii="Times New Roman" w:hAnsi="Times New Roman"/>
        </w:rPr>
        <w:t xml:space="preserve"> </w:t>
      </w:r>
      <w:proofErr w:type="spellStart"/>
      <w:r>
        <w:rPr>
          <w:rFonts w:ascii="Times New Roman" w:hAnsi="Times New Roman"/>
        </w:rPr>
        <w:t>ILO:n</w:t>
      </w:r>
      <w:proofErr w:type="spellEnd"/>
      <w:r>
        <w:rPr>
          <w:rFonts w:ascii="Times New Roman" w:hAnsi="Times New Roman"/>
        </w:rPr>
        <w:t xml:space="preserve"> oikeudenmukaisen siirtymän periaatteen mukaiset </w:t>
      </w:r>
      <w:r>
        <w:rPr>
          <w:rFonts w:ascii="Times New Roman" w:hAnsi="Times New Roman"/>
          <w:b/>
        </w:rPr>
        <w:t>oikeudenmukaisen siirtymän strategiat</w:t>
      </w:r>
      <w:r w:rsidRPr="00424F46">
        <w:rPr>
          <w:rStyle w:val="FootnoteReference"/>
          <w:rFonts w:ascii="Times New Roman" w:hAnsi="Times New Roman" w:cs="Times New Roman"/>
          <w:sz w:val="22"/>
          <w:lang w:val="en-GB"/>
        </w:rPr>
        <w:footnoteReference w:id="12"/>
      </w:r>
      <w:r>
        <w:rPr>
          <w:rFonts w:ascii="Times New Roman" w:hAnsi="Times New Roman"/>
        </w:rPr>
        <w:t>. Komitea kannattaa näin ollen Euroopan tulevaisuutta käsittelevän konferenssin ehdotusta varmistaa työntekijöitä ja työpaikkoja suojeleva oikeudenmukainen siirtymä ohjaamalla asianmukaista rahoitusta siirtymään ja lisätutkimukseen.</w:t>
      </w:r>
      <w:r w:rsidRPr="00424F46">
        <w:rPr>
          <w:rStyle w:val="FootnoteReference"/>
          <w:rFonts w:ascii="Times New Roman" w:hAnsi="Times New Roman" w:cs="Times New Roman"/>
          <w:lang w:val="en-GB"/>
        </w:rPr>
        <w:footnoteReference w:id="13"/>
      </w:r>
    </w:p>
    <w:p w:rsidRPr="00424F46" w:rsidR="00492189" w:rsidP="00F5520F" w:rsidRDefault="00492189">
      <w:pPr>
        <w:pStyle w:val="ListParagraph"/>
        <w:spacing w:after="0" w:line="288" w:lineRule="auto"/>
        <w:ind w:left="0"/>
        <w:jc w:val="both"/>
        <w:rPr>
          <w:rFonts w:ascii="Times New Roman" w:hAnsi="Times New Roman" w:cs="Times New Roman"/>
          <w:lang w:val="en-GB"/>
        </w:rPr>
      </w:pPr>
    </w:p>
    <w:p w:rsidRPr="00424F46" w:rsidR="007322BD" w:rsidP="00F5520F" w:rsidRDefault="00492189">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korostaa, että yksityisen sektorin vastuu hiilestä irtautumista koskevan tavoitteen saavuttamisesta edellyttää järjestelmien ennennäkemättömän laajaa ja nopeaa muuttamista, ja huomauttaa, että yksityisellä sektorilla on keskeinen rooli tässä prosessissa.</w:t>
      </w:r>
    </w:p>
    <w:p w:rsidRPr="00424F46" w:rsidR="007322BD" w:rsidP="00F5520F" w:rsidRDefault="007322BD">
      <w:pPr>
        <w:pStyle w:val="ListParagraph"/>
        <w:spacing w:after="0" w:line="288" w:lineRule="auto"/>
        <w:ind w:left="0"/>
        <w:jc w:val="both"/>
        <w:rPr>
          <w:rFonts w:ascii="Times New Roman" w:hAnsi="Times New Roman" w:cs="Times New Roman"/>
          <w:lang w:val="en-GB"/>
        </w:rPr>
      </w:pPr>
    </w:p>
    <w:p w:rsidRPr="00424F46" w:rsidR="00492189" w:rsidP="00F5520F" w:rsidRDefault="00492189">
      <w:pPr>
        <w:pStyle w:val="ListParagraph"/>
        <w:numPr>
          <w:ilvl w:val="0"/>
          <w:numId w:val="11"/>
        </w:numPr>
        <w:spacing w:after="0" w:line="288" w:lineRule="auto"/>
        <w:ind w:left="567" w:hanging="567"/>
        <w:jc w:val="both"/>
        <w:rPr>
          <w:rFonts w:ascii="Times New Roman" w:hAnsi="Times New Roman"/>
        </w:rPr>
      </w:pPr>
      <w:r>
        <w:rPr>
          <w:rFonts w:ascii="Times New Roman" w:hAnsi="Times New Roman"/>
        </w:rPr>
        <w:lastRenderedPageBreak/>
        <w:t>panee merkille yritysten ja yrittäjien eri puolilla EU:ta toteuttamat lukuisat ja erilaiset pyrkimykset kehittää liiketoimintaratkaisuja ilmastonmuutokseen liittyvien haasteiden lieventämiseksi ja niihin sopeutumiseksi ja katsoo, että innovatiivisilla ja vastuullisilla liiketoimintamalleilla olisi torjuttava ilmastonmuutosta keskittymällä mitattavissa oleviin kestävyystavoitteisiin, mukaan lukien veden, energian tai kemikaalien käytön vähentäminen.</w:t>
      </w:r>
    </w:p>
    <w:p w:rsidRPr="00424F46" w:rsidR="00492189" w:rsidP="00F5520F" w:rsidRDefault="00492189">
      <w:pPr>
        <w:pStyle w:val="ListParagraph"/>
        <w:spacing w:after="0" w:line="288" w:lineRule="auto"/>
        <w:ind w:left="0"/>
        <w:jc w:val="both"/>
        <w:rPr>
          <w:rFonts w:ascii="Times New Roman" w:hAnsi="Times New Roman" w:cs="Times New Roman"/>
          <w:lang w:val="en-GB"/>
        </w:rPr>
      </w:pPr>
    </w:p>
    <w:p w:rsidRPr="00424F46" w:rsidR="00492189" w:rsidP="00F5520F" w:rsidRDefault="00492189">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on huolissaan siitä, että kasvihuonekaasupäästöjen vähentäminen EU:ssa lisää päästöjä ulkomailla EU:n kulutuksen kattamiseksi, mikä aiheuttaa </w:t>
      </w:r>
      <w:r>
        <w:rPr>
          <w:rFonts w:ascii="Times New Roman" w:hAnsi="Times New Roman"/>
          <w:b/>
        </w:rPr>
        <w:t>kasvihuonekaasujen heijastusvaikutuksia</w:t>
      </w:r>
      <w:r w:rsidRPr="00424F46">
        <w:rPr>
          <w:rStyle w:val="FootnoteReference"/>
          <w:rFonts w:ascii="Times New Roman" w:hAnsi="Times New Roman" w:cs="Times New Roman"/>
          <w:sz w:val="22"/>
          <w:lang w:val="en-GB"/>
        </w:rPr>
        <w:footnoteReference w:id="14"/>
      </w:r>
      <w:r>
        <w:rPr>
          <w:rFonts w:ascii="Times New Roman" w:hAnsi="Times New Roman"/>
        </w:rPr>
        <w:t>, ja katsoo, että EU:n kasvihuonekaasuinventaarioon perustuvassa lähestymistavassa on otettava huomioon tuontituotteisiin liittyvät kasvihuonekaasupäästöt, että sosioekonomisen kehityksen irrottamisesta ilmastoon ja biologiseen monimuotoisuuteen kohdistuvista kielteisistä kotimaisista ja tuontivaikutuksista on tultava ensisijainen tavoite ja että hiilirajamekanismi on tukitoimenpide tämän tavoitteen saavuttamiseksi.</w:t>
      </w:r>
    </w:p>
    <w:p w:rsidRPr="00424F46" w:rsidR="00492189" w:rsidP="00F5520F" w:rsidRDefault="00492189">
      <w:pPr>
        <w:pStyle w:val="ListParagraph"/>
        <w:spacing w:after="0" w:line="288" w:lineRule="auto"/>
        <w:ind w:left="0"/>
        <w:jc w:val="both"/>
        <w:rPr>
          <w:rFonts w:ascii="Times New Roman" w:hAnsi="Times New Roman" w:cs="Times New Roman"/>
          <w:lang w:val="en-GB"/>
        </w:rPr>
      </w:pPr>
    </w:p>
    <w:p w:rsidRPr="00424F46" w:rsidR="007E0872" w:rsidP="00765637" w:rsidRDefault="00570EB2">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toteaa, että – kuten tiedeyhteisö on korostanut – </w:t>
      </w:r>
      <w:r>
        <w:rPr>
          <w:rFonts w:ascii="Times New Roman" w:hAnsi="Times New Roman"/>
          <w:b/>
        </w:rPr>
        <w:t>biologisen monimuotoisuuden köyhtyminen ja ilmastonmuutos vahvistavat toisiaan</w:t>
      </w:r>
      <w:r>
        <w:rPr>
          <w:rFonts w:ascii="Times New Roman" w:hAnsi="Times New Roman"/>
        </w:rPr>
        <w:t xml:space="preserve">, ja kehottaa omaksumaan kokonaisvaltaisen lähestymistavan ympäristötoimiin, joilla puututaan biologisen monimuotoisuuden köyhtymisen ja ilmastonmuutoksen välisiin yhteyksiin, ja ehdottaa suojelualueiden koon tarkistamista ja kasvattamista sekä toimia jäljellä olevien luonnonvarojen suojelemiseksi vuoteen 2030 ulottuvan EU:n </w:t>
      </w:r>
      <w:proofErr w:type="spellStart"/>
      <w:r>
        <w:rPr>
          <w:rFonts w:ascii="Times New Roman" w:hAnsi="Times New Roman"/>
        </w:rPr>
        <w:t>biodiversiteettistrategian</w:t>
      </w:r>
      <w:proofErr w:type="spellEnd"/>
      <w:r>
        <w:rPr>
          <w:rFonts w:ascii="Times New Roman" w:hAnsi="Times New Roman"/>
        </w:rPr>
        <w:t xml:space="preserve"> mukaisesti.</w:t>
      </w:r>
      <w:r w:rsidRPr="00424F46" w:rsidR="007E0872">
        <w:rPr>
          <w:rStyle w:val="FootnoteReference"/>
          <w:rFonts w:ascii="Times New Roman" w:hAnsi="Times New Roman" w:cs="Times New Roman"/>
          <w:lang w:val="en-GB"/>
        </w:rPr>
        <w:footnoteReference w:id="15"/>
      </w:r>
    </w:p>
    <w:p w:rsidRPr="00424F46" w:rsidR="007E0872" w:rsidP="00765637" w:rsidRDefault="007E0872">
      <w:pPr>
        <w:pStyle w:val="ListParagraph"/>
        <w:spacing w:after="0" w:line="288" w:lineRule="auto"/>
        <w:ind w:left="0"/>
        <w:jc w:val="both"/>
        <w:rPr>
          <w:rFonts w:ascii="Times New Roman" w:hAnsi="Times New Roman" w:cs="Times New Roman"/>
          <w:lang w:val="en-GB"/>
        </w:rPr>
      </w:pPr>
    </w:p>
    <w:p w:rsidRPr="00424F46" w:rsidR="00492189" w:rsidP="00F5520F" w:rsidRDefault="006D019C">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pitää valitettavana, että ilmastonmuutoksen vaikutukset kohdistuvat suhteettomasti kaikkein heikoimmassa asemassa oleviin ihmisiin ja että pahimmat vaikutukset kohdistuvat maailmanlaajuisista päästöistä vähiten vastuussa oleviin yhteisöihin, joilla ei aina ole resursseja niistä selviytymistä varten.</w:t>
      </w:r>
    </w:p>
    <w:p w:rsidRPr="00424F46" w:rsidR="006D019C" w:rsidP="00F5520F" w:rsidRDefault="006D019C">
      <w:pPr>
        <w:pStyle w:val="ListParagraph"/>
        <w:spacing w:after="0" w:line="288" w:lineRule="auto"/>
        <w:ind w:left="0"/>
        <w:jc w:val="both"/>
        <w:rPr>
          <w:rFonts w:ascii="Times New Roman" w:hAnsi="Times New Roman" w:cs="Times New Roman"/>
          <w:lang w:val="en-GB"/>
        </w:rPr>
      </w:pPr>
    </w:p>
    <w:p w:rsidRPr="00424F46" w:rsidR="0044565F" w:rsidP="00F5520F" w:rsidRDefault="0044565F">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b/>
        </w:rPr>
        <w:t>huomauttaa, että sopeutumistoimista</w:t>
      </w:r>
      <w:r>
        <w:rPr>
          <w:rFonts w:ascii="Times New Roman" w:hAnsi="Times New Roman"/>
        </w:rPr>
        <w:t xml:space="preserve"> on tulossa yhä tärkeämpiä, kun poikkeukselliset ilmastotapahtumat yleistyvät, minkä vuoksi on olennaisen tärkeää ennakoida paremmin ilmastonmuutoksen vaikutuksia. Komitea korostaa, että Pariisin sopimuksessa painotetaan kansallisen tason sopeutumissuunnitteluprosessien merkitystä velvoittamalla kaikki maat raportoimaan saavutetusta edistyksestä, ja kehottaa ottamaan osallistavuuden laajalti huomioon, jotta vältetään olemassa olevan eriarvoisuuden lisääntyminen.</w:t>
      </w:r>
    </w:p>
    <w:p w:rsidRPr="00424F46" w:rsidR="00803823" w:rsidP="00F5520F" w:rsidRDefault="00803823">
      <w:pPr>
        <w:pStyle w:val="ListParagraph"/>
        <w:spacing w:after="0" w:line="288" w:lineRule="auto"/>
        <w:ind w:left="0"/>
        <w:jc w:val="both"/>
        <w:rPr>
          <w:rFonts w:ascii="Times New Roman" w:hAnsi="Times New Roman" w:cs="Times New Roman"/>
          <w:lang w:val="en-GB"/>
        </w:rPr>
      </w:pPr>
    </w:p>
    <w:p w:rsidRPr="00424F46" w:rsidR="0044565F" w:rsidP="00F5520F" w:rsidRDefault="0044565F">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kehottaa teollisuusmaita lisäämään ilmastorahoituksen kokonaismäärää </w:t>
      </w:r>
      <w:r>
        <w:rPr>
          <w:rFonts w:ascii="Times New Roman" w:hAnsi="Times New Roman"/>
          <w:b/>
        </w:rPr>
        <w:t>painottaen samalla tasapuolisesti ilmastomuutoksen hillitsemisen ja siihen sopeutumisen rahoittamista</w:t>
      </w:r>
      <w:r>
        <w:rPr>
          <w:rFonts w:ascii="Times New Roman" w:hAnsi="Times New Roman"/>
        </w:rPr>
        <w:t>, sillä ilman lisärahoitusta sopeutumisen suunnittelu ja täytäntöönpano jäävät vähäisiksi erityisesti kehitysmaissa. ETSK kehottaa ryhtymään lisätoimiin sen varmistamiseksi, että tätä periaatetta noudatetaan, ottaen huomioon, että hillitsemistoimet estävät ilmastokriisin syvenemisen tulevia sukupolvia ajatellen, kun taas sopeutumistoimilla suojellaan nykyisiä ja tulevia sukupolvia jo meneillään olevan ilmastonmuutoksen aiheuttamilta äärimmäisiltä sääilmiöiltä.</w:t>
      </w:r>
      <w:r w:rsidRPr="00424F46">
        <w:rPr>
          <w:rStyle w:val="FootnoteReference"/>
          <w:rFonts w:ascii="Times New Roman" w:hAnsi="Times New Roman" w:cs="Times New Roman"/>
          <w:lang w:val="en-GB"/>
        </w:rPr>
        <w:footnoteReference w:id="16"/>
      </w:r>
      <w:r>
        <w:rPr>
          <w:rFonts w:ascii="Times New Roman" w:hAnsi="Times New Roman"/>
        </w:rPr>
        <w:t xml:space="preserve"> ETSK </w:t>
      </w:r>
      <w:r>
        <w:rPr>
          <w:rFonts w:ascii="Times New Roman" w:hAnsi="Times New Roman"/>
        </w:rPr>
        <w:lastRenderedPageBreak/>
        <w:t>muistuttaa, että ilmastonmuutokseen sopeutumista koskevan rahoituksen osuus maailmanlaajuisesta ilmastorahoituksesta on tällä hetkellä vain 25 prosenttia ja että aiempia sitoumuksia, joiden mukaan sopeutumisen rahoitus nostetaan 40 prosenttiin vuoteen 2025 mennessä, ei noudateta.</w:t>
      </w:r>
      <w:r w:rsidRPr="00424F46">
        <w:rPr>
          <w:rStyle w:val="FootnoteReference"/>
          <w:rFonts w:ascii="Times New Roman" w:hAnsi="Times New Roman" w:cs="Times New Roman"/>
          <w:lang w:val="en-GB"/>
        </w:rPr>
        <w:footnoteReference w:id="17"/>
      </w:r>
    </w:p>
    <w:p w:rsidRPr="00424F46" w:rsidR="002C59E9" w:rsidP="00F5520F" w:rsidRDefault="002C59E9">
      <w:pPr>
        <w:pStyle w:val="ListParagraph"/>
        <w:spacing w:after="0" w:line="288" w:lineRule="auto"/>
        <w:ind w:left="0"/>
        <w:jc w:val="both"/>
        <w:rPr>
          <w:rFonts w:ascii="Times New Roman" w:hAnsi="Times New Roman" w:cs="Times New Roman"/>
          <w:lang w:val="en-GB"/>
        </w:rPr>
      </w:pPr>
    </w:p>
    <w:p w:rsidRPr="00424F46" w:rsidR="00803823" w:rsidP="00F5520F" w:rsidRDefault="002C59E9">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pitää myönteisenä komission 100 miljoonan euron rahoitusosuutta </w:t>
      </w:r>
      <w:r>
        <w:rPr>
          <w:rFonts w:ascii="Times New Roman" w:hAnsi="Times New Roman"/>
          <w:b/>
        </w:rPr>
        <w:t>sopeuttamisrahastoon</w:t>
      </w:r>
      <w:r>
        <w:rPr>
          <w:rFonts w:ascii="Times New Roman" w:hAnsi="Times New Roman"/>
        </w:rPr>
        <w:t xml:space="preserve"> ja kehottaa EU:n jäsenvaltioita kaksinkertaistamaan sopeuttamisrahoituksen vuoden 2019 tasosta vuoteen 2025 mennessä sekä ryhtymään lisätoimiin toteuttamissuunnitelmassa asetetun 100 miljardin Yhdysvaltain dollarin tavoitteen saavuttamiseksi. Komitea korostaa, että tällä hetkellä ei ole maailmanlaajuista rahoitusvälinettä, jolla tuettaisiin toipumista näiden ihmisten kärsimistä menetyksistä ja vahingoista, ja kehottaa EU:n jäsenvaltioita ja komissiota sitoutumaan </w:t>
      </w:r>
      <w:r>
        <w:rPr>
          <w:rFonts w:ascii="Times New Roman" w:hAnsi="Times New Roman"/>
          <w:b/>
        </w:rPr>
        <w:t>”menetys- ja vahinkovälineeseen”</w:t>
      </w:r>
      <w:r>
        <w:rPr>
          <w:rFonts w:ascii="Times New Roman" w:hAnsi="Times New Roman"/>
        </w:rPr>
        <w:t xml:space="preserve"> ilmastonmuutoksen seurausten korjaamiseksi.</w:t>
      </w:r>
    </w:p>
    <w:p w:rsidRPr="00424F46" w:rsidR="00803823" w:rsidP="00F5520F" w:rsidRDefault="00803823">
      <w:pPr>
        <w:pStyle w:val="ListParagraph"/>
        <w:spacing w:after="0" w:line="288" w:lineRule="auto"/>
        <w:ind w:left="0"/>
        <w:jc w:val="both"/>
        <w:rPr>
          <w:rFonts w:ascii="Times New Roman" w:hAnsi="Times New Roman" w:cs="Times New Roman"/>
          <w:lang w:val="en-GB"/>
        </w:rPr>
      </w:pPr>
    </w:p>
    <w:p w:rsidRPr="00424F46" w:rsidR="00AF71F0" w:rsidP="00F5520F" w:rsidRDefault="00565A46">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katsoo, että osana ilmasto-oikeudenmukaisuutta koskevia toimia EU:n hallitusten ja toimielinten on kehitettävä </w:t>
      </w:r>
      <w:r>
        <w:rPr>
          <w:rFonts w:ascii="Times New Roman" w:hAnsi="Times New Roman"/>
          <w:b/>
        </w:rPr>
        <w:t>tulevaisuuteen suuntautuva ja kattava eurooppalainen muuttoliike- ja turvapaikkapolitiikka</w:t>
      </w:r>
      <w:r>
        <w:rPr>
          <w:rFonts w:ascii="Times New Roman" w:hAnsi="Times New Roman"/>
        </w:rPr>
        <w:t>, jolla suojellaan ilmastosyistä siirtymään joutuneita henkilöitä, alkaen ilmastopakolaisten virallisesta tunnustamisesta.</w:t>
      </w:r>
    </w:p>
    <w:p w:rsidRPr="00424F46" w:rsidR="00444B59" w:rsidP="00F5520F" w:rsidRDefault="00444B59">
      <w:pPr>
        <w:pStyle w:val="ListParagraph"/>
        <w:spacing w:after="0" w:line="288" w:lineRule="auto"/>
        <w:ind w:left="0"/>
        <w:rPr>
          <w:rFonts w:ascii="Times New Roman" w:hAnsi="Times New Roman" w:cs="Times New Roman"/>
          <w:lang w:val="en-GB"/>
        </w:rPr>
      </w:pPr>
    </w:p>
    <w:p w:rsidRPr="00424F46" w:rsidR="006D019C" w:rsidRDefault="00565A46">
      <w:pPr>
        <w:pStyle w:val="ListParagraph"/>
        <w:keepNext/>
        <w:keepLines/>
        <w:spacing w:after="0" w:line="288" w:lineRule="auto"/>
        <w:ind w:left="0"/>
        <w:jc w:val="both"/>
        <w:rPr>
          <w:rFonts w:ascii="Times New Roman" w:hAnsi="Times New Roman" w:cs="Times New Roman"/>
          <w:b/>
          <w:bCs/>
          <w:i/>
          <w:iCs/>
        </w:rPr>
      </w:pPr>
      <w:r>
        <w:rPr>
          <w:rFonts w:ascii="Times New Roman" w:hAnsi="Times New Roman"/>
          <w:b/>
          <w:i/>
        </w:rPr>
        <w:t>Tehokkaiden alakohtaisten toimien edistäminen ilmastoneutraaliuden saavuttamiseksi</w:t>
      </w:r>
    </w:p>
    <w:p w:rsidRPr="00424F46" w:rsidR="00707DFC" w:rsidRDefault="00707DFC">
      <w:pPr>
        <w:pStyle w:val="ListParagraph"/>
        <w:keepNext/>
        <w:keepLines/>
        <w:spacing w:after="0" w:line="288" w:lineRule="auto"/>
        <w:ind w:left="0"/>
        <w:jc w:val="both"/>
        <w:rPr>
          <w:rFonts w:ascii="Times New Roman" w:hAnsi="Times New Roman" w:cs="Times New Roman"/>
          <w:lang w:val="en-GB"/>
        </w:rPr>
      </w:pPr>
    </w:p>
    <w:p w:rsidRPr="00424F46" w:rsidR="007E0872" w:rsidP="00EF3B48" w:rsidRDefault="00707DFC">
      <w:pPr>
        <w:pStyle w:val="ListParagraph"/>
        <w:keepNext/>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korostaa, että </w:t>
      </w:r>
      <w:r>
        <w:rPr>
          <w:rFonts w:ascii="Times New Roman" w:hAnsi="Times New Roman"/>
          <w:b/>
        </w:rPr>
        <w:t>kiertotalous</w:t>
      </w:r>
      <w:r>
        <w:rPr>
          <w:rFonts w:ascii="Times New Roman" w:hAnsi="Times New Roman"/>
        </w:rPr>
        <w:t xml:space="preserve"> ja biotalous antavat mahdollisuuden kehittää ihmisten vaurautta koskeva uusi visio ja että niitä on edelleen nopeutettava</w:t>
      </w:r>
      <w:r w:rsidRPr="00424F46">
        <w:rPr>
          <w:rStyle w:val="FootnoteReference"/>
          <w:rFonts w:ascii="Times New Roman" w:hAnsi="Times New Roman" w:cs="Times New Roman"/>
          <w:lang w:val="en-GB"/>
        </w:rPr>
        <w:footnoteReference w:id="18"/>
      </w:r>
      <w:r>
        <w:rPr>
          <w:rFonts w:ascii="Times New Roman" w:hAnsi="Times New Roman"/>
        </w:rPr>
        <w:t>, ja huomauttaa, että eri aloilla ja eri maissa toteutettujen kiertotalousstrategioiden avulla voidaan vähentää maailmanlaajuisia kasvihuonekaasupäästöjä 39 prosentilla</w:t>
      </w:r>
      <w:r w:rsidRPr="00424F46">
        <w:rPr>
          <w:rStyle w:val="FootnoteReference"/>
          <w:rFonts w:ascii="Times New Roman" w:hAnsi="Times New Roman" w:cs="Times New Roman"/>
          <w:lang w:val="en-GB"/>
        </w:rPr>
        <w:footnoteReference w:id="19"/>
      </w:r>
      <w:r>
        <w:rPr>
          <w:rFonts w:ascii="Times New Roman" w:hAnsi="Times New Roman"/>
        </w:rPr>
        <w:t>. Komitea ilmaisee huolensa siitä, että EU:ssa kiertotalouden osuus on vain noin 12 prosenttia sen kokonaistaloudesta huolimatta merkittävästä lainsäädännön uudistusprosessista, joka käynnistettiin vuonna 2015 ensimmäisellä kiertotaloutta koskevalla EU:n toimintasuunnitelmalla. Lisäksi komitea katsoo, että lisäedistystä voidaan saavuttaa vain tekemällä yhteistyötä kaikkien kansalaisyhteiskunnan osien kanssa, erityisesti jäljellä olevien poliittisten, kulttuuristen, infrastruktuuriin tai hallintoon liittyvien ja taloudellisten esteiden poistamiseksi.</w:t>
      </w:r>
      <w:r w:rsidRPr="00424F46">
        <w:rPr>
          <w:rStyle w:val="FootnoteReference"/>
          <w:rFonts w:ascii="Times New Roman" w:hAnsi="Times New Roman" w:cs="Times New Roman"/>
          <w:lang w:val="en-GB"/>
        </w:rPr>
        <w:footnoteReference w:id="20"/>
      </w:r>
    </w:p>
    <w:p w:rsidRPr="00424F46" w:rsidR="007E0872" w:rsidP="00F5520F" w:rsidRDefault="007E0872">
      <w:pPr>
        <w:pStyle w:val="ListParagraph"/>
        <w:spacing w:after="0" w:line="288" w:lineRule="auto"/>
        <w:ind w:left="0"/>
        <w:jc w:val="both"/>
        <w:rPr>
          <w:rFonts w:ascii="Times New Roman" w:hAnsi="Times New Roman" w:cs="Times New Roman"/>
          <w:lang w:val="en-GB"/>
        </w:rPr>
      </w:pPr>
    </w:p>
    <w:p w:rsidRPr="00424F46" w:rsidR="00A42B33" w:rsidP="00F5520F" w:rsidRDefault="00444B59">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kehottaa sisällyttämään </w:t>
      </w:r>
      <w:r>
        <w:rPr>
          <w:rFonts w:ascii="Times New Roman" w:hAnsi="Times New Roman"/>
          <w:b/>
        </w:rPr>
        <w:t>kestävien elintarvikejärjestelmien</w:t>
      </w:r>
      <w:r>
        <w:rPr>
          <w:rFonts w:ascii="Times New Roman" w:hAnsi="Times New Roman"/>
        </w:rPr>
        <w:t xml:space="preserve"> käyttöönottoa koskevat siirtymästrategiat asianmukaisesti kansallisesti määriteltyihin panoksiin ja toteaa, että vaikka monet maat mainitsevat maatalouden </w:t>
      </w:r>
      <w:proofErr w:type="spellStart"/>
      <w:r>
        <w:rPr>
          <w:rFonts w:ascii="Times New Roman" w:hAnsi="Times New Roman"/>
        </w:rPr>
        <w:t>hillitsemis</w:t>
      </w:r>
      <w:proofErr w:type="spellEnd"/>
      <w:r>
        <w:rPr>
          <w:rFonts w:ascii="Times New Roman" w:hAnsi="Times New Roman"/>
        </w:rPr>
        <w:t>- ja sopeutumispotentiaalin kansallisesti määritellyissä panoksissaan, elintarvikejärjestelmän muihin vaiheisiin liittyviä tavoitteita on hyvin vähän</w:t>
      </w:r>
      <w:r w:rsidRPr="00424F46">
        <w:rPr>
          <w:rStyle w:val="FootnoteReference"/>
          <w:rFonts w:ascii="Times New Roman" w:hAnsi="Times New Roman" w:cs="Times New Roman"/>
          <w:sz w:val="22"/>
          <w:lang w:val="en-GB"/>
        </w:rPr>
        <w:footnoteReference w:id="21"/>
      </w:r>
      <w:r>
        <w:rPr>
          <w:rFonts w:ascii="Times New Roman" w:hAnsi="Times New Roman"/>
        </w:rPr>
        <w:t>, minkä vuoksi monet mahdollisuudet jäävät hyödyntämättä</w:t>
      </w:r>
      <w:r w:rsidRPr="00424F46">
        <w:rPr>
          <w:rStyle w:val="FootnoteReference"/>
          <w:rFonts w:ascii="Times New Roman" w:hAnsi="Times New Roman" w:cs="Times New Roman"/>
          <w:sz w:val="22"/>
          <w:lang w:val="en-GB"/>
        </w:rPr>
        <w:footnoteReference w:id="22"/>
      </w:r>
      <w:r>
        <w:rPr>
          <w:rFonts w:ascii="Times New Roman" w:hAnsi="Times New Roman"/>
        </w:rPr>
        <w:t xml:space="preserve">. Komitea muistuttaa </w:t>
      </w:r>
      <w:r>
        <w:rPr>
          <w:rFonts w:ascii="Times New Roman" w:hAnsi="Times New Roman"/>
        </w:rPr>
        <w:lastRenderedPageBreak/>
        <w:t>suosituksistaan hyväksyä kattavia elintarvikepolitiikkoja, kuten Pellolta pöytään -strategia, mukaan lukien ilmastotoimet, ja varmistaa sidosryhmien jäsennelty osallistuminen koko elintarvikeketjussa ja kaikilla hallinnon tasoilla</w:t>
      </w:r>
      <w:r w:rsidRPr="00424F46">
        <w:rPr>
          <w:rStyle w:val="FootnoteReference"/>
          <w:rFonts w:ascii="Times New Roman" w:hAnsi="Times New Roman" w:cs="Times New Roman"/>
          <w:lang w:val="en-GB"/>
        </w:rPr>
        <w:footnoteReference w:id="23"/>
      </w:r>
      <w:r>
        <w:rPr>
          <w:rFonts w:ascii="Times New Roman" w:hAnsi="Times New Roman"/>
        </w:rPr>
        <w:t xml:space="preserve"> erityisesti asettamalla tuottajat keskeiseen asemaan maatalousstrategioissa ja ottamalla heidät mukaan päätöksentekoon.</w:t>
      </w:r>
    </w:p>
    <w:p w:rsidRPr="00424F46" w:rsidR="00A42B33" w:rsidP="00F5520F" w:rsidRDefault="00A42B33">
      <w:pPr>
        <w:pStyle w:val="ListParagraph"/>
        <w:spacing w:after="0" w:line="288" w:lineRule="auto"/>
        <w:ind w:left="0"/>
        <w:jc w:val="both"/>
        <w:rPr>
          <w:rFonts w:ascii="Times New Roman" w:hAnsi="Times New Roman" w:cs="Times New Roman"/>
          <w:lang w:val="en-GB"/>
        </w:rPr>
      </w:pPr>
    </w:p>
    <w:p w:rsidRPr="00424F46" w:rsidR="00E362FB" w:rsidP="00765637" w:rsidRDefault="00953E81">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on huolissaan tilanteesta Afrikassa, jonka osuus maailmanlaajuisista päästöistä on ollut alle neljä prosenttia mutta joka erottuu suhteettomasti yhtenä maailman haavoittuvimmista alueista, ja </w:t>
      </w:r>
      <w:r>
        <w:rPr>
          <w:rFonts w:ascii="Times New Roman" w:hAnsi="Times New Roman"/>
          <w:b/>
        </w:rPr>
        <w:t>ottaen huomioon, että COP27-kokous järjestetään Afrikassa, esittää EU:lle selkeän kehotuksen asettaa etusijalle Afrikkaan ohjattavat taloudelliset, tekniset ja valmiuksien kehittämisen resurssit</w:t>
      </w:r>
      <w:r>
        <w:rPr>
          <w:rFonts w:ascii="Times New Roman" w:hAnsi="Times New Roman"/>
        </w:rPr>
        <w:t xml:space="preserve">, jotta voidaan tukea maanosan sitoutumista Pariisin COP21-kokouksen päätöksiin. Komitea katsoo, että useimmat Afrikan maiden kansallisesti määritellyt panokset sisältävät </w:t>
      </w:r>
      <w:proofErr w:type="spellStart"/>
      <w:r>
        <w:rPr>
          <w:rFonts w:ascii="Times New Roman" w:hAnsi="Times New Roman"/>
        </w:rPr>
        <w:t>hillitsemis</w:t>
      </w:r>
      <w:proofErr w:type="spellEnd"/>
      <w:r>
        <w:rPr>
          <w:rFonts w:ascii="Times New Roman" w:hAnsi="Times New Roman"/>
        </w:rPr>
        <w:t>- ja sopeutumistavoitteita, joiden ehtona on asianmukaisen kansainvälisen tuen saaminen, mikä asettaa kyseenalaiseksi arvokkaiden suojeluekosysteemien, kuten metsien tai savannien, suojelun sekä fossiilisten polttoaineiden tuotannon keskeyttämisen.</w:t>
      </w:r>
    </w:p>
    <w:p w:rsidRPr="00424F46" w:rsidR="00E362FB" w:rsidP="00765637" w:rsidRDefault="00E362FB">
      <w:pPr>
        <w:pStyle w:val="ListParagraph"/>
        <w:spacing w:after="0" w:line="288" w:lineRule="auto"/>
        <w:ind w:left="0"/>
        <w:jc w:val="both"/>
        <w:rPr>
          <w:rFonts w:ascii="Times New Roman" w:hAnsi="Times New Roman" w:cs="Times New Roman"/>
          <w:lang w:val="en-GB"/>
        </w:rPr>
      </w:pPr>
    </w:p>
    <w:p w:rsidRPr="00424F46" w:rsidR="00A42B33" w:rsidP="00526B40" w:rsidRDefault="00444B59">
      <w:pPr>
        <w:pStyle w:val="ListParagraph"/>
        <w:keepNext/>
        <w:keepLines/>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kehottaa lopettamaan </w:t>
      </w:r>
      <w:r>
        <w:rPr>
          <w:rFonts w:ascii="Times New Roman" w:hAnsi="Times New Roman"/>
          <w:b/>
        </w:rPr>
        <w:t>fossiilisten polttoaineiden tuet</w:t>
      </w:r>
      <w:r>
        <w:rPr>
          <w:rFonts w:ascii="Times New Roman" w:hAnsi="Times New Roman"/>
        </w:rPr>
        <w:t xml:space="preserve"> välittömästi, suhtautuu myönteisesti </w:t>
      </w:r>
      <w:proofErr w:type="spellStart"/>
      <w:r>
        <w:rPr>
          <w:rFonts w:ascii="Times New Roman" w:hAnsi="Times New Roman"/>
        </w:rPr>
        <w:t>REPowerEU</w:t>
      </w:r>
      <w:proofErr w:type="spellEnd"/>
      <w:r>
        <w:rPr>
          <w:rFonts w:ascii="Times New Roman" w:hAnsi="Times New Roman"/>
        </w:rPr>
        <w:t>-suunnitelmaa koskevaan tiedonantoon, koska siinä esitetään vihreän kehityksen ohjelman ja Euroopan energiaunionin tavoitteiden mukaisia ratkaisuja</w:t>
      </w:r>
      <w:r w:rsidRPr="00424F46">
        <w:rPr>
          <w:rStyle w:val="FootnoteReference"/>
          <w:rFonts w:ascii="Times New Roman" w:hAnsi="Times New Roman" w:cs="Times New Roman"/>
          <w:lang w:val="en-GB"/>
        </w:rPr>
        <w:footnoteReference w:id="24"/>
      </w:r>
      <w:r w:rsidRPr="00424F46" w:rsidR="00EB27C9">
        <w:rPr>
          <w:rStyle w:val="FootnoteReference"/>
          <w:rFonts w:ascii="Times New Roman" w:hAnsi="Times New Roman" w:cs="Times New Roman"/>
          <w:lang w:val="en-GB"/>
        </w:rPr>
        <w:footnoteReference w:id="25"/>
      </w:r>
      <w:r>
        <w:rPr>
          <w:rFonts w:ascii="Times New Roman" w:hAnsi="Times New Roman"/>
        </w:rPr>
        <w:t>, ja katsoo, että hallitusten on tarjottava puitteet investoinneille läpimurtoteknologioihin, kuten energiatehokkuuteen ja uusiutuvan energian tuotantoon, tukemalla tutkimusta, innovointia ja kehitystä. Lisäksi sääntely olisi suunniteltava siten, että sillä luodaan mahdollisuuksia uusien teknologioiden kehittämiselle ja käyttöönotolle markkinoilla, mukaan lukien kysyntäpuolen toimenpiteet edelläkävijämarkkinoiden luomiseksi ja vähähiilisten tuotteiden kulutuksen edistämiseksi.</w:t>
      </w:r>
      <w:r w:rsidRPr="00424F46">
        <w:rPr>
          <w:rStyle w:val="FootnoteReference"/>
          <w:rFonts w:ascii="Times New Roman" w:hAnsi="Times New Roman" w:cs="Times New Roman"/>
          <w:lang w:val="en-GB"/>
        </w:rPr>
        <w:footnoteReference w:id="26"/>
      </w:r>
    </w:p>
    <w:p w:rsidRPr="00424F46" w:rsidR="00A42B33" w:rsidP="00F5520F" w:rsidRDefault="00A42B33">
      <w:pPr>
        <w:pStyle w:val="ListParagraph"/>
        <w:spacing w:after="0" w:line="288" w:lineRule="auto"/>
        <w:ind w:left="0"/>
        <w:jc w:val="both"/>
        <w:rPr>
          <w:rFonts w:ascii="Times New Roman" w:hAnsi="Times New Roman" w:cs="Times New Roman"/>
          <w:lang w:val="en-GB"/>
        </w:rPr>
      </w:pPr>
    </w:p>
    <w:p w:rsidRPr="00424F46" w:rsidR="00F81237" w:rsidP="00F5520F" w:rsidRDefault="00F81237">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suhtautuu myönteisesti digitaalisiin ratkaisuihin, jotka mahdollistavat ympäristönsuojelun ja kestävän kehityksen mukaisen muutoksen liikenteessä, energiajärjestelmissä, rakennusalalla, maataloudessa ja muilla aloilla, mutta </w:t>
      </w:r>
      <w:r>
        <w:rPr>
          <w:rFonts w:ascii="Times New Roman" w:hAnsi="Times New Roman"/>
          <w:b/>
        </w:rPr>
        <w:t xml:space="preserve">huomauttaa, että yleinen </w:t>
      </w:r>
      <w:proofErr w:type="spellStart"/>
      <w:r>
        <w:rPr>
          <w:rFonts w:ascii="Times New Roman" w:hAnsi="Times New Roman"/>
          <w:b/>
        </w:rPr>
        <w:t>digitalisaatio</w:t>
      </w:r>
      <w:proofErr w:type="spellEnd"/>
      <w:r>
        <w:rPr>
          <w:rFonts w:ascii="Times New Roman" w:hAnsi="Times New Roman"/>
          <w:b/>
        </w:rPr>
        <w:t xml:space="preserve"> ei ole tähän mennessä edistänyt energian kysynnän ja hiilidioksidipäästöjen vähentämistä</w:t>
      </w:r>
      <w:r>
        <w:rPr>
          <w:rFonts w:ascii="Times New Roman" w:hAnsi="Times New Roman"/>
        </w:rPr>
        <w:t>, ja korostaa siksi tarvetta tukitoimille, joilla lievennetään vasta- ja induktiovaikutuksia.</w:t>
      </w:r>
      <w:r w:rsidRPr="00424F46">
        <w:rPr>
          <w:rStyle w:val="FootnoteReference"/>
          <w:rFonts w:ascii="Times New Roman" w:hAnsi="Times New Roman" w:cs="Times New Roman"/>
          <w:lang w:val="en-GB"/>
        </w:rPr>
        <w:footnoteReference w:id="27"/>
      </w:r>
    </w:p>
    <w:p w:rsidRPr="00424F46" w:rsidR="00F81237" w:rsidP="00F5520F" w:rsidRDefault="00F81237">
      <w:pPr>
        <w:pStyle w:val="ListParagraph"/>
        <w:spacing w:after="0" w:line="288" w:lineRule="auto"/>
        <w:ind w:left="0"/>
        <w:jc w:val="both"/>
        <w:rPr>
          <w:rFonts w:ascii="Times New Roman" w:hAnsi="Times New Roman" w:cs="Times New Roman"/>
          <w:lang w:val="en-GB"/>
        </w:rPr>
      </w:pPr>
    </w:p>
    <w:p w:rsidRPr="00424F46" w:rsidR="00A621E3" w:rsidP="00F5520F" w:rsidRDefault="00A42B33">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korostaa, että ilmastonmuutoksella on myös vakavia seurauksia yrityksille ja erityisesti pk-yrityksille, mistä esimerkkeinä ovat toimitusketjujen keskeytyminen ja äärimmäisistä sääilmiöistä tuotantopaikoille aiheutuvat vahingot, ja pakottaa ne tekemään joskus kalliitakin muutoksia liiketoiminta- ja toimintamalleihinsa sekä investointeja, joilla vastataan sääntely- tai muihin vaatimuksiin. Komitea katsookin, että </w:t>
      </w:r>
      <w:r>
        <w:rPr>
          <w:rFonts w:ascii="Times New Roman" w:hAnsi="Times New Roman"/>
          <w:b/>
        </w:rPr>
        <w:t>yrityksiä, jotka omaksuvat</w:t>
      </w:r>
      <w:r>
        <w:rPr>
          <w:rFonts w:ascii="Times New Roman" w:hAnsi="Times New Roman"/>
        </w:rPr>
        <w:t xml:space="preserve"> </w:t>
      </w:r>
      <w:r>
        <w:rPr>
          <w:rFonts w:ascii="Times New Roman" w:hAnsi="Times New Roman"/>
          <w:b/>
        </w:rPr>
        <w:t xml:space="preserve">uusia kestäviä </w:t>
      </w:r>
      <w:r>
        <w:rPr>
          <w:rFonts w:ascii="Times New Roman" w:hAnsi="Times New Roman"/>
          <w:b/>
        </w:rPr>
        <w:lastRenderedPageBreak/>
        <w:t>liiketoimintamalleja varhaisessa vaiheessa,</w:t>
      </w:r>
      <w:r>
        <w:rPr>
          <w:rFonts w:ascii="Times New Roman" w:hAnsi="Times New Roman"/>
        </w:rPr>
        <w:t xml:space="preserve"> olisi tuettava sen varmistamiseksi, että innovointi ei johda kilpailuhaittoihin.</w:t>
      </w:r>
    </w:p>
    <w:p w:rsidRPr="00424F46" w:rsidR="00A621E3" w:rsidP="00F5520F" w:rsidRDefault="00A621E3">
      <w:pPr>
        <w:pStyle w:val="ListParagraph"/>
        <w:spacing w:after="0" w:line="288" w:lineRule="auto"/>
        <w:ind w:left="0"/>
        <w:jc w:val="both"/>
        <w:rPr>
          <w:rFonts w:ascii="Times New Roman" w:hAnsi="Times New Roman" w:cs="Times New Roman"/>
          <w:lang w:val="en-GB"/>
        </w:rPr>
      </w:pPr>
    </w:p>
    <w:p w:rsidRPr="00424F46" w:rsidR="00444B59" w:rsidP="00F5520F" w:rsidRDefault="00444B59">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korostaa, että yksityiselle sektorille annettavan tuen yhteydessä on noudatettava periaatetta, jonka mukaan rahoitusvälineiden tulee olla yhdenvertaisesti pk-yritysten käytettävissä, että tuen on perustuttava yksinomaan ilmastotavoitteisiin</w:t>
      </w:r>
      <w:r w:rsidRPr="00EF3B48">
        <w:rPr>
          <w:rStyle w:val="FootnoteReference"/>
          <w:rFonts w:ascii="Times New Roman" w:hAnsi="Times New Roman" w:cs="Times New Roman"/>
          <w:szCs w:val="24"/>
          <w:lang w:val="en-GB"/>
        </w:rPr>
        <w:footnoteReference w:id="28"/>
      </w:r>
      <w:r>
        <w:rPr>
          <w:rFonts w:ascii="Times New Roman" w:hAnsi="Times New Roman"/>
        </w:rPr>
        <w:t xml:space="preserve"> ja että tarvitaan laajoja toimia kaikissa arvoketjuissa ja monialaista yhteistyötä.</w:t>
      </w:r>
    </w:p>
    <w:p w:rsidRPr="00424F46" w:rsidR="00444B59" w:rsidP="00F5520F" w:rsidRDefault="00444B59">
      <w:pPr>
        <w:pStyle w:val="ListParagraph"/>
        <w:spacing w:after="0" w:line="288" w:lineRule="auto"/>
        <w:ind w:left="0"/>
        <w:rPr>
          <w:rFonts w:ascii="Times New Roman" w:hAnsi="Times New Roman" w:cs="Times New Roman"/>
          <w:lang w:val="en-GB"/>
        </w:rPr>
      </w:pPr>
    </w:p>
    <w:p w:rsidRPr="00424F46" w:rsidR="00444B59" w:rsidP="00F5520F" w:rsidRDefault="00444B59">
      <w:pPr>
        <w:pStyle w:val="ListParagraph"/>
        <w:numPr>
          <w:ilvl w:val="0"/>
          <w:numId w:val="11"/>
        </w:numPr>
        <w:spacing w:after="0" w:line="288" w:lineRule="auto"/>
        <w:ind w:left="567" w:hanging="567"/>
        <w:jc w:val="both"/>
        <w:rPr>
          <w:rFonts w:ascii="Times New Roman" w:hAnsi="Times New Roman"/>
        </w:rPr>
      </w:pPr>
      <w:r>
        <w:rPr>
          <w:rFonts w:ascii="Times New Roman" w:hAnsi="Times New Roman"/>
        </w:rPr>
        <w:t>katsoo, että yhdenmukaistaminen ja standardointi ovat keskeisiä tekijöitä, jotta teknologian, taitojen parantamisen ja sääntelyn avulla voidaan saavuttaa kaikki teollisuudenalat kattava ratkaisujen skaalattavuus, jota EU:n hallitusten olisi tuettava kansainvälisellä tasolla, ja että erityisesti pk-yritysten on ratkaisevan tärkeää saada käyttöön liitännäisvälineitä ja kehittää valmiuksiaan, jotta ne voivat täyttää uudet vaatimukset ja parantaa markkinoille pääsyä EU:ssa.</w:t>
      </w:r>
    </w:p>
    <w:p w:rsidRPr="00424F46" w:rsidR="00444B59" w:rsidP="00F5520F" w:rsidRDefault="00444B59">
      <w:pPr>
        <w:pStyle w:val="ListParagraph"/>
        <w:spacing w:after="0" w:line="288" w:lineRule="auto"/>
        <w:ind w:left="0"/>
        <w:jc w:val="both"/>
        <w:rPr>
          <w:rFonts w:ascii="Times New Roman" w:hAnsi="Times New Roman" w:cs="Times New Roman"/>
          <w:lang w:val="en-GB"/>
        </w:rPr>
      </w:pPr>
    </w:p>
    <w:p w:rsidRPr="00424F46" w:rsidR="006D2F1C" w:rsidRDefault="00565A46">
      <w:pPr>
        <w:pStyle w:val="ListParagraph"/>
        <w:keepNext/>
        <w:keepLines/>
        <w:spacing w:after="0" w:line="288" w:lineRule="auto"/>
        <w:ind w:left="0"/>
        <w:jc w:val="both"/>
        <w:rPr>
          <w:rFonts w:ascii="Times New Roman" w:hAnsi="Times New Roman"/>
          <w:b/>
          <w:i/>
        </w:rPr>
      </w:pPr>
      <w:r>
        <w:rPr>
          <w:rFonts w:ascii="Times New Roman" w:hAnsi="Times New Roman"/>
          <w:b/>
          <w:i/>
        </w:rPr>
        <w:t>Kansalaisyhteiskunnan vaikutusmahdollisuuksien lisääminen ilmastotoimien vauhdittamiseksi ja uuden hallintokehyksen luominen</w:t>
      </w:r>
    </w:p>
    <w:p w:rsidRPr="00424F46" w:rsidR="00EE319C" w:rsidRDefault="00EE319C">
      <w:pPr>
        <w:pStyle w:val="ListParagraph"/>
        <w:keepNext/>
        <w:keepLines/>
        <w:spacing w:after="0" w:line="288" w:lineRule="auto"/>
        <w:ind w:left="567" w:hanging="567"/>
        <w:jc w:val="both"/>
        <w:rPr>
          <w:rFonts w:ascii="Times New Roman" w:hAnsi="Times New Roman" w:cs="Times New Roman"/>
          <w:lang w:val="en-GB"/>
        </w:rPr>
      </w:pPr>
    </w:p>
    <w:p w:rsidRPr="00424F46" w:rsidR="00F426F7" w:rsidP="00EF3B48" w:rsidRDefault="00F426F7">
      <w:pPr>
        <w:pStyle w:val="ListParagraph"/>
        <w:keepNext/>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korostaa, että tarvittavien toimien laajuus edellyttää yhdennettyjä, monitasoisia politiikkoja ja monialaisia ratkaisuja, joihin kansalaisyhteiskunta tosiasiallisesti osallistuu, ja ehdottaa siksi </w:t>
      </w:r>
      <w:r>
        <w:rPr>
          <w:rFonts w:ascii="Times New Roman" w:hAnsi="Times New Roman"/>
          <w:b/>
        </w:rPr>
        <w:t>uutta hallintokehystä</w:t>
      </w:r>
      <w:r>
        <w:rPr>
          <w:rFonts w:ascii="Times New Roman" w:hAnsi="Times New Roman"/>
        </w:rPr>
        <w:t xml:space="preserve"> näiden perustavanlaatuisten muutosten kehittämiseksi.</w:t>
      </w:r>
    </w:p>
    <w:p w:rsidRPr="00424F46" w:rsidR="00F426F7" w:rsidP="00F5520F" w:rsidRDefault="00F426F7">
      <w:pPr>
        <w:pStyle w:val="ListParagraph"/>
        <w:spacing w:after="0" w:line="288" w:lineRule="auto"/>
        <w:ind w:left="0"/>
        <w:jc w:val="both"/>
        <w:rPr>
          <w:rFonts w:ascii="Times New Roman" w:hAnsi="Times New Roman" w:cs="Times New Roman"/>
          <w:lang w:val="en-GB"/>
        </w:rPr>
      </w:pPr>
    </w:p>
    <w:p w:rsidRPr="00424F46" w:rsidR="00B27016" w:rsidP="00F5520F" w:rsidRDefault="00EE319C">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katsoo, että </w:t>
      </w:r>
      <w:r>
        <w:rPr>
          <w:rFonts w:ascii="Times New Roman" w:hAnsi="Times New Roman"/>
          <w:b/>
        </w:rPr>
        <w:t>työpaikkojen tasolla</w:t>
      </w:r>
      <w:r>
        <w:rPr>
          <w:rFonts w:ascii="Times New Roman" w:hAnsi="Times New Roman"/>
        </w:rPr>
        <w:t xml:space="preserve"> tämän uuden hallintokehyksen olisi taattava työmarkkinaosapuolten vuoropuhelu varmistamalla työntekijöiden oikeudet ja osallistuminen sekä vahvistamalla työehtosopimuksia.</w:t>
      </w:r>
    </w:p>
    <w:p w:rsidRPr="00424F46" w:rsidR="00B27016" w:rsidP="00F5520F" w:rsidRDefault="00B27016">
      <w:pPr>
        <w:pStyle w:val="ListParagraph"/>
        <w:spacing w:after="0" w:line="288" w:lineRule="auto"/>
        <w:ind w:left="567" w:hanging="567"/>
        <w:jc w:val="both"/>
        <w:rPr>
          <w:rFonts w:ascii="Times New Roman" w:hAnsi="Times New Roman" w:cs="Times New Roman"/>
          <w:lang w:val="en-GB"/>
        </w:rPr>
      </w:pPr>
    </w:p>
    <w:p w:rsidRPr="00424F46" w:rsidR="00EE319C" w:rsidP="00F5520F" w:rsidRDefault="00B27016">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katsoo, että myös </w:t>
      </w:r>
      <w:r>
        <w:rPr>
          <w:rFonts w:ascii="Times New Roman" w:hAnsi="Times New Roman"/>
          <w:b/>
        </w:rPr>
        <w:t>laajempaa vuoropuhelua</w:t>
      </w:r>
      <w:r>
        <w:rPr>
          <w:rFonts w:ascii="Times New Roman" w:hAnsi="Times New Roman"/>
        </w:rPr>
        <w:t xml:space="preserve"> olisi vahvistettava alueiden, maaseudun toimijoiden ja kaupunkien, työmarkkinaosapuolten, osuuskuntien ja kansalaisyhteiskunnan myötävaikutuksella, jotta voidaan varmistaa sosiaalinen oikeudenmukaisuus ja uskottavuus sekä antaa konkreettinen merkitys sitoumukselle, jonka mukaan ketään ei saa jättää jälkeen.</w:t>
      </w:r>
      <w:r w:rsidRPr="00424F46" w:rsidR="003567A8">
        <w:rPr>
          <w:rStyle w:val="FootnoteReference"/>
          <w:rFonts w:ascii="Times New Roman" w:hAnsi="Times New Roman" w:cs="Times New Roman"/>
          <w:sz w:val="22"/>
          <w:lang w:val="en-GB"/>
        </w:rPr>
        <w:footnoteReference w:id="29"/>
      </w:r>
      <w:r>
        <w:rPr>
          <w:rFonts w:ascii="Times New Roman" w:hAnsi="Times New Roman"/>
        </w:rPr>
        <w:t xml:space="preserve"> Esimerkiksi tuottajakuluttajakeskeisten toimintatapojen edistäminen voi nopeuttaa siirtymistä puhtaampaan energiajärjestelmään, luoda uusia talousmalleja ja auttaa suojelemaan yhteiskuntiemme heikoimmassa asemassa olevia ryhmiä esimerkiksi lämmitys-, sähkö- ja tietotekniikkakatkoksilta.</w:t>
      </w:r>
    </w:p>
    <w:p w:rsidRPr="00424F46" w:rsidR="00F426F7" w:rsidP="00F5520F" w:rsidRDefault="00F426F7">
      <w:pPr>
        <w:pStyle w:val="ListParagraph"/>
        <w:spacing w:after="0" w:line="288" w:lineRule="auto"/>
        <w:ind w:left="0"/>
        <w:jc w:val="both"/>
        <w:rPr>
          <w:rFonts w:ascii="Times New Roman" w:hAnsi="Times New Roman" w:cs="Times New Roman"/>
          <w:lang w:val="en-GB"/>
        </w:rPr>
      </w:pPr>
    </w:p>
    <w:p w:rsidRPr="00424F46" w:rsidR="00F426F7" w:rsidP="00F5520F" w:rsidRDefault="00F426F7">
      <w:pPr>
        <w:pStyle w:val="ListParagraph"/>
        <w:numPr>
          <w:ilvl w:val="0"/>
          <w:numId w:val="11"/>
        </w:numPr>
        <w:spacing w:after="0" w:line="288" w:lineRule="auto"/>
        <w:ind w:left="567" w:hanging="567"/>
        <w:jc w:val="both"/>
        <w:rPr>
          <w:rFonts w:ascii="Times New Roman" w:hAnsi="Times New Roman"/>
        </w:rPr>
      </w:pPr>
      <w:r>
        <w:rPr>
          <w:rFonts w:ascii="Times New Roman" w:hAnsi="Times New Roman"/>
        </w:rPr>
        <w:t xml:space="preserve">on erittäin vakuuttunut siitä, että </w:t>
      </w:r>
      <w:r>
        <w:rPr>
          <w:rFonts w:ascii="Times New Roman" w:hAnsi="Times New Roman"/>
          <w:b/>
        </w:rPr>
        <w:t>alhaalta ylöspäin suuntautuvia ja ruohonjuuritason aloitteita on aidosti tuettava ja edistettävä</w:t>
      </w:r>
      <w:r>
        <w:rPr>
          <w:rFonts w:ascii="Times New Roman" w:hAnsi="Times New Roman"/>
        </w:rPr>
        <w:t xml:space="preserve">, jotta voidaan nopeuttaa ilmastonmuutoksen hillitsemistä ja siihen sopeutumista ja vahvistaa sosiaalista selviytymiskykyä ja siten vapauttaa yhteistyökulttuurin ja alhaalta ylöspäin suuntautuvien ratkaisujen potentiaali. Komitean mukaan on yhtä välttämätöntä investoida enemmän sosiaaliseen innovointiin, jotta voidaan </w:t>
      </w:r>
      <w:proofErr w:type="spellStart"/>
      <w:r>
        <w:rPr>
          <w:rFonts w:ascii="Times New Roman" w:hAnsi="Times New Roman"/>
        </w:rPr>
        <w:t>valtavirtaistaa</w:t>
      </w:r>
      <w:proofErr w:type="spellEnd"/>
      <w:r>
        <w:rPr>
          <w:rFonts w:ascii="Times New Roman" w:hAnsi="Times New Roman"/>
        </w:rPr>
        <w:t xml:space="preserve"> kulttuuriset ja yhteiskunnalliset muutokset, joita tarvitaan ilmastonsuojelun sisällyttämiseksi yritysten, viranomaisten ja kotitalouksien jokapäiväiseen elämään.</w:t>
      </w:r>
    </w:p>
    <w:p w:rsidRPr="00424F46" w:rsidR="00707DFC" w:rsidP="00F5520F" w:rsidRDefault="00707DFC">
      <w:pPr>
        <w:pStyle w:val="ListParagraph"/>
        <w:spacing w:after="0" w:line="288" w:lineRule="auto"/>
        <w:ind w:left="0"/>
        <w:jc w:val="both"/>
        <w:rPr>
          <w:rFonts w:ascii="Times New Roman" w:hAnsi="Times New Roman" w:cs="Times New Roman"/>
          <w:lang w:val="en-GB"/>
        </w:rPr>
      </w:pPr>
    </w:p>
    <w:p w:rsidRPr="00424F46" w:rsidR="00EE319C" w:rsidP="00F5520F" w:rsidRDefault="00710362">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katsoo, että </w:t>
      </w:r>
      <w:r>
        <w:rPr>
          <w:rFonts w:ascii="Times New Roman" w:hAnsi="Times New Roman"/>
          <w:b/>
        </w:rPr>
        <w:t>sukupuolten tasa-arvoa</w:t>
      </w:r>
      <w:r>
        <w:rPr>
          <w:rFonts w:ascii="Times New Roman" w:hAnsi="Times New Roman"/>
        </w:rPr>
        <w:t xml:space="preserve"> ei pitäisi käsitellä erillisenä ja siilomaisesti ajateltuna, vaan sitä olisi pidettävä olennaisena kysymyksenä, jotta vältetään </w:t>
      </w:r>
      <w:r>
        <w:rPr>
          <w:rFonts w:ascii="Times New Roman" w:hAnsi="Times New Roman"/>
          <w:b/>
        </w:rPr>
        <w:t>sukupuolisokeita toimenpiteitä ja politiikkoja</w:t>
      </w:r>
      <w:r>
        <w:rPr>
          <w:rFonts w:ascii="Times New Roman" w:hAnsi="Times New Roman"/>
        </w:rPr>
        <w:t>. Ilmastonmuutoksella ei ole samaa vaikutusta kaikkiin väestönosiin, ja jos ilmastonmuutospolitiikkaa ei suunnitella oikein, se voi pitää yllä näitä epäoikeudenmukaisuuksia ja epätasapainoja. Esimerkiksi naisten epätasa-arvoinen osallistuminen päätöksentekoprosesseihin ja työmarkkinoille lisää eriarvoisuutta ja usein estää naisten täysipainoisen osallistumisen ilmastonmuutosta koskevaan suunnitteluun, päätöksentekoon ja täytäntöönpanoon.</w:t>
      </w:r>
      <w:r w:rsidRPr="00424F46" w:rsidR="00EE319C">
        <w:rPr>
          <w:rStyle w:val="FootnoteReference"/>
          <w:rFonts w:ascii="Times New Roman" w:hAnsi="Times New Roman" w:cs="Times New Roman"/>
          <w:lang w:val="en-GB"/>
        </w:rPr>
        <w:footnoteReference w:id="30"/>
      </w:r>
    </w:p>
    <w:p w:rsidRPr="00424F46" w:rsidR="00EE319C" w:rsidP="00F5520F" w:rsidRDefault="00EE319C">
      <w:pPr>
        <w:pStyle w:val="ListParagraph"/>
        <w:spacing w:after="0" w:line="288" w:lineRule="auto"/>
        <w:ind w:left="567" w:hanging="567"/>
        <w:jc w:val="both"/>
        <w:rPr>
          <w:rFonts w:ascii="Times New Roman" w:hAnsi="Times New Roman" w:cs="Times New Roman"/>
          <w:lang w:val="en-GB"/>
        </w:rPr>
      </w:pPr>
    </w:p>
    <w:p w:rsidRPr="00424F46" w:rsidR="00B27016" w:rsidP="00F5520F" w:rsidRDefault="009F475F">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on vakuuttunut siitä, että </w:t>
      </w:r>
      <w:r>
        <w:rPr>
          <w:rFonts w:ascii="Times New Roman" w:hAnsi="Times New Roman"/>
          <w:b/>
        </w:rPr>
        <w:t>nuorten vahvemmalla osallistumisella</w:t>
      </w:r>
      <w:r>
        <w:rPr>
          <w:rFonts w:ascii="Times New Roman" w:hAnsi="Times New Roman"/>
        </w:rPr>
        <w:t xml:space="preserve"> päätöksentekoprosessien kaikkiin vaiheisiin lainsäädäntöehdotusten ja aloitteiden laatimisesta täytäntöönpanoon, seurantaan ja jatkotoimiin otetaan parhaiten huomioon näiden muutosten sukupolvien välinen ulottuvuus</w:t>
      </w:r>
      <w:r w:rsidRPr="00424F46">
        <w:rPr>
          <w:rStyle w:val="FootnoteReference"/>
          <w:rFonts w:ascii="Times New Roman" w:hAnsi="Times New Roman" w:cs="Times New Roman"/>
          <w:sz w:val="22"/>
          <w:lang w:val="en-GB"/>
        </w:rPr>
        <w:footnoteReference w:id="31"/>
      </w:r>
      <w:r>
        <w:rPr>
          <w:rFonts w:ascii="Times New Roman" w:hAnsi="Times New Roman"/>
        </w:rPr>
        <w:t xml:space="preserve">. Tästä syystä ETSK on vuodesta 2021 lähtien ottanut nuorten edustajan mukaan EU:n viralliseen valtuuskuntaan </w:t>
      </w:r>
      <w:proofErr w:type="spellStart"/>
      <w:r>
        <w:rPr>
          <w:rFonts w:ascii="Times New Roman" w:hAnsi="Times New Roman"/>
        </w:rPr>
        <w:t>UNFCCC:n</w:t>
      </w:r>
      <w:proofErr w:type="spellEnd"/>
      <w:r>
        <w:rPr>
          <w:rFonts w:ascii="Times New Roman" w:hAnsi="Times New Roman"/>
        </w:rPr>
        <w:t xml:space="preserve"> COP-kokouksiin ja sitoutunut vahvistamaan nuorten ja nuorisojärjestöjen ääntä komitean työssä. ETSK suosittaa painokkaasti, että osapuolet ja muut sidosryhmät omaksuvat samanlaisen lähestymistavan.</w:t>
      </w:r>
    </w:p>
    <w:p w:rsidRPr="00424F46" w:rsidR="00B27016" w:rsidP="00F5520F" w:rsidRDefault="00B27016">
      <w:pPr>
        <w:pStyle w:val="ListParagraph"/>
        <w:spacing w:after="0" w:line="288" w:lineRule="auto"/>
        <w:ind w:left="567" w:hanging="567"/>
        <w:jc w:val="both"/>
        <w:rPr>
          <w:rFonts w:ascii="Times New Roman" w:hAnsi="Times New Roman" w:cs="Times New Roman"/>
          <w:lang w:val="en-GB"/>
        </w:rPr>
      </w:pPr>
    </w:p>
    <w:p w:rsidRPr="00424F46" w:rsidR="008D5813" w:rsidP="00F5520F" w:rsidRDefault="00B27016">
      <w:pPr>
        <w:pStyle w:val="ListParagraph"/>
        <w:numPr>
          <w:ilvl w:val="0"/>
          <w:numId w:val="11"/>
        </w:numPr>
        <w:spacing w:after="0" w:line="288" w:lineRule="auto"/>
        <w:ind w:left="567" w:hanging="567"/>
        <w:jc w:val="both"/>
        <w:rPr>
          <w:rFonts w:ascii="Times New Roman" w:hAnsi="Times New Roman" w:cs="Times New Roman"/>
        </w:rPr>
      </w:pPr>
      <w:r>
        <w:rPr>
          <w:rFonts w:ascii="Times New Roman" w:hAnsi="Times New Roman"/>
        </w:rPr>
        <w:t xml:space="preserve">tunnustaa </w:t>
      </w:r>
      <w:r>
        <w:rPr>
          <w:rFonts w:ascii="Times New Roman" w:hAnsi="Times New Roman"/>
          <w:b/>
        </w:rPr>
        <w:t>alkuperäiskansojen</w:t>
      </w:r>
      <w:r>
        <w:rPr>
          <w:rFonts w:ascii="Times New Roman" w:hAnsi="Times New Roman"/>
        </w:rPr>
        <w:t xml:space="preserve"> roolin ilmastonmuutoksen eturintamassa: alkuperäiskansat huolehtivat yli 80 prosentista maapallon jäljellä olevasta biologisesta monimuotoisuudesta</w:t>
      </w:r>
      <w:r w:rsidRPr="00424F46">
        <w:rPr>
          <w:rFonts w:ascii="Times New Roman" w:hAnsi="Times New Roman" w:cs="Times New Roman"/>
          <w:vertAlign w:val="superscript"/>
          <w:lang w:val="en-GB"/>
        </w:rPr>
        <w:footnoteReference w:id="32"/>
      </w:r>
      <w:r>
        <w:rPr>
          <w:rFonts w:ascii="Times New Roman" w:hAnsi="Times New Roman"/>
        </w:rPr>
        <w:t>. Komitea pitää myönteisenä alkuperäiskansojen lisääntyvää osallistumista ilmastopolitiikkaan ja kehottaa osapuolia ottamaan heidät aktiivisesti mukaan ilmastotoimien täytäntöönpanoon.</w:t>
      </w:r>
    </w:p>
    <w:p w:rsidRPr="00424F46" w:rsidR="003D0D15" w:rsidP="00F5520F" w:rsidRDefault="003D0D15">
      <w:pPr>
        <w:pStyle w:val="ListParagraph"/>
        <w:spacing w:after="0" w:line="288" w:lineRule="auto"/>
        <w:ind w:left="0"/>
        <w:jc w:val="both"/>
        <w:rPr>
          <w:rFonts w:ascii="Times New Roman" w:hAnsi="Times New Roman" w:cs="Times New Roman"/>
          <w:lang w:val="en-GB"/>
        </w:rPr>
      </w:pPr>
    </w:p>
    <w:p w:rsidRPr="00424F46" w:rsidR="003D0D15" w:rsidP="00F5520F" w:rsidRDefault="003D0D15">
      <w:pPr>
        <w:pStyle w:val="ListParagraph"/>
        <w:numPr>
          <w:ilvl w:val="0"/>
          <w:numId w:val="11"/>
        </w:numPr>
        <w:spacing w:after="0" w:line="288" w:lineRule="auto"/>
        <w:ind w:left="567" w:hanging="567"/>
        <w:contextualSpacing w:val="0"/>
        <w:jc w:val="both"/>
        <w:rPr>
          <w:rFonts w:ascii="Times New Roman" w:hAnsi="Times New Roman"/>
        </w:rPr>
      </w:pPr>
      <w:r>
        <w:rPr>
          <w:rFonts w:ascii="Times New Roman" w:hAnsi="Times New Roman"/>
        </w:rPr>
        <w:t xml:space="preserve">sitoutuu toteuttamaan toimia edellä mainittujen poliittisten suositusten </w:t>
      </w:r>
      <w:proofErr w:type="spellStart"/>
      <w:r>
        <w:rPr>
          <w:rFonts w:ascii="Times New Roman" w:hAnsi="Times New Roman"/>
        </w:rPr>
        <w:t>täytäntöönpanemiseksi</w:t>
      </w:r>
      <w:proofErr w:type="spellEnd"/>
      <w:r>
        <w:rPr>
          <w:rFonts w:ascii="Times New Roman" w:hAnsi="Times New Roman"/>
        </w:rPr>
        <w:t>.</w:t>
      </w:r>
    </w:p>
    <w:p w:rsidRPr="00424F46" w:rsidR="00D27A92" w:rsidP="00E567D2" w:rsidRDefault="00D27A92">
      <w:pPr>
        <w:pStyle w:val="ListParagraph"/>
        <w:keepNext/>
        <w:keepLines/>
        <w:spacing w:after="0" w:line="288" w:lineRule="auto"/>
        <w:ind w:left="0"/>
        <w:jc w:val="both"/>
        <w:rPr>
          <w:rFonts w:ascii="Times New Roman" w:hAnsi="Times New Roman" w:cs="Times New Roman"/>
          <w:lang w:val="en-GB"/>
        </w:rPr>
      </w:pPr>
    </w:p>
    <w:p w:rsidRPr="00424F46" w:rsidR="005E5612" w:rsidP="00E567D2" w:rsidRDefault="005E5612">
      <w:pPr>
        <w:pStyle w:val="ListParagraph"/>
        <w:keepNext/>
        <w:keepLines/>
        <w:spacing w:after="0" w:line="288" w:lineRule="auto"/>
        <w:ind w:left="0"/>
        <w:jc w:val="both"/>
        <w:rPr>
          <w:rFonts w:ascii="Times New Roman" w:hAnsi="Times New Roman" w:cs="Times New Roman"/>
        </w:rPr>
      </w:pPr>
      <w:r>
        <w:rPr>
          <w:rFonts w:ascii="Times New Roman" w:hAnsi="Times New Roman"/>
        </w:rPr>
        <w:t>Bryssel 26. lokakuuta 2022</w:t>
      </w:r>
    </w:p>
    <w:p w:rsidRPr="00424F46" w:rsidR="005E5612" w:rsidP="00E567D2" w:rsidRDefault="005E5612">
      <w:pPr>
        <w:pStyle w:val="ListParagraph"/>
        <w:keepNext/>
        <w:keepLines/>
        <w:spacing w:after="0" w:line="288" w:lineRule="auto"/>
        <w:ind w:left="0"/>
        <w:jc w:val="both"/>
        <w:rPr>
          <w:rFonts w:ascii="Times New Roman" w:hAnsi="Times New Roman" w:cs="Times New Roman"/>
          <w:lang w:val="en-GB"/>
        </w:rPr>
      </w:pPr>
    </w:p>
    <w:p w:rsidRPr="00424F46" w:rsidR="005E5612" w:rsidP="00E567D2" w:rsidRDefault="005E5612">
      <w:pPr>
        <w:pStyle w:val="ListParagraph"/>
        <w:keepNext/>
        <w:keepLines/>
        <w:spacing w:after="0" w:line="288" w:lineRule="auto"/>
        <w:ind w:left="0"/>
        <w:jc w:val="both"/>
        <w:rPr>
          <w:rFonts w:ascii="Times New Roman" w:hAnsi="Times New Roman" w:cs="Times New Roman"/>
          <w:lang w:val="en-GB"/>
        </w:rPr>
      </w:pPr>
    </w:p>
    <w:p w:rsidRPr="00424F46" w:rsidR="005E5612" w:rsidP="00E567D2" w:rsidRDefault="005E5612">
      <w:pPr>
        <w:pStyle w:val="ListParagraph"/>
        <w:keepNext/>
        <w:keepLines/>
        <w:spacing w:after="0" w:line="288" w:lineRule="auto"/>
        <w:ind w:left="0"/>
        <w:jc w:val="both"/>
        <w:rPr>
          <w:rFonts w:ascii="Times New Roman" w:hAnsi="Times New Roman" w:cs="Times New Roman"/>
          <w:lang w:val="en-GB"/>
        </w:rPr>
      </w:pPr>
    </w:p>
    <w:p w:rsidRPr="00424F46" w:rsidR="005E5612" w:rsidP="00E567D2" w:rsidRDefault="005E5612">
      <w:pPr>
        <w:pStyle w:val="ListParagraph"/>
        <w:keepNext/>
        <w:keepLines/>
        <w:spacing w:after="0" w:line="288" w:lineRule="auto"/>
        <w:ind w:left="0"/>
        <w:jc w:val="both"/>
        <w:rPr>
          <w:rFonts w:ascii="Times New Roman" w:hAnsi="Times New Roman" w:cs="Times New Roman"/>
        </w:rPr>
      </w:pPr>
      <w:proofErr w:type="spellStart"/>
      <w:r>
        <w:rPr>
          <w:rFonts w:ascii="Times New Roman" w:hAnsi="Times New Roman"/>
        </w:rPr>
        <w:t>Christa</w:t>
      </w:r>
      <w:proofErr w:type="spellEnd"/>
      <w:r>
        <w:rPr>
          <w:rFonts w:ascii="Times New Roman" w:hAnsi="Times New Roman"/>
        </w:rPr>
        <w:t xml:space="preserve"> </w:t>
      </w:r>
      <w:proofErr w:type="spellStart"/>
      <w:r>
        <w:rPr>
          <w:rFonts w:ascii="Times New Roman" w:hAnsi="Times New Roman"/>
        </w:rPr>
        <w:t>Schweng</w:t>
      </w:r>
      <w:proofErr w:type="spellEnd"/>
    </w:p>
    <w:p w:rsidRPr="00424F46" w:rsidR="005E5612" w:rsidP="00E567D2" w:rsidRDefault="005E5612">
      <w:pPr>
        <w:pStyle w:val="ListParagraph"/>
        <w:keepNext/>
        <w:keepLines/>
        <w:spacing w:after="0" w:line="288" w:lineRule="auto"/>
        <w:ind w:left="0"/>
        <w:jc w:val="both"/>
        <w:rPr>
          <w:rFonts w:ascii="Times New Roman" w:hAnsi="Times New Roman" w:cs="Times New Roman"/>
        </w:rPr>
      </w:pPr>
      <w:r>
        <w:rPr>
          <w:rFonts w:ascii="Times New Roman" w:hAnsi="Times New Roman"/>
        </w:rPr>
        <w:t>Euroopan talous- ja sosiaalikomitean puheenjohtaja</w:t>
      </w:r>
    </w:p>
    <w:p w:rsidRPr="00424F46" w:rsidR="009C5FF9" w:rsidP="00E567D2" w:rsidRDefault="009C5FF9">
      <w:pPr>
        <w:pStyle w:val="ListParagraph"/>
        <w:keepNext/>
        <w:keepLines/>
        <w:spacing w:after="0" w:line="288" w:lineRule="auto"/>
        <w:ind w:left="0"/>
        <w:jc w:val="both"/>
        <w:rPr>
          <w:rFonts w:ascii="Times New Roman" w:hAnsi="Times New Roman" w:cs="Times New Roman"/>
          <w:lang w:val="en-GB"/>
        </w:rPr>
      </w:pPr>
    </w:p>
    <w:p w:rsidRPr="008A6CF4" w:rsidR="0078686E" w:rsidP="00EF3B48" w:rsidRDefault="002C2B01">
      <w:pPr>
        <w:pStyle w:val="ListParagraph"/>
        <w:keepNext/>
        <w:keepLines/>
        <w:spacing w:after="0" w:line="288" w:lineRule="auto"/>
        <w:ind w:left="0"/>
        <w:jc w:val="center"/>
        <w:rPr>
          <w:rFonts w:ascii="Times New Roman" w:hAnsi="Times New Roman" w:cs="Times New Roman"/>
        </w:rPr>
      </w:pPr>
      <w:r>
        <w:t>_____________</w:t>
      </w:r>
    </w:p>
    <w:sectPr w:rsidRPr="008A6CF4" w:rsidR="0078686E" w:rsidSect="00526B40">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948" w:rsidRDefault="00BD0948" w:rsidP="008A03FA">
      <w:pPr>
        <w:spacing w:after="0" w:line="240" w:lineRule="auto"/>
      </w:pPr>
      <w:r>
        <w:separator/>
      </w:r>
    </w:p>
  </w:endnote>
  <w:endnote w:type="continuationSeparator" w:id="0">
    <w:p w:rsidR="00BD0948" w:rsidRDefault="00BD0948" w:rsidP="008A03FA">
      <w:pPr>
        <w:spacing w:after="0" w:line="240" w:lineRule="auto"/>
      </w:pPr>
      <w:r>
        <w:continuationSeparator/>
      </w:r>
    </w:p>
  </w:endnote>
  <w:endnote w:type="continuationNotice" w:id="1">
    <w:p w:rsidR="00BD0948" w:rsidRDefault="00BD0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F4" w:rsidRDefault="008A6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F4" w:rsidRDefault="008A6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F4" w:rsidRDefault="008A6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C9D" w:rsidRDefault="00180C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B40" w:rsidRPr="00526B40" w:rsidRDefault="00526B40" w:rsidP="00526B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A7" w:rsidRPr="00526B40" w:rsidRDefault="008A6CF4" w:rsidP="008A6CF4">
    <w:pPr>
      <w:pStyle w:val="Footer"/>
      <w:jc w:val="left"/>
    </w:pPr>
    <w:r>
      <w:t xml:space="preserve">EESC-2022-04116-00-01-RES-TRA (EN) </w:t>
    </w:r>
    <w:r>
      <w:fldChar w:fldCharType="begin"/>
    </w:r>
    <w:r>
      <w:instrText xml:space="preserve"> PAGE  \* Arabic  \* MERGEFORMAT </w:instrText>
    </w:r>
    <w:r>
      <w:fldChar w:fldCharType="separate"/>
    </w:r>
    <w:r w:rsidR="00B85D35">
      <w:rPr>
        <w:noProof/>
      </w:rPr>
      <w:t>1</w:t>
    </w:r>
    <w:r>
      <w:fldChar w:fldCharType="end"/>
    </w:r>
    <w:r>
      <w:t>/</w:t>
    </w:r>
    <w:r>
      <w:fldChar w:fldCharType="begin"/>
    </w:r>
    <w:r>
      <w:instrText xml:space="preserve"> = </w:instrText>
    </w:r>
    <w:r w:rsidR="00E83D18">
      <w:fldChar w:fldCharType="begin"/>
    </w:r>
    <w:r w:rsidR="00E83D18">
      <w:instrText xml:space="preserve"> NUMPAGES </w:instrText>
    </w:r>
    <w:r w:rsidR="00E83D18">
      <w:fldChar w:fldCharType="separate"/>
    </w:r>
    <w:r w:rsidR="00B85D35">
      <w:rPr>
        <w:noProof/>
      </w:rPr>
      <w:instrText>12</w:instrText>
    </w:r>
    <w:r w:rsidR="00E83D18">
      <w:fldChar w:fldCharType="end"/>
    </w:r>
    <w:r>
      <w:instrText xml:space="preserve"> - 2 </w:instrText>
    </w:r>
    <w:r>
      <w:fldChar w:fldCharType="separate"/>
    </w:r>
    <w:r w:rsidR="00B85D35">
      <w:rPr>
        <w:noProof/>
      </w:rPr>
      <w:t>10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B40" w:rsidRPr="00526B40" w:rsidRDefault="00526B40" w:rsidP="00526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948" w:rsidRDefault="00BD0948" w:rsidP="008A03FA">
      <w:pPr>
        <w:spacing w:after="0" w:line="240" w:lineRule="auto"/>
      </w:pPr>
      <w:r>
        <w:separator/>
      </w:r>
    </w:p>
  </w:footnote>
  <w:footnote w:type="continuationSeparator" w:id="0">
    <w:p w:rsidR="00BD0948" w:rsidRDefault="00BD0948" w:rsidP="008A03FA">
      <w:pPr>
        <w:spacing w:after="0" w:line="240" w:lineRule="auto"/>
      </w:pPr>
      <w:r>
        <w:continuationSeparator/>
      </w:r>
    </w:p>
  </w:footnote>
  <w:footnote w:type="continuationNotice" w:id="1">
    <w:p w:rsidR="00BD0948" w:rsidRDefault="00BD0948">
      <w:pPr>
        <w:spacing w:after="0" w:line="240" w:lineRule="auto"/>
      </w:pPr>
    </w:p>
  </w:footnote>
  <w:footnote w:id="2">
    <w:p w:rsidR="00C5108E" w:rsidRPr="005F3782" w:rsidRDefault="00C5108E" w:rsidP="00EF3B48">
      <w:pPr>
        <w:pStyle w:val="FootnoteText"/>
        <w:jc w:val="left"/>
        <w:rPr>
          <w:szCs w:val="16"/>
        </w:rPr>
      </w:pPr>
      <w:r>
        <w:rPr>
          <w:rStyle w:val="FootnoteReference"/>
          <w:szCs w:val="24"/>
        </w:rPr>
        <w:footnoteRef/>
      </w:r>
      <w:r>
        <w:tab/>
      </w:r>
      <w:hyperlink r:id="rId1" w:history="1">
        <w:r>
          <w:rPr>
            <w:rStyle w:val="Hyperlink"/>
          </w:rPr>
          <w:t>Pariisin sopimus</w:t>
        </w:r>
      </w:hyperlink>
    </w:p>
  </w:footnote>
  <w:footnote w:id="3">
    <w:p w:rsidR="00C5108E" w:rsidRPr="005F3782" w:rsidRDefault="00C5108E" w:rsidP="00EF3B48">
      <w:pPr>
        <w:pStyle w:val="FootnoteText"/>
      </w:pPr>
      <w:r>
        <w:rPr>
          <w:rStyle w:val="FootnoteReference"/>
          <w:szCs w:val="24"/>
        </w:rPr>
        <w:footnoteRef/>
      </w:r>
      <w:r>
        <w:tab/>
        <w:t xml:space="preserve">Perustuu seuraaviin lähteisiin: </w:t>
      </w:r>
      <w:hyperlink r:id="rId2" w:history="1">
        <w:proofErr w:type="spellStart"/>
        <w:r>
          <w:rPr>
            <w:rStyle w:val="Hyperlink"/>
            <w:i/>
            <w:iCs/>
          </w:rPr>
          <w:t>Economic</w:t>
        </w:r>
        <w:proofErr w:type="spellEnd"/>
        <w:r>
          <w:rPr>
            <w:rStyle w:val="Hyperlink"/>
            <w:i/>
            <w:iCs/>
          </w:rPr>
          <w:t xml:space="preserve"> </w:t>
        </w:r>
        <w:proofErr w:type="spellStart"/>
        <w:r>
          <w:rPr>
            <w:rStyle w:val="Hyperlink"/>
            <w:i/>
            <w:iCs/>
          </w:rPr>
          <w:t>losses</w:t>
        </w:r>
        <w:proofErr w:type="spellEnd"/>
        <w:r>
          <w:rPr>
            <w:rStyle w:val="Hyperlink"/>
            <w:i/>
            <w:iCs/>
          </w:rPr>
          <w:t xml:space="preserve"> </w:t>
        </w:r>
        <w:proofErr w:type="spellStart"/>
        <w:r>
          <w:rPr>
            <w:rStyle w:val="Hyperlink"/>
            <w:i/>
            <w:iCs/>
          </w:rPr>
          <w:t>from</w:t>
        </w:r>
        <w:proofErr w:type="spellEnd"/>
        <w:r>
          <w:rPr>
            <w:rStyle w:val="Hyperlink"/>
            <w:i/>
            <w:iCs/>
          </w:rPr>
          <w:t xml:space="preserve"> </w:t>
        </w:r>
        <w:proofErr w:type="spellStart"/>
        <w:r>
          <w:rPr>
            <w:rStyle w:val="Hyperlink"/>
            <w:i/>
            <w:iCs/>
          </w:rPr>
          <w:t>weather</w:t>
        </w:r>
        <w:proofErr w:type="spellEnd"/>
        <w:r>
          <w:rPr>
            <w:rStyle w:val="Hyperlink"/>
            <w:i/>
            <w:iCs/>
          </w:rPr>
          <w:t xml:space="preserve"> and </w:t>
        </w:r>
        <w:proofErr w:type="spellStart"/>
        <w:r>
          <w:rPr>
            <w:rStyle w:val="Hyperlink"/>
            <w:i/>
            <w:iCs/>
          </w:rPr>
          <w:t>climate-related</w:t>
        </w:r>
        <w:proofErr w:type="spellEnd"/>
        <w:r>
          <w:rPr>
            <w:rStyle w:val="Hyperlink"/>
            <w:i/>
            <w:iCs/>
          </w:rPr>
          <w:t xml:space="preserve"> </w:t>
        </w:r>
        <w:proofErr w:type="spellStart"/>
        <w:r>
          <w:rPr>
            <w:rStyle w:val="Hyperlink"/>
            <w:i/>
            <w:iCs/>
          </w:rPr>
          <w:t>extremes</w:t>
        </w:r>
        <w:proofErr w:type="spellEnd"/>
        <w:r>
          <w:rPr>
            <w:rStyle w:val="Hyperlink"/>
            <w:i/>
            <w:iCs/>
          </w:rPr>
          <w:t xml:space="preserve"> in Europe </w:t>
        </w:r>
        <w:proofErr w:type="spellStart"/>
        <w:r>
          <w:rPr>
            <w:rStyle w:val="Hyperlink"/>
            <w:i/>
            <w:iCs/>
          </w:rPr>
          <w:t>reached</w:t>
        </w:r>
        <w:proofErr w:type="spellEnd"/>
        <w:r>
          <w:rPr>
            <w:rStyle w:val="Hyperlink"/>
            <w:i/>
            <w:iCs/>
          </w:rPr>
          <w:t xml:space="preserve"> </w:t>
        </w:r>
        <w:proofErr w:type="spellStart"/>
        <w:r>
          <w:rPr>
            <w:rStyle w:val="Hyperlink"/>
            <w:i/>
            <w:iCs/>
          </w:rPr>
          <w:t>around</w:t>
        </w:r>
        <w:proofErr w:type="spellEnd"/>
        <w:r>
          <w:rPr>
            <w:rStyle w:val="Hyperlink"/>
            <w:i/>
            <w:iCs/>
          </w:rPr>
          <w:t xml:space="preserve"> </w:t>
        </w:r>
        <w:proofErr w:type="spellStart"/>
        <w:r>
          <w:rPr>
            <w:rStyle w:val="Hyperlink"/>
            <w:i/>
            <w:iCs/>
          </w:rPr>
          <w:t>half</w:t>
        </w:r>
        <w:proofErr w:type="spellEnd"/>
        <w:r>
          <w:rPr>
            <w:rStyle w:val="Hyperlink"/>
            <w:i/>
            <w:iCs/>
          </w:rPr>
          <w:t xml:space="preserve"> a </w:t>
        </w:r>
        <w:proofErr w:type="spellStart"/>
        <w:r>
          <w:rPr>
            <w:rStyle w:val="Hyperlink"/>
            <w:i/>
            <w:iCs/>
          </w:rPr>
          <w:t>trillion</w:t>
        </w:r>
        <w:proofErr w:type="spellEnd"/>
        <w:r>
          <w:rPr>
            <w:rStyle w:val="Hyperlink"/>
            <w:i/>
            <w:iCs/>
          </w:rPr>
          <w:t xml:space="preserve"> </w:t>
        </w:r>
        <w:proofErr w:type="spellStart"/>
        <w:r>
          <w:rPr>
            <w:rStyle w:val="Hyperlink"/>
            <w:i/>
            <w:iCs/>
          </w:rPr>
          <w:t>euros</w:t>
        </w:r>
        <w:proofErr w:type="spellEnd"/>
        <w:r>
          <w:rPr>
            <w:rStyle w:val="Hyperlink"/>
            <w:i/>
            <w:iCs/>
          </w:rPr>
          <w:t xml:space="preserve"> </w:t>
        </w:r>
        <w:proofErr w:type="spellStart"/>
        <w:r>
          <w:rPr>
            <w:rStyle w:val="Hyperlink"/>
            <w:i/>
            <w:iCs/>
          </w:rPr>
          <w:t>over</w:t>
        </w:r>
        <w:proofErr w:type="spellEnd"/>
        <w:r>
          <w:rPr>
            <w:rStyle w:val="Hyperlink"/>
            <w:i/>
            <w:iCs/>
          </w:rPr>
          <w:t xml:space="preserve"> </w:t>
        </w:r>
        <w:proofErr w:type="spellStart"/>
        <w:r>
          <w:rPr>
            <w:rStyle w:val="Hyperlink"/>
            <w:i/>
            <w:iCs/>
          </w:rPr>
          <w:t>past</w:t>
        </w:r>
        <w:proofErr w:type="spellEnd"/>
        <w:r>
          <w:rPr>
            <w:rStyle w:val="Hyperlink"/>
            <w:i/>
            <w:iCs/>
          </w:rPr>
          <w:t xml:space="preserve"> 40 </w:t>
        </w:r>
        <w:proofErr w:type="spellStart"/>
        <w:r>
          <w:rPr>
            <w:rStyle w:val="Hyperlink"/>
            <w:i/>
            <w:iCs/>
          </w:rPr>
          <w:t>years</w:t>
        </w:r>
        <w:proofErr w:type="spellEnd"/>
        <w:r>
          <w:rPr>
            <w:rStyle w:val="Hyperlink"/>
          </w:rPr>
          <w:t xml:space="preserve"> – European Environment </w:t>
        </w:r>
        <w:proofErr w:type="spellStart"/>
        <w:r>
          <w:rPr>
            <w:rStyle w:val="Hyperlink"/>
          </w:rPr>
          <w:t>Agency</w:t>
        </w:r>
        <w:proofErr w:type="spellEnd"/>
      </w:hyperlink>
      <w:r>
        <w:t xml:space="preserve">; </w:t>
      </w:r>
      <w:hyperlink r:id="rId3" w:history="1">
        <w:r>
          <w:rPr>
            <w:rStyle w:val="Hyperlink"/>
          </w:rPr>
          <w:t xml:space="preserve">New </w:t>
        </w:r>
        <w:proofErr w:type="spellStart"/>
        <w:r>
          <w:rPr>
            <w:rStyle w:val="Hyperlink"/>
          </w:rPr>
          <w:t>report</w:t>
        </w:r>
        <w:proofErr w:type="spellEnd"/>
        <w:r>
          <w:rPr>
            <w:rStyle w:val="Hyperlink"/>
          </w:rPr>
          <w:t xml:space="preserve">: </w:t>
        </w:r>
        <w:r>
          <w:rPr>
            <w:rStyle w:val="Hyperlink"/>
            <w:i/>
            <w:iCs/>
          </w:rPr>
          <w:t xml:space="preserve">World </w:t>
        </w:r>
        <w:proofErr w:type="spellStart"/>
        <w:r>
          <w:rPr>
            <w:rStyle w:val="Hyperlink"/>
            <w:i/>
            <w:iCs/>
          </w:rPr>
          <w:t>counts</w:t>
        </w:r>
        <w:proofErr w:type="spellEnd"/>
        <w:r>
          <w:rPr>
            <w:rStyle w:val="Hyperlink"/>
            <w:i/>
            <w:iCs/>
          </w:rPr>
          <w:t xml:space="preserve"> </w:t>
        </w:r>
        <w:proofErr w:type="spellStart"/>
        <w:r>
          <w:rPr>
            <w:rStyle w:val="Hyperlink"/>
            <w:i/>
            <w:iCs/>
          </w:rPr>
          <w:t>the</w:t>
        </w:r>
        <w:proofErr w:type="spellEnd"/>
        <w:r>
          <w:rPr>
            <w:rStyle w:val="Hyperlink"/>
            <w:i/>
            <w:iCs/>
          </w:rPr>
          <w:t xml:space="preserve"> </w:t>
        </w:r>
        <w:proofErr w:type="spellStart"/>
        <w:r>
          <w:rPr>
            <w:rStyle w:val="Hyperlink"/>
            <w:i/>
            <w:iCs/>
          </w:rPr>
          <w:t>cost</w:t>
        </w:r>
        <w:proofErr w:type="spellEnd"/>
        <w:r>
          <w:rPr>
            <w:rStyle w:val="Hyperlink"/>
            <w:i/>
            <w:iCs/>
          </w:rPr>
          <w:t xml:space="preserve"> of a </w:t>
        </w:r>
        <w:proofErr w:type="spellStart"/>
        <w:r>
          <w:rPr>
            <w:rStyle w:val="Hyperlink"/>
            <w:i/>
            <w:iCs/>
          </w:rPr>
          <w:t>year</w:t>
        </w:r>
        <w:proofErr w:type="spellEnd"/>
        <w:r>
          <w:rPr>
            <w:rStyle w:val="Hyperlink"/>
            <w:i/>
            <w:iCs/>
          </w:rPr>
          <w:t xml:space="preserve"> of </w:t>
        </w:r>
        <w:proofErr w:type="spellStart"/>
        <w:r>
          <w:rPr>
            <w:rStyle w:val="Hyperlink"/>
            <w:i/>
            <w:iCs/>
          </w:rPr>
          <w:t>climate</w:t>
        </w:r>
        <w:proofErr w:type="spellEnd"/>
        <w:r>
          <w:rPr>
            <w:rStyle w:val="Hyperlink"/>
            <w:i/>
            <w:iCs/>
          </w:rPr>
          <w:t xml:space="preserve"> </w:t>
        </w:r>
        <w:proofErr w:type="spellStart"/>
        <w:r>
          <w:rPr>
            <w:rStyle w:val="Hyperlink"/>
            <w:i/>
            <w:iCs/>
          </w:rPr>
          <w:t>breakdown</w:t>
        </w:r>
        <w:proofErr w:type="spellEnd"/>
        <w:r>
          <w:rPr>
            <w:rStyle w:val="Hyperlink"/>
            <w:i/>
            <w:iCs/>
          </w:rPr>
          <w:t xml:space="preserve"> – UK </w:t>
        </w:r>
        <w:proofErr w:type="spellStart"/>
        <w:r>
          <w:rPr>
            <w:rStyle w:val="Hyperlink"/>
            <w:i/>
            <w:iCs/>
          </w:rPr>
          <w:t>charity</w:t>
        </w:r>
        <w:proofErr w:type="spellEnd"/>
        <w:r>
          <w:rPr>
            <w:rStyle w:val="Hyperlink"/>
            <w:i/>
            <w:iCs/>
          </w:rPr>
          <w:t xml:space="preserve"> </w:t>
        </w:r>
        <w:proofErr w:type="spellStart"/>
        <w:r>
          <w:rPr>
            <w:rStyle w:val="Hyperlink"/>
            <w:i/>
            <w:iCs/>
          </w:rPr>
          <w:t>fighting</w:t>
        </w:r>
        <w:proofErr w:type="spellEnd"/>
        <w:r>
          <w:rPr>
            <w:rStyle w:val="Hyperlink"/>
            <w:i/>
            <w:iCs/>
          </w:rPr>
          <w:t xml:space="preserve"> </w:t>
        </w:r>
        <w:proofErr w:type="spellStart"/>
        <w:r>
          <w:rPr>
            <w:rStyle w:val="Hyperlink"/>
            <w:i/>
            <w:iCs/>
          </w:rPr>
          <w:t>global</w:t>
        </w:r>
        <w:proofErr w:type="spellEnd"/>
        <w:r>
          <w:rPr>
            <w:rStyle w:val="Hyperlink"/>
            <w:i/>
            <w:iCs/>
          </w:rPr>
          <w:t xml:space="preserve"> </w:t>
        </w:r>
        <w:proofErr w:type="spellStart"/>
        <w:r>
          <w:rPr>
            <w:rStyle w:val="Hyperlink"/>
            <w:i/>
            <w:iCs/>
          </w:rPr>
          <w:t>poverty</w:t>
        </w:r>
        <w:proofErr w:type="spellEnd"/>
        <w:r>
          <w:rPr>
            <w:rStyle w:val="Hyperlink"/>
          </w:rPr>
          <w:t xml:space="preserve"> | Christian Aid | Media Centre</w:t>
        </w:r>
      </w:hyperlink>
      <w:r>
        <w:t xml:space="preserve">; </w:t>
      </w:r>
      <w:hyperlink r:id="rId4" w:anchor=":~:text=We%20estimate%20that%20climate%20change,such%20as%20DICE%20and%20FUND." w:history="1">
        <w:proofErr w:type="spellStart"/>
        <w:r>
          <w:rPr>
            <w:rStyle w:val="Hyperlink"/>
            <w:i/>
            <w:iCs/>
          </w:rPr>
          <w:t>The</w:t>
        </w:r>
        <w:proofErr w:type="spellEnd"/>
        <w:r>
          <w:rPr>
            <w:rStyle w:val="Hyperlink"/>
            <w:i/>
            <w:iCs/>
          </w:rPr>
          <w:t xml:space="preserve"> </w:t>
        </w:r>
        <w:proofErr w:type="spellStart"/>
        <w:r>
          <w:rPr>
            <w:rStyle w:val="Hyperlink"/>
            <w:i/>
            <w:iCs/>
          </w:rPr>
          <w:t>Costs</w:t>
        </w:r>
        <w:proofErr w:type="spellEnd"/>
        <w:r>
          <w:rPr>
            <w:rStyle w:val="Hyperlink"/>
            <w:i/>
            <w:iCs/>
          </w:rPr>
          <w:t xml:space="preserve"> of Extreme </w:t>
        </w:r>
        <w:proofErr w:type="spellStart"/>
        <w:r>
          <w:rPr>
            <w:rStyle w:val="Hyperlink"/>
            <w:i/>
            <w:iCs/>
          </w:rPr>
          <w:t>Weather</w:t>
        </w:r>
        <w:proofErr w:type="spellEnd"/>
        <w:r>
          <w:rPr>
            <w:rStyle w:val="Hyperlink"/>
            <w:i/>
            <w:iCs/>
          </w:rPr>
          <w:t xml:space="preserve"> </w:t>
        </w:r>
        <w:proofErr w:type="spellStart"/>
        <w:r>
          <w:rPr>
            <w:rStyle w:val="Hyperlink"/>
            <w:i/>
            <w:iCs/>
          </w:rPr>
          <w:t>Events</w:t>
        </w:r>
        <w:proofErr w:type="spellEnd"/>
        <w:r>
          <w:rPr>
            <w:rStyle w:val="Hyperlink"/>
            <w:i/>
            <w:iCs/>
          </w:rPr>
          <w:t xml:space="preserve"> </w:t>
        </w:r>
        <w:proofErr w:type="spellStart"/>
        <w:r>
          <w:rPr>
            <w:rStyle w:val="Hyperlink"/>
            <w:i/>
            <w:iCs/>
          </w:rPr>
          <w:t>Caused</w:t>
        </w:r>
        <w:proofErr w:type="spellEnd"/>
        <w:r>
          <w:rPr>
            <w:rStyle w:val="Hyperlink"/>
            <w:i/>
            <w:iCs/>
          </w:rPr>
          <w:t xml:space="preserve"> </w:t>
        </w:r>
        <w:proofErr w:type="spellStart"/>
        <w:r>
          <w:rPr>
            <w:rStyle w:val="Hyperlink"/>
            <w:i/>
            <w:iCs/>
          </w:rPr>
          <w:t>by</w:t>
        </w:r>
        <w:proofErr w:type="spellEnd"/>
        <w:r>
          <w:rPr>
            <w:rStyle w:val="Hyperlink"/>
            <w:i/>
            <w:iCs/>
          </w:rPr>
          <w:t xml:space="preserve"> </w:t>
        </w:r>
        <w:proofErr w:type="spellStart"/>
        <w:r>
          <w:rPr>
            <w:rStyle w:val="Hyperlink"/>
            <w:i/>
            <w:iCs/>
          </w:rPr>
          <w:t>Climate</w:t>
        </w:r>
        <w:proofErr w:type="spellEnd"/>
        <w:r>
          <w:rPr>
            <w:rStyle w:val="Hyperlink"/>
            <w:i/>
            <w:iCs/>
          </w:rPr>
          <w:t xml:space="preserve"> </w:t>
        </w:r>
        <w:proofErr w:type="spellStart"/>
        <w:r>
          <w:rPr>
            <w:rStyle w:val="Hyperlink"/>
            <w:i/>
            <w:iCs/>
          </w:rPr>
          <w:t>Change</w:t>
        </w:r>
        <w:proofErr w:type="spellEnd"/>
        <w:r>
          <w:rPr>
            <w:rStyle w:val="Hyperlink"/>
          </w:rPr>
          <w:t xml:space="preserve"> - CMCC</w:t>
        </w:r>
      </w:hyperlink>
      <w:r>
        <w:t xml:space="preserve">; </w:t>
      </w:r>
      <w:hyperlink r:id="rId5" w:history="1">
        <w:proofErr w:type="spellStart"/>
        <w:r>
          <w:rPr>
            <w:rStyle w:val="Hyperlink"/>
            <w:i/>
            <w:iCs/>
          </w:rPr>
          <w:t>Billion-Dollar</w:t>
        </w:r>
        <w:proofErr w:type="spellEnd"/>
        <w:r>
          <w:rPr>
            <w:rStyle w:val="Hyperlink"/>
            <w:i/>
            <w:iCs/>
          </w:rPr>
          <w:t xml:space="preserve"> </w:t>
        </w:r>
        <w:proofErr w:type="spellStart"/>
        <w:r>
          <w:rPr>
            <w:rStyle w:val="Hyperlink"/>
            <w:i/>
            <w:iCs/>
          </w:rPr>
          <w:t>Weather</w:t>
        </w:r>
        <w:proofErr w:type="spellEnd"/>
        <w:r>
          <w:rPr>
            <w:rStyle w:val="Hyperlink"/>
            <w:i/>
            <w:iCs/>
          </w:rPr>
          <w:t xml:space="preserve"> and </w:t>
        </w:r>
        <w:proofErr w:type="spellStart"/>
        <w:r>
          <w:rPr>
            <w:rStyle w:val="Hyperlink"/>
            <w:i/>
            <w:iCs/>
          </w:rPr>
          <w:t>Climate</w:t>
        </w:r>
        <w:proofErr w:type="spellEnd"/>
        <w:r>
          <w:rPr>
            <w:rStyle w:val="Hyperlink"/>
            <w:i/>
            <w:iCs/>
          </w:rPr>
          <w:t xml:space="preserve"> </w:t>
        </w:r>
        <w:proofErr w:type="spellStart"/>
        <w:r>
          <w:rPr>
            <w:rStyle w:val="Hyperlink"/>
            <w:i/>
            <w:iCs/>
          </w:rPr>
          <w:t>Disasters</w:t>
        </w:r>
        <w:proofErr w:type="spellEnd"/>
        <w:r>
          <w:rPr>
            <w:rStyle w:val="Hyperlink"/>
          </w:rPr>
          <w:t xml:space="preserve"> | National </w:t>
        </w:r>
        <w:proofErr w:type="spellStart"/>
        <w:r>
          <w:rPr>
            <w:rStyle w:val="Hyperlink"/>
          </w:rPr>
          <w:t>Centers</w:t>
        </w:r>
        <w:proofErr w:type="spellEnd"/>
        <w:r>
          <w:rPr>
            <w:rStyle w:val="Hyperlink"/>
          </w:rPr>
          <w:t xml:space="preserve"> for </w:t>
        </w:r>
        <w:proofErr w:type="spellStart"/>
        <w:r>
          <w:rPr>
            <w:rStyle w:val="Hyperlink"/>
          </w:rPr>
          <w:t>Environmental</w:t>
        </w:r>
        <w:proofErr w:type="spellEnd"/>
        <w:r>
          <w:rPr>
            <w:rStyle w:val="Hyperlink"/>
          </w:rPr>
          <w:t xml:space="preserve"> </w:t>
        </w:r>
        <w:proofErr w:type="spellStart"/>
        <w:r>
          <w:rPr>
            <w:rStyle w:val="Hyperlink"/>
          </w:rPr>
          <w:t>Information</w:t>
        </w:r>
        <w:proofErr w:type="spellEnd"/>
        <w:r>
          <w:rPr>
            <w:rStyle w:val="Hyperlink"/>
          </w:rPr>
          <w:t xml:space="preserve"> (NCEI)</w:t>
        </w:r>
      </w:hyperlink>
    </w:p>
  </w:footnote>
  <w:footnote w:id="4">
    <w:p w:rsidR="00D27A92" w:rsidRPr="005F3782" w:rsidRDefault="00D27A92" w:rsidP="00EF3B48">
      <w:pPr>
        <w:pStyle w:val="FootnoteText"/>
        <w:rPr>
          <w:sz w:val="18"/>
          <w:szCs w:val="18"/>
        </w:rPr>
      </w:pPr>
      <w:r>
        <w:rPr>
          <w:rStyle w:val="FootnoteReference"/>
          <w:szCs w:val="24"/>
        </w:rPr>
        <w:footnoteRef/>
      </w:r>
      <w:r>
        <w:rPr>
          <w:sz w:val="18"/>
        </w:rPr>
        <w:tab/>
      </w:r>
      <w:hyperlink r:id="rId6" w:history="1">
        <w:proofErr w:type="spellStart"/>
        <w:r>
          <w:rPr>
            <w:rStyle w:val="Hyperlink"/>
            <w:i/>
          </w:rPr>
          <w:t>Climate</w:t>
        </w:r>
        <w:proofErr w:type="spellEnd"/>
        <w:r>
          <w:rPr>
            <w:rStyle w:val="Hyperlink"/>
            <w:i/>
          </w:rPr>
          <w:t xml:space="preserve"> </w:t>
        </w:r>
        <w:proofErr w:type="spellStart"/>
        <w:r>
          <w:rPr>
            <w:rStyle w:val="Hyperlink"/>
            <w:i/>
          </w:rPr>
          <w:t>Change</w:t>
        </w:r>
        <w:proofErr w:type="spellEnd"/>
        <w:r>
          <w:rPr>
            <w:rStyle w:val="Hyperlink"/>
            <w:i/>
          </w:rPr>
          <w:t xml:space="preserve"> 2022: </w:t>
        </w:r>
        <w:proofErr w:type="spellStart"/>
        <w:r>
          <w:rPr>
            <w:rStyle w:val="Hyperlink"/>
            <w:i/>
          </w:rPr>
          <w:t>Mitigation</w:t>
        </w:r>
        <w:proofErr w:type="spellEnd"/>
        <w:r>
          <w:rPr>
            <w:rStyle w:val="Hyperlink"/>
            <w:i/>
          </w:rPr>
          <w:t xml:space="preserve"> of </w:t>
        </w:r>
        <w:proofErr w:type="spellStart"/>
        <w:r>
          <w:rPr>
            <w:rStyle w:val="Hyperlink"/>
            <w:i/>
          </w:rPr>
          <w:t>Climate</w:t>
        </w:r>
        <w:proofErr w:type="spellEnd"/>
        <w:r>
          <w:rPr>
            <w:rStyle w:val="Hyperlink"/>
            <w:i/>
          </w:rPr>
          <w:t xml:space="preserve"> </w:t>
        </w:r>
        <w:proofErr w:type="spellStart"/>
        <w:r>
          <w:rPr>
            <w:rStyle w:val="Hyperlink"/>
            <w:i/>
          </w:rPr>
          <w:t>Change</w:t>
        </w:r>
        <w:proofErr w:type="spellEnd"/>
        <w:r>
          <w:rPr>
            <w:rStyle w:val="Hyperlink"/>
          </w:rPr>
          <w:t xml:space="preserve"> | IPCC</w:t>
        </w:r>
      </w:hyperlink>
    </w:p>
  </w:footnote>
  <w:footnote w:id="5">
    <w:p w:rsidR="00EA2B05" w:rsidRPr="0039570B" w:rsidRDefault="00EA2B05" w:rsidP="00EF3B48">
      <w:pPr>
        <w:pStyle w:val="FootnoteText"/>
        <w:jc w:val="left"/>
        <w:rPr>
          <w:szCs w:val="16"/>
        </w:rPr>
      </w:pPr>
      <w:r>
        <w:rPr>
          <w:rStyle w:val="FootnoteReference"/>
          <w:szCs w:val="24"/>
        </w:rPr>
        <w:footnoteRef/>
      </w:r>
      <w:r>
        <w:tab/>
      </w:r>
      <w:proofErr w:type="spellStart"/>
      <w:r>
        <w:t>ETSK:n</w:t>
      </w:r>
      <w:proofErr w:type="spellEnd"/>
      <w:r>
        <w:t xml:space="preserve"> päätöslauselma aiheesta </w:t>
      </w:r>
      <w:hyperlink r:id="rId7" w:history="1">
        <w:r>
          <w:rPr>
            <w:rStyle w:val="Hyperlink"/>
          </w:rPr>
          <w:t>Ukrainan sota ja sen taloudelliset, sosiaaliset ja ympäristövaikutukset</w:t>
        </w:r>
      </w:hyperlink>
    </w:p>
  </w:footnote>
  <w:footnote w:id="6">
    <w:p w:rsidR="00CB14BC" w:rsidRPr="005F3782" w:rsidRDefault="00CB14BC" w:rsidP="00EF3B48">
      <w:pPr>
        <w:pStyle w:val="FootnoteText"/>
        <w:tabs>
          <w:tab w:val="left" w:pos="567"/>
        </w:tabs>
        <w:ind w:left="0" w:firstLine="0"/>
        <w:jc w:val="left"/>
        <w:rPr>
          <w:szCs w:val="16"/>
        </w:rPr>
      </w:pPr>
      <w:r>
        <w:rPr>
          <w:rStyle w:val="FootnoteReference"/>
          <w:szCs w:val="24"/>
        </w:rPr>
        <w:footnoteRef/>
      </w:r>
      <w:r>
        <w:tab/>
      </w:r>
      <w:hyperlink r:id="rId8" w:history="1">
        <w:r>
          <w:rPr>
            <w:rStyle w:val="Hyperlink"/>
          </w:rPr>
          <w:t>Ilmastonmuutos: parlamentti ajaa nopeampia EU-toimia ja energiaomavaraisuutta</w:t>
        </w:r>
      </w:hyperlink>
    </w:p>
  </w:footnote>
  <w:footnote w:id="7">
    <w:p w:rsidR="00CB14BC" w:rsidRPr="005F3782" w:rsidRDefault="00CB14BC" w:rsidP="00EF3B48">
      <w:pPr>
        <w:pStyle w:val="FootnoteText"/>
        <w:tabs>
          <w:tab w:val="left" w:pos="567"/>
        </w:tabs>
        <w:ind w:left="708" w:hanging="708"/>
        <w:jc w:val="left"/>
        <w:rPr>
          <w:szCs w:val="16"/>
        </w:rPr>
      </w:pPr>
      <w:r>
        <w:rPr>
          <w:rStyle w:val="FootnoteReference"/>
          <w:szCs w:val="24"/>
        </w:rPr>
        <w:footnoteRef/>
      </w:r>
      <w:r>
        <w:tab/>
      </w:r>
      <w:hyperlink r:id="rId9" w:history="1">
        <w:r>
          <w:rPr>
            <w:rStyle w:val="Hyperlink"/>
          </w:rPr>
          <w:t>Ilmastopaketti: Parlamentti haluaa nostaa maankäyttö- ja metsäsektorin hiilinieluja</w:t>
        </w:r>
      </w:hyperlink>
    </w:p>
  </w:footnote>
  <w:footnote w:id="8">
    <w:p w:rsidR="00D27A92" w:rsidRPr="0039570B" w:rsidRDefault="00D27A92" w:rsidP="00EF3B48">
      <w:pPr>
        <w:pStyle w:val="FootnoteText"/>
        <w:rPr>
          <w:szCs w:val="16"/>
        </w:rPr>
      </w:pPr>
      <w:r>
        <w:rPr>
          <w:rStyle w:val="FootnoteReference"/>
          <w:szCs w:val="24"/>
        </w:rPr>
        <w:footnoteRef/>
      </w:r>
      <w:r>
        <w:tab/>
      </w:r>
      <w:proofErr w:type="spellStart"/>
      <w:r>
        <w:t>ETSK:n</w:t>
      </w:r>
      <w:proofErr w:type="spellEnd"/>
      <w:r>
        <w:t xml:space="preserve"> lausunto aiheesta </w:t>
      </w:r>
      <w:r>
        <w:rPr>
          <w:i/>
        </w:rPr>
        <w:t>Tarvitsemamme kestävä talous</w:t>
      </w:r>
      <w:r>
        <w:t xml:space="preserve">, </w:t>
      </w:r>
      <w:hyperlink r:id="rId10" w:anchor=":~:text=The%20EESC%20highlights%20that%20building%20the%20wellbeing%20economy%20must%20start%20by%20adopting%20a%20precautionary%20approach%20in%20which%20macroeconomic%20stability%20does%20not%20depend%20on%20GDP%20growth.%20It%20proposes%20the%20development%20of%20new%20indicators%20of%20economic%20performance%20and%20social%20progress%20beyond%20GDP." w:history="1">
        <w:r>
          <w:rPr>
            <w:rStyle w:val="Hyperlink"/>
          </w:rPr>
          <w:t xml:space="preserve"> EUVL C 106, 31.3.2020, s. 1</w:t>
        </w:r>
      </w:hyperlink>
    </w:p>
  </w:footnote>
  <w:footnote w:id="9">
    <w:p w:rsidR="00F426F7" w:rsidRPr="005F3782" w:rsidRDefault="00F426F7" w:rsidP="00EF3B48">
      <w:pPr>
        <w:pStyle w:val="FootnoteText"/>
        <w:rPr>
          <w:szCs w:val="16"/>
        </w:rPr>
      </w:pPr>
      <w:r>
        <w:rPr>
          <w:rStyle w:val="FootnoteReference"/>
          <w:szCs w:val="24"/>
        </w:rPr>
        <w:footnoteRef/>
      </w:r>
      <w:r>
        <w:tab/>
      </w:r>
      <w:proofErr w:type="spellStart"/>
      <w:r>
        <w:t>ETSK:n</w:t>
      </w:r>
      <w:proofErr w:type="spellEnd"/>
      <w:r>
        <w:t xml:space="preserve"> lausunto aiheesta </w:t>
      </w:r>
      <w:r>
        <w:rPr>
          <w:i/>
        </w:rPr>
        <w:t>Valmiina 55:een: Vuoden 2030 ilmastotavoitteesta totta matkalla kohti ilmastoneutraaliutta</w:t>
      </w:r>
      <w:r>
        <w:t xml:space="preserve">, </w:t>
      </w:r>
      <w:hyperlink r:id="rId11" w:history="1">
        <w:r>
          <w:rPr>
            <w:rStyle w:val="Hyperlink"/>
          </w:rPr>
          <w:t>EUVL C 275, 18.7.2022, s. 101</w:t>
        </w:r>
      </w:hyperlink>
    </w:p>
  </w:footnote>
  <w:footnote w:id="10">
    <w:p w:rsidR="00CA61D4" w:rsidRPr="0052304F" w:rsidRDefault="00CA61D4">
      <w:pPr>
        <w:pStyle w:val="FootnoteText"/>
      </w:pPr>
      <w:r>
        <w:rPr>
          <w:rStyle w:val="FootnoteReference"/>
        </w:rPr>
        <w:footnoteRef/>
      </w:r>
      <w:r>
        <w:tab/>
      </w:r>
      <w:proofErr w:type="spellStart"/>
      <w:r>
        <w:t>ETSK:n</w:t>
      </w:r>
      <w:proofErr w:type="spellEnd"/>
      <w:r>
        <w:t xml:space="preserve"> lausunto aiheesta </w:t>
      </w:r>
      <w:hyperlink r:id="rId12" w:history="1">
        <w:r>
          <w:rPr>
            <w:rStyle w:val="Hyperlink"/>
            <w:i/>
          </w:rPr>
          <w:t>Työmarkkinaosapuolten vuoropuhelu vihreän siirtymän yhteydessä</w:t>
        </w:r>
      </w:hyperlink>
      <w:r>
        <w:t xml:space="preserve"> </w:t>
      </w:r>
      <w:r>
        <w:rPr>
          <w:i/>
        </w:rPr>
        <w:t>(ei vielä julkaistu virallisessa lehdessä)</w:t>
      </w:r>
      <w:r>
        <w:t>.</w:t>
      </w:r>
    </w:p>
  </w:footnote>
  <w:footnote w:id="11">
    <w:p w:rsidR="00492189" w:rsidRPr="009B16C4" w:rsidRDefault="00492189" w:rsidP="00EF3B48">
      <w:pPr>
        <w:pStyle w:val="FootnoteText"/>
        <w:jc w:val="left"/>
        <w:rPr>
          <w:szCs w:val="16"/>
        </w:rPr>
      </w:pPr>
      <w:r>
        <w:rPr>
          <w:rStyle w:val="FootnoteReference"/>
          <w:szCs w:val="24"/>
        </w:rPr>
        <w:footnoteRef/>
      </w:r>
      <w:r>
        <w:tab/>
      </w:r>
      <w:proofErr w:type="spellStart"/>
      <w:r>
        <w:t>ETSK:n</w:t>
      </w:r>
      <w:proofErr w:type="spellEnd"/>
      <w:r>
        <w:t xml:space="preserve"> lausunto aiheesta </w:t>
      </w:r>
      <w:r>
        <w:rPr>
          <w:i/>
        </w:rPr>
        <w:t>Valmiina 55:een: Vuoden 2030 ilmastotavoitteesta totta matkalla kohti ilmastoneutraaliutta,</w:t>
      </w:r>
      <w:r>
        <w:t xml:space="preserve"> </w:t>
      </w:r>
      <w:hyperlink r:id="rId13" w:history="1">
        <w:r>
          <w:rPr>
            <w:rStyle w:val="Hyperlink"/>
          </w:rPr>
          <w:t>EUVL C 275, 18.7.2022, s. 101</w:t>
        </w:r>
      </w:hyperlink>
      <w:hyperlink r:id="rId14" w:history="1"/>
    </w:p>
  </w:footnote>
  <w:footnote w:id="12">
    <w:p w:rsidR="00492189" w:rsidRPr="009B16C4" w:rsidRDefault="00492189" w:rsidP="00EF3B48">
      <w:pPr>
        <w:pStyle w:val="FootnoteText"/>
        <w:jc w:val="left"/>
        <w:rPr>
          <w:szCs w:val="16"/>
        </w:rPr>
      </w:pPr>
      <w:r>
        <w:rPr>
          <w:rStyle w:val="FootnoteReference"/>
          <w:szCs w:val="24"/>
        </w:rPr>
        <w:footnoteRef/>
      </w:r>
      <w:r>
        <w:tab/>
      </w:r>
      <w:proofErr w:type="spellStart"/>
      <w:r>
        <w:t>ETSK:n</w:t>
      </w:r>
      <w:proofErr w:type="spellEnd"/>
      <w:r>
        <w:t xml:space="preserve"> lausunto aiheesta </w:t>
      </w:r>
      <w:r>
        <w:rPr>
          <w:i/>
        </w:rPr>
        <w:t>Valmiina 55:een: Vuoden 2030 ilmastotavoitteesta totta matkalla kohti ilmastoneutraaliutta,</w:t>
      </w:r>
      <w:r>
        <w:t xml:space="preserve"> </w:t>
      </w:r>
      <w:hyperlink r:id="rId15" w:history="1">
        <w:r>
          <w:rPr>
            <w:rStyle w:val="Hyperlink"/>
          </w:rPr>
          <w:t>EUVL C 275, 18.7.2022, s. 101</w:t>
        </w:r>
      </w:hyperlink>
      <w:hyperlink r:id="rId16" w:history="1"/>
    </w:p>
  </w:footnote>
  <w:footnote w:id="13">
    <w:p w:rsidR="00492189" w:rsidRPr="005F3782" w:rsidRDefault="00492189" w:rsidP="00EF3B48">
      <w:pPr>
        <w:pStyle w:val="FootnoteText"/>
        <w:rPr>
          <w:szCs w:val="16"/>
        </w:rPr>
      </w:pPr>
      <w:r>
        <w:rPr>
          <w:rStyle w:val="FootnoteReference"/>
          <w:szCs w:val="24"/>
        </w:rPr>
        <w:footnoteRef/>
      </w:r>
      <w:r>
        <w:tab/>
      </w:r>
      <w:hyperlink r:id="rId17" w:history="1">
        <w:r>
          <w:rPr>
            <w:rStyle w:val="Hyperlink"/>
          </w:rPr>
          <w:t>Euroopan tulevaisuutta käsittelevä konferenssi – Eurooppalaisen kansalaispaneelin hyväksymät suositukset</w:t>
        </w:r>
      </w:hyperlink>
    </w:p>
  </w:footnote>
  <w:footnote w:id="14">
    <w:p w:rsidR="00492189" w:rsidRPr="009B16C4" w:rsidRDefault="00492189" w:rsidP="00EF3B48">
      <w:pPr>
        <w:pStyle w:val="FootnoteText"/>
        <w:jc w:val="left"/>
        <w:rPr>
          <w:szCs w:val="16"/>
        </w:rPr>
      </w:pPr>
      <w:r>
        <w:rPr>
          <w:rStyle w:val="FootnoteReference"/>
          <w:szCs w:val="24"/>
        </w:rPr>
        <w:footnoteRef/>
      </w:r>
      <w:r>
        <w:tab/>
      </w:r>
      <w:hyperlink r:id="rId18" w:history="1">
        <w:r>
          <w:rPr>
            <w:rStyle w:val="Hyperlink"/>
          </w:rPr>
          <w:t>Euroopan kestävän kehityksen raportti 2021 – SDSN Europe</w:t>
        </w:r>
      </w:hyperlink>
    </w:p>
  </w:footnote>
  <w:footnote w:id="15">
    <w:p w:rsidR="007E0872" w:rsidRPr="00E567D2" w:rsidRDefault="007E0872" w:rsidP="00EF3B48">
      <w:pPr>
        <w:pStyle w:val="FootnoteText"/>
      </w:pPr>
      <w:r>
        <w:rPr>
          <w:rStyle w:val="FootnoteReference"/>
        </w:rPr>
        <w:footnoteRef/>
      </w:r>
      <w:r>
        <w:tab/>
        <w:t xml:space="preserve">Valmisteilla oleva </w:t>
      </w:r>
      <w:proofErr w:type="spellStart"/>
      <w:r>
        <w:t>ETSK:n</w:t>
      </w:r>
      <w:proofErr w:type="spellEnd"/>
      <w:r>
        <w:t xml:space="preserve"> lausunto (asiakokonaisuus NAT/841) aiheesta </w:t>
      </w:r>
      <w:hyperlink r:id="rId19" w:history="1">
        <w:r>
          <w:rPr>
            <w:rStyle w:val="Hyperlink"/>
            <w:i/>
          </w:rPr>
          <w:t xml:space="preserve">Luonnon ennallistamistavoitteet EU:n </w:t>
        </w:r>
        <w:proofErr w:type="spellStart"/>
        <w:r>
          <w:rPr>
            <w:rStyle w:val="Hyperlink"/>
            <w:i/>
          </w:rPr>
          <w:t>biodiversiteettistrategiassa</w:t>
        </w:r>
        <w:proofErr w:type="spellEnd"/>
      </w:hyperlink>
    </w:p>
  </w:footnote>
  <w:footnote w:id="16">
    <w:p w:rsidR="0044565F" w:rsidRPr="005F3782" w:rsidRDefault="0044565F" w:rsidP="00EF3B48">
      <w:pPr>
        <w:pStyle w:val="FootnoteText"/>
        <w:tabs>
          <w:tab w:val="left" w:pos="567"/>
        </w:tabs>
        <w:rPr>
          <w:szCs w:val="16"/>
        </w:rPr>
      </w:pPr>
      <w:r>
        <w:rPr>
          <w:rStyle w:val="FootnoteReference"/>
          <w:szCs w:val="24"/>
        </w:rPr>
        <w:footnoteRef/>
      </w:r>
      <w:r>
        <w:tab/>
      </w:r>
      <w:proofErr w:type="spellStart"/>
      <w:r>
        <w:t>ETSK:n</w:t>
      </w:r>
      <w:proofErr w:type="spellEnd"/>
      <w:r>
        <w:t xml:space="preserve"> lausunto aiheesta </w:t>
      </w:r>
      <w:r>
        <w:rPr>
          <w:i/>
        </w:rPr>
        <w:t>Uusi EU:n strategia ilmastonmuutokseen sopeutumiseksi</w:t>
      </w:r>
      <w:r>
        <w:t xml:space="preserve">, </w:t>
      </w:r>
      <w:hyperlink r:id="rId20" w:history="1">
        <w:r>
          <w:rPr>
            <w:rStyle w:val="Hyperlink"/>
          </w:rPr>
          <w:t>EUVL C 374, 16.9.2021, s. 84</w:t>
        </w:r>
      </w:hyperlink>
    </w:p>
  </w:footnote>
  <w:footnote w:id="17">
    <w:p w:rsidR="0044565F" w:rsidRPr="005F3782" w:rsidRDefault="0044565F" w:rsidP="00EF3B48">
      <w:pPr>
        <w:pStyle w:val="FootnoteText"/>
        <w:tabs>
          <w:tab w:val="left" w:pos="567"/>
        </w:tabs>
        <w:rPr>
          <w:szCs w:val="16"/>
        </w:rPr>
      </w:pPr>
      <w:r>
        <w:rPr>
          <w:rStyle w:val="FootnoteReference"/>
          <w:szCs w:val="24"/>
        </w:rPr>
        <w:footnoteRef/>
      </w:r>
      <w:r>
        <w:tab/>
      </w:r>
      <w:hyperlink r:id="rId21" w:history="1">
        <w:proofErr w:type="spellStart"/>
        <w:r>
          <w:rPr>
            <w:rStyle w:val="Hyperlink"/>
          </w:rPr>
          <w:t>António</w:t>
        </w:r>
        <w:proofErr w:type="spellEnd"/>
        <w:r>
          <w:rPr>
            <w:rStyle w:val="Hyperlink"/>
          </w:rPr>
          <w:t xml:space="preserve"> </w:t>
        </w:r>
        <w:proofErr w:type="spellStart"/>
        <w:r>
          <w:rPr>
            <w:rStyle w:val="Hyperlink"/>
          </w:rPr>
          <w:t>Guterres</w:t>
        </w:r>
        <w:proofErr w:type="spellEnd"/>
        <w:r>
          <w:rPr>
            <w:rStyle w:val="Hyperlink"/>
          </w:rPr>
          <w:t xml:space="preserve">: </w:t>
        </w:r>
        <w:r>
          <w:rPr>
            <w:rStyle w:val="Hyperlink"/>
            <w:i/>
          </w:rPr>
          <w:t xml:space="preserve">50% of </w:t>
        </w:r>
        <w:proofErr w:type="spellStart"/>
        <w:r>
          <w:rPr>
            <w:rStyle w:val="Hyperlink"/>
            <w:i/>
          </w:rPr>
          <w:t>All</w:t>
        </w:r>
        <w:proofErr w:type="spellEnd"/>
        <w:r>
          <w:rPr>
            <w:rStyle w:val="Hyperlink"/>
            <w:i/>
          </w:rPr>
          <w:t xml:space="preserve"> </w:t>
        </w:r>
        <w:proofErr w:type="spellStart"/>
        <w:r>
          <w:rPr>
            <w:rStyle w:val="Hyperlink"/>
            <w:i/>
          </w:rPr>
          <w:t>Climate</w:t>
        </w:r>
        <w:proofErr w:type="spellEnd"/>
        <w:r>
          <w:rPr>
            <w:rStyle w:val="Hyperlink"/>
            <w:i/>
          </w:rPr>
          <w:t xml:space="preserve"> Finance </w:t>
        </w:r>
        <w:proofErr w:type="spellStart"/>
        <w:r>
          <w:rPr>
            <w:rStyle w:val="Hyperlink"/>
            <w:i/>
          </w:rPr>
          <w:t>Needed</w:t>
        </w:r>
        <w:proofErr w:type="spellEnd"/>
        <w:r>
          <w:rPr>
            <w:rStyle w:val="Hyperlink"/>
            <w:i/>
          </w:rPr>
          <w:t xml:space="preserve"> for </w:t>
        </w:r>
        <w:proofErr w:type="spellStart"/>
        <w:r>
          <w:rPr>
            <w:rStyle w:val="Hyperlink"/>
            <w:i/>
          </w:rPr>
          <w:t>Adaptation</w:t>
        </w:r>
        <w:proofErr w:type="spellEnd"/>
      </w:hyperlink>
    </w:p>
  </w:footnote>
  <w:footnote w:id="18">
    <w:p w:rsidR="00707DFC" w:rsidRPr="0039570B" w:rsidRDefault="00707DFC" w:rsidP="00EF3B48">
      <w:pPr>
        <w:pStyle w:val="FootnoteText"/>
        <w:tabs>
          <w:tab w:val="left" w:pos="567"/>
        </w:tabs>
        <w:jc w:val="left"/>
        <w:rPr>
          <w:szCs w:val="16"/>
        </w:rPr>
      </w:pPr>
      <w:r>
        <w:rPr>
          <w:rStyle w:val="FootnoteReference"/>
          <w:szCs w:val="24"/>
        </w:rPr>
        <w:footnoteRef/>
      </w:r>
      <w:r>
        <w:tab/>
      </w:r>
      <w:proofErr w:type="spellStart"/>
      <w:r>
        <w:t>ETSK:n</w:t>
      </w:r>
      <w:proofErr w:type="spellEnd"/>
      <w:r>
        <w:t xml:space="preserve"> lausunto aiheesta </w:t>
      </w:r>
      <w:r>
        <w:rPr>
          <w:i/>
        </w:rPr>
        <w:t>Kiertotalouden eri etenemissuunnitelmien välisten synergioiden kehittäminen</w:t>
      </w:r>
      <w:r>
        <w:t xml:space="preserve">, </w:t>
      </w:r>
      <w:hyperlink r:id="rId22" w:history="1">
        <w:r>
          <w:rPr>
            <w:rStyle w:val="Hyperlink"/>
          </w:rPr>
          <w:t>EUVL C 14, 15.1.2020, s. 29</w:t>
        </w:r>
      </w:hyperlink>
    </w:p>
  </w:footnote>
  <w:footnote w:id="19">
    <w:p w:rsidR="00707DFC" w:rsidRPr="0039570B" w:rsidRDefault="00707DFC" w:rsidP="00EF3B48">
      <w:pPr>
        <w:pStyle w:val="FootnoteText"/>
        <w:tabs>
          <w:tab w:val="left" w:pos="567"/>
        </w:tabs>
        <w:jc w:val="left"/>
        <w:rPr>
          <w:szCs w:val="16"/>
        </w:rPr>
      </w:pPr>
      <w:r>
        <w:rPr>
          <w:rStyle w:val="FootnoteReference"/>
          <w:szCs w:val="24"/>
        </w:rPr>
        <w:footnoteRef/>
      </w:r>
      <w:r>
        <w:tab/>
        <w:t xml:space="preserve">Kiertotalouden tilaa koskeva vuoden 2021 selvitys, </w:t>
      </w:r>
      <w:hyperlink r:id="rId23" w:history="1">
        <w:proofErr w:type="spellStart"/>
        <w:r>
          <w:rPr>
            <w:rStyle w:val="Hyperlink"/>
            <w:i/>
          </w:rPr>
          <w:t>Climate</w:t>
        </w:r>
        <w:proofErr w:type="spellEnd"/>
        <w:r>
          <w:rPr>
            <w:rStyle w:val="Hyperlink"/>
            <w:i/>
          </w:rPr>
          <w:t xml:space="preserve"> </w:t>
        </w:r>
        <w:proofErr w:type="spellStart"/>
        <w:r>
          <w:rPr>
            <w:rStyle w:val="Hyperlink"/>
            <w:i/>
          </w:rPr>
          <w:t>Change</w:t>
        </w:r>
        <w:proofErr w:type="spellEnd"/>
        <w:r>
          <w:rPr>
            <w:rStyle w:val="Hyperlink"/>
            <w:i/>
          </w:rPr>
          <w:t xml:space="preserve"> </w:t>
        </w:r>
        <w:proofErr w:type="spellStart"/>
        <w:r>
          <w:rPr>
            <w:rStyle w:val="Hyperlink"/>
            <w:i/>
          </w:rPr>
          <w:t>Mitigation</w:t>
        </w:r>
        <w:proofErr w:type="spellEnd"/>
        <w:r>
          <w:rPr>
            <w:rStyle w:val="Hyperlink"/>
            <w:i/>
          </w:rPr>
          <w:t xml:space="preserve"> </w:t>
        </w:r>
        <w:proofErr w:type="spellStart"/>
        <w:r>
          <w:rPr>
            <w:rStyle w:val="Hyperlink"/>
            <w:i/>
          </w:rPr>
          <w:t>through</w:t>
        </w:r>
        <w:proofErr w:type="spellEnd"/>
        <w:r>
          <w:rPr>
            <w:rStyle w:val="Hyperlink"/>
            <w:i/>
          </w:rPr>
          <w:t xml:space="preserve"> </w:t>
        </w:r>
        <w:proofErr w:type="spellStart"/>
        <w:r>
          <w:rPr>
            <w:rStyle w:val="Hyperlink"/>
            <w:i/>
          </w:rPr>
          <w:t>the</w:t>
        </w:r>
        <w:proofErr w:type="spellEnd"/>
        <w:r>
          <w:rPr>
            <w:rStyle w:val="Hyperlink"/>
            <w:i/>
          </w:rPr>
          <w:t xml:space="preserve"> </w:t>
        </w:r>
        <w:proofErr w:type="spellStart"/>
        <w:r>
          <w:rPr>
            <w:rStyle w:val="Hyperlink"/>
            <w:i/>
          </w:rPr>
          <w:t>Circular</w:t>
        </w:r>
        <w:proofErr w:type="spellEnd"/>
        <w:r>
          <w:rPr>
            <w:rStyle w:val="Hyperlink"/>
            <w:i/>
          </w:rPr>
          <w:t xml:space="preserve"> </w:t>
        </w:r>
        <w:proofErr w:type="spellStart"/>
        <w:r>
          <w:rPr>
            <w:rStyle w:val="Hyperlink"/>
            <w:i/>
          </w:rPr>
          <w:t>Economy</w:t>
        </w:r>
        <w:proofErr w:type="spellEnd"/>
      </w:hyperlink>
    </w:p>
  </w:footnote>
  <w:footnote w:id="20">
    <w:p w:rsidR="00707DFC" w:rsidRPr="00BE77CC" w:rsidRDefault="00707DFC" w:rsidP="00EF3B48">
      <w:pPr>
        <w:pStyle w:val="FootnoteText"/>
        <w:tabs>
          <w:tab w:val="left" w:pos="567"/>
        </w:tabs>
        <w:jc w:val="left"/>
      </w:pPr>
      <w:r>
        <w:rPr>
          <w:rStyle w:val="FootnoteReference"/>
          <w:szCs w:val="24"/>
        </w:rPr>
        <w:footnoteRef/>
      </w:r>
      <w:r>
        <w:tab/>
      </w:r>
      <w:proofErr w:type="spellStart"/>
      <w:r>
        <w:t>ETSK:n</w:t>
      </w:r>
      <w:proofErr w:type="spellEnd"/>
      <w:r>
        <w:t xml:space="preserve"> lausunto aiheesta </w:t>
      </w:r>
      <w:r>
        <w:rPr>
          <w:i/>
        </w:rPr>
        <w:t>Uusi EU:n strategia ilmastonmuutokseen sopeutumiseksi</w:t>
      </w:r>
      <w:r>
        <w:t xml:space="preserve">, </w:t>
      </w:r>
      <w:hyperlink r:id="rId24" w:history="1">
        <w:r>
          <w:rPr>
            <w:rStyle w:val="Hyperlink"/>
          </w:rPr>
          <w:t>EUVL C 374, 16.9.2021, s. 84</w:t>
        </w:r>
      </w:hyperlink>
    </w:p>
  </w:footnote>
  <w:footnote w:id="21">
    <w:p w:rsidR="00444B59" w:rsidRPr="009B16C4" w:rsidRDefault="00444B59" w:rsidP="00EF3B48">
      <w:pPr>
        <w:pStyle w:val="FootnoteText"/>
        <w:jc w:val="left"/>
        <w:rPr>
          <w:szCs w:val="16"/>
        </w:rPr>
      </w:pPr>
      <w:r>
        <w:rPr>
          <w:rStyle w:val="FootnoteReference"/>
          <w:szCs w:val="24"/>
        </w:rPr>
        <w:footnoteRef/>
      </w:r>
      <w:r>
        <w:tab/>
      </w:r>
      <w:hyperlink r:id="rId25" w:history="1">
        <w:proofErr w:type="spellStart"/>
        <w:r>
          <w:rPr>
            <w:rStyle w:val="Hyperlink"/>
            <w:i/>
          </w:rPr>
          <w:t>Enhancing</w:t>
        </w:r>
        <w:proofErr w:type="spellEnd"/>
        <w:r>
          <w:rPr>
            <w:rStyle w:val="Hyperlink"/>
            <w:i/>
          </w:rPr>
          <w:t xml:space="preserve"> </w:t>
        </w:r>
        <w:proofErr w:type="spellStart"/>
        <w:r>
          <w:rPr>
            <w:rStyle w:val="Hyperlink"/>
            <w:i/>
          </w:rPr>
          <w:t>NDCs</w:t>
        </w:r>
        <w:proofErr w:type="spellEnd"/>
        <w:r>
          <w:rPr>
            <w:rStyle w:val="Hyperlink"/>
            <w:i/>
          </w:rPr>
          <w:t xml:space="preserve"> For Food Systems - </w:t>
        </w:r>
        <w:proofErr w:type="spellStart"/>
        <w:r>
          <w:rPr>
            <w:rStyle w:val="Hyperlink"/>
            <w:i/>
          </w:rPr>
          <w:t>recommendations</w:t>
        </w:r>
        <w:proofErr w:type="spellEnd"/>
        <w:r>
          <w:rPr>
            <w:rStyle w:val="Hyperlink"/>
            <w:i/>
          </w:rPr>
          <w:t xml:space="preserve"> for </w:t>
        </w:r>
        <w:proofErr w:type="spellStart"/>
        <w:r>
          <w:rPr>
            <w:rStyle w:val="Hyperlink"/>
            <w:i/>
          </w:rPr>
          <w:t>decision-makers</w:t>
        </w:r>
        <w:proofErr w:type="spellEnd"/>
        <w:r>
          <w:rPr>
            <w:rStyle w:val="Hyperlink"/>
          </w:rPr>
          <w:t xml:space="preserve"> | NDC Action Project</w:t>
        </w:r>
      </w:hyperlink>
    </w:p>
  </w:footnote>
  <w:footnote w:id="22">
    <w:p w:rsidR="00444B59" w:rsidRPr="009B16C4" w:rsidRDefault="00444B59" w:rsidP="00EF3B48">
      <w:pPr>
        <w:pStyle w:val="FootnoteText"/>
        <w:jc w:val="left"/>
        <w:rPr>
          <w:szCs w:val="16"/>
        </w:rPr>
      </w:pPr>
      <w:r>
        <w:rPr>
          <w:rStyle w:val="FootnoteReference"/>
          <w:szCs w:val="24"/>
        </w:rPr>
        <w:footnoteRef/>
      </w:r>
      <w:r>
        <w:tab/>
      </w:r>
      <w:proofErr w:type="spellStart"/>
      <w:r>
        <w:t>ETSK:n</w:t>
      </w:r>
      <w:proofErr w:type="spellEnd"/>
      <w:r>
        <w:t xml:space="preserve"> lausunto aiheesta </w:t>
      </w:r>
      <w:r>
        <w:rPr>
          <w:i/>
        </w:rPr>
        <w:t>Strateginen riippumattomuus, elintarviketurva ja elintarvikkeiden kestävyys</w:t>
      </w:r>
      <w:r>
        <w:t xml:space="preserve">, </w:t>
      </w:r>
      <w:hyperlink r:id="rId26" w:history="1">
        <w:r>
          <w:rPr>
            <w:rStyle w:val="Hyperlink"/>
          </w:rPr>
          <w:t>EUVL C 194, 4.3.2022, s. 72</w:t>
        </w:r>
      </w:hyperlink>
    </w:p>
  </w:footnote>
  <w:footnote w:id="23">
    <w:p w:rsidR="00444B59" w:rsidRPr="009B16C4" w:rsidRDefault="00444B59" w:rsidP="00EF3B48">
      <w:pPr>
        <w:pStyle w:val="FootnoteText"/>
        <w:rPr>
          <w:szCs w:val="16"/>
        </w:rPr>
      </w:pPr>
      <w:r>
        <w:rPr>
          <w:rStyle w:val="FootnoteReference"/>
          <w:szCs w:val="24"/>
        </w:rPr>
        <w:footnoteRef/>
      </w:r>
      <w:r>
        <w:tab/>
      </w:r>
      <w:proofErr w:type="spellStart"/>
      <w:r>
        <w:t>ETSK:n</w:t>
      </w:r>
      <w:proofErr w:type="spellEnd"/>
      <w:r>
        <w:t xml:space="preserve"> lausunto aiheesta </w:t>
      </w:r>
      <w:r>
        <w:rPr>
          <w:i/>
        </w:rPr>
        <w:t>Pellolta pöytään: kestäväpohjainen elintarvikestrategia</w:t>
      </w:r>
      <w:r>
        <w:t xml:space="preserve">, </w:t>
      </w:r>
      <w:hyperlink r:id="rId27" w:history="1">
        <w:r>
          <w:rPr>
            <w:rStyle w:val="Hyperlink"/>
          </w:rPr>
          <w:t>EUVL C 429, 11.12.2020, s. 268</w:t>
        </w:r>
      </w:hyperlink>
    </w:p>
  </w:footnote>
  <w:footnote w:id="24">
    <w:p w:rsidR="00444B59" w:rsidRPr="009B16C4" w:rsidRDefault="00444B59" w:rsidP="00EF3B48">
      <w:pPr>
        <w:pStyle w:val="FootnoteText"/>
        <w:jc w:val="left"/>
        <w:rPr>
          <w:szCs w:val="16"/>
        </w:rPr>
      </w:pPr>
      <w:r>
        <w:rPr>
          <w:rStyle w:val="FootnoteReference"/>
          <w:szCs w:val="24"/>
        </w:rPr>
        <w:footnoteRef/>
      </w:r>
      <w:r>
        <w:tab/>
      </w:r>
      <w:proofErr w:type="spellStart"/>
      <w:r>
        <w:t>ETSK:n</w:t>
      </w:r>
      <w:proofErr w:type="spellEnd"/>
      <w:r>
        <w:t xml:space="preserve"> lausunnot aiheista </w:t>
      </w:r>
      <w:r>
        <w:rPr>
          <w:i/>
        </w:rPr>
        <w:t>Ilmasto-oikeudenmukaisuus</w:t>
      </w:r>
      <w:r>
        <w:t xml:space="preserve">, </w:t>
      </w:r>
      <w:hyperlink r:id="rId28" w:history="1">
        <w:r>
          <w:rPr>
            <w:rStyle w:val="Hyperlink"/>
          </w:rPr>
          <w:t>EUVL C 81, 2.3.2018, s. 22</w:t>
        </w:r>
      </w:hyperlink>
      <w:r>
        <w:t xml:space="preserve"> ja</w:t>
      </w:r>
      <w:r>
        <w:rPr>
          <w:i/>
        </w:rPr>
        <w:t xml:space="preserve"> Uusi EU:n strategia ilmastonmuutokseen sopeutumiseksi</w:t>
      </w:r>
      <w:r>
        <w:t xml:space="preserve">, </w:t>
      </w:r>
      <w:hyperlink r:id="rId29" w:history="1">
        <w:r>
          <w:rPr>
            <w:rStyle w:val="Hyperlink"/>
          </w:rPr>
          <w:t>EUVL C 374, 16.9.2021, s. 84</w:t>
        </w:r>
      </w:hyperlink>
    </w:p>
  </w:footnote>
  <w:footnote w:id="25">
    <w:p w:rsidR="00EB27C9" w:rsidRPr="00E567D2" w:rsidRDefault="00EB27C9" w:rsidP="00EF3B48">
      <w:pPr>
        <w:pStyle w:val="FootnoteText"/>
      </w:pPr>
      <w:r>
        <w:rPr>
          <w:rStyle w:val="FootnoteReference"/>
        </w:rPr>
        <w:footnoteRef/>
      </w:r>
      <w:r>
        <w:tab/>
      </w:r>
      <w:proofErr w:type="spellStart"/>
      <w:r>
        <w:t>ETSK:n</w:t>
      </w:r>
      <w:proofErr w:type="spellEnd"/>
      <w:r>
        <w:t xml:space="preserve"> lausunto aiheesta </w:t>
      </w:r>
      <w:proofErr w:type="spellStart"/>
      <w:r>
        <w:rPr>
          <w:i/>
        </w:rPr>
        <w:t>REPowerEU</w:t>
      </w:r>
      <w:proofErr w:type="spellEnd"/>
      <w:r>
        <w:rPr>
          <w:i/>
        </w:rPr>
        <w:t>: Kohtuuhintaisempaa, varmempaa ja kestävämpää energiaa koskevat yhteiset eurooppalaiset toimet</w:t>
      </w:r>
      <w:r>
        <w:t xml:space="preserve">, </w:t>
      </w:r>
      <w:hyperlink r:id="rId30" w:history="1">
        <w:r>
          <w:rPr>
            <w:rStyle w:val="Hyperlink"/>
          </w:rPr>
          <w:t>EUVL C 323, 26.8.2022, s. 123</w:t>
        </w:r>
      </w:hyperlink>
    </w:p>
  </w:footnote>
  <w:footnote w:id="26">
    <w:p w:rsidR="00444B59" w:rsidRPr="005F3782" w:rsidRDefault="00444B59" w:rsidP="00EF3B48">
      <w:pPr>
        <w:pStyle w:val="FootnoteText"/>
        <w:rPr>
          <w:szCs w:val="16"/>
        </w:rPr>
      </w:pPr>
      <w:r>
        <w:rPr>
          <w:rStyle w:val="FootnoteReference"/>
          <w:szCs w:val="24"/>
        </w:rPr>
        <w:footnoteRef/>
      </w:r>
      <w:r>
        <w:tab/>
      </w:r>
      <w:proofErr w:type="spellStart"/>
      <w:r>
        <w:t>ETSK:n</w:t>
      </w:r>
      <w:proofErr w:type="spellEnd"/>
      <w:r>
        <w:t xml:space="preserve"> lausunto aiheesta </w:t>
      </w:r>
      <w:r>
        <w:rPr>
          <w:i/>
        </w:rPr>
        <w:t>Valmiina 55:een: Vuoden 2030 ilmastotavoitteesta totta matkalla kohti ilmastoneutraaliutta</w:t>
      </w:r>
      <w:r>
        <w:t xml:space="preserve">, </w:t>
      </w:r>
      <w:hyperlink r:id="rId31" w:history="1">
        <w:r>
          <w:rPr>
            <w:rStyle w:val="Hyperlink"/>
          </w:rPr>
          <w:t>EUVL C 275, 18.7.2022, s. 101</w:t>
        </w:r>
      </w:hyperlink>
    </w:p>
  </w:footnote>
  <w:footnote w:id="27">
    <w:p w:rsidR="00F81237" w:rsidRPr="00E567D2" w:rsidRDefault="00F81237" w:rsidP="00EF3B48">
      <w:pPr>
        <w:pStyle w:val="FootnoteText"/>
      </w:pPr>
      <w:r>
        <w:rPr>
          <w:rStyle w:val="FootnoteReference"/>
        </w:rPr>
        <w:footnoteRef/>
      </w:r>
      <w:r>
        <w:tab/>
      </w:r>
      <w:proofErr w:type="spellStart"/>
      <w:r>
        <w:t>ETSK:n</w:t>
      </w:r>
      <w:proofErr w:type="spellEnd"/>
      <w:r>
        <w:t xml:space="preserve"> lausunto aiheesta </w:t>
      </w:r>
      <w:proofErr w:type="spellStart"/>
      <w:r>
        <w:rPr>
          <w:i/>
        </w:rPr>
        <w:t>Digitalisaatio</w:t>
      </w:r>
      <w:proofErr w:type="spellEnd"/>
      <w:r>
        <w:rPr>
          <w:i/>
        </w:rPr>
        <w:t xml:space="preserve"> ja kestävyys – nykytilanne ja toimien tarve kansalaisyhteiskunnan näkökulmasta</w:t>
      </w:r>
      <w:r>
        <w:t xml:space="preserve"> (</w:t>
      </w:r>
      <w:hyperlink r:id="rId32" w:history="1">
        <w:r>
          <w:rPr>
            <w:rStyle w:val="Hyperlink"/>
          </w:rPr>
          <w:t>EUVL C 429, 11.12.2020, s. 187)</w:t>
        </w:r>
      </w:hyperlink>
    </w:p>
  </w:footnote>
  <w:footnote w:id="28">
    <w:p w:rsidR="00444B59" w:rsidRPr="009B16C4" w:rsidRDefault="00444B59" w:rsidP="00EF3B48">
      <w:pPr>
        <w:pStyle w:val="FootnoteText"/>
        <w:jc w:val="left"/>
        <w:rPr>
          <w:szCs w:val="16"/>
        </w:rPr>
      </w:pPr>
      <w:r>
        <w:rPr>
          <w:rStyle w:val="FootnoteReference"/>
          <w:szCs w:val="24"/>
        </w:rPr>
        <w:footnoteRef/>
      </w:r>
      <w:r>
        <w:tab/>
      </w:r>
      <w:proofErr w:type="spellStart"/>
      <w:r>
        <w:t>ETSK:n</w:t>
      </w:r>
      <w:proofErr w:type="spellEnd"/>
      <w:r>
        <w:t xml:space="preserve"> lausunto aiheesta </w:t>
      </w:r>
      <w:r>
        <w:rPr>
          <w:i/>
        </w:rPr>
        <w:t>Valmiina 55:een: Vuoden 2030 ilmastotavoitteesta totta matkalla kohti ilmastoneutraaliutta</w:t>
      </w:r>
      <w:r>
        <w:t xml:space="preserve">, </w:t>
      </w:r>
      <w:hyperlink r:id="rId33" w:history="1">
        <w:r>
          <w:rPr>
            <w:rStyle w:val="Hyperlink"/>
          </w:rPr>
          <w:t>EUVL C 275, 18.7.2022, s. 101</w:t>
        </w:r>
      </w:hyperlink>
    </w:p>
  </w:footnote>
  <w:footnote w:id="29">
    <w:p w:rsidR="003567A8" w:rsidRPr="005F3782" w:rsidRDefault="003567A8" w:rsidP="00EF3B48">
      <w:pPr>
        <w:pStyle w:val="FootnoteText"/>
        <w:rPr>
          <w:szCs w:val="16"/>
        </w:rPr>
      </w:pPr>
      <w:r>
        <w:rPr>
          <w:rStyle w:val="FootnoteReference"/>
          <w:szCs w:val="24"/>
        </w:rPr>
        <w:footnoteRef/>
      </w:r>
      <w:r>
        <w:tab/>
      </w:r>
      <w:proofErr w:type="spellStart"/>
      <w:r>
        <w:t>ETSK:n</w:t>
      </w:r>
      <w:proofErr w:type="spellEnd"/>
      <w:r>
        <w:t xml:space="preserve"> lausunto aiheesta </w:t>
      </w:r>
      <w:r>
        <w:rPr>
          <w:i/>
        </w:rPr>
        <w:t>Valmiina 55:een: Vuoden 2030 ilmastotavoitteesta totta matkalla kohti ilmastoneutraaliutta</w:t>
      </w:r>
      <w:r>
        <w:t xml:space="preserve">, </w:t>
      </w:r>
      <w:hyperlink r:id="rId34" w:history="1">
        <w:r>
          <w:rPr>
            <w:rStyle w:val="Hyperlink"/>
          </w:rPr>
          <w:t>EUVL C 275, 18.7.2022, s. 101</w:t>
        </w:r>
      </w:hyperlink>
    </w:p>
  </w:footnote>
  <w:footnote w:id="30">
    <w:p w:rsidR="00EE319C" w:rsidRPr="005F3782" w:rsidRDefault="00EE319C" w:rsidP="00EF3B48">
      <w:pPr>
        <w:pStyle w:val="FootnoteText"/>
        <w:rPr>
          <w:szCs w:val="16"/>
        </w:rPr>
      </w:pPr>
      <w:r>
        <w:rPr>
          <w:rStyle w:val="FootnoteReference"/>
          <w:szCs w:val="24"/>
        </w:rPr>
        <w:footnoteRef/>
      </w:r>
      <w:r>
        <w:tab/>
      </w:r>
      <w:hyperlink r:id="rId35" w:history="1">
        <w:r>
          <w:rPr>
            <w:rStyle w:val="Hyperlink"/>
            <w:i/>
          </w:rPr>
          <w:t xml:space="preserve">2020 Pocket Guide to </w:t>
        </w:r>
        <w:proofErr w:type="spellStart"/>
        <w:r>
          <w:rPr>
            <w:rStyle w:val="Hyperlink"/>
            <w:i/>
          </w:rPr>
          <w:t>Gender</w:t>
        </w:r>
        <w:proofErr w:type="spellEnd"/>
        <w:r>
          <w:rPr>
            <w:rStyle w:val="Hyperlink"/>
            <w:i/>
          </w:rPr>
          <w:t xml:space="preserve"> </w:t>
        </w:r>
        <w:proofErr w:type="spellStart"/>
        <w:r>
          <w:rPr>
            <w:rStyle w:val="Hyperlink"/>
            <w:i/>
          </w:rPr>
          <w:t>Equality</w:t>
        </w:r>
        <w:proofErr w:type="spellEnd"/>
        <w:r>
          <w:rPr>
            <w:rStyle w:val="Hyperlink"/>
            <w:i/>
          </w:rPr>
          <w:t xml:space="preserve"> </w:t>
        </w:r>
        <w:proofErr w:type="spellStart"/>
        <w:r>
          <w:rPr>
            <w:rStyle w:val="Hyperlink"/>
            <w:i/>
          </w:rPr>
          <w:t>under</w:t>
        </w:r>
        <w:proofErr w:type="spellEnd"/>
        <w:r>
          <w:rPr>
            <w:rStyle w:val="Hyperlink"/>
            <w:i/>
          </w:rPr>
          <w:t xml:space="preserve"> </w:t>
        </w:r>
        <w:proofErr w:type="spellStart"/>
        <w:r>
          <w:rPr>
            <w:rStyle w:val="Hyperlink"/>
            <w:i/>
          </w:rPr>
          <w:t>the</w:t>
        </w:r>
        <w:proofErr w:type="spellEnd"/>
        <w:r>
          <w:rPr>
            <w:rStyle w:val="Hyperlink"/>
            <w:i/>
          </w:rPr>
          <w:t xml:space="preserve"> UNFCCC - WEDO</w:t>
        </w:r>
      </w:hyperlink>
    </w:p>
  </w:footnote>
  <w:footnote w:id="31">
    <w:p w:rsidR="009F475F" w:rsidRPr="005F3782" w:rsidRDefault="009F475F" w:rsidP="00EF3B48">
      <w:pPr>
        <w:pStyle w:val="FootnoteText"/>
      </w:pPr>
      <w:r>
        <w:rPr>
          <w:rStyle w:val="FootnoteReference"/>
          <w:szCs w:val="24"/>
        </w:rPr>
        <w:footnoteRef/>
      </w:r>
      <w:r>
        <w:tab/>
        <w:t xml:space="preserve">Valmisteilla oleva </w:t>
      </w:r>
      <w:proofErr w:type="spellStart"/>
      <w:r>
        <w:t>ETSK:n</w:t>
      </w:r>
      <w:proofErr w:type="spellEnd"/>
      <w:r>
        <w:t xml:space="preserve"> lausunto (asiakokonaisuus NAT/788) aiheesta </w:t>
      </w:r>
      <w:hyperlink r:id="rId36" w:history="1">
        <w:r>
          <w:rPr>
            <w:rStyle w:val="Hyperlink"/>
            <w:i/>
          </w:rPr>
          <w:t>Kohti nuorten järjestelmällistä osallistamista ilmastoa ja kestävää kehitystä koskevaan EU:n päätöksentekoon</w:t>
        </w:r>
      </w:hyperlink>
    </w:p>
  </w:footnote>
  <w:footnote w:id="32">
    <w:p w:rsidR="00B27016" w:rsidRPr="005F3782" w:rsidRDefault="00B27016" w:rsidP="00EF3B48">
      <w:pPr>
        <w:pStyle w:val="FootnoteText"/>
        <w:rPr>
          <w:szCs w:val="16"/>
        </w:rPr>
      </w:pPr>
      <w:r>
        <w:rPr>
          <w:rStyle w:val="FootnoteReference"/>
          <w:szCs w:val="24"/>
        </w:rPr>
        <w:footnoteRef/>
      </w:r>
      <w:r>
        <w:tab/>
      </w:r>
      <w:hyperlink r:id="rId37" w:history="1">
        <w:proofErr w:type="spellStart"/>
        <w:r>
          <w:rPr>
            <w:rStyle w:val="Hyperlink"/>
            <w:i/>
          </w:rPr>
          <w:t>Indigenous</w:t>
        </w:r>
        <w:proofErr w:type="spellEnd"/>
        <w:r>
          <w:rPr>
            <w:rStyle w:val="Hyperlink"/>
            <w:i/>
          </w:rPr>
          <w:t xml:space="preserve"> </w:t>
        </w:r>
        <w:proofErr w:type="spellStart"/>
        <w:r>
          <w:rPr>
            <w:rStyle w:val="Hyperlink"/>
            <w:i/>
          </w:rPr>
          <w:t>peoples</w:t>
        </w:r>
        <w:proofErr w:type="spellEnd"/>
        <w:r>
          <w:rPr>
            <w:rStyle w:val="Hyperlink"/>
            <w:i/>
          </w:rPr>
          <w:t xml:space="preserve"> </w:t>
        </w:r>
        <w:proofErr w:type="spellStart"/>
        <w:r>
          <w:rPr>
            <w:rStyle w:val="Hyperlink"/>
            <w:i/>
          </w:rPr>
          <w:t>defend</w:t>
        </w:r>
        <w:proofErr w:type="spellEnd"/>
        <w:r>
          <w:rPr>
            <w:rStyle w:val="Hyperlink"/>
            <w:i/>
          </w:rPr>
          <w:t xml:space="preserve"> </w:t>
        </w:r>
        <w:proofErr w:type="spellStart"/>
        <w:r>
          <w:rPr>
            <w:rStyle w:val="Hyperlink"/>
            <w:i/>
          </w:rPr>
          <w:t>Earth’s</w:t>
        </w:r>
        <w:proofErr w:type="spellEnd"/>
        <w:r>
          <w:rPr>
            <w:rStyle w:val="Hyperlink"/>
            <w:i/>
          </w:rPr>
          <w:t xml:space="preserve"> </w:t>
        </w:r>
        <w:proofErr w:type="spellStart"/>
        <w:r>
          <w:rPr>
            <w:rStyle w:val="Hyperlink"/>
            <w:i/>
          </w:rPr>
          <w:t>biodiversity</w:t>
        </w:r>
        <w:proofErr w:type="spellEnd"/>
        <w:r>
          <w:rPr>
            <w:rStyle w:val="Hyperlink"/>
            <w:i/>
          </w:rPr>
          <w:t xml:space="preserve"> – </w:t>
        </w:r>
        <w:proofErr w:type="spellStart"/>
        <w:r>
          <w:rPr>
            <w:rStyle w:val="Hyperlink"/>
            <w:i/>
          </w:rPr>
          <w:t>but</w:t>
        </w:r>
        <w:proofErr w:type="spellEnd"/>
        <w:r>
          <w:rPr>
            <w:rStyle w:val="Hyperlink"/>
            <w:i/>
          </w:rPr>
          <w:t xml:space="preserve"> </w:t>
        </w:r>
        <w:proofErr w:type="spellStart"/>
        <w:r>
          <w:rPr>
            <w:rStyle w:val="Hyperlink"/>
            <w:i/>
          </w:rPr>
          <w:t>they’re</w:t>
        </w:r>
        <w:proofErr w:type="spellEnd"/>
        <w:r>
          <w:rPr>
            <w:rStyle w:val="Hyperlink"/>
            <w:i/>
          </w:rPr>
          <w:t xml:space="preserve"> in </w:t>
        </w:r>
        <w:proofErr w:type="spellStart"/>
        <w:r>
          <w:rPr>
            <w:rStyle w:val="Hyperlink"/>
            <w:i/>
          </w:rPr>
          <w:t>danger</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C9D" w:rsidRDefault="00E83D18">
    <w:pPr>
      <w:pStyle w:val="Header"/>
    </w:pPr>
    <w:r>
      <w:pict w14:anchorId="4C30A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16391" type="#_x0000_t75" style="position:absolute;left:0;text-align:left;margin-left:0;margin-top:0;width:598.15pt;height:843.9pt;z-index:-251658752;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7EF" w:rsidRDefault="00A917EF" w:rsidP="00A917EF">
    <w:pPr>
      <w:pStyle w:val="Header"/>
    </w:pPr>
    <w:r>
      <w:rPr>
        <w:noProof/>
        <w:lang w:val="en-US"/>
      </w:rPr>
      <w:drawing>
        <wp:anchor distT="0" distB="0" distL="114300" distR="114300" simplePos="0" relativeHeight="251663360" behindDoc="0" locked="0" layoutInCell="1" allowOverlap="1" wp14:anchorId="16ECB33C" wp14:editId="11A4BC52">
          <wp:simplePos x="898497" y="453224"/>
          <wp:positionH relativeFrom="page">
            <wp:align>center</wp:align>
          </wp:positionH>
          <wp:positionV relativeFrom="page">
            <wp:posOffset>288290</wp:posOffset>
          </wp:positionV>
          <wp:extent cx="6944398" cy="3344275"/>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16395" type="#_x0000_t75" style="position:absolute;left:0;text-align:left;margin-left:0;margin-top:0;width:598.15pt;height:843.9pt;z-index:-251652096;mso-position-horizontal:center;mso-position-horizontal-relative:page;mso-position-vertical:center;mso-position-vertical-relative:page" o:allowincell="f">
          <v:imagedata r:id="rId2" o:title="background watermark with footer"/>
          <w10:wrap anchorx="page" anchory="page"/>
        </v:shape>
      </w:pict>
    </w:r>
  </w:p>
  <w:p w:rsidR="00180C9D" w:rsidRPr="00A917EF" w:rsidRDefault="00180C9D" w:rsidP="00A91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C9D" w:rsidRDefault="00E83D18">
    <w:pPr>
      <w:pStyle w:val="Header"/>
    </w:pPr>
    <w:r>
      <w:pict w14:anchorId="6655E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16390" type="#_x0000_t75" style="position:absolute;left:0;text-align:left;margin-left:0;margin-top:0;width:598.15pt;height:843.9pt;z-index:-251659776;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C9D" w:rsidRDefault="00E83D18">
    <w:pPr>
      <w:pStyle w:val="Header"/>
    </w:pPr>
    <w:r>
      <w:pict w14:anchorId="0845C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16394" type="#_x0000_t75" style="position:absolute;left:0;text-align:left;margin-left:0;margin-top:0;width:598.15pt;height:843.9pt;z-index:-251655680;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C9D" w:rsidRDefault="00180C9D">
    <w:pPr>
      <w:pStyle w:val="Header"/>
    </w:pPr>
    <w:r>
      <w:rPr>
        <w:noProof/>
        <w:lang w:val="en-US"/>
      </w:rPr>
      <w:drawing>
        <wp:anchor distT="0" distB="0" distL="114300" distR="114300" simplePos="0" relativeHeight="251661312" behindDoc="1" locked="0" layoutInCell="1" allowOverlap="1" wp14:anchorId="2FB1CD0D" wp14:editId="06F585A8">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C9D" w:rsidRDefault="00E83D18">
    <w:pPr>
      <w:pStyle w:val="Header"/>
    </w:pPr>
    <w:r>
      <w:pict w14:anchorId="781BD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16393" type="#_x0000_t75" style="position:absolute;left:0;text-align:left;margin-left:0;margin-top:0;width:598.15pt;height:843.9pt;z-index:-251656704;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B40" w:rsidRPr="00526B40" w:rsidRDefault="00526B40" w:rsidP="00526B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B40" w:rsidRPr="002E7EE1" w:rsidRDefault="00526B40" w:rsidP="002E7E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B40" w:rsidRPr="00526B40" w:rsidRDefault="00526B40" w:rsidP="00526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80A0DAE"/>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rPr>
        <w:i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B337C2"/>
    <w:multiLevelType w:val="hybridMultilevel"/>
    <w:tmpl w:val="560A56B6"/>
    <w:lvl w:ilvl="0" w:tplc="130ADC20">
      <w:start w:val="1"/>
      <w:numFmt w:val="decimal"/>
      <w:lvlText w:val="%1."/>
      <w:lvlJc w:val="left"/>
      <w:pPr>
        <w:ind w:left="1070" w:hanging="71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B0A2414"/>
    <w:multiLevelType w:val="hybridMultilevel"/>
    <w:tmpl w:val="B4BAC6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5580BC9"/>
    <w:multiLevelType w:val="hybridMultilevel"/>
    <w:tmpl w:val="86222EB0"/>
    <w:lvl w:ilvl="0" w:tplc="9174A728">
      <w:start w:val="1"/>
      <w:numFmt w:val="decimal"/>
      <w:lvlText w:val="%1."/>
      <w:lvlJc w:val="left"/>
      <w:pPr>
        <w:ind w:left="360" w:hanging="360"/>
      </w:pPr>
      <w:rPr>
        <w:b w:val="0"/>
        <w:bCs w:val="0"/>
        <w:i w:val="0"/>
        <w:iCs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3A4B1F21"/>
    <w:multiLevelType w:val="hybridMultilevel"/>
    <w:tmpl w:val="FD7661A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42C77FC2"/>
    <w:multiLevelType w:val="hybridMultilevel"/>
    <w:tmpl w:val="29B0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10200"/>
    <w:multiLevelType w:val="hybridMultilevel"/>
    <w:tmpl w:val="C99CE2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D201B5C"/>
    <w:multiLevelType w:val="hybridMultilevel"/>
    <w:tmpl w:val="9284693E"/>
    <w:lvl w:ilvl="0" w:tplc="6396C9CE">
      <w:start w:val="11"/>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5B093336"/>
    <w:multiLevelType w:val="hybridMultilevel"/>
    <w:tmpl w:val="AFEC9D88"/>
    <w:lvl w:ilvl="0" w:tplc="119618D6">
      <w:start w:val="1"/>
      <w:numFmt w:val="bullet"/>
      <w:lvlText w:val="•"/>
      <w:lvlJc w:val="left"/>
      <w:pPr>
        <w:tabs>
          <w:tab w:val="num" w:pos="720"/>
        </w:tabs>
        <w:ind w:left="720" w:hanging="360"/>
      </w:pPr>
      <w:rPr>
        <w:rFonts w:ascii="Arial" w:hAnsi="Arial" w:hint="default"/>
      </w:rPr>
    </w:lvl>
    <w:lvl w:ilvl="1" w:tplc="2DCA1636" w:tentative="1">
      <w:start w:val="1"/>
      <w:numFmt w:val="bullet"/>
      <w:lvlText w:val="•"/>
      <w:lvlJc w:val="left"/>
      <w:pPr>
        <w:tabs>
          <w:tab w:val="num" w:pos="1440"/>
        </w:tabs>
        <w:ind w:left="1440" w:hanging="360"/>
      </w:pPr>
      <w:rPr>
        <w:rFonts w:ascii="Arial" w:hAnsi="Arial" w:hint="default"/>
      </w:rPr>
    </w:lvl>
    <w:lvl w:ilvl="2" w:tplc="7FF2E13C" w:tentative="1">
      <w:start w:val="1"/>
      <w:numFmt w:val="bullet"/>
      <w:lvlText w:val="•"/>
      <w:lvlJc w:val="left"/>
      <w:pPr>
        <w:tabs>
          <w:tab w:val="num" w:pos="2160"/>
        </w:tabs>
        <w:ind w:left="2160" w:hanging="360"/>
      </w:pPr>
      <w:rPr>
        <w:rFonts w:ascii="Arial" w:hAnsi="Arial" w:hint="default"/>
      </w:rPr>
    </w:lvl>
    <w:lvl w:ilvl="3" w:tplc="715A25FC" w:tentative="1">
      <w:start w:val="1"/>
      <w:numFmt w:val="bullet"/>
      <w:lvlText w:val="•"/>
      <w:lvlJc w:val="left"/>
      <w:pPr>
        <w:tabs>
          <w:tab w:val="num" w:pos="2880"/>
        </w:tabs>
        <w:ind w:left="2880" w:hanging="360"/>
      </w:pPr>
      <w:rPr>
        <w:rFonts w:ascii="Arial" w:hAnsi="Arial" w:hint="default"/>
      </w:rPr>
    </w:lvl>
    <w:lvl w:ilvl="4" w:tplc="C0ECAC4E" w:tentative="1">
      <w:start w:val="1"/>
      <w:numFmt w:val="bullet"/>
      <w:lvlText w:val="•"/>
      <w:lvlJc w:val="left"/>
      <w:pPr>
        <w:tabs>
          <w:tab w:val="num" w:pos="3600"/>
        </w:tabs>
        <w:ind w:left="3600" w:hanging="360"/>
      </w:pPr>
      <w:rPr>
        <w:rFonts w:ascii="Arial" w:hAnsi="Arial" w:hint="default"/>
      </w:rPr>
    </w:lvl>
    <w:lvl w:ilvl="5" w:tplc="DBC0D4B6" w:tentative="1">
      <w:start w:val="1"/>
      <w:numFmt w:val="bullet"/>
      <w:lvlText w:val="•"/>
      <w:lvlJc w:val="left"/>
      <w:pPr>
        <w:tabs>
          <w:tab w:val="num" w:pos="4320"/>
        </w:tabs>
        <w:ind w:left="4320" w:hanging="360"/>
      </w:pPr>
      <w:rPr>
        <w:rFonts w:ascii="Arial" w:hAnsi="Arial" w:hint="default"/>
      </w:rPr>
    </w:lvl>
    <w:lvl w:ilvl="6" w:tplc="F8BCE15E" w:tentative="1">
      <w:start w:val="1"/>
      <w:numFmt w:val="bullet"/>
      <w:lvlText w:val="•"/>
      <w:lvlJc w:val="left"/>
      <w:pPr>
        <w:tabs>
          <w:tab w:val="num" w:pos="5040"/>
        </w:tabs>
        <w:ind w:left="5040" w:hanging="360"/>
      </w:pPr>
      <w:rPr>
        <w:rFonts w:ascii="Arial" w:hAnsi="Arial" w:hint="default"/>
      </w:rPr>
    </w:lvl>
    <w:lvl w:ilvl="7" w:tplc="836EB248" w:tentative="1">
      <w:start w:val="1"/>
      <w:numFmt w:val="bullet"/>
      <w:lvlText w:val="•"/>
      <w:lvlJc w:val="left"/>
      <w:pPr>
        <w:tabs>
          <w:tab w:val="num" w:pos="5760"/>
        </w:tabs>
        <w:ind w:left="5760" w:hanging="360"/>
      </w:pPr>
      <w:rPr>
        <w:rFonts w:ascii="Arial" w:hAnsi="Arial" w:hint="default"/>
      </w:rPr>
    </w:lvl>
    <w:lvl w:ilvl="8" w:tplc="161232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CD1D40"/>
    <w:multiLevelType w:val="hybridMultilevel"/>
    <w:tmpl w:val="572A74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23A6AD4"/>
    <w:multiLevelType w:val="hybridMultilevel"/>
    <w:tmpl w:val="156AF25E"/>
    <w:lvl w:ilvl="0" w:tplc="4C8629AC">
      <w:start w:val="1"/>
      <w:numFmt w:val="decimal"/>
      <w:lvlText w:val="%1."/>
      <w:lvlJc w:val="left"/>
      <w:pPr>
        <w:ind w:left="786" w:hanging="360"/>
      </w:pPr>
      <w:rPr>
        <w:b w:val="0"/>
        <w:bCs w:val="0"/>
        <w:i w:val="0"/>
        <w:iCs w:val="0"/>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1" w15:restartNumberingAfterBreak="0">
    <w:nsid w:val="7B7E514B"/>
    <w:multiLevelType w:val="hybridMultilevel"/>
    <w:tmpl w:val="C82A87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9"/>
  </w:num>
  <w:num w:numId="6">
    <w:abstractNumId w:val="8"/>
  </w:num>
  <w:num w:numId="7">
    <w:abstractNumId w:val="4"/>
  </w:num>
  <w:num w:numId="8">
    <w:abstractNumId w:val="11"/>
  </w:num>
  <w:num w:numId="9">
    <w:abstractNumId w:val="3"/>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96"/>
    <o:shapelayout v:ext="edit">
      <o:idmap v:ext="edit" data="16"/>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01"/>
    <w:rsid w:val="00007773"/>
    <w:rsid w:val="000079E5"/>
    <w:rsid w:val="00010FC6"/>
    <w:rsid w:val="000120CD"/>
    <w:rsid w:val="00013255"/>
    <w:rsid w:val="00020F19"/>
    <w:rsid w:val="00025A0E"/>
    <w:rsid w:val="00030E21"/>
    <w:rsid w:val="00032E37"/>
    <w:rsid w:val="0003449F"/>
    <w:rsid w:val="000358F0"/>
    <w:rsid w:val="00047980"/>
    <w:rsid w:val="00047D68"/>
    <w:rsid w:val="00050B81"/>
    <w:rsid w:val="00053594"/>
    <w:rsid w:val="00053B1C"/>
    <w:rsid w:val="00054D9D"/>
    <w:rsid w:val="000574BC"/>
    <w:rsid w:val="00062D0C"/>
    <w:rsid w:val="000710D8"/>
    <w:rsid w:val="00081EAE"/>
    <w:rsid w:val="0008251E"/>
    <w:rsid w:val="00082AB6"/>
    <w:rsid w:val="00083FD7"/>
    <w:rsid w:val="00091780"/>
    <w:rsid w:val="00094578"/>
    <w:rsid w:val="000A0FF9"/>
    <w:rsid w:val="000A58FB"/>
    <w:rsid w:val="000C30B4"/>
    <w:rsid w:val="000D1E9E"/>
    <w:rsid w:val="000F22F9"/>
    <w:rsid w:val="000F3131"/>
    <w:rsid w:val="000F577D"/>
    <w:rsid w:val="001024F7"/>
    <w:rsid w:val="0010269A"/>
    <w:rsid w:val="001063B3"/>
    <w:rsid w:val="00107725"/>
    <w:rsid w:val="00110795"/>
    <w:rsid w:val="00112C96"/>
    <w:rsid w:val="0011335A"/>
    <w:rsid w:val="001210DE"/>
    <w:rsid w:val="00122408"/>
    <w:rsid w:val="00127863"/>
    <w:rsid w:val="0014073F"/>
    <w:rsid w:val="001420B1"/>
    <w:rsid w:val="0014388E"/>
    <w:rsid w:val="001522F6"/>
    <w:rsid w:val="001528E9"/>
    <w:rsid w:val="00160934"/>
    <w:rsid w:val="00164C3A"/>
    <w:rsid w:val="00172E65"/>
    <w:rsid w:val="00180C9D"/>
    <w:rsid w:val="0018583B"/>
    <w:rsid w:val="001A1A3D"/>
    <w:rsid w:val="001A4755"/>
    <w:rsid w:val="001B07D7"/>
    <w:rsid w:val="001B74DB"/>
    <w:rsid w:val="001C13D6"/>
    <w:rsid w:val="001C5AD1"/>
    <w:rsid w:val="001C5CC5"/>
    <w:rsid w:val="001C6918"/>
    <w:rsid w:val="001D0A3D"/>
    <w:rsid w:val="001D3DDD"/>
    <w:rsid w:val="001D3EF3"/>
    <w:rsid w:val="001E56F8"/>
    <w:rsid w:val="001E70B5"/>
    <w:rsid w:val="001F2404"/>
    <w:rsid w:val="002025CA"/>
    <w:rsid w:val="00210AC4"/>
    <w:rsid w:val="00213319"/>
    <w:rsid w:val="00216D49"/>
    <w:rsid w:val="002200A3"/>
    <w:rsid w:val="00220171"/>
    <w:rsid w:val="0022449B"/>
    <w:rsid w:val="00224B58"/>
    <w:rsid w:val="002319CC"/>
    <w:rsid w:val="00245087"/>
    <w:rsid w:val="00246C92"/>
    <w:rsid w:val="00250853"/>
    <w:rsid w:val="00251F8E"/>
    <w:rsid w:val="0025667C"/>
    <w:rsid w:val="0027499D"/>
    <w:rsid w:val="00276FB4"/>
    <w:rsid w:val="00277BBA"/>
    <w:rsid w:val="0028320C"/>
    <w:rsid w:val="002911C6"/>
    <w:rsid w:val="0029184B"/>
    <w:rsid w:val="00293BF8"/>
    <w:rsid w:val="002A1DD3"/>
    <w:rsid w:val="002A4183"/>
    <w:rsid w:val="002B0474"/>
    <w:rsid w:val="002B24A9"/>
    <w:rsid w:val="002C2B01"/>
    <w:rsid w:val="002C3963"/>
    <w:rsid w:val="002C59E9"/>
    <w:rsid w:val="002D1697"/>
    <w:rsid w:val="002E4FAE"/>
    <w:rsid w:val="002E7EE1"/>
    <w:rsid w:val="002F108E"/>
    <w:rsid w:val="002F2E5C"/>
    <w:rsid w:val="00310649"/>
    <w:rsid w:val="0031122E"/>
    <w:rsid w:val="00312E1F"/>
    <w:rsid w:val="00317B29"/>
    <w:rsid w:val="0032590D"/>
    <w:rsid w:val="00325B6D"/>
    <w:rsid w:val="00327938"/>
    <w:rsid w:val="00333ED2"/>
    <w:rsid w:val="00353B1A"/>
    <w:rsid w:val="003567A8"/>
    <w:rsid w:val="00361AAA"/>
    <w:rsid w:val="0039570B"/>
    <w:rsid w:val="003A552C"/>
    <w:rsid w:val="003A5BD7"/>
    <w:rsid w:val="003C2548"/>
    <w:rsid w:val="003C63C8"/>
    <w:rsid w:val="003D02F9"/>
    <w:rsid w:val="003D0D15"/>
    <w:rsid w:val="003D0E4A"/>
    <w:rsid w:val="003D17B9"/>
    <w:rsid w:val="003E12B0"/>
    <w:rsid w:val="003E6F23"/>
    <w:rsid w:val="003F1226"/>
    <w:rsid w:val="003F3573"/>
    <w:rsid w:val="003F40D4"/>
    <w:rsid w:val="00400D58"/>
    <w:rsid w:val="0040134E"/>
    <w:rsid w:val="00411708"/>
    <w:rsid w:val="0041312C"/>
    <w:rsid w:val="00414F13"/>
    <w:rsid w:val="00424F46"/>
    <w:rsid w:val="0042531D"/>
    <w:rsid w:val="004254CB"/>
    <w:rsid w:val="00426786"/>
    <w:rsid w:val="00444B59"/>
    <w:rsid w:val="0044565F"/>
    <w:rsid w:val="004576EE"/>
    <w:rsid w:val="0046063B"/>
    <w:rsid w:val="00475FDE"/>
    <w:rsid w:val="00481CE2"/>
    <w:rsid w:val="004825B2"/>
    <w:rsid w:val="00492189"/>
    <w:rsid w:val="00497488"/>
    <w:rsid w:val="004A2A58"/>
    <w:rsid w:val="004A3037"/>
    <w:rsid w:val="004A39C9"/>
    <w:rsid w:val="004A49B9"/>
    <w:rsid w:val="004C238F"/>
    <w:rsid w:val="004E503C"/>
    <w:rsid w:val="004E5901"/>
    <w:rsid w:val="004F04C7"/>
    <w:rsid w:val="004F2471"/>
    <w:rsid w:val="004F2AA6"/>
    <w:rsid w:val="00506F07"/>
    <w:rsid w:val="00516A37"/>
    <w:rsid w:val="00516EDB"/>
    <w:rsid w:val="00520445"/>
    <w:rsid w:val="00522909"/>
    <w:rsid w:val="0052304F"/>
    <w:rsid w:val="005240E4"/>
    <w:rsid w:val="00524D70"/>
    <w:rsid w:val="005252C5"/>
    <w:rsid w:val="00526B40"/>
    <w:rsid w:val="00533DDC"/>
    <w:rsid w:val="005350BD"/>
    <w:rsid w:val="00540820"/>
    <w:rsid w:val="00543898"/>
    <w:rsid w:val="00545A8D"/>
    <w:rsid w:val="0055343D"/>
    <w:rsid w:val="00553760"/>
    <w:rsid w:val="00554DBC"/>
    <w:rsid w:val="00560833"/>
    <w:rsid w:val="00565A46"/>
    <w:rsid w:val="00567475"/>
    <w:rsid w:val="00570EB2"/>
    <w:rsid w:val="00570F8A"/>
    <w:rsid w:val="00577E20"/>
    <w:rsid w:val="00581CB9"/>
    <w:rsid w:val="00582ABD"/>
    <w:rsid w:val="00586755"/>
    <w:rsid w:val="005933EE"/>
    <w:rsid w:val="005942E9"/>
    <w:rsid w:val="00597A7F"/>
    <w:rsid w:val="005A1F93"/>
    <w:rsid w:val="005A2860"/>
    <w:rsid w:val="005A6199"/>
    <w:rsid w:val="005B331C"/>
    <w:rsid w:val="005C5960"/>
    <w:rsid w:val="005D233A"/>
    <w:rsid w:val="005D5E98"/>
    <w:rsid w:val="005D6C1C"/>
    <w:rsid w:val="005E2540"/>
    <w:rsid w:val="005E5612"/>
    <w:rsid w:val="005F3782"/>
    <w:rsid w:val="005F44F7"/>
    <w:rsid w:val="005F5E01"/>
    <w:rsid w:val="0060072A"/>
    <w:rsid w:val="00603282"/>
    <w:rsid w:val="00603397"/>
    <w:rsid w:val="006169F0"/>
    <w:rsid w:val="00617ABC"/>
    <w:rsid w:val="00617B1E"/>
    <w:rsid w:val="00626EA5"/>
    <w:rsid w:val="00630EFA"/>
    <w:rsid w:val="006377AD"/>
    <w:rsid w:val="0065059A"/>
    <w:rsid w:val="0065271C"/>
    <w:rsid w:val="00661468"/>
    <w:rsid w:val="006671F8"/>
    <w:rsid w:val="00670077"/>
    <w:rsid w:val="00670217"/>
    <w:rsid w:val="00692681"/>
    <w:rsid w:val="006A01E6"/>
    <w:rsid w:val="006A36E1"/>
    <w:rsid w:val="006B78AF"/>
    <w:rsid w:val="006C0250"/>
    <w:rsid w:val="006C5D3F"/>
    <w:rsid w:val="006D019C"/>
    <w:rsid w:val="006D2F1C"/>
    <w:rsid w:val="006E093F"/>
    <w:rsid w:val="006E3BC9"/>
    <w:rsid w:val="006F5D08"/>
    <w:rsid w:val="00700B2B"/>
    <w:rsid w:val="00705092"/>
    <w:rsid w:val="00707DFC"/>
    <w:rsid w:val="00710362"/>
    <w:rsid w:val="00710624"/>
    <w:rsid w:val="0071287F"/>
    <w:rsid w:val="00721976"/>
    <w:rsid w:val="007223E8"/>
    <w:rsid w:val="007224D6"/>
    <w:rsid w:val="00731E22"/>
    <w:rsid w:val="007322BD"/>
    <w:rsid w:val="00737DEA"/>
    <w:rsid w:val="00743DFE"/>
    <w:rsid w:val="00743E25"/>
    <w:rsid w:val="00745B9A"/>
    <w:rsid w:val="00746FB1"/>
    <w:rsid w:val="0076018C"/>
    <w:rsid w:val="00763C6B"/>
    <w:rsid w:val="00765637"/>
    <w:rsid w:val="007708BF"/>
    <w:rsid w:val="0077152F"/>
    <w:rsid w:val="00775484"/>
    <w:rsid w:val="00775637"/>
    <w:rsid w:val="0078686E"/>
    <w:rsid w:val="00786F2F"/>
    <w:rsid w:val="00790A6F"/>
    <w:rsid w:val="00794F2D"/>
    <w:rsid w:val="007A1151"/>
    <w:rsid w:val="007A5A88"/>
    <w:rsid w:val="007C32B7"/>
    <w:rsid w:val="007C4F70"/>
    <w:rsid w:val="007C5A1C"/>
    <w:rsid w:val="007C5F52"/>
    <w:rsid w:val="007D0A89"/>
    <w:rsid w:val="007D0B81"/>
    <w:rsid w:val="007E0872"/>
    <w:rsid w:val="007E34B1"/>
    <w:rsid w:val="007E39E9"/>
    <w:rsid w:val="007F5D59"/>
    <w:rsid w:val="00803823"/>
    <w:rsid w:val="00806BAA"/>
    <w:rsid w:val="00810157"/>
    <w:rsid w:val="008156F4"/>
    <w:rsid w:val="008176F0"/>
    <w:rsid w:val="00817935"/>
    <w:rsid w:val="008206AB"/>
    <w:rsid w:val="00824CD1"/>
    <w:rsid w:val="008277E1"/>
    <w:rsid w:val="00833E48"/>
    <w:rsid w:val="00844FC4"/>
    <w:rsid w:val="00845E39"/>
    <w:rsid w:val="00846350"/>
    <w:rsid w:val="0085156D"/>
    <w:rsid w:val="0085181B"/>
    <w:rsid w:val="00852FE8"/>
    <w:rsid w:val="0086482A"/>
    <w:rsid w:val="00866CDC"/>
    <w:rsid w:val="00870C63"/>
    <w:rsid w:val="008746D2"/>
    <w:rsid w:val="00882017"/>
    <w:rsid w:val="0088253F"/>
    <w:rsid w:val="008850FC"/>
    <w:rsid w:val="008863D6"/>
    <w:rsid w:val="0089555A"/>
    <w:rsid w:val="00897DDC"/>
    <w:rsid w:val="008A03FA"/>
    <w:rsid w:val="008A6CF4"/>
    <w:rsid w:val="008B12F6"/>
    <w:rsid w:val="008C1ADC"/>
    <w:rsid w:val="008D5813"/>
    <w:rsid w:val="008E0B59"/>
    <w:rsid w:val="008E15FF"/>
    <w:rsid w:val="008E35E8"/>
    <w:rsid w:val="008E5096"/>
    <w:rsid w:val="008F1733"/>
    <w:rsid w:val="008F45EA"/>
    <w:rsid w:val="008F6617"/>
    <w:rsid w:val="009018BB"/>
    <w:rsid w:val="00940450"/>
    <w:rsid w:val="00952F11"/>
    <w:rsid w:val="00953E81"/>
    <w:rsid w:val="00956102"/>
    <w:rsid w:val="009562D0"/>
    <w:rsid w:val="00965573"/>
    <w:rsid w:val="00967726"/>
    <w:rsid w:val="0096791E"/>
    <w:rsid w:val="0098098C"/>
    <w:rsid w:val="0098098F"/>
    <w:rsid w:val="009813C0"/>
    <w:rsid w:val="00987D42"/>
    <w:rsid w:val="009905B3"/>
    <w:rsid w:val="009A4326"/>
    <w:rsid w:val="009A4328"/>
    <w:rsid w:val="009B07C8"/>
    <w:rsid w:val="009B16C4"/>
    <w:rsid w:val="009B4C74"/>
    <w:rsid w:val="009B5C4D"/>
    <w:rsid w:val="009B6837"/>
    <w:rsid w:val="009C586D"/>
    <w:rsid w:val="009C5FF9"/>
    <w:rsid w:val="009D72F3"/>
    <w:rsid w:val="009E2570"/>
    <w:rsid w:val="009E3EF9"/>
    <w:rsid w:val="009F3005"/>
    <w:rsid w:val="009F475F"/>
    <w:rsid w:val="00A00B14"/>
    <w:rsid w:val="00A03256"/>
    <w:rsid w:val="00A12E50"/>
    <w:rsid w:val="00A133B3"/>
    <w:rsid w:val="00A164BD"/>
    <w:rsid w:val="00A170B9"/>
    <w:rsid w:val="00A17E67"/>
    <w:rsid w:val="00A21967"/>
    <w:rsid w:val="00A222D7"/>
    <w:rsid w:val="00A259B7"/>
    <w:rsid w:val="00A36554"/>
    <w:rsid w:val="00A37E2A"/>
    <w:rsid w:val="00A42B33"/>
    <w:rsid w:val="00A5534E"/>
    <w:rsid w:val="00A621E3"/>
    <w:rsid w:val="00A62A18"/>
    <w:rsid w:val="00A67BB2"/>
    <w:rsid w:val="00A726A8"/>
    <w:rsid w:val="00A73469"/>
    <w:rsid w:val="00A853D9"/>
    <w:rsid w:val="00A876F4"/>
    <w:rsid w:val="00A917EF"/>
    <w:rsid w:val="00A92A06"/>
    <w:rsid w:val="00A9456F"/>
    <w:rsid w:val="00AA482D"/>
    <w:rsid w:val="00AA54B3"/>
    <w:rsid w:val="00AA6629"/>
    <w:rsid w:val="00AB49A7"/>
    <w:rsid w:val="00AB53B4"/>
    <w:rsid w:val="00AB7934"/>
    <w:rsid w:val="00AC1A1D"/>
    <w:rsid w:val="00AD00BB"/>
    <w:rsid w:val="00AD4928"/>
    <w:rsid w:val="00AD7602"/>
    <w:rsid w:val="00AE2590"/>
    <w:rsid w:val="00AE4609"/>
    <w:rsid w:val="00AF25FB"/>
    <w:rsid w:val="00AF71F0"/>
    <w:rsid w:val="00B01289"/>
    <w:rsid w:val="00B01BA1"/>
    <w:rsid w:val="00B04342"/>
    <w:rsid w:val="00B04FF3"/>
    <w:rsid w:val="00B073B5"/>
    <w:rsid w:val="00B150DC"/>
    <w:rsid w:val="00B205A5"/>
    <w:rsid w:val="00B20ABB"/>
    <w:rsid w:val="00B2659F"/>
    <w:rsid w:val="00B27016"/>
    <w:rsid w:val="00B42531"/>
    <w:rsid w:val="00B45F35"/>
    <w:rsid w:val="00B52B01"/>
    <w:rsid w:val="00B626ED"/>
    <w:rsid w:val="00B62C19"/>
    <w:rsid w:val="00B642F9"/>
    <w:rsid w:val="00B7082E"/>
    <w:rsid w:val="00B71AC3"/>
    <w:rsid w:val="00B71DCF"/>
    <w:rsid w:val="00B77A3A"/>
    <w:rsid w:val="00B85401"/>
    <w:rsid w:val="00B85D35"/>
    <w:rsid w:val="00B87189"/>
    <w:rsid w:val="00B91C64"/>
    <w:rsid w:val="00BB4DFA"/>
    <w:rsid w:val="00BB788A"/>
    <w:rsid w:val="00BC103D"/>
    <w:rsid w:val="00BD0948"/>
    <w:rsid w:val="00BD3C5C"/>
    <w:rsid w:val="00BD3EB8"/>
    <w:rsid w:val="00BD5CD8"/>
    <w:rsid w:val="00BE6751"/>
    <w:rsid w:val="00BE77CC"/>
    <w:rsid w:val="00BF16EA"/>
    <w:rsid w:val="00BF1CE2"/>
    <w:rsid w:val="00C0106D"/>
    <w:rsid w:val="00C07570"/>
    <w:rsid w:val="00C12FAA"/>
    <w:rsid w:val="00C205C9"/>
    <w:rsid w:val="00C21A2C"/>
    <w:rsid w:val="00C238B1"/>
    <w:rsid w:val="00C23B16"/>
    <w:rsid w:val="00C3245F"/>
    <w:rsid w:val="00C36A32"/>
    <w:rsid w:val="00C375B8"/>
    <w:rsid w:val="00C5108E"/>
    <w:rsid w:val="00C52F45"/>
    <w:rsid w:val="00C551C1"/>
    <w:rsid w:val="00C57DA5"/>
    <w:rsid w:val="00C62504"/>
    <w:rsid w:val="00C63F7A"/>
    <w:rsid w:val="00C67831"/>
    <w:rsid w:val="00C7353C"/>
    <w:rsid w:val="00C740ED"/>
    <w:rsid w:val="00C852CF"/>
    <w:rsid w:val="00C908AB"/>
    <w:rsid w:val="00C92408"/>
    <w:rsid w:val="00C93B38"/>
    <w:rsid w:val="00CA61D4"/>
    <w:rsid w:val="00CA7EDF"/>
    <w:rsid w:val="00CA7FAC"/>
    <w:rsid w:val="00CB0629"/>
    <w:rsid w:val="00CB0BBD"/>
    <w:rsid w:val="00CB14BC"/>
    <w:rsid w:val="00CC20C3"/>
    <w:rsid w:val="00CC3A72"/>
    <w:rsid w:val="00CD1029"/>
    <w:rsid w:val="00CD43E8"/>
    <w:rsid w:val="00CD4643"/>
    <w:rsid w:val="00CD79AE"/>
    <w:rsid w:val="00CE4688"/>
    <w:rsid w:val="00CF1607"/>
    <w:rsid w:val="00CF2433"/>
    <w:rsid w:val="00D02FDF"/>
    <w:rsid w:val="00D12818"/>
    <w:rsid w:val="00D1414D"/>
    <w:rsid w:val="00D2042C"/>
    <w:rsid w:val="00D2231B"/>
    <w:rsid w:val="00D27851"/>
    <w:rsid w:val="00D27A92"/>
    <w:rsid w:val="00D51F5E"/>
    <w:rsid w:val="00D54118"/>
    <w:rsid w:val="00D570D3"/>
    <w:rsid w:val="00D574A2"/>
    <w:rsid w:val="00D60601"/>
    <w:rsid w:val="00D64047"/>
    <w:rsid w:val="00D6633E"/>
    <w:rsid w:val="00D67EFD"/>
    <w:rsid w:val="00D74893"/>
    <w:rsid w:val="00D77C17"/>
    <w:rsid w:val="00D77EA8"/>
    <w:rsid w:val="00D8252A"/>
    <w:rsid w:val="00D8439B"/>
    <w:rsid w:val="00D96182"/>
    <w:rsid w:val="00D96349"/>
    <w:rsid w:val="00D96634"/>
    <w:rsid w:val="00D96C2A"/>
    <w:rsid w:val="00DA0977"/>
    <w:rsid w:val="00DA10AF"/>
    <w:rsid w:val="00DA22B0"/>
    <w:rsid w:val="00DA7721"/>
    <w:rsid w:val="00DB5BB4"/>
    <w:rsid w:val="00DC6A9B"/>
    <w:rsid w:val="00DC6D66"/>
    <w:rsid w:val="00DD2A69"/>
    <w:rsid w:val="00DD3830"/>
    <w:rsid w:val="00DD4E5E"/>
    <w:rsid w:val="00DD6CEE"/>
    <w:rsid w:val="00DE24B9"/>
    <w:rsid w:val="00DE3250"/>
    <w:rsid w:val="00DE5B7A"/>
    <w:rsid w:val="00DE79F5"/>
    <w:rsid w:val="00DF0DF5"/>
    <w:rsid w:val="00DF32BE"/>
    <w:rsid w:val="00DF46E1"/>
    <w:rsid w:val="00DF7757"/>
    <w:rsid w:val="00E01716"/>
    <w:rsid w:val="00E05711"/>
    <w:rsid w:val="00E24747"/>
    <w:rsid w:val="00E25EDF"/>
    <w:rsid w:val="00E362FB"/>
    <w:rsid w:val="00E42D33"/>
    <w:rsid w:val="00E567D2"/>
    <w:rsid w:val="00E57DC0"/>
    <w:rsid w:val="00E6649F"/>
    <w:rsid w:val="00E66B87"/>
    <w:rsid w:val="00E80011"/>
    <w:rsid w:val="00E83BF6"/>
    <w:rsid w:val="00E83D18"/>
    <w:rsid w:val="00E83F17"/>
    <w:rsid w:val="00E9366E"/>
    <w:rsid w:val="00EA1709"/>
    <w:rsid w:val="00EA2B05"/>
    <w:rsid w:val="00EA5E8A"/>
    <w:rsid w:val="00EB0B86"/>
    <w:rsid w:val="00EB1B49"/>
    <w:rsid w:val="00EB240C"/>
    <w:rsid w:val="00EB27C9"/>
    <w:rsid w:val="00EC4EDF"/>
    <w:rsid w:val="00EC7600"/>
    <w:rsid w:val="00ED2C5C"/>
    <w:rsid w:val="00EE0E4F"/>
    <w:rsid w:val="00EE319C"/>
    <w:rsid w:val="00EE6795"/>
    <w:rsid w:val="00EE6803"/>
    <w:rsid w:val="00EE6D66"/>
    <w:rsid w:val="00EF3B48"/>
    <w:rsid w:val="00EF6F7C"/>
    <w:rsid w:val="00F07E26"/>
    <w:rsid w:val="00F14C0E"/>
    <w:rsid w:val="00F22EB4"/>
    <w:rsid w:val="00F23B61"/>
    <w:rsid w:val="00F25A8E"/>
    <w:rsid w:val="00F30C50"/>
    <w:rsid w:val="00F32CB4"/>
    <w:rsid w:val="00F34F7D"/>
    <w:rsid w:val="00F4047E"/>
    <w:rsid w:val="00F426F7"/>
    <w:rsid w:val="00F443E3"/>
    <w:rsid w:val="00F467FD"/>
    <w:rsid w:val="00F5520F"/>
    <w:rsid w:val="00F5730D"/>
    <w:rsid w:val="00F6135D"/>
    <w:rsid w:val="00F63D08"/>
    <w:rsid w:val="00F65972"/>
    <w:rsid w:val="00F71374"/>
    <w:rsid w:val="00F72497"/>
    <w:rsid w:val="00F73246"/>
    <w:rsid w:val="00F81237"/>
    <w:rsid w:val="00F8473A"/>
    <w:rsid w:val="00F95E1A"/>
    <w:rsid w:val="00F970A7"/>
    <w:rsid w:val="00FA47E2"/>
    <w:rsid w:val="00FA7C73"/>
    <w:rsid w:val="00FB4E1C"/>
    <w:rsid w:val="00FC13FF"/>
    <w:rsid w:val="00FC265D"/>
    <w:rsid w:val="00FC5DCF"/>
    <w:rsid w:val="00FD4C7F"/>
    <w:rsid w:val="00FE3D81"/>
    <w:rsid w:val="00FE6FF6"/>
    <w:rsid w:val="00FE776D"/>
    <w:rsid w:val="00FE7EF1"/>
    <w:rsid w:val="00FF1E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96"/>
    <o:shapelayout v:ext="edit">
      <o:idmap v:ext="edit" data="1"/>
    </o:shapelayout>
  </w:shapeDefaults>
  <w:decimalSymbol w:val="."/>
  <w:listSeparator w:val=","/>
  <w15:chartTrackingRefBased/>
  <w15:docId w15:val="{A7A01279-E3D5-4F80-AAB3-1C26A53C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7C8"/>
    <w:pPr>
      <w:spacing w:after="160" w:line="259" w:lineRule="auto"/>
    </w:pPr>
  </w:style>
  <w:style w:type="paragraph" w:styleId="Heading1">
    <w:name w:val="heading 1"/>
    <w:basedOn w:val="Normal"/>
    <w:next w:val="Normal"/>
    <w:link w:val="Heading1Char"/>
    <w:qFormat/>
    <w:rsid w:val="008A03FA"/>
    <w:pPr>
      <w:numPr>
        <w:numId w:val="3"/>
      </w:numPr>
      <w:spacing w:after="0" w:line="288" w:lineRule="auto"/>
      <w:ind w:left="567" w:hanging="567"/>
      <w:jc w:val="both"/>
      <w:outlineLvl w:val="0"/>
    </w:pPr>
    <w:rPr>
      <w:rFonts w:ascii="Times New Roman" w:eastAsia="Times New Roman" w:hAnsi="Times New Roman" w:cs="Times New Roman"/>
      <w:kern w:val="28"/>
    </w:rPr>
  </w:style>
  <w:style w:type="paragraph" w:styleId="Heading2">
    <w:name w:val="heading 2"/>
    <w:basedOn w:val="Normal"/>
    <w:next w:val="Normal"/>
    <w:link w:val="Heading2Char"/>
    <w:qFormat/>
    <w:rsid w:val="008A03FA"/>
    <w:pPr>
      <w:numPr>
        <w:ilvl w:val="1"/>
        <w:numId w:val="3"/>
      </w:numPr>
      <w:spacing w:after="0" w:line="288" w:lineRule="auto"/>
      <w:ind w:left="567" w:hanging="567"/>
      <w:jc w:val="both"/>
      <w:outlineLvl w:val="1"/>
    </w:pPr>
    <w:rPr>
      <w:rFonts w:ascii="Times New Roman" w:eastAsia="Times New Roman" w:hAnsi="Times New Roman" w:cs="Times New Roman"/>
    </w:rPr>
  </w:style>
  <w:style w:type="paragraph" w:styleId="Heading3">
    <w:name w:val="heading 3"/>
    <w:basedOn w:val="Normal"/>
    <w:next w:val="Normal"/>
    <w:link w:val="Heading3Char"/>
    <w:qFormat/>
    <w:rsid w:val="008A03FA"/>
    <w:pPr>
      <w:numPr>
        <w:ilvl w:val="2"/>
        <w:numId w:val="3"/>
      </w:numPr>
      <w:spacing w:after="0" w:line="288" w:lineRule="auto"/>
      <w:ind w:left="567" w:hanging="567"/>
      <w:jc w:val="both"/>
      <w:outlineLvl w:val="2"/>
    </w:pPr>
    <w:rPr>
      <w:rFonts w:ascii="Times New Roman" w:eastAsia="Times New Roman" w:hAnsi="Times New Roman" w:cs="Times New Roman"/>
    </w:rPr>
  </w:style>
  <w:style w:type="paragraph" w:styleId="Heading4">
    <w:name w:val="heading 4"/>
    <w:basedOn w:val="Normal"/>
    <w:next w:val="Normal"/>
    <w:link w:val="Heading4Char"/>
    <w:qFormat/>
    <w:rsid w:val="008A03FA"/>
    <w:pPr>
      <w:numPr>
        <w:ilvl w:val="3"/>
        <w:numId w:val="3"/>
      </w:numPr>
      <w:spacing w:after="0" w:line="288" w:lineRule="auto"/>
      <w:ind w:left="567" w:hanging="567"/>
      <w:jc w:val="both"/>
      <w:outlineLvl w:val="3"/>
    </w:pPr>
    <w:rPr>
      <w:rFonts w:ascii="Times New Roman" w:eastAsia="Times New Roman" w:hAnsi="Times New Roman" w:cs="Times New Roman"/>
    </w:rPr>
  </w:style>
  <w:style w:type="paragraph" w:styleId="Heading5">
    <w:name w:val="heading 5"/>
    <w:basedOn w:val="Normal"/>
    <w:next w:val="Normal"/>
    <w:link w:val="Heading5Char"/>
    <w:qFormat/>
    <w:rsid w:val="008A03FA"/>
    <w:pPr>
      <w:numPr>
        <w:ilvl w:val="4"/>
        <w:numId w:val="3"/>
      </w:numPr>
      <w:spacing w:after="0" w:line="288" w:lineRule="auto"/>
      <w:ind w:left="567" w:hanging="567"/>
      <w:jc w:val="both"/>
      <w:outlineLvl w:val="4"/>
    </w:pPr>
    <w:rPr>
      <w:rFonts w:ascii="Times New Roman" w:eastAsia="Times New Roman" w:hAnsi="Times New Roman" w:cs="Times New Roman"/>
    </w:rPr>
  </w:style>
  <w:style w:type="paragraph" w:styleId="Heading6">
    <w:name w:val="heading 6"/>
    <w:basedOn w:val="Normal"/>
    <w:next w:val="Normal"/>
    <w:link w:val="Heading6Char"/>
    <w:qFormat/>
    <w:rsid w:val="008A03FA"/>
    <w:pPr>
      <w:numPr>
        <w:ilvl w:val="5"/>
        <w:numId w:val="3"/>
      </w:numPr>
      <w:spacing w:after="0" w:line="288" w:lineRule="auto"/>
      <w:ind w:left="567" w:hanging="567"/>
      <w:jc w:val="both"/>
      <w:outlineLvl w:val="5"/>
    </w:pPr>
    <w:rPr>
      <w:rFonts w:ascii="Times New Roman" w:eastAsia="Times New Roman" w:hAnsi="Times New Roman" w:cs="Times New Roman"/>
    </w:rPr>
  </w:style>
  <w:style w:type="paragraph" w:styleId="Heading7">
    <w:name w:val="heading 7"/>
    <w:basedOn w:val="Normal"/>
    <w:next w:val="Normal"/>
    <w:link w:val="Heading7Char"/>
    <w:qFormat/>
    <w:rsid w:val="008A03FA"/>
    <w:pPr>
      <w:numPr>
        <w:ilvl w:val="6"/>
        <w:numId w:val="3"/>
      </w:numPr>
      <w:spacing w:after="0" w:line="288" w:lineRule="auto"/>
      <w:ind w:left="567" w:hanging="567"/>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8A03FA"/>
    <w:pPr>
      <w:numPr>
        <w:ilvl w:val="7"/>
        <w:numId w:val="3"/>
      </w:numPr>
      <w:spacing w:after="0" w:line="288" w:lineRule="auto"/>
      <w:ind w:left="567" w:hanging="567"/>
      <w:jc w:val="both"/>
      <w:outlineLvl w:val="7"/>
    </w:pPr>
    <w:rPr>
      <w:rFonts w:ascii="Times New Roman" w:eastAsia="Times New Roman" w:hAnsi="Times New Roman" w:cs="Times New Roman"/>
    </w:rPr>
  </w:style>
  <w:style w:type="paragraph" w:styleId="Heading9">
    <w:name w:val="heading 9"/>
    <w:basedOn w:val="Normal"/>
    <w:next w:val="Normal"/>
    <w:link w:val="Heading9Char"/>
    <w:qFormat/>
    <w:rsid w:val="008A03FA"/>
    <w:pPr>
      <w:numPr>
        <w:ilvl w:val="8"/>
        <w:numId w:val="3"/>
      </w:numPr>
      <w:spacing w:after="0" w:line="288" w:lineRule="auto"/>
      <w:ind w:left="567" w:hanging="567"/>
      <w:jc w:val="both"/>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484"/>
    <w:rPr>
      <w:color w:val="0563C1"/>
      <w:u w:val="single"/>
    </w:rPr>
  </w:style>
  <w:style w:type="paragraph" w:styleId="ListParagraph">
    <w:name w:val="List Paragraph"/>
    <w:basedOn w:val="Normal"/>
    <w:uiPriority w:val="34"/>
    <w:qFormat/>
    <w:rsid w:val="00775484"/>
    <w:pPr>
      <w:ind w:left="720"/>
      <w:contextualSpacing/>
    </w:pPr>
  </w:style>
  <w:style w:type="character" w:customStyle="1" w:styleId="Heading1Char">
    <w:name w:val="Heading 1 Char"/>
    <w:basedOn w:val="DefaultParagraphFont"/>
    <w:link w:val="Heading1"/>
    <w:rsid w:val="008A03FA"/>
    <w:rPr>
      <w:rFonts w:ascii="Times New Roman" w:eastAsia="Times New Roman" w:hAnsi="Times New Roman" w:cs="Times New Roman"/>
      <w:kern w:val="28"/>
      <w:lang w:val="fi-FI"/>
    </w:rPr>
  </w:style>
  <w:style w:type="character" w:customStyle="1" w:styleId="Heading2Char">
    <w:name w:val="Heading 2 Char"/>
    <w:basedOn w:val="DefaultParagraphFont"/>
    <w:link w:val="Heading2"/>
    <w:rsid w:val="008A03FA"/>
    <w:rPr>
      <w:rFonts w:ascii="Times New Roman" w:eastAsia="Times New Roman" w:hAnsi="Times New Roman" w:cs="Times New Roman"/>
      <w:lang w:val="fi-FI"/>
    </w:rPr>
  </w:style>
  <w:style w:type="character" w:customStyle="1" w:styleId="Heading3Char">
    <w:name w:val="Heading 3 Char"/>
    <w:basedOn w:val="DefaultParagraphFont"/>
    <w:link w:val="Heading3"/>
    <w:rsid w:val="008A03FA"/>
    <w:rPr>
      <w:rFonts w:ascii="Times New Roman" w:eastAsia="Times New Roman" w:hAnsi="Times New Roman" w:cs="Times New Roman"/>
      <w:lang w:val="fi-FI"/>
    </w:rPr>
  </w:style>
  <w:style w:type="character" w:customStyle="1" w:styleId="Heading4Char">
    <w:name w:val="Heading 4 Char"/>
    <w:basedOn w:val="DefaultParagraphFont"/>
    <w:link w:val="Heading4"/>
    <w:rsid w:val="008A03FA"/>
    <w:rPr>
      <w:rFonts w:ascii="Times New Roman" w:eastAsia="Times New Roman" w:hAnsi="Times New Roman" w:cs="Times New Roman"/>
      <w:lang w:val="fi-FI"/>
    </w:rPr>
  </w:style>
  <w:style w:type="character" w:customStyle="1" w:styleId="Heading5Char">
    <w:name w:val="Heading 5 Char"/>
    <w:basedOn w:val="DefaultParagraphFont"/>
    <w:link w:val="Heading5"/>
    <w:rsid w:val="008A03FA"/>
    <w:rPr>
      <w:rFonts w:ascii="Times New Roman" w:eastAsia="Times New Roman" w:hAnsi="Times New Roman" w:cs="Times New Roman"/>
      <w:lang w:val="fi-FI"/>
    </w:rPr>
  </w:style>
  <w:style w:type="character" w:customStyle="1" w:styleId="Heading6Char">
    <w:name w:val="Heading 6 Char"/>
    <w:basedOn w:val="DefaultParagraphFont"/>
    <w:link w:val="Heading6"/>
    <w:rsid w:val="008A03FA"/>
    <w:rPr>
      <w:rFonts w:ascii="Times New Roman" w:eastAsia="Times New Roman" w:hAnsi="Times New Roman" w:cs="Times New Roman"/>
      <w:lang w:val="fi-FI"/>
    </w:rPr>
  </w:style>
  <w:style w:type="character" w:customStyle="1" w:styleId="Heading7Char">
    <w:name w:val="Heading 7 Char"/>
    <w:basedOn w:val="DefaultParagraphFont"/>
    <w:link w:val="Heading7"/>
    <w:rsid w:val="008A03FA"/>
    <w:rPr>
      <w:rFonts w:ascii="Times New Roman" w:eastAsia="Times New Roman" w:hAnsi="Times New Roman" w:cs="Times New Roman"/>
      <w:lang w:val="fi-FI"/>
    </w:rPr>
  </w:style>
  <w:style w:type="character" w:customStyle="1" w:styleId="Heading8Char">
    <w:name w:val="Heading 8 Char"/>
    <w:basedOn w:val="DefaultParagraphFont"/>
    <w:link w:val="Heading8"/>
    <w:rsid w:val="008A03FA"/>
    <w:rPr>
      <w:rFonts w:ascii="Times New Roman" w:eastAsia="Times New Roman" w:hAnsi="Times New Roman" w:cs="Times New Roman"/>
      <w:lang w:val="fi-FI"/>
    </w:rPr>
  </w:style>
  <w:style w:type="character" w:customStyle="1" w:styleId="Heading9Char">
    <w:name w:val="Heading 9 Char"/>
    <w:basedOn w:val="DefaultParagraphFont"/>
    <w:link w:val="Heading9"/>
    <w:rsid w:val="008A03FA"/>
    <w:rPr>
      <w:rFonts w:ascii="Times New Roman" w:eastAsia="Times New Roman" w:hAnsi="Times New Roman" w:cs="Times New Roman"/>
      <w:lang w:val="fi-FI"/>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fußn,o"/>
    <w:basedOn w:val="Normal"/>
    <w:link w:val="FootnoteTextChar"/>
    <w:uiPriority w:val="99"/>
    <w:qFormat/>
    <w:rsid w:val="008A03FA"/>
    <w:pPr>
      <w:keepLines/>
      <w:spacing w:after="60" w:line="240" w:lineRule="auto"/>
      <w:ind w:left="567" w:hanging="567"/>
      <w:jc w:val="both"/>
    </w:pPr>
    <w:rPr>
      <w:rFonts w:ascii="Times New Roman" w:eastAsia="Times New Roman" w:hAnsi="Times New Roman" w:cs="Times New Roman"/>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uiPriority w:val="99"/>
    <w:rsid w:val="008A03FA"/>
    <w:rPr>
      <w:rFonts w:ascii="Times New Roman" w:eastAsia="Times New Roman" w:hAnsi="Times New Roman" w:cs="Times New Roman"/>
      <w:sz w:val="16"/>
      <w:lang w:val="fi-FI"/>
    </w:rPr>
  </w:style>
  <w:style w:type="character" w:styleId="FootnoteReference">
    <w:name w:val="footnote reference"/>
    <w:basedOn w:val="DefaultParagraphFont"/>
    <w:uiPriority w:val="99"/>
    <w:unhideWhenUsed/>
    <w:qFormat/>
    <w:rsid w:val="008A03FA"/>
    <w:rPr>
      <w:sz w:val="24"/>
      <w:vertAlign w:val="superscript"/>
    </w:rPr>
  </w:style>
  <w:style w:type="character" w:styleId="FollowedHyperlink">
    <w:name w:val="FollowedHyperlink"/>
    <w:basedOn w:val="DefaultParagraphFont"/>
    <w:uiPriority w:val="99"/>
    <w:semiHidden/>
    <w:unhideWhenUsed/>
    <w:rsid w:val="00C908AB"/>
    <w:rPr>
      <w:color w:val="800080" w:themeColor="followedHyperlink"/>
      <w:u w:val="single"/>
    </w:rPr>
  </w:style>
  <w:style w:type="paragraph" w:styleId="BalloonText">
    <w:name w:val="Balloon Text"/>
    <w:basedOn w:val="Normal"/>
    <w:link w:val="BalloonTextChar"/>
    <w:uiPriority w:val="99"/>
    <w:semiHidden/>
    <w:unhideWhenUsed/>
    <w:rsid w:val="00202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5CA"/>
    <w:rPr>
      <w:rFonts w:ascii="Segoe UI" w:hAnsi="Segoe UI" w:cs="Segoe UI"/>
      <w:sz w:val="18"/>
      <w:szCs w:val="18"/>
    </w:rPr>
  </w:style>
  <w:style w:type="character" w:styleId="CommentReference">
    <w:name w:val="annotation reference"/>
    <w:basedOn w:val="DefaultParagraphFont"/>
    <w:uiPriority w:val="99"/>
    <w:semiHidden/>
    <w:unhideWhenUsed/>
    <w:rsid w:val="002F108E"/>
    <w:rPr>
      <w:sz w:val="16"/>
      <w:szCs w:val="16"/>
    </w:rPr>
  </w:style>
  <w:style w:type="paragraph" w:styleId="CommentText">
    <w:name w:val="annotation text"/>
    <w:basedOn w:val="Normal"/>
    <w:link w:val="CommentTextChar"/>
    <w:uiPriority w:val="99"/>
    <w:semiHidden/>
    <w:unhideWhenUsed/>
    <w:rsid w:val="002F108E"/>
    <w:pPr>
      <w:spacing w:line="240" w:lineRule="auto"/>
    </w:pPr>
    <w:rPr>
      <w:sz w:val="20"/>
      <w:szCs w:val="20"/>
    </w:rPr>
  </w:style>
  <w:style w:type="character" w:customStyle="1" w:styleId="CommentTextChar">
    <w:name w:val="Comment Text Char"/>
    <w:basedOn w:val="DefaultParagraphFont"/>
    <w:link w:val="CommentText"/>
    <w:uiPriority w:val="99"/>
    <w:semiHidden/>
    <w:rsid w:val="002F108E"/>
    <w:rPr>
      <w:sz w:val="20"/>
      <w:szCs w:val="20"/>
    </w:rPr>
  </w:style>
  <w:style w:type="paragraph" w:styleId="CommentSubject">
    <w:name w:val="annotation subject"/>
    <w:basedOn w:val="CommentText"/>
    <w:next w:val="CommentText"/>
    <w:link w:val="CommentSubjectChar"/>
    <w:uiPriority w:val="99"/>
    <w:semiHidden/>
    <w:unhideWhenUsed/>
    <w:rsid w:val="002F108E"/>
    <w:rPr>
      <w:b/>
      <w:bCs/>
    </w:rPr>
  </w:style>
  <w:style w:type="character" w:customStyle="1" w:styleId="CommentSubjectChar">
    <w:name w:val="Comment Subject Char"/>
    <w:basedOn w:val="CommentTextChar"/>
    <w:link w:val="CommentSubject"/>
    <w:uiPriority w:val="99"/>
    <w:semiHidden/>
    <w:rsid w:val="002F108E"/>
    <w:rPr>
      <w:b/>
      <w:bCs/>
      <w:sz w:val="20"/>
      <w:szCs w:val="20"/>
    </w:rPr>
  </w:style>
  <w:style w:type="character" w:customStyle="1" w:styleId="Mencinsinresolver1">
    <w:name w:val="Mención sin resolver1"/>
    <w:basedOn w:val="DefaultParagraphFont"/>
    <w:uiPriority w:val="99"/>
    <w:semiHidden/>
    <w:unhideWhenUsed/>
    <w:rsid w:val="00F970A7"/>
    <w:rPr>
      <w:color w:val="605E5C"/>
      <w:shd w:val="clear" w:color="auto" w:fill="E1DFDD"/>
    </w:rPr>
  </w:style>
  <w:style w:type="paragraph" w:styleId="Header">
    <w:name w:val="header"/>
    <w:basedOn w:val="Normal"/>
    <w:link w:val="HeaderChar"/>
    <w:unhideWhenUsed/>
    <w:qFormat/>
    <w:rsid w:val="00F970A7"/>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rsid w:val="00F970A7"/>
    <w:rPr>
      <w:rFonts w:ascii="Times New Roman" w:hAnsi="Times New Roman" w:cs="Times New Roman"/>
      <w:lang w:val="fi-FI"/>
    </w:rPr>
  </w:style>
  <w:style w:type="paragraph" w:styleId="Footer">
    <w:name w:val="footer"/>
    <w:basedOn w:val="Normal"/>
    <w:link w:val="FooterChar"/>
    <w:uiPriority w:val="99"/>
    <w:unhideWhenUsed/>
    <w:rsid w:val="00F970A7"/>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970A7"/>
    <w:rPr>
      <w:rFonts w:ascii="Times New Roman" w:hAnsi="Times New Roman" w:cs="Times New Roman"/>
      <w:lang w:val="fi-FI"/>
    </w:rPr>
  </w:style>
  <w:style w:type="paragraph" w:styleId="Revision">
    <w:name w:val="Revision"/>
    <w:hidden/>
    <w:uiPriority w:val="99"/>
    <w:semiHidden/>
    <w:rsid w:val="00353B1A"/>
    <w:pPr>
      <w:spacing w:after="0" w:line="240" w:lineRule="auto"/>
    </w:pPr>
  </w:style>
  <w:style w:type="character" w:customStyle="1" w:styleId="UnresolvedMention1">
    <w:name w:val="Unresolved Mention1"/>
    <w:basedOn w:val="DefaultParagraphFont"/>
    <w:uiPriority w:val="99"/>
    <w:semiHidden/>
    <w:unhideWhenUsed/>
    <w:rsid w:val="00F32CB4"/>
    <w:rPr>
      <w:color w:val="605E5C"/>
      <w:shd w:val="clear" w:color="auto" w:fill="E1DFDD"/>
    </w:rPr>
  </w:style>
  <w:style w:type="character" w:customStyle="1" w:styleId="UnresolvedMention2">
    <w:name w:val="Unresolved Mention2"/>
    <w:basedOn w:val="DefaultParagraphFont"/>
    <w:uiPriority w:val="99"/>
    <w:semiHidden/>
    <w:unhideWhenUsed/>
    <w:rsid w:val="00F95E1A"/>
    <w:rPr>
      <w:color w:val="605E5C"/>
      <w:shd w:val="clear" w:color="auto" w:fill="E1DFDD"/>
    </w:rPr>
  </w:style>
  <w:style w:type="table" w:customStyle="1" w:styleId="TableGrid1">
    <w:name w:val="Table Grid1"/>
    <w:basedOn w:val="TableNormal"/>
    <w:next w:val="TableGrid"/>
    <w:uiPriority w:val="39"/>
    <w:rsid w:val="00692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92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2C2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42947">
      <w:bodyDiv w:val="1"/>
      <w:marLeft w:val="0"/>
      <w:marRight w:val="0"/>
      <w:marTop w:val="0"/>
      <w:marBottom w:val="0"/>
      <w:divBdr>
        <w:top w:val="none" w:sz="0" w:space="0" w:color="auto"/>
        <w:left w:val="none" w:sz="0" w:space="0" w:color="auto"/>
        <w:bottom w:val="none" w:sz="0" w:space="0" w:color="auto"/>
        <w:right w:val="none" w:sz="0" w:space="0" w:color="auto"/>
      </w:divBdr>
    </w:div>
    <w:div w:id="576087027">
      <w:bodyDiv w:val="1"/>
      <w:marLeft w:val="0"/>
      <w:marRight w:val="0"/>
      <w:marTop w:val="0"/>
      <w:marBottom w:val="0"/>
      <w:divBdr>
        <w:top w:val="none" w:sz="0" w:space="0" w:color="auto"/>
        <w:left w:val="none" w:sz="0" w:space="0" w:color="auto"/>
        <w:bottom w:val="none" w:sz="0" w:space="0" w:color="auto"/>
        <w:right w:val="none" w:sz="0" w:space="0" w:color="auto"/>
      </w:divBdr>
    </w:div>
    <w:div w:id="732119233">
      <w:bodyDiv w:val="1"/>
      <w:marLeft w:val="0"/>
      <w:marRight w:val="0"/>
      <w:marTop w:val="0"/>
      <w:marBottom w:val="0"/>
      <w:divBdr>
        <w:top w:val="none" w:sz="0" w:space="0" w:color="auto"/>
        <w:left w:val="none" w:sz="0" w:space="0" w:color="auto"/>
        <w:bottom w:val="none" w:sz="0" w:space="0" w:color="auto"/>
        <w:right w:val="none" w:sz="0" w:space="0" w:color="auto"/>
      </w:divBdr>
    </w:div>
    <w:div w:id="1130511477">
      <w:bodyDiv w:val="1"/>
      <w:marLeft w:val="0"/>
      <w:marRight w:val="0"/>
      <w:marTop w:val="0"/>
      <w:marBottom w:val="0"/>
      <w:divBdr>
        <w:top w:val="none" w:sz="0" w:space="0" w:color="auto"/>
        <w:left w:val="none" w:sz="0" w:space="0" w:color="auto"/>
        <w:bottom w:val="none" w:sz="0" w:space="0" w:color="auto"/>
        <w:right w:val="none" w:sz="0" w:space="0" w:color="auto"/>
      </w:divBdr>
    </w:div>
    <w:div w:id="1253004182">
      <w:bodyDiv w:val="1"/>
      <w:marLeft w:val="0"/>
      <w:marRight w:val="0"/>
      <w:marTop w:val="0"/>
      <w:marBottom w:val="0"/>
      <w:divBdr>
        <w:top w:val="none" w:sz="0" w:space="0" w:color="auto"/>
        <w:left w:val="none" w:sz="0" w:space="0" w:color="auto"/>
        <w:bottom w:val="none" w:sz="0" w:space="0" w:color="auto"/>
        <w:right w:val="none" w:sz="0" w:space="0" w:color="auto"/>
      </w:divBdr>
    </w:div>
    <w:div w:id="1262105699">
      <w:bodyDiv w:val="1"/>
      <w:marLeft w:val="0"/>
      <w:marRight w:val="0"/>
      <w:marTop w:val="0"/>
      <w:marBottom w:val="0"/>
      <w:divBdr>
        <w:top w:val="none" w:sz="0" w:space="0" w:color="auto"/>
        <w:left w:val="none" w:sz="0" w:space="0" w:color="auto"/>
        <w:bottom w:val="none" w:sz="0" w:space="0" w:color="auto"/>
        <w:right w:val="none" w:sz="0" w:space="0" w:color="auto"/>
      </w:divBdr>
      <w:divsChild>
        <w:div w:id="650451345">
          <w:marLeft w:val="605"/>
          <w:marRight w:val="0"/>
          <w:marTop w:val="0"/>
          <w:marBottom w:val="240"/>
          <w:divBdr>
            <w:top w:val="none" w:sz="0" w:space="0" w:color="auto"/>
            <w:left w:val="none" w:sz="0" w:space="0" w:color="auto"/>
            <w:bottom w:val="none" w:sz="0" w:space="0" w:color="auto"/>
            <w:right w:val="none" w:sz="0" w:space="0" w:color="auto"/>
          </w:divBdr>
        </w:div>
        <w:div w:id="1596281621">
          <w:marLeft w:val="605"/>
          <w:marRight w:val="0"/>
          <w:marTop w:val="0"/>
          <w:marBottom w:val="240"/>
          <w:divBdr>
            <w:top w:val="none" w:sz="0" w:space="0" w:color="auto"/>
            <w:left w:val="none" w:sz="0" w:space="0" w:color="auto"/>
            <w:bottom w:val="none" w:sz="0" w:space="0" w:color="auto"/>
            <w:right w:val="none" w:sz="0" w:space="0" w:color="auto"/>
          </w:divBdr>
        </w:div>
        <w:div w:id="1379742035">
          <w:marLeft w:val="605"/>
          <w:marRight w:val="0"/>
          <w:marTop w:val="0"/>
          <w:marBottom w:val="240"/>
          <w:divBdr>
            <w:top w:val="none" w:sz="0" w:space="0" w:color="auto"/>
            <w:left w:val="none" w:sz="0" w:space="0" w:color="auto"/>
            <w:bottom w:val="none" w:sz="0" w:space="0" w:color="auto"/>
            <w:right w:val="none" w:sz="0" w:space="0" w:color="auto"/>
          </w:divBdr>
        </w:div>
      </w:divsChild>
    </w:div>
    <w:div w:id="1433086337">
      <w:bodyDiv w:val="1"/>
      <w:marLeft w:val="0"/>
      <w:marRight w:val="0"/>
      <w:marTop w:val="0"/>
      <w:marBottom w:val="0"/>
      <w:divBdr>
        <w:top w:val="none" w:sz="0" w:space="0" w:color="auto"/>
        <w:left w:val="none" w:sz="0" w:space="0" w:color="auto"/>
        <w:bottom w:val="none" w:sz="0" w:space="0" w:color="auto"/>
        <w:right w:val="none" w:sz="0" w:space="0" w:color="auto"/>
      </w:divBdr>
    </w:div>
    <w:div w:id="1651136034">
      <w:bodyDiv w:val="1"/>
      <w:marLeft w:val="0"/>
      <w:marRight w:val="0"/>
      <w:marTop w:val="0"/>
      <w:marBottom w:val="0"/>
      <w:divBdr>
        <w:top w:val="none" w:sz="0" w:space="0" w:color="auto"/>
        <w:left w:val="none" w:sz="0" w:space="0" w:color="auto"/>
        <w:bottom w:val="none" w:sz="0" w:space="0" w:color="auto"/>
        <w:right w:val="none" w:sz="0" w:space="0" w:color="auto"/>
      </w:divBdr>
    </w:div>
    <w:div w:id="1694108270">
      <w:bodyDiv w:val="1"/>
      <w:marLeft w:val="0"/>
      <w:marRight w:val="0"/>
      <w:marTop w:val="0"/>
      <w:marBottom w:val="0"/>
      <w:divBdr>
        <w:top w:val="none" w:sz="0" w:space="0" w:color="auto"/>
        <w:left w:val="none" w:sz="0" w:space="0" w:color="auto"/>
        <w:bottom w:val="none" w:sz="0" w:space="0" w:color="auto"/>
        <w:right w:val="none" w:sz="0" w:space="0" w:color="auto"/>
      </w:divBdr>
    </w:div>
    <w:div w:id="20604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21" Type="http://schemas.openxmlformats.org/officeDocument/2006/relationships/hyperlink" Target="https://www.eesc.europa.eu/fi/our-work/opinions-information-reports/opinions/towards-structured-youth-engagement-climate-and-sustainability-eu-decision-making-process-own-initiative-opinion" TargetMode="External"/><Relationship Id="rId34"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7.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limateactiontracker.org/global/temperatures/" TargetMode="Externa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pcc.ch/2022/04/04/ipcc-ar6-wgiii-pressrelease/" TargetMode="External"/><Relationship Id="rId27" Type="http://schemas.openxmlformats.org/officeDocument/2006/relationships/footer" Target="footer6.xml"/><Relationship Id="rId30" Type="http://schemas.openxmlformats.org/officeDocument/2006/relationships/fontTable" Target="fontTable.xml"/><Relationship Id="rId35"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news/fi/press-room/20220616IPR33219/climate-change-parliament-pushes-for-faster-eu-action-and-energy-independence" TargetMode="External"/><Relationship Id="rId13" Type="http://schemas.openxmlformats.org/officeDocument/2006/relationships/hyperlink" Target="https://eur-lex.europa.eu/legal-content/FI/ALL/?uri=celex:52021AE5481" TargetMode="External"/><Relationship Id="rId18" Type="http://schemas.openxmlformats.org/officeDocument/2006/relationships/hyperlink" Target="https://sdsn.eu/2021-europe-sustainable-development-report/" TargetMode="External"/><Relationship Id="rId26" Type="http://schemas.openxmlformats.org/officeDocument/2006/relationships/hyperlink" Target="https://eur-lex.europa.eu/legal-content/FI/TXT/?uri=OJ%3AJOC_2022_194_R_0010" TargetMode="External"/><Relationship Id="rId3" Type="http://schemas.openxmlformats.org/officeDocument/2006/relationships/hyperlink" Target="https://mediacentre.christianaid.org.uk/counting-the-cost/" TargetMode="External"/><Relationship Id="rId21" Type="http://schemas.openxmlformats.org/officeDocument/2006/relationships/hyperlink" Target="https://unfccc.int/news/antonio-guterres-50-of-all-climate-finance-needed-for-adaptation" TargetMode="External"/><Relationship Id="rId34" Type="http://schemas.openxmlformats.org/officeDocument/2006/relationships/hyperlink" Target="https://eur-lex.europa.eu/legal-content/FI/ALL/?uri=celex:52021AE5481" TargetMode="External"/><Relationship Id="rId7" Type="http://schemas.openxmlformats.org/officeDocument/2006/relationships/hyperlink" Target="https://www.eesc.europa.eu/fi/documents/resolution/war-ukraine-and-its-economic-social-and-environmental-impact" TargetMode="External"/><Relationship Id="rId12" Type="http://schemas.openxmlformats.org/officeDocument/2006/relationships/hyperlink" Target="https://www.eesc.europa.eu/fi/our-work/opinions-information-reports/opinions/social-dialogue-within-green-transition" TargetMode="External"/><Relationship Id="rId17" Type="http://schemas.openxmlformats.org/officeDocument/2006/relationships/hyperlink" Target="https://prod-cofe-platform.s3.eu-central-1.amazonaws.com/yrxmcjurtxgv7ststz3rsqtxiubh" TargetMode="External"/><Relationship Id="rId25" Type="http://schemas.openxmlformats.org/officeDocument/2006/relationships/hyperlink" Target="https://www.unep.org/ndc/resources/report/enhancing-ndcs-food-systems-recommendations-decision-makers" TargetMode="External"/><Relationship Id="rId33" Type="http://schemas.openxmlformats.org/officeDocument/2006/relationships/hyperlink" Target="https://eur-lex.europa.eu/legal-content/FI/ALL/?uri=celex:52021AE5481" TargetMode="External"/><Relationship Id="rId2" Type="http://schemas.openxmlformats.org/officeDocument/2006/relationships/hyperlink" Target="https://www.eea.europa.eu/highlights/economic-losses-from-weather-and" TargetMode="External"/><Relationship Id="rId16" Type="http://schemas.openxmlformats.org/officeDocument/2006/relationships/hyperlink" Target="https://www.eesc.europa.eu/fi/our-work/opinions-information-reports/opinions/fit-55-delivering-eus-2030-climate-target-way-climate-neutrality" TargetMode="External"/><Relationship Id="rId20" Type="http://schemas.openxmlformats.org/officeDocument/2006/relationships/hyperlink" Target="https://eur-lex.europa.eu/legal-content/FI/TXT/?uri=uriserv:OJ.C_.2021.374.01.0084.01.FIN&amp;toc=OJ:C:2021:374:TOC" TargetMode="External"/><Relationship Id="rId29" Type="http://schemas.openxmlformats.org/officeDocument/2006/relationships/hyperlink" Target="https://eur-lex.europa.eu/legal-content/FI/TXT/?uri=uriserv:OJ.C_.2021.374.01.0084.01.FIN&amp;toc=OJ:C:2021:374:TOC" TargetMode="External"/><Relationship Id="rId1" Type="http://schemas.openxmlformats.org/officeDocument/2006/relationships/hyperlink" Target="https://unfccc.int/sites/default/files/resource/parisagreement_publication.pdf" TargetMode="External"/><Relationship Id="rId6" Type="http://schemas.openxmlformats.org/officeDocument/2006/relationships/hyperlink" Target="https://www.ipcc.ch/report/ar6/wg3/" TargetMode="External"/><Relationship Id="rId11" Type="http://schemas.openxmlformats.org/officeDocument/2006/relationships/hyperlink" Target="https://eur-lex.europa.eu/legal-content/FI/ALL/?uri=celex:52021AE5481" TargetMode="External"/><Relationship Id="rId24" Type="http://schemas.openxmlformats.org/officeDocument/2006/relationships/hyperlink" Target="https://eur-lex.europa.eu/LexUriServ/LexUriServ.do?uri=OJ:C:2021:374:SOM:FI:HTML" TargetMode="External"/><Relationship Id="rId32" Type="http://schemas.openxmlformats.org/officeDocument/2006/relationships/hyperlink" Target="https://eur-lex.europa.eu/legal-content/FI/TXT/?uri=CELEX:52020AE1918&amp;qid=1663579809098" TargetMode="External"/><Relationship Id="rId37" Type="http://schemas.openxmlformats.org/officeDocument/2006/relationships/hyperlink" Target="https://www.nationalgeographic.com/environment/article/can-indigenous-land-stewardship-protect-biodiversity-" TargetMode="External"/><Relationship Id="rId5" Type="http://schemas.openxmlformats.org/officeDocument/2006/relationships/hyperlink" Target="https://www.ncei.noaa.gov/access/billions/" TargetMode="External"/><Relationship Id="rId15" Type="http://schemas.openxmlformats.org/officeDocument/2006/relationships/hyperlink" Target="https://eur-lex.europa.eu/legal-content/FI/ALL/?uri=celex:52021AE5481" TargetMode="External"/><Relationship Id="rId23" Type="http://schemas.openxmlformats.org/officeDocument/2006/relationships/hyperlink" Target="https://assets.website-files.com/5d26d80e8836af2d12ed1269/61657f127a13715bb8744ec3_Climate%20Change%20Mitigation%20Through%20the%20Circular%20Economy%20-%20STAP%20-%20report.pdf" TargetMode="External"/><Relationship Id="rId28" Type="http://schemas.openxmlformats.org/officeDocument/2006/relationships/hyperlink" Target="https://eur-lex.europa.eu/legal-content/FI/TXT/?uri=CELEX:52017IE1144&amp;qid=1663579454681" TargetMode="External"/><Relationship Id="rId36" Type="http://schemas.openxmlformats.org/officeDocument/2006/relationships/hyperlink" Target="https://www.eesc.europa.eu/fi/our-work/opinions-information-reports/opinions/towards-structured-youth-engagement-climate-and-sustainability-eu-decision-making-process-own-initiative-opinion" TargetMode="External"/><Relationship Id="rId10" Type="http://schemas.openxmlformats.org/officeDocument/2006/relationships/hyperlink" Target="https://eur-lex.europa.eu/legal-content/FI/TXT/?uri=celex:52019IE2316" TargetMode="External"/><Relationship Id="rId19" Type="http://schemas.openxmlformats.org/officeDocument/2006/relationships/hyperlink" Target="https://www.eesc.europa.fi/en/our-work/opinions-information-reports/opinions/nature-restoration-targets-under-eu-biodiversity-strategy" TargetMode="External"/><Relationship Id="rId31" Type="http://schemas.openxmlformats.org/officeDocument/2006/relationships/hyperlink" Target="https://eur-lex.europa.eu/legal-content/FI/ALL/?uri=celex:52021AE5481" TargetMode="External"/><Relationship Id="rId4" Type="http://schemas.openxmlformats.org/officeDocument/2006/relationships/hyperlink" Target="https://www.cmcc.it/lectures_conferences/the-costs-of-extreme-weather-events-caused-by-climate-change" TargetMode="External"/><Relationship Id="rId9" Type="http://schemas.openxmlformats.org/officeDocument/2006/relationships/hyperlink" Target="https://www.europarl.europa.eu/news/fi/press-room/20220603IPR32133/fit-for-55-parliament-agrees-to-higher-eu-carbon-sink-ambitions-by-2030" TargetMode="External"/><Relationship Id="rId14" Type="http://schemas.openxmlformats.org/officeDocument/2006/relationships/hyperlink" Target="https://www.eesc.europa.eu/fi/our-work/opinions-information-reports/opinions/fit-55-delivering-eus-2030-climate-target-way-climate-neutrality" TargetMode="External"/><Relationship Id="rId22" Type="http://schemas.openxmlformats.org/officeDocument/2006/relationships/hyperlink" Target="https://eur-lex.europa.eu/legal-content/FI/TXT/?uri=uriserv:OJ.C_.2020.014.01.0029.01.FIN&amp;toc=OJ:C:2020:014:TOC" TargetMode="External"/><Relationship Id="rId27" Type="http://schemas.openxmlformats.org/officeDocument/2006/relationships/hyperlink" Target="https://eur-lex.europa.eu/legal-content/FI/TXT/?uri=CELEX:52020AE0994&amp;qid=1663579304870" TargetMode="External"/><Relationship Id="rId30" Type="http://schemas.openxmlformats.org/officeDocument/2006/relationships/hyperlink" Target="https://eur-lex.europa.eu/legal-content/FI/TXT/?uri=CELEX:52022AE1686&amp;qid=1663579575615" TargetMode="External"/><Relationship Id="rId35" Type="http://schemas.openxmlformats.org/officeDocument/2006/relationships/hyperlink" Target="https://wedo.org/2020-pocket-guide-to-gender-equality-under-the-unfc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8F447D380DEE94195D9369B0D252450" ma:contentTypeVersion="4" ma:contentTypeDescription="Defines the documents for Document Manager V2" ma:contentTypeScope="" ma:versionID="699c0fe4d6e743f76670b9a453ac587a">
  <xsd:schema xmlns:xsd="http://www.w3.org/2001/XMLSchema" xmlns:xs="http://www.w3.org/2001/XMLSchema" xmlns:p="http://schemas.microsoft.com/office/2006/metadata/properties" xmlns:ns2="1299d781-265f-4ceb-999e-e1eca3df2c90" xmlns:ns3="http://schemas.microsoft.com/sharepoint/v3/fields" xmlns:ns4="78feecd2-a259-4a5c-b48b-4ffcf5b9c8b1" targetNamespace="http://schemas.microsoft.com/office/2006/metadata/properties" ma:root="true" ma:fieldsID="6de033fe12ab72f6ce4561b0db774137" ns2:_="" ns3:_="" ns4:_="">
    <xsd:import namespace="1299d781-265f-4ceb-999e-e1eca3df2c90"/>
    <xsd:import namespace="http://schemas.microsoft.com/sharepoint/v3/fields"/>
    <xsd:import namespace="78feecd2-a259-4a5c-b48b-4ffcf5b9c8b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eecd2-a259-4a5c-b48b-4ffcf5b9c8b1"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P6FJPSUHKDC2-813086739-4331</_dlc_DocId>
    <_dlc_DocIdUrl xmlns="1299d781-265f-4ceb-999e-e1eca3df2c90">
      <Url>http://dm2016/eesc/2022/_layouts/15/DocIdRedir.aspx?ID=P6FJPSUHKDC2-813086739-4331</Url>
      <Description>P6FJPSUHKDC2-813086739-4331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2022-11-08T12:00:00+00:00</ProductionDate>
    <DocumentNumber xmlns="78feecd2-a259-4a5c-b48b-4ffcf5b9c8b1">4116</DocumentNumber>
    <FicheYear xmlns="1299d781-265f-4ceb-999e-e1eca3df2c90" xsi:nil="true"/>
    <DocumentVersion xmlns="1299d781-265f-4ceb-999e-e1eca3df2c90">1</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175</Value>
      <Value>55</Value>
      <Value>54</Value>
      <Value>46</Value>
      <Value>45</Value>
      <Value>44</Value>
      <Value>43</Value>
      <Value>42</Value>
      <Value>41</Value>
      <Value>40</Value>
      <Value>38</Value>
      <Value>37</Value>
      <Value>35</Value>
      <Value>34</Value>
      <Value>33</Value>
      <Value>32</Value>
      <Value>31</Value>
      <Value>30</Value>
      <Value>29</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12880</FicheNumber>
    <OriginalSender xmlns="1299d781-265f-4ceb-999e-e1eca3df2c90">
      <UserInfo>
        <DisplayName>Paakkulainen Anna</DisplayName>
        <AccountId>1685</AccountId>
        <AccountType/>
      </UserInfo>
    </OriginalSender>
    <DocumentPart xmlns="1299d781-265f-4ceb-999e-e1eca3df2c90">0</DocumentPart>
    <AdoptionDate xmlns="1299d781-265f-4ceb-999e-e1eca3df2c90">2022-10-26T12:00:00+00:00</AdoptionDate>
    <RequestingService xmlns="1299d781-265f-4ceb-999e-e1eca3df2c90">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8feecd2-a259-4a5c-b48b-4ffcf5b9c8b1"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95D64AE8-8B52-46E6-AF84-83DE9A689C20}"/>
</file>

<file path=customXml/itemProps2.xml><?xml version="1.0" encoding="utf-8"?>
<ds:datastoreItem xmlns:ds="http://schemas.openxmlformats.org/officeDocument/2006/customXml" ds:itemID="{6EB0825C-004E-4A47-95B9-400A4C18E72D}"/>
</file>

<file path=customXml/itemProps3.xml><?xml version="1.0" encoding="utf-8"?>
<ds:datastoreItem xmlns:ds="http://schemas.openxmlformats.org/officeDocument/2006/customXml" ds:itemID="{9EC7B4DB-0A5A-42C9-8ADD-964143B58B08}"/>
</file>

<file path=customXml/itemProps4.xml><?xml version="1.0" encoding="utf-8"?>
<ds:datastoreItem xmlns:ds="http://schemas.openxmlformats.org/officeDocument/2006/customXml" ds:itemID="{F852ADB6-3840-40B7-8B77-D24F406BC1C6}"/>
</file>

<file path=docProps/app.xml><?xml version="1.0" encoding="utf-8"?>
<Properties xmlns="http://schemas.openxmlformats.org/officeDocument/2006/extended-properties" xmlns:vt="http://schemas.openxmlformats.org/officeDocument/2006/docPropsVTypes">
  <Template>Normal.dotm</Template>
  <TotalTime>5</TotalTime>
  <Pages>12</Pages>
  <Words>3852</Words>
  <Characters>21958</Characters>
  <Application>Microsoft Office Word</Application>
  <DocSecurity>0</DocSecurity>
  <Lines>182</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RESOLUTION - Jointly tackling an existential threat: social partners and civil society for implementation of ambitious climate action</vt:lpstr>
      <vt:lpstr/>
    </vt:vector>
  </TitlesOfParts>
  <Company>EESC-ECOR</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PÄÄTÖSLAUSELMA - Torjutaan yhdessä uhkaa ihmiskunnan olemassaololle: työmarkkinaosapuolet ja kansalaisyhteiskunta antavat tukensa kunnianhimoisten ilmastotoimien toteuttamiselle</dc:title>
  <dc:subject>RES</dc:subject>
  <dc:creator>Guarinoni Monica</dc:creator>
  <cp:keywords>EESC-2022-04116-00-01-RES-TRA-EN</cp:keywords>
  <dc:description>Rapporteur:  - Original language: EN - Date of document: 08/11/2022 - Date of meeting:  - External documents:  - Administrator:  CARRERAS JUDIT</dc:description>
  <cp:lastModifiedBy>Paakkulainen Anna</cp:lastModifiedBy>
  <cp:revision>9</cp:revision>
  <cp:lastPrinted>2022-09-02T11:47:00Z</cp:lastPrinted>
  <dcterms:created xsi:type="dcterms:W3CDTF">2022-11-04T12:59:00Z</dcterms:created>
  <dcterms:modified xsi:type="dcterms:W3CDTF">2022-11-08T10:19:00Z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04/11/2022, 27/10/2022, 11/10/2022, 28/09/2022, 23/08/2022</vt:lpwstr>
  </property>
  <property fmtid="{D5CDD505-2E9C-101B-9397-08002B2CF9AE}" pid="4" name="Pref_Time">
    <vt:lpwstr>13:47:53, 09:22:51, 09:03:19, 11:45:42, 17:23:52</vt:lpwstr>
  </property>
  <property fmtid="{D5CDD505-2E9C-101B-9397-08002B2CF9AE}" pid="5" name="Pref_User">
    <vt:lpwstr>pacup, amett, jhvi, pacup, enied</vt:lpwstr>
  </property>
  <property fmtid="{D5CDD505-2E9C-101B-9397-08002B2CF9AE}" pid="6" name="Pref_FileName">
    <vt:lpwstr>EESC-2022-04116-00-01-RES-TRA-EN-CRR.docx, EESC-2022-04116-00-00-RES-TRA-EN-CRR.docx, EESC-2022-04116-00-01-PRES-ORI.docx, EESC-2022-04116-00-00-PRES-TRA.docx, EESC-2022-04116-00-00-TCD-ORI.docx</vt:lpwstr>
  </property>
  <property fmtid="{D5CDD505-2E9C-101B-9397-08002B2CF9AE}" pid="7" name="ContentTypeId">
    <vt:lpwstr>0x010100EA97B91038054C99906057A708A1480A0048F447D380DEE94195D9369B0D252450</vt:lpwstr>
  </property>
  <property fmtid="{D5CDD505-2E9C-101B-9397-08002B2CF9AE}" pid="8" name="_dlc_DocIdItemGuid">
    <vt:lpwstr>10da44e7-2439-4e8f-ac32-59740f041d4c</vt:lpwstr>
  </property>
  <property fmtid="{D5CDD505-2E9C-101B-9397-08002B2CF9AE}" pid="9" name="AvailableTranslations">
    <vt:lpwstr>41;#CS|72f9705b-0217-4fd3-bea2-cbc7ed80e26e;#43;#NL|55c6556c-b4f4-441d-9acf-c498d4f838bd;#37;#PT|50ccc04a-eadd-42ae-a0cb-acaf45f812ba;#29;#SV|c2ed69e7-a339-43d7-8f22-d93680a92aa0;#34;#SK|46d9fce0-ef79-4f71-b89b-cd6aa82426b8;#30;#PL|1e03da61-4678-4e07-b136-b5024ca9197b;#44;#LT|a7ff5ce7-6123-4f68-865a-a57c31810414;#42;#SL|98a412ae-eb01-49e9-ae3d-585a81724cfc;#31;#ES|e7a6b05b-ae16-40c8-add9-68b64b03aeba;#32;#DA|5d49c027-8956-412b-aa16-e85a0f96ad0e;#38;#FI|87606a43-d45f-42d6-b8c9-e1a3457db5b7;#46;#EL|6d4f4d51-af9b-4650-94b4-4276bee85c91;#22;#DE|f6b31e5a-26fa-4935-b661-318e46daf27e;#33;#IT|0774613c-01ed-4e5d-a25d-11d2388de825;#40;#BG|1a1b3951-7821-4e6a-85f5-5673fc08bd2c;#4;#EN|f2175f21-25d7-44a3-96da-d6a61b075e1b;#54;#ET|ff6c3f4c-b02c-4c3c-ab07-2c37995a7a0a;#55;#HR|2f555653-ed1a-4fe6-8362-9082d95989e5;#45;#RO|feb747a2-64cd-4299-af12-4833ddc30497;#11;#FR|d2afafd3-4c81-4f60-8f52-ee33f2f54ff3;#35;#MT|7df99101-6854-4a26-b53a-b88c0da02c26</vt:lpwstr>
  </property>
  <property fmtid="{D5CDD505-2E9C-101B-9397-08002B2CF9AE}" pid="10" name="DocumentType_0">
    <vt:lpwstr>RES|9e3e62eb-6858-4bc7-8a50-3453e395fd01</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4116</vt:i4>
  </property>
  <property fmtid="{D5CDD505-2E9C-101B-9397-08002B2CF9AE}" pid="14" name="DocumentYear">
    <vt:i4>2022</vt:i4>
  </property>
  <property fmtid="{D5CDD505-2E9C-101B-9397-08002B2CF9AE}" pid="15" name="DocumentVersion">
    <vt:i4>1</vt:i4>
  </property>
  <property fmtid="{D5CDD505-2E9C-101B-9397-08002B2CF9AE}" pid="16" name="FicheNumber">
    <vt:i4>12880</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AdoptionDate">
    <vt:filetime>2022-10-26T12:00:00Z</vt:filetime>
  </property>
  <property fmtid="{D5CDD505-2E9C-101B-9397-08002B2CF9AE}" pid="22" name="DocumentType">
    <vt:lpwstr>175;#RES|9e3e62eb-6858-4bc7-8a50-3453e395fd01</vt:lpwstr>
  </property>
  <property fmtid="{D5CDD505-2E9C-101B-9397-08002B2CF9AE}" pid="23" name="RequestingService">
    <vt:lpwstr>Agriculture, développement rural et environnement</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CS|72f9705b-0217-4fd3-bea2-cbc7ed80e26e;NL|55c6556c-b4f4-441d-9acf-c498d4f838bd;PT|50ccc04a-eadd-42ae-a0cb-acaf45f812ba;SV|c2ed69e7-a339-43d7-8f22-d93680a92aa0;PL|1e03da61-4678-4e07-b136-b5024ca9197b;LT|a7ff5ce7-6123-4f68-865a-a57c31810414;SL|98a412ae-eb01-49e9-ae3d-585a81724cfc;ES|e7a6b05b-ae16-40c8-add9-68b64b03aeba;DA|5d49c027-8956-412b-aa16-e85a0f96ad0e;EL|6d4f4d51-af9b-4650-94b4-4276bee85c91;DE|f6b31e5a-26fa-4935-b661-318e46daf27e;IT|0774613c-01ed-4e5d-a25d-11d2388de825;BG|1a1b3951-7821-4e6a-85f5-5673fc08bd2c;EN|f2175f21-25d7-44a3-96da-d6a61b075e1b;ET|ff6c3f4c-b02c-4c3c-ab07-2c37995a7a0a;HR|2f555653-ed1a-4fe6-8362-9082d95989e5;FR|d2afafd3-4c81-4f60-8f52-ee33f2f54ff3;MT|7df99101-6854-4a26-b53a-b88c0da02c26</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35;#MT|7df99101-6854-4a26-b53a-b88c0da02c26;#33;#IT|0774613c-01ed-4e5d-a25d-11d2388de825;#32;#DA|5d49c027-8956-412b-aa16-e85a0f96ad0e;#6;#Final|ea5e6674-7b27-4bac-b091-73adbb394efe;#30;#PL|1e03da61-4678-4e07-b136-b5024ca9197b;#29;#SV|c2ed69e7-a339-43d7-8f22-d93680a92aa0;#31;#ES|e7a6b05b-ae16-40c8-add9-68b64b03aeba;#175;#RES|9e3e62eb-6858-4bc7-8a50-3453e395fd01;#44;#LT|a7ff5ce7-6123-4f68-865a-a57c31810414;#22;#DE|f6b31e5a-26fa-4935-b661-318e46daf27e;#55;#HR|2f555653-ed1a-4fe6-8362-9082d95989e5;#54;#ET|ff6c3f4c-b02c-4c3c-ab07-2c37995a7a0a;#46;#EL|6d4f4d51-af9b-4650-94b4-4276bee85c91;#11;#FR|d2afafd3-4c81-4f60-8f52-ee33f2f54ff3;#9;#Unrestricted|826e22d7-d029-4ec0-a450-0c28ff673572;#41;#CS|72f9705b-0217-4fd3-bea2-cbc7ed80e26e;#7;#TRA|150d2a88-1431-44e6-a8ca-0bb753ab8672;#43;#NL|55c6556c-b4f4-441d-9acf-c498d4f838bd;#42;#SL|98a412ae-eb01-49e9-ae3d-585a81724cfc;#4;#EN|f2175f21-25d7-44a3-96da-d6a61b075e1b;#40;#BG|1a1b3951-7821-4e6a-85f5-5673fc08bd2c;#1;#EESC|422833ec-8d7e-4e65-8e4e-8bed07ffb729;#37;#PT|50ccc04a-eadd-42ae-a0cb-acaf45f812b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38;#FI|87606a43-d45f-42d6-b8c9-e1a3457db5b7</vt:lpwstr>
  </property>
</Properties>
</file>