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8.xml" ContentType="application/vnd.openxmlformats-officedocument.wordprocessingml.header+xml"/>
  <Override PartName="/word/header2.xml" ContentType="application/vnd.openxmlformats-officedocument.wordprocessingml.head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7"/>
      </w:tblGrid>
      <w:tr w:rsidR="008C5A07">
        <w:trPr>
          <w:jc w:val="center"/>
        </w:trPr>
        <w:tc>
          <w:tcPr>
            <w:tcW w:w="5000" w:type="pct"/>
            <w:vAlign w:val="center"/>
          </w:tcPr>
          <w:p w:rsidRPr="00424F46" w:rsidR="00180C9D" w:rsidP="001E6F56" w:rsidRDefault="00F4047E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72"/>
              </w:rPr>
              <w:t>USNESENÍ</w:t>
            </w:r>
          </w:p>
        </w:tc>
      </w:tr>
      <w:tr w:rsidR="008C5A07">
        <w:trPr>
          <w:trHeight w:val="567"/>
          <w:jc w:val="center"/>
        </w:trPr>
        <w:tc>
          <w:tcPr>
            <w:tcW w:w="5000" w:type="pct"/>
            <w:vAlign w:val="center"/>
          </w:tcPr>
          <w:p w:rsidRPr="00424F46" w:rsidR="00180C9D" w:rsidP="001E6F56" w:rsidRDefault="00180C9D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Evropského hospodářského a sociálního výboru</w:t>
            </w:r>
          </w:p>
        </w:tc>
      </w:tr>
      <w:tr w:rsidR="008C5A07">
        <w:trPr>
          <w:jc w:val="center"/>
        </w:trPr>
        <w:tc>
          <w:tcPr>
            <w:tcW w:w="5000" w:type="pct"/>
            <w:vAlign w:val="center"/>
          </w:tcPr>
          <w:p w:rsidRPr="00424F46" w:rsidR="00F4047E" w:rsidP="00DF4F94" w:rsidRDefault="00F4047E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</w:rPr>
              <w:t>Zažehnání existenční hrozby díky společnému úsilí: sociální partneři a občanská společnost za</w:t>
            </w:r>
            <w:r w:rsidR="00DF4F94">
              <w:rPr>
                <w:rFonts w:ascii="Times New Roman" w:hAnsi="Times New Roman"/>
                <w:b/>
                <w:sz w:val="44"/>
              </w:rPr>
              <w:t> </w:t>
            </w:r>
            <w:r>
              <w:rPr>
                <w:rFonts w:ascii="Times New Roman" w:hAnsi="Times New Roman"/>
                <w:b/>
                <w:sz w:val="44"/>
              </w:rPr>
              <w:t>provádění ambiciózních opatření v</w:t>
            </w:r>
            <w:r w:rsidR="00DF4F94">
              <w:rPr>
                <w:rFonts w:ascii="Times New Roman" w:hAnsi="Times New Roman"/>
                <w:b/>
                <w:sz w:val="44"/>
              </w:rPr>
              <w:t> </w:t>
            </w:r>
            <w:r>
              <w:rPr>
                <w:rFonts w:ascii="Times New Roman" w:hAnsi="Times New Roman"/>
                <w:b/>
                <w:sz w:val="44"/>
              </w:rPr>
              <w:t>oblasti</w:t>
            </w:r>
            <w:r w:rsidR="00DF4F94">
              <w:rPr>
                <w:rFonts w:ascii="Times New Roman" w:hAnsi="Times New Roman"/>
                <w:b/>
                <w:sz w:val="44"/>
              </w:rPr>
              <w:t> </w:t>
            </w:r>
            <w:r>
              <w:rPr>
                <w:rFonts w:ascii="Times New Roman" w:hAnsi="Times New Roman"/>
                <w:b/>
                <w:sz w:val="44"/>
              </w:rPr>
              <w:t>klimatu</w:t>
            </w:r>
          </w:p>
        </w:tc>
      </w:tr>
      <w:tr w:rsidR="008C5A07">
        <w:trPr>
          <w:jc w:val="center"/>
        </w:trPr>
        <w:tc>
          <w:tcPr>
            <w:tcW w:w="5000" w:type="pct"/>
            <w:vAlign w:val="center"/>
          </w:tcPr>
          <w:p w:rsidRPr="008D4C78" w:rsidR="008A6CF4" w:rsidP="001E6F56" w:rsidRDefault="008A6CF4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44"/>
                <w:szCs w:val="44"/>
              </w:rPr>
            </w:pPr>
            <w:r w:rsidRPr="008D4C78">
              <w:rPr>
                <w:rFonts w:ascii="Times New Roman" w:hAnsi="Times New Roman" w:cs="Times New Roman"/>
                <w:sz w:val="24"/>
              </w:rPr>
              <w:t>_____________</w:t>
            </w:r>
          </w:p>
        </w:tc>
      </w:tr>
      <w:tr w:rsidR="008C5A07">
        <w:trPr>
          <w:jc w:val="center"/>
        </w:trPr>
        <w:tc>
          <w:tcPr>
            <w:tcW w:w="5000" w:type="pct"/>
            <w:vAlign w:val="center"/>
          </w:tcPr>
          <w:p w:rsidRPr="00424F46" w:rsidR="009A4326" w:rsidP="001E6F56" w:rsidRDefault="009A4326">
            <w:pPr>
              <w:spacing w:after="0" w:line="288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Zažehnání existenční hrozby díky společnému úsilí: sociální partneři a občanská společnost za provádění ambiciózních opatření v oblasti klimatu</w:t>
            </w:r>
          </w:p>
        </w:tc>
      </w:tr>
      <w:tr w:rsidR="008C5A07">
        <w:trPr>
          <w:jc w:val="center"/>
        </w:trPr>
        <w:tc>
          <w:tcPr>
            <w:tcW w:w="5000" w:type="pct"/>
            <w:vAlign w:val="center"/>
          </w:tcPr>
          <w:p w:rsidRPr="00EF3B48" w:rsidR="00F4047E" w:rsidP="001E6F56" w:rsidRDefault="00180C9D">
            <w:pPr>
              <w:tabs>
                <w:tab w:val="left" w:pos="4262"/>
                <w:tab w:val="left" w:pos="4536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Zpravodajové: </w:t>
            </w:r>
            <w:r>
              <w:rPr>
                <w:rFonts w:ascii="Times New Roman" w:hAnsi="Times New Roman"/>
                <w:b/>
                <w:sz w:val="24"/>
              </w:rPr>
              <w:t>Peter SCHMIDT</w:t>
            </w:r>
          </w:p>
          <w:p w:rsidRPr="00EF3B48" w:rsidR="00F4047E" w:rsidP="001E6F56" w:rsidRDefault="00F4047E">
            <w:pPr>
              <w:spacing w:after="0" w:line="288" w:lineRule="auto"/>
              <w:ind w:left="23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Isabel CAÑO AGUILAR</w:t>
            </w:r>
          </w:p>
          <w:p w:rsidRPr="00EF3B48" w:rsidR="00F4047E" w:rsidP="001E6F56" w:rsidRDefault="00F4047E">
            <w:pPr>
              <w:spacing w:after="0" w:line="288" w:lineRule="auto"/>
              <w:ind w:left="1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Sandra PARTHIE</w:t>
            </w:r>
          </w:p>
          <w:p w:rsidRPr="00EF3B48" w:rsidR="00F4047E" w:rsidP="001E6F56" w:rsidRDefault="00F4047E">
            <w:pPr>
              <w:spacing w:after="0" w:line="288" w:lineRule="auto"/>
              <w:ind w:left="2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Josep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PUXEU ROCAMORA</w:t>
            </w:r>
          </w:p>
          <w:p w:rsidRPr="00EF3B48" w:rsidR="00F4047E" w:rsidP="001E6F56" w:rsidRDefault="00F4047E">
            <w:pPr>
              <w:spacing w:after="0" w:line="288" w:lineRule="auto"/>
              <w:ind w:left="15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Neža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REPANŠEK</w:t>
            </w:r>
          </w:p>
          <w:p w:rsidRPr="00424F46" w:rsidR="00180C9D" w:rsidP="001E6F56" w:rsidRDefault="00F4047E">
            <w:pPr>
              <w:spacing w:after="0" w:line="288" w:lineRule="auto"/>
              <w:ind w:left="99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Lutz RIBBE</w:t>
            </w:r>
          </w:p>
        </w:tc>
      </w:tr>
    </w:tbl>
    <w:p w:rsidR="008A6CF4" w:rsidP="001E6F56" w:rsidRDefault="008A6CF4">
      <w:pPr>
        <w:spacing w:after="0" w:line="288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editId="45C41535" wp14:anchorId="1E2F02F8">
                <wp:simplePos x="0" y="0"/>
                <wp:positionH relativeFrom="rightMargin">
                  <wp:posOffset>-204079</wp:posOffset>
                </wp:positionH>
                <wp:positionV relativeFrom="page">
                  <wp:posOffset>9488658</wp:posOffset>
                </wp:positionV>
                <wp:extent cx="741045" cy="431800"/>
                <wp:effectExtent l="0" t="0" r="0" b="635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9D" w:rsidP="00180C9D" w:rsidRDefault="00180C9D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2F02F8">
                <v:stroke joinstyle="miter"/>
                <v:path gradientshapeok="t" o:connecttype="rect"/>
              </v:shapetype>
              <v:shape id="Text Box 17" style="position:absolute;left:0;text-align:left;margin-left:-16.05pt;margin-top:747.15pt;width:58.35pt;height:34pt;z-index:-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qD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">
                <v:textbox>
                  <w:txbxContent>
                    <w:p w:rsidR="00180C9D" w:rsidP="00180C9D" w:rsidRDefault="00180C9D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424F46" w:rsidR="00180C9D" w:rsidP="001E6F56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E6F56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1E6F56">
          <w:headerReference w:type="even" r:id="rId12"/>
          <w:headerReference w:type="default" r:id="rId13"/>
          <w:headerReference w:type="first" r:id="rId14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8C5A07">
        <w:tc>
          <w:tcPr>
            <w:tcW w:w="3085" w:type="dxa"/>
          </w:tcPr>
          <w:p w:rsidRPr="00424F46" w:rsidR="00180C9D" w:rsidP="001E6F5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Právní základ</w:t>
            </w:r>
          </w:p>
        </w:tc>
        <w:tc>
          <w:tcPr>
            <w:tcW w:w="6204" w:type="dxa"/>
            <w:vAlign w:val="bottom"/>
          </w:tcPr>
          <w:p w:rsidRPr="00424F46" w:rsidR="009A4326" w:rsidP="001E6F5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článek 50 jednacího řádu</w:t>
            </w:r>
          </w:p>
          <w:p w:rsidRPr="00424F46" w:rsidR="00180C9D" w:rsidP="001E6F5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usnesení</w:t>
            </w:r>
          </w:p>
        </w:tc>
      </w:tr>
      <w:tr w:rsidR="008C5A07">
        <w:tc>
          <w:tcPr>
            <w:tcW w:w="3085" w:type="dxa"/>
          </w:tcPr>
          <w:p w:rsidRPr="00424F46" w:rsidR="00180C9D" w:rsidP="001E6F5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Přijato na plenárním zasedání</w:t>
            </w:r>
          </w:p>
        </w:tc>
        <w:tc>
          <w:tcPr>
            <w:tcW w:w="6204" w:type="dxa"/>
            <w:vAlign w:val="bottom"/>
          </w:tcPr>
          <w:p w:rsidRPr="00424F46" w:rsidR="00180C9D" w:rsidP="001E6F56" w:rsidRDefault="006B78AF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26/10/2022</w:t>
            </w:r>
          </w:p>
        </w:tc>
      </w:tr>
      <w:tr w:rsidR="008C5A07">
        <w:tc>
          <w:tcPr>
            <w:tcW w:w="3085" w:type="dxa"/>
          </w:tcPr>
          <w:p w:rsidRPr="00424F46" w:rsidR="00180C9D" w:rsidP="001E6F56" w:rsidRDefault="009A4326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Plenární zasedání č.</w:t>
            </w:r>
          </w:p>
        </w:tc>
        <w:tc>
          <w:tcPr>
            <w:tcW w:w="6204" w:type="dxa"/>
            <w:vAlign w:val="bottom"/>
          </w:tcPr>
          <w:p w:rsidRPr="00424F46" w:rsidR="00180C9D" w:rsidP="001E6F56" w:rsidRDefault="006B78AF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</w:tr>
      <w:tr w:rsidR="008C5A07">
        <w:tc>
          <w:tcPr>
            <w:tcW w:w="3085" w:type="dxa"/>
          </w:tcPr>
          <w:p w:rsidRPr="00424F46" w:rsidR="00180C9D" w:rsidP="001E6F56" w:rsidRDefault="009A4326">
            <w:pPr>
              <w:spacing w:after="0" w:line="288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Výsledek hlasování</w:t>
            </w:r>
            <w:r>
              <w:rPr>
                <w:rFonts w:ascii="Times New Roman" w:hAnsi="Times New Roman"/>
              </w:rPr>
              <w:br/>
              <w:t>(pro/proti/zdrželi se hlasování)</w:t>
            </w:r>
          </w:p>
        </w:tc>
        <w:tc>
          <w:tcPr>
            <w:tcW w:w="6204" w:type="dxa"/>
            <w:vAlign w:val="bottom"/>
          </w:tcPr>
          <w:p w:rsidRPr="00424F46" w:rsidR="00180C9D" w:rsidP="001E6F56" w:rsidRDefault="00B45F35">
            <w:pPr>
              <w:spacing w:after="0" w:line="288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104/1/0</w:t>
            </w:r>
          </w:p>
        </w:tc>
      </w:tr>
    </w:tbl>
    <w:p w:rsidRPr="00424F46" w:rsidR="00180C9D" w:rsidP="001E6F56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</w:pPr>
    </w:p>
    <w:p w:rsidRPr="00424F46" w:rsidR="00180C9D" w:rsidP="001E6F56" w:rsidRDefault="00180C9D">
      <w:pPr>
        <w:spacing w:after="0" w:line="288" w:lineRule="auto"/>
        <w:jc w:val="center"/>
        <w:rPr>
          <w:rFonts w:ascii="Times New Roman" w:hAnsi="Times New Roman" w:eastAsia="Times New Roman" w:cs="Times New Roman"/>
          <w:lang w:val="en-GB"/>
        </w:rPr>
        <w:sectPr w:rsidRPr="00424F46" w:rsidR="00180C9D" w:rsidSect="008A6CF4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Pr="00424F46" w:rsidR="00020F19" w:rsidP="001E6F56" w:rsidRDefault="00020F19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Zažehnání existenční hrozby díky společnému úsilí: sociální partneři a občanská společnost za provádění ambiciózních opatření v oblasti klimatu</w:t>
      </w:r>
    </w:p>
    <w:p w:rsidRPr="00424F46" w:rsidR="00020F19" w:rsidP="001E6F56" w:rsidRDefault="00020F19">
      <w:pPr>
        <w:keepNext/>
        <w:spacing w:after="0" w:line="288" w:lineRule="auto"/>
        <w:jc w:val="center"/>
        <w:rPr>
          <w:rFonts w:ascii="Times New Roman" w:hAnsi="Times New Roman" w:cs="Times New Roman"/>
          <w:bCs/>
          <w:lang w:val="en-GB"/>
        </w:rPr>
      </w:pPr>
    </w:p>
    <w:p w:rsidRPr="00424F46" w:rsidR="00020F19" w:rsidP="001E6F56" w:rsidRDefault="00020F19">
      <w:pPr>
        <w:keepNext/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Výroční zasedání smluvních stran Rámcové úmluvy Organizace spojených národů o změně klimatu (COP27) se bude konat od 6. to 18. listopadu v egyptském Šarm </w:t>
      </w:r>
      <w:proofErr w:type="spellStart"/>
      <w:r>
        <w:rPr>
          <w:rFonts w:ascii="Times New Roman" w:hAnsi="Times New Roman"/>
        </w:rPr>
        <w:t>aš-Šajchu</w:t>
      </w:r>
      <w:proofErr w:type="spellEnd"/>
      <w:r>
        <w:rPr>
          <w:rFonts w:ascii="Times New Roman" w:hAnsi="Times New Roman"/>
        </w:rPr>
        <w:t>.</w:t>
      </w:r>
    </w:p>
    <w:p w:rsidRPr="00424F46" w:rsidR="00C0106D" w:rsidP="001E6F56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1E6F56" w:rsidRDefault="00570F8A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V souladu se zprávou předsednictva EHSV ze dne 22. února 2022 zřídil Výbor skupinu ad</w:t>
      </w:r>
      <w:r w:rsidR="008D4C7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hoc Konference smluvních stran Rámcové úmluvy OSN o změně klimatu, jejímž úkolem je připravit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>souvislosti s konferencí smluvních stran usnesení EHSV – které bude odrážet priority příští konference smluvních stran i postupy jednání v rámci UNFCCC – a Výbor jako celek lépe obeznámit s procesem UNFCCC a zapojit jej do jednání ohledně změny klimatu.</w:t>
      </w:r>
    </w:p>
    <w:p w:rsidRPr="00424F46" w:rsidR="00C0106D" w:rsidP="001E6F56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1E6F56" w:rsidRDefault="00020F19">
      <w:pPr>
        <w:spacing w:after="0" w:line="288" w:lineRule="auto"/>
        <w:jc w:val="both"/>
        <w:rPr>
          <w:rFonts w:ascii="Times New Roman" w:hAnsi="Times New Roman" w:cs="Times New Roman"/>
          <w:bCs/>
          <w:spacing w:val="-6"/>
        </w:rPr>
      </w:pPr>
      <w:r>
        <w:rPr>
          <w:rFonts w:ascii="Times New Roman" w:hAnsi="Times New Roman"/>
        </w:rPr>
        <w:t xml:space="preserve">Skupina ad hoc se skládá ze šesti členů sekce NAT a zástupce mládeže, který se v návaznosti na stanovisko z vlastní iniciativy </w:t>
      </w:r>
      <w:hyperlink w:history="1" r:id="rId19">
        <w:r>
          <w:rPr>
            <w:rStyle w:val="Hyperlink"/>
            <w:rFonts w:ascii="Times New Roman" w:hAnsi="Times New Roman"/>
          </w:rPr>
          <w:t>NAT/788 – Směrem ke strukturovanému zapojení mládeže v otázkách klimatu a udržitelnosti v rámci rozhodovacíh</w:t>
        </w:r>
        <w:r>
          <w:rPr>
            <w:rStyle w:val="Hyperlink"/>
            <w:rFonts w:ascii="Times New Roman" w:hAnsi="Times New Roman"/>
          </w:rPr>
          <w:t>o procesu EU</w:t>
        </w:r>
      </w:hyperlink>
      <w:r>
        <w:rPr>
          <w:rFonts w:ascii="Times New Roman" w:hAnsi="Times New Roman"/>
        </w:rPr>
        <w:t xml:space="preserve"> pravidelně podílí na činnosti této skupiny. V posledních několika měsících se skupina ad hoc setkala s příslušnými organizacemi, orgány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 xml:space="preserve">institucemi, jako je Evropská komise, Výbor regionů, kanceláře zvláštních vyslanců pro problematiku změny klimatu a skupina Climate </w:t>
      </w:r>
      <w:proofErr w:type="spellStart"/>
      <w:r>
        <w:rPr>
          <w:rFonts w:ascii="Times New Roman" w:hAnsi="Times New Roman"/>
        </w:rPr>
        <w:t>Action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Tracker</w:t>
      </w:r>
      <w:proofErr w:type="spellEnd"/>
      <w:r>
        <w:rPr>
          <w:rFonts w:ascii="Times New Roman" w:hAnsi="Times New Roman"/>
        </w:rPr>
        <w:t>, jakož i se zástupci různých složek občanské společnosti – mladých lidí, podniků, zemědělců, odborů a také environmentálních nevládních organizací –, a sice za účelem výměny informací a hledání synergií. Ve všech těchto dialozích bylo zdůrazněno téma klimatické krize.</w:t>
      </w:r>
    </w:p>
    <w:p w:rsidRPr="00424F46" w:rsidR="00C0106D" w:rsidP="001E6F56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1E6F56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Rok 2022 se stává rokem, kdy lze konstatovat, že změna klimatu způsobuje extrémní povětrnostní jevy ještě intenzivněji než kdy jindy. Od spalujících vln veder a požárů v Evropě a částech jižní Asie až po katastrofální záplavy v Pákistánu a Bangladéši a dlouhotrvající sucho ve východní Africe – povětrnostní jevy si vyžádaly tisíce lidských životů a miliony lidí byly kvůli nim vysídleny nebo žijí na pokraji hladomoru.</w:t>
      </w:r>
    </w:p>
    <w:p w:rsidRPr="00424F46" w:rsidR="00C0106D" w:rsidP="001E6F56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1E6F56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V této souvislosti nedávná zpráva </w:t>
      </w:r>
      <w:hyperlink w:history="1" r:id="rId20">
        <w:r>
          <w:rPr>
            <w:rStyle w:val="Hyperlink"/>
            <w:rFonts w:ascii="Times New Roman" w:hAnsi="Times New Roman"/>
          </w:rPr>
          <w:t>Mezivládního panel</w:t>
        </w:r>
        <w:r>
          <w:rPr>
            <w:rStyle w:val="Hyperlink"/>
            <w:rFonts w:ascii="Times New Roman" w:hAnsi="Times New Roman"/>
          </w:rPr>
          <w:t>u pro změnu klimatu</w:t>
        </w:r>
      </w:hyperlink>
      <w:r>
        <w:rPr>
          <w:rFonts w:ascii="Times New Roman" w:hAnsi="Times New Roman"/>
        </w:rPr>
        <w:t xml:space="preserve"> uvádí, že má-li se globální oteplování omezit na 1,5 °C, musí emise skleníkových plynů dosáhnout nejvyšší úrovně nejpozději před rokem 2025 a že do roku 2030 musí být emise sníženy o polovinu, přičemž má-li k tomu dojít, je naprosto nezbytné, aby bylo dosaženo zásadního a okamžitého snížení emisí ve všech odvětvích. Podle prognóz však </w:t>
      </w:r>
      <w:hyperlink w:history="1" r:id="rId21">
        <w:r>
          <w:rPr>
            <w:rStyle w:val="Hyperlink"/>
            <w:rFonts w:ascii="Times New Roman" w:hAnsi="Times New Roman"/>
          </w:rPr>
          <w:t>v současnosti uplatňova</w:t>
        </w:r>
        <w:r>
          <w:rPr>
            <w:rStyle w:val="Hyperlink"/>
            <w:rFonts w:ascii="Times New Roman" w:hAnsi="Times New Roman"/>
          </w:rPr>
          <w:t>né politiky</w:t>
        </w:r>
      </w:hyperlink>
      <w:r>
        <w:rPr>
          <w:rFonts w:ascii="Times New Roman" w:hAnsi="Times New Roman"/>
        </w:rPr>
        <w:t xml:space="preserve"> povedou k oteplení o 2,7 °C a současné závazky jednotlivých zemí – </w:t>
      </w:r>
      <w:r>
        <w:rPr>
          <w:rFonts w:ascii="Times New Roman" w:hAnsi="Times New Roman"/>
          <w:i/>
        </w:rPr>
        <w:t>vnitrostátně stanovené příspěvky</w:t>
      </w:r>
      <w:r>
        <w:rPr>
          <w:rFonts w:ascii="Times New Roman" w:hAnsi="Times New Roman"/>
        </w:rPr>
        <w:t xml:space="preserve"> – omezí oteplování na 2,4 °C.</w:t>
      </w:r>
    </w:p>
    <w:p w:rsidRPr="00424F46" w:rsidR="00C0106D" w:rsidP="001E6F56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1E6F56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Ruská invaze na Ukrajinu dramaticky zkomplikovala již tak ekonomicky a sociálně složitou situaci. Řešení naléhavé klimatické situace však nelze odkládat. Každé zvláštní opatření, jež bude přijato, musí být mimořádné a časově omezené, přičemž Evropská unie musí urychlit přepracování své energetické a klimatické politiky, aby vyřešila krátkodobé otřesy a zároveň pokročila směrem </w:t>
      </w:r>
      <w:r w:rsidR="005F3D6E">
        <w:rPr>
          <w:rFonts w:ascii="Times New Roman" w:hAnsi="Times New Roman"/>
        </w:rPr>
        <w:t>k </w:t>
      </w:r>
      <w:r>
        <w:rPr>
          <w:rFonts w:ascii="Times New Roman" w:hAnsi="Times New Roman"/>
        </w:rPr>
        <w:t>nevyhnutelné dekarbonizaci společnosti. Evropa musí být lídrem, pokud jde o opatření v oblasti klimatu, a musí odstranit propastný rozdíly mezi ambicemi a politickými opatřeními.</w:t>
      </w:r>
    </w:p>
    <w:p w:rsidRPr="00424F46" w:rsidR="00C0106D" w:rsidP="001E6F56" w:rsidRDefault="00C0106D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020F19" w:rsidP="001E6F56" w:rsidRDefault="00020F19">
      <w:pPr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Usnesení, které připravili členové skupiny ad hoc, vyzývá orgány EU a vlády členských států, aby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>souladu s vědou a vědeckými poznatky zvýšily ambice v oblasti klimatu, a klade zvláštní důraz na úlohu organizované občanské společnosti při urychlování opatření v této oblasti. Sociální odolnost lze posílit jedině tehdy, budou-li mít občanská společnost, sociálních aktéři a hnutí na místní úrovni silnější postavení.</w:t>
      </w:r>
    </w:p>
    <w:p w:rsidRPr="00424F46" w:rsidR="00765637" w:rsidP="001E6F56" w:rsidRDefault="00765637">
      <w:pPr>
        <w:spacing w:after="0" w:line="288" w:lineRule="auto"/>
        <w:jc w:val="both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Pr="00424F46" w:rsidR="00765637" w:rsidP="001E6F56" w:rsidRDefault="00020F19">
      <w:pPr>
        <w:spacing w:after="0" w:line="288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/>
          <w:i/>
        </w:rPr>
        <w:t xml:space="preserve">Jsme poslední generací, která může změnu klimatu zastavit, a EHSV jakožto hlas evropské občanské společnosti by měl při prosazování těchto transformací a přechodu k uhlíkově neutrální, inkluzivní </w:t>
      </w:r>
      <w:r w:rsidR="005F3D6E">
        <w:rPr>
          <w:rFonts w:ascii="Times New Roman" w:hAnsi="Times New Roman"/>
          <w:i/>
        </w:rPr>
        <w:t>a </w:t>
      </w:r>
      <w:r>
        <w:rPr>
          <w:rFonts w:ascii="Times New Roman" w:hAnsi="Times New Roman"/>
          <w:i/>
        </w:rPr>
        <w:t>sociálně spravedlivé společnosti hrát vedoucí úlohu.</w:t>
      </w:r>
      <w:r>
        <w:rPr>
          <w:rFonts w:ascii="Times New Roman" w:hAnsi="Times New Roman"/>
          <w:i/>
        </w:rPr>
        <w:br w:type="page"/>
      </w:r>
    </w:p>
    <w:p w:rsidRPr="00424F46" w:rsidR="0040134E" w:rsidP="001E6F56" w:rsidRDefault="0040134E">
      <w:pPr>
        <w:keepNext/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POLITICKÁ DOPORUČENÍ EVROPSKÉHO HOSPODÁŘSKÉHO A SOCIÁLNÍHO VÝBORU:</w:t>
      </w:r>
    </w:p>
    <w:p w:rsidRPr="00424F46" w:rsidR="00765637" w:rsidP="001E6F56" w:rsidRDefault="00765637">
      <w:pPr>
        <w:keepNext/>
        <w:spacing w:after="0" w:line="288" w:lineRule="auto"/>
        <w:jc w:val="both"/>
        <w:rPr>
          <w:rFonts w:ascii="Times New Roman" w:hAnsi="Times New Roman" w:cs="Times New Roman"/>
          <w:b/>
          <w:lang w:val="en-GB"/>
        </w:rPr>
      </w:pPr>
    </w:p>
    <w:p w:rsidRPr="00424F46" w:rsidR="0040134E" w:rsidP="001E6F56" w:rsidRDefault="00492189">
      <w:pPr>
        <w:keepNext/>
        <w:spacing w:after="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Stanovení vyšších ambicí v oblasti klimatu s cílem řešit klimatickou krizi a zintenzivnění unijních opatření v této oblasti</w:t>
      </w:r>
    </w:p>
    <w:p w:rsidRPr="00424F46" w:rsidR="00765637" w:rsidP="001E6F56" w:rsidRDefault="00765637">
      <w:pPr>
        <w:keepNext/>
        <w:spacing w:after="0" w:line="288" w:lineRule="auto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A133B3" w:rsidP="001E6F56" w:rsidRDefault="001522F6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</w:rPr>
        <w:t>Coby hlas organizované občanské společnosti v Evropě a poradní orgán Evropského parlamentu, Rady a Komise a jakožto součást celosvětové občanské společnosti</w:t>
      </w:r>
    </w:p>
    <w:p w:rsidRPr="00424F46" w:rsidR="00A133B3" w:rsidP="001E6F56" w:rsidRDefault="00A133B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Cs/>
          <w:iCs/>
          <w:lang w:val="en-GB" w:eastAsia="en-GB"/>
        </w:rPr>
      </w:pPr>
    </w:p>
    <w:p w:rsidRPr="00424F46" w:rsidR="00C5108E" w:rsidP="001E6F56" w:rsidRDefault="001522F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Evropský hospodářský a sociální výbor (EHSV) poukazuje na to, že Rámcová úmluva Organizace spojených národů o změně klimatu (UNFCCC) byla přijata před 30 lety, přičemž jejím konečným cílem bylo dosáhnout „stabilizace koncentrací skleníkových plynů v atmosféře na úrovni, která by umožnila předejít nebezpečným důsledkům vzájemného působení lidstva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klimatického systému“ (článek 2), a že tohoto cíle nebylo dosaže</w:t>
      </w:r>
      <w:bookmarkStart w:name="_GoBack" w:id="0"/>
      <w:bookmarkEnd w:id="0"/>
      <w:r>
        <w:rPr>
          <w:rFonts w:ascii="Times New Roman" w:hAnsi="Times New Roman"/>
        </w:rPr>
        <w:t>no;</w:t>
      </w:r>
    </w:p>
    <w:p w:rsidRPr="00424F46" w:rsidR="00E25EDF" w:rsidP="001E6F56" w:rsidRDefault="00E25EDF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1E6F56" w:rsidRDefault="00FC5DC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podotýká, že Pařížská dohoda z roku 2015 pro nás všechny znamenala posun od kvalitativního cíle úmluvy o klimatu – tedy předcházet zásahům do klimatického systému – k cíli kvantitativnímu: „udržení nárůstu průměrné globální teploty výrazně pod hranicí 2 °C oproti hodnotám před průmyslovou revolucí a úsilí o to, aby nárůst </w:t>
      </w:r>
      <w:r w:rsidR="009D1D3E">
        <w:rPr>
          <w:rFonts w:ascii="Times New Roman" w:hAnsi="Times New Roman"/>
        </w:rPr>
        <w:t>teploty nepřekročil hranici 1,5</w:t>
      </w:r>
      <w:r w:rsidR="009D1D3E">
        <w:t> </w:t>
      </w:r>
      <w:r>
        <w:rPr>
          <w:rFonts w:ascii="Times New Roman" w:hAnsi="Times New Roman"/>
        </w:rPr>
        <w:t>°C oproti hodnotám před průmyslovou revolucí“</w:t>
      </w:r>
      <w:r w:rsidRPr="00424F46" w:rsidR="00C5108E">
        <w:rPr>
          <w:rStyle w:val="FootnoteReference"/>
          <w:rFonts w:ascii="Times New Roman" w:hAnsi="Times New Roman" w:cs="Times New Roman"/>
          <w:lang w:val="en-GB"/>
        </w:rPr>
        <w:footnoteReference w:id="2"/>
      </w:r>
      <w:r>
        <w:rPr>
          <w:rFonts w:ascii="Times New Roman" w:hAnsi="Times New Roman"/>
        </w:rPr>
        <w:t>;</w:t>
      </w:r>
    </w:p>
    <w:p w:rsidRPr="00424F46" w:rsidR="00A73469" w:rsidP="001E6F56" w:rsidRDefault="00A73469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C5108E" w:rsidP="001E6F56" w:rsidRDefault="00C5108E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zdůrazňuje, že cíl 1,5 °C nebude stačit k tomu, aby se zabránilo dramatickým důsledkům změny klimatu. Fakta ukazují, že změna klimatu již nyní proměňuje všechny regiony na celém světě.</w:t>
      </w:r>
      <w:r>
        <w:t xml:space="preserve"> </w:t>
      </w:r>
      <w:r>
        <w:rPr>
          <w:rFonts w:ascii="Times New Roman" w:hAnsi="Times New Roman"/>
        </w:rPr>
        <w:t xml:space="preserve">Záplavy, sucha, bouře, požáry a vlny veder prudce narůstají, což má ničivé sociální důsledky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hospodářský dopad ve výši miliard eur ročně;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3"/>
      </w:r>
    </w:p>
    <w:p w:rsidRPr="00424F46" w:rsidR="00A73469" w:rsidP="001E6F56" w:rsidRDefault="00A73469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A73469" w:rsidP="001E6F56" w:rsidRDefault="00A7346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zdůrazňuje, že prožíváme klimatickou krizi a že bychom na článek 2 UNFCCC neměli rezignovat, přestože tato úmluva v současnosti nepostačuje ke splnění vytyčených cílů;</w:t>
      </w:r>
    </w:p>
    <w:p w:rsidRPr="00424F46" w:rsidR="00EA2B05" w:rsidP="001E6F56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1E6F56" w:rsidRDefault="00794F2D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 hluboce přesvědčen, že politická rozhodnutí musejí reagovat na vědu a vědecké informace,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poukazuje na to, že Mezivládní panel pro změnu klimatu (IPCC) stanovil jasné referenční hodnoty: emise musí dosáhnout nejvyšší úrovně nejpozději před rokem 2025</w:t>
      </w:r>
      <w:r w:rsidRPr="00424F46" w:rsidR="00D27A92">
        <w:rPr>
          <w:rStyle w:val="FootnoteReference"/>
          <w:rFonts w:ascii="Times New Roman" w:hAnsi="Times New Roman" w:cs="Times New Roman"/>
          <w:lang w:val="en-GB"/>
        </w:rPr>
        <w:footnoteReference w:id="4"/>
      </w:r>
      <w:r>
        <w:rPr>
          <w:rFonts w:ascii="Times New Roman" w:hAnsi="Times New Roman"/>
        </w:rPr>
        <w:t xml:space="preserve"> a svět musí do roku 2030 snížit emise o 45 % oproti úrovni z roku 2010, má-li možnost 1,5 °C zůstat reálná;</w:t>
      </w:r>
    </w:p>
    <w:p w:rsidRPr="00424F46" w:rsidR="00EA2B05" w:rsidP="001E6F56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1709" w:rsidP="001E6F56" w:rsidRDefault="00EA2B05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uznává, že invaze Ruska na Ukrajinu ještě zhoršila již tak obtížnou situaci vyznačující se inflací, vysokými cenami energie a potravin a možným nedostatkem energie, což má tvrdé dopady na životy občanů a vytváří závažné sociální a hospodářské problémy, přinejmenším v krátkodobém </w:t>
      </w:r>
      <w:r>
        <w:rPr>
          <w:rFonts w:ascii="Times New Roman" w:hAnsi="Times New Roman"/>
        </w:rPr>
        <w:lastRenderedPageBreak/>
        <w:t xml:space="preserve">horizontu. EHSV se domnívá, že za současné situace jsou evropská opatření v oblasti klimatu </w:t>
      </w:r>
      <w:r w:rsidR="005F3D6E">
        <w:rPr>
          <w:rFonts w:ascii="Times New Roman" w:hAnsi="Times New Roman"/>
        </w:rPr>
        <w:t>o </w:t>
      </w:r>
      <w:r>
        <w:rPr>
          <w:rFonts w:ascii="Times New Roman" w:hAnsi="Times New Roman"/>
        </w:rPr>
        <w:t xml:space="preserve">to naléhavější a že </w:t>
      </w:r>
      <w:r>
        <w:rPr>
          <w:rFonts w:ascii="Times New Roman" w:hAnsi="Times New Roman"/>
          <w:b/>
        </w:rPr>
        <w:t>s ohledem na novou geopolitickou situaci je ještě více zapotřebí, aby EU urychlila přepracování své energetické a klimatické politiky</w:t>
      </w:r>
      <w:r>
        <w:rPr>
          <w:rFonts w:ascii="Times New Roman" w:hAnsi="Times New Roman"/>
        </w:rPr>
        <w:t>.</w:t>
      </w:r>
    </w:p>
    <w:p w:rsidRPr="00424F46" w:rsidR="00CB14BC" w:rsidP="001E6F56" w:rsidRDefault="00CB14BC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1E6F56" w:rsidRDefault="003D0D1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 přesvědčen, že </w:t>
      </w:r>
      <w:r>
        <w:rPr>
          <w:rFonts w:ascii="Times New Roman" w:hAnsi="Times New Roman"/>
          <w:b/>
        </w:rPr>
        <w:t>je třeba posílit Zelenou dohodu pro Evropu</w:t>
      </w:r>
      <w:r>
        <w:rPr>
          <w:rFonts w:ascii="Times New Roman" w:hAnsi="Times New Roman"/>
        </w:rPr>
        <w:t>, aby bylo možné dosáhnout cíle dekarbonizace hospodářství, dále snížit vnější závislost, zajistit odolnost a posílit spravedlivou transformaci, a že mimořádné výjimky, pokud jde o dohodnuté cíle, lze udělovat pouze na omezenou dobu</w:t>
      </w:r>
      <w:r w:rsidRPr="00EF3B48" w:rsidR="00EA2B05">
        <w:rPr>
          <w:rStyle w:val="FootnoteReference"/>
          <w:rFonts w:ascii="Times New Roman" w:hAnsi="Times New Roman" w:cs="Times New Roman"/>
          <w:lang w:val="en-GB"/>
        </w:rPr>
        <w:footnoteReference w:id="5"/>
      </w:r>
      <w:r>
        <w:rPr>
          <w:rFonts w:ascii="Times New Roman" w:hAnsi="Times New Roman"/>
        </w:rPr>
        <w:t>. Má za to, že rozvoj otevřené strategické autonomie by měl zajistit snížení závislosti v oblasti energie, kritických surovin a potravin;</w:t>
      </w:r>
    </w:p>
    <w:p w:rsidRPr="00424F46" w:rsidR="00EA2B05" w:rsidP="001E6F56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553760" w:rsidP="001E6F56" w:rsidRDefault="00EA2B0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vybízí </w:t>
      </w:r>
      <w:r>
        <w:rPr>
          <w:rFonts w:ascii="Times New Roman" w:hAnsi="Times New Roman"/>
          <w:b/>
        </w:rPr>
        <w:t>EU, aby se chopila vůdčí úlohy</w:t>
      </w:r>
      <w:r>
        <w:rPr>
          <w:rFonts w:ascii="Times New Roman" w:hAnsi="Times New Roman"/>
        </w:rPr>
        <w:t xml:space="preserve">, a vyzývá Evropskou komisi a členské státy EU, aby </w:t>
      </w:r>
      <w:r>
        <w:rPr>
          <w:rFonts w:ascii="Times New Roman" w:hAnsi="Times New Roman"/>
          <w:b/>
        </w:rPr>
        <w:t>aktualizovaly vnitrostátně stanovený příspěvek</w:t>
      </w:r>
      <w:r>
        <w:rPr>
          <w:rFonts w:ascii="Times New Roman" w:hAnsi="Times New Roman"/>
        </w:rPr>
        <w:t xml:space="preserve"> v návaznosti na Klimatický pakt z Glasgow. Požaduje globální spravedlivé rozdělování založené na rovnosti, historické odpovědnosti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kapacitách;</w:t>
      </w:r>
    </w:p>
    <w:p w:rsidRPr="00424F46" w:rsidR="00D27A92" w:rsidP="001E6F56" w:rsidRDefault="00D27A92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1E6F56" w:rsidRDefault="00EA2B0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vítá rozhodnutí Evropského parlamentu ohledně systému obchodování s emisemi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6"/>
      </w:r>
      <w:r>
        <w:rPr>
          <w:rFonts w:ascii="Times New Roman" w:hAnsi="Times New Roman"/>
        </w:rPr>
        <w:t xml:space="preserve"> a propadů uhlíku</w:t>
      </w:r>
      <w:r w:rsidRPr="00424F46" w:rsidR="00CB14BC">
        <w:rPr>
          <w:rStyle w:val="FootnoteReference"/>
          <w:rFonts w:ascii="Times New Roman" w:hAnsi="Times New Roman" w:cs="Times New Roman"/>
          <w:lang w:val="en-GB"/>
        </w:rPr>
        <w:footnoteReference w:id="7"/>
      </w:r>
      <w:r>
        <w:rPr>
          <w:rFonts w:ascii="Times New Roman" w:hAnsi="Times New Roman"/>
        </w:rPr>
        <w:t>, jejichž důsledkem je mírné navýšení cíle EU v oblasti snižování emisí, což představuje výzvu – byť nedostačující – ke zvýšení vnitrostátně stanovených příspěvků EU;</w:t>
      </w:r>
    </w:p>
    <w:p w:rsidRPr="00424F46" w:rsidR="00EA2B05" w:rsidP="001E6F56" w:rsidRDefault="00EA2B05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A2B05" w:rsidP="001E6F56" w:rsidRDefault="00D27A9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vyjadřuje znepokojení nad skutečností, že mnoho zemí oznámilo dlouhodobé plány zaměřené na dosažení klimatické neutrality do roku 2050 nebo 2060, které se ovšem neopírají o odpovídající plány v krátkodobém a střednědobém horizontu. Vyzývá proto Evropskou komisi, aby </w:t>
      </w:r>
      <w:r>
        <w:rPr>
          <w:rFonts w:ascii="Times New Roman" w:hAnsi="Times New Roman"/>
          <w:b/>
        </w:rPr>
        <w:t>zintenzivnila diplomatické úsilí EU</w:t>
      </w:r>
      <w:r>
        <w:rPr>
          <w:rFonts w:ascii="Times New Roman" w:hAnsi="Times New Roman"/>
        </w:rPr>
        <w:t xml:space="preserve"> a prosazovala, aby mezinárodní společenství přijalo politické rámce podobné Zelené dohodě pro Evropu, a je připraven toto úsilí podpořit spoluprací s organizacemi občanské společnosti na celém světě, přičemž kompasem pro příští roky, které budou rozhodující, bude Agenda 2030 a cíle udržitelného rozvoje;</w:t>
      </w:r>
    </w:p>
    <w:p w:rsidRPr="00424F46" w:rsidR="00444B59" w:rsidP="001E6F56" w:rsidRDefault="00444B59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3D0D15" w:rsidP="001E6F56" w:rsidRDefault="00C375B8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žádá EU, aby dále rozvíjela odvětvové přístupy s cílem vypracovat individuálně uzpůsobená opatření či „klimatické kluby“, které by spolu mohly založit země s nejambicióznějšími akčními programy v oblasti klimatu a jež by motivovaly další země k rychlejším opatřením – k tomu by mohlo posloužit provádění mechanismu uhlíkového vyrovnání na hranicích (CBAM);</w:t>
      </w:r>
    </w:p>
    <w:p w:rsidRPr="00424F46" w:rsidR="00DE24B9" w:rsidP="001E6F56" w:rsidRDefault="00DE24B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1B07D7" w:rsidP="001E6F56" w:rsidRDefault="003D0D1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domnívá se, že je nezbytné přijmout rozhodná a jasně vymezená opatření, má-li být článek</w:t>
      </w:r>
      <w:r w:rsidR="009D1D3E">
        <w:rPr>
          <w:rFonts w:ascii="Times New Roman" w:hAnsi="Times New Roman"/>
        </w:rPr>
        <w:t> </w:t>
      </w:r>
      <w:r>
        <w:rPr>
          <w:rFonts w:ascii="Times New Roman" w:hAnsi="Times New Roman"/>
        </w:rPr>
        <w:t>6 Pařížské dohody funkční a má-li být dokončen soubor pravidel v souvislosti s touto dohodou, který stanoví rámec pro dobrovolnou mezinárodní spolupráci zemí za účelem snížení emisí tak, aby splnily své závazky. Přitom by se zabránilo některým úskalím spojeným s dvojím započtením nebo s rizikem, že se budou falšovat kredity za snížení emisí;</w:t>
      </w:r>
    </w:p>
    <w:p w:rsidRPr="00424F46" w:rsidR="00DA7721" w:rsidP="001E6F56" w:rsidRDefault="00DA7721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DA7721" w:rsidP="001E6F56" w:rsidRDefault="00DA7721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Přezkum našeho stávajícího hospodářského modelu s cílem účinně řešit zmírňování změny klimatu a přizpůsobování se této změně a zajištění odpovídajícího přístupu k financování opatření v oblasti klimatu</w:t>
      </w:r>
    </w:p>
    <w:p w:rsidRPr="00424F46" w:rsidR="00DA7721" w:rsidP="001E6F56" w:rsidRDefault="00DA7721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lang w:val="en-GB"/>
        </w:rPr>
      </w:pPr>
    </w:p>
    <w:p w:rsidRPr="00424F46" w:rsidR="006D019C" w:rsidP="001E6F56" w:rsidRDefault="00D27A9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zdůrazňuje, že pro urychlení přechodu ke klimaticky neutrální společnosti musíme </w:t>
      </w:r>
      <w:r>
        <w:rPr>
          <w:rFonts w:ascii="Times New Roman" w:hAnsi="Times New Roman"/>
          <w:b/>
        </w:rPr>
        <w:t>přezkoumat náš stávající hospodářský model</w:t>
      </w:r>
      <w:r>
        <w:rPr>
          <w:rFonts w:ascii="Times New Roman" w:hAnsi="Times New Roman"/>
        </w:rPr>
        <w:t xml:space="preserve"> s cílem přehodnotit to, jak spotřebováváme, jak vyrábíme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 xml:space="preserve">nakolik si ceníme dostatečnosti, a vyzývá EU, aby navrhla novou vizi prosperity pro lidstvo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naši planetu, jež bude vycházet ze zásad environmentální udržitelnosti, práva na důstojný život a ochrany sociálních hodnot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8"/>
      </w:r>
      <w:r>
        <w:rPr>
          <w:rFonts w:ascii="Times New Roman" w:hAnsi="Times New Roman"/>
        </w:rPr>
        <w:t>;</w:t>
      </w:r>
    </w:p>
    <w:p w:rsidRPr="00424F46" w:rsidR="00F426F7" w:rsidP="001E6F56" w:rsidRDefault="00F426F7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lang w:val="en-GB"/>
        </w:rPr>
      </w:pPr>
    </w:p>
    <w:p w:rsidRPr="00424F46" w:rsidR="00F426F7" w:rsidP="001E6F56" w:rsidRDefault="00F426F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</w:rPr>
        <w:t xml:space="preserve">navrhuje </w:t>
      </w:r>
      <w:r>
        <w:rPr>
          <w:rFonts w:ascii="Times New Roman" w:hAnsi="Times New Roman"/>
          <w:b/>
        </w:rPr>
        <w:t>nový správní rámec</w:t>
      </w:r>
      <w:r>
        <w:rPr>
          <w:rFonts w:ascii="Times New Roman" w:hAnsi="Times New Roman"/>
        </w:rPr>
        <w:t xml:space="preserve"> pro rozvoj těchto transformačních změn a vybízí vlády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 xml:space="preserve">regionální orgány, aby vytvořily </w:t>
      </w:r>
      <w:r>
        <w:rPr>
          <w:rFonts w:ascii="Times New Roman" w:hAnsi="Times New Roman"/>
          <w:b/>
        </w:rPr>
        <w:t>komise pro spravedlivou transformaci</w:t>
      </w:r>
      <w:r>
        <w:rPr>
          <w:rFonts w:ascii="Times New Roman" w:hAnsi="Times New Roman"/>
        </w:rPr>
        <w:t xml:space="preserve"> s cílem umožnit sociálním partnerům a organizacím občanské společnosti, včetně mládežnických organizací, poskytovat doporučení a jednat o vnitrostátních a regionálních plánech pro spravedlivou transformaci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9"/>
      </w:r>
      <w:r>
        <w:rPr>
          <w:rFonts w:ascii="Times New Roman" w:hAnsi="Times New Roman"/>
        </w:rPr>
        <w:t xml:space="preserve"> a rozvíjet je. Má za to, že stávající iniciativy zaměřené na řešení sociálních problémů spojených s ekologickou tran</w:t>
      </w:r>
      <w:r w:rsidR="00FC60AD">
        <w:rPr>
          <w:rFonts w:ascii="Times New Roman" w:hAnsi="Times New Roman"/>
        </w:rPr>
        <w:t>sformací jsou stále roztříštěné;</w:t>
      </w:r>
      <w:r w:rsidRPr="00424F46" w:rsidR="00CA61D4">
        <w:rPr>
          <w:rStyle w:val="FootnoteReference"/>
          <w:rFonts w:ascii="Times New Roman" w:hAnsi="Times New Roman" w:cs="Times New Roman"/>
          <w:lang w:val="en-GB"/>
        </w:rPr>
        <w:footnoteReference w:id="10"/>
      </w:r>
    </w:p>
    <w:p w:rsidRPr="00424F46" w:rsidR="006D019C" w:rsidP="001E6F56" w:rsidRDefault="006D019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1E6F56" w:rsidRDefault="0049218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domnívá se, že rychlý posun směrem k dekarbonizovanému hospodářství bude znamenat obrovské problémy pro občany, pracovníky, podniky a regiony, zejména ty, které jsou nejvíce závislé na uhlíkově náročných sektorech a odvětvích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1"/>
      </w:r>
      <w:r>
        <w:rPr>
          <w:rFonts w:ascii="Times New Roman" w:hAnsi="Times New Roman"/>
        </w:rPr>
        <w:t xml:space="preserve">, a že by </w:t>
      </w:r>
      <w:r>
        <w:rPr>
          <w:rFonts w:ascii="Times New Roman" w:hAnsi="Times New Roman"/>
          <w:b/>
        </w:rPr>
        <w:t>v rámci vnitrostátně stanovených příspěvků měl být podrobně zmapován</w:t>
      </w:r>
      <w:r>
        <w:rPr>
          <w:rFonts w:ascii="Times New Roman" w:hAnsi="Times New Roman"/>
        </w:rPr>
        <w:t xml:space="preserve"> a analyzován dopad, který transformace bude mít na zaměstnanost a dovednosti v dané zemi, </w:t>
      </w:r>
      <w:proofErr w:type="spellStart"/>
      <w:r>
        <w:rPr>
          <w:rFonts w:ascii="Times New Roman" w:hAnsi="Times New Roman"/>
        </w:rPr>
        <w:t>subregionech</w:t>
      </w:r>
      <w:proofErr w:type="spellEnd"/>
      <w:r>
        <w:rPr>
          <w:rFonts w:ascii="Times New Roman" w:hAnsi="Times New Roman"/>
        </w:rPr>
        <w:t xml:space="preserve"> a odvětvích, včetně subdodavatelů a navazujících hodnotových řetězců, přičemž by toto mapování měly </w:t>
      </w:r>
      <w:r>
        <w:rPr>
          <w:rFonts w:ascii="Times New Roman" w:hAnsi="Times New Roman"/>
          <w:b/>
        </w:rPr>
        <w:t>doprovázet národní plány na podporu pracovních míst a strategie pro spravedlivou transformaci</w:t>
      </w:r>
      <w:r w:rsidRPr="0077652B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12"/>
      </w:r>
      <w:r>
        <w:rPr>
          <w:rFonts w:ascii="Times New Roman" w:hAnsi="Times New Roman"/>
        </w:rPr>
        <w:t xml:space="preserve"> vycházející ze zásady spravedlivé transformace podle MOP. Podporuje tudíž návrh Konference o budoucnosti Evropy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3"/>
      </w:r>
      <w:r>
        <w:rPr>
          <w:rFonts w:ascii="Times New Roman" w:hAnsi="Times New Roman"/>
        </w:rPr>
        <w:t xml:space="preserve">, aby byla zajištěna spravedlivá transformace, jež chrání pracovníky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pracovní místa díky tomu, že jsou na ni a na další výzkum vyčleněny dostatečné finanční prostředky;</w:t>
      </w:r>
    </w:p>
    <w:p w:rsidRPr="00424F46" w:rsidR="00492189" w:rsidP="001E6F56" w:rsidRDefault="0049218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322BD" w:rsidP="001E6F56" w:rsidRDefault="00492189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zdůrazňuje, že vzhledem k odpovědnosti soukromého sektoru za dosažení cíle dekarbonizace bude nutná rychlá a nebývale rozsáhlá transformace systémů, a poukazuje na to, že soukromý sektor má v tomto procesu klíčovou úlohu;</w:t>
      </w:r>
    </w:p>
    <w:p w:rsidRPr="00424F46" w:rsidR="007322BD" w:rsidP="001E6F56" w:rsidRDefault="007322BD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1E6F56" w:rsidRDefault="00492189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uznává, že podniky a podnikatelé v celé EU vyvíjejí mnoho různých snah o rozvoj podnikatelských řešení s cílem zmírnit výzvy spojené se změnou klimatu a přizpůsobit se jim,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domnívá se, že inovativní a odpovědné obchodní modely by měly řešit problém změny klimatu tím, že se zaměří na měřitelné cíle udržitelnosti, včetně nižší spotřeby vody a energie nebo omezeného používání chemických látek;</w:t>
      </w:r>
    </w:p>
    <w:p w:rsidRPr="00424F46" w:rsidR="00492189" w:rsidP="001E6F56" w:rsidRDefault="0049218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1E6F56" w:rsidRDefault="0049218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 znepokojen tím, že snižování emisí skleníkových plynů v EU provází nárůst emisí za jejími hranicemi související s uspokojením spotřeby uvnitř Unie, čímž </w:t>
      </w:r>
      <w:r>
        <w:rPr>
          <w:rFonts w:ascii="Times New Roman" w:hAnsi="Times New Roman"/>
          <w:b/>
        </w:rPr>
        <w:t>v oblasti skleníkových plynů vzniká efekt přelévání</w:t>
      </w:r>
      <w:r w:rsidRPr="0077652B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14"/>
      </w:r>
      <w:r>
        <w:rPr>
          <w:rFonts w:ascii="Times New Roman" w:hAnsi="Times New Roman"/>
        </w:rPr>
        <w:t>. EHSV se domnívá, že přístup EU založený na inventuře skleníkových plynů musí zahrnovat emise skleníkových plynů spojené s dováženými výrobky, že se prioritou musí stát oddělení socioekonomického pokroku od negativních domácích a importovaných dopadů na klima a biologickou rozmanitost a že podpůrným opatřením k dosažení tohoto cíle je mechanismus uhlíkového vyrovnání na hranicích;</w:t>
      </w:r>
    </w:p>
    <w:p w:rsidRPr="00424F46" w:rsidR="00492189" w:rsidP="001E6F56" w:rsidRDefault="0049218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1E6F56" w:rsidRDefault="00570EB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konstatuje, že jak zdůrazňuje vědecká obec, </w:t>
      </w:r>
      <w:r>
        <w:rPr>
          <w:rFonts w:ascii="Times New Roman" w:hAnsi="Times New Roman"/>
          <w:b/>
        </w:rPr>
        <w:t>úbytek biologické rozmanitosti přispívá ke změně klimatu a naopak</w:t>
      </w:r>
      <w:r>
        <w:rPr>
          <w:rFonts w:ascii="Times New Roman" w:hAnsi="Times New Roman"/>
        </w:rPr>
        <w:t xml:space="preserve">, a vyzývá k tomu, aby byl u opatření v oblasti životního prostředí uplatňován komplexní přístup, který by se touto provázaností mezi úbytkem biologické rozmanitosti a změnou klimatu zabýval, a navrhuje přezkoumat a zvýšit rozlohu chráněných oblastí a zintenzivnit úsilí o ochranu zbývajících přírodních zdrojů v rámci Strategie EU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>oblasti biologické rozmanitosti do roku 2030</w:t>
      </w:r>
      <w:r w:rsidRPr="00424F46" w:rsidR="007E0872">
        <w:rPr>
          <w:rStyle w:val="FootnoteReference"/>
          <w:rFonts w:ascii="Times New Roman" w:hAnsi="Times New Roman" w:cs="Times New Roman"/>
          <w:lang w:val="en-GB"/>
        </w:rPr>
        <w:footnoteReference w:id="15"/>
      </w:r>
      <w:r>
        <w:rPr>
          <w:rFonts w:ascii="Times New Roman" w:hAnsi="Times New Roman"/>
        </w:rPr>
        <w:t>;</w:t>
      </w:r>
    </w:p>
    <w:p w:rsidRPr="00424F46" w:rsidR="007E0872" w:rsidP="001E6F56" w:rsidRDefault="007E0872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92189" w:rsidP="001E6F56" w:rsidRDefault="006D019C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je znepokojen tím, že dopad změny klimatu neúměrně postihuje nejzranitelnější osoby a že komunity, které jsou nejméně odpovědné za celosvětové emise, čelí nejhorším dopadům a ne vždy mají zdroje na to, aby se s nimi vypořádaly;</w:t>
      </w:r>
    </w:p>
    <w:p w:rsidRPr="00424F46" w:rsidR="006D019C" w:rsidP="001E6F56" w:rsidRDefault="006D019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565F" w:rsidP="001E6F56" w:rsidRDefault="0044565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poukazuje na to, že opatření v oblasti přizpůsobení se změně klimatu</w:t>
      </w:r>
      <w:r>
        <w:rPr>
          <w:rFonts w:ascii="Times New Roman" w:hAnsi="Times New Roman"/>
        </w:rPr>
        <w:t xml:space="preserve"> jsou stále zásadnější, neboť se množí mimořádné klimatické události, a že je nezbytné dopady změny klimatu lépe předvídat. Zdůrazňuje, že Pařížská dohoda podtrhuje význam procesů plánování v souvislosti </w:t>
      </w:r>
      <w:r w:rsidR="005F3D6E">
        <w:rPr>
          <w:rFonts w:ascii="Times New Roman" w:hAnsi="Times New Roman"/>
        </w:rPr>
        <w:t>s </w:t>
      </w:r>
      <w:r>
        <w:rPr>
          <w:rFonts w:ascii="Times New Roman" w:hAnsi="Times New Roman"/>
        </w:rPr>
        <w:t>přizpůsobením se změně klimatu na vnitrostátní úrovni, a sice tím, že zavazuje všechny země k podávání zpráv o dosaženém pokroku. Výbor naléhavě vyzývá k zefektivnění inkluzivního přístupu, aby se zabránilo prohlubování stávajících nerovností;</w:t>
      </w:r>
    </w:p>
    <w:p w:rsidRPr="00424F46" w:rsidR="00803823" w:rsidP="001E6F56" w:rsidRDefault="0080382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565F" w:rsidP="001E6F56" w:rsidRDefault="0044565F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požaduje, aby byly navýšeny celkové finanční příspěvky rozvinutých zemí na opatření v oblasti klimatu, přičemž je třeba klást </w:t>
      </w:r>
      <w:r>
        <w:rPr>
          <w:rFonts w:ascii="Times New Roman" w:hAnsi="Times New Roman"/>
          <w:b/>
        </w:rPr>
        <w:t>„stejný důraz“ na financování zmírňování změny klimatu i přizpůsobení se této změně</w:t>
      </w:r>
      <w:r>
        <w:rPr>
          <w:rFonts w:ascii="Times New Roman" w:hAnsi="Times New Roman"/>
        </w:rPr>
        <w:t>: bez dalších finančních prostředků na přizpůsobení se změně klimatu totiž bude jeho plánování a provádění omezeno, zejména v rozvojových zemích. EHSV požaduje, aby byly podniknuty další kroky, které by zajistily dodržování této zásady, protože zmírňování změny klimatu chrání budoucí generace před prohlubováním klimatické krize a přizpůsobování se této změně chrání současnou generaci i generace budoucí před povětrnostními extrémy způsobenými již přítomnou změnou klimatu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6"/>
      </w:r>
      <w:r>
        <w:rPr>
          <w:rFonts w:ascii="Times New Roman" w:hAnsi="Times New Roman"/>
        </w:rPr>
        <w:t>, a připomíná, že financování přizpůsobení se změně klimatu v současné době představuje pouze 25 %</w:t>
      </w:r>
      <w:r w:rsidR="002428AC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celosvětového financování opatření v oblasti klimatu a že nejsou plněny předchozí závazky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>tom smyslu, že finanční prostředky na přizpůsobení se změně klimatu se do</w:t>
      </w:r>
      <w:r w:rsidR="002428AC">
        <w:rPr>
          <w:rFonts w:ascii="Times New Roman" w:hAnsi="Times New Roman"/>
        </w:rPr>
        <w:t> </w:t>
      </w:r>
      <w:r>
        <w:rPr>
          <w:rFonts w:ascii="Times New Roman" w:hAnsi="Times New Roman"/>
        </w:rPr>
        <w:t>roku</w:t>
      </w:r>
      <w:r w:rsidR="002428AC">
        <w:rPr>
          <w:rFonts w:ascii="Times New Roman" w:hAnsi="Times New Roman"/>
        </w:rPr>
        <w:t> </w:t>
      </w:r>
      <w:r>
        <w:rPr>
          <w:rFonts w:ascii="Times New Roman" w:hAnsi="Times New Roman"/>
        </w:rPr>
        <w:t>2025 zvýší na 40 %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7"/>
      </w:r>
      <w:r>
        <w:rPr>
          <w:rFonts w:ascii="Times New Roman" w:hAnsi="Times New Roman"/>
        </w:rPr>
        <w:t>;</w:t>
      </w:r>
    </w:p>
    <w:p w:rsidRPr="00424F46" w:rsidR="002C59E9" w:rsidP="001E6F56" w:rsidRDefault="002C59E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803823" w:rsidP="001E6F56" w:rsidRDefault="002C59E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vítá příspěvek Komise do </w:t>
      </w:r>
      <w:r>
        <w:rPr>
          <w:rFonts w:ascii="Times New Roman" w:hAnsi="Times New Roman"/>
          <w:b/>
        </w:rPr>
        <w:t>Adaptačního fondu</w:t>
      </w:r>
      <w:r>
        <w:rPr>
          <w:rFonts w:ascii="Times New Roman" w:hAnsi="Times New Roman"/>
        </w:rPr>
        <w:t xml:space="preserve"> ve výši 100 milionů EUR a vybízí členské státy EU, aby do roku 2025 zdvojnásobily oproti roku 2019 finanční prostředky vydávané na přizpůsobení se změně klimatu, a vyzývá k dalšímu úsilí o splnění cíle „plánu realizace“ mobilizovat 100 miliard USD. Zdůrazňuje také skutečnost, že v současné době neexistuje žádný globální finanční nástroj, který by těmto lidem pomohl se vypořádat se ztrátami a škodami, jež utrpěli, a naléhavě vyzývá členské státy EU a Komisi, aby se zasadily o zřízení </w:t>
      </w:r>
      <w:r>
        <w:rPr>
          <w:rFonts w:ascii="Times New Roman" w:hAnsi="Times New Roman"/>
          <w:b/>
        </w:rPr>
        <w:t>„nástroje pro ztráty a škody“</w:t>
      </w:r>
      <w:r>
        <w:rPr>
          <w:rFonts w:ascii="Times New Roman" w:hAnsi="Times New Roman"/>
        </w:rPr>
        <w:t>, který by napravoval důsledky změny klimatu;</w:t>
      </w:r>
    </w:p>
    <w:p w:rsidRPr="00424F46" w:rsidR="00803823" w:rsidP="001E6F56" w:rsidRDefault="0080382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F71F0" w:rsidP="001E6F56" w:rsidRDefault="00565A4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domnívá se, že v rámci opatření v oblasti klimatické spravedlnosti musí vlády a orgány EU vypracovat </w:t>
      </w:r>
      <w:r>
        <w:rPr>
          <w:rFonts w:ascii="Times New Roman" w:hAnsi="Times New Roman"/>
          <w:b/>
        </w:rPr>
        <w:t>komplexní evropskou migrační a azylovou politiku zaměřenou na budoucnost</w:t>
      </w:r>
      <w:r>
        <w:rPr>
          <w:rFonts w:ascii="Times New Roman" w:hAnsi="Times New Roman"/>
        </w:rPr>
        <w:t>, která poskytne ochranu osobám vysídleným v důsledku změny klimatu, počínaje formálním uznáním klimatických uprchlíků;</w:t>
      </w:r>
    </w:p>
    <w:p w:rsidRPr="00424F46" w:rsidR="00444B59" w:rsidP="001E6F56" w:rsidRDefault="00444B59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6D019C" w:rsidP="001E6F56" w:rsidRDefault="00565A46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i/>
        </w:rPr>
        <w:t>Posílení účinných odvětvových opatření za účelem dosažení klimatické neutrality</w:t>
      </w:r>
    </w:p>
    <w:p w:rsidRPr="00424F46" w:rsidR="00707DFC" w:rsidP="001E6F56" w:rsidRDefault="00707DF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7E0872" w:rsidP="001E6F56" w:rsidRDefault="00707DFC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zdůrazňuje, že </w:t>
      </w:r>
      <w:r>
        <w:rPr>
          <w:rFonts w:ascii="Times New Roman" w:hAnsi="Times New Roman"/>
          <w:b/>
        </w:rPr>
        <w:t>oběhové hospodářství</w:t>
      </w:r>
      <w:r>
        <w:rPr>
          <w:rFonts w:ascii="Times New Roman" w:hAnsi="Times New Roman"/>
        </w:rPr>
        <w:t xml:space="preserve"> a bioekonomika jsou faktory umožňující rozvíjet novou vizi prosperity pro lidi, kterou je třeba dále urychlit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8"/>
      </w:r>
      <w:r>
        <w:rPr>
          <w:rFonts w:ascii="Times New Roman" w:hAnsi="Times New Roman"/>
        </w:rPr>
        <w:t>, přičemž poukazuje na to, že strategie oběhového hospodářství prováděné napříč odvětvími a zeměmi mají potenciál snížit celosvětové emise skleníkových plynů o 39 %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19"/>
      </w:r>
      <w:r>
        <w:rPr>
          <w:rFonts w:ascii="Times New Roman" w:hAnsi="Times New Roman"/>
        </w:rPr>
        <w:t xml:space="preserve">. Vyjadřuje znepokojení nad tím, že míra oběhovosti v EU činí pouze asi 12 %, a to navzdory významnému procesu aktualizace právních předpisů zahájenému v roce 2015 prostřednictvím prvního akčního plánu EU pro oběhové hospodářství, a domnívá se, že dalšího pokroku lze dosáhnout pouze zapojením všech složek občanské společnosti, zejména s cílem překonat zbývající politické, kulturní, infrastrukturní, správní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finanční překážky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0"/>
      </w:r>
      <w:r>
        <w:rPr>
          <w:rFonts w:ascii="Times New Roman" w:hAnsi="Times New Roman"/>
        </w:rPr>
        <w:t>;</w:t>
      </w:r>
    </w:p>
    <w:p w:rsidRPr="00424F46" w:rsidR="007E0872" w:rsidP="001E6F56" w:rsidRDefault="007E0872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1E6F56" w:rsidRDefault="00444B5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vyzývá k tomu, aby transformační strategie zaměřené na zavedení </w:t>
      </w:r>
      <w:r>
        <w:rPr>
          <w:rFonts w:ascii="Times New Roman" w:hAnsi="Times New Roman"/>
          <w:b/>
        </w:rPr>
        <w:t>udržitelných potravinových systémů</w:t>
      </w:r>
      <w:r>
        <w:rPr>
          <w:rFonts w:ascii="Times New Roman" w:hAnsi="Times New Roman"/>
        </w:rPr>
        <w:t xml:space="preserve"> byly řádně začleněny do vnitrostátně stanovených příspěvků, a uznává, že ačkoli mnoho zemí zmiňuje ve svých vnitrostátně stanovených příspěvcích potenciál zemědělství pro zmírňování změny klimatu a přizpůsobení se této změně, jen velmi málo z nich stanoví cíle ve vztahu k jiným fázím potravinového systému</w:t>
      </w:r>
      <w:r w:rsidRPr="006026C3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1"/>
      </w:r>
      <w:r>
        <w:rPr>
          <w:rFonts w:ascii="Times New Roman" w:hAnsi="Times New Roman"/>
        </w:rPr>
        <w:t>. Příležitosti tedy zůstávají ve velké míře nevyužité.</w:t>
      </w:r>
      <w:r w:rsidRPr="006026C3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2"/>
      </w:r>
      <w:r>
        <w:rPr>
          <w:rFonts w:ascii="Times New Roman" w:hAnsi="Times New Roman"/>
        </w:rPr>
        <w:t xml:space="preserve"> Opakuje svá doporučení přijmout komplexní politiky v oblasti potravin, jako je strategie „Od zemědělce ke spotřebiteli“, včetně opatření v oblasti klimatu, a zajistit strukturované zapojení zúčastněných stran napříč potravinovým řetězcem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3"/>
      </w:r>
      <w:r>
        <w:rPr>
          <w:rFonts w:ascii="Times New Roman" w:hAnsi="Times New Roman"/>
        </w:rPr>
        <w:t xml:space="preserve"> a na všech úrovních správy, zejména tím, že se producenti stanou ústředním bodem zemědělských strategií a budou zapojeni do tvorby politik;</w:t>
      </w:r>
    </w:p>
    <w:p w:rsidRPr="00424F46" w:rsidR="00A42B33" w:rsidP="001E6F56" w:rsidRDefault="00A42B3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362FB" w:rsidP="001E6F56" w:rsidRDefault="00953E81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 znepokojen situací v Africe, která k celosvětovým emisím přispívá méně než ze 4 %, avšak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 xml:space="preserve">nepoměru k tomu vyčnívá jako jeden z nejzranitelnějších regionů na světě. </w:t>
      </w:r>
      <w:r>
        <w:rPr>
          <w:rFonts w:ascii="Times New Roman" w:hAnsi="Times New Roman"/>
          <w:b/>
        </w:rPr>
        <w:t>Vzhledem ke skutečnosti, že se konference COP27 koná v Africe, adresuje Evropské unii jasnou prosbu, aby dala prioritu tomu, aby se Africe dostalo finančních a technických zdrojů a zdrojů na budování kapacit</w:t>
      </w:r>
      <w:r>
        <w:rPr>
          <w:rFonts w:ascii="Times New Roman" w:hAnsi="Times New Roman"/>
        </w:rPr>
        <w:t xml:space="preserve">, čímž by se podpořil závazek tohoto kontinentu v souvislosti s konferencí COP21 v Paříži, a aby zohlednila fakt, že většina afrických vnitrostátně stanovených příspěvků obsahuje cíle v oblasti zmírňování změny klimatu a přizpůsobování se této změně, které jsou podmíněny získáním odpovídající mezinárodní podpory, což vede k pochybnostem, pokud jde </w:t>
      </w:r>
      <w:r w:rsidR="005F3D6E">
        <w:rPr>
          <w:rFonts w:ascii="Times New Roman" w:hAnsi="Times New Roman"/>
        </w:rPr>
        <w:t>o </w:t>
      </w:r>
      <w:r>
        <w:rPr>
          <w:rFonts w:ascii="Times New Roman" w:hAnsi="Times New Roman"/>
        </w:rPr>
        <w:t>ochranu ekosystémů s vysokou hodnotou z hlediska zachování přírody, jako jsou lesy nebo savany, a o těžbu fosilních paliv;</w:t>
      </w:r>
    </w:p>
    <w:p w:rsidRPr="00424F46" w:rsidR="00E362FB" w:rsidP="001E6F56" w:rsidRDefault="00E362FB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42B33" w:rsidP="001E6F56" w:rsidRDefault="00444B59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vyzývá k okamžitému zastavení </w:t>
      </w:r>
      <w:r>
        <w:rPr>
          <w:rFonts w:ascii="Times New Roman" w:hAnsi="Times New Roman"/>
          <w:b/>
        </w:rPr>
        <w:t>dotací na fosilní paliva</w:t>
      </w:r>
      <w:r>
        <w:rPr>
          <w:rFonts w:ascii="Times New Roman" w:hAnsi="Times New Roman"/>
        </w:rPr>
        <w:t>, vítá sdělení REPowerEU, neboť toto sdělení nabízí řešení, jež jsou v souladu s cíli Zelené dohody a evropské energetické unie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4"/>
      </w:r>
      <w:r w:rsidRPr="00424F46" w:rsidR="00EB27C9">
        <w:rPr>
          <w:rStyle w:val="FootnoteReference"/>
          <w:rFonts w:ascii="Times New Roman" w:hAnsi="Times New Roman" w:cs="Times New Roman"/>
          <w:lang w:val="en-GB"/>
        </w:rPr>
        <w:footnoteReference w:id="25"/>
      </w:r>
      <w:r>
        <w:rPr>
          <w:rFonts w:ascii="Times New Roman" w:hAnsi="Times New Roman"/>
        </w:rPr>
        <w:t xml:space="preserve">,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 xml:space="preserve">domnívá se, že vlády musí poskytnout rámec pro investice do průlomových technologií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>oblastech, jako je energetická účinnost a výroba energie z obnovitelných zdrojů, a to prostřednictvím podpory výzkumu, inovací a vývoje, a že by právní předpisy měly být navrhovány tak, aby umožňovaly a podporovaly rozvoj nových technologií a jejich proniknutí na trh, včetně opatření na straně poptávky s cílem vytvořit vedoucí trhy a podnítit spotřebu nízkouhlíkových výrobků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6"/>
      </w:r>
      <w:r>
        <w:rPr>
          <w:rFonts w:ascii="Times New Roman" w:hAnsi="Times New Roman"/>
        </w:rPr>
        <w:t>;</w:t>
      </w:r>
    </w:p>
    <w:p w:rsidRPr="00424F46" w:rsidR="00A42B33" w:rsidP="001E6F56" w:rsidRDefault="00A42B3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81237" w:rsidP="001E6F56" w:rsidRDefault="00F81237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vítá digitální řešení umožňující ochranu životního prostředí a udržitelnou transformaci </w:t>
      </w:r>
      <w:r w:rsidR="005F3D6E">
        <w:rPr>
          <w:rFonts w:ascii="Times New Roman" w:hAnsi="Times New Roman"/>
        </w:rPr>
        <w:t>v </w:t>
      </w:r>
      <w:r>
        <w:rPr>
          <w:rFonts w:ascii="Times New Roman" w:hAnsi="Times New Roman"/>
        </w:rPr>
        <w:t xml:space="preserve">dopravě, energetice, budovách, zemědělství a v jiných odvětvích, ale zároveň </w:t>
      </w:r>
      <w:r>
        <w:rPr>
          <w:rFonts w:ascii="Times New Roman" w:hAnsi="Times New Roman"/>
          <w:b/>
        </w:rPr>
        <w:t>konstatuje, že celková digitalizace zatím nepomohla snížit poptávku po energii ani emise CO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, a tudíž zdůrazňuje, že jsou zapotřebí podpůrné politiky ke zmírnění zpětných a indukčních účinků;</w:t>
      </w:r>
      <w:r w:rsidRPr="00424F46">
        <w:rPr>
          <w:rStyle w:val="FootnoteReference"/>
          <w:rFonts w:ascii="Times New Roman" w:hAnsi="Times New Roman" w:cs="Times New Roman"/>
          <w:lang w:val="en-GB"/>
        </w:rPr>
        <w:footnoteReference w:id="27"/>
      </w:r>
    </w:p>
    <w:p w:rsidRPr="00424F46" w:rsidR="00F81237" w:rsidP="001E6F56" w:rsidRDefault="00F8123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A621E3" w:rsidP="001E6F56" w:rsidRDefault="00A42B33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zdůrazňuje, že změna klimatu má rovněž závažné dopady na podniky, zejména malé a střední podniky. Tyto dopady zahrnují např. přerušení dodavatelských řetězců a poškození výrobních závodů v důsledku extrémních povětrnostních jevů, přičemž podniky jsou kvůli nim někdy nuceny provést nákladné změny ve svých obchodních a provozních modelech, jakož i investice s cílem zajistit soulad s regulačními nebo jinými požadavky. Výbor se domnívá, že </w:t>
      </w:r>
      <w:r>
        <w:rPr>
          <w:rFonts w:ascii="Times New Roman" w:hAnsi="Times New Roman"/>
          <w:b/>
        </w:rPr>
        <w:t>podniky, které jako první převezmou nové, udržitelné obchodní modely, by měly být podpořeny</w:t>
      </w:r>
      <w:r>
        <w:rPr>
          <w:rFonts w:ascii="Times New Roman" w:hAnsi="Times New Roman"/>
        </w:rPr>
        <w:t>, aby se zajistilo, že v důsledku svých inovací nebudou znevýhodněny v hospodářské soutěži;</w:t>
      </w:r>
    </w:p>
    <w:p w:rsidRPr="00424F46" w:rsidR="00A621E3" w:rsidP="001E6F56" w:rsidRDefault="00A621E3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44B59" w:rsidP="001E6F56" w:rsidRDefault="00444B5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zdůrazňuje, že podpora soukromého sektoru musí dodržovat zásady rovného přístupu k finančním nástrojům pro malé a střední podniky a měla by být založena pouze na klimatických cílech</w:t>
      </w:r>
      <w:r w:rsidRPr="00EF3B48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8"/>
      </w:r>
      <w:r>
        <w:rPr>
          <w:rFonts w:ascii="Times New Roman" w:hAnsi="Times New Roman"/>
        </w:rPr>
        <w:t xml:space="preserve"> a že bude nutná rozsáhlá činnost napříč hodnotovými řetězci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meziodvětvová spolupráce;</w:t>
      </w:r>
    </w:p>
    <w:p w:rsidRPr="00424F46" w:rsidR="00444B59" w:rsidP="001E6F56" w:rsidRDefault="00444B59">
      <w:pPr>
        <w:pStyle w:val="ListParagraph"/>
        <w:spacing w:after="0" w:line="288" w:lineRule="auto"/>
        <w:ind w:left="0"/>
        <w:rPr>
          <w:rFonts w:ascii="Times New Roman" w:hAnsi="Times New Roman" w:cs="Times New Roman"/>
          <w:lang w:val="en-GB"/>
        </w:rPr>
      </w:pPr>
    </w:p>
    <w:p w:rsidRPr="00424F46" w:rsidR="00444B59" w:rsidP="001E6F56" w:rsidRDefault="00444B59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domnívá se, že zásadní význam pro to, aby řešení mohla být rozšířena na celá odvětví – a to prostřednictvím technologií, posilování dovedností a regulace, kterou by vlády zemí EU měly podporovat na mezinárodní úrovni –, mají harmonizace a normalizace a že zejména pro malé </w:t>
      </w:r>
      <w:r w:rsidR="005F3D6E">
        <w:rPr>
          <w:rFonts w:ascii="Times New Roman" w:hAnsi="Times New Roman"/>
        </w:rPr>
        <w:t>a </w:t>
      </w:r>
      <w:r>
        <w:rPr>
          <w:rFonts w:ascii="Times New Roman" w:hAnsi="Times New Roman"/>
        </w:rPr>
        <w:t>střední podniky bude stěžejní získat doprovodné nástroje a budovat kapacity, mají-li splnit nové požadavky a mít lepší přístup na trh v EU;</w:t>
      </w:r>
    </w:p>
    <w:p w:rsidRPr="00424F46" w:rsidR="00444B59" w:rsidP="001E6F56" w:rsidRDefault="00444B59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6D2F1C" w:rsidP="001E6F56" w:rsidRDefault="00565A46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Posílení postavení občanské společnosti v zájmu urychlení opatření v oblasti klimatu a výzva k</w:t>
      </w:r>
      <w:r w:rsidR="00F50731">
        <w:rPr>
          <w:rFonts w:ascii="Times New Roman" w:hAnsi="Times New Roman"/>
          <w:b/>
          <w:i/>
        </w:rPr>
        <w:t> </w:t>
      </w:r>
      <w:r>
        <w:rPr>
          <w:rFonts w:ascii="Times New Roman" w:hAnsi="Times New Roman"/>
          <w:b/>
          <w:i/>
        </w:rPr>
        <w:t>vytvoření nového správního rámce</w:t>
      </w:r>
    </w:p>
    <w:p w:rsidRPr="00424F46" w:rsidR="00EE319C" w:rsidP="001E6F56" w:rsidRDefault="00EE319C">
      <w:pPr>
        <w:pStyle w:val="ListParagraph"/>
        <w:keepNext/>
        <w:keepLines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1E6F56" w:rsidRDefault="00F426F7">
      <w:pPr>
        <w:pStyle w:val="ListParagraph"/>
        <w:keepNext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zdůrazňuje, že potřebný rozsah opatření vyžaduje integrované, víceúrovňové politiky a</w:t>
      </w:r>
      <w:r w:rsidR="00F5073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průřezová řešení se skutečným zapojením občanské společnosti, a proto navrhuje </w:t>
      </w:r>
      <w:r>
        <w:rPr>
          <w:rFonts w:ascii="Times New Roman" w:hAnsi="Times New Roman"/>
          <w:b/>
        </w:rPr>
        <w:t>nový správní rámec</w:t>
      </w:r>
      <w:r>
        <w:rPr>
          <w:rFonts w:ascii="Times New Roman" w:hAnsi="Times New Roman"/>
        </w:rPr>
        <w:t xml:space="preserve"> pro rozvoj těchto transformačních změn;</w:t>
      </w:r>
    </w:p>
    <w:p w:rsidRPr="00424F46" w:rsidR="00F426F7" w:rsidP="001E6F56" w:rsidRDefault="00F426F7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1E6F56" w:rsidRDefault="00EE319C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má za to, že </w:t>
      </w:r>
      <w:r>
        <w:rPr>
          <w:rFonts w:ascii="Times New Roman" w:hAnsi="Times New Roman"/>
          <w:b/>
        </w:rPr>
        <w:t>na úrovni pracovišť</w:t>
      </w:r>
      <w:r>
        <w:rPr>
          <w:rFonts w:ascii="Times New Roman" w:hAnsi="Times New Roman"/>
        </w:rPr>
        <w:t xml:space="preserve"> by tento nový správní rámec měl zaručovat sociální dialog tím, že zajistí práva a účast pracovníků a posílí kolektivní smlouvy;</w:t>
      </w:r>
    </w:p>
    <w:p w:rsidRPr="00424F46" w:rsidR="00B27016" w:rsidP="001E6F56" w:rsidRDefault="00B27016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1E6F56" w:rsidRDefault="00B27016">
      <w:pPr>
        <w:pStyle w:val="ListParagraph"/>
        <w:keepNext/>
        <w:keepLines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domnívá se, že by měl být posílen také </w:t>
      </w:r>
      <w:r>
        <w:rPr>
          <w:rFonts w:ascii="Times New Roman" w:hAnsi="Times New Roman"/>
          <w:b/>
        </w:rPr>
        <w:t>širší dialog</w:t>
      </w:r>
      <w:r>
        <w:rPr>
          <w:rFonts w:ascii="Times New Roman" w:hAnsi="Times New Roman"/>
        </w:rPr>
        <w:t xml:space="preserve"> s přispěním regionů, venkovských subjektů a měst, sociálních partnerů, družstev a občanské společnosti, a to v zájmu zajištění sociální spravedlnosti a důvěryhodnosti a s cílem dát závazku nikoho neopomenout konkrétní význam</w:t>
      </w:r>
      <w:r w:rsidRPr="00FD797D" w:rsidR="003567A8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29"/>
      </w:r>
      <w:r>
        <w:rPr>
          <w:rFonts w:ascii="Times New Roman" w:hAnsi="Times New Roman"/>
        </w:rPr>
        <w:t>. Například podpora přístupů zaměřených na prozumenty může urychlit přechod k čistějším energetickým systémům, vytvořit nové hospodářské modely a pomoci chránit nejzranitelnější skupiny v naší společnosti mimo jiné před odříznutím od tepla, světla a informačních technologií;</w:t>
      </w:r>
    </w:p>
    <w:p w:rsidRPr="00424F46" w:rsidR="00F426F7" w:rsidP="001E6F56" w:rsidRDefault="00F426F7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F426F7" w:rsidP="001E6F56" w:rsidRDefault="00F426F7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pevně přesvědčen, že </w:t>
      </w:r>
      <w:r>
        <w:rPr>
          <w:rFonts w:ascii="Times New Roman" w:hAnsi="Times New Roman"/>
          <w:b/>
        </w:rPr>
        <w:t>je třeba skutečně podporovat a podněcovat iniciativy zdola nahoru a iniciativy na místní úrovni</w:t>
      </w:r>
      <w:r>
        <w:rPr>
          <w:rFonts w:ascii="Times New Roman" w:hAnsi="Times New Roman"/>
        </w:rPr>
        <w:t xml:space="preserve">, aby se urychlilo zmírňování změny klimatu a přizpůsobování se této změně a posílila se sociální odolnost, čímž se uvolní potenciál kultury spolupráce a řešení vycházejících zdola. Domnívá se, že stejně tak je zapotřebí a je zcela zásadní více investovat do sociálních inovací s cílem zahrnout do běžné agendy kulturní a společenské změny potřebné </w:t>
      </w:r>
      <w:r w:rsidR="005F3D6E">
        <w:rPr>
          <w:rFonts w:ascii="Times New Roman" w:hAnsi="Times New Roman"/>
        </w:rPr>
        <w:t>k </w:t>
      </w:r>
      <w:r>
        <w:rPr>
          <w:rFonts w:ascii="Times New Roman" w:hAnsi="Times New Roman"/>
        </w:rPr>
        <w:t>začlenění ochrany klimatu do každodenního života podniků, veřejných orgánů i domácností;</w:t>
      </w:r>
    </w:p>
    <w:p w:rsidRPr="00424F46" w:rsidR="00707DFC" w:rsidP="001E6F56" w:rsidRDefault="00707DFC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EE319C" w:rsidP="001E6F56" w:rsidRDefault="00710362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domnívá se, že </w:t>
      </w:r>
      <w:r>
        <w:rPr>
          <w:rFonts w:ascii="Times New Roman" w:hAnsi="Times New Roman"/>
          <w:b/>
        </w:rPr>
        <w:t>otázky genderu</w:t>
      </w:r>
      <w:r>
        <w:rPr>
          <w:rFonts w:ascii="Times New Roman" w:hAnsi="Times New Roman"/>
        </w:rPr>
        <w:t xml:space="preserve"> by neměly být řešeny jako samostatná a izolovaná záležitost, nýbrž by měly být považovány za zcela zásadní pro to, aby se </w:t>
      </w:r>
      <w:r>
        <w:rPr>
          <w:rFonts w:ascii="Times New Roman" w:hAnsi="Times New Roman"/>
          <w:b/>
        </w:rPr>
        <w:t xml:space="preserve">zabránilo opatřením </w:t>
      </w:r>
      <w:r w:rsidR="005F3D6E">
        <w:rPr>
          <w:rFonts w:ascii="Times New Roman" w:hAnsi="Times New Roman"/>
          <w:b/>
        </w:rPr>
        <w:t>a </w:t>
      </w:r>
      <w:r>
        <w:rPr>
          <w:rFonts w:ascii="Times New Roman" w:hAnsi="Times New Roman"/>
          <w:b/>
        </w:rPr>
        <w:t>politikám, jež genderové hledisko opomíjejí</w:t>
      </w:r>
      <w:r>
        <w:rPr>
          <w:rFonts w:ascii="Times New Roman" w:hAnsi="Times New Roman"/>
        </w:rPr>
        <w:t>. Změna klimatu nemá na všechny skupiny obyvatelstva stejný dopad a politiky, jež se jí zaobírají, mohou, nejsou-li správně koncipovány, tyto nespravedlnosti a nevyváženosti zachovávat. Nerovnosti dále prohlubuje například nerovnoměrná účast žen na rozhodovacích procesech a na trzích práce, jež jim často brání, aby plně přispívaly k plánování, tvorbě a provádění politik v oblasti klimatu;</w:t>
      </w:r>
      <w:r w:rsidRPr="00424F46" w:rsidR="00EE319C">
        <w:rPr>
          <w:rStyle w:val="FootnoteReference"/>
          <w:rFonts w:ascii="Times New Roman" w:hAnsi="Times New Roman" w:cs="Times New Roman"/>
          <w:lang w:val="en-GB"/>
        </w:rPr>
        <w:footnoteReference w:id="30"/>
      </w:r>
    </w:p>
    <w:p w:rsidRPr="00424F46" w:rsidR="00EE319C" w:rsidP="001E6F56" w:rsidRDefault="00EE319C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B27016" w:rsidP="001E6F56" w:rsidRDefault="009F475F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je pevně přesvědčen, že silnější </w:t>
      </w:r>
      <w:r>
        <w:rPr>
          <w:rFonts w:ascii="Times New Roman" w:hAnsi="Times New Roman"/>
          <w:b/>
        </w:rPr>
        <w:t>zapojení mládeže</w:t>
      </w:r>
      <w:r>
        <w:rPr>
          <w:rFonts w:ascii="Times New Roman" w:hAnsi="Times New Roman"/>
        </w:rPr>
        <w:t xml:space="preserve"> do rozhodovacích procesů, od vypracovávání legislativních návrhů a iniciativ až po provádění, monitorování a navazující činnosti, je nejlepším způsobem, jak zohlednit mezigenerační rozměr těchto změn.</w:t>
      </w:r>
      <w:r w:rsidRPr="00FD797D">
        <w:rPr>
          <w:rStyle w:val="FootnoteReference"/>
          <w:rFonts w:ascii="Times New Roman" w:hAnsi="Times New Roman" w:cs="Times New Roman"/>
          <w:szCs w:val="24"/>
          <w:lang w:val="en-GB"/>
        </w:rPr>
        <w:footnoteReference w:id="31"/>
      </w:r>
      <w:r>
        <w:rPr>
          <w:rFonts w:ascii="Times New Roman" w:hAnsi="Times New Roman"/>
        </w:rPr>
        <w:t xml:space="preserve"> Z tohoto důvodu začal EHSV v roce 2021 začleňovat do oficiální delegace EU na zasedání konference smluvních stran UNFCCC zástupce mladých lidí a zavázal se usilovat o to, aby v rámci jeho práce byly slyšet hlasy mladých lidí a mládežnických organizací. EHSV důrazně doporučuje, aby strany a další zúčastněné subjekty zaujaly podobný přístup;</w:t>
      </w:r>
    </w:p>
    <w:p w:rsidRPr="00424F46" w:rsidR="00B27016" w:rsidP="001E6F56" w:rsidRDefault="00B27016">
      <w:pPr>
        <w:pStyle w:val="ListParagraph"/>
        <w:spacing w:after="0" w:line="288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</w:p>
    <w:p w:rsidRPr="00424F46" w:rsidR="008D5813" w:rsidP="001E6F56" w:rsidRDefault="00B27016">
      <w:pPr>
        <w:pStyle w:val="ListParagraph"/>
        <w:numPr>
          <w:ilvl w:val="0"/>
          <w:numId w:val="11"/>
        </w:numPr>
        <w:spacing w:after="0" w:line="288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uznává úlohu </w:t>
      </w:r>
      <w:r>
        <w:rPr>
          <w:rFonts w:ascii="Times New Roman" w:hAnsi="Times New Roman"/>
          <w:b/>
        </w:rPr>
        <w:t>původních obyvatel</w:t>
      </w:r>
      <w:r>
        <w:rPr>
          <w:rFonts w:ascii="Times New Roman" w:hAnsi="Times New Roman"/>
        </w:rPr>
        <w:t>, kteří z hlediska změny klimatu stojí v první linii a kteří se starají o více než 80 % zbývající biologické rozmanitosti planety</w:t>
      </w:r>
      <w:r w:rsidRPr="00FD797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32"/>
      </w:r>
      <w:r>
        <w:rPr>
          <w:rFonts w:ascii="Times New Roman" w:hAnsi="Times New Roman"/>
        </w:rPr>
        <w:t>. Vítá skutečnost, že se původní obyvatelé stále více angažují v politikách v oblasti klimatu a vyzývá strany, aby je aktivně zapojily do provádění příslušných opatření;</w:t>
      </w:r>
    </w:p>
    <w:p w:rsidRPr="00424F46" w:rsidR="003D0D15" w:rsidP="001E6F56" w:rsidRDefault="003D0D15">
      <w:pPr>
        <w:pStyle w:val="ListParagraph"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3D0D15" w:rsidP="001E6F56" w:rsidRDefault="003D0D15">
      <w:pPr>
        <w:pStyle w:val="ListParagraph"/>
        <w:numPr>
          <w:ilvl w:val="0"/>
          <w:numId w:val="11"/>
        </w:numPr>
        <w:spacing w:after="0" w:line="288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EHSV se zavazuje, že podnikne kroky v zájmu realizace výše uvedených politických doporučení.</w:t>
      </w:r>
    </w:p>
    <w:p w:rsidRPr="00424F46" w:rsidR="00D27A92" w:rsidP="001E6F56" w:rsidRDefault="00D27A9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1E6F56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 Bruselu dne 26. října 2022</w:t>
      </w:r>
    </w:p>
    <w:p w:rsidRPr="00424F46" w:rsidR="005E5612" w:rsidP="001E6F56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1E6F56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="005E5612" w:rsidP="001E6F56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4E2F54" w:rsidP="001E6F56" w:rsidRDefault="004E2F54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24F46" w:rsidR="005E5612" w:rsidP="001E6F56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Christa SCHWENG</w:t>
      </w:r>
    </w:p>
    <w:p w:rsidRPr="00424F46" w:rsidR="005E5612" w:rsidP="001E6F56" w:rsidRDefault="005E5612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předsedkyně Evropského hospodářského a sociálního výboru</w:t>
      </w:r>
    </w:p>
    <w:p w:rsidRPr="004E2F54" w:rsidR="009C5FF9" w:rsidP="001E6F56" w:rsidRDefault="009C5FF9">
      <w:pPr>
        <w:pStyle w:val="ListParagraph"/>
        <w:keepNext/>
        <w:keepLines/>
        <w:spacing w:after="0" w:line="288" w:lineRule="auto"/>
        <w:ind w:left="0"/>
        <w:jc w:val="both"/>
        <w:rPr>
          <w:rFonts w:ascii="Times New Roman" w:hAnsi="Times New Roman" w:cs="Times New Roman"/>
          <w:lang w:val="en-GB"/>
        </w:rPr>
      </w:pPr>
    </w:p>
    <w:p w:rsidRPr="004E2F54" w:rsidR="0078686E" w:rsidP="001E6F56" w:rsidRDefault="002C2B01">
      <w:pPr>
        <w:pStyle w:val="ListParagraph"/>
        <w:keepNext/>
        <w:keepLines/>
        <w:spacing w:after="0" w:line="288" w:lineRule="auto"/>
        <w:ind w:left="0"/>
        <w:jc w:val="center"/>
        <w:rPr>
          <w:rFonts w:ascii="Times New Roman" w:hAnsi="Times New Roman" w:cs="Times New Roman"/>
        </w:rPr>
      </w:pPr>
      <w:r w:rsidRPr="004E2F54">
        <w:rPr>
          <w:rFonts w:ascii="Times New Roman" w:hAnsi="Times New Roman" w:cs="Times New Roman"/>
        </w:rPr>
        <w:t>_____________</w:t>
      </w:r>
    </w:p>
    <w:sectPr w:rsidRPr="004E2F54" w:rsidR="0078686E" w:rsidSect="00526B4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48" w:rsidRDefault="00BD0948" w:rsidP="008A03FA">
      <w:pPr>
        <w:spacing w:after="0" w:line="240" w:lineRule="auto"/>
      </w:pPr>
      <w:r>
        <w:separator/>
      </w:r>
    </w:p>
  </w:endnote>
  <w:endnote w:type="continuationSeparator" w:id="0">
    <w:p w:rsidR="00BD0948" w:rsidRDefault="00BD0948" w:rsidP="008A03FA">
      <w:pPr>
        <w:spacing w:after="0" w:line="240" w:lineRule="auto"/>
      </w:pPr>
      <w:r>
        <w:continuationSeparator/>
      </w:r>
    </w:p>
  </w:endnote>
  <w:endnote w:type="continuationNotice" w:id="1">
    <w:p w:rsidR="00BD0948" w:rsidRDefault="00BD0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18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7" w:rsidRPr="00526B40" w:rsidRDefault="008A6CF4" w:rsidP="008A6CF4">
    <w:pPr>
      <w:pStyle w:val="Footer"/>
      <w:jc w:val="left"/>
    </w:pPr>
    <w:r>
      <w:t xml:space="preserve">EESC-2022-04116-00-01-RES-TRA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0414DE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0414DE">
        <w:rPr>
          <w:noProof/>
        </w:rPr>
        <w:instrText>13</w:instrText>
      </w:r>
    </w:fldSimple>
    <w:r>
      <w:instrText xml:space="preserve"> - 2 </w:instrText>
    </w:r>
    <w:r>
      <w:fldChar w:fldCharType="separate"/>
    </w:r>
    <w:r w:rsidR="000414DE">
      <w:rPr>
        <w:noProof/>
      </w:rPr>
      <w:t>11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48" w:rsidRPr="005F3D6E" w:rsidRDefault="00BD0948" w:rsidP="008A03FA">
      <w:pPr>
        <w:spacing w:after="0" w:line="240" w:lineRule="auto"/>
        <w:rPr>
          <w:rFonts w:ascii="Times New Roman" w:hAnsi="Times New Roman" w:cs="Times New Roman"/>
        </w:rPr>
      </w:pPr>
      <w:r w:rsidRPr="005F3D6E">
        <w:rPr>
          <w:rFonts w:ascii="Times New Roman" w:hAnsi="Times New Roman" w:cs="Times New Roman"/>
        </w:rPr>
        <w:separator/>
      </w:r>
    </w:p>
  </w:footnote>
  <w:footnote w:type="continuationSeparator" w:id="0">
    <w:p w:rsidR="00BD0948" w:rsidRDefault="00BD0948" w:rsidP="008A03FA">
      <w:pPr>
        <w:spacing w:after="0" w:line="240" w:lineRule="auto"/>
      </w:pPr>
      <w:r>
        <w:continuationSeparator/>
      </w:r>
    </w:p>
  </w:footnote>
  <w:footnote w:type="continuationNotice" w:id="1">
    <w:p w:rsidR="00BD0948" w:rsidRDefault="00BD0948">
      <w:pPr>
        <w:spacing w:after="0" w:line="240" w:lineRule="auto"/>
      </w:pPr>
    </w:p>
  </w:footnote>
  <w:footnote w:id="2">
    <w:p w:rsidR="00C5108E" w:rsidRPr="005F3782" w:rsidRDefault="00C5108E" w:rsidP="005F3D6E">
      <w:pPr>
        <w:pStyle w:val="FootnoteText"/>
        <w:jc w:val="lef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 w:history="1">
        <w:r>
          <w:rPr>
            <w:rStyle w:val="Hyperlink"/>
          </w:rPr>
          <w:t>Český překlad Pařížské dohody</w:t>
        </w:r>
      </w:hyperlink>
      <w:r>
        <w:t>.</w:t>
      </w:r>
    </w:p>
  </w:footnote>
  <w:footnote w:id="3">
    <w:p w:rsidR="00C5108E" w:rsidRPr="005F3782" w:rsidRDefault="00C5108E" w:rsidP="005F3D6E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Zdroje: </w:t>
      </w:r>
      <w:hyperlink r:id="rId2" w:history="1">
        <w:proofErr w:type="spellStart"/>
        <w:r>
          <w:rPr>
            <w:rStyle w:val="Hyperlink"/>
            <w:i/>
            <w:iCs/>
          </w:rPr>
          <w:t>Economic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losses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from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weather</w:t>
        </w:r>
        <w:proofErr w:type="spellEnd"/>
        <w:r>
          <w:rPr>
            <w:rStyle w:val="Hyperlink"/>
            <w:i/>
            <w:iCs/>
          </w:rPr>
          <w:t xml:space="preserve"> and </w:t>
        </w:r>
        <w:proofErr w:type="spellStart"/>
        <w:r>
          <w:rPr>
            <w:rStyle w:val="Hyperlink"/>
            <w:i/>
            <w:iCs/>
          </w:rPr>
          <w:t>climate-related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extremes</w:t>
        </w:r>
        <w:proofErr w:type="spellEnd"/>
        <w:r>
          <w:rPr>
            <w:rStyle w:val="Hyperlink"/>
            <w:i/>
            <w:iCs/>
          </w:rPr>
          <w:t xml:space="preserve"> in Europe </w:t>
        </w:r>
        <w:proofErr w:type="spellStart"/>
        <w:r>
          <w:rPr>
            <w:rStyle w:val="Hyperlink"/>
            <w:i/>
            <w:iCs/>
          </w:rPr>
          <w:t>reached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around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half</w:t>
        </w:r>
        <w:proofErr w:type="spellEnd"/>
        <w:r>
          <w:rPr>
            <w:rStyle w:val="Hyperlink"/>
            <w:i/>
            <w:iCs/>
          </w:rPr>
          <w:t xml:space="preserve"> a </w:t>
        </w:r>
        <w:proofErr w:type="spellStart"/>
        <w:r>
          <w:rPr>
            <w:rStyle w:val="Hyperlink"/>
            <w:i/>
            <w:iCs/>
          </w:rPr>
          <w:t>trillion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euros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over</w:t>
        </w:r>
        <w:proofErr w:type="spellEnd"/>
        <w:r>
          <w:rPr>
            <w:rStyle w:val="Hyperlink"/>
            <w:i/>
            <w:iCs/>
          </w:rPr>
          <w:t xml:space="preserve"> past 40</w:t>
        </w:r>
        <w:r w:rsidR="009D1D3E">
          <w:rPr>
            <w:rStyle w:val="Hyperlink"/>
            <w:i/>
            <w:iCs/>
          </w:rPr>
          <w:t> </w:t>
        </w:r>
        <w:proofErr w:type="spellStart"/>
        <w:r>
          <w:rPr>
            <w:rStyle w:val="Hyperlink"/>
            <w:i/>
            <w:iCs/>
          </w:rPr>
          <w:t>years</w:t>
        </w:r>
        <w:proofErr w:type="spellEnd"/>
        <w:r>
          <w:rPr>
            <w:rStyle w:val="Hyperlink"/>
          </w:rPr>
          <w:t xml:space="preserve"> (Hospodářské ztráty způsobené povětrnostními a klimatickými extrémy dosáhly za posledních 40 let výše půl bilionu eur) – Evropská agentura pro životní prostředí</w:t>
        </w:r>
      </w:hyperlink>
      <w:r>
        <w:t xml:space="preserve">; </w:t>
      </w:r>
      <w:hyperlink r:id="rId3" w:history="1">
        <w:r>
          <w:rPr>
            <w:rStyle w:val="Hyperlink"/>
            <w:i/>
            <w:iCs/>
          </w:rPr>
          <w:t xml:space="preserve">New report: </w:t>
        </w:r>
        <w:proofErr w:type="spellStart"/>
        <w:r>
          <w:rPr>
            <w:rStyle w:val="Hyperlink"/>
            <w:i/>
            <w:iCs/>
          </w:rPr>
          <w:t>World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counts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the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cost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of</w:t>
        </w:r>
        <w:proofErr w:type="spellEnd"/>
        <w:r>
          <w:rPr>
            <w:rStyle w:val="Hyperlink"/>
            <w:i/>
            <w:iCs/>
          </w:rPr>
          <w:t xml:space="preserve"> a </w:t>
        </w:r>
        <w:proofErr w:type="spellStart"/>
        <w:r>
          <w:rPr>
            <w:rStyle w:val="Hyperlink"/>
            <w:i/>
            <w:iCs/>
          </w:rPr>
          <w:t>year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of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climate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breakdown</w:t>
        </w:r>
        <w:proofErr w:type="spellEnd"/>
        <w:r>
          <w:rPr>
            <w:rStyle w:val="Hyperlink"/>
          </w:rPr>
          <w:t xml:space="preserve"> (Nová zpráva: Svět vyčísluje náklady roku klimatického kolapsu) | Christian Aid – UK charity </w:t>
        </w:r>
        <w:proofErr w:type="spellStart"/>
        <w:r>
          <w:rPr>
            <w:rStyle w:val="Hyperlink"/>
          </w:rPr>
          <w:t>fighting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global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poverty</w:t>
        </w:r>
        <w:proofErr w:type="spellEnd"/>
        <w:r>
          <w:rPr>
            <w:rStyle w:val="Hyperlink"/>
          </w:rPr>
          <w:t xml:space="preserve"> | Media Centre</w:t>
        </w:r>
      </w:hyperlink>
      <w:r>
        <w:t xml:space="preserve">; </w:t>
      </w:r>
      <w:hyperlink r:id="rId4" w:anchor=":~:text=We%20estimate%20that%20climate%20change,such%20as%20DICE%20and%20FUND." w:history="1">
        <w:proofErr w:type="spellStart"/>
        <w:r>
          <w:rPr>
            <w:rStyle w:val="Hyperlink"/>
            <w:i/>
            <w:iCs/>
          </w:rPr>
          <w:t>The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Costs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of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Extreme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Weather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Events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Caused</w:t>
        </w:r>
        <w:proofErr w:type="spellEnd"/>
        <w:r>
          <w:rPr>
            <w:rStyle w:val="Hyperlink"/>
            <w:i/>
            <w:iCs/>
          </w:rPr>
          <w:t xml:space="preserve"> by Climate </w:t>
        </w:r>
        <w:proofErr w:type="spellStart"/>
        <w:r>
          <w:rPr>
            <w:rStyle w:val="Hyperlink"/>
            <w:i/>
            <w:iCs/>
          </w:rPr>
          <w:t>Change</w:t>
        </w:r>
        <w:proofErr w:type="spellEnd"/>
        <w:r>
          <w:rPr>
            <w:rStyle w:val="Hyperlink"/>
          </w:rPr>
          <w:t xml:space="preserve"> (Náklady extrémních povětrnostních událostí způsobených změnou klimatu) – CMCC</w:t>
        </w:r>
      </w:hyperlink>
      <w:r>
        <w:t xml:space="preserve">; </w:t>
      </w:r>
      <w:hyperlink r:id="rId5" w:history="1">
        <w:proofErr w:type="spellStart"/>
        <w:r>
          <w:rPr>
            <w:rStyle w:val="Hyperlink"/>
            <w:i/>
            <w:iCs/>
          </w:rPr>
          <w:t>Billion-Dollar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Weather</w:t>
        </w:r>
        <w:proofErr w:type="spellEnd"/>
        <w:r>
          <w:rPr>
            <w:rStyle w:val="Hyperlink"/>
            <w:i/>
            <w:iCs/>
          </w:rPr>
          <w:t xml:space="preserve"> and Climate </w:t>
        </w:r>
        <w:proofErr w:type="spellStart"/>
        <w:r>
          <w:rPr>
            <w:rStyle w:val="Hyperlink"/>
            <w:i/>
            <w:iCs/>
          </w:rPr>
          <w:t>Disasters</w:t>
        </w:r>
        <w:proofErr w:type="spellEnd"/>
        <w:r>
          <w:rPr>
            <w:rStyle w:val="Hyperlink"/>
          </w:rPr>
          <w:t xml:space="preserve"> (Povětrnostní a klimatické katastrofy, jež způsobily škody ve výši 1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miliardy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 xml:space="preserve">dolarů či více) | </w:t>
        </w:r>
        <w:proofErr w:type="spellStart"/>
        <w:r>
          <w:rPr>
            <w:rStyle w:val="Hyperlink"/>
          </w:rPr>
          <w:t>National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Centers</w:t>
        </w:r>
        <w:proofErr w:type="spellEnd"/>
        <w:r>
          <w:rPr>
            <w:rStyle w:val="Hyperlink"/>
          </w:rPr>
          <w:t xml:space="preserve"> for </w:t>
        </w:r>
        <w:proofErr w:type="spellStart"/>
        <w:r>
          <w:rPr>
            <w:rStyle w:val="Hyperlink"/>
          </w:rPr>
          <w:t>Environmental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Information</w:t>
        </w:r>
        <w:proofErr w:type="spellEnd"/>
        <w:r>
          <w:rPr>
            <w:rStyle w:val="Hyperlink"/>
          </w:rPr>
          <w:t xml:space="preserve"> (NCEI)</w:t>
        </w:r>
      </w:hyperlink>
      <w:r>
        <w:t>.</w:t>
      </w:r>
    </w:p>
  </w:footnote>
  <w:footnote w:id="4">
    <w:p w:rsidR="00D27A92" w:rsidRPr="005F3782" w:rsidRDefault="00D27A92" w:rsidP="005F3D6E">
      <w:pPr>
        <w:pStyle w:val="FootnoteText"/>
        <w:rPr>
          <w:sz w:val="18"/>
          <w:szCs w:val="18"/>
        </w:rPr>
      </w:pPr>
      <w:r>
        <w:rPr>
          <w:rStyle w:val="FootnoteReference"/>
          <w:szCs w:val="24"/>
        </w:rPr>
        <w:footnoteRef/>
      </w:r>
      <w:r>
        <w:rPr>
          <w:sz w:val="18"/>
        </w:rPr>
        <w:tab/>
      </w:r>
      <w:hyperlink r:id="rId6" w:history="1">
        <w:r>
          <w:rPr>
            <w:rStyle w:val="Hyperlink"/>
            <w:i/>
          </w:rPr>
          <w:t xml:space="preserve">Climate </w:t>
        </w:r>
        <w:proofErr w:type="spellStart"/>
        <w:r>
          <w:rPr>
            <w:rStyle w:val="Hyperlink"/>
            <w:i/>
          </w:rPr>
          <w:t>Change</w:t>
        </w:r>
        <w:proofErr w:type="spellEnd"/>
        <w:r>
          <w:rPr>
            <w:rStyle w:val="Hyperlink"/>
            <w:i/>
          </w:rPr>
          <w:t xml:space="preserve"> 2022: </w:t>
        </w:r>
        <w:proofErr w:type="spellStart"/>
        <w:r>
          <w:rPr>
            <w:rStyle w:val="Hyperlink"/>
            <w:i/>
          </w:rPr>
          <w:t>Mitigation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of</w:t>
        </w:r>
        <w:proofErr w:type="spellEnd"/>
        <w:r>
          <w:rPr>
            <w:rStyle w:val="Hyperlink"/>
            <w:i/>
          </w:rPr>
          <w:t xml:space="preserve"> Climate </w:t>
        </w:r>
        <w:proofErr w:type="spellStart"/>
        <w:r>
          <w:rPr>
            <w:rStyle w:val="Hyperlink"/>
            <w:i/>
          </w:rPr>
          <w:t>Change</w:t>
        </w:r>
        <w:proofErr w:type="spellEnd"/>
        <w:r>
          <w:rPr>
            <w:rStyle w:val="Hyperlink"/>
          </w:rPr>
          <w:t xml:space="preserve"> (Změna klimatu 2022: Zmírňování změny klimatu) | IPCC</w:t>
        </w:r>
      </w:hyperlink>
      <w:r>
        <w:t>.</w:t>
      </w:r>
    </w:p>
  </w:footnote>
  <w:footnote w:id="5">
    <w:p w:rsidR="00EA2B05" w:rsidRPr="0039570B" w:rsidRDefault="00EA2B05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Usnesení EHSV </w:t>
      </w:r>
      <w:hyperlink r:id="rId7" w:history="1">
        <w:r>
          <w:rPr>
            <w:rStyle w:val="Hyperlink"/>
          </w:rPr>
          <w:t>Válka na Ukrajině a její hospodářský, sociální a environmentální dopad</w:t>
        </w:r>
      </w:hyperlink>
      <w:r>
        <w:t>.</w:t>
      </w:r>
    </w:p>
  </w:footnote>
  <w:footnote w:id="6">
    <w:p w:rsidR="00CB14BC" w:rsidRPr="005F3782" w:rsidRDefault="00CB14BC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8" w:history="1">
        <w:r>
          <w:rPr>
            <w:rStyle w:val="Hyperlink"/>
          </w:rPr>
          <w:t>Změna klimatu: EU musí jednat rychleji a být energeticky nezávislá</w:t>
        </w:r>
      </w:hyperlink>
      <w:r>
        <w:t>.</w:t>
      </w:r>
    </w:p>
  </w:footnote>
  <w:footnote w:id="7">
    <w:p w:rsidR="00CB14BC" w:rsidRPr="005F3782" w:rsidRDefault="00CB14BC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9" w:history="1">
        <w:r>
          <w:rPr>
            <w:rStyle w:val="Hyperlink"/>
            <w:i/>
          </w:rPr>
          <w:t xml:space="preserve">Fit for 55: </w:t>
        </w:r>
        <w:proofErr w:type="spellStart"/>
        <w:r>
          <w:rPr>
            <w:rStyle w:val="Hyperlink"/>
            <w:i/>
          </w:rPr>
          <w:t>Parliament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agrees</w:t>
        </w:r>
        <w:proofErr w:type="spellEnd"/>
        <w:r>
          <w:rPr>
            <w:rStyle w:val="Hyperlink"/>
            <w:i/>
          </w:rPr>
          <w:t xml:space="preserve"> to </w:t>
        </w:r>
        <w:proofErr w:type="spellStart"/>
        <w:r>
          <w:rPr>
            <w:rStyle w:val="Hyperlink"/>
            <w:i/>
          </w:rPr>
          <w:t>higher</w:t>
        </w:r>
        <w:proofErr w:type="spellEnd"/>
        <w:r>
          <w:rPr>
            <w:rStyle w:val="Hyperlink"/>
            <w:i/>
          </w:rPr>
          <w:t xml:space="preserve"> EU </w:t>
        </w:r>
        <w:proofErr w:type="spellStart"/>
        <w:r>
          <w:rPr>
            <w:rStyle w:val="Hyperlink"/>
            <w:i/>
          </w:rPr>
          <w:t>carbon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sink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ambitions</w:t>
        </w:r>
        <w:proofErr w:type="spellEnd"/>
        <w:r>
          <w:rPr>
            <w:rStyle w:val="Hyperlink"/>
            <w:i/>
          </w:rPr>
          <w:t xml:space="preserve"> by 2030</w:t>
        </w:r>
        <w:r>
          <w:rPr>
            <w:rStyle w:val="Hyperlink"/>
          </w:rPr>
          <w:t xml:space="preserve"> („Fit for 55“: Parlament podporuje zvýšení cílů EU týkajících se propadů uhlíku do roku 2030)</w:t>
        </w:r>
      </w:hyperlink>
      <w:r>
        <w:t>.</w:t>
      </w:r>
    </w:p>
  </w:footnote>
  <w:footnote w:id="8">
    <w:p w:rsidR="00D27A92" w:rsidRPr="0039570B" w:rsidRDefault="00D27A92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  <w:iCs/>
        </w:rPr>
        <w:t>Udržitelné hospodářství v souladu s našimi potřebami</w:t>
      </w:r>
      <w:r>
        <w:t xml:space="preserve">, </w:t>
      </w:r>
      <w:hyperlink r:id="rId10" w:anchor=" " w:history="1">
        <w:r>
          <w:rPr>
            <w:rStyle w:val="Hyperlink"/>
          </w:rPr>
          <w:t>Úř. věst. C 106, 31.3.2020, s. 1</w:t>
        </w:r>
      </w:hyperlink>
      <w:r>
        <w:t>.</w:t>
      </w:r>
    </w:p>
  </w:footnote>
  <w:footnote w:id="9">
    <w:p w:rsidR="00F426F7" w:rsidRPr="005F3782" w:rsidRDefault="00F426F7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„Fit for 55“: plnění klimatického cíle EU pro rok 2030 na cestě k pravidlům pro klimatickou neutralitu</w:t>
      </w:r>
      <w:r>
        <w:t xml:space="preserve">, </w:t>
      </w:r>
      <w:hyperlink r:id="rId11" w:history="1">
        <w:r>
          <w:rPr>
            <w:rStyle w:val="Hyperlink"/>
          </w:rPr>
          <w:t>Úř.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C 275, 18.7.2022, s. 101</w:t>
        </w:r>
      </w:hyperlink>
      <w:r>
        <w:t>.</w:t>
      </w:r>
    </w:p>
  </w:footnote>
  <w:footnote w:id="10">
    <w:p w:rsidR="00CA61D4" w:rsidRPr="0052304F" w:rsidRDefault="00CA61D4" w:rsidP="009D1D3E">
      <w:pPr>
        <w:pStyle w:val="FootnoteText"/>
      </w:pPr>
      <w:r>
        <w:rPr>
          <w:rStyle w:val="FootnoteReference"/>
        </w:rPr>
        <w:footnoteRef/>
      </w:r>
      <w:r>
        <w:tab/>
        <w:t xml:space="preserve">Stanovisko EHSV </w:t>
      </w:r>
      <w:hyperlink r:id="rId12" w:history="1">
        <w:r>
          <w:rPr>
            <w:rStyle w:val="Hyperlink"/>
            <w:i/>
          </w:rPr>
          <w:t>Sociální dialog v souvislosti s ekologickou transformací</w:t>
        </w:r>
      </w:hyperlink>
      <w:r>
        <w:t xml:space="preserve"> </w:t>
      </w:r>
      <w:r>
        <w:rPr>
          <w:i/>
        </w:rPr>
        <w:t>(dosud nezveřejněno v Úředním věstníku)</w:t>
      </w:r>
      <w:r>
        <w:t>.</w:t>
      </w:r>
    </w:p>
  </w:footnote>
  <w:footnote w:id="11">
    <w:p w:rsidR="00492189" w:rsidRPr="009B16C4" w:rsidRDefault="00492189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„Fit for 55“: plnění klimatického cíle EU pro rok 2030 na cestě k pravidlům pro klimatickou neutralitu</w:t>
      </w:r>
      <w:r>
        <w:t xml:space="preserve">, </w:t>
      </w:r>
      <w:hyperlink r:id="rId13" w:history="1">
        <w:r>
          <w:rPr>
            <w:rStyle w:val="Hyperlink"/>
          </w:rPr>
          <w:t>Úř.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C 275, 18.7.2022, s. 101</w:t>
        </w:r>
      </w:hyperlink>
      <w:hyperlink r:id="rId14" w:history="1">
        <w:r>
          <w:t>.</w:t>
        </w:r>
      </w:hyperlink>
    </w:p>
  </w:footnote>
  <w:footnote w:id="12">
    <w:p w:rsidR="00492189" w:rsidRPr="009B16C4" w:rsidRDefault="00492189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„Fit for 55“: plnění klimatického cíle EU pro rok 2030 na cestě k pravidlům pro klimatickou neutralitu</w:t>
      </w:r>
      <w:r>
        <w:t xml:space="preserve">, </w:t>
      </w:r>
      <w:hyperlink r:id="rId15" w:history="1">
        <w:r>
          <w:rPr>
            <w:rStyle w:val="Hyperlink"/>
          </w:rPr>
          <w:t>Úř.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9D1D3E">
          <w:rPr>
            <w:rStyle w:val="Hyperlink"/>
          </w:rPr>
          <w:t> </w:t>
        </w:r>
        <w:r>
          <w:rPr>
            <w:rStyle w:val="Hyperlink"/>
          </w:rPr>
          <w:t>C 275, 18.7.2022, s. 101</w:t>
        </w:r>
      </w:hyperlink>
      <w:hyperlink r:id="rId16" w:history="1">
        <w:r>
          <w:t>.</w:t>
        </w:r>
      </w:hyperlink>
    </w:p>
  </w:footnote>
  <w:footnote w:id="13">
    <w:p w:rsidR="00492189" w:rsidRPr="005F3782" w:rsidRDefault="00492189" w:rsidP="009D1D3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7" w:history="1">
        <w:r>
          <w:rPr>
            <w:rStyle w:val="Hyperlink"/>
          </w:rPr>
          <w:t>Konference o budoucnosti Evropy – doporučení přijatá v rámci evropské panelové diskuse občanů</w:t>
        </w:r>
      </w:hyperlink>
      <w:r>
        <w:t>.</w:t>
      </w:r>
    </w:p>
  </w:footnote>
  <w:footnote w:id="14">
    <w:p w:rsidR="00492189" w:rsidRPr="009B16C4" w:rsidRDefault="00492189" w:rsidP="004F757A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8" w:history="1">
        <w:r>
          <w:rPr>
            <w:rStyle w:val="Hyperlink"/>
            <w:i/>
          </w:rPr>
          <w:t xml:space="preserve">2021 Europe </w:t>
        </w:r>
        <w:proofErr w:type="spellStart"/>
        <w:r>
          <w:rPr>
            <w:rStyle w:val="Hyperlink"/>
            <w:i/>
          </w:rPr>
          <w:t>Sustainable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Development</w:t>
        </w:r>
        <w:proofErr w:type="spellEnd"/>
        <w:r>
          <w:rPr>
            <w:rStyle w:val="Hyperlink"/>
            <w:i/>
          </w:rPr>
          <w:t xml:space="preserve"> Report</w:t>
        </w:r>
        <w:r>
          <w:rPr>
            <w:rStyle w:val="Hyperlink"/>
          </w:rPr>
          <w:t xml:space="preserve"> (Zpráva o udržitelném rozvoji v Evropě 2021) – SDSN Europe</w:t>
        </w:r>
      </w:hyperlink>
      <w:r>
        <w:t>.</w:t>
      </w:r>
    </w:p>
  </w:footnote>
  <w:footnote w:id="15">
    <w:p w:rsidR="007E0872" w:rsidRPr="00E567D2" w:rsidRDefault="007E0872" w:rsidP="004F757A">
      <w:pPr>
        <w:pStyle w:val="FootnoteText"/>
      </w:pPr>
      <w:r>
        <w:rPr>
          <w:rStyle w:val="FootnoteReference"/>
        </w:rPr>
        <w:footnoteRef/>
      </w:r>
      <w:r>
        <w:tab/>
        <w:t xml:space="preserve">Připravované stanovisko EHSV (NAT/841) </w:t>
      </w:r>
      <w:hyperlink r:id="rId19" w:history="1">
        <w:r>
          <w:rPr>
            <w:rStyle w:val="Hyperlink"/>
            <w:i/>
          </w:rPr>
          <w:t>Cíle týkající se obnovy přírody v rámci strategie EU v oblasti biologické rozmanitosti</w:t>
        </w:r>
      </w:hyperlink>
      <w:r>
        <w:t>.</w:t>
      </w:r>
    </w:p>
  </w:footnote>
  <w:footnote w:id="16">
    <w:p w:rsidR="0044565F" w:rsidRPr="005F3782" w:rsidRDefault="0044565F" w:rsidP="002428AC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Nová strategie EU pro přizpůsobení se změně klimatu</w:t>
      </w:r>
      <w:r>
        <w:t xml:space="preserve">, </w:t>
      </w:r>
      <w:hyperlink r:id="rId20" w:history="1">
        <w:r>
          <w:rPr>
            <w:rStyle w:val="Hyperlink"/>
          </w:rPr>
          <w:t>Úř. věst. C 374, 16.9.2021, s. 84</w:t>
        </w:r>
      </w:hyperlink>
      <w:r>
        <w:t>.</w:t>
      </w:r>
    </w:p>
  </w:footnote>
  <w:footnote w:id="17">
    <w:p w:rsidR="0044565F" w:rsidRPr="005F3782" w:rsidRDefault="0044565F" w:rsidP="002428AC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1" w:history="1">
        <w:proofErr w:type="spellStart"/>
        <w:r>
          <w:rPr>
            <w:rStyle w:val="Hyperlink"/>
            <w:i/>
          </w:rPr>
          <w:t>António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Guterres</w:t>
        </w:r>
        <w:proofErr w:type="spellEnd"/>
        <w:r>
          <w:rPr>
            <w:rStyle w:val="Hyperlink"/>
            <w:i/>
          </w:rPr>
          <w:t xml:space="preserve">: 50% </w:t>
        </w:r>
        <w:proofErr w:type="spellStart"/>
        <w:r>
          <w:rPr>
            <w:rStyle w:val="Hyperlink"/>
            <w:i/>
          </w:rPr>
          <w:t>of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All</w:t>
        </w:r>
        <w:proofErr w:type="spellEnd"/>
        <w:r>
          <w:rPr>
            <w:rStyle w:val="Hyperlink"/>
            <w:i/>
          </w:rPr>
          <w:t xml:space="preserve"> Climate Finance </w:t>
        </w:r>
        <w:proofErr w:type="spellStart"/>
        <w:r>
          <w:rPr>
            <w:rStyle w:val="Hyperlink"/>
            <w:i/>
          </w:rPr>
          <w:t>Needed</w:t>
        </w:r>
        <w:proofErr w:type="spellEnd"/>
        <w:r>
          <w:rPr>
            <w:rStyle w:val="Hyperlink"/>
            <w:i/>
          </w:rPr>
          <w:t xml:space="preserve"> for </w:t>
        </w:r>
        <w:proofErr w:type="spellStart"/>
        <w:r>
          <w:rPr>
            <w:rStyle w:val="Hyperlink"/>
            <w:i/>
          </w:rPr>
          <w:t>Adaptation</w:t>
        </w:r>
        <w:proofErr w:type="spellEnd"/>
        <w:r>
          <w:rPr>
            <w:rStyle w:val="Hyperlink"/>
          </w:rPr>
          <w:t xml:space="preserve"> (</w:t>
        </w:r>
        <w:proofErr w:type="spellStart"/>
        <w:r>
          <w:rPr>
            <w:rStyle w:val="Hyperlink"/>
          </w:rPr>
          <w:t>António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Guterres</w:t>
        </w:r>
        <w:proofErr w:type="spellEnd"/>
        <w:r>
          <w:rPr>
            <w:rStyle w:val="Hyperlink"/>
          </w:rPr>
          <w:t>: 50 % všech finančních prostředků na opatření v oblasti klimatu je třeba použít na přizpůsobení se změně klimatu)</w:t>
        </w:r>
      </w:hyperlink>
      <w:r>
        <w:t>.</w:t>
      </w:r>
    </w:p>
  </w:footnote>
  <w:footnote w:id="18">
    <w:p w:rsidR="00707DFC" w:rsidRPr="0039570B" w:rsidRDefault="00707DFC" w:rsidP="002428AC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Vytváření součinností v rámci různých plánů pro oběhové hospodářství</w:t>
      </w:r>
      <w:r>
        <w:t xml:space="preserve">, </w:t>
      </w:r>
      <w:hyperlink r:id="rId22" w:history="1">
        <w:r>
          <w:rPr>
            <w:rStyle w:val="Hyperlink"/>
          </w:rPr>
          <w:t>Úř. věst. C 14, 15.1.2020, s. 29</w:t>
        </w:r>
      </w:hyperlink>
      <w:r>
        <w:t>.</w:t>
      </w:r>
    </w:p>
  </w:footnote>
  <w:footnote w:id="19">
    <w:p w:rsidR="00707DFC" w:rsidRPr="0039570B" w:rsidRDefault="00707DFC" w:rsidP="002428AC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3" w:history="1">
        <w:proofErr w:type="spellStart"/>
        <w:r>
          <w:rPr>
            <w:rStyle w:val="Hyperlink"/>
            <w:i/>
          </w:rPr>
          <w:t>Circularity</w:t>
        </w:r>
        <w:proofErr w:type="spellEnd"/>
        <w:r>
          <w:rPr>
            <w:rStyle w:val="Hyperlink"/>
            <w:i/>
          </w:rPr>
          <w:t xml:space="preserve"> Gap Report 2021 – Climate </w:t>
        </w:r>
        <w:proofErr w:type="spellStart"/>
        <w:r>
          <w:rPr>
            <w:rStyle w:val="Hyperlink"/>
            <w:i/>
          </w:rPr>
          <w:t>Change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Mitigation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through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the</w:t>
        </w:r>
        <w:proofErr w:type="spellEnd"/>
        <w:r>
          <w:rPr>
            <w:rStyle w:val="Hyperlink"/>
            <w:i/>
          </w:rPr>
          <w:t xml:space="preserve"> Circular Economy</w:t>
        </w:r>
        <w:r>
          <w:rPr>
            <w:rStyle w:val="Hyperlink"/>
          </w:rPr>
          <w:t xml:space="preserve"> (Zpráva o nedostatcích v oběhovosti za rok 2021 – Zmírňování změny klimatu prostřednictvím oběhového hospodářství)</w:t>
        </w:r>
      </w:hyperlink>
      <w:r>
        <w:t>.</w:t>
      </w:r>
    </w:p>
  </w:footnote>
  <w:footnote w:id="20">
    <w:p w:rsidR="00707DFC" w:rsidRPr="00BE77CC" w:rsidRDefault="00707DFC" w:rsidP="002428AC">
      <w:pPr>
        <w:pStyle w:val="FootnoteText"/>
        <w:tabs>
          <w:tab w:val="left" w:pos="567"/>
        </w:tabs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Nová strategie EU pro přizpůsobení se změně klimatu</w:t>
      </w:r>
      <w:r>
        <w:t xml:space="preserve">, </w:t>
      </w:r>
      <w:hyperlink r:id="rId24" w:history="1">
        <w:r>
          <w:rPr>
            <w:rStyle w:val="Hyperlink"/>
          </w:rPr>
          <w:t>Úř. věst. C 374, 16.9.2021, s. 84</w:t>
        </w:r>
      </w:hyperlink>
      <w:r>
        <w:t>.</w:t>
      </w:r>
    </w:p>
  </w:footnote>
  <w:footnote w:id="21">
    <w:p w:rsidR="00444B59" w:rsidRPr="009B16C4" w:rsidRDefault="00444B59" w:rsidP="00F50731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25" w:history="1">
        <w:proofErr w:type="spellStart"/>
        <w:r>
          <w:rPr>
            <w:rStyle w:val="Hyperlink"/>
            <w:i/>
          </w:rPr>
          <w:t>Enhancing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NDCs</w:t>
        </w:r>
        <w:proofErr w:type="spellEnd"/>
        <w:r>
          <w:rPr>
            <w:rStyle w:val="Hyperlink"/>
            <w:i/>
          </w:rPr>
          <w:t xml:space="preserve"> For Food Systems – </w:t>
        </w:r>
        <w:proofErr w:type="spellStart"/>
        <w:r>
          <w:rPr>
            <w:rStyle w:val="Hyperlink"/>
            <w:i/>
          </w:rPr>
          <w:t>recommendations</w:t>
        </w:r>
        <w:proofErr w:type="spellEnd"/>
        <w:r>
          <w:rPr>
            <w:rStyle w:val="Hyperlink"/>
            <w:i/>
          </w:rPr>
          <w:t xml:space="preserve"> for </w:t>
        </w:r>
        <w:proofErr w:type="spellStart"/>
        <w:r>
          <w:rPr>
            <w:rStyle w:val="Hyperlink"/>
            <w:i/>
          </w:rPr>
          <w:t>decision-makers</w:t>
        </w:r>
        <w:proofErr w:type="spellEnd"/>
        <w:r>
          <w:rPr>
            <w:rStyle w:val="Hyperlink"/>
          </w:rPr>
          <w:t xml:space="preserve"> (Posílení vnitrostátně stanovených příspěvků, pokud jde o potravinové systémy – doporučení pro činitele s rozhodovací pravomocí) | Projekt NDC </w:t>
        </w:r>
        <w:proofErr w:type="spellStart"/>
        <w:r>
          <w:rPr>
            <w:rStyle w:val="Hyperlink"/>
          </w:rPr>
          <w:t>Action</w:t>
        </w:r>
        <w:proofErr w:type="spellEnd"/>
      </w:hyperlink>
      <w:r>
        <w:t>.</w:t>
      </w:r>
    </w:p>
  </w:footnote>
  <w:footnote w:id="22">
    <w:p w:rsidR="00444B59" w:rsidRPr="009B16C4" w:rsidRDefault="00444B59" w:rsidP="00F50731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Potravinové zabezpečení a udržitelné potravinové systémy</w:t>
      </w:r>
      <w:r>
        <w:t xml:space="preserve">, </w:t>
      </w:r>
      <w:hyperlink r:id="rId26" w:history="1">
        <w:r>
          <w:rPr>
            <w:rStyle w:val="Hyperlink"/>
          </w:rPr>
          <w:t>Úř. věst. C 194, 12.5.2022, s. 72</w:t>
        </w:r>
      </w:hyperlink>
      <w:r>
        <w:t>.</w:t>
      </w:r>
    </w:p>
  </w:footnote>
  <w:footnote w:id="23">
    <w:p w:rsidR="00444B59" w:rsidRPr="009B16C4" w:rsidRDefault="00444B59" w:rsidP="00F50731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„Od zemědělce ke spotřebiteli“ – udržitelná potravinová strategie</w:t>
      </w:r>
      <w:r>
        <w:t xml:space="preserve">, </w:t>
      </w:r>
      <w:hyperlink r:id="rId27" w:history="1">
        <w:r>
          <w:rPr>
            <w:rStyle w:val="Hyperlink"/>
          </w:rPr>
          <w:t>Úř. věst. C 429, 11.12.2020, s. 268</w:t>
        </w:r>
      </w:hyperlink>
      <w:r>
        <w:t>.</w:t>
      </w:r>
    </w:p>
  </w:footnote>
  <w:footnote w:id="24">
    <w:p w:rsidR="00444B59" w:rsidRPr="009B16C4" w:rsidRDefault="00444B59" w:rsidP="00F50731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Stanoviska EHSV </w:t>
      </w:r>
      <w:r>
        <w:rPr>
          <w:i/>
        </w:rPr>
        <w:t>Klimatická spravedlnost</w:t>
      </w:r>
      <w:r>
        <w:t xml:space="preserve">, </w:t>
      </w:r>
      <w:hyperlink r:id="rId28" w:history="1">
        <w:r>
          <w:rPr>
            <w:rStyle w:val="Hyperlink"/>
          </w:rPr>
          <w:t>Úř. věst. C 81, 2.3.2018, s. 22</w:t>
        </w:r>
      </w:hyperlink>
      <w:r>
        <w:t xml:space="preserve"> a </w:t>
      </w:r>
      <w:r>
        <w:rPr>
          <w:i/>
        </w:rPr>
        <w:t>Nová strategie EU pro přizpůsobení se změně klimatu</w:t>
      </w:r>
      <w:r>
        <w:t xml:space="preserve">, </w:t>
      </w:r>
      <w:hyperlink r:id="rId29" w:history="1">
        <w:r>
          <w:rPr>
            <w:rStyle w:val="Hyperlink"/>
          </w:rPr>
          <w:t>Úř. věst. C 374, 16.9.2021, s. 84</w:t>
        </w:r>
      </w:hyperlink>
      <w:r>
        <w:t>.</w:t>
      </w:r>
    </w:p>
  </w:footnote>
  <w:footnote w:id="25">
    <w:p w:rsidR="00EB27C9" w:rsidRPr="00E567D2" w:rsidRDefault="00EB27C9" w:rsidP="00F50731">
      <w:pPr>
        <w:pStyle w:val="FootnoteText"/>
      </w:pPr>
      <w:r>
        <w:rPr>
          <w:rStyle w:val="FootnoteReference"/>
        </w:rPr>
        <w:footnoteRef/>
      </w:r>
      <w:r>
        <w:tab/>
        <w:t xml:space="preserve">Stanovisko EHSV </w:t>
      </w:r>
      <w:r>
        <w:rPr>
          <w:i/>
        </w:rPr>
        <w:t>REPowerEU: společná evropská akce pro cenově dostupnější, bezpečnější a udržitelnější energii</w:t>
      </w:r>
      <w:r>
        <w:rPr>
          <w:rStyle w:val="Hyperlink"/>
          <w:color w:val="auto"/>
          <w:u w:val="none"/>
        </w:rPr>
        <w:t>,</w:t>
      </w:r>
      <w:r>
        <w:t xml:space="preserve"> </w:t>
      </w:r>
      <w:hyperlink r:id="rId30" w:history="1">
        <w:r>
          <w:rPr>
            <w:rStyle w:val="Hyperlink"/>
          </w:rPr>
          <w:t>Úř.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C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323, 26.8.2022, s. 123</w:t>
        </w:r>
      </w:hyperlink>
      <w:r>
        <w:t>.</w:t>
      </w:r>
    </w:p>
  </w:footnote>
  <w:footnote w:id="26">
    <w:p w:rsidR="00444B59" w:rsidRPr="005F3782" w:rsidRDefault="00444B59" w:rsidP="00F50731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„Fit for 55“: plnění klimatického cíle EU pro rok 2030 na cestě k pravidlům pro klimatickou neutralitu</w:t>
      </w:r>
      <w:r>
        <w:t xml:space="preserve">, </w:t>
      </w:r>
      <w:hyperlink r:id="rId31" w:history="1">
        <w:r>
          <w:rPr>
            <w:rStyle w:val="Hyperlink"/>
          </w:rPr>
          <w:t>Úř.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C 275, 18.7.2022, s. 101</w:t>
        </w:r>
      </w:hyperlink>
      <w:r>
        <w:t>.</w:t>
      </w:r>
    </w:p>
  </w:footnote>
  <w:footnote w:id="27">
    <w:p w:rsidR="00F81237" w:rsidRPr="00E567D2" w:rsidRDefault="00F81237" w:rsidP="00F50731">
      <w:pPr>
        <w:pStyle w:val="FootnoteText"/>
      </w:pPr>
      <w:r>
        <w:rPr>
          <w:rStyle w:val="FootnoteReference"/>
        </w:rPr>
        <w:footnoteRef/>
      </w:r>
      <w:r>
        <w:tab/>
        <w:t xml:space="preserve">Stanovisko EHSV </w:t>
      </w:r>
      <w:r>
        <w:rPr>
          <w:i/>
          <w:iCs/>
        </w:rPr>
        <w:t>Digitalizace a udržitelnost – současný stav a opatření, která je z pohledu občanské společnosti potřeba přijmout</w:t>
      </w:r>
      <w:r>
        <w:t xml:space="preserve">, </w:t>
      </w:r>
      <w:hyperlink r:id="rId32" w:history="1">
        <w:r>
          <w:rPr>
            <w:rStyle w:val="Hyperlink"/>
          </w:rPr>
          <w:t>Úř. věst. C 429, 11.12.2020, s. 187</w:t>
        </w:r>
      </w:hyperlink>
      <w:r>
        <w:t>.</w:t>
      </w:r>
    </w:p>
  </w:footnote>
  <w:footnote w:id="28">
    <w:p w:rsidR="00444B59" w:rsidRPr="009B16C4" w:rsidRDefault="00444B59" w:rsidP="00F50731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„Fit for 55“: plnění klimatického cíle EU pro rok 2030 na cestě k pravidlům pro klimatickou neutralitu</w:t>
      </w:r>
      <w:r>
        <w:t xml:space="preserve">, </w:t>
      </w:r>
      <w:hyperlink r:id="rId33" w:history="1">
        <w:r>
          <w:rPr>
            <w:rStyle w:val="Hyperlink"/>
          </w:rPr>
          <w:t>Úř.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C 275, 18.7.2022, s. 101</w:t>
        </w:r>
      </w:hyperlink>
      <w:r>
        <w:t>.</w:t>
      </w:r>
    </w:p>
  </w:footnote>
  <w:footnote w:id="29">
    <w:p w:rsidR="003567A8" w:rsidRPr="005F3782" w:rsidRDefault="003567A8" w:rsidP="005F3D6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 xml:space="preserve">Stanovisko EHSV </w:t>
      </w:r>
      <w:r>
        <w:rPr>
          <w:i/>
        </w:rPr>
        <w:t>„Fit for 55“: plnění klimatického cíle EU pro rok 2030 na cestě k pravidlům pro klimatickou neutralitu</w:t>
      </w:r>
      <w:r>
        <w:t xml:space="preserve">, </w:t>
      </w:r>
      <w:hyperlink r:id="rId34" w:history="1">
        <w:r>
          <w:rPr>
            <w:rStyle w:val="Hyperlink"/>
          </w:rPr>
          <w:t>Úř.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věst.</w:t>
        </w:r>
        <w:r w:rsidR="00F50731">
          <w:rPr>
            <w:rStyle w:val="Hyperlink"/>
          </w:rPr>
          <w:t> </w:t>
        </w:r>
        <w:r>
          <w:rPr>
            <w:rStyle w:val="Hyperlink"/>
          </w:rPr>
          <w:t>C 275, 18.7.2022, s. 101</w:t>
        </w:r>
      </w:hyperlink>
      <w:r>
        <w:t>.</w:t>
      </w:r>
    </w:p>
  </w:footnote>
  <w:footnote w:id="30">
    <w:p w:rsidR="00EE319C" w:rsidRPr="005F3782" w:rsidRDefault="00EE319C" w:rsidP="005F3D6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5" w:history="1">
        <w:r>
          <w:rPr>
            <w:rStyle w:val="Hyperlink"/>
            <w:i/>
          </w:rPr>
          <w:t xml:space="preserve">2020 </w:t>
        </w:r>
        <w:proofErr w:type="spellStart"/>
        <w:r>
          <w:rPr>
            <w:rStyle w:val="Hyperlink"/>
            <w:i/>
          </w:rPr>
          <w:t>Pocket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Guide</w:t>
        </w:r>
        <w:proofErr w:type="spellEnd"/>
        <w:r>
          <w:rPr>
            <w:rStyle w:val="Hyperlink"/>
            <w:i/>
          </w:rPr>
          <w:t xml:space="preserve"> to Gender </w:t>
        </w:r>
        <w:proofErr w:type="spellStart"/>
        <w:r>
          <w:rPr>
            <w:rStyle w:val="Hyperlink"/>
            <w:i/>
          </w:rPr>
          <w:t>Equality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under</w:t>
        </w:r>
        <w:proofErr w:type="spellEnd"/>
        <w:r>
          <w:rPr>
            <w:rStyle w:val="Hyperlink"/>
            <w:i/>
          </w:rPr>
          <w:t xml:space="preserve"> </w:t>
        </w:r>
        <w:proofErr w:type="spellStart"/>
        <w:r>
          <w:rPr>
            <w:rStyle w:val="Hyperlink"/>
            <w:i/>
          </w:rPr>
          <w:t>the</w:t>
        </w:r>
        <w:proofErr w:type="spellEnd"/>
        <w:r>
          <w:rPr>
            <w:rStyle w:val="Hyperlink"/>
            <w:i/>
          </w:rPr>
          <w:t xml:space="preserve"> UNFCCC</w:t>
        </w:r>
        <w:r>
          <w:rPr>
            <w:rStyle w:val="Hyperlink"/>
          </w:rPr>
          <w:t xml:space="preserve"> (Kapesní příručka: genderová rovnost v rámci UNFCCC (2020)) – WEDO</w:t>
        </w:r>
      </w:hyperlink>
      <w:r>
        <w:t>.</w:t>
      </w:r>
    </w:p>
  </w:footnote>
  <w:footnote w:id="31">
    <w:p w:rsidR="009F475F" w:rsidRPr="005F3782" w:rsidRDefault="009F475F" w:rsidP="005F3D6E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Připravované stanovisko EHSV (NAT/788) </w:t>
      </w:r>
      <w:hyperlink r:id="rId36" w:history="1">
        <w:r>
          <w:rPr>
            <w:rStyle w:val="Hyperlink"/>
            <w:i/>
          </w:rPr>
          <w:t>Směrem ke strukturovanému zapojení mládeže v otázkách klimatu a udržitelnosti v</w:t>
        </w:r>
        <w:r w:rsidR="00F50731">
          <w:rPr>
            <w:rStyle w:val="Hyperlink"/>
            <w:i/>
          </w:rPr>
          <w:t> </w:t>
        </w:r>
        <w:r>
          <w:rPr>
            <w:rStyle w:val="Hyperlink"/>
            <w:i/>
          </w:rPr>
          <w:t>rámci rozhodovacího procesu EU</w:t>
        </w:r>
      </w:hyperlink>
      <w:r>
        <w:t>.</w:t>
      </w:r>
    </w:p>
  </w:footnote>
  <w:footnote w:id="32">
    <w:p w:rsidR="00B27016" w:rsidRPr="005F3782" w:rsidRDefault="00B27016" w:rsidP="005F3D6E">
      <w:pPr>
        <w:pStyle w:val="FootnoteText"/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37" w:history="1">
        <w:proofErr w:type="spellStart"/>
        <w:r>
          <w:rPr>
            <w:rStyle w:val="Hyperlink"/>
          </w:rPr>
          <w:t>Indigenous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peoples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defend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Earth’s</w:t>
        </w:r>
        <w:proofErr w:type="spellEnd"/>
        <w:r>
          <w:rPr>
            <w:rStyle w:val="Hyperlink"/>
          </w:rPr>
          <w:t xml:space="preserve"> biodiversity – but </w:t>
        </w:r>
        <w:proofErr w:type="spellStart"/>
        <w:r>
          <w:rPr>
            <w:rStyle w:val="Hyperlink"/>
          </w:rPr>
          <w:t>they’re</w:t>
        </w:r>
        <w:proofErr w:type="spellEnd"/>
        <w:r>
          <w:rPr>
            <w:rStyle w:val="Hyperlink"/>
          </w:rPr>
          <w:t xml:space="preserve"> in </w:t>
        </w:r>
        <w:proofErr w:type="spellStart"/>
        <w:r>
          <w:rPr>
            <w:rStyle w:val="Hyperlink"/>
          </w:rPr>
          <w:t>danger</w:t>
        </w:r>
        <w:proofErr w:type="spellEnd"/>
        <w:r>
          <w:rPr>
            <w:rStyle w:val="Hyperlink"/>
          </w:rPr>
          <w:t xml:space="preserve"> (Původní obyvatelé brání biologickou rozmanitost Země, jsou však v ohrožení)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0F5C31">
    <w:pPr>
      <w:pStyle w:val="Header"/>
    </w:pPr>
    <w:r>
      <w:pict w14:anchorId="4C30A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16391" type="#_x0000_t75" style="position:absolute;left:0;text-align:left;margin-left:0;margin-top:0;width:598.15pt;height:843.9pt;z-index:-25165875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9C6BCF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4B048986" wp14:editId="081CBAA4">
          <wp:simplePos x="0" y="0"/>
          <wp:positionH relativeFrom="page">
            <wp:posOffset>307814</wp:posOffset>
          </wp:positionH>
          <wp:positionV relativeFrom="page">
            <wp:posOffset>127162</wp:posOffset>
          </wp:positionV>
          <wp:extent cx="6944398" cy="3344275"/>
          <wp:effectExtent l="0" t="0" r="0" b="8890"/>
          <wp:wrapNone/>
          <wp:docPr id="6" name="Picture 6" title="EESCLogo2021_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C31">
      <w:pict w14:anchorId="00D77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16392" type="#_x0000_t75" style="position:absolute;left:0;text-align:left;margin-left:0;margin-top:0;width:598.15pt;height:843.9pt;z-index:-251657728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0F5C31">
    <w:pPr>
      <w:pStyle w:val="Header"/>
    </w:pPr>
    <w:r>
      <w:pict w14:anchorId="6655E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16390" type="#_x0000_t75" style="position:absolute;left:0;text-align:left;margin-left:0;margin-top:0;width:598.15pt;height:843.9pt;z-index:-25165977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0F5C31">
    <w:pPr>
      <w:pStyle w:val="Header"/>
    </w:pPr>
    <w:r>
      <w:pict w14:anchorId="0845C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16394" type="#_x0000_t75" style="position:absolute;left:0;text-align:left;margin-left:0;margin-top:0;width:598.15pt;height:843.9pt;z-index:-25165568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180C9D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FB1CD0D" wp14:editId="06F585A8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9D" w:rsidRDefault="000F5C31">
    <w:pPr>
      <w:pStyle w:val="Header"/>
    </w:pPr>
    <w:r>
      <w:pict w14:anchorId="781BD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16393" type="#_x0000_t75" style="position:absolute;left:0;text-align:left;margin-left:0;margin-top:0;width:598.15pt;height:843.9pt;z-index:-251656704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2E7EE1" w:rsidRDefault="00526B40" w:rsidP="002E7EE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0" w:rsidRPr="00526B40" w:rsidRDefault="00526B40" w:rsidP="00526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80A0DAE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B337C2"/>
    <w:multiLevelType w:val="hybridMultilevel"/>
    <w:tmpl w:val="560A56B6"/>
    <w:lvl w:ilvl="0" w:tplc="130ADC2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414"/>
    <w:multiLevelType w:val="hybridMultilevel"/>
    <w:tmpl w:val="B4BAC6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C9"/>
    <w:multiLevelType w:val="hybridMultilevel"/>
    <w:tmpl w:val="86222EB0"/>
    <w:lvl w:ilvl="0" w:tplc="9174A72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B1F21"/>
    <w:multiLevelType w:val="hybridMultilevel"/>
    <w:tmpl w:val="FD7661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77FC2"/>
    <w:multiLevelType w:val="hybridMultilevel"/>
    <w:tmpl w:val="29B0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10200"/>
    <w:multiLevelType w:val="hybridMultilevel"/>
    <w:tmpl w:val="C99CE2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1B5C"/>
    <w:multiLevelType w:val="hybridMultilevel"/>
    <w:tmpl w:val="9284693E"/>
    <w:lvl w:ilvl="0" w:tplc="6396C9C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336"/>
    <w:multiLevelType w:val="hybridMultilevel"/>
    <w:tmpl w:val="AFEC9D88"/>
    <w:lvl w:ilvl="0" w:tplc="1196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2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0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2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D1D40"/>
    <w:multiLevelType w:val="hybridMultilevel"/>
    <w:tmpl w:val="572A7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AD4"/>
    <w:multiLevelType w:val="hybridMultilevel"/>
    <w:tmpl w:val="156AF25E"/>
    <w:lvl w:ilvl="0" w:tplc="4C8629AC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7E514B"/>
    <w:multiLevelType w:val="hybridMultilevel"/>
    <w:tmpl w:val="C82A87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95"/>
    <o:shapelayout v:ext="edit">
      <o:idmap v:ext="edit" data="1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01"/>
    <w:rsid w:val="00007773"/>
    <w:rsid w:val="000079E5"/>
    <w:rsid w:val="00010FC6"/>
    <w:rsid w:val="000120CD"/>
    <w:rsid w:val="00013255"/>
    <w:rsid w:val="00020F19"/>
    <w:rsid w:val="00030E21"/>
    <w:rsid w:val="00032E37"/>
    <w:rsid w:val="0003449F"/>
    <w:rsid w:val="000358F0"/>
    <w:rsid w:val="000414DE"/>
    <w:rsid w:val="00047980"/>
    <w:rsid w:val="00047D68"/>
    <w:rsid w:val="00050B81"/>
    <w:rsid w:val="00053594"/>
    <w:rsid w:val="00053B1C"/>
    <w:rsid w:val="00054D9D"/>
    <w:rsid w:val="000574BC"/>
    <w:rsid w:val="00062D0C"/>
    <w:rsid w:val="000710D8"/>
    <w:rsid w:val="00076057"/>
    <w:rsid w:val="00081EAE"/>
    <w:rsid w:val="0008251E"/>
    <w:rsid w:val="00082AB6"/>
    <w:rsid w:val="00083FD7"/>
    <w:rsid w:val="00091780"/>
    <w:rsid w:val="00094578"/>
    <w:rsid w:val="000A0FF9"/>
    <w:rsid w:val="000A58FB"/>
    <w:rsid w:val="000C30B4"/>
    <w:rsid w:val="000D1E9E"/>
    <w:rsid w:val="000F22F9"/>
    <w:rsid w:val="000F3131"/>
    <w:rsid w:val="000F577D"/>
    <w:rsid w:val="001024F7"/>
    <w:rsid w:val="0010269A"/>
    <w:rsid w:val="001063B3"/>
    <w:rsid w:val="00107725"/>
    <w:rsid w:val="00110795"/>
    <w:rsid w:val="00112C96"/>
    <w:rsid w:val="0011335A"/>
    <w:rsid w:val="001210DE"/>
    <w:rsid w:val="00122408"/>
    <w:rsid w:val="00127863"/>
    <w:rsid w:val="0014073F"/>
    <w:rsid w:val="001420B1"/>
    <w:rsid w:val="0014388E"/>
    <w:rsid w:val="001522F6"/>
    <w:rsid w:val="001528E9"/>
    <w:rsid w:val="00160934"/>
    <w:rsid w:val="00164C3A"/>
    <w:rsid w:val="00172E65"/>
    <w:rsid w:val="00180C9D"/>
    <w:rsid w:val="0018583B"/>
    <w:rsid w:val="001A1A3D"/>
    <w:rsid w:val="001A4755"/>
    <w:rsid w:val="001B07D7"/>
    <w:rsid w:val="001B74DB"/>
    <w:rsid w:val="001C13D6"/>
    <w:rsid w:val="001C5AD1"/>
    <w:rsid w:val="001C5CC5"/>
    <w:rsid w:val="001C6918"/>
    <w:rsid w:val="001D0A3D"/>
    <w:rsid w:val="001D3DDD"/>
    <w:rsid w:val="001D3EF3"/>
    <w:rsid w:val="001E56F8"/>
    <w:rsid w:val="001E6F56"/>
    <w:rsid w:val="001E70B5"/>
    <w:rsid w:val="001F2404"/>
    <w:rsid w:val="002025CA"/>
    <w:rsid w:val="00210AC4"/>
    <w:rsid w:val="00213319"/>
    <w:rsid w:val="00216D49"/>
    <w:rsid w:val="002200A3"/>
    <w:rsid w:val="00220171"/>
    <w:rsid w:val="0022449B"/>
    <w:rsid w:val="00224B58"/>
    <w:rsid w:val="002319CC"/>
    <w:rsid w:val="002428AC"/>
    <w:rsid w:val="00245087"/>
    <w:rsid w:val="00246C92"/>
    <w:rsid w:val="00250853"/>
    <w:rsid w:val="00251F8E"/>
    <w:rsid w:val="0025667C"/>
    <w:rsid w:val="00261EB8"/>
    <w:rsid w:val="0027499D"/>
    <w:rsid w:val="00276FB4"/>
    <w:rsid w:val="00277BBA"/>
    <w:rsid w:val="0028320C"/>
    <w:rsid w:val="002911C6"/>
    <w:rsid w:val="0029184B"/>
    <w:rsid w:val="00293BF8"/>
    <w:rsid w:val="002A1DD3"/>
    <w:rsid w:val="002A4183"/>
    <w:rsid w:val="002B0474"/>
    <w:rsid w:val="002B24A9"/>
    <w:rsid w:val="002C2B01"/>
    <w:rsid w:val="002C3963"/>
    <w:rsid w:val="002C59E9"/>
    <w:rsid w:val="002D1697"/>
    <w:rsid w:val="002E4FAE"/>
    <w:rsid w:val="002E7EE1"/>
    <w:rsid w:val="002F108E"/>
    <w:rsid w:val="002F2E5C"/>
    <w:rsid w:val="00310649"/>
    <w:rsid w:val="0031122E"/>
    <w:rsid w:val="00312E1F"/>
    <w:rsid w:val="00317B29"/>
    <w:rsid w:val="0032590D"/>
    <w:rsid w:val="00325B6D"/>
    <w:rsid w:val="00327938"/>
    <w:rsid w:val="00333ED2"/>
    <w:rsid w:val="00353B1A"/>
    <w:rsid w:val="003567A8"/>
    <w:rsid w:val="00361AAA"/>
    <w:rsid w:val="0039570B"/>
    <w:rsid w:val="003A552C"/>
    <w:rsid w:val="003A5BD7"/>
    <w:rsid w:val="003C2548"/>
    <w:rsid w:val="003C63C8"/>
    <w:rsid w:val="003D02F9"/>
    <w:rsid w:val="003D0D15"/>
    <w:rsid w:val="003D0E4A"/>
    <w:rsid w:val="003D17B9"/>
    <w:rsid w:val="003E12B0"/>
    <w:rsid w:val="003E6F23"/>
    <w:rsid w:val="003F1226"/>
    <w:rsid w:val="003F3573"/>
    <w:rsid w:val="003F40D4"/>
    <w:rsid w:val="00400D58"/>
    <w:rsid w:val="0040134E"/>
    <w:rsid w:val="00411708"/>
    <w:rsid w:val="0041312C"/>
    <w:rsid w:val="00414F13"/>
    <w:rsid w:val="00424F46"/>
    <w:rsid w:val="0042531D"/>
    <w:rsid w:val="004254CB"/>
    <w:rsid w:val="00426786"/>
    <w:rsid w:val="00444B59"/>
    <w:rsid w:val="0044565F"/>
    <w:rsid w:val="004576EE"/>
    <w:rsid w:val="0046063B"/>
    <w:rsid w:val="00465F14"/>
    <w:rsid w:val="00475FDE"/>
    <w:rsid w:val="00481CE2"/>
    <w:rsid w:val="004825B2"/>
    <w:rsid w:val="00492189"/>
    <w:rsid w:val="00497488"/>
    <w:rsid w:val="004A2A58"/>
    <w:rsid w:val="004A3037"/>
    <w:rsid w:val="004A39C9"/>
    <w:rsid w:val="004A49B9"/>
    <w:rsid w:val="004C238F"/>
    <w:rsid w:val="004E2F54"/>
    <w:rsid w:val="004E503C"/>
    <w:rsid w:val="004E5901"/>
    <w:rsid w:val="004F04C7"/>
    <w:rsid w:val="004F2471"/>
    <w:rsid w:val="004F2AA6"/>
    <w:rsid w:val="004F757A"/>
    <w:rsid w:val="00506F07"/>
    <w:rsid w:val="00516A37"/>
    <w:rsid w:val="00516EDB"/>
    <w:rsid w:val="00520445"/>
    <w:rsid w:val="00522909"/>
    <w:rsid w:val="0052304F"/>
    <w:rsid w:val="005240E4"/>
    <w:rsid w:val="00524D70"/>
    <w:rsid w:val="005252C5"/>
    <w:rsid w:val="00526B40"/>
    <w:rsid w:val="00533DDC"/>
    <w:rsid w:val="005350BD"/>
    <w:rsid w:val="00540820"/>
    <w:rsid w:val="00543898"/>
    <w:rsid w:val="00545A8D"/>
    <w:rsid w:val="0055343D"/>
    <w:rsid w:val="00553760"/>
    <w:rsid w:val="00554DBC"/>
    <w:rsid w:val="00560833"/>
    <w:rsid w:val="00565A46"/>
    <w:rsid w:val="00567475"/>
    <w:rsid w:val="00570EB2"/>
    <w:rsid w:val="00570F8A"/>
    <w:rsid w:val="00577E20"/>
    <w:rsid w:val="00581CB9"/>
    <w:rsid w:val="00582ABD"/>
    <w:rsid w:val="00586755"/>
    <w:rsid w:val="005933EE"/>
    <w:rsid w:val="005942E9"/>
    <w:rsid w:val="00597A7F"/>
    <w:rsid w:val="005A1F93"/>
    <w:rsid w:val="005A2860"/>
    <w:rsid w:val="005A6199"/>
    <w:rsid w:val="005B331C"/>
    <w:rsid w:val="005C5960"/>
    <w:rsid w:val="005D233A"/>
    <w:rsid w:val="005D5E98"/>
    <w:rsid w:val="005D6C1C"/>
    <w:rsid w:val="005E2540"/>
    <w:rsid w:val="005E5612"/>
    <w:rsid w:val="005F3782"/>
    <w:rsid w:val="005F3D6E"/>
    <w:rsid w:val="005F44F7"/>
    <w:rsid w:val="005F5E01"/>
    <w:rsid w:val="0060072A"/>
    <w:rsid w:val="006026C3"/>
    <w:rsid w:val="00603282"/>
    <w:rsid w:val="00603397"/>
    <w:rsid w:val="006169F0"/>
    <w:rsid w:val="00617ABC"/>
    <w:rsid w:val="00617B1E"/>
    <w:rsid w:val="00626EA5"/>
    <w:rsid w:val="00630EFA"/>
    <w:rsid w:val="006377AD"/>
    <w:rsid w:val="0065059A"/>
    <w:rsid w:val="0065271C"/>
    <w:rsid w:val="00661468"/>
    <w:rsid w:val="006671F8"/>
    <w:rsid w:val="00670077"/>
    <w:rsid w:val="00670217"/>
    <w:rsid w:val="00692681"/>
    <w:rsid w:val="006A01E6"/>
    <w:rsid w:val="006A36E1"/>
    <w:rsid w:val="006B78AF"/>
    <w:rsid w:val="006C0250"/>
    <w:rsid w:val="006C5D3F"/>
    <w:rsid w:val="006D019C"/>
    <w:rsid w:val="006D2F1C"/>
    <w:rsid w:val="006E093F"/>
    <w:rsid w:val="006E3BC9"/>
    <w:rsid w:val="006F5D08"/>
    <w:rsid w:val="00700B2B"/>
    <w:rsid w:val="00705092"/>
    <w:rsid w:val="00707DFC"/>
    <w:rsid w:val="00710362"/>
    <w:rsid w:val="00710624"/>
    <w:rsid w:val="0071287F"/>
    <w:rsid w:val="00721976"/>
    <w:rsid w:val="007223E8"/>
    <w:rsid w:val="007224D6"/>
    <w:rsid w:val="00731E22"/>
    <w:rsid w:val="007322BD"/>
    <w:rsid w:val="00737DEA"/>
    <w:rsid w:val="00743DFE"/>
    <w:rsid w:val="00743E25"/>
    <w:rsid w:val="00745B9A"/>
    <w:rsid w:val="00746FB1"/>
    <w:rsid w:val="0076018C"/>
    <w:rsid w:val="00763C6B"/>
    <w:rsid w:val="00765637"/>
    <w:rsid w:val="007708BF"/>
    <w:rsid w:val="0077152F"/>
    <w:rsid w:val="00775484"/>
    <w:rsid w:val="00775637"/>
    <w:rsid w:val="0077652B"/>
    <w:rsid w:val="0078686E"/>
    <w:rsid w:val="00786F2F"/>
    <w:rsid w:val="00790A6F"/>
    <w:rsid w:val="00794F2D"/>
    <w:rsid w:val="007A1151"/>
    <w:rsid w:val="007A5A88"/>
    <w:rsid w:val="007C32B7"/>
    <w:rsid w:val="007C4F70"/>
    <w:rsid w:val="007C5A1C"/>
    <w:rsid w:val="007C5F52"/>
    <w:rsid w:val="007D0A89"/>
    <w:rsid w:val="007D0B81"/>
    <w:rsid w:val="007E0872"/>
    <w:rsid w:val="007E34B1"/>
    <w:rsid w:val="007E39E9"/>
    <w:rsid w:val="007F5D59"/>
    <w:rsid w:val="00803823"/>
    <w:rsid w:val="00806BAA"/>
    <w:rsid w:val="00810157"/>
    <w:rsid w:val="008156F4"/>
    <w:rsid w:val="008176F0"/>
    <w:rsid w:val="00817935"/>
    <w:rsid w:val="008206AB"/>
    <w:rsid w:val="00824CD1"/>
    <w:rsid w:val="008277E1"/>
    <w:rsid w:val="00833E48"/>
    <w:rsid w:val="00844FC4"/>
    <w:rsid w:val="00845E39"/>
    <w:rsid w:val="00846350"/>
    <w:rsid w:val="0085156D"/>
    <w:rsid w:val="0085181B"/>
    <w:rsid w:val="00852FE8"/>
    <w:rsid w:val="0086482A"/>
    <w:rsid w:val="00866CDC"/>
    <w:rsid w:val="00870C63"/>
    <w:rsid w:val="008746D2"/>
    <w:rsid w:val="00882017"/>
    <w:rsid w:val="0088253F"/>
    <w:rsid w:val="008850FC"/>
    <w:rsid w:val="008863D6"/>
    <w:rsid w:val="0089555A"/>
    <w:rsid w:val="00897DDC"/>
    <w:rsid w:val="008A03FA"/>
    <w:rsid w:val="008A6CF4"/>
    <w:rsid w:val="008B12F6"/>
    <w:rsid w:val="008C1ADC"/>
    <w:rsid w:val="008C5A07"/>
    <w:rsid w:val="008D4C78"/>
    <w:rsid w:val="008D5813"/>
    <w:rsid w:val="008E0B59"/>
    <w:rsid w:val="008E15FF"/>
    <w:rsid w:val="008E35E8"/>
    <w:rsid w:val="008E5096"/>
    <w:rsid w:val="008F1733"/>
    <w:rsid w:val="008F45EA"/>
    <w:rsid w:val="008F6617"/>
    <w:rsid w:val="009018BB"/>
    <w:rsid w:val="00940450"/>
    <w:rsid w:val="00952F11"/>
    <w:rsid w:val="00953E81"/>
    <w:rsid w:val="00956102"/>
    <w:rsid w:val="009562D0"/>
    <w:rsid w:val="00965573"/>
    <w:rsid w:val="00967726"/>
    <w:rsid w:val="0096791E"/>
    <w:rsid w:val="0098098C"/>
    <w:rsid w:val="0098098F"/>
    <w:rsid w:val="009813C0"/>
    <w:rsid w:val="00987D42"/>
    <w:rsid w:val="009905B3"/>
    <w:rsid w:val="009A4326"/>
    <w:rsid w:val="009A4328"/>
    <w:rsid w:val="009B07C8"/>
    <w:rsid w:val="009B16C4"/>
    <w:rsid w:val="009B4C74"/>
    <w:rsid w:val="009B5C4D"/>
    <w:rsid w:val="009B6837"/>
    <w:rsid w:val="009C586D"/>
    <w:rsid w:val="009C5FF9"/>
    <w:rsid w:val="009C6BCF"/>
    <w:rsid w:val="009D1D3E"/>
    <w:rsid w:val="009D72F3"/>
    <w:rsid w:val="009E2570"/>
    <w:rsid w:val="009E3EF9"/>
    <w:rsid w:val="009F3005"/>
    <w:rsid w:val="009F475F"/>
    <w:rsid w:val="00A00B14"/>
    <w:rsid w:val="00A03256"/>
    <w:rsid w:val="00A12E50"/>
    <w:rsid w:val="00A133B3"/>
    <w:rsid w:val="00A164BD"/>
    <w:rsid w:val="00A170B9"/>
    <w:rsid w:val="00A17E67"/>
    <w:rsid w:val="00A21967"/>
    <w:rsid w:val="00A222D7"/>
    <w:rsid w:val="00A259B7"/>
    <w:rsid w:val="00A36554"/>
    <w:rsid w:val="00A37E2A"/>
    <w:rsid w:val="00A42B33"/>
    <w:rsid w:val="00A5534E"/>
    <w:rsid w:val="00A621E3"/>
    <w:rsid w:val="00A62A18"/>
    <w:rsid w:val="00A67BB2"/>
    <w:rsid w:val="00A726A8"/>
    <w:rsid w:val="00A73469"/>
    <w:rsid w:val="00A853D9"/>
    <w:rsid w:val="00A876F4"/>
    <w:rsid w:val="00A92A06"/>
    <w:rsid w:val="00A9456F"/>
    <w:rsid w:val="00AA482D"/>
    <w:rsid w:val="00AA54B3"/>
    <w:rsid w:val="00AA6629"/>
    <w:rsid w:val="00AB53B4"/>
    <w:rsid w:val="00AB7934"/>
    <w:rsid w:val="00AC1A1D"/>
    <w:rsid w:val="00AD00BB"/>
    <w:rsid w:val="00AD4928"/>
    <w:rsid w:val="00AD7602"/>
    <w:rsid w:val="00AE2590"/>
    <w:rsid w:val="00AE4609"/>
    <w:rsid w:val="00AF25FB"/>
    <w:rsid w:val="00AF71F0"/>
    <w:rsid w:val="00B01289"/>
    <w:rsid w:val="00B01BA1"/>
    <w:rsid w:val="00B04342"/>
    <w:rsid w:val="00B04FF3"/>
    <w:rsid w:val="00B073B5"/>
    <w:rsid w:val="00B150DC"/>
    <w:rsid w:val="00B205A5"/>
    <w:rsid w:val="00B20ABB"/>
    <w:rsid w:val="00B2659F"/>
    <w:rsid w:val="00B27016"/>
    <w:rsid w:val="00B42531"/>
    <w:rsid w:val="00B45F35"/>
    <w:rsid w:val="00B52B01"/>
    <w:rsid w:val="00B626ED"/>
    <w:rsid w:val="00B62C19"/>
    <w:rsid w:val="00B642F9"/>
    <w:rsid w:val="00B7082E"/>
    <w:rsid w:val="00B71AC3"/>
    <w:rsid w:val="00B71DCF"/>
    <w:rsid w:val="00B77A3A"/>
    <w:rsid w:val="00B8259C"/>
    <w:rsid w:val="00B85401"/>
    <w:rsid w:val="00B87189"/>
    <w:rsid w:val="00B91C64"/>
    <w:rsid w:val="00BA6C8E"/>
    <w:rsid w:val="00BB4DFA"/>
    <w:rsid w:val="00BB788A"/>
    <w:rsid w:val="00BC103D"/>
    <w:rsid w:val="00BD0948"/>
    <w:rsid w:val="00BD3C5C"/>
    <w:rsid w:val="00BD3EB8"/>
    <w:rsid w:val="00BD5CD8"/>
    <w:rsid w:val="00BE6751"/>
    <w:rsid w:val="00BE77CC"/>
    <w:rsid w:val="00BF16EA"/>
    <w:rsid w:val="00BF1CE2"/>
    <w:rsid w:val="00C0106D"/>
    <w:rsid w:val="00C07570"/>
    <w:rsid w:val="00C12FAA"/>
    <w:rsid w:val="00C205C9"/>
    <w:rsid w:val="00C21A2C"/>
    <w:rsid w:val="00C238B1"/>
    <w:rsid w:val="00C23B16"/>
    <w:rsid w:val="00C3245F"/>
    <w:rsid w:val="00C36A32"/>
    <w:rsid w:val="00C375B8"/>
    <w:rsid w:val="00C5108E"/>
    <w:rsid w:val="00C52F45"/>
    <w:rsid w:val="00C551C1"/>
    <w:rsid w:val="00C57DA5"/>
    <w:rsid w:val="00C62504"/>
    <w:rsid w:val="00C63F7A"/>
    <w:rsid w:val="00C67831"/>
    <w:rsid w:val="00C7353C"/>
    <w:rsid w:val="00C740ED"/>
    <w:rsid w:val="00C852CF"/>
    <w:rsid w:val="00C908AB"/>
    <w:rsid w:val="00C92408"/>
    <w:rsid w:val="00C93B38"/>
    <w:rsid w:val="00CA61D4"/>
    <w:rsid w:val="00CA7EDF"/>
    <w:rsid w:val="00CA7FAC"/>
    <w:rsid w:val="00CB0629"/>
    <w:rsid w:val="00CB0BBD"/>
    <w:rsid w:val="00CB14BC"/>
    <w:rsid w:val="00CC20C3"/>
    <w:rsid w:val="00CC3A72"/>
    <w:rsid w:val="00CD1029"/>
    <w:rsid w:val="00CD43E8"/>
    <w:rsid w:val="00CD4643"/>
    <w:rsid w:val="00CD79AE"/>
    <w:rsid w:val="00CE4688"/>
    <w:rsid w:val="00CF1607"/>
    <w:rsid w:val="00CF2433"/>
    <w:rsid w:val="00D02FDF"/>
    <w:rsid w:val="00D12818"/>
    <w:rsid w:val="00D1414D"/>
    <w:rsid w:val="00D2042C"/>
    <w:rsid w:val="00D2231B"/>
    <w:rsid w:val="00D27851"/>
    <w:rsid w:val="00D27A92"/>
    <w:rsid w:val="00D51F5E"/>
    <w:rsid w:val="00D54118"/>
    <w:rsid w:val="00D570D3"/>
    <w:rsid w:val="00D574A2"/>
    <w:rsid w:val="00D60601"/>
    <w:rsid w:val="00D64047"/>
    <w:rsid w:val="00D6633E"/>
    <w:rsid w:val="00D67EFD"/>
    <w:rsid w:val="00D74893"/>
    <w:rsid w:val="00D77C17"/>
    <w:rsid w:val="00D77EA8"/>
    <w:rsid w:val="00D8252A"/>
    <w:rsid w:val="00D8439B"/>
    <w:rsid w:val="00D96182"/>
    <w:rsid w:val="00D96349"/>
    <w:rsid w:val="00D96634"/>
    <w:rsid w:val="00D96C2A"/>
    <w:rsid w:val="00DA0977"/>
    <w:rsid w:val="00DA10AF"/>
    <w:rsid w:val="00DA22B0"/>
    <w:rsid w:val="00DA7721"/>
    <w:rsid w:val="00DB5BB4"/>
    <w:rsid w:val="00DC6A9B"/>
    <w:rsid w:val="00DC6D66"/>
    <w:rsid w:val="00DD2A69"/>
    <w:rsid w:val="00DD3830"/>
    <w:rsid w:val="00DD4E5E"/>
    <w:rsid w:val="00DD6CEE"/>
    <w:rsid w:val="00DE24B9"/>
    <w:rsid w:val="00DE3250"/>
    <w:rsid w:val="00DE5B7A"/>
    <w:rsid w:val="00DE79F5"/>
    <w:rsid w:val="00DF32BE"/>
    <w:rsid w:val="00DF46E1"/>
    <w:rsid w:val="00DF4F94"/>
    <w:rsid w:val="00DF7757"/>
    <w:rsid w:val="00E01716"/>
    <w:rsid w:val="00E05711"/>
    <w:rsid w:val="00E24747"/>
    <w:rsid w:val="00E25EDF"/>
    <w:rsid w:val="00E362FB"/>
    <w:rsid w:val="00E42D33"/>
    <w:rsid w:val="00E567D2"/>
    <w:rsid w:val="00E57DC0"/>
    <w:rsid w:val="00E6649F"/>
    <w:rsid w:val="00E66B87"/>
    <w:rsid w:val="00E80011"/>
    <w:rsid w:val="00E83BF6"/>
    <w:rsid w:val="00E83F17"/>
    <w:rsid w:val="00E9366E"/>
    <w:rsid w:val="00EA1709"/>
    <w:rsid w:val="00EA2B05"/>
    <w:rsid w:val="00EA5E8A"/>
    <w:rsid w:val="00EB0B86"/>
    <w:rsid w:val="00EB1B49"/>
    <w:rsid w:val="00EB240C"/>
    <w:rsid w:val="00EB27C9"/>
    <w:rsid w:val="00EC4EDF"/>
    <w:rsid w:val="00EC7600"/>
    <w:rsid w:val="00ED2C5C"/>
    <w:rsid w:val="00EE0E4F"/>
    <w:rsid w:val="00EE319C"/>
    <w:rsid w:val="00EE6795"/>
    <w:rsid w:val="00EE6803"/>
    <w:rsid w:val="00EE6D66"/>
    <w:rsid w:val="00EF3B48"/>
    <w:rsid w:val="00EF6F7C"/>
    <w:rsid w:val="00F07E26"/>
    <w:rsid w:val="00F14C0E"/>
    <w:rsid w:val="00F22EB4"/>
    <w:rsid w:val="00F23B61"/>
    <w:rsid w:val="00F25A8E"/>
    <w:rsid w:val="00F30C50"/>
    <w:rsid w:val="00F32CB4"/>
    <w:rsid w:val="00F34F7D"/>
    <w:rsid w:val="00F4047E"/>
    <w:rsid w:val="00F426F7"/>
    <w:rsid w:val="00F443E3"/>
    <w:rsid w:val="00F467FD"/>
    <w:rsid w:val="00F50731"/>
    <w:rsid w:val="00F509F7"/>
    <w:rsid w:val="00F5520F"/>
    <w:rsid w:val="00F5730D"/>
    <w:rsid w:val="00F6135D"/>
    <w:rsid w:val="00F63D08"/>
    <w:rsid w:val="00F65972"/>
    <w:rsid w:val="00F71374"/>
    <w:rsid w:val="00F72497"/>
    <w:rsid w:val="00F73246"/>
    <w:rsid w:val="00F81237"/>
    <w:rsid w:val="00F8473A"/>
    <w:rsid w:val="00F95E1A"/>
    <w:rsid w:val="00F970A7"/>
    <w:rsid w:val="00FA47E2"/>
    <w:rsid w:val="00FA7C73"/>
    <w:rsid w:val="00FB4E1C"/>
    <w:rsid w:val="00FC13FF"/>
    <w:rsid w:val="00FC265D"/>
    <w:rsid w:val="00FC5DCF"/>
    <w:rsid w:val="00FC60AD"/>
    <w:rsid w:val="00FD4C7F"/>
    <w:rsid w:val="00FD797D"/>
    <w:rsid w:val="00FE3D81"/>
    <w:rsid w:val="00FE6FF6"/>
    <w:rsid w:val="00FE776D"/>
    <w:rsid w:val="00FE7EF1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5"/>
    <o:shapelayout v:ext="edit">
      <o:idmap v:ext="edit" data="1"/>
    </o:shapelayout>
  </w:shapeDefaults>
  <w:decimalSymbol w:val=","/>
  <w:listSeparator w:val=","/>
  <w14:docId w14:val="0F0D3EBD"/>
  <w15:chartTrackingRefBased/>
  <w15:docId w15:val="{A7A01279-E3D5-4F80-AAB3-1C26A53C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C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8A03FA"/>
    <w:pPr>
      <w:numPr>
        <w:numId w:val="3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A03FA"/>
    <w:pPr>
      <w:numPr>
        <w:ilvl w:val="1"/>
        <w:numId w:val="3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A03FA"/>
    <w:pPr>
      <w:numPr>
        <w:ilvl w:val="2"/>
        <w:numId w:val="3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A03FA"/>
    <w:pPr>
      <w:numPr>
        <w:ilvl w:val="3"/>
        <w:numId w:val="3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A03FA"/>
    <w:pPr>
      <w:numPr>
        <w:ilvl w:val="4"/>
        <w:numId w:val="3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A03FA"/>
    <w:pPr>
      <w:numPr>
        <w:ilvl w:val="5"/>
        <w:numId w:val="3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A03FA"/>
    <w:pPr>
      <w:numPr>
        <w:ilvl w:val="6"/>
        <w:numId w:val="3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A03FA"/>
    <w:pPr>
      <w:numPr>
        <w:ilvl w:val="7"/>
        <w:numId w:val="3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A03FA"/>
    <w:pPr>
      <w:numPr>
        <w:ilvl w:val="8"/>
        <w:numId w:val="3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03FA"/>
    <w:rPr>
      <w:rFonts w:ascii="Times New Roman" w:eastAsia="Times New Roman" w:hAnsi="Times New Roman" w:cs="Times New Roman"/>
      <w:kern w:val="28"/>
      <w:lang w:val="cs-CZ"/>
    </w:rPr>
  </w:style>
  <w:style w:type="character" w:customStyle="1" w:styleId="Heading2Char">
    <w:name w:val="Heading 2 Char"/>
    <w:basedOn w:val="DefaultParagraphFont"/>
    <w:link w:val="Heading2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3Char">
    <w:name w:val="Heading 3 Char"/>
    <w:basedOn w:val="DefaultParagraphFont"/>
    <w:link w:val="Heading3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4Char">
    <w:name w:val="Heading 4 Char"/>
    <w:basedOn w:val="DefaultParagraphFont"/>
    <w:link w:val="Heading4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5Char">
    <w:name w:val="Heading 5 Char"/>
    <w:basedOn w:val="DefaultParagraphFont"/>
    <w:link w:val="Heading5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6Char">
    <w:name w:val="Heading 6 Char"/>
    <w:basedOn w:val="DefaultParagraphFont"/>
    <w:link w:val="Heading6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7Char">
    <w:name w:val="Heading 7 Char"/>
    <w:basedOn w:val="DefaultParagraphFont"/>
    <w:link w:val="Heading7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8Char">
    <w:name w:val="Heading 8 Char"/>
    <w:basedOn w:val="DefaultParagraphFont"/>
    <w:link w:val="Heading8"/>
    <w:rsid w:val="008A03FA"/>
    <w:rPr>
      <w:rFonts w:ascii="Times New Roman" w:eastAsia="Times New Roman" w:hAnsi="Times New Roman" w:cs="Times New Roman"/>
      <w:lang w:val="cs-CZ"/>
    </w:rPr>
  </w:style>
  <w:style w:type="character" w:customStyle="1" w:styleId="Heading9Char">
    <w:name w:val="Heading 9 Char"/>
    <w:basedOn w:val="DefaultParagraphFont"/>
    <w:link w:val="Heading9"/>
    <w:rsid w:val="008A03FA"/>
    <w:rPr>
      <w:rFonts w:ascii="Times New Roman" w:eastAsia="Times New Roman" w:hAnsi="Times New Roman" w:cs="Times New Roman"/>
      <w:lang w:val="cs-CZ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,fußn,o"/>
    <w:basedOn w:val="Normal"/>
    <w:link w:val="FootnoteTextChar"/>
    <w:uiPriority w:val="99"/>
    <w:qFormat/>
    <w:rsid w:val="008A03FA"/>
    <w:pPr>
      <w:keepLines/>
      <w:spacing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uiPriority w:val="99"/>
    <w:rsid w:val="008A03FA"/>
    <w:rPr>
      <w:rFonts w:ascii="Times New Roman" w:eastAsia="Times New Roman" w:hAnsi="Times New Roman" w:cs="Times New Roman"/>
      <w:sz w:val="16"/>
      <w:lang w:val="cs-CZ"/>
    </w:rPr>
  </w:style>
  <w:style w:type="character" w:styleId="FootnoteReference">
    <w:name w:val="footnote reference"/>
    <w:basedOn w:val="DefaultParagraphFont"/>
    <w:uiPriority w:val="99"/>
    <w:unhideWhenUsed/>
    <w:qFormat/>
    <w:rsid w:val="008A03FA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08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08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970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970A7"/>
    <w:rPr>
      <w:rFonts w:ascii="Times New Roman" w:hAnsi="Times New Roman" w:cs="Times New Roman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F970A7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970A7"/>
    <w:rPr>
      <w:rFonts w:ascii="Times New Roman" w:hAnsi="Times New Roman" w:cs="Times New Roman"/>
      <w:lang w:val="cs-CZ"/>
    </w:rPr>
  </w:style>
  <w:style w:type="paragraph" w:styleId="Revision">
    <w:name w:val="Revision"/>
    <w:hidden/>
    <w:uiPriority w:val="99"/>
    <w:semiHidden/>
    <w:rsid w:val="00353B1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E1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9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34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62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3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21" Type="http://schemas.openxmlformats.org/officeDocument/2006/relationships/hyperlink" Target="https://climateactiontracker.org/global/temperatures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33" Type="http://schemas.openxmlformats.org/officeDocument/2006/relationships/customXml" Target="../customXml/item4.xml"/><Relationship Id="rId16" Type="http://schemas.openxmlformats.org/officeDocument/2006/relationships/header" Target="header5.xml"/><Relationship Id="rId20" Type="http://schemas.openxmlformats.org/officeDocument/2006/relationships/hyperlink" Target="https://www.ipcc.ch/2022/04/04/ipcc-ar6-wgiii-pressrelease/" TargetMode="External"/><Relationship Id="rId29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customXml" Target="../customXml/item3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esc.europa.eu/cs/our-work/opinions-information-reports/opinions/towards-structured-youth-engagement-climate-and-sustainability-eu-decision-making-process-own-initiative-opinion" TargetMode="External"/><Relationship Id="rId31" Type="http://schemas.openxmlformats.org/officeDocument/2006/relationships/customXml" Target="../customXml/item2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4.xml"/><Relationship Id="rId30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cs/press-room/20220616IPR33219/zmena-klimatu-eu-musi-jednat-rychleji-a-byt-energeticky-nezavisla" TargetMode="External"/><Relationship Id="rId13" Type="http://schemas.openxmlformats.org/officeDocument/2006/relationships/hyperlink" Target="https://eur-lex.europa.eu/legal-content/CS/ALL/?uri=CELEX%3A52021AE5481" TargetMode="External"/><Relationship Id="rId18" Type="http://schemas.openxmlformats.org/officeDocument/2006/relationships/hyperlink" Target="https://sdsn.eu/2021-europe-sustainable-development-report/" TargetMode="External"/><Relationship Id="rId26" Type="http://schemas.openxmlformats.org/officeDocument/2006/relationships/hyperlink" Target="https://eur-lex.europa.eu/legal-content/CS/TXT/?uri=OJ%3AJOC_2022_194_R_0010" TargetMode="External"/><Relationship Id="rId3" Type="http://schemas.openxmlformats.org/officeDocument/2006/relationships/hyperlink" Target="https://mediacentre.christianaid.org.uk/counting-the-cost/" TargetMode="External"/><Relationship Id="rId21" Type="http://schemas.openxmlformats.org/officeDocument/2006/relationships/hyperlink" Target="https://unfccc.int/news/antonio-guterres-50-of-all-climate-finance-needed-for-adaptation" TargetMode="External"/><Relationship Id="rId34" Type="http://schemas.openxmlformats.org/officeDocument/2006/relationships/hyperlink" Target="https://eur-lex.europa.eu/legal-content/CS/ALL/?uri=CELEX%3A52021AE5481" TargetMode="External"/><Relationship Id="rId7" Type="http://schemas.openxmlformats.org/officeDocument/2006/relationships/hyperlink" Target="https://www.eesc.europa.eu/cs/documents/resolution/war-ukraine-and-its-economic-social-and-environmental-impact" TargetMode="External"/><Relationship Id="rId12" Type="http://schemas.openxmlformats.org/officeDocument/2006/relationships/hyperlink" Target="https://www.eesc.europa.eu/cs/our-work/opinions-information-reports/opinions/social-dialogue-within-green-transition" TargetMode="External"/><Relationship Id="rId17" Type="http://schemas.openxmlformats.org/officeDocument/2006/relationships/hyperlink" Target="https://prod-cofe-platform.s3.eu-central-1.amazonaws.com/9eq2ihrol25xvhj5rcidv022ik31?response-content-disposition=inline%3B%20filename%3D%221249547CS.pdf%22%3B%20filename%2A%3DUTF-8%27%271249547CS.pdf&amp;response-content-type=application%2Fpdf&amp;X-Amz-Algorithm=AWS4-HMAC-SHA256&amp;X-Amz-Credential=AKIA3LJJXGZPDFYVOW5V%2F20221004%2Feu-central-1%2Fs3%2Faws4_request&amp;X-Amz-Date=20221004T102210Z&amp;X-Amz-Expires=300&amp;X-Amz-SignedHeaders=host&amp;X-Amz-Signature=9099127889b55d70dda15409a5c4483cd714f180a9e16dc4672d4ea200cd5850" TargetMode="External"/><Relationship Id="rId25" Type="http://schemas.openxmlformats.org/officeDocument/2006/relationships/hyperlink" Target="https://www.unep.org/ndc/resources/report/enhancing-ndcs-food-systems-recommendations-decision-makers" TargetMode="External"/><Relationship Id="rId33" Type="http://schemas.openxmlformats.org/officeDocument/2006/relationships/hyperlink" Target="https://eur-lex.europa.eu/legal-content/CS/ALL/?uri=CELEX%3A52021AE5481" TargetMode="External"/><Relationship Id="rId2" Type="http://schemas.openxmlformats.org/officeDocument/2006/relationships/hyperlink" Target="https://www.eea.europa.eu/highlights/economic-losses-from-weather-and" TargetMode="External"/><Relationship Id="rId16" Type="http://schemas.openxmlformats.org/officeDocument/2006/relationships/hyperlink" Target="https://www.eesc.europa.eu/cs/our-work/opinions-information-reports/opinions/fit-55-delivering-eus-2030-climate-target-way-climate-neutrality" TargetMode="External"/><Relationship Id="rId20" Type="http://schemas.openxmlformats.org/officeDocument/2006/relationships/hyperlink" Target="https://eur-lex.europa.eu/legal-content/CS/TXT/?uri=uriserv%3AOJ.C_.2021.374.01.0084.01.CES&amp;toc=OJ%3AC%3A2021%3A374%3ATOC" TargetMode="External"/><Relationship Id="rId29" Type="http://schemas.openxmlformats.org/officeDocument/2006/relationships/hyperlink" Target="https://eur-lex.europa.eu/legal-content/CS/TXT/?uri=uriserv%3AOJ.C_.2021.374.01.0084.01.CES&amp;toc=OJ%3AC%3A2021%3A374%3ATOC" TargetMode="External"/><Relationship Id="rId1" Type="http://schemas.openxmlformats.org/officeDocument/2006/relationships/hyperlink" Target="https://www.mzp.cz/C1257458002F0DC7/cz/parizska_dohoda/$FILE/OEOK-Cesky_preklad_dohody-20160419.pdf" TargetMode="External"/><Relationship Id="rId6" Type="http://schemas.openxmlformats.org/officeDocument/2006/relationships/hyperlink" Target="https://www.ipcc.ch/report/ar6/wg3/" TargetMode="External"/><Relationship Id="rId11" Type="http://schemas.openxmlformats.org/officeDocument/2006/relationships/hyperlink" Target="https://eur-lex.europa.eu/legal-content/CS/ALL/?uri=CELEX%3A52021AE5481" TargetMode="External"/><Relationship Id="rId24" Type="http://schemas.openxmlformats.org/officeDocument/2006/relationships/hyperlink" Target="https://eur-lex.europa.eu/LexUriServ/LexUriServ.do?uri=OJ:C:2021:374:SOM:CS:HTML" TargetMode="External"/><Relationship Id="rId32" Type="http://schemas.openxmlformats.org/officeDocument/2006/relationships/hyperlink" Target="https://eur-lex.europa.eu/legal-content/CS/TXT/?uri=CELEX%3A52020AE1918&amp;qid=1663579809098" TargetMode="External"/><Relationship Id="rId37" Type="http://schemas.openxmlformats.org/officeDocument/2006/relationships/hyperlink" Target="https://www.nationalgeographic.com/environment/article/can-indigenous-land-stewardship-protect-biodiversity-" TargetMode="External"/><Relationship Id="rId5" Type="http://schemas.openxmlformats.org/officeDocument/2006/relationships/hyperlink" Target="https://www.ncei.noaa.gov/access/billions/" TargetMode="External"/><Relationship Id="rId15" Type="http://schemas.openxmlformats.org/officeDocument/2006/relationships/hyperlink" Target="https://eur-lex.europa.eu/legal-content/CS/ALL/?uri=CELEX%3A52021AE5481" TargetMode="External"/><Relationship Id="rId23" Type="http://schemas.openxmlformats.org/officeDocument/2006/relationships/hyperlink" Target="https://assets.website-files.com/5d26d80e8836af2d12ed1269/61657f127a13715bb8744ec3_Climate%20Change%20Mitigation%20Through%20the%20Circular%20Economy%20-%20STAP%20-%20report.pdf" TargetMode="External"/><Relationship Id="rId28" Type="http://schemas.openxmlformats.org/officeDocument/2006/relationships/hyperlink" Target="https://eur-lex.europa.eu/legal-content/CS/TXT/?uri=CELEX:52017IE1144" TargetMode="External"/><Relationship Id="rId36" Type="http://schemas.openxmlformats.org/officeDocument/2006/relationships/hyperlink" Target="https://www.eesc.europa.eu/cs/our-work/opinions-information-reports/opinions/towards-structured-youth-engagement-climate-and-sustainability-eu-decision-making-process-own-initiative-opinion" TargetMode="External"/><Relationship Id="rId10" Type="http://schemas.openxmlformats.org/officeDocument/2006/relationships/hyperlink" Target="https://eur-lex.europa.eu/legal-content/CS/TXT/?uri=CELEX:52019IE2316%23:~:text=EHSV%20zd%C5%AFraz%C5%88uje%2C%20%C5%BEe%20prvn%C3%ADm,v%C3%ADce%20aspekt%C5%AF%20ne%C5%BE%20HDP." TargetMode="External"/><Relationship Id="rId19" Type="http://schemas.openxmlformats.org/officeDocument/2006/relationships/hyperlink" Target="https://www.eesc.europa.eu/cs/our-work/opinions-information-reports/opinions/nature-restoration-targets-under-eu-biodiversity-strategy" TargetMode="External"/><Relationship Id="rId31" Type="http://schemas.openxmlformats.org/officeDocument/2006/relationships/hyperlink" Target="https://eur-lex.europa.eu/legal-content/CS/ALL/?uri=CELEX%3A52021AE5481" TargetMode="External"/><Relationship Id="rId4" Type="http://schemas.openxmlformats.org/officeDocument/2006/relationships/hyperlink" Target="https://www.cmcc.it/lectures_conferences/the-costs-of-extreme-weather-events-caused-by-climate-change" TargetMode="External"/><Relationship Id="rId9" Type="http://schemas.openxmlformats.org/officeDocument/2006/relationships/hyperlink" Target="https://www.europarl.europa.eu/news/cs/press-room/20220603IPR32133/fit-for-55-parliament-agrees-to-higher-eu-carbon-sink-ambitions-by-2030" TargetMode="External"/><Relationship Id="rId14" Type="http://schemas.openxmlformats.org/officeDocument/2006/relationships/hyperlink" Target="https://www.eesc.europa.eu/cs/our-work/opinions-information-reports/opinions/fit-55-delivering-eus-2030-climate-target-way-climate-neutrality" TargetMode="External"/><Relationship Id="rId22" Type="http://schemas.openxmlformats.org/officeDocument/2006/relationships/hyperlink" Target="https://eur-lex.europa.eu/legal-content/CS/TXT/?uri=uriserv:OJ.C_.2020.014.01.0029.01.CES&amp;toc=OJ:C:2020:014:TOC" TargetMode="External"/><Relationship Id="rId27" Type="http://schemas.openxmlformats.org/officeDocument/2006/relationships/hyperlink" Target="https://eur-lex.europa.eu/legal-content/CS/TXT/?uri=CELEX%3A52020AE0994&amp;qid=1663579304870" TargetMode="External"/><Relationship Id="rId30" Type="http://schemas.openxmlformats.org/officeDocument/2006/relationships/hyperlink" Target="https://eur-lex.europa.eu/legal-content/CS/TXT/?uri=CELEX%3A52022AE1686&amp;qid=1663579575615" TargetMode="External"/><Relationship Id="rId35" Type="http://schemas.openxmlformats.org/officeDocument/2006/relationships/hyperlink" Target="https://wedo.org/2020-pocket-guide-to-gender-equality-under-the-unfc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P6FJPSUHKDC2-813086739-4284</_dlc_DocId>
    <_dlc_DocIdUrl xmlns="1299d781-265f-4ceb-999e-e1eca3df2c90">
      <Url>http://dm2016/eesc/2022/_layouts/15/DocIdRedir.aspx?ID=P6FJPSUHKDC2-813086739-4284</Url>
      <Description>P6FJPSUHKDC2-813086739-4284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2022-11-07T12:00:00+00:00</ProductionDate>
    <DocumentNumber xmlns="78feecd2-a259-4a5c-b48b-4ffcf5b9c8b1">4116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6</Value>
      <Value>30</Value>
      <Value>29</Value>
      <Value>31</Value>
      <Value>175</Value>
      <Value>44</Value>
      <Value>22</Value>
      <Value>55</Value>
      <Value>54</Value>
      <Value>46</Value>
      <Value>9</Value>
      <Value>41</Value>
      <Value>7</Value>
      <Value>43</Value>
      <Value>42</Value>
      <Value>4</Value>
      <Value>1</Value>
      <Value>37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12880</FicheNumber>
    <OriginalSender xmlns="1299d781-265f-4ceb-999e-e1eca3df2c90">
      <UserInfo>
        <DisplayName>Kupcakova Linda</DisplayName>
        <AccountId>1693</AccountId>
        <AccountType/>
      </UserInfo>
    </OriginalSender>
    <DocumentPart xmlns="1299d781-265f-4ceb-999e-e1eca3df2c90">0</DocumentPart>
    <AdoptionDate xmlns="1299d781-265f-4ceb-999e-e1eca3df2c90">2022-10-26T12:00:00+00:00</AdoptionDate>
    <RequestingService xmlns="1299d781-265f-4ceb-999e-e1eca3df2c90">Agriculture, développement rural et environnement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B6525B3C-C8AB-496D-AA04-C7B073F985AE}"/>
</file>

<file path=customXml/itemProps2.xml><?xml version="1.0" encoding="utf-8"?>
<ds:datastoreItem xmlns:ds="http://schemas.openxmlformats.org/officeDocument/2006/customXml" ds:itemID="{BE432AB1-A5EA-4F6A-9168-060E6EDCED84}"/>
</file>

<file path=customXml/itemProps3.xml><?xml version="1.0" encoding="utf-8"?>
<ds:datastoreItem xmlns:ds="http://schemas.openxmlformats.org/officeDocument/2006/customXml" ds:itemID="{0CEBB622-B929-476F-BDC9-4E56BDBAF7A1}"/>
</file>

<file path=customXml/itemProps4.xml><?xml version="1.0" encoding="utf-8"?>
<ds:datastoreItem xmlns:ds="http://schemas.openxmlformats.org/officeDocument/2006/customXml" ds:itemID="{11B39222-B3F6-4000-BDFF-AA29C11AE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3402</Words>
  <Characters>20891</Characters>
  <Application>Microsoft Office Word</Application>
  <DocSecurity>0</DocSecurity>
  <Lines>1305</Lines>
  <Paragraphs>934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RESOLUTION - Jointly tackling an existential threat: social partners and civil society for implementation of ambitious climate action</vt:lpstr>
      <vt:lpstr/>
    </vt:vector>
  </TitlesOfParts>
  <Company>EESC-ECOR</Company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-  Zažehnání existenční hrozby díky společnému úsilí: sociální partneři a občanská společnost za provádění ambiciózních opatření v oblasti klimatu</dc:title>
  <dc:subject>RES</dc:subject>
  <dc:creator>Guarinoni Monica</dc:creator>
  <cp:keywords>EESC-2022-04116-00-01-RES-TRA-EN</cp:keywords>
  <dc:description>Rapporteur:  - Original language: EN - Date of document: 07/11/2022 - Date of meeting:  - External documents:  - Administrator:  CARRERAS JUDIT</dc:description>
  <cp:lastModifiedBy>Kupcakova Linda</cp:lastModifiedBy>
  <cp:revision>23</cp:revision>
  <cp:lastPrinted>2022-09-02T11:47:00Z</cp:lastPrinted>
  <dcterms:created xsi:type="dcterms:W3CDTF">2022-11-04T12:59:00Z</dcterms:created>
  <dcterms:modified xsi:type="dcterms:W3CDTF">2022-11-07T15:54:00Z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04/11/2022, 27/10/2022, 11/10/2022, 28/09/2022, 23/08/2022</vt:lpwstr>
  </property>
  <property fmtid="{D5CDD505-2E9C-101B-9397-08002B2CF9AE}" pid="4" name="Pref_Time">
    <vt:lpwstr>13:47:53, 09:22:51, 09:03:19, 11:45:42, 17:23:52</vt:lpwstr>
  </property>
  <property fmtid="{D5CDD505-2E9C-101B-9397-08002B2CF9AE}" pid="5" name="Pref_User">
    <vt:lpwstr>pacup, amett, jhvi, pacup, enied</vt:lpwstr>
  </property>
  <property fmtid="{D5CDD505-2E9C-101B-9397-08002B2CF9AE}" pid="6" name="Pref_FileName">
    <vt:lpwstr>EESC-2022-04116-00-01-RES-TRA-EN-CRR.docx, EESC-2022-04116-00-00-RES-TRA-EN-CRR.docx, EESC-2022-04116-00-01-PRES-ORI.docx, EESC-2022-04116-00-00-PRES-TRA.docx, EESC-2022-04116-00-00-TCD-ORI.docx</vt:lpwstr>
  </property>
  <property fmtid="{D5CDD505-2E9C-101B-9397-08002B2CF9AE}" pid="7" name="ContentTypeId">
    <vt:lpwstr>0x010100EA97B91038054C99906057A708A1480A0048F447D380DEE94195D9369B0D252450</vt:lpwstr>
  </property>
  <property fmtid="{D5CDD505-2E9C-101B-9397-08002B2CF9AE}" pid="8" name="_dlc_DocIdItemGuid">
    <vt:lpwstr>91da02bf-c4f9-428b-8851-00fa75ab842c</vt:lpwstr>
  </property>
  <property fmtid="{D5CDD505-2E9C-101B-9397-08002B2CF9AE}" pid="9" name="AvailableTranslations">
    <vt:lpwstr>41;#CS|72f9705b-0217-4fd3-bea2-cbc7ed80e26e;#43;#NL|55c6556c-b4f4-441d-9acf-c498d4f838bd;#37;#PT|50ccc04a-eadd-42ae-a0cb-acaf45f812ba;#29;#SV|c2ed69e7-a339-43d7-8f22-d93680a92aa0;#30;#PL|1e03da61-4678-4e07-b136-b5024ca9197b;#44;#LT|a7ff5ce7-6123-4f68-865a-a57c31810414;#42;#SL|98a412ae-eb01-49e9-ae3d-585a81724cfc;#31;#ES|e7a6b05b-ae16-40c8-add9-68b64b03aeba;#46;#EL|6d4f4d51-af9b-4650-94b4-4276bee85c91;#22;#DE|f6b31e5a-26fa-4935-b661-318e46daf27e;#33;#IT|0774613c-01ed-4e5d-a25d-11d2388de825;#4;#EN|f2175f21-25d7-44a3-96da-d6a61b075e1b;#54;#ET|ff6c3f4c-b02c-4c3c-ab07-2c37995a7a0a;#55;#HR|2f555653-ed1a-4fe6-8362-9082d95989e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4116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12880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2022-10-26T12:00:00Z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Agriculture, développement rural et environnement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PT|50ccc04a-eadd-42ae-a0cb-acaf45f812ba;SV|c2ed69e7-a339-43d7-8f22-d93680a92aa0;PL|1e03da61-4678-4e07-b136-b5024ca9197b;LT|a7ff5ce7-6123-4f68-865a-a57c31810414;SL|98a412ae-eb01-49e9-ae3d-585a81724cfc;ES|e7a6b05b-ae16-40c8-add9-68b64b03aeba;EL|6d4f4d51-af9b-4650-94b4-4276bee85c91;DE|f6b31e5a-26fa-4935-b661-318e46daf27e;IT|0774613c-01ed-4e5d-a25d-11d2388de825;EN|f2175f21-25d7-44a3-96da-d6a61b075e1b;ET|ff6c3f4c-b02c-4c3c-ab07-2c37995a7a0a;HR|2f555653-ed1a-4fe6-8362-9082d95989e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31;#ES|e7a6b05b-ae16-40c8-add9-68b64b03aeba;#30;#PL|1e03da61-4678-4e07-b136-b5024ca9197b;#29;#SV|c2ed69e7-a339-43d7-8f22-d93680a92aa0;#175;#RES|9e3e62eb-6858-4bc7-8a50-3453e395fd01;#44;#LT|a7ff5ce7-6123-4f68-865a-a57c31810414;#22;#DE|f6b31e5a-26fa-4935-b661-318e46daf27e;#55;#HR|2f555653-ed1a-4fe6-8362-9082d95989e5;#54;#ET|ff6c3f4c-b02c-4c3c-ab07-2c37995a7a0a;#46;#EL|6d4f4d51-af9b-4650-94b4-4276bee85c91;#9;#Unrestricted|826e22d7-d029-4ec0-a450-0c28ff673572;#7;#TRA|150d2a88-1431-44e6-a8ca-0bb753ab8672;#6;#Final|ea5e6674-7b27-4bac-b091-73adbb394efe;#42;#SL|98a412ae-eb01-49e9-ae3d-585a81724cfc;#4;#EN|f2175f21-25d7-44a3-96da-d6a61b075e1b;#1;#EESC|422833ec-8d7e-4e65-8e4e-8bed07ffb729;#37;#PT|50ccc04a-eadd-42ae-a0cb-acaf45f812b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41;#CS|72f9705b-0217-4fd3-bea2-cbc7ed80e26e</vt:lpwstr>
  </property>
</Properties>
</file>