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70E7" w:rsidR="004D7AC0" w:rsidP="009120CD" w:rsidRDefault="009D0F99" w14:paraId="785AE44C" w14:textId="22B37777">
      <w:pPr>
        <w:jc w:val="center"/>
      </w:pPr>
      <w:r>
        <w:rPr>
          <w:noProof/>
          <w:lang w:val="en-US"/>
        </w:rPr>
        <w:drawing>
          <wp:inline distT="0" distB="0" distL="0" distR="0" wp14:anchorId="6F035BF2" wp14:editId="54087B59">
            <wp:extent cx="1792605" cy="1239520"/>
            <wp:effectExtent l="0" t="0" r="0" b="0"/>
            <wp:docPr id="2" name="Picture 2" title="EESCLogo_NL"/>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lang w:val="en-US"/>
        </w:rPr>
        <mc:AlternateContent>
          <mc:Choice Requires="wps">
            <w:drawing>
              <wp:anchor distT="0" distB="0" distL="114300" distR="114300" simplePos="0" relativeHeight="251659264" behindDoc="1" locked="0" layoutInCell="0" allowOverlap="1" wp14:editId="59FAD709"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56F85" w:rsidP="004D7AC0" w:rsidRDefault="00C56F85" w14:paraId="2AA40ECF" w14:textId="77777777">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56F85" w:rsidP="004D7AC0" w:rsidRDefault="00C56F85" w14:paraId="2AA40ECF" w14:textId="77777777">
                      <w:pPr>
                        <w:jc w:val="center"/>
                        <w:rPr>
                          <w:rFonts w:ascii="Arial" w:hAnsi="Arial" w:cs="Arial"/>
                          <w:b/>
                          <w:bCs/>
                          <w:sz w:val="48"/>
                        </w:rPr>
                      </w:pPr>
                      <w:r>
                        <w:rPr>
                          <w:rFonts w:ascii="Arial" w:hAnsi="Arial"/>
                          <w:b/>
                          <w:sz w:val="48"/>
                        </w:rPr>
                        <w:t>NL</w:t>
                      </w:r>
                    </w:p>
                  </w:txbxContent>
                </v:textbox>
                <w10:wrap anchorx="page" anchory="page"/>
              </v:shape>
            </w:pict>
          </mc:Fallback>
        </mc:AlternateContent>
      </w:r>
    </w:p>
    <w:p w:rsidRPr="009B70E7" w:rsidR="004D7AC0" w:rsidP="009120CD" w:rsidRDefault="004D7AC0" w14:paraId="51F52D79" w14:textId="77777777">
      <w:bookmarkStart w:name="_GoBack" w:id="0"/>
      <w:bookmarkEnd w:id="0"/>
    </w:p>
    <w:p w:rsidRPr="009B70E7" w:rsidR="004D7AC0" w:rsidP="009120CD" w:rsidRDefault="00014C93" w14:paraId="45DE4A28" w14:textId="044DFB38">
      <w:pPr>
        <w:jc w:val="right"/>
      </w:pPr>
      <w:r>
        <w:t>Brussel, 7 oktober 2022</w:t>
      </w:r>
    </w:p>
    <w:p w:rsidRPr="009B70E7" w:rsidR="004D7AC0" w:rsidP="009120CD" w:rsidRDefault="004D7AC0" w14:paraId="7BCFBA24" w14:textId="77777777"/>
    <w:p w:rsidRPr="009B70E7" w:rsidR="004D7AC0" w:rsidP="009120CD" w:rsidRDefault="004D7AC0" w14:paraId="6B250092" w14:textId="77777777"/>
    <w:p w:rsidRPr="009B70E7" w:rsidR="004D7AC0" w:rsidP="009120CD" w:rsidRDefault="004D7AC0" w14:paraId="0593C6DF" w14:textId="77777777"/>
    <w:tbl>
      <w:tblPr>
        <w:tblW w:w="0" w:type="auto"/>
        <w:tblLook w:val="04A0" w:firstRow="1" w:lastRow="0" w:firstColumn="1" w:lastColumn="0" w:noHBand="0" w:noVBand="1"/>
      </w:tblPr>
      <w:tblGrid>
        <w:gridCol w:w="9289"/>
      </w:tblGrid>
      <w:tr w:rsidRPr="009B70E7" w:rsidR="004D7AC0" w:rsidTr="00662436" w14:paraId="6D7B3453" w14:textId="77777777">
        <w:tc>
          <w:tcPr>
            <w:tcW w:w="9289" w:type="dxa"/>
            <w:tcBorders>
              <w:bottom w:val="double" w:color="auto" w:sz="4" w:space="0"/>
            </w:tcBorders>
          </w:tcPr>
          <w:p w:rsidR="009120CD" w:rsidP="009120CD" w:rsidRDefault="00DA2D88" w14:paraId="33A35676" w14:textId="77777777">
            <w:pPr>
              <w:snapToGrid w:val="0"/>
              <w:jc w:val="center"/>
              <w:rPr>
                <w:b/>
                <w:sz w:val="32"/>
              </w:rPr>
            </w:pPr>
            <w:r>
              <w:rPr>
                <w:b/>
                <w:sz w:val="32"/>
              </w:rPr>
              <w:t>572e ZITTING</w:t>
            </w:r>
          </w:p>
          <w:p w:rsidR="009120CD" w:rsidP="009120CD" w:rsidRDefault="009120CD" w14:paraId="49935AC5" w14:textId="77777777">
            <w:pPr>
              <w:snapToGrid w:val="0"/>
              <w:jc w:val="center"/>
              <w:rPr>
                <w:b/>
                <w:sz w:val="32"/>
              </w:rPr>
            </w:pPr>
          </w:p>
          <w:p w:rsidR="009120CD" w:rsidP="009120CD" w:rsidRDefault="001106FB" w14:paraId="62403F47" w14:textId="77777777">
            <w:pPr>
              <w:snapToGrid w:val="0"/>
              <w:jc w:val="center"/>
              <w:rPr>
                <w:b/>
                <w:sz w:val="32"/>
              </w:rPr>
            </w:pPr>
            <w:r>
              <w:rPr>
                <w:b/>
                <w:sz w:val="32"/>
              </w:rPr>
              <w:t>21 en 22 september 2022</w:t>
            </w:r>
          </w:p>
          <w:p w:rsidR="009120CD" w:rsidP="009120CD" w:rsidRDefault="009120CD" w14:paraId="03E51061" w14:textId="77777777">
            <w:pPr>
              <w:snapToGrid w:val="0"/>
              <w:jc w:val="center"/>
              <w:rPr>
                <w:b/>
                <w:sz w:val="32"/>
              </w:rPr>
            </w:pPr>
          </w:p>
          <w:p w:rsidRPr="009B70E7" w:rsidR="004D7AC0" w:rsidP="009120CD" w:rsidRDefault="00CF2F88" w14:paraId="114106CC" w14:textId="1BE36B8A">
            <w:pPr>
              <w:snapToGrid w:val="0"/>
              <w:jc w:val="center"/>
              <w:rPr>
                <w:rFonts w:eastAsia="MS Mincho"/>
                <w:b/>
                <w:sz w:val="32"/>
                <w:szCs w:val="32"/>
              </w:rPr>
            </w:pPr>
            <w:r>
              <w:rPr>
                <w:b/>
                <w:sz w:val="32"/>
              </w:rPr>
              <w:t xml:space="preserve">SAMENVATTING VAN DE GOEDGEKEURDE ADVIEZEN, RESOLUTIES, INFORMATIEVE RAPPORTEN EN EVALUATIEVERSLAGEN </w:t>
            </w:r>
          </w:p>
          <w:p w:rsidRPr="009B70E7" w:rsidR="004D7AC0" w:rsidP="009120CD" w:rsidRDefault="004D7AC0" w14:paraId="06AE72EA" w14:textId="77777777">
            <w:pPr>
              <w:snapToGrid w:val="0"/>
            </w:pPr>
          </w:p>
        </w:tc>
      </w:tr>
      <w:tr w:rsidRPr="009B70E7"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9B70E7" w:rsidR="004D7AC0" w:rsidP="009120CD" w:rsidRDefault="004D7AC0" w14:paraId="2A9352A2" w14:textId="77777777">
            <w:pPr>
              <w:snapToGrid w:val="0"/>
              <w:jc w:val="center"/>
            </w:pPr>
            <w:r>
              <w:t>Dit document is in de officiële talen te vinden op de website van het EESC:</w:t>
            </w:r>
            <w:r>
              <w:br/>
            </w:r>
            <w:r>
              <w:br/>
            </w:r>
            <w:hyperlink w:history="1" r:id="rId12">
              <w:r>
                <w:rPr>
                  <w:rStyle w:val="Hyperlink"/>
                  <w:highlight w:val="yellow"/>
                </w:rPr>
                <w:t>https://www.eesc.europa.eu/en/our-work/opinions-information-reports/plenary-session-summaries</w:t>
              </w:r>
            </w:hyperlink>
          </w:p>
          <w:p w:rsidRPr="009B70E7" w:rsidR="004D7AC0" w:rsidP="009120CD" w:rsidRDefault="004D7AC0" w14:paraId="70D5DBB4" w14:textId="77777777">
            <w:pPr>
              <w:snapToGrid w:val="0"/>
              <w:jc w:val="center"/>
            </w:pPr>
          </w:p>
          <w:p w:rsidRPr="009B70E7" w:rsidR="004D7AC0" w:rsidP="009120CD" w:rsidRDefault="004D7AC0" w14:paraId="575A73D6" w14:textId="77777777">
            <w:pPr>
              <w:snapToGrid w:val="0"/>
              <w:jc w:val="center"/>
              <w:rPr>
                <w:rFonts w:eastAsia="SimSun"/>
              </w:rPr>
            </w:pPr>
          </w:p>
          <w:p w:rsidRPr="009B70E7" w:rsidR="004D7AC0" w:rsidP="009120CD" w:rsidRDefault="004D7AC0" w14:paraId="441AC4DD" w14:textId="77777777">
            <w:pPr>
              <w:snapToGrid w:val="0"/>
              <w:jc w:val="center"/>
            </w:pPr>
            <w:r>
              <w:t>De genoemde adviezen kunnen online worden geraadpleegd via de zoekmachine van het EESC:</w:t>
            </w:r>
            <w:r>
              <w:br/>
            </w:r>
            <w:hyperlink w:history="1" r:id="rId13">
              <w:r>
                <w:rPr>
                  <w:rStyle w:val="Hyperlink"/>
                </w:rPr>
                <w:t>https://dmsearch.eesc.europa.eu/search/opinion</w:t>
              </w:r>
            </w:hyperlink>
          </w:p>
          <w:p w:rsidRPr="009B70E7" w:rsidR="004D7AC0" w:rsidP="009120CD" w:rsidRDefault="004D7AC0" w14:paraId="51FF303F" w14:textId="77777777">
            <w:pPr>
              <w:snapToGrid w:val="0"/>
              <w:jc w:val="center"/>
            </w:pPr>
          </w:p>
        </w:tc>
      </w:tr>
    </w:tbl>
    <w:p w:rsidRPr="009B70E7" w:rsidR="004D7AC0" w:rsidP="009120CD" w:rsidRDefault="004D7AC0" w14:paraId="57C291FC" w14:textId="77777777"/>
    <w:p w:rsidRPr="009B70E7" w:rsidR="004D7AC0" w:rsidP="009120CD" w:rsidRDefault="004D7AC0" w14:paraId="5E675360" w14:textId="77777777"/>
    <w:p w:rsidR="007B7C40" w:rsidP="009120CD" w:rsidRDefault="007B7C40" w14:paraId="3CF67A1E" w14:textId="77777777">
      <w:pPr>
        <w:sectPr w:rsidR="007B7C40" w:rsidSect="00A10A98">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9B70E7" w:rsidR="004D7AC0" w:rsidP="009120CD" w:rsidRDefault="004D7AC0" w14:paraId="56B7AE7C" w14:textId="77777777">
      <w:pPr>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noProof/>
        </w:rPr>
      </w:sdtEndPr>
      <w:sdtContent>
        <w:p w:rsidR="001E6413" w:rsidP="009120CD" w:rsidRDefault="001E6413" w14:paraId="5FAD9FDD" w14:textId="77777777">
          <w:pPr>
            <w:pStyle w:val="TOCHeading"/>
            <w:spacing w:line="288" w:lineRule="auto"/>
          </w:pPr>
          <w:r>
            <w:t>Inhoud</w:t>
          </w:r>
        </w:p>
        <w:p w:rsidR="008520B3" w:rsidRDefault="001E6413" w14:paraId="5A2167DD" w14:textId="4830B18C">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16383028">
            <w:r w:rsidRPr="000D5447" w:rsidR="008520B3">
              <w:rPr>
                <w:rStyle w:val="Hyperlink"/>
                <w:noProof/>
                <w14:scene3d>
                  <w14:camera w14:prst="orthographicFront"/>
                  <w14:lightRig w14:rig="threePt" w14:dir="t">
                    <w14:rot w14:lat="0" w14:lon="0" w14:rev="0"/>
                  </w14:lightRig>
                </w14:scene3d>
              </w:rPr>
              <w:t>1.</w:t>
            </w:r>
            <w:r w:rsidR="008520B3">
              <w:rPr>
                <w:rFonts w:asciiTheme="minorHAnsi" w:hAnsiTheme="minorHAnsi" w:eastAsiaTheme="minorEastAsia" w:cstheme="minorBidi"/>
                <w:noProof/>
                <w:lang w:val="en-US"/>
              </w:rPr>
              <w:tab/>
            </w:r>
            <w:r w:rsidRPr="000D5447" w:rsidR="008520B3">
              <w:rPr>
                <w:rStyle w:val="Hyperlink"/>
                <w:b/>
                <w:noProof/>
              </w:rPr>
              <w:t>ECONOMISCHE EN MONETAIRE UNIE, ECONOMISCHE EN SOCIALE SAMENHANG</w:t>
            </w:r>
            <w:r w:rsidR="008520B3">
              <w:rPr>
                <w:noProof/>
                <w:webHidden/>
              </w:rPr>
              <w:tab/>
            </w:r>
            <w:r w:rsidR="008520B3">
              <w:rPr>
                <w:noProof/>
                <w:webHidden/>
              </w:rPr>
              <w:fldChar w:fldCharType="begin"/>
            </w:r>
            <w:r w:rsidR="008520B3">
              <w:rPr>
                <w:noProof/>
                <w:webHidden/>
              </w:rPr>
              <w:instrText xml:space="preserve"> PAGEREF _Toc116383028 \h </w:instrText>
            </w:r>
            <w:r w:rsidR="008520B3">
              <w:rPr>
                <w:noProof/>
                <w:webHidden/>
              </w:rPr>
            </w:r>
            <w:r w:rsidR="008520B3">
              <w:rPr>
                <w:noProof/>
                <w:webHidden/>
              </w:rPr>
              <w:fldChar w:fldCharType="separate"/>
            </w:r>
            <w:r w:rsidR="008520B3">
              <w:rPr>
                <w:noProof/>
                <w:webHidden/>
              </w:rPr>
              <w:t>3</w:t>
            </w:r>
            <w:r w:rsidR="008520B3">
              <w:rPr>
                <w:noProof/>
                <w:webHidden/>
              </w:rPr>
              <w:fldChar w:fldCharType="end"/>
            </w:r>
          </w:hyperlink>
        </w:p>
        <w:p w:rsidR="008520B3" w:rsidRDefault="008520B3" w14:paraId="4E9A67D9" w14:textId="2FBE5139">
          <w:pPr>
            <w:pStyle w:val="TOC1"/>
            <w:rPr>
              <w:rFonts w:asciiTheme="minorHAnsi" w:hAnsiTheme="minorHAnsi" w:eastAsiaTheme="minorEastAsia" w:cstheme="minorBidi"/>
              <w:noProof/>
              <w:lang w:val="en-US"/>
            </w:rPr>
          </w:pPr>
          <w:hyperlink w:history="1" w:anchor="_Toc116383029">
            <w:r w:rsidRPr="000D5447">
              <w:rPr>
                <w:rStyle w:val="Hyperlink"/>
                <w:noProof/>
                <w14:scene3d>
                  <w14:camera w14:prst="orthographicFront"/>
                  <w14:lightRig w14:rig="threePt" w14:dir="t">
                    <w14:rot w14:lat="0" w14:lon="0" w14:rev="0"/>
                  </w14:lightRig>
                </w14:scene3d>
              </w:rPr>
              <w:t>2.</w:t>
            </w:r>
            <w:r>
              <w:rPr>
                <w:rFonts w:asciiTheme="minorHAnsi" w:hAnsiTheme="minorHAnsi" w:eastAsiaTheme="minorEastAsia" w:cstheme="minorBidi"/>
                <w:noProof/>
                <w:lang w:val="en-US"/>
              </w:rPr>
              <w:tab/>
            </w:r>
            <w:r w:rsidRPr="000D5447">
              <w:rPr>
                <w:rStyle w:val="Hyperlink"/>
                <w:b/>
                <w:noProof/>
              </w:rPr>
              <w:t>WERKGELEGENHEID, SOCIALE ZAKEN EN BURGERSCHAP</w:t>
            </w:r>
            <w:r>
              <w:rPr>
                <w:noProof/>
                <w:webHidden/>
              </w:rPr>
              <w:tab/>
            </w:r>
            <w:r>
              <w:rPr>
                <w:noProof/>
                <w:webHidden/>
              </w:rPr>
              <w:fldChar w:fldCharType="begin"/>
            </w:r>
            <w:r>
              <w:rPr>
                <w:noProof/>
                <w:webHidden/>
              </w:rPr>
              <w:instrText xml:space="preserve"> PAGEREF _Toc116383029 \h </w:instrText>
            </w:r>
            <w:r>
              <w:rPr>
                <w:noProof/>
                <w:webHidden/>
              </w:rPr>
            </w:r>
            <w:r>
              <w:rPr>
                <w:noProof/>
                <w:webHidden/>
              </w:rPr>
              <w:fldChar w:fldCharType="separate"/>
            </w:r>
            <w:r>
              <w:rPr>
                <w:noProof/>
                <w:webHidden/>
              </w:rPr>
              <w:t>11</w:t>
            </w:r>
            <w:r>
              <w:rPr>
                <w:noProof/>
                <w:webHidden/>
              </w:rPr>
              <w:fldChar w:fldCharType="end"/>
            </w:r>
          </w:hyperlink>
        </w:p>
        <w:p w:rsidR="008520B3" w:rsidRDefault="008520B3" w14:paraId="148EC328" w14:textId="2F754F8E">
          <w:pPr>
            <w:pStyle w:val="TOC1"/>
            <w:rPr>
              <w:rFonts w:asciiTheme="minorHAnsi" w:hAnsiTheme="minorHAnsi" w:eastAsiaTheme="minorEastAsia" w:cstheme="minorBidi"/>
              <w:noProof/>
              <w:lang w:val="en-US"/>
            </w:rPr>
          </w:pPr>
          <w:hyperlink w:history="1" w:anchor="_Toc116383030">
            <w:r w:rsidRPr="000D5447">
              <w:rPr>
                <w:rStyle w:val="Hyperlink"/>
                <w:noProof/>
                <w14:scene3d>
                  <w14:camera w14:prst="orthographicFront"/>
                  <w14:lightRig w14:rig="threePt" w14:dir="t">
                    <w14:rot w14:lat="0" w14:lon="0" w14:rev="0"/>
                  </w14:lightRig>
                </w14:scene3d>
              </w:rPr>
              <w:t>3.</w:t>
            </w:r>
            <w:r>
              <w:rPr>
                <w:rFonts w:asciiTheme="minorHAnsi" w:hAnsiTheme="minorHAnsi" w:eastAsiaTheme="minorEastAsia" w:cstheme="minorBidi"/>
                <w:noProof/>
                <w:lang w:val="en-US"/>
              </w:rPr>
              <w:tab/>
            </w:r>
            <w:r w:rsidRPr="000D5447">
              <w:rPr>
                <w:rStyle w:val="Hyperlink"/>
                <w:b/>
                <w:noProof/>
              </w:rPr>
              <w:t>LANDBOUW, PLATTELANDSONTWIKKELING, MILIEU</w:t>
            </w:r>
            <w:r>
              <w:rPr>
                <w:noProof/>
                <w:webHidden/>
              </w:rPr>
              <w:tab/>
            </w:r>
            <w:r>
              <w:rPr>
                <w:noProof/>
                <w:webHidden/>
              </w:rPr>
              <w:fldChar w:fldCharType="begin"/>
            </w:r>
            <w:r>
              <w:rPr>
                <w:noProof/>
                <w:webHidden/>
              </w:rPr>
              <w:instrText xml:space="preserve"> PAGEREF _Toc116383030 \h </w:instrText>
            </w:r>
            <w:r>
              <w:rPr>
                <w:noProof/>
                <w:webHidden/>
              </w:rPr>
            </w:r>
            <w:r>
              <w:rPr>
                <w:noProof/>
                <w:webHidden/>
              </w:rPr>
              <w:fldChar w:fldCharType="separate"/>
            </w:r>
            <w:r>
              <w:rPr>
                <w:noProof/>
                <w:webHidden/>
              </w:rPr>
              <w:t>28</w:t>
            </w:r>
            <w:r>
              <w:rPr>
                <w:noProof/>
                <w:webHidden/>
              </w:rPr>
              <w:fldChar w:fldCharType="end"/>
            </w:r>
          </w:hyperlink>
        </w:p>
        <w:p w:rsidR="008520B3" w:rsidRDefault="008520B3" w14:paraId="43E18868" w14:textId="4D0DA665">
          <w:pPr>
            <w:pStyle w:val="TOC1"/>
            <w:rPr>
              <w:rFonts w:asciiTheme="minorHAnsi" w:hAnsiTheme="minorHAnsi" w:eastAsiaTheme="minorEastAsia" w:cstheme="minorBidi"/>
              <w:noProof/>
              <w:lang w:val="en-US"/>
            </w:rPr>
          </w:pPr>
          <w:hyperlink w:history="1" w:anchor="_Toc116383031">
            <w:r w:rsidRPr="000D5447">
              <w:rPr>
                <w:rStyle w:val="Hyperlink"/>
                <w:noProof/>
                <w14:scene3d>
                  <w14:camera w14:prst="orthographicFront"/>
                  <w14:lightRig w14:rig="threePt" w14:dir="t">
                    <w14:rot w14:lat="0" w14:lon="0" w14:rev="0"/>
                  </w14:lightRig>
                </w14:scene3d>
              </w:rPr>
              <w:t>4.</w:t>
            </w:r>
            <w:r>
              <w:rPr>
                <w:rFonts w:asciiTheme="minorHAnsi" w:hAnsiTheme="minorHAnsi" w:eastAsiaTheme="minorEastAsia" w:cstheme="minorBidi"/>
                <w:noProof/>
                <w:lang w:val="en-US"/>
              </w:rPr>
              <w:tab/>
            </w:r>
            <w:r w:rsidRPr="000D5447">
              <w:rPr>
                <w:rStyle w:val="Hyperlink"/>
                <w:b/>
                <w:noProof/>
              </w:rPr>
              <w:t>EXTERNE BETREKKINGEN</w:t>
            </w:r>
            <w:r>
              <w:rPr>
                <w:noProof/>
                <w:webHidden/>
              </w:rPr>
              <w:tab/>
            </w:r>
            <w:r>
              <w:rPr>
                <w:noProof/>
                <w:webHidden/>
              </w:rPr>
              <w:fldChar w:fldCharType="begin"/>
            </w:r>
            <w:r>
              <w:rPr>
                <w:noProof/>
                <w:webHidden/>
              </w:rPr>
              <w:instrText xml:space="preserve"> PAGEREF _Toc116383031 \h </w:instrText>
            </w:r>
            <w:r>
              <w:rPr>
                <w:noProof/>
                <w:webHidden/>
              </w:rPr>
            </w:r>
            <w:r>
              <w:rPr>
                <w:noProof/>
                <w:webHidden/>
              </w:rPr>
              <w:fldChar w:fldCharType="separate"/>
            </w:r>
            <w:r>
              <w:rPr>
                <w:noProof/>
                <w:webHidden/>
              </w:rPr>
              <w:t>30</w:t>
            </w:r>
            <w:r>
              <w:rPr>
                <w:noProof/>
                <w:webHidden/>
              </w:rPr>
              <w:fldChar w:fldCharType="end"/>
            </w:r>
          </w:hyperlink>
        </w:p>
        <w:p w:rsidR="008520B3" w:rsidRDefault="008520B3" w14:paraId="3E3AE46F" w14:textId="38D2BFD1">
          <w:pPr>
            <w:pStyle w:val="TOC1"/>
            <w:rPr>
              <w:rFonts w:asciiTheme="minorHAnsi" w:hAnsiTheme="minorHAnsi" w:eastAsiaTheme="minorEastAsia" w:cstheme="minorBidi"/>
              <w:noProof/>
              <w:lang w:val="en-US"/>
            </w:rPr>
          </w:pPr>
          <w:hyperlink w:history="1" w:anchor="_Toc116383032">
            <w:r w:rsidRPr="000D5447">
              <w:rPr>
                <w:rStyle w:val="Hyperlink"/>
                <w:noProof/>
                <w14:scene3d>
                  <w14:camera w14:prst="orthographicFront"/>
                  <w14:lightRig w14:rig="threePt" w14:dir="t">
                    <w14:rot w14:lat="0" w14:lon="0" w14:rev="0"/>
                  </w14:lightRig>
                </w14:scene3d>
              </w:rPr>
              <w:t>5.</w:t>
            </w:r>
            <w:r>
              <w:rPr>
                <w:rFonts w:asciiTheme="minorHAnsi" w:hAnsiTheme="minorHAnsi" w:eastAsiaTheme="minorEastAsia" w:cstheme="minorBidi"/>
                <w:noProof/>
                <w:lang w:val="en-US"/>
              </w:rPr>
              <w:tab/>
            </w:r>
            <w:r w:rsidRPr="000D5447">
              <w:rPr>
                <w:rStyle w:val="Hyperlink"/>
                <w:b/>
                <w:noProof/>
              </w:rPr>
              <w:t>ADVIESCOMMISSIE INDUSTRIËLE RECONVERSIE</w:t>
            </w:r>
            <w:r>
              <w:rPr>
                <w:noProof/>
                <w:webHidden/>
              </w:rPr>
              <w:tab/>
            </w:r>
            <w:r>
              <w:rPr>
                <w:noProof/>
                <w:webHidden/>
              </w:rPr>
              <w:fldChar w:fldCharType="begin"/>
            </w:r>
            <w:r>
              <w:rPr>
                <w:noProof/>
                <w:webHidden/>
              </w:rPr>
              <w:instrText xml:space="preserve"> PAGEREF _Toc116383032 \h </w:instrText>
            </w:r>
            <w:r>
              <w:rPr>
                <w:noProof/>
                <w:webHidden/>
              </w:rPr>
            </w:r>
            <w:r>
              <w:rPr>
                <w:noProof/>
                <w:webHidden/>
              </w:rPr>
              <w:fldChar w:fldCharType="separate"/>
            </w:r>
            <w:r>
              <w:rPr>
                <w:noProof/>
                <w:webHidden/>
              </w:rPr>
              <w:t>31</w:t>
            </w:r>
            <w:r>
              <w:rPr>
                <w:noProof/>
                <w:webHidden/>
              </w:rPr>
              <w:fldChar w:fldCharType="end"/>
            </w:r>
          </w:hyperlink>
        </w:p>
        <w:p w:rsidR="001E6413" w:rsidP="009120CD" w:rsidRDefault="001E6413" w14:paraId="684BFB9B" w14:textId="02BAFA4F">
          <w:r>
            <w:rPr>
              <w:b/>
            </w:rPr>
            <w:fldChar w:fldCharType="end"/>
          </w:r>
        </w:p>
      </w:sdtContent>
    </w:sdt>
    <w:p w:rsidRPr="009B70E7" w:rsidR="004D7AC0" w:rsidP="009120CD" w:rsidRDefault="004D7AC0" w14:paraId="4600634B" w14:textId="77777777"/>
    <w:p w:rsidRPr="009B70E7" w:rsidR="004D7AC0" w:rsidP="009120CD" w:rsidRDefault="004D7AC0" w14:paraId="68489C47" w14:textId="2FCA526B">
      <w:pPr>
        <w:pStyle w:val="Heading1"/>
        <w:numPr>
          <w:ilvl w:val="0"/>
          <w:numId w:val="0"/>
        </w:numPr>
      </w:pPr>
      <w:r>
        <w:br w:type="page"/>
      </w:r>
    </w:p>
    <w:p w:rsidRPr="00D13F40" w:rsidR="004D7AC0" w:rsidP="009120CD" w:rsidRDefault="004D7AC0" w14:paraId="1E329F25" w14:textId="77777777">
      <w:pPr>
        <w:pStyle w:val="Heading1"/>
        <w:rPr>
          <w:b/>
        </w:rPr>
      </w:pPr>
      <w:bookmarkStart w:name="_Toc116383028" w:id="1"/>
      <w:r>
        <w:rPr>
          <w:b/>
        </w:rPr>
        <w:lastRenderedPageBreak/>
        <w:t>ECONOMISCHE EN MONETAIRE UNIE, ECONOMISCHE EN SOCIALE SAMENHANG</w:t>
      </w:r>
      <w:bookmarkEnd w:id="1"/>
    </w:p>
    <w:p w:rsidR="00662436" w:rsidP="009120CD" w:rsidRDefault="00662436" w14:paraId="1710091D" w14:textId="77777777"/>
    <w:p w:rsidRPr="009B70E7" w:rsidR="00640656" w:rsidP="009120CD" w:rsidRDefault="004442D3" w14:paraId="5D3A59A0" w14:textId="0519BECD">
      <w:pPr>
        <w:keepNext/>
        <w:keepLines/>
        <w:numPr>
          <w:ilvl w:val="0"/>
          <w:numId w:val="5"/>
        </w:numPr>
        <w:overflowPunct w:val="0"/>
        <w:autoSpaceDE w:val="0"/>
        <w:autoSpaceDN w:val="0"/>
        <w:adjustRightInd w:val="0"/>
        <w:ind w:left="567" w:hanging="567"/>
        <w:textAlignment w:val="baseline"/>
        <w:rPr>
          <w:b/>
          <w:i/>
          <w:spacing w:val="-2"/>
          <w:sz w:val="28"/>
          <w:szCs w:val="28"/>
        </w:rPr>
      </w:pPr>
      <w:r>
        <w:rPr>
          <w:b/>
          <w:i/>
          <w:sz w:val="28"/>
        </w:rPr>
        <w:t>Sociale taxonomie – Uitdagingen en kansen</w:t>
      </w:r>
    </w:p>
    <w:p w:rsidRPr="0018231C" w:rsidR="00640656" w:rsidP="009120CD" w:rsidRDefault="00640656" w14:paraId="228D42E4" w14:textId="77777777">
      <w:pPr>
        <w:keepNext/>
        <w:keepLines/>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627B8F" w:rsidR="00640656" w:rsidTr="00B83E7B" w14:paraId="17A96696" w14:textId="77777777">
        <w:tc>
          <w:tcPr>
            <w:tcW w:w="1701" w:type="dxa"/>
          </w:tcPr>
          <w:p w:rsidRPr="009B70E7" w:rsidR="00640656" w:rsidP="009120CD" w:rsidRDefault="00640656" w14:paraId="204BF0A8" w14:textId="77777777">
            <w:pPr>
              <w:pStyle w:val="ListParagraph"/>
              <w:ind w:left="-142" w:firstLine="142"/>
              <w:rPr>
                <w:b/>
              </w:rPr>
            </w:pPr>
            <w:r>
              <w:rPr>
                <w:b/>
              </w:rPr>
              <w:t>Rapporteur:</w:t>
            </w:r>
          </w:p>
        </w:tc>
        <w:tc>
          <w:tcPr>
            <w:tcW w:w="6521" w:type="dxa"/>
          </w:tcPr>
          <w:p w:rsidR="00640656" w:rsidP="009120CD" w:rsidRDefault="004442D3" w14:paraId="1461617E" w14:textId="696E8CA5">
            <w:pPr>
              <w:pStyle w:val="ListParagraph"/>
              <w:ind w:left="-60" w:right="-55"/>
            </w:pPr>
            <w:r>
              <w:t>Judith VORBACH (groep Werknemers – AT)</w:t>
            </w:r>
          </w:p>
          <w:p w:rsidRPr="00627B8F" w:rsidR="004442D3" w:rsidP="009120CD" w:rsidRDefault="004442D3" w14:paraId="1C5C2FFB" w14:textId="21B769C5">
            <w:pPr>
              <w:pStyle w:val="ListParagraph"/>
              <w:ind w:left="-60" w:right="-55"/>
            </w:pPr>
          </w:p>
        </w:tc>
      </w:tr>
      <w:tr w:rsidRPr="00627B8F" w:rsidR="00640656" w:rsidTr="00B83E7B" w14:paraId="3D93C3AA" w14:textId="77777777">
        <w:tc>
          <w:tcPr>
            <w:tcW w:w="1701" w:type="dxa"/>
          </w:tcPr>
          <w:p w:rsidRPr="009B70E7" w:rsidR="00640656" w:rsidP="009120CD" w:rsidRDefault="00640656" w14:paraId="33436DCF" w14:textId="77777777">
            <w:pPr>
              <w:pStyle w:val="ListParagraph"/>
              <w:ind w:left="-142" w:firstLine="142"/>
              <w:rPr>
                <w:b/>
              </w:rPr>
            </w:pPr>
            <w:r>
              <w:rPr>
                <w:b/>
              </w:rPr>
              <w:t xml:space="preserve">Referentie: </w:t>
            </w:r>
          </w:p>
        </w:tc>
        <w:tc>
          <w:tcPr>
            <w:tcW w:w="6521" w:type="dxa"/>
          </w:tcPr>
          <w:p w:rsidRPr="00627B8F" w:rsidR="00640656" w:rsidP="009120CD" w:rsidRDefault="000A03BD" w14:paraId="3CD87A23" w14:textId="77777777">
            <w:pPr>
              <w:pStyle w:val="ListParagraph"/>
              <w:ind w:left="-61"/>
              <w:rPr>
                <w:bCs/>
              </w:rPr>
            </w:pPr>
            <w:r>
              <w:t>Initiatiefadvies</w:t>
            </w:r>
          </w:p>
          <w:p w:rsidRPr="00627B8F" w:rsidR="00640656" w:rsidP="009120CD" w:rsidRDefault="00640656" w14:paraId="57D265AF" w14:textId="7AF6677A">
            <w:pPr>
              <w:pStyle w:val="ListParagraph"/>
              <w:ind w:left="-61"/>
            </w:pPr>
            <w:r>
              <w:t>EESC-2022-00721-00-00-AC</w:t>
            </w:r>
          </w:p>
        </w:tc>
      </w:tr>
    </w:tbl>
    <w:p w:rsidRPr="00627B8F" w:rsidR="00640656" w:rsidP="009120CD" w:rsidRDefault="00640656" w14:paraId="68C62979" w14:textId="77777777">
      <w:pPr>
        <w:pStyle w:val="ListParagraph"/>
        <w:ind w:left="0"/>
        <w:rPr>
          <w:lang w:val="pt-PT"/>
        </w:rPr>
      </w:pPr>
    </w:p>
    <w:p w:rsidRPr="009B70E7" w:rsidR="00640656" w:rsidP="009120CD" w:rsidRDefault="00640656" w14:paraId="1531E332" w14:textId="43F60572">
      <w:pPr>
        <w:pStyle w:val="ListParagraph"/>
        <w:ind w:left="0" w:firstLine="142"/>
        <w:rPr>
          <w:b/>
        </w:rPr>
      </w:pPr>
      <w:r>
        <w:rPr>
          <w:b/>
        </w:rPr>
        <w:t>Hoofdpunten</w:t>
      </w:r>
    </w:p>
    <w:p w:rsidRPr="00804736" w:rsidR="00640656" w:rsidP="009120CD" w:rsidRDefault="00640656" w14:paraId="35E5BFA5" w14:textId="77777777">
      <w:pPr>
        <w:pStyle w:val="ListParagraph"/>
        <w:ind w:left="-142" w:firstLine="142"/>
        <w:rPr>
          <w:b/>
        </w:rPr>
      </w:pPr>
    </w:p>
    <w:p w:rsidRPr="00B67EDA" w:rsidR="00640656" w:rsidP="009120CD" w:rsidRDefault="00640656" w14:paraId="49F5E58C" w14:textId="77777777">
      <w:pPr>
        <w:pStyle w:val="ListParagraph"/>
        <w:ind w:left="0" w:firstLine="142"/>
        <w:rPr>
          <w:bCs/>
        </w:rPr>
      </w:pPr>
      <w:r>
        <w:t>Het EESC:</w:t>
      </w:r>
    </w:p>
    <w:p w:rsidRPr="009B70E7" w:rsidR="00640656" w:rsidP="009120CD" w:rsidRDefault="00640656" w14:paraId="79740612" w14:textId="77777777">
      <w:pPr>
        <w:pStyle w:val="ListParagraph"/>
        <w:ind w:left="0"/>
      </w:pPr>
    </w:p>
    <w:p w:rsidRPr="009B70E7" w:rsidR="00640656" w:rsidP="009120CD" w:rsidRDefault="001A7476" w14:paraId="7319D50D" w14:textId="5D04C8BF">
      <w:pPr>
        <w:pStyle w:val="ListParagraph"/>
        <w:numPr>
          <w:ilvl w:val="0"/>
          <w:numId w:val="3"/>
        </w:numPr>
        <w:ind w:left="357" w:hanging="357"/>
      </w:pPr>
      <w:r>
        <w:t>verzoekt de Commissie om het verslag te publiceren dat al te lang op zich laat wachten en waarin de bepalingen worden beschreven die nodig zijn om het toepassingsgebied van de EU-taxonomie voor duurzaamheid uit te breiden tot “andere duurzaamheidsdoelstellingen, zoals sociale doelstellingen”, zoals de taxonomieverordening (hierna “de verordening”) voorschrijft;</w:t>
      </w:r>
    </w:p>
    <w:p w:rsidR="00640656" w:rsidP="009120CD" w:rsidRDefault="001A7476" w14:paraId="410F3EF2" w14:textId="50B8D342">
      <w:pPr>
        <w:pStyle w:val="ListParagraph"/>
        <w:numPr>
          <w:ilvl w:val="0"/>
          <w:numId w:val="3"/>
        </w:numPr>
        <w:ind w:left="357" w:hanging="357"/>
      </w:pPr>
      <w:r>
        <w:t>pleit voor een operationeel haalbare en conceptueel solide sociale taxonomie, om de kansen waar te maken en tegelijkertijd uitdagingen het hoofd te bieden. De EU-taxonomie moet gericht zijn op een holistische aanpak die zowel ecologische als sociale duurzaamheid omvat;</w:t>
      </w:r>
    </w:p>
    <w:p w:rsidRPr="009B70E7" w:rsidR="00640656" w:rsidP="009120CD" w:rsidRDefault="001A7476" w14:paraId="00EEA10F" w14:textId="73222392">
      <w:pPr>
        <w:pStyle w:val="ListParagraph"/>
        <w:numPr>
          <w:ilvl w:val="0"/>
          <w:numId w:val="3"/>
        </w:numPr>
        <w:ind w:left="357" w:hanging="357"/>
      </w:pPr>
      <w:r>
        <w:t>acht de minimumwaarborgen van de verordening positief, maar onvoldoende om sociale duurzaamheid voor werknemers, consumenten en gemeenschappen te garanderen;</w:t>
      </w:r>
    </w:p>
    <w:p w:rsidR="00640656" w:rsidP="009120CD" w:rsidRDefault="001A7476" w14:paraId="5DA57970" w14:textId="3B07B18D">
      <w:pPr>
        <w:pStyle w:val="ListParagraph"/>
        <w:numPr>
          <w:ilvl w:val="0"/>
          <w:numId w:val="3"/>
        </w:numPr>
        <w:ind w:left="357" w:hanging="357"/>
      </w:pPr>
      <w:r>
        <w:t>meent dat de financiering van sociale voorzieningen door overheidsuitgaven van fundamenteel belang blijft. Toch zou een sociale taxonomie richtsnoeren kunnen aanreiken voor beleggingen met positieve sociale effecten;</w:t>
      </w:r>
    </w:p>
    <w:p w:rsidR="000A03BD" w:rsidP="009120CD" w:rsidRDefault="001A7476" w14:paraId="3030B859" w14:textId="27C5CBF0">
      <w:pPr>
        <w:pStyle w:val="ListParagraph"/>
        <w:numPr>
          <w:ilvl w:val="0"/>
          <w:numId w:val="3"/>
        </w:numPr>
        <w:ind w:left="357" w:hanging="357"/>
      </w:pPr>
      <w:r>
        <w:t>beveelt aan een sociale taxonomie op te nemen in het kader voor duurzame financiering en met name te verwijzen naar de voorgenomen richtlijn duurzaamheidsrapportage door bedrijven (Corporate Sustainable Reporting Directive, CSRD);</w:t>
      </w:r>
    </w:p>
    <w:p w:rsidRPr="001A7476" w:rsidR="000A03BD" w:rsidP="009120CD" w:rsidRDefault="001A7476" w14:paraId="581CFA88" w14:textId="7876427E">
      <w:pPr>
        <w:pStyle w:val="ListParagraph"/>
        <w:numPr>
          <w:ilvl w:val="0"/>
          <w:numId w:val="3"/>
        </w:numPr>
        <w:ind w:left="357" w:hanging="357"/>
      </w:pPr>
      <w:r>
        <w:t>is ervan overtuigd dat een goed opgezette sociale taxonomie zou bijdragen tot de aanpak van ‘social washing’;</w:t>
      </w:r>
    </w:p>
    <w:p w:rsidRPr="001A7476" w:rsidR="001A7476" w:rsidP="009120CD" w:rsidRDefault="001A7476" w14:paraId="6BE1CBCA" w14:textId="505D9566">
      <w:pPr>
        <w:pStyle w:val="ListParagraph"/>
        <w:numPr>
          <w:ilvl w:val="0"/>
          <w:numId w:val="3"/>
        </w:numPr>
        <w:ind w:left="357" w:hanging="357"/>
      </w:pPr>
      <w:r>
        <w:t>beveelt aan om te beginnen met eenvoudige en duidelijke richtsnoeren en te voorzien in eenvoudige en transparante procedures, en deze geleidelijk aan te vullen;</w:t>
      </w:r>
    </w:p>
    <w:p w:rsidRPr="001A7476" w:rsidR="001A7476" w:rsidP="009120CD" w:rsidRDefault="001A7476" w14:paraId="313939C8" w14:textId="2F23088B">
      <w:pPr>
        <w:pStyle w:val="ListParagraph"/>
        <w:numPr>
          <w:ilvl w:val="0"/>
          <w:numId w:val="3"/>
        </w:numPr>
        <w:ind w:left="357" w:hanging="357"/>
      </w:pPr>
      <w:r>
        <w:t>vindt dat de EU-taxonomie een gouden norm moet vormen, die een hoger ambitieniveau weerspiegelt dan in de wetgeving is bepaald;</w:t>
      </w:r>
    </w:p>
    <w:p w:rsidRPr="001A7476" w:rsidR="001A7476" w:rsidP="009120CD" w:rsidRDefault="001A7476" w14:paraId="6E0B99C8" w14:textId="4B498176">
      <w:pPr>
        <w:pStyle w:val="ListParagraph"/>
        <w:numPr>
          <w:ilvl w:val="0"/>
          <w:numId w:val="3"/>
        </w:numPr>
        <w:ind w:left="357" w:hanging="357"/>
      </w:pPr>
      <w:r>
        <w:t>is ingenomen met de door het Platform voorgestelde doelstellingen, te weten fatsoenlijk werk, een adequate levensstandaard en inclusieve en duurzame gemeenschappen;</w:t>
      </w:r>
    </w:p>
    <w:p w:rsidRPr="001A7476" w:rsidR="001A7476" w:rsidP="009120CD" w:rsidRDefault="001A7476" w14:paraId="5DF87404" w14:textId="109D30C8">
      <w:pPr>
        <w:pStyle w:val="ListParagraph"/>
        <w:numPr>
          <w:ilvl w:val="0"/>
          <w:numId w:val="3"/>
        </w:numPr>
        <w:ind w:left="357" w:hanging="357"/>
      </w:pPr>
      <w:r>
        <w:t>beveelt aan te verwijzen naar de Europese pijler van sociale rechten en de duurzameontwikkelingsdoelstellingen. Naleving van de mensenrechten en de rechten van werknemers moet ook een voorwaarde zijn;</w:t>
      </w:r>
    </w:p>
    <w:p w:rsidRPr="001A7476" w:rsidR="001A7476" w:rsidP="009120CD" w:rsidRDefault="001A7476" w14:paraId="79652FE9" w14:textId="6181366D">
      <w:pPr>
        <w:pStyle w:val="ListParagraph"/>
        <w:numPr>
          <w:ilvl w:val="0"/>
          <w:numId w:val="3"/>
        </w:numPr>
        <w:ind w:left="357" w:hanging="357"/>
      </w:pPr>
      <w:r>
        <w:t>Naleving van collectieve arbeidsovereenkomsten en mechanismen van medezeggenschap overeenkomstig de respectieve nationale en Europese wetgeving moet een DNSH-beginsel vormen;</w:t>
      </w:r>
    </w:p>
    <w:p w:rsidRPr="001A7476" w:rsidR="001A7476" w:rsidP="009120CD" w:rsidRDefault="001A7476" w14:paraId="3511EA36" w14:textId="7254B9CE">
      <w:pPr>
        <w:pStyle w:val="ListParagraph"/>
        <w:numPr>
          <w:ilvl w:val="0"/>
          <w:numId w:val="3"/>
        </w:numPr>
        <w:ind w:left="357" w:hanging="357"/>
      </w:pPr>
      <w:r>
        <w:t>dringt er bij de wetgevers op aan de sociale partners en maatschappelijke organisaties volledig te betrekken bij het opstellen van de sociale taxonomie;</w:t>
      </w:r>
    </w:p>
    <w:p w:rsidRPr="001A7476" w:rsidR="001A7476" w:rsidP="009120CD" w:rsidRDefault="001A7476" w14:paraId="3768FE29" w14:textId="13985207">
      <w:pPr>
        <w:pStyle w:val="ListParagraph"/>
        <w:numPr>
          <w:ilvl w:val="0"/>
          <w:numId w:val="3"/>
        </w:numPr>
        <w:ind w:left="357" w:hanging="357"/>
      </w:pPr>
      <w:bookmarkStart w:name="_Hlk113968821" w:id="2"/>
      <w:r>
        <w:t>is ervan overtuigd dat het succes van de taxonomie samenhangt met de geloofwaardigheid ervan, en de activiteiten die eronder vallen moeten voldoen aan een algemeen aanvaarde definitie van duurzaamheid;</w:t>
      </w:r>
      <w:bookmarkEnd w:id="2"/>
    </w:p>
    <w:p w:rsidRPr="001A7476" w:rsidR="001A7476" w:rsidP="009120CD" w:rsidRDefault="001A7476" w14:paraId="558F86B9" w14:textId="4FC06052">
      <w:pPr>
        <w:pStyle w:val="ListParagraph"/>
        <w:numPr>
          <w:ilvl w:val="0"/>
          <w:numId w:val="3"/>
        </w:numPr>
        <w:ind w:left="357" w:hanging="357"/>
      </w:pPr>
      <w:r>
        <w:rPr>
          <w:u w:val="single"/>
        </w:rPr>
        <w:lastRenderedPageBreak/>
        <w:t>wil nog andere voordelen van een sociale taxonomie onder de aandacht brengen:</w:t>
      </w:r>
    </w:p>
    <w:p w:rsidR="001A7476" w:rsidP="00CD077F" w:rsidRDefault="001A7476" w14:paraId="7207DE04" w14:textId="1EE55D32">
      <w:pPr>
        <w:pStyle w:val="ListParagraph"/>
        <w:numPr>
          <w:ilvl w:val="0"/>
          <w:numId w:val="22"/>
        </w:numPr>
        <w:ind w:left="1134" w:hanging="567"/>
      </w:pPr>
      <w:r>
        <w:t xml:space="preserve">de stijgende vraag naar sociaal georiënteerde beleggingen moet worden ondersteund door te zorgen voor een betrouwbare taxonomie die een samenhangend concept vormt voor het meten van sociale duurzaamheid; </w:t>
      </w:r>
    </w:p>
    <w:p w:rsidR="001A7476" w:rsidP="00CD077F" w:rsidRDefault="001A7476" w14:paraId="32DD3C5C" w14:textId="39FB2E30">
      <w:pPr>
        <w:pStyle w:val="ListParagraph"/>
        <w:numPr>
          <w:ilvl w:val="0"/>
          <w:numId w:val="22"/>
        </w:numPr>
        <w:ind w:left="1134" w:hanging="567"/>
      </w:pPr>
      <w:r>
        <w:t>een taxonomie kan bijdragen om de risico’s als gevolg van sociaal schadelijke activiteiten tot een minimum te beperken;</w:t>
      </w:r>
    </w:p>
    <w:p w:rsidR="001A7476" w:rsidP="00CD077F" w:rsidRDefault="001A7476" w14:paraId="6C616777" w14:textId="38B4B28C">
      <w:pPr>
        <w:pStyle w:val="ListParagraph"/>
        <w:numPr>
          <w:ilvl w:val="0"/>
          <w:numId w:val="22"/>
        </w:numPr>
        <w:ind w:left="1134" w:hanging="567"/>
      </w:pPr>
      <w:r>
        <w:t xml:space="preserve">transparantie is van cruciaal belang voor de efficiëntie van de kapitaalmarkt en kan zij ook bijdragen tot de sociale interne markt als omschreven in artikel 3 VWEU; </w:t>
      </w:r>
    </w:p>
    <w:p w:rsidR="001A7476" w:rsidP="00CD077F" w:rsidRDefault="001A7476" w14:paraId="223C0F2B" w14:textId="699E9D77">
      <w:pPr>
        <w:pStyle w:val="ListParagraph"/>
        <w:numPr>
          <w:ilvl w:val="0"/>
          <w:numId w:val="22"/>
        </w:numPr>
        <w:ind w:left="1134" w:hanging="567"/>
      </w:pPr>
      <w:r>
        <w:t>de EU moet voortbouwen op haar sterke punten en ernaar streven een rolmodel en koploper te worden op het gebied van ecologische en sociale duurzaamheid;</w:t>
      </w:r>
    </w:p>
    <w:p w:rsidRPr="00C56F85" w:rsidR="001A7476" w:rsidP="009120CD" w:rsidRDefault="001A7476" w14:paraId="274F855E" w14:textId="77777777">
      <w:pPr>
        <w:ind w:left="709"/>
        <w:rPr>
          <w:sz w:val="18"/>
          <w:szCs w:val="18"/>
        </w:rPr>
      </w:pPr>
    </w:p>
    <w:p w:rsidRPr="001A7476" w:rsidR="001A7476" w:rsidP="009120CD" w:rsidRDefault="001A7476" w14:paraId="55B4EDEF" w14:textId="5F60354F">
      <w:pPr>
        <w:pStyle w:val="ListParagraph"/>
        <w:numPr>
          <w:ilvl w:val="0"/>
          <w:numId w:val="3"/>
        </w:numPr>
        <w:ind w:left="357" w:hanging="357"/>
      </w:pPr>
      <w:r>
        <w:rPr>
          <w:u w:val="single"/>
        </w:rPr>
        <w:t>wijst ook op uitdagingen en mogelijke oplossingen:</w:t>
      </w:r>
    </w:p>
    <w:p w:rsidR="001A7476" w:rsidP="00CD077F" w:rsidRDefault="001A7476" w14:paraId="345A3836" w14:textId="72A55591">
      <w:pPr>
        <w:pStyle w:val="ListParagraph"/>
        <w:numPr>
          <w:ilvl w:val="0"/>
          <w:numId w:val="24"/>
        </w:numPr>
        <w:ind w:left="1134" w:hanging="567"/>
      </w:pPr>
      <w:r>
        <w:t>niet voldoen aan de taxonomie mag niet als schadelijk worden beschouwd;</w:t>
      </w:r>
    </w:p>
    <w:p w:rsidR="001A7476" w:rsidP="0064748D" w:rsidRDefault="001A7476" w14:paraId="042B4779" w14:textId="737822C5">
      <w:pPr>
        <w:pStyle w:val="ListParagraph"/>
        <w:numPr>
          <w:ilvl w:val="0"/>
          <w:numId w:val="24"/>
        </w:numPr>
        <w:ind w:left="1134" w:hanging="567"/>
      </w:pPr>
      <w:r>
        <w:t xml:space="preserve">er zal controverse zijn over wat in de taxonomie moet worden opgenomen. Juist daarom moet het bepalen hiervan aan een democratisch debat en democratische besluitvorming worden onderworpen; </w:t>
      </w:r>
    </w:p>
    <w:p w:rsidR="001A7476" w:rsidP="0064748D" w:rsidRDefault="001A7476" w14:paraId="08E9EE8B" w14:textId="456C472C">
      <w:pPr>
        <w:pStyle w:val="ListParagraph"/>
        <w:numPr>
          <w:ilvl w:val="0"/>
          <w:numId w:val="24"/>
        </w:numPr>
        <w:ind w:left="1134" w:hanging="567"/>
      </w:pPr>
      <w:r>
        <w:t>een sociale taxonomie zou kunnen leiden tot aanvullende rapportagevereisten, die tot een minimum kunnen worden beperkt door naar gerelateerde wetgeving te verwijzen, zoals de CSRD.</w:t>
      </w:r>
    </w:p>
    <w:p w:rsidRPr="00C56F85" w:rsidR="00577672" w:rsidP="009120CD" w:rsidRDefault="00577672" w14:paraId="6AC42931" w14:textId="77777777">
      <w:pPr>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640656" w:rsidTr="00B83E7B" w14:paraId="437B7156" w14:textId="77777777">
        <w:tc>
          <w:tcPr>
            <w:tcW w:w="1418" w:type="dxa"/>
          </w:tcPr>
          <w:p w:rsidRPr="009B70E7" w:rsidR="00640656" w:rsidP="009120CD" w:rsidRDefault="00640656" w14:paraId="026D2B53" w14:textId="77777777">
            <w:pPr>
              <w:pStyle w:val="ListParagraph"/>
              <w:ind w:left="0"/>
              <w:rPr>
                <w:i/>
              </w:rPr>
            </w:pPr>
            <w:bookmarkStart w:name="_Hlk111561469" w:id="3"/>
            <w:r>
              <w:rPr>
                <w:b/>
                <w:i/>
              </w:rPr>
              <w:t>Contactpersoon</w:t>
            </w:r>
          </w:p>
        </w:tc>
        <w:tc>
          <w:tcPr>
            <w:tcW w:w="5670" w:type="dxa"/>
          </w:tcPr>
          <w:p w:rsidRPr="009B70E7" w:rsidR="00640656" w:rsidP="009120CD" w:rsidRDefault="00A51F67" w14:paraId="3123BFA2" w14:textId="6072D2D7">
            <w:pPr>
              <w:pStyle w:val="ListParagraph"/>
              <w:ind w:left="0"/>
              <w:rPr>
                <w:i/>
              </w:rPr>
            </w:pPr>
            <w:r>
              <w:rPr>
                <w:i/>
              </w:rPr>
              <w:t>Gerald Klec</w:t>
            </w:r>
          </w:p>
        </w:tc>
      </w:tr>
      <w:tr w:rsidRPr="009B70E7" w:rsidR="00640656" w:rsidTr="00B83E7B" w14:paraId="13C450E4" w14:textId="77777777">
        <w:tc>
          <w:tcPr>
            <w:tcW w:w="1418" w:type="dxa"/>
          </w:tcPr>
          <w:p w:rsidRPr="009B70E7" w:rsidR="00640656" w:rsidP="009120CD" w:rsidRDefault="00640656" w14:paraId="71B7C5A8" w14:textId="77777777">
            <w:pPr>
              <w:pStyle w:val="ListParagraph"/>
              <w:ind w:left="601"/>
              <w:rPr>
                <w:i/>
              </w:rPr>
            </w:pPr>
            <w:r>
              <w:rPr>
                <w:i/>
              </w:rPr>
              <w:t>Tel.</w:t>
            </w:r>
          </w:p>
        </w:tc>
        <w:tc>
          <w:tcPr>
            <w:tcW w:w="5670" w:type="dxa"/>
          </w:tcPr>
          <w:p w:rsidRPr="009B70E7" w:rsidR="00640656" w:rsidP="009120CD" w:rsidRDefault="00577672" w14:paraId="3226C0EF" w14:textId="60CE5422">
            <w:pPr>
              <w:pStyle w:val="ListParagraph"/>
              <w:ind w:left="0"/>
              <w:rPr>
                <w:i/>
              </w:rPr>
            </w:pPr>
            <w:r>
              <w:rPr>
                <w:i/>
              </w:rPr>
              <w:t>00 32 2 546 99 09</w:t>
            </w:r>
          </w:p>
        </w:tc>
      </w:tr>
      <w:tr w:rsidRPr="009B70E7" w:rsidR="00640656" w:rsidTr="00B83E7B" w14:paraId="1FEA5B3F" w14:textId="77777777">
        <w:tc>
          <w:tcPr>
            <w:tcW w:w="1418" w:type="dxa"/>
          </w:tcPr>
          <w:p w:rsidRPr="009B70E7" w:rsidR="00640656" w:rsidP="009120CD" w:rsidRDefault="00640656" w14:paraId="6D5FF9EA" w14:textId="77777777">
            <w:pPr>
              <w:pStyle w:val="ListParagraph"/>
              <w:ind w:left="601"/>
              <w:rPr>
                <w:i/>
              </w:rPr>
            </w:pPr>
            <w:r>
              <w:rPr>
                <w:i/>
              </w:rPr>
              <w:t>E-mail</w:t>
            </w:r>
          </w:p>
        </w:tc>
        <w:tc>
          <w:tcPr>
            <w:tcW w:w="5670" w:type="dxa"/>
          </w:tcPr>
          <w:p w:rsidRPr="00E00915" w:rsidR="00063F30" w:rsidP="009120CD" w:rsidRDefault="00C56F85" w14:paraId="160383F7" w14:textId="717632F5">
            <w:pPr>
              <w:pStyle w:val="ListParagraph"/>
              <w:ind w:left="0"/>
              <w:rPr>
                <w:i/>
                <w:iCs/>
                <w:color w:val="0000FF"/>
                <w:u w:val="single"/>
              </w:rPr>
            </w:pPr>
            <w:hyperlink w:history="1" r:id="rId20">
              <w:r w:rsidR="0064748D">
                <w:rPr>
                  <w:rStyle w:val="Hyperlink"/>
                  <w:i/>
                </w:rPr>
                <w:t>Gerald.Klec@eesc.europa.eu</w:t>
              </w:r>
            </w:hyperlink>
          </w:p>
        </w:tc>
      </w:tr>
      <w:bookmarkEnd w:id="3"/>
    </w:tbl>
    <w:p w:rsidRPr="00C56F85" w:rsidR="005B5038" w:rsidP="009120CD" w:rsidRDefault="005B5038" w14:paraId="099E8EC3" w14:textId="77777777">
      <w:pPr>
        <w:rPr>
          <w:sz w:val="18"/>
          <w:szCs w:val="18"/>
        </w:rPr>
      </w:pPr>
    </w:p>
    <w:p w:rsidRPr="00063F30" w:rsidR="00063F30" w:rsidP="009120CD" w:rsidRDefault="00063F30" w14:paraId="13934E5C" w14:textId="5CA4CA83">
      <w:pPr>
        <w:keepNext/>
        <w:keepLines/>
        <w:numPr>
          <w:ilvl w:val="0"/>
          <w:numId w:val="5"/>
        </w:numPr>
        <w:overflowPunct w:val="0"/>
        <w:autoSpaceDE w:val="0"/>
        <w:autoSpaceDN w:val="0"/>
        <w:adjustRightInd w:val="0"/>
        <w:ind w:left="567" w:hanging="567"/>
        <w:textAlignment w:val="baseline"/>
        <w:rPr>
          <w:b/>
          <w:bCs/>
          <w:i/>
          <w:spacing w:val="-2"/>
          <w:sz w:val="28"/>
          <w:szCs w:val="28"/>
        </w:rPr>
      </w:pPr>
      <w:r>
        <w:rPr>
          <w:b/>
          <w:i/>
          <w:sz w:val="28"/>
        </w:rPr>
        <w:t>Evaluatie van het Europees Fonds voor strategische investeringen 2.0</w:t>
      </w:r>
    </w:p>
    <w:p w:rsidRPr="00C56F85" w:rsidR="006E6434" w:rsidP="009120CD" w:rsidRDefault="006E6434" w14:paraId="4E8ABD0B" w14:textId="1531D79F">
      <w:pPr>
        <w:keepNext/>
        <w:keepLines/>
        <w:overflowPunct w:val="0"/>
        <w:autoSpaceDE w:val="0"/>
        <w:autoSpaceDN w:val="0"/>
        <w:adjustRightInd w:val="0"/>
        <w:ind w:left="567"/>
        <w:textAlignment w:val="baseline"/>
        <w:rPr>
          <w:spacing w:val="-2"/>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627B8F" w:rsidR="00705674" w:rsidTr="004A46D9" w14:paraId="691352BE" w14:textId="77777777">
        <w:tc>
          <w:tcPr>
            <w:tcW w:w="1701" w:type="dxa"/>
          </w:tcPr>
          <w:p w:rsidRPr="009B70E7" w:rsidR="00705674" w:rsidP="009120CD" w:rsidRDefault="00705674" w14:paraId="3B832BAF" w14:textId="77777777">
            <w:pPr>
              <w:pStyle w:val="ListParagraph"/>
              <w:ind w:left="-142" w:firstLine="142"/>
              <w:rPr>
                <w:b/>
              </w:rPr>
            </w:pPr>
            <w:r>
              <w:rPr>
                <w:b/>
              </w:rPr>
              <w:t>Rapporteur:</w:t>
            </w:r>
          </w:p>
        </w:tc>
        <w:tc>
          <w:tcPr>
            <w:tcW w:w="6521" w:type="dxa"/>
          </w:tcPr>
          <w:p w:rsidRPr="00627B8F" w:rsidR="00705674" w:rsidP="009120CD" w:rsidRDefault="00063F30" w14:paraId="322FA680" w14:textId="757C1DDA">
            <w:pPr>
              <w:pStyle w:val="ListParagraph"/>
              <w:ind w:left="-60" w:right="-55"/>
            </w:pPr>
            <w:r>
              <w:t>Javier DOZ ORRIT (groep Werknemers – ES)</w:t>
            </w:r>
          </w:p>
        </w:tc>
      </w:tr>
      <w:tr w:rsidRPr="009B70E7" w:rsidR="00705674" w:rsidTr="004A46D9" w14:paraId="1E67D992" w14:textId="77777777">
        <w:tc>
          <w:tcPr>
            <w:tcW w:w="1701" w:type="dxa"/>
          </w:tcPr>
          <w:p w:rsidRPr="009B70E7" w:rsidR="00705674" w:rsidP="009120CD" w:rsidRDefault="00705674" w14:paraId="255A1F7D" w14:textId="77777777">
            <w:pPr>
              <w:pStyle w:val="ListParagraph"/>
              <w:ind w:left="-142" w:firstLine="142"/>
              <w:rPr>
                <w:b/>
              </w:rPr>
            </w:pPr>
            <w:r>
              <w:rPr>
                <w:b/>
              </w:rPr>
              <w:t>Corapporteur:</w:t>
            </w:r>
          </w:p>
        </w:tc>
        <w:tc>
          <w:tcPr>
            <w:tcW w:w="6521" w:type="dxa"/>
          </w:tcPr>
          <w:p w:rsidRPr="009B70E7" w:rsidR="00705674" w:rsidP="009120CD" w:rsidRDefault="00063F30" w14:paraId="0D76B76F" w14:textId="35921E85">
            <w:pPr>
              <w:pStyle w:val="ListParagraph"/>
              <w:tabs>
                <w:tab w:val="left" w:pos="838"/>
              </w:tabs>
              <w:ind w:left="-61"/>
            </w:pPr>
            <w:r>
              <w:t>Elena-Alexandra CALISTRU (groep Maatschappelijke Organisaties – RO)</w:t>
            </w:r>
          </w:p>
        </w:tc>
      </w:tr>
      <w:tr w:rsidRPr="009B70E7" w:rsidR="00986C7F" w:rsidTr="004A46D9" w14:paraId="0AA03C0B" w14:textId="77777777">
        <w:tc>
          <w:tcPr>
            <w:tcW w:w="8222" w:type="dxa"/>
            <w:gridSpan w:val="2"/>
          </w:tcPr>
          <w:p w:rsidRPr="009B70E7" w:rsidR="00986C7F" w:rsidP="009120CD" w:rsidRDefault="00986C7F" w14:paraId="11126B04" w14:textId="77777777">
            <w:pPr>
              <w:pStyle w:val="ListParagraph"/>
              <w:ind w:left="0"/>
            </w:pPr>
          </w:p>
        </w:tc>
      </w:tr>
      <w:tr w:rsidRPr="00627B8F" w:rsidR="004D7AC0" w:rsidTr="004A46D9" w14:paraId="1499CE6A" w14:textId="77777777">
        <w:tc>
          <w:tcPr>
            <w:tcW w:w="1701" w:type="dxa"/>
          </w:tcPr>
          <w:p w:rsidRPr="009B70E7" w:rsidR="004D7AC0" w:rsidP="009120CD" w:rsidRDefault="004D7AC0" w14:paraId="402C1F54" w14:textId="77777777">
            <w:pPr>
              <w:pStyle w:val="ListParagraph"/>
              <w:ind w:left="0"/>
              <w:rPr>
                <w:b/>
              </w:rPr>
            </w:pPr>
            <w:r>
              <w:rPr>
                <w:b/>
              </w:rPr>
              <w:t xml:space="preserve">Referentie: </w:t>
            </w:r>
          </w:p>
        </w:tc>
        <w:tc>
          <w:tcPr>
            <w:tcW w:w="6521" w:type="dxa"/>
          </w:tcPr>
          <w:p w:rsidRPr="00627B8F" w:rsidR="00DC097D" w:rsidP="009120CD" w:rsidRDefault="006125A8" w14:paraId="77BAAF3B" w14:textId="289CF397">
            <w:pPr>
              <w:pStyle w:val="ListParagraph"/>
              <w:ind w:left="-61"/>
              <w:rPr>
                <w:bCs/>
              </w:rPr>
            </w:pPr>
            <w:r>
              <w:t>Evaluatieverslag</w:t>
            </w:r>
          </w:p>
          <w:p w:rsidRPr="00627B8F" w:rsidR="004D7AC0" w:rsidP="009120CD" w:rsidRDefault="006125A8" w14:paraId="4FE162D8" w14:textId="39EF6EC5">
            <w:pPr>
              <w:pStyle w:val="ListParagraph"/>
              <w:ind w:left="-61"/>
            </w:pPr>
            <w:r>
              <w:t>EESC-2022-01290-00-00-RE</w:t>
            </w:r>
          </w:p>
        </w:tc>
      </w:tr>
    </w:tbl>
    <w:p w:rsidRPr="00D67CAD" w:rsidR="00631509" w:rsidP="009120CD" w:rsidRDefault="00631509" w14:paraId="6B907918" w14:textId="77777777">
      <w:pPr>
        <w:pStyle w:val="ListParagraph"/>
        <w:ind w:left="0"/>
        <w:rPr>
          <w:b/>
        </w:rPr>
      </w:pPr>
    </w:p>
    <w:p w:rsidRPr="009B70E7" w:rsidR="004D7AC0" w:rsidP="009120CD" w:rsidRDefault="004D7AC0" w14:paraId="20827D97" w14:textId="41A9A491">
      <w:pPr>
        <w:pStyle w:val="ListParagraph"/>
        <w:ind w:left="0" w:firstLine="142"/>
        <w:rPr>
          <w:b/>
        </w:rPr>
      </w:pPr>
      <w:r>
        <w:rPr>
          <w:b/>
        </w:rPr>
        <w:t>Hoofdpunten</w:t>
      </w:r>
    </w:p>
    <w:p w:rsidRPr="009B70E7" w:rsidR="004D7AC0" w:rsidP="009120CD" w:rsidRDefault="004D7AC0" w14:paraId="4918C4AD" w14:textId="77777777">
      <w:pPr>
        <w:pStyle w:val="ListParagraph"/>
        <w:ind w:left="0"/>
      </w:pPr>
    </w:p>
    <w:p w:rsidRPr="00E642C0" w:rsidR="004D7AC0" w:rsidP="009120CD" w:rsidRDefault="004D7AC0" w14:paraId="563DEAE0" w14:textId="33FBC667">
      <w:pPr>
        <w:pStyle w:val="ListParagraph"/>
        <w:ind w:left="0" w:firstLine="142"/>
        <w:rPr>
          <w:bCs/>
        </w:rPr>
      </w:pPr>
      <w:r>
        <w:t>Het EESC:</w:t>
      </w:r>
    </w:p>
    <w:p w:rsidR="004D7AC0" w:rsidP="009120CD" w:rsidRDefault="004D7AC0" w14:paraId="20687EE6" w14:textId="72B5E50A">
      <w:pPr>
        <w:pStyle w:val="ListParagraph"/>
        <w:ind w:left="0"/>
      </w:pPr>
    </w:p>
    <w:p w:rsidRPr="009B70E7" w:rsidR="008A0B15" w:rsidP="009120CD" w:rsidRDefault="008A0B15" w14:paraId="4720AA2B" w14:textId="71597FB6">
      <w:pPr>
        <w:pStyle w:val="ListParagraph"/>
        <w:numPr>
          <w:ilvl w:val="0"/>
          <w:numId w:val="3"/>
        </w:numPr>
        <w:ind w:left="357" w:hanging="357"/>
      </w:pPr>
      <w:r>
        <w:t>onderstreept dat alle geraadpleegde actoren het erover eens waren dat de resultaten van het EFSI zeer positief waren in die zin dat het fonds een aanzienlijk volume aan investeringsfinanciering wist aan te trekken, en daarmee hielp om het ernstige investeringstekort in de EU na de diepe recessie van 2008 terug te dringen;</w:t>
      </w:r>
    </w:p>
    <w:p w:rsidRPr="009B70E7" w:rsidR="004D7AC0" w:rsidP="009120CD" w:rsidRDefault="007179BC" w14:paraId="63D90A21" w14:textId="001935FF">
      <w:pPr>
        <w:pStyle w:val="ListParagraph"/>
        <w:numPr>
          <w:ilvl w:val="0"/>
          <w:numId w:val="3"/>
        </w:numPr>
        <w:ind w:left="357" w:hanging="357"/>
      </w:pPr>
      <w:bookmarkStart w:name="_Hlk115092370" w:id="4"/>
      <w:r>
        <w:t>merkt op dat de betrokkenheid van de sociale partners en maatschappelijke organisaties bij het opstarten en uitvoeren van EU-investeringsprogramma’s, met name InvestEU, bevorderd moet worden;</w:t>
      </w:r>
      <w:bookmarkEnd w:id="4"/>
    </w:p>
    <w:p w:rsidR="004D7AC0" w:rsidP="009120CD" w:rsidRDefault="007179BC" w14:paraId="18668642" w14:textId="5912DC3A">
      <w:pPr>
        <w:pStyle w:val="ListParagraph"/>
        <w:numPr>
          <w:ilvl w:val="0"/>
          <w:numId w:val="3"/>
        </w:numPr>
        <w:ind w:left="357" w:hanging="357"/>
      </w:pPr>
      <w:r>
        <w:t>vindt dat de betrokkenheid van het maatschappelijk middenveld ook op nationaal niveau moet worden gewaarborgd door de oprichting van adviescomités bestaande uit organisaties die de sociale partners en het maatschappelijk middenveld vertegenwoordigen, relevante autoriteiten, de EIB en financiële instellingen;</w:t>
      </w:r>
    </w:p>
    <w:p w:rsidRPr="009B70E7" w:rsidR="007F2119" w:rsidP="009120CD" w:rsidRDefault="007179BC" w14:paraId="30394587" w14:textId="36C1ADBB">
      <w:pPr>
        <w:pStyle w:val="ListParagraph"/>
        <w:numPr>
          <w:ilvl w:val="0"/>
          <w:numId w:val="3"/>
        </w:numPr>
        <w:ind w:left="357" w:hanging="357"/>
      </w:pPr>
      <w:r>
        <w:lastRenderedPageBreak/>
        <w:t>acht het belangrijk dat de technische capaciteiten van overheidsinstanties waar nodig worden versterkt;</w:t>
      </w:r>
    </w:p>
    <w:p w:rsidR="00DC097D" w:rsidP="009120CD" w:rsidRDefault="007179BC" w14:paraId="58783A9E" w14:textId="30B15640">
      <w:pPr>
        <w:pStyle w:val="ListParagraph"/>
        <w:numPr>
          <w:ilvl w:val="0"/>
          <w:numId w:val="3"/>
        </w:numPr>
        <w:ind w:left="357" w:hanging="357"/>
      </w:pPr>
      <w:r>
        <w:t>benadrukt dat de deelnemers aan de landenbezoeken hebben aangegeven dat de EU zich meer nog dan nu moet blijven inzetten om investeringen te bevorderen en ervoor te zorgen dat investeringen gericht zijn op het realiseren van de doelstellingen van de Green Deal en de digitale transformatie, waarbij beide transities rechtvaardig moeten verlopen, alsook op het versterken van de sociale cohesie;</w:t>
      </w:r>
    </w:p>
    <w:p w:rsidR="007179BC" w:rsidP="009120CD" w:rsidRDefault="007179BC" w14:paraId="1E46B157" w14:textId="59B7960C">
      <w:pPr>
        <w:pStyle w:val="ListParagraph"/>
        <w:numPr>
          <w:ilvl w:val="0"/>
          <w:numId w:val="3"/>
        </w:numPr>
        <w:ind w:left="357" w:hanging="357"/>
      </w:pPr>
      <w:r>
        <w:t>wijst erop dat de geraadpleegde maatschappelijke organisaties het erover eens waren dat de complementariteit en synergieën tussen InvestEU en de andere investeringsprogramma’s van de EU versterkt moeten worden;</w:t>
      </w:r>
    </w:p>
    <w:p w:rsidR="007179BC" w:rsidP="009120CD" w:rsidRDefault="007179BC" w14:paraId="730433B5" w14:textId="26007E16">
      <w:pPr>
        <w:pStyle w:val="ListParagraph"/>
        <w:numPr>
          <w:ilvl w:val="0"/>
          <w:numId w:val="3"/>
        </w:numPr>
        <w:ind w:left="357" w:hanging="357"/>
      </w:pPr>
      <w:r>
        <w:t>merkt op dat de meeste geraadpleegde maatschappelijke organisaties van mening zijn dat er instrumenten moeten komen om de impact van deze programma’s op de arbeids- en levensomstandigheden van individuele personen en gemeenschappen, en de convergentie tussen regio’s te beoordelen;</w:t>
      </w:r>
    </w:p>
    <w:p w:rsidR="007179BC" w:rsidP="009120CD" w:rsidRDefault="007179BC" w14:paraId="7BF1D37A" w14:textId="28EB31A1">
      <w:pPr>
        <w:pStyle w:val="ListParagraph"/>
        <w:numPr>
          <w:ilvl w:val="0"/>
          <w:numId w:val="3"/>
        </w:numPr>
        <w:ind w:left="357" w:hanging="357"/>
      </w:pPr>
      <w:r>
        <w:t>merkt op dat nadere informatie over de financiële, economische en sociale resultaten van EFSI- en InvestEU-investeringen de doeltreffendheid van deze programma’s kan helpen verbeteren. Er moeten instrumenten worden opgezet waarmee de additionaliteit nauwkeuriger kan worden gemeten;</w:t>
      </w:r>
    </w:p>
    <w:p w:rsidR="005B5038" w:rsidP="009120CD" w:rsidRDefault="007179BC" w14:paraId="546B48D0" w14:textId="0013F9BD">
      <w:pPr>
        <w:pStyle w:val="ListParagraph"/>
        <w:numPr>
          <w:ilvl w:val="0"/>
          <w:numId w:val="3"/>
        </w:numPr>
        <w:ind w:left="357" w:hanging="357"/>
      </w:pPr>
      <w:r>
        <w:t>roept de Commissie en de EIB op om na te gaan hoe synergieën van InvestEU met de structuurfondsen en het Cohesiefonds kunnen worden bevorderd om een einde te maken aan de huidige tendens dat de middelen vooral ten goede komen aan meer ontwikkelde regio’s, zoals bij de tenuitvoerlegging van het EFSI is gebleken;</w:t>
      </w:r>
    </w:p>
    <w:p w:rsidR="007179BC" w:rsidP="009120CD" w:rsidRDefault="008A0B15" w14:paraId="0661EC27" w14:textId="5D938350">
      <w:pPr>
        <w:pStyle w:val="ListParagraph"/>
        <w:numPr>
          <w:ilvl w:val="0"/>
          <w:numId w:val="3"/>
        </w:numPr>
        <w:ind w:left="357" w:hanging="357"/>
      </w:pPr>
      <w:r>
        <w:t>merkt op dat de maatschappelijke organisaties het ermee eens waren dat kleine en middelgrote ondernemingen en bedrijven in de sociale economie prioriteit moeten krijgen bij de financiering via InvestEU. Deze ondernemingen moeten, mogelijk via de EIAH en het EIPP, beter in staat worden gesteld om volledig deel te nemen aan de belangrijkste door de EU aangemoedigde investeringslijnen. Het is van cruciaal belang dat er op Europees niveau een homogene definitie wordt vastgesteld van de begrippen “kleine en middelgrote ondernemingen”, “midcap-ondernemingen” en “ondernemingen in de sociale economie”;</w:t>
      </w:r>
    </w:p>
    <w:p w:rsidR="007179BC" w:rsidP="009120CD" w:rsidRDefault="007179BC" w14:paraId="505EE29E" w14:textId="0836793F">
      <w:pPr>
        <w:pStyle w:val="ListParagraph"/>
        <w:numPr>
          <w:ilvl w:val="0"/>
          <w:numId w:val="3"/>
        </w:numPr>
        <w:ind w:left="357" w:hanging="357"/>
      </w:pPr>
      <w:r>
        <w:t>wijst erop dat, los van de verschillende mate waarin in elk land gebruik is gemaakt van de EIAH en het EIPP bij de tenuitvoerlegging van het EFSI, beide instrumenten zeer nuttig worden geacht en versterkt moeten worden;</w:t>
      </w:r>
    </w:p>
    <w:p w:rsidR="003E692C" w:rsidP="009120CD" w:rsidRDefault="007179BC" w14:paraId="176DA90D" w14:textId="4E29784B">
      <w:pPr>
        <w:pStyle w:val="ListParagraph"/>
        <w:numPr>
          <w:ilvl w:val="0"/>
          <w:numId w:val="3"/>
        </w:numPr>
        <w:ind w:left="357" w:hanging="357"/>
      </w:pPr>
      <w:r>
        <w:t>is van mening dat de transparantie en zichtbaarheid tijdens de uitvoering van InvestEU moeten worden vergroot.</w:t>
      </w:r>
    </w:p>
    <w:p w:rsidRPr="00C56F85" w:rsidR="00AA05F8" w:rsidP="009120CD" w:rsidRDefault="00AA05F8" w14:paraId="64FB268C" w14:textId="77777777">
      <w:pPr>
        <w:pStyle w:val="ListParagraph"/>
        <w:ind w:left="357"/>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04205F" w:rsidTr="008B66DD" w14:paraId="42ABA59B" w14:textId="77777777">
        <w:tc>
          <w:tcPr>
            <w:tcW w:w="1418" w:type="dxa"/>
          </w:tcPr>
          <w:p w:rsidRPr="009B70E7" w:rsidR="0004205F" w:rsidP="009120CD" w:rsidRDefault="0004205F" w14:paraId="1202A600" w14:textId="77777777">
            <w:pPr>
              <w:pStyle w:val="ListParagraph"/>
              <w:ind w:left="0"/>
              <w:rPr>
                <w:i/>
              </w:rPr>
            </w:pPr>
            <w:r>
              <w:rPr>
                <w:b/>
                <w:i/>
              </w:rPr>
              <w:t>Contactpersoon</w:t>
            </w:r>
          </w:p>
        </w:tc>
        <w:tc>
          <w:tcPr>
            <w:tcW w:w="5670" w:type="dxa"/>
          </w:tcPr>
          <w:p w:rsidRPr="009B70E7" w:rsidR="0004205F" w:rsidP="009120CD" w:rsidRDefault="006125A8" w14:paraId="0AA6F903" w14:textId="672C1A39">
            <w:pPr>
              <w:pStyle w:val="ListParagraph"/>
              <w:ind w:left="0"/>
              <w:rPr>
                <w:i/>
              </w:rPr>
            </w:pPr>
            <w:r>
              <w:rPr>
                <w:i/>
              </w:rPr>
              <w:t>Krisztina Perlaky-Tóth</w:t>
            </w:r>
          </w:p>
        </w:tc>
      </w:tr>
      <w:tr w:rsidRPr="009B70E7" w:rsidR="0004205F" w:rsidTr="008B66DD" w14:paraId="7385889A" w14:textId="77777777">
        <w:tc>
          <w:tcPr>
            <w:tcW w:w="1418" w:type="dxa"/>
          </w:tcPr>
          <w:p w:rsidRPr="009B70E7" w:rsidR="0004205F" w:rsidP="009120CD" w:rsidRDefault="0004205F" w14:paraId="4DFD0A04" w14:textId="77777777">
            <w:pPr>
              <w:pStyle w:val="ListParagraph"/>
              <w:ind w:left="601"/>
              <w:rPr>
                <w:i/>
              </w:rPr>
            </w:pPr>
            <w:r>
              <w:rPr>
                <w:i/>
              </w:rPr>
              <w:t>Tel.:</w:t>
            </w:r>
          </w:p>
        </w:tc>
        <w:tc>
          <w:tcPr>
            <w:tcW w:w="5670" w:type="dxa"/>
          </w:tcPr>
          <w:p w:rsidRPr="009B70E7" w:rsidR="0004205F" w:rsidP="009120CD" w:rsidRDefault="0004205F" w14:paraId="7F762C11" w14:textId="5F0EF027">
            <w:pPr>
              <w:pStyle w:val="ListParagraph"/>
              <w:ind w:left="0"/>
              <w:rPr>
                <w:i/>
              </w:rPr>
            </w:pPr>
            <w:r>
              <w:rPr>
                <w:i/>
              </w:rPr>
              <w:t>00 32 2 546 97 40</w:t>
            </w:r>
          </w:p>
        </w:tc>
      </w:tr>
      <w:tr w:rsidRPr="009B70E7" w:rsidR="0004205F" w:rsidTr="008B66DD" w14:paraId="44BC51C1" w14:textId="77777777">
        <w:tc>
          <w:tcPr>
            <w:tcW w:w="1418" w:type="dxa"/>
          </w:tcPr>
          <w:p w:rsidRPr="009B70E7" w:rsidR="0004205F" w:rsidP="009120CD" w:rsidRDefault="0004205F" w14:paraId="64D662AC" w14:textId="77777777">
            <w:pPr>
              <w:pStyle w:val="ListParagraph"/>
              <w:ind w:left="601"/>
              <w:rPr>
                <w:i/>
              </w:rPr>
            </w:pPr>
            <w:r>
              <w:rPr>
                <w:i/>
              </w:rPr>
              <w:t>E-mail</w:t>
            </w:r>
          </w:p>
        </w:tc>
        <w:tc>
          <w:tcPr>
            <w:tcW w:w="5670" w:type="dxa"/>
          </w:tcPr>
          <w:p w:rsidRPr="009B70E7" w:rsidR="006125A8" w:rsidP="009120CD" w:rsidRDefault="00C56F85" w14:paraId="0F943B87" w14:textId="3AD6D718">
            <w:pPr>
              <w:pStyle w:val="ListParagraph"/>
              <w:ind w:left="0"/>
              <w:rPr>
                <w:i/>
              </w:rPr>
            </w:pPr>
            <w:hyperlink w:history="1" r:id="rId21">
              <w:r w:rsidR="0064748D">
                <w:rPr>
                  <w:rStyle w:val="Hyperlink"/>
                  <w:i/>
                </w:rPr>
                <w:t>Krisztina.PerlakyToth@eesc.europa.eu</w:t>
              </w:r>
            </w:hyperlink>
          </w:p>
        </w:tc>
      </w:tr>
    </w:tbl>
    <w:p w:rsidRPr="00C56F85" w:rsidR="00B44BB9" w:rsidP="009120CD" w:rsidRDefault="00B44BB9" w14:paraId="6E8DD903" w14:textId="77777777">
      <w:pPr>
        <w:spacing w:after="160"/>
        <w:jc w:val="left"/>
        <w:rPr>
          <w:sz w:val="18"/>
          <w:szCs w:val="18"/>
        </w:rPr>
      </w:pPr>
    </w:p>
    <w:p w:rsidRPr="00261903" w:rsidR="0004205F" w:rsidP="009120CD" w:rsidRDefault="00261903" w14:paraId="21BCC75E" w14:textId="7E454E27">
      <w:pPr>
        <w:keepNext/>
        <w:numPr>
          <w:ilvl w:val="0"/>
          <w:numId w:val="2"/>
        </w:numPr>
        <w:ind w:left="567" w:hanging="567"/>
        <w:contextualSpacing/>
        <w:rPr>
          <w:b/>
          <w:i/>
          <w:sz w:val="28"/>
          <w:szCs w:val="28"/>
        </w:rPr>
      </w:pPr>
      <w:bookmarkStart w:name="_Hlk111561438" w:id="5"/>
      <w:bookmarkStart w:name="_Hlk111561002" w:id="6"/>
      <w:r>
        <w:rPr>
          <w:b/>
          <w:i/>
          <w:sz w:val="28"/>
        </w:rPr>
        <w:t>Door het Cohesiefonds en NGEU gefinancierd klimaataanpassingsfonds</w:t>
      </w:r>
    </w:p>
    <w:p w:rsidRPr="00C56F85" w:rsidR="00261903" w:rsidP="009120CD" w:rsidRDefault="00261903" w14:paraId="43D43377" w14:textId="77777777">
      <w:pPr>
        <w:keepNext/>
        <w:ind w:left="567"/>
        <w:contextualSpacing/>
        <w:rPr>
          <w:b/>
          <w: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617"/>
        <w:gridCol w:w="6605"/>
      </w:tblGrid>
      <w:tr w:rsidRPr="00627B8F" w:rsidR="0004205F" w:rsidTr="00C56F85" w14:paraId="049361FD" w14:textId="77777777">
        <w:tc>
          <w:tcPr>
            <w:tcW w:w="1617" w:type="dxa"/>
          </w:tcPr>
          <w:p w:rsidRPr="009B70E7" w:rsidR="0004205F" w:rsidP="009120CD" w:rsidRDefault="0004205F" w14:paraId="62391659" w14:textId="77777777">
            <w:pPr>
              <w:pStyle w:val="ListParagraph"/>
              <w:ind w:left="-142" w:firstLine="142"/>
              <w:rPr>
                <w:b/>
              </w:rPr>
            </w:pPr>
            <w:r>
              <w:rPr>
                <w:b/>
              </w:rPr>
              <w:t>Rapporteur:</w:t>
            </w:r>
          </w:p>
        </w:tc>
        <w:tc>
          <w:tcPr>
            <w:tcW w:w="6605" w:type="dxa"/>
          </w:tcPr>
          <w:p w:rsidRPr="00627B8F" w:rsidR="0004205F" w:rsidP="009120CD" w:rsidRDefault="00261903" w14:paraId="431B2CD3" w14:textId="3B633EE2">
            <w:pPr>
              <w:pStyle w:val="ListParagraph"/>
              <w:ind w:left="-60" w:right="-55"/>
            </w:pPr>
            <w:r>
              <w:t>Ioannis VARDAKASTANIS (groep Maatschappelijke Organisaties – EL)</w:t>
            </w:r>
          </w:p>
        </w:tc>
      </w:tr>
      <w:tr w:rsidRPr="009B70E7" w:rsidR="0004205F" w:rsidTr="00C56F85" w14:paraId="6A254F6C" w14:textId="77777777">
        <w:tc>
          <w:tcPr>
            <w:tcW w:w="1617" w:type="dxa"/>
          </w:tcPr>
          <w:p w:rsidRPr="009B70E7" w:rsidR="0004205F" w:rsidP="009120CD" w:rsidRDefault="0004205F" w14:paraId="2522D764" w14:textId="77777777">
            <w:pPr>
              <w:pStyle w:val="ListParagraph"/>
              <w:ind w:left="0"/>
              <w:rPr>
                <w:b/>
              </w:rPr>
            </w:pPr>
            <w:r>
              <w:rPr>
                <w:b/>
              </w:rPr>
              <w:t>Corapporteur:</w:t>
            </w:r>
          </w:p>
        </w:tc>
        <w:tc>
          <w:tcPr>
            <w:tcW w:w="6605" w:type="dxa"/>
          </w:tcPr>
          <w:p w:rsidRPr="00C90660" w:rsidR="00C90660" w:rsidP="009120CD" w:rsidRDefault="00261903" w14:paraId="5D498FFA" w14:textId="68BE0BE2">
            <w:pPr>
              <w:pStyle w:val="ListParagraph"/>
              <w:tabs>
                <w:tab w:val="left" w:pos="838"/>
              </w:tabs>
              <w:ind w:left="-61"/>
            </w:pPr>
            <w:r>
              <w:t>Judith VORBACH (groep Werknemers – AT)</w:t>
            </w:r>
          </w:p>
        </w:tc>
      </w:tr>
      <w:tr w:rsidRPr="009B70E7" w:rsidR="00E00915" w:rsidTr="00C56F85" w14:paraId="52E49399" w14:textId="77777777">
        <w:tc>
          <w:tcPr>
            <w:tcW w:w="1617" w:type="dxa"/>
          </w:tcPr>
          <w:p w:rsidRPr="009B70E7" w:rsidR="00E00915" w:rsidP="009120CD" w:rsidRDefault="00E00915" w14:paraId="46EF7309" w14:textId="77777777">
            <w:pPr>
              <w:pStyle w:val="ListParagraph"/>
              <w:ind w:left="0"/>
              <w:rPr>
                <w:b/>
              </w:rPr>
            </w:pPr>
          </w:p>
        </w:tc>
        <w:tc>
          <w:tcPr>
            <w:tcW w:w="6605" w:type="dxa"/>
          </w:tcPr>
          <w:p w:rsidRPr="00261903" w:rsidR="00E00915" w:rsidP="009120CD" w:rsidRDefault="00E00915" w14:paraId="6B1D020D" w14:textId="77777777">
            <w:pPr>
              <w:pStyle w:val="ListParagraph"/>
              <w:tabs>
                <w:tab w:val="left" w:pos="838"/>
              </w:tabs>
              <w:ind w:left="-61"/>
              <w:rPr>
                <w:lang w:val="en-US"/>
              </w:rPr>
            </w:pPr>
          </w:p>
        </w:tc>
      </w:tr>
      <w:tr w:rsidRPr="009B70E7" w:rsidR="00C90660" w:rsidTr="00C56F85" w14:paraId="4A18553A" w14:textId="77777777">
        <w:tc>
          <w:tcPr>
            <w:tcW w:w="1617" w:type="dxa"/>
          </w:tcPr>
          <w:p w:rsidRPr="009B70E7" w:rsidR="00C90660" w:rsidP="009120CD" w:rsidRDefault="00C90660" w14:paraId="7A608DD9" w14:textId="5E5DC29C">
            <w:pPr>
              <w:pStyle w:val="ListParagraph"/>
              <w:ind w:left="0"/>
              <w:rPr>
                <w:b/>
              </w:rPr>
            </w:pPr>
            <w:r>
              <w:rPr>
                <w:b/>
              </w:rPr>
              <w:t>Referentie:</w:t>
            </w:r>
          </w:p>
        </w:tc>
        <w:tc>
          <w:tcPr>
            <w:tcW w:w="6605" w:type="dxa"/>
          </w:tcPr>
          <w:p w:rsidR="00C90660" w:rsidP="00C90660" w:rsidRDefault="00C56F85" w14:paraId="55D292F3" w14:textId="59D6193B">
            <w:pPr>
              <w:pStyle w:val="ListParagraph"/>
              <w:ind w:left="-108"/>
            </w:pPr>
            <w:r>
              <w:t xml:space="preserve"> </w:t>
            </w:r>
            <w:r w:rsidR="00C90660">
              <w:t>Initiatiefadvies</w:t>
            </w:r>
          </w:p>
          <w:p w:rsidRPr="00261903" w:rsidR="00C90660" w:rsidP="00C90660" w:rsidRDefault="00C90660" w14:paraId="652EA90D" w14:textId="0A5C486D">
            <w:pPr>
              <w:pStyle w:val="ListParagraph"/>
              <w:tabs>
                <w:tab w:val="left" w:pos="838"/>
              </w:tabs>
              <w:ind w:left="-61"/>
            </w:pPr>
            <w:r>
              <w:t>EESC-2022-00743-00-00-AC</w:t>
            </w:r>
          </w:p>
        </w:tc>
      </w:tr>
    </w:tbl>
    <w:p w:rsidRPr="00A30B84" w:rsidR="00DC17CF" w:rsidP="009120CD" w:rsidRDefault="00DC17CF" w14:paraId="4C20BCC6" w14:textId="77777777">
      <w:pPr>
        <w:contextualSpacing/>
      </w:pPr>
    </w:p>
    <w:p w:rsidRPr="00A30B84" w:rsidR="00DC17CF" w:rsidP="009120CD" w:rsidRDefault="00DC17CF" w14:paraId="1EF6CC14" w14:textId="77777777">
      <w:pPr>
        <w:pStyle w:val="ListParagraph"/>
        <w:ind w:left="0" w:firstLine="142"/>
        <w:rPr>
          <w:b/>
        </w:rPr>
      </w:pPr>
      <w:r>
        <w:rPr>
          <w:b/>
        </w:rPr>
        <w:t>Hoofdpunten</w:t>
      </w:r>
    </w:p>
    <w:p w:rsidRPr="00C56F85" w:rsidR="00DC17CF" w:rsidP="009120CD" w:rsidRDefault="00DC17CF" w14:paraId="7CFFCE10" w14:textId="77777777">
      <w:pPr>
        <w:contextualSpacing/>
        <w:rPr>
          <w:sz w:val="18"/>
          <w:szCs w:val="18"/>
        </w:rPr>
      </w:pPr>
    </w:p>
    <w:p w:rsidRPr="00E642C0" w:rsidR="00DC17CF" w:rsidP="009120CD" w:rsidRDefault="00DC17CF" w14:paraId="7C9141DB" w14:textId="77777777">
      <w:pPr>
        <w:pStyle w:val="ListParagraph"/>
        <w:ind w:left="0" w:firstLine="142"/>
        <w:rPr>
          <w:bCs/>
        </w:rPr>
      </w:pPr>
      <w:r>
        <w:t>Het EESC:</w:t>
      </w:r>
    </w:p>
    <w:p w:rsidRPr="00C56F85" w:rsidR="00DC17CF" w:rsidP="009120CD" w:rsidRDefault="00DC17CF" w14:paraId="6B986D1C" w14:textId="77777777">
      <w:pPr>
        <w:contextualSpacing/>
        <w:rPr>
          <w:sz w:val="18"/>
          <w:szCs w:val="18"/>
          <w:lang w:val="fr-FR"/>
        </w:rPr>
      </w:pPr>
    </w:p>
    <w:p w:rsidRPr="001445A7" w:rsidR="00DC17CF" w:rsidP="009120CD" w:rsidRDefault="007F292F" w14:paraId="1B2322B6" w14:textId="7DB0E86B">
      <w:pPr>
        <w:numPr>
          <w:ilvl w:val="0"/>
          <w:numId w:val="3"/>
        </w:numPr>
        <w:ind w:left="357" w:hanging="357"/>
        <w:contextualSpacing/>
      </w:pPr>
      <w:r>
        <w:t>erkent dat de Europese Unie (EU) aanzienlijke stappen zet om de klimaatverandering tegen te gaan en de uitstoot van broeikasgassen (BKG) terug te dringen. Het klimaat-, milieu- en energiebeleid van de EU is gericht op de lange termijn en moet de ergste gevolgen van de wereldwijde klimaatnoodtoestand helpen voorkomen;</w:t>
      </w:r>
    </w:p>
    <w:p w:rsidRPr="00F71666" w:rsidR="00A86E2C" w:rsidP="009120CD" w:rsidRDefault="007F292F" w14:paraId="077F1B2A" w14:textId="1A404D4A">
      <w:pPr>
        <w:numPr>
          <w:ilvl w:val="0"/>
          <w:numId w:val="3"/>
        </w:numPr>
        <w:ind w:left="357" w:hanging="357"/>
        <w:contextualSpacing/>
      </w:pPr>
      <w:r>
        <w:t>benadrukt dat, ondanks de aanzienlijke inspanningen van de EU, de gevolgen van klimaatverandering en hulpbronnenschaarste helaas al voelbaar zijn. We moeten ons dus aanpassen aan een realiteit die wij nog niet eerder hebben meegemaakt;</w:t>
      </w:r>
    </w:p>
    <w:p w:rsidRPr="00F71666" w:rsidR="00F71666" w:rsidP="009120CD" w:rsidRDefault="007F292F" w14:paraId="41F7CB84" w14:textId="39AE6DE0">
      <w:pPr>
        <w:numPr>
          <w:ilvl w:val="0"/>
          <w:numId w:val="3"/>
        </w:numPr>
        <w:ind w:left="357" w:hanging="357"/>
        <w:contextualSpacing/>
      </w:pPr>
      <w:r>
        <w:t>wijst erop dat zich sinds 2021 twee zeer opmerkelijke noodsituaties hebben voorgedaan waarvoor de EU-financieringsmechanismen slecht toegerust zijn gebleken. Ten eerste de verwoestende overstromingen en bosbranden in heel Europa in de zomer van 2021. Ten tweede de huidige energiecrisis en de behoefte in de EU aan energieautonomie als gevolg van de Russische invasie van Oekraïne in 2022;</w:t>
      </w:r>
    </w:p>
    <w:p w:rsidRPr="007F292F" w:rsidR="00F71666" w:rsidP="009120CD" w:rsidRDefault="007F292F" w14:paraId="4300CB13" w14:textId="333FB96C">
      <w:pPr>
        <w:numPr>
          <w:ilvl w:val="0"/>
          <w:numId w:val="3"/>
        </w:numPr>
        <w:ind w:left="357" w:hanging="357"/>
        <w:contextualSpacing/>
      </w:pPr>
      <w:r>
        <w:t>merkt op dat de jaarlijkse financiële middelen van het Solidariteitsfonds van de Europese Unie (SFEU) in het niet vallen bij de kosten van de door recente natuurrampen veroorzaakte schade en drastisch moeten worden verhoogd. De EU-financiering voor de groene energietransitie is omvangrijker, maar is niet berekend op de urgentie van de huidige behoefte van de EU aan energieautonomie en het enorme risico op energiearmoede;</w:t>
      </w:r>
    </w:p>
    <w:p w:rsidRPr="00C56F85" w:rsidR="007F292F" w:rsidP="009120CD" w:rsidRDefault="007F292F" w14:paraId="23413F80" w14:textId="77777777">
      <w:pPr>
        <w:contextualSpacing/>
        <w:rPr>
          <w:sz w:val="18"/>
          <w:szCs w:val="18"/>
          <w:lang w:val="en-US"/>
        </w:rPr>
      </w:pPr>
    </w:p>
    <w:p w:rsidRPr="00F71666" w:rsidR="00F71666" w:rsidP="009120CD" w:rsidRDefault="007F292F" w14:paraId="211F343A" w14:textId="7F5321AC">
      <w:pPr>
        <w:numPr>
          <w:ilvl w:val="0"/>
          <w:numId w:val="3"/>
        </w:numPr>
        <w:ind w:left="357" w:hanging="357"/>
        <w:contextualSpacing/>
      </w:pPr>
      <w:r>
        <w:t>is van mening dat de EU een nieuw financieringsmechanisme nodig heeft waarmee de lidstaten in noodsituaties zoals hierboven beschreven onmiddellijke en substantiële steun kan worden verleend. Het EESC stelt derhalve voor om een nieuw klimaataanpassingsfonds in het leven te roepen. Deze middelen zouden uit bestaande EU-fondsen – met name het Cohesiefonds en de herstel- en veerkrachtfaciliteit – moeten worden overgeheveld, maar via dit nieuwe fonds efficiënt en coherent moeten worden beheerd;</w:t>
      </w:r>
    </w:p>
    <w:bookmarkEnd w:id="5"/>
    <w:p w:rsidRPr="007F292F" w:rsidR="00F71666" w:rsidP="009120CD" w:rsidRDefault="007F292F" w14:paraId="5E238A5C" w14:textId="20D02D5B">
      <w:pPr>
        <w:numPr>
          <w:ilvl w:val="0"/>
          <w:numId w:val="3"/>
        </w:numPr>
        <w:ind w:left="357" w:hanging="357"/>
        <w:contextualSpacing/>
      </w:pPr>
      <w:r>
        <w:t>is van mening dat de modernisering van het financieringskader ook zou kunnen inhouden dat het toepassingsgebied van de bestaande programma’s wordt uitgebreid, dat er meer middelen voor worden uitgetrokken en dat NextGenerationEU als model voor een nieuw financieringsinstrument wordt beschouwd;</w:t>
      </w:r>
    </w:p>
    <w:p w:rsidRPr="007F292F" w:rsidR="007F292F" w:rsidP="009120CD" w:rsidRDefault="007F292F" w14:paraId="6D68CDE1" w14:textId="60230A50">
      <w:pPr>
        <w:numPr>
          <w:ilvl w:val="0"/>
          <w:numId w:val="3"/>
        </w:numPr>
        <w:ind w:left="357" w:hanging="357"/>
        <w:contextualSpacing/>
      </w:pPr>
      <w:r>
        <w:t>raadt de Commissie aan om na te gaan of het klimaataanpassingsfonds kan worden versterkt door particuliere investeringen en bijdragen aan te moedigen. Wat meer bepaald natuurrampen betreft, moeten de Commissie en de lidstaten zich ook inspannen om met name in risicogebieden de verzekeringsdekking uit te breiden en te vergemakkelijken en het verzekeringsstelsel gebruiken om een sterkere klimaatveerkracht te financieren, teneinde de afhankelijkheid van financiële steun van de EU te verminderen;</w:t>
      </w:r>
    </w:p>
    <w:p w:rsidRPr="007F292F" w:rsidR="007F292F" w:rsidP="009120CD" w:rsidRDefault="007F292F" w14:paraId="3B4F7F32" w14:textId="5695FF94">
      <w:pPr>
        <w:numPr>
          <w:ilvl w:val="0"/>
          <w:numId w:val="3"/>
        </w:numPr>
        <w:ind w:left="357" w:hanging="357"/>
        <w:contextualSpacing/>
      </w:pPr>
      <w:r>
        <w:t>stelt voor dat het klimaataanpassingsfonds aanpasbaar en flexibel moet zijn en in de komende jaren en decennia meteen moet kunnen reageren op nieuwe en opkomende crises;</w:t>
      </w:r>
    </w:p>
    <w:p w:rsidRPr="00B44BB9" w:rsidR="007F292F" w:rsidP="009120CD" w:rsidRDefault="007F292F" w14:paraId="537AA38F" w14:textId="7256F2BB">
      <w:pPr>
        <w:numPr>
          <w:ilvl w:val="0"/>
          <w:numId w:val="3"/>
        </w:numPr>
        <w:ind w:left="357" w:hanging="357"/>
        <w:contextualSpacing/>
      </w:pPr>
      <w:r>
        <w:t>vindt het van cruciaal belang dat de werking van het klimaataanpassingsfonds, dat meer gericht is op snelle en dringende reacties, strookt met het overkoepelende klimaat-, milieu- en energiebeleid van de EU, dat op lange termijn de afhankelijkheid van noodmaatregelen zal verminderen en mens en natuur zal beschermen.</w:t>
      </w:r>
    </w:p>
    <w:p w:rsidRPr="00C56F85" w:rsidR="00DC17CF" w:rsidP="009120CD" w:rsidRDefault="00DC17CF" w14:paraId="3241E02B" w14:textId="77777777">
      <w:pPr>
        <w:rPr>
          <w:sz w:val="18"/>
          <w:szCs w:val="18"/>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A30B84" w:rsidR="00DC17CF" w:rsidTr="00DC17CF" w14:paraId="477A3227" w14:textId="77777777">
        <w:tc>
          <w:tcPr>
            <w:tcW w:w="1418" w:type="dxa"/>
          </w:tcPr>
          <w:p w:rsidRPr="00A30B84" w:rsidR="00DC17CF" w:rsidP="009120CD" w:rsidRDefault="00DC17CF" w14:paraId="24419728" w14:textId="77777777">
            <w:pPr>
              <w:contextualSpacing/>
              <w:rPr>
                <w:i/>
              </w:rPr>
            </w:pPr>
            <w:r>
              <w:rPr>
                <w:b/>
                <w:i/>
              </w:rPr>
              <w:t>Contactpersoon</w:t>
            </w:r>
          </w:p>
        </w:tc>
        <w:tc>
          <w:tcPr>
            <w:tcW w:w="5670" w:type="dxa"/>
          </w:tcPr>
          <w:p w:rsidRPr="00A30B84" w:rsidR="00DC17CF" w:rsidP="009120CD" w:rsidRDefault="00261903" w14:paraId="0350A297" w14:textId="7E91AE7A">
            <w:pPr>
              <w:contextualSpacing/>
              <w:rPr>
                <w:i/>
              </w:rPr>
            </w:pPr>
            <w:r>
              <w:rPr>
                <w:i/>
              </w:rPr>
              <w:t>Georgeos Meleas</w:t>
            </w:r>
          </w:p>
        </w:tc>
      </w:tr>
      <w:tr w:rsidRPr="00A30B84" w:rsidR="00DC17CF" w:rsidTr="00DC17CF" w14:paraId="0777FDE7" w14:textId="77777777">
        <w:tc>
          <w:tcPr>
            <w:tcW w:w="1418" w:type="dxa"/>
          </w:tcPr>
          <w:p w:rsidRPr="00A30B84" w:rsidR="00DC17CF" w:rsidP="009120CD" w:rsidRDefault="00DC17CF" w14:paraId="35E2DDF5" w14:textId="77777777">
            <w:pPr>
              <w:ind w:left="601"/>
              <w:contextualSpacing/>
              <w:rPr>
                <w:i/>
              </w:rPr>
            </w:pPr>
            <w:r>
              <w:rPr>
                <w:i/>
              </w:rPr>
              <w:lastRenderedPageBreak/>
              <w:t>Tel.:</w:t>
            </w:r>
          </w:p>
        </w:tc>
        <w:tc>
          <w:tcPr>
            <w:tcW w:w="5670" w:type="dxa"/>
          </w:tcPr>
          <w:p w:rsidRPr="00A30B84" w:rsidR="00DC17CF" w:rsidP="009120CD" w:rsidRDefault="00A86E2C" w14:paraId="5B69DE0A" w14:textId="507EABE4">
            <w:pPr>
              <w:contextualSpacing/>
              <w:rPr>
                <w:i/>
              </w:rPr>
            </w:pPr>
            <w:r>
              <w:rPr>
                <w:i/>
              </w:rPr>
              <w:t>00 32 2 546 97 95</w:t>
            </w:r>
          </w:p>
        </w:tc>
      </w:tr>
      <w:tr w:rsidRPr="00A30B84" w:rsidR="0004205F" w:rsidTr="008B66DD" w14:paraId="32942CB5" w14:textId="77777777">
        <w:tc>
          <w:tcPr>
            <w:tcW w:w="1418" w:type="dxa"/>
          </w:tcPr>
          <w:p w:rsidRPr="00A30B84" w:rsidR="0004205F" w:rsidP="009120CD" w:rsidRDefault="0004205F" w14:paraId="21543959" w14:textId="77777777">
            <w:pPr>
              <w:ind w:left="601"/>
              <w:contextualSpacing/>
              <w:rPr>
                <w:i/>
              </w:rPr>
            </w:pPr>
            <w:r>
              <w:rPr>
                <w:i/>
              </w:rPr>
              <w:t>E-mail</w:t>
            </w:r>
          </w:p>
        </w:tc>
        <w:tc>
          <w:tcPr>
            <w:tcW w:w="5670" w:type="dxa"/>
          </w:tcPr>
          <w:p w:rsidRPr="00A30B84" w:rsidR="0004205F" w:rsidP="00C56F85" w:rsidRDefault="00C56F85" w14:paraId="3728C82D" w14:textId="11533067">
            <w:pPr>
              <w:jc w:val="left"/>
            </w:pPr>
            <w:hyperlink w:history="1" r:id="rId22">
              <w:r w:rsidR="0064748D">
                <w:rPr>
                  <w:rStyle w:val="Hyperlink"/>
                </w:rPr>
                <w:t>Georgeos.Meleas</w:t>
              </w:r>
              <w:r w:rsidR="0064748D">
                <w:rPr>
                  <w:rStyle w:val="Hyperlink"/>
                  <w:i/>
                </w:rPr>
                <w:t>@eesc.europa.eu</w:t>
              </w:r>
            </w:hyperlink>
          </w:p>
        </w:tc>
      </w:tr>
    </w:tbl>
    <w:bookmarkEnd w:id="6"/>
    <w:p w:rsidRPr="00C70E54" w:rsidR="00C70E54" w:rsidP="009120CD" w:rsidRDefault="00C70E54" w14:paraId="42A1D88A" w14:textId="19815837">
      <w:pPr>
        <w:keepNext/>
        <w:numPr>
          <w:ilvl w:val="0"/>
          <w:numId w:val="2"/>
        </w:numPr>
        <w:ind w:left="567" w:hanging="567"/>
        <w:contextualSpacing/>
        <w:rPr>
          <w:b/>
          <w:bCs/>
          <w:i/>
          <w:sz w:val="28"/>
          <w:szCs w:val="28"/>
        </w:rPr>
      </w:pPr>
      <w:r>
        <w:rPr>
          <w:b/>
          <w:i/>
          <w:sz w:val="28"/>
        </w:rPr>
        <w:t>Thematische partnerschappen in het kader van de overeenkomst van Ljubljana</w:t>
      </w:r>
    </w:p>
    <w:p w:rsidRPr="00C70E54" w:rsidR="00C70E54" w:rsidP="009120CD" w:rsidRDefault="00C70E54" w14:paraId="0D98A583" w14:textId="55FCEBF7">
      <w:pPr>
        <w:keepNext/>
        <w:ind w:left="567"/>
        <w:contextualSpacing/>
        <w:rPr>
          <w:b/>
          <w:i/>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993"/>
      </w:tblGrid>
      <w:tr w:rsidRPr="00627B8F" w:rsidR="00C70E54" w:rsidTr="00C70E54" w14:paraId="29F8D18E" w14:textId="77777777">
        <w:tc>
          <w:tcPr>
            <w:tcW w:w="1701" w:type="dxa"/>
          </w:tcPr>
          <w:p w:rsidRPr="009B70E7" w:rsidR="00C70E54" w:rsidP="009120CD" w:rsidRDefault="00C70E54" w14:paraId="34124F6F" w14:textId="77777777">
            <w:pPr>
              <w:pStyle w:val="ListParagraph"/>
              <w:ind w:left="0"/>
              <w:rPr>
                <w:b/>
              </w:rPr>
            </w:pPr>
            <w:r>
              <w:rPr>
                <w:b/>
              </w:rPr>
              <w:t>Rapporteur:</w:t>
            </w:r>
          </w:p>
        </w:tc>
        <w:tc>
          <w:tcPr>
            <w:tcW w:w="6993" w:type="dxa"/>
          </w:tcPr>
          <w:p w:rsidRPr="00627B8F" w:rsidR="00C70E54" w:rsidP="009120CD" w:rsidRDefault="00C70E54" w14:paraId="3D7E1BAF" w14:textId="25FF3D8F">
            <w:pPr>
              <w:pStyle w:val="ListParagraph"/>
              <w:ind w:left="-60" w:right="-55"/>
            </w:pPr>
            <w:r>
              <w:t>David SVENTEK (groep Werkgevers – CZ)</w:t>
            </w:r>
          </w:p>
        </w:tc>
      </w:tr>
      <w:tr w:rsidRPr="009B70E7" w:rsidR="00C70E54" w:rsidTr="00C70E54" w14:paraId="26808337" w14:textId="77777777">
        <w:tc>
          <w:tcPr>
            <w:tcW w:w="1701" w:type="dxa"/>
          </w:tcPr>
          <w:p w:rsidRPr="009B70E7" w:rsidR="00C70E54" w:rsidP="009120CD" w:rsidRDefault="00C70E54" w14:paraId="498C0B47" w14:textId="77777777">
            <w:pPr>
              <w:pStyle w:val="ListParagraph"/>
              <w:ind w:left="0"/>
              <w:rPr>
                <w:b/>
              </w:rPr>
            </w:pPr>
            <w:r>
              <w:rPr>
                <w:b/>
              </w:rPr>
              <w:t>Corapporteur:</w:t>
            </w:r>
          </w:p>
        </w:tc>
        <w:tc>
          <w:tcPr>
            <w:tcW w:w="6993" w:type="dxa"/>
          </w:tcPr>
          <w:p w:rsidR="00C70E54" w:rsidP="009120CD" w:rsidRDefault="00C70E54" w14:paraId="1C9982B4" w14:textId="4BE95CC8">
            <w:pPr>
              <w:pStyle w:val="ListParagraph"/>
              <w:tabs>
                <w:tab w:val="left" w:pos="838"/>
              </w:tabs>
              <w:ind w:left="-61"/>
            </w:pPr>
            <w:r>
              <w:t>Florian MARIN (groep Werknemers – RO)</w:t>
            </w:r>
          </w:p>
          <w:p w:rsidRPr="009B70E7" w:rsidR="00C70E54" w:rsidP="009120CD" w:rsidRDefault="00C70E54" w14:paraId="4837FA0C" w14:textId="77777777">
            <w:pPr>
              <w:pStyle w:val="ListParagraph"/>
              <w:tabs>
                <w:tab w:val="left" w:pos="838"/>
              </w:tabs>
              <w:ind w:left="-61"/>
            </w:pPr>
          </w:p>
        </w:tc>
      </w:tr>
      <w:tr w:rsidRPr="009B70E7" w:rsidR="00C90660" w:rsidTr="00C70E54" w14:paraId="21BEDD4F" w14:textId="77777777">
        <w:tc>
          <w:tcPr>
            <w:tcW w:w="1701" w:type="dxa"/>
          </w:tcPr>
          <w:p w:rsidRPr="009B70E7" w:rsidR="00C90660" w:rsidP="009120CD" w:rsidRDefault="00C90660" w14:paraId="641E3725" w14:textId="37F0CFA9">
            <w:pPr>
              <w:pStyle w:val="ListParagraph"/>
              <w:ind w:left="0"/>
              <w:rPr>
                <w:b/>
              </w:rPr>
            </w:pPr>
            <w:r>
              <w:rPr>
                <w:b/>
              </w:rPr>
              <w:t>Referentie:</w:t>
            </w:r>
          </w:p>
        </w:tc>
        <w:tc>
          <w:tcPr>
            <w:tcW w:w="6993" w:type="dxa"/>
          </w:tcPr>
          <w:p w:rsidR="00C90660" w:rsidP="00C90660" w:rsidRDefault="00C90660" w14:paraId="5B35A8E0" w14:textId="77777777">
            <w:pPr>
              <w:pStyle w:val="ListParagraph"/>
              <w:ind w:left="-108"/>
            </w:pPr>
            <w:r>
              <w:t>Verkennend advies op verzoek van het Tsjechische voorzitterschap van de Raad</w:t>
            </w:r>
          </w:p>
          <w:p w:rsidRPr="00261903" w:rsidR="00C90660" w:rsidP="00C90660" w:rsidRDefault="00C90660" w14:paraId="763671F6" w14:textId="349C9109">
            <w:pPr>
              <w:pStyle w:val="ListParagraph"/>
              <w:tabs>
                <w:tab w:val="left" w:pos="838"/>
              </w:tabs>
              <w:ind w:left="-61"/>
            </w:pPr>
            <w:r>
              <w:t>EESC-2022-01206-00-00-AC</w:t>
            </w:r>
          </w:p>
        </w:tc>
      </w:tr>
    </w:tbl>
    <w:p w:rsidRPr="00A30B84" w:rsidR="00C70E54" w:rsidP="009120CD" w:rsidRDefault="00C70E54" w14:paraId="12F31B78" w14:textId="77777777">
      <w:pPr>
        <w:contextualSpacing/>
      </w:pPr>
    </w:p>
    <w:p w:rsidRPr="00A30B84" w:rsidR="00C70E54" w:rsidP="009120CD" w:rsidRDefault="00C70E54" w14:paraId="13718C02" w14:textId="77777777">
      <w:pPr>
        <w:pStyle w:val="ListParagraph"/>
        <w:ind w:left="0" w:firstLine="142"/>
        <w:rPr>
          <w:b/>
        </w:rPr>
      </w:pPr>
      <w:r>
        <w:rPr>
          <w:b/>
        </w:rPr>
        <w:t>Hoofdpunten</w:t>
      </w:r>
    </w:p>
    <w:p w:rsidRPr="00A30B84" w:rsidR="00C70E54" w:rsidP="009120CD" w:rsidRDefault="00C70E54" w14:paraId="0614F229" w14:textId="77777777">
      <w:pPr>
        <w:contextualSpacing/>
      </w:pPr>
    </w:p>
    <w:p w:rsidRPr="00E642C0" w:rsidR="00C70E54" w:rsidP="009120CD" w:rsidRDefault="00C70E54" w14:paraId="6C9AC2AB" w14:textId="77777777">
      <w:pPr>
        <w:pStyle w:val="ListParagraph"/>
        <w:ind w:left="0" w:firstLine="142"/>
        <w:rPr>
          <w:bCs/>
        </w:rPr>
      </w:pPr>
      <w:r>
        <w:t>Het EESC:</w:t>
      </w:r>
    </w:p>
    <w:p w:rsidRPr="00A30B84" w:rsidR="00C70E54" w:rsidP="009120CD" w:rsidRDefault="00C70E54" w14:paraId="082B07AC" w14:textId="77777777">
      <w:pPr>
        <w:contextualSpacing/>
        <w:rPr>
          <w:lang w:val="fr-FR"/>
        </w:rPr>
      </w:pPr>
    </w:p>
    <w:p w:rsidRPr="001445A7" w:rsidR="00C70E54" w:rsidP="009120CD" w:rsidRDefault="007F292F" w14:paraId="75D1F42C" w14:textId="1E6EDD30">
      <w:pPr>
        <w:numPr>
          <w:ilvl w:val="0"/>
          <w:numId w:val="3"/>
        </w:numPr>
        <w:ind w:left="357" w:hanging="357"/>
        <w:contextualSpacing/>
      </w:pPr>
      <w:r>
        <w:t>staat volledig achter de verklaringen over de stedenagenda voor de EU in de overeenkomst van Ljubljana, en is met name verheugd over de sterke nadruk op partnerschap en de meerlagige aanpak met verschillende belanghebbenden op het gebied van duurzame stedelijke ontwikkeling;</w:t>
      </w:r>
    </w:p>
    <w:p w:rsidR="00C70E54" w:rsidP="009120CD" w:rsidRDefault="007F292F" w14:paraId="12914003" w14:textId="3BD165A2">
      <w:pPr>
        <w:numPr>
          <w:ilvl w:val="0"/>
          <w:numId w:val="3"/>
        </w:numPr>
        <w:ind w:left="357" w:hanging="357"/>
        <w:contextualSpacing/>
      </w:pPr>
      <w:r>
        <w:t>is van mening dat thematische partnerschappen tot tastbare en duurzame maatregelen en resultaten moeten leiden die ook na het partnerschap een effect hebben. Er moet voortdurend worden gekeken of de resultaten ook naar andere lidstaten, regio’s, steden of sectoren overdraagbaar zijn;</w:t>
      </w:r>
    </w:p>
    <w:p w:rsidRPr="005B5038" w:rsidR="007F292F" w:rsidP="009120CD" w:rsidRDefault="007F292F" w14:paraId="595F584E" w14:textId="71F4C7DA">
      <w:pPr>
        <w:numPr>
          <w:ilvl w:val="0"/>
          <w:numId w:val="3"/>
        </w:numPr>
        <w:ind w:left="357" w:hanging="357"/>
        <w:contextualSpacing/>
      </w:pPr>
      <w:r>
        <w:t>benadrukt dat het verband tussen de EU-stedenagenda en het cohesiebeleid nog kan worden versterkt. Hoewel het om twee verschillende beleidsmaatregelen en initiatieven gaat met verschillende doelstellingen in verschillende kaders, moeten er synergieën bestaan;</w:t>
      </w:r>
    </w:p>
    <w:p w:rsidRPr="00F71666" w:rsidR="00C70E54" w:rsidP="009120CD" w:rsidRDefault="007F292F" w14:paraId="732916B9" w14:textId="78E9BA28">
      <w:pPr>
        <w:numPr>
          <w:ilvl w:val="0"/>
          <w:numId w:val="3"/>
        </w:numPr>
        <w:ind w:left="357" w:hanging="357"/>
        <w:contextualSpacing/>
      </w:pPr>
      <w:r>
        <w:t>is van mening dat de criteria voor de selectie van partners voor thematische partnerschappen specifieker, opener en inclusiever moeten zijn. Niet alleen stedelijke overheden, maar ook de sociale partners en maatschappelijke organisaties moeten de kans krijgen om deel te nemen aan het selectieproces;</w:t>
      </w:r>
    </w:p>
    <w:p w:rsidRPr="00F71666" w:rsidR="00C70E54" w:rsidP="009120CD" w:rsidRDefault="007F292F" w14:paraId="0A59B6AA" w14:textId="13B0725C">
      <w:pPr>
        <w:numPr>
          <w:ilvl w:val="0"/>
          <w:numId w:val="3"/>
        </w:numPr>
        <w:ind w:left="357" w:hanging="357"/>
        <w:contextualSpacing/>
      </w:pPr>
      <w:r>
        <w:t>meent dat arbeidsomstandigheden, voorspelbaarheid van loopbanen en toegang tot hoogwaardige banen, gelijke kansen en fatsoenlijke lonen een transversale aanpak vereisen. Alle soorten dialogen en raadplegingen met belanghebbenden, zoals sociale dialogen, burgerdialogen en burgerraadplegingen, moeten in aanmerking komen;</w:t>
      </w:r>
    </w:p>
    <w:p w:rsidRPr="00F71666" w:rsidR="00C70E54" w:rsidP="009120CD" w:rsidRDefault="00F03155" w14:paraId="2EC14A30" w14:textId="6E38515C">
      <w:pPr>
        <w:numPr>
          <w:ilvl w:val="0"/>
          <w:numId w:val="3"/>
        </w:numPr>
        <w:ind w:left="357" w:hanging="357"/>
        <w:contextualSpacing/>
      </w:pPr>
      <w:r>
        <w:t>stelt voor om rekening te houden met de bottom-upbenadering, thematische clusters, thematische netwerken en netwerken voor de ontwikkeling van op maat gemaakte en plaatsgebonden oplossingen, en daarnaast met name kleine en middelgrote steden de mogelijkheid te bieden om bestaande thematische en stedelijke netwerken te gebruiken;</w:t>
      </w:r>
    </w:p>
    <w:p w:rsidRPr="00F03155" w:rsidR="00C70E54" w:rsidP="009120CD" w:rsidRDefault="00F03155" w14:paraId="4847D047" w14:textId="5EEE4976">
      <w:pPr>
        <w:numPr>
          <w:ilvl w:val="0"/>
          <w:numId w:val="3"/>
        </w:numPr>
        <w:ind w:left="357" w:hanging="357"/>
        <w:contextualSpacing/>
      </w:pPr>
      <w:r>
        <w:t>merkt op dat zijn rol in de governance van de EU-stedenagenda en de overeenkomst van Ljubljana nog kan worden versterkt. Het EESC moet ook betrokken worden bij de groep Stedelijke Ontwikkeling, de technische voorbereidende groep Stedenagenda en de vergadering van de directeuren-generaal over stedelijke aangelegenheden;</w:t>
      </w:r>
    </w:p>
    <w:p w:rsidRPr="00F03155" w:rsidR="00F03155" w:rsidP="009120CD" w:rsidRDefault="00F03155" w14:paraId="76852B00" w14:textId="044C96B8">
      <w:pPr>
        <w:numPr>
          <w:ilvl w:val="0"/>
          <w:numId w:val="3"/>
        </w:numPr>
        <w:ind w:left="357" w:hanging="357"/>
        <w:contextualSpacing/>
      </w:pPr>
      <w:r>
        <w:t>stelt voor om van participerende democratie, welzijnsgerichte economie in steden en verbindingen tussen stad en platteland bijkomende onderwerpen te maken voor thematische partnerschappen, waarbij bijzondere aandacht naar jongeren gaat;</w:t>
      </w:r>
    </w:p>
    <w:p w:rsidRPr="00B44BB9" w:rsidR="00F03155" w:rsidP="009120CD" w:rsidRDefault="00F03155" w14:paraId="093EC705" w14:textId="54A76FFE">
      <w:pPr>
        <w:numPr>
          <w:ilvl w:val="0"/>
          <w:numId w:val="3"/>
        </w:numPr>
        <w:ind w:left="357" w:hanging="357"/>
        <w:contextualSpacing/>
      </w:pPr>
      <w:r>
        <w:lastRenderedPageBreak/>
        <w:t>herhaalt zijn voorstel om een speciaal secretariaat op te richten teneinde de thematische partnerschappen efficiënter en doeltreffender te maken en aldus een band met stedelijk beleid op lokaal niveau te creëren, voor technische assistentie te zorgen, en de oprichting van thematische gemeenschappen en de uitwisseling van goede thematische praktijkvoorbeelden te vergemakkelijken. Dit moet gebeuren in nauwe samenwerking met het Europees Comité van de Regio’s.</w:t>
      </w:r>
    </w:p>
    <w:p w:rsidRPr="00A30B84" w:rsidR="00C70E54" w:rsidP="009120CD" w:rsidRDefault="00C70E54" w14:paraId="060E2085"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A30B84" w:rsidR="00C70E54" w:rsidTr="004E4367" w14:paraId="02BF02DE" w14:textId="77777777">
        <w:tc>
          <w:tcPr>
            <w:tcW w:w="1418" w:type="dxa"/>
          </w:tcPr>
          <w:p w:rsidRPr="00A30B84" w:rsidR="00C70E54" w:rsidP="009120CD" w:rsidRDefault="00C70E54" w14:paraId="670230EE" w14:textId="77777777">
            <w:pPr>
              <w:contextualSpacing/>
              <w:rPr>
                <w:i/>
              </w:rPr>
            </w:pPr>
            <w:bookmarkStart w:name="_Hlk113970407" w:id="7"/>
            <w:r>
              <w:rPr>
                <w:b/>
                <w:i/>
              </w:rPr>
              <w:t>Contactpersoon</w:t>
            </w:r>
          </w:p>
        </w:tc>
        <w:tc>
          <w:tcPr>
            <w:tcW w:w="5670" w:type="dxa"/>
          </w:tcPr>
          <w:p w:rsidRPr="00A30B84" w:rsidR="00C70E54" w:rsidP="009120CD" w:rsidRDefault="00C70E54" w14:paraId="5A1C1784" w14:textId="77777777">
            <w:pPr>
              <w:contextualSpacing/>
              <w:rPr>
                <w:i/>
              </w:rPr>
            </w:pPr>
            <w:r>
              <w:rPr>
                <w:i/>
              </w:rPr>
              <w:t>Georgeos Meleas</w:t>
            </w:r>
          </w:p>
        </w:tc>
      </w:tr>
      <w:tr w:rsidRPr="00A30B84" w:rsidR="00C70E54" w:rsidTr="004E4367" w14:paraId="03DD3B12" w14:textId="77777777">
        <w:tc>
          <w:tcPr>
            <w:tcW w:w="1418" w:type="dxa"/>
          </w:tcPr>
          <w:p w:rsidRPr="00A30B84" w:rsidR="00C70E54" w:rsidP="009120CD" w:rsidRDefault="00C70E54" w14:paraId="74DD9EF1" w14:textId="77777777">
            <w:pPr>
              <w:ind w:left="601"/>
              <w:contextualSpacing/>
              <w:rPr>
                <w:i/>
              </w:rPr>
            </w:pPr>
            <w:r>
              <w:rPr>
                <w:i/>
              </w:rPr>
              <w:t>Tel.</w:t>
            </w:r>
          </w:p>
        </w:tc>
        <w:tc>
          <w:tcPr>
            <w:tcW w:w="5670" w:type="dxa"/>
          </w:tcPr>
          <w:p w:rsidRPr="00A30B84" w:rsidR="00C70E54" w:rsidP="009120CD" w:rsidRDefault="00C70E54" w14:paraId="75276867" w14:textId="77777777">
            <w:pPr>
              <w:contextualSpacing/>
              <w:rPr>
                <w:i/>
              </w:rPr>
            </w:pPr>
            <w:r>
              <w:rPr>
                <w:i/>
              </w:rPr>
              <w:t>00 32 2 546 97 95</w:t>
            </w:r>
          </w:p>
        </w:tc>
      </w:tr>
      <w:tr w:rsidRPr="00A30B84" w:rsidR="00C70E54" w:rsidTr="004E4367" w14:paraId="0EFD5CED" w14:textId="77777777">
        <w:tc>
          <w:tcPr>
            <w:tcW w:w="1418" w:type="dxa"/>
          </w:tcPr>
          <w:p w:rsidRPr="00A30B84" w:rsidR="00C70E54" w:rsidP="009120CD" w:rsidRDefault="00C70E54" w14:paraId="592FDA8F" w14:textId="77777777">
            <w:pPr>
              <w:ind w:left="601"/>
              <w:contextualSpacing/>
              <w:rPr>
                <w:i/>
              </w:rPr>
            </w:pPr>
            <w:r>
              <w:rPr>
                <w:i/>
              </w:rPr>
              <w:t>E-mail</w:t>
            </w:r>
          </w:p>
        </w:tc>
        <w:tc>
          <w:tcPr>
            <w:tcW w:w="5670" w:type="dxa"/>
          </w:tcPr>
          <w:p w:rsidRPr="00C90660" w:rsidR="005B5038" w:rsidP="009120CD" w:rsidRDefault="00C56F85" w14:paraId="1BE0828F" w14:textId="203C3E8B">
            <w:pPr>
              <w:spacing w:after="160"/>
              <w:jc w:val="left"/>
              <w:rPr>
                <w:i/>
              </w:rPr>
            </w:pPr>
            <w:hyperlink w:history="1" r:id="rId23">
              <w:r w:rsidR="0064748D">
                <w:rPr>
                  <w:rStyle w:val="Hyperlink"/>
                </w:rPr>
                <w:t>Georgeos.Meleas</w:t>
              </w:r>
              <w:r w:rsidR="0064748D">
                <w:rPr>
                  <w:rStyle w:val="Hyperlink"/>
                  <w:i/>
                </w:rPr>
                <w:t>@eesc.europa.eu</w:t>
              </w:r>
            </w:hyperlink>
          </w:p>
        </w:tc>
      </w:tr>
      <w:bookmarkEnd w:id="7"/>
    </w:tbl>
    <w:p w:rsidRPr="00C90660" w:rsidR="00C90660" w:rsidP="00C90660" w:rsidRDefault="00C90660" w14:paraId="7EDB3454" w14:textId="77777777">
      <w:pPr>
        <w:keepNext/>
        <w:ind w:left="567"/>
        <w:contextualSpacing/>
        <w:rPr>
          <w:b/>
          <w:i/>
          <w:sz w:val="28"/>
          <w:szCs w:val="28"/>
        </w:rPr>
      </w:pPr>
    </w:p>
    <w:p w:rsidRPr="0077792F" w:rsidR="0077792F" w:rsidP="009120CD" w:rsidRDefault="0077792F" w14:paraId="1B55E54F" w14:textId="42382473">
      <w:pPr>
        <w:keepNext/>
        <w:numPr>
          <w:ilvl w:val="0"/>
          <w:numId w:val="2"/>
        </w:numPr>
        <w:ind w:left="567" w:hanging="567"/>
        <w:contextualSpacing/>
        <w:rPr>
          <w:b/>
          <w:i/>
          <w:sz w:val="28"/>
          <w:szCs w:val="28"/>
        </w:rPr>
      </w:pPr>
      <w:r>
        <w:rPr>
          <w:b/>
          <w:i/>
          <w:sz w:val="28"/>
        </w:rPr>
        <w:t>Cryptoactiva – Uitdagingen en mogelijkheden</w:t>
      </w:r>
    </w:p>
    <w:p w:rsidRPr="0077792F" w:rsidR="0077792F" w:rsidP="009120CD" w:rsidRDefault="0077792F" w14:paraId="4B03D864" w14:textId="77777777">
      <w:pPr>
        <w:keepNext/>
        <w:contextualSpacing/>
        <w:rPr>
          <w:b/>
          <w:i/>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627B8F" w:rsidR="0077792F" w:rsidTr="004E4367" w14:paraId="717438AA" w14:textId="77777777">
        <w:tc>
          <w:tcPr>
            <w:tcW w:w="1701" w:type="dxa"/>
          </w:tcPr>
          <w:p w:rsidRPr="009B70E7" w:rsidR="0077792F" w:rsidP="009120CD" w:rsidRDefault="0077792F" w14:paraId="494AC9F0" w14:textId="77777777">
            <w:pPr>
              <w:pStyle w:val="ListParagraph"/>
              <w:ind w:left="0"/>
              <w:rPr>
                <w:b/>
              </w:rPr>
            </w:pPr>
            <w:r>
              <w:rPr>
                <w:b/>
              </w:rPr>
              <w:t>Rapporteur</w:t>
            </w:r>
          </w:p>
        </w:tc>
        <w:tc>
          <w:tcPr>
            <w:tcW w:w="6521" w:type="dxa"/>
          </w:tcPr>
          <w:p w:rsidRPr="00627B8F" w:rsidR="0077792F" w:rsidP="009120CD" w:rsidRDefault="0077792F" w14:paraId="5531C58B" w14:textId="411B5B8F">
            <w:pPr>
              <w:pStyle w:val="ListParagraph"/>
              <w:ind w:left="-60" w:right="-55"/>
            </w:pPr>
            <w:r>
              <w:t>Philip VON BROCKDORFF (groep Werknemers – MT)</w:t>
            </w:r>
          </w:p>
        </w:tc>
      </w:tr>
      <w:tr w:rsidRPr="009B70E7" w:rsidR="0077792F" w:rsidTr="004E4367" w14:paraId="4BD327F5" w14:textId="77777777">
        <w:tc>
          <w:tcPr>
            <w:tcW w:w="1701" w:type="dxa"/>
          </w:tcPr>
          <w:p w:rsidRPr="009B70E7" w:rsidR="0077792F" w:rsidP="009120CD" w:rsidRDefault="0077792F" w14:paraId="12AEC36D" w14:textId="77777777">
            <w:pPr>
              <w:pStyle w:val="ListParagraph"/>
              <w:ind w:left="0"/>
              <w:rPr>
                <w:b/>
              </w:rPr>
            </w:pPr>
            <w:r>
              <w:rPr>
                <w:b/>
              </w:rPr>
              <w:t>Corapporteur</w:t>
            </w:r>
          </w:p>
        </w:tc>
        <w:tc>
          <w:tcPr>
            <w:tcW w:w="6521" w:type="dxa"/>
          </w:tcPr>
          <w:p w:rsidRPr="00C90660" w:rsidR="00C90660" w:rsidP="009120CD" w:rsidRDefault="0077792F" w14:paraId="754AA61A" w14:textId="51945F41">
            <w:pPr>
              <w:pStyle w:val="ListParagraph"/>
              <w:tabs>
                <w:tab w:val="left" w:pos="838"/>
              </w:tabs>
              <w:ind w:left="-61"/>
            </w:pPr>
            <w:r>
              <w:t>Louise GRABO (groep Maatschappelijke Organisaties – SE)</w:t>
            </w:r>
          </w:p>
        </w:tc>
      </w:tr>
      <w:tr w:rsidRPr="009B70E7" w:rsidR="00E00915" w:rsidTr="004E4367" w14:paraId="78AF4FAA" w14:textId="77777777">
        <w:tc>
          <w:tcPr>
            <w:tcW w:w="1701" w:type="dxa"/>
          </w:tcPr>
          <w:p w:rsidRPr="009B70E7" w:rsidR="00E00915" w:rsidP="009120CD" w:rsidRDefault="00E00915" w14:paraId="45343F0A" w14:textId="77777777">
            <w:pPr>
              <w:pStyle w:val="ListParagraph"/>
              <w:ind w:left="0"/>
              <w:rPr>
                <w:b/>
              </w:rPr>
            </w:pPr>
          </w:p>
        </w:tc>
        <w:tc>
          <w:tcPr>
            <w:tcW w:w="6521" w:type="dxa"/>
          </w:tcPr>
          <w:p w:rsidRPr="00261903" w:rsidR="00E00915" w:rsidP="009120CD" w:rsidRDefault="00E00915" w14:paraId="0063332F" w14:textId="77777777">
            <w:pPr>
              <w:pStyle w:val="ListParagraph"/>
              <w:tabs>
                <w:tab w:val="left" w:pos="838"/>
              </w:tabs>
              <w:ind w:left="-61"/>
              <w:rPr>
                <w:lang w:val="en-US"/>
              </w:rPr>
            </w:pPr>
          </w:p>
        </w:tc>
      </w:tr>
      <w:tr w:rsidRPr="009B70E7" w:rsidR="00C90660" w:rsidTr="004E4367" w14:paraId="07BA968A" w14:textId="77777777">
        <w:tc>
          <w:tcPr>
            <w:tcW w:w="1701" w:type="dxa"/>
          </w:tcPr>
          <w:p w:rsidRPr="009B70E7" w:rsidR="00C90660" w:rsidP="009120CD" w:rsidRDefault="00C90660" w14:paraId="08D9D9F6" w14:textId="1DD33217">
            <w:pPr>
              <w:pStyle w:val="ListParagraph"/>
              <w:ind w:left="0"/>
              <w:rPr>
                <w:b/>
              </w:rPr>
            </w:pPr>
            <w:r>
              <w:rPr>
                <w:b/>
              </w:rPr>
              <w:t>Referentie:</w:t>
            </w:r>
          </w:p>
        </w:tc>
        <w:tc>
          <w:tcPr>
            <w:tcW w:w="6521" w:type="dxa"/>
          </w:tcPr>
          <w:p w:rsidR="00C90660" w:rsidP="00C90660" w:rsidRDefault="00C90660" w14:paraId="5052EC7D" w14:textId="77777777">
            <w:pPr>
              <w:pStyle w:val="ListParagraph"/>
              <w:ind w:left="-108"/>
            </w:pPr>
            <w:r>
              <w:t>Initiatiefadvies</w:t>
            </w:r>
          </w:p>
          <w:p w:rsidRPr="00261903" w:rsidR="00C90660" w:rsidP="00C90660" w:rsidRDefault="00C90660" w14:paraId="288B6BFD" w14:textId="18475F57">
            <w:pPr>
              <w:pStyle w:val="ListParagraph"/>
              <w:tabs>
                <w:tab w:val="left" w:pos="838"/>
              </w:tabs>
              <w:ind w:left="-61"/>
            </w:pPr>
            <w:r>
              <w:t>EESC-2022-02007-00-00-AC</w:t>
            </w:r>
          </w:p>
        </w:tc>
      </w:tr>
    </w:tbl>
    <w:p w:rsidRPr="00A30B84" w:rsidR="0077792F" w:rsidP="009120CD" w:rsidRDefault="0077792F" w14:paraId="2F81936E" w14:textId="77777777">
      <w:pPr>
        <w:contextualSpacing/>
      </w:pPr>
    </w:p>
    <w:p w:rsidRPr="00E642C0" w:rsidR="0077792F" w:rsidP="009120CD" w:rsidRDefault="0077792F" w14:paraId="1901BEAD" w14:textId="77777777">
      <w:pPr>
        <w:pStyle w:val="ListParagraph"/>
        <w:ind w:left="0" w:firstLine="142"/>
        <w:rPr>
          <w:b/>
        </w:rPr>
      </w:pPr>
      <w:r>
        <w:rPr>
          <w:b/>
        </w:rPr>
        <w:t>Hoofdpunten</w:t>
      </w:r>
    </w:p>
    <w:p w:rsidRPr="00E642C0" w:rsidR="0077792F" w:rsidP="009120CD" w:rsidRDefault="0077792F" w14:paraId="72FCB2E9" w14:textId="77777777">
      <w:pPr>
        <w:pStyle w:val="ListParagraph"/>
        <w:ind w:left="0"/>
        <w:rPr>
          <w:b/>
        </w:rPr>
      </w:pPr>
    </w:p>
    <w:p w:rsidRPr="00E642C0" w:rsidR="0077792F" w:rsidP="009120CD" w:rsidRDefault="0077792F" w14:paraId="63687A18" w14:textId="77777777">
      <w:pPr>
        <w:pStyle w:val="ListParagraph"/>
        <w:ind w:left="0" w:firstLine="142"/>
        <w:rPr>
          <w:bCs/>
        </w:rPr>
      </w:pPr>
      <w:r>
        <w:t>Het EESC:</w:t>
      </w:r>
    </w:p>
    <w:p w:rsidRPr="00A30B84" w:rsidR="0077792F" w:rsidP="009120CD" w:rsidRDefault="0077792F" w14:paraId="3A20E8D3" w14:textId="77777777">
      <w:pPr>
        <w:contextualSpacing/>
        <w:rPr>
          <w:lang w:val="fr-FR"/>
        </w:rPr>
      </w:pPr>
    </w:p>
    <w:p w:rsidRPr="001445A7" w:rsidR="0077792F" w:rsidP="009120CD" w:rsidRDefault="00F03155" w14:paraId="1B90B508" w14:textId="1D3A3076">
      <w:pPr>
        <w:numPr>
          <w:ilvl w:val="0"/>
          <w:numId w:val="3"/>
        </w:numPr>
        <w:ind w:left="357" w:hanging="357"/>
        <w:contextualSpacing/>
      </w:pPr>
      <w:r>
        <w:t>neemt een evenwichtig maar weloverwogen standpunt in met betrekking tot cryptoactiva en wijst op een aantal kansen die zich die zich zouden kunnen voordoen, met name als gevolg van technologische ontwikkelingen;</w:t>
      </w:r>
    </w:p>
    <w:p w:rsidR="0077792F" w:rsidP="009120CD" w:rsidRDefault="00F03155" w14:paraId="197DA73C" w14:textId="17D9AF5F">
      <w:pPr>
        <w:numPr>
          <w:ilvl w:val="0"/>
          <w:numId w:val="3"/>
        </w:numPr>
        <w:ind w:left="357" w:hanging="357"/>
        <w:contextualSpacing/>
      </w:pPr>
      <w:r>
        <w:t>is sterk voorstander van het voorstel van de Europese Commissie voor een verordening betreffende markten in cryptoactiva (MiCA), dat zich richt op de regulering van cryptoactiva in de EU;</w:t>
      </w:r>
    </w:p>
    <w:p w:rsidRPr="005B5038" w:rsidR="00F03155" w:rsidP="009120CD" w:rsidRDefault="00F03155" w14:paraId="0549FD8B" w14:textId="29618ED7">
      <w:pPr>
        <w:numPr>
          <w:ilvl w:val="0"/>
          <w:numId w:val="3"/>
        </w:numPr>
        <w:ind w:left="357" w:hanging="357"/>
        <w:contextualSpacing/>
      </w:pPr>
      <w:r>
        <w:t>dringt ook aan op een krachtig regelgevend en operationeel instrument om de financiële tracering en belastingnaleving van cryptoactiva te verbeteren;</w:t>
      </w:r>
    </w:p>
    <w:p w:rsidRPr="00F71666" w:rsidR="0077792F" w:rsidP="009120CD" w:rsidRDefault="00F03155" w14:paraId="0793701D" w14:textId="57D1A99E">
      <w:pPr>
        <w:numPr>
          <w:ilvl w:val="0"/>
          <w:numId w:val="3"/>
        </w:numPr>
        <w:ind w:left="357" w:hanging="357"/>
        <w:contextualSpacing/>
      </w:pPr>
      <w:r>
        <w:t>beveelt met klem aan dat autoriteiten zich houden aan het beginsel “dezelfde activiteit, dezelfde risico’s, dezelfde regels”. Dit betekent dat voor ondernemingen die transacties verrichten in cryptoactiva waarbij vergelijkbare risico’s moeten worden afgedekt als bij traditionele transacties, voortgebouwd dient te worden op al bestaande regelgevingskaders;</w:t>
      </w:r>
    </w:p>
    <w:p w:rsidRPr="00F03155" w:rsidR="0077792F" w:rsidP="009120CD" w:rsidRDefault="00F03155" w14:paraId="3E40B4F8" w14:textId="50F74545">
      <w:pPr>
        <w:numPr>
          <w:ilvl w:val="0"/>
          <w:numId w:val="3"/>
        </w:numPr>
        <w:ind w:left="357" w:hanging="357"/>
        <w:contextualSpacing/>
      </w:pPr>
      <w:r>
        <w:t>acht dat noodzakelijk om asymmetrieën te voorkomen tussen analoge diensten en activa die door technische omstandigheden onder verschillende kaders zouden kunnen vallen;</w:t>
      </w:r>
    </w:p>
    <w:p w:rsidRPr="00F03155" w:rsidR="00F03155" w:rsidP="009120CD" w:rsidRDefault="00F03155" w14:paraId="392941D5" w14:textId="2084F74A">
      <w:pPr>
        <w:numPr>
          <w:ilvl w:val="0"/>
          <w:numId w:val="3"/>
        </w:numPr>
        <w:ind w:left="357" w:hanging="357"/>
        <w:contextualSpacing/>
      </w:pPr>
      <w:r>
        <w:t>vindt dat een regelgevingskader voor cryptoactiva in alle rechtsgebieden, en niet alleen binnen de EU, uniform moet zijn;</w:t>
      </w:r>
    </w:p>
    <w:p w:rsidRPr="00F03155" w:rsidR="00F03155" w:rsidP="009120CD" w:rsidRDefault="00F03155" w14:paraId="280FA08F" w14:textId="103ECBAD">
      <w:pPr>
        <w:numPr>
          <w:ilvl w:val="0"/>
          <w:numId w:val="3"/>
        </w:numPr>
        <w:ind w:left="357" w:hanging="357"/>
        <w:contextualSpacing/>
      </w:pPr>
      <w:r>
        <w:t>is voorstander van innovatie in de EU en acht het belangrijk dat gewone, op blockchaintechnologie gebaseerde producten die niet financieel van aard zijn, net zo worden behandeld als hun fysieke tegenhangers en niet als financiële instrumenten, conform het beginsel “dezelfde activiteit, dezelfde risico’s, dezelfde regels”;</w:t>
      </w:r>
    </w:p>
    <w:p w:rsidRPr="00F03155" w:rsidR="00F03155" w:rsidP="009120CD" w:rsidRDefault="00F03155" w14:paraId="54185A9A" w14:textId="3DC3D8E7">
      <w:pPr>
        <w:numPr>
          <w:ilvl w:val="0"/>
          <w:numId w:val="3"/>
        </w:numPr>
        <w:ind w:left="357" w:hanging="357"/>
        <w:contextualSpacing/>
      </w:pPr>
      <w:r>
        <w:t>neemt gezien de klimaatverbintenissen van de EU in het kader van de Green Deal met bezorgdheid kennis van de milieugevolgen van cryptovaluta en aanverwante mining-activiteiten. Nieuwe DLT’s zoals blockchain lijken weliswaar een duurzame infrastructuur te kunnen creëren voor een koolstofarme toekomst, maar overtuigend bewijs daarvoor ontbreekt;</w:t>
      </w:r>
    </w:p>
    <w:p w:rsidRPr="00F03155" w:rsidR="00F03155" w:rsidP="009120CD" w:rsidRDefault="00F03155" w14:paraId="1D64D96E" w14:textId="09C2508D">
      <w:pPr>
        <w:numPr>
          <w:ilvl w:val="0"/>
          <w:numId w:val="3"/>
        </w:numPr>
        <w:ind w:left="357" w:hanging="357"/>
        <w:contextualSpacing/>
      </w:pPr>
      <w:r>
        <w:lastRenderedPageBreak/>
        <w:t>meent dat blockchain als belangrijkste onderliggende technologie voor cryptoactiva de risico’s kan helpen aanpakken die zich momenteel het meest voordoen op de markt. De potentiële voordelen van blockchain variëren van realtimetransacties die risicovermindering en beter kapitaalbeheer mogelijk maken, tot verbeterde effectiviteit van de regelgeving;</w:t>
      </w:r>
    </w:p>
    <w:p w:rsidRPr="00F03155" w:rsidR="00F03155" w:rsidP="009120CD" w:rsidRDefault="00F03155" w14:paraId="7E98DF3A" w14:textId="0CE3A64D">
      <w:pPr>
        <w:numPr>
          <w:ilvl w:val="0"/>
          <w:numId w:val="3"/>
        </w:numPr>
        <w:ind w:left="357" w:hanging="357"/>
        <w:contextualSpacing/>
      </w:pPr>
      <w:r>
        <w:t>merkt tevens op dat technologische ontwikkelingen kunnen helpen de bestaande beperkingen inzake belastingnaleving aan te pakken en aldus de transparantie en de kwaliteit van de gegevens die ter controle naar de belastingdiensten worden gezonden te verbeteren, en belastingfraude en illegale transacties aan te pakken;</w:t>
      </w:r>
    </w:p>
    <w:p w:rsidRPr="00F71666" w:rsidR="00F03155" w:rsidP="009120CD" w:rsidRDefault="00F03155" w14:paraId="146F859B" w14:textId="33D55D08">
      <w:pPr>
        <w:numPr>
          <w:ilvl w:val="0"/>
          <w:numId w:val="3"/>
        </w:numPr>
        <w:ind w:left="357" w:hanging="357"/>
        <w:contextualSpacing/>
      </w:pPr>
      <w:r>
        <w:t>staat er volledig achter dat de ECB toezicht houdt op ontwikkelingen in cryptoactiva en de mogelijke gevolgen daarvan voor het monetaire beleid en op de risico’s die cryptoactiva kunnen inhouden voor de goede werking van marktinfrastructuren en betalingen, alsook voor de stabiliteit van het financiële stelsel.</w:t>
      </w:r>
    </w:p>
    <w:p w:rsidR="0077792F" w:rsidP="009120CD" w:rsidRDefault="0077792F" w14:paraId="3477B253" w14:textId="77777777">
      <w:pPr>
        <w:spacing w:after="160"/>
        <w:jc w:val="lef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77792F" w:rsidTr="004E4367" w14:paraId="3FA42BAE" w14:textId="77777777">
        <w:tc>
          <w:tcPr>
            <w:tcW w:w="1418" w:type="dxa"/>
          </w:tcPr>
          <w:p w:rsidRPr="009B70E7" w:rsidR="0077792F" w:rsidP="009120CD" w:rsidRDefault="0077792F" w14:paraId="44ACEA21" w14:textId="77777777">
            <w:pPr>
              <w:pStyle w:val="ListParagraph"/>
              <w:ind w:left="0"/>
              <w:rPr>
                <w:i/>
              </w:rPr>
            </w:pPr>
            <w:r>
              <w:rPr>
                <w:b/>
                <w:i/>
              </w:rPr>
              <w:t>Contactpersoon</w:t>
            </w:r>
          </w:p>
        </w:tc>
        <w:tc>
          <w:tcPr>
            <w:tcW w:w="5670" w:type="dxa"/>
          </w:tcPr>
          <w:p w:rsidRPr="009B70E7" w:rsidR="0077792F" w:rsidP="009120CD" w:rsidRDefault="0077792F" w14:paraId="389ED027" w14:textId="77777777">
            <w:pPr>
              <w:pStyle w:val="ListParagraph"/>
              <w:ind w:left="0"/>
              <w:rPr>
                <w:i/>
              </w:rPr>
            </w:pPr>
            <w:r>
              <w:rPr>
                <w:i/>
              </w:rPr>
              <w:t>Gerald Klec</w:t>
            </w:r>
          </w:p>
        </w:tc>
      </w:tr>
      <w:tr w:rsidRPr="009B70E7" w:rsidR="00C90660" w:rsidTr="004E4367" w14:paraId="6B7CFCEF" w14:textId="77777777">
        <w:tc>
          <w:tcPr>
            <w:tcW w:w="1418" w:type="dxa"/>
          </w:tcPr>
          <w:p w:rsidRPr="00C90660" w:rsidR="00C90660" w:rsidP="009120CD" w:rsidRDefault="00C90660" w14:paraId="70EF65EC" w14:textId="262FDCA2">
            <w:pPr>
              <w:pStyle w:val="ListParagraph"/>
              <w:ind w:left="0"/>
              <w:rPr>
                <w:b/>
                <w:i/>
              </w:rPr>
            </w:pPr>
            <w:r>
              <w:rPr>
                <w:i/>
              </w:rPr>
              <w:t>Tel.</w:t>
            </w:r>
          </w:p>
        </w:tc>
        <w:tc>
          <w:tcPr>
            <w:tcW w:w="5670" w:type="dxa"/>
          </w:tcPr>
          <w:p w:rsidRPr="00C90660" w:rsidR="00C90660" w:rsidP="009120CD" w:rsidRDefault="00C90660" w14:paraId="2B25FD8E" w14:textId="56AC13B3">
            <w:pPr>
              <w:pStyle w:val="ListParagraph"/>
              <w:ind w:left="0"/>
              <w:rPr>
                <w:i/>
              </w:rPr>
            </w:pPr>
            <w:r>
              <w:rPr>
                <w:i/>
              </w:rPr>
              <w:t>00 32 2 546 99 09</w:t>
            </w:r>
          </w:p>
        </w:tc>
      </w:tr>
      <w:tr w:rsidRPr="009B70E7" w:rsidR="00C90660" w:rsidTr="004E4367" w14:paraId="158E3D2B" w14:textId="77777777">
        <w:tc>
          <w:tcPr>
            <w:tcW w:w="1418" w:type="dxa"/>
          </w:tcPr>
          <w:p w:rsidRPr="00C90660" w:rsidR="00C90660" w:rsidP="009120CD" w:rsidRDefault="00C90660" w14:paraId="01F7F2FA" w14:textId="0E38F273">
            <w:pPr>
              <w:pStyle w:val="ListParagraph"/>
              <w:ind w:left="0"/>
              <w:rPr>
                <w:b/>
                <w:i/>
              </w:rPr>
            </w:pPr>
            <w:r>
              <w:rPr>
                <w:i/>
              </w:rPr>
              <w:t>E-mail</w:t>
            </w:r>
          </w:p>
        </w:tc>
        <w:tc>
          <w:tcPr>
            <w:tcW w:w="5670" w:type="dxa"/>
          </w:tcPr>
          <w:p w:rsidRPr="00C90660" w:rsidR="00C90660" w:rsidP="009120CD" w:rsidRDefault="00C56F85" w14:paraId="2031120D" w14:textId="4133CD60">
            <w:pPr>
              <w:pStyle w:val="ListParagraph"/>
              <w:ind w:left="0"/>
              <w:rPr>
                <w:i/>
              </w:rPr>
            </w:pPr>
            <w:hyperlink w:history="1" r:id="rId24">
              <w:r w:rsidR="0064748D">
                <w:rPr>
                  <w:rStyle w:val="Hyperlink"/>
                  <w:i/>
                </w:rPr>
                <w:t>Gerald.Klec@eesc.europa.eu</w:t>
              </w:r>
            </w:hyperlink>
          </w:p>
        </w:tc>
      </w:tr>
    </w:tbl>
    <w:p w:rsidRPr="00C90660" w:rsidR="00C90660" w:rsidP="00C90660" w:rsidRDefault="00C90660" w14:paraId="67455B91" w14:textId="77777777">
      <w:pPr>
        <w:overflowPunct w:val="0"/>
        <w:autoSpaceDE w:val="0"/>
        <w:autoSpaceDN w:val="0"/>
        <w:adjustRightInd w:val="0"/>
        <w:ind w:left="567"/>
        <w:contextualSpacing/>
        <w:textAlignment w:val="baseline"/>
      </w:pPr>
    </w:p>
    <w:p w:rsidRPr="00DE78E2" w:rsidR="00F03155" w:rsidP="009120CD" w:rsidRDefault="00F03155" w14:paraId="3DDE566C" w14:textId="05213D9D">
      <w:pPr>
        <w:numPr>
          <w:ilvl w:val="0"/>
          <w:numId w:val="4"/>
        </w:numPr>
        <w:overflowPunct w:val="0"/>
        <w:autoSpaceDE w:val="0"/>
        <w:autoSpaceDN w:val="0"/>
        <w:adjustRightInd w:val="0"/>
        <w:ind w:left="567" w:hanging="567"/>
        <w:contextualSpacing/>
        <w:textAlignment w:val="baseline"/>
      </w:pPr>
      <w:r>
        <w:rPr>
          <w:b/>
          <w:i/>
          <w:sz w:val="28"/>
        </w:rPr>
        <w:t>FAST-CARE</w:t>
      </w:r>
    </w:p>
    <w:p w:rsidRPr="00F03155" w:rsidR="00DE78E2" w:rsidP="009120CD" w:rsidRDefault="00DE78E2" w14:paraId="6FE64B2C" w14:textId="77777777">
      <w:pPr>
        <w:overflowPunct w:val="0"/>
        <w:autoSpaceDE w:val="0"/>
        <w:autoSpaceDN w:val="0"/>
        <w:adjustRightInd w:val="0"/>
        <w:ind w:left="567"/>
        <w:contextualSpacing/>
        <w:textAlignment w:val="baseline"/>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7"/>
        <w:gridCol w:w="6565"/>
      </w:tblGrid>
      <w:tr w:rsidRPr="00F03155" w:rsidR="00F03155" w:rsidTr="00DE78E2" w14:paraId="0B0E096E" w14:textId="77777777">
        <w:tc>
          <w:tcPr>
            <w:tcW w:w="1657" w:type="dxa"/>
          </w:tcPr>
          <w:p w:rsidRPr="00F03155" w:rsidR="00F03155" w:rsidP="009120CD" w:rsidRDefault="00F03155" w14:paraId="15A63338" w14:textId="77777777">
            <w:pPr>
              <w:pStyle w:val="ListParagraph"/>
              <w:ind w:left="0"/>
              <w:rPr>
                <w:b/>
              </w:rPr>
            </w:pPr>
            <w:r>
              <w:rPr>
                <w:b/>
              </w:rPr>
              <w:t>Rapporteur:</w:t>
            </w:r>
          </w:p>
          <w:p w:rsidRPr="00F03155" w:rsidR="00F03155" w:rsidP="009120CD" w:rsidRDefault="00F03155" w14:paraId="2407B7D9" w14:textId="77777777">
            <w:pPr>
              <w:contextualSpacing/>
              <w:rPr>
                <w:b/>
                <w:sz w:val="20"/>
                <w:szCs w:val="20"/>
              </w:rPr>
            </w:pPr>
          </w:p>
        </w:tc>
        <w:tc>
          <w:tcPr>
            <w:tcW w:w="6565" w:type="dxa"/>
          </w:tcPr>
          <w:p w:rsidRPr="00F03155" w:rsidR="00F03155" w:rsidP="00E00915" w:rsidRDefault="00DE78E2" w14:paraId="389D713D" w14:textId="472A911F">
            <w:pPr>
              <w:ind w:left="-108" w:right="-195"/>
              <w:contextualSpacing/>
            </w:pPr>
            <w:r>
              <w:t>Elena-Alexandra CALISTRU (groep Maatschappelijke Organisaties – RO)</w:t>
            </w:r>
          </w:p>
        </w:tc>
      </w:tr>
      <w:tr w:rsidRPr="00F03155" w:rsidR="00E00915" w:rsidTr="00DE78E2" w14:paraId="32CEF64A" w14:textId="77777777">
        <w:tc>
          <w:tcPr>
            <w:tcW w:w="1657" w:type="dxa"/>
          </w:tcPr>
          <w:p w:rsidRPr="00F03155" w:rsidR="00E00915" w:rsidP="009120CD" w:rsidRDefault="00E00915" w14:paraId="0FDC2E72" w14:textId="59653AB2">
            <w:pPr>
              <w:pStyle w:val="ListParagraph"/>
              <w:ind w:left="0"/>
              <w:rPr>
                <w:b/>
              </w:rPr>
            </w:pPr>
            <w:r>
              <w:rPr>
                <w:b/>
              </w:rPr>
              <w:t>Referentie:</w:t>
            </w:r>
          </w:p>
        </w:tc>
        <w:tc>
          <w:tcPr>
            <w:tcW w:w="6565" w:type="dxa"/>
          </w:tcPr>
          <w:p w:rsidRPr="00F03155" w:rsidR="00E00915" w:rsidP="00E00915" w:rsidRDefault="00E00915" w14:paraId="4D1FFECE" w14:textId="77777777">
            <w:pPr>
              <w:ind w:left="-56"/>
              <w:contextualSpacing/>
            </w:pPr>
            <w:r>
              <w:t>COM(2022) 325 final</w:t>
            </w:r>
          </w:p>
          <w:p w:rsidRPr="00DE78E2" w:rsidR="00E00915" w:rsidP="00E00915" w:rsidRDefault="00E00915" w14:paraId="0CEE736E" w14:textId="5F7EF35C">
            <w:pPr>
              <w:ind w:left="-108" w:right="-195"/>
              <w:contextualSpacing/>
            </w:pPr>
            <w:r>
              <w:t>EESC-2022-03786-00-00-AC</w:t>
            </w:r>
          </w:p>
        </w:tc>
      </w:tr>
    </w:tbl>
    <w:p w:rsidRPr="00F03155" w:rsidR="00F03155" w:rsidP="009120CD" w:rsidRDefault="00F03155" w14:paraId="730CA6F7" w14:textId="77777777">
      <w:pPr>
        <w:contextualSpacing/>
        <w:rPr>
          <w:b/>
        </w:rPr>
      </w:pPr>
    </w:p>
    <w:p w:rsidRPr="00F03155" w:rsidR="00F03155" w:rsidP="009120CD" w:rsidRDefault="00F03155" w14:paraId="476E5800" w14:textId="77777777">
      <w:pPr>
        <w:pStyle w:val="ListParagraph"/>
        <w:ind w:left="0" w:firstLine="142"/>
        <w:rPr>
          <w:b/>
        </w:rPr>
      </w:pPr>
      <w:r>
        <w:rPr>
          <w:b/>
        </w:rPr>
        <w:t>Hoofdpunten</w:t>
      </w:r>
    </w:p>
    <w:p w:rsidRPr="00F03155" w:rsidR="00F03155" w:rsidP="009120CD" w:rsidRDefault="00F03155" w14:paraId="6F32E505" w14:textId="77777777">
      <w:pPr>
        <w:contextualSpacing/>
      </w:pPr>
    </w:p>
    <w:p w:rsidRPr="0070677E" w:rsidR="00F03155" w:rsidP="009120CD" w:rsidRDefault="00F03155" w14:paraId="0E88D5AC" w14:textId="77777777">
      <w:pPr>
        <w:pStyle w:val="ListParagraph"/>
        <w:ind w:left="0" w:firstLine="142"/>
        <w:rPr>
          <w:bCs/>
        </w:rPr>
      </w:pPr>
      <w:r>
        <w:t>Het EESC:</w:t>
      </w:r>
    </w:p>
    <w:p w:rsidRPr="00F03155" w:rsidR="00F03155" w:rsidP="009120CD" w:rsidRDefault="00F03155" w14:paraId="3279EDD8" w14:textId="77777777">
      <w:pPr>
        <w:contextualSpacing/>
      </w:pPr>
    </w:p>
    <w:p w:rsidRPr="00F03155" w:rsidR="00DE78E2" w:rsidP="009120CD" w:rsidRDefault="00DE78E2" w14:paraId="2330E1DF" w14:textId="492A8CFE">
      <w:pPr>
        <w:numPr>
          <w:ilvl w:val="0"/>
          <w:numId w:val="3"/>
        </w:numPr>
        <w:ind w:left="357" w:hanging="357"/>
        <w:contextualSpacing/>
      </w:pPr>
      <w:r>
        <w:t>is ten zeerste ingenomen met dit nieuwe, ruime pakket, dat de reeds in het kader van CARE verleende steun uitbreidt met verdere steun en extra flexibiliteit binnen de financiering van het cohesiebeleid;</w:t>
      </w:r>
    </w:p>
    <w:p w:rsidRPr="00F03155" w:rsidR="00F03155" w:rsidP="009120CD" w:rsidRDefault="00DE78E2" w14:paraId="27035279" w14:textId="0CA07A60">
      <w:pPr>
        <w:numPr>
          <w:ilvl w:val="0"/>
          <w:numId w:val="3"/>
        </w:numPr>
        <w:ind w:left="357" w:hanging="357"/>
        <w:contextualSpacing/>
      </w:pPr>
      <w:r>
        <w:t>erkent dat de ongeprovoceerde invasie op 24 februari direct en indirect heeft geleid tot een continue toename van het aantal vluchtelingen in alle lidstaten, met name aan de buitengrenzen van de EU, en dat daarom verdere maatregelen geboden zijn; is van mening dat FAST-CARE een antwoord biedt op deze situatie, door extra middelen uit te trekken voor de migratie-uitdagingen als gevolg van de militaire agressie door Rusland, maar ook door iets te doen aan de vertraging die bij de uitvoering van projecten is opgelopen door COVID-19, de hoge energiekosten en het tekort aan grondstoffen en arbeidskrachten als gevolg van de oorlog;</w:t>
      </w:r>
    </w:p>
    <w:p w:rsidRPr="00F03155" w:rsidR="00F03155" w:rsidP="009120CD" w:rsidRDefault="00DE78E2" w14:paraId="457FA581" w14:textId="2BE970BD">
      <w:pPr>
        <w:numPr>
          <w:ilvl w:val="0"/>
          <w:numId w:val="3"/>
        </w:numPr>
        <w:ind w:left="357" w:hanging="357"/>
        <w:contextualSpacing/>
      </w:pPr>
      <w:r>
        <w:t>heeft voortdurend gewezen op de noodzaak om onverwijld, en met alle mogelijke middelen, doeltreffende actie te ondernemen. De voortdurende inspanningen om flexibiliteit op het gebied van financiering te waarborgen, moeten ervoor zorgen dat de investeringen uit hoofde van het cohesiebeleid in het kader van het MFK 2014-2020 zo efficiënt mogelijk worden uitgevoerd en dat de programma’s voor de periode 2021-2027 soepel van start gaan; is verheugd dat er voor de uitvoering van cohesiebeleidsprogramma’s tijdelijk een beroep kan worden gedaan op 100 % medefinanciering uit de EU-begroting;</w:t>
      </w:r>
    </w:p>
    <w:p w:rsidRPr="00F03155" w:rsidR="00F03155" w:rsidP="009120CD" w:rsidRDefault="00DE78E2" w14:paraId="4CFD0C85" w14:textId="072664BD">
      <w:pPr>
        <w:numPr>
          <w:ilvl w:val="0"/>
          <w:numId w:val="3"/>
        </w:numPr>
        <w:ind w:left="357" w:hanging="357"/>
        <w:contextualSpacing/>
      </w:pPr>
      <w:r>
        <w:t xml:space="preserve">is zeer ingenomen met de erkenning door de Commissie van de hoge lasten waarmee lokale autoriteiten en in plaatselijke gemeenschappen actieve maatschappelijke organisaties worden </w:t>
      </w:r>
      <w:r>
        <w:lastRenderedPageBreak/>
        <w:t>geconfronteerd bij de aanpak van de migratieproblemen als gevolg van de militaire agressie van Rusland; is ingenomen met de bepaling dat binnen de desbetreffende prioriteiten een financiële toewijzing van minstens 30 % moet worden gereserveerd voor lokale overheden, sociale partners en maatschappelijke organisaties;</w:t>
      </w:r>
    </w:p>
    <w:p w:rsidRPr="00F03155" w:rsidR="00F03155" w:rsidP="009120CD" w:rsidRDefault="00DE78E2" w14:paraId="22D62F2C" w14:textId="03C80115">
      <w:pPr>
        <w:numPr>
          <w:ilvl w:val="0"/>
          <w:numId w:val="3"/>
        </w:numPr>
        <w:ind w:left="357" w:hanging="357"/>
        <w:contextualSpacing/>
      </w:pPr>
      <w:r>
        <w:t>is van mening dat ngo’s en de sociale partners een cruciale rol toekomt als uitvoerders van programma’s én als waardevolle partners bij het toezicht op de uitvoering ervan, en is bereid verdere discussies over een dergelijke participatie van maatschappelijke organisaties en sociale partners in de EU/Oekraïne te faciliteren. Het maatschappelijk middenveld heeft door zijn onmiddellijke reactie in de eerste fasen van de oorlog zijn doeltreffendheid bewezen;</w:t>
      </w:r>
    </w:p>
    <w:p w:rsidRPr="00F03155" w:rsidR="00F03155" w:rsidP="009120CD" w:rsidRDefault="00DE78E2" w14:paraId="0DDC7132" w14:textId="2287633E">
      <w:pPr>
        <w:numPr>
          <w:ilvl w:val="0"/>
          <w:numId w:val="3"/>
        </w:numPr>
        <w:ind w:left="357" w:hanging="357"/>
        <w:contextualSpacing/>
      </w:pPr>
      <w:r>
        <w:t>is ingenomen met het voorstel van de Commissie om de lidstaten te ontheffen van de verplichting om te voldoen aan de vereisten inzake thematische concentratie voor het MFK 2014-2020, zodat zij, gezien de snel veranderende situatie ter plaatse, middelen kunnen herbestemmen tussen thematische doelstellingen binnen dezelfde prioriteit van hetzelfde fonds en dezelfde regiocategorie;</w:t>
      </w:r>
    </w:p>
    <w:p w:rsidR="00F03155" w:rsidP="009120CD" w:rsidRDefault="00DE78E2" w14:paraId="5CEF4635" w14:textId="3CED1F25">
      <w:pPr>
        <w:numPr>
          <w:ilvl w:val="0"/>
          <w:numId w:val="3"/>
        </w:numPr>
        <w:ind w:left="357" w:hanging="357"/>
        <w:contextualSpacing/>
      </w:pPr>
      <w:r>
        <w:t>neemt kennis van de mix van brede maatregelen die zowel rekening houden met de behoeften op micro-/individueel niveau als met de behoeften op macro-/lidstaatniveau;</w:t>
      </w:r>
    </w:p>
    <w:p w:rsidR="00DE78E2" w:rsidP="009120CD" w:rsidRDefault="00DE78E2" w14:paraId="6FD09133" w14:textId="006FD926">
      <w:pPr>
        <w:numPr>
          <w:ilvl w:val="0"/>
          <w:numId w:val="3"/>
        </w:numPr>
        <w:ind w:left="357" w:hanging="357"/>
        <w:contextualSpacing/>
      </w:pPr>
      <w:r>
        <w:t>dringt er bij de Commissie op aan om samen met de lidstaten, lokale overheden en het maatschappelijk middenveld alle eventuele onnodige administratieve lasten weg te nemen en tegelijkertijd volledige transparantie te bieden met betrekking tot de toewijzing en uitvoering van maatregelen ter bestrijding van de gevolgen van de oorlog in Oekraïne; wijst er ook op dat het maatschappelijk middenveld en de sociale partner actiever bij een en ander moeten worden betrokken;</w:t>
      </w:r>
    </w:p>
    <w:p w:rsidRPr="00F03155" w:rsidR="00DE78E2" w:rsidP="009120CD" w:rsidRDefault="00DE78E2" w14:paraId="69425749" w14:textId="1C84D522">
      <w:pPr>
        <w:numPr>
          <w:ilvl w:val="0"/>
          <w:numId w:val="3"/>
        </w:numPr>
        <w:ind w:left="357" w:hanging="357"/>
        <w:contextualSpacing/>
      </w:pPr>
      <w:r>
        <w:t>onderschrijft dat alle mogelijke maatregelen binnen het huidige MFK moeten worden genomen; is in dit verband te spreken over het voornemen van de Commissie om de MFK-verordening zodanig te wijzigen dat de resterende middelen voor 2014-2020 worden geoptimaliseerd om een soepele overgang naar het programma 2021-2027 mogelijk te maken.</w:t>
      </w:r>
    </w:p>
    <w:p w:rsidRPr="00F03155" w:rsidR="00F03155" w:rsidP="009120CD" w:rsidRDefault="00F03155" w14:paraId="2E113949"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A30B84" w:rsidR="00DE78E2" w:rsidTr="004E4367" w14:paraId="57694738" w14:textId="77777777">
        <w:tc>
          <w:tcPr>
            <w:tcW w:w="1418" w:type="dxa"/>
          </w:tcPr>
          <w:p w:rsidRPr="00A30B84" w:rsidR="00DE78E2" w:rsidP="009120CD" w:rsidRDefault="00DE78E2" w14:paraId="342E4F12" w14:textId="77777777">
            <w:pPr>
              <w:contextualSpacing/>
              <w:rPr>
                <w:i/>
              </w:rPr>
            </w:pPr>
            <w:r>
              <w:rPr>
                <w:b/>
                <w:i/>
              </w:rPr>
              <w:t>Contactpersoon</w:t>
            </w:r>
          </w:p>
        </w:tc>
        <w:tc>
          <w:tcPr>
            <w:tcW w:w="5670" w:type="dxa"/>
          </w:tcPr>
          <w:p w:rsidRPr="00A30B84" w:rsidR="00DE78E2" w:rsidP="009120CD" w:rsidRDefault="00DE78E2" w14:paraId="6F9C39FB" w14:textId="77777777">
            <w:pPr>
              <w:contextualSpacing/>
              <w:rPr>
                <w:i/>
              </w:rPr>
            </w:pPr>
            <w:r>
              <w:rPr>
                <w:i/>
              </w:rPr>
              <w:t>Georgeos Meleas</w:t>
            </w:r>
          </w:p>
        </w:tc>
      </w:tr>
      <w:tr w:rsidRPr="00A30B84" w:rsidR="00DE78E2" w:rsidTr="004E4367" w14:paraId="50545541" w14:textId="77777777">
        <w:tc>
          <w:tcPr>
            <w:tcW w:w="1418" w:type="dxa"/>
          </w:tcPr>
          <w:p w:rsidRPr="00A30B84" w:rsidR="00DE78E2" w:rsidP="009120CD" w:rsidRDefault="00DE78E2" w14:paraId="7CDE250D" w14:textId="77777777">
            <w:pPr>
              <w:ind w:left="601"/>
              <w:contextualSpacing/>
              <w:rPr>
                <w:i/>
              </w:rPr>
            </w:pPr>
            <w:r>
              <w:rPr>
                <w:i/>
              </w:rPr>
              <w:t>Tel.</w:t>
            </w:r>
          </w:p>
        </w:tc>
        <w:tc>
          <w:tcPr>
            <w:tcW w:w="5670" w:type="dxa"/>
          </w:tcPr>
          <w:p w:rsidRPr="00A30B84" w:rsidR="00DE78E2" w:rsidP="009120CD" w:rsidRDefault="00DE78E2" w14:paraId="714071A2" w14:textId="77777777">
            <w:pPr>
              <w:contextualSpacing/>
              <w:rPr>
                <w:i/>
              </w:rPr>
            </w:pPr>
            <w:r>
              <w:rPr>
                <w:i/>
              </w:rPr>
              <w:t>00 32 2 546 97 95</w:t>
            </w:r>
          </w:p>
        </w:tc>
      </w:tr>
      <w:tr w:rsidRPr="00A30B84" w:rsidR="00DE78E2" w:rsidTr="004E4367" w14:paraId="6918563B" w14:textId="77777777">
        <w:tc>
          <w:tcPr>
            <w:tcW w:w="1418" w:type="dxa"/>
          </w:tcPr>
          <w:p w:rsidRPr="00A30B84" w:rsidR="00DE78E2" w:rsidP="009120CD" w:rsidRDefault="00DE78E2" w14:paraId="4E576CC3" w14:textId="77777777">
            <w:pPr>
              <w:ind w:left="601"/>
              <w:contextualSpacing/>
              <w:rPr>
                <w:i/>
              </w:rPr>
            </w:pPr>
            <w:r>
              <w:rPr>
                <w:i/>
              </w:rPr>
              <w:t>E-mail</w:t>
            </w:r>
          </w:p>
        </w:tc>
        <w:tc>
          <w:tcPr>
            <w:tcW w:w="5670" w:type="dxa"/>
          </w:tcPr>
          <w:p w:rsidRPr="00E00915" w:rsidR="00DE78E2" w:rsidP="009120CD" w:rsidRDefault="00C56F85" w14:paraId="5C133D02" w14:textId="607BB05A">
            <w:pPr>
              <w:spacing w:after="160"/>
              <w:jc w:val="left"/>
              <w:rPr>
                <w:i/>
                <w:iCs/>
              </w:rPr>
            </w:pPr>
            <w:hyperlink w:history="1" r:id="rId25">
              <w:r w:rsidR="0064748D">
                <w:rPr>
                  <w:rStyle w:val="Hyperlink"/>
                  <w:i/>
                </w:rPr>
                <w:t>Georgeos.Meleas@eesc.europa.eu</w:t>
              </w:r>
            </w:hyperlink>
          </w:p>
        </w:tc>
      </w:tr>
    </w:tbl>
    <w:p w:rsidR="00B44BB9" w:rsidP="009120CD" w:rsidRDefault="00B44BB9" w14:paraId="53EAD6FD" w14:textId="2B83735D">
      <w:pPr>
        <w:spacing w:after="160"/>
        <w:jc w:val="left"/>
      </w:pPr>
    </w:p>
    <w:p w:rsidR="00DE78E2" w:rsidP="009120CD" w:rsidRDefault="00DE78E2" w14:paraId="734687E4" w14:textId="2555E4C8">
      <w:pPr>
        <w:spacing w:after="160"/>
        <w:jc w:val="left"/>
      </w:pPr>
      <w:r>
        <w:br w:type="page"/>
      </w:r>
    </w:p>
    <w:p w:rsidRPr="009B70E7" w:rsidR="004D7AC0" w:rsidP="009120CD" w:rsidRDefault="004D7AC0" w14:paraId="73D829D0" w14:textId="77777777">
      <w:pPr>
        <w:pStyle w:val="Heading1"/>
        <w:rPr>
          <w:b/>
        </w:rPr>
      </w:pPr>
      <w:bookmarkStart w:name="_Toc75527081" w:id="8"/>
      <w:bookmarkStart w:name="_Toc116383029" w:id="9"/>
      <w:r>
        <w:rPr>
          <w:b/>
        </w:rPr>
        <w:lastRenderedPageBreak/>
        <w:t>WERKGELEGENHEID, SOCIALE ZAKEN EN BURGERSCHAP</w:t>
      </w:r>
      <w:bookmarkEnd w:id="8"/>
      <w:bookmarkEnd w:id="9"/>
    </w:p>
    <w:p w:rsidRPr="00DA2D88" w:rsidR="00775FDA" w:rsidP="009120CD" w:rsidRDefault="00775FDA" w14:paraId="46C917A8" w14:textId="77777777">
      <w:pPr>
        <w:jc w:val="left"/>
        <w:rPr>
          <w:b/>
        </w:rPr>
      </w:pPr>
    </w:p>
    <w:p w:rsidRPr="00DA2D88" w:rsidR="00DA608B" w:rsidP="009120CD" w:rsidRDefault="00B9776A" w14:paraId="2B9D750E" w14:textId="06FBAB74">
      <w:pPr>
        <w:pStyle w:val="ListParagraph"/>
        <w:numPr>
          <w:ilvl w:val="0"/>
          <w:numId w:val="2"/>
        </w:numPr>
        <w:ind w:left="567" w:hanging="567"/>
        <w:rPr>
          <w:i/>
          <w:sz w:val="28"/>
          <w:szCs w:val="28"/>
        </w:rPr>
      </w:pPr>
      <w:r>
        <w:rPr>
          <w:b/>
          <w:i/>
          <w:sz w:val="28"/>
        </w:rPr>
        <w:t>De energiearmoede aanpakken en de veerkracht van de EU: uitdagingen vanuit economisch en sociaal oogpunt</w:t>
      </w:r>
    </w:p>
    <w:p w:rsidRPr="009B70E7" w:rsidR="00DA608B" w:rsidP="009120CD" w:rsidRDefault="00DA608B" w14:paraId="52A05893"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9B70E7" w:rsidR="00DA608B" w:rsidTr="00B9776A" w14:paraId="5CC43C80" w14:textId="77777777">
        <w:trPr>
          <w:trHeight w:val="309"/>
        </w:trPr>
        <w:tc>
          <w:tcPr>
            <w:tcW w:w="1701" w:type="dxa"/>
          </w:tcPr>
          <w:p w:rsidRPr="009B70E7" w:rsidR="000C43E2" w:rsidP="00E00915" w:rsidRDefault="00DA608B" w14:paraId="6C72EBF9" w14:textId="6B1AC637">
            <w:pPr>
              <w:pStyle w:val="ListParagraph"/>
              <w:ind w:left="0"/>
              <w:rPr>
                <w:b/>
              </w:rPr>
            </w:pPr>
            <w:r>
              <w:rPr>
                <w:b/>
              </w:rPr>
              <w:t>Rapporteur:</w:t>
            </w:r>
          </w:p>
        </w:tc>
        <w:tc>
          <w:tcPr>
            <w:tcW w:w="6521" w:type="dxa"/>
          </w:tcPr>
          <w:p w:rsidRPr="009B70E7" w:rsidR="00DA608B" w:rsidP="00E00915" w:rsidRDefault="00B9776A" w14:paraId="42694D38" w14:textId="244AF80D">
            <w:pPr>
              <w:pStyle w:val="ListParagraph"/>
              <w:ind w:left="-105"/>
            </w:pPr>
            <w:r>
              <w:t>Ioannis VARDAKASTANIS (groep Maatschappelijke Organisaties – EL)</w:t>
            </w:r>
          </w:p>
        </w:tc>
      </w:tr>
      <w:tr w:rsidRPr="009B70E7" w:rsidR="00E00915" w:rsidTr="00B9776A" w14:paraId="16C62F4E" w14:textId="77777777">
        <w:trPr>
          <w:trHeight w:val="309"/>
        </w:trPr>
        <w:tc>
          <w:tcPr>
            <w:tcW w:w="1701" w:type="dxa"/>
          </w:tcPr>
          <w:p w:rsidRPr="009B70E7" w:rsidR="00E00915" w:rsidP="00E00915" w:rsidRDefault="00E00915" w14:paraId="5B3C303D" w14:textId="77777777">
            <w:pPr>
              <w:pStyle w:val="ListParagraph"/>
              <w:ind w:left="0"/>
              <w:rPr>
                <w:b/>
              </w:rPr>
            </w:pPr>
          </w:p>
        </w:tc>
        <w:tc>
          <w:tcPr>
            <w:tcW w:w="6521" w:type="dxa"/>
          </w:tcPr>
          <w:p w:rsidRPr="00B9776A" w:rsidR="00E00915" w:rsidP="00E00915" w:rsidRDefault="00E00915" w14:paraId="2F136994" w14:textId="77777777">
            <w:pPr>
              <w:pStyle w:val="ListParagraph"/>
              <w:ind w:left="-105"/>
              <w:rPr>
                <w:lang w:val="en-US"/>
              </w:rPr>
            </w:pPr>
          </w:p>
        </w:tc>
      </w:tr>
      <w:tr w:rsidRPr="009B70E7" w:rsidR="00DA608B" w:rsidTr="00B9776A" w14:paraId="0AB50045" w14:textId="77777777">
        <w:trPr>
          <w:trHeight w:val="636"/>
        </w:trPr>
        <w:tc>
          <w:tcPr>
            <w:tcW w:w="1701" w:type="dxa"/>
          </w:tcPr>
          <w:p w:rsidRPr="00765C4F" w:rsidR="00DA608B" w:rsidP="009120CD" w:rsidRDefault="00DA608B" w14:paraId="6F51EE90" w14:textId="77777777">
            <w:pPr>
              <w:pStyle w:val="ListParagraph"/>
              <w:ind w:left="0"/>
              <w:rPr>
                <w:b/>
              </w:rPr>
            </w:pPr>
            <w:r>
              <w:rPr>
                <w:b/>
              </w:rPr>
              <w:t xml:space="preserve">Referentie: </w:t>
            </w:r>
          </w:p>
        </w:tc>
        <w:tc>
          <w:tcPr>
            <w:tcW w:w="6521" w:type="dxa"/>
          </w:tcPr>
          <w:p w:rsidRPr="00765C4F" w:rsidR="00DA608B" w:rsidP="009120CD" w:rsidRDefault="00B9776A" w14:paraId="3539F204" w14:textId="47C6CDFF">
            <w:pPr>
              <w:pStyle w:val="ListParagraph"/>
              <w:ind w:left="-108"/>
            </w:pPr>
            <w:r>
              <w:t>Verkennend advies op verzoek van het Tsjechische voorzitterschap van de Raad</w:t>
            </w:r>
          </w:p>
          <w:p w:rsidRPr="00765C4F" w:rsidR="00DA608B" w:rsidP="009120CD" w:rsidRDefault="00DA2D88" w14:paraId="0B0645EB" w14:textId="0C3EBB6A">
            <w:pPr>
              <w:pStyle w:val="ListParagraph"/>
              <w:ind w:left="-108"/>
            </w:pPr>
            <w:r>
              <w:t>EESC-2022-00946-00-00-AC</w:t>
            </w:r>
          </w:p>
        </w:tc>
      </w:tr>
    </w:tbl>
    <w:p w:rsidRPr="009B70E7" w:rsidR="00DA608B" w:rsidP="009120CD" w:rsidRDefault="00DA608B" w14:paraId="5CD81DDF" w14:textId="77777777">
      <w:pPr>
        <w:pStyle w:val="ListParagraph"/>
        <w:ind w:left="0"/>
        <w:rPr>
          <w:b/>
        </w:rPr>
      </w:pPr>
    </w:p>
    <w:p w:rsidR="00C76C46" w:rsidP="009120CD" w:rsidRDefault="00DA608B" w14:paraId="69FEE6CD" w14:textId="11565318">
      <w:pPr>
        <w:pStyle w:val="ListParagraph"/>
        <w:ind w:left="0" w:firstLine="142"/>
        <w:rPr>
          <w:b/>
        </w:rPr>
      </w:pPr>
      <w:r>
        <w:rPr>
          <w:b/>
        </w:rPr>
        <w:t>Hoofdpunten</w:t>
      </w:r>
    </w:p>
    <w:p w:rsidR="00C76C46" w:rsidP="009120CD" w:rsidRDefault="00C76C46" w14:paraId="72E92ACD" w14:textId="77777777">
      <w:pPr>
        <w:pStyle w:val="ListParagraph"/>
        <w:ind w:left="0"/>
        <w:rPr>
          <w:b/>
        </w:rPr>
      </w:pPr>
    </w:p>
    <w:p w:rsidRPr="0070677E" w:rsidR="00813A00" w:rsidP="009120CD" w:rsidRDefault="001B6460" w14:paraId="761BDCA0" w14:textId="77777777">
      <w:pPr>
        <w:pStyle w:val="ListParagraph"/>
        <w:ind w:left="0" w:firstLine="142"/>
        <w:rPr>
          <w:bCs/>
        </w:rPr>
      </w:pPr>
      <w:r>
        <w:t>Het EESC:</w:t>
      </w:r>
    </w:p>
    <w:p w:rsidR="00276CC9" w:rsidP="009120CD" w:rsidRDefault="00276CC9" w14:paraId="25EBE488" w14:textId="77777777">
      <w:pPr>
        <w:pStyle w:val="ListParagraph"/>
        <w:ind w:left="0"/>
      </w:pPr>
    </w:p>
    <w:p w:rsidR="00813A00" w:rsidP="009120CD" w:rsidRDefault="003C0E5B" w14:paraId="65AAF95D" w14:textId="23908928">
      <w:pPr>
        <w:pStyle w:val="ListParagraph"/>
        <w:numPr>
          <w:ilvl w:val="0"/>
          <w:numId w:val="3"/>
        </w:numPr>
        <w:ind w:left="357" w:hanging="357"/>
      </w:pPr>
      <w:r>
        <w:t xml:space="preserve">is van oordeel dat het </w:t>
      </w:r>
      <w:r>
        <w:rPr>
          <w:b/>
          <w:bCs/>
        </w:rPr>
        <w:t xml:space="preserve">waarborgen van gelijke toegang tot energie en van een continue energievoorziening tegen betaalbare prijzen </w:t>
      </w:r>
      <w:r>
        <w:t>voor de Europese Unie (EU) en haar lidstaten een absolute prioriteit moet zijn. Er moeten dringend maatregelen worden genomen om energiearmoede waarmee EU-burgers en -consumenten worden geconfronteerd, te voorkomen en aan te pakken;</w:t>
      </w:r>
    </w:p>
    <w:p w:rsidR="00C76C46" w:rsidP="009120CD" w:rsidRDefault="003C0E5B" w14:paraId="6B2D5B52" w14:textId="1B6A05A3">
      <w:pPr>
        <w:pStyle w:val="ListParagraph"/>
        <w:numPr>
          <w:ilvl w:val="0"/>
          <w:numId w:val="3"/>
        </w:numPr>
        <w:ind w:left="357" w:hanging="357"/>
      </w:pPr>
      <w:r>
        <w:t xml:space="preserve">erkent het belang dat in EU-initiatieven, waaronder wetgeving en beleid, wordt gehecht aan energiearmoede. De veerkracht van de EU zal echter alleen worden afgemeten aan de manier waarop de EU en de lidstaten de </w:t>
      </w:r>
      <w:r>
        <w:rPr>
          <w:b/>
          <w:bCs/>
        </w:rPr>
        <w:t xml:space="preserve">kritieke sociale, ecologische en economische uitdagingen </w:t>
      </w:r>
      <w:r>
        <w:t>aanpakken waarmee haar burgers en bedrijven worden geconfronteerd;</w:t>
      </w:r>
    </w:p>
    <w:p w:rsidR="00C76C46" w:rsidP="009120CD" w:rsidRDefault="003C0E5B" w14:paraId="46154044" w14:textId="7DD9E7C5">
      <w:pPr>
        <w:pStyle w:val="ListParagraph"/>
        <w:numPr>
          <w:ilvl w:val="0"/>
          <w:numId w:val="3"/>
        </w:numPr>
        <w:ind w:left="357" w:hanging="357"/>
      </w:pPr>
      <w:r>
        <w:t xml:space="preserve">pleit, ter bestrijding van de huidige energiearmoedecrisis, voor de oprichting van een </w:t>
      </w:r>
      <w:r>
        <w:rPr>
          <w:b/>
          <w:bCs/>
        </w:rPr>
        <w:t>brede en ambitieuze politieke coalitie</w:t>
      </w:r>
      <w:r>
        <w:t xml:space="preserve"> om energiearmoede op holistische wijze te analyseren en aan te pakken, met als doel deze vorm van armoede tegen 2030 tot een minimum te herleiden en op lange termijn helemaal uit te bannen. De acties van deze alliantie moeten verder worden ontwikkeld in een </w:t>
      </w:r>
      <w:r>
        <w:rPr>
          <w:b/>
          <w:bCs/>
        </w:rPr>
        <w:t>EU-strategie ter bestrijding van energiearmoede</w:t>
      </w:r>
      <w:r>
        <w:t>;</w:t>
      </w:r>
    </w:p>
    <w:p w:rsidR="00C76C46" w:rsidP="009120CD" w:rsidRDefault="003C0E5B" w14:paraId="384F44B3" w14:textId="51A79B00">
      <w:pPr>
        <w:pStyle w:val="ListParagraph"/>
        <w:numPr>
          <w:ilvl w:val="0"/>
          <w:numId w:val="3"/>
        </w:numPr>
        <w:ind w:left="357" w:hanging="357"/>
      </w:pPr>
      <w:r>
        <w:t xml:space="preserve">verzoekt de Commissie de lidstaten aan te moedigen </w:t>
      </w:r>
      <w:r>
        <w:rPr>
          <w:b/>
          <w:bCs/>
        </w:rPr>
        <w:t>nationale plannen of beleidsmaatregelen voor de uitbanning van energiearmoede</w:t>
      </w:r>
      <w:r>
        <w:t xml:space="preserve"> te ontwikkelen, en daarbij alle beleids- en financieringsinstrumenten op EU- en nationaal op een omvattende en samenhangende wijze te benaderen;</w:t>
      </w:r>
    </w:p>
    <w:p w:rsidR="00C76C46" w:rsidP="009120CD" w:rsidRDefault="003C0E5B" w14:paraId="540B5241" w14:textId="20917A11">
      <w:pPr>
        <w:pStyle w:val="ListParagraph"/>
        <w:numPr>
          <w:ilvl w:val="0"/>
          <w:numId w:val="3"/>
        </w:numPr>
        <w:ind w:left="357" w:hanging="357"/>
      </w:pPr>
      <w:r>
        <w:t xml:space="preserve">dringt er bij de EU op aan een </w:t>
      </w:r>
      <w:r>
        <w:rPr>
          <w:b/>
          <w:bCs/>
        </w:rPr>
        <w:t>gezamenlijke aanpak van energiearmoede te bevorderen</w:t>
      </w:r>
      <w:r>
        <w:t xml:space="preserve"> die een concreet en gemeenschappelijk begrip van energiearmoede oplevert en het mogelijk maakt om statistische gegevens te verzamelen, rekening houdend met de verschillen tussen en de bijzonderheden van de lidstaten;</w:t>
      </w:r>
    </w:p>
    <w:p w:rsidR="001B6460" w:rsidP="009120CD" w:rsidRDefault="003C0E5B" w14:paraId="515F6F8A" w14:textId="082A317F">
      <w:pPr>
        <w:pStyle w:val="ListParagraph"/>
        <w:numPr>
          <w:ilvl w:val="0"/>
          <w:numId w:val="3"/>
        </w:numPr>
        <w:ind w:left="357" w:hanging="357"/>
      </w:pPr>
      <w:r>
        <w:t>verzoekt de Commissie en de lidstaten zich te blijven richten op het</w:t>
      </w:r>
      <w:r>
        <w:rPr>
          <w:b/>
          <w:bCs/>
        </w:rPr>
        <w:t xml:space="preserve"> terugdringen van armoede in het algemeen</w:t>
      </w:r>
      <w:r>
        <w:t>. Deze crisis herinnert ons eraan dat de toegang tot werkgelegenheid, sociale inclusie en een fatsoenlijke levensstandaard voortdurend moeten worden verbeterd, en dat de economische groei in de lidstaten voortdurend moet worden ondersteund.</w:t>
      </w:r>
    </w:p>
    <w:p w:rsidRPr="009B70E7" w:rsidR="00DA2D88" w:rsidP="009120CD" w:rsidRDefault="00DA2D88" w14:paraId="1FD3A8FD" w14:textId="74C9FC15">
      <w:pPr>
        <w:pStyle w:val="ListParagraph"/>
        <w:ind w:left="35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B9776A" w:rsidTr="004E4367" w14:paraId="6D2BB312" w14:textId="77777777">
        <w:tc>
          <w:tcPr>
            <w:tcW w:w="1418" w:type="dxa"/>
          </w:tcPr>
          <w:p w:rsidRPr="009B70E7" w:rsidR="00B9776A" w:rsidP="009120CD" w:rsidRDefault="00B9776A" w14:paraId="40C0D5DD" w14:textId="77777777">
            <w:pPr>
              <w:pStyle w:val="ListParagraph"/>
              <w:ind w:left="0"/>
              <w:rPr>
                <w:i/>
              </w:rPr>
            </w:pPr>
            <w:r>
              <w:rPr>
                <w:b/>
                <w:i/>
              </w:rPr>
              <w:t>Contactpersoon</w:t>
            </w:r>
          </w:p>
        </w:tc>
        <w:tc>
          <w:tcPr>
            <w:tcW w:w="5670" w:type="dxa"/>
          </w:tcPr>
          <w:p w:rsidRPr="009B70E7" w:rsidR="00B9776A" w:rsidP="009120CD" w:rsidRDefault="00B9776A" w14:paraId="40D958AD" w14:textId="77777777">
            <w:pPr>
              <w:pStyle w:val="ListParagraph"/>
              <w:ind w:left="0"/>
              <w:rPr>
                <w:i/>
              </w:rPr>
            </w:pPr>
            <w:r>
              <w:rPr>
                <w:i/>
              </w:rPr>
              <w:t>Margherita Logrillo</w:t>
            </w:r>
          </w:p>
        </w:tc>
      </w:tr>
      <w:tr w:rsidRPr="009B70E7" w:rsidR="00B9776A" w:rsidTr="004E4367" w14:paraId="10DFC57C" w14:textId="77777777">
        <w:tc>
          <w:tcPr>
            <w:tcW w:w="1418" w:type="dxa"/>
          </w:tcPr>
          <w:p w:rsidRPr="009B70E7" w:rsidR="00B9776A" w:rsidP="009120CD" w:rsidRDefault="00B9776A" w14:paraId="4081ABA8" w14:textId="77777777">
            <w:pPr>
              <w:pStyle w:val="ListParagraph"/>
              <w:ind w:left="601"/>
              <w:rPr>
                <w:i/>
              </w:rPr>
            </w:pPr>
            <w:r>
              <w:rPr>
                <w:i/>
              </w:rPr>
              <w:t>Tel.</w:t>
            </w:r>
          </w:p>
        </w:tc>
        <w:tc>
          <w:tcPr>
            <w:tcW w:w="5670" w:type="dxa"/>
          </w:tcPr>
          <w:p w:rsidRPr="009B70E7" w:rsidR="00B9776A" w:rsidP="009120CD" w:rsidRDefault="00B9776A" w14:paraId="49A31815" w14:textId="77777777">
            <w:pPr>
              <w:pStyle w:val="ListParagraph"/>
              <w:ind w:left="0"/>
              <w:rPr>
                <w:i/>
              </w:rPr>
            </w:pPr>
            <w:r>
              <w:rPr>
                <w:i/>
              </w:rPr>
              <w:t>00 32 2 546 90 99</w:t>
            </w:r>
          </w:p>
        </w:tc>
      </w:tr>
      <w:tr w:rsidRPr="001D770D" w:rsidR="00B9776A" w:rsidTr="004E4367" w14:paraId="328826DD" w14:textId="77777777">
        <w:tc>
          <w:tcPr>
            <w:tcW w:w="1418" w:type="dxa"/>
          </w:tcPr>
          <w:p w:rsidRPr="009B70E7" w:rsidR="00B9776A" w:rsidP="009120CD" w:rsidRDefault="00B9776A" w14:paraId="73A7D014" w14:textId="77777777">
            <w:pPr>
              <w:pStyle w:val="ListParagraph"/>
              <w:ind w:left="601"/>
              <w:rPr>
                <w:i/>
              </w:rPr>
            </w:pPr>
            <w:r>
              <w:rPr>
                <w:i/>
              </w:rPr>
              <w:t>E-mail</w:t>
            </w:r>
          </w:p>
        </w:tc>
        <w:tc>
          <w:tcPr>
            <w:tcW w:w="5670" w:type="dxa"/>
          </w:tcPr>
          <w:p w:rsidRPr="001D770D" w:rsidR="00B9776A" w:rsidP="009120CD" w:rsidRDefault="00C56F85" w14:paraId="07E68BA6" w14:textId="77777777">
            <w:pPr>
              <w:pStyle w:val="ListParagraph"/>
              <w:ind w:left="0"/>
              <w:rPr>
                <w:i/>
              </w:rPr>
            </w:pPr>
            <w:hyperlink w:history="1" r:id="rId26">
              <w:r w:rsidR="0064748D">
                <w:rPr>
                  <w:rStyle w:val="Hyperlink"/>
                  <w:i/>
                </w:rPr>
                <w:t>Margherita.Logrillo@eesc.europa.eu</w:t>
              </w:r>
            </w:hyperlink>
          </w:p>
        </w:tc>
      </w:tr>
    </w:tbl>
    <w:p w:rsidRPr="00276CC9" w:rsidR="00276CC9" w:rsidP="009120CD" w:rsidRDefault="00276CC9" w14:paraId="187F194C" w14:textId="77777777">
      <w:pPr>
        <w:jc w:val="left"/>
        <w:rPr>
          <w:sz w:val="28"/>
        </w:rPr>
      </w:pPr>
    </w:p>
    <w:p w:rsidRPr="009B70E7" w:rsidR="00775FDA" w:rsidP="009120CD" w:rsidRDefault="003C0E5B" w14:paraId="6004B7F1" w14:textId="35412126">
      <w:pPr>
        <w:pStyle w:val="ListParagraph"/>
        <w:keepNext/>
        <w:numPr>
          <w:ilvl w:val="0"/>
          <w:numId w:val="2"/>
        </w:numPr>
        <w:ind w:left="567" w:hanging="567"/>
        <w:rPr>
          <w:b/>
          <w:i/>
          <w:sz w:val="28"/>
          <w:szCs w:val="28"/>
        </w:rPr>
      </w:pPr>
      <w:r>
        <w:rPr>
          <w:b/>
          <w:i/>
          <w:sz w:val="28"/>
        </w:rPr>
        <w:lastRenderedPageBreak/>
        <w:t>Gezondheidswerkers en zorgstrategie voor de toekomst van Europa</w:t>
      </w:r>
    </w:p>
    <w:p w:rsidRPr="009B70E7" w:rsidR="00775FDA" w:rsidP="009120CD" w:rsidRDefault="00775FDA" w14:paraId="301189D8"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tblGrid>
      <w:tr w:rsidRPr="009B70E7" w:rsidR="00B44BB9" w:rsidTr="00E119DF" w14:paraId="5CC040D5" w14:textId="77777777">
        <w:trPr>
          <w:cantSplit/>
          <w:trHeight w:val="284" w:hRule="exact"/>
        </w:trPr>
        <w:tc>
          <w:tcPr>
            <w:tcW w:w="1701" w:type="dxa"/>
          </w:tcPr>
          <w:p w:rsidR="00B44BB9" w:rsidP="009120CD" w:rsidRDefault="00B44BB9" w14:paraId="2BE1EF86" w14:textId="77777777">
            <w:pPr>
              <w:pStyle w:val="ListParagraph"/>
              <w:ind w:left="0"/>
              <w:rPr>
                <w:b/>
              </w:rPr>
            </w:pPr>
            <w:r>
              <w:rPr>
                <w:b/>
              </w:rPr>
              <w:t>Rapporteur:</w:t>
            </w:r>
          </w:p>
          <w:p w:rsidRPr="009B70E7" w:rsidR="00B44BB9" w:rsidP="009120CD" w:rsidRDefault="00B44BB9" w14:paraId="15AEA92C" w14:textId="77777777">
            <w:pPr>
              <w:pStyle w:val="ListParagraph"/>
              <w:keepNext/>
              <w:ind w:left="0"/>
              <w:rPr>
                <w:b/>
              </w:rPr>
            </w:pPr>
          </w:p>
        </w:tc>
        <w:tc>
          <w:tcPr>
            <w:tcW w:w="6096" w:type="dxa"/>
          </w:tcPr>
          <w:p w:rsidRPr="009B70E7" w:rsidR="00B44BB9" w:rsidP="009120CD" w:rsidRDefault="003C0E5B" w14:paraId="689CA704" w14:textId="1093F9D8">
            <w:pPr>
              <w:pStyle w:val="ListParagraph"/>
              <w:ind w:left="-52"/>
            </w:pPr>
            <w:r>
              <w:t>Danko RELIĆ (groep Maatschappelijke Organisaties – HR)</w:t>
            </w:r>
          </w:p>
        </w:tc>
      </w:tr>
      <w:tr w:rsidRPr="009B70E7" w:rsidR="00C90660" w:rsidTr="00E119DF" w14:paraId="6A35FA8D" w14:textId="77777777">
        <w:trPr>
          <w:cantSplit/>
          <w:trHeight w:val="284" w:hRule="exact"/>
        </w:trPr>
        <w:tc>
          <w:tcPr>
            <w:tcW w:w="1701" w:type="dxa"/>
          </w:tcPr>
          <w:p w:rsidR="00C90660" w:rsidP="00C90660" w:rsidRDefault="00C90660" w14:paraId="096C4F3F" w14:textId="77777777">
            <w:pPr>
              <w:pStyle w:val="ListParagraph"/>
              <w:ind w:left="0"/>
              <w:rPr>
                <w:b/>
              </w:rPr>
            </w:pPr>
            <w:r>
              <w:rPr>
                <w:b/>
              </w:rPr>
              <w:t>Rapporteur:</w:t>
            </w:r>
          </w:p>
          <w:p w:rsidRPr="009B70E7" w:rsidR="00C90660" w:rsidP="009120CD" w:rsidRDefault="00C90660" w14:paraId="0D562112" w14:textId="77777777">
            <w:pPr>
              <w:pStyle w:val="ListParagraph"/>
              <w:ind w:left="0"/>
              <w:rPr>
                <w:b/>
              </w:rPr>
            </w:pPr>
          </w:p>
        </w:tc>
        <w:tc>
          <w:tcPr>
            <w:tcW w:w="6096" w:type="dxa"/>
          </w:tcPr>
          <w:p w:rsidRPr="003C0E5B" w:rsidR="00C90660" w:rsidP="009120CD" w:rsidRDefault="00C90660" w14:paraId="3C3F79F2" w14:textId="301BE9C3">
            <w:pPr>
              <w:pStyle w:val="ListParagraph"/>
              <w:ind w:left="-52"/>
            </w:pPr>
            <w:r>
              <w:t>Zoe TZOTZE-LANARA (groep Werknemers – EL)</w:t>
            </w:r>
          </w:p>
        </w:tc>
      </w:tr>
      <w:tr w:rsidRPr="009B70E7" w:rsidR="00E00915" w:rsidTr="00E119DF" w14:paraId="56507D22" w14:textId="77777777">
        <w:trPr>
          <w:cantSplit/>
          <w:trHeight w:val="284" w:hRule="exact"/>
        </w:trPr>
        <w:tc>
          <w:tcPr>
            <w:tcW w:w="1701" w:type="dxa"/>
          </w:tcPr>
          <w:p w:rsidRPr="009B70E7" w:rsidR="00E00915" w:rsidP="00C90660" w:rsidRDefault="00E00915" w14:paraId="196179EE" w14:textId="77777777">
            <w:pPr>
              <w:pStyle w:val="ListParagraph"/>
              <w:ind w:left="0"/>
              <w:rPr>
                <w:b/>
              </w:rPr>
            </w:pPr>
          </w:p>
        </w:tc>
        <w:tc>
          <w:tcPr>
            <w:tcW w:w="6096" w:type="dxa"/>
          </w:tcPr>
          <w:p w:rsidRPr="003C0E5B" w:rsidR="00E00915" w:rsidP="009120CD" w:rsidRDefault="00E00915" w14:paraId="4B8F5F86" w14:textId="77777777">
            <w:pPr>
              <w:pStyle w:val="ListParagraph"/>
              <w:ind w:left="-52"/>
            </w:pPr>
          </w:p>
        </w:tc>
      </w:tr>
      <w:tr w:rsidRPr="009B70E7" w:rsidR="00C90660" w:rsidTr="00E119DF" w14:paraId="4E58A2E6" w14:textId="77777777">
        <w:trPr>
          <w:cantSplit/>
          <w:trHeight w:val="284" w:hRule="exact"/>
        </w:trPr>
        <w:tc>
          <w:tcPr>
            <w:tcW w:w="1701" w:type="dxa"/>
          </w:tcPr>
          <w:p w:rsidRPr="009B70E7" w:rsidR="00C90660" w:rsidP="009120CD" w:rsidRDefault="00C90660" w14:paraId="7FAC2FDF" w14:textId="38BF887C">
            <w:pPr>
              <w:pStyle w:val="ListParagraph"/>
              <w:ind w:left="0"/>
              <w:rPr>
                <w:b/>
              </w:rPr>
            </w:pPr>
            <w:r>
              <w:rPr>
                <w:b/>
              </w:rPr>
              <w:t>Referentie:</w:t>
            </w:r>
          </w:p>
        </w:tc>
        <w:tc>
          <w:tcPr>
            <w:tcW w:w="6096" w:type="dxa"/>
          </w:tcPr>
          <w:p w:rsidRPr="00E119DF" w:rsidR="00C90660" w:rsidP="00C90660" w:rsidRDefault="00C90660" w14:paraId="03789EBC" w14:textId="77777777">
            <w:pPr>
              <w:pStyle w:val="ListParagraph"/>
              <w:ind w:left="-52"/>
            </w:pPr>
            <w:r>
              <w:t>Initiatiefadvies</w:t>
            </w:r>
          </w:p>
          <w:p w:rsidRPr="003C0E5B" w:rsidR="00C90660" w:rsidP="00C90660" w:rsidRDefault="00C90660" w14:paraId="0BB58915" w14:textId="456E360A">
            <w:pPr>
              <w:pStyle w:val="ListParagraph"/>
              <w:ind w:left="-52"/>
            </w:pPr>
            <w:r>
              <w:t>EESC-2022-01513-00-00-AC</w:t>
            </w:r>
          </w:p>
        </w:tc>
      </w:tr>
    </w:tbl>
    <w:p w:rsidR="00631509" w:rsidP="009120CD" w:rsidRDefault="00631509" w14:paraId="5534BE55" w14:textId="77777777">
      <w:pPr>
        <w:pStyle w:val="ListParagraph"/>
        <w:ind w:left="-142" w:firstLine="284"/>
        <w:rPr>
          <w:b/>
        </w:rPr>
      </w:pPr>
    </w:p>
    <w:p w:rsidRPr="0070677E" w:rsidR="00775FDA" w:rsidP="009120CD" w:rsidRDefault="00C76C46" w14:paraId="63769A52" w14:textId="3A0DA8C9">
      <w:pPr>
        <w:pStyle w:val="ListParagraph"/>
        <w:ind w:left="0" w:firstLine="142"/>
        <w:rPr>
          <w:b/>
        </w:rPr>
      </w:pPr>
      <w:r>
        <w:rPr>
          <w:b/>
        </w:rPr>
        <w:t>Hoofdpunten</w:t>
      </w:r>
    </w:p>
    <w:p w:rsidRPr="009B70E7" w:rsidR="005475DA" w:rsidP="009120CD" w:rsidRDefault="005475DA" w14:paraId="580B14A7" w14:textId="77777777">
      <w:pPr>
        <w:pStyle w:val="ListParagraph"/>
        <w:ind w:left="0"/>
      </w:pPr>
    </w:p>
    <w:p w:rsidRPr="0070677E" w:rsidR="00775FDA" w:rsidP="009120CD" w:rsidRDefault="008946BF" w14:paraId="3C2434D8" w14:textId="77777777">
      <w:pPr>
        <w:pStyle w:val="ListParagraph"/>
        <w:ind w:left="0" w:firstLine="142"/>
        <w:rPr>
          <w:bCs/>
        </w:rPr>
      </w:pPr>
      <w:r>
        <w:t>Het EESC:</w:t>
      </w:r>
    </w:p>
    <w:p w:rsidRPr="009B70E7" w:rsidR="00775FDA" w:rsidP="009120CD" w:rsidRDefault="00775FDA" w14:paraId="540C04B4" w14:textId="77777777">
      <w:pPr>
        <w:pStyle w:val="ListParagraph"/>
        <w:ind w:left="0"/>
      </w:pPr>
    </w:p>
    <w:p w:rsidRPr="009B70E7" w:rsidR="00775FDA" w:rsidP="009120CD" w:rsidRDefault="005B5038" w14:paraId="3D89CE58" w14:textId="2EEF24E5">
      <w:pPr>
        <w:pStyle w:val="ListParagraph"/>
        <w:numPr>
          <w:ilvl w:val="0"/>
          <w:numId w:val="3"/>
        </w:numPr>
        <w:ind w:left="357" w:hanging="357"/>
      </w:pPr>
      <w:r>
        <w:t>dringt aan op een transformatieve benadering van de zorg, waarbij de mens, zijn rechten en zijn behoeften centraal staan en mensen ook betrokken worden bij discussies, raadplegingen en besluiten ter zake;</w:t>
      </w:r>
    </w:p>
    <w:p w:rsidR="00B92B86" w:rsidP="009120CD" w:rsidRDefault="005B5038" w14:paraId="6ABDD16B" w14:textId="6C5FD34E">
      <w:pPr>
        <w:pStyle w:val="ListParagraph"/>
        <w:numPr>
          <w:ilvl w:val="0"/>
          <w:numId w:val="3"/>
        </w:numPr>
        <w:ind w:left="357" w:hanging="357"/>
      </w:pPr>
      <w:r>
        <w:t>verzoekt de Commissie met klem een ambitieuze zorgstrategie uit te werken die kan bijdragen tot cohesie en opwaartse convergentie op het vlak van gezondheidszorg en langdurige zorg tussen en binnen de lidstaten;</w:t>
      </w:r>
    </w:p>
    <w:p w:rsidR="00B61819" w:rsidP="009120CD" w:rsidRDefault="005B5038" w14:paraId="0F17F2B4" w14:textId="38CC9ECD">
      <w:pPr>
        <w:pStyle w:val="ListParagraph"/>
        <w:numPr>
          <w:ilvl w:val="0"/>
          <w:numId w:val="3"/>
        </w:numPr>
        <w:ind w:left="357" w:hanging="357"/>
      </w:pPr>
      <w:r>
        <w:t>stelt voor een Europese zorggarantie in het leven te roepen om te waarborgen dat iedereen die in de EU woont een leven lang toegang heeft tot betaalbare en hoogwaardige gezondheidszorg en zorgdiensten. Dit instrument zou ook moeten helpen om tekorten in de zorg aan te pakken en fatsoenlijke arbeidsomstandigheden voor zorgverleners, met inbegrip van mantelzorgers, te bevorderen;</w:t>
      </w:r>
    </w:p>
    <w:p w:rsidR="00B61819" w:rsidP="009120CD" w:rsidRDefault="00756F3D" w14:paraId="24C6AE65" w14:textId="09FE615E">
      <w:pPr>
        <w:pStyle w:val="ListParagraph"/>
        <w:numPr>
          <w:ilvl w:val="0"/>
          <w:numId w:val="3"/>
        </w:numPr>
        <w:ind w:left="357" w:hanging="357"/>
      </w:pPr>
      <w:r>
        <w:t>verzoekt de Europese Unie om complementariteit en evenwicht tussen publieke en particuliere aanbieders van zorgdiensten op basis van solidariteit te waarborgen en om investeringen in de sociale economie aan te moedigen en te ondersteunen, want efficiënte, verantwoordingsplichtige en goed gefinancierde openbare diensten blijven cruciaal om gelijke toegang tot kwaliteitszorg te garanderen;</w:t>
      </w:r>
    </w:p>
    <w:p w:rsidR="00B61819" w:rsidP="009120CD" w:rsidRDefault="005B5038" w14:paraId="751D2BB6" w14:textId="5DB13D4E">
      <w:pPr>
        <w:pStyle w:val="ListParagraph"/>
        <w:numPr>
          <w:ilvl w:val="0"/>
          <w:numId w:val="3"/>
        </w:numPr>
        <w:ind w:left="357" w:hanging="357"/>
      </w:pPr>
      <w:r>
        <w:t>stelt voor om het actieplan voor gezondheidswerkers en zorgpersoneel in de Europese Unie te actualiseren</w:t>
      </w:r>
      <w:r w:rsidRPr="005B5038">
        <w:rPr>
          <w:vertAlign w:val="superscript"/>
          <w:lang w:val="en-US"/>
        </w:rPr>
        <w:footnoteReference w:id="1"/>
      </w:r>
      <w:r>
        <w:t>, waarbij ook voor geïntegreerde planning en prognosemodellen betreffende het gezondheidspersoneel moet worden gezorgd en de vaardigheden van gezondheidswerkers en werknemers in de langdurige zorg moeten worden aangepast aan de kansen die de digitalisering biedt;</w:t>
      </w:r>
    </w:p>
    <w:p w:rsidRPr="00AB5E6A" w:rsidR="00C92102" w:rsidP="009120CD" w:rsidRDefault="005B5038" w14:paraId="7B22C8D8" w14:textId="0349AF4A">
      <w:pPr>
        <w:pStyle w:val="ListParagraph"/>
        <w:numPr>
          <w:ilvl w:val="0"/>
          <w:numId w:val="3"/>
        </w:numPr>
        <w:ind w:left="357" w:hanging="357"/>
      </w:pPr>
      <w:r>
        <w:t>pleit voor de oprichting van een Europese dienst voor monitoring van het zorgpersoneel om de lidstaten te helpen bij het opzetten en onderhouden van planningsstructuren en het coördineren van grensoverschrijdende planningsaspecten. Dit zou gekoppeld moeten worden aan het recht op vrij verkeer voor gezondheidswerkers;</w:t>
      </w:r>
    </w:p>
    <w:p w:rsidRPr="009B70E7" w:rsidR="00AB5E6A" w:rsidP="009120CD" w:rsidRDefault="00AB5E6A" w14:paraId="3CD64D40" w14:textId="2DDDD6CE">
      <w:pPr>
        <w:pStyle w:val="ListParagraph"/>
        <w:numPr>
          <w:ilvl w:val="0"/>
          <w:numId w:val="3"/>
        </w:numPr>
        <w:ind w:left="357" w:hanging="357"/>
      </w:pPr>
      <w:r>
        <w:t>is van mening dat de sociale dialoog tussen regeringen, werkgevers en werknemers en hun vertegenwoordigende organisaties van cruciaal belang is voor een transformatieve zorgstrategie en veerkrachtige gezondheidsstelsels in de EU.</w:t>
      </w:r>
    </w:p>
    <w:p w:rsidRPr="009B70E7" w:rsidR="00775FDA" w:rsidP="009120CD" w:rsidRDefault="00775FDA" w14:paraId="007FFDA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B44BB9" w:rsidTr="008B66DD" w14:paraId="502899FB" w14:textId="77777777">
        <w:tc>
          <w:tcPr>
            <w:tcW w:w="1418" w:type="dxa"/>
          </w:tcPr>
          <w:p w:rsidRPr="009B70E7" w:rsidR="00B44BB9" w:rsidP="009120CD" w:rsidRDefault="00B44BB9" w14:paraId="4933D5C0" w14:textId="77777777">
            <w:pPr>
              <w:pStyle w:val="ListParagraph"/>
              <w:ind w:left="0"/>
              <w:rPr>
                <w:i/>
              </w:rPr>
            </w:pPr>
            <w:bookmarkStart w:name="_Hlk111620179" w:id="10"/>
            <w:r>
              <w:rPr>
                <w:b/>
                <w:i/>
              </w:rPr>
              <w:t>Contactpersoon</w:t>
            </w:r>
          </w:p>
        </w:tc>
        <w:tc>
          <w:tcPr>
            <w:tcW w:w="5670" w:type="dxa"/>
          </w:tcPr>
          <w:p w:rsidRPr="009B70E7" w:rsidR="00B44BB9" w:rsidP="009120CD" w:rsidRDefault="003C0E5B" w14:paraId="649C02E9" w14:textId="1325E147">
            <w:pPr>
              <w:pStyle w:val="ListParagraph"/>
              <w:ind w:left="0"/>
              <w:rPr>
                <w:i/>
              </w:rPr>
            </w:pPr>
            <w:r>
              <w:rPr>
                <w:i/>
              </w:rPr>
              <w:t>Valeria Atzori</w:t>
            </w:r>
          </w:p>
        </w:tc>
      </w:tr>
      <w:tr w:rsidRPr="009B70E7" w:rsidR="00B44BB9" w:rsidTr="008B66DD" w14:paraId="54638E70" w14:textId="77777777">
        <w:tc>
          <w:tcPr>
            <w:tcW w:w="1418" w:type="dxa"/>
          </w:tcPr>
          <w:p w:rsidRPr="009B70E7" w:rsidR="00B44BB9" w:rsidP="009120CD" w:rsidRDefault="00B44BB9" w14:paraId="40A81D42" w14:textId="77777777">
            <w:pPr>
              <w:pStyle w:val="ListParagraph"/>
              <w:ind w:left="601"/>
              <w:rPr>
                <w:i/>
              </w:rPr>
            </w:pPr>
            <w:r>
              <w:rPr>
                <w:i/>
              </w:rPr>
              <w:t>Tel.</w:t>
            </w:r>
          </w:p>
        </w:tc>
        <w:tc>
          <w:tcPr>
            <w:tcW w:w="5670" w:type="dxa"/>
          </w:tcPr>
          <w:p w:rsidRPr="009B70E7" w:rsidR="00B44BB9" w:rsidP="009120CD" w:rsidRDefault="00B44BB9" w14:paraId="0C77361C" w14:textId="19ECE6D4">
            <w:pPr>
              <w:pStyle w:val="ListParagraph"/>
              <w:ind w:left="0"/>
              <w:rPr>
                <w:i/>
              </w:rPr>
            </w:pPr>
            <w:r>
              <w:rPr>
                <w:i/>
              </w:rPr>
              <w:t>00 32 2 546 87 74</w:t>
            </w:r>
          </w:p>
        </w:tc>
      </w:tr>
      <w:tr w:rsidRPr="001D770D" w:rsidR="00B44BB9" w:rsidTr="008B66DD" w14:paraId="5FB79B0A" w14:textId="77777777">
        <w:tc>
          <w:tcPr>
            <w:tcW w:w="1418" w:type="dxa"/>
          </w:tcPr>
          <w:p w:rsidRPr="00C90660" w:rsidR="00B44BB9" w:rsidP="009120CD" w:rsidRDefault="00B44BB9" w14:paraId="0A5C365B" w14:textId="77777777">
            <w:pPr>
              <w:pStyle w:val="ListParagraph"/>
              <w:ind w:left="601"/>
              <w:rPr>
                <w:i/>
              </w:rPr>
            </w:pPr>
            <w:r>
              <w:rPr>
                <w:i/>
              </w:rPr>
              <w:t>E-mail</w:t>
            </w:r>
          </w:p>
        </w:tc>
        <w:tc>
          <w:tcPr>
            <w:tcW w:w="5670" w:type="dxa"/>
          </w:tcPr>
          <w:p w:rsidRPr="00C90660" w:rsidR="003C0E5B" w:rsidP="009120CD" w:rsidRDefault="00C56F85" w14:paraId="0E9E0878" w14:textId="39E3A64C">
            <w:pPr>
              <w:pStyle w:val="ListParagraph"/>
              <w:ind w:left="0"/>
              <w:rPr>
                <w:i/>
                <w:color w:val="0000FF"/>
                <w:szCs w:val="20"/>
                <w:u w:val="single"/>
              </w:rPr>
            </w:pPr>
            <w:hyperlink w:history="1" r:id="rId27">
              <w:r w:rsidR="0064748D">
                <w:rPr>
                  <w:rStyle w:val="Hyperlink"/>
                  <w:i/>
                </w:rPr>
                <w:t>Valeria.Atzori@eesc.europa.eu</w:t>
              </w:r>
            </w:hyperlink>
          </w:p>
        </w:tc>
      </w:tr>
      <w:bookmarkEnd w:id="10"/>
    </w:tbl>
    <w:p w:rsidR="00E00915" w:rsidP="009120CD" w:rsidRDefault="00E00915" w14:paraId="7B3D6F59" w14:textId="77777777">
      <w:pPr>
        <w:spacing w:after="160"/>
        <w:jc w:val="left"/>
      </w:pPr>
    </w:p>
    <w:p w:rsidRPr="009B70E7" w:rsidR="00841374" w:rsidP="009120CD" w:rsidRDefault="004B2250" w14:paraId="2D6BD9B3" w14:textId="4DD860F9">
      <w:pPr>
        <w:pStyle w:val="ListParagraph"/>
        <w:numPr>
          <w:ilvl w:val="0"/>
          <w:numId w:val="4"/>
        </w:numPr>
        <w:overflowPunct w:val="0"/>
        <w:autoSpaceDE w:val="0"/>
        <w:autoSpaceDN w:val="0"/>
        <w:adjustRightInd w:val="0"/>
        <w:ind w:left="567" w:hanging="567"/>
        <w:textAlignment w:val="baseline"/>
        <w:rPr>
          <w:b/>
          <w:i/>
          <w:sz w:val="28"/>
          <w:szCs w:val="28"/>
        </w:rPr>
      </w:pPr>
      <w:bookmarkStart w:name="_Hlk111623342" w:id="11"/>
      <w:r>
        <w:rPr>
          <w:b/>
          <w:i/>
          <w:sz w:val="28"/>
        </w:rPr>
        <w:lastRenderedPageBreak/>
        <w:t>De EU-jeugdtest</w:t>
      </w:r>
    </w:p>
    <w:p w:rsidRPr="009B70E7" w:rsidR="00841374" w:rsidP="009120CD" w:rsidRDefault="00841374" w14:paraId="1D8B790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7"/>
        <w:gridCol w:w="5573"/>
      </w:tblGrid>
      <w:tr w:rsidRPr="009B70E7" w:rsidR="008946BF" w:rsidTr="00DF349B" w14:paraId="6EA9204F" w14:textId="77777777">
        <w:tc>
          <w:tcPr>
            <w:tcW w:w="1657" w:type="dxa"/>
          </w:tcPr>
          <w:p w:rsidRPr="00E00915" w:rsidR="008946BF" w:rsidP="009120CD" w:rsidRDefault="008946BF" w14:paraId="6D6B9B14" w14:textId="68DD58F1">
            <w:pPr>
              <w:pStyle w:val="ListParagraph"/>
              <w:ind w:left="0"/>
              <w:rPr>
                <w:b/>
              </w:rPr>
            </w:pPr>
            <w:r>
              <w:rPr>
                <w:b/>
              </w:rPr>
              <w:t>Rapporteur:</w:t>
            </w:r>
          </w:p>
        </w:tc>
        <w:tc>
          <w:tcPr>
            <w:tcW w:w="5573" w:type="dxa"/>
          </w:tcPr>
          <w:p w:rsidRPr="009B70E7" w:rsidR="008946BF" w:rsidP="00C90660" w:rsidRDefault="004B2250" w14:paraId="4D16618C" w14:textId="693D43DB">
            <w:pPr>
              <w:pStyle w:val="ListParagraph"/>
              <w:ind w:left="-108" w:right="-195"/>
            </w:pPr>
            <w:r>
              <w:t>Katrĩna LEITĀNE (groep Maatschappelijke Organisaties – LV)</w:t>
            </w:r>
          </w:p>
        </w:tc>
      </w:tr>
      <w:tr w:rsidRPr="009B70E7" w:rsidR="00E00915" w:rsidTr="00DF349B" w14:paraId="7193862C" w14:textId="77777777">
        <w:tc>
          <w:tcPr>
            <w:tcW w:w="1657" w:type="dxa"/>
          </w:tcPr>
          <w:p w:rsidRPr="009B70E7" w:rsidR="00E00915" w:rsidP="009120CD" w:rsidRDefault="00E00915" w14:paraId="642FE579" w14:textId="77777777">
            <w:pPr>
              <w:pStyle w:val="ListParagraph"/>
              <w:ind w:left="0"/>
              <w:rPr>
                <w:b/>
              </w:rPr>
            </w:pPr>
          </w:p>
        </w:tc>
        <w:tc>
          <w:tcPr>
            <w:tcW w:w="5573" w:type="dxa"/>
          </w:tcPr>
          <w:p w:rsidRPr="004B2250" w:rsidR="00E00915" w:rsidP="00C90660" w:rsidRDefault="00E00915" w14:paraId="1C833BA2" w14:textId="77777777">
            <w:pPr>
              <w:pStyle w:val="ListParagraph"/>
              <w:ind w:left="-108" w:right="-195"/>
              <w:rPr>
                <w:bCs/>
              </w:rPr>
            </w:pPr>
          </w:p>
        </w:tc>
      </w:tr>
      <w:tr w:rsidRPr="009B70E7" w:rsidR="00C90660" w:rsidTr="00DF349B" w14:paraId="14B911E4" w14:textId="77777777">
        <w:tc>
          <w:tcPr>
            <w:tcW w:w="1657" w:type="dxa"/>
          </w:tcPr>
          <w:p w:rsidRPr="009B70E7" w:rsidR="00C90660" w:rsidP="009120CD" w:rsidRDefault="00C90660" w14:paraId="07EE90B1" w14:textId="1FA9A6DE">
            <w:pPr>
              <w:pStyle w:val="ListParagraph"/>
              <w:ind w:left="0"/>
              <w:rPr>
                <w:b/>
              </w:rPr>
            </w:pPr>
            <w:r>
              <w:rPr>
                <w:b/>
              </w:rPr>
              <w:t>Referentie:</w:t>
            </w:r>
          </w:p>
        </w:tc>
        <w:tc>
          <w:tcPr>
            <w:tcW w:w="5573" w:type="dxa"/>
          </w:tcPr>
          <w:p w:rsidRPr="009B70E7" w:rsidR="00C90660" w:rsidP="00C90660" w:rsidRDefault="00C90660" w14:paraId="2ECAC1AE" w14:textId="77777777">
            <w:pPr>
              <w:pStyle w:val="ListParagraph"/>
              <w:ind w:left="-56"/>
            </w:pPr>
            <w:r>
              <w:t>Initiatiefadvies</w:t>
            </w:r>
          </w:p>
          <w:p w:rsidRPr="004B2250" w:rsidR="00C90660" w:rsidP="00C90660" w:rsidRDefault="00C90660" w14:paraId="6631849B" w14:textId="3374FCF0">
            <w:pPr>
              <w:pStyle w:val="ListParagraph"/>
              <w:ind w:left="-108" w:right="-195"/>
              <w:rPr>
                <w:bCs/>
              </w:rPr>
            </w:pPr>
            <w:r>
              <w:t>EESC-2022-01524-00-00-AC</w:t>
            </w:r>
          </w:p>
        </w:tc>
      </w:tr>
    </w:tbl>
    <w:p w:rsidRPr="009B70E7" w:rsidR="00841374" w:rsidP="009120CD" w:rsidRDefault="00841374" w14:paraId="1CBC12AE" w14:textId="77777777">
      <w:pPr>
        <w:pStyle w:val="ListParagraph"/>
        <w:ind w:left="0"/>
        <w:rPr>
          <w:b/>
        </w:rPr>
      </w:pPr>
    </w:p>
    <w:p w:rsidRPr="00D85D67" w:rsidR="00841374" w:rsidP="009120CD" w:rsidRDefault="00841374" w14:paraId="76256836" w14:textId="77777777">
      <w:pPr>
        <w:pStyle w:val="ListParagraph"/>
        <w:ind w:left="0" w:firstLine="142"/>
        <w:rPr>
          <w:b/>
        </w:rPr>
      </w:pPr>
      <w:r>
        <w:rPr>
          <w:b/>
        </w:rPr>
        <w:t>Hoofdpunten</w:t>
      </w:r>
    </w:p>
    <w:p w:rsidR="00841374" w:rsidP="009120CD" w:rsidRDefault="00841374" w14:paraId="141BD901" w14:textId="77777777">
      <w:pPr>
        <w:pStyle w:val="ListParagraph"/>
        <w:ind w:left="0"/>
      </w:pPr>
    </w:p>
    <w:p w:rsidRPr="0070677E" w:rsidR="001D770D" w:rsidP="009120CD" w:rsidRDefault="001D770D" w14:paraId="0B60B8BC" w14:textId="77777777">
      <w:pPr>
        <w:pStyle w:val="ListParagraph"/>
        <w:ind w:left="0" w:firstLine="142"/>
        <w:rPr>
          <w:bCs/>
        </w:rPr>
      </w:pPr>
      <w:r>
        <w:t>Het EESC:</w:t>
      </w:r>
    </w:p>
    <w:p w:rsidRPr="009B70E7" w:rsidR="001D770D" w:rsidP="009120CD" w:rsidRDefault="001D770D" w14:paraId="189BAEB6" w14:textId="77777777">
      <w:pPr>
        <w:pStyle w:val="ListParagraph"/>
        <w:ind w:left="0"/>
      </w:pPr>
    </w:p>
    <w:p w:rsidRPr="009B70E7" w:rsidR="00841374" w:rsidP="009120CD" w:rsidRDefault="00AB5E6A" w14:paraId="278A2840" w14:textId="382E32F9">
      <w:pPr>
        <w:pStyle w:val="ListParagraph"/>
        <w:numPr>
          <w:ilvl w:val="0"/>
          <w:numId w:val="3"/>
        </w:numPr>
        <w:ind w:left="357" w:hanging="357"/>
      </w:pPr>
      <w:r>
        <w:t xml:space="preserve">wijst erop dat de </w:t>
      </w:r>
      <w:r>
        <w:rPr>
          <w:b/>
        </w:rPr>
        <w:t>participatie van jongeren moet worden verbeterd</w:t>
      </w:r>
      <w:r>
        <w:t>. Daarbij moet de aandacht met name gaan naar het gebrek aan democratische jongerenvertegenwoordiging en aan een jongerenperspectief buiten de traditionele jeugdbeleidsterreinen;</w:t>
      </w:r>
    </w:p>
    <w:p w:rsidRPr="009B70E7" w:rsidR="00841374" w:rsidP="009120CD" w:rsidRDefault="00AB5E6A" w14:paraId="7A36F890" w14:textId="248FCC4D">
      <w:pPr>
        <w:pStyle w:val="ListParagraph"/>
        <w:numPr>
          <w:ilvl w:val="0"/>
          <w:numId w:val="3"/>
        </w:numPr>
        <w:ind w:left="357" w:hanging="357"/>
      </w:pPr>
      <w:r>
        <w:t xml:space="preserve">beschouwt </w:t>
      </w:r>
      <w:r>
        <w:rPr>
          <w:b/>
        </w:rPr>
        <w:t>onderwijs</w:t>
      </w:r>
      <w:r>
        <w:t xml:space="preserve"> als een van de doeltreffendste manieren om jongeren te bereiken en hen te informeren over de verschillende soorten participatie en de waarden van het Europese project;</w:t>
      </w:r>
    </w:p>
    <w:p w:rsidRPr="009B70E7" w:rsidR="00B51B20" w:rsidP="009120CD" w:rsidRDefault="00AB5E6A" w14:paraId="29EA99EF" w14:textId="5E46C509">
      <w:pPr>
        <w:pStyle w:val="ListParagraph"/>
        <w:numPr>
          <w:ilvl w:val="0"/>
          <w:numId w:val="3"/>
        </w:numPr>
        <w:ind w:left="357" w:hanging="357"/>
      </w:pPr>
      <w:r>
        <w:t xml:space="preserve">moedigt de EU-instellingen en lidstaten aan om maatregelen en mechanismen in te voeren die ervoor moeten zorgen dat </w:t>
      </w:r>
      <w:r>
        <w:rPr>
          <w:b/>
        </w:rPr>
        <w:t>op elk beleidsterrein rekening wordt gehouden met het jongerenperspectief</w:t>
      </w:r>
      <w:r>
        <w:t>. Op alle niveaus moeten jongeren meer kunnen deelnemen aan het maatschappelijke en democratische leven om de toekomstige welvaart van Europa te verzekeren;</w:t>
      </w:r>
    </w:p>
    <w:p w:rsidR="001D770D" w:rsidP="009120CD" w:rsidRDefault="00AB5E6A" w14:paraId="76BBBF7F" w14:textId="040F957D">
      <w:pPr>
        <w:pStyle w:val="ListParagraph"/>
        <w:numPr>
          <w:ilvl w:val="0"/>
          <w:numId w:val="3"/>
        </w:numPr>
        <w:ind w:left="357" w:hanging="357"/>
      </w:pPr>
      <w:r>
        <w:t xml:space="preserve">is van mening dat, </w:t>
      </w:r>
      <w:r>
        <w:rPr>
          <w:b/>
        </w:rPr>
        <w:t>als jongeren aan beleids- en besluitvormingsprocessen deelnemen, dat kan helpen om regelgeving en beleid te verbeteren</w:t>
      </w:r>
      <w:r>
        <w:t>. De nodige middelen moeten worden vrijgemaakt zodat jongeren op een betekenisvolle manier aan de beleidsvorming kunnen deelnemen;</w:t>
      </w:r>
    </w:p>
    <w:p w:rsidRPr="00AB5E6A" w:rsidR="00B40093" w:rsidP="009120CD" w:rsidRDefault="00AB5E6A" w14:paraId="0E4FEF3C" w14:textId="5ACA3A1A">
      <w:pPr>
        <w:pStyle w:val="ListParagraph"/>
        <w:numPr>
          <w:ilvl w:val="0"/>
          <w:numId w:val="3"/>
        </w:numPr>
        <w:ind w:left="357" w:hanging="357"/>
      </w:pPr>
      <w:r>
        <w:t xml:space="preserve">vindt dat een EU-jeugdtest </w:t>
      </w:r>
      <w:r>
        <w:rPr>
          <w:b/>
        </w:rPr>
        <w:t>als apart instrument deel zou moeten uitmaken van de toolbox voor betere regelgeving</w:t>
      </w:r>
      <w:r>
        <w:t>, aangezien toekomstige generaties en jongeren bijzondere aandacht verdienen;</w:t>
      </w:r>
    </w:p>
    <w:p w:rsidRPr="00C65A95" w:rsidR="00AB5E6A" w:rsidP="009120CD" w:rsidRDefault="00C65A95" w14:paraId="1B23D70E" w14:textId="00746E7C">
      <w:pPr>
        <w:pStyle w:val="ListParagraph"/>
        <w:numPr>
          <w:ilvl w:val="0"/>
          <w:numId w:val="3"/>
        </w:numPr>
        <w:ind w:left="357" w:hanging="357"/>
      </w:pPr>
      <w:r>
        <w:t xml:space="preserve">wijst erop dat de </w:t>
      </w:r>
      <w:r>
        <w:rPr>
          <w:b/>
        </w:rPr>
        <w:t>EU-jeugdtest</w:t>
      </w:r>
      <w:r>
        <w:t xml:space="preserve"> geen surrogaat mag zijn van betekenisvolle samenwerking met jongeren in het algemeen, maar bedoeld is om </w:t>
      </w:r>
      <w:r>
        <w:rPr>
          <w:b/>
        </w:rPr>
        <w:t>bestaande participatiemechanismen aan te vullen</w:t>
      </w:r>
      <w:r>
        <w:t xml:space="preserve">. Participatiemechanismen moeten </w:t>
      </w:r>
      <w:r>
        <w:rPr>
          <w:b/>
        </w:rPr>
        <w:t>inclusief</w:t>
      </w:r>
      <w:r>
        <w:t xml:space="preserve"> zijn en de communicatie erover moet </w:t>
      </w:r>
      <w:r>
        <w:rPr>
          <w:b/>
        </w:rPr>
        <w:t>een divers publiek bereiken</w:t>
      </w:r>
      <w:r>
        <w:t>, ook groepen bij wie dat wat lastiger is;</w:t>
      </w:r>
    </w:p>
    <w:p w:rsidRPr="00C65A95" w:rsidR="00C65A95" w:rsidP="009120CD" w:rsidRDefault="00C65A95" w14:paraId="0DBF4CEA" w14:textId="2209DF4F">
      <w:pPr>
        <w:pStyle w:val="ListParagraph"/>
        <w:numPr>
          <w:ilvl w:val="0"/>
          <w:numId w:val="3"/>
        </w:numPr>
        <w:ind w:left="357" w:hanging="357"/>
      </w:pPr>
      <w:r>
        <w:t xml:space="preserve">is het ermee eens dat </w:t>
      </w:r>
      <w:r>
        <w:rPr>
          <w:b/>
        </w:rPr>
        <w:t>maatschappelijke organisaties van essentieel belang kunnen zijn om jongeren bij maatschappelijke uitdagingen te betrekken</w:t>
      </w:r>
      <w:r>
        <w:t>, m.a.w. om hen te laten deelnemen aan beleidsvorming en het democratische proces;</w:t>
      </w:r>
    </w:p>
    <w:p w:rsidR="00C65A95" w:rsidP="009120CD" w:rsidRDefault="00C65A95" w14:paraId="6FC8968A" w14:textId="17044028">
      <w:pPr>
        <w:pStyle w:val="ListParagraph"/>
        <w:numPr>
          <w:ilvl w:val="0"/>
          <w:numId w:val="3"/>
        </w:numPr>
        <w:ind w:left="357" w:hanging="357"/>
      </w:pPr>
      <w:r>
        <w:t xml:space="preserve">zal zich inspannen om de </w:t>
      </w:r>
      <w:r>
        <w:rPr>
          <w:b/>
        </w:rPr>
        <w:t>interne betrokkenheid van jongeren en jongerenorganisaties bij zijn werkzaamheden te vergroten</w:t>
      </w:r>
      <w:r>
        <w:t xml:space="preserve"> en verder </w:t>
      </w:r>
      <w:r>
        <w:rPr>
          <w:b/>
        </w:rPr>
        <w:t>bekijken hoe het de EU-jeugdtest kan toepassen</w:t>
      </w:r>
      <w:r>
        <w:t xml:space="preserve"> zodat het jongeren consequent bij zijn werkzaamheden kan betrekken.</w:t>
      </w:r>
    </w:p>
    <w:p w:rsidRPr="009B70E7" w:rsidR="00841374" w:rsidP="009120CD" w:rsidRDefault="00841374" w14:paraId="3B0FA7A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841374" w:rsidTr="00841374" w14:paraId="50A403EE" w14:textId="77777777">
        <w:tc>
          <w:tcPr>
            <w:tcW w:w="1418" w:type="dxa"/>
          </w:tcPr>
          <w:p w:rsidRPr="009B70E7" w:rsidR="00841374" w:rsidP="009120CD" w:rsidRDefault="00841374" w14:paraId="629E9BA9" w14:textId="77777777">
            <w:pPr>
              <w:pStyle w:val="ListParagraph"/>
              <w:ind w:left="0"/>
              <w:rPr>
                <w:i/>
              </w:rPr>
            </w:pPr>
            <w:r>
              <w:rPr>
                <w:b/>
                <w:i/>
              </w:rPr>
              <w:t>Contactpersoon</w:t>
            </w:r>
          </w:p>
        </w:tc>
        <w:tc>
          <w:tcPr>
            <w:tcW w:w="5670" w:type="dxa"/>
          </w:tcPr>
          <w:p w:rsidRPr="009B70E7" w:rsidR="00841374" w:rsidP="009120CD" w:rsidRDefault="004B2250" w14:paraId="79C689DE" w14:textId="3B7D81BD">
            <w:pPr>
              <w:pStyle w:val="ListParagraph"/>
              <w:ind w:left="0"/>
              <w:rPr>
                <w:i/>
              </w:rPr>
            </w:pPr>
            <w:r>
              <w:rPr>
                <w:i/>
              </w:rPr>
              <w:t>Sabrina Borg</w:t>
            </w:r>
          </w:p>
        </w:tc>
      </w:tr>
      <w:tr w:rsidRPr="009B70E7" w:rsidR="00841374" w:rsidTr="00841374" w14:paraId="6334FCD6" w14:textId="77777777">
        <w:tc>
          <w:tcPr>
            <w:tcW w:w="1418" w:type="dxa"/>
          </w:tcPr>
          <w:p w:rsidRPr="009B70E7" w:rsidR="00841374" w:rsidP="009120CD" w:rsidRDefault="00841374" w14:paraId="3F37AC16" w14:textId="77777777">
            <w:pPr>
              <w:pStyle w:val="ListParagraph"/>
              <w:ind w:left="601"/>
              <w:rPr>
                <w:i/>
              </w:rPr>
            </w:pPr>
            <w:r>
              <w:rPr>
                <w:i/>
              </w:rPr>
              <w:t>Tel.</w:t>
            </w:r>
          </w:p>
        </w:tc>
        <w:tc>
          <w:tcPr>
            <w:tcW w:w="5670" w:type="dxa"/>
          </w:tcPr>
          <w:p w:rsidRPr="009B70E7" w:rsidR="00841374" w:rsidP="009120CD" w:rsidRDefault="00A06E9E" w14:paraId="55D18DAD" w14:textId="138B4C65">
            <w:pPr>
              <w:pStyle w:val="ListParagraph"/>
              <w:ind w:left="0"/>
              <w:rPr>
                <w:i/>
              </w:rPr>
            </w:pPr>
            <w:r>
              <w:rPr>
                <w:i/>
              </w:rPr>
              <w:t>00 32 2 546 97 27</w:t>
            </w:r>
          </w:p>
        </w:tc>
      </w:tr>
      <w:tr w:rsidRPr="001D770D" w:rsidR="00841374" w:rsidTr="00841374" w14:paraId="2EB3D256" w14:textId="77777777">
        <w:tc>
          <w:tcPr>
            <w:tcW w:w="1418" w:type="dxa"/>
          </w:tcPr>
          <w:p w:rsidRPr="009B70E7" w:rsidR="00841374" w:rsidP="009120CD" w:rsidRDefault="00841374" w14:paraId="02D49987" w14:textId="77777777">
            <w:pPr>
              <w:pStyle w:val="ListParagraph"/>
              <w:ind w:left="601"/>
              <w:rPr>
                <w:i/>
              </w:rPr>
            </w:pPr>
            <w:r>
              <w:rPr>
                <w:i/>
              </w:rPr>
              <w:t>E-mail</w:t>
            </w:r>
          </w:p>
        </w:tc>
        <w:tc>
          <w:tcPr>
            <w:tcW w:w="5670" w:type="dxa"/>
          </w:tcPr>
          <w:p w:rsidRPr="001D770D" w:rsidR="00841374" w:rsidP="009120CD" w:rsidRDefault="00C56F85" w14:paraId="31128638" w14:textId="79D5B4F2">
            <w:pPr>
              <w:pStyle w:val="ListParagraph"/>
              <w:ind w:left="0"/>
              <w:rPr>
                <w:i/>
              </w:rPr>
            </w:pPr>
            <w:hyperlink w:history="1" r:id="rId28">
              <w:r w:rsidR="0064748D">
                <w:rPr>
                  <w:rStyle w:val="Hyperlink"/>
                </w:rPr>
                <w:t>Sabrina.Borg</w:t>
              </w:r>
              <w:r w:rsidR="0064748D">
                <w:rPr>
                  <w:rStyle w:val="Hyperlink"/>
                  <w:i/>
                </w:rPr>
                <w:t>@eesc.europa.eu</w:t>
              </w:r>
            </w:hyperlink>
          </w:p>
        </w:tc>
      </w:tr>
      <w:bookmarkEnd w:id="11"/>
    </w:tbl>
    <w:p w:rsidR="00276CC9" w:rsidP="009120CD" w:rsidRDefault="00276CC9" w14:paraId="5F1674CB" w14:textId="69AE4096">
      <w:pPr>
        <w:pStyle w:val="ListParagraph"/>
        <w:ind w:left="1134"/>
        <w:rPr>
          <w:sz w:val="28"/>
        </w:rPr>
      </w:pPr>
    </w:p>
    <w:p w:rsidRPr="009B70E7" w:rsidR="004B2250" w:rsidP="009120CD" w:rsidRDefault="004B2250" w14:paraId="098AF87E" w14:textId="1C3F551C">
      <w:pPr>
        <w:pStyle w:val="ListParagraph"/>
        <w:numPr>
          <w:ilvl w:val="0"/>
          <w:numId w:val="4"/>
        </w:numPr>
        <w:overflowPunct w:val="0"/>
        <w:autoSpaceDE w:val="0"/>
        <w:autoSpaceDN w:val="0"/>
        <w:adjustRightInd w:val="0"/>
        <w:ind w:left="567" w:hanging="567"/>
        <w:textAlignment w:val="baseline"/>
        <w:rPr>
          <w:b/>
          <w:i/>
          <w:sz w:val="28"/>
          <w:szCs w:val="28"/>
        </w:rPr>
      </w:pPr>
      <w:bookmarkStart w:name="_Hlk113970131" w:id="12"/>
      <w:r>
        <w:rPr>
          <w:b/>
          <w:i/>
          <w:sz w:val="28"/>
        </w:rPr>
        <w:t>Richtsnoeren voor het werkgelegenheidsbeleid van de lidstaten</w:t>
      </w:r>
    </w:p>
    <w:p w:rsidRPr="009B70E7" w:rsidR="004B2250" w:rsidP="009120CD" w:rsidRDefault="004B2250" w14:paraId="336BB3EB"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7"/>
        <w:gridCol w:w="5573"/>
      </w:tblGrid>
      <w:tr w:rsidRPr="009B70E7" w:rsidR="004B2250" w:rsidTr="004E4367" w14:paraId="38539BEE" w14:textId="77777777">
        <w:tc>
          <w:tcPr>
            <w:tcW w:w="1657" w:type="dxa"/>
          </w:tcPr>
          <w:p w:rsidR="004B2250" w:rsidP="009120CD" w:rsidRDefault="004B2250" w14:paraId="45E21669" w14:textId="77777777">
            <w:pPr>
              <w:pStyle w:val="ListParagraph"/>
              <w:ind w:left="0"/>
              <w:rPr>
                <w:b/>
              </w:rPr>
            </w:pPr>
            <w:r>
              <w:rPr>
                <w:b/>
              </w:rPr>
              <w:t>Rapporteur:</w:t>
            </w:r>
          </w:p>
          <w:p w:rsidRPr="00F63F2A" w:rsidR="004B2250" w:rsidP="009120CD" w:rsidRDefault="004B2250" w14:paraId="0D82A465" w14:textId="77777777">
            <w:pPr>
              <w:pStyle w:val="ListParagraph"/>
              <w:ind w:left="0"/>
              <w:rPr>
                <w:b/>
                <w:sz w:val="20"/>
                <w:szCs w:val="20"/>
              </w:rPr>
            </w:pPr>
          </w:p>
        </w:tc>
        <w:tc>
          <w:tcPr>
            <w:tcW w:w="5573" w:type="dxa"/>
          </w:tcPr>
          <w:p w:rsidRPr="009B70E7" w:rsidR="004B2250" w:rsidP="00DB3219" w:rsidRDefault="004B2250" w14:paraId="03DC5FCB" w14:textId="68E683CE">
            <w:pPr>
              <w:pStyle w:val="ListParagraph"/>
              <w:ind w:left="-108" w:right="-195"/>
            </w:pPr>
            <w:r>
              <w:t>Mariya MINCHEVA (groep Werkgevers – BG)</w:t>
            </w:r>
          </w:p>
        </w:tc>
      </w:tr>
      <w:tr w:rsidRPr="009B70E7" w:rsidR="00DB3219" w:rsidTr="004E4367" w14:paraId="06CCE92C" w14:textId="77777777">
        <w:tc>
          <w:tcPr>
            <w:tcW w:w="1657" w:type="dxa"/>
          </w:tcPr>
          <w:p w:rsidRPr="009B70E7" w:rsidR="00DB3219" w:rsidP="009120CD" w:rsidRDefault="00DB3219" w14:paraId="7524F7FA" w14:textId="065BC015">
            <w:pPr>
              <w:pStyle w:val="ListParagraph"/>
              <w:ind w:left="0"/>
              <w:rPr>
                <w:b/>
              </w:rPr>
            </w:pPr>
            <w:r>
              <w:rPr>
                <w:b/>
              </w:rPr>
              <w:t>Referentie:</w:t>
            </w:r>
          </w:p>
        </w:tc>
        <w:tc>
          <w:tcPr>
            <w:tcW w:w="5573" w:type="dxa"/>
          </w:tcPr>
          <w:p w:rsidRPr="009B70E7" w:rsidR="00DB3219" w:rsidP="00DB3219" w:rsidRDefault="00DB3219" w14:paraId="75FC27EB" w14:textId="77777777">
            <w:pPr>
              <w:pStyle w:val="ListParagraph"/>
              <w:ind w:left="-56"/>
            </w:pPr>
            <w:r>
              <w:t>COM(2022) 241 final</w:t>
            </w:r>
          </w:p>
          <w:p w:rsidRPr="00A04AFA" w:rsidR="00DB3219" w:rsidP="00DB3219" w:rsidRDefault="00DB3219" w14:paraId="264A2DD4" w14:textId="659469D7">
            <w:pPr>
              <w:pStyle w:val="ListParagraph"/>
              <w:ind w:left="-108" w:right="-195"/>
            </w:pPr>
            <w:r>
              <w:t>EESC-2022-03479-00-00-AC</w:t>
            </w:r>
          </w:p>
        </w:tc>
      </w:tr>
    </w:tbl>
    <w:p w:rsidRPr="009B70E7" w:rsidR="004B2250" w:rsidP="009120CD" w:rsidRDefault="004B2250" w14:paraId="56617586" w14:textId="77777777">
      <w:pPr>
        <w:pStyle w:val="ListParagraph"/>
        <w:ind w:left="0"/>
        <w:rPr>
          <w:b/>
        </w:rPr>
      </w:pPr>
    </w:p>
    <w:p w:rsidR="004B2250" w:rsidP="009120CD" w:rsidRDefault="004B2250" w14:paraId="6AD82CE8" w14:textId="22721BFB">
      <w:pPr>
        <w:pStyle w:val="ListParagraph"/>
        <w:ind w:left="0" w:firstLine="142"/>
        <w:rPr>
          <w:b/>
        </w:rPr>
      </w:pPr>
      <w:r>
        <w:rPr>
          <w:b/>
        </w:rPr>
        <w:t>Hoofdpunten</w:t>
      </w:r>
    </w:p>
    <w:p w:rsidRPr="00C65A95" w:rsidR="00D91EA9" w:rsidP="009120CD" w:rsidRDefault="00D91EA9" w14:paraId="0EA81E8A" w14:textId="77777777">
      <w:pPr>
        <w:pStyle w:val="ListParagraph"/>
        <w:ind w:left="-142" w:firstLine="142"/>
        <w:rPr>
          <w:b/>
        </w:rPr>
      </w:pPr>
    </w:p>
    <w:p w:rsidRPr="0070677E" w:rsidR="004B2250" w:rsidP="009120CD" w:rsidRDefault="004B2250" w14:paraId="023FBE3D" w14:textId="77777777">
      <w:pPr>
        <w:pStyle w:val="ListParagraph"/>
        <w:ind w:left="0" w:firstLine="142"/>
        <w:rPr>
          <w:bCs/>
        </w:rPr>
      </w:pPr>
      <w:r>
        <w:t>Het EESC:</w:t>
      </w:r>
    </w:p>
    <w:p w:rsidRPr="009B70E7" w:rsidR="004B2250" w:rsidP="009120CD" w:rsidRDefault="004B2250" w14:paraId="6271EAAC" w14:textId="77777777">
      <w:pPr>
        <w:pStyle w:val="ListParagraph"/>
        <w:ind w:left="0"/>
      </w:pPr>
    </w:p>
    <w:p w:rsidRPr="009B70E7" w:rsidR="004B2250" w:rsidP="009120CD" w:rsidRDefault="00C65A95" w14:paraId="4744B163" w14:textId="1E797198">
      <w:pPr>
        <w:pStyle w:val="ListParagraph"/>
        <w:numPr>
          <w:ilvl w:val="0"/>
          <w:numId w:val="3"/>
        </w:numPr>
        <w:ind w:left="357" w:hanging="357"/>
      </w:pPr>
      <w:r>
        <w:t>is van mening dat de voorgestelde richtsnoeren voor het werkgelegenheidsbeleid van de lidstaten adequaat zijn, aangezien zij betrekking hebben op de meest urgente problemen op de arbeidsmarkt;</w:t>
      </w:r>
    </w:p>
    <w:p w:rsidRPr="009B70E7" w:rsidR="004B2250" w:rsidP="009120CD" w:rsidRDefault="00C65A95" w14:paraId="3155F8D5" w14:textId="2D843FBF">
      <w:pPr>
        <w:pStyle w:val="ListParagraph"/>
        <w:numPr>
          <w:ilvl w:val="0"/>
          <w:numId w:val="3"/>
        </w:numPr>
        <w:ind w:left="357" w:hanging="357"/>
      </w:pPr>
      <w:r>
        <w:t>vestigt de aandacht op de toenemende onzekerheid omtrent de geopolitieke situatie, waarvan het effect op de toekomstige vraag waarschijnlijk van invloed zal zijn op de investeringsbeslissingen van bedrijven en de werkzekerheid, en de uitvoering van investeringsplannen door zowel de particuliere als de publieke sector zal vertragen. Meer dan ooit is het noodzakelijk om te zorgen voor een concurrentiebasis voor investeringen. De lidstaten moeten inzetten op een werkelijk geïntegreerde eengemaakte markt en kleine en middelgrote ondernemingen helpen om op te schalen;</w:t>
      </w:r>
    </w:p>
    <w:p w:rsidRPr="009B70E7" w:rsidR="004B2250" w:rsidP="009120CD" w:rsidRDefault="00C65A95" w14:paraId="4A37E35D" w14:textId="66033C02">
      <w:pPr>
        <w:pStyle w:val="ListParagraph"/>
        <w:numPr>
          <w:ilvl w:val="0"/>
          <w:numId w:val="3"/>
        </w:numPr>
        <w:ind w:left="357" w:hanging="357"/>
      </w:pPr>
      <w:r>
        <w:t>onderstreept dat stappen moeten worden ondernomen om de rol van de sociale partners te versterken en hen nauwer te betrekken bij het uitstippelen en uitvoeren van hervormingen en beleidsmaatregelen op werkgelegenheids-, sociaal en economisch gebied, onder meer door hun capaciteit op te bouwen;</w:t>
      </w:r>
    </w:p>
    <w:p w:rsidRPr="001D770D" w:rsidR="004B2250" w:rsidP="009120CD" w:rsidRDefault="00C65A95" w14:paraId="5D1A3469" w14:textId="17321E51">
      <w:pPr>
        <w:pStyle w:val="ListParagraph"/>
        <w:numPr>
          <w:ilvl w:val="0"/>
          <w:numId w:val="3"/>
        </w:numPr>
        <w:ind w:left="357" w:hanging="357"/>
      </w:pPr>
      <w:r>
        <w:t>wijst erop dat het tekort aan arbeidskrachten weer toeneemt en dat er derhalve doeltreffende maatregelen moeten worden genomen om de sociale partners aan te moedigen op nationaal niveau in te spelen op de vaardigheidsbehoeften, met maatregelen die zijn afgestemd op de afzonderlijke sectoren en de plaatselijke situatie;</w:t>
      </w:r>
    </w:p>
    <w:p w:rsidR="004B2250" w:rsidP="009120CD" w:rsidRDefault="00C65A95" w14:paraId="515980E0" w14:textId="6B64428E">
      <w:pPr>
        <w:pStyle w:val="ListParagraph"/>
        <w:numPr>
          <w:ilvl w:val="0"/>
          <w:numId w:val="3"/>
        </w:numPr>
        <w:ind w:left="357" w:hanging="357"/>
      </w:pPr>
      <w:r>
        <w:t>meent dat, om de armoede onder werkenden terug te dringen, een combinatie nodig is van verschillende beleidsinstrumenten en maatregelen, waarover door de sociale partners is onderhandeld;</w:t>
      </w:r>
    </w:p>
    <w:p w:rsidR="004B2250" w:rsidP="009120CD" w:rsidRDefault="00C65A95" w14:paraId="71B1FE51" w14:textId="39532A76">
      <w:pPr>
        <w:pStyle w:val="ListParagraph"/>
        <w:numPr>
          <w:ilvl w:val="0"/>
          <w:numId w:val="3"/>
        </w:numPr>
        <w:ind w:left="357" w:hanging="357"/>
      </w:pPr>
      <w:r>
        <w:t>wijst erop dat gerichte steun vooral belangrijk is voor langdurig werklozen en/of inactieven, omdat daardoor hun kans op (her)intreding op de arbeidsmarkt wordt vergroot. Bovendien is gerichte steun een belangrijke factor bij baanbehoud. Aangezien de pandemie jongeren bijzonder hard heeft getroffen, zijn specifiek op de jeugd toegespitste, inclusieve en toekomstgerichte beleidsmaatregelen van cruciaal belang om ervoor te zorgen dat jongeren niet achterblijven;</w:t>
      </w:r>
    </w:p>
    <w:p w:rsidR="004B2250" w:rsidP="009120CD" w:rsidRDefault="00C65A95" w14:paraId="54766DAC" w14:textId="1A1BBF50">
      <w:pPr>
        <w:pStyle w:val="ListParagraph"/>
        <w:numPr>
          <w:ilvl w:val="0"/>
          <w:numId w:val="3"/>
        </w:numPr>
        <w:ind w:left="357" w:hanging="357"/>
      </w:pPr>
      <w:r>
        <w:t>beklemtoont dat om het inactiviteitspercentage te verlagen inspanningen moeten worden geleverd om mensen die verder van de arbeidsmarkt staan daarnaar terug te leiden;</w:t>
      </w:r>
    </w:p>
    <w:p w:rsidR="00C65A95" w:rsidP="009120CD" w:rsidRDefault="00C65A95" w14:paraId="35872D8A" w14:textId="162454BD">
      <w:pPr>
        <w:pStyle w:val="ListParagraph"/>
        <w:numPr>
          <w:ilvl w:val="0"/>
          <w:numId w:val="3"/>
        </w:numPr>
        <w:ind w:left="357" w:hanging="357"/>
      </w:pPr>
      <w:r>
        <w:t>merkt op dat maatregelen om de loonkloof tussen mannen en vrouwen te dichten belangrijk blijven en dat de diepere oorzaken van dit probleem moeten worden aangepakt. Het voorstel van de Europese Commissie voor een richtlijn inzake loontransparantie, dat momenteel op tafel ligt, moet helpen het beginsel van gelijke beloning van mannen en vrouwen voor gelijkwaardige arbeid beter doen naleven; het gaat hier namelijk om een van de maatregelen om de loonkloof tussen mannen en vrouwen aan te pakken, waarbij echter niet voorbij mag worden gegaan aan de zorgen over extra lasten voor bedrijven en met name kmo’s.</w:t>
      </w:r>
    </w:p>
    <w:p w:rsidRPr="009B70E7" w:rsidR="004B2250" w:rsidP="009120CD" w:rsidRDefault="004B2250" w14:paraId="5D70F0C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4B2250" w:rsidTr="004E4367" w14:paraId="7D2EEF5E" w14:textId="77777777">
        <w:tc>
          <w:tcPr>
            <w:tcW w:w="1418" w:type="dxa"/>
          </w:tcPr>
          <w:p w:rsidRPr="009B70E7" w:rsidR="004B2250" w:rsidP="009120CD" w:rsidRDefault="004B2250" w14:paraId="3B156896" w14:textId="77777777">
            <w:pPr>
              <w:pStyle w:val="ListParagraph"/>
              <w:ind w:left="0"/>
              <w:rPr>
                <w:i/>
              </w:rPr>
            </w:pPr>
            <w:r>
              <w:rPr>
                <w:b/>
                <w:i/>
              </w:rPr>
              <w:t>Contactpersoon</w:t>
            </w:r>
          </w:p>
        </w:tc>
        <w:tc>
          <w:tcPr>
            <w:tcW w:w="5670" w:type="dxa"/>
          </w:tcPr>
          <w:p w:rsidRPr="009B70E7" w:rsidR="004B2250" w:rsidP="009120CD" w:rsidRDefault="00C65A95" w14:paraId="3F5A1045" w14:textId="1AA5F178">
            <w:pPr>
              <w:pStyle w:val="ListParagraph"/>
              <w:ind w:left="0"/>
              <w:rPr>
                <w:i/>
              </w:rPr>
            </w:pPr>
            <w:r>
              <w:rPr>
                <w:i/>
              </w:rPr>
              <w:t>Triin Aasmaa</w:t>
            </w:r>
          </w:p>
        </w:tc>
      </w:tr>
      <w:tr w:rsidRPr="009B70E7" w:rsidR="004B2250" w:rsidTr="004E4367" w14:paraId="1C4430B0" w14:textId="77777777">
        <w:tc>
          <w:tcPr>
            <w:tcW w:w="1418" w:type="dxa"/>
          </w:tcPr>
          <w:p w:rsidRPr="009B70E7" w:rsidR="004B2250" w:rsidP="009120CD" w:rsidRDefault="004B2250" w14:paraId="0CA1F438" w14:textId="77777777">
            <w:pPr>
              <w:pStyle w:val="ListParagraph"/>
              <w:ind w:left="601"/>
              <w:rPr>
                <w:i/>
              </w:rPr>
            </w:pPr>
            <w:r>
              <w:rPr>
                <w:i/>
              </w:rPr>
              <w:t>Tel.:</w:t>
            </w:r>
          </w:p>
        </w:tc>
        <w:tc>
          <w:tcPr>
            <w:tcW w:w="5670" w:type="dxa"/>
          </w:tcPr>
          <w:p w:rsidRPr="009B70E7" w:rsidR="004B2250" w:rsidP="009120CD" w:rsidRDefault="004B2250" w14:paraId="3C22C09E" w14:textId="40FB8E23">
            <w:pPr>
              <w:pStyle w:val="ListParagraph"/>
              <w:ind w:left="0"/>
              <w:rPr>
                <w:i/>
              </w:rPr>
            </w:pPr>
            <w:r>
              <w:rPr>
                <w:i/>
              </w:rPr>
              <w:t>00 32 2 546 95 24</w:t>
            </w:r>
          </w:p>
        </w:tc>
      </w:tr>
      <w:tr w:rsidRPr="001D770D" w:rsidR="004B2250" w:rsidTr="004E4367" w14:paraId="6DB6FAC2" w14:textId="77777777">
        <w:tc>
          <w:tcPr>
            <w:tcW w:w="1418" w:type="dxa"/>
          </w:tcPr>
          <w:p w:rsidRPr="009B70E7" w:rsidR="004B2250" w:rsidP="009120CD" w:rsidRDefault="004B2250" w14:paraId="7F0C87C1" w14:textId="77777777">
            <w:pPr>
              <w:pStyle w:val="ListParagraph"/>
              <w:ind w:left="601"/>
              <w:rPr>
                <w:i/>
              </w:rPr>
            </w:pPr>
            <w:r>
              <w:rPr>
                <w:i/>
              </w:rPr>
              <w:t>E-mail</w:t>
            </w:r>
          </w:p>
        </w:tc>
        <w:tc>
          <w:tcPr>
            <w:tcW w:w="5670" w:type="dxa"/>
          </w:tcPr>
          <w:p w:rsidRPr="001D770D" w:rsidR="004B2250" w:rsidP="009120CD" w:rsidRDefault="00C56F85" w14:paraId="1EC103AE" w14:textId="5BD96B40">
            <w:pPr>
              <w:pStyle w:val="ListParagraph"/>
              <w:ind w:left="0"/>
              <w:rPr>
                <w:i/>
              </w:rPr>
            </w:pPr>
            <w:hyperlink w:history="1" r:id="rId29">
              <w:r w:rsidR="0064748D">
                <w:rPr>
                  <w:rStyle w:val="Hyperlink"/>
                  <w:i/>
                </w:rPr>
                <w:t xml:space="preserve"> Triin Aasmaa@eesc.europa.eu</w:t>
              </w:r>
            </w:hyperlink>
          </w:p>
        </w:tc>
      </w:tr>
      <w:bookmarkEnd w:id="12"/>
    </w:tbl>
    <w:p w:rsidRPr="00276CC9" w:rsidR="00971495" w:rsidP="009120CD" w:rsidRDefault="00971495" w14:paraId="7B8B76FE" w14:textId="77777777">
      <w:pPr>
        <w:spacing w:after="160"/>
        <w:jc w:val="left"/>
        <w:rPr>
          <w:sz w:val="28"/>
        </w:rPr>
      </w:pPr>
    </w:p>
    <w:p w:rsidRPr="00883682" w:rsidR="00883682" w:rsidP="00C56F85" w:rsidRDefault="00883682" w14:paraId="5C1741C1" w14:textId="0DFB7F82">
      <w:pPr>
        <w:pStyle w:val="ListParagraph"/>
        <w:keepNext/>
        <w:keepLines/>
        <w:numPr>
          <w:ilvl w:val="0"/>
          <w:numId w:val="4"/>
        </w:numPr>
        <w:overflowPunct w:val="0"/>
        <w:autoSpaceDE w:val="0"/>
        <w:autoSpaceDN w:val="0"/>
        <w:adjustRightInd w:val="0"/>
        <w:ind w:left="0" w:hanging="567"/>
        <w:textAlignment w:val="baseline"/>
      </w:pPr>
      <w:r>
        <w:rPr>
          <w:b/>
          <w:i/>
          <w:sz w:val="28"/>
        </w:rPr>
        <w:t>Waardig werk wereldwijd</w:t>
      </w:r>
    </w:p>
    <w:p w:rsidRPr="00C56F85" w:rsidR="00883682" w:rsidP="00C56F85" w:rsidRDefault="00883682" w14:paraId="045754EE" w14:textId="77777777">
      <w:pPr>
        <w:keepNext/>
        <w:keepLines/>
        <w:overflowPunct w:val="0"/>
        <w:autoSpaceDE w:val="0"/>
        <w:autoSpaceDN w:val="0"/>
        <w:adjustRightInd w:val="0"/>
        <w:textAlignment w:val="baseline"/>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7"/>
        <w:gridCol w:w="6707"/>
      </w:tblGrid>
      <w:tr w:rsidRPr="009B70E7" w:rsidR="00883682" w:rsidTr="00883682" w14:paraId="3DEE809C" w14:textId="77777777">
        <w:tc>
          <w:tcPr>
            <w:tcW w:w="1657" w:type="dxa"/>
          </w:tcPr>
          <w:p w:rsidR="00883682" w:rsidP="00C56F85" w:rsidRDefault="00883682" w14:paraId="03427D08" w14:textId="77777777">
            <w:pPr>
              <w:pStyle w:val="ListParagraph"/>
              <w:keepNext/>
              <w:keepLines/>
              <w:spacing w:line="240" w:lineRule="auto"/>
              <w:ind w:left="0"/>
              <w:rPr>
                <w:b/>
              </w:rPr>
            </w:pPr>
            <w:r>
              <w:rPr>
                <w:b/>
              </w:rPr>
              <w:lastRenderedPageBreak/>
              <w:t>Rapporteur:</w:t>
            </w:r>
          </w:p>
          <w:p w:rsidRPr="00F63F2A" w:rsidR="00883682" w:rsidP="00C56F85" w:rsidRDefault="00883682" w14:paraId="28C34F4F" w14:textId="77777777">
            <w:pPr>
              <w:pStyle w:val="ListParagraph"/>
              <w:keepNext/>
              <w:keepLines/>
              <w:spacing w:line="240" w:lineRule="auto"/>
              <w:ind w:left="0"/>
              <w:rPr>
                <w:b/>
                <w:sz w:val="20"/>
                <w:szCs w:val="20"/>
              </w:rPr>
            </w:pPr>
          </w:p>
        </w:tc>
        <w:tc>
          <w:tcPr>
            <w:tcW w:w="6707" w:type="dxa"/>
          </w:tcPr>
          <w:p w:rsidRPr="009B70E7" w:rsidR="00883682" w:rsidP="00C56F85" w:rsidRDefault="00883682" w14:paraId="3EA0E7EF" w14:textId="6E5B682D">
            <w:pPr>
              <w:pStyle w:val="ListParagraph"/>
              <w:keepNext/>
              <w:keepLines/>
              <w:ind w:left="-108" w:right="-813"/>
            </w:pPr>
            <w:r>
              <w:t>Maria del Carmen BARRERA CHAMORRO (groep Werknemers – ES)</w:t>
            </w:r>
          </w:p>
        </w:tc>
      </w:tr>
      <w:tr w:rsidRPr="009B70E7" w:rsidR="00DB3219" w:rsidTr="00883682" w14:paraId="24A3E796" w14:textId="77777777">
        <w:tc>
          <w:tcPr>
            <w:tcW w:w="1657" w:type="dxa"/>
          </w:tcPr>
          <w:p w:rsidRPr="009B70E7" w:rsidR="00DB3219" w:rsidP="009120CD" w:rsidRDefault="00F256CD" w14:paraId="28F38881" w14:textId="08257019">
            <w:pPr>
              <w:pStyle w:val="ListParagraph"/>
              <w:ind w:left="0"/>
              <w:rPr>
                <w:b/>
              </w:rPr>
            </w:pPr>
            <w:r>
              <w:rPr>
                <w:b/>
              </w:rPr>
              <w:t>Referentie:</w:t>
            </w:r>
          </w:p>
        </w:tc>
        <w:tc>
          <w:tcPr>
            <w:tcW w:w="6707" w:type="dxa"/>
          </w:tcPr>
          <w:p w:rsidRPr="009B70E7" w:rsidR="00F256CD" w:rsidP="00C56F85" w:rsidRDefault="00F256CD" w14:paraId="7753FA50" w14:textId="77777777">
            <w:pPr>
              <w:pStyle w:val="ListParagraph"/>
              <w:spacing w:line="264" w:lineRule="auto"/>
              <w:ind w:left="-56"/>
            </w:pPr>
            <w:r>
              <w:t>COM(2022) 66 final</w:t>
            </w:r>
          </w:p>
          <w:p w:rsidRPr="00A04AFA" w:rsidR="00DB3219" w:rsidP="00C56F85" w:rsidRDefault="00F256CD" w14:paraId="21C88505" w14:textId="6BB6B81C">
            <w:pPr>
              <w:pStyle w:val="ListParagraph"/>
              <w:spacing w:line="264" w:lineRule="auto"/>
              <w:ind w:left="-108" w:right="-813"/>
            </w:pPr>
            <w:r>
              <w:t>EESC-2022-01438-00-00-AC</w:t>
            </w:r>
          </w:p>
        </w:tc>
      </w:tr>
    </w:tbl>
    <w:p w:rsidRPr="00C56F85" w:rsidR="00883682" w:rsidP="00C56F85" w:rsidRDefault="00883682" w14:paraId="57E40700" w14:textId="77777777">
      <w:pPr>
        <w:pStyle w:val="ListParagraph"/>
        <w:spacing w:line="240" w:lineRule="auto"/>
        <w:ind w:left="0"/>
        <w:rPr>
          <w:b/>
          <w:sz w:val="18"/>
          <w:szCs w:val="18"/>
        </w:rPr>
      </w:pPr>
    </w:p>
    <w:p w:rsidR="00883682" w:rsidP="009120CD" w:rsidRDefault="00883682" w14:paraId="61ED65A9" w14:textId="32FB6FD2">
      <w:pPr>
        <w:pStyle w:val="ListParagraph"/>
        <w:ind w:left="0" w:firstLine="142"/>
        <w:rPr>
          <w:b/>
        </w:rPr>
      </w:pPr>
      <w:r>
        <w:rPr>
          <w:b/>
        </w:rPr>
        <w:t>Hoofdpunten</w:t>
      </w:r>
    </w:p>
    <w:p w:rsidRPr="00C56F85" w:rsidR="00883682" w:rsidP="00C56F85" w:rsidRDefault="00883682" w14:paraId="72FDA37A" w14:textId="77777777">
      <w:pPr>
        <w:pStyle w:val="ListParagraph"/>
        <w:spacing w:line="240" w:lineRule="auto"/>
        <w:ind w:left="0"/>
        <w:rPr>
          <w:b/>
          <w:sz w:val="18"/>
          <w:szCs w:val="18"/>
        </w:rPr>
      </w:pPr>
    </w:p>
    <w:p w:rsidRPr="00027441" w:rsidR="00883682" w:rsidP="009120CD" w:rsidRDefault="00883682" w14:paraId="6B61FC5A" w14:textId="77777777">
      <w:pPr>
        <w:pStyle w:val="ListParagraph"/>
        <w:ind w:left="0" w:firstLine="142"/>
        <w:rPr>
          <w:bCs/>
        </w:rPr>
      </w:pPr>
      <w:r>
        <w:t>Het EESC:</w:t>
      </w:r>
    </w:p>
    <w:p w:rsidRPr="00C56F85" w:rsidR="00883682" w:rsidP="00C56F85" w:rsidRDefault="00883682" w14:paraId="291B017B" w14:textId="77777777">
      <w:pPr>
        <w:pStyle w:val="ListParagraph"/>
        <w:spacing w:line="240" w:lineRule="auto"/>
        <w:ind w:left="0"/>
        <w:rPr>
          <w:sz w:val="18"/>
          <w:szCs w:val="18"/>
        </w:rPr>
      </w:pPr>
    </w:p>
    <w:p w:rsidRPr="009B70E7" w:rsidR="00883682" w:rsidP="009120CD" w:rsidRDefault="00883682" w14:paraId="0DFF644A" w14:textId="6412709D">
      <w:pPr>
        <w:pStyle w:val="ListParagraph"/>
        <w:numPr>
          <w:ilvl w:val="0"/>
          <w:numId w:val="3"/>
        </w:numPr>
        <w:ind w:left="357" w:hanging="357"/>
      </w:pPr>
      <w:r>
        <w:t>onderstreept hoe belangrijk het is dat de Commissie een strategie uitstippelt om waardig werk wereldwijd te bevorderen, dus niet alleen binnen de EU. Het is ermee ingenomen dat het nieuwe kader een verbod combineert met een systeem van uitvoeringsgaranties, gebaseerd op internationale normen en verplichtingen inzake passende zo</w:t>
      </w:r>
      <w:r w:rsidR="003A56F8">
        <w:t xml:space="preserve">rgvuldigheid en transparantie. </w:t>
      </w:r>
      <w:r>
        <w:t>Wel zou de Commissie de economische, sociale en milieugevolgen hiervan moeten beoordelen, met name voor kleine en middelgrote ondernemingen;</w:t>
      </w:r>
    </w:p>
    <w:p w:rsidRPr="009B70E7" w:rsidR="00883682" w:rsidP="009120CD" w:rsidRDefault="00883682" w14:paraId="19B71405" w14:textId="2399C096">
      <w:pPr>
        <w:pStyle w:val="ListParagraph"/>
        <w:numPr>
          <w:ilvl w:val="0"/>
          <w:numId w:val="3"/>
        </w:numPr>
        <w:ind w:left="357" w:hanging="357"/>
      </w:pPr>
      <w:r>
        <w:t>wijst erop dat, hoewel er verbeteringen te bespeuren zijn, waardig werk voor veel mensen in de wereld nog steeds geen realiteit is. Het EESC is ervan overtuigd dat de EU haar rol als maatschappelijk verantwoordelijke leider in de wereld moet blijven versterken door gebruik te maken van alle beschikbare instrumenten, inclusief wetgevingsinstrumenten, en deze verder te ontwikkelen;</w:t>
      </w:r>
    </w:p>
    <w:p w:rsidR="00883682" w:rsidP="009120CD" w:rsidRDefault="00883682" w14:paraId="38B43A33" w14:textId="4C5624E2">
      <w:pPr>
        <w:pStyle w:val="ListParagraph"/>
        <w:numPr>
          <w:ilvl w:val="0"/>
          <w:numId w:val="3"/>
        </w:numPr>
        <w:ind w:left="357" w:hanging="357"/>
      </w:pPr>
      <w:r>
        <w:t>is ermee ingenomen dat de mededeling ter bevordering van waardig werk in alle sectoren en op alle actieterreinen een globale aanpak biedt die gericht is op alle werknemers op nationale markten, in derde landen en in mondiale toeleveringsketens. De EU moet al haar beleid, zowel intern als extern (met inbegrip van het handelsbeleid), inzetten om overal ter wereld waardig werk te bevorderen en te waarborgen, door deze doelstelling centraal te stellen in een duurzaam en inclusief herstel en in de digitale transitie;</w:t>
      </w:r>
    </w:p>
    <w:p w:rsidR="00883682" w:rsidP="009120CD" w:rsidRDefault="00883682" w14:paraId="52D702E3" w14:textId="0A2542AA">
      <w:pPr>
        <w:pStyle w:val="ListParagraph"/>
        <w:numPr>
          <w:ilvl w:val="0"/>
          <w:numId w:val="3"/>
        </w:numPr>
        <w:ind w:left="357" w:hanging="357"/>
      </w:pPr>
      <w:r>
        <w:t>roept de Commissie op om bepaalde aspecten van het beginsel van waardig werk die vandaag de dag een bijzondere sociale en economische waarde hebben, verder uit te werken. Naast gendergelijkheid en non-discriminatie wijst het bijvoorbeeld op het belang van de strijd tegen het risico van uitsluiting van de meest kwetsbare groepen zoals personen met een handicap op de arbeidsmarkt, gezondheid en veiligheid op het werk en het duurzame karakter van de werkgelegenheid in het scenario van de groene transitie;</w:t>
      </w:r>
    </w:p>
    <w:p w:rsidRPr="00883682" w:rsidR="00883682" w:rsidP="009120CD" w:rsidRDefault="00883682" w14:paraId="1D968F2A" w14:textId="0A14627D">
      <w:pPr>
        <w:pStyle w:val="ListParagraph"/>
        <w:numPr>
          <w:ilvl w:val="0"/>
          <w:numId w:val="3"/>
        </w:numPr>
        <w:ind w:left="357" w:hanging="357"/>
      </w:pPr>
      <w:r>
        <w:t>is in het bijzonder ingenomen met het voorstel van de EU om het handelsbeleid te gebruiken als instrument om de naleving van de internationale arbeidsnormen door ondernemingen uit derde landen te stimuleren en zo waardig werk in alle ondernemingen en landen, ook in de buurlanden, te bevorderen;</w:t>
      </w:r>
    </w:p>
    <w:p w:rsidRPr="00883682" w:rsidR="00883682" w:rsidP="009120CD" w:rsidRDefault="00883682" w14:paraId="4B130F68" w14:textId="6D17AF90">
      <w:pPr>
        <w:pStyle w:val="ListParagraph"/>
        <w:numPr>
          <w:ilvl w:val="0"/>
          <w:numId w:val="3"/>
        </w:numPr>
        <w:ind w:left="357" w:hanging="357"/>
      </w:pPr>
      <w:r>
        <w:t>waardeert het voorstel om mechanismen op te nemen waarmee de mate van naleving van de richtlijn inzake passende zorgvuldigheid kan worden beoordeeld en gemonitord. Het stelt echter met bezorgdheid vast dat deze mechanismen niet voorzien in een sociale dialoog met de sociale partners, en roept de Commissie dan ook op om dergelijke mechanismen duidelijk in de voorgestelde wettekst op te nemen;</w:t>
      </w:r>
    </w:p>
    <w:p w:rsidR="00883682" w:rsidP="009120CD" w:rsidRDefault="00883682" w14:paraId="40B70FEA" w14:textId="6385714E">
      <w:pPr>
        <w:pStyle w:val="ListParagraph"/>
        <w:numPr>
          <w:ilvl w:val="0"/>
          <w:numId w:val="3"/>
        </w:numPr>
        <w:ind w:left="357" w:hanging="357"/>
      </w:pPr>
      <w:r>
        <w:t>pleit voor steun van de EU voor een bindend VN-verdrag inzake bedrijfsleven en mensenrechten, en voor het overwegen van een IAO-verdrag inzake waardig werk in toeleveringsketens.</w:t>
      </w:r>
    </w:p>
    <w:p w:rsidRPr="00C56F85" w:rsidR="00883682" w:rsidP="009120CD" w:rsidRDefault="00883682" w14:paraId="2F06EC63" w14:textId="77777777">
      <w:pPr>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883682" w:rsidTr="004E4367" w14:paraId="0BE9B506" w14:textId="77777777">
        <w:tc>
          <w:tcPr>
            <w:tcW w:w="1418" w:type="dxa"/>
          </w:tcPr>
          <w:p w:rsidRPr="009B70E7" w:rsidR="00883682" w:rsidP="009120CD" w:rsidRDefault="00883682" w14:paraId="37A7655C" w14:textId="77777777">
            <w:pPr>
              <w:pStyle w:val="ListParagraph"/>
              <w:ind w:left="0"/>
              <w:rPr>
                <w:i/>
              </w:rPr>
            </w:pPr>
            <w:r>
              <w:rPr>
                <w:b/>
                <w:i/>
              </w:rPr>
              <w:t>Contactpersoon</w:t>
            </w:r>
          </w:p>
        </w:tc>
        <w:tc>
          <w:tcPr>
            <w:tcW w:w="5670" w:type="dxa"/>
          </w:tcPr>
          <w:p w:rsidRPr="009B70E7" w:rsidR="00883682" w:rsidP="009120CD" w:rsidRDefault="00883682" w14:paraId="2BE85AA2" w14:textId="7D96D869">
            <w:pPr>
              <w:pStyle w:val="ListParagraph"/>
              <w:ind w:left="0"/>
              <w:rPr>
                <w:i/>
              </w:rPr>
            </w:pPr>
            <w:r>
              <w:rPr>
                <w:i/>
              </w:rPr>
              <w:t>Gemma Amran</w:t>
            </w:r>
          </w:p>
        </w:tc>
      </w:tr>
      <w:tr w:rsidRPr="009B70E7" w:rsidR="00883682" w:rsidTr="004E4367" w14:paraId="182F90C4" w14:textId="77777777">
        <w:tc>
          <w:tcPr>
            <w:tcW w:w="1418" w:type="dxa"/>
          </w:tcPr>
          <w:p w:rsidRPr="009B70E7" w:rsidR="00883682" w:rsidP="009120CD" w:rsidRDefault="00883682" w14:paraId="1FD25530" w14:textId="77777777">
            <w:pPr>
              <w:pStyle w:val="ListParagraph"/>
              <w:ind w:left="601"/>
              <w:rPr>
                <w:i/>
              </w:rPr>
            </w:pPr>
            <w:r>
              <w:rPr>
                <w:i/>
              </w:rPr>
              <w:t>Tel.</w:t>
            </w:r>
          </w:p>
        </w:tc>
        <w:tc>
          <w:tcPr>
            <w:tcW w:w="5670" w:type="dxa"/>
          </w:tcPr>
          <w:p w:rsidRPr="009B70E7" w:rsidR="00883682" w:rsidP="009120CD" w:rsidRDefault="00883682" w14:paraId="631ADA24" w14:textId="068DB606">
            <w:pPr>
              <w:pStyle w:val="ListParagraph"/>
              <w:ind w:left="0"/>
              <w:rPr>
                <w:i/>
              </w:rPr>
            </w:pPr>
            <w:r>
              <w:rPr>
                <w:i/>
              </w:rPr>
              <w:t>00 32 2 546 94 15</w:t>
            </w:r>
          </w:p>
        </w:tc>
      </w:tr>
      <w:tr w:rsidRPr="001D770D" w:rsidR="00883682" w:rsidTr="004E4367" w14:paraId="6EB42E83" w14:textId="77777777">
        <w:tc>
          <w:tcPr>
            <w:tcW w:w="1418" w:type="dxa"/>
          </w:tcPr>
          <w:p w:rsidRPr="009B70E7" w:rsidR="00883682" w:rsidP="009120CD" w:rsidRDefault="00883682" w14:paraId="73D16214" w14:textId="77777777">
            <w:pPr>
              <w:pStyle w:val="ListParagraph"/>
              <w:ind w:left="601"/>
              <w:rPr>
                <w:i/>
              </w:rPr>
            </w:pPr>
            <w:r>
              <w:rPr>
                <w:i/>
              </w:rPr>
              <w:t>E-mail</w:t>
            </w:r>
          </w:p>
        </w:tc>
        <w:tc>
          <w:tcPr>
            <w:tcW w:w="5670" w:type="dxa"/>
          </w:tcPr>
          <w:p w:rsidRPr="001D770D" w:rsidR="00883682" w:rsidP="009120CD" w:rsidRDefault="00C56F85" w14:paraId="42AC7FEB" w14:textId="3A37B427">
            <w:pPr>
              <w:pStyle w:val="ListParagraph"/>
              <w:ind w:left="0"/>
              <w:rPr>
                <w:i/>
              </w:rPr>
            </w:pPr>
            <w:hyperlink w:history="1" r:id="rId30">
              <w:r w:rsidR="0064748D">
                <w:rPr>
                  <w:rStyle w:val="Hyperlink"/>
                  <w:i/>
                </w:rPr>
                <w:t xml:space="preserve"> Gemma.Amran@eesc.europa.eu</w:t>
              </w:r>
            </w:hyperlink>
          </w:p>
        </w:tc>
      </w:tr>
    </w:tbl>
    <w:p w:rsidRPr="00AD3DB1" w:rsidR="004D7AC0" w:rsidP="00C56F85" w:rsidRDefault="00037A85" w14:paraId="13643C27" w14:textId="6994A8F3">
      <w:pPr>
        <w:spacing w:after="160"/>
        <w:jc w:val="left"/>
        <w:rPr>
          <w:b/>
        </w:rPr>
      </w:pPr>
      <w:r>
        <w:lastRenderedPageBreak/>
        <w:br w:type="page"/>
      </w:r>
      <w:bookmarkStart w:name="_Toc24617160" w:id="13"/>
      <w:bookmarkStart w:name="_Toc75527082" w:id="14"/>
      <w:bookmarkStart w:name="_Toc108435210" w:id="15"/>
      <w:r w:rsidR="004D7AC0">
        <w:rPr>
          <w:b/>
        </w:rPr>
        <w:t>VERVOER, ENERGIE, INFRASTRUCTUUR EN INFORMATIEMAATSCHAPPIJ</w:t>
      </w:r>
      <w:bookmarkEnd w:id="13"/>
      <w:bookmarkEnd w:id="14"/>
      <w:bookmarkEnd w:id="15"/>
    </w:p>
    <w:p w:rsidRPr="00AD3DB1" w:rsidR="00961956" w:rsidP="009120CD" w:rsidRDefault="00961956" w14:paraId="07646FB3" w14:textId="77777777">
      <w:pPr>
        <w:pStyle w:val="ListParagraph"/>
        <w:ind w:left="0"/>
        <w:rPr>
          <w:lang w:val="en-US"/>
        </w:rPr>
      </w:pPr>
    </w:p>
    <w:p w:rsidRPr="00413EA0" w:rsidR="00961956" w:rsidP="009120CD" w:rsidRDefault="00413EA0" w14:paraId="331DDD1A" w14:textId="086F12C1">
      <w:pPr>
        <w:pStyle w:val="ListParagraph"/>
        <w:keepNext/>
        <w:numPr>
          <w:ilvl w:val="0"/>
          <w:numId w:val="2"/>
        </w:numPr>
        <w:ind w:left="567" w:hanging="567"/>
        <w:rPr>
          <w:rStyle w:val="Hyperlink"/>
          <w:b/>
          <w:i/>
          <w:color w:val="auto"/>
          <w:sz w:val="28"/>
          <w:szCs w:val="28"/>
          <w:u w:val="none"/>
        </w:rPr>
      </w:pPr>
      <w:bookmarkStart w:name="_Hlk111625863" w:id="16"/>
      <w:r>
        <w:rPr>
          <w:b/>
          <w:i/>
          <w:sz w:val="28"/>
        </w:rPr>
        <w:t>Overheidsinvesteringen in energie-infrastructuur als onderdeel van de oplossing van klimaatproblemen</w:t>
      </w:r>
    </w:p>
    <w:p w:rsidRPr="00413EA0" w:rsidR="00413EA0" w:rsidP="009120CD" w:rsidRDefault="00413EA0" w14:paraId="075EF839" w14:textId="77777777">
      <w:pPr>
        <w:keepNext/>
        <w:rPr>
          <w:b/>
          <w:i/>
          <w:sz w:val="28"/>
          <w:szCs w:val="28"/>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413EA0" w:rsidTr="004E4367" w14:paraId="07C36F8A" w14:textId="77777777">
        <w:tc>
          <w:tcPr>
            <w:tcW w:w="1701" w:type="dxa"/>
          </w:tcPr>
          <w:p w:rsidRPr="009B70E7" w:rsidR="00413EA0" w:rsidP="009120CD" w:rsidRDefault="00413EA0" w14:paraId="5169BBBA" w14:textId="77777777">
            <w:pPr>
              <w:pStyle w:val="ListParagraph"/>
              <w:ind w:left="0"/>
              <w:rPr>
                <w:b/>
              </w:rPr>
            </w:pPr>
            <w:r>
              <w:rPr>
                <w:b/>
              </w:rPr>
              <w:t>Rapporteur:</w:t>
            </w:r>
          </w:p>
        </w:tc>
        <w:tc>
          <w:tcPr>
            <w:tcW w:w="6096" w:type="dxa"/>
          </w:tcPr>
          <w:p w:rsidRPr="007E7A4F" w:rsidR="00413EA0" w:rsidP="009120CD" w:rsidRDefault="00413EA0" w14:paraId="6053BE96" w14:textId="11C0DB0A">
            <w:pPr>
              <w:pStyle w:val="ListParagraph"/>
              <w:ind w:left="-108"/>
            </w:pPr>
            <w:r>
              <w:t>Thomas KATTNIG (groep Werknemers – AT)</w:t>
            </w:r>
          </w:p>
        </w:tc>
      </w:tr>
      <w:tr w:rsidRPr="00A74B4C" w:rsidR="00413EA0" w:rsidTr="004E4367" w14:paraId="30FC10A5" w14:textId="77777777">
        <w:tc>
          <w:tcPr>
            <w:tcW w:w="1701" w:type="dxa"/>
          </w:tcPr>
          <w:p w:rsidRPr="009B70E7" w:rsidR="00413EA0" w:rsidP="009120CD" w:rsidRDefault="00413EA0" w14:paraId="6F9ABBF3" w14:textId="77777777">
            <w:pPr>
              <w:pStyle w:val="ListParagraph"/>
              <w:keepNext/>
              <w:ind w:left="0"/>
              <w:rPr>
                <w:b/>
              </w:rPr>
            </w:pPr>
            <w:r>
              <w:rPr>
                <w:b/>
              </w:rPr>
              <w:t>Corapporteur:</w:t>
            </w:r>
          </w:p>
        </w:tc>
        <w:tc>
          <w:tcPr>
            <w:tcW w:w="6096" w:type="dxa"/>
          </w:tcPr>
          <w:p w:rsidRPr="00A74B4C" w:rsidR="00413EA0" w:rsidP="009120CD" w:rsidRDefault="00413EA0" w14:paraId="1E2949AC" w14:textId="3EB2891A">
            <w:pPr>
              <w:pStyle w:val="ListParagraph"/>
              <w:ind w:left="-108"/>
            </w:pPr>
            <w:r>
              <w:t>Lutz RIBBE (groep Maatschappelijke Organisaties – DE)</w:t>
            </w:r>
          </w:p>
        </w:tc>
      </w:tr>
      <w:tr w:rsidRPr="00A74B4C" w:rsidR="00E00915" w:rsidTr="004E4367" w14:paraId="28E98AC7" w14:textId="77777777">
        <w:tc>
          <w:tcPr>
            <w:tcW w:w="1701" w:type="dxa"/>
          </w:tcPr>
          <w:p w:rsidRPr="00027441" w:rsidR="00E00915" w:rsidP="009120CD" w:rsidRDefault="00E00915" w14:paraId="52494427" w14:textId="77777777">
            <w:pPr>
              <w:pStyle w:val="ListParagraph"/>
              <w:keepNext/>
              <w:ind w:left="0"/>
              <w:rPr>
                <w:b/>
              </w:rPr>
            </w:pPr>
          </w:p>
        </w:tc>
        <w:tc>
          <w:tcPr>
            <w:tcW w:w="6096" w:type="dxa"/>
          </w:tcPr>
          <w:p w:rsidR="00E00915" w:rsidP="009120CD" w:rsidRDefault="00E00915" w14:paraId="5FC8797D" w14:textId="77777777">
            <w:pPr>
              <w:pStyle w:val="ListParagraph"/>
              <w:ind w:left="-108"/>
            </w:pPr>
          </w:p>
        </w:tc>
      </w:tr>
      <w:tr w:rsidRPr="00A74B4C" w:rsidR="00E00915" w:rsidTr="004E4367" w14:paraId="7163C699" w14:textId="77777777">
        <w:tc>
          <w:tcPr>
            <w:tcW w:w="1701" w:type="dxa"/>
          </w:tcPr>
          <w:p w:rsidRPr="00027441" w:rsidR="00E00915" w:rsidP="009120CD" w:rsidRDefault="00E00915" w14:paraId="20952046" w14:textId="1C895283">
            <w:pPr>
              <w:pStyle w:val="ListParagraph"/>
              <w:keepNext/>
              <w:ind w:left="0"/>
              <w:rPr>
                <w:b/>
              </w:rPr>
            </w:pPr>
            <w:r>
              <w:rPr>
                <w:b/>
              </w:rPr>
              <w:t>Referentie:</w:t>
            </w:r>
          </w:p>
        </w:tc>
        <w:tc>
          <w:tcPr>
            <w:tcW w:w="6096" w:type="dxa"/>
          </w:tcPr>
          <w:p w:rsidR="00E00915" w:rsidP="009120CD" w:rsidRDefault="00E00915" w14:paraId="45E43A99" w14:textId="77777777">
            <w:pPr>
              <w:pStyle w:val="ListParagraph"/>
              <w:ind w:left="-108"/>
            </w:pPr>
            <w:r>
              <w:t>Initiatiefadvies</w:t>
            </w:r>
          </w:p>
          <w:p w:rsidR="00E00915" w:rsidP="009120CD" w:rsidRDefault="00E00915" w14:paraId="1403D089" w14:textId="1C8A66F6">
            <w:pPr>
              <w:pStyle w:val="ListParagraph"/>
              <w:ind w:left="-108"/>
            </w:pPr>
            <w:r>
              <w:t>EESC-2022-00827-00-00-AC</w:t>
            </w:r>
          </w:p>
        </w:tc>
      </w:tr>
    </w:tbl>
    <w:p w:rsidRPr="009B70E7" w:rsidR="00961956" w:rsidP="009120CD" w:rsidRDefault="00961956" w14:paraId="148D7539" w14:textId="77777777">
      <w:pPr>
        <w:pStyle w:val="ListParagraph"/>
        <w:keepNext/>
        <w:ind w:left="0"/>
      </w:pPr>
    </w:p>
    <w:p w:rsidRPr="009B70E7" w:rsidR="00961956" w:rsidP="009120CD" w:rsidRDefault="00961956" w14:paraId="11D6B73E" w14:textId="1A0B4F05">
      <w:pPr>
        <w:pStyle w:val="ListParagraph"/>
        <w:ind w:left="0" w:firstLine="142"/>
        <w:rPr>
          <w:b/>
        </w:rPr>
      </w:pPr>
      <w:r>
        <w:rPr>
          <w:b/>
        </w:rPr>
        <w:t>Hoofdpunten</w:t>
      </w:r>
    </w:p>
    <w:p w:rsidRPr="00027441" w:rsidR="00961956" w:rsidP="009120CD" w:rsidRDefault="00961956" w14:paraId="75408D74" w14:textId="77777777">
      <w:pPr>
        <w:pStyle w:val="ListParagraph"/>
        <w:ind w:left="0" w:firstLine="142"/>
        <w:rPr>
          <w:bCs/>
        </w:rPr>
      </w:pPr>
    </w:p>
    <w:p w:rsidR="00824DCF" w:rsidP="009120CD" w:rsidRDefault="00824DCF" w14:paraId="487F835E" w14:textId="77777777">
      <w:pPr>
        <w:pStyle w:val="ListParagraph"/>
        <w:ind w:left="0" w:firstLine="142"/>
      </w:pPr>
      <w:r>
        <w:t>Het EESC:</w:t>
      </w:r>
    </w:p>
    <w:p w:rsidRPr="009B70E7" w:rsidR="00824DCF" w:rsidP="009120CD" w:rsidRDefault="00824DCF" w14:paraId="5EDF7A19" w14:textId="77777777">
      <w:pPr>
        <w:pStyle w:val="ListParagraph"/>
        <w:ind w:left="0"/>
      </w:pPr>
    </w:p>
    <w:p w:rsidRPr="00F049D6" w:rsidR="00961956" w:rsidP="009120CD" w:rsidRDefault="00C80321" w14:paraId="3E5BFFD4" w14:textId="328AB13C">
      <w:pPr>
        <w:pStyle w:val="ListParagraph"/>
        <w:numPr>
          <w:ilvl w:val="0"/>
          <w:numId w:val="3"/>
        </w:numPr>
        <w:ind w:left="357" w:hanging="357"/>
      </w:pPr>
      <w:r>
        <w:t xml:space="preserve">meent dat de klimaatcrisis enorme gevolgen voor Europa en de rest van de wereld heeft. Deskundigen wijzen op een </w:t>
      </w:r>
      <w:r>
        <w:rPr>
          <w:b/>
        </w:rPr>
        <w:t>gebrek aan financiering, een te beperkt engagement bij de burgers en de particuliere sector en uitblijvend politiek leiderschap bij de aanpassing aan de klimaatverandering</w:t>
      </w:r>
      <w:r>
        <w:t>;</w:t>
      </w:r>
    </w:p>
    <w:p w:rsidRPr="00F049D6" w:rsidR="002C24B9" w:rsidP="009120CD" w:rsidRDefault="00C80321" w14:paraId="6A722D52" w14:textId="3BC2308D">
      <w:pPr>
        <w:pStyle w:val="ListParagraph"/>
        <w:numPr>
          <w:ilvl w:val="0"/>
          <w:numId w:val="3"/>
        </w:numPr>
        <w:ind w:left="357" w:hanging="357"/>
      </w:pPr>
      <w:r>
        <w:t>beveelt aan de</w:t>
      </w:r>
      <w:r>
        <w:rPr>
          <w:b/>
        </w:rPr>
        <w:t xml:space="preserve"> investeringen in het elektriciteitsnet</w:t>
      </w:r>
      <w:r>
        <w:t xml:space="preserve"> te verdubbelen tot 55 miljard EUR per jaar en het </w:t>
      </w:r>
      <w:r>
        <w:rPr>
          <w:b/>
        </w:rPr>
        <w:t>budget voor de opbouw van schone productiecapaciteit te verhogen</w:t>
      </w:r>
      <w:r>
        <w:t xml:space="preserve"> tot 75 miljard EUR per jaar, om aan de toenemende vraag naar elektriciteit te voldoen en de klimaatdoelstellingen te verwezenlijken;</w:t>
      </w:r>
    </w:p>
    <w:p w:rsidRPr="00C80321" w:rsidR="00394949" w:rsidP="009120CD" w:rsidRDefault="00C80321" w14:paraId="3941A3AB" w14:textId="5D61B7F2">
      <w:pPr>
        <w:pStyle w:val="ListParagraph"/>
        <w:numPr>
          <w:ilvl w:val="0"/>
          <w:numId w:val="3"/>
        </w:numPr>
        <w:ind w:left="357" w:hanging="357"/>
      </w:pPr>
      <w:r>
        <w:t xml:space="preserve">meent dat de </w:t>
      </w:r>
      <w:r>
        <w:rPr>
          <w:b/>
        </w:rPr>
        <w:t>opzet en de regulering van de markt moeten worden aangepast aan de nieuwe realiteit waarin de toekomst aan hernieuwbare energiebronnen is</w:t>
      </w:r>
      <w:r>
        <w:t xml:space="preserve"> (daarbij gaat het er onder meer om de productie te decentraliseren en energie meer ter plaatse te verbruiken);</w:t>
      </w:r>
    </w:p>
    <w:p w:rsidRPr="00C80321" w:rsidR="00C80321" w:rsidP="009120CD" w:rsidRDefault="00C80321" w14:paraId="08DAB17C" w14:textId="2B4039D5">
      <w:pPr>
        <w:pStyle w:val="ListParagraph"/>
        <w:numPr>
          <w:ilvl w:val="0"/>
          <w:numId w:val="3"/>
        </w:numPr>
        <w:ind w:left="357" w:hanging="357"/>
      </w:pPr>
      <w:r>
        <w:t>is dan ook verheugd over het voornemen van de Commissie om na te gaan hoe de opzet van de elektriciteitsmarkt kan worden geoptimaliseerd en spreekt zich krachtig uit voor marktbeoordelingen, aan de hand waarvan het gedrag van alle potentiële spelers op de energiemarkt en de opzet van de energiemarkt worden geanalyseerd;</w:t>
      </w:r>
    </w:p>
    <w:p w:rsidRPr="00C80321" w:rsidR="00C80321" w:rsidP="009120CD" w:rsidRDefault="00C80321" w14:paraId="59F75F05" w14:textId="0743366A">
      <w:pPr>
        <w:pStyle w:val="ListParagraph"/>
        <w:numPr>
          <w:ilvl w:val="0"/>
          <w:numId w:val="3"/>
        </w:numPr>
        <w:ind w:left="357" w:hanging="357"/>
      </w:pPr>
      <w:r>
        <w:t xml:space="preserve">verzoekt de Commissie om zich te verdiepen in de </w:t>
      </w:r>
      <w:r>
        <w:rPr>
          <w:b/>
        </w:rPr>
        <w:t>voor- en nadelen van openbaar en particulier eigendom en/of particuliere financiering van energie-infrastructuren voor een goed werkende energiemarkt</w:t>
      </w:r>
      <w:r>
        <w:t xml:space="preserve"> in het kader van haar geplande beoordeling van de opties voor het optimaliseren van de opzet van de energiemarkt;</w:t>
      </w:r>
    </w:p>
    <w:p w:rsidRPr="00C80321" w:rsidR="00C80321" w:rsidP="009120CD" w:rsidRDefault="00C80321" w14:paraId="388B333C" w14:textId="406674F8">
      <w:pPr>
        <w:pStyle w:val="ListParagraph"/>
        <w:numPr>
          <w:ilvl w:val="0"/>
          <w:numId w:val="3"/>
        </w:numPr>
        <w:ind w:left="357" w:hanging="357"/>
      </w:pPr>
      <w:r>
        <w:t xml:space="preserve">is ervan overtuigd dat er </w:t>
      </w:r>
      <w:r>
        <w:rPr>
          <w:b/>
        </w:rPr>
        <w:t>in het bijzonder op moet worden gelet dat de uitbreiding van de netten wordt omschreven</w:t>
      </w:r>
      <w:r>
        <w:t xml:space="preserve"> als een kwestie van zwaarwegend openbaar belang, dat klimaatbescherming wordt aangemerkt als doelstelling van de regulering en dat in het algemeen plannen voor hernieuwbare energie en voor het elektriciteitsnet beter op elkaar worden afgestemd;</w:t>
      </w:r>
    </w:p>
    <w:p w:rsidR="00C80321" w:rsidP="009120CD" w:rsidRDefault="00C80321" w14:paraId="35A2290F" w14:textId="4B9B228B">
      <w:pPr>
        <w:pStyle w:val="ListParagraph"/>
        <w:numPr>
          <w:ilvl w:val="0"/>
          <w:numId w:val="3"/>
        </w:numPr>
        <w:ind w:left="357" w:hanging="357"/>
      </w:pPr>
      <w:r>
        <w:rPr>
          <w:b/>
          <w:bCs/>
        </w:rPr>
        <w:t>is van mening dat gemengde financiering waarbij ook particuliere investeerders worden betrokken, alleen een optie is wanneer is gegarandeerd dat de financiering transparant is en de overheid niet in ongerechtvaardigde mate duurder uit is dan in geval van overheidsfinanciering</w:t>
      </w:r>
      <w:r>
        <w:t>. Over gerechtvaardigde extra kosten moet volledige transparantie bestaan;</w:t>
      </w:r>
    </w:p>
    <w:p w:rsidR="00C80321" w:rsidP="009120CD" w:rsidRDefault="00C80321" w14:paraId="19890EEE" w14:textId="17DE338F">
      <w:pPr>
        <w:pStyle w:val="ListParagraph"/>
        <w:numPr>
          <w:ilvl w:val="0"/>
          <w:numId w:val="3"/>
        </w:numPr>
        <w:ind w:left="357" w:hanging="357"/>
      </w:pPr>
      <w:r>
        <w:t>vreest dat de combinatie van extreem hoge winsten van energiebedrijven en toenemende energiearmoede als gevolg van torenhoge energieprijzen tot een gevaarlijke uitbarsting in de samenleving kan leiden;</w:t>
      </w:r>
    </w:p>
    <w:p w:rsidR="00C80321" w:rsidP="009120CD" w:rsidRDefault="00C80321" w14:paraId="426CBDDB" w14:textId="387ACA9F">
      <w:pPr>
        <w:pStyle w:val="ListParagraph"/>
        <w:numPr>
          <w:ilvl w:val="0"/>
          <w:numId w:val="3"/>
        </w:numPr>
        <w:ind w:left="357" w:hanging="357"/>
      </w:pPr>
      <w:r>
        <w:lastRenderedPageBreak/>
        <w:t xml:space="preserve">stelt voor </w:t>
      </w:r>
      <w:r>
        <w:rPr>
          <w:b/>
        </w:rPr>
        <w:t>om deze winsten met behulp van belastingen af te romen en als financiële compensatie door te sluizen naar energieverbruikers, en te gebruiken voor de uitbreiding van de productie van duurzame energie en de noodzakelijke netwerkinfrastructuur</w:t>
      </w:r>
      <w:r>
        <w:t>;</w:t>
      </w:r>
    </w:p>
    <w:p w:rsidRPr="00C80321" w:rsidR="00C80321" w:rsidP="009120CD" w:rsidRDefault="00C80321" w14:paraId="59BC0C87" w14:textId="131FA362">
      <w:pPr>
        <w:pStyle w:val="ListParagraph"/>
        <w:numPr>
          <w:ilvl w:val="0"/>
          <w:numId w:val="3"/>
        </w:numPr>
        <w:ind w:left="357" w:hanging="357"/>
      </w:pPr>
      <w:r>
        <w:t xml:space="preserve">is van mening dat, teneinde </w:t>
      </w:r>
      <w:r>
        <w:rPr>
          <w:b/>
        </w:rPr>
        <w:t>energiebedrijven niet te ontmoedigen</w:t>
      </w:r>
      <w:r>
        <w:t xml:space="preserve"> om in koolstofarme oplossingen te investeren, een dergelijke belasting zeer omzichtig zou moeten worden gedefinieerd;</w:t>
      </w:r>
    </w:p>
    <w:p w:rsidRPr="00C80321" w:rsidR="00C80321" w:rsidP="009120CD" w:rsidRDefault="00C80321" w14:paraId="620016E2" w14:textId="58560884">
      <w:pPr>
        <w:pStyle w:val="ListParagraph"/>
        <w:numPr>
          <w:ilvl w:val="0"/>
          <w:numId w:val="3"/>
        </w:numPr>
        <w:ind w:left="357" w:hanging="357"/>
      </w:pPr>
      <w:r>
        <w:t xml:space="preserve">beveelt opnieuw aan </w:t>
      </w:r>
      <w:r>
        <w:rPr>
          <w:b/>
        </w:rPr>
        <w:t>de “gouden regel” toe te passen bij overheidsinvesteringen</w:t>
      </w:r>
      <w:r>
        <w:t>, teneinde de productiviteit te waarborgen en de sociale en ecologische basis voor het welzijn van toekomstige generaties te beschermen;</w:t>
      </w:r>
    </w:p>
    <w:p w:rsidRPr="00C80321" w:rsidR="00394949" w:rsidP="009120CD" w:rsidRDefault="00C80321" w14:paraId="31E62463" w14:textId="5482DC6E">
      <w:pPr>
        <w:pStyle w:val="ListParagraph"/>
        <w:numPr>
          <w:ilvl w:val="0"/>
          <w:numId w:val="3"/>
        </w:numPr>
        <w:ind w:left="357" w:hanging="357"/>
      </w:pPr>
      <w:r>
        <w:t xml:space="preserve">meent dat de ontwikkelingen van het laatste decennium, de uitdagingen rond de uitbreiding van het net, de enorme stijging van de energieprijzen, het gevaar van cyberaanvallen en niet in het minst de oorlog in Oekraïne duidelijk aangeven waar het in wezen om gaat: de vraag </w:t>
      </w:r>
      <w:r>
        <w:rPr>
          <w:b/>
        </w:rPr>
        <w:t>wie in de toekomst zeggenschap heeft over zulke essentiële infrastructuur als het energienet</w:t>
      </w:r>
      <w:r>
        <w:t>. Er is dus primair sprake van een openbaar belang. Dat zou dienovereenkomstig een openbaar eigendom vereisen, dat het algemeen belang dient en bestaande ongelijkheden verhelpt.</w:t>
      </w:r>
    </w:p>
    <w:p w:rsidRPr="001346B6" w:rsidR="00961956" w:rsidP="009120CD" w:rsidRDefault="00961956" w14:paraId="650EBC4F" w14:textId="77777777">
      <w:pPr>
        <w:rPr>
          <w:sz w:val="18"/>
          <w:szCs w:val="18"/>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961956" w:rsidTr="00771110" w14:paraId="196AAA5A" w14:textId="77777777">
        <w:tc>
          <w:tcPr>
            <w:tcW w:w="1418" w:type="dxa"/>
          </w:tcPr>
          <w:p w:rsidRPr="009B70E7" w:rsidR="00961956" w:rsidP="009120CD" w:rsidRDefault="00961956" w14:paraId="015B1472" w14:textId="77777777">
            <w:pPr>
              <w:pStyle w:val="ListParagraph"/>
              <w:ind w:left="0"/>
              <w:rPr>
                <w:i/>
              </w:rPr>
            </w:pPr>
            <w:r>
              <w:rPr>
                <w:b/>
                <w:i/>
              </w:rPr>
              <w:t>Contactpersoon</w:t>
            </w:r>
          </w:p>
        </w:tc>
        <w:tc>
          <w:tcPr>
            <w:tcW w:w="5670" w:type="dxa"/>
          </w:tcPr>
          <w:p w:rsidRPr="009B70E7" w:rsidR="00961956" w:rsidP="009120CD" w:rsidRDefault="00413EA0" w14:paraId="1E2C028D" w14:textId="5829509D">
            <w:pPr>
              <w:pStyle w:val="ListParagraph"/>
              <w:ind w:left="0"/>
              <w:rPr>
                <w:i/>
              </w:rPr>
            </w:pPr>
            <w:r>
              <w:rPr>
                <w:i/>
              </w:rPr>
              <w:t>Layla Reiter</w:t>
            </w:r>
          </w:p>
        </w:tc>
      </w:tr>
      <w:tr w:rsidRPr="009B70E7" w:rsidR="00961956" w:rsidTr="00771110" w14:paraId="767EF621" w14:textId="77777777">
        <w:tc>
          <w:tcPr>
            <w:tcW w:w="1418" w:type="dxa"/>
          </w:tcPr>
          <w:p w:rsidRPr="009B70E7" w:rsidR="00961956" w:rsidP="009120CD" w:rsidRDefault="00961956" w14:paraId="2C15F67B" w14:textId="77777777">
            <w:pPr>
              <w:pStyle w:val="ListParagraph"/>
              <w:ind w:left="601"/>
              <w:rPr>
                <w:i/>
              </w:rPr>
            </w:pPr>
            <w:r>
              <w:rPr>
                <w:i/>
              </w:rPr>
              <w:t>Tel.</w:t>
            </w:r>
          </w:p>
        </w:tc>
        <w:tc>
          <w:tcPr>
            <w:tcW w:w="5670" w:type="dxa"/>
          </w:tcPr>
          <w:p w:rsidRPr="009B70E7" w:rsidR="00961956" w:rsidP="009120CD" w:rsidRDefault="002C24B9" w14:paraId="619D9C38" w14:textId="5732F18A">
            <w:pPr>
              <w:pStyle w:val="ListParagraph"/>
              <w:ind w:left="0"/>
              <w:rPr>
                <w:i/>
              </w:rPr>
            </w:pPr>
            <w:r>
              <w:rPr>
                <w:i/>
              </w:rPr>
              <w:t>00 32 2 546 93 68</w:t>
            </w:r>
          </w:p>
        </w:tc>
      </w:tr>
      <w:tr w:rsidRPr="009B70E7" w:rsidR="00961956" w:rsidTr="00771110" w14:paraId="0B88B3E2" w14:textId="77777777">
        <w:tc>
          <w:tcPr>
            <w:tcW w:w="1418" w:type="dxa"/>
          </w:tcPr>
          <w:p w:rsidRPr="009B70E7" w:rsidR="00961956" w:rsidP="009120CD" w:rsidRDefault="00961956" w14:paraId="7FB55A27" w14:textId="77777777">
            <w:pPr>
              <w:pStyle w:val="ListParagraph"/>
              <w:ind w:left="601"/>
              <w:rPr>
                <w:i/>
              </w:rPr>
            </w:pPr>
            <w:r>
              <w:rPr>
                <w:i/>
              </w:rPr>
              <w:t>E-mail</w:t>
            </w:r>
          </w:p>
        </w:tc>
        <w:tc>
          <w:tcPr>
            <w:tcW w:w="5670" w:type="dxa"/>
          </w:tcPr>
          <w:p w:rsidRPr="009B70E7" w:rsidR="00F80F3B" w:rsidP="009120CD" w:rsidRDefault="00C56F85" w14:paraId="6B508845" w14:textId="5DBC54B5">
            <w:pPr>
              <w:pStyle w:val="ListParagraph"/>
              <w:ind w:left="0"/>
              <w:rPr>
                <w:i/>
              </w:rPr>
            </w:pPr>
            <w:hyperlink w:history="1" r:id="rId31">
              <w:r w:rsidR="0064748D">
                <w:rPr>
                  <w:rStyle w:val="Hyperlink"/>
                  <w:i/>
                </w:rPr>
                <w:t>Layla.Reiter@eesc.europa.eu</w:t>
              </w:r>
            </w:hyperlink>
          </w:p>
        </w:tc>
      </w:tr>
      <w:bookmarkEnd w:id="16"/>
    </w:tbl>
    <w:p w:rsidRPr="001346B6" w:rsidR="00037A85" w:rsidP="009120CD" w:rsidRDefault="00037A85" w14:paraId="3802F4D5" w14:textId="77777777">
      <w:pPr>
        <w:jc w:val="left"/>
      </w:pPr>
    </w:p>
    <w:p w:rsidRPr="00413EA0" w:rsidR="00E66A9B" w:rsidP="009120CD" w:rsidRDefault="00F3200A" w14:paraId="73791747" w14:textId="4FE60FD0">
      <w:pPr>
        <w:pStyle w:val="ListParagraph"/>
        <w:keepNext/>
        <w:numPr>
          <w:ilvl w:val="0"/>
          <w:numId w:val="2"/>
        </w:numPr>
        <w:ind w:left="567" w:hanging="567"/>
        <w:rPr>
          <w:rStyle w:val="Hyperlink"/>
          <w:b/>
          <w:i/>
          <w:color w:val="auto"/>
          <w:sz w:val="28"/>
          <w:szCs w:val="28"/>
          <w:u w:val="none"/>
        </w:rPr>
      </w:pPr>
      <w:r>
        <w:rPr>
          <w:b/>
          <w:i/>
          <w:sz w:val="28"/>
        </w:rPr>
        <w:t>Co-creatie van diensten van algemeen belang als bijdrage aan een meer participatieve democratie in de EU</w:t>
      </w:r>
    </w:p>
    <w:p w:rsidRPr="001346B6" w:rsidR="00E66A9B" w:rsidP="009120CD" w:rsidRDefault="00E66A9B" w14:paraId="077F0033" w14:textId="77777777">
      <w:pPr>
        <w:keepNext/>
        <w:rPr>
          <w:b/>
          <w:i/>
          <w:sz w:val="18"/>
          <w:szCs w:val="18"/>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E66A9B" w:rsidTr="004E4367" w14:paraId="7617DBB6" w14:textId="77777777">
        <w:tc>
          <w:tcPr>
            <w:tcW w:w="1701" w:type="dxa"/>
          </w:tcPr>
          <w:p w:rsidRPr="009B70E7" w:rsidR="00E66A9B" w:rsidP="009120CD" w:rsidRDefault="00E66A9B" w14:paraId="2E374C51" w14:textId="77777777">
            <w:pPr>
              <w:pStyle w:val="ListParagraph"/>
              <w:keepNext/>
              <w:ind w:left="0"/>
              <w:rPr>
                <w:b/>
              </w:rPr>
            </w:pPr>
            <w:r>
              <w:rPr>
                <w:b/>
              </w:rPr>
              <w:t>Rapporteur:</w:t>
            </w:r>
          </w:p>
        </w:tc>
        <w:tc>
          <w:tcPr>
            <w:tcW w:w="6096" w:type="dxa"/>
          </w:tcPr>
          <w:p w:rsidRPr="007E7A4F" w:rsidR="00E66A9B" w:rsidP="009120CD" w:rsidRDefault="00E66A9B" w14:paraId="1A778436" w14:textId="501C75BF">
            <w:pPr>
              <w:pStyle w:val="ListParagraph"/>
              <w:ind w:left="-108"/>
            </w:pPr>
            <w:r>
              <w:t>Krzysztof BALON (groep Maatschappelijke Organisaties – PL)</w:t>
            </w:r>
          </w:p>
        </w:tc>
      </w:tr>
      <w:tr w:rsidRPr="00A74B4C" w:rsidR="00E66A9B" w:rsidTr="004E4367" w14:paraId="3E966487" w14:textId="77777777">
        <w:tc>
          <w:tcPr>
            <w:tcW w:w="1701" w:type="dxa"/>
          </w:tcPr>
          <w:p w:rsidRPr="009B70E7" w:rsidR="00E66A9B" w:rsidP="009120CD" w:rsidRDefault="00E66A9B" w14:paraId="0C54DBFE" w14:textId="77777777">
            <w:pPr>
              <w:pStyle w:val="ListParagraph"/>
              <w:ind w:left="0"/>
              <w:rPr>
                <w:b/>
              </w:rPr>
            </w:pPr>
            <w:r>
              <w:rPr>
                <w:b/>
              </w:rPr>
              <w:t>Corapporteur:</w:t>
            </w:r>
          </w:p>
        </w:tc>
        <w:tc>
          <w:tcPr>
            <w:tcW w:w="6096" w:type="dxa"/>
          </w:tcPr>
          <w:p w:rsidRPr="00A74B4C" w:rsidR="00F256CD" w:rsidP="009120CD" w:rsidRDefault="00E66A9B" w14:paraId="2E8850F4" w14:textId="049CAFDB">
            <w:pPr>
              <w:pStyle w:val="ListParagraph"/>
              <w:ind w:left="-108"/>
            </w:pPr>
            <w:r>
              <w:t>Thomas KATTNIG (groep Werknemers – AT)</w:t>
            </w:r>
          </w:p>
        </w:tc>
      </w:tr>
      <w:tr w:rsidRPr="00A74B4C" w:rsidR="00E00915" w:rsidTr="004E4367" w14:paraId="287EF6BD" w14:textId="77777777">
        <w:tc>
          <w:tcPr>
            <w:tcW w:w="1701" w:type="dxa"/>
          </w:tcPr>
          <w:p w:rsidRPr="00E65D01" w:rsidR="00E00915" w:rsidP="009120CD" w:rsidRDefault="00E00915" w14:paraId="420833D9" w14:textId="77777777">
            <w:pPr>
              <w:pStyle w:val="ListParagraph"/>
              <w:ind w:left="0"/>
              <w:rPr>
                <w:b/>
                <w:lang w:val="fr-BE"/>
              </w:rPr>
            </w:pPr>
          </w:p>
        </w:tc>
        <w:tc>
          <w:tcPr>
            <w:tcW w:w="6096" w:type="dxa"/>
          </w:tcPr>
          <w:p w:rsidRPr="00413EA0" w:rsidR="00E00915" w:rsidP="009120CD" w:rsidRDefault="00E00915" w14:paraId="4FB9DDCE" w14:textId="77777777">
            <w:pPr>
              <w:pStyle w:val="ListParagraph"/>
              <w:ind w:left="-108"/>
            </w:pPr>
          </w:p>
        </w:tc>
      </w:tr>
      <w:tr w:rsidRPr="00A74B4C" w:rsidR="00E00915" w:rsidTr="004E4367" w14:paraId="666F65E6" w14:textId="77777777">
        <w:tc>
          <w:tcPr>
            <w:tcW w:w="1701" w:type="dxa"/>
          </w:tcPr>
          <w:p w:rsidRPr="00E65D01" w:rsidR="00E00915" w:rsidP="009120CD" w:rsidRDefault="00E00915" w14:paraId="7608AE5F" w14:textId="65DD0947">
            <w:pPr>
              <w:pStyle w:val="ListParagraph"/>
              <w:ind w:left="0"/>
              <w:rPr>
                <w:b/>
              </w:rPr>
            </w:pPr>
            <w:r>
              <w:rPr>
                <w:b/>
              </w:rPr>
              <w:t>Referentie:</w:t>
            </w:r>
          </w:p>
        </w:tc>
        <w:tc>
          <w:tcPr>
            <w:tcW w:w="6096" w:type="dxa"/>
          </w:tcPr>
          <w:p w:rsidR="00E00915" w:rsidP="009120CD" w:rsidRDefault="00E00915" w14:paraId="2FF8AF8E" w14:textId="77777777">
            <w:pPr>
              <w:pStyle w:val="ListParagraph"/>
              <w:ind w:left="-108"/>
            </w:pPr>
            <w:r>
              <w:t>Initiatiefadvies</w:t>
            </w:r>
          </w:p>
          <w:p w:rsidRPr="00413EA0" w:rsidR="00E00915" w:rsidP="009120CD" w:rsidRDefault="00E00915" w14:paraId="46167410" w14:textId="4EE684E3">
            <w:pPr>
              <w:pStyle w:val="ListParagraph"/>
              <w:ind w:left="-108"/>
            </w:pPr>
            <w:r>
              <w:t>EESC-2022-00662-00-00-AC</w:t>
            </w:r>
          </w:p>
        </w:tc>
      </w:tr>
    </w:tbl>
    <w:p w:rsidRPr="001346B6" w:rsidR="00E66A9B" w:rsidP="001346B6" w:rsidRDefault="00E66A9B" w14:paraId="0D2579F4" w14:textId="77777777">
      <w:pPr>
        <w:pStyle w:val="ListParagraph"/>
        <w:keepNext/>
        <w:spacing w:line="276" w:lineRule="auto"/>
        <w:ind w:left="0"/>
        <w:rPr>
          <w:sz w:val="18"/>
          <w:szCs w:val="18"/>
        </w:rPr>
      </w:pPr>
    </w:p>
    <w:p w:rsidRPr="00027441" w:rsidR="00E66A9B" w:rsidP="001346B6" w:rsidRDefault="00E66A9B" w14:paraId="71C43DFC" w14:textId="22D53DCB">
      <w:pPr>
        <w:pStyle w:val="ListParagraph"/>
        <w:spacing w:line="276" w:lineRule="auto"/>
        <w:ind w:left="0" w:firstLine="142"/>
        <w:rPr>
          <w:b/>
        </w:rPr>
      </w:pPr>
      <w:r>
        <w:rPr>
          <w:b/>
        </w:rPr>
        <w:t>Hoofdpunten</w:t>
      </w:r>
    </w:p>
    <w:p w:rsidRPr="001346B6" w:rsidR="00E66A9B" w:rsidP="001346B6" w:rsidRDefault="00E66A9B" w14:paraId="108ADD2B" w14:textId="77777777">
      <w:pPr>
        <w:pStyle w:val="ListParagraph"/>
        <w:spacing w:line="276" w:lineRule="auto"/>
        <w:ind w:left="0"/>
        <w:rPr>
          <w:sz w:val="18"/>
          <w:szCs w:val="18"/>
        </w:rPr>
      </w:pPr>
    </w:p>
    <w:p w:rsidR="00E66A9B" w:rsidP="001346B6" w:rsidRDefault="00E66A9B" w14:paraId="3A536E66" w14:textId="77777777">
      <w:pPr>
        <w:pStyle w:val="ListParagraph"/>
        <w:spacing w:line="276" w:lineRule="auto"/>
        <w:ind w:left="0" w:firstLine="142"/>
      </w:pPr>
      <w:bookmarkStart w:name="_Hlk113974725" w:id="17"/>
      <w:r>
        <w:t>Het EESC:</w:t>
      </w:r>
      <w:bookmarkEnd w:id="17"/>
    </w:p>
    <w:p w:rsidRPr="001346B6" w:rsidR="00E66A9B" w:rsidP="001346B6" w:rsidRDefault="00E66A9B" w14:paraId="2DBF063D" w14:textId="77777777">
      <w:pPr>
        <w:pStyle w:val="ListParagraph"/>
        <w:spacing w:line="276" w:lineRule="auto"/>
        <w:ind w:left="0"/>
        <w:rPr>
          <w:sz w:val="18"/>
          <w:szCs w:val="18"/>
        </w:rPr>
      </w:pPr>
    </w:p>
    <w:p w:rsidRPr="00F049D6" w:rsidR="00E66A9B" w:rsidP="009120CD" w:rsidRDefault="00C80321" w14:paraId="145F1B12" w14:textId="714F6822">
      <w:pPr>
        <w:pStyle w:val="ListParagraph"/>
        <w:numPr>
          <w:ilvl w:val="0"/>
          <w:numId w:val="3"/>
        </w:numPr>
        <w:ind w:left="357" w:hanging="357"/>
      </w:pPr>
      <w:r>
        <w:t xml:space="preserve">meent dat co-creatie van diensten van algemeen belang (DAB) door maatschappelijke organisaties en rechtstreeks door burgers een van de meest doeltreffende instrumenten is om de </w:t>
      </w:r>
      <w:r>
        <w:rPr>
          <w:b/>
          <w:bCs/>
        </w:rPr>
        <w:t>participatiedemocratie nieuw leven in te blazen</w:t>
      </w:r>
      <w:r>
        <w:t xml:space="preserve"> en zo de Europese integratie te versterken;</w:t>
      </w:r>
    </w:p>
    <w:p w:rsidRPr="00C80321" w:rsidR="00E66A9B" w:rsidP="009120CD" w:rsidRDefault="00C80321" w14:paraId="11E09D96" w14:textId="313DB5D9">
      <w:pPr>
        <w:pStyle w:val="ListParagraph"/>
        <w:numPr>
          <w:ilvl w:val="0"/>
          <w:numId w:val="3"/>
        </w:numPr>
        <w:ind w:left="357" w:hanging="357"/>
      </w:pPr>
      <w:r>
        <w:t xml:space="preserve">benadrukt dat het belangrijk is om de </w:t>
      </w:r>
      <w:r>
        <w:rPr>
          <w:b/>
          <w:bCs/>
        </w:rPr>
        <w:t xml:space="preserve">randvoorwaarden </w:t>
      </w:r>
      <w:r>
        <w:t>in de Europese Unie op dit gebied te</w:t>
      </w:r>
      <w:r>
        <w:rPr>
          <w:b/>
          <w:bCs/>
        </w:rPr>
        <w:t xml:space="preserve"> verbeteren</w:t>
      </w:r>
      <w:r>
        <w:t xml:space="preserve">, teneinde </w:t>
      </w:r>
      <w:r>
        <w:rPr>
          <w:b/>
          <w:bCs/>
        </w:rPr>
        <w:t>de bescherming van de rechten van en voordelen voor burgers uit te breiden</w:t>
      </w:r>
      <w:r>
        <w:t>;</w:t>
      </w:r>
    </w:p>
    <w:p w:rsidRPr="00C80321" w:rsidR="00C80321" w:rsidP="009120CD" w:rsidRDefault="00C80321" w14:paraId="0EA64CAF" w14:textId="0E5ACBCD">
      <w:pPr>
        <w:pStyle w:val="ListParagraph"/>
        <w:numPr>
          <w:ilvl w:val="0"/>
          <w:numId w:val="3"/>
        </w:numPr>
        <w:ind w:left="357" w:hanging="357"/>
      </w:pPr>
      <w:r>
        <w:t xml:space="preserve">pleit voor een </w:t>
      </w:r>
      <w:r>
        <w:rPr>
          <w:b/>
          <w:bCs/>
        </w:rPr>
        <w:t>gerichte toepassing van de co-creatiebenadering</w:t>
      </w:r>
      <w:r>
        <w:t>: DAB moeten samen met gebruikers, gemeenschappen en maatschappelijke organisaties worden ontworpen, omdat er op die manier voor kan worden gezorgd dat zij enerzijds in reële behoeften voorzien en anderzijds democratische participatie mogelijk maken;</w:t>
      </w:r>
    </w:p>
    <w:p w:rsidRPr="00C80321" w:rsidR="00C80321" w:rsidP="009120CD" w:rsidRDefault="00C80321" w14:paraId="4C493D3B" w14:textId="7509A9E8">
      <w:pPr>
        <w:pStyle w:val="ListParagraph"/>
        <w:numPr>
          <w:ilvl w:val="0"/>
          <w:numId w:val="3"/>
        </w:numPr>
        <w:ind w:left="357" w:hanging="357"/>
      </w:pPr>
      <w:r>
        <w:t xml:space="preserve">verzoekt de lidstaten derhalve instrumenten </w:t>
      </w:r>
      <w:r>
        <w:rPr>
          <w:b/>
          <w:bCs/>
        </w:rPr>
        <w:t>te ontwikkelen en/of te verbeteren</w:t>
      </w:r>
      <w:r>
        <w:t xml:space="preserve"> waarmee de participatie van burgers en maatschappelijke organisaties in het gehele proces van de verlening van diensten van algemeen belang wordt gewaarborgd;</w:t>
      </w:r>
    </w:p>
    <w:p w:rsidRPr="00C80321" w:rsidR="00C80321" w:rsidP="009120CD" w:rsidRDefault="00C80321" w14:paraId="0EC8230B" w14:textId="2FE1CDFF">
      <w:pPr>
        <w:pStyle w:val="ListParagraph"/>
        <w:numPr>
          <w:ilvl w:val="0"/>
          <w:numId w:val="3"/>
        </w:numPr>
        <w:ind w:left="357" w:hanging="357"/>
      </w:pPr>
      <w:r>
        <w:lastRenderedPageBreak/>
        <w:t xml:space="preserve">wijst erop dat een </w:t>
      </w:r>
      <w:r>
        <w:rPr>
          <w:b/>
          <w:bCs/>
        </w:rPr>
        <w:t>kwalitatief hoogstaande verlening van diensten van algemeen belang</w:t>
      </w:r>
      <w:r>
        <w:t xml:space="preserve"> ten behoeve van de burgers en de economie afhankelijk is en voorzien moet worden van voldoende middelen, d.w.z. financiële en personele middelen;</w:t>
      </w:r>
    </w:p>
    <w:p w:rsidRPr="00C80321" w:rsidR="00C80321" w:rsidP="009120CD" w:rsidRDefault="00C80321" w14:paraId="04A87121" w14:textId="518A1BDA">
      <w:pPr>
        <w:pStyle w:val="ListParagraph"/>
        <w:numPr>
          <w:ilvl w:val="0"/>
          <w:numId w:val="3"/>
        </w:numPr>
        <w:ind w:left="357" w:hanging="357"/>
      </w:pPr>
      <w:r>
        <w:t xml:space="preserve">benadrukt dat, hoewel de randvoorwaarden voor het aanbieden en dus co-creëren van DAB in de eerste plaats onder de verantwoordelijkheid van de lidstaten, regio’s en gemeenten vallen, het ook dringend nodig is de lidstaten aan te moedigen om </w:t>
      </w:r>
      <w:r>
        <w:rPr>
          <w:b/>
          <w:bCs/>
        </w:rPr>
        <w:t>co-creatiebenaderingen te ontwikkelen door een toolkit te creëren die het gebruik van co-creatiemodellen vergemakkelijkt</w:t>
      </w:r>
      <w:r>
        <w:t>;</w:t>
      </w:r>
    </w:p>
    <w:p w:rsidRPr="009011ED" w:rsidR="00C80321" w:rsidP="009120CD" w:rsidRDefault="00C80321" w14:paraId="582E0CFD" w14:textId="5B60FC8C">
      <w:pPr>
        <w:pStyle w:val="ListParagraph"/>
        <w:numPr>
          <w:ilvl w:val="0"/>
          <w:numId w:val="3"/>
        </w:numPr>
        <w:ind w:left="357" w:hanging="357"/>
      </w:pPr>
      <w:r>
        <w:t>verzoekt de lidstaten uitvoering te geven aan artikel 77 van Richtlijn 2014/24/EU betreffende overheidsopdrachten waarbij opdrachten worden voorbehouden aan bepaalde organisaties zonder winstoogmerk voor bepaalde diensten op gezondheids-, sociaal, cultureel en onderwijsgebied, zoals vermeld in dat artikel;</w:t>
      </w:r>
    </w:p>
    <w:p w:rsidRPr="009011ED" w:rsidR="009011ED" w:rsidP="009120CD" w:rsidRDefault="009011ED" w14:paraId="32C57B00" w14:textId="2910E669">
      <w:pPr>
        <w:pStyle w:val="ListParagraph"/>
        <w:numPr>
          <w:ilvl w:val="0"/>
          <w:numId w:val="3"/>
        </w:numPr>
        <w:ind w:left="357" w:hanging="357"/>
      </w:pPr>
      <w:r>
        <w:t>stelt voor dat de Commissie een werkdocument hierover publiceert als uitgangspunt voor verdere werkzaamheden, gericht op de ontwikkeling van een “toolkit”, die de nationale, regionale en lokale autoriteiten moet aanmoedigen en begeleiden naar een intensiever gebruik van co-creatiemodellen.</w:t>
      </w:r>
    </w:p>
    <w:p w:rsidRPr="009011ED" w:rsidR="009011ED" w:rsidP="009120CD" w:rsidRDefault="009011ED" w14:paraId="08642496" w14:textId="0625715B">
      <w:pPr>
        <w:pStyle w:val="ListParagraph"/>
        <w:numPr>
          <w:ilvl w:val="0"/>
          <w:numId w:val="3"/>
        </w:numPr>
        <w:ind w:left="357" w:hanging="357"/>
      </w:pPr>
      <w:r>
        <w:t>Een dergelijk document moet onder meer de afwegingen betreffende co-creatie bevatten, in het licht van artikel 14 van het Verdrag betreffende de werking van de Europese Unie (VWEU) en Protocol nr. 26 bij het VEU en het VWEU, rekening houdend met de Europese pijler van sociale rechten, de specifieke rol van de sociale economie zonder winstoogmerk in co-creatie, en de daartoe vereiste randvoorwaarden;</w:t>
      </w:r>
    </w:p>
    <w:p w:rsidRPr="00F049D6" w:rsidR="009011ED" w:rsidP="009120CD" w:rsidRDefault="009011ED" w14:paraId="657A71D8" w14:textId="1B699CB2">
      <w:pPr>
        <w:pStyle w:val="ListParagraph"/>
        <w:numPr>
          <w:ilvl w:val="0"/>
          <w:numId w:val="3"/>
        </w:numPr>
        <w:ind w:left="357" w:hanging="357"/>
      </w:pPr>
      <w:r>
        <w:t xml:space="preserve">stelt voor </w:t>
      </w:r>
      <w:r>
        <w:rPr>
          <w:b/>
          <w:bCs/>
        </w:rPr>
        <w:t>een forum op te richten voor de uitwisseling van ideeën en beste praktijken</w:t>
      </w:r>
      <w:r>
        <w:t xml:space="preserve"> op dit gebied, met deelname van maatschappelijke organisaties, de sociale partners, universiteiten en onderzoeksprojecten, teneinde het debat op Europees niveau gaande te houden en verder te ontwikkelen.</w:t>
      </w:r>
    </w:p>
    <w:p w:rsidRPr="001346B6" w:rsidR="00E66A9B" w:rsidP="009120CD" w:rsidRDefault="00E66A9B" w14:paraId="32BD194E" w14:textId="77777777">
      <w:pPr>
        <w:rPr>
          <w:sz w:val="18"/>
          <w:szCs w:val="18"/>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E66A9B" w:rsidTr="004E4367" w14:paraId="0EC28AAE" w14:textId="77777777">
        <w:tc>
          <w:tcPr>
            <w:tcW w:w="1418" w:type="dxa"/>
          </w:tcPr>
          <w:p w:rsidRPr="009B70E7" w:rsidR="00E66A9B" w:rsidP="009120CD" w:rsidRDefault="00E66A9B" w14:paraId="1B80A03A" w14:textId="77777777">
            <w:pPr>
              <w:pStyle w:val="ListParagraph"/>
              <w:ind w:left="0"/>
              <w:rPr>
                <w:i/>
              </w:rPr>
            </w:pPr>
            <w:r>
              <w:rPr>
                <w:b/>
                <w:i/>
              </w:rPr>
              <w:t>Contactpersoon</w:t>
            </w:r>
          </w:p>
        </w:tc>
        <w:tc>
          <w:tcPr>
            <w:tcW w:w="5670" w:type="dxa"/>
          </w:tcPr>
          <w:p w:rsidRPr="009B70E7" w:rsidR="00E66A9B" w:rsidP="009120CD" w:rsidRDefault="00E66A9B" w14:paraId="308F9136" w14:textId="020CD17B">
            <w:pPr>
              <w:pStyle w:val="ListParagraph"/>
              <w:ind w:left="0"/>
              <w:rPr>
                <w:i/>
              </w:rPr>
            </w:pPr>
            <w:r>
              <w:rPr>
                <w:i/>
              </w:rPr>
              <w:t>Ágota Baszik</w:t>
            </w:r>
          </w:p>
        </w:tc>
      </w:tr>
      <w:tr w:rsidRPr="009B70E7" w:rsidR="00E66A9B" w:rsidTr="004E4367" w14:paraId="5B82065B" w14:textId="77777777">
        <w:tc>
          <w:tcPr>
            <w:tcW w:w="1418" w:type="dxa"/>
          </w:tcPr>
          <w:p w:rsidRPr="009B70E7" w:rsidR="00E66A9B" w:rsidP="009120CD" w:rsidRDefault="00E66A9B" w14:paraId="584EE251" w14:textId="77777777">
            <w:pPr>
              <w:pStyle w:val="ListParagraph"/>
              <w:ind w:left="601"/>
              <w:rPr>
                <w:i/>
              </w:rPr>
            </w:pPr>
            <w:r>
              <w:rPr>
                <w:i/>
              </w:rPr>
              <w:t>Tel.</w:t>
            </w:r>
          </w:p>
        </w:tc>
        <w:tc>
          <w:tcPr>
            <w:tcW w:w="5670" w:type="dxa"/>
          </w:tcPr>
          <w:p w:rsidRPr="009B70E7" w:rsidR="00E66A9B" w:rsidP="009120CD" w:rsidRDefault="00E66A9B" w14:paraId="654D249A" w14:textId="2F3FB09C">
            <w:pPr>
              <w:pStyle w:val="ListParagraph"/>
              <w:ind w:left="0"/>
              <w:rPr>
                <w:i/>
              </w:rPr>
            </w:pPr>
            <w:r>
              <w:rPr>
                <w:i/>
              </w:rPr>
              <w:t>00 32 2 546 86 58</w:t>
            </w:r>
          </w:p>
        </w:tc>
      </w:tr>
      <w:tr w:rsidRPr="009B70E7" w:rsidR="00E66A9B" w:rsidTr="004E4367" w14:paraId="5EF668E5" w14:textId="77777777">
        <w:tc>
          <w:tcPr>
            <w:tcW w:w="1418" w:type="dxa"/>
          </w:tcPr>
          <w:p w:rsidRPr="009B70E7" w:rsidR="00E66A9B" w:rsidP="009120CD" w:rsidRDefault="00E66A9B" w14:paraId="263AA5CE" w14:textId="77777777">
            <w:pPr>
              <w:pStyle w:val="ListParagraph"/>
              <w:ind w:left="601"/>
              <w:rPr>
                <w:i/>
              </w:rPr>
            </w:pPr>
            <w:r>
              <w:rPr>
                <w:i/>
              </w:rPr>
              <w:t>E-mail</w:t>
            </w:r>
          </w:p>
        </w:tc>
        <w:tc>
          <w:tcPr>
            <w:tcW w:w="5670" w:type="dxa"/>
          </w:tcPr>
          <w:p w:rsidRPr="009B70E7" w:rsidR="00E66A9B" w:rsidP="009120CD" w:rsidRDefault="00C56F85" w14:paraId="32F79406" w14:textId="235AF369">
            <w:pPr>
              <w:pStyle w:val="ListParagraph"/>
              <w:ind w:left="0"/>
              <w:rPr>
                <w:i/>
              </w:rPr>
            </w:pPr>
            <w:hyperlink w:history="1" r:id="rId32">
              <w:r w:rsidR="0064748D">
                <w:rPr>
                  <w:rStyle w:val="Hyperlink"/>
                  <w:i/>
                </w:rPr>
                <w:t>Agota.Baszik@eesc.europa.eu</w:t>
              </w:r>
            </w:hyperlink>
          </w:p>
        </w:tc>
      </w:tr>
    </w:tbl>
    <w:p w:rsidRPr="001346B6" w:rsidR="00037A85" w:rsidP="009120CD" w:rsidRDefault="00037A85" w14:paraId="085FE399" w14:textId="77777777">
      <w:pPr>
        <w:jc w:val="left"/>
      </w:pPr>
    </w:p>
    <w:p w:rsidRPr="009B70E7" w:rsidR="00D76363" w:rsidP="009120CD" w:rsidRDefault="00F3200A" w14:paraId="401CAB05" w14:textId="692CEFA9">
      <w:pPr>
        <w:pStyle w:val="ListParagraph"/>
        <w:keepNext/>
        <w:numPr>
          <w:ilvl w:val="0"/>
          <w:numId w:val="2"/>
        </w:numPr>
        <w:ind w:left="567" w:hanging="567"/>
        <w:rPr>
          <w:b/>
          <w:i/>
          <w:sz w:val="28"/>
          <w:szCs w:val="28"/>
        </w:rPr>
      </w:pPr>
      <w:bookmarkStart w:name="_Hlk113975861" w:id="18"/>
      <w:r>
        <w:rPr>
          <w:b/>
          <w:i/>
          <w:sz w:val="28"/>
        </w:rPr>
        <w:t>Ruimtepakket</w:t>
      </w:r>
    </w:p>
    <w:p w:rsidRPr="001346B6" w:rsidR="00D76363" w:rsidP="009120CD" w:rsidRDefault="00D76363" w14:paraId="26D9A939" w14:textId="77777777">
      <w:pPr>
        <w:pStyle w:val="ListParagraph"/>
        <w:keepNext/>
        <w:ind w:left="0"/>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812"/>
      </w:tblGrid>
      <w:tr w:rsidRPr="009B70E7" w:rsidR="00D76363" w:rsidTr="00F049D6" w14:paraId="1BC08D1D" w14:textId="77777777">
        <w:tc>
          <w:tcPr>
            <w:tcW w:w="1701" w:type="dxa"/>
          </w:tcPr>
          <w:p w:rsidRPr="009B70E7" w:rsidR="00D76363" w:rsidP="009120CD" w:rsidRDefault="00D76363" w14:paraId="073DB159" w14:textId="77777777">
            <w:pPr>
              <w:pStyle w:val="ListParagraph"/>
              <w:keepNext/>
              <w:ind w:left="0"/>
              <w:rPr>
                <w:b/>
              </w:rPr>
            </w:pPr>
            <w:r>
              <w:rPr>
                <w:b/>
              </w:rPr>
              <w:t>Rapporteur:</w:t>
            </w:r>
          </w:p>
        </w:tc>
        <w:tc>
          <w:tcPr>
            <w:tcW w:w="5812" w:type="dxa"/>
          </w:tcPr>
          <w:p w:rsidRPr="009B70E7" w:rsidR="00D76363" w:rsidP="009120CD" w:rsidRDefault="00F3200A" w14:paraId="64C95B4D" w14:textId="0230F142">
            <w:pPr>
              <w:pStyle w:val="ListParagraph"/>
              <w:keepNext/>
              <w:ind w:left="-56" w:right="-453"/>
            </w:pPr>
            <w:r>
              <w:t>Pierre-Jean COULON (groep Werknemers – FR)</w:t>
            </w:r>
          </w:p>
        </w:tc>
      </w:tr>
      <w:tr w:rsidRPr="009B70E7" w:rsidR="00D76363" w:rsidTr="00F049D6" w14:paraId="206D71D0" w14:textId="77777777">
        <w:tc>
          <w:tcPr>
            <w:tcW w:w="7513" w:type="dxa"/>
            <w:gridSpan w:val="2"/>
          </w:tcPr>
          <w:p w:rsidRPr="009B70E7" w:rsidR="00D76363" w:rsidP="009120CD" w:rsidRDefault="00D76363" w14:paraId="44F259D7" w14:textId="77777777">
            <w:pPr>
              <w:pStyle w:val="ListParagraph"/>
              <w:keepNext/>
              <w:ind w:left="0"/>
            </w:pPr>
          </w:p>
        </w:tc>
      </w:tr>
      <w:tr w:rsidRPr="009B70E7" w:rsidR="00D76363" w:rsidTr="00F049D6" w14:paraId="006CBBBB" w14:textId="77777777">
        <w:tc>
          <w:tcPr>
            <w:tcW w:w="1701" w:type="dxa"/>
            <w:vMerge w:val="restart"/>
          </w:tcPr>
          <w:p w:rsidRPr="009B70E7" w:rsidR="00D76363" w:rsidP="009120CD" w:rsidRDefault="00D76363" w14:paraId="21B3F0D6" w14:textId="77777777">
            <w:pPr>
              <w:pStyle w:val="ListParagraph"/>
              <w:keepNext/>
              <w:ind w:left="0"/>
              <w:rPr>
                <w:b/>
              </w:rPr>
            </w:pPr>
            <w:r>
              <w:rPr>
                <w:b/>
              </w:rPr>
              <w:t xml:space="preserve">Referentie: </w:t>
            </w:r>
          </w:p>
        </w:tc>
        <w:tc>
          <w:tcPr>
            <w:tcW w:w="5812" w:type="dxa"/>
          </w:tcPr>
          <w:p w:rsidRPr="009B70E7" w:rsidR="00D76363" w:rsidP="009120CD" w:rsidRDefault="00D76363" w14:paraId="0F2B0508" w14:textId="0A279174">
            <w:pPr>
              <w:pStyle w:val="ListParagraph"/>
              <w:keepNext/>
              <w:ind w:left="-56"/>
            </w:pPr>
            <w:r>
              <w:t>COM (2022) 57 final</w:t>
            </w:r>
          </w:p>
        </w:tc>
      </w:tr>
      <w:tr w:rsidRPr="009B70E7" w:rsidR="00D76363" w:rsidTr="00F049D6" w14:paraId="44A197BD" w14:textId="77777777">
        <w:tc>
          <w:tcPr>
            <w:tcW w:w="1701" w:type="dxa"/>
            <w:vMerge/>
          </w:tcPr>
          <w:p w:rsidRPr="009B70E7" w:rsidR="00D76363" w:rsidP="009120CD" w:rsidRDefault="00D76363" w14:paraId="666AB4C5" w14:textId="77777777">
            <w:pPr>
              <w:pStyle w:val="ListParagraph"/>
              <w:keepNext/>
              <w:ind w:left="0"/>
              <w:rPr>
                <w:b/>
              </w:rPr>
            </w:pPr>
          </w:p>
        </w:tc>
        <w:tc>
          <w:tcPr>
            <w:tcW w:w="5812" w:type="dxa"/>
          </w:tcPr>
          <w:p w:rsidRPr="009B70E7" w:rsidR="00D76363" w:rsidP="009120CD" w:rsidRDefault="00E65D01" w14:paraId="26A5E07B" w14:textId="71826A0F">
            <w:pPr>
              <w:pStyle w:val="ListParagraph"/>
              <w:keepNext/>
              <w:ind w:left="-56"/>
            </w:pPr>
            <w:r>
              <w:t>EESC-2022-01215-00-00-AC</w:t>
            </w:r>
          </w:p>
        </w:tc>
      </w:tr>
    </w:tbl>
    <w:p w:rsidRPr="001346B6" w:rsidR="00D76363" w:rsidP="009120CD" w:rsidRDefault="00D76363" w14:paraId="06470B53" w14:textId="77777777">
      <w:pPr>
        <w:pStyle w:val="ListParagraph"/>
        <w:keepNext/>
        <w:ind w:left="0"/>
        <w:rPr>
          <w:sz w:val="18"/>
          <w:szCs w:val="18"/>
        </w:rPr>
      </w:pPr>
    </w:p>
    <w:p w:rsidRPr="00CE23CC" w:rsidR="00F049D6" w:rsidP="009120CD" w:rsidRDefault="00CE23CC" w14:paraId="6E8A2493" w14:textId="0ABC5100">
      <w:pPr>
        <w:pStyle w:val="ListParagraph"/>
        <w:ind w:left="0" w:firstLine="142"/>
        <w:rPr>
          <w:b/>
        </w:rPr>
      </w:pPr>
      <w:r>
        <w:rPr>
          <w:b/>
        </w:rPr>
        <w:t>Hoofdpunten</w:t>
      </w:r>
    </w:p>
    <w:p w:rsidRPr="001346B6" w:rsidR="00F049D6" w:rsidP="009120CD" w:rsidRDefault="00F049D6" w14:paraId="44AA08CC" w14:textId="77106A21">
      <w:pPr>
        <w:pStyle w:val="ListParagraph"/>
        <w:ind w:left="0"/>
        <w:rPr>
          <w:sz w:val="18"/>
          <w:szCs w:val="18"/>
        </w:rPr>
      </w:pPr>
    </w:p>
    <w:p w:rsidRPr="00027441" w:rsidR="003C5614" w:rsidP="009120CD" w:rsidRDefault="003C5614" w14:paraId="4BC47BC2" w14:textId="4235E7EB">
      <w:pPr>
        <w:pStyle w:val="ListParagraph"/>
        <w:ind w:left="0" w:firstLine="142"/>
        <w:rPr>
          <w:bCs/>
        </w:rPr>
      </w:pPr>
      <w:bookmarkStart w:name="_Hlk113974934" w:id="19"/>
      <w:r>
        <w:t>Het EESC:</w:t>
      </w:r>
      <w:bookmarkEnd w:id="19"/>
    </w:p>
    <w:p w:rsidRPr="001346B6" w:rsidR="003C5614" w:rsidP="009120CD" w:rsidRDefault="003C5614" w14:paraId="290F00A2" w14:textId="77777777">
      <w:pPr>
        <w:pStyle w:val="ListParagraph"/>
        <w:ind w:left="0"/>
        <w:rPr>
          <w:sz w:val="18"/>
          <w:szCs w:val="18"/>
        </w:rPr>
      </w:pPr>
    </w:p>
    <w:p w:rsidRPr="003527B4" w:rsidR="00D76363" w:rsidP="009120CD" w:rsidRDefault="003C5614" w14:paraId="5660D604" w14:textId="4750D8D2">
      <w:pPr>
        <w:pStyle w:val="ListParagraph"/>
        <w:numPr>
          <w:ilvl w:val="0"/>
          <w:numId w:val="3"/>
        </w:numPr>
        <w:ind w:left="357" w:hanging="357"/>
        <w:rPr>
          <w:bCs/>
        </w:rPr>
      </w:pPr>
      <w:r>
        <w:t>bepleit dat een impuls wordt gegeven aan een multilateraal ruimteverkeersbeheer in VN-verband, met ook een rol voor Europese actoren;</w:t>
      </w:r>
    </w:p>
    <w:p w:rsidR="00D76363" w:rsidP="009120CD" w:rsidRDefault="003C5614" w14:paraId="5BFF3ABB" w14:textId="50158259">
      <w:pPr>
        <w:pStyle w:val="ListParagraph"/>
        <w:numPr>
          <w:ilvl w:val="0"/>
          <w:numId w:val="3"/>
        </w:numPr>
        <w:ind w:left="357" w:hanging="357"/>
        <w:rPr>
          <w:bCs/>
        </w:rPr>
      </w:pPr>
      <w:r>
        <w:t>onderstreept dat normen, richtsnoeren en internationale goede praktijken op het gebied van ruimteverkeersbeheer moeten worden ontwikkeld door middel van internationale normalisatie;</w:t>
      </w:r>
    </w:p>
    <w:p w:rsidR="00E24CDF" w:rsidP="009120CD" w:rsidRDefault="003C5614" w14:paraId="697D0B9F" w14:textId="62559EE4">
      <w:pPr>
        <w:pStyle w:val="ListParagraph"/>
        <w:numPr>
          <w:ilvl w:val="0"/>
          <w:numId w:val="3"/>
        </w:numPr>
        <w:ind w:left="357" w:hanging="357"/>
        <w:rPr>
          <w:bCs/>
        </w:rPr>
      </w:pPr>
      <w:r>
        <w:t>raadt aan om op Europees niveau normen en richtsnoeren vast te stellen, met een rol voor het maatschappelijk middenveld;</w:t>
      </w:r>
    </w:p>
    <w:p w:rsidRPr="00F049D6" w:rsidR="00E24CDF" w:rsidP="009120CD" w:rsidRDefault="003C5614" w14:paraId="7D33BDFB" w14:textId="1DDDF5B4">
      <w:pPr>
        <w:pStyle w:val="ListParagraph"/>
        <w:numPr>
          <w:ilvl w:val="0"/>
          <w:numId w:val="3"/>
        </w:numPr>
        <w:ind w:left="357" w:hanging="357"/>
        <w:rPr>
          <w:bCs/>
        </w:rPr>
      </w:pPr>
      <w:r>
        <w:t>herinnert eraan dat onderwijs- en opleidingsactiviteiten van cruciaal belang zijn voor de ontwikkeling van geavanceerde vaardigheden op ruimtevaartgerelateerde gebieden.</w:t>
      </w:r>
    </w:p>
    <w:p w:rsidRPr="009B70E7" w:rsidR="00D76363" w:rsidP="009120CD" w:rsidRDefault="00D76363" w14:paraId="450C439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CE23CC" w:rsidTr="00B40158" w14:paraId="50862FD0" w14:textId="77777777">
        <w:tc>
          <w:tcPr>
            <w:tcW w:w="1418" w:type="dxa"/>
          </w:tcPr>
          <w:p w:rsidRPr="009B70E7" w:rsidR="00CE23CC" w:rsidP="009120CD" w:rsidRDefault="00CE23CC" w14:paraId="028ABA93" w14:textId="77777777">
            <w:pPr>
              <w:pStyle w:val="ListParagraph"/>
              <w:ind w:left="0"/>
              <w:rPr>
                <w:i/>
              </w:rPr>
            </w:pPr>
            <w:r>
              <w:rPr>
                <w:b/>
                <w:i/>
              </w:rPr>
              <w:t>Contactpersoon</w:t>
            </w:r>
          </w:p>
        </w:tc>
        <w:tc>
          <w:tcPr>
            <w:tcW w:w="5670" w:type="dxa"/>
          </w:tcPr>
          <w:p w:rsidRPr="009B70E7" w:rsidR="00CE23CC" w:rsidP="009120CD" w:rsidRDefault="00C508EF" w14:paraId="1F245965" w14:textId="0D2C0839">
            <w:pPr>
              <w:pStyle w:val="ListParagraph"/>
              <w:ind w:left="0"/>
              <w:rPr>
                <w:i/>
              </w:rPr>
            </w:pPr>
            <w:r>
              <w:rPr>
                <w:i/>
              </w:rPr>
              <w:t>Alessandro Rizzi</w:t>
            </w:r>
          </w:p>
        </w:tc>
      </w:tr>
      <w:tr w:rsidRPr="009B70E7" w:rsidR="00CE23CC" w:rsidTr="00B40158" w14:paraId="5DE31472" w14:textId="77777777">
        <w:tc>
          <w:tcPr>
            <w:tcW w:w="1418" w:type="dxa"/>
          </w:tcPr>
          <w:p w:rsidRPr="009B70E7" w:rsidR="00CE23CC" w:rsidP="009120CD" w:rsidRDefault="00CE23CC" w14:paraId="46E53147" w14:textId="77777777">
            <w:pPr>
              <w:pStyle w:val="ListParagraph"/>
              <w:ind w:left="601"/>
              <w:rPr>
                <w:i/>
              </w:rPr>
            </w:pPr>
            <w:r>
              <w:rPr>
                <w:i/>
              </w:rPr>
              <w:t>Tel.</w:t>
            </w:r>
          </w:p>
        </w:tc>
        <w:tc>
          <w:tcPr>
            <w:tcW w:w="5670" w:type="dxa"/>
          </w:tcPr>
          <w:p w:rsidRPr="009B70E7" w:rsidR="00CE23CC" w:rsidP="009120CD" w:rsidRDefault="00CE23CC" w14:paraId="61A04E27" w14:textId="49032C83">
            <w:pPr>
              <w:pStyle w:val="ListParagraph"/>
              <w:ind w:left="0"/>
              <w:rPr>
                <w:i/>
              </w:rPr>
            </w:pPr>
            <w:r>
              <w:rPr>
                <w:i/>
              </w:rPr>
              <w:t>00 32 2 546 86 79</w:t>
            </w:r>
          </w:p>
        </w:tc>
      </w:tr>
      <w:tr w:rsidRPr="009B70E7" w:rsidR="00CE23CC" w:rsidTr="00B40158" w14:paraId="5EFFF55F" w14:textId="77777777">
        <w:tc>
          <w:tcPr>
            <w:tcW w:w="1418" w:type="dxa"/>
          </w:tcPr>
          <w:p w:rsidRPr="009B70E7" w:rsidR="00CE23CC" w:rsidP="009120CD" w:rsidRDefault="00CE23CC" w14:paraId="6B9430EE" w14:textId="77777777">
            <w:pPr>
              <w:pStyle w:val="ListParagraph"/>
              <w:ind w:left="601"/>
              <w:rPr>
                <w:i/>
              </w:rPr>
            </w:pPr>
            <w:r>
              <w:rPr>
                <w:i/>
              </w:rPr>
              <w:t>E-mail</w:t>
            </w:r>
          </w:p>
        </w:tc>
        <w:tc>
          <w:tcPr>
            <w:tcW w:w="5670" w:type="dxa"/>
          </w:tcPr>
          <w:p w:rsidRPr="009B70E7" w:rsidR="00CE23CC" w:rsidP="009120CD" w:rsidRDefault="00C56F85" w14:paraId="2F25FA4C" w14:textId="51E8AFD3">
            <w:pPr>
              <w:pStyle w:val="ListParagraph"/>
              <w:ind w:left="0"/>
              <w:rPr>
                <w:i/>
              </w:rPr>
            </w:pPr>
            <w:hyperlink w:history="1" r:id="rId33">
              <w:r w:rsidR="0064748D">
                <w:rPr>
                  <w:rStyle w:val="Hyperlink"/>
                </w:rPr>
                <w:t>Alessandro.Rizzi</w:t>
              </w:r>
              <w:r w:rsidR="0064748D">
                <w:rPr>
                  <w:rStyle w:val="Hyperlink"/>
                  <w:i/>
                </w:rPr>
                <w:t>@eesc.europa.eu</w:t>
              </w:r>
            </w:hyperlink>
          </w:p>
        </w:tc>
      </w:tr>
      <w:bookmarkEnd w:id="18"/>
    </w:tbl>
    <w:p w:rsidRPr="00A10A98" w:rsidR="007327CD" w:rsidP="009120CD" w:rsidRDefault="007327CD" w14:paraId="1C752D75" w14:textId="77777777">
      <w:pPr>
        <w:jc w:val="left"/>
        <w:rPr>
          <w:sz w:val="28"/>
        </w:rPr>
      </w:pPr>
    </w:p>
    <w:p w:rsidRPr="009B70E7" w:rsidR="00552022" w:rsidP="009120CD" w:rsidRDefault="00552022" w14:paraId="78781758" w14:textId="24E36E03">
      <w:pPr>
        <w:pStyle w:val="ListParagraph"/>
        <w:keepNext/>
        <w:numPr>
          <w:ilvl w:val="0"/>
          <w:numId w:val="2"/>
        </w:numPr>
        <w:ind w:left="567" w:hanging="567"/>
        <w:rPr>
          <w:b/>
          <w:i/>
          <w:sz w:val="28"/>
          <w:szCs w:val="28"/>
        </w:rPr>
      </w:pPr>
      <w:bookmarkStart w:name="_Hlk112076379" w:id="20"/>
      <w:r>
        <w:rPr>
          <w:b/>
          <w:i/>
          <w:sz w:val="28"/>
        </w:rPr>
        <w:t>Belang van kernenergie voor de stabiliteit van de energieprijzen in de EU</w:t>
      </w:r>
    </w:p>
    <w:p w:rsidRPr="009B70E7" w:rsidR="00552022" w:rsidP="009120CD" w:rsidRDefault="00552022" w14:paraId="32247E5C"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6237"/>
      </w:tblGrid>
      <w:tr w:rsidRPr="009B70E7" w:rsidR="00552022" w:rsidTr="00552022" w14:paraId="6EE8C0C9" w14:textId="77777777">
        <w:tc>
          <w:tcPr>
            <w:tcW w:w="1701" w:type="dxa"/>
          </w:tcPr>
          <w:p w:rsidRPr="009B70E7" w:rsidR="00552022" w:rsidP="009120CD" w:rsidRDefault="00552022" w14:paraId="3D105EC5" w14:textId="77777777">
            <w:pPr>
              <w:pStyle w:val="ListParagraph"/>
              <w:keepNext/>
              <w:ind w:left="0"/>
              <w:rPr>
                <w:b/>
              </w:rPr>
            </w:pPr>
            <w:r>
              <w:rPr>
                <w:b/>
              </w:rPr>
              <w:t>Rapporteur</w:t>
            </w:r>
          </w:p>
        </w:tc>
        <w:tc>
          <w:tcPr>
            <w:tcW w:w="6237" w:type="dxa"/>
          </w:tcPr>
          <w:p w:rsidRPr="009B70E7" w:rsidR="00552022" w:rsidP="009120CD" w:rsidRDefault="00552022" w14:paraId="3810931E" w14:textId="0A1B5B33">
            <w:pPr>
              <w:pStyle w:val="ListParagraph"/>
              <w:keepNext/>
              <w:ind w:left="-56" w:right="-453"/>
            </w:pPr>
            <w:r>
              <w:t>Alena MASTANTUONO (groep Werkgevers – CZ)</w:t>
            </w:r>
          </w:p>
        </w:tc>
      </w:tr>
      <w:tr w:rsidRPr="009B70E7" w:rsidR="00552022" w:rsidTr="00552022" w14:paraId="06FE6BBE" w14:textId="77777777">
        <w:tc>
          <w:tcPr>
            <w:tcW w:w="7938" w:type="dxa"/>
            <w:gridSpan w:val="2"/>
          </w:tcPr>
          <w:p w:rsidRPr="009B70E7" w:rsidR="00552022" w:rsidP="009120CD" w:rsidRDefault="00552022" w14:paraId="7238C585" w14:textId="77777777">
            <w:pPr>
              <w:pStyle w:val="ListParagraph"/>
              <w:keepNext/>
              <w:ind w:left="0"/>
            </w:pPr>
          </w:p>
        </w:tc>
      </w:tr>
      <w:tr w:rsidRPr="009B70E7" w:rsidR="00552022" w:rsidTr="00552022" w14:paraId="2AF8558F" w14:textId="77777777">
        <w:tc>
          <w:tcPr>
            <w:tcW w:w="1701" w:type="dxa"/>
            <w:vMerge w:val="restart"/>
          </w:tcPr>
          <w:p w:rsidRPr="009B70E7" w:rsidR="00552022" w:rsidP="009120CD" w:rsidRDefault="00552022" w14:paraId="69780534" w14:textId="77777777">
            <w:pPr>
              <w:pStyle w:val="ListParagraph"/>
              <w:keepNext/>
              <w:ind w:left="0"/>
              <w:rPr>
                <w:b/>
              </w:rPr>
            </w:pPr>
            <w:r>
              <w:rPr>
                <w:b/>
              </w:rPr>
              <w:t xml:space="preserve">Referentie: </w:t>
            </w:r>
          </w:p>
        </w:tc>
        <w:tc>
          <w:tcPr>
            <w:tcW w:w="6237" w:type="dxa"/>
          </w:tcPr>
          <w:p w:rsidRPr="009B70E7" w:rsidR="00552022" w:rsidP="009120CD" w:rsidRDefault="00552022" w14:paraId="3C6C8A09" w14:textId="67782258">
            <w:pPr>
              <w:pStyle w:val="ListParagraph"/>
              <w:keepNext/>
              <w:ind w:left="-56"/>
            </w:pPr>
            <w:r>
              <w:t>Verkennend advies op verzoek van het Tsjechische voorzitterschap van de Raad</w:t>
            </w:r>
          </w:p>
        </w:tc>
      </w:tr>
      <w:tr w:rsidRPr="009B70E7" w:rsidR="00552022" w:rsidTr="00552022" w14:paraId="3962A65D" w14:textId="77777777">
        <w:tc>
          <w:tcPr>
            <w:tcW w:w="1701" w:type="dxa"/>
            <w:vMerge/>
          </w:tcPr>
          <w:p w:rsidRPr="009B70E7" w:rsidR="00552022" w:rsidP="009120CD" w:rsidRDefault="00552022" w14:paraId="13F72412" w14:textId="77777777">
            <w:pPr>
              <w:pStyle w:val="ListParagraph"/>
              <w:keepNext/>
              <w:ind w:left="0"/>
              <w:rPr>
                <w:b/>
              </w:rPr>
            </w:pPr>
          </w:p>
        </w:tc>
        <w:tc>
          <w:tcPr>
            <w:tcW w:w="6237" w:type="dxa"/>
          </w:tcPr>
          <w:p w:rsidRPr="009B70E7" w:rsidR="00552022" w:rsidP="009120CD" w:rsidRDefault="00552022" w14:paraId="0B2F8735" w14:textId="6F41FB1F">
            <w:pPr>
              <w:pStyle w:val="ListParagraph"/>
              <w:keepNext/>
              <w:ind w:left="-56"/>
            </w:pPr>
            <w:r>
              <w:t>EESC-2022-01184-00-00-AC</w:t>
            </w:r>
          </w:p>
        </w:tc>
      </w:tr>
    </w:tbl>
    <w:p w:rsidRPr="009B70E7" w:rsidR="00552022" w:rsidP="009120CD" w:rsidRDefault="00552022" w14:paraId="18951AC6" w14:textId="77777777">
      <w:pPr>
        <w:pStyle w:val="ListParagraph"/>
        <w:keepNext/>
        <w:ind w:left="0"/>
      </w:pPr>
    </w:p>
    <w:p w:rsidRPr="00027441" w:rsidR="00552022" w:rsidP="009120CD" w:rsidRDefault="00552022" w14:paraId="2B30E15E" w14:textId="763FBC7A">
      <w:pPr>
        <w:pStyle w:val="ListParagraph"/>
        <w:ind w:left="0" w:firstLine="142"/>
        <w:rPr>
          <w:b/>
        </w:rPr>
      </w:pPr>
      <w:r>
        <w:rPr>
          <w:b/>
        </w:rPr>
        <w:t>Hoofdpunten</w:t>
      </w:r>
    </w:p>
    <w:p w:rsidR="00552022" w:rsidP="009120CD" w:rsidRDefault="00552022" w14:paraId="0D4298E9" w14:textId="477EC84A">
      <w:pPr>
        <w:pStyle w:val="ListParagraph"/>
        <w:ind w:left="0"/>
      </w:pPr>
    </w:p>
    <w:p w:rsidRPr="00027441" w:rsidR="003C5614" w:rsidP="009120CD" w:rsidRDefault="003C5614" w14:paraId="65D692F3" w14:textId="363CCA57">
      <w:pPr>
        <w:pStyle w:val="ListParagraph"/>
        <w:ind w:left="0" w:firstLine="142"/>
        <w:rPr>
          <w:bCs/>
        </w:rPr>
      </w:pPr>
      <w:bookmarkStart w:name="_Hlk113975344" w:id="21"/>
      <w:r>
        <w:t>Het EESC:</w:t>
      </w:r>
      <w:bookmarkEnd w:id="21"/>
    </w:p>
    <w:p w:rsidRPr="009B70E7" w:rsidR="003C5614" w:rsidP="009120CD" w:rsidRDefault="003C5614" w14:paraId="552B3E66" w14:textId="77777777">
      <w:pPr>
        <w:pStyle w:val="ListParagraph"/>
        <w:ind w:left="0"/>
      </w:pPr>
    </w:p>
    <w:p w:rsidR="00552022" w:rsidP="009120CD" w:rsidRDefault="003C5614" w14:paraId="08F14DD3" w14:textId="453A1287">
      <w:pPr>
        <w:pStyle w:val="ListParagraph"/>
        <w:numPr>
          <w:ilvl w:val="0"/>
          <w:numId w:val="3"/>
        </w:numPr>
        <w:ind w:left="357" w:hanging="357"/>
        <w:rPr>
          <w:bCs/>
        </w:rPr>
      </w:pPr>
      <w:r>
        <w:t xml:space="preserve">erkent dat de </w:t>
      </w:r>
      <w:r>
        <w:rPr>
          <w:b/>
          <w:bCs/>
        </w:rPr>
        <w:t xml:space="preserve">elektriciteitsprijzen </w:t>
      </w:r>
      <w:r>
        <w:t>door de huidige opzet van de groothandelsmarkt</w:t>
      </w:r>
      <w:r>
        <w:rPr>
          <w:b/>
          <w:bCs/>
        </w:rPr>
        <w:t xml:space="preserve"> worden bepaald op grond van het ‘merit order’-beginsel</w:t>
      </w:r>
      <w:r>
        <w:t>.</w:t>
      </w:r>
      <w:r>
        <w:rPr>
          <w:b/>
        </w:rPr>
        <w:t xml:space="preserve"> </w:t>
      </w:r>
      <w:r>
        <w:rPr>
          <w:b/>
          <w:bCs/>
        </w:rPr>
        <w:t>Dit betekent dat kernenergie geen invloed heeft op de energieprijzen op de spotmarkt</w:t>
      </w:r>
      <w:r>
        <w:t xml:space="preserve">, behalve wanneer de energiemix een groot aandeel emissiearme bronnen omvat. </w:t>
      </w:r>
      <w:r>
        <w:rPr>
          <w:b/>
          <w:bCs/>
        </w:rPr>
        <w:t xml:space="preserve">Er bestaat </w:t>
      </w:r>
      <w:r>
        <w:t>echter</w:t>
      </w:r>
      <w:r>
        <w:rPr>
          <w:b/>
          <w:bCs/>
        </w:rPr>
        <w:t xml:space="preserve"> een grote correlatie tussen daling van het aanbod en stijging van de vraag, waardoor de energieprijzen omhooggaan</w:t>
      </w:r>
      <w:r>
        <w:t>. Met een robuuster aanbod uit stabiele koolstofarme energiebronnen zullen de energieprijzen minder volatiel zijn;</w:t>
      </w:r>
    </w:p>
    <w:bookmarkEnd w:id="20"/>
    <w:p w:rsidRPr="003C5614" w:rsidR="00552022" w:rsidP="009120CD" w:rsidRDefault="003C5614" w14:paraId="2D1BDD5C" w14:textId="35A2D5C7">
      <w:pPr>
        <w:pStyle w:val="ListParagraph"/>
        <w:numPr>
          <w:ilvl w:val="0"/>
          <w:numId w:val="3"/>
        </w:numPr>
        <w:ind w:left="357" w:hanging="357"/>
        <w:rPr>
          <w:bCs/>
        </w:rPr>
      </w:pPr>
      <w:r>
        <w:t xml:space="preserve">meent dat </w:t>
      </w:r>
      <w:r>
        <w:rPr>
          <w:b/>
          <w:bCs/>
        </w:rPr>
        <w:t>het in deze specifieke situatie zinvol is om de levensduur van de bestaande kerncentrales te verlengen. Dat zal bovendien een gunstig effect hebben op de overgang naar een koolstofneutrale economie</w:t>
      </w:r>
      <w:r>
        <w:t>;</w:t>
      </w:r>
    </w:p>
    <w:p w:rsidR="003C5614" w:rsidP="009120CD" w:rsidRDefault="003C5614" w14:paraId="42F00557" w14:textId="39A753A2">
      <w:pPr>
        <w:pStyle w:val="ListParagraph"/>
        <w:numPr>
          <w:ilvl w:val="0"/>
          <w:numId w:val="3"/>
        </w:numPr>
        <w:ind w:left="357" w:hanging="357"/>
        <w:rPr>
          <w:bCs/>
        </w:rPr>
      </w:pPr>
      <w:r>
        <w:t xml:space="preserve">beveelt aan dat </w:t>
      </w:r>
      <w:r>
        <w:rPr>
          <w:b/>
          <w:bCs/>
        </w:rPr>
        <w:t>de lidstaten oplossingen voor de opslagcapaciteit uitwerken en de transmissieverbindingen versterken</w:t>
      </w:r>
      <w:r>
        <w:t xml:space="preserve"> om op langere termijn doeltreffend te kunnen reageren op uitval van hernieuwbare energiebronnen en op korte termijn van gas;</w:t>
      </w:r>
    </w:p>
    <w:p w:rsidR="003C5614" w:rsidP="009120CD" w:rsidRDefault="003C5614" w14:paraId="63403914" w14:textId="58A189A4">
      <w:pPr>
        <w:pStyle w:val="ListParagraph"/>
        <w:numPr>
          <w:ilvl w:val="0"/>
          <w:numId w:val="3"/>
        </w:numPr>
        <w:ind w:left="357" w:hanging="357"/>
        <w:rPr>
          <w:bCs/>
        </w:rPr>
      </w:pPr>
      <w:r>
        <w:t xml:space="preserve">stelt voor dat </w:t>
      </w:r>
      <w:r>
        <w:rPr>
          <w:b/>
          <w:bCs/>
        </w:rPr>
        <w:t>het Tsjechische voorzitterschap binnen het Europees kernenergieforum (ENEF) het gesprek aangaat over prijsstabiliteit in de kernenergiesector en de bijdrage van</w:t>
      </w:r>
      <w:r>
        <w:t xml:space="preserve"> </w:t>
      </w:r>
      <w:r>
        <w:rPr>
          <w:b/>
          <w:bCs/>
        </w:rPr>
        <w:t>kernenergie aan een stabiele energievoorziening</w:t>
      </w:r>
      <w:r>
        <w:t>, om de afhankelijkheid van de EU van Russisch gas terug te dringen, in nauwe samenwerking met het EESC;</w:t>
      </w:r>
    </w:p>
    <w:p w:rsidR="003C5614" w:rsidP="009120CD" w:rsidRDefault="003C5614" w14:paraId="482A40CE" w14:textId="788DCD1A">
      <w:pPr>
        <w:pStyle w:val="ListParagraph"/>
        <w:numPr>
          <w:ilvl w:val="0"/>
          <w:numId w:val="3"/>
        </w:numPr>
        <w:ind w:left="357" w:hanging="357"/>
        <w:rPr>
          <w:bCs/>
        </w:rPr>
      </w:pPr>
      <w:r>
        <w:t xml:space="preserve">stelt voor om de </w:t>
      </w:r>
      <w:r>
        <w:rPr>
          <w:b/>
          <w:bCs/>
        </w:rPr>
        <w:t>bilaterale samenwerking met internationale partners in de nucleaire sector te versterken</w:t>
      </w:r>
      <w:r>
        <w:t xml:space="preserve"> om de bevindingen op het gebied van innovatie en vooruitgang in nieuwe technologieën te kunnen delen;</w:t>
      </w:r>
    </w:p>
    <w:p w:rsidRPr="00F049D6" w:rsidR="003C5614" w:rsidP="009120CD" w:rsidRDefault="00737766" w14:paraId="7302689C" w14:textId="3A6D7DFD">
      <w:pPr>
        <w:pStyle w:val="ListParagraph"/>
        <w:numPr>
          <w:ilvl w:val="0"/>
          <w:numId w:val="3"/>
        </w:numPr>
        <w:ind w:left="357" w:hanging="357"/>
        <w:rPr>
          <w:bCs/>
        </w:rPr>
      </w:pPr>
      <w:r>
        <w:t xml:space="preserve">stelt het </w:t>
      </w:r>
      <w:r>
        <w:rPr>
          <w:b/>
          <w:bCs/>
        </w:rPr>
        <w:t>Tsjechische voorzitterschap van de Raad van de EU voor om een conferentie over kleine modulaire reactoren te organiseren</w:t>
      </w:r>
      <w:r>
        <w:t>, bv. in de vorm van een EU-VS-forum op hoog niveau over deze reactoren, en dit veelbelovende onderzoek verder te verkennen.</w:t>
      </w:r>
    </w:p>
    <w:p w:rsidRPr="009B70E7" w:rsidR="00552022" w:rsidP="009120CD" w:rsidRDefault="00552022" w14:paraId="2107DC4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552022" w:rsidTr="004E4367" w14:paraId="196823A4" w14:textId="77777777">
        <w:tc>
          <w:tcPr>
            <w:tcW w:w="1418" w:type="dxa"/>
          </w:tcPr>
          <w:p w:rsidRPr="009B70E7" w:rsidR="00552022" w:rsidP="009120CD" w:rsidRDefault="00552022" w14:paraId="7C0B52EC" w14:textId="77777777">
            <w:pPr>
              <w:pStyle w:val="ListParagraph"/>
              <w:ind w:left="0"/>
              <w:rPr>
                <w:i/>
              </w:rPr>
            </w:pPr>
            <w:bookmarkStart w:name="_Hlk112076794" w:id="22"/>
            <w:r>
              <w:rPr>
                <w:b/>
                <w:i/>
              </w:rPr>
              <w:t>Contactpersoon</w:t>
            </w:r>
          </w:p>
        </w:tc>
        <w:tc>
          <w:tcPr>
            <w:tcW w:w="5670" w:type="dxa"/>
          </w:tcPr>
          <w:p w:rsidRPr="009B70E7" w:rsidR="00552022" w:rsidP="009120CD" w:rsidRDefault="00552022" w14:paraId="59793160" w14:textId="77777777">
            <w:pPr>
              <w:pStyle w:val="ListParagraph"/>
              <w:ind w:left="0"/>
              <w:rPr>
                <w:i/>
              </w:rPr>
            </w:pPr>
            <w:r>
              <w:rPr>
                <w:i/>
              </w:rPr>
              <w:t>Giorgia Bordignon</w:t>
            </w:r>
          </w:p>
        </w:tc>
      </w:tr>
      <w:tr w:rsidRPr="009B70E7" w:rsidR="00552022" w:rsidTr="004E4367" w14:paraId="27C5CA55" w14:textId="77777777">
        <w:tc>
          <w:tcPr>
            <w:tcW w:w="1418" w:type="dxa"/>
          </w:tcPr>
          <w:p w:rsidRPr="009B70E7" w:rsidR="00552022" w:rsidP="009120CD" w:rsidRDefault="00552022" w14:paraId="4B2C1668" w14:textId="77777777">
            <w:pPr>
              <w:pStyle w:val="ListParagraph"/>
              <w:ind w:left="601"/>
              <w:rPr>
                <w:i/>
              </w:rPr>
            </w:pPr>
            <w:r>
              <w:rPr>
                <w:i/>
              </w:rPr>
              <w:t>Tel.</w:t>
            </w:r>
          </w:p>
        </w:tc>
        <w:tc>
          <w:tcPr>
            <w:tcW w:w="5670" w:type="dxa"/>
          </w:tcPr>
          <w:p w:rsidRPr="009B70E7" w:rsidR="00552022" w:rsidP="009120CD" w:rsidRDefault="00552022" w14:paraId="756466B9" w14:textId="77777777">
            <w:pPr>
              <w:pStyle w:val="ListParagraph"/>
              <w:ind w:left="0"/>
              <w:rPr>
                <w:i/>
              </w:rPr>
            </w:pPr>
            <w:r>
              <w:rPr>
                <w:i/>
              </w:rPr>
              <w:t>00 32 2 546 85 35</w:t>
            </w:r>
          </w:p>
        </w:tc>
      </w:tr>
      <w:tr w:rsidRPr="009B70E7" w:rsidR="00552022" w:rsidTr="004E4367" w14:paraId="458C3457" w14:textId="77777777">
        <w:tc>
          <w:tcPr>
            <w:tcW w:w="1418" w:type="dxa"/>
          </w:tcPr>
          <w:p w:rsidRPr="009B70E7" w:rsidR="00552022" w:rsidP="009120CD" w:rsidRDefault="00552022" w14:paraId="69EFF3EC" w14:textId="77777777">
            <w:pPr>
              <w:pStyle w:val="ListParagraph"/>
              <w:ind w:left="601"/>
              <w:rPr>
                <w:i/>
              </w:rPr>
            </w:pPr>
            <w:r>
              <w:rPr>
                <w:i/>
              </w:rPr>
              <w:t>E-mail</w:t>
            </w:r>
          </w:p>
        </w:tc>
        <w:tc>
          <w:tcPr>
            <w:tcW w:w="5670" w:type="dxa"/>
          </w:tcPr>
          <w:p w:rsidRPr="00F256CD" w:rsidR="0032340F" w:rsidP="009120CD" w:rsidRDefault="00C56F85" w14:paraId="356D84CB" w14:textId="57CB110C">
            <w:pPr>
              <w:pStyle w:val="ListParagraph"/>
              <w:ind w:left="0"/>
              <w:rPr>
                <w:i/>
                <w:color w:val="0000FF"/>
                <w:u w:val="single"/>
              </w:rPr>
            </w:pPr>
            <w:hyperlink w:history="1" r:id="rId34">
              <w:r w:rsidR="0064748D">
                <w:rPr>
                  <w:rStyle w:val="Hyperlink"/>
                  <w:i/>
                </w:rPr>
                <w:t>Giorgia.Bordignon@eesc.europa.eu</w:t>
              </w:r>
            </w:hyperlink>
          </w:p>
        </w:tc>
      </w:tr>
      <w:bookmarkEnd w:id="22"/>
    </w:tbl>
    <w:p w:rsidRPr="001346B6" w:rsidR="00F256CD" w:rsidP="00F256CD" w:rsidRDefault="00F256CD" w14:paraId="2691EB7C" w14:textId="77777777">
      <w:pPr>
        <w:pStyle w:val="ListParagraph"/>
        <w:keepNext/>
        <w:ind w:left="567"/>
        <w:rPr>
          <w:b/>
          <w:i/>
        </w:rPr>
      </w:pPr>
    </w:p>
    <w:p w:rsidRPr="009B70E7" w:rsidR="00552022" w:rsidP="009120CD" w:rsidRDefault="00552022" w14:paraId="42B8070D" w14:textId="2459DD77">
      <w:pPr>
        <w:pStyle w:val="ListParagraph"/>
        <w:keepNext/>
        <w:numPr>
          <w:ilvl w:val="0"/>
          <w:numId w:val="2"/>
        </w:numPr>
        <w:ind w:left="567" w:hanging="567"/>
        <w:rPr>
          <w:b/>
          <w:i/>
          <w:sz w:val="28"/>
          <w:szCs w:val="28"/>
        </w:rPr>
      </w:pPr>
      <w:r>
        <w:rPr>
          <w:b/>
          <w:i/>
          <w:sz w:val="28"/>
        </w:rPr>
        <w:t>REPowerEU-plan</w:t>
      </w:r>
    </w:p>
    <w:p w:rsidRPr="009B70E7" w:rsidR="00552022" w:rsidP="009120CD" w:rsidRDefault="00552022" w14:paraId="28F363B4"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6237"/>
      </w:tblGrid>
      <w:tr w:rsidRPr="009B70E7" w:rsidR="00552022" w:rsidTr="004E4367" w14:paraId="41513243" w14:textId="77777777">
        <w:tc>
          <w:tcPr>
            <w:tcW w:w="1701" w:type="dxa"/>
          </w:tcPr>
          <w:p w:rsidRPr="009B70E7" w:rsidR="00552022" w:rsidP="009120CD" w:rsidRDefault="00552022" w14:paraId="1C44AC09" w14:textId="14426D14">
            <w:pPr>
              <w:pStyle w:val="ListParagraph"/>
              <w:keepNext/>
              <w:ind w:left="0"/>
              <w:rPr>
                <w:b/>
              </w:rPr>
            </w:pPr>
            <w:r>
              <w:rPr>
                <w:b/>
              </w:rPr>
              <w:t>Rapporteurs</w:t>
            </w:r>
          </w:p>
        </w:tc>
        <w:tc>
          <w:tcPr>
            <w:tcW w:w="6237" w:type="dxa"/>
          </w:tcPr>
          <w:p w:rsidRPr="00552022" w:rsidR="00552022" w:rsidP="009120CD" w:rsidRDefault="00552022" w14:paraId="246309CE" w14:textId="40032DC6">
            <w:pPr>
              <w:pStyle w:val="ListParagraph"/>
              <w:keepNext/>
              <w:ind w:left="-56" w:right="-453"/>
            </w:pPr>
            <w:r>
              <w:t>Stefan BACK (groep Werkgevers – SE)</w:t>
            </w:r>
          </w:p>
          <w:p w:rsidRPr="00552022" w:rsidR="00552022" w:rsidP="009120CD" w:rsidRDefault="00552022" w14:paraId="067BEC12" w14:textId="34F64F63">
            <w:pPr>
              <w:pStyle w:val="ListParagraph"/>
              <w:keepNext/>
              <w:ind w:left="-56" w:right="-453"/>
            </w:pPr>
            <w:r>
              <w:t>Thomas KATTNIG (groep Werknemers – AT)</w:t>
            </w:r>
          </w:p>
          <w:p w:rsidRPr="009B70E7" w:rsidR="00552022" w:rsidP="009120CD" w:rsidRDefault="00552022" w14:paraId="11889F3A" w14:textId="0276BF56">
            <w:pPr>
              <w:pStyle w:val="ListParagraph"/>
              <w:keepNext/>
              <w:ind w:left="-56" w:right="-453"/>
            </w:pPr>
            <w:r>
              <w:t>Lutz RIBBE (groep Maatschappelijke Organisaties – DE)</w:t>
            </w:r>
          </w:p>
        </w:tc>
      </w:tr>
      <w:tr w:rsidRPr="009B70E7" w:rsidR="00552022" w:rsidTr="004E4367" w14:paraId="5F881C29" w14:textId="77777777">
        <w:tc>
          <w:tcPr>
            <w:tcW w:w="7938" w:type="dxa"/>
            <w:gridSpan w:val="2"/>
          </w:tcPr>
          <w:p w:rsidRPr="009B70E7" w:rsidR="00552022" w:rsidP="009120CD" w:rsidRDefault="00552022" w14:paraId="63020509" w14:textId="77777777">
            <w:pPr>
              <w:pStyle w:val="ListParagraph"/>
              <w:keepNext/>
              <w:ind w:left="0"/>
            </w:pPr>
          </w:p>
        </w:tc>
      </w:tr>
      <w:tr w:rsidRPr="009B70E7" w:rsidR="00552022" w:rsidTr="004E4367" w14:paraId="4CCFC13C" w14:textId="77777777">
        <w:tc>
          <w:tcPr>
            <w:tcW w:w="1701" w:type="dxa"/>
            <w:vMerge w:val="restart"/>
          </w:tcPr>
          <w:p w:rsidRPr="009B70E7" w:rsidR="00552022" w:rsidP="009120CD" w:rsidRDefault="00552022" w14:paraId="03AD2E56" w14:textId="77777777">
            <w:pPr>
              <w:pStyle w:val="ListParagraph"/>
              <w:keepNext/>
              <w:ind w:left="0"/>
              <w:rPr>
                <w:b/>
              </w:rPr>
            </w:pPr>
            <w:r>
              <w:rPr>
                <w:b/>
              </w:rPr>
              <w:t xml:space="preserve">Referentie: </w:t>
            </w:r>
          </w:p>
        </w:tc>
        <w:tc>
          <w:tcPr>
            <w:tcW w:w="6237" w:type="dxa"/>
          </w:tcPr>
          <w:p w:rsidRPr="009B70E7" w:rsidR="00552022" w:rsidP="009120CD" w:rsidRDefault="00552022" w14:paraId="25D739C3" w14:textId="14F318DB">
            <w:pPr>
              <w:pStyle w:val="ListParagraph"/>
              <w:keepNext/>
              <w:ind w:left="-56"/>
            </w:pPr>
            <w:r>
              <w:t>COM(2022) 230-231 final</w:t>
            </w:r>
          </w:p>
        </w:tc>
      </w:tr>
      <w:tr w:rsidRPr="009B70E7" w:rsidR="00552022" w:rsidTr="004E4367" w14:paraId="4B03208F" w14:textId="77777777">
        <w:tc>
          <w:tcPr>
            <w:tcW w:w="1701" w:type="dxa"/>
            <w:vMerge/>
          </w:tcPr>
          <w:p w:rsidRPr="009B70E7" w:rsidR="00552022" w:rsidP="009120CD" w:rsidRDefault="00552022" w14:paraId="5934FB01" w14:textId="77777777">
            <w:pPr>
              <w:pStyle w:val="ListParagraph"/>
              <w:keepNext/>
              <w:ind w:left="0"/>
              <w:rPr>
                <w:b/>
              </w:rPr>
            </w:pPr>
          </w:p>
        </w:tc>
        <w:tc>
          <w:tcPr>
            <w:tcW w:w="6237" w:type="dxa"/>
          </w:tcPr>
          <w:p w:rsidRPr="009B70E7" w:rsidR="00552022" w:rsidP="009120CD" w:rsidRDefault="00552022" w14:paraId="608E37E4" w14:textId="1E1A47C4">
            <w:pPr>
              <w:pStyle w:val="ListParagraph"/>
              <w:keepNext/>
              <w:ind w:left="-56"/>
            </w:pPr>
            <w:r>
              <w:t>EESC-2022-03497-00-00-AC</w:t>
            </w:r>
          </w:p>
        </w:tc>
      </w:tr>
    </w:tbl>
    <w:p w:rsidRPr="001346B6" w:rsidR="00552022" w:rsidP="009120CD" w:rsidRDefault="00552022" w14:paraId="5204FC05" w14:textId="77777777">
      <w:pPr>
        <w:pStyle w:val="ListParagraph"/>
        <w:ind w:left="0" w:firstLine="142"/>
        <w:rPr>
          <w:b/>
          <w:sz w:val="18"/>
          <w:szCs w:val="18"/>
        </w:rPr>
      </w:pPr>
    </w:p>
    <w:p w:rsidR="00552022" w:rsidP="009120CD" w:rsidRDefault="00552022" w14:paraId="24451F24" w14:textId="7A2B89B1">
      <w:pPr>
        <w:pStyle w:val="ListParagraph"/>
        <w:ind w:left="0" w:firstLine="142"/>
        <w:rPr>
          <w:b/>
        </w:rPr>
      </w:pPr>
      <w:r>
        <w:rPr>
          <w:b/>
        </w:rPr>
        <w:t>Hoofdpunten</w:t>
      </w:r>
    </w:p>
    <w:p w:rsidRPr="001346B6" w:rsidR="00737766" w:rsidP="009120CD" w:rsidRDefault="00737766" w14:paraId="6DD0E9D1" w14:textId="77777777">
      <w:pPr>
        <w:pStyle w:val="ListParagraph"/>
        <w:ind w:left="-142" w:firstLine="142"/>
        <w:rPr>
          <w:b/>
          <w:sz w:val="18"/>
          <w:szCs w:val="18"/>
        </w:rPr>
      </w:pPr>
    </w:p>
    <w:p w:rsidR="00552022" w:rsidP="009120CD" w:rsidRDefault="00737766" w14:paraId="0AC85AF5" w14:textId="633BFDE0">
      <w:pPr>
        <w:pStyle w:val="ListParagraph"/>
        <w:ind w:left="0" w:firstLine="142"/>
      </w:pPr>
      <w:r>
        <w:t>Het EESC:</w:t>
      </w:r>
    </w:p>
    <w:p w:rsidRPr="001346B6" w:rsidR="00037A85" w:rsidP="009120CD" w:rsidRDefault="00037A85" w14:paraId="0F877662" w14:textId="77777777">
      <w:pPr>
        <w:pStyle w:val="ListParagraph"/>
        <w:ind w:left="0"/>
        <w:rPr>
          <w:sz w:val="18"/>
          <w:szCs w:val="18"/>
        </w:rPr>
      </w:pPr>
    </w:p>
    <w:p w:rsidRPr="003527B4" w:rsidR="00552022" w:rsidP="009120CD" w:rsidRDefault="00737766" w14:paraId="4356294B" w14:textId="6D2D9AEB">
      <w:pPr>
        <w:pStyle w:val="ListParagraph"/>
        <w:numPr>
          <w:ilvl w:val="0"/>
          <w:numId w:val="3"/>
        </w:numPr>
        <w:ind w:left="357" w:hanging="357"/>
        <w:rPr>
          <w:bCs/>
        </w:rPr>
      </w:pPr>
      <w:r>
        <w:t>beschouwt het REPowerEU-plan van de Europese Commissie als een stap in de goede richting om de EU onafhankelijk te maken van de Russische gas- en olielevering;</w:t>
      </w:r>
    </w:p>
    <w:p w:rsidR="00552022" w:rsidP="009120CD" w:rsidRDefault="00737766" w14:paraId="5B7AF63D" w14:textId="5382D663">
      <w:pPr>
        <w:pStyle w:val="ListParagraph"/>
        <w:numPr>
          <w:ilvl w:val="0"/>
          <w:numId w:val="3"/>
        </w:numPr>
        <w:ind w:left="357" w:hanging="357"/>
        <w:rPr>
          <w:bCs/>
        </w:rPr>
      </w:pPr>
      <w:r>
        <w:t xml:space="preserve">wijst erop dat </w:t>
      </w:r>
      <w:r>
        <w:rPr>
          <w:b/>
        </w:rPr>
        <w:t>veel van de problemen die nu moeten worden opgelost, vermeden of op zijn minst beperkt hadden kunnen worden als de afhankelijkheid van energie-invoer was verminderd</w:t>
      </w:r>
      <w:r>
        <w:t>, zoals de Commissie de afgelopen jaren heeft voorgesteld;</w:t>
      </w:r>
    </w:p>
    <w:p w:rsidR="00552022" w:rsidP="009120CD" w:rsidRDefault="00737766" w14:paraId="174573C1" w14:textId="0B6386FF">
      <w:pPr>
        <w:pStyle w:val="ListParagraph"/>
        <w:numPr>
          <w:ilvl w:val="0"/>
          <w:numId w:val="3"/>
        </w:numPr>
        <w:ind w:left="357" w:hanging="357"/>
        <w:rPr>
          <w:bCs/>
        </w:rPr>
      </w:pPr>
      <w:r>
        <w:t>waarschuwt dat het democratische systeem als gevolg van de gecombineerde economische en sociale gevolgen van de huidige crisis onder druk kan komen te staan als er geen adequate oplossingen worden gevonden;</w:t>
      </w:r>
    </w:p>
    <w:p w:rsidR="00737766" w:rsidP="009120CD" w:rsidRDefault="00737766" w14:paraId="043EA0E2" w14:textId="4C767343">
      <w:pPr>
        <w:pStyle w:val="ListParagraph"/>
        <w:numPr>
          <w:ilvl w:val="0"/>
          <w:numId w:val="3"/>
        </w:numPr>
        <w:ind w:left="357" w:hanging="357"/>
        <w:rPr>
          <w:bCs/>
        </w:rPr>
      </w:pPr>
      <w:r>
        <w:t xml:space="preserve">is er voorstander van dat er </w:t>
      </w:r>
      <w:r>
        <w:rPr>
          <w:b/>
        </w:rPr>
        <w:t>onverwijld maatregelen</w:t>
      </w:r>
      <w:r>
        <w:t xml:space="preserve"> worden genomen om de meest dringende kwesties aan te pakken, met name ter </w:t>
      </w:r>
      <w:r>
        <w:rPr>
          <w:b/>
        </w:rPr>
        <w:t>waarborging van voorzieningszekerheid tegen “zo betaalbaar mogelijke” kosten voor zowel de consument als het bedrijfsleven</w:t>
      </w:r>
      <w:r>
        <w:t>, die door de huidige dramatische prijsstijgingen worden getroffen;</w:t>
      </w:r>
    </w:p>
    <w:p w:rsidR="00737766" w:rsidP="009120CD" w:rsidRDefault="00737766" w14:paraId="7730A555" w14:textId="27D59C68">
      <w:pPr>
        <w:pStyle w:val="ListParagraph"/>
        <w:numPr>
          <w:ilvl w:val="0"/>
          <w:numId w:val="3"/>
        </w:numPr>
        <w:ind w:left="357" w:hanging="357"/>
        <w:rPr>
          <w:bCs/>
        </w:rPr>
      </w:pPr>
      <w:r>
        <w:t xml:space="preserve">benadrukt echter dat de noodmaatregelen van het REPowerEU-plan </w:t>
      </w:r>
      <w:r>
        <w:rPr>
          <w:b/>
        </w:rPr>
        <w:t>niet tot nieuwe afhankelijkheid mogen leiden en niet ten koste mogen gaan van het streven om</w:t>
      </w:r>
      <w:r>
        <w:t xml:space="preserve"> zo spoedig mogelijk klimaatneutraliteit te bereiken;</w:t>
      </w:r>
    </w:p>
    <w:p w:rsidR="00737766" w:rsidP="009120CD" w:rsidRDefault="00737766" w14:paraId="61990DE7" w14:textId="17B013C0">
      <w:pPr>
        <w:pStyle w:val="ListParagraph"/>
        <w:numPr>
          <w:ilvl w:val="0"/>
          <w:numId w:val="3"/>
        </w:numPr>
        <w:ind w:left="357" w:hanging="357"/>
        <w:rPr>
          <w:bCs/>
        </w:rPr>
      </w:pPr>
      <w:r>
        <w:t>verzoekt de Commissie om, mede gezien de dringende situatie op energie- en klimaatgebied, een geopolitieke strategie voor de invoer van energie te ontwikkelen alvorens partnerschapsovereenkomsten te sluiten met niet-democratische of politiek instabiele landen;</w:t>
      </w:r>
    </w:p>
    <w:p w:rsidR="00737766" w:rsidP="009120CD" w:rsidRDefault="00737766" w14:paraId="58F266F8" w14:textId="49E11B2E">
      <w:pPr>
        <w:pStyle w:val="ListParagraph"/>
        <w:numPr>
          <w:ilvl w:val="0"/>
          <w:numId w:val="3"/>
        </w:numPr>
        <w:ind w:left="357" w:hanging="357"/>
        <w:rPr>
          <w:bCs/>
        </w:rPr>
      </w:pPr>
      <w:r>
        <w:t xml:space="preserve">stelt vast dat er, gezien de urgentie van de situatie op toeleveringsgebied, </w:t>
      </w:r>
      <w:r>
        <w:rPr>
          <w:b/>
        </w:rPr>
        <w:t>flexibiliteit nodig is ten aanzien van het tijdelijke gebruik van fossiele en koolstofarme brandstoffen, steenkool en kernenergie</w:t>
      </w:r>
      <w:r>
        <w:t xml:space="preserve"> en dat de rol van kernenergie een nationale bevoegdheid is;</w:t>
      </w:r>
    </w:p>
    <w:p w:rsidR="00737766" w:rsidP="009120CD" w:rsidRDefault="00737766" w14:paraId="5BDC8049" w14:textId="05DE4056">
      <w:pPr>
        <w:pStyle w:val="ListParagraph"/>
        <w:numPr>
          <w:ilvl w:val="0"/>
          <w:numId w:val="3"/>
        </w:numPr>
        <w:ind w:left="357" w:hanging="357"/>
        <w:rPr>
          <w:bCs/>
        </w:rPr>
      </w:pPr>
      <w:bookmarkStart w:name="_Hlk113975642" w:id="23"/>
      <w:r>
        <w:t>steunt dan ook:</w:t>
      </w:r>
      <w:bookmarkEnd w:id="23"/>
    </w:p>
    <w:p w:rsidRPr="00737766" w:rsidR="00737766" w:rsidP="009120CD" w:rsidRDefault="00737766" w14:paraId="3DA0C962" w14:textId="08FD2290">
      <w:pPr>
        <w:widowControl w:val="0"/>
        <w:numPr>
          <w:ilvl w:val="0"/>
          <w:numId w:val="19"/>
        </w:numPr>
        <w:overflowPunct w:val="0"/>
        <w:autoSpaceDE w:val="0"/>
        <w:autoSpaceDN w:val="0"/>
        <w:adjustRightInd w:val="0"/>
        <w:textAlignment w:val="baseline"/>
        <w:rPr>
          <w:szCs w:val="20"/>
        </w:rPr>
      </w:pPr>
      <w:r>
        <w:t xml:space="preserve">het voorstel om </w:t>
      </w:r>
      <w:r>
        <w:rPr>
          <w:b/>
        </w:rPr>
        <w:t>de energie-efficiëntiedoelstelling te verhogen</w:t>
      </w:r>
      <w:r>
        <w:t xml:space="preserve"> van 9 % tot 14 % tegen 2030;</w:t>
      </w:r>
    </w:p>
    <w:p w:rsidR="00737766" w:rsidP="009120CD" w:rsidRDefault="00737766" w14:paraId="6946A4DF" w14:textId="5D2AA6BC">
      <w:pPr>
        <w:widowControl w:val="0"/>
        <w:numPr>
          <w:ilvl w:val="0"/>
          <w:numId w:val="20"/>
        </w:numPr>
        <w:overflowPunct w:val="0"/>
        <w:autoSpaceDE w:val="0"/>
        <w:autoSpaceDN w:val="0"/>
        <w:adjustRightInd w:val="0"/>
        <w:textAlignment w:val="baseline"/>
        <w:rPr>
          <w:szCs w:val="20"/>
        </w:rPr>
      </w:pPr>
      <w:r>
        <w:t xml:space="preserve">een </w:t>
      </w:r>
      <w:r>
        <w:rPr>
          <w:b/>
        </w:rPr>
        <w:t>verhoging van het aandeel duurzame energie in de energiemix van de EU</w:t>
      </w:r>
      <w:r>
        <w:t xml:space="preserve"> en het verzoek van de Commissie om het in het REPowerEU-plan voorgestelde aandeel van 45 % op te nemen in het Fit for 55-pakket;</w:t>
      </w:r>
    </w:p>
    <w:p w:rsidRPr="00737766" w:rsidR="00737766" w:rsidP="009120CD" w:rsidRDefault="00737766" w14:paraId="3A56C4A9" w14:textId="0C7A594E">
      <w:pPr>
        <w:widowControl w:val="0"/>
        <w:numPr>
          <w:ilvl w:val="0"/>
          <w:numId w:val="20"/>
        </w:numPr>
        <w:overflowPunct w:val="0"/>
        <w:autoSpaceDE w:val="0"/>
        <w:autoSpaceDN w:val="0"/>
        <w:adjustRightInd w:val="0"/>
        <w:textAlignment w:val="baseline"/>
        <w:rPr>
          <w:szCs w:val="20"/>
        </w:rPr>
      </w:pPr>
      <w:r>
        <w:t xml:space="preserve">de voorstellen inzake </w:t>
      </w:r>
      <w:r>
        <w:rPr>
          <w:b/>
        </w:rPr>
        <w:t>snelle vergunningsprocedures</w:t>
      </w:r>
      <w:r>
        <w:t xml:space="preserve"> voor projecten op het gebied van hernieuwbare energie en de aanwijzing van zogenaamde </w:t>
      </w:r>
      <w:r>
        <w:rPr>
          <w:b/>
        </w:rPr>
        <w:t>‘go-to’-gebieden</w:t>
      </w:r>
      <w:r>
        <w:t xml:space="preserve"> voor dergelijke projecten;</w:t>
      </w:r>
    </w:p>
    <w:p w:rsidRPr="00510903" w:rsidR="00A10A98" w:rsidP="009120CD" w:rsidRDefault="00037A85" w14:paraId="565DA337" w14:textId="45B7E533">
      <w:pPr>
        <w:pStyle w:val="ListParagraph"/>
        <w:numPr>
          <w:ilvl w:val="0"/>
          <w:numId w:val="3"/>
        </w:numPr>
        <w:ind w:left="357" w:hanging="357"/>
        <w:rPr>
          <w:sz w:val="28"/>
        </w:rPr>
      </w:pPr>
      <w:r>
        <w:t>vestigt de aandacht op:</w:t>
      </w:r>
    </w:p>
    <w:p w:rsidR="00510903" w:rsidP="009120CD" w:rsidRDefault="00510903" w14:paraId="0430650C" w14:textId="1569F791">
      <w:pPr>
        <w:widowControl w:val="0"/>
        <w:numPr>
          <w:ilvl w:val="0"/>
          <w:numId w:val="3"/>
        </w:numPr>
        <w:overflowPunct w:val="0"/>
        <w:autoSpaceDE w:val="0"/>
        <w:autoSpaceDN w:val="0"/>
        <w:adjustRightInd w:val="0"/>
        <w:textAlignment w:val="baseline"/>
      </w:pPr>
      <w:r>
        <w:t xml:space="preserve">de noodzaak van </w:t>
      </w:r>
      <w:r>
        <w:rPr>
          <w:b/>
        </w:rPr>
        <w:t xml:space="preserve">grootschalige investeringen om het aandeel hernieuwbare </w:t>
      </w:r>
      <w:r>
        <w:rPr>
          <w:b/>
        </w:rPr>
        <w:lastRenderedPageBreak/>
        <w:t>energiebronnen</w:t>
      </w:r>
      <w:r>
        <w:t xml:space="preserve"> in de energiemix van de EU te verhogen;</w:t>
      </w:r>
    </w:p>
    <w:p w:rsidRPr="00237B5F" w:rsidR="00510903" w:rsidP="009120CD" w:rsidRDefault="00510903" w14:paraId="4FA13A20" w14:textId="1D75CD5B">
      <w:pPr>
        <w:widowControl w:val="0"/>
        <w:numPr>
          <w:ilvl w:val="0"/>
          <w:numId w:val="3"/>
        </w:numPr>
        <w:overflowPunct w:val="0"/>
        <w:autoSpaceDE w:val="0"/>
        <w:autoSpaceDN w:val="0"/>
        <w:adjustRightInd w:val="0"/>
        <w:textAlignment w:val="baseline"/>
      </w:pPr>
      <w:r>
        <w:t>de grote behoefte aan investeringen in onderzoek en ontwikkeling;</w:t>
      </w:r>
    </w:p>
    <w:p w:rsidR="00510903" w:rsidP="009120CD" w:rsidRDefault="00510903" w14:paraId="2C82EAE2" w14:textId="0FD2536A">
      <w:pPr>
        <w:widowControl w:val="0"/>
        <w:numPr>
          <w:ilvl w:val="0"/>
          <w:numId w:val="3"/>
        </w:numPr>
        <w:overflowPunct w:val="0"/>
        <w:autoSpaceDE w:val="0"/>
        <w:autoSpaceDN w:val="0"/>
        <w:adjustRightInd w:val="0"/>
        <w:textAlignment w:val="baseline"/>
      </w:pPr>
      <w:r>
        <w:t xml:space="preserve">het </w:t>
      </w:r>
      <w:r>
        <w:rPr>
          <w:b/>
        </w:rPr>
        <w:t>potentieel van zelfverbruik, gemeenschappen voor hernieuwbare energie en energiedeling</w:t>
      </w:r>
      <w:r>
        <w:t>;</w:t>
      </w:r>
    </w:p>
    <w:p w:rsidRPr="00510903" w:rsidR="00510903" w:rsidP="009120CD" w:rsidRDefault="00510903" w14:paraId="7B914614" w14:textId="540B767C">
      <w:pPr>
        <w:widowControl w:val="0"/>
        <w:numPr>
          <w:ilvl w:val="0"/>
          <w:numId w:val="3"/>
        </w:numPr>
        <w:overflowPunct w:val="0"/>
        <w:autoSpaceDE w:val="0"/>
        <w:autoSpaceDN w:val="0"/>
        <w:adjustRightInd w:val="0"/>
        <w:textAlignment w:val="baseline"/>
      </w:pPr>
      <w:r>
        <w:t xml:space="preserve">het belang van </w:t>
      </w:r>
      <w:r>
        <w:rPr>
          <w:b/>
        </w:rPr>
        <w:t>nationale gedragspatronen en tradities</w:t>
      </w:r>
      <w:r>
        <w:t xml:space="preserve"> die van invloed zijn op keuzes voor een duurzame energiemix.</w:t>
      </w:r>
    </w:p>
    <w:p w:rsidRPr="001346B6" w:rsidR="00037A85" w:rsidP="009120CD" w:rsidRDefault="00037A85" w14:paraId="5991D0D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552022" w:rsidTr="004E4367" w14:paraId="6B47FDE5" w14:textId="77777777">
        <w:tc>
          <w:tcPr>
            <w:tcW w:w="1418" w:type="dxa"/>
          </w:tcPr>
          <w:p w:rsidRPr="009B70E7" w:rsidR="00552022" w:rsidP="009120CD" w:rsidRDefault="00552022" w14:paraId="266CD4C4" w14:textId="77777777">
            <w:pPr>
              <w:pStyle w:val="ListParagraph"/>
              <w:ind w:left="0"/>
              <w:rPr>
                <w:i/>
              </w:rPr>
            </w:pPr>
            <w:r>
              <w:rPr>
                <w:b/>
                <w:i/>
              </w:rPr>
              <w:t>Contactpersoon</w:t>
            </w:r>
          </w:p>
        </w:tc>
        <w:tc>
          <w:tcPr>
            <w:tcW w:w="5670" w:type="dxa"/>
          </w:tcPr>
          <w:p w:rsidRPr="009B70E7" w:rsidR="00552022" w:rsidP="009120CD" w:rsidRDefault="00552022" w14:paraId="382B2C1C" w14:textId="2034E157">
            <w:pPr>
              <w:pStyle w:val="ListParagraph"/>
              <w:ind w:left="0"/>
              <w:rPr>
                <w:i/>
              </w:rPr>
            </w:pPr>
            <w:r>
              <w:rPr>
                <w:i/>
              </w:rPr>
              <w:t>Layla Reiter</w:t>
            </w:r>
          </w:p>
        </w:tc>
      </w:tr>
      <w:tr w:rsidRPr="009B70E7" w:rsidR="00552022" w:rsidTr="004E4367" w14:paraId="36155028" w14:textId="77777777">
        <w:tc>
          <w:tcPr>
            <w:tcW w:w="1418" w:type="dxa"/>
          </w:tcPr>
          <w:p w:rsidRPr="009B70E7" w:rsidR="00552022" w:rsidP="009120CD" w:rsidRDefault="00552022" w14:paraId="43E41E39" w14:textId="77777777">
            <w:pPr>
              <w:pStyle w:val="ListParagraph"/>
              <w:ind w:left="601"/>
              <w:rPr>
                <w:i/>
              </w:rPr>
            </w:pPr>
            <w:r>
              <w:rPr>
                <w:i/>
              </w:rPr>
              <w:t>Tel.</w:t>
            </w:r>
          </w:p>
        </w:tc>
        <w:tc>
          <w:tcPr>
            <w:tcW w:w="5670" w:type="dxa"/>
          </w:tcPr>
          <w:p w:rsidRPr="009B70E7" w:rsidR="00552022" w:rsidP="009120CD" w:rsidRDefault="00552022" w14:paraId="21683711" w14:textId="4DFEF3E1">
            <w:pPr>
              <w:pStyle w:val="ListParagraph"/>
              <w:ind w:left="0"/>
              <w:rPr>
                <w:i/>
              </w:rPr>
            </w:pPr>
            <w:r>
              <w:rPr>
                <w:i/>
              </w:rPr>
              <w:t>00 32 2 546 93 68</w:t>
            </w:r>
          </w:p>
        </w:tc>
      </w:tr>
      <w:tr w:rsidRPr="009B70E7" w:rsidR="00552022" w:rsidTr="004E4367" w14:paraId="10F3D4F1" w14:textId="77777777">
        <w:tc>
          <w:tcPr>
            <w:tcW w:w="1418" w:type="dxa"/>
          </w:tcPr>
          <w:p w:rsidRPr="009B70E7" w:rsidR="00552022" w:rsidP="009120CD" w:rsidRDefault="00552022" w14:paraId="6AB0E539" w14:textId="77777777">
            <w:pPr>
              <w:pStyle w:val="ListParagraph"/>
              <w:ind w:left="601"/>
              <w:rPr>
                <w:i/>
              </w:rPr>
            </w:pPr>
            <w:r>
              <w:rPr>
                <w:i/>
              </w:rPr>
              <w:t>E-mail</w:t>
            </w:r>
          </w:p>
        </w:tc>
        <w:tc>
          <w:tcPr>
            <w:tcW w:w="5670" w:type="dxa"/>
          </w:tcPr>
          <w:p w:rsidRPr="00F256CD" w:rsidR="00552022" w:rsidP="009120CD" w:rsidRDefault="00C56F85" w14:paraId="589CC30E" w14:textId="4703B1F0">
            <w:pPr>
              <w:pStyle w:val="ListParagraph"/>
              <w:ind w:left="0"/>
              <w:rPr>
                <w:i/>
                <w:color w:val="0000FF"/>
                <w:u w:val="single"/>
              </w:rPr>
            </w:pPr>
            <w:hyperlink w:history="1" r:id="rId35">
              <w:r w:rsidR="0064748D">
                <w:rPr>
                  <w:rStyle w:val="Hyperlink"/>
                  <w:i/>
                </w:rPr>
                <w:t>Layla.Reiter@eesc.europa.eu</w:t>
              </w:r>
            </w:hyperlink>
          </w:p>
        </w:tc>
      </w:tr>
    </w:tbl>
    <w:p w:rsidR="002A2F38" w:rsidP="009120CD" w:rsidRDefault="002A2F38" w14:paraId="7C470F49" w14:textId="77777777">
      <w:pPr>
        <w:jc w:val="left"/>
        <w:rPr>
          <w:sz w:val="28"/>
        </w:rPr>
      </w:pPr>
    </w:p>
    <w:p w:rsidRPr="009B70E7" w:rsidR="00510903" w:rsidP="009120CD" w:rsidRDefault="00510903" w14:paraId="3D819B05" w14:textId="15090387">
      <w:pPr>
        <w:pStyle w:val="ListParagraph"/>
        <w:keepNext/>
        <w:numPr>
          <w:ilvl w:val="0"/>
          <w:numId w:val="2"/>
        </w:numPr>
        <w:ind w:left="567" w:hanging="567"/>
        <w:rPr>
          <w:b/>
          <w:i/>
          <w:sz w:val="28"/>
          <w:szCs w:val="28"/>
        </w:rPr>
      </w:pPr>
      <w:r>
        <w:rPr>
          <w:b/>
          <w:i/>
          <w:sz w:val="28"/>
        </w:rPr>
        <w:t>Tijdelijke ontheffing slotgebruik op luchthavens als gevolg van de COVID-19-pandemie</w:t>
      </w:r>
    </w:p>
    <w:p w:rsidRPr="001346B6" w:rsidR="00510903" w:rsidP="009120CD" w:rsidRDefault="00510903" w14:paraId="3024F672" w14:textId="77777777">
      <w:pPr>
        <w:pStyle w:val="ListParagraph"/>
        <w:keepNext/>
        <w:ind w:left="0"/>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818"/>
      </w:tblGrid>
      <w:tr w:rsidRPr="009B70E7" w:rsidR="00510903" w:rsidTr="00037A85" w14:paraId="1DFAAC31" w14:textId="77777777">
        <w:tc>
          <w:tcPr>
            <w:tcW w:w="1701" w:type="dxa"/>
          </w:tcPr>
          <w:p w:rsidRPr="009B70E7" w:rsidR="00510903" w:rsidP="001346B6" w:rsidRDefault="00510903" w14:paraId="150F2EE9" w14:textId="7C84E2DC">
            <w:pPr>
              <w:pStyle w:val="ListParagraph"/>
              <w:keepNext/>
              <w:spacing w:line="264" w:lineRule="auto"/>
              <w:ind w:left="0"/>
              <w:rPr>
                <w:b/>
              </w:rPr>
            </w:pPr>
            <w:r>
              <w:rPr>
                <w:b/>
              </w:rPr>
              <w:t>Algemeen rapporteur:</w:t>
            </w:r>
          </w:p>
        </w:tc>
        <w:tc>
          <w:tcPr>
            <w:tcW w:w="5818" w:type="dxa"/>
          </w:tcPr>
          <w:p w:rsidRPr="009B70E7" w:rsidR="00510903" w:rsidP="009120CD" w:rsidRDefault="00510903" w14:paraId="02875CAB" w14:textId="6B83A059">
            <w:pPr>
              <w:pStyle w:val="ListParagraph"/>
              <w:keepNext/>
              <w:ind w:left="-56" w:right="-453"/>
            </w:pPr>
            <w:r>
              <w:t>Thomas KROPP (groep Werkgevers – DE)</w:t>
            </w:r>
          </w:p>
        </w:tc>
      </w:tr>
      <w:tr w:rsidRPr="009B70E7" w:rsidR="00510903" w:rsidTr="00037A85" w14:paraId="5E12E653" w14:textId="77777777">
        <w:tc>
          <w:tcPr>
            <w:tcW w:w="7517" w:type="dxa"/>
            <w:gridSpan w:val="2"/>
          </w:tcPr>
          <w:p w:rsidRPr="009B70E7" w:rsidR="00510903" w:rsidP="009120CD" w:rsidRDefault="00510903" w14:paraId="34ACA3C1" w14:textId="77777777">
            <w:pPr>
              <w:pStyle w:val="ListParagraph"/>
              <w:keepNext/>
              <w:ind w:left="0"/>
            </w:pPr>
          </w:p>
        </w:tc>
      </w:tr>
      <w:tr w:rsidRPr="009B70E7" w:rsidR="00510903" w:rsidTr="00037A85" w14:paraId="0B402F22" w14:textId="77777777">
        <w:tc>
          <w:tcPr>
            <w:tcW w:w="1701" w:type="dxa"/>
            <w:vMerge w:val="restart"/>
          </w:tcPr>
          <w:p w:rsidRPr="009B70E7" w:rsidR="00510903" w:rsidP="009120CD" w:rsidRDefault="00510903" w14:paraId="161AD55F" w14:textId="77777777">
            <w:pPr>
              <w:pStyle w:val="ListParagraph"/>
              <w:keepNext/>
              <w:ind w:left="0"/>
              <w:rPr>
                <w:b/>
              </w:rPr>
            </w:pPr>
            <w:r>
              <w:rPr>
                <w:b/>
              </w:rPr>
              <w:t xml:space="preserve">Referentie: </w:t>
            </w:r>
          </w:p>
        </w:tc>
        <w:tc>
          <w:tcPr>
            <w:tcW w:w="5818" w:type="dxa"/>
          </w:tcPr>
          <w:p w:rsidRPr="009B70E7" w:rsidR="00510903" w:rsidP="009120CD" w:rsidRDefault="00510903" w14:paraId="1E786179" w14:textId="106111E0">
            <w:pPr>
              <w:pStyle w:val="ListParagraph"/>
              <w:keepNext/>
              <w:ind w:left="-56"/>
            </w:pPr>
            <w:r>
              <w:t>COM (2022) 334 final</w:t>
            </w:r>
          </w:p>
        </w:tc>
      </w:tr>
      <w:tr w:rsidRPr="009B70E7" w:rsidR="00510903" w:rsidTr="00037A85" w14:paraId="717D4D6D" w14:textId="77777777">
        <w:tc>
          <w:tcPr>
            <w:tcW w:w="1701" w:type="dxa"/>
            <w:vMerge/>
          </w:tcPr>
          <w:p w:rsidRPr="009B70E7" w:rsidR="00510903" w:rsidP="009120CD" w:rsidRDefault="00510903" w14:paraId="385CEC77" w14:textId="77777777">
            <w:pPr>
              <w:pStyle w:val="ListParagraph"/>
              <w:keepNext/>
              <w:ind w:left="0"/>
              <w:rPr>
                <w:b/>
              </w:rPr>
            </w:pPr>
          </w:p>
        </w:tc>
        <w:tc>
          <w:tcPr>
            <w:tcW w:w="5818" w:type="dxa"/>
          </w:tcPr>
          <w:p w:rsidRPr="009B70E7" w:rsidR="00510903" w:rsidP="009120CD" w:rsidRDefault="00510903" w14:paraId="5FE86526" w14:textId="11261EE0">
            <w:pPr>
              <w:pStyle w:val="ListParagraph"/>
              <w:keepNext/>
              <w:ind w:left="-56"/>
            </w:pPr>
            <w:r>
              <w:t>EESC-2022-03866-00-00-AC</w:t>
            </w:r>
          </w:p>
        </w:tc>
      </w:tr>
    </w:tbl>
    <w:p w:rsidRPr="001346B6" w:rsidR="00510903" w:rsidP="001346B6" w:rsidRDefault="00510903" w14:paraId="6F103AA4" w14:textId="77777777">
      <w:pPr>
        <w:pStyle w:val="ListParagraph"/>
        <w:keepNext/>
        <w:spacing w:line="264" w:lineRule="auto"/>
        <w:ind w:left="0"/>
        <w:rPr>
          <w:sz w:val="18"/>
          <w:szCs w:val="18"/>
        </w:rPr>
      </w:pPr>
    </w:p>
    <w:p w:rsidRPr="00CE23CC" w:rsidR="00510903" w:rsidP="001346B6" w:rsidRDefault="00510903" w14:paraId="5CA6A315" w14:textId="6AD6534B">
      <w:pPr>
        <w:pStyle w:val="ListParagraph"/>
        <w:spacing w:line="264" w:lineRule="auto"/>
        <w:ind w:left="0" w:firstLine="142"/>
        <w:rPr>
          <w:b/>
        </w:rPr>
      </w:pPr>
      <w:r>
        <w:rPr>
          <w:b/>
        </w:rPr>
        <w:t>Hoofdpunten</w:t>
      </w:r>
    </w:p>
    <w:p w:rsidRPr="001346B6" w:rsidR="00510903" w:rsidP="001346B6" w:rsidRDefault="00510903" w14:paraId="7FCB400E" w14:textId="77777777">
      <w:pPr>
        <w:pStyle w:val="ListParagraph"/>
        <w:spacing w:line="264" w:lineRule="auto"/>
        <w:ind w:left="0"/>
        <w:rPr>
          <w:sz w:val="18"/>
          <w:szCs w:val="18"/>
        </w:rPr>
      </w:pPr>
    </w:p>
    <w:p w:rsidRPr="00A00F37" w:rsidR="00510903" w:rsidP="001346B6" w:rsidRDefault="00510903" w14:paraId="33655AB7" w14:textId="77777777">
      <w:pPr>
        <w:pStyle w:val="ListParagraph"/>
        <w:spacing w:line="264" w:lineRule="auto"/>
        <w:ind w:left="0" w:firstLine="142"/>
        <w:rPr>
          <w:bCs/>
        </w:rPr>
      </w:pPr>
      <w:r>
        <w:t>Het EESC:</w:t>
      </w:r>
    </w:p>
    <w:p w:rsidRPr="001346B6" w:rsidR="00510903" w:rsidP="009120CD" w:rsidRDefault="00510903" w14:paraId="5255DB3F" w14:textId="77777777">
      <w:pPr>
        <w:pStyle w:val="ListParagraph"/>
        <w:ind w:left="0"/>
        <w:rPr>
          <w:sz w:val="18"/>
          <w:szCs w:val="18"/>
        </w:rPr>
      </w:pPr>
    </w:p>
    <w:p w:rsidRPr="003527B4" w:rsidR="00510903" w:rsidP="009120CD" w:rsidRDefault="00510903" w14:paraId="42C8E5A4" w14:textId="2A5303FB">
      <w:pPr>
        <w:pStyle w:val="ListParagraph"/>
        <w:numPr>
          <w:ilvl w:val="0"/>
          <w:numId w:val="3"/>
        </w:numPr>
        <w:ind w:left="357" w:hanging="357"/>
        <w:rPr>
          <w:bCs/>
        </w:rPr>
      </w:pPr>
      <w:r>
        <w:t>is het niet eens met de redenering van de Commissie dat de situatie in de luchtvaartsector weer aan het normaliseren is;</w:t>
      </w:r>
    </w:p>
    <w:p w:rsidR="00510903" w:rsidP="009120CD" w:rsidRDefault="00510903" w14:paraId="301E91AE" w14:textId="2A483680">
      <w:pPr>
        <w:pStyle w:val="ListParagraph"/>
        <w:numPr>
          <w:ilvl w:val="0"/>
          <w:numId w:val="3"/>
        </w:numPr>
        <w:ind w:left="357" w:hanging="357"/>
        <w:rPr>
          <w:bCs/>
        </w:rPr>
      </w:pPr>
      <w:r>
        <w:t>vindt dat de Commissie het voorstel zou moeten herzien om de wijzigingen in de bestaande bepalingen tot een minimum te beperken, teneinde het karakter ervan als “noodwetgeving” te behouden. De huidige noodsituatie is in geen geval afgenomen. De noodmaatregelen moeten dus minstens voor de door de Commissie beoogde periode worden verlengd. Het lijkt voorbarig om dit soort wijzigingen nu al te plannen;</w:t>
      </w:r>
    </w:p>
    <w:p w:rsidRPr="00510903" w:rsidR="00510903" w:rsidP="009120CD" w:rsidRDefault="00510903" w14:paraId="7535B697" w14:textId="2F4DC204">
      <w:pPr>
        <w:pStyle w:val="ListParagraph"/>
        <w:numPr>
          <w:ilvl w:val="0"/>
          <w:numId w:val="3"/>
        </w:numPr>
        <w:ind w:left="357" w:hanging="357"/>
        <w:rPr>
          <w:bCs/>
        </w:rPr>
      </w:pPr>
      <w:r>
        <w:t>is ingenomen met het voorstel van de Commissie om het toepassingsgebied van het gerechtvaardigd niet-gebruik van slots (JNUS) uit te breiden zodat ook politieke onrust en natuurrampen eronder vallen. De procedures die de Commissie voor ogen heeft, maken het proces echter onnodig complex;</w:t>
      </w:r>
    </w:p>
    <w:p w:rsidR="00510903" w:rsidP="009120CD" w:rsidRDefault="00510903" w14:paraId="5518E426" w14:textId="4DA7FA1A">
      <w:pPr>
        <w:pStyle w:val="ListParagraph"/>
        <w:numPr>
          <w:ilvl w:val="0"/>
          <w:numId w:val="3"/>
        </w:numPr>
        <w:ind w:left="357" w:hanging="357"/>
        <w:rPr>
          <w:bCs/>
        </w:rPr>
      </w:pPr>
      <w:r>
        <w:t>schaart zich achter het voorstel om de toewijzing van slots transparanter te maken door de rol van de Europese vereniging van luchthavencoördinatoren te versterken en door coördinatoren te verplichten om de bestemmingen te publiceren waarvoor uitzonderingen van toepassing zijn;</w:t>
      </w:r>
    </w:p>
    <w:p w:rsidRPr="00510903" w:rsidR="00510903" w:rsidP="009120CD" w:rsidRDefault="00510903" w14:paraId="4032A3A4" w14:textId="6D795862">
      <w:pPr>
        <w:pStyle w:val="ListParagraph"/>
        <w:numPr>
          <w:ilvl w:val="0"/>
          <w:numId w:val="3"/>
        </w:numPr>
        <w:ind w:left="357" w:hanging="357"/>
        <w:rPr>
          <w:bCs/>
        </w:rPr>
      </w:pPr>
      <w:r>
        <w:t>benadrukt tegelijkertijd dat EU-maatregelen nauw moeten worden afgestemd op de Worldwide Airline Slot Board (WASB) om te vermijden dat andere regio’s in de wereld hetzelfde probleem op verschillende manieren aanpakken;</w:t>
      </w:r>
    </w:p>
    <w:p w:rsidRPr="00F049D6" w:rsidR="00510903" w:rsidP="009120CD" w:rsidRDefault="00510903" w14:paraId="46E69C79" w14:textId="6FA62214">
      <w:pPr>
        <w:pStyle w:val="ListParagraph"/>
        <w:numPr>
          <w:ilvl w:val="0"/>
          <w:numId w:val="3"/>
        </w:numPr>
        <w:ind w:left="357" w:hanging="357"/>
        <w:rPr>
          <w:bCs/>
        </w:rPr>
      </w:pPr>
      <w:r>
        <w:t>is van mening dat, hoewel het zich volledig achter het voornemen van de Commissie schaart, een effectbeoordeling op zijn plaats was geweest, ondanks de duidelijke tijdsdruk, om de gevolgen van de voorgestelde wijzigingen in de slotverordening beter te kunnen inschatten.</w:t>
      </w:r>
    </w:p>
    <w:p w:rsidRPr="001346B6" w:rsidR="00510903" w:rsidP="009120CD" w:rsidRDefault="00510903" w14:paraId="180DA939" w14:textId="77777777">
      <w:pPr>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510903" w:rsidTr="004E4367" w14:paraId="1556D671" w14:textId="77777777">
        <w:tc>
          <w:tcPr>
            <w:tcW w:w="1418" w:type="dxa"/>
          </w:tcPr>
          <w:p w:rsidRPr="009B70E7" w:rsidR="00510903" w:rsidP="009120CD" w:rsidRDefault="00510903" w14:paraId="5F21AC53" w14:textId="77777777">
            <w:pPr>
              <w:pStyle w:val="ListParagraph"/>
              <w:ind w:left="0"/>
              <w:rPr>
                <w:i/>
              </w:rPr>
            </w:pPr>
            <w:r>
              <w:rPr>
                <w:b/>
                <w:i/>
              </w:rPr>
              <w:t>Contactpersoon</w:t>
            </w:r>
          </w:p>
        </w:tc>
        <w:tc>
          <w:tcPr>
            <w:tcW w:w="5670" w:type="dxa"/>
          </w:tcPr>
          <w:p w:rsidRPr="009B70E7" w:rsidR="00510903" w:rsidP="009120CD" w:rsidRDefault="00510903" w14:paraId="29DCC3F8" w14:textId="2C0F99C1">
            <w:pPr>
              <w:pStyle w:val="ListParagraph"/>
              <w:ind w:left="0"/>
              <w:rPr>
                <w:i/>
              </w:rPr>
            </w:pPr>
            <w:r>
              <w:rPr>
                <w:i/>
              </w:rPr>
              <w:t>Antonio Ribeiro Pereira</w:t>
            </w:r>
          </w:p>
        </w:tc>
      </w:tr>
      <w:tr w:rsidRPr="009B70E7" w:rsidR="00510903" w:rsidTr="004E4367" w14:paraId="7D046E19" w14:textId="77777777">
        <w:tc>
          <w:tcPr>
            <w:tcW w:w="1418" w:type="dxa"/>
          </w:tcPr>
          <w:p w:rsidRPr="009B70E7" w:rsidR="00510903" w:rsidP="009120CD" w:rsidRDefault="00510903" w14:paraId="3F6D5C42" w14:textId="77777777">
            <w:pPr>
              <w:pStyle w:val="ListParagraph"/>
              <w:ind w:left="601"/>
              <w:rPr>
                <w:i/>
              </w:rPr>
            </w:pPr>
            <w:r>
              <w:rPr>
                <w:i/>
              </w:rPr>
              <w:lastRenderedPageBreak/>
              <w:t>Tel.</w:t>
            </w:r>
          </w:p>
        </w:tc>
        <w:tc>
          <w:tcPr>
            <w:tcW w:w="5670" w:type="dxa"/>
          </w:tcPr>
          <w:p w:rsidRPr="009B70E7" w:rsidR="00510903" w:rsidP="009120CD" w:rsidRDefault="00510903" w14:paraId="61791416" w14:textId="77777777">
            <w:pPr>
              <w:pStyle w:val="ListParagraph"/>
              <w:ind w:left="0"/>
              <w:rPr>
                <w:i/>
              </w:rPr>
            </w:pPr>
            <w:r>
              <w:rPr>
                <w:i/>
              </w:rPr>
              <w:t>00 32 2 546 86 79</w:t>
            </w:r>
          </w:p>
        </w:tc>
      </w:tr>
      <w:tr w:rsidRPr="009B70E7" w:rsidR="00510903" w:rsidTr="004E4367" w14:paraId="2C817031" w14:textId="77777777">
        <w:tc>
          <w:tcPr>
            <w:tcW w:w="1418" w:type="dxa"/>
          </w:tcPr>
          <w:p w:rsidRPr="009B70E7" w:rsidR="00510903" w:rsidP="009120CD" w:rsidRDefault="00510903" w14:paraId="2E00BAAE" w14:textId="77777777">
            <w:pPr>
              <w:pStyle w:val="ListParagraph"/>
              <w:ind w:left="601"/>
              <w:rPr>
                <w:i/>
              </w:rPr>
            </w:pPr>
            <w:r>
              <w:rPr>
                <w:i/>
              </w:rPr>
              <w:t>E-mail</w:t>
            </w:r>
          </w:p>
        </w:tc>
        <w:tc>
          <w:tcPr>
            <w:tcW w:w="5670" w:type="dxa"/>
          </w:tcPr>
          <w:p w:rsidRPr="00F256CD" w:rsidR="00510903" w:rsidP="009120CD" w:rsidRDefault="00C56F85" w14:paraId="6D0679F4" w14:textId="3016CED5">
            <w:pPr>
              <w:pStyle w:val="ListParagraph"/>
              <w:ind w:left="0"/>
              <w:rPr>
                <w:i/>
                <w:color w:val="0000FF"/>
                <w:u w:val="single"/>
              </w:rPr>
            </w:pPr>
            <w:hyperlink w:history="1" r:id="rId36">
              <w:r w:rsidR="0064748D">
                <w:rPr>
                  <w:rStyle w:val="Hyperlink"/>
                  <w:i/>
                </w:rPr>
                <w:t>Antonio.RibeiroPereira@eesc.europa.eu</w:t>
              </w:r>
            </w:hyperlink>
          </w:p>
        </w:tc>
      </w:tr>
    </w:tbl>
    <w:p w:rsidRPr="009B70E7" w:rsidR="004D7AC0" w:rsidP="001346B6" w:rsidRDefault="00037A85" w14:paraId="3F8FA026" w14:textId="32B44C5F">
      <w:pPr>
        <w:spacing w:after="160"/>
        <w:jc w:val="left"/>
        <w:rPr>
          <w:b/>
        </w:rPr>
      </w:pPr>
      <w:r>
        <w:br w:type="page"/>
      </w:r>
      <w:bookmarkStart w:name="_Toc75527083" w:id="24"/>
      <w:r w:rsidR="004D7AC0">
        <w:rPr>
          <w:b/>
        </w:rPr>
        <w:t>INTERNE MARKT, PRODUCTIE EN CONSUMPTIE</w:t>
      </w:r>
      <w:bookmarkEnd w:id="24"/>
    </w:p>
    <w:p w:rsidRPr="009B70E7" w:rsidR="004D7AC0" w:rsidP="00E00915" w:rsidRDefault="004D7AC0" w14:paraId="03FF9505" w14:textId="77777777">
      <w:pPr>
        <w:keepNext/>
        <w:keepLines/>
      </w:pPr>
    </w:p>
    <w:p w:rsidRPr="007E7A4F" w:rsidR="00164813" w:rsidP="009120CD" w:rsidRDefault="00E34279" w14:paraId="12FD6239" w14:textId="63DC9FD0">
      <w:pPr>
        <w:pStyle w:val="ListParagraph"/>
        <w:numPr>
          <w:ilvl w:val="0"/>
          <w:numId w:val="2"/>
        </w:numPr>
        <w:ind w:left="567" w:hanging="567"/>
        <w:rPr>
          <w:b/>
          <w:i/>
          <w:sz w:val="28"/>
          <w:szCs w:val="28"/>
        </w:rPr>
      </w:pPr>
      <w:bookmarkStart w:name="_Hlk111801891" w:id="25"/>
      <w:r>
        <w:rPr>
          <w:b/>
          <w:i/>
          <w:sz w:val="28"/>
        </w:rPr>
        <w:t>Overdracht van ondernemingen als stimulans voor duurzaam herstel en groei in het midden- en kleinbedrijf</w:t>
      </w:r>
    </w:p>
    <w:p w:rsidRPr="009B70E7" w:rsidR="00164813" w:rsidP="009120CD" w:rsidRDefault="00164813" w14:paraId="1DADE393"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164813" w:rsidTr="00B83E7B" w14:paraId="1383CB57" w14:textId="77777777">
        <w:tc>
          <w:tcPr>
            <w:tcW w:w="1701" w:type="dxa"/>
          </w:tcPr>
          <w:p w:rsidRPr="009B70E7" w:rsidR="00164813" w:rsidP="009120CD" w:rsidRDefault="00164813" w14:paraId="33004117" w14:textId="77777777">
            <w:pPr>
              <w:pStyle w:val="ListParagraph"/>
              <w:ind w:left="0"/>
              <w:rPr>
                <w:b/>
              </w:rPr>
            </w:pPr>
            <w:r>
              <w:rPr>
                <w:b/>
              </w:rPr>
              <w:t>Rapporteur:</w:t>
            </w:r>
          </w:p>
        </w:tc>
        <w:tc>
          <w:tcPr>
            <w:tcW w:w="6096" w:type="dxa"/>
          </w:tcPr>
          <w:p w:rsidRPr="007E7A4F" w:rsidR="00164813" w:rsidP="009120CD" w:rsidRDefault="00164813" w14:paraId="2BCDDC29" w14:textId="07976905">
            <w:pPr>
              <w:pStyle w:val="ListParagraph"/>
              <w:ind w:left="-108"/>
            </w:pPr>
            <w:r>
              <w:t xml:space="preserve"> Mira-Maria KONTKANEN (groep Werkgevers – FI)</w:t>
            </w:r>
          </w:p>
        </w:tc>
      </w:tr>
      <w:tr w:rsidRPr="007E7A4F" w:rsidR="00164813" w:rsidTr="00B83E7B" w14:paraId="5DB9564B" w14:textId="77777777">
        <w:tc>
          <w:tcPr>
            <w:tcW w:w="7797" w:type="dxa"/>
            <w:gridSpan w:val="2"/>
          </w:tcPr>
          <w:p w:rsidRPr="007E7A4F" w:rsidR="00164813" w:rsidP="009120CD" w:rsidRDefault="00164813" w14:paraId="421C9628" w14:textId="77777777">
            <w:pPr>
              <w:pStyle w:val="ListParagraph"/>
              <w:ind w:left="0"/>
              <w:rPr>
                <w:lang w:val="fr-BE"/>
              </w:rPr>
            </w:pPr>
          </w:p>
        </w:tc>
      </w:tr>
      <w:tr w:rsidRPr="009B70E7" w:rsidR="00164813" w:rsidTr="00B83E7B" w14:paraId="132333E4" w14:textId="77777777">
        <w:tc>
          <w:tcPr>
            <w:tcW w:w="1701" w:type="dxa"/>
          </w:tcPr>
          <w:p w:rsidRPr="009B70E7" w:rsidR="00164813" w:rsidP="009120CD" w:rsidRDefault="00164813" w14:paraId="2A306C51" w14:textId="77777777">
            <w:pPr>
              <w:pStyle w:val="ListParagraph"/>
              <w:ind w:left="0"/>
              <w:rPr>
                <w:b/>
              </w:rPr>
            </w:pPr>
            <w:r>
              <w:rPr>
                <w:b/>
              </w:rPr>
              <w:t xml:space="preserve">Referentie: </w:t>
            </w:r>
          </w:p>
        </w:tc>
        <w:tc>
          <w:tcPr>
            <w:tcW w:w="6096" w:type="dxa"/>
          </w:tcPr>
          <w:p w:rsidRPr="009B70E7" w:rsidR="00164813" w:rsidP="009120CD" w:rsidRDefault="00E34279" w14:paraId="1EB81693" w14:textId="61725A75">
            <w:pPr>
              <w:tabs>
                <w:tab w:val="center" w:pos="284"/>
              </w:tabs>
              <w:ind w:left="266" w:hanging="374"/>
            </w:pPr>
            <w:r>
              <w:t>Initiatiefadvies</w:t>
            </w:r>
          </w:p>
          <w:p w:rsidRPr="009B70E7" w:rsidR="00164813" w:rsidP="009120CD" w:rsidRDefault="00ED377B" w14:paraId="1746D341" w14:textId="2AA89A6A">
            <w:pPr>
              <w:pStyle w:val="ListParagraph"/>
              <w:ind w:left="-108"/>
            </w:pPr>
            <w:r>
              <w:t>EESC-2022-01530-00-00-AC</w:t>
            </w:r>
          </w:p>
        </w:tc>
      </w:tr>
    </w:tbl>
    <w:p w:rsidRPr="00A00F37" w:rsidR="00164813" w:rsidP="009120CD" w:rsidRDefault="00164813" w14:paraId="488A6C0C" w14:textId="77777777">
      <w:pPr>
        <w:pStyle w:val="ListParagraph"/>
        <w:ind w:left="0" w:firstLine="142"/>
        <w:rPr>
          <w:b/>
        </w:rPr>
      </w:pPr>
    </w:p>
    <w:p w:rsidRPr="0018231C" w:rsidR="00164813" w:rsidP="009120CD" w:rsidRDefault="00164813" w14:paraId="015FE75F" w14:textId="4469FC57">
      <w:pPr>
        <w:pStyle w:val="ListParagraph"/>
        <w:ind w:left="0" w:firstLine="142"/>
        <w:rPr>
          <w:b/>
        </w:rPr>
      </w:pPr>
      <w:r>
        <w:rPr>
          <w:b/>
        </w:rPr>
        <w:t>Hoofdpunten</w:t>
      </w:r>
    </w:p>
    <w:p w:rsidRPr="0018231C" w:rsidR="00164813" w:rsidP="009120CD" w:rsidRDefault="00164813" w14:paraId="573BE746" w14:textId="77777777">
      <w:pPr>
        <w:pStyle w:val="ListParagraph"/>
        <w:ind w:left="0"/>
        <w:rPr>
          <w:lang w:val="fr-FR"/>
        </w:rPr>
      </w:pPr>
    </w:p>
    <w:p w:rsidR="00164813" w:rsidP="009120CD" w:rsidRDefault="00164813" w14:paraId="30245860" w14:textId="77777777">
      <w:pPr>
        <w:pStyle w:val="ListParagraph"/>
        <w:ind w:left="0" w:firstLine="142"/>
      </w:pPr>
      <w:r>
        <w:t>Het EESC:</w:t>
      </w:r>
    </w:p>
    <w:p w:rsidRPr="0018231C" w:rsidR="00164813" w:rsidP="009120CD" w:rsidRDefault="00164813" w14:paraId="7D5F280C" w14:textId="77777777">
      <w:pPr>
        <w:pStyle w:val="ListParagraph"/>
        <w:ind w:left="0"/>
        <w:rPr>
          <w:lang w:val="fr-FR"/>
        </w:rPr>
      </w:pPr>
    </w:p>
    <w:p w:rsidRPr="00A3344B" w:rsidR="00A3344B" w:rsidP="009120CD" w:rsidRDefault="00CA6928" w14:paraId="03AF28C8" w14:textId="7D973880">
      <w:pPr>
        <w:numPr>
          <w:ilvl w:val="0"/>
          <w:numId w:val="3"/>
        </w:numPr>
        <w:overflowPunct w:val="0"/>
        <w:autoSpaceDE w:val="0"/>
        <w:autoSpaceDN w:val="0"/>
        <w:adjustRightInd w:val="0"/>
        <w:ind w:left="357" w:hanging="357"/>
        <w:textAlignment w:val="baseline"/>
      </w:pPr>
      <w:r>
        <w:t xml:space="preserve">beschouwt de overdracht van ondernemingen als een belangrijk strategisch proces dat de continuïteit van ondernemingen waarborgt en de werkgelegenheid veiligstelt. Daarom stelt het voor dat </w:t>
      </w:r>
      <w:r>
        <w:rPr>
          <w:b/>
        </w:rPr>
        <w:t>in het herstel- en groeibeleid</w:t>
      </w:r>
      <w:r>
        <w:t xml:space="preserve"> van de Europese Unie en de lidstaten </w:t>
      </w:r>
      <w:r>
        <w:rPr>
          <w:b/>
        </w:rPr>
        <w:t>een belangrijke rol wordt toegekend aan de bevordering van de overdracht van ondernemingen</w:t>
      </w:r>
      <w:r>
        <w:t>;</w:t>
      </w:r>
    </w:p>
    <w:p w:rsidRPr="00A3344B" w:rsidR="00A3344B" w:rsidP="009120CD" w:rsidRDefault="00CA6928" w14:paraId="5C624B6F" w14:textId="70430F6A">
      <w:pPr>
        <w:numPr>
          <w:ilvl w:val="0"/>
          <w:numId w:val="3"/>
        </w:numPr>
        <w:overflowPunct w:val="0"/>
        <w:autoSpaceDE w:val="0"/>
        <w:autoSpaceDN w:val="0"/>
        <w:adjustRightInd w:val="0"/>
        <w:ind w:left="357" w:hanging="357"/>
        <w:textAlignment w:val="baseline"/>
      </w:pPr>
      <w:r>
        <w:t xml:space="preserve">is van mening dat het </w:t>
      </w:r>
      <w:r>
        <w:rPr>
          <w:b/>
        </w:rPr>
        <w:t>ontwikkelen van goed functionerende ecosystemen voor de overdracht van ondernemingen en van ondersteunende diensten</w:t>
      </w:r>
      <w:r>
        <w:t xml:space="preserve"> essentieel is voor de instandhouding van de bestaansmiddelen en de economie van plattelands- en mono-industriële gebieden. Dit element zou in het kader van de tenuitvoerlegging van de langetermijnvisie van de EU voor plattelandsgebieden en in het actieplan voor het platteland moeten worden erkend;</w:t>
      </w:r>
    </w:p>
    <w:bookmarkEnd w:id="25"/>
    <w:p w:rsidRPr="00CA6928" w:rsidR="00A3344B" w:rsidP="009120CD" w:rsidRDefault="00CA6928" w14:paraId="41F4DB88" w14:textId="033F8594">
      <w:pPr>
        <w:numPr>
          <w:ilvl w:val="0"/>
          <w:numId w:val="3"/>
        </w:numPr>
        <w:overflowPunct w:val="0"/>
        <w:autoSpaceDE w:val="0"/>
        <w:autoSpaceDN w:val="0"/>
        <w:adjustRightInd w:val="0"/>
        <w:ind w:left="357" w:hanging="357"/>
        <w:textAlignment w:val="baseline"/>
      </w:pPr>
      <w:r>
        <w:t xml:space="preserve">roept de lidstaten op </w:t>
      </w:r>
      <w:r>
        <w:rPr>
          <w:b/>
        </w:rPr>
        <w:t>mechanismen voor vroegtijdige waarschuwing voor mkmo’s</w:t>
      </w:r>
      <w:r>
        <w:t xml:space="preserve"> in te voeren en verder te ontwikkelen om de veerkracht, de levensvatbaarheid en uiteindelijk de overdraagbaarheid van de onderneming te ondersteunen;</w:t>
      </w:r>
    </w:p>
    <w:p w:rsidRPr="00CA6928" w:rsidR="00CA6928" w:rsidP="009120CD" w:rsidRDefault="00CA6928" w14:paraId="36F42D42" w14:textId="3F92E06D">
      <w:pPr>
        <w:numPr>
          <w:ilvl w:val="0"/>
          <w:numId w:val="3"/>
        </w:numPr>
        <w:overflowPunct w:val="0"/>
        <w:autoSpaceDE w:val="0"/>
        <w:autoSpaceDN w:val="0"/>
        <w:adjustRightInd w:val="0"/>
        <w:ind w:left="357" w:hanging="357"/>
        <w:textAlignment w:val="baseline"/>
      </w:pPr>
      <w:r>
        <w:t xml:space="preserve">zou graag zien dat er </w:t>
      </w:r>
      <w:r>
        <w:rPr>
          <w:b/>
          <w:bCs/>
        </w:rPr>
        <w:t>stimulansen worden ontwikkeld voor de overdracht van kleine bedrijven aan jonge ondernemers</w:t>
      </w:r>
      <w:r>
        <w:t xml:space="preserve">. Dergelijke stimulansen zouden kunnen bestaan uit </w:t>
      </w:r>
      <w:r>
        <w:rPr>
          <w:b/>
        </w:rPr>
        <w:t>bewustmaking</w:t>
      </w:r>
      <w:r>
        <w:t xml:space="preserve">, adviesdiensten, begeleiding en </w:t>
      </w:r>
      <w:r>
        <w:rPr>
          <w:b/>
          <w:bCs/>
        </w:rPr>
        <w:t>toegang tot financiering</w:t>
      </w:r>
      <w:r>
        <w:t>. Ook zou het inzicht van jonge ondernemers in de sociale dialoog verder kunnen worden versterkt om bedrijfsoverdrachten voor alle betrokkenen te doen slagen;</w:t>
      </w:r>
    </w:p>
    <w:p w:rsidRPr="007E7DE3" w:rsidR="00CA6928" w:rsidP="009120CD" w:rsidRDefault="00CA6928" w14:paraId="00B8973C" w14:textId="6BEBA762">
      <w:pPr>
        <w:numPr>
          <w:ilvl w:val="0"/>
          <w:numId w:val="3"/>
        </w:numPr>
        <w:overflowPunct w:val="0"/>
        <w:autoSpaceDE w:val="0"/>
        <w:autoSpaceDN w:val="0"/>
        <w:adjustRightInd w:val="0"/>
        <w:ind w:left="357" w:hanging="357"/>
        <w:textAlignment w:val="baseline"/>
      </w:pPr>
      <w:r>
        <w:t xml:space="preserve">beveelt de lidstaten aan om </w:t>
      </w:r>
      <w:r>
        <w:rPr>
          <w:b/>
        </w:rPr>
        <w:t>nationale belanghebbendenfora inzake de overdracht van ondernemingen op te richten</w:t>
      </w:r>
      <w:r>
        <w:t xml:space="preserve"> waarin zowel publieke als particuliere belanghebbenden zijn vertegenwoordigd. Fora inzake de overdracht van ondernemingen bieden een systematische en langetermijnaanpak om bedrijfsoverdracht te bevorderen. Daarnaast bieden zij ruimte voor een voortdurende dialoog tussen nationale deskundigen en maken zij een efficiënter gebruik van middelen mogelijk.</w:t>
      </w:r>
    </w:p>
    <w:p w:rsidRPr="007E7A4F" w:rsidR="007E7DE3" w:rsidP="009120CD" w:rsidRDefault="007E7DE3" w14:paraId="043E47D4" w14:textId="776D7173">
      <w:pPr>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E34279" w:rsidTr="004E4367" w14:paraId="59E3F0D1" w14:textId="77777777">
        <w:tc>
          <w:tcPr>
            <w:tcW w:w="1418" w:type="dxa"/>
          </w:tcPr>
          <w:p w:rsidRPr="00164813" w:rsidR="00E34279" w:rsidP="009120CD" w:rsidRDefault="00E34279" w14:paraId="3F8C4AD7" w14:textId="77777777">
            <w:pPr>
              <w:contextualSpacing/>
              <w:rPr>
                <w:i/>
              </w:rPr>
            </w:pPr>
            <w:r>
              <w:rPr>
                <w:b/>
                <w:i/>
              </w:rPr>
              <w:t>Contactpersoon</w:t>
            </w:r>
          </w:p>
        </w:tc>
        <w:tc>
          <w:tcPr>
            <w:tcW w:w="5670" w:type="dxa"/>
          </w:tcPr>
          <w:p w:rsidRPr="00164813" w:rsidR="00E34279" w:rsidP="009120CD" w:rsidRDefault="00E34279" w14:paraId="041FFAC4" w14:textId="77777777">
            <w:pPr>
              <w:contextualSpacing/>
              <w:rPr>
                <w:i/>
              </w:rPr>
            </w:pPr>
            <w:r>
              <w:rPr>
                <w:i/>
              </w:rPr>
              <w:t>Dalila Bernard</w:t>
            </w:r>
          </w:p>
        </w:tc>
      </w:tr>
      <w:tr w:rsidRPr="00164813" w:rsidR="00E34279" w:rsidTr="004E4367" w14:paraId="5BFD63D8" w14:textId="77777777">
        <w:tc>
          <w:tcPr>
            <w:tcW w:w="1418" w:type="dxa"/>
          </w:tcPr>
          <w:p w:rsidRPr="00164813" w:rsidR="00E34279" w:rsidP="009120CD" w:rsidRDefault="00E34279" w14:paraId="189A63EF" w14:textId="77777777">
            <w:pPr>
              <w:ind w:left="601"/>
              <w:contextualSpacing/>
              <w:rPr>
                <w:i/>
              </w:rPr>
            </w:pPr>
            <w:r>
              <w:rPr>
                <w:i/>
              </w:rPr>
              <w:t>Tel.</w:t>
            </w:r>
          </w:p>
        </w:tc>
        <w:tc>
          <w:tcPr>
            <w:tcW w:w="5670" w:type="dxa"/>
          </w:tcPr>
          <w:p w:rsidRPr="00164813" w:rsidR="00E34279" w:rsidP="009120CD" w:rsidRDefault="00E34279" w14:paraId="75F891C7" w14:textId="77777777">
            <w:pPr>
              <w:contextualSpacing/>
              <w:rPr>
                <w:i/>
              </w:rPr>
            </w:pPr>
            <w:r>
              <w:rPr>
                <w:i/>
              </w:rPr>
              <w:t>00 32 2 546 84 38</w:t>
            </w:r>
          </w:p>
        </w:tc>
      </w:tr>
      <w:tr w:rsidRPr="00164813" w:rsidR="00E34279" w:rsidTr="004E4367" w14:paraId="48B7AFA1" w14:textId="77777777">
        <w:tc>
          <w:tcPr>
            <w:tcW w:w="1418" w:type="dxa"/>
          </w:tcPr>
          <w:p w:rsidRPr="00F256CD" w:rsidR="00E34279" w:rsidP="009120CD" w:rsidRDefault="00E34279" w14:paraId="22EC4CAF" w14:textId="77777777">
            <w:pPr>
              <w:ind w:left="601"/>
              <w:contextualSpacing/>
              <w:rPr>
                <w:i/>
              </w:rPr>
            </w:pPr>
            <w:r>
              <w:rPr>
                <w:i/>
              </w:rPr>
              <w:t>E-mail</w:t>
            </w:r>
          </w:p>
        </w:tc>
        <w:tc>
          <w:tcPr>
            <w:tcW w:w="5670" w:type="dxa"/>
          </w:tcPr>
          <w:p w:rsidRPr="00F256CD" w:rsidR="007D1564" w:rsidP="009120CD" w:rsidRDefault="00C56F85" w14:paraId="52F62A0A" w14:textId="64730612">
            <w:pPr>
              <w:contextualSpacing/>
              <w:rPr>
                <w:i/>
                <w:color w:val="0000FF"/>
                <w:u w:val="single"/>
              </w:rPr>
            </w:pPr>
            <w:hyperlink w:history="1" r:id="rId37">
              <w:r w:rsidR="0064748D">
                <w:rPr>
                  <w:rStyle w:val="Hyperlink"/>
                  <w:i/>
                </w:rPr>
                <w:t>Dalila.Bernard@eesc.europa.eu</w:t>
              </w:r>
            </w:hyperlink>
          </w:p>
        </w:tc>
      </w:tr>
    </w:tbl>
    <w:p w:rsidR="00D35512" w:rsidP="009120CD" w:rsidRDefault="00D35512" w14:paraId="09FE38A4" w14:textId="3102646E">
      <w:pPr>
        <w:spacing w:after="160"/>
        <w:jc w:val="left"/>
        <w:rPr>
          <w:sz w:val="28"/>
        </w:rPr>
      </w:pPr>
    </w:p>
    <w:p w:rsidRPr="007E7A4F" w:rsidR="007D1564" w:rsidP="001346B6" w:rsidRDefault="007D1564" w14:paraId="354D6AF0" w14:textId="1CEAFB56">
      <w:pPr>
        <w:pStyle w:val="ListParagraph"/>
        <w:keepNext/>
        <w:keepLines/>
        <w:numPr>
          <w:ilvl w:val="0"/>
          <w:numId w:val="2"/>
        </w:numPr>
        <w:ind w:left="567" w:hanging="567"/>
        <w:rPr>
          <w:b/>
          <w:i/>
          <w:sz w:val="28"/>
          <w:szCs w:val="28"/>
        </w:rPr>
      </w:pPr>
      <w:bookmarkStart w:name="_Hlk111802185" w:id="26"/>
      <w:r>
        <w:rPr>
          <w:b/>
          <w:i/>
          <w:sz w:val="28"/>
        </w:rPr>
        <w:t>Europese ruimte voor gezondheidsgegevens</w:t>
      </w:r>
    </w:p>
    <w:p w:rsidRPr="009B70E7" w:rsidR="007D1564" w:rsidP="001346B6" w:rsidRDefault="007D1564" w14:paraId="760C5C17" w14:textId="77777777">
      <w:pPr>
        <w:pStyle w:val="ListParagraph"/>
        <w:keepNext/>
        <w:keepLines/>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7D1564" w:rsidTr="004E4367" w14:paraId="17221B25" w14:textId="77777777">
        <w:tc>
          <w:tcPr>
            <w:tcW w:w="1701" w:type="dxa"/>
          </w:tcPr>
          <w:p w:rsidRPr="009B70E7" w:rsidR="007D1564" w:rsidP="001346B6" w:rsidRDefault="007D1564" w14:paraId="5335D591" w14:textId="77777777">
            <w:pPr>
              <w:pStyle w:val="ListParagraph"/>
              <w:keepNext/>
              <w:keepLines/>
              <w:ind w:left="0"/>
              <w:rPr>
                <w:b/>
              </w:rPr>
            </w:pPr>
            <w:r>
              <w:rPr>
                <w:b/>
              </w:rPr>
              <w:t>Rapporteur:</w:t>
            </w:r>
          </w:p>
        </w:tc>
        <w:tc>
          <w:tcPr>
            <w:tcW w:w="6096" w:type="dxa"/>
          </w:tcPr>
          <w:p w:rsidRPr="007E7A4F" w:rsidR="007D1564" w:rsidP="001346B6" w:rsidRDefault="007D1564" w14:paraId="534EF537" w14:textId="4CB250D8">
            <w:pPr>
              <w:pStyle w:val="ListParagraph"/>
              <w:keepNext/>
              <w:keepLines/>
              <w:ind w:left="-108"/>
            </w:pPr>
            <w:r>
              <w:t>Gonçalo LOBO XAVIER (groep Werkgevers – PT)</w:t>
            </w:r>
          </w:p>
        </w:tc>
      </w:tr>
      <w:tr w:rsidRPr="007E7A4F" w:rsidR="007D1564" w:rsidTr="004E4367" w14:paraId="2521E65F" w14:textId="77777777">
        <w:tc>
          <w:tcPr>
            <w:tcW w:w="7797" w:type="dxa"/>
            <w:gridSpan w:val="2"/>
          </w:tcPr>
          <w:p w:rsidRPr="007E7A4F" w:rsidR="007D1564" w:rsidP="001346B6" w:rsidRDefault="007D1564" w14:paraId="12781DF4" w14:textId="77777777">
            <w:pPr>
              <w:pStyle w:val="ListParagraph"/>
              <w:keepNext/>
              <w:keepLines/>
              <w:ind w:left="0"/>
              <w:rPr>
                <w:lang w:val="fr-BE"/>
              </w:rPr>
            </w:pPr>
          </w:p>
        </w:tc>
      </w:tr>
      <w:tr w:rsidRPr="009B70E7" w:rsidR="007D1564" w:rsidTr="004E4367" w14:paraId="46EF598B" w14:textId="77777777">
        <w:tc>
          <w:tcPr>
            <w:tcW w:w="1701" w:type="dxa"/>
          </w:tcPr>
          <w:p w:rsidRPr="009B70E7" w:rsidR="007D1564" w:rsidP="001346B6" w:rsidRDefault="007D1564" w14:paraId="208F7DFD" w14:textId="77777777">
            <w:pPr>
              <w:pStyle w:val="ListParagraph"/>
              <w:keepNext/>
              <w:keepLines/>
              <w:ind w:left="0"/>
              <w:rPr>
                <w:b/>
              </w:rPr>
            </w:pPr>
            <w:r>
              <w:rPr>
                <w:b/>
              </w:rPr>
              <w:t xml:space="preserve">Referentie: </w:t>
            </w:r>
          </w:p>
        </w:tc>
        <w:tc>
          <w:tcPr>
            <w:tcW w:w="6096" w:type="dxa"/>
          </w:tcPr>
          <w:p w:rsidRPr="009B70E7" w:rsidR="007D1564" w:rsidP="001346B6" w:rsidRDefault="007D1564" w14:paraId="3BE12495" w14:textId="5594793C">
            <w:pPr>
              <w:keepNext/>
              <w:keepLines/>
              <w:tabs>
                <w:tab w:val="center" w:pos="284"/>
              </w:tabs>
              <w:ind w:left="266" w:hanging="374"/>
            </w:pPr>
            <w:r>
              <w:t>COM (2022) 197 final</w:t>
            </w:r>
          </w:p>
          <w:p w:rsidRPr="009B70E7" w:rsidR="007D1564" w:rsidP="001346B6" w:rsidRDefault="007D1564" w14:paraId="47454185" w14:textId="054B6BDF">
            <w:pPr>
              <w:pStyle w:val="ListParagraph"/>
              <w:keepNext/>
              <w:keepLines/>
              <w:ind w:left="-108"/>
            </w:pPr>
            <w:r>
              <w:t>EESC-2022-02531-00-00-AC</w:t>
            </w:r>
          </w:p>
        </w:tc>
      </w:tr>
    </w:tbl>
    <w:p w:rsidRPr="009B70E7" w:rsidR="007D1564" w:rsidP="009120CD" w:rsidRDefault="007D1564" w14:paraId="674AF53F" w14:textId="77777777">
      <w:pPr>
        <w:pStyle w:val="ListParagraph"/>
        <w:ind w:left="0"/>
        <w:rPr>
          <w:b/>
        </w:rPr>
      </w:pPr>
    </w:p>
    <w:p w:rsidRPr="0018231C" w:rsidR="007D1564" w:rsidP="009120CD" w:rsidRDefault="007D1564" w14:paraId="41AF643A" w14:textId="317824E5">
      <w:pPr>
        <w:pStyle w:val="ListParagraph"/>
        <w:ind w:left="0" w:firstLine="142"/>
        <w:rPr>
          <w:b/>
        </w:rPr>
      </w:pPr>
      <w:r>
        <w:rPr>
          <w:b/>
        </w:rPr>
        <w:t>Hoofdpunten</w:t>
      </w:r>
    </w:p>
    <w:p w:rsidRPr="0018231C" w:rsidR="007D1564" w:rsidP="009120CD" w:rsidRDefault="007D1564" w14:paraId="00A4E5F5" w14:textId="77777777">
      <w:pPr>
        <w:pStyle w:val="ListParagraph"/>
        <w:ind w:left="0"/>
        <w:rPr>
          <w:lang w:val="fr-FR"/>
        </w:rPr>
      </w:pPr>
    </w:p>
    <w:p w:rsidRPr="00A00F37" w:rsidR="007D1564" w:rsidP="009120CD" w:rsidRDefault="007D1564" w14:paraId="51169629" w14:textId="77777777">
      <w:pPr>
        <w:pStyle w:val="ListParagraph"/>
        <w:ind w:left="0" w:firstLine="142"/>
        <w:rPr>
          <w:bCs/>
        </w:rPr>
      </w:pPr>
      <w:r>
        <w:t>Het EESC:</w:t>
      </w:r>
    </w:p>
    <w:p w:rsidRPr="0018231C" w:rsidR="007D1564" w:rsidP="009120CD" w:rsidRDefault="007D1564" w14:paraId="6A8B7889" w14:textId="77777777">
      <w:pPr>
        <w:pStyle w:val="ListParagraph"/>
        <w:ind w:left="0"/>
        <w:rPr>
          <w:lang w:val="fr-FR"/>
        </w:rPr>
      </w:pPr>
    </w:p>
    <w:p w:rsidRPr="00A3344B" w:rsidR="007D1564" w:rsidP="009120CD" w:rsidRDefault="00CA6928" w14:paraId="1704EAD2" w14:textId="1A31592D">
      <w:pPr>
        <w:numPr>
          <w:ilvl w:val="0"/>
          <w:numId w:val="3"/>
        </w:numPr>
        <w:overflowPunct w:val="0"/>
        <w:autoSpaceDE w:val="0"/>
        <w:autoSpaceDN w:val="0"/>
        <w:adjustRightInd w:val="0"/>
        <w:ind w:left="357" w:hanging="357"/>
        <w:textAlignment w:val="baseline"/>
      </w:pPr>
      <w:r>
        <w:t xml:space="preserve">acht het van essentieel belang om de kansen die innovatie en digitalisering bieden, aan te grijpen om het welzijn van de burgers te bevorderen en de kwaliteit van gezondheidsdiensten te verbeteren. Het wijst er ook op dat </w:t>
      </w:r>
      <w:r>
        <w:rPr>
          <w:b/>
        </w:rPr>
        <w:t>de kloof tussen de lidstaten inzake digitale geletterdheid gedicht moet worden</w:t>
      </w:r>
      <w:r>
        <w:t>;</w:t>
      </w:r>
    </w:p>
    <w:p w:rsidRPr="00A3344B" w:rsidR="007D1564" w:rsidP="009120CD" w:rsidRDefault="00CA6928" w14:paraId="32B14931" w14:textId="74421F36">
      <w:pPr>
        <w:numPr>
          <w:ilvl w:val="0"/>
          <w:numId w:val="3"/>
        </w:numPr>
        <w:overflowPunct w:val="0"/>
        <w:autoSpaceDE w:val="0"/>
        <w:autoSpaceDN w:val="0"/>
        <w:adjustRightInd w:val="0"/>
        <w:ind w:left="357" w:hanging="357"/>
        <w:textAlignment w:val="baseline"/>
      </w:pPr>
      <w:r>
        <w:t xml:space="preserve">ziet in de Europese ruimte voor gezondheidsgegevens (EHDS) een uitgelezen kans om </w:t>
      </w:r>
      <w:r>
        <w:rPr>
          <w:b/>
        </w:rPr>
        <w:t>individuen in staat te stellen hun persoonlijke gezondheidsgegevens te raadplegen en te bepalen wat ermee gebeurt</w:t>
      </w:r>
      <w:r>
        <w:t>;</w:t>
      </w:r>
    </w:p>
    <w:p w:rsidRPr="00CA6928" w:rsidR="007D1564" w:rsidP="009120CD" w:rsidRDefault="00CA6928" w14:paraId="56519A8A" w14:textId="4BE2097C">
      <w:pPr>
        <w:numPr>
          <w:ilvl w:val="0"/>
          <w:numId w:val="3"/>
        </w:numPr>
        <w:overflowPunct w:val="0"/>
        <w:autoSpaceDE w:val="0"/>
        <w:autoSpaceDN w:val="0"/>
        <w:adjustRightInd w:val="0"/>
        <w:ind w:left="357" w:hanging="357"/>
        <w:textAlignment w:val="baseline"/>
      </w:pPr>
      <w:r>
        <w:t xml:space="preserve">is voorstander van een </w:t>
      </w:r>
      <w:r>
        <w:rPr>
          <w:b/>
        </w:rPr>
        <w:t>grootschalige communicatiecampagne om het vertrouwen van de mensen te versterken</w:t>
      </w:r>
      <w:r>
        <w:t>. De burgers moeten zich bewust zijn van de pluspunten als ze hun gegevens delen;</w:t>
      </w:r>
    </w:p>
    <w:p w:rsidRPr="00CA6928" w:rsidR="00CA6928" w:rsidP="009120CD" w:rsidRDefault="00CA6928" w14:paraId="3992C100" w14:textId="4CA45F6B">
      <w:pPr>
        <w:numPr>
          <w:ilvl w:val="0"/>
          <w:numId w:val="3"/>
        </w:numPr>
        <w:overflowPunct w:val="0"/>
        <w:autoSpaceDE w:val="0"/>
        <w:autoSpaceDN w:val="0"/>
        <w:adjustRightInd w:val="0"/>
        <w:ind w:left="357" w:hanging="357"/>
        <w:textAlignment w:val="baseline"/>
      </w:pPr>
      <w:r>
        <w:t xml:space="preserve">is van mening dat de EHDS een aanzienlijk </w:t>
      </w:r>
      <w:r>
        <w:rPr>
          <w:b/>
        </w:rPr>
        <w:t>positief effect zal hebben op de grondrechten</w:t>
      </w:r>
      <w:r>
        <w:t>, met name de bescherming van persoonsgegevens en het recht op vrij verkeer;</w:t>
      </w:r>
    </w:p>
    <w:p w:rsidRPr="00CA6928" w:rsidR="00CA6928" w:rsidP="009120CD" w:rsidRDefault="00CA6928" w14:paraId="58ED59F2" w14:textId="3DF2A7E7">
      <w:pPr>
        <w:numPr>
          <w:ilvl w:val="0"/>
          <w:numId w:val="3"/>
        </w:numPr>
        <w:overflowPunct w:val="0"/>
        <w:autoSpaceDE w:val="0"/>
        <w:autoSpaceDN w:val="0"/>
        <w:adjustRightInd w:val="0"/>
        <w:ind w:left="357" w:hanging="357"/>
        <w:textAlignment w:val="baseline"/>
      </w:pPr>
      <w:r>
        <w:t xml:space="preserve">benadrukt dat het noodzakelijk is om </w:t>
      </w:r>
      <w:r>
        <w:rPr>
          <w:b/>
        </w:rPr>
        <w:t>de burgers uit te leggen hoe hun primaire en secundaire gegevens worden gebruikt</w:t>
      </w:r>
      <w:r>
        <w:t>. De mensen moeten eerst het systeem vertrouwen en de voordelen ervan begrijpen voor zowel individuen als de gehele samenleving, voordat ze zullen meewerken. Het moet heel duidelijk zijn wat het gebruik van hun gegevens inhoudt, welke beperkingen daarvoor gelden, welke instantie de gegevens zal beheren en valideren, en welke sancties er gelden indien de regels niet worden nageleefd;</w:t>
      </w:r>
    </w:p>
    <w:p w:rsidRPr="00CA6928" w:rsidR="00CA6928" w:rsidP="009120CD" w:rsidRDefault="00CA6928" w14:paraId="21202E86" w14:textId="6B86E66F">
      <w:pPr>
        <w:numPr>
          <w:ilvl w:val="0"/>
          <w:numId w:val="3"/>
        </w:numPr>
        <w:overflowPunct w:val="0"/>
        <w:autoSpaceDE w:val="0"/>
        <w:autoSpaceDN w:val="0"/>
        <w:adjustRightInd w:val="0"/>
        <w:ind w:left="357" w:hanging="357"/>
        <w:textAlignment w:val="baseline"/>
      </w:pPr>
      <w:r>
        <w:t xml:space="preserve">beveelt aan om </w:t>
      </w:r>
      <w:r>
        <w:rPr>
          <w:b/>
        </w:rPr>
        <w:t>het absolute verbod op het gebruik van secundaire gegevens door verzekeraars</w:t>
      </w:r>
      <w:r>
        <w:t xml:space="preserve"> te herzien. De verzekerbaarheid moet worden bevorderd door middel van een beter inzicht in bewijsgegevens voor onderzoeks- en innovatiedoeleinden, in een sector die niet vaak als zodanig wordt erkend, maar wel van groot belang is voor de consument;</w:t>
      </w:r>
    </w:p>
    <w:p w:rsidRPr="00CA6928" w:rsidR="00CA6928" w:rsidP="009120CD" w:rsidRDefault="00CA6928" w14:paraId="3143292F" w14:textId="49ACE610">
      <w:pPr>
        <w:numPr>
          <w:ilvl w:val="0"/>
          <w:numId w:val="3"/>
        </w:numPr>
        <w:overflowPunct w:val="0"/>
        <w:autoSpaceDE w:val="0"/>
        <w:autoSpaceDN w:val="0"/>
        <w:adjustRightInd w:val="0"/>
        <w:ind w:left="357" w:hanging="357"/>
        <w:textAlignment w:val="baseline"/>
      </w:pPr>
      <w:r>
        <w:t>is er vast van overtuigd dat de EHDS voordelen zal opleveren voor individuen, gezondheidswerkers, zorgverleners, onderzoekers, regelgevers en beleidsmakers indien burgers en belanghebbenden betrokken worden bij de voortdurende investeringen in de nationale gezondheidsstelsels;</w:t>
      </w:r>
    </w:p>
    <w:p w:rsidRPr="00A3344B" w:rsidR="00CA6928" w:rsidP="009120CD" w:rsidRDefault="00CA6928" w14:paraId="0902CDCE" w14:textId="1D40EEF5">
      <w:pPr>
        <w:numPr>
          <w:ilvl w:val="0"/>
          <w:numId w:val="3"/>
        </w:numPr>
        <w:overflowPunct w:val="0"/>
        <w:autoSpaceDE w:val="0"/>
        <w:autoSpaceDN w:val="0"/>
        <w:adjustRightInd w:val="0"/>
        <w:ind w:left="357" w:hanging="357"/>
        <w:textAlignment w:val="baseline"/>
      </w:pPr>
      <w:r>
        <w:t xml:space="preserve">dringt er bij de Commissie op aan om consequent te investeren in </w:t>
      </w:r>
      <w:r>
        <w:rPr>
          <w:b/>
        </w:rPr>
        <w:t>cyberveiligheidssystemen</w:t>
      </w:r>
      <w:r>
        <w:t>, waarmee enorme problemen in alle lidstaten kunnen worden voorkomen.</w:t>
      </w:r>
    </w:p>
    <w:p w:rsidR="00B34E93" w:rsidP="009120CD" w:rsidRDefault="00B34E93" w14:paraId="7074CB09" w14:textId="6F388C17">
      <w:pPr>
        <w:spacing w:after="160"/>
        <w:jc w:val="left"/>
        <w:rPr>
          <w:sz w:val="28"/>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7D1564" w:rsidTr="004E4367" w14:paraId="1D09E00F" w14:textId="77777777">
        <w:tc>
          <w:tcPr>
            <w:tcW w:w="1418" w:type="dxa"/>
          </w:tcPr>
          <w:p w:rsidRPr="00164813" w:rsidR="007D1564" w:rsidP="009120CD" w:rsidRDefault="007D1564" w14:paraId="2B63952E" w14:textId="77777777">
            <w:pPr>
              <w:contextualSpacing/>
              <w:rPr>
                <w:i/>
              </w:rPr>
            </w:pPr>
            <w:bookmarkStart w:name="_Hlk113981971" w:id="27"/>
            <w:r>
              <w:rPr>
                <w:b/>
                <w:i/>
              </w:rPr>
              <w:t>Contactpersoon</w:t>
            </w:r>
          </w:p>
        </w:tc>
        <w:tc>
          <w:tcPr>
            <w:tcW w:w="5670" w:type="dxa"/>
          </w:tcPr>
          <w:p w:rsidRPr="00164813" w:rsidR="007D1564" w:rsidP="009120CD" w:rsidRDefault="007D1564" w14:paraId="265EC720" w14:textId="26C56D92">
            <w:pPr>
              <w:contextualSpacing/>
              <w:rPr>
                <w:i/>
              </w:rPr>
            </w:pPr>
            <w:r>
              <w:rPr>
                <w:i/>
              </w:rPr>
              <w:t>Claudia Drewes-Wran / Raquel Ferreira da Silva</w:t>
            </w:r>
          </w:p>
        </w:tc>
      </w:tr>
      <w:tr w:rsidRPr="00164813" w:rsidR="007D1564" w:rsidTr="004E4367" w14:paraId="1F084985" w14:textId="77777777">
        <w:tc>
          <w:tcPr>
            <w:tcW w:w="1418" w:type="dxa"/>
          </w:tcPr>
          <w:p w:rsidRPr="00164813" w:rsidR="007D1564" w:rsidP="009120CD" w:rsidRDefault="007D1564" w14:paraId="1EE5533A" w14:textId="77777777">
            <w:pPr>
              <w:ind w:left="601"/>
              <w:contextualSpacing/>
              <w:rPr>
                <w:i/>
              </w:rPr>
            </w:pPr>
            <w:r>
              <w:rPr>
                <w:i/>
              </w:rPr>
              <w:t>Tel.</w:t>
            </w:r>
          </w:p>
        </w:tc>
        <w:tc>
          <w:tcPr>
            <w:tcW w:w="5670" w:type="dxa"/>
          </w:tcPr>
          <w:p w:rsidRPr="00164813" w:rsidR="007D1564" w:rsidP="009120CD" w:rsidRDefault="007D1564" w14:paraId="5EB69F40" w14:textId="331B7CA1">
            <w:pPr>
              <w:contextualSpacing/>
              <w:rPr>
                <w:i/>
              </w:rPr>
            </w:pPr>
            <w:r>
              <w:rPr>
                <w:i/>
              </w:rPr>
              <w:t>00 32 2 546 80 67/ 0032 2 546 91 13</w:t>
            </w:r>
          </w:p>
        </w:tc>
      </w:tr>
      <w:tr w:rsidRPr="00164813" w:rsidR="007D1564" w:rsidTr="004E4367" w14:paraId="610CB202" w14:textId="77777777">
        <w:tc>
          <w:tcPr>
            <w:tcW w:w="1418" w:type="dxa"/>
          </w:tcPr>
          <w:p w:rsidRPr="00164813" w:rsidR="007D1564" w:rsidP="009120CD" w:rsidRDefault="007D1564" w14:paraId="1BF9430B" w14:textId="77777777">
            <w:pPr>
              <w:ind w:left="601"/>
              <w:contextualSpacing/>
              <w:rPr>
                <w:i/>
              </w:rPr>
            </w:pPr>
            <w:r>
              <w:rPr>
                <w:i/>
              </w:rPr>
              <w:t>E-mail</w:t>
            </w:r>
          </w:p>
        </w:tc>
        <w:tc>
          <w:tcPr>
            <w:tcW w:w="5670" w:type="dxa"/>
          </w:tcPr>
          <w:p w:rsidRPr="00F256CD" w:rsidR="007D1564" w:rsidP="009120CD" w:rsidRDefault="00C56F85" w14:paraId="448DBAAA" w14:textId="77777777">
            <w:pPr>
              <w:contextualSpacing/>
              <w:rPr>
                <w:i/>
                <w:iCs/>
              </w:rPr>
            </w:pPr>
            <w:hyperlink w:history="1" r:id="rId38">
              <w:r w:rsidR="0064748D">
                <w:rPr>
                  <w:rStyle w:val="Hyperlink"/>
                  <w:i/>
                </w:rPr>
                <w:t>Claudia.Drewes-Wran@eesc.europa.eu</w:t>
              </w:r>
            </w:hyperlink>
          </w:p>
          <w:p w:rsidRPr="00F256CD" w:rsidR="00036505" w:rsidP="009120CD" w:rsidRDefault="00C56F85" w14:paraId="0C3ED20B" w14:textId="6FD4399F">
            <w:pPr>
              <w:contextualSpacing/>
            </w:pPr>
            <w:hyperlink w:history="1" r:id="rId39">
              <w:r w:rsidR="0064748D">
                <w:rPr>
                  <w:rStyle w:val="Hyperlink"/>
                  <w:i/>
                </w:rPr>
                <w:t>Raquel.FerreiraDaSilva@eesc.europa.eu</w:t>
              </w:r>
            </w:hyperlink>
          </w:p>
        </w:tc>
      </w:tr>
    </w:tbl>
    <w:p w:rsidRPr="00F256CD" w:rsidR="00F256CD" w:rsidP="00F256CD" w:rsidRDefault="00F256CD" w14:paraId="6CEB937B" w14:textId="77777777">
      <w:pPr>
        <w:pStyle w:val="ListParagraph"/>
        <w:ind w:left="567"/>
        <w:rPr>
          <w:b/>
          <w:i/>
          <w:sz w:val="28"/>
          <w:szCs w:val="28"/>
        </w:rPr>
      </w:pPr>
      <w:bookmarkStart w:name="_Hlk111802431" w:id="28"/>
      <w:bookmarkEnd w:id="26"/>
      <w:bookmarkEnd w:id="27"/>
    </w:p>
    <w:p w:rsidRPr="007E7A4F" w:rsidR="007D1564" w:rsidP="009120CD" w:rsidRDefault="007D1564" w14:paraId="0C6070AD" w14:textId="3BB369B8">
      <w:pPr>
        <w:pStyle w:val="ListParagraph"/>
        <w:numPr>
          <w:ilvl w:val="0"/>
          <w:numId w:val="2"/>
        </w:numPr>
        <w:ind w:left="567" w:hanging="567"/>
        <w:rPr>
          <w:b/>
          <w:i/>
          <w:sz w:val="28"/>
          <w:szCs w:val="28"/>
        </w:rPr>
      </w:pPr>
      <w:r>
        <w:rPr>
          <w:b/>
          <w:i/>
          <w:sz w:val="28"/>
        </w:rPr>
        <w:t>Bescherming van geografische aanduidingen voor ambachtelijke en industriële producten</w:t>
      </w:r>
    </w:p>
    <w:p w:rsidRPr="001346B6" w:rsidR="007D1564" w:rsidP="009120CD" w:rsidRDefault="007D1564" w14:paraId="6ACF41A3" w14:textId="77777777">
      <w:pPr>
        <w:pStyle w:val="ListParagraph"/>
        <w:ind w:left="0"/>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7D1564" w:rsidTr="004E4367" w14:paraId="74FBFD38" w14:textId="77777777">
        <w:tc>
          <w:tcPr>
            <w:tcW w:w="1701" w:type="dxa"/>
          </w:tcPr>
          <w:p w:rsidRPr="009B70E7" w:rsidR="007D1564" w:rsidP="009120CD" w:rsidRDefault="007D1564" w14:paraId="2C15EB2C" w14:textId="77777777">
            <w:pPr>
              <w:pStyle w:val="ListParagraph"/>
              <w:ind w:left="0"/>
              <w:rPr>
                <w:b/>
              </w:rPr>
            </w:pPr>
            <w:r>
              <w:rPr>
                <w:b/>
              </w:rPr>
              <w:t>Rapporteur:</w:t>
            </w:r>
          </w:p>
        </w:tc>
        <w:tc>
          <w:tcPr>
            <w:tcW w:w="6096" w:type="dxa"/>
          </w:tcPr>
          <w:p w:rsidRPr="007E7A4F" w:rsidR="007D1564" w:rsidP="009120CD" w:rsidRDefault="007D1564" w14:paraId="5FEBD29F" w14:textId="715C01BD">
            <w:pPr>
              <w:pStyle w:val="ListParagraph"/>
              <w:ind w:left="-108"/>
            </w:pPr>
            <w:r>
              <w:t>Paulo BARROS VALE (groep Werkgevers – PT)</w:t>
            </w:r>
          </w:p>
        </w:tc>
      </w:tr>
      <w:tr w:rsidRPr="007E7A4F" w:rsidR="007D1564" w:rsidTr="004E4367" w14:paraId="41FDACAA" w14:textId="77777777">
        <w:tc>
          <w:tcPr>
            <w:tcW w:w="7797" w:type="dxa"/>
            <w:gridSpan w:val="2"/>
          </w:tcPr>
          <w:p w:rsidRPr="007E7A4F" w:rsidR="007D1564" w:rsidP="009120CD" w:rsidRDefault="007D1564" w14:paraId="022E36EC" w14:textId="77777777">
            <w:pPr>
              <w:pStyle w:val="ListParagraph"/>
              <w:ind w:left="0"/>
              <w:rPr>
                <w:lang w:val="fr-BE"/>
              </w:rPr>
            </w:pPr>
          </w:p>
        </w:tc>
      </w:tr>
      <w:tr w:rsidRPr="009B70E7" w:rsidR="007D1564" w:rsidTr="004E4367" w14:paraId="00C375AD" w14:textId="77777777">
        <w:tc>
          <w:tcPr>
            <w:tcW w:w="1701" w:type="dxa"/>
          </w:tcPr>
          <w:p w:rsidRPr="009B70E7" w:rsidR="007D1564" w:rsidP="009120CD" w:rsidRDefault="007D1564" w14:paraId="3BD5C0B0" w14:textId="77777777">
            <w:pPr>
              <w:pStyle w:val="ListParagraph"/>
              <w:ind w:left="0"/>
              <w:rPr>
                <w:b/>
              </w:rPr>
            </w:pPr>
            <w:r>
              <w:rPr>
                <w:b/>
              </w:rPr>
              <w:t xml:space="preserve">Referentie: </w:t>
            </w:r>
          </w:p>
        </w:tc>
        <w:tc>
          <w:tcPr>
            <w:tcW w:w="6096" w:type="dxa"/>
          </w:tcPr>
          <w:p w:rsidRPr="009B70E7" w:rsidR="007D1564" w:rsidP="009120CD" w:rsidRDefault="007D1564" w14:paraId="124E02FF" w14:textId="2A83977F">
            <w:pPr>
              <w:tabs>
                <w:tab w:val="center" w:pos="284"/>
              </w:tabs>
              <w:ind w:left="266" w:hanging="374"/>
            </w:pPr>
            <w:r>
              <w:t>COM (2022) 174 final</w:t>
            </w:r>
          </w:p>
          <w:p w:rsidRPr="009B70E7" w:rsidR="007D1564" w:rsidP="009120CD" w:rsidRDefault="007D1564" w14:paraId="55D5A90F" w14:textId="0A000523">
            <w:pPr>
              <w:pStyle w:val="ListParagraph"/>
              <w:ind w:left="-108"/>
            </w:pPr>
            <w:r>
              <w:t>EESC-2022-03163-00-00-AC</w:t>
            </w:r>
          </w:p>
        </w:tc>
      </w:tr>
    </w:tbl>
    <w:p w:rsidRPr="001346B6" w:rsidR="007D1564" w:rsidP="009120CD" w:rsidRDefault="007D1564" w14:paraId="65861D6D" w14:textId="77777777">
      <w:pPr>
        <w:pStyle w:val="ListParagraph"/>
        <w:ind w:left="0"/>
        <w:rPr>
          <w:b/>
          <w:sz w:val="18"/>
          <w:szCs w:val="18"/>
        </w:rPr>
      </w:pPr>
    </w:p>
    <w:p w:rsidRPr="00A00F37" w:rsidR="007D1564" w:rsidP="009120CD" w:rsidRDefault="007D1564" w14:paraId="6523C58C" w14:textId="649F4B82">
      <w:pPr>
        <w:pStyle w:val="ListParagraph"/>
        <w:ind w:left="0" w:firstLine="142"/>
        <w:rPr>
          <w:b/>
        </w:rPr>
      </w:pPr>
      <w:r>
        <w:rPr>
          <w:b/>
        </w:rPr>
        <w:t>Hoofdpunten</w:t>
      </w:r>
    </w:p>
    <w:p w:rsidRPr="001346B6" w:rsidR="007D1564" w:rsidP="009120CD" w:rsidRDefault="007D1564" w14:paraId="285E8731" w14:textId="77777777">
      <w:pPr>
        <w:pStyle w:val="ListParagraph"/>
        <w:ind w:left="0"/>
        <w:rPr>
          <w:sz w:val="18"/>
          <w:szCs w:val="18"/>
          <w:lang w:val="fr-FR"/>
        </w:rPr>
      </w:pPr>
    </w:p>
    <w:p w:rsidR="007D1564" w:rsidP="009120CD" w:rsidRDefault="007D1564" w14:paraId="4D753BE4" w14:textId="77777777">
      <w:pPr>
        <w:pStyle w:val="ListParagraph"/>
        <w:ind w:left="0" w:firstLine="142"/>
      </w:pPr>
      <w:r>
        <w:t>Het EESC:</w:t>
      </w:r>
    </w:p>
    <w:p w:rsidRPr="001346B6" w:rsidR="007D1564" w:rsidP="009120CD" w:rsidRDefault="007D1564" w14:paraId="2587728C" w14:textId="77777777">
      <w:pPr>
        <w:pStyle w:val="ListParagraph"/>
        <w:ind w:left="0"/>
        <w:rPr>
          <w:sz w:val="18"/>
          <w:szCs w:val="18"/>
          <w:lang w:val="fr-FR"/>
        </w:rPr>
      </w:pPr>
    </w:p>
    <w:p w:rsidRPr="00A3344B" w:rsidR="007D1564" w:rsidP="009120CD" w:rsidRDefault="003A7071" w14:paraId="58421ABB" w14:textId="3AD36947">
      <w:pPr>
        <w:numPr>
          <w:ilvl w:val="0"/>
          <w:numId w:val="3"/>
        </w:numPr>
        <w:overflowPunct w:val="0"/>
        <w:autoSpaceDE w:val="0"/>
        <w:autoSpaceDN w:val="0"/>
        <w:adjustRightInd w:val="0"/>
        <w:ind w:left="357" w:hanging="357"/>
        <w:textAlignment w:val="baseline"/>
      </w:pPr>
      <w:r>
        <w:t xml:space="preserve">is ingenomen met </w:t>
      </w:r>
      <w:r>
        <w:rPr>
          <w:b/>
        </w:rPr>
        <w:t xml:space="preserve">het initiatief van de Commissie inzake de bescherming van geografische aanduidingen (GA’s) voor industriële en ambachtelijke producten op EU-niveau, waarmee een leemte in de wetgeving </w:t>
      </w:r>
      <w:r>
        <w:t>inzake dit soort producten</w:t>
      </w:r>
      <w:r>
        <w:rPr>
          <w:b/>
        </w:rPr>
        <w:t xml:space="preserve"> wordt opgevuld.</w:t>
      </w:r>
    </w:p>
    <w:p w:rsidRPr="00A3344B" w:rsidR="007D1564" w:rsidP="009120CD" w:rsidRDefault="001016BE" w14:paraId="7B0868C6" w14:textId="7B216A89">
      <w:pPr>
        <w:numPr>
          <w:ilvl w:val="0"/>
          <w:numId w:val="3"/>
        </w:numPr>
        <w:overflowPunct w:val="0"/>
        <w:autoSpaceDE w:val="0"/>
        <w:autoSpaceDN w:val="0"/>
        <w:adjustRightInd w:val="0"/>
        <w:ind w:left="357" w:hanging="357"/>
        <w:textAlignment w:val="baseline"/>
      </w:pPr>
      <w:r>
        <w:t xml:space="preserve">meent dat de bescherming van geografische aanduidingen met name de minder ontwikkelde </w:t>
      </w:r>
      <w:r>
        <w:rPr>
          <w:b/>
        </w:rPr>
        <w:t>regio’s een nieuwe impuls kan geven</w:t>
      </w:r>
      <w:r>
        <w:t>: producenten krijgen een duwtje in de rug doordat hun producten worden erkend en beschermd tegen namaak, er worden nieuwe bewoners aangetrokken, leegloop wordt voorkomen dankzij nieuwe, meer gekwalificeerde en beter betaalde banen, en duurzaam toerisme, met name nichetoerisme dat gebaseerd is op de reputatie van de regio, krijgt de kans zich te ontwikkelen;</w:t>
      </w:r>
    </w:p>
    <w:p w:rsidRPr="00A3344B" w:rsidR="007D1564" w:rsidP="009120CD" w:rsidRDefault="001016BE" w14:paraId="0CA862E7" w14:textId="58DC54A4">
      <w:pPr>
        <w:numPr>
          <w:ilvl w:val="0"/>
          <w:numId w:val="3"/>
        </w:numPr>
        <w:overflowPunct w:val="0"/>
        <w:autoSpaceDE w:val="0"/>
        <w:autoSpaceDN w:val="0"/>
        <w:adjustRightInd w:val="0"/>
        <w:ind w:left="357" w:hanging="357"/>
        <w:textAlignment w:val="baseline"/>
      </w:pPr>
      <w:r>
        <w:t xml:space="preserve">betwijfelt of deze wetgevingsoptie de voorkeur verdient boven de optie om </w:t>
      </w:r>
      <w:r>
        <w:rPr>
          <w:b/>
        </w:rPr>
        <w:t>het bestaande kader voor landbouwproducten en levensmiddelen, wijn en gedistilleerde dranken uit te breiden tot industriële en ambachtelijke producten</w:t>
      </w:r>
      <w:r>
        <w:t>;</w:t>
      </w:r>
    </w:p>
    <w:p w:rsidRPr="001016BE" w:rsidR="007D1564" w:rsidP="009120CD" w:rsidRDefault="001016BE" w14:paraId="32E6EBD8" w14:textId="2B18C1EF">
      <w:pPr>
        <w:numPr>
          <w:ilvl w:val="0"/>
          <w:numId w:val="3"/>
        </w:numPr>
        <w:overflowPunct w:val="0"/>
        <w:autoSpaceDE w:val="0"/>
        <w:autoSpaceDN w:val="0"/>
        <w:adjustRightInd w:val="0"/>
        <w:ind w:left="357" w:hanging="357"/>
        <w:textAlignment w:val="baseline"/>
      </w:pPr>
      <w:r>
        <w:t xml:space="preserve">meent dat het van cruciaal belang is </w:t>
      </w:r>
      <w:r>
        <w:rPr>
          <w:b/>
        </w:rPr>
        <w:t>dat het te gebruiken symbool voor de geografische aanduidingen aantrekkelijk is en aansluit bij alle — ook de nieuwe — informatiekanalen</w:t>
      </w:r>
      <w:r>
        <w:t>, van de traditionele etiketten tot de meest geavanceerde vormen van digitale communicatie;</w:t>
      </w:r>
    </w:p>
    <w:p w:rsidR="001016BE" w:rsidP="009120CD" w:rsidRDefault="001016BE" w14:paraId="6FD4C197" w14:textId="4F3D1AC7">
      <w:pPr>
        <w:numPr>
          <w:ilvl w:val="0"/>
          <w:numId w:val="3"/>
        </w:numPr>
        <w:overflowPunct w:val="0"/>
        <w:autoSpaceDE w:val="0"/>
        <w:autoSpaceDN w:val="0"/>
        <w:adjustRightInd w:val="0"/>
        <w:ind w:left="357" w:hanging="357"/>
        <w:textAlignment w:val="baseline"/>
      </w:pPr>
      <w:r>
        <w:t xml:space="preserve">vindt het cruciaal dat de </w:t>
      </w:r>
      <w:r>
        <w:rPr>
          <w:b/>
        </w:rPr>
        <w:t>overgang van de nationale bescherming van geografische aanduidingen naar EU-bescherming snel en eenvoudig verloopt</w:t>
      </w:r>
      <w:r>
        <w:t>;</w:t>
      </w:r>
    </w:p>
    <w:p w:rsidR="001016BE" w:rsidP="009120CD" w:rsidRDefault="001016BE" w14:paraId="7639215A" w14:textId="3E284095">
      <w:pPr>
        <w:numPr>
          <w:ilvl w:val="0"/>
          <w:numId w:val="3"/>
        </w:numPr>
        <w:overflowPunct w:val="0"/>
        <w:autoSpaceDE w:val="0"/>
        <w:autoSpaceDN w:val="0"/>
        <w:adjustRightInd w:val="0"/>
        <w:ind w:left="357" w:hanging="357"/>
        <w:textAlignment w:val="baseline"/>
      </w:pPr>
      <w:r>
        <w:t xml:space="preserve">dringt erop aan dat de Commissie </w:t>
      </w:r>
      <w:r>
        <w:rPr>
          <w:b/>
        </w:rPr>
        <w:t>eventuele conflicten in verband met de certificering</w:t>
      </w:r>
      <w:r>
        <w:t>, met name met derde landen,</w:t>
      </w:r>
      <w:r>
        <w:rPr>
          <w:b/>
        </w:rPr>
        <w:t xml:space="preserve"> op de voet volgt</w:t>
      </w:r>
      <w:r>
        <w:t xml:space="preserve"> en gebruik maakt van haar onderhandelingsbevoegdheid.</w:t>
      </w:r>
    </w:p>
    <w:p w:rsidRPr="001346B6" w:rsidR="001016BE" w:rsidP="009120CD" w:rsidRDefault="001016BE" w14:paraId="29425E3C" w14:textId="77777777">
      <w:pPr>
        <w:overflowPunct w:val="0"/>
        <w:autoSpaceDE w:val="0"/>
        <w:autoSpaceDN w:val="0"/>
        <w:adjustRightInd w:val="0"/>
        <w:textAlignment w:val="baseline"/>
        <w:rPr>
          <w:sz w:val="18"/>
          <w:szCs w:val="18"/>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1016BE" w:rsidTr="004E4367" w14:paraId="19916B24" w14:textId="77777777">
        <w:tc>
          <w:tcPr>
            <w:tcW w:w="1418" w:type="dxa"/>
          </w:tcPr>
          <w:p w:rsidRPr="00164813" w:rsidR="001016BE" w:rsidP="009120CD" w:rsidRDefault="001016BE" w14:paraId="193156F1" w14:textId="77777777">
            <w:pPr>
              <w:contextualSpacing/>
              <w:rPr>
                <w:i/>
              </w:rPr>
            </w:pPr>
            <w:r>
              <w:rPr>
                <w:b/>
                <w:i/>
              </w:rPr>
              <w:t>Contactpersoon</w:t>
            </w:r>
          </w:p>
        </w:tc>
        <w:tc>
          <w:tcPr>
            <w:tcW w:w="5670" w:type="dxa"/>
          </w:tcPr>
          <w:p w:rsidRPr="00164813" w:rsidR="001016BE" w:rsidP="009120CD" w:rsidRDefault="001016BE" w14:paraId="14E1128D" w14:textId="77777777">
            <w:pPr>
              <w:contextualSpacing/>
              <w:rPr>
                <w:i/>
              </w:rPr>
            </w:pPr>
            <w:r>
              <w:rPr>
                <w:i/>
              </w:rPr>
              <w:t>Claudia Drewes-Wran / Raquel Ferreira da Silva</w:t>
            </w:r>
          </w:p>
        </w:tc>
      </w:tr>
      <w:tr w:rsidRPr="00164813" w:rsidR="001016BE" w:rsidTr="004E4367" w14:paraId="7D04EED4" w14:textId="77777777">
        <w:tc>
          <w:tcPr>
            <w:tcW w:w="1418" w:type="dxa"/>
          </w:tcPr>
          <w:p w:rsidRPr="00164813" w:rsidR="001016BE" w:rsidP="009120CD" w:rsidRDefault="001016BE" w14:paraId="7AC7F53A" w14:textId="77777777">
            <w:pPr>
              <w:ind w:left="601"/>
              <w:contextualSpacing/>
              <w:rPr>
                <w:i/>
              </w:rPr>
            </w:pPr>
            <w:r>
              <w:rPr>
                <w:i/>
              </w:rPr>
              <w:t>Tel.</w:t>
            </w:r>
          </w:p>
        </w:tc>
        <w:tc>
          <w:tcPr>
            <w:tcW w:w="5670" w:type="dxa"/>
          </w:tcPr>
          <w:p w:rsidRPr="00164813" w:rsidR="001016BE" w:rsidP="009120CD" w:rsidRDefault="001016BE" w14:paraId="6417B844" w14:textId="77777777">
            <w:pPr>
              <w:contextualSpacing/>
              <w:rPr>
                <w:i/>
              </w:rPr>
            </w:pPr>
            <w:r>
              <w:rPr>
                <w:i/>
              </w:rPr>
              <w:t>00 32 2 546 80 67/ 0032 2 546 91 13</w:t>
            </w:r>
          </w:p>
        </w:tc>
      </w:tr>
      <w:tr w:rsidRPr="00164813" w:rsidR="001016BE" w:rsidTr="004E4367" w14:paraId="5EDB0091" w14:textId="77777777">
        <w:tc>
          <w:tcPr>
            <w:tcW w:w="1418" w:type="dxa"/>
          </w:tcPr>
          <w:p w:rsidRPr="00164813" w:rsidR="001016BE" w:rsidP="009120CD" w:rsidRDefault="001016BE" w14:paraId="414B2AF5" w14:textId="77777777">
            <w:pPr>
              <w:ind w:left="601"/>
              <w:contextualSpacing/>
              <w:rPr>
                <w:i/>
              </w:rPr>
            </w:pPr>
            <w:r>
              <w:rPr>
                <w:i/>
              </w:rPr>
              <w:t>E-mail</w:t>
            </w:r>
          </w:p>
        </w:tc>
        <w:tc>
          <w:tcPr>
            <w:tcW w:w="5670" w:type="dxa"/>
          </w:tcPr>
          <w:p w:rsidRPr="00F256CD" w:rsidR="001016BE" w:rsidP="009120CD" w:rsidRDefault="00C56F85" w14:paraId="7BBBE13A" w14:textId="77777777">
            <w:pPr>
              <w:contextualSpacing/>
              <w:rPr>
                <w:i/>
                <w:iCs/>
              </w:rPr>
            </w:pPr>
            <w:hyperlink w:history="1" r:id="rId40">
              <w:r w:rsidR="0064748D">
                <w:rPr>
                  <w:rStyle w:val="Hyperlink"/>
                  <w:i/>
                </w:rPr>
                <w:t>Claudia.Drewes-Wran@eesc.europa.eu</w:t>
              </w:r>
            </w:hyperlink>
          </w:p>
          <w:p w:rsidRPr="00F256CD" w:rsidR="001016BE" w:rsidP="009120CD" w:rsidRDefault="00C56F85" w14:paraId="62EDFB9F" w14:textId="2485B525">
            <w:pPr>
              <w:contextualSpacing/>
            </w:pPr>
            <w:hyperlink w:history="1" r:id="rId41">
              <w:r w:rsidR="0064748D">
                <w:rPr>
                  <w:rStyle w:val="Hyperlink"/>
                  <w:i/>
                </w:rPr>
                <w:t>Raquel.FerreiraDaSilva@eesc.europa.eu</w:t>
              </w:r>
            </w:hyperlink>
          </w:p>
        </w:tc>
      </w:tr>
    </w:tbl>
    <w:p w:rsidRPr="001346B6" w:rsidR="00037A85" w:rsidP="009120CD" w:rsidRDefault="00037A85" w14:paraId="5FF29296" w14:textId="0F45C84B">
      <w:pPr>
        <w:spacing w:after="160"/>
        <w:jc w:val="left"/>
      </w:pPr>
    </w:p>
    <w:bookmarkEnd w:id="28"/>
    <w:p w:rsidRPr="007E7A4F" w:rsidR="00CA684E" w:rsidP="009120CD" w:rsidRDefault="00CA684E" w14:paraId="3BF2A83D" w14:textId="2D913C32">
      <w:pPr>
        <w:pStyle w:val="ListParagraph"/>
        <w:numPr>
          <w:ilvl w:val="0"/>
          <w:numId w:val="2"/>
        </w:numPr>
        <w:ind w:left="567" w:hanging="567"/>
        <w:rPr>
          <w:b/>
          <w:i/>
          <w:sz w:val="28"/>
          <w:szCs w:val="28"/>
        </w:rPr>
      </w:pPr>
      <w:r>
        <w:rPr>
          <w:b/>
          <w:i/>
          <w:sz w:val="28"/>
        </w:rPr>
        <w:t>Pakket bestrijding online seksueel misbruik van kinderen</w:t>
      </w:r>
    </w:p>
    <w:p w:rsidRPr="001346B6" w:rsidR="00CA684E" w:rsidP="009120CD" w:rsidRDefault="00CA684E" w14:paraId="672D1150" w14:textId="77777777">
      <w:pPr>
        <w:pStyle w:val="ListParagraph"/>
        <w:ind w:left="0"/>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CA684E" w:rsidTr="00370548" w14:paraId="6AC1A837" w14:textId="77777777">
        <w:tc>
          <w:tcPr>
            <w:tcW w:w="1701" w:type="dxa"/>
          </w:tcPr>
          <w:p w:rsidRPr="009B70E7" w:rsidR="00CA684E" w:rsidP="009120CD" w:rsidRDefault="00CA684E" w14:paraId="46FE0C25" w14:textId="77777777">
            <w:pPr>
              <w:pStyle w:val="ListParagraph"/>
              <w:ind w:left="0"/>
              <w:rPr>
                <w:b/>
              </w:rPr>
            </w:pPr>
            <w:r>
              <w:rPr>
                <w:b/>
              </w:rPr>
              <w:t>Rapporteur:</w:t>
            </w:r>
          </w:p>
        </w:tc>
        <w:tc>
          <w:tcPr>
            <w:tcW w:w="6096" w:type="dxa"/>
          </w:tcPr>
          <w:p w:rsidRPr="007E7A4F" w:rsidR="00CA684E" w:rsidP="009120CD" w:rsidRDefault="00CA684E" w14:paraId="1B24B85E" w14:textId="557BA10F">
            <w:pPr>
              <w:ind w:left="-108"/>
              <w:contextualSpacing/>
            </w:pPr>
            <w:r>
              <w:t>Veselin MITOV (groep Werknemers – BG)</w:t>
            </w:r>
          </w:p>
        </w:tc>
      </w:tr>
      <w:tr w:rsidRPr="007E7A4F" w:rsidR="00CA684E" w:rsidTr="00370548" w14:paraId="3AC3F9E1" w14:textId="77777777">
        <w:tc>
          <w:tcPr>
            <w:tcW w:w="7795" w:type="dxa"/>
            <w:gridSpan w:val="2"/>
          </w:tcPr>
          <w:p w:rsidRPr="007E7A4F" w:rsidR="00CA684E" w:rsidP="009120CD" w:rsidRDefault="00CA684E" w14:paraId="225F3D6B" w14:textId="77777777">
            <w:pPr>
              <w:pStyle w:val="ListParagraph"/>
              <w:ind w:left="0"/>
              <w:rPr>
                <w:lang w:val="fr-BE"/>
              </w:rPr>
            </w:pPr>
          </w:p>
        </w:tc>
      </w:tr>
      <w:tr w:rsidRPr="009B70E7" w:rsidR="00CA684E" w:rsidTr="00370548" w14:paraId="334FDE9D" w14:textId="77777777">
        <w:tc>
          <w:tcPr>
            <w:tcW w:w="1701" w:type="dxa"/>
          </w:tcPr>
          <w:p w:rsidRPr="009B70E7" w:rsidR="00CA684E" w:rsidP="009120CD" w:rsidRDefault="00CA684E" w14:paraId="0B55F592" w14:textId="77777777">
            <w:pPr>
              <w:pStyle w:val="ListParagraph"/>
              <w:ind w:left="0"/>
              <w:rPr>
                <w:b/>
              </w:rPr>
            </w:pPr>
            <w:r>
              <w:rPr>
                <w:b/>
              </w:rPr>
              <w:t xml:space="preserve">Referentie: </w:t>
            </w:r>
          </w:p>
        </w:tc>
        <w:tc>
          <w:tcPr>
            <w:tcW w:w="6096" w:type="dxa"/>
          </w:tcPr>
          <w:p w:rsidRPr="009B70E7" w:rsidR="00CA684E" w:rsidP="009120CD" w:rsidRDefault="00CA684E" w14:paraId="7BBAAACB" w14:textId="2F3861A3">
            <w:pPr>
              <w:tabs>
                <w:tab w:val="center" w:pos="284"/>
              </w:tabs>
              <w:ind w:left="266" w:hanging="374"/>
            </w:pPr>
            <w:r>
              <w:t>COM (2022) 209-212 final</w:t>
            </w:r>
          </w:p>
          <w:p w:rsidRPr="009B70E7" w:rsidR="00CA684E" w:rsidP="009120CD" w:rsidRDefault="00CA684E" w14:paraId="433715E6" w14:textId="68B125C7">
            <w:pPr>
              <w:pStyle w:val="ListParagraph"/>
              <w:ind w:left="-108"/>
            </w:pPr>
            <w:r>
              <w:t>EESC-2022-02804-00-00-AC</w:t>
            </w:r>
          </w:p>
        </w:tc>
      </w:tr>
    </w:tbl>
    <w:p w:rsidRPr="001346B6" w:rsidR="00CA684E" w:rsidP="009120CD" w:rsidRDefault="00CA684E" w14:paraId="1A1C0082" w14:textId="77777777">
      <w:pPr>
        <w:pStyle w:val="ListParagraph"/>
        <w:ind w:left="0"/>
        <w:rPr>
          <w:b/>
          <w:sz w:val="18"/>
          <w:szCs w:val="18"/>
        </w:rPr>
      </w:pPr>
    </w:p>
    <w:p w:rsidRPr="0018231C" w:rsidR="00CA684E" w:rsidP="009120CD" w:rsidRDefault="00CA684E" w14:paraId="3F4C3C0A" w14:textId="78CC749C">
      <w:pPr>
        <w:pStyle w:val="ListParagraph"/>
        <w:ind w:left="0" w:firstLine="142"/>
        <w:rPr>
          <w:b/>
        </w:rPr>
      </w:pPr>
      <w:r>
        <w:rPr>
          <w:b/>
        </w:rPr>
        <w:t>Hoofdpunten</w:t>
      </w:r>
    </w:p>
    <w:p w:rsidRPr="001346B6" w:rsidR="00CA684E" w:rsidP="009120CD" w:rsidRDefault="00CA684E" w14:paraId="6AA82A0A" w14:textId="77777777">
      <w:pPr>
        <w:pStyle w:val="ListParagraph"/>
        <w:ind w:left="0"/>
        <w:rPr>
          <w:sz w:val="18"/>
          <w:szCs w:val="18"/>
          <w:lang w:val="fr-FR"/>
        </w:rPr>
      </w:pPr>
    </w:p>
    <w:p w:rsidRPr="00A00F37" w:rsidR="00CA684E" w:rsidP="009120CD" w:rsidRDefault="00CA684E" w14:paraId="5061BCBD" w14:textId="77777777">
      <w:pPr>
        <w:pStyle w:val="ListParagraph"/>
        <w:ind w:left="0" w:firstLine="142"/>
        <w:rPr>
          <w:bCs/>
        </w:rPr>
      </w:pPr>
      <w:r>
        <w:t>Het EESC:</w:t>
      </w:r>
    </w:p>
    <w:p w:rsidRPr="0018231C" w:rsidR="00CA684E" w:rsidP="009120CD" w:rsidRDefault="00CA684E" w14:paraId="50928935" w14:textId="77777777">
      <w:pPr>
        <w:pStyle w:val="ListParagraph"/>
        <w:ind w:left="0"/>
        <w:rPr>
          <w:lang w:val="fr-FR"/>
        </w:rPr>
      </w:pPr>
    </w:p>
    <w:p w:rsidRPr="00A3344B" w:rsidR="00CA684E" w:rsidP="009120CD" w:rsidRDefault="001016BE" w14:paraId="20A69B56" w14:textId="6D58D340">
      <w:pPr>
        <w:numPr>
          <w:ilvl w:val="0"/>
          <w:numId w:val="3"/>
        </w:numPr>
        <w:overflowPunct w:val="0"/>
        <w:autoSpaceDE w:val="0"/>
        <w:autoSpaceDN w:val="0"/>
        <w:adjustRightInd w:val="0"/>
        <w:ind w:left="357" w:hanging="357"/>
        <w:textAlignment w:val="baseline"/>
      </w:pPr>
      <w:r>
        <w:lastRenderedPageBreak/>
        <w:t xml:space="preserve">is ingenomen met de documenten van de Commissie. Beide komen als geroepen, aangezien </w:t>
      </w:r>
      <w:r>
        <w:rPr>
          <w:b/>
        </w:rPr>
        <w:t>kinderen op steeds jongere leeftijd actief zijn op het internet en het bijna dagelijks gebruiken</w:t>
      </w:r>
      <w:r>
        <w:t xml:space="preserve">, en Europol tezelfdertijd een </w:t>
      </w:r>
      <w:r>
        <w:rPr>
          <w:b/>
        </w:rPr>
        <w:t>toenemende vraag naar kinderpornografie vaststelt</w:t>
      </w:r>
      <w:r>
        <w:t>;</w:t>
      </w:r>
    </w:p>
    <w:p w:rsidRPr="00A3344B" w:rsidR="00CA684E" w:rsidP="009120CD" w:rsidRDefault="001016BE" w14:paraId="08277352" w14:textId="20A30B37">
      <w:pPr>
        <w:numPr>
          <w:ilvl w:val="0"/>
          <w:numId w:val="3"/>
        </w:numPr>
        <w:overflowPunct w:val="0"/>
        <w:autoSpaceDE w:val="0"/>
        <w:autoSpaceDN w:val="0"/>
        <w:adjustRightInd w:val="0"/>
        <w:ind w:left="357" w:hanging="357"/>
        <w:textAlignment w:val="baseline"/>
      </w:pPr>
      <w:r>
        <w:t xml:space="preserve">steunt de onderwijscomponent in de strategie, aangezien het essentieel is om </w:t>
      </w:r>
      <w:r>
        <w:rPr>
          <w:b/>
        </w:rPr>
        <w:t>vaardigheden en digitale geletterdheid te bevorderen en kinderen bewust te leren omgaan</w:t>
      </w:r>
      <w:r>
        <w:t xml:space="preserve"> met hun persoonsgegevens, zodat eenieder van hen, ongeacht zijn of haar situatie, het internet met kennis van zaken gebruikt om zichzelf te beschermen tegen de mogelijke gevaren ervan;</w:t>
      </w:r>
    </w:p>
    <w:p w:rsidR="00CA684E" w:rsidP="009120CD" w:rsidRDefault="00B77513" w14:paraId="6C7FCA7B" w14:textId="09C69C47">
      <w:pPr>
        <w:numPr>
          <w:ilvl w:val="0"/>
          <w:numId w:val="3"/>
        </w:numPr>
        <w:overflowPunct w:val="0"/>
        <w:autoSpaceDE w:val="0"/>
        <w:autoSpaceDN w:val="0"/>
        <w:adjustRightInd w:val="0"/>
        <w:ind w:left="357" w:hanging="357"/>
        <w:textAlignment w:val="baseline"/>
      </w:pPr>
      <w:r>
        <w:t xml:space="preserve">is ingenomen met het voornemen om via verschillende netwerken </w:t>
      </w:r>
      <w:r>
        <w:rPr>
          <w:b/>
        </w:rPr>
        <w:t>campagnes rond mediawijsheid</w:t>
      </w:r>
      <w:r>
        <w:t xml:space="preserve"> te organiseren voor kinderen en hun ouders of wettelijke voogd en moedigt sterk aan om die campagnes </w:t>
      </w:r>
      <w:r>
        <w:rPr>
          <w:b/>
        </w:rPr>
        <w:t>uit te breiden naar maatschappelijke organisaties</w:t>
      </w:r>
      <w:r>
        <w:t>, aangezien deze over een lange en ruime praktijkervaring beschikken;</w:t>
      </w:r>
    </w:p>
    <w:p w:rsidRPr="00B77513" w:rsidR="00B77513" w:rsidP="009120CD" w:rsidRDefault="00B77513" w14:paraId="23661794" w14:textId="03303A4F">
      <w:pPr>
        <w:numPr>
          <w:ilvl w:val="0"/>
          <w:numId w:val="3"/>
        </w:numPr>
        <w:overflowPunct w:val="0"/>
        <w:autoSpaceDE w:val="0"/>
        <w:autoSpaceDN w:val="0"/>
        <w:adjustRightInd w:val="0"/>
        <w:ind w:left="357" w:hanging="357"/>
        <w:textAlignment w:val="baseline"/>
      </w:pPr>
      <w:r>
        <w:t xml:space="preserve">staat in beginsel achter het voorstel voor een verordening, maar </w:t>
      </w:r>
      <w:r>
        <w:rPr>
          <w:b/>
        </w:rPr>
        <w:t>heeft bedenkingen</w:t>
      </w:r>
      <w:r>
        <w:t xml:space="preserve"> bij de </w:t>
      </w:r>
      <w:r>
        <w:rPr>
          <w:b/>
        </w:rPr>
        <w:t>onevenredigheid van de beoogde maatregelen</w:t>
      </w:r>
      <w:r>
        <w:t xml:space="preserve"> en de </w:t>
      </w:r>
      <w:r>
        <w:rPr>
          <w:b/>
        </w:rPr>
        <w:t>aantasting van het vermoeden van onschuld</w:t>
      </w:r>
      <w:r>
        <w:t>;</w:t>
      </w:r>
    </w:p>
    <w:p w:rsidRPr="00B77513" w:rsidR="00B77513" w:rsidP="009120CD" w:rsidRDefault="00B77513" w14:paraId="6C398A7D" w14:textId="4CB9297F">
      <w:pPr>
        <w:numPr>
          <w:ilvl w:val="0"/>
          <w:numId w:val="3"/>
        </w:numPr>
        <w:overflowPunct w:val="0"/>
        <w:autoSpaceDE w:val="0"/>
        <w:autoSpaceDN w:val="0"/>
        <w:adjustRightInd w:val="0"/>
        <w:ind w:left="357" w:hanging="357"/>
        <w:textAlignment w:val="baseline"/>
      </w:pPr>
      <w:r>
        <w:t xml:space="preserve">is het ermee eens dat de strijd tegen online kinderpornografie legitiem en noodzakelijk is, maar als </w:t>
      </w:r>
      <w:r>
        <w:rPr>
          <w:b/>
        </w:rPr>
        <w:t>particulieren</w:t>
      </w:r>
      <w:r>
        <w:t xml:space="preserve"> verplicht worden om </w:t>
      </w:r>
      <w:r>
        <w:rPr>
          <w:b/>
        </w:rPr>
        <w:t>prima facie een bepaald soort inhoud op te sporen</w:t>
      </w:r>
      <w:r>
        <w:t xml:space="preserve">, neemt het risico toe dat uiteindelijk </w:t>
      </w:r>
      <w:r>
        <w:rPr>
          <w:b/>
        </w:rPr>
        <w:t>alle online-uitwisselingen zullen worden gecontroleerd</w:t>
      </w:r>
      <w:r>
        <w:t>;</w:t>
      </w:r>
    </w:p>
    <w:p w:rsidRPr="00B77513" w:rsidR="00B77513" w:rsidP="009120CD" w:rsidRDefault="00B77513" w14:paraId="7679DE33" w14:textId="78335AE6">
      <w:pPr>
        <w:numPr>
          <w:ilvl w:val="0"/>
          <w:numId w:val="3"/>
        </w:numPr>
        <w:overflowPunct w:val="0"/>
        <w:autoSpaceDE w:val="0"/>
        <w:autoSpaceDN w:val="0"/>
        <w:adjustRightInd w:val="0"/>
        <w:ind w:left="357" w:hanging="357"/>
        <w:textAlignment w:val="baseline"/>
      </w:pPr>
      <w:r>
        <w:t xml:space="preserve">heeft tot doel om ieders belangen te respecteren, zoals de </w:t>
      </w:r>
      <w:r>
        <w:rPr>
          <w:b/>
        </w:rPr>
        <w:t>geheimhouding van correspondentie</w:t>
      </w:r>
      <w:r>
        <w:t xml:space="preserve"> en de </w:t>
      </w:r>
      <w:r>
        <w:rPr>
          <w:b/>
        </w:rPr>
        <w:t>eerbiediging van de privacy</w:t>
      </w:r>
      <w:r>
        <w:t>;</w:t>
      </w:r>
    </w:p>
    <w:p w:rsidRPr="00A3344B" w:rsidR="00B77513" w:rsidP="009120CD" w:rsidRDefault="00B77513" w14:paraId="65331693" w14:textId="214E4DFC">
      <w:pPr>
        <w:numPr>
          <w:ilvl w:val="0"/>
          <w:numId w:val="3"/>
        </w:numPr>
        <w:overflowPunct w:val="0"/>
        <w:autoSpaceDE w:val="0"/>
        <w:autoSpaceDN w:val="0"/>
        <w:adjustRightInd w:val="0"/>
        <w:ind w:left="357" w:hanging="357"/>
        <w:textAlignment w:val="baseline"/>
      </w:pPr>
      <w:r>
        <w:t xml:space="preserve">steunt de oprichting van een </w:t>
      </w:r>
      <w:r>
        <w:rPr>
          <w:b/>
        </w:rPr>
        <w:t>nieuw Europees agentschap</w:t>
      </w:r>
      <w:r>
        <w:t xml:space="preserve"> en zou graag zien dat </w:t>
      </w:r>
      <w:r>
        <w:rPr>
          <w:b/>
        </w:rPr>
        <w:t>Eurojust betrokken wordt</w:t>
      </w:r>
      <w:r>
        <w:t xml:space="preserve"> bij de door de Commissie beoogde structuur.</w:t>
      </w:r>
    </w:p>
    <w:p w:rsidR="00CA684E" w:rsidP="009120CD" w:rsidRDefault="00CA684E" w14:paraId="7D87CBA3" w14:textId="77777777">
      <w:pPr>
        <w:spacing w:after="160"/>
        <w:jc w:val="left"/>
        <w:rPr>
          <w:sz w:val="28"/>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CA684E" w:rsidTr="004E4367" w14:paraId="3B8A039A" w14:textId="77777777">
        <w:tc>
          <w:tcPr>
            <w:tcW w:w="1418" w:type="dxa"/>
          </w:tcPr>
          <w:p w:rsidRPr="00164813" w:rsidR="00CA684E" w:rsidP="009120CD" w:rsidRDefault="00CA684E" w14:paraId="5D9C2F43" w14:textId="77777777">
            <w:pPr>
              <w:contextualSpacing/>
              <w:rPr>
                <w:i/>
              </w:rPr>
            </w:pPr>
            <w:r>
              <w:rPr>
                <w:b/>
                <w:i/>
              </w:rPr>
              <w:t>Contactpersoon</w:t>
            </w:r>
          </w:p>
        </w:tc>
        <w:tc>
          <w:tcPr>
            <w:tcW w:w="5670" w:type="dxa"/>
          </w:tcPr>
          <w:p w:rsidRPr="00164813" w:rsidR="00CA684E" w:rsidP="009120CD" w:rsidRDefault="00CA684E" w14:paraId="4BCE11B4" w14:textId="7D39AAEE">
            <w:pPr>
              <w:contextualSpacing/>
              <w:rPr>
                <w:i/>
              </w:rPr>
            </w:pPr>
            <w:r>
              <w:rPr>
                <w:i/>
              </w:rPr>
              <w:t>Radoslava Stefankova</w:t>
            </w:r>
          </w:p>
        </w:tc>
      </w:tr>
      <w:tr w:rsidRPr="00164813" w:rsidR="00CA684E" w:rsidTr="004E4367" w14:paraId="59186DE0" w14:textId="77777777">
        <w:tc>
          <w:tcPr>
            <w:tcW w:w="1418" w:type="dxa"/>
          </w:tcPr>
          <w:p w:rsidRPr="00164813" w:rsidR="00CA684E" w:rsidP="009120CD" w:rsidRDefault="00CA684E" w14:paraId="38B90349" w14:textId="77777777">
            <w:pPr>
              <w:ind w:left="601"/>
              <w:contextualSpacing/>
              <w:rPr>
                <w:i/>
              </w:rPr>
            </w:pPr>
            <w:r>
              <w:rPr>
                <w:i/>
              </w:rPr>
              <w:t>Tel.</w:t>
            </w:r>
          </w:p>
        </w:tc>
        <w:tc>
          <w:tcPr>
            <w:tcW w:w="5670" w:type="dxa"/>
          </w:tcPr>
          <w:p w:rsidRPr="00164813" w:rsidR="00CA684E" w:rsidP="009120CD" w:rsidRDefault="00CA684E" w14:paraId="2CBFE748" w14:textId="58CD75E5">
            <w:pPr>
              <w:contextualSpacing/>
              <w:rPr>
                <w:i/>
              </w:rPr>
            </w:pPr>
            <w:r>
              <w:rPr>
                <w:i/>
              </w:rPr>
              <w:t>00 32 2 546 81 88</w:t>
            </w:r>
          </w:p>
        </w:tc>
      </w:tr>
      <w:tr w:rsidRPr="00164813" w:rsidR="00CA684E" w:rsidTr="004E4367" w14:paraId="1495CCCA" w14:textId="77777777">
        <w:tc>
          <w:tcPr>
            <w:tcW w:w="1418" w:type="dxa"/>
          </w:tcPr>
          <w:p w:rsidRPr="00164813" w:rsidR="00CA684E" w:rsidP="009120CD" w:rsidRDefault="00CA684E" w14:paraId="193C1779" w14:textId="77777777">
            <w:pPr>
              <w:ind w:left="601"/>
              <w:contextualSpacing/>
              <w:rPr>
                <w:i/>
              </w:rPr>
            </w:pPr>
            <w:r>
              <w:rPr>
                <w:i/>
              </w:rPr>
              <w:t>E-mail</w:t>
            </w:r>
          </w:p>
        </w:tc>
        <w:tc>
          <w:tcPr>
            <w:tcW w:w="5670" w:type="dxa"/>
          </w:tcPr>
          <w:p w:rsidRPr="00F256CD" w:rsidR="00CA684E" w:rsidP="009120CD" w:rsidRDefault="00C56F85" w14:paraId="61C9C4F5" w14:textId="38830FCD">
            <w:pPr>
              <w:contextualSpacing/>
              <w:rPr>
                <w:i/>
                <w:iCs/>
              </w:rPr>
            </w:pPr>
            <w:hyperlink w:history="1" r:id="rId42">
              <w:r w:rsidR="0064748D">
                <w:rPr>
                  <w:rStyle w:val="Hyperlink"/>
                  <w:i/>
                </w:rPr>
                <w:t>Radoslava.Stefankova@eesc.europa.eu</w:t>
              </w:r>
            </w:hyperlink>
          </w:p>
        </w:tc>
      </w:tr>
    </w:tbl>
    <w:p w:rsidR="00037A85" w:rsidP="009120CD" w:rsidRDefault="00037A85" w14:paraId="67633096" w14:textId="533A8ECA">
      <w:pPr>
        <w:spacing w:after="160"/>
        <w:jc w:val="left"/>
        <w:rPr>
          <w:sz w:val="28"/>
        </w:rPr>
      </w:pPr>
    </w:p>
    <w:p w:rsidRPr="00164813" w:rsidR="00164813" w:rsidP="009120CD" w:rsidRDefault="00A3344B" w14:paraId="65567F7B" w14:textId="77777777">
      <w:pPr>
        <w:pStyle w:val="ListParagraph"/>
        <w:numPr>
          <w:ilvl w:val="0"/>
          <w:numId w:val="2"/>
        </w:numPr>
        <w:ind w:left="567" w:hanging="567"/>
        <w:rPr>
          <w:b/>
          <w:i/>
          <w:sz w:val="28"/>
          <w:szCs w:val="28"/>
        </w:rPr>
      </w:pPr>
      <w:r>
        <w:rPr>
          <w:b/>
          <w:i/>
          <w:sz w:val="28"/>
        </w:rPr>
        <w:t>Kmo’s, ondernemingen van de sociale economie, ambachten en vrije beroepen / Fit for 55</w:t>
      </w:r>
    </w:p>
    <w:p w:rsidRPr="00164813" w:rsidR="00164813" w:rsidP="009120CD" w:rsidRDefault="00164813" w14:paraId="426580BA" w14:textId="77777777">
      <w:pPr>
        <w:contextualSpacing/>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164813" w:rsidR="00164813" w:rsidTr="00B83E7B" w14:paraId="6AF7AE99" w14:textId="77777777">
        <w:tc>
          <w:tcPr>
            <w:tcW w:w="1701" w:type="dxa"/>
          </w:tcPr>
          <w:p w:rsidRPr="00164813" w:rsidR="00164813" w:rsidP="009120CD" w:rsidRDefault="00164813" w14:paraId="4B0840C1" w14:textId="77777777">
            <w:pPr>
              <w:contextualSpacing/>
              <w:rPr>
                <w:b/>
              </w:rPr>
            </w:pPr>
            <w:r>
              <w:rPr>
                <w:b/>
              </w:rPr>
              <w:t>Rapporteur</w:t>
            </w:r>
          </w:p>
        </w:tc>
        <w:tc>
          <w:tcPr>
            <w:tcW w:w="6096" w:type="dxa"/>
          </w:tcPr>
          <w:p w:rsidRPr="00164813" w:rsidR="00164813" w:rsidP="009120CD" w:rsidRDefault="00A3344B" w14:paraId="16A8F625" w14:textId="77777777">
            <w:pPr>
              <w:ind w:left="-108"/>
              <w:contextualSpacing/>
            </w:pPr>
            <w:r>
              <w:t>Milena ANGELOVA (groep Werkgevers – BG)</w:t>
            </w:r>
          </w:p>
        </w:tc>
      </w:tr>
      <w:tr w:rsidRPr="00164813" w:rsidR="00A3344B" w:rsidTr="00B83E7B" w14:paraId="43AB93C9" w14:textId="77777777">
        <w:tc>
          <w:tcPr>
            <w:tcW w:w="1701" w:type="dxa"/>
          </w:tcPr>
          <w:p w:rsidRPr="00164813" w:rsidR="00A3344B" w:rsidP="009120CD" w:rsidRDefault="00A3344B" w14:paraId="3AF21686" w14:textId="77777777">
            <w:pPr>
              <w:contextualSpacing/>
              <w:rPr>
                <w:b/>
              </w:rPr>
            </w:pPr>
            <w:r>
              <w:rPr>
                <w:b/>
              </w:rPr>
              <w:t>Corapporteur</w:t>
            </w:r>
          </w:p>
        </w:tc>
        <w:tc>
          <w:tcPr>
            <w:tcW w:w="6096" w:type="dxa"/>
          </w:tcPr>
          <w:p w:rsidRPr="00A3344B" w:rsidR="00A3344B" w:rsidP="009120CD" w:rsidRDefault="00A3344B" w14:paraId="7456DEBB" w14:textId="77777777">
            <w:pPr>
              <w:ind w:left="-108"/>
              <w:contextualSpacing/>
            </w:pPr>
            <w:r>
              <w:t>Rudolf KOLBE (groep Maatschappelijke Organisaties – AT)</w:t>
            </w:r>
          </w:p>
        </w:tc>
      </w:tr>
      <w:tr w:rsidRPr="00164813" w:rsidR="00164813" w:rsidTr="00B83E7B" w14:paraId="5372DCA1" w14:textId="77777777">
        <w:tc>
          <w:tcPr>
            <w:tcW w:w="7797" w:type="dxa"/>
            <w:gridSpan w:val="2"/>
          </w:tcPr>
          <w:p w:rsidRPr="00164813" w:rsidR="00164813" w:rsidP="009120CD" w:rsidRDefault="00164813" w14:paraId="28515692" w14:textId="77777777">
            <w:pPr>
              <w:contextualSpacing/>
              <w:rPr>
                <w:lang w:val="fr-BE"/>
              </w:rPr>
            </w:pPr>
          </w:p>
        </w:tc>
      </w:tr>
      <w:tr w:rsidRPr="00164813" w:rsidR="00164813" w:rsidTr="00B83E7B" w14:paraId="6516DB5A" w14:textId="77777777">
        <w:tc>
          <w:tcPr>
            <w:tcW w:w="1701" w:type="dxa"/>
          </w:tcPr>
          <w:p w:rsidRPr="00164813" w:rsidR="00164813" w:rsidP="009120CD" w:rsidRDefault="00164813" w14:paraId="7886F22A" w14:textId="77777777">
            <w:pPr>
              <w:contextualSpacing/>
              <w:rPr>
                <w:b/>
              </w:rPr>
            </w:pPr>
            <w:r>
              <w:rPr>
                <w:b/>
              </w:rPr>
              <w:t xml:space="preserve">Referentie: </w:t>
            </w:r>
          </w:p>
        </w:tc>
        <w:tc>
          <w:tcPr>
            <w:tcW w:w="6096" w:type="dxa"/>
          </w:tcPr>
          <w:p w:rsidRPr="00164813" w:rsidR="00164813" w:rsidP="009120CD" w:rsidRDefault="00A3344B" w14:paraId="6C0521C0" w14:textId="77777777">
            <w:pPr>
              <w:tabs>
                <w:tab w:val="center" w:pos="284"/>
              </w:tabs>
              <w:ind w:left="266" w:hanging="374"/>
            </w:pPr>
            <w:r>
              <w:t>Initiatiefadvies</w:t>
            </w:r>
          </w:p>
          <w:p w:rsidRPr="00164813" w:rsidR="00164813" w:rsidP="009120CD" w:rsidRDefault="00A3344B" w14:paraId="1BECC38E" w14:textId="77777777">
            <w:pPr>
              <w:ind w:left="-108"/>
              <w:contextualSpacing/>
            </w:pPr>
            <w:r>
              <w:t>EESC-2022-01049-00-00-AC</w:t>
            </w:r>
          </w:p>
        </w:tc>
      </w:tr>
    </w:tbl>
    <w:p w:rsidRPr="00164813" w:rsidR="00164813" w:rsidP="009120CD" w:rsidRDefault="00164813" w14:paraId="38E9F173" w14:textId="77777777">
      <w:pPr>
        <w:contextualSpacing/>
        <w:rPr>
          <w:b/>
        </w:rPr>
      </w:pPr>
    </w:p>
    <w:p w:rsidRPr="00164813" w:rsidR="00164813" w:rsidP="009120CD" w:rsidRDefault="00164813" w14:paraId="01E095E2" w14:textId="7990D0E8">
      <w:pPr>
        <w:pStyle w:val="ListParagraph"/>
        <w:ind w:left="0" w:firstLine="142"/>
        <w:rPr>
          <w:b/>
        </w:rPr>
      </w:pPr>
      <w:r>
        <w:rPr>
          <w:b/>
        </w:rPr>
        <w:t>Hoofdpunten</w:t>
      </w:r>
    </w:p>
    <w:p w:rsidRPr="00164813" w:rsidR="00164813" w:rsidP="009120CD" w:rsidRDefault="00164813" w14:paraId="1FE2AF0F" w14:textId="77777777">
      <w:pPr>
        <w:contextualSpacing/>
        <w:rPr>
          <w:lang w:val="fr-FR"/>
        </w:rPr>
      </w:pPr>
    </w:p>
    <w:p w:rsidRPr="00A00F37" w:rsidR="00164813" w:rsidP="009120CD" w:rsidRDefault="00164813" w14:paraId="56628F84" w14:textId="77777777">
      <w:pPr>
        <w:pStyle w:val="ListParagraph"/>
        <w:ind w:left="0" w:firstLine="142"/>
        <w:rPr>
          <w:bCs/>
        </w:rPr>
      </w:pPr>
      <w:r>
        <w:t>Het EESC:</w:t>
      </w:r>
    </w:p>
    <w:p w:rsidRPr="00164813" w:rsidR="00164813" w:rsidP="009120CD" w:rsidRDefault="00164813" w14:paraId="1E28AD39" w14:textId="77777777">
      <w:pPr>
        <w:contextualSpacing/>
        <w:rPr>
          <w:lang w:val="fr-FR"/>
        </w:rPr>
      </w:pPr>
    </w:p>
    <w:p w:rsidRPr="00164813" w:rsidR="00164813" w:rsidP="009120CD" w:rsidRDefault="00A3344B" w14:paraId="198A1743" w14:textId="77777777">
      <w:pPr>
        <w:numPr>
          <w:ilvl w:val="0"/>
          <w:numId w:val="3"/>
        </w:numPr>
        <w:overflowPunct w:val="0"/>
        <w:autoSpaceDE w:val="0"/>
        <w:autoSpaceDN w:val="0"/>
        <w:adjustRightInd w:val="0"/>
        <w:ind w:left="357" w:hanging="357"/>
        <w:textAlignment w:val="baseline"/>
        <w:rPr>
          <w:bCs/>
          <w:iCs/>
        </w:rPr>
      </w:pPr>
      <w:r>
        <w:t xml:space="preserve">benadrukt dat micro-, kleine en middelgrote ondernemingen (mkmo’s) dringend moeten worden geholpen om </w:t>
      </w:r>
      <w:r>
        <w:rPr>
          <w:b/>
        </w:rPr>
        <w:t>de groene transitie zo goed mogelijk te begrijpen en aan te pakken</w:t>
      </w:r>
      <w:r>
        <w:t>;</w:t>
      </w:r>
    </w:p>
    <w:p w:rsidRPr="00164813" w:rsidR="00164813" w:rsidP="009120CD" w:rsidRDefault="00A3344B" w14:paraId="61AB179D" w14:textId="77777777">
      <w:pPr>
        <w:numPr>
          <w:ilvl w:val="0"/>
          <w:numId w:val="3"/>
        </w:numPr>
        <w:overflowPunct w:val="0"/>
        <w:autoSpaceDE w:val="0"/>
        <w:autoSpaceDN w:val="0"/>
        <w:adjustRightInd w:val="0"/>
        <w:ind w:left="357" w:hanging="357"/>
        <w:textAlignment w:val="baseline"/>
        <w:rPr>
          <w:bCs/>
          <w:iCs/>
        </w:rPr>
      </w:pPr>
      <w:r>
        <w:t xml:space="preserve">pleit voor een uitgebreid programma van </w:t>
      </w:r>
      <w:r>
        <w:rPr>
          <w:b/>
        </w:rPr>
        <w:t>sterk op maat gesneden oplossingen en doelgerichte beleidslijnen</w:t>
      </w:r>
      <w:r>
        <w:t xml:space="preserve"> en maatregelen om mkmo’s te helpen bij alle problemen waarmee ze bij hun bedrijfsvoering en activiteiten te maken krijgen als het gaat om vergroening en naleving van wetgeving;</w:t>
      </w:r>
    </w:p>
    <w:p w:rsidR="00164813" w:rsidP="009120CD" w:rsidRDefault="00A3344B" w14:paraId="7BB5DDAA" w14:textId="77777777">
      <w:pPr>
        <w:numPr>
          <w:ilvl w:val="0"/>
          <w:numId w:val="3"/>
        </w:numPr>
        <w:overflowPunct w:val="0"/>
        <w:autoSpaceDE w:val="0"/>
        <w:autoSpaceDN w:val="0"/>
        <w:adjustRightInd w:val="0"/>
        <w:ind w:left="357" w:hanging="357"/>
        <w:textAlignment w:val="baseline"/>
      </w:pPr>
      <w:r>
        <w:lastRenderedPageBreak/>
        <w:t xml:space="preserve">is van mening dat onmiddellijke en gerichte kortetermijnsteun voor mkmo’s cruciaal is om het </w:t>
      </w:r>
      <w:r>
        <w:rPr>
          <w:b/>
        </w:rPr>
        <w:t>economische herstel</w:t>
      </w:r>
      <w:r>
        <w:t xml:space="preserve"> van de bedrijven na de pandemie </w:t>
      </w:r>
      <w:r>
        <w:rPr>
          <w:b/>
        </w:rPr>
        <w:t>te</w:t>
      </w:r>
      <w:r>
        <w:t xml:space="preserve"> </w:t>
      </w:r>
      <w:r>
        <w:rPr>
          <w:b/>
        </w:rPr>
        <w:t>stimuleren</w:t>
      </w:r>
      <w:r>
        <w:t xml:space="preserve"> en ze te helpen </w:t>
      </w:r>
      <w:r>
        <w:rPr>
          <w:b/>
        </w:rPr>
        <w:t>de gevolgen van de Russische invasie in Oekraïne</w:t>
      </w:r>
      <w:r>
        <w:t xml:space="preserve">, zoals de hoge energieprijzen en tekortschietende levering van materialen en producten, </w:t>
      </w:r>
      <w:r>
        <w:rPr>
          <w:b/>
        </w:rPr>
        <w:t>op te vangen</w:t>
      </w:r>
      <w:r>
        <w:t>;</w:t>
      </w:r>
    </w:p>
    <w:p w:rsidR="00BC3FCE" w:rsidP="009120CD" w:rsidRDefault="00A3344B" w14:paraId="0B05B7B9" w14:textId="77777777">
      <w:pPr>
        <w:numPr>
          <w:ilvl w:val="0"/>
          <w:numId w:val="3"/>
        </w:numPr>
        <w:overflowPunct w:val="0"/>
        <w:autoSpaceDE w:val="0"/>
        <w:autoSpaceDN w:val="0"/>
        <w:adjustRightInd w:val="0"/>
        <w:ind w:left="357" w:hanging="357"/>
        <w:textAlignment w:val="baseline"/>
      </w:pPr>
      <w:r>
        <w:t xml:space="preserve">stelt voor </w:t>
      </w:r>
      <w:r>
        <w:rPr>
          <w:b/>
        </w:rPr>
        <w:t>dat er in verschillende regio’s “circulariteitshubs” worden opgericht</w:t>
      </w:r>
      <w:r>
        <w:t xml:space="preserve"> om een efficiënter hulpbronnengebruik door mkmo’s te bevorderen. Hierbij moet ernaar gestreefd worden de samenwerking tussen bedrijven in alle sectoren te bevorderen en de ontwikkeling van nieuwe praktijken en processen, waaronder het demonstreren van nieuwe technologieën, te vergemakkelijken;</w:t>
      </w:r>
    </w:p>
    <w:p w:rsidR="00BC3FCE" w:rsidP="009120CD" w:rsidRDefault="00361E48" w14:paraId="7565FC83" w14:textId="77777777">
      <w:pPr>
        <w:numPr>
          <w:ilvl w:val="0"/>
          <w:numId w:val="3"/>
        </w:numPr>
        <w:overflowPunct w:val="0"/>
        <w:autoSpaceDE w:val="0"/>
        <w:autoSpaceDN w:val="0"/>
        <w:adjustRightInd w:val="0"/>
        <w:ind w:left="357" w:hanging="357"/>
        <w:textAlignment w:val="baseline"/>
      </w:pPr>
      <w:r>
        <w:t xml:space="preserve">verzoekt de EU en de lidstaten om </w:t>
      </w:r>
      <w:r>
        <w:rPr>
          <w:b/>
        </w:rPr>
        <w:t>groene investeringen van mkmo’s te versnellen</w:t>
      </w:r>
      <w:r>
        <w:t xml:space="preserve"> door te zorgen voor een gunstig en stimulerend regelgevingsklimaat;</w:t>
      </w:r>
    </w:p>
    <w:p w:rsidR="00BC3FCE" w:rsidP="009120CD" w:rsidRDefault="00361E48" w14:paraId="6495124B" w14:textId="77777777">
      <w:pPr>
        <w:numPr>
          <w:ilvl w:val="0"/>
          <w:numId w:val="3"/>
        </w:numPr>
        <w:overflowPunct w:val="0"/>
        <w:autoSpaceDE w:val="0"/>
        <w:autoSpaceDN w:val="0"/>
        <w:adjustRightInd w:val="0"/>
        <w:ind w:left="357" w:hanging="357"/>
        <w:textAlignment w:val="baseline"/>
      </w:pPr>
      <w:r>
        <w:t xml:space="preserve">wijst op de noodzaak van </w:t>
      </w:r>
      <w:r>
        <w:rPr>
          <w:b/>
        </w:rPr>
        <w:t>nauwe samenwerking tussen onderwijsaanbieders en mkmo’s bij het vormgeven van opleidingen</w:t>
      </w:r>
      <w:r>
        <w:t xml:space="preserve"> om te zorgen voor de competenties en vaardigheden die nodig zijn in de groene transitie, o.a. door bij- en omscholing van werknemers èn werkgevers;</w:t>
      </w:r>
    </w:p>
    <w:p w:rsidRPr="00164813" w:rsidR="00361E48" w:rsidP="009120CD" w:rsidRDefault="00361E48" w14:paraId="45EBA5E1" w14:textId="77777777">
      <w:pPr>
        <w:numPr>
          <w:ilvl w:val="0"/>
          <w:numId w:val="3"/>
        </w:numPr>
        <w:overflowPunct w:val="0"/>
        <w:autoSpaceDE w:val="0"/>
        <w:autoSpaceDN w:val="0"/>
        <w:adjustRightInd w:val="0"/>
        <w:ind w:left="357" w:hanging="357"/>
        <w:textAlignment w:val="baseline"/>
      </w:pPr>
      <w:r>
        <w:t xml:space="preserve">dringt aan op </w:t>
      </w:r>
      <w:r>
        <w:rPr>
          <w:b/>
        </w:rPr>
        <w:t>bevordering van de handel in door mkmo’s geproduceerde groene oplossingen</w:t>
      </w:r>
      <w:r>
        <w:t>, ook in het kader van overheidsopdrachten.</w:t>
      </w:r>
    </w:p>
    <w:p w:rsidRPr="00164813" w:rsidR="00164813" w:rsidP="009120CD" w:rsidRDefault="00164813" w14:paraId="7C479262" w14:textId="77777777">
      <w:pPr>
        <w:widowControl w:val="0"/>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164813" w:rsidTr="00B83E7B" w14:paraId="697B6325" w14:textId="77777777">
        <w:tc>
          <w:tcPr>
            <w:tcW w:w="1418" w:type="dxa"/>
          </w:tcPr>
          <w:p w:rsidRPr="00164813" w:rsidR="00164813" w:rsidP="009120CD" w:rsidRDefault="00164813" w14:paraId="60C7BE26" w14:textId="77777777">
            <w:pPr>
              <w:contextualSpacing/>
              <w:rPr>
                <w:i/>
              </w:rPr>
            </w:pPr>
            <w:bookmarkStart w:name="_Hlk111717917" w:id="29"/>
            <w:r>
              <w:rPr>
                <w:b/>
                <w:i/>
              </w:rPr>
              <w:t>Contactpersoon</w:t>
            </w:r>
          </w:p>
        </w:tc>
        <w:tc>
          <w:tcPr>
            <w:tcW w:w="5670" w:type="dxa"/>
          </w:tcPr>
          <w:p w:rsidRPr="00164813" w:rsidR="00164813" w:rsidP="009120CD" w:rsidRDefault="00361E48" w14:paraId="69D69E14" w14:textId="77777777">
            <w:pPr>
              <w:contextualSpacing/>
              <w:rPr>
                <w:i/>
              </w:rPr>
            </w:pPr>
            <w:r>
              <w:rPr>
                <w:i/>
              </w:rPr>
              <w:t>Dalila Bernard</w:t>
            </w:r>
          </w:p>
        </w:tc>
      </w:tr>
      <w:tr w:rsidRPr="00164813" w:rsidR="00164813" w:rsidTr="00B83E7B" w14:paraId="288640A9" w14:textId="77777777">
        <w:tc>
          <w:tcPr>
            <w:tcW w:w="1418" w:type="dxa"/>
          </w:tcPr>
          <w:p w:rsidRPr="00164813" w:rsidR="00164813" w:rsidP="009120CD" w:rsidRDefault="00164813" w14:paraId="3D976246" w14:textId="77777777">
            <w:pPr>
              <w:ind w:left="601"/>
              <w:contextualSpacing/>
              <w:rPr>
                <w:i/>
              </w:rPr>
            </w:pPr>
            <w:r>
              <w:rPr>
                <w:i/>
              </w:rPr>
              <w:t>Tel.</w:t>
            </w:r>
          </w:p>
        </w:tc>
        <w:tc>
          <w:tcPr>
            <w:tcW w:w="5670" w:type="dxa"/>
          </w:tcPr>
          <w:p w:rsidRPr="00164813" w:rsidR="00164813" w:rsidP="009120CD" w:rsidRDefault="00E11C18" w14:paraId="73A1FD7B" w14:textId="77777777">
            <w:pPr>
              <w:contextualSpacing/>
              <w:rPr>
                <w:i/>
              </w:rPr>
            </w:pPr>
            <w:r>
              <w:rPr>
                <w:i/>
              </w:rPr>
              <w:t>00 32 2 546 84 38</w:t>
            </w:r>
          </w:p>
        </w:tc>
      </w:tr>
      <w:tr w:rsidRPr="00164813" w:rsidR="00164813" w:rsidTr="00B83E7B" w14:paraId="75C5E7D5" w14:textId="77777777">
        <w:tc>
          <w:tcPr>
            <w:tcW w:w="1418" w:type="dxa"/>
          </w:tcPr>
          <w:p w:rsidRPr="00164813" w:rsidR="00164813" w:rsidP="009120CD" w:rsidRDefault="00164813" w14:paraId="416B594E" w14:textId="77777777">
            <w:pPr>
              <w:ind w:left="601"/>
              <w:contextualSpacing/>
              <w:rPr>
                <w:i/>
              </w:rPr>
            </w:pPr>
            <w:r>
              <w:rPr>
                <w:i/>
              </w:rPr>
              <w:t>E-mail</w:t>
            </w:r>
          </w:p>
        </w:tc>
        <w:tc>
          <w:tcPr>
            <w:tcW w:w="5670" w:type="dxa"/>
          </w:tcPr>
          <w:p w:rsidRPr="00F256CD" w:rsidR="00037A85" w:rsidP="00F256CD" w:rsidRDefault="00C56F85" w14:paraId="196C9612" w14:textId="1DF16A9A">
            <w:pPr>
              <w:contextualSpacing/>
              <w:rPr>
                <w:i/>
                <w:iCs/>
              </w:rPr>
            </w:pPr>
            <w:hyperlink w:history="1" r:id="rId43">
              <w:r w:rsidR="0064748D">
                <w:rPr>
                  <w:rStyle w:val="Hyperlink"/>
                  <w:i/>
                </w:rPr>
                <w:t>Dalila.Bernard@eesc.europa.eu</w:t>
              </w:r>
            </w:hyperlink>
          </w:p>
        </w:tc>
      </w:tr>
      <w:bookmarkEnd w:id="29"/>
    </w:tbl>
    <w:p w:rsidR="00F256CD" w:rsidP="00F256CD" w:rsidRDefault="00F256CD" w14:paraId="7E888659" w14:textId="77777777">
      <w:pPr>
        <w:pStyle w:val="ListParagraph"/>
        <w:ind w:left="567"/>
        <w:rPr>
          <w:b/>
          <w:bCs/>
          <w:i/>
          <w:iCs/>
          <w:sz w:val="28"/>
          <w:szCs w:val="28"/>
        </w:rPr>
      </w:pPr>
    </w:p>
    <w:p w:rsidRPr="00AA5C1D" w:rsidR="00AA5C1D" w:rsidP="009120CD" w:rsidRDefault="00AA5C1D" w14:paraId="2EE2A332" w14:textId="347EC641">
      <w:pPr>
        <w:pStyle w:val="ListParagraph"/>
        <w:numPr>
          <w:ilvl w:val="0"/>
          <w:numId w:val="2"/>
        </w:numPr>
        <w:ind w:left="567" w:hanging="567"/>
        <w:rPr>
          <w:b/>
          <w:bCs/>
          <w:i/>
          <w:iCs/>
          <w:sz w:val="28"/>
          <w:szCs w:val="28"/>
        </w:rPr>
      </w:pPr>
      <w:r>
        <w:rPr>
          <w:b/>
          <w:i/>
          <w:sz w:val="28"/>
        </w:rPr>
        <w:t>Overeenkomsten inzake financiële diensten</w:t>
      </w:r>
    </w:p>
    <w:p w:rsidRPr="009B70E7" w:rsidR="00AA5C1D" w:rsidP="009120CD" w:rsidRDefault="00AA5C1D" w14:paraId="0228819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AA5C1D" w:rsidTr="004E4367" w14:paraId="377CFA40" w14:textId="77777777">
        <w:tc>
          <w:tcPr>
            <w:tcW w:w="1701" w:type="dxa"/>
          </w:tcPr>
          <w:p w:rsidRPr="009B70E7" w:rsidR="00AA5C1D" w:rsidP="009120CD" w:rsidRDefault="00AA5C1D" w14:paraId="6700269D" w14:textId="77777777">
            <w:pPr>
              <w:pStyle w:val="ListParagraph"/>
              <w:ind w:left="0"/>
              <w:rPr>
                <w:b/>
              </w:rPr>
            </w:pPr>
            <w:r>
              <w:rPr>
                <w:b/>
              </w:rPr>
              <w:t>Rapporteur:</w:t>
            </w:r>
          </w:p>
        </w:tc>
        <w:tc>
          <w:tcPr>
            <w:tcW w:w="6096" w:type="dxa"/>
          </w:tcPr>
          <w:p w:rsidRPr="007E7A4F" w:rsidR="00AA5C1D" w:rsidP="009120CD" w:rsidRDefault="00AA5C1D" w14:paraId="0BD64E0D" w14:textId="77777777">
            <w:pPr>
              <w:pStyle w:val="ListParagraph"/>
              <w:ind w:left="-108"/>
            </w:pPr>
            <w:r>
              <w:t xml:space="preserve"> Gonçalo LOBO XAVIER (groep Werkgevers – PT)</w:t>
            </w:r>
          </w:p>
        </w:tc>
      </w:tr>
      <w:tr w:rsidRPr="007E7A4F" w:rsidR="00AA5C1D" w:rsidTr="004E4367" w14:paraId="230E76C3" w14:textId="77777777">
        <w:tc>
          <w:tcPr>
            <w:tcW w:w="7797" w:type="dxa"/>
            <w:gridSpan w:val="2"/>
          </w:tcPr>
          <w:p w:rsidRPr="007E7A4F" w:rsidR="00AA5C1D" w:rsidP="009120CD" w:rsidRDefault="00AA5C1D" w14:paraId="50994590" w14:textId="77777777">
            <w:pPr>
              <w:pStyle w:val="ListParagraph"/>
              <w:ind w:left="0"/>
              <w:rPr>
                <w:lang w:val="fr-BE"/>
              </w:rPr>
            </w:pPr>
          </w:p>
        </w:tc>
      </w:tr>
      <w:tr w:rsidRPr="009B70E7" w:rsidR="00AA5C1D" w:rsidTr="004E4367" w14:paraId="4E577528" w14:textId="77777777">
        <w:tc>
          <w:tcPr>
            <w:tcW w:w="1701" w:type="dxa"/>
          </w:tcPr>
          <w:p w:rsidRPr="009B70E7" w:rsidR="00AA5C1D" w:rsidP="009120CD" w:rsidRDefault="00AA5C1D" w14:paraId="7CEEDB52" w14:textId="77777777">
            <w:pPr>
              <w:pStyle w:val="ListParagraph"/>
              <w:ind w:left="0"/>
              <w:rPr>
                <w:b/>
              </w:rPr>
            </w:pPr>
            <w:r>
              <w:rPr>
                <w:b/>
              </w:rPr>
              <w:t xml:space="preserve">Referentie: </w:t>
            </w:r>
          </w:p>
        </w:tc>
        <w:tc>
          <w:tcPr>
            <w:tcW w:w="6096" w:type="dxa"/>
          </w:tcPr>
          <w:p w:rsidRPr="009B70E7" w:rsidR="00AA5C1D" w:rsidP="009120CD" w:rsidRDefault="00AA5C1D" w14:paraId="7260D9BD" w14:textId="5D369DD1">
            <w:pPr>
              <w:tabs>
                <w:tab w:val="center" w:pos="284"/>
              </w:tabs>
              <w:ind w:left="266" w:hanging="374"/>
            </w:pPr>
            <w:r>
              <w:t>COM (2022) 204 final</w:t>
            </w:r>
          </w:p>
          <w:p w:rsidRPr="009B70E7" w:rsidR="00AA5C1D" w:rsidP="009120CD" w:rsidRDefault="00AA5C1D" w14:paraId="088E18BB" w14:textId="16D52DB0">
            <w:pPr>
              <w:pStyle w:val="ListParagraph"/>
              <w:ind w:left="-108"/>
            </w:pPr>
            <w:r>
              <w:t>EESC-2022-02933-00-00-AC</w:t>
            </w:r>
          </w:p>
        </w:tc>
      </w:tr>
    </w:tbl>
    <w:p w:rsidRPr="009B70E7" w:rsidR="00AA5C1D" w:rsidP="009120CD" w:rsidRDefault="00AA5C1D" w14:paraId="0C36545B" w14:textId="77777777">
      <w:pPr>
        <w:pStyle w:val="ListParagraph"/>
        <w:ind w:left="0"/>
        <w:rPr>
          <w:b/>
        </w:rPr>
      </w:pPr>
    </w:p>
    <w:p w:rsidRPr="00A00F37" w:rsidR="00AA5C1D" w:rsidP="009120CD" w:rsidRDefault="00AA5C1D" w14:paraId="1B4ECBDA" w14:textId="406DD5FE">
      <w:pPr>
        <w:pStyle w:val="ListParagraph"/>
        <w:ind w:left="0" w:firstLine="142"/>
        <w:rPr>
          <w:b/>
        </w:rPr>
      </w:pPr>
      <w:r>
        <w:rPr>
          <w:b/>
        </w:rPr>
        <w:t>Hoofdpunten</w:t>
      </w:r>
    </w:p>
    <w:p w:rsidRPr="0018231C" w:rsidR="00AA5C1D" w:rsidP="009120CD" w:rsidRDefault="00AA5C1D" w14:paraId="38EF24CA" w14:textId="77777777">
      <w:pPr>
        <w:pStyle w:val="ListParagraph"/>
        <w:ind w:left="0"/>
        <w:rPr>
          <w:lang w:val="fr-FR"/>
        </w:rPr>
      </w:pPr>
    </w:p>
    <w:p w:rsidR="00AA5C1D" w:rsidP="009120CD" w:rsidRDefault="00AA5C1D" w14:paraId="496334DF" w14:textId="77777777">
      <w:pPr>
        <w:pStyle w:val="ListParagraph"/>
        <w:ind w:left="0" w:firstLine="142"/>
      </w:pPr>
      <w:r>
        <w:t>Het EESC:</w:t>
      </w:r>
    </w:p>
    <w:p w:rsidRPr="0018231C" w:rsidR="00AA5C1D" w:rsidP="009120CD" w:rsidRDefault="00AA5C1D" w14:paraId="7DF02088" w14:textId="77777777">
      <w:pPr>
        <w:pStyle w:val="ListParagraph"/>
        <w:ind w:left="0"/>
        <w:rPr>
          <w:lang w:val="fr-FR"/>
        </w:rPr>
      </w:pPr>
    </w:p>
    <w:p w:rsidRPr="00A3344B" w:rsidR="00AA5C1D" w:rsidP="009120CD" w:rsidRDefault="00AB20C0" w14:paraId="001CF33A" w14:textId="642521B4">
      <w:pPr>
        <w:numPr>
          <w:ilvl w:val="0"/>
          <w:numId w:val="3"/>
        </w:numPr>
        <w:overflowPunct w:val="0"/>
        <w:autoSpaceDE w:val="0"/>
        <w:autoSpaceDN w:val="0"/>
        <w:adjustRightInd w:val="0"/>
        <w:ind w:left="357" w:hanging="357"/>
        <w:textAlignment w:val="baseline"/>
      </w:pPr>
      <w:r>
        <w:t xml:space="preserve">benadrukt dat </w:t>
      </w:r>
      <w:r>
        <w:rPr>
          <w:b/>
          <w:bCs/>
        </w:rPr>
        <w:t>geïnvesteerd moet worden in de digitale en financiële geletterdheid van mensen, zodat consumenten begrijpen welke rechten en plichten zij hebben</w:t>
      </w:r>
      <w:r>
        <w:t xml:space="preserve"> met betrekking tot op afstand gesloten financiële overeenkomsten. Daarbij gaat het met name om het recht op herroeping van een overeenkomst en het recht op meer informatie in de precontractuele fase;</w:t>
      </w:r>
    </w:p>
    <w:p w:rsidRPr="00A3344B" w:rsidR="00AA5C1D" w:rsidP="009120CD" w:rsidRDefault="00AB20C0" w14:paraId="71ABA83F" w14:textId="61825A0F">
      <w:pPr>
        <w:numPr>
          <w:ilvl w:val="0"/>
          <w:numId w:val="3"/>
        </w:numPr>
        <w:overflowPunct w:val="0"/>
        <w:autoSpaceDE w:val="0"/>
        <w:autoSpaceDN w:val="0"/>
        <w:adjustRightInd w:val="0"/>
        <w:ind w:left="357" w:hanging="357"/>
        <w:textAlignment w:val="baseline"/>
      </w:pPr>
      <w:r>
        <w:t>wijst erop dat</w:t>
      </w:r>
      <w:r>
        <w:rPr>
          <w:b/>
          <w:bCs/>
        </w:rPr>
        <w:t xml:space="preserve"> een aanpak met een goed evenwicht tussen de digitale en de “fysieke” ervaring</w:t>
      </w:r>
      <w:r>
        <w:t xml:space="preserve"> van cruciaal belang is. Het </w:t>
      </w:r>
      <w:r>
        <w:rPr>
          <w:b/>
          <w:bCs/>
        </w:rPr>
        <w:t>recht</w:t>
      </w:r>
      <w:r>
        <w:t xml:space="preserve"> </w:t>
      </w:r>
      <w:r>
        <w:rPr>
          <w:b/>
          <w:bCs/>
        </w:rPr>
        <w:t>om te vragen om</w:t>
      </w:r>
      <w:r>
        <w:t xml:space="preserve"> </w:t>
      </w:r>
      <w:r>
        <w:rPr>
          <w:b/>
          <w:bCs/>
        </w:rPr>
        <w:t>“contact met mensen”</w:t>
      </w:r>
      <w:r>
        <w:t xml:space="preserve"> bij financiële dienstverlening op afstand dient te worden gewaarborgd;</w:t>
      </w:r>
    </w:p>
    <w:p w:rsidRPr="00A3344B" w:rsidR="00AA5C1D" w:rsidP="009120CD" w:rsidRDefault="00AB20C0" w14:paraId="61627139" w14:textId="54A1FF07">
      <w:pPr>
        <w:numPr>
          <w:ilvl w:val="0"/>
          <w:numId w:val="3"/>
        </w:numPr>
        <w:overflowPunct w:val="0"/>
        <w:autoSpaceDE w:val="0"/>
        <w:autoSpaceDN w:val="0"/>
        <w:adjustRightInd w:val="0"/>
        <w:ind w:left="357" w:hanging="357"/>
        <w:textAlignment w:val="baseline"/>
      </w:pPr>
      <w:r>
        <w:t xml:space="preserve">is van mening dat </w:t>
      </w:r>
      <w:r>
        <w:rPr>
          <w:b/>
          <w:bCs/>
        </w:rPr>
        <w:t>het vergroten van het vertrouwen in onze financiële stelsels</w:t>
      </w:r>
      <w:r>
        <w:t xml:space="preserve"> van fundamenteel belang is en de samenleving ten goede komt als het gaat om financiële diensten voor consumenten. In dit verband wijst het EESC er ook op dat </w:t>
      </w:r>
      <w:r>
        <w:rPr>
          <w:b/>
          <w:bCs/>
        </w:rPr>
        <w:t>structureel moet worden geïnvesteerd in cyberbeveiliging</w:t>
      </w:r>
      <w:r>
        <w:t>;</w:t>
      </w:r>
    </w:p>
    <w:p w:rsidR="00AA5C1D" w:rsidP="009120CD" w:rsidRDefault="00AB20C0" w14:paraId="189E74FF" w14:textId="6234DEC3">
      <w:pPr>
        <w:numPr>
          <w:ilvl w:val="0"/>
          <w:numId w:val="3"/>
        </w:numPr>
        <w:overflowPunct w:val="0"/>
        <w:autoSpaceDE w:val="0"/>
        <w:autoSpaceDN w:val="0"/>
        <w:adjustRightInd w:val="0"/>
        <w:ind w:left="357" w:hanging="357"/>
        <w:textAlignment w:val="baseline"/>
      </w:pPr>
      <w:r>
        <w:t xml:space="preserve">is van oordeel dat dit specifieke dossier over financiële diensten op afstand zeer gelegen komt </w:t>
      </w:r>
      <w:r>
        <w:rPr>
          <w:b/>
          <w:bCs/>
        </w:rPr>
        <w:t>om de eerbiediging van consumentenrechten te versterken en investeringen van bedrijven op dit gebied te stimuleren</w:t>
      </w:r>
      <w:r>
        <w:t>;</w:t>
      </w:r>
    </w:p>
    <w:p w:rsidR="00AB20C0" w:rsidP="009120CD" w:rsidRDefault="00AB20C0" w14:paraId="2152BA1B" w14:textId="4F129468">
      <w:pPr>
        <w:numPr>
          <w:ilvl w:val="0"/>
          <w:numId w:val="3"/>
        </w:numPr>
        <w:overflowPunct w:val="0"/>
        <w:autoSpaceDE w:val="0"/>
        <w:autoSpaceDN w:val="0"/>
        <w:adjustRightInd w:val="0"/>
        <w:ind w:left="357" w:hanging="357"/>
        <w:textAlignment w:val="baseline"/>
      </w:pPr>
      <w:r>
        <w:lastRenderedPageBreak/>
        <w:t xml:space="preserve">beveelt met klem aan dat </w:t>
      </w:r>
      <w:r>
        <w:rPr>
          <w:b/>
          <w:bCs/>
        </w:rPr>
        <w:t>AI wordt gebruikt om een betere, meer geïntegreerde eengemaakte markt</w:t>
      </w:r>
      <w:r>
        <w:t xml:space="preserve"> </w:t>
      </w:r>
      <w:r>
        <w:rPr>
          <w:b/>
          <w:bCs/>
        </w:rPr>
        <w:t>tot stand te brengen</w:t>
      </w:r>
      <w:r>
        <w:t xml:space="preserve"> die burgers ondersteunt en veilige verrichtingen binnen het financiële stelsel waarborgt;</w:t>
      </w:r>
    </w:p>
    <w:p w:rsidR="00AB20C0" w:rsidP="009120CD" w:rsidRDefault="00AB20C0" w14:paraId="16D43173" w14:textId="7AFFE3AD">
      <w:pPr>
        <w:numPr>
          <w:ilvl w:val="0"/>
          <w:numId w:val="3"/>
        </w:numPr>
        <w:overflowPunct w:val="0"/>
        <w:autoSpaceDE w:val="0"/>
        <w:autoSpaceDN w:val="0"/>
        <w:adjustRightInd w:val="0"/>
        <w:ind w:left="357" w:hanging="357"/>
        <w:textAlignment w:val="baseline"/>
      </w:pPr>
      <w:r>
        <w:t xml:space="preserve">benadrukt dat er </w:t>
      </w:r>
      <w:r>
        <w:rPr>
          <w:b/>
          <w:bCs/>
        </w:rPr>
        <w:t>duidelijkheid moet komen over de activiteiten van buiten de EU gevestigde ondernemingen</w:t>
      </w:r>
      <w:r>
        <w:t>, omdat die gevolgen kunnen hebben voor Europese burgers;</w:t>
      </w:r>
    </w:p>
    <w:p w:rsidR="00AB20C0" w:rsidP="009120CD" w:rsidRDefault="00AB20C0" w14:paraId="45CE5B49" w14:textId="4871FC1A">
      <w:pPr>
        <w:numPr>
          <w:ilvl w:val="0"/>
          <w:numId w:val="3"/>
        </w:numPr>
        <w:overflowPunct w:val="0"/>
        <w:autoSpaceDE w:val="0"/>
        <w:autoSpaceDN w:val="0"/>
        <w:adjustRightInd w:val="0"/>
        <w:ind w:left="357" w:hanging="357"/>
        <w:textAlignment w:val="baseline"/>
      </w:pPr>
      <w:r>
        <w:t xml:space="preserve">dringt erop aan dat werk wordt gemaakt van </w:t>
      </w:r>
      <w:r>
        <w:rPr>
          <w:b/>
          <w:bCs/>
        </w:rPr>
        <w:t>“publiciteitsregels en -normen” voor de gevoelige praktijk van financiële dienstverlening op afstand</w:t>
      </w:r>
      <w:r>
        <w:t>, en</w:t>
      </w:r>
    </w:p>
    <w:p w:rsidRPr="00A3344B" w:rsidR="00AB20C0" w:rsidP="009120CD" w:rsidRDefault="00AB20C0" w14:paraId="57E13EFF" w14:textId="6CAC5AD8">
      <w:pPr>
        <w:numPr>
          <w:ilvl w:val="0"/>
          <w:numId w:val="3"/>
        </w:numPr>
        <w:overflowPunct w:val="0"/>
        <w:autoSpaceDE w:val="0"/>
        <w:autoSpaceDN w:val="0"/>
        <w:adjustRightInd w:val="0"/>
        <w:ind w:left="357" w:hanging="357"/>
        <w:textAlignment w:val="baseline"/>
      </w:pPr>
      <w:r>
        <w:t xml:space="preserve">ten slotte </w:t>
      </w:r>
      <w:r>
        <w:rPr>
          <w:b/>
          <w:bCs/>
        </w:rPr>
        <w:t>zijn investeringen in infrastructuur van cruciaal belang om ervoor te zorgen dat de richtlijn beter wordt uitgevoerd</w:t>
      </w:r>
      <w:r>
        <w:t xml:space="preserve"> en de beginselen ervan beter worden toegepast.</w:t>
      </w:r>
    </w:p>
    <w:p w:rsidR="00AA5C1D" w:rsidP="009120CD" w:rsidRDefault="00AA5C1D" w14:paraId="11FB1396" w14:textId="77777777">
      <w:pPr>
        <w:spacing w:after="160"/>
        <w:jc w:val="left"/>
        <w:rPr>
          <w:sz w:val="28"/>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AA5C1D" w:rsidTr="004E4367" w14:paraId="41C508F8" w14:textId="77777777">
        <w:tc>
          <w:tcPr>
            <w:tcW w:w="1418" w:type="dxa"/>
          </w:tcPr>
          <w:p w:rsidRPr="00164813" w:rsidR="00AA5C1D" w:rsidP="009120CD" w:rsidRDefault="00AA5C1D" w14:paraId="682B16C4" w14:textId="77777777">
            <w:pPr>
              <w:contextualSpacing/>
              <w:rPr>
                <w:i/>
              </w:rPr>
            </w:pPr>
            <w:r>
              <w:rPr>
                <w:b/>
                <w:i/>
              </w:rPr>
              <w:t>Contactpersoon</w:t>
            </w:r>
          </w:p>
        </w:tc>
        <w:tc>
          <w:tcPr>
            <w:tcW w:w="5670" w:type="dxa"/>
          </w:tcPr>
          <w:p w:rsidRPr="00164813" w:rsidR="00AA5C1D" w:rsidP="009120CD" w:rsidRDefault="00AA5C1D" w14:paraId="58153CA9" w14:textId="0AC5F3F0">
            <w:pPr>
              <w:contextualSpacing/>
              <w:rPr>
                <w:i/>
              </w:rPr>
            </w:pPr>
            <w:r>
              <w:rPr>
                <w:i/>
              </w:rPr>
              <w:t>Marie-Laurence Drillon</w:t>
            </w:r>
          </w:p>
        </w:tc>
      </w:tr>
      <w:tr w:rsidRPr="00164813" w:rsidR="00AA5C1D" w:rsidTr="004E4367" w14:paraId="72CAC45A" w14:textId="77777777">
        <w:tc>
          <w:tcPr>
            <w:tcW w:w="1418" w:type="dxa"/>
          </w:tcPr>
          <w:p w:rsidRPr="00164813" w:rsidR="00AA5C1D" w:rsidP="009120CD" w:rsidRDefault="00AA5C1D" w14:paraId="3EF5E950" w14:textId="77777777">
            <w:pPr>
              <w:ind w:left="601"/>
              <w:contextualSpacing/>
              <w:rPr>
                <w:i/>
              </w:rPr>
            </w:pPr>
            <w:r>
              <w:rPr>
                <w:i/>
              </w:rPr>
              <w:t>Tel.</w:t>
            </w:r>
          </w:p>
        </w:tc>
        <w:tc>
          <w:tcPr>
            <w:tcW w:w="5670" w:type="dxa"/>
          </w:tcPr>
          <w:p w:rsidRPr="00164813" w:rsidR="00AA5C1D" w:rsidP="009120CD" w:rsidRDefault="00AA5C1D" w14:paraId="7B046605" w14:textId="1BCF99C6">
            <w:pPr>
              <w:contextualSpacing/>
              <w:rPr>
                <w:i/>
              </w:rPr>
            </w:pPr>
            <w:r>
              <w:rPr>
                <w:i/>
              </w:rPr>
              <w:t>00 32 2 546 9 83 20</w:t>
            </w:r>
          </w:p>
        </w:tc>
      </w:tr>
      <w:tr w:rsidRPr="00164813" w:rsidR="00AA5C1D" w:rsidTr="004E4367" w14:paraId="73DA6362" w14:textId="77777777">
        <w:tc>
          <w:tcPr>
            <w:tcW w:w="1418" w:type="dxa"/>
          </w:tcPr>
          <w:p w:rsidRPr="00164813" w:rsidR="00AA5C1D" w:rsidP="009120CD" w:rsidRDefault="00AA5C1D" w14:paraId="67DB9852" w14:textId="77777777">
            <w:pPr>
              <w:ind w:left="601"/>
              <w:contextualSpacing/>
              <w:rPr>
                <w:i/>
              </w:rPr>
            </w:pPr>
            <w:r>
              <w:rPr>
                <w:i/>
              </w:rPr>
              <w:t>E-mail</w:t>
            </w:r>
          </w:p>
        </w:tc>
        <w:tc>
          <w:tcPr>
            <w:tcW w:w="5670" w:type="dxa"/>
          </w:tcPr>
          <w:p w:rsidRPr="00F256CD" w:rsidR="00AA5C1D" w:rsidP="009120CD" w:rsidRDefault="00C56F85" w14:paraId="49BD07A0" w14:textId="56970342">
            <w:pPr>
              <w:contextualSpacing/>
              <w:rPr>
                <w:i/>
                <w:iCs/>
              </w:rPr>
            </w:pPr>
            <w:hyperlink w:history="1" r:id="rId44">
              <w:r w:rsidR="0064748D">
                <w:rPr>
                  <w:rStyle w:val="Hyperlink"/>
                  <w:i/>
                </w:rPr>
                <w:t>Marie-Laurence.Drillon@eesc.europa.eu</w:t>
              </w:r>
            </w:hyperlink>
          </w:p>
        </w:tc>
      </w:tr>
    </w:tbl>
    <w:p w:rsidR="000956DB" w:rsidP="009120CD" w:rsidRDefault="000956DB" w14:paraId="32ABF98F" w14:textId="67292419">
      <w:pPr>
        <w:spacing w:after="160"/>
        <w:jc w:val="left"/>
        <w:rPr>
          <w:sz w:val="28"/>
        </w:rPr>
      </w:pPr>
      <w:r>
        <w:br w:type="page"/>
      </w:r>
    </w:p>
    <w:p w:rsidRPr="009B70E7" w:rsidR="002E01B5" w:rsidP="009120CD" w:rsidRDefault="004D7AC0" w14:paraId="6C52985F" w14:textId="77777777">
      <w:pPr>
        <w:pStyle w:val="Heading1"/>
        <w:keepNext/>
        <w:rPr>
          <w:b/>
        </w:rPr>
      </w:pPr>
      <w:bookmarkStart w:name="_Toc70322234" w:id="30"/>
      <w:bookmarkStart w:name="_Toc75527084" w:id="31"/>
      <w:bookmarkStart w:name="_Toc116383030" w:id="32"/>
      <w:r>
        <w:rPr>
          <w:b/>
        </w:rPr>
        <w:lastRenderedPageBreak/>
        <w:t>LANDBOUW, PLATTELANDSONTWIKKELING, MILIEU</w:t>
      </w:r>
      <w:bookmarkEnd w:id="30"/>
      <w:bookmarkEnd w:id="31"/>
      <w:bookmarkEnd w:id="32"/>
    </w:p>
    <w:p w:rsidRPr="000F6F82" w:rsidR="009173E7" w:rsidP="009120CD" w:rsidRDefault="009173E7" w14:paraId="37AC66EE" w14:textId="77777777">
      <w:pPr>
        <w:keepNext/>
        <w:rPr>
          <w:sz w:val="18"/>
          <w:szCs w:val="18"/>
        </w:rPr>
      </w:pPr>
    </w:p>
    <w:p w:rsidRPr="009B70E7" w:rsidR="00AC7690" w:rsidP="009120CD" w:rsidRDefault="0005110E" w14:paraId="6BF57A05" w14:textId="285B882D">
      <w:pPr>
        <w:pStyle w:val="ListParagraph"/>
        <w:keepNext/>
        <w:numPr>
          <w:ilvl w:val="0"/>
          <w:numId w:val="2"/>
        </w:numPr>
        <w:ind w:left="567" w:hanging="567"/>
        <w:rPr>
          <w:b/>
          <w:i/>
          <w:sz w:val="28"/>
          <w:szCs w:val="28"/>
        </w:rPr>
      </w:pPr>
      <w:r>
        <w:rPr>
          <w:b/>
          <w:i/>
          <w:sz w:val="28"/>
        </w:rPr>
        <w:t>De energietransitie en de digitale transitie in plattelandsgebieden</w:t>
      </w:r>
    </w:p>
    <w:p w:rsidRPr="000F6F82" w:rsidR="004D7AC0" w:rsidP="009120CD" w:rsidRDefault="004D7AC0" w14:paraId="43570F8C" w14:textId="77777777">
      <w:pPr>
        <w:pStyle w:val="ListParagraph"/>
        <w:keepNext/>
        <w:ind w:left="0"/>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4D7AC0" w:rsidTr="00662436" w14:paraId="32C9FAF0" w14:textId="77777777">
        <w:tc>
          <w:tcPr>
            <w:tcW w:w="1701" w:type="dxa"/>
          </w:tcPr>
          <w:p w:rsidRPr="009B70E7" w:rsidR="004D7AC0" w:rsidP="009120CD" w:rsidRDefault="004D7AC0" w14:paraId="7DFC3FE7" w14:textId="77777777">
            <w:pPr>
              <w:pStyle w:val="ListParagraph"/>
              <w:keepNext/>
              <w:ind w:left="0"/>
              <w:rPr>
                <w:b/>
              </w:rPr>
            </w:pPr>
            <w:bookmarkStart w:name="_Hlk111563809" w:id="33"/>
            <w:r>
              <w:rPr>
                <w:b/>
              </w:rPr>
              <w:t>Rapporteur:</w:t>
            </w:r>
          </w:p>
        </w:tc>
        <w:tc>
          <w:tcPr>
            <w:tcW w:w="5387" w:type="dxa"/>
          </w:tcPr>
          <w:p w:rsidRPr="009B70E7" w:rsidR="004D7AC0" w:rsidP="009120CD" w:rsidRDefault="0005110E" w14:paraId="512C7D26" w14:textId="4F4F61E2">
            <w:pPr>
              <w:pStyle w:val="ListParagraph"/>
              <w:keepNext/>
              <w:ind w:left="-106"/>
            </w:pPr>
            <w:r>
              <w:t>John COMER (groep Maatschappelijke Organisaties – IE)</w:t>
            </w:r>
          </w:p>
        </w:tc>
      </w:tr>
      <w:tr w:rsidRPr="009B70E7" w:rsidR="0005110E" w:rsidTr="00662436" w14:paraId="37A4E77C" w14:textId="77777777">
        <w:tc>
          <w:tcPr>
            <w:tcW w:w="1701" w:type="dxa"/>
          </w:tcPr>
          <w:p w:rsidRPr="007B231B" w:rsidR="0005110E" w:rsidP="009120CD" w:rsidRDefault="0005110E" w14:paraId="648A1766" w14:textId="5A11562C">
            <w:pPr>
              <w:pStyle w:val="ListParagraph"/>
              <w:keepNext/>
              <w:ind w:left="0"/>
              <w:rPr>
                <w:b/>
              </w:rPr>
            </w:pPr>
            <w:r>
              <w:rPr>
                <w:b/>
              </w:rPr>
              <w:t>Corapporteur:</w:t>
            </w:r>
          </w:p>
        </w:tc>
        <w:tc>
          <w:tcPr>
            <w:tcW w:w="5387" w:type="dxa"/>
          </w:tcPr>
          <w:p w:rsidR="0005110E" w:rsidP="000F6F82" w:rsidRDefault="0005110E" w14:paraId="3FB6D138" w14:textId="73EC9C52">
            <w:pPr>
              <w:pStyle w:val="ListParagraph"/>
              <w:keepNext/>
              <w:spacing w:line="240" w:lineRule="auto"/>
              <w:ind w:left="-108"/>
            </w:pPr>
            <w:r>
              <w:t>Luis MIRA (groep Werkgevers – PT)</w:t>
            </w:r>
          </w:p>
          <w:p w:rsidRPr="00E54548" w:rsidR="0005110E" w:rsidP="000F6F82" w:rsidRDefault="0005110E" w14:paraId="30DA0956" w14:textId="65B72FEF">
            <w:pPr>
              <w:pStyle w:val="ListParagraph"/>
              <w:keepNext/>
              <w:spacing w:line="240" w:lineRule="auto"/>
              <w:ind w:left="-108"/>
              <w:rPr>
                <w:highlight w:val="yellow"/>
              </w:rPr>
            </w:pPr>
          </w:p>
        </w:tc>
      </w:tr>
    </w:tbl>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79"/>
      </w:tblGrid>
      <w:tr w:rsidRPr="00032038" w:rsidR="0005110E" w:rsidTr="004E4367" w14:paraId="2F855FDD" w14:textId="77777777">
        <w:tc>
          <w:tcPr>
            <w:tcW w:w="1701" w:type="dxa"/>
          </w:tcPr>
          <w:bookmarkEnd w:id="33"/>
          <w:p w:rsidRPr="00032038" w:rsidR="0005110E" w:rsidP="009120CD" w:rsidRDefault="0005110E" w14:paraId="6DB55280" w14:textId="77777777">
            <w:pPr>
              <w:contextualSpacing/>
              <w:rPr>
                <w:b/>
              </w:rPr>
            </w:pPr>
            <w:r>
              <w:rPr>
                <w:b/>
              </w:rPr>
              <w:t xml:space="preserve">Referentie: </w:t>
            </w:r>
          </w:p>
        </w:tc>
        <w:tc>
          <w:tcPr>
            <w:tcW w:w="6379" w:type="dxa"/>
          </w:tcPr>
          <w:p w:rsidRPr="00032038" w:rsidR="0005110E" w:rsidP="009120CD" w:rsidRDefault="0005110E" w14:paraId="602AF089" w14:textId="51E3E044">
            <w:pPr>
              <w:tabs>
                <w:tab w:val="center" w:pos="284"/>
              </w:tabs>
              <w:ind w:left="266" w:right="-534" w:hanging="374"/>
            </w:pPr>
            <w:r>
              <w:t>Initiatiefadvies</w:t>
            </w:r>
          </w:p>
          <w:p w:rsidRPr="00032038" w:rsidR="0005110E" w:rsidP="009120CD" w:rsidRDefault="0005110E" w14:paraId="6A5A914E" w14:textId="3DFF6070">
            <w:pPr>
              <w:ind w:left="-108"/>
              <w:contextualSpacing/>
            </w:pPr>
            <w:r>
              <w:t>EESC-2022-0484-00-00-AC</w:t>
            </w:r>
          </w:p>
        </w:tc>
      </w:tr>
    </w:tbl>
    <w:p w:rsidRPr="000F6F82" w:rsidR="0005110E" w:rsidP="009120CD" w:rsidRDefault="0005110E" w14:paraId="63F4FD2B" w14:textId="77777777">
      <w:pPr>
        <w:pStyle w:val="ListParagraph"/>
        <w:ind w:left="-142" w:firstLine="142"/>
        <w:rPr>
          <w:b/>
          <w:sz w:val="18"/>
          <w:szCs w:val="18"/>
        </w:rPr>
      </w:pPr>
    </w:p>
    <w:p w:rsidRPr="00A00F37" w:rsidR="004D7AC0" w:rsidP="009120CD" w:rsidRDefault="004D7AC0" w14:paraId="63F2D92D" w14:textId="5F76C7A8">
      <w:pPr>
        <w:pStyle w:val="ListParagraph"/>
        <w:ind w:left="0" w:firstLine="142"/>
        <w:rPr>
          <w:b/>
        </w:rPr>
      </w:pPr>
      <w:r>
        <w:rPr>
          <w:b/>
        </w:rPr>
        <w:t>Hoofdpunten</w:t>
      </w:r>
    </w:p>
    <w:p w:rsidRPr="000F6F82" w:rsidR="001513FD" w:rsidP="009120CD" w:rsidRDefault="001513FD" w14:paraId="76827606" w14:textId="77777777">
      <w:pPr>
        <w:pStyle w:val="ListParagraph"/>
        <w:keepNext/>
        <w:ind w:left="0"/>
        <w:rPr>
          <w:sz w:val="18"/>
          <w:szCs w:val="18"/>
        </w:rPr>
      </w:pPr>
    </w:p>
    <w:p w:rsidR="00E54548" w:rsidP="009120CD" w:rsidRDefault="00E54548" w14:paraId="05F6CCDA" w14:textId="77777777">
      <w:pPr>
        <w:pStyle w:val="ListParagraph"/>
        <w:ind w:left="0" w:firstLine="142"/>
      </w:pPr>
      <w:r>
        <w:t>Het EESC:</w:t>
      </w:r>
    </w:p>
    <w:p w:rsidRPr="000F6F82" w:rsidR="00E54548" w:rsidP="009120CD" w:rsidRDefault="00E54548" w14:paraId="681D86A8" w14:textId="77777777">
      <w:pPr>
        <w:pStyle w:val="ListParagraph"/>
        <w:keepNext/>
        <w:ind w:left="0"/>
        <w:rPr>
          <w:sz w:val="18"/>
          <w:szCs w:val="18"/>
        </w:rPr>
      </w:pPr>
    </w:p>
    <w:p w:rsidR="00BE6D5A" w:rsidP="009120CD" w:rsidRDefault="0005110E" w14:paraId="4FC3D577" w14:textId="00AC6372">
      <w:pPr>
        <w:numPr>
          <w:ilvl w:val="0"/>
          <w:numId w:val="3"/>
        </w:numPr>
        <w:ind w:left="357" w:hanging="357"/>
        <w:contextualSpacing/>
      </w:pPr>
      <w:r>
        <w:t>is van mening dat een gecombineerde strategie voor de energietransitie en de digitale transitie in plattelandsgebieden niet de mate van aandacht en steun heeft gekregen die men zou verwachten. De meest kwetsbare plattelandsgebieden verdienen speciale aandacht, zodat niemand aan zijn lot wordt overgelaten;</w:t>
      </w:r>
    </w:p>
    <w:p w:rsidR="0005110E" w:rsidP="009120CD" w:rsidRDefault="0005110E" w14:paraId="6497B7B1" w14:textId="77777777">
      <w:pPr>
        <w:numPr>
          <w:ilvl w:val="0"/>
          <w:numId w:val="3"/>
        </w:numPr>
        <w:ind w:left="357" w:hanging="357"/>
        <w:contextualSpacing/>
      </w:pPr>
      <w:r>
        <w:t>is ervan overtuigd dat het toekomstige succes van Europa grotendeels zal afhangen van de vraag of we erin slagen plattelandsgebieden te behandelen op een manier die in evenwicht is met de aanpak die stedelijke gebieden te beurt vallen;</w:t>
      </w:r>
    </w:p>
    <w:p w:rsidR="0005110E" w:rsidP="009120CD" w:rsidRDefault="0005110E" w14:paraId="2B6EEF4C" w14:textId="77777777">
      <w:pPr>
        <w:numPr>
          <w:ilvl w:val="0"/>
          <w:numId w:val="3"/>
        </w:numPr>
        <w:ind w:left="357" w:hanging="357"/>
        <w:contextualSpacing/>
      </w:pPr>
      <w:r>
        <w:t>acht het, om ervoor te zorgen dat de herstel- en veerkrachtplannen van de EU of de lidstaten ten volle kunnen profiteren van de bijdrage van plattelandsgebieden, absoluut noodzakelijk dat een snelle internetconnectiviteit beschikbaar is op het hele grondgebied, met inbegrip van dunbevolkte gebieden;</w:t>
      </w:r>
    </w:p>
    <w:p w:rsidR="0005110E" w:rsidP="009120CD" w:rsidRDefault="0005110E" w14:paraId="59DF02F6" w14:textId="77777777">
      <w:pPr>
        <w:numPr>
          <w:ilvl w:val="0"/>
          <w:numId w:val="3"/>
        </w:numPr>
        <w:ind w:left="357" w:hanging="357"/>
        <w:contextualSpacing/>
      </w:pPr>
      <w:r>
        <w:t>vindt dat overheidsinstanties en dienstverleners gebruiksvriendelijke toepassingen moeten ontwikkelen die specifiek zijn afgestemd op de realiteit van de levensstijl en de activiteiten op het platteland. De toepassing van deze technologieën zal bijvoorbeeld de koolstofvoetafdruk van de landbouw verkleinen (precisielandbouw) en de toegankelijkheid van afgelegen gebieden (m.b.v. drones) helpen verbeteren;</w:t>
      </w:r>
    </w:p>
    <w:p w:rsidR="0005110E" w:rsidP="009120CD" w:rsidRDefault="0005110E" w14:paraId="5B8174BA" w14:textId="77777777">
      <w:pPr>
        <w:numPr>
          <w:ilvl w:val="0"/>
          <w:numId w:val="3"/>
        </w:numPr>
        <w:ind w:left="357" w:hanging="357"/>
        <w:contextualSpacing/>
      </w:pPr>
      <w:r>
        <w:t>wijst erop dat plattelandsgebruikers van verschillende leeftijden een passende opleiding en bijscholing moeten kunnen krijgen om deze nieuwe digitale technologieën te gebruiken. De inclusiviteit in probleemgebieden moet ook de toegang tot de vereiste apparatuur mogelijk maken, hetzij door gedeeld gebruik, hetzij door overheidssubsidie voor de aankoop ervan;</w:t>
      </w:r>
    </w:p>
    <w:p w:rsidR="0005110E" w:rsidP="009120CD" w:rsidRDefault="0005110E" w14:paraId="1067E9DA" w14:textId="77777777">
      <w:pPr>
        <w:numPr>
          <w:ilvl w:val="0"/>
          <w:numId w:val="3"/>
        </w:numPr>
        <w:ind w:left="357" w:hanging="357"/>
        <w:contextualSpacing/>
      </w:pPr>
      <w:r>
        <w:t>concludeert dat de uitrol van digitale technologieën in plattelandsgebieden noodzakelijk is om de energietransitie te ondersteunen;</w:t>
      </w:r>
    </w:p>
    <w:p w:rsidR="0005110E" w:rsidP="009120CD" w:rsidRDefault="0005110E" w14:paraId="7D830158" w14:textId="77777777">
      <w:pPr>
        <w:numPr>
          <w:ilvl w:val="0"/>
          <w:numId w:val="3"/>
        </w:numPr>
        <w:ind w:left="357" w:hanging="357"/>
        <w:contextualSpacing/>
      </w:pPr>
      <w:r>
        <w:t>benadrukt dat, aangezien 30 % van de EU-bevolking in plattelandsgebieden woont, een rechtvaardige energietransitie op het platteland een essentieel onderdeel is van de rechtvaardige transitie naar een klimaatneutrale, duurzame en welvarende Europese Unie, in overeenstemming met de Territoriale Agenda 2030;</w:t>
      </w:r>
    </w:p>
    <w:p w:rsidRPr="00CA685D" w:rsidR="00071F4C" w:rsidP="009120CD" w:rsidRDefault="0005110E" w14:paraId="6CC74428" w14:textId="05A5D739">
      <w:pPr>
        <w:numPr>
          <w:ilvl w:val="0"/>
          <w:numId w:val="3"/>
        </w:numPr>
        <w:ind w:left="357" w:hanging="357"/>
        <w:contextualSpacing/>
      </w:pPr>
      <w:r>
        <w:t>wijst erop dat de Commissie heeft voorgesteld om 20 % van NextGenerationEU in de digitale economie te investeren. Het EESC beveelt aan dat alle lidstaten ten minste 10 % van deze middelen besteden aan de digitalisering van het platteland, zonder extra bureaucratische rompslomp te creëren.</w:t>
      </w:r>
    </w:p>
    <w:p w:rsidRPr="009B70E7" w:rsidR="00CA685D" w:rsidP="009120CD" w:rsidRDefault="00CA685D" w14:paraId="338EA745" w14:textId="77777777">
      <w:pPr>
        <w:ind w:left="357"/>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4331B4" w:rsidTr="00BC41D9" w14:paraId="587E7E08" w14:textId="77777777">
        <w:tc>
          <w:tcPr>
            <w:tcW w:w="1418" w:type="dxa"/>
          </w:tcPr>
          <w:p w:rsidRPr="009B70E7" w:rsidR="004331B4" w:rsidP="009120CD" w:rsidRDefault="004331B4" w14:paraId="02B3DBE9" w14:textId="77777777">
            <w:pPr>
              <w:pStyle w:val="ListParagraph"/>
              <w:ind w:left="0"/>
              <w:rPr>
                <w:i/>
              </w:rPr>
            </w:pPr>
            <w:r>
              <w:rPr>
                <w:b/>
                <w:i/>
              </w:rPr>
              <w:t>Contactpersoon</w:t>
            </w:r>
          </w:p>
        </w:tc>
        <w:tc>
          <w:tcPr>
            <w:tcW w:w="5670" w:type="dxa"/>
          </w:tcPr>
          <w:p w:rsidRPr="009B70E7" w:rsidR="004331B4" w:rsidP="009120CD" w:rsidRDefault="00E54548" w14:paraId="490824F4" w14:textId="14F040B7">
            <w:pPr>
              <w:pStyle w:val="ListParagraph"/>
              <w:ind w:left="0"/>
              <w:rPr>
                <w:i/>
              </w:rPr>
            </w:pPr>
            <w:r>
              <w:rPr>
                <w:i/>
              </w:rPr>
              <w:t>Arturo Iniguez Yuste</w:t>
            </w:r>
          </w:p>
        </w:tc>
      </w:tr>
      <w:tr w:rsidRPr="009B70E7" w:rsidR="004331B4" w:rsidTr="00BC41D9" w14:paraId="117DE739" w14:textId="77777777">
        <w:tc>
          <w:tcPr>
            <w:tcW w:w="1418" w:type="dxa"/>
          </w:tcPr>
          <w:p w:rsidRPr="009B70E7" w:rsidR="004331B4" w:rsidP="009120CD" w:rsidRDefault="004331B4" w14:paraId="07B5DE23" w14:textId="77777777">
            <w:pPr>
              <w:pStyle w:val="ListParagraph"/>
              <w:ind w:left="601"/>
              <w:rPr>
                <w:i/>
              </w:rPr>
            </w:pPr>
            <w:r>
              <w:rPr>
                <w:i/>
              </w:rPr>
              <w:t>Tel.</w:t>
            </w:r>
          </w:p>
        </w:tc>
        <w:tc>
          <w:tcPr>
            <w:tcW w:w="5670" w:type="dxa"/>
          </w:tcPr>
          <w:p w:rsidRPr="009B70E7" w:rsidR="004331B4" w:rsidP="009120CD" w:rsidRDefault="00E54548" w14:paraId="6717A766" w14:textId="77777777">
            <w:pPr>
              <w:pStyle w:val="ListParagraph"/>
              <w:ind w:left="0"/>
              <w:rPr>
                <w:i/>
              </w:rPr>
            </w:pPr>
            <w:r>
              <w:rPr>
                <w:i/>
              </w:rPr>
              <w:t>00 32 2 546 87 68</w:t>
            </w:r>
          </w:p>
        </w:tc>
      </w:tr>
      <w:tr w:rsidRPr="009B70E7" w:rsidR="004331B4" w:rsidTr="00BC41D9" w14:paraId="6D5CE45F" w14:textId="77777777">
        <w:tc>
          <w:tcPr>
            <w:tcW w:w="1418" w:type="dxa"/>
          </w:tcPr>
          <w:p w:rsidRPr="009B70E7" w:rsidR="004331B4" w:rsidP="009120CD" w:rsidRDefault="004331B4" w14:paraId="261C3027" w14:textId="77777777">
            <w:pPr>
              <w:pStyle w:val="ListParagraph"/>
              <w:ind w:left="601"/>
              <w:rPr>
                <w:i/>
              </w:rPr>
            </w:pPr>
            <w:r>
              <w:rPr>
                <w:i/>
              </w:rPr>
              <w:lastRenderedPageBreak/>
              <w:t>E-mail</w:t>
            </w:r>
          </w:p>
        </w:tc>
        <w:tc>
          <w:tcPr>
            <w:tcW w:w="5670" w:type="dxa"/>
          </w:tcPr>
          <w:p w:rsidRPr="009B70E7" w:rsidR="00CA685D" w:rsidP="00F256CD" w:rsidRDefault="00C56F85" w14:paraId="40FE0D9C" w14:textId="7A64EFC9">
            <w:pPr>
              <w:pStyle w:val="ListParagraph"/>
              <w:ind w:left="0"/>
              <w:rPr>
                <w:i/>
              </w:rPr>
            </w:pPr>
            <w:hyperlink w:history="1" r:id="rId45">
              <w:r w:rsidR="0064748D">
                <w:rPr>
                  <w:rStyle w:val="Hyperlink"/>
                  <w:i/>
                </w:rPr>
                <w:t>Arturo.Iniguez@eesc.europa.eu</w:t>
              </w:r>
            </w:hyperlink>
          </w:p>
        </w:tc>
      </w:tr>
    </w:tbl>
    <w:p w:rsidRPr="00F256CD" w:rsidR="00E54548" w:rsidP="009120CD" w:rsidRDefault="000C18CA" w14:paraId="55FE0C33" w14:textId="0D4FF90B">
      <w:pPr>
        <w:pStyle w:val="ListParagraph"/>
        <w:numPr>
          <w:ilvl w:val="0"/>
          <w:numId w:val="2"/>
        </w:numPr>
        <w:ind w:left="0" w:hanging="567"/>
      </w:pPr>
      <w:r>
        <w:rPr>
          <w:b/>
          <w:i/>
          <w:sz w:val="28"/>
        </w:rPr>
        <w:t>Sociale dialoog in het kader van de groene transitie</w:t>
      </w:r>
    </w:p>
    <w:p w:rsidRPr="009B70E7" w:rsidR="00F256CD" w:rsidP="00F256CD" w:rsidRDefault="00F256CD" w14:paraId="1DFEA98A"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29"/>
      </w:tblGrid>
      <w:tr w:rsidRPr="009B70E7" w:rsidR="000C18CA" w:rsidTr="00F256CD" w14:paraId="4E01B598" w14:textId="77777777">
        <w:tc>
          <w:tcPr>
            <w:tcW w:w="1701" w:type="dxa"/>
          </w:tcPr>
          <w:p w:rsidRPr="009B70E7" w:rsidR="000C18CA" w:rsidP="009120CD" w:rsidRDefault="000C18CA" w14:paraId="3EE6EB4F" w14:textId="77777777">
            <w:pPr>
              <w:pStyle w:val="ListParagraph"/>
              <w:keepNext/>
              <w:ind w:left="0"/>
              <w:rPr>
                <w:b/>
              </w:rPr>
            </w:pPr>
            <w:r>
              <w:rPr>
                <w:b/>
              </w:rPr>
              <w:t>Rapporteur:</w:t>
            </w:r>
          </w:p>
        </w:tc>
        <w:tc>
          <w:tcPr>
            <w:tcW w:w="6629" w:type="dxa"/>
          </w:tcPr>
          <w:p w:rsidR="000C18CA" w:rsidP="009120CD" w:rsidRDefault="000C18CA" w14:paraId="3B0EEFBE" w14:textId="77777777">
            <w:pPr>
              <w:pStyle w:val="ListParagraph"/>
              <w:keepNext/>
              <w:ind w:left="-106"/>
            </w:pPr>
            <w:r>
              <w:t>Lucie STUDNIČNÁ (groep Werknemers – CZ)</w:t>
            </w:r>
          </w:p>
          <w:p w:rsidRPr="009B70E7" w:rsidR="006A1317" w:rsidP="009120CD" w:rsidRDefault="006A1317" w14:paraId="3BDDFB62" w14:textId="58B88D3B">
            <w:pPr>
              <w:pStyle w:val="ListParagraph"/>
              <w:keepNext/>
              <w:ind w:left="-106"/>
            </w:pPr>
          </w:p>
        </w:tc>
      </w:tr>
      <w:tr w:rsidRPr="009B70E7" w:rsidR="00E54548" w:rsidTr="00F256CD" w14:paraId="7A103358" w14:textId="77777777">
        <w:tc>
          <w:tcPr>
            <w:tcW w:w="1701" w:type="dxa"/>
          </w:tcPr>
          <w:p w:rsidRPr="009B70E7" w:rsidR="00E54548" w:rsidP="009120CD" w:rsidRDefault="00E54548" w14:paraId="3D88AB9C" w14:textId="77777777">
            <w:pPr>
              <w:pStyle w:val="ListParagraph"/>
              <w:ind w:left="0"/>
              <w:rPr>
                <w:b/>
              </w:rPr>
            </w:pPr>
            <w:r>
              <w:rPr>
                <w:b/>
              </w:rPr>
              <w:t xml:space="preserve">Referentie: </w:t>
            </w:r>
          </w:p>
        </w:tc>
        <w:tc>
          <w:tcPr>
            <w:tcW w:w="6629" w:type="dxa"/>
          </w:tcPr>
          <w:p w:rsidRPr="009B70E7" w:rsidR="00E54548" w:rsidP="009120CD" w:rsidRDefault="000C18CA" w14:paraId="3F2C4954" w14:textId="111DDEFA">
            <w:pPr>
              <w:tabs>
                <w:tab w:val="center" w:pos="284"/>
              </w:tabs>
              <w:ind w:left="266" w:hanging="374"/>
            </w:pPr>
            <w:r>
              <w:t>Verkennend advies op verzoek van het Tsjechische voorzitterschap van de Raad</w:t>
            </w:r>
          </w:p>
          <w:p w:rsidRPr="009B70E7" w:rsidR="00E54548" w:rsidP="009120CD" w:rsidRDefault="00E54548" w14:paraId="2105E433" w14:textId="55E54C9A">
            <w:pPr>
              <w:pStyle w:val="ListParagraph"/>
              <w:ind w:left="-108"/>
            </w:pPr>
            <w:r>
              <w:t>EESC-2022-01682-00-00-AC</w:t>
            </w:r>
          </w:p>
        </w:tc>
      </w:tr>
    </w:tbl>
    <w:p w:rsidRPr="009B70E7" w:rsidR="00E54548" w:rsidP="009120CD" w:rsidRDefault="00E54548" w14:paraId="5A8EA75C" w14:textId="77777777">
      <w:pPr>
        <w:pStyle w:val="ListParagraph"/>
        <w:ind w:left="0"/>
        <w:rPr>
          <w:b/>
        </w:rPr>
      </w:pPr>
    </w:p>
    <w:p w:rsidRPr="0018231C" w:rsidR="00E54548" w:rsidP="009120CD" w:rsidRDefault="00E54548" w14:paraId="2DB75FF2" w14:textId="5E95D69C">
      <w:pPr>
        <w:pStyle w:val="ListParagraph"/>
        <w:ind w:left="0" w:firstLine="142"/>
        <w:rPr>
          <w:b/>
        </w:rPr>
      </w:pPr>
      <w:r>
        <w:rPr>
          <w:b/>
        </w:rPr>
        <w:t>Hoofdpunten</w:t>
      </w:r>
    </w:p>
    <w:p w:rsidRPr="0018231C" w:rsidR="00E54548" w:rsidP="009120CD" w:rsidRDefault="00E54548" w14:paraId="6EE8937D" w14:textId="77777777">
      <w:pPr>
        <w:pStyle w:val="ListParagraph"/>
        <w:ind w:left="0"/>
        <w:rPr>
          <w:lang w:val="fr-FR"/>
        </w:rPr>
      </w:pPr>
    </w:p>
    <w:p w:rsidRPr="00A00F37" w:rsidR="00E54548" w:rsidP="009120CD" w:rsidRDefault="00E54548" w14:paraId="6B6F14AC" w14:textId="77777777">
      <w:pPr>
        <w:pStyle w:val="ListParagraph"/>
        <w:ind w:left="0" w:firstLine="142"/>
        <w:rPr>
          <w:bCs/>
        </w:rPr>
      </w:pPr>
      <w:r>
        <w:t>Het EESC:</w:t>
      </w:r>
    </w:p>
    <w:p w:rsidRPr="0018231C" w:rsidR="00E54548" w:rsidP="009120CD" w:rsidRDefault="00E54548" w14:paraId="1F790AD7" w14:textId="77777777">
      <w:pPr>
        <w:pStyle w:val="ListParagraph"/>
        <w:ind w:left="0"/>
        <w:rPr>
          <w:lang w:val="fr-FR"/>
        </w:rPr>
      </w:pPr>
    </w:p>
    <w:p w:rsidRPr="00A3344B" w:rsidR="00E54548" w:rsidP="009120CD" w:rsidRDefault="006A1317" w14:paraId="2EA194B7" w14:textId="06EAB1B1">
      <w:pPr>
        <w:numPr>
          <w:ilvl w:val="0"/>
          <w:numId w:val="3"/>
        </w:numPr>
        <w:overflowPunct w:val="0"/>
        <w:autoSpaceDE w:val="0"/>
        <w:autoSpaceDN w:val="0"/>
        <w:adjustRightInd w:val="0"/>
        <w:ind w:left="357" w:hanging="357"/>
        <w:textAlignment w:val="baseline"/>
      </w:pPr>
      <w:r>
        <w:t xml:space="preserve">verstrekt dit </w:t>
      </w:r>
      <w:r>
        <w:rPr>
          <w:b/>
        </w:rPr>
        <w:t>verkennend advies</w:t>
      </w:r>
      <w:r>
        <w:t xml:space="preserve"> op verzoek van het </w:t>
      </w:r>
      <w:r>
        <w:rPr>
          <w:b/>
        </w:rPr>
        <w:t>Tsjechische voorzitterschap van de EU</w:t>
      </w:r>
      <w:r>
        <w:t xml:space="preserve"> in het kader van de beoordeling van de sociale dimensie van de Europese Green Deal, en met name de rol van de sociale dialoog;</w:t>
      </w:r>
    </w:p>
    <w:p w:rsidRPr="00A3344B" w:rsidR="00E54548" w:rsidP="009120CD" w:rsidRDefault="006A1317" w14:paraId="07D2FB57" w14:textId="0B3BA641">
      <w:pPr>
        <w:numPr>
          <w:ilvl w:val="0"/>
          <w:numId w:val="3"/>
        </w:numPr>
        <w:overflowPunct w:val="0"/>
        <w:autoSpaceDE w:val="0"/>
        <w:autoSpaceDN w:val="0"/>
        <w:adjustRightInd w:val="0"/>
        <w:ind w:left="357" w:hanging="357"/>
        <w:textAlignment w:val="baseline"/>
      </w:pPr>
      <w:r>
        <w:rPr>
          <w:b/>
        </w:rPr>
        <w:t>is ingenomen met het sterke en ambitieuze klimaatbeleidskader dat in het kader van de Europese Green Deal is opgezet</w:t>
      </w:r>
      <w:r>
        <w:t xml:space="preserve"> en dat wordt ondersteund door de bijbehorende wetgevingsmaatregelen, </w:t>
      </w:r>
      <w:r>
        <w:rPr>
          <w:b/>
        </w:rPr>
        <w:t>maar</w:t>
      </w:r>
      <w:r>
        <w:t xml:space="preserve"> wijst er ook op dat </w:t>
      </w:r>
      <w:r>
        <w:rPr>
          <w:b/>
        </w:rPr>
        <w:t>de sociale dimensie ervan nog steeds onderontwikkeld is</w:t>
      </w:r>
      <w:r>
        <w:t>, ondanks alle positieve verklaringen;</w:t>
      </w:r>
    </w:p>
    <w:p w:rsidRPr="00A3344B" w:rsidR="00E54548" w:rsidP="009120CD" w:rsidRDefault="00F929FB" w14:paraId="4400E2D4" w14:textId="7A9D97BD">
      <w:pPr>
        <w:numPr>
          <w:ilvl w:val="0"/>
          <w:numId w:val="3"/>
        </w:numPr>
        <w:overflowPunct w:val="0"/>
        <w:autoSpaceDE w:val="0"/>
        <w:autoSpaceDN w:val="0"/>
        <w:adjustRightInd w:val="0"/>
        <w:ind w:left="357" w:hanging="357"/>
        <w:textAlignment w:val="baseline"/>
      </w:pPr>
      <w:r>
        <w:t xml:space="preserve">is van mening dat </w:t>
      </w:r>
      <w:r>
        <w:rPr>
          <w:b/>
        </w:rPr>
        <w:t>de bestaande initiatieven om de sociale uitdagingen van de groene transitie aan te pakken, versnipperd zijn gebleven</w:t>
      </w:r>
      <w:r>
        <w:t xml:space="preserve">. Het mechanisme voor een rechtvaardige transitie is beperkt en heeft betrekking op een klein deel van het transitieproces. Het voorgestelde Sociaal Klimaatfonds zal een beperkte reikwijdte en doelstelling hebben, en vooral als tegenwicht dienen voor de regressieve verdelingseffecten van een gepland ETS2 voor vervoer en gebouwen (zie hiervoor het EESC-advies over het Sociaal Klimaatfonds). Hoewel het </w:t>
      </w:r>
      <w:r>
        <w:rPr>
          <w:b/>
        </w:rPr>
        <w:t>EESC ingenomen is met de aanbeveling van de Raad inzake het garanderen van een rechtvaardige transitie naar klimaatneutraliteit</w:t>
      </w:r>
      <w:r>
        <w:t>, wijst het erop dat deze niet-bindende aanbeveling niet het alomvattende beleidsplatform biedt dat de EU nodig heeft om de gevolgen van de transitie voor de getroffen werknemers, regio’s en kwetsbare personen aan te pakken;</w:t>
      </w:r>
    </w:p>
    <w:p w:rsidR="00E54548" w:rsidP="009120CD" w:rsidRDefault="00F929FB" w14:paraId="428C54E7" w14:textId="7D3D139B">
      <w:pPr>
        <w:numPr>
          <w:ilvl w:val="0"/>
          <w:numId w:val="3"/>
        </w:numPr>
        <w:overflowPunct w:val="0"/>
        <w:autoSpaceDE w:val="0"/>
        <w:autoSpaceDN w:val="0"/>
        <w:adjustRightInd w:val="0"/>
        <w:ind w:left="357" w:hanging="357"/>
        <w:textAlignment w:val="baseline"/>
      </w:pPr>
      <w:r>
        <w:rPr>
          <w:b/>
          <w:bCs/>
        </w:rPr>
        <w:t>benadrukt dat de EU behoefte heeft aan een sterk kader ter waarborging van een gelijk speelveld voor het beheer van de transitie</w:t>
      </w:r>
      <w:r>
        <w:t>. Een dergelijk solide EU-kader voor een rechtvaardige transitie moet onder meer betrekking hebben op het anticiperen op en het beheren van veranderingen in het kader van de groene transitie via een zinvolle participatie van werknemers, bedrijven en burgers;</w:t>
      </w:r>
    </w:p>
    <w:p w:rsidRPr="007E7A4F" w:rsidR="00C44A5C" w:rsidP="009120CD" w:rsidRDefault="006A1317" w14:paraId="0DC28D76" w14:textId="78202B7B">
      <w:pPr>
        <w:numPr>
          <w:ilvl w:val="0"/>
          <w:numId w:val="3"/>
        </w:numPr>
        <w:overflowPunct w:val="0"/>
        <w:autoSpaceDE w:val="0"/>
        <w:autoSpaceDN w:val="0"/>
        <w:adjustRightInd w:val="0"/>
        <w:ind w:left="357" w:hanging="357"/>
        <w:textAlignment w:val="baseline"/>
      </w:pPr>
      <w:r>
        <w:t xml:space="preserve">stelt voor om </w:t>
      </w:r>
      <w:r>
        <w:rPr>
          <w:b/>
        </w:rPr>
        <w:t>de werking van de sociale dialoog op het niveau van de lidstaten systematisch in kaart te brengen</w:t>
      </w:r>
      <w:r>
        <w:t xml:space="preserve">, en om verder vergelijkend onderzoek te doen naar de rol van de sociale dialoog in nationale energie- en klimaatplannen, zoals in de nationale herstel- en veerkrachtplannen. Volgens het EESC zou </w:t>
      </w:r>
      <w:r>
        <w:rPr>
          <w:b/>
        </w:rPr>
        <w:t>de sociale dialoog integrerend deel moeten uitmaken van de beleidsmaatregelen die worden opgezet om de klimaatdoelstellingen voor 2050 te halen, waaronder nationale energie- en klimaatplannen, nationale herstel- en veerkrachtplannen en plannen voor een rechtvaardige transitie</w:t>
      </w:r>
      <w:r>
        <w:t>.</w:t>
      </w:r>
    </w:p>
    <w:p w:rsidRPr="007E7A4F" w:rsidR="00E54548" w:rsidP="009120CD" w:rsidRDefault="00E54548" w14:paraId="7BB9A561" w14:textId="77777777">
      <w:pPr>
        <w:widowControl w:val="0"/>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E54548" w:rsidTr="008B66DD" w14:paraId="25A3FF7E" w14:textId="77777777">
        <w:tc>
          <w:tcPr>
            <w:tcW w:w="1418" w:type="dxa"/>
          </w:tcPr>
          <w:p w:rsidRPr="00164813" w:rsidR="00E54548" w:rsidP="009120CD" w:rsidRDefault="00E54548" w14:paraId="1C0A7F50" w14:textId="77777777">
            <w:pPr>
              <w:contextualSpacing/>
              <w:rPr>
                <w:i/>
              </w:rPr>
            </w:pPr>
            <w:r>
              <w:rPr>
                <w:b/>
                <w:i/>
              </w:rPr>
              <w:t>Contactpersoon</w:t>
            </w:r>
          </w:p>
        </w:tc>
        <w:tc>
          <w:tcPr>
            <w:tcW w:w="5670" w:type="dxa"/>
          </w:tcPr>
          <w:p w:rsidRPr="00164813" w:rsidR="00E54548" w:rsidP="009120CD" w:rsidRDefault="000C18CA" w14:paraId="59C2EA51" w14:textId="0C2984F6">
            <w:pPr>
              <w:contextualSpacing/>
              <w:rPr>
                <w:i/>
              </w:rPr>
            </w:pPr>
            <w:r>
              <w:rPr>
                <w:i/>
              </w:rPr>
              <w:t>Judit Carreras Garcia</w:t>
            </w:r>
          </w:p>
        </w:tc>
      </w:tr>
      <w:tr w:rsidRPr="00164813" w:rsidR="00E54548" w:rsidTr="008B66DD" w14:paraId="50BF4889" w14:textId="77777777">
        <w:tc>
          <w:tcPr>
            <w:tcW w:w="1418" w:type="dxa"/>
          </w:tcPr>
          <w:p w:rsidRPr="00164813" w:rsidR="00E54548" w:rsidP="009120CD" w:rsidRDefault="00E54548" w14:paraId="1F8D44FD" w14:textId="77777777">
            <w:pPr>
              <w:ind w:left="601"/>
              <w:contextualSpacing/>
              <w:rPr>
                <w:i/>
              </w:rPr>
            </w:pPr>
            <w:r>
              <w:rPr>
                <w:i/>
              </w:rPr>
              <w:t>Tel.</w:t>
            </w:r>
          </w:p>
        </w:tc>
        <w:tc>
          <w:tcPr>
            <w:tcW w:w="5670" w:type="dxa"/>
          </w:tcPr>
          <w:p w:rsidRPr="00164813" w:rsidR="00E54548" w:rsidP="009120CD" w:rsidRDefault="00E54548" w14:paraId="099C6AF1" w14:textId="47AB8DF2">
            <w:pPr>
              <w:contextualSpacing/>
              <w:rPr>
                <w:i/>
              </w:rPr>
            </w:pPr>
            <w:r>
              <w:rPr>
                <w:i/>
              </w:rPr>
              <w:t>00 32 2 546 84 21</w:t>
            </w:r>
          </w:p>
        </w:tc>
      </w:tr>
      <w:tr w:rsidRPr="00164813" w:rsidR="00E54548" w:rsidTr="008B66DD" w14:paraId="735920C0" w14:textId="77777777">
        <w:tc>
          <w:tcPr>
            <w:tcW w:w="1418" w:type="dxa"/>
          </w:tcPr>
          <w:p w:rsidRPr="00164813" w:rsidR="00E54548" w:rsidP="009120CD" w:rsidRDefault="00E54548" w14:paraId="554E9752" w14:textId="77777777">
            <w:pPr>
              <w:ind w:left="601"/>
              <w:contextualSpacing/>
              <w:rPr>
                <w:i/>
              </w:rPr>
            </w:pPr>
            <w:r>
              <w:rPr>
                <w:i/>
              </w:rPr>
              <w:lastRenderedPageBreak/>
              <w:t>E-mail</w:t>
            </w:r>
          </w:p>
        </w:tc>
        <w:tc>
          <w:tcPr>
            <w:tcW w:w="5670" w:type="dxa"/>
          </w:tcPr>
          <w:p w:rsidRPr="00F256CD" w:rsidR="00E54548" w:rsidP="009120CD" w:rsidRDefault="00C56F85" w14:paraId="57D07659" w14:textId="31EE9DA8">
            <w:pPr>
              <w:contextualSpacing/>
              <w:rPr>
                <w:i/>
                <w:iCs/>
              </w:rPr>
            </w:pPr>
            <w:hyperlink w:history="1" r:id="rId46">
              <w:r w:rsidR="0064748D">
                <w:rPr>
                  <w:rStyle w:val="Hyperlink"/>
                  <w:i/>
                </w:rPr>
                <w:t>Judit.CarrerasGarcia@eesc.europa.eu</w:t>
              </w:r>
            </w:hyperlink>
          </w:p>
        </w:tc>
      </w:tr>
    </w:tbl>
    <w:p w:rsidR="00F2127E" w:rsidP="009120CD" w:rsidRDefault="00F2127E" w14:paraId="287BC97F" w14:textId="77777777">
      <w:pPr>
        <w:spacing w:after="160"/>
        <w:jc w:val="left"/>
        <w:rPr>
          <w:sz w:val="28"/>
          <w:szCs w:val="16"/>
        </w:rPr>
      </w:pPr>
      <w:r>
        <w:br w:type="page"/>
      </w:r>
    </w:p>
    <w:p w:rsidRPr="003E692C" w:rsidR="0005170F" w:rsidP="009120CD" w:rsidRDefault="00931584" w14:paraId="259B2927" w14:textId="77777777">
      <w:pPr>
        <w:pStyle w:val="Heading1"/>
        <w:keepNext/>
        <w:rPr>
          <w:b/>
        </w:rPr>
      </w:pPr>
      <w:bookmarkStart w:name="_Toc90469310" w:id="34"/>
      <w:bookmarkStart w:name="_Toc116383031" w:id="35"/>
      <w:r>
        <w:rPr>
          <w:b/>
        </w:rPr>
        <w:lastRenderedPageBreak/>
        <w:t>EXTERNE BETREKKINGEN</w:t>
      </w:r>
      <w:bookmarkEnd w:id="34"/>
      <w:bookmarkEnd w:id="35"/>
    </w:p>
    <w:p w:rsidR="00CB3335" w:rsidP="009120CD" w:rsidRDefault="00CB3335" w14:paraId="4C868865" w14:textId="0AB40322"/>
    <w:p w:rsidRPr="00092425" w:rsidR="00B10934" w:rsidP="009120CD" w:rsidRDefault="00B10934" w14:paraId="18F82F09" w14:textId="3048E3BF">
      <w:pPr>
        <w:keepNext/>
        <w:keepLines/>
        <w:numPr>
          <w:ilvl w:val="0"/>
          <w:numId w:val="2"/>
        </w:numPr>
        <w:ind w:left="567" w:hanging="567"/>
        <w:contextualSpacing/>
      </w:pPr>
      <w:r>
        <w:rPr>
          <w:b/>
          <w:i/>
          <w:sz w:val="28"/>
        </w:rPr>
        <w:t>Geopolitieke gevolgen van de energietransitie</w:t>
      </w:r>
    </w:p>
    <w:p w:rsidRPr="006E3F60" w:rsidR="00B10934" w:rsidP="009120CD" w:rsidRDefault="00B10934" w14:paraId="04311F99" w14:textId="77777777">
      <w:pPr>
        <w:keepNext/>
        <w:keepLines/>
        <w:ind w:left="567"/>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6E3F60" w:rsidR="00B10934" w:rsidTr="004E4367" w14:paraId="63C47200" w14:textId="77777777">
        <w:tc>
          <w:tcPr>
            <w:tcW w:w="1701" w:type="dxa"/>
          </w:tcPr>
          <w:p w:rsidRPr="006E3F60" w:rsidR="00B10934" w:rsidP="009120CD" w:rsidRDefault="00B10934" w14:paraId="6B95F451" w14:textId="77777777">
            <w:pPr>
              <w:keepNext/>
              <w:contextualSpacing/>
              <w:rPr>
                <w:b/>
              </w:rPr>
            </w:pPr>
            <w:r>
              <w:rPr>
                <w:b/>
              </w:rPr>
              <w:t>Rapporteur:</w:t>
            </w:r>
          </w:p>
        </w:tc>
        <w:tc>
          <w:tcPr>
            <w:tcW w:w="6946" w:type="dxa"/>
          </w:tcPr>
          <w:p w:rsidRPr="006E3F60" w:rsidR="00B10934" w:rsidP="009120CD" w:rsidRDefault="00B10934" w14:paraId="72CAA90E" w14:textId="71B5AF5D">
            <w:pPr>
              <w:keepNext/>
              <w:ind w:left="-106"/>
              <w:contextualSpacing/>
            </w:pPr>
            <w:r>
              <w:t>Tomasz Andrzej WRÓBLEWSKI (groep Werkgevers – PL)</w:t>
            </w:r>
          </w:p>
        </w:tc>
      </w:tr>
      <w:tr w:rsidRPr="006E3F60" w:rsidR="00B10934" w:rsidTr="004E4367" w14:paraId="2C0E8BB0" w14:textId="77777777">
        <w:tc>
          <w:tcPr>
            <w:tcW w:w="1701" w:type="dxa"/>
          </w:tcPr>
          <w:p w:rsidRPr="006E3F60" w:rsidR="00B10934" w:rsidP="009120CD" w:rsidRDefault="00B10934" w14:paraId="025643D8" w14:textId="77777777">
            <w:pPr>
              <w:keepNext/>
              <w:contextualSpacing/>
              <w:rPr>
                <w:b/>
              </w:rPr>
            </w:pPr>
            <w:r>
              <w:rPr>
                <w:b/>
              </w:rPr>
              <w:t>Corapporteur:</w:t>
            </w:r>
          </w:p>
        </w:tc>
        <w:tc>
          <w:tcPr>
            <w:tcW w:w="6946" w:type="dxa"/>
          </w:tcPr>
          <w:p w:rsidRPr="006E3F60" w:rsidR="00B10934" w:rsidP="009120CD" w:rsidRDefault="00B10934" w14:paraId="427560C7" w14:textId="4F6458B0">
            <w:pPr>
              <w:keepNext/>
              <w:ind w:left="-106"/>
              <w:contextualSpacing/>
            </w:pPr>
            <w:r>
              <w:t>Ioannis VARDAKASTANIS (groep Maatschappelijke Organisaties – EL)</w:t>
            </w:r>
          </w:p>
        </w:tc>
      </w:tr>
      <w:tr w:rsidRPr="006E3F60" w:rsidR="00B10934" w:rsidTr="004E4367" w14:paraId="4FDFAA85" w14:textId="77777777">
        <w:tc>
          <w:tcPr>
            <w:tcW w:w="8647" w:type="dxa"/>
            <w:gridSpan w:val="2"/>
          </w:tcPr>
          <w:p w:rsidRPr="006E3F60" w:rsidR="00B10934" w:rsidP="009120CD" w:rsidRDefault="00B10934" w14:paraId="45119DCD" w14:textId="77777777">
            <w:pPr>
              <w:keepNext/>
              <w:contextualSpacing/>
            </w:pPr>
          </w:p>
        </w:tc>
      </w:tr>
      <w:tr w:rsidRPr="006E3F60" w:rsidR="00B10934" w:rsidTr="004E4367" w14:paraId="20EA12EB" w14:textId="77777777">
        <w:tc>
          <w:tcPr>
            <w:tcW w:w="1701" w:type="dxa"/>
          </w:tcPr>
          <w:p w:rsidRPr="006E3F60" w:rsidR="00B10934" w:rsidP="009120CD" w:rsidRDefault="00B10934" w14:paraId="529DA37B" w14:textId="77777777">
            <w:pPr>
              <w:keepNext/>
              <w:contextualSpacing/>
              <w:rPr>
                <w:b/>
              </w:rPr>
            </w:pPr>
            <w:r>
              <w:rPr>
                <w:b/>
              </w:rPr>
              <w:t xml:space="preserve">Referentie: </w:t>
            </w:r>
          </w:p>
        </w:tc>
        <w:tc>
          <w:tcPr>
            <w:tcW w:w="6946" w:type="dxa"/>
          </w:tcPr>
          <w:p w:rsidRPr="006E3F60" w:rsidR="00B10934" w:rsidP="009120CD" w:rsidRDefault="00B10934" w14:paraId="0495867F" w14:textId="77777777">
            <w:pPr>
              <w:keepNext/>
              <w:ind w:left="-106"/>
              <w:contextualSpacing/>
              <w:rPr>
                <w:iCs/>
                <w:color w:val="000000"/>
              </w:rPr>
            </w:pPr>
            <w:r>
              <w:rPr>
                <w:color w:val="000000"/>
              </w:rPr>
              <w:t>Initiatiefadvies</w:t>
            </w:r>
          </w:p>
          <w:p w:rsidRPr="006E3F60" w:rsidR="00B10934" w:rsidP="009120CD" w:rsidRDefault="00B10934" w14:paraId="77555D52" w14:textId="055A76D0">
            <w:pPr>
              <w:keepNext/>
              <w:ind w:left="-106"/>
              <w:contextualSpacing/>
            </w:pPr>
            <w:r>
              <w:t>EESC-2022-01398-00-00-AC</w:t>
            </w:r>
          </w:p>
        </w:tc>
      </w:tr>
    </w:tbl>
    <w:p w:rsidRPr="006E3F60" w:rsidR="00B10934" w:rsidP="009120CD" w:rsidRDefault="00B10934" w14:paraId="4EE48C39" w14:textId="77777777">
      <w:pPr>
        <w:keepNext/>
        <w:ind w:left="567"/>
        <w:contextualSpacing/>
      </w:pPr>
    </w:p>
    <w:p w:rsidRPr="00A00F37" w:rsidR="00B10934" w:rsidP="009120CD" w:rsidRDefault="00B10934" w14:paraId="30E45228" w14:textId="3328F4E0">
      <w:pPr>
        <w:pStyle w:val="ListParagraph"/>
        <w:ind w:left="0" w:firstLine="142"/>
        <w:rPr>
          <w:b/>
        </w:rPr>
      </w:pPr>
      <w:r>
        <w:rPr>
          <w:b/>
        </w:rPr>
        <w:t>Hoofdpunten</w:t>
      </w:r>
    </w:p>
    <w:p w:rsidRPr="00C25DB3" w:rsidR="00B10934" w:rsidP="009120CD" w:rsidRDefault="00B10934" w14:paraId="42308E24" w14:textId="77777777">
      <w:pPr>
        <w:contextualSpacing/>
        <w:rPr>
          <w:b/>
        </w:rPr>
      </w:pPr>
    </w:p>
    <w:p w:rsidR="00B10934" w:rsidP="009120CD" w:rsidRDefault="00B10934" w14:paraId="5BC9CB1A" w14:textId="77777777">
      <w:pPr>
        <w:ind w:left="142"/>
        <w:contextualSpacing/>
        <w:rPr>
          <w:bCs/>
          <w:iCs/>
        </w:rPr>
      </w:pPr>
      <w:r>
        <w:t>Het EESC:</w:t>
      </w:r>
    </w:p>
    <w:p w:rsidRPr="006E3F60" w:rsidR="00B10934" w:rsidP="009120CD" w:rsidRDefault="00B10934" w14:paraId="67817DFC" w14:textId="77777777">
      <w:pPr>
        <w:contextualSpacing/>
      </w:pPr>
    </w:p>
    <w:p w:rsidR="00B10934" w:rsidP="009120CD" w:rsidRDefault="001106FB" w14:paraId="2119F1A1" w14:textId="11267DD4">
      <w:pPr>
        <w:numPr>
          <w:ilvl w:val="0"/>
          <w:numId w:val="3"/>
        </w:numPr>
        <w:ind w:left="357" w:hanging="357"/>
        <w:contextualSpacing/>
      </w:pPr>
      <w:r>
        <w:t>prijst de inspanningen van de Europese Commissie en de afzonderlijke lidstaten, die vaart hebben gezet achter het proces om onafhankelijk te worden van de Russische energievoorziening;</w:t>
      </w:r>
    </w:p>
    <w:p w:rsidR="00B10934" w:rsidP="009120CD" w:rsidRDefault="001106FB" w14:paraId="7B577A49" w14:textId="3F481535">
      <w:pPr>
        <w:numPr>
          <w:ilvl w:val="0"/>
          <w:numId w:val="3"/>
        </w:numPr>
        <w:ind w:left="357" w:hanging="357"/>
        <w:contextualSpacing/>
      </w:pPr>
      <w:r>
        <w:t>acht het, gezien de dynamiek van de oorlog in Oekraïne, echter noodzakelijk om dit proces nog verder te versnellen met een strikt embargo, waarbij tegelijkertijd moet worden ingezet op de snelle ontwikkeling van alternatieve schone energiebronnen;</w:t>
      </w:r>
    </w:p>
    <w:p w:rsidR="00B10934" w:rsidP="009120CD" w:rsidRDefault="001106FB" w14:paraId="65FB49B0" w14:textId="73EDC72E">
      <w:pPr>
        <w:numPr>
          <w:ilvl w:val="0"/>
          <w:numId w:val="3"/>
        </w:numPr>
        <w:ind w:left="357" w:hanging="357"/>
        <w:contextualSpacing/>
      </w:pPr>
      <w:r>
        <w:t>vindt het een goede zaak dat Europa een voortrekkersrol blijft spelen in de energietransitie, maar de veranderingen binnen de EU volstaan niet om de gevolgen van wereldwijde emissies te compenseren. Zowel gezien de klimaatverandering als wat economische expansie voor een duurzame mondiale ontwikkeling betreft is het duidelijk in ons eigen belang dat internationaal tot actie wordt overgegaan;</w:t>
      </w:r>
    </w:p>
    <w:p w:rsidR="00B10934" w:rsidP="009120CD" w:rsidRDefault="001106FB" w14:paraId="7446D8D9" w14:textId="5E450BF8">
      <w:pPr>
        <w:numPr>
          <w:ilvl w:val="0"/>
          <w:numId w:val="3"/>
        </w:numPr>
        <w:ind w:left="357" w:hanging="357"/>
        <w:contextualSpacing/>
      </w:pPr>
      <w:r>
        <w:t xml:space="preserve">is ingenomen met een aantal </w:t>
      </w:r>
      <w:r>
        <w:rPr>
          <w:b/>
        </w:rPr>
        <w:t>EU-initiatieven</w:t>
      </w:r>
      <w:r>
        <w:t xml:space="preserve"> die de </w:t>
      </w:r>
      <w:r>
        <w:rPr>
          <w:b/>
        </w:rPr>
        <w:t>interne veerkracht van de EU</w:t>
      </w:r>
      <w:r>
        <w:t xml:space="preserve"> versterken, zoals REPowerEU, of initiatieven zoals het partnerschap voor een rechtvaardige energietransitie, de Global Gateway en de groene agenda voor de Westelijke Balkan, die de </w:t>
      </w:r>
      <w:r>
        <w:rPr>
          <w:b/>
        </w:rPr>
        <w:t>politieke stabiliteit</w:t>
      </w:r>
      <w:r>
        <w:t xml:space="preserve"> ten goede komen;</w:t>
      </w:r>
    </w:p>
    <w:p w:rsidR="00B10934" w:rsidP="009120CD" w:rsidRDefault="001106FB" w14:paraId="5CF9FCF5" w14:textId="4E2C7ADC">
      <w:pPr>
        <w:numPr>
          <w:ilvl w:val="0"/>
          <w:numId w:val="3"/>
        </w:numPr>
        <w:ind w:left="357" w:hanging="357"/>
        <w:contextualSpacing/>
      </w:pPr>
      <w:r>
        <w:t xml:space="preserve">is ingenomen met het initiatief om Moldavië en Oekraïne aan te sluiten op het Europese energienet, maar dringt ook aan op </w:t>
      </w:r>
      <w:r>
        <w:rPr>
          <w:b/>
        </w:rPr>
        <w:t>periodieke evaluaties van de geopolitieke situati</w:t>
      </w:r>
      <w:r>
        <w:t>e als zich dynamische veranderingen hebben voorgedaan in de energiestructuur in landen als Armenië, Georgië en Kazachstan;</w:t>
      </w:r>
    </w:p>
    <w:p w:rsidRPr="00C25DB3" w:rsidR="00B10934" w:rsidP="009120CD" w:rsidRDefault="001106FB" w14:paraId="6E6233CA" w14:textId="0649EFC9">
      <w:pPr>
        <w:numPr>
          <w:ilvl w:val="0"/>
          <w:numId w:val="3"/>
        </w:numPr>
        <w:ind w:left="357" w:hanging="357"/>
        <w:contextualSpacing/>
      </w:pPr>
      <w:r>
        <w:t xml:space="preserve">wijst erop dat er speciale betrekkingen moeten worden opgebouwd met landen die belangrijke leveranciers zijn van zware metalen en grondstoffen die nodig zijn voor de productie van schone energietechnologieën. Deze technologieën kunnen namelijk in gevaar komen. Hiervoor moet in de internationale betrekkingen een geheel nieuwe tak worden ontwikkeld: </w:t>
      </w:r>
      <w:r>
        <w:rPr>
          <w:b/>
        </w:rPr>
        <w:t>Europese energiediplomatie</w:t>
      </w:r>
      <w:r>
        <w:t>.</w:t>
      </w:r>
    </w:p>
    <w:p w:rsidRPr="006E3F60" w:rsidR="00B10934" w:rsidP="009120CD" w:rsidRDefault="00B10934" w14:paraId="4869B881" w14:textId="77777777"/>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6E3F60" w:rsidR="00B10934" w:rsidTr="004E4367" w14:paraId="0A17DE15" w14:textId="77777777">
        <w:tc>
          <w:tcPr>
            <w:tcW w:w="1418" w:type="dxa"/>
          </w:tcPr>
          <w:p w:rsidRPr="006E3F60" w:rsidR="00B10934" w:rsidP="009120CD" w:rsidRDefault="00B10934" w14:paraId="1AD80AE7" w14:textId="77777777">
            <w:pPr>
              <w:contextualSpacing/>
              <w:rPr>
                <w:i/>
              </w:rPr>
            </w:pPr>
            <w:r>
              <w:rPr>
                <w:b/>
                <w:i/>
              </w:rPr>
              <w:t>Contactpersoon</w:t>
            </w:r>
          </w:p>
        </w:tc>
        <w:tc>
          <w:tcPr>
            <w:tcW w:w="5670" w:type="dxa"/>
          </w:tcPr>
          <w:p w:rsidRPr="006E3F60" w:rsidR="00B10934" w:rsidP="009120CD" w:rsidRDefault="00B10934" w14:paraId="6D26F1D1" w14:textId="73AF1C95">
            <w:pPr>
              <w:contextualSpacing/>
              <w:rPr>
                <w:i/>
              </w:rPr>
            </w:pPr>
            <w:r>
              <w:rPr>
                <w:i/>
              </w:rPr>
              <w:t>Andreas Berger</w:t>
            </w:r>
          </w:p>
        </w:tc>
      </w:tr>
      <w:tr w:rsidRPr="006E3F60" w:rsidR="00B10934" w:rsidTr="004E4367" w14:paraId="6343664B" w14:textId="77777777">
        <w:tc>
          <w:tcPr>
            <w:tcW w:w="1418" w:type="dxa"/>
          </w:tcPr>
          <w:p w:rsidRPr="006E3F60" w:rsidR="00B10934" w:rsidP="009120CD" w:rsidRDefault="00B10934" w14:paraId="50AF888B" w14:textId="77777777">
            <w:pPr>
              <w:ind w:left="601"/>
              <w:contextualSpacing/>
              <w:rPr>
                <w:i/>
              </w:rPr>
            </w:pPr>
            <w:r>
              <w:rPr>
                <w:i/>
              </w:rPr>
              <w:t>Tel.</w:t>
            </w:r>
          </w:p>
        </w:tc>
        <w:tc>
          <w:tcPr>
            <w:tcW w:w="5670" w:type="dxa"/>
          </w:tcPr>
          <w:p w:rsidRPr="006E3F60" w:rsidR="00B10934" w:rsidP="009120CD" w:rsidRDefault="00B10934" w14:paraId="7916302F" w14:textId="4203DD70">
            <w:pPr>
              <w:contextualSpacing/>
              <w:rPr>
                <w:i/>
              </w:rPr>
            </w:pPr>
            <w:r>
              <w:rPr>
                <w:i/>
              </w:rPr>
              <w:t>00 32 2 546 90 62</w:t>
            </w:r>
          </w:p>
        </w:tc>
      </w:tr>
      <w:tr w:rsidRPr="006E3F60" w:rsidR="00B10934" w:rsidTr="004E4367" w14:paraId="4121CD1A" w14:textId="77777777">
        <w:tc>
          <w:tcPr>
            <w:tcW w:w="1418" w:type="dxa"/>
          </w:tcPr>
          <w:p w:rsidRPr="006E3F60" w:rsidR="00B10934" w:rsidP="009120CD" w:rsidRDefault="00B10934" w14:paraId="2BB848C1" w14:textId="77777777">
            <w:pPr>
              <w:ind w:left="601"/>
              <w:contextualSpacing/>
              <w:rPr>
                <w:i/>
              </w:rPr>
            </w:pPr>
            <w:r>
              <w:rPr>
                <w:i/>
              </w:rPr>
              <w:t>E-mail</w:t>
            </w:r>
          </w:p>
        </w:tc>
        <w:tc>
          <w:tcPr>
            <w:tcW w:w="5670" w:type="dxa"/>
          </w:tcPr>
          <w:p w:rsidRPr="006E3F60" w:rsidR="00B10934" w:rsidP="009120CD" w:rsidRDefault="00C56F85" w14:paraId="57CBD11B" w14:textId="1EEADEC6">
            <w:pPr>
              <w:contextualSpacing/>
              <w:rPr>
                <w:i/>
              </w:rPr>
            </w:pPr>
            <w:hyperlink w:history="1" r:id="rId47">
              <w:r w:rsidR="0064748D">
                <w:rPr>
                  <w:rStyle w:val="Hyperlink"/>
                </w:rPr>
                <w:t>Andreas.Berger</w:t>
              </w:r>
              <w:r w:rsidR="0064748D">
                <w:rPr>
                  <w:rStyle w:val="Hyperlink"/>
                  <w:i/>
                </w:rPr>
                <w:t>@eesc.europa.eu</w:t>
              </w:r>
            </w:hyperlink>
          </w:p>
        </w:tc>
      </w:tr>
    </w:tbl>
    <w:p w:rsidR="00E00915" w:rsidP="009120CD" w:rsidRDefault="00E00915" w14:paraId="68F37C68" w14:textId="77777777">
      <w:pPr>
        <w:sectPr w:rsidR="00E00915" w:rsidSect="00A10A98">
          <w:headerReference w:type="even" r:id="rId48"/>
          <w:headerReference w:type="default" r:id="rId49"/>
          <w:footerReference w:type="even" r:id="rId50"/>
          <w:footerReference w:type="default" r:id="rId51"/>
          <w:headerReference w:type="first" r:id="rId52"/>
          <w:footerReference w:type="first" r:id="rId53"/>
          <w:pgSz w:w="11907" w:h="16839"/>
          <w:pgMar w:top="1191" w:right="1418" w:bottom="1077" w:left="1276" w:header="709" w:footer="709" w:gutter="0"/>
          <w:cols w:space="708"/>
          <w:docGrid w:linePitch="360"/>
        </w:sectPr>
      </w:pPr>
    </w:p>
    <w:p w:rsidRPr="003E692C" w:rsidR="00745EAA" w:rsidP="009120CD" w:rsidRDefault="00745EAA" w14:paraId="43F93309" w14:textId="77777777">
      <w:pPr>
        <w:pStyle w:val="Heading1"/>
        <w:keepNext/>
        <w:rPr>
          <w:b/>
        </w:rPr>
      </w:pPr>
      <w:bookmarkStart w:name="_Toc116383032" w:id="36"/>
      <w:r>
        <w:rPr>
          <w:b/>
        </w:rPr>
        <w:lastRenderedPageBreak/>
        <w:t>ADVIESCOMMISSIE INDUSTRIËLE RECONVERSIE</w:t>
      </w:r>
      <w:bookmarkEnd w:id="36"/>
    </w:p>
    <w:p w:rsidRPr="00745EAA" w:rsidR="006E3F60" w:rsidP="009120CD" w:rsidRDefault="00745EAA" w14:paraId="4A27BE14" w14:textId="77777777">
      <w:pPr>
        <w:keepNext/>
        <w:keepLines/>
        <w:contextualSpacing/>
        <w:rPr>
          <w:b/>
          <w:sz w:val="28"/>
          <w:szCs w:val="28"/>
        </w:rPr>
      </w:pPr>
      <w:r>
        <w:rPr>
          <w:b/>
        </w:rPr>
        <w:tab/>
      </w:r>
    </w:p>
    <w:p w:rsidRPr="00092425" w:rsidR="006E3F60" w:rsidP="009120CD" w:rsidRDefault="00070AAE" w14:paraId="1EE44511" w14:textId="07A3F9D5">
      <w:pPr>
        <w:keepNext/>
        <w:keepLines/>
        <w:numPr>
          <w:ilvl w:val="0"/>
          <w:numId w:val="2"/>
        </w:numPr>
        <w:ind w:left="567" w:hanging="567"/>
        <w:contextualSpacing/>
      </w:pPr>
      <w:bookmarkStart w:name="_Hlk113971064" w:id="37"/>
      <w:r>
        <w:rPr>
          <w:b/>
          <w:i/>
          <w:sz w:val="28"/>
        </w:rPr>
        <w:t>Koolstofverwijderingstechnologieën bij het koolstofarm maken van de industrie</w:t>
      </w:r>
    </w:p>
    <w:p w:rsidRPr="006E3F60" w:rsidR="00092425" w:rsidP="009120CD" w:rsidRDefault="00092425" w14:paraId="4FF48D94" w14:textId="77777777">
      <w:pPr>
        <w:keepNext/>
        <w:keepLines/>
        <w:ind w:left="567"/>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6E3F60" w:rsidR="006E3F60" w:rsidTr="00C25DB3" w14:paraId="25907EC0" w14:textId="77777777">
        <w:tc>
          <w:tcPr>
            <w:tcW w:w="1701" w:type="dxa"/>
          </w:tcPr>
          <w:p w:rsidRPr="006E3F60" w:rsidR="006E3F60" w:rsidP="009120CD" w:rsidRDefault="006E3F60" w14:paraId="363A590B" w14:textId="77777777">
            <w:pPr>
              <w:keepNext/>
              <w:contextualSpacing/>
              <w:rPr>
                <w:b/>
              </w:rPr>
            </w:pPr>
            <w:r>
              <w:rPr>
                <w:b/>
              </w:rPr>
              <w:t>Rapporteur:</w:t>
            </w:r>
          </w:p>
        </w:tc>
        <w:tc>
          <w:tcPr>
            <w:tcW w:w="6946" w:type="dxa"/>
          </w:tcPr>
          <w:p w:rsidRPr="006E3F60" w:rsidR="006E3F60" w:rsidP="009120CD" w:rsidRDefault="00070AAE" w14:paraId="7776D9DA" w14:textId="1511AEC6">
            <w:pPr>
              <w:keepNext/>
              <w:ind w:left="-106"/>
              <w:contextualSpacing/>
            </w:pPr>
            <w:r>
              <w:t>Andrés BARCELÓ DELGADO (groep Werkgevers – ES)</w:t>
            </w:r>
          </w:p>
        </w:tc>
      </w:tr>
      <w:tr w:rsidRPr="006E3F60" w:rsidR="006E3F60" w:rsidTr="00C25DB3" w14:paraId="3818F306" w14:textId="77777777">
        <w:tc>
          <w:tcPr>
            <w:tcW w:w="1701" w:type="dxa"/>
          </w:tcPr>
          <w:p w:rsidRPr="006E3F60" w:rsidR="006E3F60" w:rsidP="009120CD" w:rsidRDefault="006E3F60" w14:paraId="335B5DA6" w14:textId="77777777">
            <w:pPr>
              <w:keepNext/>
              <w:contextualSpacing/>
              <w:rPr>
                <w:b/>
              </w:rPr>
            </w:pPr>
            <w:r>
              <w:rPr>
                <w:b/>
              </w:rPr>
              <w:t>Corapporteur:</w:t>
            </w:r>
          </w:p>
        </w:tc>
        <w:tc>
          <w:tcPr>
            <w:tcW w:w="6946" w:type="dxa"/>
          </w:tcPr>
          <w:p w:rsidRPr="006E3F60" w:rsidR="006E3F60" w:rsidP="009120CD" w:rsidRDefault="00070AAE" w14:paraId="5324713C" w14:textId="389CB9FA">
            <w:pPr>
              <w:keepNext/>
              <w:ind w:left="-106"/>
              <w:contextualSpacing/>
            </w:pPr>
            <w:r>
              <w:t>Monika SITÁROVÁ (cat.2 – SK)</w:t>
            </w:r>
          </w:p>
        </w:tc>
      </w:tr>
      <w:tr w:rsidRPr="006E3F60" w:rsidR="006E3F60" w:rsidTr="00C25DB3" w14:paraId="3B98D2DD" w14:textId="77777777">
        <w:tc>
          <w:tcPr>
            <w:tcW w:w="8647" w:type="dxa"/>
            <w:gridSpan w:val="2"/>
          </w:tcPr>
          <w:p w:rsidRPr="006E3F60" w:rsidR="006E3F60" w:rsidP="009120CD" w:rsidRDefault="006E3F60" w14:paraId="302FFA0F" w14:textId="77777777">
            <w:pPr>
              <w:keepNext/>
              <w:contextualSpacing/>
            </w:pPr>
          </w:p>
        </w:tc>
      </w:tr>
      <w:tr w:rsidRPr="006E3F60" w:rsidR="006E3F60" w:rsidTr="00C25DB3" w14:paraId="5C47C9B0" w14:textId="77777777">
        <w:tc>
          <w:tcPr>
            <w:tcW w:w="1701" w:type="dxa"/>
          </w:tcPr>
          <w:p w:rsidRPr="006E3F60" w:rsidR="006E3F60" w:rsidP="009120CD" w:rsidRDefault="006E3F60" w14:paraId="70DE31B6" w14:textId="77777777">
            <w:pPr>
              <w:keepNext/>
              <w:contextualSpacing/>
              <w:rPr>
                <w:b/>
              </w:rPr>
            </w:pPr>
            <w:r>
              <w:rPr>
                <w:b/>
              </w:rPr>
              <w:t xml:space="preserve">Referentie: </w:t>
            </w:r>
          </w:p>
        </w:tc>
        <w:tc>
          <w:tcPr>
            <w:tcW w:w="6946" w:type="dxa"/>
          </w:tcPr>
          <w:p w:rsidRPr="006E3F60" w:rsidR="006E3F60" w:rsidP="009120CD" w:rsidRDefault="00070AAE" w14:paraId="1726139F" w14:textId="0025D447">
            <w:pPr>
              <w:keepNext/>
              <w:ind w:left="-106"/>
              <w:contextualSpacing/>
              <w:rPr>
                <w:iCs/>
                <w:color w:val="000000"/>
              </w:rPr>
            </w:pPr>
            <w:r>
              <w:rPr>
                <w:color w:val="000000"/>
              </w:rPr>
              <w:t>Initiatiefadvies</w:t>
            </w:r>
          </w:p>
          <w:p w:rsidRPr="006E3F60" w:rsidR="006E3F60" w:rsidP="009120CD" w:rsidRDefault="00C25DB3" w14:paraId="2ACB8205" w14:textId="734F4C38">
            <w:pPr>
              <w:keepNext/>
              <w:ind w:left="-106"/>
              <w:contextualSpacing/>
            </w:pPr>
            <w:r>
              <w:t>EESC-2022-01057-00-00-AC</w:t>
            </w:r>
          </w:p>
        </w:tc>
      </w:tr>
    </w:tbl>
    <w:p w:rsidRPr="006E3F60" w:rsidR="006E3F60" w:rsidP="009120CD" w:rsidRDefault="006E3F60" w14:paraId="491156E7" w14:textId="77777777">
      <w:pPr>
        <w:keepNext/>
        <w:ind w:left="567"/>
        <w:contextualSpacing/>
      </w:pPr>
    </w:p>
    <w:p w:rsidR="006E3F60" w:rsidP="009120CD" w:rsidRDefault="006E3F60" w14:paraId="393FC053" w14:textId="7D463869">
      <w:pPr>
        <w:pStyle w:val="ListParagraph"/>
        <w:ind w:left="0" w:firstLine="142"/>
        <w:rPr>
          <w:b/>
        </w:rPr>
      </w:pPr>
      <w:r>
        <w:rPr>
          <w:b/>
        </w:rPr>
        <w:t>Hoofdpunten</w:t>
      </w:r>
    </w:p>
    <w:p w:rsidRPr="00C25DB3" w:rsidR="00C25DB3" w:rsidP="009120CD" w:rsidRDefault="00C25DB3" w14:paraId="5DC1F2E9" w14:textId="77777777">
      <w:pPr>
        <w:contextualSpacing/>
        <w:rPr>
          <w:b/>
        </w:rPr>
      </w:pPr>
    </w:p>
    <w:p w:rsidRPr="00A00F37" w:rsidR="006E3F60" w:rsidP="009120CD" w:rsidRDefault="00C25DB3" w14:paraId="7490CEC6" w14:textId="77777777">
      <w:pPr>
        <w:pStyle w:val="ListParagraph"/>
        <w:ind w:left="0" w:firstLine="142"/>
        <w:rPr>
          <w:bCs/>
          <w:iCs/>
        </w:rPr>
      </w:pPr>
      <w:r>
        <w:t>Het EESC:</w:t>
      </w:r>
    </w:p>
    <w:p w:rsidRPr="006E3F60" w:rsidR="00C25DB3" w:rsidP="009120CD" w:rsidRDefault="00C25DB3" w14:paraId="725984FA" w14:textId="77777777">
      <w:pPr>
        <w:contextualSpacing/>
      </w:pPr>
    </w:p>
    <w:p w:rsidR="00070AAE" w:rsidP="009120CD" w:rsidRDefault="00070AAE" w14:paraId="23C73CEE" w14:textId="77777777">
      <w:pPr>
        <w:numPr>
          <w:ilvl w:val="0"/>
          <w:numId w:val="3"/>
        </w:numPr>
        <w:ind w:left="357" w:hanging="357"/>
        <w:contextualSpacing/>
      </w:pPr>
      <w:r>
        <w:t>herhaalt dat het de toezeggingen in het kader van de Green Deal alsook de versterking van de strategische autonomie op het gebied van energievoorziening en industrieel leiderschap volmondig steunt;</w:t>
      </w:r>
    </w:p>
    <w:p w:rsidR="00070AAE" w:rsidP="009120CD" w:rsidRDefault="00070AAE" w14:paraId="2D793A46" w14:textId="77777777">
      <w:pPr>
        <w:numPr>
          <w:ilvl w:val="0"/>
          <w:numId w:val="3"/>
        </w:numPr>
        <w:ind w:left="357" w:hanging="357"/>
        <w:contextualSpacing/>
      </w:pPr>
      <w:r>
        <w:t>beklemtoont dat de gevolgen van de aanhoudende oorlog in Oekraïne voor de beschikbaarheid van energie en grondstoffen niet mogen worden genegeerd, en dat deze situatie op de voet moet worden gevolgd in het kader van het Europees Semester;</w:t>
      </w:r>
    </w:p>
    <w:p w:rsidR="00070AAE" w:rsidP="009120CD" w:rsidRDefault="00070AAE" w14:paraId="1EBD51AB" w14:textId="77777777">
      <w:pPr>
        <w:numPr>
          <w:ilvl w:val="0"/>
          <w:numId w:val="3"/>
        </w:numPr>
        <w:ind w:left="357" w:hanging="357"/>
        <w:contextualSpacing/>
      </w:pPr>
      <w:r>
        <w:t>beklemtoont dat moet worden uitgegaan van een voldoende en passende hernieuwbare-energiemix voor elektrificatie en de productie van groene waterstof, wil de groene transitie in de maakindustrie slagen. Technologieën voor koolstofdioxideverwijdering (CDR), koolstofafvang en -opslag (CCS) en koolstofafvang en -gebruik (CCU) zullen de industrie helpen om klimaatneutraliteit te bereiken. Om de Green Deal-doelstellingen te kunnen halen, moet in heel Europa meer hernieuwbare energie worden geproduceerd;</w:t>
      </w:r>
    </w:p>
    <w:p w:rsidR="00070AAE" w:rsidP="009120CD" w:rsidRDefault="00070AAE" w14:paraId="5FF2D679" w14:textId="77777777">
      <w:pPr>
        <w:numPr>
          <w:ilvl w:val="0"/>
          <w:numId w:val="3"/>
        </w:numPr>
        <w:ind w:left="357" w:hanging="357"/>
        <w:contextualSpacing/>
      </w:pPr>
      <w:r>
        <w:t>beklemtoont dat een ingrijpende transformatie van de industriële activiteiten (in de komende 30 jaar) nodig is om de decarbonisatie te doen slagen;</w:t>
      </w:r>
    </w:p>
    <w:p w:rsidR="00070AAE" w:rsidP="009120CD" w:rsidRDefault="00070AAE" w14:paraId="021AD97F" w14:textId="77777777">
      <w:pPr>
        <w:numPr>
          <w:ilvl w:val="0"/>
          <w:numId w:val="3"/>
        </w:numPr>
        <w:ind w:left="357" w:hanging="357"/>
        <w:contextualSpacing/>
      </w:pPr>
      <w:r>
        <w:t>beklemtoont dat de ontwikkeling van technologieën en het opleiden en bijscholen van arbeidskrachten voor de groene transitie in de maakindustrie dan ook cruciaal zijn;</w:t>
      </w:r>
    </w:p>
    <w:p w:rsidR="00070AAE" w:rsidP="009120CD" w:rsidRDefault="00070AAE" w14:paraId="5B168213" w14:textId="77777777">
      <w:pPr>
        <w:numPr>
          <w:ilvl w:val="0"/>
          <w:numId w:val="3"/>
        </w:numPr>
        <w:ind w:left="357" w:hanging="357"/>
        <w:contextualSpacing/>
      </w:pPr>
      <w:r>
        <w:t>beklemtoont dat een toename van het gebruik van alternatieve grondstoffen — met name duurzame biomassa — kan bijdragen tot de duurzame verwijdering van koolstof uit de atmosfeer;</w:t>
      </w:r>
    </w:p>
    <w:p w:rsidR="00070AAE" w:rsidP="009120CD" w:rsidRDefault="00070AAE" w14:paraId="098901CD" w14:textId="77777777">
      <w:pPr>
        <w:numPr>
          <w:ilvl w:val="0"/>
          <w:numId w:val="3"/>
        </w:numPr>
        <w:ind w:left="357" w:hanging="357"/>
        <w:contextualSpacing/>
      </w:pPr>
      <w:r>
        <w:t>dringt erop aan dat het concurrentievermogen van de Europese industrie behouden blijft;</w:t>
      </w:r>
    </w:p>
    <w:p w:rsidRPr="00C25DB3" w:rsidR="00C25DB3" w:rsidP="009120CD" w:rsidRDefault="00070AAE" w14:paraId="27F7B8B2" w14:textId="7EEF943D">
      <w:pPr>
        <w:numPr>
          <w:ilvl w:val="0"/>
          <w:numId w:val="3"/>
        </w:numPr>
        <w:ind w:left="357" w:hanging="357"/>
        <w:contextualSpacing/>
      </w:pPr>
      <w:r>
        <w:t>beklemtoont dat de Europese samenleving ook in de toekomst zal kunnen rekenen op welvaart, kwaliteitsbanen en engagement in de strijd tegen klimaatverandering, als er binnen de EU een solide industriële basis blijft bestaan. De Europese industrie moet in Europa investeren, met een passend regelgevingskader, zowel in O&amp;O&amp;I als in materiële vaste activa, teneinde haar concurrentiepositie te behouden.</w:t>
      </w:r>
    </w:p>
    <w:p w:rsidRPr="006E3F60" w:rsidR="00C25DB3" w:rsidP="009120CD" w:rsidRDefault="00C25DB3" w14:paraId="6575574F" w14:textId="77777777"/>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6E3F60" w:rsidR="006E3F60" w:rsidTr="00B83E7B" w14:paraId="3701C8A8" w14:textId="77777777">
        <w:tc>
          <w:tcPr>
            <w:tcW w:w="1418" w:type="dxa"/>
          </w:tcPr>
          <w:p w:rsidRPr="006E3F60" w:rsidR="006E3F60" w:rsidP="009120CD" w:rsidRDefault="006E3F60" w14:paraId="61A358F3" w14:textId="77777777">
            <w:pPr>
              <w:contextualSpacing/>
              <w:rPr>
                <w:i/>
              </w:rPr>
            </w:pPr>
            <w:r>
              <w:rPr>
                <w:b/>
                <w:i/>
              </w:rPr>
              <w:t>Contactpersoon</w:t>
            </w:r>
          </w:p>
        </w:tc>
        <w:tc>
          <w:tcPr>
            <w:tcW w:w="5670" w:type="dxa"/>
          </w:tcPr>
          <w:p w:rsidRPr="006E3F60" w:rsidR="006E3F60" w:rsidP="009120CD" w:rsidRDefault="00070AAE" w14:paraId="529847A8" w14:textId="126C2302">
            <w:pPr>
              <w:contextualSpacing/>
              <w:rPr>
                <w:i/>
              </w:rPr>
            </w:pPr>
            <w:r>
              <w:rPr>
                <w:i/>
              </w:rPr>
              <w:t>Ioannis Diamantopoulos</w:t>
            </w:r>
          </w:p>
        </w:tc>
      </w:tr>
      <w:tr w:rsidRPr="006E3F60" w:rsidR="006E3F60" w:rsidTr="00B83E7B" w14:paraId="2E4F0404" w14:textId="77777777">
        <w:tc>
          <w:tcPr>
            <w:tcW w:w="1418" w:type="dxa"/>
          </w:tcPr>
          <w:p w:rsidRPr="006E3F60" w:rsidR="006E3F60" w:rsidP="009120CD" w:rsidRDefault="006E3F60" w14:paraId="5A7B9997" w14:textId="77777777">
            <w:pPr>
              <w:ind w:left="601"/>
              <w:contextualSpacing/>
              <w:rPr>
                <w:i/>
              </w:rPr>
            </w:pPr>
            <w:r>
              <w:rPr>
                <w:i/>
              </w:rPr>
              <w:t>Tel.</w:t>
            </w:r>
          </w:p>
        </w:tc>
        <w:tc>
          <w:tcPr>
            <w:tcW w:w="5670" w:type="dxa"/>
          </w:tcPr>
          <w:p w:rsidRPr="006E3F60" w:rsidR="006E3F60" w:rsidP="009120CD" w:rsidRDefault="00F512BB" w14:paraId="52C01769" w14:textId="133C2BFD">
            <w:pPr>
              <w:contextualSpacing/>
              <w:rPr>
                <w:i/>
              </w:rPr>
            </w:pPr>
            <w:r>
              <w:rPr>
                <w:i/>
              </w:rPr>
              <w:t>00 32 2 546 91 70</w:t>
            </w:r>
          </w:p>
        </w:tc>
      </w:tr>
      <w:tr w:rsidRPr="006E3F60" w:rsidR="006E3F60" w:rsidTr="00B83E7B" w14:paraId="1F686407" w14:textId="77777777">
        <w:tc>
          <w:tcPr>
            <w:tcW w:w="1418" w:type="dxa"/>
          </w:tcPr>
          <w:p w:rsidRPr="006E3F60" w:rsidR="006E3F60" w:rsidP="009120CD" w:rsidRDefault="006E3F60" w14:paraId="2859E45F" w14:textId="77777777">
            <w:pPr>
              <w:ind w:left="601"/>
              <w:contextualSpacing/>
              <w:rPr>
                <w:i/>
              </w:rPr>
            </w:pPr>
            <w:r>
              <w:rPr>
                <w:i/>
              </w:rPr>
              <w:t>E-mail</w:t>
            </w:r>
          </w:p>
        </w:tc>
        <w:tc>
          <w:tcPr>
            <w:tcW w:w="5670" w:type="dxa"/>
          </w:tcPr>
          <w:p w:rsidRPr="00F256CD" w:rsidR="006E3F60" w:rsidP="009120CD" w:rsidRDefault="00C56F85" w14:paraId="1B9ADEF7" w14:textId="649D0B4E">
            <w:pPr>
              <w:contextualSpacing/>
              <w:rPr>
                <w:i/>
                <w:iCs/>
              </w:rPr>
            </w:pPr>
            <w:hyperlink w:history="1" r:id="rId54">
              <w:r w:rsidR="0064748D">
                <w:rPr>
                  <w:rStyle w:val="Hyperlink"/>
                  <w:i/>
                </w:rPr>
                <w:t>Ioannis.Diamantopoulos@eesc.europa.eu</w:t>
              </w:r>
            </w:hyperlink>
          </w:p>
        </w:tc>
      </w:tr>
      <w:bookmarkEnd w:id="37"/>
    </w:tbl>
    <w:p w:rsidR="00A10A98" w:rsidP="009120CD" w:rsidRDefault="00A10A98" w14:paraId="02D22029" w14:textId="77777777">
      <w:pPr>
        <w:pStyle w:val="Heading1"/>
        <w:numPr>
          <w:ilvl w:val="0"/>
          <w:numId w:val="0"/>
        </w:numPr>
      </w:pPr>
    </w:p>
    <w:p w:rsidR="00835925" w:rsidP="009120CD" w:rsidRDefault="00835925" w14:paraId="52288089" w14:textId="57BFD64F">
      <w:pPr>
        <w:spacing w:after="160"/>
        <w:jc w:val="left"/>
      </w:pPr>
      <w:r>
        <w:br w:type="page"/>
      </w:r>
    </w:p>
    <w:p w:rsidRPr="00835925" w:rsidR="00835925" w:rsidP="009120CD" w:rsidRDefault="00835925" w14:paraId="4598CF20" w14:textId="2C8D0F44">
      <w:pPr>
        <w:keepNext/>
        <w:keepLines/>
        <w:numPr>
          <w:ilvl w:val="0"/>
          <w:numId w:val="2"/>
        </w:numPr>
        <w:ind w:left="567" w:hanging="567"/>
        <w:contextualSpacing/>
      </w:pPr>
      <w:r>
        <w:rPr>
          <w:b/>
          <w:i/>
          <w:sz w:val="28"/>
        </w:rPr>
        <w:lastRenderedPageBreak/>
        <w:t>Versterking van defensie door middel van aanbestedingen</w:t>
      </w:r>
    </w:p>
    <w:p w:rsidRPr="006E3F60" w:rsidR="00835925" w:rsidP="009120CD" w:rsidRDefault="00835925" w14:paraId="3A8F76F3" w14:textId="77777777">
      <w:pPr>
        <w:keepNext/>
        <w:keepLines/>
        <w:ind w:left="567"/>
        <w:contextualSpacing/>
      </w:pPr>
    </w:p>
    <w:tbl>
      <w:tblPr>
        <w:tblStyle w:val="TableGrid6"/>
        <w:tblW w:w="86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9"/>
      </w:tblGrid>
      <w:tr w:rsidRPr="006E3F60" w:rsidR="00835925" w:rsidTr="00D67CAD" w14:paraId="13E94984" w14:textId="77777777">
        <w:tc>
          <w:tcPr>
            <w:tcW w:w="1701" w:type="dxa"/>
          </w:tcPr>
          <w:p w:rsidR="00D67CAD" w:rsidP="009120CD" w:rsidRDefault="00835925" w14:paraId="6AAA83EA" w14:textId="77777777">
            <w:pPr>
              <w:keepNext/>
              <w:ind w:right="-253"/>
              <w:contextualSpacing/>
              <w:rPr>
                <w:b/>
              </w:rPr>
            </w:pPr>
            <w:r>
              <w:rPr>
                <w:b/>
              </w:rPr>
              <w:t xml:space="preserve">Algemeen </w:t>
            </w:r>
          </w:p>
          <w:p w:rsidRPr="006E3F60" w:rsidR="00835925" w:rsidP="009120CD" w:rsidRDefault="00F01E91" w14:paraId="124EDC70" w14:textId="198A534E">
            <w:pPr>
              <w:keepNext/>
              <w:ind w:right="-253"/>
              <w:contextualSpacing/>
              <w:rPr>
                <w:b/>
              </w:rPr>
            </w:pPr>
            <w:r>
              <w:rPr>
                <w:b/>
              </w:rPr>
              <w:t>Rapporteur:</w:t>
            </w:r>
          </w:p>
        </w:tc>
        <w:tc>
          <w:tcPr>
            <w:tcW w:w="6949" w:type="dxa"/>
          </w:tcPr>
          <w:p w:rsidRPr="006E3F60" w:rsidR="00835925" w:rsidP="009120CD" w:rsidRDefault="00835925" w14:paraId="766B780C" w14:textId="5E7201C3">
            <w:pPr>
              <w:keepNext/>
              <w:ind w:left="-810" w:firstLine="705"/>
              <w:contextualSpacing/>
            </w:pPr>
            <w:r>
              <w:t>Maurizio MENSI (groep Maatschappelijke Organisaties – IT)</w:t>
            </w:r>
          </w:p>
        </w:tc>
      </w:tr>
      <w:tr w:rsidRPr="006E3F60" w:rsidR="00835925" w:rsidTr="00D67CAD" w14:paraId="68EC6D25" w14:textId="77777777">
        <w:tc>
          <w:tcPr>
            <w:tcW w:w="1701" w:type="dxa"/>
          </w:tcPr>
          <w:p w:rsidR="00D67CAD" w:rsidP="009120CD" w:rsidRDefault="00835925" w14:paraId="7E190C3E" w14:textId="77777777">
            <w:pPr>
              <w:keepNext/>
              <w:contextualSpacing/>
              <w:rPr>
                <w:b/>
              </w:rPr>
            </w:pPr>
            <w:r>
              <w:rPr>
                <w:b/>
              </w:rPr>
              <w:t xml:space="preserve">Algemeen </w:t>
            </w:r>
          </w:p>
          <w:p w:rsidRPr="006E3F60" w:rsidR="00835925" w:rsidP="009120CD" w:rsidRDefault="00F01E91" w14:paraId="77B608D1" w14:textId="2A93AB22">
            <w:pPr>
              <w:keepNext/>
              <w:contextualSpacing/>
              <w:rPr>
                <w:b/>
              </w:rPr>
            </w:pPr>
            <w:r>
              <w:rPr>
                <w:b/>
              </w:rPr>
              <w:t>corapporteur:</w:t>
            </w:r>
          </w:p>
        </w:tc>
        <w:tc>
          <w:tcPr>
            <w:tcW w:w="6949" w:type="dxa"/>
          </w:tcPr>
          <w:p w:rsidRPr="006E3F60" w:rsidR="00835925" w:rsidP="009120CD" w:rsidRDefault="00835925" w14:paraId="1D7D3F27" w14:textId="538DBE65">
            <w:pPr>
              <w:keepNext/>
              <w:ind w:left="-810" w:firstLine="705"/>
              <w:contextualSpacing/>
            </w:pPr>
            <w:r>
              <w:t>Jan PIE (cat. 1 – SE)</w:t>
            </w:r>
          </w:p>
        </w:tc>
      </w:tr>
      <w:tr w:rsidRPr="006E3F60" w:rsidR="00835925" w:rsidTr="00D67CAD" w14:paraId="6DC1F79C" w14:textId="77777777">
        <w:tc>
          <w:tcPr>
            <w:tcW w:w="8648" w:type="dxa"/>
            <w:gridSpan w:val="2"/>
          </w:tcPr>
          <w:p w:rsidRPr="006E3F60" w:rsidR="00835925" w:rsidP="009120CD" w:rsidRDefault="00835925" w14:paraId="51240433" w14:textId="77777777">
            <w:pPr>
              <w:keepNext/>
              <w:contextualSpacing/>
            </w:pPr>
          </w:p>
        </w:tc>
      </w:tr>
      <w:tr w:rsidRPr="006E3F60" w:rsidR="00835925" w:rsidTr="00D67CAD" w14:paraId="5EE9E345" w14:textId="77777777">
        <w:tc>
          <w:tcPr>
            <w:tcW w:w="1701" w:type="dxa"/>
          </w:tcPr>
          <w:p w:rsidRPr="006E3F60" w:rsidR="00835925" w:rsidP="009120CD" w:rsidRDefault="00835925" w14:paraId="454508C4" w14:textId="77777777">
            <w:pPr>
              <w:keepNext/>
              <w:contextualSpacing/>
              <w:rPr>
                <w:b/>
              </w:rPr>
            </w:pPr>
            <w:r>
              <w:rPr>
                <w:b/>
              </w:rPr>
              <w:t xml:space="preserve">Referentie: </w:t>
            </w:r>
          </w:p>
        </w:tc>
        <w:tc>
          <w:tcPr>
            <w:tcW w:w="6949" w:type="dxa"/>
          </w:tcPr>
          <w:p w:rsidRPr="006E3F60" w:rsidR="00835925" w:rsidP="009120CD" w:rsidRDefault="00835925" w14:paraId="046E3307" w14:textId="27047500">
            <w:pPr>
              <w:keepNext/>
              <w:ind w:left="-106"/>
              <w:contextualSpacing/>
              <w:rPr>
                <w:iCs/>
                <w:color w:val="000000"/>
              </w:rPr>
            </w:pPr>
            <w:r>
              <w:rPr>
                <w:color w:val="000000"/>
              </w:rPr>
              <w:t>COM(2022) 349 final</w:t>
            </w:r>
          </w:p>
          <w:p w:rsidRPr="006E3F60" w:rsidR="00835925" w:rsidP="009120CD" w:rsidRDefault="00835925" w14:paraId="12A855A2" w14:textId="71E652D5">
            <w:pPr>
              <w:keepNext/>
              <w:ind w:left="-106"/>
              <w:contextualSpacing/>
            </w:pPr>
            <w:r>
              <w:t>EESC-2022-03971-00-00-AC</w:t>
            </w:r>
          </w:p>
        </w:tc>
      </w:tr>
    </w:tbl>
    <w:p w:rsidRPr="00A00F37" w:rsidR="00835925" w:rsidP="009120CD" w:rsidRDefault="00835925" w14:paraId="4DC0A97A" w14:textId="77777777">
      <w:pPr>
        <w:keepNext/>
        <w:ind w:right="-253"/>
        <w:contextualSpacing/>
        <w:rPr>
          <w:b/>
        </w:rPr>
      </w:pPr>
    </w:p>
    <w:p w:rsidR="00835925" w:rsidP="009120CD" w:rsidRDefault="00835925" w14:paraId="73329E3C" w14:textId="411C2E52">
      <w:pPr>
        <w:pStyle w:val="ListParagraph"/>
        <w:ind w:left="0" w:firstLine="142"/>
        <w:rPr>
          <w:b/>
        </w:rPr>
      </w:pPr>
      <w:r>
        <w:rPr>
          <w:b/>
        </w:rPr>
        <w:t>Hoofdpunten</w:t>
      </w:r>
    </w:p>
    <w:p w:rsidRPr="00C25DB3" w:rsidR="00835925" w:rsidP="009120CD" w:rsidRDefault="00835925" w14:paraId="77ED59BB" w14:textId="77777777">
      <w:pPr>
        <w:contextualSpacing/>
        <w:rPr>
          <w:b/>
        </w:rPr>
      </w:pPr>
    </w:p>
    <w:p w:rsidRPr="00A00F37" w:rsidR="00835925" w:rsidP="009120CD" w:rsidRDefault="00835925" w14:paraId="6798578A" w14:textId="77777777">
      <w:pPr>
        <w:pStyle w:val="ListParagraph"/>
        <w:ind w:left="0" w:firstLine="142"/>
        <w:rPr>
          <w:bCs/>
          <w:iCs/>
        </w:rPr>
      </w:pPr>
      <w:r>
        <w:t>Het EESC:</w:t>
      </w:r>
    </w:p>
    <w:p w:rsidRPr="006E3F60" w:rsidR="00835925" w:rsidP="009120CD" w:rsidRDefault="00835925" w14:paraId="5A6325AB" w14:textId="77777777">
      <w:pPr>
        <w:contextualSpacing/>
      </w:pPr>
    </w:p>
    <w:p w:rsidR="00835925" w:rsidP="009120CD" w:rsidRDefault="00835925" w14:paraId="28A8F77A" w14:textId="6AD362DF">
      <w:pPr>
        <w:numPr>
          <w:ilvl w:val="0"/>
          <w:numId w:val="3"/>
        </w:numPr>
        <w:ind w:left="357" w:hanging="357"/>
        <w:contextualSpacing/>
      </w:pPr>
      <w:r>
        <w:t>is ingenomen met het voorstel voor een verordening tot vaststelling van de wet ter versterking van de Europese defensie-industrie door middel van gemeenschappelijke aanbestedingen (het “instrument”), dat bedoeld is om de Europese defensie-industrie en defensievermogens snel te versterken, dit met het oog op de Russische invasie van Oekraïne en de daarmee gepaard gaande problemen die dringend moeten worden aangepakt;</w:t>
      </w:r>
    </w:p>
    <w:p w:rsidR="00835925" w:rsidP="009120CD" w:rsidRDefault="00835925" w14:paraId="752ABB70" w14:textId="68FAE185">
      <w:pPr>
        <w:numPr>
          <w:ilvl w:val="0"/>
          <w:numId w:val="3"/>
        </w:numPr>
        <w:ind w:left="357" w:hanging="357"/>
        <w:contextualSpacing/>
      </w:pPr>
      <w:r>
        <w:t>staat achter de doelstellingen van dit instrument dat erop gericht is om de Europese industriële en technologische defensiebasis (EDTIB) te verbeteren;</w:t>
      </w:r>
    </w:p>
    <w:p w:rsidR="00835925" w:rsidP="009120CD" w:rsidRDefault="00835925" w14:paraId="0365B9C4" w14:textId="703AD443">
      <w:pPr>
        <w:numPr>
          <w:ilvl w:val="0"/>
          <w:numId w:val="3"/>
        </w:numPr>
        <w:ind w:left="357" w:hanging="357"/>
        <w:contextualSpacing/>
      </w:pPr>
      <w:r>
        <w:t>is van oordeel dat het instrument nuttig is om de huidige piek in de vraag naar dringend noodzakelijk uit voorraad leverbaar materieel in goede banen te leiden, maar een vrij zwak middel is in termen van industriebeleid, en dus niet kan worden beschouwd als voorloper van een toekomstig Europees defensie-investeringsprogramma;</w:t>
      </w:r>
    </w:p>
    <w:p w:rsidR="00835925" w:rsidP="009120CD" w:rsidRDefault="00835925" w14:paraId="05719A29" w14:textId="7883C946">
      <w:pPr>
        <w:numPr>
          <w:ilvl w:val="0"/>
          <w:numId w:val="3"/>
        </w:numPr>
        <w:ind w:left="357" w:hanging="357"/>
        <w:contextualSpacing/>
      </w:pPr>
      <w:r>
        <w:t>is het ermee eens dat vaart moet worden gezet achter gezamenlijke maatregelen om de Europese industrie aan te passen aan structurele veranderingen;</w:t>
      </w:r>
    </w:p>
    <w:p w:rsidR="00835925" w:rsidP="009120CD" w:rsidRDefault="00835925" w14:paraId="7233C845" w14:textId="0934A301">
      <w:pPr>
        <w:numPr>
          <w:ilvl w:val="0"/>
          <w:numId w:val="3"/>
        </w:numPr>
        <w:ind w:left="357" w:hanging="357"/>
        <w:contextualSpacing/>
      </w:pPr>
      <w:r>
        <w:t>meent dat gezamenlijke aanbestedingen nodig zijn om te voorkomen dat hogere nationale defensie-investeringen de versnippering van de Europese defensiesector verdiepen, het potentieel voor samenwerking beperken, de externe afhankelijkheid versterken en de interoperabiliteit belemmeren. Er moet dan ook op worden toegezien dat alle lidstaten kunnen voldoen aan hun meest dringende en kritieke vermogensbehoeften, met name die welke door de reactie op de Russische agressie tegen Oekraïne aan het licht zijn gekomen of verergerd;</w:t>
      </w:r>
    </w:p>
    <w:p w:rsidR="00835925" w:rsidP="009120CD" w:rsidRDefault="00835925" w14:paraId="4796F3CE" w14:textId="766F11E4">
      <w:pPr>
        <w:numPr>
          <w:ilvl w:val="0"/>
          <w:numId w:val="3"/>
        </w:numPr>
        <w:ind w:left="357" w:hanging="357"/>
        <w:contextualSpacing/>
      </w:pPr>
      <w:r>
        <w:t>meent dat het aanvullen van de voorraden in veel gevallen in feite betekent dat producten die naar Oekraïne worden gestuurd, worden vervangen door precies dezelfde producten. Het is heel goed denkbaar dat dergelijke aankopen niet echt een structurerend effect hebben op de industrie, en evenmin de technologische innovatie stimuleren. Het EESC vraagt zich dan ook af of het zinvol is de redenering achter het instrument rechtstreeks door te trekken naar een toekomstig Europees defensie-investeringsprogramma;</w:t>
      </w:r>
    </w:p>
    <w:p w:rsidRPr="00835925" w:rsidR="00835925" w:rsidP="009120CD" w:rsidRDefault="00835925" w14:paraId="0513FFAE" w14:textId="6B1947F3">
      <w:pPr>
        <w:numPr>
          <w:ilvl w:val="0"/>
          <w:numId w:val="3"/>
        </w:numPr>
        <w:ind w:left="357" w:hanging="357"/>
        <w:contextualSpacing/>
      </w:pPr>
      <w:r>
        <w:t>vindt het een goede zaak dat gezamenlijke aanbestedingen worden gestimuleerd door middel van rechtstreekse financiële steun uit de EU-begroting, maar betwijfelt of het budget van 500 miljoen EUR zal volstaan om de aanbestedingsbesluiten van de lidstaten in een bepaalde richting te sturen;</w:t>
      </w:r>
    </w:p>
    <w:p w:rsidRPr="003B2007" w:rsidR="00835925" w:rsidP="009120CD" w:rsidRDefault="00835925" w14:paraId="43EA3481" w14:textId="4F1C2F9B">
      <w:pPr>
        <w:numPr>
          <w:ilvl w:val="0"/>
          <w:numId w:val="3"/>
        </w:numPr>
        <w:ind w:left="357" w:hanging="357"/>
        <w:contextualSpacing/>
      </w:pPr>
      <w:r>
        <w:t>is ingenomen met het feit dat de financiële steun van de EU beperkt is tot de aankoop van defensieproducten die in de EU of in geassocieerde landen werden geproduceerd;</w:t>
      </w:r>
    </w:p>
    <w:p w:rsidRPr="003B2007" w:rsidR="003B2007" w:rsidP="009120CD" w:rsidRDefault="003B2007" w14:paraId="075B3ED4" w14:textId="44D25667">
      <w:pPr>
        <w:numPr>
          <w:ilvl w:val="0"/>
          <w:numId w:val="3"/>
        </w:numPr>
        <w:ind w:left="357" w:hanging="357"/>
        <w:contextualSpacing/>
      </w:pPr>
      <w:r>
        <w:t>pleit voor een flexibele interpretatie van de vereiste dat het defensieproduct niet mag worden onderworpen aan een beperking door een niet-geassocieerd derde land (of entiteit);</w:t>
      </w:r>
    </w:p>
    <w:p w:rsidRPr="00C25DB3" w:rsidR="003B2007" w:rsidP="009120CD" w:rsidRDefault="003B2007" w14:paraId="54498F93" w14:textId="32B8F6B8">
      <w:pPr>
        <w:numPr>
          <w:ilvl w:val="0"/>
          <w:numId w:val="3"/>
        </w:numPr>
        <w:ind w:left="357" w:hanging="357"/>
        <w:contextualSpacing/>
      </w:pPr>
      <w:r>
        <w:lastRenderedPageBreak/>
        <w:t>roept de lidstaten op nauw samen te werken met de taskforce voor gezamenlijke aanbestedingen op defensiegebied die is opgericht door de Commissie en de hoge vertegenwoordiger/het hoofd van het Europees Defensieagentschap, dit met het oog op een succesvolle uitvoering van het instrument.</w:t>
      </w:r>
    </w:p>
    <w:p w:rsidRPr="006E3F60" w:rsidR="00835925" w:rsidP="009120CD" w:rsidRDefault="00835925" w14:paraId="6B446184" w14:textId="77777777"/>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6E3F60" w:rsidR="00835925" w:rsidTr="004E4367" w14:paraId="55A985CE" w14:textId="77777777">
        <w:tc>
          <w:tcPr>
            <w:tcW w:w="1418" w:type="dxa"/>
          </w:tcPr>
          <w:p w:rsidRPr="006E3F60" w:rsidR="00835925" w:rsidP="009120CD" w:rsidRDefault="00835925" w14:paraId="395E04B5" w14:textId="77777777">
            <w:pPr>
              <w:contextualSpacing/>
              <w:rPr>
                <w:i/>
              </w:rPr>
            </w:pPr>
            <w:r>
              <w:rPr>
                <w:b/>
                <w:i/>
              </w:rPr>
              <w:t>Contactpersoon</w:t>
            </w:r>
          </w:p>
        </w:tc>
        <w:tc>
          <w:tcPr>
            <w:tcW w:w="5670" w:type="dxa"/>
          </w:tcPr>
          <w:p w:rsidRPr="003B2007" w:rsidR="00835925" w:rsidP="009120CD" w:rsidRDefault="003B2007" w14:paraId="66E7620D" w14:textId="30498078">
            <w:pPr>
              <w:contextualSpacing/>
              <w:rPr>
                <w:i/>
              </w:rPr>
            </w:pPr>
            <w:r>
              <w:rPr>
                <w:i/>
              </w:rPr>
              <w:t>Adam Plezer</w:t>
            </w:r>
          </w:p>
        </w:tc>
      </w:tr>
      <w:tr w:rsidRPr="006E3F60" w:rsidR="00835925" w:rsidTr="004E4367" w14:paraId="029B60F8" w14:textId="77777777">
        <w:tc>
          <w:tcPr>
            <w:tcW w:w="1418" w:type="dxa"/>
          </w:tcPr>
          <w:p w:rsidRPr="006E3F60" w:rsidR="00835925" w:rsidP="009120CD" w:rsidRDefault="00835925" w14:paraId="637F1E0E" w14:textId="77777777">
            <w:pPr>
              <w:ind w:left="601"/>
              <w:contextualSpacing/>
              <w:rPr>
                <w:i/>
              </w:rPr>
            </w:pPr>
            <w:r>
              <w:rPr>
                <w:i/>
              </w:rPr>
              <w:t>Tel.</w:t>
            </w:r>
          </w:p>
        </w:tc>
        <w:tc>
          <w:tcPr>
            <w:tcW w:w="5670" w:type="dxa"/>
          </w:tcPr>
          <w:p w:rsidRPr="006E3F60" w:rsidR="00835925" w:rsidP="009120CD" w:rsidRDefault="00835925" w14:paraId="1EB0E058" w14:textId="7166A464">
            <w:pPr>
              <w:contextualSpacing/>
              <w:rPr>
                <w:i/>
              </w:rPr>
            </w:pPr>
            <w:r>
              <w:rPr>
                <w:i/>
              </w:rPr>
              <w:t>00 32 2 546 86 28</w:t>
            </w:r>
          </w:p>
        </w:tc>
      </w:tr>
      <w:tr w:rsidRPr="006E3F60" w:rsidR="00835925" w:rsidTr="004E4367" w14:paraId="325023B9" w14:textId="77777777">
        <w:tc>
          <w:tcPr>
            <w:tcW w:w="1418" w:type="dxa"/>
          </w:tcPr>
          <w:p w:rsidRPr="006E3F60" w:rsidR="00835925" w:rsidP="009120CD" w:rsidRDefault="00835925" w14:paraId="1DE3CB22" w14:textId="77777777">
            <w:pPr>
              <w:ind w:left="601"/>
              <w:contextualSpacing/>
              <w:rPr>
                <w:i/>
              </w:rPr>
            </w:pPr>
            <w:r>
              <w:rPr>
                <w:i/>
              </w:rPr>
              <w:t>E-mail</w:t>
            </w:r>
          </w:p>
        </w:tc>
        <w:tc>
          <w:tcPr>
            <w:tcW w:w="5670" w:type="dxa"/>
          </w:tcPr>
          <w:p w:rsidRPr="00F256CD" w:rsidR="00835925" w:rsidP="009120CD" w:rsidRDefault="00C56F85" w14:paraId="46F4A44E" w14:textId="4D8FB277">
            <w:pPr>
              <w:contextualSpacing/>
              <w:rPr>
                <w:i/>
                <w:iCs/>
              </w:rPr>
            </w:pPr>
            <w:hyperlink w:history="1" r:id="rId55">
              <w:r w:rsidR="0064748D">
                <w:rPr>
                  <w:rStyle w:val="Hyperlink"/>
                  <w:i/>
                </w:rPr>
                <w:t>Adam.Plezer@eesc.europa.eu</w:t>
              </w:r>
            </w:hyperlink>
          </w:p>
        </w:tc>
      </w:tr>
    </w:tbl>
    <w:p w:rsidRPr="0032340F" w:rsidR="00D67CAD" w:rsidP="009120CD" w:rsidRDefault="00D67CAD" w14:paraId="5E62A09A" w14:textId="77777777">
      <w:pPr>
        <w:rPr>
          <w:sz w:val="2"/>
          <w:szCs w:val="2"/>
        </w:rPr>
      </w:pPr>
    </w:p>
    <w:sectPr w:rsidRPr="0032340F" w:rsidR="00D67CAD" w:rsidSect="00A10A98">
      <w:pgSz w:w="11907" w:h="16839"/>
      <w:pgMar w:top="1191" w:right="1418" w:bottom="107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1CD46" w14:textId="77777777" w:rsidR="00C56F85" w:rsidRDefault="00C56F85" w:rsidP="003B0516">
      <w:pPr>
        <w:spacing w:line="240" w:lineRule="auto"/>
      </w:pPr>
      <w:r>
        <w:separator/>
      </w:r>
    </w:p>
  </w:endnote>
  <w:endnote w:type="continuationSeparator" w:id="0">
    <w:p w14:paraId="48CBCA37" w14:textId="77777777" w:rsidR="00C56F85" w:rsidRDefault="00C56F8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FF85" w14:textId="77777777" w:rsidR="00C56F85" w:rsidRDefault="00C56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9D38" w14:textId="1FCC873E" w:rsidR="00C56F85" w:rsidRPr="00A10A98" w:rsidRDefault="00C56F85" w:rsidP="00A10A98">
    <w:pPr>
      <w:pStyle w:val="Footer"/>
    </w:pPr>
    <w:r>
      <w:t xml:space="preserve">EESC-2022-03966-00-00-TCD-TRA (EN) </w:t>
    </w:r>
    <w:r>
      <w:fldChar w:fldCharType="begin"/>
    </w:r>
    <w:r>
      <w:instrText xml:space="preserve"> PAGE  \* Arabic  \* MERGEFORMAT </w:instrText>
    </w:r>
    <w:r>
      <w:fldChar w:fldCharType="separate"/>
    </w:r>
    <w:r w:rsidR="00A35660">
      <w:rPr>
        <w:noProof/>
      </w:rPr>
      <w:t>1</w:t>
    </w:r>
    <w:r>
      <w:fldChar w:fldCharType="end"/>
    </w:r>
    <w:r>
      <w:t>/</w:t>
    </w:r>
    <w:fldSimple w:instr=" NUMPAGES ">
      <w:r w:rsidR="00A35660">
        <w:rPr>
          <w:noProof/>
        </w:rPr>
        <w:t>33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FA4B" w14:textId="77777777" w:rsidR="00C56F85" w:rsidRDefault="00C56F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C15F" w14:textId="77777777" w:rsidR="00C56F85" w:rsidRPr="00A10A98" w:rsidRDefault="00C56F85" w:rsidP="00A10A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4860" w14:textId="3D256654" w:rsidR="00C56F85" w:rsidRPr="00A10A98" w:rsidRDefault="00C56F85" w:rsidP="00A10A98">
    <w:pPr>
      <w:pStyle w:val="Footer"/>
    </w:pPr>
    <w:r>
      <w:t xml:space="preserve">EESC-2022-03966-00-00-TCD-TRA (EN/FR) </w:t>
    </w:r>
    <w:r>
      <w:fldChar w:fldCharType="begin"/>
    </w:r>
    <w:r>
      <w:instrText xml:space="preserve"> PAGE  \* Arabic  \* MERGEFORMAT </w:instrText>
    </w:r>
    <w:r>
      <w:fldChar w:fldCharType="separate"/>
    </w:r>
    <w:r w:rsidR="00A35660">
      <w:rPr>
        <w:noProof/>
      </w:rPr>
      <w:t>33</w:t>
    </w:r>
    <w:r>
      <w:fldChar w:fldCharType="end"/>
    </w:r>
    <w:r>
      <w:t>/</w:t>
    </w:r>
    <w:fldSimple w:instr=" NUMPAGES ">
      <w:r w:rsidR="00A35660">
        <w:rPr>
          <w:noProof/>
        </w:rPr>
        <w:t>33</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E62D" w14:textId="77777777" w:rsidR="00C56F85" w:rsidRPr="00A10A98" w:rsidRDefault="00C56F85" w:rsidP="00A1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5CD9B" w14:textId="77777777" w:rsidR="00C56F85" w:rsidRDefault="00C56F85" w:rsidP="003B0516">
      <w:pPr>
        <w:spacing w:line="240" w:lineRule="auto"/>
      </w:pPr>
      <w:r>
        <w:separator/>
      </w:r>
    </w:p>
  </w:footnote>
  <w:footnote w:type="continuationSeparator" w:id="0">
    <w:p w14:paraId="0605FDD5" w14:textId="77777777" w:rsidR="00C56F85" w:rsidRDefault="00C56F85" w:rsidP="003B0516">
      <w:pPr>
        <w:spacing w:line="240" w:lineRule="auto"/>
      </w:pPr>
      <w:r>
        <w:continuationSeparator/>
      </w:r>
    </w:p>
  </w:footnote>
  <w:footnote w:id="1">
    <w:p w14:paraId="0F8432CF" w14:textId="77777777" w:rsidR="00C56F85" w:rsidRPr="00EB5DB7" w:rsidRDefault="00C56F85" w:rsidP="005B5038">
      <w:pPr>
        <w:pStyle w:val="FootnoteText"/>
      </w:pPr>
      <w:r>
        <w:rPr>
          <w:rStyle w:val="FootnoteReference"/>
        </w:rPr>
        <w:footnoteRef/>
      </w:r>
      <w:r>
        <w:tab/>
        <w:t>De Europese Commissie heeft in 2012 haar actieplan voor gezondheidswerkers in de EU gepubliceerd.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64784" w14:textId="77777777" w:rsidR="00C56F85" w:rsidRDefault="00C56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763C4" w14:textId="77777777" w:rsidR="00C56F85" w:rsidRDefault="00C56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8098" w14:textId="77777777" w:rsidR="00C56F85" w:rsidRDefault="00C56F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9DF2" w14:textId="77777777" w:rsidR="00C56F85" w:rsidRPr="00A10A98" w:rsidRDefault="00C56F85" w:rsidP="00A10A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4FBA" w14:textId="77777777" w:rsidR="00C56F85" w:rsidRPr="00A10A98" w:rsidRDefault="00C56F85" w:rsidP="00A10A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5E7F" w14:textId="77777777" w:rsidR="00C56F85" w:rsidRPr="00A10A98" w:rsidRDefault="00C56F85" w:rsidP="00A1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C7ACE32"/>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2" w15:restartNumberingAfterBreak="0">
    <w:nsid w:val="0E185D1A"/>
    <w:multiLevelType w:val="hybridMultilevel"/>
    <w:tmpl w:val="F45E57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EA6E5E"/>
    <w:multiLevelType w:val="hybridMultilevel"/>
    <w:tmpl w:val="D58846A4"/>
    <w:lvl w:ilvl="0" w:tplc="9CD4DE18">
      <w:start w:val="1"/>
      <w:numFmt w:val="bullet"/>
      <w:lvlText w:val=""/>
      <w:lvlJc w:val="left"/>
      <w:pPr>
        <w:ind w:left="1069" w:hanging="360"/>
      </w:pPr>
      <w:rPr>
        <w:rFonts w:ascii="Symbol" w:hAnsi="Symbo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4" w15:restartNumberingAfterBreak="0">
    <w:nsid w:val="1EE61FFB"/>
    <w:multiLevelType w:val="hybridMultilevel"/>
    <w:tmpl w:val="0B6C7FD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7D4193E"/>
    <w:multiLevelType w:val="hybridMultilevel"/>
    <w:tmpl w:val="0534E460"/>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D0190"/>
    <w:multiLevelType w:val="hybridMultilevel"/>
    <w:tmpl w:val="540225C6"/>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15:restartNumberingAfterBreak="0">
    <w:nsid w:val="35CE609E"/>
    <w:multiLevelType w:val="hybridMultilevel"/>
    <w:tmpl w:val="A9E2E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3583FAE"/>
    <w:multiLevelType w:val="hybridMultilevel"/>
    <w:tmpl w:val="49B05486"/>
    <w:lvl w:ilvl="0" w:tplc="080C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5935A71"/>
    <w:multiLevelType w:val="hybridMultilevel"/>
    <w:tmpl w:val="C9DC9BDC"/>
    <w:lvl w:ilvl="0" w:tplc="0F104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383186"/>
    <w:multiLevelType w:val="hybridMultilevel"/>
    <w:tmpl w:val="A0243724"/>
    <w:lvl w:ilvl="0" w:tplc="9CD4DE18">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60346CB0"/>
    <w:multiLevelType w:val="hybridMultilevel"/>
    <w:tmpl w:val="FB76917E"/>
    <w:lvl w:ilvl="0" w:tplc="83107D1C">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13" w15:restartNumberingAfterBreak="0">
    <w:nsid w:val="61D026E9"/>
    <w:multiLevelType w:val="hybridMultilevel"/>
    <w:tmpl w:val="C2A4AF8C"/>
    <w:lvl w:ilvl="0" w:tplc="08090005">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3180E"/>
    <w:multiLevelType w:val="hybridMultilevel"/>
    <w:tmpl w:val="0B6C7FD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681F42C0"/>
    <w:multiLevelType w:val="hybridMultilevel"/>
    <w:tmpl w:val="207A7068"/>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7" w15:restartNumberingAfterBreak="0">
    <w:nsid w:val="70967A6A"/>
    <w:multiLevelType w:val="hybridMultilevel"/>
    <w:tmpl w:val="27F2B37A"/>
    <w:lvl w:ilvl="0" w:tplc="9CD4DE18">
      <w:start w:val="1"/>
      <w:numFmt w:val="bullet"/>
      <w:lvlText w:val=""/>
      <w:lvlJc w:val="left"/>
      <w:pPr>
        <w:ind w:left="1069" w:hanging="360"/>
      </w:pPr>
      <w:rPr>
        <w:rFonts w:ascii="Symbol" w:hAnsi="Symbo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8" w15:restartNumberingAfterBreak="0">
    <w:nsid w:val="767D7BDC"/>
    <w:multiLevelType w:val="hybridMultilevel"/>
    <w:tmpl w:val="948AFA3C"/>
    <w:lvl w:ilvl="0" w:tplc="89029AA0">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27257"/>
    <w:multiLevelType w:val="hybridMultilevel"/>
    <w:tmpl w:val="4F50226C"/>
    <w:lvl w:ilvl="0" w:tplc="5F48E7F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18"/>
  </w:num>
  <w:num w:numId="4">
    <w:abstractNumId w:val="1"/>
  </w:num>
  <w:num w:numId="5">
    <w:abstractNumId w:val="12"/>
  </w:num>
  <w:num w:numId="6">
    <w:abstractNumId w:val="7"/>
  </w:num>
  <w:num w:numId="7">
    <w:abstractNumId w:val="2"/>
  </w:num>
  <w:num w:numId="8">
    <w:abstractNumId w:val="6"/>
  </w:num>
  <w:num w:numId="9">
    <w:abstractNumId w:val="5"/>
  </w:num>
  <w:num w:numId="10">
    <w:abstractNumId w:val="19"/>
  </w:num>
  <w:num w:numId="11">
    <w:abstractNumId w:val="8"/>
  </w:num>
  <w:num w:numId="12">
    <w:abstractNumId w:val="15"/>
  </w:num>
  <w:num w:numId="13">
    <w:abstractNumId w:val="0"/>
  </w:num>
  <w:num w:numId="14">
    <w:abstractNumId w:val="0"/>
  </w:num>
  <w:num w:numId="15">
    <w:abstractNumId w:val="13"/>
  </w:num>
  <w:num w:numId="16">
    <w:abstractNumId w:val="9"/>
  </w:num>
  <w:num w:numId="17">
    <w:abstractNumId w:val="0"/>
  </w:num>
  <w:num w:numId="18">
    <w:abstractNumId w:val="0"/>
  </w:num>
  <w:num w:numId="19">
    <w:abstractNumId w:val="17"/>
  </w:num>
  <w:num w:numId="20">
    <w:abstractNumId w:val="3"/>
  </w:num>
  <w:num w:numId="21">
    <w:abstractNumId w:val="10"/>
  </w:num>
  <w:num w:numId="22">
    <w:abstractNumId w:val="4"/>
  </w:num>
  <w:num w:numId="23">
    <w:abstractNumId w:val="11"/>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NL" w:vendorID="64" w:dllVersion="131078"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14C93"/>
    <w:rsid w:val="00015E18"/>
    <w:rsid w:val="000232FA"/>
    <w:rsid w:val="0002450A"/>
    <w:rsid w:val="00027072"/>
    <w:rsid w:val="00027441"/>
    <w:rsid w:val="00032038"/>
    <w:rsid w:val="0003271A"/>
    <w:rsid w:val="00032BAA"/>
    <w:rsid w:val="00034E35"/>
    <w:rsid w:val="00036505"/>
    <w:rsid w:val="00037A85"/>
    <w:rsid w:val="000402AE"/>
    <w:rsid w:val="00041C4A"/>
    <w:rsid w:val="0004205F"/>
    <w:rsid w:val="000421E0"/>
    <w:rsid w:val="0005110E"/>
    <w:rsid w:val="0005170F"/>
    <w:rsid w:val="00055D63"/>
    <w:rsid w:val="00056079"/>
    <w:rsid w:val="00056B3E"/>
    <w:rsid w:val="00063DFF"/>
    <w:rsid w:val="00063F30"/>
    <w:rsid w:val="00064EDE"/>
    <w:rsid w:val="00070AAE"/>
    <w:rsid w:val="00070FEE"/>
    <w:rsid w:val="0007146F"/>
    <w:rsid w:val="00071F4C"/>
    <w:rsid w:val="000764E8"/>
    <w:rsid w:val="00076BA9"/>
    <w:rsid w:val="00083845"/>
    <w:rsid w:val="00086174"/>
    <w:rsid w:val="000911BF"/>
    <w:rsid w:val="00092425"/>
    <w:rsid w:val="000951A1"/>
    <w:rsid w:val="000956DB"/>
    <w:rsid w:val="00096786"/>
    <w:rsid w:val="000A007B"/>
    <w:rsid w:val="000A03BD"/>
    <w:rsid w:val="000A1218"/>
    <w:rsid w:val="000A74DC"/>
    <w:rsid w:val="000A7BA8"/>
    <w:rsid w:val="000B01F7"/>
    <w:rsid w:val="000B19C4"/>
    <w:rsid w:val="000C18CA"/>
    <w:rsid w:val="000C3942"/>
    <w:rsid w:val="000C43E2"/>
    <w:rsid w:val="000C6D0B"/>
    <w:rsid w:val="000D2F8F"/>
    <w:rsid w:val="000D65AC"/>
    <w:rsid w:val="000E5FFD"/>
    <w:rsid w:val="000E6108"/>
    <w:rsid w:val="000F1B49"/>
    <w:rsid w:val="000F53B7"/>
    <w:rsid w:val="000F679A"/>
    <w:rsid w:val="000F6F82"/>
    <w:rsid w:val="001000A8"/>
    <w:rsid w:val="001016BE"/>
    <w:rsid w:val="00106358"/>
    <w:rsid w:val="001106FB"/>
    <w:rsid w:val="001167A1"/>
    <w:rsid w:val="00116A1C"/>
    <w:rsid w:val="001179DB"/>
    <w:rsid w:val="00117AA8"/>
    <w:rsid w:val="00124D7C"/>
    <w:rsid w:val="001271C3"/>
    <w:rsid w:val="001346B6"/>
    <w:rsid w:val="001400C7"/>
    <w:rsid w:val="001445A7"/>
    <w:rsid w:val="001455A1"/>
    <w:rsid w:val="00150AD8"/>
    <w:rsid w:val="001513FD"/>
    <w:rsid w:val="00163106"/>
    <w:rsid w:val="00164813"/>
    <w:rsid w:val="001744F9"/>
    <w:rsid w:val="00174763"/>
    <w:rsid w:val="0018231C"/>
    <w:rsid w:val="00182F92"/>
    <w:rsid w:val="00191597"/>
    <w:rsid w:val="001951FD"/>
    <w:rsid w:val="001A0AD4"/>
    <w:rsid w:val="001A2273"/>
    <w:rsid w:val="001A7476"/>
    <w:rsid w:val="001B10DA"/>
    <w:rsid w:val="001B6460"/>
    <w:rsid w:val="001C4EDC"/>
    <w:rsid w:val="001C5D5C"/>
    <w:rsid w:val="001D1F54"/>
    <w:rsid w:val="001D2636"/>
    <w:rsid w:val="001D6FFF"/>
    <w:rsid w:val="001D770D"/>
    <w:rsid w:val="001E0F0C"/>
    <w:rsid w:val="001E2286"/>
    <w:rsid w:val="001E6413"/>
    <w:rsid w:val="001F1433"/>
    <w:rsid w:val="001F1862"/>
    <w:rsid w:val="001F56CE"/>
    <w:rsid w:val="001F6FD5"/>
    <w:rsid w:val="00200222"/>
    <w:rsid w:val="0020062C"/>
    <w:rsid w:val="002037FC"/>
    <w:rsid w:val="002043D7"/>
    <w:rsid w:val="00215520"/>
    <w:rsid w:val="0021590B"/>
    <w:rsid w:val="00215FAB"/>
    <w:rsid w:val="00224583"/>
    <w:rsid w:val="00225BCA"/>
    <w:rsid w:val="00225C52"/>
    <w:rsid w:val="00226DC1"/>
    <w:rsid w:val="00227E12"/>
    <w:rsid w:val="00232374"/>
    <w:rsid w:val="002328D2"/>
    <w:rsid w:val="00237481"/>
    <w:rsid w:val="00242666"/>
    <w:rsid w:val="00247E02"/>
    <w:rsid w:val="00255669"/>
    <w:rsid w:val="00256F0A"/>
    <w:rsid w:val="00261903"/>
    <w:rsid w:val="00261FDB"/>
    <w:rsid w:val="00270828"/>
    <w:rsid w:val="002737D4"/>
    <w:rsid w:val="00276CC9"/>
    <w:rsid w:val="002776B9"/>
    <w:rsid w:val="00291154"/>
    <w:rsid w:val="00292D44"/>
    <w:rsid w:val="00293E9C"/>
    <w:rsid w:val="00295ABF"/>
    <w:rsid w:val="002A2F38"/>
    <w:rsid w:val="002A417C"/>
    <w:rsid w:val="002A6192"/>
    <w:rsid w:val="002A696A"/>
    <w:rsid w:val="002B09A7"/>
    <w:rsid w:val="002B1961"/>
    <w:rsid w:val="002B2BA3"/>
    <w:rsid w:val="002B5031"/>
    <w:rsid w:val="002B75A5"/>
    <w:rsid w:val="002B7981"/>
    <w:rsid w:val="002C0CB2"/>
    <w:rsid w:val="002C0E2F"/>
    <w:rsid w:val="002C2466"/>
    <w:rsid w:val="002C24B9"/>
    <w:rsid w:val="002C2B80"/>
    <w:rsid w:val="002C4B6E"/>
    <w:rsid w:val="002C5F52"/>
    <w:rsid w:val="002D4C38"/>
    <w:rsid w:val="002E01B5"/>
    <w:rsid w:val="002E44D6"/>
    <w:rsid w:val="002E459D"/>
    <w:rsid w:val="002E5473"/>
    <w:rsid w:val="002F32E6"/>
    <w:rsid w:val="002F63EB"/>
    <w:rsid w:val="00305834"/>
    <w:rsid w:val="00311562"/>
    <w:rsid w:val="003123CB"/>
    <w:rsid w:val="003165A9"/>
    <w:rsid w:val="0032266E"/>
    <w:rsid w:val="003227CC"/>
    <w:rsid w:val="0032340F"/>
    <w:rsid w:val="00323A05"/>
    <w:rsid w:val="00326919"/>
    <w:rsid w:val="00331ACB"/>
    <w:rsid w:val="00331C12"/>
    <w:rsid w:val="00333F1A"/>
    <w:rsid w:val="00340F46"/>
    <w:rsid w:val="00342F72"/>
    <w:rsid w:val="00350A12"/>
    <w:rsid w:val="00350F5C"/>
    <w:rsid w:val="003527B4"/>
    <w:rsid w:val="00361E48"/>
    <w:rsid w:val="0036641A"/>
    <w:rsid w:val="00370548"/>
    <w:rsid w:val="00370CCB"/>
    <w:rsid w:val="00376574"/>
    <w:rsid w:val="00394949"/>
    <w:rsid w:val="00396061"/>
    <w:rsid w:val="003965BB"/>
    <w:rsid w:val="003A0DB7"/>
    <w:rsid w:val="003A56F8"/>
    <w:rsid w:val="003A7071"/>
    <w:rsid w:val="003B0516"/>
    <w:rsid w:val="003B2007"/>
    <w:rsid w:val="003B3C5F"/>
    <w:rsid w:val="003B3D68"/>
    <w:rsid w:val="003B6760"/>
    <w:rsid w:val="003C07C5"/>
    <w:rsid w:val="003C0E5B"/>
    <w:rsid w:val="003C2647"/>
    <w:rsid w:val="003C4D5B"/>
    <w:rsid w:val="003C5614"/>
    <w:rsid w:val="003D33F7"/>
    <w:rsid w:val="003D4F68"/>
    <w:rsid w:val="003D57BD"/>
    <w:rsid w:val="003D76E2"/>
    <w:rsid w:val="003E2757"/>
    <w:rsid w:val="003E5137"/>
    <w:rsid w:val="003E692C"/>
    <w:rsid w:val="003F0159"/>
    <w:rsid w:val="003F2D36"/>
    <w:rsid w:val="003F510A"/>
    <w:rsid w:val="003F6382"/>
    <w:rsid w:val="0040019C"/>
    <w:rsid w:val="00400A1F"/>
    <w:rsid w:val="00403406"/>
    <w:rsid w:val="004047A6"/>
    <w:rsid w:val="004047B1"/>
    <w:rsid w:val="00405802"/>
    <w:rsid w:val="00405FD9"/>
    <w:rsid w:val="00407760"/>
    <w:rsid w:val="00413EA0"/>
    <w:rsid w:val="00426ECD"/>
    <w:rsid w:val="004331B4"/>
    <w:rsid w:val="00441E45"/>
    <w:rsid w:val="004442D3"/>
    <w:rsid w:val="004511AE"/>
    <w:rsid w:val="00456E3C"/>
    <w:rsid w:val="00462B31"/>
    <w:rsid w:val="00463300"/>
    <w:rsid w:val="004646AF"/>
    <w:rsid w:val="0046631E"/>
    <w:rsid w:val="00470719"/>
    <w:rsid w:val="00472A79"/>
    <w:rsid w:val="00472E72"/>
    <w:rsid w:val="004755C3"/>
    <w:rsid w:val="004904F9"/>
    <w:rsid w:val="0049347F"/>
    <w:rsid w:val="004A46D9"/>
    <w:rsid w:val="004A5CD7"/>
    <w:rsid w:val="004B2250"/>
    <w:rsid w:val="004B344F"/>
    <w:rsid w:val="004B7248"/>
    <w:rsid w:val="004B72DD"/>
    <w:rsid w:val="004C1E12"/>
    <w:rsid w:val="004C2872"/>
    <w:rsid w:val="004C40E4"/>
    <w:rsid w:val="004D2E64"/>
    <w:rsid w:val="004D65FF"/>
    <w:rsid w:val="004D7AC0"/>
    <w:rsid w:val="004E4367"/>
    <w:rsid w:val="004F2430"/>
    <w:rsid w:val="004F68A8"/>
    <w:rsid w:val="00502B04"/>
    <w:rsid w:val="00502C82"/>
    <w:rsid w:val="005030F7"/>
    <w:rsid w:val="00510903"/>
    <w:rsid w:val="00530644"/>
    <w:rsid w:val="00531E0B"/>
    <w:rsid w:val="00533BF2"/>
    <w:rsid w:val="0053502B"/>
    <w:rsid w:val="0054010D"/>
    <w:rsid w:val="00542C6F"/>
    <w:rsid w:val="00546842"/>
    <w:rsid w:val="005475DA"/>
    <w:rsid w:val="00550800"/>
    <w:rsid w:val="00552022"/>
    <w:rsid w:val="00554499"/>
    <w:rsid w:val="00555A39"/>
    <w:rsid w:val="00560174"/>
    <w:rsid w:val="00564924"/>
    <w:rsid w:val="00565C6E"/>
    <w:rsid w:val="00571FEB"/>
    <w:rsid w:val="00577672"/>
    <w:rsid w:val="00582A42"/>
    <w:rsid w:val="00584D91"/>
    <w:rsid w:val="00585857"/>
    <w:rsid w:val="0058593B"/>
    <w:rsid w:val="00586B4B"/>
    <w:rsid w:val="00590BDD"/>
    <w:rsid w:val="00594140"/>
    <w:rsid w:val="0059647B"/>
    <w:rsid w:val="005A3E6D"/>
    <w:rsid w:val="005A755F"/>
    <w:rsid w:val="005B0E27"/>
    <w:rsid w:val="005B3012"/>
    <w:rsid w:val="005B5038"/>
    <w:rsid w:val="005C0363"/>
    <w:rsid w:val="005C7C47"/>
    <w:rsid w:val="005D621C"/>
    <w:rsid w:val="005D6E4D"/>
    <w:rsid w:val="005D7939"/>
    <w:rsid w:val="005E23CD"/>
    <w:rsid w:val="005E2C02"/>
    <w:rsid w:val="005E56F3"/>
    <w:rsid w:val="005E682E"/>
    <w:rsid w:val="005E764B"/>
    <w:rsid w:val="005F4FFC"/>
    <w:rsid w:val="005F78D7"/>
    <w:rsid w:val="005F7E48"/>
    <w:rsid w:val="00600A25"/>
    <w:rsid w:val="006025C9"/>
    <w:rsid w:val="00607F17"/>
    <w:rsid w:val="006119BD"/>
    <w:rsid w:val="006125A8"/>
    <w:rsid w:val="00613467"/>
    <w:rsid w:val="0061692F"/>
    <w:rsid w:val="0062138E"/>
    <w:rsid w:val="00622822"/>
    <w:rsid w:val="00624785"/>
    <w:rsid w:val="00627B8F"/>
    <w:rsid w:val="00630047"/>
    <w:rsid w:val="00630928"/>
    <w:rsid w:val="00631509"/>
    <w:rsid w:val="00632139"/>
    <w:rsid w:val="006324DA"/>
    <w:rsid w:val="006334BE"/>
    <w:rsid w:val="00640656"/>
    <w:rsid w:val="00641262"/>
    <w:rsid w:val="00645723"/>
    <w:rsid w:val="0064748D"/>
    <w:rsid w:val="00650DB1"/>
    <w:rsid w:val="006568C8"/>
    <w:rsid w:val="006604D8"/>
    <w:rsid w:val="00662436"/>
    <w:rsid w:val="006669FA"/>
    <w:rsid w:val="00666A72"/>
    <w:rsid w:val="00670347"/>
    <w:rsid w:val="00675177"/>
    <w:rsid w:val="00681B23"/>
    <w:rsid w:val="0068241A"/>
    <w:rsid w:val="006849A6"/>
    <w:rsid w:val="00691356"/>
    <w:rsid w:val="006967AE"/>
    <w:rsid w:val="006A1317"/>
    <w:rsid w:val="006A3A88"/>
    <w:rsid w:val="006A42C1"/>
    <w:rsid w:val="006A5AA8"/>
    <w:rsid w:val="006B106B"/>
    <w:rsid w:val="006B265F"/>
    <w:rsid w:val="006C4311"/>
    <w:rsid w:val="006C4ED2"/>
    <w:rsid w:val="006D32E3"/>
    <w:rsid w:val="006D4847"/>
    <w:rsid w:val="006D6086"/>
    <w:rsid w:val="006E0E88"/>
    <w:rsid w:val="006E3078"/>
    <w:rsid w:val="006E3F60"/>
    <w:rsid w:val="006E6434"/>
    <w:rsid w:val="006F3409"/>
    <w:rsid w:val="00700030"/>
    <w:rsid w:val="007037CE"/>
    <w:rsid w:val="00704C1E"/>
    <w:rsid w:val="00705674"/>
    <w:rsid w:val="0070677E"/>
    <w:rsid w:val="007105B2"/>
    <w:rsid w:val="007150C5"/>
    <w:rsid w:val="00715A60"/>
    <w:rsid w:val="007179BC"/>
    <w:rsid w:val="00720D22"/>
    <w:rsid w:val="00721342"/>
    <w:rsid w:val="00721386"/>
    <w:rsid w:val="00727B0D"/>
    <w:rsid w:val="007327CD"/>
    <w:rsid w:val="00732CC4"/>
    <w:rsid w:val="00733A55"/>
    <w:rsid w:val="00735256"/>
    <w:rsid w:val="00737766"/>
    <w:rsid w:val="0074379C"/>
    <w:rsid w:val="00745EAA"/>
    <w:rsid w:val="00746B35"/>
    <w:rsid w:val="0075250B"/>
    <w:rsid w:val="00753F2A"/>
    <w:rsid w:val="00756F3D"/>
    <w:rsid w:val="00760B02"/>
    <w:rsid w:val="00760C0A"/>
    <w:rsid w:val="0076429F"/>
    <w:rsid w:val="00765C4F"/>
    <w:rsid w:val="00771110"/>
    <w:rsid w:val="00775FDA"/>
    <w:rsid w:val="0077736D"/>
    <w:rsid w:val="0077792F"/>
    <w:rsid w:val="00781B32"/>
    <w:rsid w:val="007830DD"/>
    <w:rsid w:val="00785F4A"/>
    <w:rsid w:val="007A0970"/>
    <w:rsid w:val="007A1548"/>
    <w:rsid w:val="007B21C5"/>
    <w:rsid w:val="007B231B"/>
    <w:rsid w:val="007B4C38"/>
    <w:rsid w:val="007B7C40"/>
    <w:rsid w:val="007C11A7"/>
    <w:rsid w:val="007C58EF"/>
    <w:rsid w:val="007C7CE2"/>
    <w:rsid w:val="007D1564"/>
    <w:rsid w:val="007D42D1"/>
    <w:rsid w:val="007D5174"/>
    <w:rsid w:val="007E0CE8"/>
    <w:rsid w:val="007E3FFA"/>
    <w:rsid w:val="007E70D2"/>
    <w:rsid w:val="007E7A4F"/>
    <w:rsid w:val="007E7DE3"/>
    <w:rsid w:val="007F0BB7"/>
    <w:rsid w:val="007F2119"/>
    <w:rsid w:val="007F292F"/>
    <w:rsid w:val="007F7DBA"/>
    <w:rsid w:val="00804736"/>
    <w:rsid w:val="0080501D"/>
    <w:rsid w:val="00812594"/>
    <w:rsid w:val="00813A00"/>
    <w:rsid w:val="00814E33"/>
    <w:rsid w:val="008159E1"/>
    <w:rsid w:val="008172B0"/>
    <w:rsid w:val="00822ED8"/>
    <w:rsid w:val="00824647"/>
    <w:rsid w:val="00824DCF"/>
    <w:rsid w:val="0082509A"/>
    <w:rsid w:val="00827B0E"/>
    <w:rsid w:val="008327B1"/>
    <w:rsid w:val="00833E27"/>
    <w:rsid w:val="00835925"/>
    <w:rsid w:val="00841374"/>
    <w:rsid w:val="00842465"/>
    <w:rsid w:val="00842BDD"/>
    <w:rsid w:val="00842C71"/>
    <w:rsid w:val="00844B87"/>
    <w:rsid w:val="0085096C"/>
    <w:rsid w:val="008520B3"/>
    <w:rsid w:val="00855196"/>
    <w:rsid w:val="00855772"/>
    <w:rsid w:val="0086045C"/>
    <w:rsid w:val="008608BA"/>
    <w:rsid w:val="00861942"/>
    <w:rsid w:val="00862DC9"/>
    <w:rsid w:val="0086458A"/>
    <w:rsid w:val="008737C0"/>
    <w:rsid w:val="008745F7"/>
    <w:rsid w:val="00875BB4"/>
    <w:rsid w:val="00881E9B"/>
    <w:rsid w:val="0088219D"/>
    <w:rsid w:val="00883682"/>
    <w:rsid w:val="0088465F"/>
    <w:rsid w:val="00884879"/>
    <w:rsid w:val="008854AE"/>
    <w:rsid w:val="00886448"/>
    <w:rsid w:val="008946BF"/>
    <w:rsid w:val="008A0B15"/>
    <w:rsid w:val="008A4C14"/>
    <w:rsid w:val="008B2544"/>
    <w:rsid w:val="008B26C6"/>
    <w:rsid w:val="008B2708"/>
    <w:rsid w:val="008B66DD"/>
    <w:rsid w:val="008B72DD"/>
    <w:rsid w:val="008C18DE"/>
    <w:rsid w:val="008D2131"/>
    <w:rsid w:val="008D5213"/>
    <w:rsid w:val="008E0C2F"/>
    <w:rsid w:val="008E5076"/>
    <w:rsid w:val="008F1627"/>
    <w:rsid w:val="00900BFC"/>
    <w:rsid w:val="009011ED"/>
    <w:rsid w:val="009049FC"/>
    <w:rsid w:val="009109F5"/>
    <w:rsid w:val="009120CD"/>
    <w:rsid w:val="00912E0E"/>
    <w:rsid w:val="00912F6B"/>
    <w:rsid w:val="00914265"/>
    <w:rsid w:val="009173E7"/>
    <w:rsid w:val="009177FF"/>
    <w:rsid w:val="00931584"/>
    <w:rsid w:val="00934472"/>
    <w:rsid w:val="00942238"/>
    <w:rsid w:val="0094733C"/>
    <w:rsid w:val="00947E08"/>
    <w:rsid w:val="0095386D"/>
    <w:rsid w:val="0095396D"/>
    <w:rsid w:val="0096099A"/>
    <w:rsid w:val="00961956"/>
    <w:rsid w:val="00961F3C"/>
    <w:rsid w:val="0096721E"/>
    <w:rsid w:val="00967517"/>
    <w:rsid w:val="00970971"/>
    <w:rsid w:val="00971495"/>
    <w:rsid w:val="0097659B"/>
    <w:rsid w:val="00986C7F"/>
    <w:rsid w:val="00987507"/>
    <w:rsid w:val="009954A1"/>
    <w:rsid w:val="009B0E36"/>
    <w:rsid w:val="009B2ADD"/>
    <w:rsid w:val="009B37E5"/>
    <w:rsid w:val="009B70E7"/>
    <w:rsid w:val="009B72AB"/>
    <w:rsid w:val="009C513E"/>
    <w:rsid w:val="009C574C"/>
    <w:rsid w:val="009C75E4"/>
    <w:rsid w:val="009D07F4"/>
    <w:rsid w:val="009D0F99"/>
    <w:rsid w:val="009D1CA2"/>
    <w:rsid w:val="009D2CD0"/>
    <w:rsid w:val="009D388E"/>
    <w:rsid w:val="009D5CC6"/>
    <w:rsid w:val="009E4E92"/>
    <w:rsid w:val="009E6BA2"/>
    <w:rsid w:val="009E70A3"/>
    <w:rsid w:val="009E7942"/>
    <w:rsid w:val="009F3BC5"/>
    <w:rsid w:val="009F5F78"/>
    <w:rsid w:val="009F706B"/>
    <w:rsid w:val="00A00F37"/>
    <w:rsid w:val="00A0410F"/>
    <w:rsid w:val="00A048E9"/>
    <w:rsid w:val="00A049D5"/>
    <w:rsid w:val="00A06E9E"/>
    <w:rsid w:val="00A10A98"/>
    <w:rsid w:val="00A20E9D"/>
    <w:rsid w:val="00A30792"/>
    <w:rsid w:val="00A30B84"/>
    <w:rsid w:val="00A3344B"/>
    <w:rsid w:val="00A35660"/>
    <w:rsid w:val="00A37880"/>
    <w:rsid w:val="00A45EC3"/>
    <w:rsid w:val="00A46122"/>
    <w:rsid w:val="00A51F03"/>
    <w:rsid w:val="00A51F67"/>
    <w:rsid w:val="00A522D4"/>
    <w:rsid w:val="00A5507B"/>
    <w:rsid w:val="00A62F57"/>
    <w:rsid w:val="00A63413"/>
    <w:rsid w:val="00A6556C"/>
    <w:rsid w:val="00A659B5"/>
    <w:rsid w:val="00A661BB"/>
    <w:rsid w:val="00A720CF"/>
    <w:rsid w:val="00A74B4C"/>
    <w:rsid w:val="00A763E7"/>
    <w:rsid w:val="00A827D2"/>
    <w:rsid w:val="00A86E2C"/>
    <w:rsid w:val="00A9462E"/>
    <w:rsid w:val="00A94E45"/>
    <w:rsid w:val="00AA05F8"/>
    <w:rsid w:val="00AA5C1D"/>
    <w:rsid w:val="00AA5C61"/>
    <w:rsid w:val="00AA69BF"/>
    <w:rsid w:val="00AB20C0"/>
    <w:rsid w:val="00AB3045"/>
    <w:rsid w:val="00AB4D68"/>
    <w:rsid w:val="00AB5E6A"/>
    <w:rsid w:val="00AB72EB"/>
    <w:rsid w:val="00AC16C9"/>
    <w:rsid w:val="00AC567A"/>
    <w:rsid w:val="00AC7690"/>
    <w:rsid w:val="00AD1524"/>
    <w:rsid w:val="00AD3DB1"/>
    <w:rsid w:val="00AD6708"/>
    <w:rsid w:val="00AD75EB"/>
    <w:rsid w:val="00AE0A52"/>
    <w:rsid w:val="00AE2E3C"/>
    <w:rsid w:val="00AF1233"/>
    <w:rsid w:val="00AF2C37"/>
    <w:rsid w:val="00AF45AD"/>
    <w:rsid w:val="00AF4F10"/>
    <w:rsid w:val="00B0753C"/>
    <w:rsid w:val="00B10934"/>
    <w:rsid w:val="00B11964"/>
    <w:rsid w:val="00B13B9C"/>
    <w:rsid w:val="00B24B60"/>
    <w:rsid w:val="00B24C28"/>
    <w:rsid w:val="00B30118"/>
    <w:rsid w:val="00B33E9C"/>
    <w:rsid w:val="00B34E93"/>
    <w:rsid w:val="00B35908"/>
    <w:rsid w:val="00B40093"/>
    <w:rsid w:val="00B40158"/>
    <w:rsid w:val="00B41E79"/>
    <w:rsid w:val="00B42F7B"/>
    <w:rsid w:val="00B4330A"/>
    <w:rsid w:val="00B44BB9"/>
    <w:rsid w:val="00B44E37"/>
    <w:rsid w:val="00B4522B"/>
    <w:rsid w:val="00B51AF6"/>
    <w:rsid w:val="00B51B20"/>
    <w:rsid w:val="00B51EBC"/>
    <w:rsid w:val="00B5317E"/>
    <w:rsid w:val="00B53791"/>
    <w:rsid w:val="00B539C0"/>
    <w:rsid w:val="00B53E01"/>
    <w:rsid w:val="00B54D49"/>
    <w:rsid w:val="00B56041"/>
    <w:rsid w:val="00B61819"/>
    <w:rsid w:val="00B62D22"/>
    <w:rsid w:val="00B656FE"/>
    <w:rsid w:val="00B67EDA"/>
    <w:rsid w:val="00B7530C"/>
    <w:rsid w:val="00B76922"/>
    <w:rsid w:val="00B77513"/>
    <w:rsid w:val="00B83E7B"/>
    <w:rsid w:val="00B85573"/>
    <w:rsid w:val="00B876EC"/>
    <w:rsid w:val="00B90D85"/>
    <w:rsid w:val="00B92B86"/>
    <w:rsid w:val="00B9776A"/>
    <w:rsid w:val="00B97AA6"/>
    <w:rsid w:val="00BA051D"/>
    <w:rsid w:val="00BA579D"/>
    <w:rsid w:val="00BB054C"/>
    <w:rsid w:val="00BB1EE2"/>
    <w:rsid w:val="00BB37C1"/>
    <w:rsid w:val="00BB3A55"/>
    <w:rsid w:val="00BB739D"/>
    <w:rsid w:val="00BC1767"/>
    <w:rsid w:val="00BC29C8"/>
    <w:rsid w:val="00BC3670"/>
    <w:rsid w:val="00BC375B"/>
    <w:rsid w:val="00BC3FCE"/>
    <w:rsid w:val="00BC41D9"/>
    <w:rsid w:val="00BD4DBF"/>
    <w:rsid w:val="00BD6E79"/>
    <w:rsid w:val="00BD7550"/>
    <w:rsid w:val="00BD7A8C"/>
    <w:rsid w:val="00BE12B3"/>
    <w:rsid w:val="00BE5754"/>
    <w:rsid w:val="00BE6D5A"/>
    <w:rsid w:val="00BF27C9"/>
    <w:rsid w:val="00BF6653"/>
    <w:rsid w:val="00C005B2"/>
    <w:rsid w:val="00C00B1F"/>
    <w:rsid w:val="00C0119D"/>
    <w:rsid w:val="00C10C77"/>
    <w:rsid w:val="00C23683"/>
    <w:rsid w:val="00C259DF"/>
    <w:rsid w:val="00C25DB3"/>
    <w:rsid w:val="00C331A1"/>
    <w:rsid w:val="00C34B35"/>
    <w:rsid w:val="00C445FE"/>
    <w:rsid w:val="00C44A5C"/>
    <w:rsid w:val="00C46E4F"/>
    <w:rsid w:val="00C508EF"/>
    <w:rsid w:val="00C554BB"/>
    <w:rsid w:val="00C56F85"/>
    <w:rsid w:val="00C600B5"/>
    <w:rsid w:val="00C60AE2"/>
    <w:rsid w:val="00C61E75"/>
    <w:rsid w:val="00C65A95"/>
    <w:rsid w:val="00C677AD"/>
    <w:rsid w:val="00C70E54"/>
    <w:rsid w:val="00C752C7"/>
    <w:rsid w:val="00C7574C"/>
    <w:rsid w:val="00C76C46"/>
    <w:rsid w:val="00C76D56"/>
    <w:rsid w:val="00C80321"/>
    <w:rsid w:val="00C834A5"/>
    <w:rsid w:val="00C8431E"/>
    <w:rsid w:val="00C86F74"/>
    <w:rsid w:val="00C90660"/>
    <w:rsid w:val="00C92102"/>
    <w:rsid w:val="00C95751"/>
    <w:rsid w:val="00C9679B"/>
    <w:rsid w:val="00C96BF2"/>
    <w:rsid w:val="00C97966"/>
    <w:rsid w:val="00CA3848"/>
    <w:rsid w:val="00CA684E"/>
    <w:rsid w:val="00CA685D"/>
    <w:rsid w:val="00CA6928"/>
    <w:rsid w:val="00CB0CBA"/>
    <w:rsid w:val="00CB1D03"/>
    <w:rsid w:val="00CB2A8A"/>
    <w:rsid w:val="00CB3335"/>
    <w:rsid w:val="00CB3574"/>
    <w:rsid w:val="00CB4448"/>
    <w:rsid w:val="00CB6509"/>
    <w:rsid w:val="00CC25F9"/>
    <w:rsid w:val="00CD077F"/>
    <w:rsid w:val="00CD1982"/>
    <w:rsid w:val="00CD7E1B"/>
    <w:rsid w:val="00CD7F66"/>
    <w:rsid w:val="00CE23CC"/>
    <w:rsid w:val="00CE48CB"/>
    <w:rsid w:val="00CF2F88"/>
    <w:rsid w:val="00CF3D01"/>
    <w:rsid w:val="00CF5AC7"/>
    <w:rsid w:val="00CF7F58"/>
    <w:rsid w:val="00D0023B"/>
    <w:rsid w:val="00D007F3"/>
    <w:rsid w:val="00D00BF8"/>
    <w:rsid w:val="00D014A8"/>
    <w:rsid w:val="00D04678"/>
    <w:rsid w:val="00D13F40"/>
    <w:rsid w:val="00D205F2"/>
    <w:rsid w:val="00D20C54"/>
    <w:rsid w:val="00D243A3"/>
    <w:rsid w:val="00D24601"/>
    <w:rsid w:val="00D327F0"/>
    <w:rsid w:val="00D35512"/>
    <w:rsid w:val="00D35C97"/>
    <w:rsid w:val="00D41F72"/>
    <w:rsid w:val="00D423EB"/>
    <w:rsid w:val="00D442EE"/>
    <w:rsid w:val="00D47085"/>
    <w:rsid w:val="00D534BA"/>
    <w:rsid w:val="00D55B4C"/>
    <w:rsid w:val="00D61B08"/>
    <w:rsid w:val="00D630B8"/>
    <w:rsid w:val="00D67CAD"/>
    <w:rsid w:val="00D761CD"/>
    <w:rsid w:val="00D76363"/>
    <w:rsid w:val="00D80558"/>
    <w:rsid w:val="00D84FBD"/>
    <w:rsid w:val="00D85838"/>
    <w:rsid w:val="00D85D67"/>
    <w:rsid w:val="00D86432"/>
    <w:rsid w:val="00D91EA9"/>
    <w:rsid w:val="00D92EBC"/>
    <w:rsid w:val="00D944B2"/>
    <w:rsid w:val="00DA2D88"/>
    <w:rsid w:val="00DA608B"/>
    <w:rsid w:val="00DA6126"/>
    <w:rsid w:val="00DB2B61"/>
    <w:rsid w:val="00DB3219"/>
    <w:rsid w:val="00DB34D6"/>
    <w:rsid w:val="00DB6D98"/>
    <w:rsid w:val="00DC057E"/>
    <w:rsid w:val="00DC097D"/>
    <w:rsid w:val="00DC17CF"/>
    <w:rsid w:val="00DC53E9"/>
    <w:rsid w:val="00DD23A2"/>
    <w:rsid w:val="00DD289C"/>
    <w:rsid w:val="00DD53BD"/>
    <w:rsid w:val="00DE010C"/>
    <w:rsid w:val="00DE308B"/>
    <w:rsid w:val="00DE3CA7"/>
    <w:rsid w:val="00DE78E2"/>
    <w:rsid w:val="00DF2640"/>
    <w:rsid w:val="00DF2B94"/>
    <w:rsid w:val="00DF349B"/>
    <w:rsid w:val="00DF3AB5"/>
    <w:rsid w:val="00DF590D"/>
    <w:rsid w:val="00E00915"/>
    <w:rsid w:val="00E02E1A"/>
    <w:rsid w:val="00E060CF"/>
    <w:rsid w:val="00E0620E"/>
    <w:rsid w:val="00E06456"/>
    <w:rsid w:val="00E074E2"/>
    <w:rsid w:val="00E119DF"/>
    <w:rsid w:val="00E11C18"/>
    <w:rsid w:val="00E20579"/>
    <w:rsid w:val="00E207F0"/>
    <w:rsid w:val="00E20FC5"/>
    <w:rsid w:val="00E211D9"/>
    <w:rsid w:val="00E227B2"/>
    <w:rsid w:val="00E24CDF"/>
    <w:rsid w:val="00E26F29"/>
    <w:rsid w:val="00E33923"/>
    <w:rsid w:val="00E33D03"/>
    <w:rsid w:val="00E34279"/>
    <w:rsid w:val="00E36EA1"/>
    <w:rsid w:val="00E4196E"/>
    <w:rsid w:val="00E461E1"/>
    <w:rsid w:val="00E54548"/>
    <w:rsid w:val="00E61540"/>
    <w:rsid w:val="00E642C0"/>
    <w:rsid w:val="00E64300"/>
    <w:rsid w:val="00E65D01"/>
    <w:rsid w:val="00E66A9B"/>
    <w:rsid w:val="00E72E7D"/>
    <w:rsid w:val="00E81FDD"/>
    <w:rsid w:val="00E86232"/>
    <w:rsid w:val="00E9792C"/>
    <w:rsid w:val="00EA2799"/>
    <w:rsid w:val="00EA403A"/>
    <w:rsid w:val="00EA76FF"/>
    <w:rsid w:val="00EB051C"/>
    <w:rsid w:val="00EC533C"/>
    <w:rsid w:val="00EC6B43"/>
    <w:rsid w:val="00EC78C3"/>
    <w:rsid w:val="00EC79EC"/>
    <w:rsid w:val="00ED2A6A"/>
    <w:rsid w:val="00ED377B"/>
    <w:rsid w:val="00ED441B"/>
    <w:rsid w:val="00ED7BC2"/>
    <w:rsid w:val="00EF0853"/>
    <w:rsid w:val="00EF6631"/>
    <w:rsid w:val="00EF688F"/>
    <w:rsid w:val="00F00603"/>
    <w:rsid w:val="00F01CF2"/>
    <w:rsid w:val="00F01E91"/>
    <w:rsid w:val="00F03155"/>
    <w:rsid w:val="00F03950"/>
    <w:rsid w:val="00F049D6"/>
    <w:rsid w:val="00F13607"/>
    <w:rsid w:val="00F161F9"/>
    <w:rsid w:val="00F173C9"/>
    <w:rsid w:val="00F2127E"/>
    <w:rsid w:val="00F256CD"/>
    <w:rsid w:val="00F25F17"/>
    <w:rsid w:val="00F3200A"/>
    <w:rsid w:val="00F324AC"/>
    <w:rsid w:val="00F32577"/>
    <w:rsid w:val="00F37E4A"/>
    <w:rsid w:val="00F423CE"/>
    <w:rsid w:val="00F443A0"/>
    <w:rsid w:val="00F471FB"/>
    <w:rsid w:val="00F47818"/>
    <w:rsid w:val="00F508B3"/>
    <w:rsid w:val="00F512BB"/>
    <w:rsid w:val="00F545CF"/>
    <w:rsid w:val="00F63F2A"/>
    <w:rsid w:val="00F646EF"/>
    <w:rsid w:val="00F71666"/>
    <w:rsid w:val="00F72D85"/>
    <w:rsid w:val="00F804C6"/>
    <w:rsid w:val="00F80F3B"/>
    <w:rsid w:val="00F841DB"/>
    <w:rsid w:val="00F856AC"/>
    <w:rsid w:val="00F85BA3"/>
    <w:rsid w:val="00F86531"/>
    <w:rsid w:val="00F86EB5"/>
    <w:rsid w:val="00F86F23"/>
    <w:rsid w:val="00F916E1"/>
    <w:rsid w:val="00F929FB"/>
    <w:rsid w:val="00F941D5"/>
    <w:rsid w:val="00F946E1"/>
    <w:rsid w:val="00F94A84"/>
    <w:rsid w:val="00F95D18"/>
    <w:rsid w:val="00FA0704"/>
    <w:rsid w:val="00FB044B"/>
    <w:rsid w:val="00FB24BA"/>
    <w:rsid w:val="00FB55E3"/>
    <w:rsid w:val="00FD3685"/>
    <w:rsid w:val="00FD3A69"/>
    <w:rsid w:val="00FE044C"/>
    <w:rsid w:val="00FE68B2"/>
    <w:rsid w:val="00FE7250"/>
    <w:rsid w:val="00FF2BA0"/>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6BE"/>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uiPriority w:val="99"/>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54D49"/>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nl-NL"/>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25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Margherita.Logrillo@eesc.europa.eu" TargetMode="External"/><Relationship Id="rId39" Type="http://schemas.openxmlformats.org/officeDocument/2006/relationships/hyperlink" Target="mailto:Raquel.FerreiraDaSilva@eesc.europa.eu" TargetMode="External"/><Relationship Id="rId21" Type="http://schemas.openxmlformats.org/officeDocument/2006/relationships/hyperlink" Target="mailto:Krisztina.PerlakyToth@eesc.europa.eu" TargetMode="External"/><Relationship Id="rId34" Type="http://schemas.openxmlformats.org/officeDocument/2006/relationships/hyperlink" Target="mailto:Giorgia.Bordignon@eesc.europa.eu" TargetMode="External"/><Relationship Id="rId42" Type="http://schemas.openxmlformats.org/officeDocument/2006/relationships/hyperlink" Target="mailto:Radoslava.Stefankova@eesc.europa.eu" TargetMode="External"/><Relationship Id="rId47" Type="http://schemas.openxmlformats.org/officeDocument/2006/relationships/hyperlink" Target="mailto:Andreas.Berger@eesc.europa.eu" TargetMode="External"/><Relationship Id="rId50" Type="http://schemas.openxmlformats.org/officeDocument/2006/relationships/footer" Target="footer4.xml"/><Relationship Id="rId55" Type="http://schemas.openxmlformats.org/officeDocument/2006/relationships/hyperlink" Target="mailto:Adam.Plezer@eesc.europa.eu" TargetMode="Externa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20Triin%20Aasmaa@eesc.europa.eu" TargetMode="External"/><Relationship Id="rId11" Type="http://schemas.openxmlformats.org/officeDocument/2006/relationships/image" Target="media/image1.jpeg"/><Relationship Id="rId24" Type="http://schemas.openxmlformats.org/officeDocument/2006/relationships/hyperlink" Target="mailto:Gerald.Klec@eesc.europa.eu" TargetMode="External"/><Relationship Id="rId32" Type="http://schemas.openxmlformats.org/officeDocument/2006/relationships/hyperlink" Target="mailto:Agota.Baszik@eesc.europa.eu" TargetMode="External"/><Relationship Id="rId37" Type="http://schemas.openxmlformats.org/officeDocument/2006/relationships/hyperlink" Target="mailto:Dalila.Bernard@eesc.europa.eu" TargetMode="External"/><Relationship Id="rId40" Type="http://schemas.openxmlformats.org/officeDocument/2006/relationships/hyperlink" Target="mailto:Claudia.Drewes-Wran@eesc.europa.eu" TargetMode="External"/><Relationship Id="rId45" Type="http://schemas.openxmlformats.org/officeDocument/2006/relationships/hyperlink" Target="mailto:Arturo.Iniguez@eesc.europa.eu" TargetMode="External"/><Relationship Id="rId53" Type="http://schemas.openxmlformats.org/officeDocument/2006/relationships/footer" Target="footer6.xml"/><Relationship Id="rId58" Type="http://schemas.openxmlformats.org/officeDocument/2006/relationships/customXml" Target="../customXml/item1.xml"/><Relationship Id="rId5" Type="http://schemas.openxmlformats.org/officeDocument/2006/relationships/numbering" Target="numbering.xml"/><Relationship Id="rId61" Type="http://schemas.openxmlformats.org/officeDocument/2006/relationships/customXml" Target="../customXml/item4.xml"/><Relationship Id="rId19"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eos.Meleas@eesc.europa.eu" TargetMode="External"/><Relationship Id="rId27" Type="http://schemas.openxmlformats.org/officeDocument/2006/relationships/hyperlink" Target="mailto:Valeria.Atzori@eesc.europa.eu" TargetMode="External"/><Relationship Id="rId30" Type="http://schemas.openxmlformats.org/officeDocument/2006/relationships/hyperlink" Target="mailto:%20Gemma.Amran@eesc.europa.eu" TargetMode="External"/><Relationship Id="rId35" Type="http://schemas.openxmlformats.org/officeDocument/2006/relationships/hyperlink" Target="mailto:Layla.Reiter@eesc.europa.eu" TargetMode="External"/><Relationship Id="rId43" Type="http://schemas.openxmlformats.org/officeDocument/2006/relationships/hyperlink" Target="mailto:Dalila.Bernard@eesc.europa.eu" TargetMode="External"/><Relationship Id="rId48" Type="http://schemas.openxmlformats.org/officeDocument/2006/relationships/header" Target="header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5.xml"/><Relationship Id="rId12" Type="http://schemas.openxmlformats.org/officeDocument/2006/relationships/hyperlink" Target="https://www.eesc.europa.eu/n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Georgeos.Meleas@eesc.europa.eu" TargetMode="External"/><Relationship Id="rId33" Type="http://schemas.openxmlformats.org/officeDocument/2006/relationships/hyperlink" Target="mailto:Alessandro.Rizzi@eesc.europa.eu" TargetMode="External"/><Relationship Id="rId38" Type="http://schemas.openxmlformats.org/officeDocument/2006/relationships/hyperlink" Target="mailto:Claudia.Drewes-Wran@eesc.europa.eu" TargetMode="External"/><Relationship Id="rId46" Type="http://schemas.openxmlformats.org/officeDocument/2006/relationships/hyperlink" Target="mailto:Judit.CarrerasGarcia@eesc.europa.eu" TargetMode="External"/><Relationship Id="rId59" Type="http://schemas.openxmlformats.org/officeDocument/2006/relationships/customXml" Target="../customXml/item2.xml"/><Relationship Id="rId20" Type="http://schemas.openxmlformats.org/officeDocument/2006/relationships/hyperlink" Target="mailto:Gerald.Klec@eesc.europa.eu" TargetMode="External"/><Relationship Id="rId41" Type="http://schemas.openxmlformats.org/officeDocument/2006/relationships/hyperlink" Target="mailto:Raquel.FerreiraDaSilva@eesc.europa.eu" TargetMode="External"/><Relationship Id="rId54" Type="http://schemas.openxmlformats.org/officeDocument/2006/relationships/hyperlink" Target="mailto:Ioannis.Diamantopoulos@eesc.europa.eu" TargetMode="Externa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eos.Meleas@eesc.europa.eu" TargetMode="External"/><Relationship Id="rId28" Type="http://schemas.openxmlformats.org/officeDocument/2006/relationships/hyperlink" Target="mailto:Sabrina.Borg@eesc.europa.eu" TargetMode="External"/><Relationship Id="rId36" Type="http://schemas.openxmlformats.org/officeDocument/2006/relationships/hyperlink" Target="mailto:Antonio.RibeiroPereira@eesc.europa.eu" TargetMode="External"/><Relationship Id="rId49" Type="http://schemas.openxmlformats.org/officeDocument/2006/relationships/header" Target="header5.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Layla.Reiter@eesc.europa.eu" TargetMode="External"/><Relationship Id="rId44" Type="http://schemas.openxmlformats.org/officeDocument/2006/relationships/hyperlink" Target="mailto:Marie-Laurence.Drillon@eesc.europa.eu" TargetMode="External"/><Relationship Id="rId52" Type="http://schemas.openxmlformats.org/officeDocument/2006/relationships/header" Target="header6.xml"/><Relationship Id="rId6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4" ma:contentTypeDescription="Defines the documents for Document Manager V2" ma:contentTypeScope="" ma:versionID="dc0fa69cc2a991f528bd5b7c516a5e87">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2d1ef0291ab947b1497483d599cc4d6"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P6FJPSUHKDC2-1050578159-6799</_dlc_DocId>
    <_dlc_DocIdUrl xmlns="1299d781-265f-4ceb-999e-e1eca3df2c90">
      <Url>http://dm2016/eesc/2022/_layouts/15/DocIdRedir.aspx?ID=P6FJPSUHKDC2-1050578159-6799</Url>
      <Description>P6FJPSUHKDC2-1050578159-6799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2022-10-11T12:00:00+00:00</ProductionDate>
    <DocumentNumber xmlns="4e5ad790-8ffd-4f61-866f-51e1599a4efe">3966</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2022-10-26T12:00:00+00:00</MeetingDate>
    <TaxCatchAll xmlns="1299d781-265f-4ceb-999e-e1eca3df2c90">
      <Value>55</Value>
      <Value>54</Value>
      <Value>51</Value>
      <Value>46</Value>
      <Value>45</Value>
      <Value>44</Value>
      <Value>43</Value>
      <Value>42</Value>
      <Value>41</Value>
      <Value>40</Value>
      <Value>38</Value>
      <Value>37</Value>
      <Value>36</Value>
      <Value>34</Value>
      <Value>33</Value>
      <Value>32</Value>
      <Value>31</Value>
      <Value>30</Value>
      <Value>29</Value>
      <Value>26</Value>
      <Value>25</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11189</FicheNumber>
    <OriginalSender xmlns="1299d781-265f-4ceb-999e-e1eca3df2c90">
      <UserInfo>
        <DisplayName>Wagter Helena</DisplayName>
        <AccountId>1707</AccountId>
        <AccountType/>
      </UserInfo>
    </OriginalSender>
    <DocumentPart xmlns="1299d781-265f-4ceb-999e-e1eca3df2c90">0</DocumentPart>
    <AdoptionDate xmlns="1299d781-265f-4ceb-999e-e1eca3df2c90" xsi:nil="true"/>
    <RequestingService xmlns="1299d781-265f-4ceb-999e-e1eca3df2c90">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A3EDEFAA-36C4-4CF1-952B-8D154E1F36B4}"/>
</file>

<file path=customXml/itemProps2.xml><?xml version="1.0" encoding="utf-8"?>
<ds:datastoreItem xmlns:ds="http://schemas.openxmlformats.org/officeDocument/2006/customXml" ds:itemID="{3E935450-8BCD-4825-A868-17CBA09B1370}"/>
</file>

<file path=customXml/itemProps3.xml><?xml version="1.0" encoding="utf-8"?>
<ds:datastoreItem xmlns:ds="http://schemas.openxmlformats.org/officeDocument/2006/customXml" ds:itemID="{C9F55A4C-BEA4-411E-B6B1-12596566B391}"/>
</file>

<file path=customXml/itemProps4.xml><?xml version="1.0" encoding="utf-8"?>
<ds:datastoreItem xmlns:ds="http://schemas.openxmlformats.org/officeDocument/2006/customXml" ds:itemID="{34C60872-6C25-4687-ADFA-5335F0711A81}"/>
</file>

<file path=docProps/app.xml><?xml version="1.0" encoding="utf-8"?>
<Properties xmlns="http://schemas.openxmlformats.org/officeDocument/2006/extended-properties" xmlns:vt="http://schemas.openxmlformats.org/officeDocument/2006/docPropsVTypes">
  <Template>Normal.dotm</Template>
  <TotalTime>42</TotalTime>
  <Pages>33</Pages>
  <Words>11886</Words>
  <Characters>67756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Summary of opinions adopted - 562nd plenary session February  2022</vt:lpstr>
    </vt:vector>
  </TitlesOfParts>
  <Company>CESE-CdR</Company>
  <LinksUpToDate>false</LinksUpToDate>
  <CharactersWithSpaces>79484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adviezen september zitting</dc:title>
  <dc:subject>TCD</dc:subject>
  <dc:creator>Nieddu Emma</dc:creator>
  <cp:keywords>EESC-2022-03966-00-00-TCD-TRA-EN</cp:keywords>
  <dc:description>Rapporteur:  - Original language: EN - Date of document: 11/10/2022 - Date of meeting: 30/26/2022 14:30 - External documents:  - Administrator: Mme DAMYANOVA-KERESTELIEVA Ani Alexieva</dc:description>
  <cp:lastModifiedBy>Wagter Helena</cp:lastModifiedBy>
  <cp:revision>8</cp:revision>
  <cp:lastPrinted>2022-05-02T09:48:00Z</cp:lastPrinted>
  <dcterms:created xsi:type="dcterms:W3CDTF">2022-10-05T15:26:00Z</dcterms:created>
  <dcterms:modified xsi:type="dcterms:W3CDTF">2022-10-11T10:26:00Z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05/10/2022, 29/03/2022, 04/03/2022, 15/12/2021, 13/09/2021, 03/09/2021, 28/06/2021</vt:lpwstr>
  </property>
  <property fmtid="{D5CDD505-2E9C-101B-9397-08002B2CF9AE}" pid="4" name="Pref_Time">
    <vt:lpwstr>16:30:23, 14:21:50, 16:54:06, 17:56:36, 14:13:00, 10:08:10, 08:41:48</vt:lpwstr>
  </property>
  <property fmtid="{D5CDD505-2E9C-101B-9397-08002B2CF9AE}" pid="5" name="Pref_User">
    <vt:lpwstr>amett, jhvi, enied, hnic, amett, enied, enied</vt:lpwstr>
  </property>
  <property fmtid="{D5CDD505-2E9C-101B-9397-08002B2CF9AE}" pid="6" name="Pref_FileName">
    <vt:lpwstr>EESC-2022-03966-00-00-TCD-ORI.docx, EESC-2022-01223-00-00-TCD-ORI.docx, EESC-2022-00391-00-00-TCD-ORI.docx, EESC-2021-05445-00-00-TCD-ORI.docx, EESC-2021-03366-00-01-TCD-ORI.docx, EESC-2021-03366-00-00-TCD-ORI.docx, Synthese des avis Template.docx</vt:lpwstr>
  </property>
  <property fmtid="{D5CDD505-2E9C-101B-9397-08002B2CF9AE}" pid="7" name="ContentTypeId">
    <vt:lpwstr>0x010100EA97B91038054C99906057A708A1480A00626EADD26EE0CA468385E76F4CAC56BA</vt:lpwstr>
  </property>
  <property fmtid="{D5CDD505-2E9C-101B-9397-08002B2CF9AE}" pid="8" name="_dlc_DocIdItemGuid">
    <vt:lpwstr>b717a713-157b-4d47-a9b0-6feedcd941e0</vt:lpwstr>
  </property>
  <property fmtid="{D5CDD505-2E9C-101B-9397-08002B2CF9AE}" pid="9" name="AvailableTranslations">
    <vt:lpwstr>42;#SL|98a412ae-eb01-49e9-ae3d-585a81724cfc;#33;#IT|0774613c-01ed-4e5d-a25d-11d2388de825;#46;#EL|6d4f4d51-af9b-4650-94b4-4276bee85c91;#44;#LT|a7ff5ce7-6123-4f68-865a-a57c31810414;#11;#FR|d2afafd3-4c81-4f60-8f52-ee33f2f54ff3;#37;#PT|50ccc04a-eadd-42ae-a0cb-acaf45f812ba;#26;#LV|46f7e311-5d9f-4663-b433-18aeccb7ace7;#43;#NL|55c6556c-b4f4-441d-9acf-c498d4f838bd;#32;#DA|5d49c027-8956-412b-aa16-e85a0f96ad0e;#29;#SV|c2ed69e7-a339-43d7-8f22-d93680a92aa0;#34;#SK|46d9fce0-ef79-4f71-b89b-cd6aa82426b8;#54;#ET|ff6c3f4c-b02c-4c3c-ab07-2c37995a7a0a;#41;#CS|72f9705b-0217-4fd3-bea2-cbc7ed80e26e;#22;#DE|f6b31e5a-26fa-4935-b661-318e46daf27e;#30;#PL|1e03da61-4678-4e07-b136-b5024ca9197b;#36;#HU|6b229040-c589-4408-b4c1-4285663d20a8;#4;#EN|f2175f21-25d7-44a3-96da-d6a61b075e1b;#38;#FI|87606a43-d45f-42d6-b8c9-e1a3457db5b7;#40;#BG|1a1b3951-7821-4e6a-85f5-5673fc08bd2c;#45;#RO|feb747a2-64cd-4299-af12-4833ddc30497;#31;#ES|e7a6b05b-ae16-40c8-add9-68b64b03aeba;#55;#HR|2f555653-ed1a-4fe6-8362-9082d95989e5</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3966</vt:i4>
  </property>
  <property fmtid="{D5CDD505-2E9C-101B-9397-08002B2CF9AE}" pid="14" name="DocumentYear">
    <vt:i4>2022</vt:i4>
  </property>
  <property fmtid="{D5CDD505-2E9C-101B-9397-08002B2CF9AE}" pid="15" name="DocumentVersion">
    <vt:i4>0</vt:i4>
  </property>
  <property fmtid="{D5CDD505-2E9C-101B-9397-08002B2CF9AE}" pid="16" name="FicheNumber">
    <vt:i4>11189</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25;#TCD|cd9d6eb6-3f4f-424a-b2d1-57c9d450eaaf</vt:lpwstr>
  </property>
  <property fmtid="{D5CDD505-2E9C-101B-9397-08002B2CF9AE}" pid="23" name="RequestingService">
    <vt:lpwstr>Greffe</vt:lpwstr>
  </property>
  <property fmtid="{D5CDD505-2E9C-101B-9397-08002B2CF9AE}" pid="24" name="Confidentiality">
    <vt:lpwstr>9;#Unrestricted|826e22d7-d029-4ec0-a450-0c28ff673572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2022-10-26T12:00:00Z</vt:filetime>
  </property>
  <property fmtid="{D5CDD505-2E9C-101B-9397-08002B2CF9AE}" pid="30" name="AvailableTranslations_0">
    <vt:lpwstr>IT|0774613c-01ed-4e5d-a25d-11d2388de825;PT|50ccc04a-eadd-42ae-a0cb-acaf45f812ba;SV|c2ed69e7-a339-43d7-8f22-d93680a92aa0;ET|ff6c3f4c-b02c-4c3c-ab07-2c37995a7a0a;DE|f6b31e5a-26fa-4935-b661-318e46daf27e;PL|1e03da61-4678-4e07-b136-b5024ca9197b;HU|6b229040-c589-4408-b4c1-4285663d20a8;EN|f2175f21-25d7-44a3-96da-d6a61b075e1b;FI|87606a43-d45f-42d6-b8c9-e1a3457db5b7;ES|e7a6b05b-ae16-40c8-add9-68b64b03aeba</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33;#IT|0774613c-01ed-4e5d-a25d-11d2388de825;#31;#ES|e7a6b05b-ae16-40c8-add9-68b64b03aeba;#30;#PL|1e03da61-4678-4e07-b136-b5024ca9197b;#29;#SV|c2ed69e7-a339-43d7-8f22-d93680a92aa0;#25;#TCD|cd9d6eb6-3f4f-424a-b2d1-57c9d450eaaf;#38;#FI|87606a43-d45f-42d6-b8c9-e1a3457db5b7;#22;#DE|f6b31e5a-26fa-4935-b661-318e46daf27e;#54;#ET|ff6c3f4c-b02c-4c3c-ab07-2c37995a7a0a;#51;#SPL-CES|32d8cb1f-c9ec-4365-95c7-8385a18618ac;#9;#Unrestricted|826e22d7-d029-4ec0-a450-0c28ff673572;#7;#TRA|150d2a88-1431-44e6-a8ca-0bb753ab8672;#6;#Final|ea5e6674-7b27-4bac-b091-73adbb394efe;#4;#EN|f2175f21-25d7-44a3-96da-d6a61b075e1b;#1;#EESC|422833ec-8d7e-4e65-8e4e-8bed07ffb729;#37;#PT|50ccc04a-eadd-42ae-a0cb-acaf45f812b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43;#NL|55c6556c-b4f4-441d-9acf-c498d4f838bd</vt:lpwstr>
  </property>
</Properties>
</file>