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9120CD" w:rsidRDefault="00D95AA1" w14:paraId="785AE44C" w14:textId="113BA164">
      <w:pPr>
        <w:jc w:val="center"/>
      </w:pPr>
      <w:r>
        <w:rPr>
          <w:noProof/>
          <w:lang w:val="en-US"/>
        </w:rPr>
        <w:drawing>
          <wp:inline distT="0" distB="0" distL="0" distR="0" wp14:anchorId="64EC4D10" wp14:editId="141266EF">
            <wp:extent cx="1792605" cy="1239520"/>
            <wp:effectExtent l="0" t="0" r="0" b="0"/>
            <wp:docPr id="2" name="Picture 2" title="EESCLogo_LV"/>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37AB4588"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22731C" w:rsidP="004D7AC0" w:rsidRDefault="0022731C" w14:paraId="2AA40ECF" w14:textId="77777777">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22731C" w:rsidP="004D7AC0" w:rsidRDefault="0022731C" w14:paraId="2AA40ECF" w14:textId="77777777">
                      <w:pPr>
                        <w:jc w:val="center"/>
                        <w:rPr>
                          <w:rFonts w:ascii="Arial" w:hAnsi="Arial" w:cs="Arial"/>
                          <w:b/>
                          <w:bCs/>
                          <w:sz w:val="48"/>
                        </w:rPr>
                      </w:pPr>
                      <w:r>
                        <w:rPr>
                          <w:rFonts w:ascii="Arial" w:hAnsi="Arial"/>
                          <w:b/>
                          <w:sz w:val="48"/>
                        </w:rPr>
                        <w:t>LV</w:t>
                      </w:r>
                    </w:p>
                  </w:txbxContent>
                </v:textbox>
                <w10:wrap anchorx="page" anchory="page"/>
              </v:shape>
            </w:pict>
          </mc:Fallback>
        </mc:AlternateContent>
      </w:r>
    </w:p>
    <w:p w:rsidRPr="009B70E7" w:rsidR="004D7AC0" w:rsidP="009120CD" w:rsidRDefault="004D7AC0" w14:paraId="51F52D79" w14:textId="77777777"/>
    <w:p w:rsidRPr="009B70E7" w:rsidR="004D7AC0" w:rsidP="009120CD" w:rsidRDefault="00014C93" w14:paraId="45DE4A28" w14:textId="044DFB38">
      <w:pPr>
        <w:jc w:val="right"/>
      </w:pPr>
      <w:r>
        <w:t>Briselē, 2022. gada 7. oktobrī</w:t>
      </w:r>
    </w:p>
    <w:p w:rsidRPr="009B70E7" w:rsidR="004D7AC0" w:rsidP="009120CD" w:rsidRDefault="004D7AC0" w14:paraId="7BCFBA24" w14:textId="77777777"/>
    <w:p w:rsidRPr="009B70E7" w:rsidR="004D7AC0" w:rsidP="009120CD" w:rsidRDefault="004D7AC0" w14:paraId="6B250092" w14:textId="77777777"/>
    <w:p w:rsidRPr="009B70E7" w:rsidR="004D7AC0" w:rsidP="009120CD" w:rsidRDefault="004D7AC0" w14:paraId="0593C6DF" w14:textId="77777777"/>
    <w:tbl>
      <w:tblPr>
        <w:tblW w:w="0" w:type="auto"/>
        <w:tblLook w:val="04A0" w:firstRow="1" w:lastRow="0" w:firstColumn="1" w:lastColumn="0" w:noHBand="0" w:noVBand="1"/>
      </w:tblPr>
      <w:tblGrid>
        <w:gridCol w:w="9289"/>
      </w:tblGrid>
      <w:tr w:rsidRPr="009B70E7" w:rsidR="004D7AC0" w:rsidTr="00662436" w14:paraId="6D7B3453" w14:textId="77777777">
        <w:tc>
          <w:tcPr>
            <w:tcW w:w="9289" w:type="dxa"/>
            <w:tcBorders>
              <w:bottom w:val="double" w:color="auto" w:sz="4" w:space="0"/>
            </w:tcBorders>
          </w:tcPr>
          <w:p w:rsidR="009120CD" w:rsidP="009120CD" w:rsidRDefault="00DA2D88" w14:paraId="33A35676" w14:textId="77777777">
            <w:pPr>
              <w:snapToGrid w:val="0"/>
              <w:jc w:val="center"/>
              <w:rPr>
                <w:b/>
                <w:sz w:val="32"/>
              </w:rPr>
            </w:pPr>
            <w:r>
              <w:rPr>
                <w:b/>
                <w:sz w:val="32"/>
              </w:rPr>
              <w:t>572. PLENĀRĀ SESIJA</w:t>
            </w:r>
          </w:p>
          <w:p w:rsidR="009120CD" w:rsidP="009120CD" w:rsidRDefault="009120CD" w14:paraId="49935AC5" w14:textId="77777777">
            <w:pPr>
              <w:snapToGrid w:val="0"/>
              <w:jc w:val="center"/>
              <w:rPr>
                <w:b/>
                <w:sz w:val="32"/>
              </w:rPr>
            </w:pPr>
          </w:p>
          <w:p w:rsidR="009120CD" w:rsidP="009120CD" w:rsidRDefault="001106FB" w14:paraId="62403F47" w14:textId="77777777">
            <w:pPr>
              <w:snapToGrid w:val="0"/>
              <w:jc w:val="center"/>
              <w:rPr>
                <w:b/>
                <w:sz w:val="32"/>
              </w:rPr>
            </w:pPr>
            <w:r>
              <w:rPr>
                <w:b/>
                <w:sz w:val="32"/>
              </w:rPr>
              <w:t>2022. gada 21. un 22. septembrī</w:t>
            </w:r>
          </w:p>
          <w:p w:rsidR="009120CD" w:rsidP="009120CD" w:rsidRDefault="009120CD" w14:paraId="03E51061" w14:textId="77777777">
            <w:pPr>
              <w:snapToGrid w:val="0"/>
              <w:jc w:val="center"/>
              <w:rPr>
                <w:b/>
                <w:sz w:val="32"/>
              </w:rPr>
            </w:pPr>
          </w:p>
          <w:p w:rsidRPr="009B70E7" w:rsidR="004D7AC0" w:rsidP="009120CD" w:rsidRDefault="00CF2F88" w14:paraId="114106CC" w14:textId="1BE36B8A">
            <w:pPr>
              <w:snapToGrid w:val="0"/>
              <w:jc w:val="center"/>
              <w:rPr>
                <w:rFonts w:eastAsia="MS Mincho"/>
                <w:b/>
                <w:sz w:val="32"/>
                <w:szCs w:val="32"/>
              </w:rPr>
            </w:pPr>
            <w:r>
              <w:rPr>
                <w:b/>
                <w:sz w:val="32"/>
              </w:rPr>
              <w:t xml:space="preserve">PIEŅEMTO ATZINUMU UN REZOLŪCIJU, KĀ ARĪ INFORMATĪVO / NOVĒRTĒJUMA ZIŅOJUMU KOPSAVILKUMS </w:t>
            </w:r>
          </w:p>
          <w:p w:rsidRPr="009B70E7" w:rsidR="004D7AC0" w:rsidP="009120CD" w:rsidRDefault="004D7AC0" w14:paraId="06AE72EA" w14:textId="77777777">
            <w:pPr>
              <w:snapToGrid w:val="0"/>
            </w:pPr>
          </w:p>
        </w:tc>
      </w:tr>
      <w:tr w:rsidRPr="009B70E7"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9B70E7" w:rsidR="004D7AC0" w:rsidP="009120CD" w:rsidRDefault="004D7AC0" w14:paraId="2A9352A2" w14:textId="77777777">
            <w:pPr>
              <w:snapToGrid w:val="0"/>
              <w:jc w:val="center"/>
            </w:pPr>
            <w:r>
              <w:t>Šis dokuments oficiālajās valodās ir pieejams EESK tīmekļa vietnē:</w:t>
            </w:r>
            <w:r>
              <w:br/>
            </w:r>
            <w:r>
              <w:br/>
            </w:r>
            <w:hyperlink w:history="1" r:id="rId12">
              <w:r>
                <w:rPr>
                  <w:rStyle w:val="Hyperlink"/>
                  <w:highlight w:val="yellow"/>
                </w:rPr>
                <w:t>https://www.eesc.europa.eu/en/our-work/opinions-information-reports/plenary-session-summaries</w:t>
              </w:r>
            </w:hyperlink>
          </w:p>
          <w:p w:rsidRPr="009B70E7" w:rsidR="004D7AC0" w:rsidP="009120CD" w:rsidRDefault="004D7AC0" w14:paraId="70D5DBB4" w14:textId="77777777">
            <w:pPr>
              <w:snapToGrid w:val="0"/>
              <w:jc w:val="center"/>
            </w:pPr>
          </w:p>
          <w:p w:rsidRPr="009B70E7" w:rsidR="004D7AC0" w:rsidP="009120CD" w:rsidRDefault="004D7AC0" w14:paraId="575A73D6" w14:textId="77777777">
            <w:pPr>
              <w:snapToGrid w:val="0"/>
              <w:jc w:val="center"/>
              <w:rPr>
                <w:rFonts w:eastAsia="SimSun"/>
              </w:rPr>
            </w:pPr>
          </w:p>
          <w:p w:rsidRPr="009B70E7" w:rsidR="004D7AC0" w:rsidP="009120CD" w:rsidRDefault="004D7AC0" w14:paraId="441AC4DD" w14:textId="77777777">
            <w:pPr>
              <w:snapToGrid w:val="0"/>
              <w:jc w:val="center"/>
            </w:pPr>
            <w:r>
              <w:t>Ar atzinumiem var iepazīties tiešsaistē, izmantojot EESK meklētājprogrammu:</w:t>
            </w:r>
            <w:r>
              <w:br/>
            </w:r>
            <w:r>
              <w:br/>
            </w:r>
            <w:hyperlink w:history="1" r:id="rId13">
              <w:r>
                <w:rPr>
                  <w:rStyle w:val="Hyperlink"/>
                </w:rPr>
                <w:t>https://dmsearch.eesc.europa.eu/search/opinion</w:t>
              </w:r>
            </w:hyperlink>
          </w:p>
          <w:p w:rsidRPr="009B70E7" w:rsidR="004D7AC0" w:rsidP="009120CD" w:rsidRDefault="004D7AC0" w14:paraId="51FF303F" w14:textId="77777777">
            <w:pPr>
              <w:snapToGrid w:val="0"/>
              <w:jc w:val="center"/>
            </w:pPr>
          </w:p>
        </w:tc>
      </w:tr>
    </w:tbl>
    <w:p w:rsidRPr="009B70E7" w:rsidR="004D7AC0" w:rsidP="009120CD" w:rsidRDefault="004D7AC0" w14:paraId="57C291FC" w14:textId="77777777"/>
    <w:p w:rsidRPr="009B70E7" w:rsidR="004D7AC0" w:rsidP="009120CD" w:rsidRDefault="004D7AC0" w14:paraId="5E675360" w14:textId="77777777"/>
    <w:p w:rsidR="007B7C40" w:rsidP="009120CD" w:rsidRDefault="007B7C40" w14:paraId="3CF67A1E" w14:textId="77777777">
      <w:pPr>
        <w:sectPr w:rsidR="007B7C40" w:rsidSect="00A10A98">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9B70E7" w:rsidR="004D7AC0" w:rsidP="009120CD" w:rsidRDefault="004D7AC0" w14:paraId="56B7AE7C" w14:textId="77777777">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001E6413" w:rsidP="009120CD" w:rsidRDefault="001E6413" w14:paraId="5FAD9FDD" w14:textId="77777777">
          <w:pPr>
            <w:pStyle w:val="TOCHeading"/>
            <w:spacing w:line="288" w:lineRule="auto"/>
          </w:pPr>
          <w:r>
            <w:t>Satura rādītājs</w:t>
          </w:r>
        </w:p>
        <w:p w:rsidR="0022731C" w:rsidRDefault="001E6413" w14:paraId="12DA15E9" w14:textId="4767BCD6">
          <w:pPr>
            <w:pStyle w:val="TOC1"/>
            <w:rPr>
              <w:rFonts w:asciiTheme="minorHAnsi" w:hAnsiTheme="minorHAnsi" w:eastAsiaTheme="minorEastAsia" w:cstheme="minorBidi"/>
              <w:noProof/>
              <w:lang w:val="en-US"/>
            </w:rPr>
          </w:pPr>
          <w:r>
            <w:fldChar w:fldCharType="begin"/>
          </w:r>
          <w:r>
            <w:instrText xml:space="preserve"> TOC \o "1-3" \h \z \u </w:instrText>
          </w:r>
          <w:r>
            <w:fldChar w:fldCharType="separate"/>
          </w:r>
          <w:hyperlink w:history="1" w:anchor="_Toc116461959">
            <w:r w:rsidRPr="008F08F6" w:rsidR="0022731C">
              <w:rPr>
                <w:rStyle w:val="Hyperlink"/>
                <w:noProof/>
                <w14:scene3d>
                  <w14:camera w14:prst="orthographicFront"/>
                  <w14:lightRig w14:rig="threePt" w14:dir="t">
                    <w14:rot w14:lat="0" w14:lon="0" w14:rev="0"/>
                  </w14:lightRig>
                </w14:scene3d>
              </w:rPr>
              <w:t>1.</w:t>
            </w:r>
            <w:r w:rsidR="0022731C">
              <w:rPr>
                <w:rFonts w:asciiTheme="minorHAnsi" w:hAnsiTheme="minorHAnsi" w:eastAsiaTheme="minorEastAsia" w:cstheme="minorBidi"/>
                <w:noProof/>
                <w:lang w:val="en-US"/>
              </w:rPr>
              <w:tab/>
            </w:r>
            <w:r w:rsidRPr="008F08F6" w:rsidR="0022731C">
              <w:rPr>
                <w:rStyle w:val="Hyperlink"/>
                <w:b/>
                <w:noProof/>
              </w:rPr>
              <w:t>EKONOMISKĀ UN MONETĀRĀ SAVIENĪBA, EKONOMISKĀ UN SOCIĀLĀ KOHĒZIJA</w:t>
            </w:r>
            <w:r w:rsidR="0022731C">
              <w:rPr>
                <w:noProof/>
                <w:webHidden/>
              </w:rPr>
              <w:tab/>
            </w:r>
            <w:r w:rsidR="0022731C">
              <w:rPr>
                <w:noProof/>
                <w:webHidden/>
              </w:rPr>
              <w:fldChar w:fldCharType="begin"/>
            </w:r>
            <w:r w:rsidR="0022731C">
              <w:rPr>
                <w:noProof/>
                <w:webHidden/>
              </w:rPr>
              <w:instrText xml:space="preserve"> PAGEREF _Toc116461959 \h </w:instrText>
            </w:r>
            <w:r w:rsidR="0022731C">
              <w:rPr>
                <w:noProof/>
                <w:webHidden/>
              </w:rPr>
            </w:r>
            <w:r w:rsidR="0022731C">
              <w:rPr>
                <w:noProof/>
                <w:webHidden/>
              </w:rPr>
              <w:fldChar w:fldCharType="separate"/>
            </w:r>
            <w:r w:rsidR="0022731C">
              <w:rPr>
                <w:noProof/>
                <w:webHidden/>
              </w:rPr>
              <w:t>3</w:t>
            </w:r>
            <w:r w:rsidR="0022731C">
              <w:rPr>
                <w:noProof/>
                <w:webHidden/>
              </w:rPr>
              <w:fldChar w:fldCharType="end"/>
            </w:r>
          </w:hyperlink>
        </w:p>
        <w:p w:rsidR="0022731C" w:rsidRDefault="0022731C" w14:paraId="53874A5C" w14:textId="0C17617D">
          <w:pPr>
            <w:pStyle w:val="TOC1"/>
            <w:rPr>
              <w:rFonts w:asciiTheme="minorHAnsi" w:hAnsiTheme="minorHAnsi" w:eastAsiaTheme="minorEastAsia" w:cstheme="minorBidi"/>
              <w:noProof/>
              <w:lang w:val="en-US"/>
            </w:rPr>
          </w:pPr>
          <w:hyperlink w:history="1" w:anchor="_Toc116461960">
            <w:r w:rsidRPr="008F08F6">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US"/>
              </w:rPr>
              <w:tab/>
            </w:r>
            <w:r w:rsidRPr="008F08F6">
              <w:rPr>
                <w:rStyle w:val="Hyperlink"/>
                <w:b/>
                <w:noProof/>
              </w:rPr>
              <w:t>NODARBINĀTĪBA, SOCIĀLĀS LIETAS UN PILSONISKUMS</w:t>
            </w:r>
            <w:r>
              <w:rPr>
                <w:noProof/>
                <w:webHidden/>
              </w:rPr>
              <w:tab/>
            </w:r>
            <w:r>
              <w:rPr>
                <w:noProof/>
                <w:webHidden/>
              </w:rPr>
              <w:fldChar w:fldCharType="begin"/>
            </w:r>
            <w:r>
              <w:rPr>
                <w:noProof/>
                <w:webHidden/>
              </w:rPr>
              <w:instrText xml:space="preserve"> PAGEREF _Toc116461960 \h </w:instrText>
            </w:r>
            <w:r>
              <w:rPr>
                <w:noProof/>
                <w:webHidden/>
              </w:rPr>
            </w:r>
            <w:r>
              <w:rPr>
                <w:noProof/>
                <w:webHidden/>
              </w:rPr>
              <w:fldChar w:fldCharType="separate"/>
            </w:r>
            <w:r>
              <w:rPr>
                <w:noProof/>
                <w:webHidden/>
              </w:rPr>
              <w:t>11</w:t>
            </w:r>
            <w:r>
              <w:rPr>
                <w:noProof/>
                <w:webHidden/>
              </w:rPr>
              <w:fldChar w:fldCharType="end"/>
            </w:r>
          </w:hyperlink>
        </w:p>
        <w:p w:rsidR="0022731C" w:rsidRDefault="0022731C" w14:paraId="083C868A" w14:textId="44634143">
          <w:pPr>
            <w:pStyle w:val="TOC1"/>
            <w:rPr>
              <w:rFonts w:asciiTheme="minorHAnsi" w:hAnsiTheme="minorHAnsi" w:eastAsiaTheme="minorEastAsia" w:cstheme="minorBidi"/>
              <w:noProof/>
              <w:lang w:val="en-US"/>
            </w:rPr>
          </w:pPr>
          <w:hyperlink w:history="1" w:anchor="_Toc116461961">
            <w:r w:rsidRPr="008F08F6">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8F08F6">
              <w:rPr>
                <w:rStyle w:val="Hyperlink"/>
                <w:b/>
                <w:noProof/>
              </w:rPr>
              <w:t>TRANSPORTS, ENERĢĒTIKA, INFRASTRUKTŪRA UN INFORMĀCIJAS SABIEDRĪBA</w:t>
            </w:r>
            <w:r>
              <w:rPr>
                <w:noProof/>
                <w:webHidden/>
              </w:rPr>
              <w:tab/>
            </w:r>
            <w:r>
              <w:rPr>
                <w:noProof/>
                <w:webHidden/>
              </w:rPr>
              <w:fldChar w:fldCharType="begin"/>
            </w:r>
            <w:r>
              <w:rPr>
                <w:noProof/>
                <w:webHidden/>
              </w:rPr>
              <w:instrText xml:space="preserve"> PAGEREF _Toc116461961 \h </w:instrText>
            </w:r>
            <w:r>
              <w:rPr>
                <w:noProof/>
                <w:webHidden/>
              </w:rPr>
            </w:r>
            <w:r>
              <w:rPr>
                <w:noProof/>
                <w:webHidden/>
              </w:rPr>
              <w:fldChar w:fldCharType="separate"/>
            </w:r>
            <w:r>
              <w:rPr>
                <w:noProof/>
                <w:webHidden/>
              </w:rPr>
              <w:t>16</w:t>
            </w:r>
            <w:r>
              <w:rPr>
                <w:noProof/>
                <w:webHidden/>
              </w:rPr>
              <w:fldChar w:fldCharType="end"/>
            </w:r>
          </w:hyperlink>
        </w:p>
        <w:p w:rsidR="0022731C" w:rsidRDefault="0022731C" w14:paraId="15020AD1" w14:textId="6A4429D9">
          <w:pPr>
            <w:pStyle w:val="TOC1"/>
            <w:rPr>
              <w:rFonts w:asciiTheme="minorHAnsi" w:hAnsiTheme="minorHAnsi" w:eastAsiaTheme="minorEastAsia" w:cstheme="minorBidi"/>
              <w:noProof/>
              <w:lang w:val="en-US"/>
            </w:rPr>
          </w:pPr>
          <w:hyperlink w:history="1" w:anchor="_Toc116461962">
            <w:r w:rsidRPr="008F08F6">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8F08F6">
              <w:rPr>
                <w:rStyle w:val="Hyperlink"/>
                <w:b/>
                <w:noProof/>
              </w:rPr>
              <w:t>VIENOTAIS TIRGUS, RAŽOŠANA UN PATĒRIŅŠ</w:t>
            </w:r>
            <w:r>
              <w:rPr>
                <w:noProof/>
                <w:webHidden/>
              </w:rPr>
              <w:tab/>
            </w:r>
            <w:r>
              <w:rPr>
                <w:noProof/>
                <w:webHidden/>
              </w:rPr>
              <w:fldChar w:fldCharType="begin"/>
            </w:r>
            <w:r>
              <w:rPr>
                <w:noProof/>
                <w:webHidden/>
              </w:rPr>
              <w:instrText xml:space="preserve"> PAGEREF _Toc116461962 \h </w:instrText>
            </w:r>
            <w:r>
              <w:rPr>
                <w:noProof/>
                <w:webHidden/>
              </w:rPr>
            </w:r>
            <w:r>
              <w:rPr>
                <w:noProof/>
                <w:webHidden/>
              </w:rPr>
              <w:fldChar w:fldCharType="separate"/>
            </w:r>
            <w:r>
              <w:rPr>
                <w:noProof/>
                <w:webHidden/>
              </w:rPr>
              <w:t>22</w:t>
            </w:r>
            <w:r>
              <w:rPr>
                <w:noProof/>
                <w:webHidden/>
              </w:rPr>
              <w:fldChar w:fldCharType="end"/>
            </w:r>
          </w:hyperlink>
        </w:p>
        <w:p w:rsidR="0022731C" w:rsidRDefault="0022731C" w14:paraId="0A65ADA0" w14:textId="384F07A9">
          <w:pPr>
            <w:pStyle w:val="TOC1"/>
            <w:rPr>
              <w:rFonts w:asciiTheme="minorHAnsi" w:hAnsiTheme="minorHAnsi" w:eastAsiaTheme="minorEastAsia" w:cstheme="minorBidi"/>
              <w:noProof/>
              <w:lang w:val="en-US"/>
            </w:rPr>
          </w:pPr>
          <w:hyperlink w:history="1" w:anchor="_Toc116461963">
            <w:r w:rsidRPr="008F08F6">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8F08F6">
              <w:rPr>
                <w:rStyle w:val="Hyperlink"/>
                <w:b/>
                <w:noProof/>
              </w:rPr>
              <w:t>LAUKSAIMNIECĪBA, LAUKU ATTĪSTĪBA UN VIDE</w:t>
            </w:r>
            <w:r>
              <w:rPr>
                <w:noProof/>
                <w:webHidden/>
              </w:rPr>
              <w:tab/>
            </w:r>
            <w:r>
              <w:rPr>
                <w:noProof/>
                <w:webHidden/>
              </w:rPr>
              <w:fldChar w:fldCharType="begin"/>
            </w:r>
            <w:r>
              <w:rPr>
                <w:noProof/>
                <w:webHidden/>
              </w:rPr>
              <w:instrText xml:space="preserve"> PAGEREF _Toc116461963 \h </w:instrText>
            </w:r>
            <w:r>
              <w:rPr>
                <w:noProof/>
                <w:webHidden/>
              </w:rPr>
            </w:r>
            <w:r>
              <w:rPr>
                <w:noProof/>
                <w:webHidden/>
              </w:rPr>
              <w:fldChar w:fldCharType="separate"/>
            </w:r>
            <w:r>
              <w:rPr>
                <w:noProof/>
                <w:webHidden/>
              </w:rPr>
              <w:t>28</w:t>
            </w:r>
            <w:r>
              <w:rPr>
                <w:noProof/>
                <w:webHidden/>
              </w:rPr>
              <w:fldChar w:fldCharType="end"/>
            </w:r>
          </w:hyperlink>
        </w:p>
        <w:p w:rsidR="0022731C" w:rsidRDefault="0022731C" w14:paraId="79C2815A" w14:textId="6A157F7F">
          <w:pPr>
            <w:pStyle w:val="TOC1"/>
            <w:rPr>
              <w:rFonts w:asciiTheme="minorHAnsi" w:hAnsiTheme="minorHAnsi" w:eastAsiaTheme="minorEastAsia" w:cstheme="minorBidi"/>
              <w:noProof/>
              <w:lang w:val="en-US"/>
            </w:rPr>
          </w:pPr>
          <w:hyperlink w:history="1" w:anchor="_Toc116461964">
            <w:r w:rsidRPr="008F08F6">
              <w:rPr>
                <w:rStyle w:val="Hyperlink"/>
                <w:noProof/>
                <w14:scene3d>
                  <w14:camera w14:prst="orthographicFront"/>
                  <w14:lightRig w14:rig="threePt" w14:dir="t">
                    <w14:rot w14:lat="0" w14:lon="0" w14:rev="0"/>
                  </w14:lightRig>
                </w14:scene3d>
              </w:rPr>
              <w:t>6.</w:t>
            </w:r>
            <w:r>
              <w:rPr>
                <w:rFonts w:asciiTheme="minorHAnsi" w:hAnsiTheme="minorHAnsi" w:eastAsiaTheme="minorEastAsia" w:cstheme="minorBidi"/>
                <w:noProof/>
                <w:lang w:val="en-US"/>
              </w:rPr>
              <w:tab/>
            </w:r>
            <w:r w:rsidRPr="008F08F6">
              <w:rPr>
                <w:rStyle w:val="Hyperlink"/>
                <w:b/>
                <w:noProof/>
              </w:rPr>
              <w:t>ĀRĒJĀS ATTIECĪBAS</w:t>
            </w:r>
            <w:r>
              <w:rPr>
                <w:noProof/>
                <w:webHidden/>
              </w:rPr>
              <w:tab/>
            </w:r>
            <w:r>
              <w:rPr>
                <w:noProof/>
                <w:webHidden/>
              </w:rPr>
              <w:fldChar w:fldCharType="begin"/>
            </w:r>
            <w:r>
              <w:rPr>
                <w:noProof/>
                <w:webHidden/>
              </w:rPr>
              <w:instrText xml:space="preserve"> PAGEREF _Toc116461964 \h </w:instrText>
            </w:r>
            <w:r>
              <w:rPr>
                <w:noProof/>
                <w:webHidden/>
              </w:rPr>
            </w:r>
            <w:r>
              <w:rPr>
                <w:noProof/>
                <w:webHidden/>
              </w:rPr>
              <w:fldChar w:fldCharType="separate"/>
            </w:r>
            <w:r>
              <w:rPr>
                <w:noProof/>
                <w:webHidden/>
              </w:rPr>
              <w:t>30</w:t>
            </w:r>
            <w:r>
              <w:rPr>
                <w:noProof/>
                <w:webHidden/>
              </w:rPr>
              <w:fldChar w:fldCharType="end"/>
            </w:r>
          </w:hyperlink>
        </w:p>
        <w:p w:rsidR="0022731C" w:rsidRDefault="0022731C" w14:paraId="35E95CAC" w14:textId="309BA583">
          <w:pPr>
            <w:pStyle w:val="TOC1"/>
            <w:rPr>
              <w:rFonts w:asciiTheme="minorHAnsi" w:hAnsiTheme="minorHAnsi" w:eastAsiaTheme="minorEastAsia" w:cstheme="minorBidi"/>
              <w:noProof/>
              <w:lang w:val="en-US"/>
            </w:rPr>
          </w:pPr>
          <w:hyperlink w:history="1" w:anchor="_Toc116461965">
            <w:r w:rsidRPr="008F08F6">
              <w:rPr>
                <w:rStyle w:val="Hyperlink"/>
                <w:noProof/>
                <w14:scene3d>
                  <w14:camera w14:prst="orthographicFront"/>
                  <w14:lightRig w14:rig="threePt" w14:dir="t">
                    <w14:rot w14:lat="0" w14:lon="0" w14:rev="0"/>
                  </w14:lightRig>
                </w14:scene3d>
              </w:rPr>
              <w:t>7.</w:t>
            </w:r>
            <w:r>
              <w:rPr>
                <w:rFonts w:asciiTheme="minorHAnsi" w:hAnsiTheme="minorHAnsi" w:eastAsiaTheme="minorEastAsia" w:cstheme="minorBidi"/>
                <w:noProof/>
                <w:lang w:val="en-US"/>
              </w:rPr>
              <w:tab/>
            </w:r>
            <w:r w:rsidRPr="008F08F6">
              <w:rPr>
                <w:rStyle w:val="Hyperlink"/>
                <w:b/>
                <w:noProof/>
              </w:rPr>
              <w:t>RŪPNIECĪBAS PĀRMAIŅU KONSULTATĪVĀ KOMISIJA</w:t>
            </w:r>
            <w:r>
              <w:rPr>
                <w:noProof/>
                <w:webHidden/>
              </w:rPr>
              <w:tab/>
            </w:r>
            <w:r>
              <w:rPr>
                <w:noProof/>
                <w:webHidden/>
              </w:rPr>
              <w:fldChar w:fldCharType="begin"/>
            </w:r>
            <w:r>
              <w:rPr>
                <w:noProof/>
                <w:webHidden/>
              </w:rPr>
              <w:instrText xml:space="preserve"> PAGEREF _Toc116461965 \h </w:instrText>
            </w:r>
            <w:r>
              <w:rPr>
                <w:noProof/>
                <w:webHidden/>
              </w:rPr>
            </w:r>
            <w:r>
              <w:rPr>
                <w:noProof/>
                <w:webHidden/>
              </w:rPr>
              <w:fldChar w:fldCharType="separate"/>
            </w:r>
            <w:r>
              <w:rPr>
                <w:noProof/>
                <w:webHidden/>
              </w:rPr>
              <w:t>31</w:t>
            </w:r>
            <w:r>
              <w:rPr>
                <w:noProof/>
                <w:webHidden/>
              </w:rPr>
              <w:fldChar w:fldCharType="end"/>
            </w:r>
          </w:hyperlink>
        </w:p>
        <w:p w:rsidR="001E6413" w:rsidP="009120CD" w:rsidRDefault="001E6413" w14:paraId="684BFB9B" w14:textId="35A4EB0D">
          <w:r>
            <w:rPr>
              <w:b/>
            </w:rPr>
            <w:fldChar w:fldCharType="end"/>
          </w:r>
        </w:p>
      </w:sdtContent>
    </w:sdt>
    <w:p w:rsidRPr="009B70E7" w:rsidR="004D7AC0" w:rsidP="009120CD" w:rsidRDefault="004D7AC0" w14:paraId="4600634B" w14:textId="77777777"/>
    <w:p w:rsidRPr="009B70E7" w:rsidR="004D7AC0" w:rsidP="009120CD" w:rsidRDefault="004D7AC0" w14:paraId="68489C47" w14:textId="2FCA526B">
      <w:pPr>
        <w:pStyle w:val="Heading1"/>
        <w:numPr>
          <w:ilvl w:val="0"/>
          <w:numId w:val="0"/>
        </w:numPr>
      </w:pPr>
      <w:r>
        <w:br w:type="page"/>
      </w:r>
    </w:p>
    <w:p w:rsidRPr="00D13F40" w:rsidR="004D7AC0" w:rsidP="009120CD" w:rsidRDefault="004D7AC0" w14:paraId="1E329F25" w14:textId="77777777">
      <w:pPr>
        <w:pStyle w:val="Heading1"/>
        <w:rPr>
          <w:b/>
        </w:rPr>
      </w:pPr>
      <w:bookmarkStart w:name="_Toc116461959" w:id="0"/>
      <w:r>
        <w:rPr>
          <w:b/>
        </w:rPr>
        <w:lastRenderedPageBreak/>
        <w:t>EKONOMISKĀ UN MONETĀRĀ SAVIENĪBA, EKONOMISKĀ UN SOCIĀLĀ KOHĒZIJA</w:t>
      </w:r>
      <w:bookmarkEnd w:id="0"/>
    </w:p>
    <w:p w:rsidR="00662436" w:rsidP="009120CD" w:rsidRDefault="00662436" w14:paraId="1710091D" w14:textId="77777777"/>
    <w:p w:rsidRPr="009B70E7" w:rsidR="00640656" w:rsidP="009120CD" w:rsidRDefault="004442D3" w14:paraId="5D3A59A0" w14:textId="1A493D68">
      <w:pPr>
        <w:keepNext/>
        <w:keepLines/>
        <w:numPr>
          <w:ilvl w:val="0"/>
          <w:numId w:val="5"/>
        </w:numPr>
        <w:overflowPunct w:val="0"/>
        <w:autoSpaceDE w:val="0"/>
        <w:autoSpaceDN w:val="0"/>
        <w:adjustRightInd w:val="0"/>
        <w:ind w:left="567" w:hanging="567"/>
        <w:textAlignment w:val="baseline"/>
        <w:rPr>
          <w:b/>
          <w:i/>
          <w:spacing w:val="-2"/>
          <w:sz w:val="28"/>
          <w:szCs w:val="28"/>
        </w:rPr>
      </w:pPr>
      <w:r>
        <w:rPr>
          <w:b/>
          <w:i/>
          <w:sz w:val="28"/>
        </w:rPr>
        <w:t>Sociālā taksonomija </w:t>
      </w:r>
      <w:r w:rsidR="00801DC4">
        <w:rPr>
          <w:b/>
          <w:i/>
          <w:sz w:val="28"/>
        </w:rPr>
        <w:t>–</w:t>
      </w:r>
      <w:r>
        <w:rPr>
          <w:b/>
          <w:i/>
          <w:sz w:val="28"/>
        </w:rPr>
        <w:t xml:space="preserve"> izaicinājumi un iespējas</w:t>
      </w:r>
    </w:p>
    <w:p w:rsidRPr="0018231C" w:rsidR="00640656" w:rsidP="009120CD" w:rsidRDefault="00640656" w14:paraId="228D42E4" w14:textId="77777777">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27B8F" w:rsidR="00640656" w:rsidTr="00B83E7B" w14:paraId="17A96696" w14:textId="77777777">
        <w:tc>
          <w:tcPr>
            <w:tcW w:w="1701" w:type="dxa"/>
          </w:tcPr>
          <w:p w:rsidRPr="009B70E7" w:rsidR="00640656" w:rsidP="009120CD" w:rsidRDefault="00640656" w14:paraId="204BF0A8" w14:textId="77777777">
            <w:pPr>
              <w:pStyle w:val="ListParagraph"/>
              <w:ind w:left="-142" w:firstLine="142"/>
              <w:rPr>
                <w:b/>
              </w:rPr>
            </w:pPr>
            <w:r>
              <w:rPr>
                <w:b/>
              </w:rPr>
              <w:t>Ziņotāja:</w:t>
            </w:r>
          </w:p>
        </w:tc>
        <w:tc>
          <w:tcPr>
            <w:tcW w:w="6521" w:type="dxa"/>
          </w:tcPr>
          <w:p w:rsidR="00640656" w:rsidP="009120CD" w:rsidRDefault="004442D3" w14:paraId="1461617E" w14:textId="696E8CA5">
            <w:pPr>
              <w:pStyle w:val="ListParagraph"/>
              <w:ind w:left="-60" w:right="-55"/>
            </w:pPr>
            <w:proofErr w:type="spellStart"/>
            <w:r>
              <w:t>Judith</w:t>
            </w:r>
            <w:proofErr w:type="spellEnd"/>
            <w:r>
              <w:t xml:space="preserve"> VORBACH (Darba ņēmēju grupa – AT)</w:t>
            </w:r>
          </w:p>
          <w:p w:rsidRPr="00627B8F" w:rsidR="004442D3" w:rsidP="009120CD" w:rsidRDefault="004442D3" w14:paraId="1C5C2FFB" w14:textId="21B769C5">
            <w:pPr>
              <w:pStyle w:val="ListParagraph"/>
              <w:ind w:left="-60" w:right="-55"/>
            </w:pPr>
          </w:p>
        </w:tc>
      </w:tr>
      <w:tr w:rsidRPr="00627B8F" w:rsidR="00640656" w:rsidTr="00B83E7B" w14:paraId="3D93C3AA" w14:textId="77777777">
        <w:tc>
          <w:tcPr>
            <w:tcW w:w="1701" w:type="dxa"/>
          </w:tcPr>
          <w:p w:rsidRPr="009B70E7" w:rsidR="00640656" w:rsidP="009120CD" w:rsidRDefault="00640656" w14:paraId="33436DCF" w14:textId="77777777">
            <w:pPr>
              <w:pStyle w:val="ListParagraph"/>
              <w:ind w:left="-142" w:firstLine="142"/>
              <w:rPr>
                <w:b/>
              </w:rPr>
            </w:pPr>
            <w:r>
              <w:rPr>
                <w:b/>
              </w:rPr>
              <w:t xml:space="preserve">Atsauce: </w:t>
            </w:r>
          </w:p>
        </w:tc>
        <w:tc>
          <w:tcPr>
            <w:tcW w:w="6521" w:type="dxa"/>
          </w:tcPr>
          <w:p w:rsidRPr="00627B8F" w:rsidR="00640656" w:rsidP="009120CD" w:rsidRDefault="000A03BD" w14:paraId="3CD87A23" w14:textId="77777777">
            <w:pPr>
              <w:pStyle w:val="ListParagraph"/>
              <w:ind w:left="-61"/>
              <w:rPr>
                <w:bCs/>
              </w:rPr>
            </w:pPr>
            <w:r>
              <w:t>Pašiniciatīvas atzinums</w:t>
            </w:r>
          </w:p>
          <w:p w:rsidRPr="00627B8F" w:rsidR="00640656" w:rsidP="009120CD" w:rsidRDefault="00640656" w14:paraId="57D265AF" w14:textId="7AF6677A">
            <w:pPr>
              <w:pStyle w:val="ListParagraph"/>
              <w:ind w:left="-61"/>
            </w:pPr>
            <w:r>
              <w:t>EESC-2022-00721-00-00-AC</w:t>
            </w:r>
          </w:p>
        </w:tc>
      </w:tr>
    </w:tbl>
    <w:p w:rsidRPr="00627B8F" w:rsidR="00640656" w:rsidP="009120CD" w:rsidRDefault="00640656" w14:paraId="68C62979" w14:textId="77777777">
      <w:pPr>
        <w:pStyle w:val="ListParagraph"/>
        <w:ind w:left="0"/>
        <w:rPr>
          <w:lang w:val="pt-PT"/>
        </w:rPr>
      </w:pPr>
    </w:p>
    <w:p w:rsidRPr="009B70E7" w:rsidR="00640656" w:rsidP="009120CD" w:rsidRDefault="00640656" w14:paraId="1531E332" w14:textId="43F60572">
      <w:pPr>
        <w:pStyle w:val="ListParagraph"/>
        <w:ind w:left="0" w:firstLine="142"/>
        <w:rPr>
          <w:b/>
        </w:rPr>
      </w:pPr>
      <w:r>
        <w:rPr>
          <w:b/>
          <w:bCs/>
        </w:rPr>
        <w:t>Svarīgākie aspekti</w:t>
      </w:r>
    </w:p>
    <w:p w:rsidRPr="00804736" w:rsidR="00640656" w:rsidP="009120CD" w:rsidRDefault="00640656" w14:paraId="35E5BFA5" w14:textId="77777777">
      <w:pPr>
        <w:pStyle w:val="ListParagraph"/>
        <w:ind w:left="-142" w:firstLine="142"/>
        <w:rPr>
          <w:b/>
        </w:rPr>
      </w:pPr>
    </w:p>
    <w:p w:rsidRPr="00B67EDA" w:rsidR="00640656" w:rsidP="009120CD" w:rsidRDefault="00640656" w14:paraId="49F5E58C" w14:textId="77777777">
      <w:pPr>
        <w:pStyle w:val="ListParagraph"/>
        <w:ind w:left="0" w:firstLine="142"/>
        <w:rPr>
          <w:bCs/>
        </w:rPr>
      </w:pPr>
      <w:r>
        <w:t>EESK:</w:t>
      </w:r>
    </w:p>
    <w:p w:rsidRPr="009B70E7" w:rsidR="00640656" w:rsidP="009120CD" w:rsidRDefault="00640656" w14:paraId="79740612" w14:textId="77777777">
      <w:pPr>
        <w:pStyle w:val="ListParagraph"/>
        <w:ind w:left="0"/>
      </w:pPr>
    </w:p>
    <w:p w:rsidRPr="009B70E7" w:rsidR="00640656" w:rsidP="009120CD" w:rsidRDefault="001A7476" w14:paraId="7319D50D" w14:textId="5D04C8BF">
      <w:pPr>
        <w:pStyle w:val="ListParagraph"/>
        <w:numPr>
          <w:ilvl w:val="0"/>
          <w:numId w:val="3"/>
        </w:numPr>
        <w:ind w:left="357" w:hanging="357"/>
      </w:pPr>
      <w:r>
        <w:t>aicina Komisiju publicēt sen gaidīto ziņojumu, kurā izklāstīti noteikumi, kas būtu vajadzīgi, lai paplašinātu ES ilgtspējas taksonomijas darbības jomu, iekļaujot tajā “citus ilgtspējas mērķus, piemēram, sociālos mērķus”, kā prasīts Taksonomijas regulā;</w:t>
      </w:r>
    </w:p>
    <w:p w:rsidR="00640656" w:rsidP="009120CD" w:rsidRDefault="001A7476" w14:paraId="410F3EF2" w14:textId="50B8D342">
      <w:pPr>
        <w:pStyle w:val="ListParagraph"/>
        <w:numPr>
          <w:ilvl w:val="0"/>
          <w:numId w:val="3"/>
        </w:numPr>
        <w:ind w:left="357" w:hanging="357"/>
      </w:pPr>
      <w:r>
        <w:t>iestājas par funkcionāli dzīvotspējīgu un konceptuāli pareizu sociālo taksonomiju, lai īstenotu iespējas un vienlaikus risinātu problēmas. ES taksonomija būtu jāsaskaņo ar holistisku pieeju, ietverot vides, kā arī sociālo ilgtspēju;</w:t>
      </w:r>
    </w:p>
    <w:p w:rsidRPr="009B70E7" w:rsidR="00640656" w:rsidP="009120CD" w:rsidRDefault="001A7476" w14:paraId="00EEA10F" w14:textId="73222392">
      <w:pPr>
        <w:pStyle w:val="ListParagraph"/>
        <w:numPr>
          <w:ilvl w:val="0"/>
          <w:numId w:val="3"/>
        </w:numPr>
        <w:ind w:left="357" w:hanging="357"/>
      </w:pPr>
      <w:r>
        <w:t>uzskata, ka regulas minimālie aizsardzības pasākumi ir vērtējami atzinīgi, taču ar tiem nepietiek, lai nodrošinātu sociālo ilgtspēju darba ņēmējiem, patērētājiem un kopienām;</w:t>
      </w:r>
    </w:p>
    <w:p w:rsidR="00640656" w:rsidP="009120CD" w:rsidRDefault="001A7476" w14:paraId="5DA57970" w14:textId="3B07B18D">
      <w:pPr>
        <w:pStyle w:val="ListParagraph"/>
        <w:numPr>
          <w:ilvl w:val="0"/>
          <w:numId w:val="3"/>
        </w:numPr>
        <w:ind w:left="357" w:hanging="357"/>
      </w:pPr>
      <w:r>
        <w:t>uzskata, ka sociālās labklājības finansēšana no valdības izdevumiem joprojām ir būtiska. Tomēr sociālā taksonomija varētu nodrošināt pamatnostādnes attiecībā uz ieguldījumiem ar pozitīvu sociālo ietekmi;</w:t>
      </w:r>
    </w:p>
    <w:p w:rsidR="000A03BD" w:rsidP="009120CD" w:rsidRDefault="001A7476" w14:paraId="3030B859" w14:textId="27C5CBF0">
      <w:pPr>
        <w:pStyle w:val="ListParagraph"/>
        <w:numPr>
          <w:ilvl w:val="0"/>
          <w:numId w:val="3"/>
        </w:numPr>
        <w:ind w:left="357" w:hanging="357"/>
      </w:pPr>
      <w:r>
        <w:t>iesaka iekļaut sociālo taksonomiju ilgtspējīga finansējuma satvarā un it īpaši atsaukties uz plānoto Direktīvu par korporatīvo ilgtspējas ziņu sniegšanu (CSRD);</w:t>
      </w:r>
    </w:p>
    <w:p w:rsidRPr="001A7476" w:rsidR="000A03BD" w:rsidP="009120CD" w:rsidRDefault="001A7476" w14:paraId="581CFA88" w14:textId="7876427E">
      <w:pPr>
        <w:pStyle w:val="ListParagraph"/>
        <w:numPr>
          <w:ilvl w:val="0"/>
          <w:numId w:val="3"/>
        </w:numPr>
        <w:ind w:left="357" w:hanging="357"/>
      </w:pPr>
      <w:r>
        <w:t>ir pārliecināta, ka labi izstrādāta sociālā taksonomija palīdzētu risināt “sociālās apvārdošanas” problēmu;</w:t>
      </w:r>
    </w:p>
    <w:p w:rsidRPr="001A7476" w:rsidR="001A7476" w:rsidP="009120CD" w:rsidRDefault="001A7476" w14:paraId="6BE1CBCA" w14:textId="505D9566">
      <w:pPr>
        <w:pStyle w:val="ListParagraph"/>
        <w:numPr>
          <w:ilvl w:val="0"/>
          <w:numId w:val="3"/>
        </w:numPr>
        <w:ind w:left="357" w:hanging="357"/>
      </w:pPr>
      <w:r>
        <w:t>iesaka sākt ar vienkāršām un skaidrām nostādnēm, nodrošinot vienkāršas un pārredzamas procedūras un tās pakāpeniski papildinot;</w:t>
      </w:r>
    </w:p>
    <w:p w:rsidRPr="001A7476" w:rsidR="001A7476" w:rsidP="009120CD" w:rsidRDefault="001A7476" w14:paraId="313939C8" w14:textId="2F23088B">
      <w:pPr>
        <w:pStyle w:val="ListParagraph"/>
        <w:numPr>
          <w:ilvl w:val="0"/>
          <w:numId w:val="3"/>
        </w:numPr>
        <w:ind w:left="357" w:hanging="357"/>
      </w:pPr>
      <w:r>
        <w:t>uzskata, ka ES taksonomijai vajadzētu būt zelta standartam, kas liecina par augstāku vērienīguma līmeni, nekā paredzēts tiesību aktos;</w:t>
      </w:r>
    </w:p>
    <w:p w:rsidRPr="001A7476" w:rsidR="001A7476" w:rsidP="009120CD" w:rsidRDefault="001A7476" w14:paraId="6E0B99C8" w14:textId="4B498176">
      <w:pPr>
        <w:pStyle w:val="ListParagraph"/>
        <w:numPr>
          <w:ilvl w:val="0"/>
          <w:numId w:val="3"/>
        </w:numPr>
        <w:ind w:left="357" w:hanging="357"/>
      </w:pPr>
      <w:r>
        <w:t>atzinīgi vērtē Platformas ierosinātos mērķus, proti, pienācīgas kvalitātes nodarbinātība, atbilstīgs dzīves līmenis un iekļaujošas un ilgtspējīgas kopienas;</w:t>
      </w:r>
    </w:p>
    <w:p w:rsidRPr="001A7476" w:rsidR="001A7476" w:rsidP="009120CD" w:rsidRDefault="001A7476" w14:paraId="5DF87404" w14:textId="109D30C8">
      <w:pPr>
        <w:pStyle w:val="ListParagraph"/>
        <w:numPr>
          <w:ilvl w:val="0"/>
          <w:numId w:val="3"/>
        </w:numPr>
        <w:ind w:left="357" w:hanging="357"/>
      </w:pPr>
      <w:r>
        <w:t>iesaka orientēties uz Eiropas sociālo tiesību pīlāru un ilgtspējīgas attīstības mērķiem. Cilvēktiesību un darba ņēmēju tiesību ievērošanai ir jābūt pamatnosacījumam;</w:t>
      </w:r>
    </w:p>
    <w:p w:rsidRPr="001A7476" w:rsidR="001A7476" w:rsidP="009120CD" w:rsidRDefault="001A7476" w14:paraId="79652FE9" w14:textId="6181366D">
      <w:pPr>
        <w:pStyle w:val="ListParagraph"/>
        <w:numPr>
          <w:ilvl w:val="0"/>
          <w:numId w:val="3"/>
        </w:numPr>
        <w:ind w:left="357" w:hanging="357"/>
      </w:pPr>
      <w:r>
        <w:t>uzskata, ka koplīgumu ievērošana un kopīgas lēmumu pieņemšanas mehānismu izmantošana saskaņā ar attiecīgajiem valsts un Eiropas tiesību aktiem ir būtiska, un tai būtu jāveido DNSH princips;</w:t>
      </w:r>
    </w:p>
    <w:p w:rsidRPr="001A7476" w:rsidR="001A7476" w:rsidP="009120CD" w:rsidRDefault="001A7476" w14:paraId="3511EA36" w14:textId="7254B9CE">
      <w:pPr>
        <w:pStyle w:val="ListParagraph"/>
        <w:numPr>
          <w:ilvl w:val="0"/>
          <w:numId w:val="3"/>
        </w:numPr>
        <w:ind w:left="357" w:hanging="357"/>
      </w:pPr>
      <w:r>
        <w:t>mudina likumdevējus sociālās taksonomijas izstrādē pilnībā iesaistīt sociālos partnerus un pilsoniskās sabiedrības organizācijas;</w:t>
      </w:r>
    </w:p>
    <w:p w:rsidRPr="001A7476" w:rsidR="001A7476" w:rsidP="009120CD" w:rsidRDefault="001A7476" w14:paraId="3768FE29" w14:textId="13985207">
      <w:pPr>
        <w:pStyle w:val="ListParagraph"/>
        <w:numPr>
          <w:ilvl w:val="0"/>
          <w:numId w:val="3"/>
        </w:numPr>
        <w:ind w:left="357" w:hanging="357"/>
      </w:pPr>
      <w:bookmarkStart w:name="_Hlk113968821" w:id="1"/>
      <w:r>
        <w:t>pauž pārliecību, ka taksonomijas panākumi ir saistīti ar tās ticamību, un iekļautajām darbībām jāatbilst vispārpieņemtai ilgtspējas definīcijai;</w:t>
      </w:r>
      <w:bookmarkEnd w:id="1"/>
    </w:p>
    <w:p w:rsidR="0022731C" w:rsidRDefault="0022731C" w14:paraId="3610081E" w14:textId="77777777">
      <w:pPr>
        <w:spacing w:after="160" w:line="259" w:lineRule="auto"/>
        <w:jc w:val="left"/>
        <w:rPr>
          <w:u w:val="single"/>
        </w:rPr>
      </w:pPr>
      <w:r>
        <w:rPr>
          <w:u w:val="single"/>
        </w:rPr>
        <w:br w:type="page"/>
      </w:r>
    </w:p>
    <w:p w:rsidRPr="001A7476" w:rsidR="001A7476" w:rsidP="009120CD" w:rsidRDefault="001A7476" w14:paraId="558F86B9" w14:textId="12432C88">
      <w:pPr>
        <w:pStyle w:val="ListParagraph"/>
        <w:numPr>
          <w:ilvl w:val="0"/>
          <w:numId w:val="3"/>
        </w:numPr>
        <w:ind w:left="357" w:hanging="357"/>
      </w:pPr>
      <w:r>
        <w:rPr>
          <w:u w:val="single"/>
        </w:rPr>
        <w:lastRenderedPageBreak/>
        <w:t>vēlas uzsvērt vēl citus ieguvumus, kas saistīti ar sociālo taksonomiju:</w:t>
      </w:r>
    </w:p>
    <w:p w:rsidR="001A7476" w:rsidP="00CD077F" w:rsidRDefault="001A7476" w14:paraId="7207DE04" w14:textId="1EE55D32">
      <w:pPr>
        <w:pStyle w:val="ListParagraph"/>
        <w:numPr>
          <w:ilvl w:val="0"/>
          <w:numId w:val="22"/>
        </w:numPr>
        <w:ind w:left="1134" w:hanging="567"/>
      </w:pPr>
      <w:r>
        <w:t xml:space="preserve">būtu jāatbalsta augošais pieprasījums pēc sociāli ievirzītiem ieguldījumiem, nodrošinot uzticamu taksonomiju, kas ir saskaņota sociālās ilgtspējas novērtēšanas koncepcija; </w:t>
      </w:r>
    </w:p>
    <w:p w:rsidR="001A7476" w:rsidP="00CD077F" w:rsidRDefault="001A7476" w14:paraId="32DD3C5C" w14:textId="39FB2E30">
      <w:pPr>
        <w:pStyle w:val="ListParagraph"/>
        <w:numPr>
          <w:ilvl w:val="0"/>
          <w:numId w:val="22"/>
        </w:numPr>
        <w:ind w:left="1134" w:hanging="567"/>
      </w:pPr>
      <w:r>
        <w:t>taksonomija varētu palīdzēt samazināt riskus, ko rada sociāli kaitīgas darbības;</w:t>
      </w:r>
    </w:p>
    <w:p w:rsidR="001A7476" w:rsidP="00CD077F" w:rsidRDefault="001A7476" w14:paraId="6C616777" w14:textId="38B4B28C">
      <w:pPr>
        <w:pStyle w:val="ListParagraph"/>
        <w:numPr>
          <w:ilvl w:val="0"/>
          <w:numId w:val="22"/>
        </w:numPr>
        <w:ind w:left="1134" w:hanging="567"/>
      </w:pPr>
      <w:r>
        <w:t xml:space="preserve">pārredzamībai ir būtiska nozīme kapitāla tirgus efektivitātes nodrošināšanā, un tā varētu arī veicināt sociālo iekšējo tirgu, kā noteikts LESD 3. pantā; </w:t>
      </w:r>
    </w:p>
    <w:p w:rsidR="001A7476" w:rsidP="00CD077F" w:rsidRDefault="001A7476" w14:paraId="223C0F2B" w14:textId="699E9D77">
      <w:pPr>
        <w:pStyle w:val="ListParagraph"/>
        <w:numPr>
          <w:ilvl w:val="0"/>
          <w:numId w:val="22"/>
        </w:numPr>
        <w:ind w:left="1134" w:hanging="567"/>
      </w:pPr>
      <w:r>
        <w:t>Eiropas Savienībai ir jāizmanto savas priekšrocības un jācenšas kļūt par modeli un līderi vides un sociālās ilgtspējas jomā;</w:t>
      </w:r>
    </w:p>
    <w:p w:rsidR="001A7476" w:rsidP="009120CD" w:rsidRDefault="001A7476" w14:paraId="274F855E" w14:textId="77777777">
      <w:pPr>
        <w:ind w:left="709"/>
      </w:pPr>
    </w:p>
    <w:p w:rsidRPr="001A7476" w:rsidR="001A7476" w:rsidP="009120CD" w:rsidRDefault="001A7476" w14:paraId="55B4EDEF" w14:textId="5F60354F">
      <w:pPr>
        <w:pStyle w:val="ListParagraph"/>
        <w:numPr>
          <w:ilvl w:val="0"/>
          <w:numId w:val="3"/>
        </w:numPr>
        <w:ind w:left="357" w:hanging="357"/>
      </w:pPr>
      <w:r>
        <w:rPr>
          <w:u w:val="single"/>
        </w:rPr>
        <w:t>norāda arī uz problēmām un iespējamiem risinājumiem:</w:t>
      </w:r>
    </w:p>
    <w:p w:rsidR="001A7476" w:rsidP="00CD077F" w:rsidRDefault="001A7476" w14:paraId="345A3836" w14:textId="72A55591">
      <w:pPr>
        <w:pStyle w:val="ListParagraph"/>
        <w:numPr>
          <w:ilvl w:val="0"/>
          <w:numId w:val="24"/>
        </w:numPr>
        <w:ind w:left="1134" w:hanging="567"/>
      </w:pPr>
      <w:r>
        <w:t>tas, ka tas neatbilst taksonomijai, nav nepārprotami uzskatāms par kaitīgu;</w:t>
      </w:r>
    </w:p>
    <w:p w:rsidR="001A7476" w:rsidP="0064748D" w:rsidRDefault="001A7476" w14:paraId="042B4779" w14:textId="737822C5">
      <w:pPr>
        <w:pStyle w:val="ListParagraph"/>
        <w:numPr>
          <w:ilvl w:val="0"/>
          <w:numId w:val="24"/>
        </w:numPr>
        <w:ind w:left="1134" w:hanging="567"/>
      </w:pPr>
      <w:r>
        <w:t xml:space="preserve">definīcija attiecībā uz to, kas būtu jāiekļauj taksonomijā, raisīs strīdus. Bet tieši šī iemesla dēļ definīcija ir jānosaka demokrātiskā lēmumu pieņemšanas procesā; </w:t>
      </w:r>
    </w:p>
    <w:p w:rsidR="001A7476" w:rsidP="0064748D" w:rsidRDefault="001A7476" w14:paraId="08E9EE8B" w14:textId="456C472C">
      <w:pPr>
        <w:pStyle w:val="ListParagraph"/>
        <w:numPr>
          <w:ilvl w:val="0"/>
          <w:numId w:val="24"/>
        </w:numPr>
        <w:ind w:left="1134" w:hanging="567"/>
      </w:pPr>
      <w:r>
        <w:t>sociālā taksonomija varētu radīt papildu ziņošanas prasības, kuras var samazināt līdz minimumam, atsaucoties uz saistītiem tiesību aktiem, piemēram, CSRD.</w:t>
      </w:r>
    </w:p>
    <w:p w:rsidRPr="009B70E7" w:rsidR="00577672" w:rsidP="009120CD" w:rsidRDefault="00577672" w14:paraId="6AC4293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9B70E7" w:rsidR="00640656" w:rsidTr="00B83E7B" w14:paraId="437B7156" w14:textId="77777777">
        <w:tc>
          <w:tcPr>
            <w:tcW w:w="1418" w:type="dxa"/>
          </w:tcPr>
          <w:p w:rsidRPr="009B70E7" w:rsidR="00640656" w:rsidP="009120CD" w:rsidRDefault="00640656" w14:paraId="026D2B53" w14:textId="77777777">
            <w:pPr>
              <w:pStyle w:val="ListParagraph"/>
              <w:ind w:left="0"/>
              <w:rPr>
                <w:i/>
              </w:rPr>
            </w:pPr>
            <w:bookmarkStart w:name="_Hlk111561469" w:id="2"/>
            <w:r>
              <w:rPr>
                <w:b/>
                <w:i/>
              </w:rPr>
              <w:t>Kontaktpersona:</w:t>
            </w:r>
          </w:p>
        </w:tc>
        <w:tc>
          <w:tcPr>
            <w:tcW w:w="5670" w:type="dxa"/>
          </w:tcPr>
          <w:p w:rsidRPr="009B70E7" w:rsidR="00640656" w:rsidP="009120CD" w:rsidRDefault="00A51F67" w14:paraId="3123BFA2" w14:textId="124D47B5">
            <w:pPr>
              <w:pStyle w:val="ListParagraph"/>
              <w:ind w:left="0"/>
              <w:rPr>
                <w:i/>
              </w:rPr>
            </w:pPr>
            <w:proofErr w:type="spellStart"/>
            <w:r>
              <w:rPr>
                <w:i/>
              </w:rPr>
              <w:t>Gerald</w:t>
            </w:r>
            <w:proofErr w:type="spellEnd"/>
            <w:r>
              <w:rPr>
                <w:i/>
              </w:rPr>
              <w:t xml:space="preserve"> </w:t>
            </w:r>
            <w:r w:rsidR="0022731C">
              <w:rPr>
                <w:i/>
              </w:rPr>
              <w:t>KLEC</w:t>
            </w:r>
          </w:p>
        </w:tc>
      </w:tr>
      <w:tr w:rsidRPr="009B70E7" w:rsidR="00640656" w:rsidTr="00B83E7B" w14:paraId="13C450E4" w14:textId="77777777">
        <w:tc>
          <w:tcPr>
            <w:tcW w:w="1418" w:type="dxa"/>
          </w:tcPr>
          <w:p w:rsidRPr="009B70E7" w:rsidR="00640656" w:rsidP="009120CD" w:rsidRDefault="00640656" w14:paraId="71B7C5A8" w14:textId="77777777">
            <w:pPr>
              <w:pStyle w:val="ListParagraph"/>
              <w:ind w:left="601"/>
              <w:rPr>
                <w:i/>
              </w:rPr>
            </w:pPr>
            <w:r>
              <w:rPr>
                <w:i/>
              </w:rPr>
              <w:t>Tālr.:</w:t>
            </w:r>
          </w:p>
        </w:tc>
        <w:tc>
          <w:tcPr>
            <w:tcW w:w="5670" w:type="dxa"/>
          </w:tcPr>
          <w:p w:rsidRPr="009B70E7" w:rsidR="00640656" w:rsidP="009120CD" w:rsidRDefault="00577672" w14:paraId="3226C0EF" w14:textId="60CE5422">
            <w:pPr>
              <w:pStyle w:val="ListParagraph"/>
              <w:ind w:left="0"/>
              <w:rPr>
                <w:i/>
              </w:rPr>
            </w:pPr>
            <w:r>
              <w:rPr>
                <w:i/>
              </w:rPr>
              <w:t>00 32 2 546 99 09</w:t>
            </w:r>
          </w:p>
        </w:tc>
      </w:tr>
      <w:tr w:rsidRPr="009B70E7" w:rsidR="00640656" w:rsidTr="00B83E7B" w14:paraId="1FEA5B3F" w14:textId="77777777">
        <w:tc>
          <w:tcPr>
            <w:tcW w:w="1418" w:type="dxa"/>
          </w:tcPr>
          <w:p w:rsidRPr="009B70E7" w:rsidR="00640656" w:rsidP="009120CD" w:rsidRDefault="00640656" w14:paraId="6D5FF9EA" w14:textId="77777777">
            <w:pPr>
              <w:pStyle w:val="ListParagraph"/>
              <w:ind w:left="601"/>
              <w:rPr>
                <w:i/>
              </w:rPr>
            </w:pPr>
            <w:r>
              <w:rPr>
                <w:i/>
              </w:rPr>
              <w:t>E-pasts:</w:t>
            </w:r>
          </w:p>
        </w:tc>
        <w:tc>
          <w:tcPr>
            <w:tcW w:w="5670" w:type="dxa"/>
          </w:tcPr>
          <w:p w:rsidRPr="00E00915" w:rsidR="00063F30" w:rsidP="009120CD" w:rsidRDefault="0022731C" w14:paraId="160383F7" w14:textId="717632F5">
            <w:pPr>
              <w:pStyle w:val="ListParagraph"/>
              <w:ind w:left="0"/>
              <w:rPr>
                <w:i/>
                <w:iCs/>
                <w:color w:val="0000FF"/>
                <w:u w:val="single"/>
              </w:rPr>
            </w:pPr>
            <w:hyperlink w:history="1" r:id="rId20">
              <w:r w:rsidR="0064748D">
                <w:rPr>
                  <w:rStyle w:val="Hyperlink"/>
                  <w:i/>
                </w:rPr>
                <w:t>Gerald.Klec@eesc.europa.eu</w:t>
              </w:r>
            </w:hyperlink>
          </w:p>
        </w:tc>
      </w:tr>
      <w:bookmarkEnd w:id="2"/>
    </w:tbl>
    <w:p w:rsidR="005B5038" w:rsidP="009120CD" w:rsidRDefault="005B5038" w14:paraId="099E8EC3" w14:textId="77777777"/>
    <w:p w:rsidRPr="00063F30" w:rsidR="00063F30" w:rsidP="009120CD" w:rsidRDefault="00063F30" w14:paraId="13934E5C" w14:textId="5CA4CA83">
      <w:pPr>
        <w:keepNext/>
        <w:keepLines/>
        <w:numPr>
          <w:ilvl w:val="0"/>
          <w:numId w:val="5"/>
        </w:numPr>
        <w:overflowPunct w:val="0"/>
        <w:autoSpaceDE w:val="0"/>
        <w:autoSpaceDN w:val="0"/>
        <w:adjustRightInd w:val="0"/>
        <w:ind w:left="567" w:hanging="567"/>
        <w:textAlignment w:val="baseline"/>
        <w:rPr>
          <w:b/>
          <w:bCs/>
          <w:i/>
          <w:spacing w:val="-2"/>
          <w:sz w:val="28"/>
          <w:szCs w:val="28"/>
        </w:rPr>
      </w:pPr>
      <w:r>
        <w:rPr>
          <w:b/>
          <w:i/>
          <w:sz w:val="28"/>
        </w:rPr>
        <w:t>Novērtējums par Eiropas Stratēģisko investīciju fondu 2.0</w:t>
      </w:r>
    </w:p>
    <w:p w:rsidRPr="00063F30" w:rsidR="006E6434" w:rsidP="009120CD" w:rsidRDefault="006E6434" w14:paraId="4E8ABD0B" w14:textId="1531D79F">
      <w:pPr>
        <w:keepNext/>
        <w:keepLines/>
        <w:overflowPunct w:val="0"/>
        <w:autoSpaceDE w:val="0"/>
        <w:autoSpaceDN w:val="0"/>
        <w:adjustRightInd w:val="0"/>
        <w:ind w:left="567"/>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7145"/>
      </w:tblGrid>
      <w:tr w:rsidRPr="00627B8F" w:rsidR="00705674" w:rsidTr="0022731C" w14:paraId="691352BE" w14:textId="77777777">
        <w:tc>
          <w:tcPr>
            <w:tcW w:w="1701" w:type="dxa"/>
          </w:tcPr>
          <w:p w:rsidRPr="009B70E7" w:rsidR="00705674" w:rsidP="009120CD" w:rsidRDefault="00705674" w14:paraId="3B832BAF" w14:textId="77777777">
            <w:pPr>
              <w:pStyle w:val="ListParagraph"/>
              <w:ind w:left="-142" w:firstLine="142"/>
              <w:rPr>
                <w:b/>
              </w:rPr>
            </w:pPr>
            <w:r>
              <w:rPr>
                <w:b/>
              </w:rPr>
              <w:t>Ziņotājs:</w:t>
            </w:r>
          </w:p>
        </w:tc>
        <w:tc>
          <w:tcPr>
            <w:tcW w:w="7145" w:type="dxa"/>
          </w:tcPr>
          <w:p w:rsidRPr="00627B8F" w:rsidR="00705674" w:rsidP="009120CD" w:rsidRDefault="00063F30" w14:paraId="322FA680" w14:textId="757C1DDA">
            <w:pPr>
              <w:pStyle w:val="ListParagraph"/>
              <w:ind w:left="-60" w:right="-55"/>
            </w:pPr>
            <w:proofErr w:type="spellStart"/>
            <w:r>
              <w:t>Javier</w:t>
            </w:r>
            <w:proofErr w:type="spellEnd"/>
            <w:r>
              <w:t xml:space="preserve"> </w:t>
            </w:r>
            <w:proofErr w:type="spellStart"/>
            <w:r>
              <w:t>Doz</w:t>
            </w:r>
            <w:proofErr w:type="spellEnd"/>
            <w:r>
              <w:t xml:space="preserve"> </w:t>
            </w:r>
            <w:proofErr w:type="spellStart"/>
            <w:r>
              <w:t>Orrit</w:t>
            </w:r>
            <w:proofErr w:type="spellEnd"/>
            <w:r>
              <w:t xml:space="preserve"> (Darba ņēmēju grupa – ES)</w:t>
            </w:r>
          </w:p>
        </w:tc>
      </w:tr>
      <w:tr w:rsidRPr="009B70E7" w:rsidR="00705674" w:rsidTr="0022731C" w14:paraId="1E67D992" w14:textId="77777777">
        <w:tc>
          <w:tcPr>
            <w:tcW w:w="1701" w:type="dxa"/>
          </w:tcPr>
          <w:p w:rsidRPr="009B70E7" w:rsidR="00705674" w:rsidP="009120CD" w:rsidRDefault="00705674" w14:paraId="255A1F7D" w14:textId="77777777">
            <w:pPr>
              <w:pStyle w:val="ListParagraph"/>
              <w:ind w:left="-142" w:firstLine="142"/>
              <w:rPr>
                <w:b/>
              </w:rPr>
            </w:pPr>
            <w:r>
              <w:rPr>
                <w:b/>
              </w:rPr>
              <w:t>Līdzziņotāja</w:t>
            </w:r>
          </w:p>
        </w:tc>
        <w:tc>
          <w:tcPr>
            <w:tcW w:w="7145" w:type="dxa"/>
          </w:tcPr>
          <w:p w:rsidRPr="009B70E7" w:rsidR="00705674" w:rsidP="0022731C" w:rsidRDefault="00063F30" w14:paraId="0D76B76F" w14:textId="795E556B">
            <w:pPr>
              <w:pStyle w:val="ListParagraph"/>
              <w:tabs>
                <w:tab w:val="left" w:pos="838"/>
              </w:tabs>
              <w:ind w:left="-61"/>
            </w:pPr>
            <w:r>
              <w:t>Elena-</w:t>
            </w:r>
            <w:proofErr w:type="spellStart"/>
            <w:r>
              <w:t>Alexandra</w:t>
            </w:r>
            <w:proofErr w:type="spellEnd"/>
            <w:r>
              <w:t xml:space="preserve"> CALISTRU (Pilsoniskās sabiedrības organizāciju grupa </w:t>
            </w:r>
            <w:r w:rsidR="0022731C">
              <w:t>–</w:t>
            </w:r>
            <w:r>
              <w:t xml:space="preserve"> RO)</w:t>
            </w:r>
          </w:p>
        </w:tc>
      </w:tr>
      <w:tr w:rsidRPr="009B70E7" w:rsidR="00986C7F" w:rsidTr="0022731C" w14:paraId="0AA03C0B" w14:textId="77777777">
        <w:tc>
          <w:tcPr>
            <w:tcW w:w="8846" w:type="dxa"/>
            <w:gridSpan w:val="2"/>
          </w:tcPr>
          <w:p w:rsidRPr="009B70E7" w:rsidR="00986C7F" w:rsidP="009120CD" w:rsidRDefault="00986C7F" w14:paraId="11126B04" w14:textId="77777777">
            <w:pPr>
              <w:pStyle w:val="ListParagraph"/>
              <w:ind w:left="0"/>
            </w:pPr>
          </w:p>
        </w:tc>
      </w:tr>
      <w:tr w:rsidRPr="00627B8F" w:rsidR="004D7AC0" w:rsidTr="0022731C" w14:paraId="1499CE6A" w14:textId="77777777">
        <w:tc>
          <w:tcPr>
            <w:tcW w:w="1701" w:type="dxa"/>
          </w:tcPr>
          <w:p w:rsidRPr="009B70E7" w:rsidR="004D7AC0" w:rsidP="009120CD" w:rsidRDefault="004D7AC0" w14:paraId="402C1F54" w14:textId="77777777">
            <w:pPr>
              <w:pStyle w:val="ListParagraph"/>
              <w:ind w:left="0"/>
              <w:rPr>
                <w:b/>
              </w:rPr>
            </w:pPr>
            <w:r>
              <w:rPr>
                <w:b/>
              </w:rPr>
              <w:t xml:space="preserve">Atsauce: </w:t>
            </w:r>
          </w:p>
        </w:tc>
        <w:tc>
          <w:tcPr>
            <w:tcW w:w="7145" w:type="dxa"/>
          </w:tcPr>
          <w:p w:rsidRPr="00627B8F" w:rsidR="00DC097D" w:rsidP="009120CD" w:rsidRDefault="006125A8" w14:paraId="77BAAF3B" w14:textId="289CF397">
            <w:pPr>
              <w:pStyle w:val="ListParagraph"/>
              <w:ind w:left="-61"/>
              <w:rPr>
                <w:bCs/>
              </w:rPr>
            </w:pPr>
            <w:r>
              <w:t>Novērtējuma ziņojums</w:t>
            </w:r>
          </w:p>
          <w:p w:rsidRPr="00627B8F" w:rsidR="004D7AC0" w:rsidP="009120CD" w:rsidRDefault="006125A8" w14:paraId="4FE162D8" w14:textId="39EF6EC5">
            <w:pPr>
              <w:pStyle w:val="ListParagraph"/>
              <w:ind w:left="-61"/>
            </w:pPr>
            <w:r>
              <w:t>EESC-2022-01290-00-00-RE</w:t>
            </w:r>
          </w:p>
        </w:tc>
      </w:tr>
    </w:tbl>
    <w:p w:rsidRPr="00D67CAD" w:rsidR="00631509" w:rsidP="009120CD" w:rsidRDefault="00631509" w14:paraId="6B907918" w14:textId="77777777">
      <w:pPr>
        <w:pStyle w:val="ListParagraph"/>
        <w:ind w:left="0"/>
        <w:rPr>
          <w:b/>
        </w:rPr>
      </w:pPr>
    </w:p>
    <w:p w:rsidRPr="009B70E7" w:rsidR="004D7AC0" w:rsidP="009120CD" w:rsidRDefault="004D7AC0" w14:paraId="20827D97" w14:textId="41A9A491">
      <w:pPr>
        <w:pStyle w:val="ListParagraph"/>
        <w:ind w:left="0" w:firstLine="142"/>
        <w:rPr>
          <w:b/>
        </w:rPr>
      </w:pPr>
      <w:r>
        <w:rPr>
          <w:b/>
          <w:bCs/>
        </w:rPr>
        <w:t>Svarīgākie aspekti</w:t>
      </w:r>
    </w:p>
    <w:p w:rsidRPr="009B70E7" w:rsidR="004D7AC0" w:rsidP="009120CD" w:rsidRDefault="004D7AC0" w14:paraId="4918C4AD" w14:textId="77777777">
      <w:pPr>
        <w:pStyle w:val="ListParagraph"/>
        <w:ind w:left="0"/>
      </w:pPr>
    </w:p>
    <w:p w:rsidRPr="00E642C0" w:rsidR="004D7AC0" w:rsidP="009120CD" w:rsidRDefault="004D7AC0" w14:paraId="563DEAE0" w14:textId="33FBC667">
      <w:pPr>
        <w:pStyle w:val="ListParagraph"/>
        <w:ind w:left="0" w:firstLine="142"/>
        <w:rPr>
          <w:bCs/>
        </w:rPr>
      </w:pPr>
      <w:r>
        <w:t>EESK:</w:t>
      </w:r>
    </w:p>
    <w:p w:rsidR="004D7AC0" w:rsidP="009120CD" w:rsidRDefault="004D7AC0" w14:paraId="20687EE6" w14:textId="72B5E50A">
      <w:pPr>
        <w:pStyle w:val="ListParagraph"/>
        <w:ind w:left="0"/>
      </w:pPr>
    </w:p>
    <w:p w:rsidRPr="009B70E7" w:rsidR="008A0B15" w:rsidP="009120CD" w:rsidRDefault="008A0B15" w14:paraId="4720AA2B" w14:textId="71597FB6">
      <w:pPr>
        <w:pStyle w:val="ListParagraph"/>
        <w:numPr>
          <w:ilvl w:val="0"/>
          <w:numId w:val="3"/>
        </w:numPr>
        <w:ind w:left="357" w:hanging="357"/>
      </w:pPr>
      <w:r>
        <w:t>uzsver, ka visi dalībnieki, ar kuriem notika apspriešanās, piekrita, ka ESIF rezultāti bija ļoti pozitīvi attiecībā uz to spēju piesaistīt ievērojamu ieguldījumu finansējuma apjomu, tādējādi Eiropas Savienībā palīdzot samazināt ievērojamo ieguldījumu trūkumu pēc lielās lejupslīdes;</w:t>
      </w:r>
    </w:p>
    <w:p w:rsidRPr="009B70E7" w:rsidR="004D7AC0" w:rsidP="009120CD" w:rsidRDefault="007179BC" w14:paraId="63D90A21" w14:textId="001935FF">
      <w:pPr>
        <w:pStyle w:val="ListParagraph"/>
        <w:numPr>
          <w:ilvl w:val="0"/>
          <w:numId w:val="3"/>
        </w:numPr>
        <w:ind w:left="357" w:hanging="357"/>
      </w:pPr>
      <w:bookmarkStart w:name="_Hlk115092370" w:id="3"/>
      <w:r>
        <w:t xml:space="preserve">norāda, ka būtu jāveicina sociālo partneru un pilsoniskās sabiedrības organizāciju iesaiste ES investīciju programmu, it īpaši </w:t>
      </w:r>
      <w:r>
        <w:rPr>
          <w:i/>
          <w:iCs/>
        </w:rPr>
        <w:t>InvestEU,</w:t>
      </w:r>
      <w:r>
        <w:t xml:space="preserve"> uzsākšanā un īstenošanā;</w:t>
      </w:r>
      <w:bookmarkEnd w:id="3"/>
    </w:p>
    <w:p w:rsidR="004D7AC0" w:rsidP="009120CD" w:rsidRDefault="007179BC" w14:paraId="18668642" w14:textId="5912DC3A">
      <w:pPr>
        <w:pStyle w:val="ListParagraph"/>
        <w:numPr>
          <w:ilvl w:val="0"/>
          <w:numId w:val="3"/>
        </w:numPr>
        <w:ind w:left="357" w:hanging="357"/>
      </w:pPr>
      <w:r>
        <w:t>uzskata, ka pilsoniskās sabiedrības organizāciju iesaistīšana būtu jānodrošina arī valstu līmenī, izveidojot konsultatīvās komitejas, kurās piedalītos organizācijas, kas pārstāv sociālos partnerus un pilsonisko sabiedrību, kā arī attiecīgās iestādes, EIB un finanšu iestādes;</w:t>
      </w:r>
    </w:p>
    <w:p w:rsidRPr="009B70E7" w:rsidR="007F2119" w:rsidP="009120CD" w:rsidRDefault="007179BC" w14:paraId="30394587" w14:textId="36C1ADBB">
      <w:pPr>
        <w:pStyle w:val="ListParagraph"/>
        <w:numPr>
          <w:ilvl w:val="0"/>
          <w:numId w:val="3"/>
        </w:numPr>
        <w:ind w:left="357" w:hanging="357"/>
      </w:pPr>
      <w:r>
        <w:t>uzskata, ka ir svarīgi vajadzības gadījumā stiprināt publiskās pārvaldes iestāžu tehniskās spējas;</w:t>
      </w:r>
    </w:p>
    <w:p w:rsidR="00DC097D" w:rsidP="009120CD" w:rsidRDefault="007179BC" w14:paraId="58783A9E" w14:textId="30B15640">
      <w:pPr>
        <w:pStyle w:val="ListParagraph"/>
        <w:numPr>
          <w:ilvl w:val="0"/>
          <w:numId w:val="3"/>
        </w:numPr>
        <w:ind w:left="357" w:hanging="357"/>
      </w:pPr>
      <w:r>
        <w:t>uzsver: faktu vākšanas braucienu dalībnieki ir norādījuši, ka Eiropas Savienībai ir jāsaglabā un pat jāpastiprina apņemšanās veicināt ieguldījumus un nodrošināt, ka ieguldījumi ir vērsti uz zaļā kursa mērķu sasniegšanu un digitālo pārveidi, kas noritētu taisnīgi, un uz sociālās kohēzijas stiprināšanu;</w:t>
      </w:r>
    </w:p>
    <w:p w:rsidR="007179BC" w:rsidP="009120CD" w:rsidRDefault="007179BC" w14:paraId="1E46B157" w14:textId="59B7960C">
      <w:pPr>
        <w:pStyle w:val="ListParagraph"/>
        <w:numPr>
          <w:ilvl w:val="0"/>
          <w:numId w:val="3"/>
        </w:numPr>
        <w:ind w:left="357" w:hanging="357"/>
      </w:pPr>
      <w:r>
        <w:t xml:space="preserve">norāda, ka pilsoniskās sabiedrības organizācijas, ar kurām notika apspriešanās, piekrita tam, ka nepieciešams stiprināt papildināmību un sinerģiju starp </w:t>
      </w:r>
      <w:r>
        <w:rPr>
          <w:i/>
          <w:iCs/>
        </w:rPr>
        <w:t>InvestEU</w:t>
      </w:r>
      <w:r>
        <w:t xml:space="preserve"> un citām ES investīciju programmām;</w:t>
      </w:r>
    </w:p>
    <w:p w:rsidR="007179BC" w:rsidP="009120CD" w:rsidRDefault="007179BC" w14:paraId="730433B5" w14:textId="26007E16">
      <w:pPr>
        <w:pStyle w:val="ListParagraph"/>
        <w:numPr>
          <w:ilvl w:val="0"/>
          <w:numId w:val="3"/>
        </w:numPr>
        <w:ind w:left="357" w:hanging="357"/>
      </w:pPr>
      <w:r>
        <w:lastRenderedPageBreak/>
        <w:t>atzīmē, ka lielākā daļa pilsoniskās sabiedrības organizāciju, ar kurām notika apspriešanās, uzskata, ka ir jāievieš instrumenti, lai novērtētu šo programmu ietekmi uz indivīdu un kopienu darba un dzīves apstākļiem, kā arī uz konverģenci starp reģioniem;</w:t>
      </w:r>
    </w:p>
    <w:p w:rsidR="007179BC" w:rsidP="009120CD" w:rsidRDefault="007179BC" w14:paraId="7BF1D37A" w14:textId="28EB31A1">
      <w:pPr>
        <w:pStyle w:val="ListParagraph"/>
        <w:numPr>
          <w:ilvl w:val="0"/>
          <w:numId w:val="3"/>
        </w:numPr>
        <w:ind w:left="357" w:hanging="357"/>
      </w:pPr>
      <w:r>
        <w:t xml:space="preserve">atzīmē, ka sīkāka informācija par ESIF un </w:t>
      </w:r>
      <w:r>
        <w:rPr>
          <w:i/>
          <w:iCs/>
        </w:rPr>
        <w:t>InvestEU</w:t>
      </w:r>
      <w:r>
        <w:t xml:space="preserve"> ieguldījumu rezultātiem finanšu, ekonomikas un sociālajā jomā var palīdzēt šo programmu efektivitātes uzlabošanai. Būtu jāizveido instrumenti, lai precīzāk izmērītu papildināmību;</w:t>
      </w:r>
    </w:p>
    <w:p w:rsidR="005B5038" w:rsidP="009120CD" w:rsidRDefault="007179BC" w14:paraId="546B48D0" w14:textId="0013F9BD">
      <w:pPr>
        <w:pStyle w:val="ListParagraph"/>
        <w:numPr>
          <w:ilvl w:val="0"/>
          <w:numId w:val="3"/>
        </w:numPr>
        <w:ind w:left="357" w:hanging="357"/>
      </w:pPr>
      <w:r>
        <w:t xml:space="preserve">aicina Komisiju un EIB apsvērt, kā veicināt </w:t>
      </w:r>
      <w:r>
        <w:rPr>
          <w:i/>
          <w:iCs/>
        </w:rPr>
        <w:t>InvestEU</w:t>
      </w:r>
      <w:r>
        <w:t xml:space="preserve"> sinerģiju ar struktūrfondiem un Kohēzijas fondu, lai novērstu, ka pret attīstītākajiem reģioniem ir labvēlīgāka attieksme, kas tika konstatēta ESIF īstenošanā;</w:t>
      </w:r>
    </w:p>
    <w:p w:rsidR="007179BC" w:rsidP="009120CD" w:rsidRDefault="008A0B15" w14:paraId="0661EC27" w14:textId="5D938350">
      <w:pPr>
        <w:pStyle w:val="ListParagraph"/>
        <w:numPr>
          <w:ilvl w:val="0"/>
          <w:numId w:val="3"/>
        </w:numPr>
        <w:ind w:left="357" w:hanging="357"/>
      </w:pPr>
      <w:r>
        <w:t xml:space="preserve">atzīmē, ka pilsoniskās sabiedrības organizācijas bija vienisprātis, ka MVU un sociālās ekonomikas uzņēmumiem būtu prioritāri jāsaņem finansējums no </w:t>
      </w:r>
      <w:r>
        <w:rPr>
          <w:i/>
          <w:iCs/>
        </w:rPr>
        <w:t>InvestEU</w:t>
      </w:r>
      <w:r>
        <w:t>. Eiropas Savienībai būtu jāveicina šo uzņēmumu spēja pilnībā piedalīties galvenajos ES atbalstītajos ieguldījumu virzienos, iespējams, izmantojot EIKC un EIPP. Ļoti svarīga ir MVU, vidējas kapitalizācijas un sociālās ekonomikas uzņēmumu jēdzienu viendabīga definīcija Eiropas līmenī, vienkāršojot administratīvās formalitātes, lai atvieglotu administratīvo slogu mazākiem uzņēmumiem;</w:t>
      </w:r>
    </w:p>
    <w:p w:rsidR="007179BC" w:rsidP="009120CD" w:rsidRDefault="007179BC" w14:paraId="505EE29E" w14:textId="0836793F">
      <w:pPr>
        <w:pStyle w:val="ListParagraph"/>
        <w:numPr>
          <w:ilvl w:val="0"/>
          <w:numId w:val="3"/>
        </w:numPr>
        <w:ind w:left="357" w:hanging="357"/>
      </w:pPr>
      <w:r>
        <w:t>norāda, ka – neatkarīgi no EIKC un EIPP dažādajiem izmantošanas līmeņiem ESIF īstenošanā katrā valstī – viedoklis ir tāds, ka abi instrumenti ir ļoti noderīgi un būtu jāpastiprina;</w:t>
      </w:r>
    </w:p>
    <w:p w:rsidR="003E692C" w:rsidP="009120CD" w:rsidRDefault="007179BC" w14:paraId="176DA90D" w14:textId="4E29784B">
      <w:pPr>
        <w:pStyle w:val="ListParagraph"/>
        <w:numPr>
          <w:ilvl w:val="0"/>
          <w:numId w:val="3"/>
        </w:numPr>
        <w:ind w:left="357" w:hanging="357"/>
      </w:pPr>
      <w:r>
        <w:t xml:space="preserve">uzskata, ka </w:t>
      </w:r>
      <w:r>
        <w:rPr>
          <w:i/>
          <w:iCs/>
        </w:rPr>
        <w:t>InvestEU</w:t>
      </w:r>
      <w:r>
        <w:t xml:space="preserve"> īstenošanas laikā būtu jāstiprina pārredzamība un redzamība.</w:t>
      </w:r>
    </w:p>
    <w:p w:rsidRPr="009B70E7" w:rsidR="00AA05F8" w:rsidP="009120CD" w:rsidRDefault="00AA05F8" w14:paraId="64FB268C"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9B70E7" w:rsidR="0004205F" w:rsidTr="008B66DD" w14:paraId="42ABA59B" w14:textId="77777777">
        <w:tc>
          <w:tcPr>
            <w:tcW w:w="1418" w:type="dxa"/>
          </w:tcPr>
          <w:p w:rsidRPr="009B70E7" w:rsidR="0004205F" w:rsidP="009120CD" w:rsidRDefault="0004205F" w14:paraId="1202A600" w14:textId="77777777">
            <w:pPr>
              <w:pStyle w:val="ListParagraph"/>
              <w:ind w:left="0"/>
              <w:rPr>
                <w:i/>
              </w:rPr>
            </w:pPr>
            <w:r>
              <w:rPr>
                <w:b/>
                <w:i/>
              </w:rPr>
              <w:t>Kontaktpersona:</w:t>
            </w:r>
          </w:p>
        </w:tc>
        <w:tc>
          <w:tcPr>
            <w:tcW w:w="5670" w:type="dxa"/>
          </w:tcPr>
          <w:p w:rsidRPr="009B70E7" w:rsidR="0004205F" w:rsidP="009120CD" w:rsidRDefault="006125A8" w14:paraId="0AA6F903" w14:textId="6E86BE50">
            <w:pPr>
              <w:pStyle w:val="ListParagraph"/>
              <w:ind w:left="0"/>
              <w:rPr>
                <w:i/>
              </w:rPr>
            </w:pPr>
            <w:proofErr w:type="spellStart"/>
            <w:r>
              <w:rPr>
                <w:i/>
              </w:rPr>
              <w:t>Krisztina</w:t>
            </w:r>
            <w:proofErr w:type="spellEnd"/>
            <w:r>
              <w:rPr>
                <w:i/>
              </w:rPr>
              <w:t xml:space="preserve"> </w:t>
            </w:r>
            <w:r w:rsidR="0022731C">
              <w:rPr>
                <w:i/>
              </w:rPr>
              <w:t>PERLAKY-TOTH</w:t>
            </w:r>
          </w:p>
        </w:tc>
      </w:tr>
      <w:tr w:rsidRPr="009B70E7" w:rsidR="0004205F" w:rsidTr="008B66DD" w14:paraId="7385889A" w14:textId="77777777">
        <w:tc>
          <w:tcPr>
            <w:tcW w:w="1418" w:type="dxa"/>
          </w:tcPr>
          <w:p w:rsidRPr="009B70E7" w:rsidR="0004205F" w:rsidP="009120CD" w:rsidRDefault="0004205F" w14:paraId="4DFD0A04" w14:textId="77777777">
            <w:pPr>
              <w:pStyle w:val="ListParagraph"/>
              <w:ind w:left="601"/>
              <w:rPr>
                <w:i/>
              </w:rPr>
            </w:pPr>
            <w:r>
              <w:rPr>
                <w:i/>
              </w:rPr>
              <w:t>Tālr.:</w:t>
            </w:r>
          </w:p>
        </w:tc>
        <w:tc>
          <w:tcPr>
            <w:tcW w:w="5670" w:type="dxa"/>
          </w:tcPr>
          <w:p w:rsidRPr="009B70E7" w:rsidR="0004205F" w:rsidP="009120CD" w:rsidRDefault="0004205F" w14:paraId="7F762C11" w14:textId="5F0EF027">
            <w:pPr>
              <w:pStyle w:val="ListParagraph"/>
              <w:ind w:left="0"/>
              <w:rPr>
                <w:i/>
              </w:rPr>
            </w:pPr>
            <w:r>
              <w:rPr>
                <w:i/>
              </w:rPr>
              <w:t>00 32 2 546 97 40</w:t>
            </w:r>
          </w:p>
        </w:tc>
      </w:tr>
      <w:tr w:rsidRPr="009B70E7" w:rsidR="0004205F" w:rsidTr="008B66DD" w14:paraId="44BC51C1" w14:textId="77777777">
        <w:tc>
          <w:tcPr>
            <w:tcW w:w="1418" w:type="dxa"/>
          </w:tcPr>
          <w:p w:rsidRPr="009B70E7" w:rsidR="0004205F" w:rsidP="009120CD" w:rsidRDefault="0004205F" w14:paraId="64D662AC" w14:textId="77777777">
            <w:pPr>
              <w:pStyle w:val="ListParagraph"/>
              <w:ind w:left="601"/>
              <w:rPr>
                <w:i/>
              </w:rPr>
            </w:pPr>
            <w:r>
              <w:rPr>
                <w:i/>
              </w:rPr>
              <w:t>E-pasts:</w:t>
            </w:r>
          </w:p>
        </w:tc>
        <w:tc>
          <w:tcPr>
            <w:tcW w:w="5670" w:type="dxa"/>
          </w:tcPr>
          <w:p w:rsidRPr="009B70E7" w:rsidR="006125A8" w:rsidP="009120CD" w:rsidRDefault="0022731C" w14:paraId="0F943B87" w14:textId="3AD6D718">
            <w:pPr>
              <w:pStyle w:val="ListParagraph"/>
              <w:ind w:left="0"/>
              <w:rPr>
                <w:i/>
              </w:rPr>
            </w:pPr>
            <w:hyperlink w:history="1" r:id="rId21">
              <w:r w:rsidR="0064748D">
                <w:rPr>
                  <w:rStyle w:val="Hyperlink"/>
                  <w:i/>
                </w:rPr>
                <w:t>Krisztina.PerlakyToth@eesc.europa.eu</w:t>
              </w:r>
            </w:hyperlink>
          </w:p>
        </w:tc>
      </w:tr>
    </w:tbl>
    <w:p w:rsidR="00B44BB9" w:rsidP="009120CD" w:rsidRDefault="00B44BB9" w14:paraId="6E8DD903" w14:textId="77777777">
      <w:pPr>
        <w:spacing w:after="160"/>
        <w:jc w:val="left"/>
      </w:pPr>
    </w:p>
    <w:p w:rsidRPr="00261903" w:rsidR="0004205F" w:rsidP="009120CD" w:rsidRDefault="00261903" w14:paraId="21BCC75E" w14:textId="02F26EE5">
      <w:pPr>
        <w:keepNext/>
        <w:numPr>
          <w:ilvl w:val="0"/>
          <w:numId w:val="2"/>
        </w:numPr>
        <w:ind w:left="567" w:hanging="567"/>
        <w:contextualSpacing/>
        <w:rPr>
          <w:b/>
          <w:i/>
          <w:sz w:val="28"/>
          <w:szCs w:val="28"/>
        </w:rPr>
      </w:pPr>
      <w:bookmarkStart w:name="_Hlk111561438" w:id="4"/>
      <w:bookmarkStart w:name="_Hlk111561002" w:id="5"/>
      <w:r>
        <w:rPr>
          <w:b/>
          <w:i/>
          <w:sz w:val="28"/>
        </w:rPr>
        <w:t xml:space="preserve">Kohēzijas fonda un </w:t>
      </w:r>
      <w:r w:rsidRPr="008B6C3D" w:rsidR="008B6C3D">
        <w:rPr>
          <w:b/>
          <w:i/>
          <w:iCs/>
          <w:sz w:val="28"/>
        </w:rPr>
        <w:t>NextGeneration</w:t>
      </w:r>
      <w:r w:rsidRPr="008B6C3D">
        <w:rPr>
          <w:b/>
          <w:i/>
          <w:iCs/>
          <w:sz w:val="28"/>
        </w:rPr>
        <w:t>EU</w:t>
      </w:r>
      <w:r>
        <w:rPr>
          <w:b/>
          <w:i/>
          <w:sz w:val="28"/>
        </w:rPr>
        <w:t xml:space="preserve"> finansēts klimatadaptācijas fonds</w:t>
      </w:r>
    </w:p>
    <w:p w:rsidRPr="00261903" w:rsidR="00261903" w:rsidP="009120CD" w:rsidRDefault="00261903" w14:paraId="43D43377" w14:textId="77777777">
      <w:pPr>
        <w:keepNext/>
        <w:ind w:left="567"/>
        <w:contextualSpacing/>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7145"/>
      </w:tblGrid>
      <w:tr w:rsidRPr="00627B8F" w:rsidR="0004205F" w:rsidTr="0022731C" w14:paraId="049361FD" w14:textId="77777777">
        <w:tc>
          <w:tcPr>
            <w:tcW w:w="1701" w:type="dxa"/>
          </w:tcPr>
          <w:p w:rsidRPr="009B70E7" w:rsidR="0004205F" w:rsidP="009120CD" w:rsidRDefault="0004205F" w14:paraId="62391659" w14:textId="77777777">
            <w:pPr>
              <w:pStyle w:val="ListParagraph"/>
              <w:ind w:left="-142" w:firstLine="142"/>
              <w:rPr>
                <w:b/>
              </w:rPr>
            </w:pPr>
            <w:r>
              <w:rPr>
                <w:b/>
              </w:rPr>
              <w:t>Ziņotājs:</w:t>
            </w:r>
          </w:p>
        </w:tc>
        <w:tc>
          <w:tcPr>
            <w:tcW w:w="7145" w:type="dxa"/>
          </w:tcPr>
          <w:p w:rsidRPr="00627B8F" w:rsidR="0004205F" w:rsidP="009120CD" w:rsidRDefault="00261903" w14:paraId="431B2CD3" w14:textId="3B633EE2">
            <w:pPr>
              <w:pStyle w:val="ListParagraph"/>
              <w:ind w:left="-60" w:right="-55"/>
            </w:pPr>
            <w:proofErr w:type="spellStart"/>
            <w:r>
              <w:t>Ioannis</w:t>
            </w:r>
            <w:proofErr w:type="spellEnd"/>
            <w:r>
              <w:t xml:space="preserve"> VARDAKASTANIS (Pilsoniskās sabiedrības organizāciju grupa – EL)</w:t>
            </w:r>
          </w:p>
        </w:tc>
      </w:tr>
      <w:tr w:rsidRPr="009B70E7" w:rsidR="0004205F" w:rsidTr="0022731C" w14:paraId="6A254F6C" w14:textId="77777777">
        <w:tc>
          <w:tcPr>
            <w:tcW w:w="1701" w:type="dxa"/>
          </w:tcPr>
          <w:p w:rsidRPr="009B70E7" w:rsidR="0004205F" w:rsidP="009120CD" w:rsidRDefault="0004205F" w14:paraId="2522D764" w14:textId="77777777">
            <w:pPr>
              <w:pStyle w:val="ListParagraph"/>
              <w:ind w:left="0"/>
              <w:rPr>
                <w:b/>
              </w:rPr>
            </w:pPr>
            <w:r>
              <w:rPr>
                <w:b/>
              </w:rPr>
              <w:t>Līdzziņotāja:</w:t>
            </w:r>
          </w:p>
        </w:tc>
        <w:tc>
          <w:tcPr>
            <w:tcW w:w="7145" w:type="dxa"/>
          </w:tcPr>
          <w:p w:rsidRPr="00C90660" w:rsidR="00C90660" w:rsidP="009120CD" w:rsidRDefault="00261903" w14:paraId="5D498FFA" w14:textId="68BE0BE2">
            <w:pPr>
              <w:pStyle w:val="ListParagraph"/>
              <w:tabs>
                <w:tab w:val="left" w:pos="838"/>
              </w:tabs>
              <w:ind w:left="-61"/>
            </w:pPr>
            <w:proofErr w:type="spellStart"/>
            <w:r>
              <w:t>Judith</w:t>
            </w:r>
            <w:proofErr w:type="spellEnd"/>
            <w:r>
              <w:t xml:space="preserve"> VORBACH (Darba ņēmēju grupa – AT)</w:t>
            </w:r>
          </w:p>
        </w:tc>
      </w:tr>
      <w:tr w:rsidRPr="009B70E7" w:rsidR="00E00915" w:rsidTr="0022731C" w14:paraId="52E49399" w14:textId="77777777">
        <w:tc>
          <w:tcPr>
            <w:tcW w:w="1701" w:type="dxa"/>
          </w:tcPr>
          <w:p w:rsidRPr="009B70E7" w:rsidR="00E00915" w:rsidP="009120CD" w:rsidRDefault="00E00915" w14:paraId="46EF7309" w14:textId="77777777">
            <w:pPr>
              <w:pStyle w:val="ListParagraph"/>
              <w:ind w:left="0"/>
              <w:rPr>
                <w:b/>
              </w:rPr>
            </w:pPr>
          </w:p>
        </w:tc>
        <w:tc>
          <w:tcPr>
            <w:tcW w:w="7145" w:type="dxa"/>
          </w:tcPr>
          <w:p w:rsidRPr="00261903" w:rsidR="00E00915" w:rsidP="009120CD" w:rsidRDefault="00E00915" w14:paraId="6B1D020D" w14:textId="77777777">
            <w:pPr>
              <w:pStyle w:val="ListParagraph"/>
              <w:tabs>
                <w:tab w:val="left" w:pos="838"/>
              </w:tabs>
              <w:ind w:left="-61"/>
              <w:rPr>
                <w:lang w:val="en-US"/>
              </w:rPr>
            </w:pPr>
          </w:p>
        </w:tc>
      </w:tr>
      <w:tr w:rsidRPr="009B70E7" w:rsidR="00C90660" w:rsidTr="0022731C" w14:paraId="4A18553A" w14:textId="77777777">
        <w:tc>
          <w:tcPr>
            <w:tcW w:w="1701" w:type="dxa"/>
          </w:tcPr>
          <w:p w:rsidRPr="009B70E7" w:rsidR="00C90660" w:rsidP="009120CD" w:rsidRDefault="00C90660" w14:paraId="7A608DD9" w14:textId="5E5DC29C">
            <w:pPr>
              <w:pStyle w:val="ListParagraph"/>
              <w:ind w:left="0"/>
              <w:rPr>
                <w:b/>
              </w:rPr>
            </w:pPr>
            <w:r>
              <w:rPr>
                <w:b/>
              </w:rPr>
              <w:t>Atsauce:</w:t>
            </w:r>
          </w:p>
        </w:tc>
        <w:tc>
          <w:tcPr>
            <w:tcW w:w="7145" w:type="dxa"/>
          </w:tcPr>
          <w:p w:rsidR="00C90660" w:rsidP="00C90660" w:rsidRDefault="00C90660" w14:paraId="55D292F3" w14:textId="77777777">
            <w:pPr>
              <w:pStyle w:val="ListParagraph"/>
              <w:ind w:left="-108"/>
            </w:pPr>
            <w:r>
              <w:t>Pašiniciatīvas atzinums</w:t>
            </w:r>
          </w:p>
          <w:p w:rsidRPr="00261903" w:rsidR="00C90660" w:rsidP="00C90660" w:rsidRDefault="00C90660" w14:paraId="652EA90D" w14:textId="0A5C486D">
            <w:pPr>
              <w:pStyle w:val="ListParagraph"/>
              <w:tabs>
                <w:tab w:val="left" w:pos="838"/>
              </w:tabs>
              <w:ind w:left="-61"/>
            </w:pPr>
            <w:r>
              <w:t>EESC-2022-00743-00-00-AC</w:t>
            </w:r>
          </w:p>
        </w:tc>
      </w:tr>
    </w:tbl>
    <w:p w:rsidRPr="00A30B84" w:rsidR="00DC17CF" w:rsidP="009120CD" w:rsidRDefault="00DC17CF" w14:paraId="4C20BCC6" w14:textId="77777777">
      <w:pPr>
        <w:contextualSpacing/>
      </w:pPr>
    </w:p>
    <w:p w:rsidRPr="00A30B84" w:rsidR="00DC17CF" w:rsidP="009120CD" w:rsidRDefault="00DC17CF" w14:paraId="1EF6CC14" w14:textId="77777777">
      <w:pPr>
        <w:pStyle w:val="ListParagraph"/>
        <w:ind w:left="0" w:firstLine="142"/>
        <w:rPr>
          <w:b/>
        </w:rPr>
      </w:pPr>
      <w:r>
        <w:rPr>
          <w:b/>
          <w:bCs/>
        </w:rPr>
        <w:t>Svarīgākie aspekti</w:t>
      </w:r>
    </w:p>
    <w:p w:rsidRPr="00A30B84" w:rsidR="00DC17CF" w:rsidP="009120CD" w:rsidRDefault="00DC17CF" w14:paraId="7CFFCE10" w14:textId="77777777">
      <w:pPr>
        <w:contextualSpacing/>
      </w:pPr>
    </w:p>
    <w:p w:rsidRPr="00E642C0" w:rsidR="00DC17CF" w:rsidP="009120CD" w:rsidRDefault="00DC17CF" w14:paraId="7C9141DB" w14:textId="77777777">
      <w:pPr>
        <w:pStyle w:val="ListParagraph"/>
        <w:ind w:left="0" w:firstLine="142"/>
        <w:rPr>
          <w:bCs/>
        </w:rPr>
      </w:pPr>
      <w:r>
        <w:t>EESK:</w:t>
      </w:r>
    </w:p>
    <w:p w:rsidRPr="00A30B84" w:rsidR="00DC17CF" w:rsidP="009120CD" w:rsidRDefault="00DC17CF" w14:paraId="6B986D1C" w14:textId="77777777">
      <w:pPr>
        <w:contextualSpacing/>
        <w:rPr>
          <w:lang w:val="fr-FR"/>
        </w:rPr>
      </w:pPr>
    </w:p>
    <w:p w:rsidRPr="001445A7" w:rsidR="00DC17CF" w:rsidP="009120CD" w:rsidRDefault="007F292F" w14:paraId="1B2322B6" w14:textId="7DB0E86B">
      <w:pPr>
        <w:numPr>
          <w:ilvl w:val="0"/>
          <w:numId w:val="3"/>
        </w:numPr>
        <w:ind w:left="357" w:hanging="357"/>
        <w:contextualSpacing/>
      </w:pPr>
      <w:r>
        <w:t>atzīst, ka Eiropas Savienība (ES) veic būtiskus pasākumus, lai cīnītos pret klimata pārmaiņām un samazinātu siltumnīcefekta gāzu (SEG) emisijas. ES klimata, vides un enerģētikas politikas jomā ir ilgtermiņa plāns, lai palīdzētu novērst vissmagākās sekas, ko izraisa klimata krīze uz planētas;</w:t>
      </w:r>
    </w:p>
    <w:p w:rsidRPr="00F71666" w:rsidR="00A86E2C" w:rsidP="009120CD" w:rsidRDefault="007F292F" w14:paraId="077F1B2A" w14:textId="1A404D4A">
      <w:pPr>
        <w:numPr>
          <w:ilvl w:val="0"/>
          <w:numId w:val="3"/>
        </w:numPr>
        <w:ind w:left="357" w:hanging="357"/>
        <w:contextualSpacing/>
      </w:pPr>
      <w:r>
        <w:t>uzsver: lai gan ES sniedz nozīmīgu ieguldījumu, klimata pārmaiņu un resursu trūkuma sekas diemžēl jau izpaužas. Tāpēc mums ir jāpielāgojas realitātei, kādu mēs vēl neesam pieredzējuši;</w:t>
      </w:r>
    </w:p>
    <w:p w:rsidRPr="00F71666" w:rsidR="00F71666" w:rsidP="009120CD" w:rsidRDefault="007F292F" w14:paraId="41F7CB84" w14:textId="39AE6DE0">
      <w:pPr>
        <w:numPr>
          <w:ilvl w:val="0"/>
          <w:numId w:val="3"/>
        </w:numPr>
        <w:ind w:left="357" w:hanging="357"/>
        <w:contextualSpacing/>
      </w:pPr>
      <w:r>
        <w:t>norāda, ka kopš 2021. gada mēs esam pieredzējuši divas ļoti ievērojamas ārkārtas situācijas, kad ES finansēšanas mehānismi ir izrādījušies nepietiekami reaģēšanai uz tām. Pirmā ārkārtas situācija ir plūdu un meža ugunsgrēku izraisītie postījumi visā Eiropā 2022. gada vasarā. Otrā ir pašreizējā enerģētikas krīze un nepieciešamība pēc ES enerģijas autonomijas apstākļos, kurus izraisījis Krievijas iebrukums Ukrainā 2022. gadā;</w:t>
      </w:r>
    </w:p>
    <w:p w:rsidRPr="007F292F" w:rsidR="00F71666" w:rsidP="009120CD" w:rsidRDefault="007F292F" w14:paraId="4300CB13" w14:textId="333FB96C">
      <w:pPr>
        <w:numPr>
          <w:ilvl w:val="0"/>
          <w:numId w:val="3"/>
        </w:numPr>
        <w:ind w:left="357" w:hanging="357"/>
        <w:contextualSpacing/>
      </w:pPr>
      <w:r>
        <w:lastRenderedPageBreak/>
        <w:t>atzīmē, ka Eiropas Savienības Solidaritātes fonda (ESSF) pieejamo gada budžetu samazina neseno dabas katastrofu radīto zaudējumu izmaksas, un tas ir krasi jāpalielina. ES finansējums pārejai uz zaļo enerģiju ir lielāks, taču tajā nav ņemta vērā pašreizējā nepieciešamība steidzami nodrošināt ES enerģētisko autonomiju un milzīgais enerģētiskās nabadzības risks;</w:t>
      </w:r>
    </w:p>
    <w:p w:rsidRPr="00F71666" w:rsidR="00F71666" w:rsidP="009120CD" w:rsidRDefault="007F292F" w14:paraId="211F343A" w14:textId="7F5321AC">
      <w:pPr>
        <w:numPr>
          <w:ilvl w:val="0"/>
          <w:numId w:val="3"/>
        </w:numPr>
        <w:ind w:left="357" w:hanging="357"/>
        <w:contextualSpacing/>
      </w:pPr>
      <w:r>
        <w:t>uzskata, ka ES ir vajadzīgs jauns finansēšanas mehānisms, kas var piedāvāt tūlītēju un vērienīgu palīdzību, lai palīdzētu dalībvalstīm iepriekš minētajās ārkārtas situācijās. Tādēļ EESK ierosina izveidot jaunu klimatadaptācijas fondu. Tā finansējums būtu jāpārvirza no esošajiem ES fondiem, it īpaši no Kohēzijas fonda un Atveseļošanas un noturības mehānisma (ANM), bet tas būtu jāpārvalda racionālā un saskaņotā veidā, izmantojot šo jauno fondu;</w:t>
      </w:r>
    </w:p>
    <w:bookmarkEnd w:id="4"/>
    <w:p w:rsidRPr="007F292F" w:rsidR="00F71666" w:rsidP="009120CD" w:rsidRDefault="007F292F" w14:paraId="5E238A5C" w14:textId="56258E6F">
      <w:pPr>
        <w:numPr>
          <w:ilvl w:val="0"/>
          <w:numId w:val="3"/>
        </w:numPr>
        <w:ind w:left="357" w:hanging="357"/>
        <w:contextualSpacing/>
      </w:pPr>
      <w:r>
        <w:t xml:space="preserve">uzskata, ka finansēšanas vides modernizācija varētu ietvert arī darbības jomas paplašināšanu, esošo programmu pastiprināšanu un </w:t>
      </w:r>
      <w:r>
        <w:rPr>
          <w:i/>
          <w:iCs/>
        </w:rPr>
        <w:t>NextGenerationEU</w:t>
      </w:r>
      <w:r>
        <w:t xml:space="preserve"> izmantošanu kā paraugu jaunam finansēšanas instrumentam;</w:t>
      </w:r>
    </w:p>
    <w:p w:rsidRPr="007F292F" w:rsidR="007F292F" w:rsidP="009120CD" w:rsidRDefault="007F292F" w14:paraId="6D68CDE1" w14:textId="60230A50">
      <w:pPr>
        <w:numPr>
          <w:ilvl w:val="0"/>
          <w:numId w:val="3"/>
        </w:numPr>
        <w:ind w:left="357" w:hanging="357"/>
        <w:contextualSpacing/>
      </w:pPr>
      <w:r>
        <w:t>iesaka Komisijai apsvērt iespēju stiprināt klimatadaptācijas fondu, veicinot privātas investīcijas un ieguldījumus. Dabas katastrofu jomā Komisijai un dalībvalstīm būtu arī jācenšas palielināt un atvieglot apdrošināšanas segumu un izmantot apdrošināšanas sistēmu kā līdzekli, lai finansējumu novirzītu noturības pret klimata pārmaiņām uzlabošanai, it īpaši riska zonās, lai samazinātu atkarību no ES finansiālā atbalsta;</w:t>
      </w:r>
    </w:p>
    <w:p w:rsidRPr="007F292F" w:rsidR="007F292F" w:rsidP="009120CD" w:rsidRDefault="007F292F" w14:paraId="3B4F7F32" w14:textId="5695FF94">
      <w:pPr>
        <w:numPr>
          <w:ilvl w:val="0"/>
          <w:numId w:val="3"/>
        </w:numPr>
        <w:ind w:left="357" w:hanging="357"/>
        <w:contextualSpacing/>
      </w:pPr>
      <w:r>
        <w:t>ierosina, ka klimatadaptācijas fondam ir jābūt pielāgojamam, elastīgam un gatavam reaģēt uz jaunām krīzēm turpmākajos gados un desmitgadēs;</w:t>
      </w:r>
    </w:p>
    <w:p w:rsidRPr="00B44BB9" w:rsidR="007F292F" w:rsidP="009120CD" w:rsidRDefault="007F292F" w14:paraId="537AA38F" w14:textId="7256F2BB">
      <w:pPr>
        <w:numPr>
          <w:ilvl w:val="0"/>
          <w:numId w:val="3"/>
        </w:numPr>
        <w:ind w:left="357" w:hanging="357"/>
        <w:contextualSpacing/>
      </w:pPr>
      <w:r>
        <w:t>uzsver, ka ir ļoti svarīgi, lai klimatadaptācijas fonds, kura darbība ir vairāk vērsta uz ātru un steidzamu reaģēšanu, būtu saskaņots ar ES visaptverošo klimata, vides un enerģētikas politiku; tas ļaus ilgtermiņā samazināt atkarību no ārkārtas pasākumiem un aizsargāt cilvēci, kā arī dabu.</w:t>
      </w:r>
    </w:p>
    <w:p w:rsidRPr="00A30B84" w:rsidR="00DC17CF" w:rsidP="009120CD" w:rsidRDefault="00DC17CF" w14:paraId="3241E02B" w14:textId="77777777"/>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A30B84" w:rsidR="00DC17CF" w:rsidTr="00DC17CF" w14:paraId="477A3227" w14:textId="77777777">
        <w:tc>
          <w:tcPr>
            <w:tcW w:w="1418" w:type="dxa"/>
          </w:tcPr>
          <w:p w:rsidRPr="00A30B84" w:rsidR="00DC17CF" w:rsidP="009120CD" w:rsidRDefault="00DC17CF" w14:paraId="24419728" w14:textId="77777777">
            <w:pPr>
              <w:contextualSpacing/>
              <w:rPr>
                <w:i/>
              </w:rPr>
            </w:pPr>
            <w:r>
              <w:rPr>
                <w:b/>
                <w:i/>
              </w:rPr>
              <w:t>Kontaktpersona:</w:t>
            </w:r>
          </w:p>
        </w:tc>
        <w:tc>
          <w:tcPr>
            <w:tcW w:w="5670" w:type="dxa"/>
          </w:tcPr>
          <w:p w:rsidRPr="00A30B84" w:rsidR="00DC17CF" w:rsidP="009120CD" w:rsidRDefault="00261903" w14:paraId="0350A297" w14:textId="50B01325">
            <w:pPr>
              <w:contextualSpacing/>
              <w:rPr>
                <w:i/>
              </w:rPr>
            </w:pPr>
            <w:proofErr w:type="spellStart"/>
            <w:r>
              <w:rPr>
                <w:i/>
              </w:rPr>
              <w:t>Georgeos</w:t>
            </w:r>
            <w:proofErr w:type="spellEnd"/>
            <w:r>
              <w:rPr>
                <w:i/>
              </w:rPr>
              <w:t xml:space="preserve"> </w:t>
            </w:r>
            <w:r w:rsidR="0022731C">
              <w:rPr>
                <w:i/>
              </w:rPr>
              <w:t>MELEAS</w:t>
            </w:r>
          </w:p>
        </w:tc>
      </w:tr>
      <w:tr w:rsidRPr="00A30B84" w:rsidR="00DC17CF" w:rsidTr="00DC17CF" w14:paraId="0777FDE7" w14:textId="77777777">
        <w:tc>
          <w:tcPr>
            <w:tcW w:w="1418" w:type="dxa"/>
          </w:tcPr>
          <w:p w:rsidRPr="00A30B84" w:rsidR="00DC17CF" w:rsidP="009120CD" w:rsidRDefault="00DC17CF" w14:paraId="35E2DDF5" w14:textId="77777777">
            <w:pPr>
              <w:ind w:left="601"/>
              <w:contextualSpacing/>
              <w:rPr>
                <w:i/>
              </w:rPr>
            </w:pPr>
            <w:r>
              <w:rPr>
                <w:i/>
              </w:rPr>
              <w:t>Tālr.:</w:t>
            </w:r>
          </w:p>
        </w:tc>
        <w:tc>
          <w:tcPr>
            <w:tcW w:w="5670" w:type="dxa"/>
          </w:tcPr>
          <w:p w:rsidRPr="00A30B84" w:rsidR="00DC17CF" w:rsidP="009120CD" w:rsidRDefault="00A86E2C" w14:paraId="5B69DE0A" w14:textId="507EABE4">
            <w:pPr>
              <w:contextualSpacing/>
              <w:rPr>
                <w:i/>
              </w:rPr>
            </w:pPr>
            <w:r>
              <w:rPr>
                <w:i/>
              </w:rPr>
              <w:t>00 32 2 546 97 95</w:t>
            </w:r>
          </w:p>
        </w:tc>
      </w:tr>
      <w:tr w:rsidRPr="00A30B84" w:rsidR="0004205F" w:rsidTr="008B66DD" w14:paraId="32942CB5" w14:textId="77777777">
        <w:tc>
          <w:tcPr>
            <w:tcW w:w="1418" w:type="dxa"/>
          </w:tcPr>
          <w:p w:rsidRPr="00A30B84" w:rsidR="0004205F" w:rsidP="009120CD" w:rsidRDefault="0004205F" w14:paraId="21543959" w14:textId="77777777">
            <w:pPr>
              <w:ind w:left="601"/>
              <w:contextualSpacing/>
              <w:rPr>
                <w:i/>
              </w:rPr>
            </w:pPr>
            <w:r>
              <w:rPr>
                <w:i/>
              </w:rPr>
              <w:t>E-pasts:</w:t>
            </w:r>
          </w:p>
        </w:tc>
        <w:tc>
          <w:tcPr>
            <w:tcW w:w="5670" w:type="dxa"/>
          </w:tcPr>
          <w:p w:rsidRPr="00A30B84" w:rsidR="0004205F" w:rsidP="009120CD" w:rsidRDefault="0022731C" w14:paraId="3728C82D" w14:textId="11533067">
            <w:pPr>
              <w:spacing w:after="160"/>
              <w:jc w:val="left"/>
            </w:pPr>
            <w:hyperlink w:history="1" r:id="rId22">
              <w:r w:rsidR="0064748D">
                <w:rPr>
                  <w:rStyle w:val="Hyperlink"/>
                </w:rPr>
                <w:t>Georgeos.Meleas</w:t>
              </w:r>
              <w:r w:rsidR="0064748D">
                <w:rPr>
                  <w:rStyle w:val="Hyperlink"/>
                  <w:i/>
                </w:rPr>
                <w:t>@eesc.europa.eu</w:t>
              </w:r>
            </w:hyperlink>
          </w:p>
        </w:tc>
      </w:tr>
      <w:bookmarkEnd w:id="5"/>
    </w:tbl>
    <w:p w:rsidR="005B5038" w:rsidP="009120CD" w:rsidRDefault="005B5038" w14:paraId="3680C27F" w14:textId="77777777">
      <w:pPr>
        <w:spacing w:after="160"/>
        <w:jc w:val="left"/>
      </w:pPr>
    </w:p>
    <w:p w:rsidRPr="00C70E54" w:rsidR="00C70E54" w:rsidP="009120CD" w:rsidRDefault="00C70E54" w14:paraId="42A1D88A" w14:textId="19815837">
      <w:pPr>
        <w:keepNext/>
        <w:numPr>
          <w:ilvl w:val="0"/>
          <w:numId w:val="2"/>
        </w:numPr>
        <w:ind w:left="567" w:hanging="567"/>
        <w:contextualSpacing/>
        <w:rPr>
          <w:b/>
          <w:bCs/>
          <w:i/>
          <w:sz w:val="28"/>
          <w:szCs w:val="28"/>
        </w:rPr>
      </w:pPr>
      <w:r>
        <w:rPr>
          <w:b/>
          <w:i/>
          <w:sz w:val="28"/>
        </w:rPr>
        <w:t>Tematiskās partnerības Ļubļanas nolīguma ietvaros</w:t>
      </w:r>
    </w:p>
    <w:p w:rsidRPr="00C70E54" w:rsidR="00C70E54" w:rsidP="009120CD" w:rsidRDefault="00C70E54" w14:paraId="0D98A583" w14:textId="55FCEBF7">
      <w:pPr>
        <w:keepNext/>
        <w:ind w:left="567"/>
        <w:contextualSpacing/>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993"/>
      </w:tblGrid>
      <w:tr w:rsidRPr="00627B8F" w:rsidR="00C70E54" w:rsidTr="00C70E54" w14:paraId="29F8D18E" w14:textId="77777777">
        <w:tc>
          <w:tcPr>
            <w:tcW w:w="1701" w:type="dxa"/>
          </w:tcPr>
          <w:p w:rsidRPr="009B70E7" w:rsidR="00C70E54" w:rsidP="009120CD" w:rsidRDefault="00C70E54" w14:paraId="34124F6F" w14:textId="77777777">
            <w:pPr>
              <w:pStyle w:val="ListParagraph"/>
              <w:ind w:left="0"/>
              <w:rPr>
                <w:b/>
              </w:rPr>
            </w:pPr>
            <w:r>
              <w:rPr>
                <w:b/>
              </w:rPr>
              <w:t>Ziņotājs:</w:t>
            </w:r>
          </w:p>
        </w:tc>
        <w:tc>
          <w:tcPr>
            <w:tcW w:w="6993" w:type="dxa"/>
          </w:tcPr>
          <w:p w:rsidRPr="00627B8F" w:rsidR="00C70E54" w:rsidP="009120CD" w:rsidRDefault="00C70E54" w14:paraId="3D7E1BAF" w14:textId="25FF3D8F">
            <w:pPr>
              <w:pStyle w:val="ListParagraph"/>
              <w:ind w:left="-60" w:right="-55"/>
            </w:pPr>
            <w:proofErr w:type="spellStart"/>
            <w:r>
              <w:t>David</w:t>
            </w:r>
            <w:proofErr w:type="spellEnd"/>
            <w:r>
              <w:t xml:space="preserve"> SVENTEK (Darba devēju grupa – CZ) </w:t>
            </w:r>
          </w:p>
        </w:tc>
      </w:tr>
      <w:tr w:rsidRPr="009B70E7" w:rsidR="00C70E54" w:rsidTr="00C70E54" w14:paraId="26808337" w14:textId="77777777">
        <w:tc>
          <w:tcPr>
            <w:tcW w:w="1701" w:type="dxa"/>
          </w:tcPr>
          <w:p w:rsidRPr="009B70E7" w:rsidR="00C70E54" w:rsidP="009120CD" w:rsidRDefault="00C70E54" w14:paraId="498C0B47" w14:textId="77777777">
            <w:pPr>
              <w:pStyle w:val="ListParagraph"/>
              <w:ind w:left="0"/>
              <w:rPr>
                <w:b/>
              </w:rPr>
            </w:pPr>
            <w:r>
              <w:rPr>
                <w:b/>
              </w:rPr>
              <w:t>Līdzziņotājs:</w:t>
            </w:r>
          </w:p>
        </w:tc>
        <w:tc>
          <w:tcPr>
            <w:tcW w:w="6993" w:type="dxa"/>
          </w:tcPr>
          <w:p w:rsidR="00C70E54" w:rsidP="009120CD" w:rsidRDefault="00C70E54" w14:paraId="1C9982B4" w14:textId="4BE95CC8">
            <w:pPr>
              <w:pStyle w:val="ListParagraph"/>
              <w:tabs>
                <w:tab w:val="left" w:pos="838"/>
              </w:tabs>
              <w:ind w:left="-61"/>
            </w:pPr>
            <w:r>
              <w:t>Florian MARIN (Darba ņēmēju grupa – RO)</w:t>
            </w:r>
          </w:p>
          <w:p w:rsidRPr="009B70E7" w:rsidR="00C70E54" w:rsidP="009120CD" w:rsidRDefault="00C70E54" w14:paraId="4837FA0C" w14:textId="77777777">
            <w:pPr>
              <w:pStyle w:val="ListParagraph"/>
              <w:tabs>
                <w:tab w:val="left" w:pos="838"/>
              </w:tabs>
              <w:ind w:left="-61"/>
            </w:pPr>
          </w:p>
        </w:tc>
      </w:tr>
      <w:tr w:rsidRPr="009B70E7" w:rsidR="00C90660" w:rsidTr="00C70E54" w14:paraId="21BEDD4F" w14:textId="77777777">
        <w:tc>
          <w:tcPr>
            <w:tcW w:w="1701" w:type="dxa"/>
          </w:tcPr>
          <w:p w:rsidRPr="009B70E7" w:rsidR="00C90660" w:rsidP="009120CD" w:rsidRDefault="00C90660" w14:paraId="641E3725" w14:textId="37F0CFA9">
            <w:pPr>
              <w:pStyle w:val="ListParagraph"/>
              <w:ind w:left="0"/>
              <w:rPr>
                <w:b/>
              </w:rPr>
            </w:pPr>
            <w:r>
              <w:rPr>
                <w:b/>
              </w:rPr>
              <w:t>Atsauce:</w:t>
            </w:r>
          </w:p>
        </w:tc>
        <w:tc>
          <w:tcPr>
            <w:tcW w:w="6993" w:type="dxa"/>
          </w:tcPr>
          <w:p w:rsidR="00C90660" w:rsidP="00C90660" w:rsidRDefault="00C90660" w14:paraId="5B35A8E0" w14:textId="77777777">
            <w:pPr>
              <w:pStyle w:val="ListParagraph"/>
              <w:ind w:left="-108"/>
            </w:pPr>
            <w:r>
              <w:t>Izpētes atzinums pēc Padomes prezidentvalsts Čehijas pieprasījuma</w:t>
            </w:r>
          </w:p>
          <w:p w:rsidRPr="00261903" w:rsidR="00C90660" w:rsidP="00C90660" w:rsidRDefault="00C90660" w14:paraId="763671F6" w14:textId="349C9109">
            <w:pPr>
              <w:pStyle w:val="ListParagraph"/>
              <w:tabs>
                <w:tab w:val="left" w:pos="838"/>
              </w:tabs>
              <w:ind w:left="-61"/>
            </w:pPr>
            <w:r>
              <w:t>EESC-2022-01206-00-00-AC</w:t>
            </w:r>
          </w:p>
        </w:tc>
      </w:tr>
    </w:tbl>
    <w:p w:rsidRPr="00A30B84" w:rsidR="00C70E54" w:rsidP="009120CD" w:rsidRDefault="00C70E54" w14:paraId="12F31B78" w14:textId="77777777">
      <w:pPr>
        <w:contextualSpacing/>
      </w:pPr>
    </w:p>
    <w:p w:rsidRPr="00A30B84" w:rsidR="00C70E54" w:rsidP="009120CD" w:rsidRDefault="00C70E54" w14:paraId="13718C02" w14:textId="77777777">
      <w:pPr>
        <w:pStyle w:val="ListParagraph"/>
        <w:ind w:left="0" w:firstLine="142"/>
        <w:rPr>
          <w:b/>
        </w:rPr>
      </w:pPr>
      <w:r>
        <w:rPr>
          <w:b/>
          <w:bCs/>
        </w:rPr>
        <w:t>Svarīgākie aspekti</w:t>
      </w:r>
    </w:p>
    <w:p w:rsidRPr="00A30B84" w:rsidR="00C70E54" w:rsidP="009120CD" w:rsidRDefault="00C70E54" w14:paraId="0614F229" w14:textId="77777777">
      <w:pPr>
        <w:contextualSpacing/>
      </w:pPr>
    </w:p>
    <w:p w:rsidRPr="00E642C0" w:rsidR="00C70E54" w:rsidP="009120CD" w:rsidRDefault="00C70E54" w14:paraId="6C9AC2AB" w14:textId="77777777">
      <w:pPr>
        <w:pStyle w:val="ListParagraph"/>
        <w:ind w:left="0" w:firstLine="142"/>
        <w:rPr>
          <w:bCs/>
        </w:rPr>
      </w:pPr>
      <w:r>
        <w:t>EESK:</w:t>
      </w:r>
    </w:p>
    <w:p w:rsidRPr="00A30B84" w:rsidR="00C70E54" w:rsidP="009120CD" w:rsidRDefault="00C70E54" w14:paraId="082B07AC" w14:textId="77777777">
      <w:pPr>
        <w:contextualSpacing/>
        <w:rPr>
          <w:lang w:val="fr-FR"/>
        </w:rPr>
      </w:pPr>
    </w:p>
    <w:p w:rsidRPr="001445A7" w:rsidR="00C70E54" w:rsidP="009120CD" w:rsidRDefault="007F292F" w14:paraId="75D1F42C" w14:textId="1E6EDD30">
      <w:pPr>
        <w:numPr>
          <w:ilvl w:val="0"/>
          <w:numId w:val="3"/>
        </w:numPr>
        <w:ind w:left="357" w:hanging="357"/>
        <w:contextualSpacing/>
      </w:pPr>
      <w:r>
        <w:t>visnotaļ atbalsta Ļubļanas nolīgumā paustos paziņojumus par ES pilsētprogrammu un īpaši atzinīgi vērtē to, ka ilgtspējīgā pilsētu attīstībā liela uzmanība pievērsta partnerībai un vairāklīmeņu un daudzu ieinteresēto personu pieejai;</w:t>
      </w:r>
    </w:p>
    <w:p w:rsidR="00C70E54" w:rsidP="009120CD" w:rsidRDefault="007F292F" w14:paraId="12914003" w14:textId="3BD165A2">
      <w:pPr>
        <w:numPr>
          <w:ilvl w:val="0"/>
          <w:numId w:val="3"/>
        </w:numPr>
        <w:ind w:left="357" w:hanging="357"/>
        <w:contextualSpacing/>
      </w:pPr>
      <w:r>
        <w:t xml:space="preserve">uzskata, ka tematiskajām partnerībām būtu jānodrošina praktiska un ilgtspējīga rīcība un rezultāti, kas ir ilgāki nekā pašas partnerības. Pastāvīgi būtu jāapsver rezultātu </w:t>
      </w:r>
      <w:proofErr w:type="spellStart"/>
      <w:r>
        <w:t>pārnese</w:t>
      </w:r>
      <w:proofErr w:type="spellEnd"/>
      <w:r>
        <w:t xml:space="preserve"> uz citām dalībvalstīm, reģioniem, pilsētām vai nozarēm;</w:t>
      </w:r>
    </w:p>
    <w:p w:rsidRPr="005B5038" w:rsidR="007F292F" w:rsidP="009120CD" w:rsidRDefault="007F292F" w14:paraId="595F584E" w14:textId="71F4C7DA">
      <w:pPr>
        <w:numPr>
          <w:ilvl w:val="0"/>
          <w:numId w:val="3"/>
        </w:numPr>
        <w:ind w:left="357" w:hanging="357"/>
        <w:contextualSpacing/>
      </w:pPr>
      <w:r>
        <w:lastRenderedPageBreak/>
        <w:t>uzsver, ka būtu jāstiprina saikne starp ES pilsētprogrammu un kohēzijas politiku. Neraugoties uz to, ka tās ir divas atšķirīgas politikas jomas un iniciatīvas ar atšķirīgiem mērķiem, kas ietverti dažādos regulējumos, sinerģijai būtu jāpastāv;</w:t>
      </w:r>
    </w:p>
    <w:p w:rsidRPr="00F71666" w:rsidR="00C70E54" w:rsidP="009120CD" w:rsidRDefault="007F292F" w14:paraId="732916B9" w14:textId="78E9BA28">
      <w:pPr>
        <w:numPr>
          <w:ilvl w:val="0"/>
          <w:numId w:val="3"/>
        </w:numPr>
        <w:ind w:left="357" w:hanging="357"/>
        <w:contextualSpacing/>
      </w:pPr>
      <w:r>
        <w:t>uzskata, ka tematiskajās partnerībās iesaistīto partneru atlasē jāizmanto konkrētāki, atklātāki un iekļaujošāki kritēriji. Atlases procesā nevajadzētu ignorēt sociālo partneru un pilsoniskās sabiedrības organizāciju, kā arī pilsētu pašvaldību iespēju piedalīties šajā procesā;</w:t>
      </w:r>
    </w:p>
    <w:p w:rsidRPr="00F71666" w:rsidR="00C70E54" w:rsidP="009120CD" w:rsidRDefault="007F292F" w14:paraId="0A59B6AA" w14:textId="13B0725C">
      <w:pPr>
        <w:numPr>
          <w:ilvl w:val="0"/>
          <w:numId w:val="3"/>
        </w:numPr>
        <w:ind w:left="357" w:hanging="357"/>
        <w:contextualSpacing/>
      </w:pPr>
      <w:r>
        <w:t>uzskata, ka darba apstākļi, karjeras paredzamība un piekļuve kvalitatīvām darbvietām, iespējām un atbilstīgam atalgojumam būtu jāaplūko transversāli. Jāņem vērā visu veidu dialogu un apspriežu ar ieinteresētajām personām (piemēram, sociālais dialogs, pilsoniskais dialogs un apspriešanās ar iedzīvotājiem) nodrošināšana;</w:t>
      </w:r>
    </w:p>
    <w:p w:rsidRPr="00F71666" w:rsidR="00C70E54" w:rsidP="009120CD" w:rsidRDefault="00F03155" w14:paraId="2EC14A30" w14:textId="6E38515C">
      <w:pPr>
        <w:numPr>
          <w:ilvl w:val="0"/>
          <w:numId w:val="3"/>
        </w:numPr>
        <w:ind w:left="357" w:hanging="357"/>
        <w:contextualSpacing/>
      </w:pPr>
      <w:r>
        <w:t>iesaka ņemt vērā augšupēju pieeju, tematiskās kopas, tematiskos tīklus un tīklus, kuru mērķis ir izstrādāt pielāgotus un konkrētām vietām piemērotus risinājumus, kā arī spēju izmantot esošos tematiskos un pilsētu tīklus, it īpaši mazo un vidējo pilsētu vajadzībām;</w:t>
      </w:r>
    </w:p>
    <w:p w:rsidRPr="00F03155" w:rsidR="00C70E54" w:rsidP="009120CD" w:rsidRDefault="00F03155" w14:paraId="4847D047" w14:textId="5EEE4976">
      <w:pPr>
        <w:numPr>
          <w:ilvl w:val="0"/>
          <w:numId w:val="3"/>
        </w:numPr>
        <w:ind w:left="357" w:hanging="357"/>
        <w:contextualSpacing/>
      </w:pPr>
      <w:r>
        <w:t>atzīmē, ka varētu pastiprināt EESK nozīmi ES pilsētprogrammas un Ļubļanas nolīguma pārvaldībā. EESK būtu jāiesaistās arī Pilsētu attīstības grupā un Pilsētprogrammas tehniskās sagatavošanas grupā, kā arī jāpiedalās ģenerāldirektoru sanāksmē par pilsētvides jautājumiem;</w:t>
      </w:r>
    </w:p>
    <w:p w:rsidRPr="00F03155" w:rsidR="00F03155" w:rsidP="009120CD" w:rsidRDefault="00F03155" w14:paraId="76852B00" w14:textId="044C96B8">
      <w:pPr>
        <w:numPr>
          <w:ilvl w:val="0"/>
          <w:numId w:val="3"/>
        </w:numPr>
        <w:ind w:left="357" w:hanging="357"/>
        <w:contextualSpacing/>
      </w:pPr>
      <w:r>
        <w:t>ierosina, ka līdzdalības demokrātija, labklājības ekonomika pilsētās un pilsētu un lauku savienojumi varētu būt papildu temati tematiskajās partnerībās, un īpaša uzmanība būtu jāpievērš jaunatnei;</w:t>
      </w:r>
    </w:p>
    <w:p w:rsidRPr="00B44BB9" w:rsidR="00F03155" w:rsidP="009120CD" w:rsidRDefault="00F03155" w14:paraId="093EC705" w14:textId="54A76FFE">
      <w:pPr>
        <w:numPr>
          <w:ilvl w:val="0"/>
          <w:numId w:val="3"/>
        </w:numPr>
        <w:ind w:left="357" w:hanging="357"/>
        <w:contextualSpacing/>
      </w:pPr>
      <w:r>
        <w:t>vēlreiz ierosina izveidot īpašu sekretariātu tematisko partnerību efektivitātes un lietderības uzlabošanai, lai nodrošinātu saikni ar pilsētu rīcībpolitikām vietējā līmenī, nodrošinātu tehnisko palīdzību un veicinātu tematisko kopienu izveidi un paraugprakses apmaiņu tematiskajās jomās. Tas būtu jādara ciešā sadarbībā ar Eiropas Reģionu komiteju.</w:t>
      </w:r>
    </w:p>
    <w:p w:rsidRPr="00A30B84" w:rsidR="00C70E54" w:rsidP="009120CD" w:rsidRDefault="00C70E54" w14:paraId="060E2085" w14:textId="77777777"/>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A30B84" w:rsidR="00C70E54" w:rsidTr="004E4367" w14:paraId="02BF02DE" w14:textId="77777777">
        <w:tc>
          <w:tcPr>
            <w:tcW w:w="1418" w:type="dxa"/>
          </w:tcPr>
          <w:p w:rsidRPr="00A30B84" w:rsidR="00C70E54" w:rsidP="009120CD" w:rsidRDefault="00C70E54" w14:paraId="670230EE" w14:textId="77777777">
            <w:pPr>
              <w:contextualSpacing/>
              <w:rPr>
                <w:i/>
              </w:rPr>
            </w:pPr>
            <w:bookmarkStart w:name="_Hlk113970407" w:id="6"/>
            <w:r>
              <w:rPr>
                <w:b/>
                <w:i/>
              </w:rPr>
              <w:t>Kontaktpersona:</w:t>
            </w:r>
          </w:p>
        </w:tc>
        <w:tc>
          <w:tcPr>
            <w:tcW w:w="5670" w:type="dxa"/>
          </w:tcPr>
          <w:p w:rsidRPr="00A30B84" w:rsidR="00C70E54" w:rsidP="009120CD" w:rsidRDefault="00C70E54" w14:paraId="5A1C1784" w14:textId="3DB6E047">
            <w:pPr>
              <w:contextualSpacing/>
              <w:rPr>
                <w:i/>
              </w:rPr>
            </w:pPr>
            <w:proofErr w:type="spellStart"/>
            <w:r>
              <w:rPr>
                <w:i/>
              </w:rPr>
              <w:t>Georgeos</w:t>
            </w:r>
            <w:proofErr w:type="spellEnd"/>
            <w:r>
              <w:rPr>
                <w:i/>
              </w:rPr>
              <w:t xml:space="preserve"> </w:t>
            </w:r>
            <w:r w:rsidR="0022731C">
              <w:rPr>
                <w:i/>
              </w:rPr>
              <w:t>MELEAS</w:t>
            </w:r>
          </w:p>
        </w:tc>
      </w:tr>
      <w:tr w:rsidRPr="00A30B84" w:rsidR="00C70E54" w:rsidTr="004E4367" w14:paraId="03DD3B12" w14:textId="77777777">
        <w:tc>
          <w:tcPr>
            <w:tcW w:w="1418" w:type="dxa"/>
          </w:tcPr>
          <w:p w:rsidRPr="00A30B84" w:rsidR="00C70E54" w:rsidP="009120CD" w:rsidRDefault="00C70E54" w14:paraId="74DD9EF1" w14:textId="77777777">
            <w:pPr>
              <w:ind w:left="601"/>
              <w:contextualSpacing/>
              <w:rPr>
                <w:i/>
              </w:rPr>
            </w:pPr>
            <w:r>
              <w:rPr>
                <w:i/>
              </w:rPr>
              <w:t>Tālr.:</w:t>
            </w:r>
          </w:p>
        </w:tc>
        <w:tc>
          <w:tcPr>
            <w:tcW w:w="5670" w:type="dxa"/>
          </w:tcPr>
          <w:p w:rsidRPr="00A30B84" w:rsidR="00C70E54" w:rsidP="009120CD" w:rsidRDefault="00C70E54" w14:paraId="75276867" w14:textId="77777777">
            <w:pPr>
              <w:contextualSpacing/>
              <w:rPr>
                <w:i/>
              </w:rPr>
            </w:pPr>
            <w:r>
              <w:rPr>
                <w:i/>
              </w:rPr>
              <w:t>00 32 2 546 97 95</w:t>
            </w:r>
          </w:p>
        </w:tc>
      </w:tr>
      <w:tr w:rsidRPr="00A30B84" w:rsidR="00C70E54" w:rsidTr="004E4367" w14:paraId="0EFD5CED" w14:textId="77777777">
        <w:tc>
          <w:tcPr>
            <w:tcW w:w="1418" w:type="dxa"/>
          </w:tcPr>
          <w:p w:rsidRPr="00A30B84" w:rsidR="00C70E54" w:rsidP="009120CD" w:rsidRDefault="00C70E54" w14:paraId="592FDA8F" w14:textId="77777777">
            <w:pPr>
              <w:ind w:left="601"/>
              <w:contextualSpacing/>
              <w:rPr>
                <w:i/>
              </w:rPr>
            </w:pPr>
            <w:r>
              <w:rPr>
                <w:i/>
              </w:rPr>
              <w:t>E-pasts:</w:t>
            </w:r>
          </w:p>
        </w:tc>
        <w:tc>
          <w:tcPr>
            <w:tcW w:w="5670" w:type="dxa"/>
          </w:tcPr>
          <w:p w:rsidRPr="00C90660" w:rsidR="005B5038" w:rsidP="009120CD" w:rsidRDefault="0022731C" w14:paraId="1BE0828F" w14:textId="203C3E8B">
            <w:pPr>
              <w:spacing w:after="160"/>
              <w:jc w:val="left"/>
              <w:rPr>
                <w:i/>
              </w:rPr>
            </w:pPr>
            <w:hyperlink w:history="1" r:id="rId23">
              <w:r w:rsidR="0064748D">
                <w:rPr>
                  <w:rStyle w:val="Hyperlink"/>
                </w:rPr>
                <w:t>Georgeos.Meleas</w:t>
              </w:r>
              <w:r w:rsidR="0064748D">
                <w:rPr>
                  <w:rStyle w:val="Hyperlink"/>
                  <w:i/>
                </w:rPr>
                <w:t>@eesc.europa.eu</w:t>
              </w:r>
            </w:hyperlink>
          </w:p>
        </w:tc>
      </w:tr>
      <w:bookmarkEnd w:id="6"/>
    </w:tbl>
    <w:p w:rsidRPr="00C90660" w:rsidR="00C90660" w:rsidP="00C90660" w:rsidRDefault="00C90660" w14:paraId="7EDB3454" w14:textId="77777777">
      <w:pPr>
        <w:keepNext/>
        <w:ind w:left="567"/>
        <w:contextualSpacing/>
        <w:rPr>
          <w:b/>
          <w:i/>
          <w:sz w:val="28"/>
          <w:szCs w:val="28"/>
        </w:rPr>
      </w:pPr>
    </w:p>
    <w:p w:rsidRPr="0077792F" w:rsidR="0077792F" w:rsidP="009120CD" w:rsidRDefault="0077792F" w14:paraId="1B55E54F" w14:textId="42382473">
      <w:pPr>
        <w:keepNext/>
        <w:numPr>
          <w:ilvl w:val="0"/>
          <w:numId w:val="2"/>
        </w:numPr>
        <w:ind w:left="567" w:hanging="567"/>
        <w:contextualSpacing/>
        <w:rPr>
          <w:b/>
          <w:i/>
          <w:sz w:val="28"/>
          <w:szCs w:val="28"/>
        </w:rPr>
      </w:pPr>
      <w:r>
        <w:rPr>
          <w:b/>
          <w:i/>
          <w:sz w:val="28"/>
        </w:rPr>
        <w:t>Kriptoaktīvi: izaicinājumi un iespējas</w:t>
      </w:r>
    </w:p>
    <w:p w:rsidRPr="0077792F" w:rsidR="0077792F" w:rsidP="009120CD" w:rsidRDefault="0077792F" w14:paraId="4B03D864" w14:textId="77777777">
      <w:pPr>
        <w:keepNext/>
        <w:contextualSpacing/>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27B8F" w:rsidR="0077792F" w:rsidTr="004E4367" w14:paraId="717438AA" w14:textId="77777777">
        <w:tc>
          <w:tcPr>
            <w:tcW w:w="1701" w:type="dxa"/>
          </w:tcPr>
          <w:p w:rsidRPr="009B70E7" w:rsidR="0077792F" w:rsidP="009120CD" w:rsidRDefault="0077792F" w14:paraId="494AC9F0" w14:textId="77777777">
            <w:pPr>
              <w:pStyle w:val="ListParagraph"/>
              <w:ind w:left="0"/>
              <w:rPr>
                <w:b/>
              </w:rPr>
            </w:pPr>
            <w:r>
              <w:rPr>
                <w:b/>
              </w:rPr>
              <w:t>Ziņotājs:</w:t>
            </w:r>
          </w:p>
        </w:tc>
        <w:tc>
          <w:tcPr>
            <w:tcW w:w="6521" w:type="dxa"/>
          </w:tcPr>
          <w:p w:rsidRPr="00627B8F" w:rsidR="0077792F" w:rsidP="009120CD" w:rsidRDefault="0077792F" w14:paraId="5531C58B" w14:textId="411B5B8F">
            <w:pPr>
              <w:pStyle w:val="ListParagraph"/>
              <w:ind w:left="-60" w:right="-55"/>
            </w:pPr>
            <w:r>
              <w:t>Philip VON BROCKDORFF (Darba ņēmēju grupa – MT)</w:t>
            </w:r>
          </w:p>
        </w:tc>
      </w:tr>
      <w:tr w:rsidRPr="009B70E7" w:rsidR="0077792F" w:rsidTr="004E4367" w14:paraId="4BD327F5" w14:textId="77777777">
        <w:tc>
          <w:tcPr>
            <w:tcW w:w="1701" w:type="dxa"/>
          </w:tcPr>
          <w:p w:rsidRPr="009B70E7" w:rsidR="0077792F" w:rsidP="009120CD" w:rsidRDefault="0077792F" w14:paraId="12AEC36D" w14:textId="77777777">
            <w:pPr>
              <w:pStyle w:val="ListParagraph"/>
              <w:ind w:left="0"/>
              <w:rPr>
                <w:b/>
              </w:rPr>
            </w:pPr>
            <w:r>
              <w:rPr>
                <w:b/>
              </w:rPr>
              <w:t>Līdzziņotāja:</w:t>
            </w:r>
          </w:p>
        </w:tc>
        <w:tc>
          <w:tcPr>
            <w:tcW w:w="6521" w:type="dxa"/>
          </w:tcPr>
          <w:p w:rsidRPr="00C90660" w:rsidR="00C90660" w:rsidP="009120CD" w:rsidRDefault="0077792F" w14:paraId="754AA61A" w14:textId="51945F41">
            <w:pPr>
              <w:pStyle w:val="ListParagraph"/>
              <w:tabs>
                <w:tab w:val="left" w:pos="838"/>
              </w:tabs>
              <w:ind w:left="-61"/>
            </w:pPr>
            <w:proofErr w:type="spellStart"/>
            <w:r>
              <w:t>Louise</w:t>
            </w:r>
            <w:proofErr w:type="spellEnd"/>
            <w:r>
              <w:t xml:space="preserve"> GRABO (Pilsoniskās sabiedrības organizāciju grupa – SE)</w:t>
            </w:r>
          </w:p>
        </w:tc>
      </w:tr>
      <w:tr w:rsidRPr="009B70E7" w:rsidR="00E00915" w:rsidTr="004E4367" w14:paraId="78AF4FAA" w14:textId="77777777">
        <w:tc>
          <w:tcPr>
            <w:tcW w:w="1701" w:type="dxa"/>
          </w:tcPr>
          <w:p w:rsidRPr="009B70E7" w:rsidR="00E00915" w:rsidP="009120CD" w:rsidRDefault="00E00915" w14:paraId="45343F0A" w14:textId="77777777">
            <w:pPr>
              <w:pStyle w:val="ListParagraph"/>
              <w:ind w:left="0"/>
              <w:rPr>
                <w:b/>
              </w:rPr>
            </w:pPr>
          </w:p>
        </w:tc>
        <w:tc>
          <w:tcPr>
            <w:tcW w:w="6521" w:type="dxa"/>
          </w:tcPr>
          <w:p w:rsidRPr="00261903" w:rsidR="00E00915" w:rsidP="009120CD" w:rsidRDefault="00E00915" w14:paraId="0063332F" w14:textId="77777777">
            <w:pPr>
              <w:pStyle w:val="ListParagraph"/>
              <w:tabs>
                <w:tab w:val="left" w:pos="838"/>
              </w:tabs>
              <w:ind w:left="-61"/>
              <w:rPr>
                <w:lang w:val="en-US"/>
              </w:rPr>
            </w:pPr>
          </w:p>
        </w:tc>
      </w:tr>
      <w:tr w:rsidRPr="009B70E7" w:rsidR="00C90660" w:rsidTr="004E4367" w14:paraId="07BA968A" w14:textId="77777777">
        <w:tc>
          <w:tcPr>
            <w:tcW w:w="1701" w:type="dxa"/>
          </w:tcPr>
          <w:p w:rsidRPr="009B70E7" w:rsidR="00C90660" w:rsidP="009120CD" w:rsidRDefault="00C90660" w14:paraId="08D9D9F6" w14:textId="1DD33217">
            <w:pPr>
              <w:pStyle w:val="ListParagraph"/>
              <w:ind w:left="0"/>
              <w:rPr>
                <w:b/>
              </w:rPr>
            </w:pPr>
            <w:r>
              <w:rPr>
                <w:b/>
              </w:rPr>
              <w:t>Atsauce:</w:t>
            </w:r>
          </w:p>
        </w:tc>
        <w:tc>
          <w:tcPr>
            <w:tcW w:w="6521" w:type="dxa"/>
          </w:tcPr>
          <w:p w:rsidR="00C90660" w:rsidP="00C90660" w:rsidRDefault="00C90660" w14:paraId="5052EC7D" w14:textId="77777777">
            <w:pPr>
              <w:pStyle w:val="ListParagraph"/>
              <w:ind w:left="-108"/>
            </w:pPr>
            <w:r>
              <w:t>Pašiniciatīvas atzinums</w:t>
            </w:r>
          </w:p>
          <w:p w:rsidRPr="00261903" w:rsidR="00C90660" w:rsidP="00C90660" w:rsidRDefault="00C90660" w14:paraId="288B6BFD" w14:textId="18475F57">
            <w:pPr>
              <w:pStyle w:val="ListParagraph"/>
              <w:tabs>
                <w:tab w:val="left" w:pos="838"/>
              </w:tabs>
              <w:ind w:left="-61"/>
            </w:pPr>
            <w:r>
              <w:t>EESC-2022-02007-00-00-AC</w:t>
            </w:r>
          </w:p>
        </w:tc>
      </w:tr>
    </w:tbl>
    <w:p w:rsidRPr="00A30B84" w:rsidR="0077792F" w:rsidP="009120CD" w:rsidRDefault="0077792F" w14:paraId="2F81936E" w14:textId="77777777">
      <w:pPr>
        <w:contextualSpacing/>
      </w:pPr>
    </w:p>
    <w:p w:rsidRPr="00E642C0" w:rsidR="0077792F" w:rsidP="009120CD" w:rsidRDefault="0077792F" w14:paraId="1901BEAD" w14:textId="77777777">
      <w:pPr>
        <w:pStyle w:val="ListParagraph"/>
        <w:ind w:left="0" w:firstLine="142"/>
        <w:rPr>
          <w:b/>
        </w:rPr>
      </w:pPr>
      <w:r>
        <w:rPr>
          <w:b/>
          <w:bCs/>
        </w:rPr>
        <w:t>Svarīgākie aspekti</w:t>
      </w:r>
    </w:p>
    <w:p w:rsidRPr="00E642C0" w:rsidR="0077792F" w:rsidP="009120CD" w:rsidRDefault="0077792F" w14:paraId="72FCB2E9" w14:textId="77777777">
      <w:pPr>
        <w:pStyle w:val="ListParagraph"/>
        <w:ind w:left="0"/>
        <w:rPr>
          <w:b/>
        </w:rPr>
      </w:pPr>
    </w:p>
    <w:p w:rsidRPr="00E642C0" w:rsidR="0077792F" w:rsidP="009120CD" w:rsidRDefault="0077792F" w14:paraId="63687A18" w14:textId="77777777">
      <w:pPr>
        <w:pStyle w:val="ListParagraph"/>
        <w:ind w:left="0" w:firstLine="142"/>
        <w:rPr>
          <w:bCs/>
        </w:rPr>
      </w:pPr>
      <w:r>
        <w:t>EESK:</w:t>
      </w:r>
    </w:p>
    <w:p w:rsidRPr="00A30B84" w:rsidR="0077792F" w:rsidP="009120CD" w:rsidRDefault="0077792F" w14:paraId="3A20E8D3" w14:textId="77777777">
      <w:pPr>
        <w:contextualSpacing/>
        <w:rPr>
          <w:lang w:val="fr-FR"/>
        </w:rPr>
      </w:pPr>
    </w:p>
    <w:p w:rsidRPr="001445A7" w:rsidR="0077792F" w:rsidP="009120CD" w:rsidRDefault="00F03155" w14:paraId="1B90B508" w14:textId="1D3A3076">
      <w:pPr>
        <w:numPr>
          <w:ilvl w:val="0"/>
          <w:numId w:val="3"/>
        </w:numPr>
        <w:ind w:left="357" w:hanging="357"/>
        <w:contextualSpacing/>
      </w:pPr>
      <w:r>
        <w:t>pauž līdzsvarotu, bet pārdomātu viedokli attiecībā uz kriptoaktīviem un norāda uz dažām iespējām, kas varētu rasties nākotnē, it īpaši tehnoloģiju attīstības iespaidā;</w:t>
      </w:r>
    </w:p>
    <w:p w:rsidR="0077792F" w:rsidP="009120CD" w:rsidRDefault="00F03155" w14:paraId="197DA73C" w14:textId="17D9AF5F">
      <w:pPr>
        <w:numPr>
          <w:ilvl w:val="0"/>
          <w:numId w:val="3"/>
        </w:numPr>
        <w:ind w:left="357" w:hanging="357"/>
        <w:contextualSpacing/>
      </w:pPr>
      <w:r>
        <w:t>stingri atbalsta Eiropas Komisijas priekšlikumu regulai par kriptoaktīvu tirgiem (</w:t>
      </w:r>
      <w:proofErr w:type="spellStart"/>
      <w:r w:rsidRPr="0022731C">
        <w:rPr>
          <w:i/>
        </w:rPr>
        <w:t>MiCA</w:t>
      </w:r>
      <w:proofErr w:type="spellEnd"/>
      <w:r>
        <w:t>), kuras mērķis ir regulēt kriptoaktīvus ES;</w:t>
      </w:r>
    </w:p>
    <w:p w:rsidRPr="005B5038" w:rsidR="00F03155" w:rsidP="009120CD" w:rsidRDefault="00F03155" w14:paraId="0549FD8B" w14:textId="29618ED7">
      <w:pPr>
        <w:numPr>
          <w:ilvl w:val="0"/>
          <w:numId w:val="3"/>
        </w:numPr>
        <w:ind w:left="357" w:hanging="357"/>
        <w:contextualSpacing/>
      </w:pPr>
      <w:r>
        <w:t>aicina izstrādāt stabilu regulatīvo un operatīvo sistēmu, lai uzlabotu darījumu finanšu izsekošanu un uz kriptoaktīviem attiecināmo nodokļu saistību izpildi;</w:t>
      </w:r>
    </w:p>
    <w:p w:rsidRPr="00F71666" w:rsidR="0077792F" w:rsidP="009120CD" w:rsidRDefault="00F03155" w14:paraId="0793701D" w14:textId="57D1A99E">
      <w:pPr>
        <w:numPr>
          <w:ilvl w:val="0"/>
          <w:numId w:val="3"/>
        </w:numPr>
        <w:ind w:left="357" w:hanging="357"/>
        <w:contextualSpacing/>
      </w:pPr>
      <w:r>
        <w:lastRenderedPageBreak/>
        <w:t>stingri iesaka iestādēm ievērot principu “vienāda darbība, vienādi riski, vienādi noteikumi”. Tāpēc tad, kad uzņēmumi veic darījumus ar kriptoaktīviem un tajos ir jāsedz riski, kas ir līdzīgi tiem, kuri rodas tradicionālajos darījumos, ir jāpiemēro spēkā esošais tiesiskais regulējums;</w:t>
      </w:r>
    </w:p>
    <w:p w:rsidRPr="00F03155" w:rsidR="0077792F" w:rsidP="009120CD" w:rsidRDefault="00F03155" w14:paraId="3E40B4F8" w14:textId="50F74545">
      <w:pPr>
        <w:numPr>
          <w:ilvl w:val="0"/>
          <w:numId w:val="3"/>
        </w:numPr>
        <w:ind w:left="357" w:hanging="357"/>
        <w:contextualSpacing/>
      </w:pPr>
      <w:r>
        <w:t>uzskata, ka tas ir nepieciešams, lai novērstu asimetriju starp analogiem pakalpojumiem un aktīviem, uz kuriem tehnisku apstākļu dēļ varētu attiekties dažādas sistēmas;</w:t>
      </w:r>
    </w:p>
    <w:p w:rsidRPr="00F03155" w:rsidR="00F03155" w:rsidP="009120CD" w:rsidRDefault="00F03155" w14:paraId="392941D5" w14:textId="2084F74A">
      <w:pPr>
        <w:numPr>
          <w:ilvl w:val="0"/>
          <w:numId w:val="3"/>
        </w:numPr>
        <w:ind w:left="357" w:hanging="357"/>
        <w:contextualSpacing/>
      </w:pPr>
      <w:r>
        <w:t>uzskata, ka kriptoaktīvu tiesiskajam regulējumam jābūt konsekventam visās jurisdikcijās, ne tikai Eiropas Savienībā;</w:t>
      </w:r>
    </w:p>
    <w:p w:rsidRPr="00F03155" w:rsidR="00F03155" w:rsidP="009120CD" w:rsidRDefault="00F03155" w14:paraId="280FA08F" w14:textId="103ECBAD">
      <w:pPr>
        <w:numPr>
          <w:ilvl w:val="0"/>
          <w:numId w:val="3"/>
        </w:numPr>
        <w:ind w:left="357" w:hanging="357"/>
        <w:contextualSpacing/>
      </w:pPr>
      <w:r>
        <w:t>atbalsta inovāciju Eiropas Savienībā un uzskata, ka ir svarīgi, lai parastie produkti, kuru pamatā ir blokķēdes tehnoloģija un kuri nav finansiāla rakstura, tiktu uzskatīti par to fiziskajiem partneriem, nevis finanšu instrumentiem, ievērojot principu “vienāda darbība vienādi noteikumi”;</w:t>
      </w:r>
    </w:p>
    <w:p w:rsidRPr="00F03155" w:rsidR="00F03155" w:rsidP="009120CD" w:rsidRDefault="00F03155" w14:paraId="54185A9A" w14:textId="3DC3D8E7">
      <w:pPr>
        <w:numPr>
          <w:ilvl w:val="0"/>
          <w:numId w:val="3"/>
        </w:numPr>
        <w:ind w:left="357" w:hanging="357"/>
        <w:contextualSpacing/>
      </w:pPr>
      <w:r>
        <w:t xml:space="preserve">ar bažām norāda uz kriptoaktīvu un ar tiem saistīto </w:t>
      </w:r>
      <w:proofErr w:type="spellStart"/>
      <w:r>
        <w:t>izraces</w:t>
      </w:r>
      <w:proofErr w:type="spellEnd"/>
      <w:r>
        <w:t xml:space="preserve"> darbību ietekmi uz vidi, ņemot vērā ES saistības klimata jomā zaļā kursa ietvaros, un uzskata, ka, neraugoties uz jaunām sadalītās virsgrāmatas tehnoloģijām, piemēram, blokķēdēm, kas, šķiet, spēj nodrošināt ilgtspējīgu infrastruktūru virzībā uz mazoglekļa nākotni, nav pārliecinošu pierādījumu tam, ka tas tā tiešām ir;</w:t>
      </w:r>
    </w:p>
    <w:p w:rsidRPr="00F03155" w:rsidR="00F03155" w:rsidP="009120CD" w:rsidRDefault="00F03155" w14:paraId="1D64D96E" w14:textId="09C2508D">
      <w:pPr>
        <w:numPr>
          <w:ilvl w:val="0"/>
          <w:numId w:val="3"/>
        </w:numPr>
        <w:ind w:left="357" w:hanging="357"/>
        <w:contextualSpacing/>
      </w:pPr>
      <w:r>
        <w:t>uzskata, ka blokķēde kā galvenā kriptoaktīvu pamatā esošā tehnoloģija varētu palīdzēt novērst riskus, kas pašlaik dominē tirgū. Potenciālie ieguvumi no blokķēdes sniedzas no reāllaika darījumiem, kas ļauj samazināt risku un labāk pārvaldīt kapitālu, līdz labākai regulatīvajai efektivitātei;</w:t>
      </w:r>
    </w:p>
    <w:p w:rsidRPr="00F03155" w:rsidR="00F03155" w:rsidP="009120CD" w:rsidRDefault="00F03155" w14:paraId="7E98DF3A" w14:textId="0CE3A64D">
      <w:pPr>
        <w:numPr>
          <w:ilvl w:val="0"/>
          <w:numId w:val="3"/>
        </w:numPr>
        <w:ind w:left="357" w:hanging="357"/>
        <w:contextualSpacing/>
      </w:pPr>
      <w:r>
        <w:t>atzīmē, ka turpmāka tehnoloģiju attīstība var palīdzēt novērst pastāvošos nodokļu saistību izpildes ierobežojumus, tādējādi uzlabojot pārredzamību un nodokļu iestādēm kontroles nolūkā nosūtīto datu kvalitāti, novēršot krāpšanu nodokļu jomā un nelikumīgus darījumus;</w:t>
      </w:r>
    </w:p>
    <w:p w:rsidRPr="00F71666" w:rsidR="00F03155" w:rsidP="009120CD" w:rsidRDefault="00F03155" w14:paraId="146F859B" w14:textId="33D55D08">
      <w:pPr>
        <w:numPr>
          <w:ilvl w:val="0"/>
          <w:numId w:val="3"/>
        </w:numPr>
        <w:ind w:left="357" w:hanging="357"/>
        <w:contextualSpacing/>
      </w:pPr>
      <w:r>
        <w:t>pilnībā atbalsta Eiropas Centrālās bankas (ECB) lomu uzraudzībā, kas vērsta uz kriptoaktīvu norisēm un to iespējamo ietekmi uz monetāro politiku, kā arī riskiem, ko kriptoaktīvi var radīt tirgus infrastruktūras un maksājumu raitai darbībai, kā arī finanšu sistēmas stabilitātei.</w:t>
      </w:r>
    </w:p>
    <w:p w:rsidR="0077792F" w:rsidP="009120CD" w:rsidRDefault="0077792F" w14:paraId="3477B253" w14:textId="77777777">
      <w:pPr>
        <w:spacing w:after="160"/>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9B70E7" w:rsidR="0077792F" w:rsidTr="004E4367" w14:paraId="3FA42BAE" w14:textId="77777777">
        <w:tc>
          <w:tcPr>
            <w:tcW w:w="1418" w:type="dxa"/>
          </w:tcPr>
          <w:p w:rsidRPr="009B70E7" w:rsidR="0077792F" w:rsidP="009120CD" w:rsidRDefault="0077792F" w14:paraId="44ACEA21" w14:textId="77777777">
            <w:pPr>
              <w:pStyle w:val="ListParagraph"/>
              <w:ind w:left="0"/>
              <w:rPr>
                <w:i/>
              </w:rPr>
            </w:pPr>
            <w:r>
              <w:rPr>
                <w:b/>
                <w:i/>
              </w:rPr>
              <w:t>Kontaktpersona:</w:t>
            </w:r>
          </w:p>
        </w:tc>
        <w:tc>
          <w:tcPr>
            <w:tcW w:w="5670" w:type="dxa"/>
          </w:tcPr>
          <w:p w:rsidRPr="009B70E7" w:rsidR="0077792F" w:rsidP="009120CD" w:rsidRDefault="0077792F" w14:paraId="389ED027" w14:textId="7F2FF5DB">
            <w:pPr>
              <w:pStyle w:val="ListParagraph"/>
              <w:ind w:left="0"/>
              <w:rPr>
                <w:i/>
              </w:rPr>
            </w:pPr>
            <w:proofErr w:type="spellStart"/>
            <w:r>
              <w:rPr>
                <w:i/>
              </w:rPr>
              <w:t>Gerald</w:t>
            </w:r>
            <w:proofErr w:type="spellEnd"/>
            <w:r>
              <w:rPr>
                <w:i/>
              </w:rPr>
              <w:t xml:space="preserve"> </w:t>
            </w:r>
            <w:r w:rsidR="0022731C">
              <w:rPr>
                <w:i/>
              </w:rPr>
              <w:t>KLEC</w:t>
            </w:r>
          </w:p>
        </w:tc>
      </w:tr>
      <w:tr w:rsidRPr="009B70E7" w:rsidR="00C90660" w:rsidTr="004E4367" w14:paraId="6B7CFCEF" w14:textId="77777777">
        <w:tc>
          <w:tcPr>
            <w:tcW w:w="1418" w:type="dxa"/>
          </w:tcPr>
          <w:p w:rsidRPr="00C90660" w:rsidR="00C90660" w:rsidP="009120CD" w:rsidRDefault="00C90660" w14:paraId="70EF65EC" w14:textId="262FDCA2">
            <w:pPr>
              <w:pStyle w:val="ListParagraph"/>
              <w:ind w:left="0"/>
              <w:rPr>
                <w:b/>
                <w:i/>
              </w:rPr>
            </w:pPr>
            <w:r>
              <w:rPr>
                <w:i/>
              </w:rPr>
              <w:t>Tālr.:</w:t>
            </w:r>
          </w:p>
        </w:tc>
        <w:tc>
          <w:tcPr>
            <w:tcW w:w="5670" w:type="dxa"/>
          </w:tcPr>
          <w:p w:rsidRPr="00C90660" w:rsidR="00C90660" w:rsidP="009120CD" w:rsidRDefault="00C90660" w14:paraId="2B25FD8E" w14:textId="56AC13B3">
            <w:pPr>
              <w:pStyle w:val="ListParagraph"/>
              <w:ind w:left="0"/>
              <w:rPr>
                <w:i/>
              </w:rPr>
            </w:pPr>
            <w:r>
              <w:rPr>
                <w:i/>
              </w:rPr>
              <w:t>00 32 2 546 99 09</w:t>
            </w:r>
          </w:p>
        </w:tc>
      </w:tr>
      <w:tr w:rsidRPr="009B70E7" w:rsidR="00C90660" w:rsidTr="004E4367" w14:paraId="158E3D2B" w14:textId="77777777">
        <w:tc>
          <w:tcPr>
            <w:tcW w:w="1418" w:type="dxa"/>
          </w:tcPr>
          <w:p w:rsidRPr="00C90660" w:rsidR="00C90660" w:rsidP="009120CD" w:rsidRDefault="00C90660" w14:paraId="01F7F2FA" w14:textId="0E38F273">
            <w:pPr>
              <w:pStyle w:val="ListParagraph"/>
              <w:ind w:left="0"/>
              <w:rPr>
                <w:b/>
                <w:i/>
              </w:rPr>
            </w:pPr>
            <w:r>
              <w:rPr>
                <w:i/>
              </w:rPr>
              <w:t>E-pasts:</w:t>
            </w:r>
          </w:p>
        </w:tc>
        <w:tc>
          <w:tcPr>
            <w:tcW w:w="5670" w:type="dxa"/>
          </w:tcPr>
          <w:p w:rsidRPr="00C90660" w:rsidR="00C90660" w:rsidP="009120CD" w:rsidRDefault="0022731C" w14:paraId="2031120D" w14:textId="4133CD60">
            <w:pPr>
              <w:pStyle w:val="ListParagraph"/>
              <w:ind w:left="0"/>
              <w:rPr>
                <w:i/>
              </w:rPr>
            </w:pPr>
            <w:hyperlink w:history="1" r:id="rId24">
              <w:r w:rsidR="0064748D">
                <w:rPr>
                  <w:rStyle w:val="Hyperlink"/>
                  <w:i/>
                </w:rPr>
                <w:t>Gerald.Klec@eesc.europa.eu</w:t>
              </w:r>
            </w:hyperlink>
          </w:p>
        </w:tc>
      </w:tr>
    </w:tbl>
    <w:p w:rsidRPr="00C90660" w:rsidR="00C90660" w:rsidP="00C90660" w:rsidRDefault="00C90660" w14:paraId="67455B91" w14:textId="77777777">
      <w:pPr>
        <w:overflowPunct w:val="0"/>
        <w:autoSpaceDE w:val="0"/>
        <w:autoSpaceDN w:val="0"/>
        <w:adjustRightInd w:val="0"/>
        <w:ind w:left="567"/>
        <w:contextualSpacing/>
        <w:textAlignment w:val="baseline"/>
      </w:pPr>
    </w:p>
    <w:p w:rsidRPr="00DE78E2" w:rsidR="00F03155" w:rsidP="009120CD" w:rsidRDefault="00F03155" w14:paraId="3DDE566C" w14:textId="05213D9D">
      <w:pPr>
        <w:numPr>
          <w:ilvl w:val="0"/>
          <w:numId w:val="4"/>
        </w:numPr>
        <w:overflowPunct w:val="0"/>
        <w:autoSpaceDE w:val="0"/>
        <w:autoSpaceDN w:val="0"/>
        <w:adjustRightInd w:val="0"/>
        <w:ind w:left="567" w:hanging="567"/>
        <w:contextualSpacing/>
        <w:textAlignment w:val="baseline"/>
      </w:pPr>
      <w:r>
        <w:rPr>
          <w:b/>
          <w:i/>
          <w:iCs/>
          <w:sz w:val="28"/>
        </w:rPr>
        <w:t>FAST-CARE</w:t>
      </w:r>
    </w:p>
    <w:p w:rsidRPr="00F03155" w:rsidR="00DE78E2" w:rsidP="009120CD" w:rsidRDefault="00DE78E2" w14:paraId="6FE64B2C" w14:textId="77777777">
      <w:pPr>
        <w:overflowPunct w:val="0"/>
        <w:autoSpaceDE w:val="0"/>
        <w:autoSpaceDN w:val="0"/>
        <w:adjustRightInd w:val="0"/>
        <w:ind w:left="567"/>
        <w:contextualSpacing/>
        <w:textAlignment w:val="baseline"/>
      </w:pPr>
    </w:p>
    <w:tbl>
      <w:tblPr>
        <w:tblStyle w:val="TableGrid1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7098"/>
      </w:tblGrid>
      <w:tr w:rsidRPr="00F03155" w:rsidR="00F03155" w:rsidTr="0022731C" w14:paraId="0B0E096E" w14:textId="77777777">
        <w:tc>
          <w:tcPr>
            <w:tcW w:w="1657" w:type="dxa"/>
          </w:tcPr>
          <w:p w:rsidRPr="00F03155" w:rsidR="00F03155" w:rsidP="009120CD" w:rsidRDefault="00F03155" w14:paraId="15A63338" w14:textId="77777777">
            <w:pPr>
              <w:pStyle w:val="ListParagraph"/>
              <w:ind w:left="0"/>
              <w:rPr>
                <w:b/>
              </w:rPr>
            </w:pPr>
            <w:r>
              <w:rPr>
                <w:b/>
              </w:rPr>
              <w:t>Ziņotāja:</w:t>
            </w:r>
          </w:p>
          <w:p w:rsidRPr="00F03155" w:rsidR="00F03155" w:rsidP="009120CD" w:rsidRDefault="00F03155" w14:paraId="2407B7D9" w14:textId="77777777">
            <w:pPr>
              <w:contextualSpacing/>
              <w:rPr>
                <w:b/>
                <w:sz w:val="20"/>
                <w:szCs w:val="20"/>
              </w:rPr>
            </w:pPr>
          </w:p>
        </w:tc>
        <w:tc>
          <w:tcPr>
            <w:tcW w:w="7098" w:type="dxa"/>
          </w:tcPr>
          <w:p w:rsidRPr="00F03155" w:rsidR="00F03155" w:rsidP="00E00915" w:rsidRDefault="00DE78E2" w14:paraId="389D713D" w14:textId="472A911F">
            <w:pPr>
              <w:ind w:left="-108" w:right="-195"/>
              <w:contextualSpacing/>
            </w:pPr>
            <w:r>
              <w:t>Elena-</w:t>
            </w:r>
            <w:proofErr w:type="spellStart"/>
            <w:r>
              <w:t>Alexandra</w:t>
            </w:r>
            <w:proofErr w:type="spellEnd"/>
            <w:r>
              <w:t xml:space="preserve"> CALISTRU (Pilsoniskās sabiedrības organizāciju grupa – RO)</w:t>
            </w:r>
          </w:p>
        </w:tc>
      </w:tr>
      <w:tr w:rsidRPr="00F03155" w:rsidR="00E00915" w:rsidTr="0022731C" w14:paraId="32CEF64A" w14:textId="77777777">
        <w:tc>
          <w:tcPr>
            <w:tcW w:w="1657" w:type="dxa"/>
          </w:tcPr>
          <w:p w:rsidRPr="00F03155" w:rsidR="00E00915" w:rsidP="009120CD" w:rsidRDefault="00E00915" w14:paraId="0FDC2E72" w14:textId="59653AB2">
            <w:pPr>
              <w:pStyle w:val="ListParagraph"/>
              <w:ind w:left="0"/>
              <w:rPr>
                <w:b/>
              </w:rPr>
            </w:pPr>
            <w:r>
              <w:rPr>
                <w:b/>
              </w:rPr>
              <w:t>Atsauce:</w:t>
            </w:r>
          </w:p>
        </w:tc>
        <w:tc>
          <w:tcPr>
            <w:tcW w:w="7098" w:type="dxa"/>
          </w:tcPr>
          <w:p w:rsidRPr="00F03155" w:rsidR="00E00915" w:rsidP="00E00915" w:rsidRDefault="00E00915" w14:paraId="4D1FFECE" w14:textId="77777777">
            <w:pPr>
              <w:ind w:left="-56"/>
              <w:contextualSpacing/>
            </w:pPr>
            <w:r>
              <w:t>COM(2022) 325 </w:t>
            </w:r>
            <w:proofErr w:type="spellStart"/>
            <w:r>
              <w:t>final</w:t>
            </w:r>
            <w:proofErr w:type="spellEnd"/>
          </w:p>
          <w:p w:rsidRPr="00DE78E2" w:rsidR="00E00915" w:rsidP="00E00915" w:rsidRDefault="00E00915" w14:paraId="0CEE736E" w14:textId="5F7EF35C">
            <w:pPr>
              <w:ind w:left="-108" w:right="-195"/>
              <w:contextualSpacing/>
            </w:pPr>
            <w:r>
              <w:t>EESC-2022-03786-00-00-AC</w:t>
            </w:r>
          </w:p>
        </w:tc>
      </w:tr>
    </w:tbl>
    <w:p w:rsidRPr="00F03155" w:rsidR="00F03155" w:rsidP="009120CD" w:rsidRDefault="00F03155" w14:paraId="730CA6F7" w14:textId="77777777">
      <w:pPr>
        <w:contextualSpacing/>
        <w:rPr>
          <w:b/>
        </w:rPr>
      </w:pPr>
    </w:p>
    <w:p w:rsidRPr="00F03155" w:rsidR="00F03155" w:rsidP="009120CD" w:rsidRDefault="00F03155" w14:paraId="476E5800" w14:textId="77777777">
      <w:pPr>
        <w:pStyle w:val="ListParagraph"/>
        <w:ind w:left="0" w:firstLine="142"/>
        <w:rPr>
          <w:b/>
        </w:rPr>
      </w:pPr>
      <w:r>
        <w:rPr>
          <w:b/>
          <w:bCs/>
        </w:rPr>
        <w:t>Svarīgākie aspekti</w:t>
      </w:r>
    </w:p>
    <w:p w:rsidRPr="00F03155" w:rsidR="00F03155" w:rsidP="009120CD" w:rsidRDefault="00F03155" w14:paraId="6F32E505" w14:textId="77777777">
      <w:pPr>
        <w:contextualSpacing/>
      </w:pPr>
    </w:p>
    <w:p w:rsidRPr="0070677E" w:rsidR="00F03155" w:rsidP="009120CD" w:rsidRDefault="00F03155" w14:paraId="0E88D5AC" w14:textId="77777777">
      <w:pPr>
        <w:pStyle w:val="ListParagraph"/>
        <w:ind w:left="0" w:firstLine="142"/>
        <w:rPr>
          <w:bCs/>
        </w:rPr>
      </w:pPr>
      <w:r>
        <w:t>EESK:</w:t>
      </w:r>
    </w:p>
    <w:p w:rsidRPr="00F03155" w:rsidR="00F03155" w:rsidP="009120CD" w:rsidRDefault="00F03155" w14:paraId="3279EDD8" w14:textId="77777777">
      <w:pPr>
        <w:contextualSpacing/>
      </w:pPr>
    </w:p>
    <w:p w:rsidRPr="00F03155" w:rsidR="00DE78E2" w:rsidP="009120CD" w:rsidRDefault="00DE78E2" w14:paraId="2330E1DF" w14:textId="492A8CFE">
      <w:pPr>
        <w:numPr>
          <w:ilvl w:val="0"/>
          <w:numId w:val="3"/>
        </w:numPr>
        <w:ind w:left="357" w:hanging="357"/>
        <w:contextualSpacing/>
      </w:pPr>
      <w:r>
        <w:t xml:space="preserve">atzinīgi vērtē šo jauno visaptverošo pasākumu kopumu, kas paplašina saskaņā ar </w:t>
      </w:r>
      <w:r>
        <w:rPr>
          <w:i/>
          <w:iCs/>
        </w:rPr>
        <w:t>CARE</w:t>
      </w:r>
      <w:r>
        <w:t xml:space="preserve"> (kohēzijas rīcība bēgļu atbalstam Eiropā) jau sniegto atbalstu, nodrošinot vēl lielāku atbalstu un vairāk elastības kohēzijas politikas finansējuma izmantošanā;</w:t>
      </w:r>
    </w:p>
    <w:p w:rsidRPr="00F03155" w:rsidR="00F03155" w:rsidP="009120CD" w:rsidRDefault="00DE78E2" w14:paraId="27035279" w14:textId="0CA07A60">
      <w:pPr>
        <w:numPr>
          <w:ilvl w:val="0"/>
          <w:numId w:val="3"/>
        </w:numPr>
        <w:ind w:left="357" w:hanging="357"/>
        <w:contextualSpacing/>
      </w:pPr>
      <w:r>
        <w:t xml:space="preserve">atzīmē, ka neizprovocētais iebrukums, kas sākās 24. februārī, tieši un netieši ir izraisījis bēgļu skaita pastāvīgu pieaugumu; viņi ierodas visās dalībvalstīs, it īpaši pie ES robežām, tādēļ ir vajadzīga aktīvāka rīcība. Komiteja uzskata, ka </w:t>
      </w:r>
      <w:r>
        <w:rPr>
          <w:i/>
          <w:iCs/>
        </w:rPr>
        <w:t>FAST-CARE</w:t>
      </w:r>
      <w:r>
        <w:t xml:space="preserve"> dod iespēju reaģēt uz šiem apstākļiem, tāpēc tiek </w:t>
      </w:r>
      <w:r>
        <w:lastRenderedPageBreak/>
        <w:t>paredzēts gan papildu finansējums migrācijas problēmām, ko radījusi Krievijas militārā agresija, gan palīdzība, lai mazinātu negatīvo ietekmi, kuru rada kavēšanās ar projektu īstenošanu, kam ir vairāki iemesli, proti, Covid-19 un kara izraisītais enerģijas izmaksu pieaugums un izejvielu un darbaspēka trūkums;</w:t>
      </w:r>
    </w:p>
    <w:p w:rsidRPr="00F03155" w:rsidR="00F03155" w:rsidP="009120CD" w:rsidRDefault="00DE78E2" w14:paraId="457FA581" w14:textId="2BE970BD">
      <w:pPr>
        <w:numPr>
          <w:ilvl w:val="0"/>
          <w:numId w:val="3"/>
        </w:numPr>
        <w:ind w:left="357" w:hanging="357"/>
        <w:contextualSpacing/>
      </w:pPr>
      <w:r>
        <w:t>pastāvīgi ir uzsvērusi, ka nekavējoties un efektīvi ir jāreaģē, izmantojot visus iespējamos līdzekļus. Turpinot centienus vairot finansēšanas elastību, būtu jānodrošina visefektīvākā 2014.–2020. gada DFS paredzēto kohēzijas politikas ieguldījumu veikšana un arī 2021.–2027. gada programmu raita uzsākšana. Komiteja atzinīgi vērtē pagaidu iespēju kohēzijas politikas programmu īstenošanai piešķirt 100 % līdzfinansējumu no ES budžeta;</w:t>
      </w:r>
    </w:p>
    <w:p w:rsidRPr="00F03155" w:rsidR="00F03155" w:rsidP="009120CD" w:rsidRDefault="00DE78E2" w14:paraId="4CFD0C85" w14:textId="072664BD">
      <w:pPr>
        <w:numPr>
          <w:ilvl w:val="0"/>
          <w:numId w:val="3"/>
        </w:numPr>
        <w:ind w:left="357" w:hanging="357"/>
        <w:contextualSpacing/>
      </w:pPr>
      <w:r>
        <w:t>ļoti atzinīgi vērtē to, ka Komisija ir atzinusi smago slogu, kas tagad gulstas uz vietējām pašvaldībām un pilsoniskās sabiedrības organizācijām, kuras darbojas vietējās kopienās un risina Krievijas militārās agresijas izraisītās migrācijas problēmas. Komiteja atzinīgi vērtē noteikumu, ka attiecīgajās prioritātēs būtu jāparedz vismaz 30 % atbalsta līmenis vietējām pašvaldībām, sociālajiem partneriem un pilsoniskās sabiedrības organizācijām;</w:t>
      </w:r>
    </w:p>
    <w:p w:rsidRPr="00F03155" w:rsidR="00F03155" w:rsidP="009120CD" w:rsidRDefault="00DE78E2" w14:paraId="22D62F2C" w14:textId="03C80115">
      <w:pPr>
        <w:numPr>
          <w:ilvl w:val="0"/>
          <w:numId w:val="3"/>
        </w:numPr>
        <w:ind w:left="357" w:hanging="357"/>
        <w:contextualSpacing/>
      </w:pPr>
      <w:r>
        <w:t>uzskata, ka nevalstiskajām organizācijām un sociālajiem partneriem ir būtiska nozīme gan kā īstenotājorganizācijām, gan kā vērtīgiem partneriem šādu programmu īstenošanas uzraudzībā, un ir gatava veicināt plašākas debates Eiropas Savienībā vai Ukrainā par šādu pilsoniskās sabiedrības organizāciju un sociālo partneru iesaisti. Pilsoniskā sabiedrība ir pierādījusi, ka spēj ļoti efektīvi sniegt tūlītēju atbildi kara pirmajos posmos;</w:t>
      </w:r>
    </w:p>
    <w:p w:rsidRPr="00F03155" w:rsidR="00F03155" w:rsidP="009120CD" w:rsidRDefault="00DE78E2" w14:paraId="0DDC7132" w14:textId="2287633E">
      <w:pPr>
        <w:numPr>
          <w:ilvl w:val="0"/>
          <w:numId w:val="3"/>
        </w:numPr>
        <w:ind w:left="357" w:hanging="357"/>
        <w:contextualSpacing/>
      </w:pPr>
      <w:r>
        <w:t>atzinīgi vērtē Komisijas priekšlikumu atbrīvot dalībvalstis no nepieciešamības ievērot tematiskās koncentrācijas prasības attiecībā uz daudzgadu finanšu shēmu 2014.–2020. gadam, jo tas dod tām iespēju viena un tā paša fonda un reģionu kategorijas līdzekļus novirzīt starp vienas un tās pašas prioritātes tematiskajiem mērķiem, ņemot vērā straujās vietējā stāvokļa izmaiņas;</w:t>
      </w:r>
    </w:p>
    <w:p w:rsidR="00F03155" w:rsidP="009120CD" w:rsidRDefault="00DE78E2" w14:paraId="5CEF4635" w14:textId="3CED1F25">
      <w:pPr>
        <w:numPr>
          <w:ilvl w:val="0"/>
          <w:numId w:val="3"/>
        </w:numPr>
        <w:ind w:left="357" w:hanging="357"/>
        <w:contextualSpacing/>
      </w:pPr>
      <w:r>
        <w:t>pieņem zināšanai visaptverošu pasākumu klāstu, kurā ņemtas vērā gan vajadzības mikro-/individuālā līmenī, gan arī vajadzības makro-/dalībvalstu līmenī;</w:t>
      </w:r>
    </w:p>
    <w:p w:rsidR="00DE78E2" w:rsidP="009120CD" w:rsidRDefault="00DE78E2" w14:paraId="6FD09133" w14:textId="006FD926">
      <w:pPr>
        <w:numPr>
          <w:ilvl w:val="0"/>
          <w:numId w:val="3"/>
        </w:numPr>
        <w:ind w:left="357" w:hanging="357"/>
        <w:contextualSpacing/>
      </w:pPr>
      <w:r>
        <w:t>mudina Komisiju sadarboties ar dalībvalstīm, vietējām pašvaldībām un pilsonisko sabiedrību, lai likvidētu visu iespējamo nevajadzīgo administratīvo slogu un vienlaikus nodrošinātu pilnīgu pārredzamību tādu pasākumu plānošanā un īstenošanā, kuru mērķis ir novērst Ukrainas kara sekas. Komiteja arī uzsver, ka ir aktīvāk jāiesaista pilsoniskā sabiedrība un sociālie partneri;</w:t>
      </w:r>
    </w:p>
    <w:p w:rsidRPr="00F03155" w:rsidR="00DE78E2" w:rsidP="009120CD" w:rsidRDefault="00DE78E2" w14:paraId="69425749" w14:textId="1C84D522">
      <w:pPr>
        <w:numPr>
          <w:ilvl w:val="0"/>
          <w:numId w:val="3"/>
        </w:numPr>
        <w:ind w:left="357" w:hanging="357"/>
        <w:contextualSpacing/>
      </w:pPr>
      <w:r>
        <w:t>atzīst, ka visi iespējamie pasākumi būtu jāveic saskaņā ar pašreizējo daudzgadu finanšu shēmu (DFS). Šajā saistībā Komiteja atbalsta Komisijas ieceri grozīt DFS regulu, lai optimizētu atlikušo 2014.–2020. gada resursu izlietošanu un nodrošinātu netraucētu pāreju uz 2021.–2027. gada programmu.</w:t>
      </w:r>
    </w:p>
    <w:p w:rsidRPr="00F03155" w:rsidR="00F03155" w:rsidP="009120CD" w:rsidRDefault="00F03155" w14:paraId="2E113949" w14:textId="77777777"/>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A30B84" w:rsidR="00DE78E2" w:rsidTr="004E4367" w14:paraId="57694738" w14:textId="77777777">
        <w:tc>
          <w:tcPr>
            <w:tcW w:w="1418" w:type="dxa"/>
          </w:tcPr>
          <w:p w:rsidRPr="00A30B84" w:rsidR="00DE78E2" w:rsidP="009120CD" w:rsidRDefault="00DE78E2" w14:paraId="342E4F12" w14:textId="77777777">
            <w:pPr>
              <w:contextualSpacing/>
              <w:rPr>
                <w:i/>
              </w:rPr>
            </w:pPr>
            <w:r>
              <w:rPr>
                <w:b/>
                <w:i/>
              </w:rPr>
              <w:t>Kontaktpersona:</w:t>
            </w:r>
          </w:p>
        </w:tc>
        <w:tc>
          <w:tcPr>
            <w:tcW w:w="5670" w:type="dxa"/>
          </w:tcPr>
          <w:p w:rsidRPr="00A30B84" w:rsidR="00DE78E2" w:rsidP="009120CD" w:rsidRDefault="00DE78E2" w14:paraId="6F9C39FB" w14:textId="1069E97C">
            <w:pPr>
              <w:contextualSpacing/>
              <w:rPr>
                <w:i/>
              </w:rPr>
            </w:pPr>
            <w:proofErr w:type="spellStart"/>
            <w:r>
              <w:rPr>
                <w:i/>
              </w:rPr>
              <w:t>Georgeos</w:t>
            </w:r>
            <w:proofErr w:type="spellEnd"/>
            <w:r>
              <w:rPr>
                <w:i/>
              </w:rPr>
              <w:t xml:space="preserve"> </w:t>
            </w:r>
            <w:r w:rsidR="0022731C">
              <w:rPr>
                <w:i/>
              </w:rPr>
              <w:t>MELEAS</w:t>
            </w:r>
          </w:p>
        </w:tc>
      </w:tr>
      <w:tr w:rsidRPr="00A30B84" w:rsidR="00DE78E2" w:rsidTr="004E4367" w14:paraId="50545541" w14:textId="77777777">
        <w:tc>
          <w:tcPr>
            <w:tcW w:w="1418" w:type="dxa"/>
          </w:tcPr>
          <w:p w:rsidRPr="00A30B84" w:rsidR="00DE78E2" w:rsidP="009120CD" w:rsidRDefault="00DE78E2" w14:paraId="7CDE250D" w14:textId="77777777">
            <w:pPr>
              <w:ind w:left="601"/>
              <w:contextualSpacing/>
              <w:rPr>
                <w:i/>
              </w:rPr>
            </w:pPr>
            <w:r>
              <w:rPr>
                <w:i/>
              </w:rPr>
              <w:t>Tālr.:</w:t>
            </w:r>
          </w:p>
        </w:tc>
        <w:tc>
          <w:tcPr>
            <w:tcW w:w="5670" w:type="dxa"/>
          </w:tcPr>
          <w:p w:rsidRPr="00A30B84" w:rsidR="00DE78E2" w:rsidP="009120CD" w:rsidRDefault="00DE78E2" w14:paraId="714071A2" w14:textId="77777777">
            <w:pPr>
              <w:contextualSpacing/>
              <w:rPr>
                <w:i/>
              </w:rPr>
            </w:pPr>
            <w:r>
              <w:rPr>
                <w:i/>
              </w:rPr>
              <w:t>00 32 2 546 97 95</w:t>
            </w:r>
          </w:p>
        </w:tc>
      </w:tr>
      <w:tr w:rsidRPr="00A30B84" w:rsidR="00DE78E2" w:rsidTr="004E4367" w14:paraId="6918563B" w14:textId="77777777">
        <w:tc>
          <w:tcPr>
            <w:tcW w:w="1418" w:type="dxa"/>
          </w:tcPr>
          <w:p w:rsidRPr="00A30B84" w:rsidR="00DE78E2" w:rsidP="009120CD" w:rsidRDefault="00DE78E2" w14:paraId="4E576CC3" w14:textId="77777777">
            <w:pPr>
              <w:ind w:left="601"/>
              <w:contextualSpacing/>
              <w:rPr>
                <w:i/>
              </w:rPr>
            </w:pPr>
            <w:r>
              <w:rPr>
                <w:i/>
              </w:rPr>
              <w:t>E-pasts:</w:t>
            </w:r>
          </w:p>
        </w:tc>
        <w:tc>
          <w:tcPr>
            <w:tcW w:w="5670" w:type="dxa"/>
          </w:tcPr>
          <w:p w:rsidRPr="00E00915" w:rsidR="00DE78E2" w:rsidP="009120CD" w:rsidRDefault="0022731C" w14:paraId="5C133D02" w14:textId="607BB05A">
            <w:pPr>
              <w:spacing w:after="160"/>
              <w:jc w:val="left"/>
              <w:rPr>
                <w:i/>
                <w:iCs/>
              </w:rPr>
            </w:pPr>
            <w:hyperlink w:history="1" r:id="rId25">
              <w:r w:rsidR="0064748D">
                <w:rPr>
                  <w:rStyle w:val="Hyperlink"/>
                  <w:i/>
                </w:rPr>
                <w:t>Georgeos.Meleas@eesc.europa.eu</w:t>
              </w:r>
            </w:hyperlink>
          </w:p>
        </w:tc>
      </w:tr>
    </w:tbl>
    <w:p w:rsidR="00B44BB9" w:rsidP="009120CD" w:rsidRDefault="00B44BB9" w14:paraId="53EAD6FD" w14:textId="2B83735D">
      <w:pPr>
        <w:spacing w:after="160"/>
        <w:jc w:val="left"/>
      </w:pPr>
    </w:p>
    <w:p w:rsidR="00DE78E2" w:rsidP="009120CD" w:rsidRDefault="00DE78E2" w14:paraId="734687E4" w14:textId="2555E4C8">
      <w:pPr>
        <w:spacing w:after="160"/>
        <w:jc w:val="left"/>
      </w:pPr>
      <w:r>
        <w:br w:type="page"/>
      </w:r>
    </w:p>
    <w:p w:rsidRPr="009B70E7" w:rsidR="004D7AC0" w:rsidP="009120CD" w:rsidRDefault="004D7AC0" w14:paraId="73D829D0" w14:textId="77777777">
      <w:pPr>
        <w:pStyle w:val="Heading1"/>
        <w:rPr>
          <w:b/>
        </w:rPr>
      </w:pPr>
      <w:bookmarkStart w:name="_Toc75527081" w:id="7"/>
      <w:bookmarkStart w:name="_Toc116461960" w:id="8"/>
      <w:r>
        <w:rPr>
          <w:b/>
        </w:rPr>
        <w:lastRenderedPageBreak/>
        <w:t>NODARBINĀTĪBA, SOCIĀLĀS LIETAS UN PILSONISKUMS</w:t>
      </w:r>
      <w:bookmarkEnd w:id="7"/>
      <w:bookmarkEnd w:id="8"/>
    </w:p>
    <w:p w:rsidRPr="00DA2D88" w:rsidR="00775FDA" w:rsidP="009120CD" w:rsidRDefault="00775FDA" w14:paraId="46C917A8" w14:textId="77777777">
      <w:pPr>
        <w:jc w:val="left"/>
        <w:rPr>
          <w:b/>
        </w:rPr>
      </w:pPr>
    </w:p>
    <w:p w:rsidRPr="00DA2D88" w:rsidR="00DA608B" w:rsidP="009120CD" w:rsidRDefault="00B9776A" w14:paraId="2B9D750E" w14:textId="066598D1">
      <w:pPr>
        <w:pStyle w:val="ListParagraph"/>
        <w:numPr>
          <w:ilvl w:val="0"/>
          <w:numId w:val="2"/>
        </w:numPr>
        <w:ind w:left="567" w:hanging="567"/>
        <w:rPr>
          <w:i/>
          <w:sz w:val="28"/>
          <w:szCs w:val="28"/>
        </w:rPr>
      </w:pPr>
      <w:r>
        <w:rPr>
          <w:b/>
          <w:i/>
          <w:sz w:val="28"/>
        </w:rPr>
        <w:t>Enerģētiskās nabadzības mazināšana un Eiropas Savienības noturība </w:t>
      </w:r>
      <w:r w:rsidR="00801DC4">
        <w:rPr>
          <w:b/>
          <w:i/>
          <w:sz w:val="28"/>
        </w:rPr>
        <w:t>–</w:t>
      </w:r>
      <w:r>
        <w:rPr>
          <w:b/>
          <w:i/>
          <w:sz w:val="28"/>
        </w:rPr>
        <w:t xml:space="preserve"> ekonomiskie un sociālie izaicinājumi</w:t>
      </w:r>
    </w:p>
    <w:p w:rsidRPr="009B70E7" w:rsidR="00DA608B" w:rsidP="009120CD" w:rsidRDefault="00DA608B" w14:paraId="52A05893"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338"/>
      </w:tblGrid>
      <w:tr w:rsidRPr="009B70E7" w:rsidR="00DA608B" w:rsidTr="0022731C" w14:paraId="5CC43C80" w14:textId="77777777">
        <w:trPr>
          <w:trHeight w:val="309"/>
        </w:trPr>
        <w:tc>
          <w:tcPr>
            <w:tcW w:w="1701" w:type="dxa"/>
          </w:tcPr>
          <w:p w:rsidRPr="009B70E7" w:rsidR="000C43E2" w:rsidP="00E00915" w:rsidRDefault="00DA608B" w14:paraId="6C72EBF9" w14:textId="6B1AC637">
            <w:pPr>
              <w:pStyle w:val="ListParagraph"/>
              <w:ind w:left="0"/>
              <w:rPr>
                <w:b/>
              </w:rPr>
            </w:pPr>
            <w:r>
              <w:rPr>
                <w:b/>
              </w:rPr>
              <w:t>Ziņotājs:</w:t>
            </w:r>
          </w:p>
        </w:tc>
        <w:tc>
          <w:tcPr>
            <w:tcW w:w="7338" w:type="dxa"/>
          </w:tcPr>
          <w:p w:rsidRPr="009B70E7" w:rsidR="00DA608B" w:rsidP="00E00915" w:rsidRDefault="00B9776A" w14:paraId="42694D38" w14:textId="244AF80D">
            <w:pPr>
              <w:pStyle w:val="ListParagraph"/>
              <w:ind w:left="-105"/>
            </w:pPr>
            <w:proofErr w:type="spellStart"/>
            <w:r>
              <w:t>Ioannis</w:t>
            </w:r>
            <w:proofErr w:type="spellEnd"/>
            <w:r>
              <w:t xml:space="preserve"> VARDAKASTANIS (Pilsoniskās sabiedrības organizāciju grupa – EL)</w:t>
            </w:r>
          </w:p>
        </w:tc>
      </w:tr>
      <w:tr w:rsidRPr="009B70E7" w:rsidR="00E00915" w:rsidTr="0022731C" w14:paraId="16C62F4E" w14:textId="77777777">
        <w:trPr>
          <w:trHeight w:val="309"/>
        </w:trPr>
        <w:tc>
          <w:tcPr>
            <w:tcW w:w="1701" w:type="dxa"/>
          </w:tcPr>
          <w:p w:rsidRPr="009B70E7" w:rsidR="00E00915" w:rsidP="00E00915" w:rsidRDefault="00E00915" w14:paraId="5B3C303D" w14:textId="77777777">
            <w:pPr>
              <w:pStyle w:val="ListParagraph"/>
              <w:ind w:left="0"/>
              <w:rPr>
                <w:b/>
              </w:rPr>
            </w:pPr>
          </w:p>
        </w:tc>
        <w:tc>
          <w:tcPr>
            <w:tcW w:w="7338" w:type="dxa"/>
          </w:tcPr>
          <w:p w:rsidRPr="00B9776A" w:rsidR="00E00915" w:rsidP="00E00915" w:rsidRDefault="00E00915" w14:paraId="2F136994" w14:textId="77777777">
            <w:pPr>
              <w:pStyle w:val="ListParagraph"/>
              <w:ind w:left="-105"/>
              <w:rPr>
                <w:lang w:val="en-US"/>
              </w:rPr>
            </w:pPr>
          </w:p>
        </w:tc>
      </w:tr>
      <w:tr w:rsidRPr="009B70E7" w:rsidR="00DA608B" w:rsidTr="0022731C" w14:paraId="0AB50045" w14:textId="77777777">
        <w:trPr>
          <w:trHeight w:val="636"/>
        </w:trPr>
        <w:tc>
          <w:tcPr>
            <w:tcW w:w="1701" w:type="dxa"/>
          </w:tcPr>
          <w:p w:rsidRPr="00765C4F" w:rsidR="00DA608B" w:rsidP="009120CD" w:rsidRDefault="00DA608B" w14:paraId="6F51EE90" w14:textId="77777777">
            <w:pPr>
              <w:pStyle w:val="ListParagraph"/>
              <w:ind w:left="0"/>
              <w:rPr>
                <w:b/>
              </w:rPr>
            </w:pPr>
            <w:r>
              <w:rPr>
                <w:b/>
              </w:rPr>
              <w:t xml:space="preserve">Atsauce: </w:t>
            </w:r>
          </w:p>
        </w:tc>
        <w:tc>
          <w:tcPr>
            <w:tcW w:w="7338" w:type="dxa"/>
          </w:tcPr>
          <w:p w:rsidRPr="00765C4F" w:rsidR="00DA608B" w:rsidP="009120CD" w:rsidRDefault="00B9776A" w14:paraId="3539F204" w14:textId="47C6CDFF">
            <w:pPr>
              <w:pStyle w:val="ListParagraph"/>
              <w:ind w:left="-108"/>
            </w:pPr>
            <w:r>
              <w:t>Izpētes atzinums pēc Padomes prezidentvalsts Čehijas pieprasījuma</w:t>
            </w:r>
          </w:p>
          <w:p w:rsidRPr="00765C4F" w:rsidR="00DA608B" w:rsidP="009120CD" w:rsidRDefault="00DA2D88" w14:paraId="0B0645EB" w14:textId="0C3EBB6A">
            <w:pPr>
              <w:pStyle w:val="ListParagraph"/>
              <w:ind w:left="-108"/>
            </w:pPr>
            <w:r>
              <w:t>EESC-2022-00946-00-00-AC</w:t>
            </w:r>
          </w:p>
        </w:tc>
      </w:tr>
    </w:tbl>
    <w:p w:rsidRPr="009B70E7" w:rsidR="00DA608B" w:rsidP="009120CD" w:rsidRDefault="00DA608B" w14:paraId="5CD81DDF" w14:textId="77777777">
      <w:pPr>
        <w:pStyle w:val="ListParagraph"/>
        <w:ind w:left="0"/>
        <w:rPr>
          <w:b/>
        </w:rPr>
      </w:pPr>
    </w:p>
    <w:p w:rsidR="00C76C46" w:rsidP="009120CD" w:rsidRDefault="00DA608B" w14:paraId="69FEE6CD" w14:textId="11565318">
      <w:pPr>
        <w:pStyle w:val="ListParagraph"/>
        <w:ind w:left="0" w:firstLine="142"/>
        <w:rPr>
          <w:b/>
        </w:rPr>
      </w:pPr>
      <w:r>
        <w:rPr>
          <w:b/>
          <w:bCs/>
        </w:rPr>
        <w:t>Svarīgākie aspekti</w:t>
      </w:r>
    </w:p>
    <w:p w:rsidR="00C76C46" w:rsidP="009120CD" w:rsidRDefault="00C76C46" w14:paraId="72E92ACD" w14:textId="77777777">
      <w:pPr>
        <w:pStyle w:val="ListParagraph"/>
        <w:ind w:left="0"/>
        <w:rPr>
          <w:b/>
        </w:rPr>
      </w:pPr>
    </w:p>
    <w:p w:rsidRPr="0070677E" w:rsidR="00813A00" w:rsidP="009120CD" w:rsidRDefault="001B6460" w14:paraId="761BDCA0" w14:textId="77777777">
      <w:pPr>
        <w:pStyle w:val="ListParagraph"/>
        <w:ind w:left="0" w:firstLine="142"/>
        <w:rPr>
          <w:bCs/>
        </w:rPr>
      </w:pPr>
      <w:r>
        <w:t>EESK:</w:t>
      </w:r>
    </w:p>
    <w:p w:rsidR="00276CC9" w:rsidP="009120CD" w:rsidRDefault="00276CC9" w14:paraId="25EBE488" w14:textId="77777777">
      <w:pPr>
        <w:pStyle w:val="ListParagraph"/>
        <w:ind w:left="0"/>
      </w:pPr>
    </w:p>
    <w:p w:rsidR="00813A00" w:rsidP="009120CD" w:rsidRDefault="003C0E5B" w14:paraId="65AAF95D" w14:textId="23908928">
      <w:pPr>
        <w:pStyle w:val="ListParagraph"/>
        <w:numPr>
          <w:ilvl w:val="0"/>
          <w:numId w:val="3"/>
        </w:numPr>
        <w:ind w:left="357" w:hanging="357"/>
      </w:pPr>
      <w:r>
        <w:t xml:space="preserve">uzskata, ka </w:t>
      </w:r>
      <w:r>
        <w:rPr>
          <w:b/>
        </w:rPr>
        <w:t>vienlīdzīgai piekļuvei enerģijai un energoapgādes drošībai par pieņemamām cenām</w:t>
      </w:r>
      <w:r>
        <w:t xml:space="preserve"> ir jābūt Eiropas Savienības (ES) un tās dalībvalstu absolūtai prioritātei. Ir jāpieņem steidzami pasākumi, lai novērstu un apkarotu enerģētisko nabadzību, ar ko saskaras ES iedzīvotāji un patērētāji;</w:t>
      </w:r>
    </w:p>
    <w:p w:rsidR="00C76C46" w:rsidP="009120CD" w:rsidRDefault="003C0E5B" w14:paraId="6B2D5B52" w14:textId="1B6A05A3">
      <w:pPr>
        <w:pStyle w:val="ListParagraph"/>
        <w:numPr>
          <w:ilvl w:val="0"/>
          <w:numId w:val="3"/>
        </w:numPr>
        <w:ind w:left="357" w:hanging="357"/>
      </w:pPr>
      <w:r>
        <w:t xml:space="preserve">atzinīgi vērtē to, ka enerģētiskajai nabadzībai pievērsta liela nozīme ES iniciatīvās, tostarp tiesību aktos un politikā. Tomēr ES noturību varēs novērtēt tikai pēc tā, kā ES un dalībvalstis risinās </w:t>
      </w:r>
      <w:r>
        <w:rPr>
          <w:b/>
        </w:rPr>
        <w:t>kritiskās sociālās, vides un ekonomiskās problēmas</w:t>
      </w:r>
      <w:r>
        <w:t>, ar kurām saskaras tās iedzīvotāji un uzņēmumi;</w:t>
      </w:r>
    </w:p>
    <w:p w:rsidR="00C76C46" w:rsidP="009120CD" w:rsidRDefault="003C0E5B" w14:paraId="46154044" w14:textId="7DD9E7C5">
      <w:pPr>
        <w:pStyle w:val="ListParagraph"/>
        <w:numPr>
          <w:ilvl w:val="0"/>
          <w:numId w:val="3"/>
        </w:numPr>
        <w:ind w:left="357" w:hanging="357"/>
      </w:pPr>
      <w:r>
        <w:t xml:space="preserve">aicina izveidot </w:t>
      </w:r>
      <w:r>
        <w:rPr>
          <w:b/>
        </w:rPr>
        <w:t>plašu un vērienīgu politisko koalīciju</w:t>
      </w:r>
      <w:r>
        <w:t xml:space="preserve">, kas analizētu un risinātu enerģētiskās nabadzības problēmu, izmantojot holistisku pieeju, ar mērķi līdz 2030. gadam pēc iespējas samazināt enerģētisko nabadzību un ilgtermiņā to izbeigt pilnībā. Koalīcijas darbības būtu jāturpina attīstīt </w:t>
      </w:r>
      <w:r>
        <w:rPr>
          <w:b/>
        </w:rPr>
        <w:t>ES stratēģijā cīņai pret enerģētisko nabadzību</w:t>
      </w:r>
      <w:r>
        <w:t>;</w:t>
      </w:r>
    </w:p>
    <w:p w:rsidR="00C76C46" w:rsidP="009120CD" w:rsidRDefault="003C0E5B" w14:paraId="384F44B3" w14:textId="51A79B00">
      <w:pPr>
        <w:pStyle w:val="ListParagraph"/>
        <w:numPr>
          <w:ilvl w:val="0"/>
          <w:numId w:val="3"/>
        </w:numPr>
        <w:ind w:left="357" w:hanging="357"/>
      </w:pPr>
      <w:r>
        <w:t xml:space="preserve">aicina Komisiju mudināt dalībvalstis izstrādāt </w:t>
      </w:r>
      <w:r>
        <w:rPr>
          <w:b/>
        </w:rPr>
        <w:t>nacionālos plānus un politikas enerģētiskās nabadzības izskaušana</w:t>
      </w:r>
      <w:r>
        <w:t>i, integrējot un saskaņojot visus politikas un finansēšanas instrumentus ES un valstu līmenī;</w:t>
      </w:r>
    </w:p>
    <w:p w:rsidR="00C76C46" w:rsidP="009120CD" w:rsidRDefault="003C0E5B" w14:paraId="540B5241" w14:textId="20917A11">
      <w:pPr>
        <w:pStyle w:val="ListParagraph"/>
        <w:numPr>
          <w:ilvl w:val="0"/>
          <w:numId w:val="3"/>
        </w:numPr>
        <w:ind w:left="357" w:hanging="357"/>
      </w:pPr>
      <w:r>
        <w:t xml:space="preserve">mudina ES </w:t>
      </w:r>
      <w:r>
        <w:rPr>
          <w:b/>
        </w:rPr>
        <w:t>veicināt kopīgu pieeju enerģētiskajai nabadzība</w:t>
      </w:r>
      <w:r>
        <w:t>i, kas sniegtu konkrētu un kopīgu izpratni par enerģētisko nabadzību un ļautu vākt statistikas datus, ņemot vērā dalībvalstu atšķirības un īpatnības;</w:t>
      </w:r>
    </w:p>
    <w:p w:rsidR="001B6460" w:rsidP="009120CD" w:rsidRDefault="003C0E5B" w14:paraId="515F6F8A" w14:textId="082A317F">
      <w:pPr>
        <w:pStyle w:val="ListParagraph"/>
        <w:numPr>
          <w:ilvl w:val="0"/>
          <w:numId w:val="3"/>
        </w:numPr>
        <w:ind w:left="357" w:hanging="357"/>
      </w:pPr>
      <w:r>
        <w:t xml:space="preserve">aicina Komisiju un dalībvalstis turpināt koncentrēties uz </w:t>
      </w:r>
      <w:r>
        <w:rPr>
          <w:b/>
        </w:rPr>
        <w:t>nabadzības mazināšanu kopumā</w:t>
      </w:r>
      <w:r>
        <w:t>. Šī krīze ir atgādinājums par pastāvīgo vajadzību uzlabot piekļuvi nodarbinātībai, sociālajai iekļaušanai un pienācīgiem dzīves standartiem un atbalstīt dalībvalstu ekonomisko izaugsmi.</w:t>
      </w:r>
    </w:p>
    <w:p w:rsidRPr="009B70E7" w:rsidR="00DA2D88" w:rsidP="009120CD" w:rsidRDefault="00DA2D88" w14:paraId="1FD3A8FD" w14:textId="74C9FC15">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9B70E7" w:rsidR="00B9776A" w:rsidTr="004E4367" w14:paraId="6D2BB312" w14:textId="77777777">
        <w:tc>
          <w:tcPr>
            <w:tcW w:w="1418" w:type="dxa"/>
          </w:tcPr>
          <w:p w:rsidRPr="009B70E7" w:rsidR="00B9776A" w:rsidP="009120CD" w:rsidRDefault="00B9776A" w14:paraId="40C0D5DD" w14:textId="77777777">
            <w:pPr>
              <w:pStyle w:val="ListParagraph"/>
              <w:ind w:left="0"/>
              <w:rPr>
                <w:i/>
              </w:rPr>
            </w:pPr>
            <w:r>
              <w:rPr>
                <w:b/>
                <w:i/>
              </w:rPr>
              <w:t>Kontaktpersona:</w:t>
            </w:r>
          </w:p>
        </w:tc>
        <w:tc>
          <w:tcPr>
            <w:tcW w:w="5670" w:type="dxa"/>
          </w:tcPr>
          <w:p w:rsidRPr="009B70E7" w:rsidR="00B9776A" w:rsidP="009120CD" w:rsidRDefault="00B9776A" w14:paraId="40D958AD" w14:textId="72F9A36D">
            <w:pPr>
              <w:pStyle w:val="ListParagraph"/>
              <w:ind w:left="0"/>
              <w:rPr>
                <w:i/>
              </w:rPr>
            </w:pPr>
            <w:proofErr w:type="spellStart"/>
            <w:r>
              <w:rPr>
                <w:i/>
              </w:rPr>
              <w:t>Margherita</w:t>
            </w:r>
            <w:proofErr w:type="spellEnd"/>
            <w:r>
              <w:rPr>
                <w:i/>
              </w:rPr>
              <w:t xml:space="preserve"> </w:t>
            </w:r>
            <w:r w:rsidR="0022731C">
              <w:rPr>
                <w:i/>
              </w:rPr>
              <w:t>LOGRILLO</w:t>
            </w:r>
          </w:p>
        </w:tc>
      </w:tr>
      <w:tr w:rsidRPr="009B70E7" w:rsidR="00B9776A" w:rsidTr="004E4367" w14:paraId="10DFC57C" w14:textId="77777777">
        <w:tc>
          <w:tcPr>
            <w:tcW w:w="1418" w:type="dxa"/>
          </w:tcPr>
          <w:p w:rsidRPr="009B70E7" w:rsidR="00B9776A" w:rsidP="009120CD" w:rsidRDefault="00B9776A" w14:paraId="4081ABA8" w14:textId="77777777">
            <w:pPr>
              <w:pStyle w:val="ListParagraph"/>
              <w:ind w:left="601"/>
              <w:rPr>
                <w:i/>
              </w:rPr>
            </w:pPr>
            <w:r>
              <w:rPr>
                <w:i/>
              </w:rPr>
              <w:t>Tālr.:</w:t>
            </w:r>
          </w:p>
        </w:tc>
        <w:tc>
          <w:tcPr>
            <w:tcW w:w="5670" w:type="dxa"/>
          </w:tcPr>
          <w:p w:rsidRPr="009B70E7" w:rsidR="00B9776A" w:rsidP="009120CD" w:rsidRDefault="00B9776A" w14:paraId="49A31815" w14:textId="77777777">
            <w:pPr>
              <w:pStyle w:val="ListParagraph"/>
              <w:ind w:left="0"/>
              <w:rPr>
                <w:i/>
              </w:rPr>
            </w:pPr>
            <w:r>
              <w:rPr>
                <w:i/>
              </w:rPr>
              <w:t>00 32 2 546 90 99</w:t>
            </w:r>
          </w:p>
        </w:tc>
      </w:tr>
      <w:tr w:rsidRPr="001D770D" w:rsidR="00B9776A" w:rsidTr="004E4367" w14:paraId="328826DD" w14:textId="77777777">
        <w:tc>
          <w:tcPr>
            <w:tcW w:w="1418" w:type="dxa"/>
          </w:tcPr>
          <w:p w:rsidRPr="009B70E7" w:rsidR="00B9776A" w:rsidP="009120CD" w:rsidRDefault="00B9776A" w14:paraId="73A7D014" w14:textId="77777777">
            <w:pPr>
              <w:pStyle w:val="ListParagraph"/>
              <w:ind w:left="601"/>
              <w:rPr>
                <w:i/>
              </w:rPr>
            </w:pPr>
            <w:r>
              <w:rPr>
                <w:i/>
              </w:rPr>
              <w:t>E-pasts:</w:t>
            </w:r>
          </w:p>
        </w:tc>
        <w:tc>
          <w:tcPr>
            <w:tcW w:w="5670" w:type="dxa"/>
          </w:tcPr>
          <w:p w:rsidRPr="001D770D" w:rsidR="00B9776A" w:rsidP="009120CD" w:rsidRDefault="0022731C" w14:paraId="07E68BA6" w14:textId="77777777">
            <w:pPr>
              <w:pStyle w:val="ListParagraph"/>
              <w:ind w:left="0"/>
              <w:rPr>
                <w:i/>
              </w:rPr>
            </w:pPr>
            <w:hyperlink w:history="1" r:id="rId26">
              <w:r w:rsidR="0064748D">
                <w:rPr>
                  <w:rStyle w:val="Hyperlink"/>
                  <w:i/>
                </w:rPr>
                <w:t>Margherita.Logrillo@eesc.europa.eu</w:t>
              </w:r>
            </w:hyperlink>
          </w:p>
        </w:tc>
      </w:tr>
    </w:tbl>
    <w:p w:rsidRPr="00276CC9" w:rsidR="00276CC9" w:rsidP="009120CD" w:rsidRDefault="00276CC9" w14:paraId="187F194C" w14:textId="77777777">
      <w:pPr>
        <w:jc w:val="left"/>
        <w:rPr>
          <w:sz w:val="28"/>
        </w:rPr>
      </w:pPr>
    </w:p>
    <w:p w:rsidR="0022731C" w:rsidRDefault="0022731C" w14:paraId="34FFCAD9" w14:textId="77777777">
      <w:pPr>
        <w:spacing w:after="160" w:line="259" w:lineRule="auto"/>
        <w:jc w:val="left"/>
        <w:rPr>
          <w:b/>
          <w:i/>
          <w:sz w:val="28"/>
        </w:rPr>
      </w:pPr>
      <w:r>
        <w:rPr>
          <w:b/>
          <w:i/>
          <w:sz w:val="28"/>
        </w:rPr>
        <w:br w:type="page"/>
      </w:r>
    </w:p>
    <w:p w:rsidRPr="009B70E7" w:rsidR="00775FDA" w:rsidP="009120CD" w:rsidRDefault="003C0E5B" w14:paraId="6004B7F1" w14:textId="68238059">
      <w:pPr>
        <w:pStyle w:val="ListParagraph"/>
        <w:keepNext/>
        <w:numPr>
          <w:ilvl w:val="0"/>
          <w:numId w:val="2"/>
        </w:numPr>
        <w:ind w:left="567" w:hanging="567"/>
        <w:rPr>
          <w:b/>
          <w:i/>
          <w:sz w:val="28"/>
          <w:szCs w:val="28"/>
        </w:rPr>
      </w:pPr>
      <w:r>
        <w:rPr>
          <w:b/>
          <w:i/>
          <w:sz w:val="28"/>
        </w:rPr>
        <w:lastRenderedPageBreak/>
        <w:t>Veselības nozares darbinieku un veselības aprūpes stratēģija Eiropas nākotnei</w:t>
      </w:r>
    </w:p>
    <w:p w:rsidRPr="009B70E7" w:rsidR="00775FDA" w:rsidP="009120CD" w:rsidRDefault="00775FDA" w14:paraId="301189D8"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B44BB9" w:rsidTr="00E119DF" w14:paraId="5CC040D5" w14:textId="77777777">
        <w:trPr>
          <w:cantSplit/>
          <w:trHeight w:val="284" w:hRule="exact"/>
        </w:trPr>
        <w:tc>
          <w:tcPr>
            <w:tcW w:w="1701" w:type="dxa"/>
          </w:tcPr>
          <w:p w:rsidR="00B44BB9" w:rsidP="009120CD" w:rsidRDefault="00B44BB9" w14:paraId="2BE1EF86" w14:textId="77777777">
            <w:pPr>
              <w:pStyle w:val="ListParagraph"/>
              <w:ind w:left="0"/>
              <w:rPr>
                <w:b/>
              </w:rPr>
            </w:pPr>
            <w:r>
              <w:rPr>
                <w:b/>
              </w:rPr>
              <w:t>Ziņotājs:</w:t>
            </w:r>
          </w:p>
          <w:p w:rsidRPr="009B70E7" w:rsidR="00B44BB9" w:rsidP="009120CD" w:rsidRDefault="00B44BB9" w14:paraId="15AEA92C" w14:textId="77777777">
            <w:pPr>
              <w:pStyle w:val="ListParagraph"/>
              <w:keepNext/>
              <w:ind w:left="0"/>
              <w:rPr>
                <w:b/>
              </w:rPr>
            </w:pPr>
          </w:p>
        </w:tc>
        <w:tc>
          <w:tcPr>
            <w:tcW w:w="6096" w:type="dxa"/>
          </w:tcPr>
          <w:p w:rsidRPr="009B70E7" w:rsidR="00B44BB9" w:rsidP="009120CD" w:rsidRDefault="003C0E5B" w14:paraId="689CA704" w14:textId="1093F9D8">
            <w:pPr>
              <w:pStyle w:val="ListParagraph"/>
              <w:ind w:left="-52"/>
            </w:pPr>
            <w:proofErr w:type="spellStart"/>
            <w:r>
              <w:t>Danko</w:t>
            </w:r>
            <w:proofErr w:type="spellEnd"/>
            <w:r>
              <w:t xml:space="preserve"> RELIĆ (Pilsoniskās sabiedrības organizāciju grupa – HR)</w:t>
            </w:r>
          </w:p>
        </w:tc>
      </w:tr>
      <w:tr w:rsidRPr="009B70E7" w:rsidR="00C90660" w:rsidTr="00E119DF" w14:paraId="6A35FA8D" w14:textId="77777777">
        <w:trPr>
          <w:cantSplit/>
          <w:trHeight w:val="284" w:hRule="exact"/>
        </w:trPr>
        <w:tc>
          <w:tcPr>
            <w:tcW w:w="1701" w:type="dxa"/>
          </w:tcPr>
          <w:p w:rsidR="00C90660" w:rsidP="00C90660" w:rsidRDefault="00C90660" w14:paraId="096C4F3F" w14:textId="77777777">
            <w:pPr>
              <w:pStyle w:val="ListParagraph"/>
              <w:ind w:left="0"/>
              <w:rPr>
                <w:b/>
              </w:rPr>
            </w:pPr>
            <w:r>
              <w:rPr>
                <w:b/>
              </w:rPr>
              <w:t>Ziņotāja:</w:t>
            </w:r>
          </w:p>
          <w:p w:rsidRPr="009B70E7" w:rsidR="00C90660" w:rsidP="009120CD" w:rsidRDefault="00C90660" w14:paraId="0D562112" w14:textId="77777777">
            <w:pPr>
              <w:pStyle w:val="ListParagraph"/>
              <w:ind w:left="0"/>
              <w:rPr>
                <w:b/>
              </w:rPr>
            </w:pPr>
          </w:p>
        </w:tc>
        <w:tc>
          <w:tcPr>
            <w:tcW w:w="6096" w:type="dxa"/>
          </w:tcPr>
          <w:p w:rsidRPr="003C0E5B" w:rsidR="00C90660" w:rsidP="009120CD" w:rsidRDefault="00C90660" w14:paraId="3C3F79F2" w14:textId="301BE9C3">
            <w:pPr>
              <w:pStyle w:val="ListParagraph"/>
              <w:ind w:left="-52"/>
            </w:pPr>
            <w:proofErr w:type="spellStart"/>
            <w:r>
              <w:t>Zoe</w:t>
            </w:r>
            <w:proofErr w:type="spellEnd"/>
            <w:r>
              <w:t xml:space="preserve"> TZOTZE-LANARA (Darba ņēmēju grupa – EL)</w:t>
            </w:r>
          </w:p>
        </w:tc>
      </w:tr>
      <w:tr w:rsidRPr="009B70E7" w:rsidR="00E00915" w:rsidTr="00E119DF" w14:paraId="56507D22" w14:textId="77777777">
        <w:trPr>
          <w:cantSplit/>
          <w:trHeight w:val="284" w:hRule="exact"/>
        </w:trPr>
        <w:tc>
          <w:tcPr>
            <w:tcW w:w="1701" w:type="dxa"/>
          </w:tcPr>
          <w:p w:rsidRPr="009B70E7" w:rsidR="00E00915" w:rsidP="00C90660" w:rsidRDefault="00E00915" w14:paraId="196179EE" w14:textId="77777777">
            <w:pPr>
              <w:pStyle w:val="ListParagraph"/>
              <w:ind w:left="0"/>
              <w:rPr>
                <w:b/>
              </w:rPr>
            </w:pPr>
          </w:p>
        </w:tc>
        <w:tc>
          <w:tcPr>
            <w:tcW w:w="6096" w:type="dxa"/>
          </w:tcPr>
          <w:p w:rsidRPr="003C0E5B" w:rsidR="00E00915" w:rsidP="009120CD" w:rsidRDefault="00E00915" w14:paraId="4B8F5F86" w14:textId="77777777">
            <w:pPr>
              <w:pStyle w:val="ListParagraph"/>
              <w:ind w:left="-52"/>
            </w:pPr>
          </w:p>
        </w:tc>
      </w:tr>
      <w:tr w:rsidRPr="009B70E7" w:rsidR="00C90660" w:rsidTr="00E119DF" w14:paraId="4E58A2E6" w14:textId="77777777">
        <w:trPr>
          <w:cantSplit/>
          <w:trHeight w:val="284" w:hRule="exact"/>
        </w:trPr>
        <w:tc>
          <w:tcPr>
            <w:tcW w:w="1701" w:type="dxa"/>
          </w:tcPr>
          <w:p w:rsidRPr="009B70E7" w:rsidR="00C90660" w:rsidP="009120CD" w:rsidRDefault="00C90660" w14:paraId="7FAC2FDF" w14:textId="38BF887C">
            <w:pPr>
              <w:pStyle w:val="ListParagraph"/>
              <w:ind w:left="0"/>
              <w:rPr>
                <w:b/>
              </w:rPr>
            </w:pPr>
            <w:r>
              <w:rPr>
                <w:b/>
              </w:rPr>
              <w:t>Atsauce:</w:t>
            </w:r>
          </w:p>
        </w:tc>
        <w:tc>
          <w:tcPr>
            <w:tcW w:w="6096" w:type="dxa"/>
          </w:tcPr>
          <w:p w:rsidRPr="00E119DF" w:rsidR="00C90660" w:rsidP="00C90660" w:rsidRDefault="00C90660" w14:paraId="03789EBC" w14:textId="77777777">
            <w:pPr>
              <w:pStyle w:val="ListParagraph"/>
              <w:ind w:left="-52"/>
            </w:pPr>
            <w:r>
              <w:t>Pašiniciatīvas atzinums</w:t>
            </w:r>
          </w:p>
          <w:p w:rsidRPr="003C0E5B" w:rsidR="00C90660" w:rsidP="00C90660" w:rsidRDefault="00C90660" w14:paraId="0BB58915" w14:textId="456E360A">
            <w:pPr>
              <w:pStyle w:val="ListParagraph"/>
              <w:ind w:left="-52"/>
            </w:pPr>
            <w:r>
              <w:t>EESC-2022-01513-00-00-AC</w:t>
            </w:r>
          </w:p>
        </w:tc>
      </w:tr>
    </w:tbl>
    <w:p w:rsidR="00631509" w:rsidP="009120CD" w:rsidRDefault="00631509" w14:paraId="5534BE55" w14:textId="77777777">
      <w:pPr>
        <w:pStyle w:val="ListParagraph"/>
        <w:ind w:left="-142" w:firstLine="284"/>
        <w:rPr>
          <w:b/>
        </w:rPr>
      </w:pPr>
    </w:p>
    <w:p w:rsidRPr="0070677E" w:rsidR="00775FDA" w:rsidP="009120CD" w:rsidRDefault="00C76C46" w14:paraId="63769A52" w14:textId="3A0DA8C9">
      <w:pPr>
        <w:pStyle w:val="ListParagraph"/>
        <w:ind w:left="0" w:firstLine="142"/>
        <w:rPr>
          <w:b/>
        </w:rPr>
      </w:pPr>
      <w:r>
        <w:rPr>
          <w:b/>
          <w:bCs/>
        </w:rPr>
        <w:t>Svarīgākie aspekti</w:t>
      </w:r>
    </w:p>
    <w:p w:rsidRPr="009B70E7" w:rsidR="005475DA" w:rsidP="009120CD" w:rsidRDefault="005475DA" w14:paraId="580B14A7" w14:textId="77777777">
      <w:pPr>
        <w:pStyle w:val="ListParagraph"/>
        <w:ind w:left="0"/>
      </w:pPr>
    </w:p>
    <w:p w:rsidRPr="0070677E" w:rsidR="00775FDA" w:rsidP="009120CD" w:rsidRDefault="008946BF" w14:paraId="3C2434D8" w14:textId="77777777">
      <w:pPr>
        <w:pStyle w:val="ListParagraph"/>
        <w:ind w:left="0" w:firstLine="142"/>
        <w:rPr>
          <w:bCs/>
        </w:rPr>
      </w:pPr>
      <w:r>
        <w:t>EESK:</w:t>
      </w:r>
    </w:p>
    <w:p w:rsidRPr="009B70E7" w:rsidR="00775FDA" w:rsidP="009120CD" w:rsidRDefault="00775FDA" w14:paraId="540C04B4" w14:textId="77777777">
      <w:pPr>
        <w:pStyle w:val="ListParagraph"/>
        <w:ind w:left="0"/>
      </w:pPr>
    </w:p>
    <w:p w:rsidRPr="009B70E7" w:rsidR="00775FDA" w:rsidP="009120CD" w:rsidRDefault="005B5038" w14:paraId="3D89CE58" w14:textId="2EEF24E5">
      <w:pPr>
        <w:pStyle w:val="ListParagraph"/>
        <w:numPr>
          <w:ilvl w:val="0"/>
          <w:numId w:val="3"/>
        </w:numPr>
        <w:ind w:left="357" w:hanging="357"/>
      </w:pPr>
      <w:r>
        <w:t>aicina aprūpes jomā īstenot pārveidojošu pieeju, kas vērsta uz cilvēkiem, viņu tiesībām un vajadzībām, tostarp veicinot viņu līdzdalību attiecīgajās diskusijās, apspriedēs un lēmumos;</w:t>
      </w:r>
    </w:p>
    <w:p w:rsidR="00B92B86" w:rsidP="009120CD" w:rsidRDefault="005B5038" w14:paraId="6ABDD16B" w14:textId="6C5FD34E">
      <w:pPr>
        <w:pStyle w:val="ListParagraph"/>
        <w:numPr>
          <w:ilvl w:val="0"/>
          <w:numId w:val="3"/>
        </w:numPr>
        <w:ind w:left="357" w:hanging="357"/>
      </w:pPr>
      <w:r>
        <w:t>mudina Komisiju rīkoties vērienīgi un izstrādāt aprūpes stratēģiju, kas veselības aprūpē un ilgtermiņa aprūpē var veicināt kohēziju un augšupēju konverģenci starp dalībvalstīm un to iekšienē;</w:t>
      </w:r>
    </w:p>
    <w:p w:rsidR="00B61819" w:rsidP="009120CD" w:rsidRDefault="005B5038" w14:paraId="0F17F2B4" w14:textId="38CC9ECD">
      <w:pPr>
        <w:pStyle w:val="ListParagraph"/>
        <w:numPr>
          <w:ilvl w:val="0"/>
          <w:numId w:val="3"/>
        </w:numPr>
        <w:ind w:left="357" w:hanging="357"/>
      </w:pPr>
      <w:r>
        <w:t>ierosina ieviest Eiropas Aprūpes garantiju, lai nodrošinātu, ka ikvienam, kas dzīvo ES, visu mūžu ir pieejami kvalitatīvi veselības un aprūpes pakalpojumi par pieņemamu cenu. Šis instruments arī novērstu aprūpes trūkumu un veicinātu pienācīgus darba apstākļus aprūpētājiem, tostarp neoficiālajiem aprūpētājiem;</w:t>
      </w:r>
    </w:p>
    <w:p w:rsidR="00B61819" w:rsidP="009120CD" w:rsidRDefault="00756F3D" w14:paraId="24C6AE65" w14:textId="09FE615E">
      <w:pPr>
        <w:pStyle w:val="ListParagraph"/>
        <w:numPr>
          <w:ilvl w:val="0"/>
          <w:numId w:val="3"/>
        </w:numPr>
        <w:ind w:left="357" w:hanging="357"/>
      </w:pPr>
      <w:r>
        <w:t xml:space="preserve">tā kā efektīvi, </w:t>
      </w:r>
      <w:proofErr w:type="spellStart"/>
      <w:r>
        <w:t>pārskatatbildīgi</w:t>
      </w:r>
      <w:proofErr w:type="spellEnd"/>
      <w:r>
        <w:t xml:space="preserve"> un pienācīgi finansēti sabiedriskie pakalpojumi joprojām ir svarīgi, lai nodrošinātu vienlīdzīgu piekļuvi kvalitatīvai aprūpei, aicina Eiropas Savienību nodrošināt papildināmību un līdzsvaru starp publiskajiem un privātajiem aprūpes pakalpojumu sniedzējiem, pamatojoties uz solidaritāti, un veicināt un atbalstīt ieguldījumus sociālajā ekonomikā;</w:t>
      </w:r>
    </w:p>
    <w:p w:rsidR="00B61819" w:rsidP="009120CD" w:rsidRDefault="005B5038" w14:paraId="751D2BB6" w14:textId="5DB13D4E">
      <w:pPr>
        <w:pStyle w:val="ListParagraph"/>
        <w:numPr>
          <w:ilvl w:val="0"/>
          <w:numId w:val="3"/>
        </w:numPr>
        <w:ind w:left="357" w:hanging="357"/>
      </w:pPr>
      <w:r>
        <w:t>ierosina atjaunināt rīcības plānu veselības un aprūpes darbaspēkam Eiropas Savienībā, tostarp</w:t>
      </w:r>
      <w:r w:rsidRPr="005B5038">
        <w:rPr>
          <w:vertAlign w:val="superscript"/>
          <w:lang w:val="en-US"/>
        </w:rPr>
        <w:footnoteReference w:id="1"/>
      </w:r>
      <w:r>
        <w:t xml:space="preserve"> integrētu veselības aprūpes darbaspēka plānošanu un prognozēšanu un veselības un ilgtermiņa aprūpes darbaspēka prasmju atjaunināšanu, proti, izmantojot digitalizācijas piedāvātas iespējas;</w:t>
      </w:r>
    </w:p>
    <w:p w:rsidRPr="00AB5E6A" w:rsidR="00C92102" w:rsidP="009120CD" w:rsidRDefault="005B5038" w14:paraId="7B22C8D8" w14:textId="0349AF4A">
      <w:pPr>
        <w:pStyle w:val="ListParagraph"/>
        <w:numPr>
          <w:ilvl w:val="0"/>
          <w:numId w:val="3"/>
        </w:numPr>
        <w:ind w:left="357" w:hanging="357"/>
      </w:pPr>
      <w:r>
        <w:t>aicina izveidot Eiropas veselības aprūpes darbaspēka uzraudzības dienestu, lai palīdzētu dalībvalstīm izveidot un uzturēt plānošanas struktūras un koordinēt plānošanas pārrobežu aspektus. Tas būtu saistīts ar veselības aprūpes darbinieku tiesībām brīvi pārvietoties;</w:t>
      </w:r>
    </w:p>
    <w:p w:rsidRPr="009B70E7" w:rsidR="00AB5E6A" w:rsidP="009120CD" w:rsidRDefault="00AB5E6A" w14:paraId="3CD64D40" w14:textId="2DDDD6CE">
      <w:pPr>
        <w:pStyle w:val="ListParagraph"/>
        <w:numPr>
          <w:ilvl w:val="0"/>
          <w:numId w:val="3"/>
        </w:numPr>
        <w:ind w:left="357" w:hanging="357"/>
      </w:pPr>
      <w:r>
        <w:t>pauž pārliecību, ka sociālais dialogs, iesaistot valdības, darba devējus un darba ņēmējus un tos pārstāvošās organizācijas, ir svarīgs faktors, lai Eiropas Savienībā izveidotu pārveidojošu aprūpes stratēģiju un noturīgas veselības aprūpes sistēmas.</w:t>
      </w:r>
    </w:p>
    <w:p w:rsidRPr="009B70E7" w:rsidR="00775FDA" w:rsidP="009120CD" w:rsidRDefault="00775FDA" w14:paraId="007FFDAF"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9B70E7" w:rsidR="00B44BB9" w:rsidTr="008B66DD" w14:paraId="502899FB" w14:textId="77777777">
        <w:tc>
          <w:tcPr>
            <w:tcW w:w="1418" w:type="dxa"/>
          </w:tcPr>
          <w:p w:rsidRPr="009B70E7" w:rsidR="00B44BB9" w:rsidP="009120CD" w:rsidRDefault="00B44BB9" w14:paraId="4933D5C0" w14:textId="77777777">
            <w:pPr>
              <w:pStyle w:val="ListParagraph"/>
              <w:ind w:left="0"/>
              <w:rPr>
                <w:i/>
              </w:rPr>
            </w:pPr>
            <w:bookmarkStart w:name="_Hlk111620179" w:id="9"/>
            <w:r>
              <w:rPr>
                <w:b/>
                <w:i/>
              </w:rPr>
              <w:t>Kontaktpersona:</w:t>
            </w:r>
          </w:p>
        </w:tc>
        <w:tc>
          <w:tcPr>
            <w:tcW w:w="5670" w:type="dxa"/>
          </w:tcPr>
          <w:p w:rsidRPr="009B70E7" w:rsidR="00B44BB9" w:rsidP="009120CD" w:rsidRDefault="003C0E5B" w14:paraId="649C02E9" w14:textId="189DFF6B">
            <w:pPr>
              <w:pStyle w:val="ListParagraph"/>
              <w:ind w:left="0"/>
              <w:rPr>
                <w:i/>
              </w:rPr>
            </w:pPr>
            <w:proofErr w:type="spellStart"/>
            <w:r>
              <w:rPr>
                <w:i/>
              </w:rPr>
              <w:t>Valeria</w:t>
            </w:r>
            <w:proofErr w:type="spellEnd"/>
            <w:r>
              <w:rPr>
                <w:i/>
              </w:rPr>
              <w:t xml:space="preserve"> </w:t>
            </w:r>
            <w:r w:rsidR="0022731C">
              <w:rPr>
                <w:i/>
              </w:rPr>
              <w:t>ATZORI</w:t>
            </w:r>
          </w:p>
        </w:tc>
      </w:tr>
      <w:tr w:rsidRPr="009B70E7" w:rsidR="00B44BB9" w:rsidTr="008B66DD" w14:paraId="54638E70" w14:textId="77777777">
        <w:tc>
          <w:tcPr>
            <w:tcW w:w="1418" w:type="dxa"/>
          </w:tcPr>
          <w:p w:rsidRPr="009B70E7" w:rsidR="00B44BB9" w:rsidP="009120CD" w:rsidRDefault="00B44BB9" w14:paraId="40A81D42" w14:textId="77777777">
            <w:pPr>
              <w:pStyle w:val="ListParagraph"/>
              <w:ind w:left="601"/>
              <w:rPr>
                <w:i/>
              </w:rPr>
            </w:pPr>
            <w:r>
              <w:rPr>
                <w:i/>
              </w:rPr>
              <w:t>Tālr.:</w:t>
            </w:r>
          </w:p>
        </w:tc>
        <w:tc>
          <w:tcPr>
            <w:tcW w:w="5670" w:type="dxa"/>
          </w:tcPr>
          <w:p w:rsidRPr="009B70E7" w:rsidR="00B44BB9" w:rsidP="009120CD" w:rsidRDefault="00B44BB9" w14:paraId="0C77361C" w14:textId="19ECE6D4">
            <w:pPr>
              <w:pStyle w:val="ListParagraph"/>
              <w:ind w:left="0"/>
              <w:rPr>
                <w:i/>
              </w:rPr>
            </w:pPr>
            <w:r>
              <w:rPr>
                <w:i/>
              </w:rPr>
              <w:t>00 32 2 546 87 74</w:t>
            </w:r>
          </w:p>
        </w:tc>
      </w:tr>
      <w:tr w:rsidRPr="001D770D" w:rsidR="00B44BB9" w:rsidTr="008B66DD" w14:paraId="5FB79B0A" w14:textId="77777777">
        <w:tc>
          <w:tcPr>
            <w:tcW w:w="1418" w:type="dxa"/>
          </w:tcPr>
          <w:p w:rsidRPr="00C90660" w:rsidR="00B44BB9" w:rsidP="009120CD" w:rsidRDefault="00B44BB9" w14:paraId="0A5C365B" w14:textId="77777777">
            <w:pPr>
              <w:pStyle w:val="ListParagraph"/>
              <w:ind w:left="601"/>
              <w:rPr>
                <w:i/>
              </w:rPr>
            </w:pPr>
            <w:r>
              <w:rPr>
                <w:i/>
              </w:rPr>
              <w:t>E-pasts:</w:t>
            </w:r>
          </w:p>
        </w:tc>
        <w:tc>
          <w:tcPr>
            <w:tcW w:w="5670" w:type="dxa"/>
          </w:tcPr>
          <w:p w:rsidRPr="00C90660" w:rsidR="003C0E5B" w:rsidP="009120CD" w:rsidRDefault="0022731C" w14:paraId="0E9E0878" w14:textId="39E3A64C">
            <w:pPr>
              <w:pStyle w:val="ListParagraph"/>
              <w:ind w:left="0"/>
              <w:rPr>
                <w:i/>
                <w:color w:val="0000FF"/>
                <w:szCs w:val="20"/>
                <w:u w:val="single"/>
              </w:rPr>
            </w:pPr>
            <w:hyperlink w:history="1" r:id="rId27">
              <w:r w:rsidR="0064748D">
                <w:rPr>
                  <w:rStyle w:val="Hyperlink"/>
                  <w:i/>
                </w:rPr>
                <w:t>Valeria.Atzori@eesc.europa.eu</w:t>
              </w:r>
            </w:hyperlink>
          </w:p>
        </w:tc>
      </w:tr>
      <w:bookmarkEnd w:id="9"/>
    </w:tbl>
    <w:p w:rsidR="00E00915" w:rsidP="009120CD" w:rsidRDefault="00E00915" w14:paraId="7B3D6F59" w14:textId="77777777">
      <w:pPr>
        <w:spacing w:after="160"/>
        <w:jc w:val="left"/>
      </w:pPr>
    </w:p>
    <w:p w:rsidR="0022731C" w:rsidRDefault="0022731C" w14:paraId="4F2490AD" w14:textId="77777777">
      <w:pPr>
        <w:spacing w:after="160" w:line="259" w:lineRule="auto"/>
        <w:jc w:val="left"/>
        <w:rPr>
          <w:b/>
          <w:i/>
          <w:sz w:val="28"/>
        </w:rPr>
      </w:pPr>
      <w:bookmarkStart w:name="_Hlk111623342" w:id="10"/>
      <w:r>
        <w:rPr>
          <w:b/>
          <w:i/>
          <w:sz w:val="28"/>
        </w:rPr>
        <w:br w:type="page"/>
      </w:r>
    </w:p>
    <w:p w:rsidRPr="009B70E7" w:rsidR="00841374" w:rsidP="009120CD" w:rsidRDefault="004B2250" w14:paraId="2D6BD9B3" w14:textId="34FFA9DF">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lastRenderedPageBreak/>
        <w:t>ES jauniešu tests</w:t>
      </w:r>
    </w:p>
    <w:p w:rsidRPr="009B70E7" w:rsidR="00841374" w:rsidP="009120CD" w:rsidRDefault="00841374" w14:paraId="1D8B7907"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6106"/>
      </w:tblGrid>
      <w:tr w:rsidRPr="009B70E7" w:rsidR="008946BF" w:rsidTr="0022731C" w14:paraId="6EA9204F" w14:textId="77777777">
        <w:tc>
          <w:tcPr>
            <w:tcW w:w="1657" w:type="dxa"/>
          </w:tcPr>
          <w:p w:rsidRPr="00E00915" w:rsidR="008946BF" w:rsidP="009120CD" w:rsidRDefault="008946BF" w14:paraId="6D6B9B14" w14:textId="68DD58F1">
            <w:pPr>
              <w:pStyle w:val="ListParagraph"/>
              <w:ind w:left="0"/>
              <w:rPr>
                <w:b/>
              </w:rPr>
            </w:pPr>
            <w:r>
              <w:rPr>
                <w:b/>
              </w:rPr>
              <w:t>Ziņotāja:</w:t>
            </w:r>
          </w:p>
        </w:tc>
        <w:tc>
          <w:tcPr>
            <w:tcW w:w="6106" w:type="dxa"/>
          </w:tcPr>
          <w:p w:rsidRPr="009B70E7" w:rsidR="008946BF" w:rsidP="00C90660" w:rsidRDefault="004B2250" w14:paraId="4D16618C" w14:textId="693D43DB">
            <w:pPr>
              <w:pStyle w:val="ListParagraph"/>
              <w:ind w:left="-108" w:right="-195"/>
            </w:pPr>
            <w:r>
              <w:t>Katrīna LEITĀNE (Pilsoniskās sabiedrības organizāciju grupa – LV)</w:t>
            </w:r>
          </w:p>
        </w:tc>
      </w:tr>
      <w:tr w:rsidRPr="009B70E7" w:rsidR="00E00915" w:rsidTr="0022731C" w14:paraId="7193862C" w14:textId="77777777">
        <w:tc>
          <w:tcPr>
            <w:tcW w:w="1657" w:type="dxa"/>
          </w:tcPr>
          <w:p w:rsidRPr="009B70E7" w:rsidR="00E00915" w:rsidP="009120CD" w:rsidRDefault="00E00915" w14:paraId="642FE579" w14:textId="77777777">
            <w:pPr>
              <w:pStyle w:val="ListParagraph"/>
              <w:ind w:left="0"/>
              <w:rPr>
                <w:b/>
              </w:rPr>
            </w:pPr>
          </w:p>
        </w:tc>
        <w:tc>
          <w:tcPr>
            <w:tcW w:w="6106" w:type="dxa"/>
          </w:tcPr>
          <w:p w:rsidRPr="004B2250" w:rsidR="00E00915" w:rsidP="00C90660" w:rsidRDefault="00E00915" w14:paraId="1C833BA2" w14:textId="77777777">
            <w:pPr>
              <w:pStyle w:val="ListParagraph"/>
              <w:ind w:left="-108" w:right="-195"/>
              <w:rPr>
                <w:bCs/>
              </w:rPr>
            </w:pPr>
          </w:p>
        </w:tc>
      </w:tr>
      <w:tr w:rsidRPr="009B70E7" w:rsidR="00C90660" w:rsidTr="0022731C" w14:paraId="14B911E4" w14:textId="77777777">
        <w:tc>
          <w:tcPr>
            <w:tcW w:w="1657" w:type="dxa"/>
          </w:tcPr>
          <w:p w:rsidRPr="009B70E7" w:rsidR="00C90660" w:rsidP="009120CD" w:rsidRDefault="00C90660" w14:paraId="07EE90B1" w14:textId="1FA9A6DE">
            <w:pPr>
              <w:pStyle w:val="ListParagraph"/>
              <w:ind w:left="0"/>
              <w:rPr>
                <w:b/>
              </w:rPr>
            </w:pPr>
            <w:r>
              <w:rPr>
                <w:b/>
              </w:rPr>
              <w:t>Atsauce:</w:t>
            </w:r>
          </w:p>
        </w:tc>
        <w:tc>
          <w:tcPr>
            <w:tcW w:w="6106" w:type="dxa"/>
          </w:tcPr>
          <w:p w:rsidRPr="009B70E7" w:rsidR="00C90660" w:rsidP="00C90660" w:rsidRDefault="00C90660" w14:paraId="2ECAC1AE" w14:textId="77777777">
            <w:pPr>
              <w:pStyle w:val="ListParagraph"/>
              <w:ind w:left="-56"/>
            </w:pPr>
            <w:r>
              <w:t>Pašiniciatīvas atzinums</w:t>
            </w:r>
          </w:p>
          <w:p w:rsidRPr="004B2250" w:rsidR="00C90660" w:rsidP="00C90660" w:rsidRDefault="00C90660" w14:paraId="6631849B" w14:textId="3374FCF0">
            <w:pPr>
              <w:pStyle w:val="ListParagraph"/>
              <w:ind w:left="-108" w:right="-195"/>
              <w:rPr>
                <w:bCs/>
              </w:rPr>
            </w:pPr>
            <w:r>
              <w:t>EESC-2022-01524-00-00-AC</w:t>
            </w:r>
          </w:p>
        </w:tc>
      </w:tr>
    </w:tbl>
    <w:p w:rsidRPr="009B70E7" w:rsidR="00841374" w:rsidP="009120CD" w:rsidRDefault="00841374" w14:paraId="1CBC12AE" w14:textId="77777777">
      <w:pPr>
        <w:pStyle w:val="ListParagraph"/>
        <w:ind w:left="0"/>
        <w:rPr>
          <w:b/>
        </w:rPr>
      </w:pPr>
    </w:p>
    <w:p w:rsidRPr="00D85D67" w:rsidR="00841374" w:rsidP="009120CD" w:rsidRDefault="00841374" w14:paraId="76256836" w14:textId="77777777">
      <w:pPr>
        <w:pStyle w:val="ListParagraph"/>
        <w:ind w:left="0" w:firstLine="142"/>
        <w:rPr>
          <w:b/>
        </w:rPr>
      </w:pPr>
      <w:r>
        <w:rPr>
          <w:b/>
          <w:bCs/>
        </w:rPr>
        <w:t>Svarīgākie aspekti</w:t>
      </w:r>
    </w:p>
    <w:p w:rsidR="00841374" w:rsidP="009120CD" w:rsidRDefault="00841374" w14:paraId="141BD901" w14:textId="77777777">
      <w:pPr>
        <w:pStyle w:val="ListParagraph"/>
        <w:ind w:left="0"/>
      </w:pPr>
    </w:p>
    <w:p w:rsidRPr="0070677E" w:rsidR="001D770D" w:rsidP="009120CD" w:rsidRDefault="001D770D" w14:paraId="0B60B8BC" w14:textId="77777777">
      <w:pPr>
        <w:pStyle w:val="ListParagraph"/>
        <w:ind w:left="0" w:firstLine="142"/>
        <w:rPr>
          <w:bCs/>
        </w:rPr>
      </w:pPr>
      <w:r>
        <w:t>EESK:</w:t>
      </w:r>
    </w:p>
    <w:p w:rsidRPr="009B70E7" w:rsidR="001D770D" w:rsidP="009120CD" w:rsidRDefault="001D770D" w14:paraId="189BAEB6" w14:textId="77777777">
      <w:pPr>
        <w:pStyle w:val="ListParagraph"/>
        <w:ind w:left="0"/>
      </w:pPr>
    </w:p>
    <w:p w:rsidRPr="009B70E7" w:rsidR="00841374" w:rsidP="009120CD" w:rsidRDefault="00AB5E6A" w14:paraId="278A2840" w14:textId="382E32F9">
      <w:pPr>
        <w:pStyle w:val="ListParagraph"/>
        <w:numPr>
          <w:ilvl w:val="0"/>
          <w:numId w:val="3"/>
        </w:numPr>
        <w:ind w:left="357" w:hanging="357"/>
      </w:pPr>
      <w:r>
        <w:t xml:space="preserve">norāda, ka </w:t>
      </w:r>
      <w:r>
        <w:rPr>
          <w:b/>
        </w:rPr>
        <w:t>ir jāuzlabo jauniešu līdzdalība</w:t>
      </w:r>
      <w:r>
        <w:t>, risinot, piemēram, tādus jautājumus kā jauniešu demokrātiskās pārstāvības un jauniešu perspektīvas trūkums ārpus tradicionālās jaunatnes politikas;</w:t>
      </w:r>
    </w:p>
    <w:p w:rsidRPr="009B70E7" w:rsidR="00841374" w:rsidP="009120CD" w:rsidRDefault="00AB5E6A" w14:paraId="7A36F890" w14:textId="248FCC4D">
      <w:pPr>
        <w:pStyle w:val="ListParagraph"/>
        <w:numPr>
          <w:ilvl w:val="0"/>
          <w:numId w:val="3"/>
        </w:numPr>
        <w:ind w:left="357" w:hanging="357"/>
      </w:pPr>
      <w:r>
        <w:t xml:space="preserve">uzskata, ka </w:t>
      </w:r>
      <w:r>
        <w:rPr>
          <w:b/>
        </w:rPr>
        <w:t>izglītība</w:t>
      </w:r>
      <w:r>
        <w:t xml:space="preserve"> ir viens no efektīvākajiem veidiem, kā uzrunāt jauniešus, lai informētu viņus par iespējamajiem līdzdalības veidiem un Eiropas projekta pārstāvētajām vērtībām;</w:t>
      </w:r>
    </w:p>
    <w:p w:rsidRPr="009B70E7" w:rsidR="00B51B20" w:rsidP="009120CD" w:rsidRDefault="00AB5E6A" w14:paraId="29EA99EF" w14:textId="5E46C509">
      <w:pPr>
        <w:pStyle w:val="ListParagraph"/>
        <w:numPr>
          <w:ilvl w:val="0"/>
          <w:numId w:val="3"/>
        </w:numPr>
        <w:ind w:left="357" w:hanging="357"/>
      </w:pPr>
      <w:r>
        <w:t xml:space="preserve">mudina ES iestādes un dalībvalstis īstenot pasākumus un mehānismus, kas nodrošina, ka </w:t>
      </w:r>
      <w:r>
        <w:rPr>
          <w:b/>
        </w:rPr>
        <w:t>jaunatnes perspektīva tiek ņemta vērā ikvienā politikas jomā</w:t>
      </w:r>
      <w:r>
        <w:t>. Lai nākotnē garantētu Eiropas labklājību, visos līmeņos ir jāstiprina līdzdalība pilsoniskajā un demokrātiskajā dzīvē;</w:t>
      </w:r>
    </w:p>
    <w:p w:rsidR="001D770D" w:rsidP="009120CD" w:rsidRDefault="00AB5E6A" w14:paraId="76BBBF7F" w14:textId="040F957D">
      <w:pPr>
        <w:pStyle w:val="ListParagraph"/>
        <w:numPr>
          <w:ilvl w:val="0"/>
          <w:numId w:val="3"/>
        </w:numPr>
        <w:ind w:left="357" w:hanging="357"/>
      </w:pPr>
      <w:r>
        <w:t xml:space="preserve">uzskata, ka </w:t>
      </w:r>
      <w:r>
        <w:rPr>
          <w:b/>
        </w:rPr>
        <w:t>jauniešu līdzdalība politiskajos un lēmumu pieņemšanas procesos var palīdzēt uzlabot regulējumu un politiku</w:t>
      </w:r>
      <w:r>
        <w:t>. Ir jānodrošina piemēroti resursi jēgpilnai jauniešu līdzdalībai politikas veidošanā;</w:t>
      </w:r>
    </w:p>
    <w:p w:rsidRPr="00AB5E6A" w:rsidR="00B40093" w:rsidP="009120CD" w:rsidRDefault="00AB5E6A" w14:paraId="0E4FEF3C" w14:textId="5ACA3A1A">
      <w:pPr>
        <w:pStyle w:val="ListParagraph"/>
        <w:numPr>
          <w:ilvl w:val="0"/>
          <w:numId w:val="3"/>
        </w:numPr>
        <w:ind w:left="357" w:hanging="357"/>
      </w:pPr>
      <w:r>
        <w:t xml:space="preserve">uzskata, ka “ES jauniešu tests” </w:t>
      </w:r>
      <w:r>
        <w:rPr>
          <w:b/>
        </w:rPr>
        <w:t>būtu jāiekļauj labāka regulējuma rīkkopā kā atsevišķs instruments</w:t>
      </w:r>
      <w:r>
        <w:t>, jo nākamās paaudzes un jaunieši pelna īpašu uzmanību;</w:t>
      </w:r>
    </w:p>
    <w:p w:rsidRPr="00C65A95" w:rsidR="00AB5E6A" w:rsidP="009120CD" w:rsidRDefault="00C65A95" w14:paraId="1B23D70E" w14:textId="688B82C7">
      <w:pPr>
        <w:pStyle w:val="ListParagraph"/>
        <w:numPr>
          <w:ilvl w:val="0"/>
          <w:numId w:val="3"/>
        </w:numPr>
        <w:ind w:left="357" w:hanging="357"/>
      </w:pPr>
      <w:r>
        <w:t xml:space="preserve">norāda, ka </w:t>
      </w:r>
      <w:r>
        <w:rPr>
          <w:b/>
        </w:rPr>
        <w:t>“ES jauniešu testam”</w:t>
      </w:r>
      <w:r>
        <w:t xml:space="preserve"> vajadzētu nevis aizstāt saturīgu darbu ar jauniešiem kopumā, bet gan </w:t>
      </w:r>
      <w:r>
        <w:rPr>
          <w:b/>
        </w:rPr>
        <w:t>papildināt esošos līdzdalības mehānismus</w:t>
      </w:r>
      <w:r>
        <w:t xml:space="preserve">. Līdzdalības mehānismiem vajadzētu būt </w:t>
      </w:r>
      <w:r>
        <w:rPr>
          <w:b/>
        </w:rPr>
        <w:t>iekļaujošiem</w:t>
      </w:r>
      <w:r>
        <w:t xml:space="preserve">, un informācija par tiem būtu jāizplata tā, lai </w:t>
      </w:r>
      <w:r>
        <w:rPr>
          <w:b/>
        </w:rPr>
        <w:t>sasniegtu plašu sabiedrību</w:t>
      </w:r>
      <w:r>
        <w:t> </w:t>
      </w:r>
      <w:r w:rsidR="00801DC4">
        <w:t>–</w:t>
      </w:r>
      <w:r>
        <w:t xml:space="preserve"> arī tos, kurus ir grūti sasniegt;</w:t>
      </w:r>
    </w:p>
    <w:p w:rsidRPr="00C65A95" w:rsidR="00C65A95" w:rsidP="009120CD" w:rsidRDefault="00C65A95" w14:paraId="0DBF4CEA" w14:textId="2209DF4F">
      <w:pPr>
        <w:pStyle w:val="ListParagraph"/>
        <w:numPr>
          <w:ilvl w:val="0"/>
          <w:numId w:val="3"/>
        </w:numPr>
        <w:ind w:left="357" w:hanging="357"/>
      </w:pPr>
      <w:r>
        <w:t xml:space="preserve">piekrīt, ka </w:t>
      </w:r>
      <w:r>
        <w:rPr>
          <w:b/>
        </w:rPr>
        <w:t>pilsoniskās sabiedrības organizācijām var būt izšķiroša loma jauniešu iesaistīšanā</w:t>
      </w:r>
      <w:r>
        <w:t xml:space="preserve"> sabiedriskas nozīmes uzdevumu risināšanā, tātad arī viņu līdzdalībā politikas veidošanā un demokrātiskajā procesā;</w:t>
      </w:r>
    </w:p>
    <w:p w:rsidR="00C65A95" w:rsidP="009120CD" w:rsidRDefault="00C65A95" w14:paraId="6FC8968A" w14:textId="17044028">
      <w:pPr>
        <w:pStyle w:val="ListParagraph"/>
        <w:numPr>
          <w:ilvl w:val="0"/>
          <w:numId w:val="3"/>
        </w:numPr>
        <w:ind w:left="357" w:hanging="357"/>
      </w:pPr>
      <w:r>
        <w:t xml:space="preserve">centīsies </w:t>
      </w:r>
      <w:r>
        <w:rPr>
          <w:b/>
        </w:rPr>
        <w:t>uzlabot jauniešu un jaunatnes organizāciju iekšējo iesaisti</w:t>
      </w:r>
      <w:r>
        <w:t xml:space="preserve"> EESK darbā un turpinās </w:t>
      </w:r>
      <w:r>
        <w:rPr>
          <w:b/>
        </w:rPr>
        <w:t>meklēt veidus, kā piemērot “ES jauniešu testa” koncepciju</w:t>
      </w:r>
      <w:r>
        <w:t>, lai izstrādātu konsekventu pieeju jauniešu iesaistei Komitejā.</w:t>
      </w:r>
    </w:p>
    <w:p w:rsidRPr="009B70E7" w:rsidR="00841374" w:rsidP="009120CD" w:rsidRDefault="00841374" w14:paraId="3B0FA7A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9B70E7" w:rsidR="00841374" w:rsidTr="00841374" w14:paraId="50A403EE" w14:textId="77777777">
        <w:tc>
          <w:tcPr>
            <w:tcW w:w="1418" w:type="dxa"/>
          </w:tcPr>
          <w:p w:rsidRPr="009B70E7" w:rsidR="00841374" w:rsidP="009120CD" w:rsidRDefault="00841374" w14:paraId="629E9BA9" w14:textId="77777777">
            <w:pPr>
              <w:pStyle w:val="ListParagraph"/>
              <w:ind w:left="0"/>
              <w:rPr>
                <w:i/>
              </w:rPr>
            </w:pPr>
            <w:r>
              <w:rPr>
                <w:b/>
                <w:i/>
              </w:rPr>
              <w:t>Kontaktpersona:</w:t>
            </w:r>
          </w:p>
        </w:tc>
        <w:tc>
          <w:tcPr>
            <w:tcW w:w="5670" w:type="dxa"/>
          </w:tcPr>
          <w:p w:rsidRPr="009B70E7" w:rsidR="00841374" w:rsidP="009120CD" w:rsidRDefault="004B2250" w14:paraId="79C689DE" w14:textId="3C0D7758">
            <w:pPr>
              <w:pStyle w:val="ListParagraph"/>
              <w:ind w:left="0"/>
              <w:rPr>
                <w:i/>
              </w:rPr>
            </w:pPr>
            <w:proofErr w:type="spellStart"/>
            <w:r>
              <w:rPr>
                <w:i/>
              </w:rPr>
              <w:t>Sabrina</w:t>
            </w:r>
            <w:proofErr w:type="spellEnd"/>
            <w:r>
              <w:rPr>
                <w:i/>
              </w:rPr>
              <w:t xml:space="preserve"> </w:t>
            </w:r>
            <w:r w:rsidR="0022731C">
              <w:rPr>
                <w:i/>
              </w:rPr>
              <w:t>BORG</w:t>
            </w:r>
          </w:p>
        </w:tc>
      </w:tr>
      <w:tr w:rsidRPr="009B70E7" w:rsidR="00841374" w:rsidTr="00841374" w14:paraId="6334FCD6" w14:textId="77777777">
        <w:tc>
          <w:tcPr>
            <w:tcW w:w="1418" w:type="dxa"/>
          </w:tcPr>
          <w:p w:rsidRPr="009B70E7" w:rsidR="00841374" w:rsidP="009120CD" w:rsidRDefault="00841374" w14:paraId="3F37AC16" w14:textId="77777777">
            <w:pPr>
              <w:pStyle w:val="ListParagraph"/>
              <w:ind w:left="601"/>
              <w:rPr>
                <w:i/>
              </w:rPr>
            </w:pPr>
            <w:r>
              <w:rPr>
                <w:i/>
              </w:rPr>
              <w:t>Tālr.:</w:t>
            </w:r>
          </w:p>
        </w:tc>
        <w:tc>
          <w:tcPr>
            <w:tcW w:w="5670" w:type="dxa"/>
          </w:tcPr>
          <w:p w:rsidRPr="009B70E7" w:rsidR="00841374" w:rsidP="009120CD" w:rsidRDefault="00A06E9E" w14:paraId="55D18DAD" w14:textId="138B4C65">
            <w:pPr>
              <w:pStyle w:val="ListParagraph"/>
              <w:ind w:left="0"/>
              <w:rPr>
                <w:i/>
              </w:rPr>
            </w:pPr>
            <w:r>
              <w:rPr>
                <w:i/>
              </w:rPr>
              <w:t>00 32 2 546 97 27</w:t>
            </w:r>
          </w:p>
        </w:tc>
      </w:tr>
      <w:tr w:rsidRPr="001D770D" w:rsidR="00841374" w:rsidTr="00841374" w14:paraId="2EB3D256" w14:textId="77777777">
        <w:tc>
          <w:tcPr>
            <w:tcW w:w="1418" w:type="dxa"/>
          </w:tcPr>
          <w:p w:rsidRPr="009B70E7" w:rsidR="00841374" w:rsidP="009120CD" w:rsidRDefault="00841374" w14:paraId="02D49987" w14:textId="77777777">
            <w:pPr>
              <w:pStyle w:val="ListParagraph"/>
              <w:ind w:left="601"/>
              <w:rPr>
                <w:i/>
              </w:rPr>
            </w:pPr>
            <w:r>
              <w:rPr>
                <w:i/>
              </w:rPr>
              <w:t>E-pasts:</w:t>
            </w:r>
          </w:p>
        </w:tc>
        <w:tc>
          <w:tcPr>
            <w:tcW w:w="5670" w:type="dxa"/>
          </w:tcPr>
          <w:p w:rsidRPr="001D770D" w:rsidR="00841374" w:rsidP="009120CD" w:rsidRDefault="0022731C" w14:paraId="31128638" w14:textId="79D5B4F2">
            <w:pPr>
              <w:pStyle w:val="ListParagraph"/>
              <w:ind w:left="0"/>
              <w:rPr>
                <w:i/>
              </w:rPr>
            </w:pPr>
            <w:hyperlink w:history="1" r:id="rId28">
              <w:r w:rsidR="0064748D">
                <w:rPr>
                  <w:rStyle w:val="Hyperlink"/>
                </w:rPr>
                <w:t>Sabrina.Borg</w:t>
              </w:r>
              <w:r w:rsidR="0064748D">
                <w:rPr>
                  <w:rStyle w:val="Hyperlink"/>
                  <w:i/>
                </w:rPr>
                <w:t>@eesc.europa.eu</w:t>
              </w:r>
            </w:hyperlink>
          </w:p>
        </w:tc>
      </w:tr>
      <w:bookmarkEnd w:id="10"/>
    </w:tbl>
    <w:p w:rsidR="00276CC9" w:rsidP="009120CD" w:rsidRDefault="00276CC9" w14:paraId="5F1674CB" w14:textId="69AE4096">
      <w:pPr>
        <w:pStyle w:val="ListParagraph"/>
        <w:ind w:left="1134"/>
        <w:rPr>
          <w:sz w:val="28"/>
        </w:rPr>
      </w:pPr>
    </w:p>
    <w:p w:rsidR="0022731C" w:rsidRDefault="0022731C" w14:paraId="22A21E67" w14:textId="77777777">
      <w:pPr>
        <w:spacing w:after="160" w:line="259" w:lineRule="auto"/>
        <w:jc w:val="left"/>
        <w:rPr>
          <w:b/>
          <w:i/>
          <w:sz w:val="28"/>
        </w:rPr>
      </w:pPr>
      <w:bookmarkStart w:name="_Hlk113970131" w:id="11"/>
      <w:r>
        <w:rPr>
          <w:b/>
          <w:i/>
          <w:sz w:val="28"/>
        </w:rPr>
        <w:br w:type="page"/>
      </w:r>
    </w:p>
    <w:p w:rsidRPr="009B70E7" w:rsidR="004B2250" w:rsidP="009120CD" w:rsidRDefault="004B2250" w14:paraId="098AF87E" w14:textId="55F13C46">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lastRenderedPageBreak/>
        <w:t>Dalībvalstu nodarbinātības politikas pamatnostādnes</w:t>
      </w:r>
    </w:p>
    <w:p w:rsidRPr="009B70E7" w:rsidR="004B2250" w:rsidP="009120CD" w:rsidRDefault="004B2250" w14:paraId="336BB3EB"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5573"/>
      </w:tblGrid>
      <w:tr w:rsidRPr="009B70E7" w:rsidR="004B2250" w:rsidTr="004E4367" w14:paraId="38539BEE" w14:textId="77777777">
        <w:tc>
          <w:tcPr>
            <w:tcW w:w="1657" w:type="dxa"/>
          </w:tcPr>
          <w:p w:rsidR="004B2250" w:rsidP="009120CD" w:rsidRDefault="004B2250" w14:paraId="45E21669" w14:textId="77777777">
            <w:pPr>
              <w:pStyle w:val="ListParagraph"/>
              <w:ind w:left="0"/>
              <w:rPr>
                <w:b/>
              </w:rPr>
            </w:pPr>
            <w:r>
              <w:rPr>
                <w:b/>
              </w:rPr>
              <w:t>Ziņotāja:</w:t>
            </w:r>
          </w:p>
          <w:p w:rsidRPr="00F63F2A" w:rsidR="004B2250" w:rsidP="009120CD" w:rsidRDefault="004B2250" w14:paraId="0D82A465" w14:textId="77777777">
            <w:pPr>
              <w:pStyle w:val="ListParagraph"/>
              <w:ind w:left="0"/>
              <w:rPr>
                <w:b/>
                <w:sz w:val="20"/>
                <w:szCs w:val="20"/>
              </w:rPr>
            </w:pPr>
          </w:p>
        </w:tc>
        <w:tc>
          <w:tcPr>
            <w:tcW w:w="5573" w:type="dxa"/>
          </w:tcPr>
          <w:p w:rsidRPr="009B70E7" w:rsidR="004B2250" w:rsidP="00DB3219" w:rsidRDefault="004B2250" w14:paraId="03DC5FCB" w14:textId="68E683CE">
            <w:pPr>
              <w:pStyle w:val="ListParagraph"/>
              <w:ind w:left="-108" w:right="-195"/>
            </w:pPr>
            <w:proofErr w:type="spellStart"/>
            <w:r>
              <w:t>Mariya</w:t>
            </w:r>
            <w:proofErr w:type="spellEnd"/>
            <w:r>
              <w:t xml:space="preserve"> MINCHEVA (Darba devēju grupa – BG)</w:t>
            </w:r>
          </w:p>
        </w:tc>
      </w:tr>
      <w:tr w:rsidRPr="009B70E7" w:rsidR="00DB3219" w:rsidTr="004E4367" w14:paraId="06CCE92C" w14:textId="77777777">
        <w:tc>
          <w:tcPr>
            <w:tcW w:w="1657" w:type="dxa"/>
          </w:tcPr>
          <w:p w:rsidRPr="009B70E7" w:rsidR="00DB3219" w:rsidP="009120CD" w:rsidRDefault="00DB3219" w14:paraId="7524F7FA" w14:textId="065BC015">
            <w:pPr>
              <w:pStyle w:val="ListParagraph"/>
              <w:ind w:left="0"/>
              <w:rPr>
                <w:b/>
              </w:rPr>
            </w:pPr>
            <w:r>
              <w:rPr>
                <w:b/>
              </w:rPr>
              <w:t>Atsauce:</w:t>
            </w:r>
          </w:p>
        </w:tc>
        <w:tc>
          <w:tcPr>
            <w:tcW w:w="5573" w:type="dxa"/>
          </w:tcPr>
          <w:p w:rsidRPr="009B70E7" w:rsidR="00DB3219" w:rsidP="00DB3219" w:rsidRDefault="00DB3219" w14:paraId="75FC27EB" w14:textId="77777777">
            <w:pPr>
              <w:pStyle w:val="ListParagraph"/>
              <w:ind w:left="-56"/>
            </w:pPr>
            <w:r>
              <w:t>COM(2022) 241 </w:t>
            </w:r>
            <w:proofErr w:type="spellStart"/>
            <w:r>
              <w:t>final</w:t>
            </w:r>
            <w:proofErr w:type="spellEnd"/>
          </w:p>
          <w:p w:rsidRPr="00A04AFA" w:rsidR="00DB3219" w:rsidP="00DB3219" w:rsidRDefault="00DB3219" w14:paraId="264A2DD4" w14:textId="659469D7">
            <w:pPr>
              <w:pStyle w:val="ListParagraph"/>
              <w:ind w:left="-108" w:right="-195"/>
            </w:pPr>
            <w:r>
              <w:t>EESC-2022-03479-00-00-AC</w:t>
            </w:r>
          </w:p>
        </w:tc>
      </w:tr>
    </w:tbl>
    <w:p w:rsidRPr="009B70E7" w:rsidR="004B2250" w:rsidP="009120CD" w:rsidRDefault="004B2250" w14:paraId="56617586" w14:textId="77777777">
      <w:pPr>
        <w:pStyle w:val="ListParagraph"/>
        <w:ind w:left="0"/>
        <w:rPr>
          <w:b/>
        </w:rPr>
      </w:pPr>
    </w:p>
    <w:p w:rsidR="004B2250" w:rsidP="009120CD" w:rsidRDefault="004B2250" w14:paraId="6AD82CE8" w14:textId="22721BFB">
      <w:pPr>
        <w:pStyle w:val="ListParagraph"/>
        <w:ind w:left="0" w:firstLine="142"/>
        <w:rPr>
          <w:b/>
        </w:rPr>
      </w:pPr>
      <w:r>
        <w:rPr>
          <w:b/>
          <w:bCs/>
        </w:rPr>
        <w:t>Svarīgākie aspekti</w:t>
      </w:r>
    </w:p>
    <w:p w:rsidRPr="00C65A95" w:rsidR="00D91EA9" w:rsidP="009120CD" w:rsidRDefault="00D91EA9" w14:paraId="0EA81E8A" w14:textId="77777777">
      <w:pPr>
        <w:pStyle w:val="ListParagraph"/>
        <w:ind w:left="-142" w:firstLine="142"/>
        <w:rPr>
          <w:b/>
        </w:rPr>
      </w:pPr>
    </w:p>
    <w:p w:rsidRPr="0070677E" w:rsidR="004B2250" w:rsidP="009120CD" w:rsidRDefault="004B2250" w14:paraId="023FBE3D" w14:textId="77777777">
      <w:pPr>
        <w:pStyle w:val="ListParagraph"/>
        <w:ind w:left="0" w:firstLine="142"/>
        <w:rPr>
          <w:bCs/>
        </w:rPr>
      </w:pPr>
      <w:r>
        <w:t>EESK:</w:t>
      </w:r>
    </w:p>
    <w:p w:rsidRPr="009B70E7" w:rsidR="004B2250" w:rsidP="009120CD" w:rsidRDefault="004B2250" w14:paraId="6271EAAC" w14:textId="77777777">
      <w:pPr>
        <w:pStyle w:val="ListParagraph"/>
        <w:ind w:left="0"/>
      </w:pPr>
    </w:p>
    <w:p w:rsidRPr="009B70E7" w:rsidR="004B2250" w:rsidP="009120CD" w:rsidRDefault="00C65A95" w14:paraId="4744B163" w14:textId="1E797198">
      <w:pPr>
        <w:pStyle w:val="ListParagraph"/>
        <w:numPr>
          <w:ilvl w:val="0"/>
          <w:numId w:val="3"/>
        </w:numPr>
        <w:ind w:left="357" w:hanging="357"/>
      </w:pPr>
      <w:r>
        <w:t>uzskata, ka ierosinātās dalībvalstu nodarbinātības politikas pamatnostādnes ir piemērotas, jo ar tām tiek risināti visneatliekamākie darba tirgus jautājumi;</w:t>
      </w:r>
    </w:p>
    <w:p w:rsidRPr="009B70E7" w:rsidR="004B2250" w:rsidP="009120CD" w:rsidRDefault="00C65A95" w14:paraId="3155F8D5" w14:textId="2D843FBF">
      <w:pPr>
        <w:pStyle w:val="ListParagraph"/>
        <w:numPr>
          <w:ilvl w:val="0"/>
          <w:numId w:val="3"/>
        </w:numPr>
        <w:ind w:left="357" w:hanging="357"/>
      </w:pPr>
      <w:r>
        <w:t>vērš uzmanību uz pašreizējo arvien nestabilāko ģeopolitisko situāciju. Gaidāms, ka tās ietekme uz nākotnes pieprasījumu ietekmēs uzņēmumu lēmumus par ieguldījumiem un darbvietu drošību, kā arī aizkavēs ieguldījumu plānu īstenošanu gan privātajā, gan publiskajā sektorā. Vēl jo vairāk ir nepieciešams nodrošināt konkurētspējīgu bāzi ieguldījumu piesaistei. Dalībvalstīm būtu jāstrādā pie patiesi integrēta vienotā tirgus izveides un jāpalīdz MVU paplašināties;</w:t>
      </w:r>
    </w:p>
    <w:p w:rsidRPr="009B70E7" w:rsidR="004B2250" w:rsidP="009120CD" w:rsidRDefault="00C65A95" w14:paraId="4A37E35D" w14:textId="66033C02">
      <w:pPr>
        <w:pStyle w:val="ListParagraph"/>
        <w:numPr>
          <w:ilvl w:val="0"/>
          <w:numId w:val="3"/>
        </w:numPr>
        <w:ind w:left="357" w:hanging="357"/>
      </w:pPr>
      <w:r>
        <w:t>uzsver, ka ir jāveic pasākumi, lai stiprinātu gan sociālo partneru lomu, gan to līdzdalību nodarbinātības, sociālo un ekonomisko reformu un politikas izstrādē un īstenošanā, tai skaitā stiprinot to spējas;</w:t>
      </w:r>
    </w:p>
    <w:p w:rsidRPr="001D770D" w:rsidR="004B2250" w:rsidP="009120CD" w:rsidRDefault="00C65A95" w14:paraId="5D1A3469" w14:textId="17321E51">
      <w:pPr>
        <w:pStyle w:val="ListParagraph"/>
        <w:numPr>
          <w:ilvl w:val="0"/>
          <w:numId w:val="3"/>
        </w:numPr>
        <w:ind w:left="357" w:hanging="357"/>
      </w:pPr>
      <w:r>
        <w:t>norāda: tā kā darbaspēka trūkums atkal palielinās, būtu jāīsteno efektīvi pasākumi, lai mudinātu sociālos partnerus strādāt pie prasmju nodrošināšanas valsts līmenī, pielāgojot pasākumus atsevišķām nozarēm un vietējai situācijai;</w:t>
      </w:r>
    </w:p>
    <w:p w:rsidR="004B2250" w:rsidP="009120CD" w:rsidRDefault="00C65A95" w14:paraId="515980E0" w14:textId="6B64428E">
      <w:pPr>
        <w:pStyle w:val="ListParagraph"/>
        <w:numPr>
          <w:ilvl w:val="0"/>
          <w:numId w:val="3"/>
        </w:numPr>
        <w:ind w:left="357" w:hanging="357"/>
      </w:pPr>
      <w:r>
        <w:t>uzskata: lai novērstu strādājošo nabadzību, ir nepieciešams kombinēt dažādu politikas instrumentu pasākumus un pasākumus, kas ir apspriesti ar sociālajiem partneriem;</w:t>
      </w:r>
    </w:p>
    <w:p w:rsidR="004B2250" w:rsidP="009120CD" w:rsidRDefault="00C65A95" w14:paraId="71B1FE51" w14:textId="39532A76">
      <w:pPr>
        <w:pStyle w:val="ListParagraph"/>
        <w:numPr>
          <w:ilvl w:val="0"/>
          <w:numId w:val="3"/>
        </w:numPr>
        <w:ind w:left="357" w:hanging="357"/>
      </w:pPr>
      <w:r>
        <w:t xml:space="preserve">norāda, ka mērķēts atbalsts ir īpaši svarīgs ilgstošiem bezdarbniekiem un/vai ekonomiski neaktīviem cilvēkiem, jo tas palielina viņu izredzes ienākt (atgriezties) darba tirgū un ir svarīgs faktors darbvietas saglabāšanai. Tā kā pandēmija ir īpaši smagi </w:t>
      </w:r>
      <w:proofErr w:type="spellStart"/>
      <w:r>
        <w:t>skārusi</w:t>
      </w:r>
      <w:proofErr w:type="spellEnd"/>
      <w:r>
        <w:t xml:space="preserve"> jaunus cilvēkus, ir svarīgi īstenot jauniešiem pielāgotus, iekļaujošus un tālredzīgus politikas pasākumus, lai jaunieši netiktu atstāti novārtā;</w:t>
      </w:r>
    </w:p>
    <w:p w:rsidR="004B2250" w:rsidP="009120CD" w:rsidRDefault="00C65A95" w14:paraId="54766DAC" w14:textId="1A1BBF50">
      <w:pPr>
        <w:pStyle w:val="ListParagraph"/>
        <w:numPr>
          <w:ilvl w:val="0"/>
          <w:numId w:val="3"/>
        </w:numPr>
        <w:ind w:left="357" w:hanging="357"/>
      </w:pPr>
      <w:r>
        <w:t>uzsver: lai samazinātu neaktivitātes līmeni, ir jācenšas panākt, lai personas, kas atrodas ārpus darba tirgus, tajā atgrieztos;</w:t>
      </w:r>
    </w:p>
    <w:p w:rsidR="00C65A95" w:rsidP="009120CD" w:rsidRDefault="00C65A95" w14:paraId="35872D8A" w14:textId="162454BD">
      <w:pPr>
        <w:pStyle w:val="ListParagraph"/>
        <w:numPr>
          <w:ilvl w:val="0"/>
          <w:numId w:val="3"/>
        </w:numPr>
        <w:ind w:left="357" w:hanging="357"/>
      </w:pPr>
      <w:r>
        <w:t>atzīmē, ka joprojām ir svarīgi veikt pasākumus, lai mazinātu vīriešu un sieviešu darba samaksas atšķirību, un ir jāpievēršas šīs problēmas pamatcēloņiem. Priekšlikumam par Darba samaksas pārredzamības direktīvu, kas pašlaik tiek apspriests, būtu jāpalīdz stiprināt principa, saskaņā ar kuru vīriešiem un sievietēm, kas veic vienādi vērtīgu darbu, ir jāsaņem vienāda darba samaksa, piemērošanu, jo tas ir viens no vīriešu un sieviešu darba samaksas atšķirību novēršanas pasākumiem, bet vienlaikus nedrīkst aizmirst par uzņēmumiem, it īpaši maziem un vidējiem uzņēmumiem, uzlikto papildslogu.</w:t>
      </w:r>
    </w:p>
    <w:p w:rsidRPr="009B70E7" w:rsidR="004B2250" w:rsidP="009120CD" w:rsidRDefault="004B2250" w14:paraId="5D70F0C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9B70E7" w:rsidR="004B2250" w:rsidTr="004E4367" w14:paraId="7D2EEF5E" w14:textId="77777777">
        <w:tc>
          <w:tcPr>
            <w:tcW w:w="1418" w:type="dxa"/>
          </w:tcPr>
          <w:p w:rsidRPr="009B70E7" w:rsidR="004B2250" w:rsidP="009120CD" w:rsidRDefault="004B2250" w14:paraId="3B156896" w14:textId="77777777">
            <w:pPr>
              <w:pStyle w:val="ListParagraph"/>
              <w:ind w:left="0"/>
              <w:rPr>
                <w:i/>
              </w:rPr>
            </w:pPr>
            <w:r>
              <w:rPr>
                <w:b/>
                <w:i/>
              </w:rPr>
              <w:t>Kontaktpersona:</w:t>
            </w:r>
          </w:p>
        </w:tc>
        <w:tc>
          <w:tcPr>
            <w:tcW w:w="5670" w:type="dxa"/>
          </w:tcPr>
          <w:p w:rsidRPr="009B70E7" w:rsidR="004B2250" w:rsidP="009120CD" w:rsidRDefault="00C65A95" w14:paraId="3F5A1045" w14:textId="161916F5">
            <w:pPr>
              <w:pStyle w:val="ListParagraph"/>
              <w:ind w:left="0"/>
              <w:rPr>
                <w:i/>
              </w:rPr>
            </w:pPr>
            <w:proofErr w:type="spellStart"/>
            <w:r>
              <w:rPr>
                <w:i/>
                <w:iCs/>
              </w:rPr>
              <w:t>Triin</w:t>
            </w:r>
            <w:proofErr w:type="spellEnd"/>
            <w:r>
              <w:rPr>
                <w:i/>
                <w:iCs/>
              </w:rPr>
              <w:t xml:space="preserve"> </w:t>
            </w:r>
            <w:r w:rsidR="0022731C">
              <w:rPr>
                <w:i/>
                <w:iCs/>
              </w:rPr>
              <w:t>AASMAA</w:t>
            </w:r>
          </w:p>
        </w:tc>
      </w:tr>
      <w:tr w:rsidRPr="009B70E7" w:rsidR="004B2250" w:rsidTr="004E4367" w14:paraId="1C4430B0" w14:textId="77777777">
        <w:tc>
          <w:tcPr>
            <w:tcW w:w="1418" w:type="dxa"/>
          </w:tcPr>
          <w:p w:rsidRPr="009B70E7" w:rsidR="004B2250" w:rsidP="009120CD" w:rsidRDefault="004B2250" w14:paraId="0CA1F438" w14:textId="77777777">
            <w:pPr>
              <w:pStyle w:val="ListParagraph"/>
              <w:ind w:left="601"/>
              <w:rPr>
                <w:i/>
              </w:rPr>
            </w:pPr>
            <w:r>
              <w:rPr>
                <w:i/>
              </w:rPr>
              <w:t>Tālr.:</w:t>
            </w:r>
          </w:p>
        </w:tc>
        <w:tc>
          <w:tcPr>
            <w:tcW w:w="5670" w:type="dxa"/>
          </w:tcPr>
          <w:p w:rsidRPr="009B70E7" w:rsidR="004B2250" w:rsidP="009120CD" w:rsidRDefault="004B2250" w14:paraId="3C22C09E" w14:textId="40FB8E23">
            <w:pPr>
              <w:pStyle w:val="ListParagraph"/>
              <w:ind w:left="0"/>
              <w:rPr>
                <w:i/>
              </w:rPr>
            </w:pPr>
            <w:r>
              <w:rPr>
                <w:i/>
              </w:rPr>
              <w:t>00 32 2 546 95 24</w:t>
            </w:r>
          </w:p>
        </w:tc>
      </w:tr>
      <w:tr w:rsidRPr="001D770D" w:rsidR="004B2250" w:rsidTr="004E4367" w14:paraId="6DB6FAC2" w14:textId="77777777">
        <w:tc>
          <w:tcPr>
            <w:tcW w:w="1418" w:type="dxa"/>
          </w:tcPr>
          <w:p w:rsidRPr="009B70E7" w:rsidR="004B2250" w:rsidP="009120CD" w:rsidRDefault="004B2250" w14:paraId="7F0C87C1" w14:textId="77777777">
            <w:pPr>
              <w:pStyle w:val="ListParagraph"/>
              <w:ind w:left="601"/>
              <w:rPr>
                <w:i/>
              </w:rPr>
            </w:pPr>
            <w:r>
              <w:rPr>
                <w:i/>
              </w:rPr>
              <w:t>E-pasts:</w:t>
            </w:r>
          </w:p>
        </w:tc>
        <w:tc>
          <w:tcPr>
            <w:tcW w:w="5670" w:type="dxa"/>
          </w:tcPr>
          <w:p w:rsidRPr="001D770D" w:rsidR="004B2250" w:rsidP="009120CD" w:rsidRDefault="0022731C" w14:paraId="1EC103AE" w14:textId="5BD96B40">
            <w:pPr>
              <w:pStyle w:val="ListParagraph"/>
              <w:ind w:left="0"/>
              <w:rPr>
                <w:i/>
              </w:rPr>
            </w:pPr>
            <w:hyperlink w:history="1" r:id="rId29">
              <w:r w:rsidR="0064748D">
                <w:rPr>
                  <w:rStyle w:val="Hyperlink"/>
                  <w:i/>
                </w:rPr>
                <w:t xml:space="preserve"> Triin Aasmaa@eesc.europa.eu</w:t>
              </w:r>
            </w:hyperlink>
          </w:p>
        </w:tc>
      </w:tr>
      <w:bookmarkEnd w:id="11"/>
    </w:tbl>
    <w:p w:rsidRPr="00276CC9" w:rsidR="00971495" w:rsidP="009120CD" w:rsidRDefault="00971495" w14:paraId="7B8B76FE" w14:textId="77777777">
      <w:pPr>
        <w:spacing w:after="160"/>
        <w:jc w:val="left"/>
        <w:rPr>
          <w:sz w:val="28"/>
        </w:rPr>
      </w:pPr>
    </w:p>
    <w:p w:rsidR="0022731C" w:rsidRDefault="0022731C" w14:paraId="2D83CE5A" w14:textId="77777777">
      <w:pPr>
        <w:spacing w:after="160" w:line="259" w:lineRule="auto"/>
        <w:jc w:val="left"/>
        <w:rPr>
          <w:b/>
          <w:i/>
          <w:sz w:val="28"/>
        </w:rPr>
      </w:pPr>
      <w:r>
        <w:rPr>
          <w:b/>
          <w:i/>
          <w:sz w:val="28"/>
        </w:rPr>
        <w:br w:type="page"/>
      </w:r>
    </w:p>
    <w:p w:rsidRPr="00883682" w:rsidR="00883682" w:rsidP="009120CD" w:rsidRDefault="00883682" w14:paraId="5C1741C1" w14:textId="07BB0A39">
      <w:pPr>
        <w:pStyle w:val="ListParagraph"/>
        <w:numPr>
          <w:ilvl w:val="0"/>
          <w:numId w:val="4"/>
        </w:numPr>
        <w:overflowPunct w:val="0"/>
        <w:autoSpaceDE w:val="0"/>
        <w:autoSpaceDN w:val="0"/>
        <w:adjustRightInd w:val="0"/>
        <w:ind w:left="0" w:hanging="567"/>
        <w:textAlignment w:val="baseline"/>
      </w:pPr>
      <w:r>
        <w:rPr>
          <w:b/>
          <w:i/>
          <w:sz w:val="28"/>
        </w:rPr>
        <w:lastRenderedPageBreak/>
        <w:t>Pienācīgas kvalitātes nodarbinātība visā pasaulē</w:t>
      </w:r>
    </w:p>
    <w:p w:rsidRPr="009B70E7" w:rsidR="00883682" w:rsidP="009120CD" w:rsidRDefault="00883682" w14:paraId="045754EE" w14:textId="77777777">
      <w:pPr>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6707"/>
      </w:tblGrid>
      <w:tr w:rsidRPr="009B70E7" w:rsidR="00883682" w:rsidTr="00883682" w14:paraId="3DEE809C" w14:textId="77777777">
        <w:tc>
          <w:tcPr>
            <w:tcW w:w="1657" w:type="dxa"/>
          </w:tcPr>
          <w:p w:rsidR="00883682" w:rsidP="009120CD" w:rsidRDefault="00883682" w14:paraId="03427D08" w14:textId="77777777">
            <w:pPr>
              <w:pStyle w:val="ListParagraph"/>
              <w:ind w:left="0"/>
              <w:rPr>
                <w:b/>
              </w:rPr>
            </w:pPr>
            <w:r>
              <w:rPr>
                <w:b/>
              </w:rPr>
              <w:t>Ziņotāja:</w:t>
            </w:r>
          </w:p>
          <w:p w:rsidRPr="00F63F2A" w:rsidR="00883682" w:rsidP="009120CD" w:rsidRDefault="00883682" w14:paraId="28C34F4F" w14:textId="77777777">
            <w:pPr>
              <w:pStyle w:val="ListParagraph"/>
              <w:ind w:left="0"/>
              <w:rPr>
                <w:b/>
                <w:sz w:val="20"/>
                <w:szCs w:val="20"/>
              </w:rPr>
            </w:pPr>
          </w:p>
        </w:tc>
        <w:tc>
          <w:tcPr>
            <w:tcW w:w="6707" w:type="dxa"/>
          </w:tcPr>
          <w:p w:rsidRPr="009B70E7" w:rsidR="00883682" w:rsidP="00DB3219" w:rsidRDefault="00883682" w14:paraId="3EA0E7EF" w14:textId="6E5B682D">
            <w:pPr>
              <w:pStyle w:val="ListParagraph"/>
              <w:ind w:left="-108" w:right="-813"/>
            </w:pPr>
            <w:proofErr w:type="spellStart"/>
            <w:r>
              <w:t>Maria</w:t>
            </w:r>
            <w:proofErr w:type="spellEnd"/>
            <w:r>
              <w:t xml:space="preserve"> </w:t>
            </w:r>
            <w:proofErr w:type="spellStart"/>
            <w:r>
              <w:t>del</w:t>
            </w:r>
            <w:proofErr w:type="spellEnd"/>
            <w:r>
              <w:t xml:space="preserve"> </w:t>
            </w:r>
            <w:proofErr w:type="spellStart"/>
            <w:r>
              <w:t>Carmen</w:t>
            </w:r>
            <w:proofErr w:type="spellEnd"/>
            <w:r>
              <w:t xml:space="preserve"> BARRERA CHAMORRO (Darba ņēmēju grupa – ES)</w:t>
            </w:r>
          </w:p>
        </w:tc>
      </w:tr>
      <w:tr w:rsidRPr="009B70E7" w:rsidR="00DB3219" w:rsidTr="00883682" w14:paraId="24A3E796" w14:textId="77777777">
        <w:tc>
          <w:tcPr>
            <w:tcW w:w="1657" w:type="dxa"/>
          </w:tcPr>
          <w:p w:rsidRPr="009B70E7" w:rsidR="00DB3219" w:rsidP="009120CD" w:rsidRDefault="00F256CD" w14:paraId="28F38881" w14:textId="08257019">
            <w:pPr>
              <w:pStyle w:val="ListParagraph"/>
              <w:ind w:left="0"/>
              <w:rPr>
                <w:b/>
              </w:rPr>
            </w:pPr>
            <w:r>
              <w:rPr>
                <w:b/>
              </w:rPr>
              <w:t>Atsauce:</w:t>
            </w:r>
          </w:p>
        </w:tc>
        <w:tc>
          <w:tcPr>
            <w:tcW w:w="6707" w:type="dxa"/>
          </w:tcPr>
          <w:p w:rsidRPr="009B70E7" w:rsidR="00F256CD" w:rsidP="00F256CD" w:rsidRDefault="00F256CD" w14:paraId="7753FA50" w14:textId="77777777">
            <w:pPr>
              <w:pStyle w:val="ListParagraph"/>
              <w:ind w:left="-56"/>
            </w:pPr>
            <w:r>
              <w:t>COM(2022) 66 </w:t>
            </w:r>
            <w:proofErr w:type="spellStart"/>
            <w:r>
              <w:t>final</w:t>
            </w:r>
            <w:proofErr w:type="spellEnd"/>
          </w:p>
          <w:p w:rsidRPr="00A04AFA" w:rsidR="00DB3219" w:rsidP="00F256CD" w:rsidRDefault="00F256CD" w14:paraId="21C88505" w14:textId="6BB6B81C">
            <w:pPr>
              <w:pStyle w:val="ListParagraph"/>
              <w:ind w:left="-108" w:right="-813"/>
            </w:pPr>
            <w:r>
              <w:t>EESC-2022-01438-00-00-AC</w:t>
            </w:r>
          </w:p>
        </w:tc>
      </w:tr>
    </w:tbl>
    <w:p w:rsidRPr="009B70E7" w:rsidR="00883682" w:rsidP="009120CD" w:rsidRDefault="00883682" w14:paraId="57E40700" w14:textId="77777777">
      <w:pPr>
        <w:pStyle w:val="ListParagraph"/>
        <w:ind w:left="0"/>
        <w:rPr>
          <w:b/>
        </w:rPr>
      </w:pPr>
    </w:p>
    <w:p w:rsidR="00883682" w:rsidP="009120CD" w:rsidRDefault="00883682" w14:paraId="61ED65A9" w14:textId="32FB6FD2">
      <w:pPr>
        <w:pStyle w:val="ListParagraph"/>
        <w:ind w:left="0" w:firstLine="142"/>
        <w:rPr>
          <w:b/>
        </w:rPr>
      </w:pPr>
      <w:r>
        <w:rPr>
          <w:b/>
          <w:bCs/>
        </w:rPr>
        <w:t>Svarīgākie aspekti</w:t>
      </w:r>
    </w:p>
    <w:p w:rsidRPr="00C65A95" w:rsidR="00883682" w:rsidP="009120CD" w:rsidRDefault="00883682" w14:paraId="72FDA37A" w14:textId="77777777">
      <w:pPr>
        <w:pStyle w:val="ListParagraph"/>
        <w:ind w:left="-142" w:firstLine="142"/>
        <w:rPr>
          <w:b/>
        </w:rPr>
      </w:pPr>
    </w:p>
    <w:p w:rsidRPr="00027441" w:rsidR="00883682" w:rsidP="009120CD" w:rsidRDefault="00883682" w14:paraId="6B61FC5A" w14:textId="77777777">
      <w:pPr>
        <w:pStyle w:val="ListParagraph"/>
        <w:ind w:left="0" w:firstLine="142"/>
        <w:rPr>
          <w:bCs/>
        </w:rPr>
      </w:pPr>
      <w:r>
        <w:t>EESK:</w:t>
      </w:r>
    </w:p>
    <w:p w:rsidRPr="009B70E7" w:rsidR="00883682" w:rsidP="009120CD" w:rsidRDefault="00883682" w14:paraId="291B017B" w14:textId="77777777">
      <w:pPr>
        <w:pStyle w:val="ListParagraph"/>
        <w:ind w:left="0"/>
      </w:pPr>
    </w:p>
    <w:p w:rsidRPr="009B70E7" w:rsidR="00883682" w:rsidP="009120CD" w:rsidRDefault="00883682" w14:paraId="0DFF644A" w14:textId="04D88141">
      <w:pPr>
        <w:pStyle w:val="ListParagraph"/>
        <w:numPr>
          <w:ilvl w:val="0"/>
          <w:numId w:val="3"/>
        </w:numPr>
        <w:ind w:left="357" w:hanging="357"/>
      </w:pPr>
      <w:r>
        <w:t>uzsver, ka ir svarīgi, lai Komisija izstrādātu stratēģiju pienācīgas kvalitātes nodarbinātības veicināšanai ne tikai Eiropas Savienībā, bet arī visā pasaulē; atzinīgi vērtē to, ka jaunajā regulējumā aizliegums ievest Eiropas Savienībā produktus, kuru ražošanā ir izmantots piespiedu darbs, ir apvienots ar izpildes garantiju sistēmu, kas balstīta uz starptautiskiem standartiem un pienācīgas rūpības un pārredzamības pienākumiem. Tomēr Komiteja uzskata, ka Komisijai būtu jāveic tā ekonomiskās, sociālās un vides ietekmes novērtējums, it īpaši attiecībā uz MVU;</w:t>
      </w:r>
    </w:p>
    <w:p w:rsidRPr="009B70E7" w:rsidR="00883682" w:rsidP="009120CD" w:rsidRDefault="00883682" w14:paraId="19B71405" w14:textId="2399C096">
      <w:pPr>
        <w:pStyle w:val="ListParagraph"/>
        <w:numPr>
          <w:ilvl w:val="0"/>
          <w:numId w:val="3"/>
        </w:numPr>
        <w:ind w:left="357" w:hanging="357"/>
      </w:pPr>
      <w:r>
        <w:t>norāda, ka, neraugoties uz uzlabojumiem, daudziem cilvēkiem visā pasaulē joprojām nav nodrošināta pienācīgas kvalitātes nodarbinātība. EESK ir pārliecināta, ka ES ir jāturpina stiprināt savu sociāli atbildīga līdera lomu pasaulē, izmantojot un attīstot visus pieejamos instrumentus, to skaitā leģislatīvos instrumentus;</w:t>
      </w:r>
    </w:p>
    <w:p w:rsidR="00883682" w:rsidP="009120CD" w:rsidRDefault="00883682" w14:paraId="38B43A33" w14:textId="4C5624E2">
      <w:pPr>
        <w:pStyle w:val="ListParagraph"/>
        <w:numPr>
          <w:ilvl w:val="0"/>
          <w:numId w:val="3"/>
        </w:numPr>
        <w:ind w:left="357" w:hanging="357"/>
      </w:pPr>
      <w:r>
        <w:t>atzinīgi vērtē to, ka pienācīgas kvalitātes nodarbinātības veicināšanai visās nozarēs un darbības jomās paziņojumā ir piedāvāta vispārēja pieeja, kas vērsta uz visiem darba ņēmējiem valstu tirgos, trešās valstīs un globālajās piegādes ķēdēs. Eiropas Savienībai ir jāizmanto visas savas iekšējās un ārējās politikas, lai veicinātu un garantētu pienācīgas kvalitātes nodarbinātību visā pasaulē, izvirzot šo mērķi par ilgtspējīgas un iekļaujošas atveseļošanas un digitālās pārkārtošanās centrālo elementu;</w:t>
      </w:r>
    </w:p>
    <w:p w:rsidR="00883682" w:rsidP="009120CD" w:rsidRDefault="00883682" w14:paraId="52D702E3" w14:textId="0A2542AA">
      <w:pPr>
        <w:pStyle w:val="ListParagraph"/>
        <w:numPr>
          <w:ilvl w:val="0"/>
          <w:numId w:val="3"/>
        </w:numPr>
        <w:ind w:left="357" w:hanging="357"/>
      </w:pPr>
      <w:r>
        <w:t>mudina Komisiju izvērst konkrētus pienācīgas kvalitātes nodarbinātības principa aspektus, kuriem patlaban ir īpaša sociāla un ekonomiska nozīme, piemēram, neaizsargātāko iedzīvotāju grupu atstumtības riska novēršanu darba tirgū, nodarbinātības ilgtspēju zaļās pārkārtošanās apstākļos, dzimumu līdztiesību un nediskrimināciju;</w:t>
      </w:r>
    </w:p>
    <w:p w:rsidRPr="00883682" w:rsidR="00883682" w:rsidP="009120CD" w:rsidRDefault="00883682" w14:paraId="1D968F2A" w14:textId="0A14627D">
      <w:pPr>
        <w:pStyle w:val="ListParagraph"/>
        <w:numPr>
          <w:ilvl w:val="0"/>
          <w:numId w:val="3"/>
        </w:numPr>
        <w:ind w:left="357" w:hanging="357"/>
      </w:pPr>
      <w:r>
        <w:t>īpaši atzinīgi vērtē ES priekšlikumu izmantot tirdzniecības politiku kā instrumentu, kas mudinātu trešo valstu uzņēmumus ievērot starptautiskos darba standartus un veicināt pienācīgas kvalitātes nodarbinātību visās valstīs, to skaitā kaimiņvalstīs;</w:t>
      </w:r>
    </w:p>
    <w:p w:rsidRPr="00883682" w:rsidR="00883682" w:rsidP="009120CD" w:rsidRDefault="00883682" w14:paraId="4B130F68" w14:textId="6D17AF90">
      <w:pPr>
        <w:pStyle w:val="ListParagraph"/>
        <w:numPr>
          <w:ilvl w:val="0"/>
          <w:numId w:val="3"/>
        </w:numPr>
        <w:ind w:left="357" w:hanging="357"/>
      </w:pPr>
      <w:r>
        <w:t>atzinīgi vērtē priekšlikumu iekļaut mehānismus, ar kuriem novērtēt un pārbaudīt, cik lielā mērā ir ievērota direktīva par uzņēmumu pienācīgu rūpību attiecībā uz ilgtspēju. Tomēr Komiteja ar bažām norāda, ka ar bažām norāda, ka šajos mehānismos nav paredzēts sociālais dialogs ar sociālajiem partneriem, un tādēļ aicina Komisiju ierosinātajā tiesību aktā skaidri paredzēt šādus mehānismus;</w:t>
      </w:r>
    </w:p>
    <w:p w:rsidR="00883682" w:rsidP="009120CD" w:rsidRDefault="00883682" w14:paraId="40B70FEA" w14:textId="6385714E">
      <w:pPr>
        <w:pStyle w:val="ListParagraph"/>
        <w:numPr>
          <w:ilvl w:val="0"/>
          <w:numId w:val="3"/>
        </w:numPr>
        <w:ind w:left="357" w:hanging="357"/>
      </w:pPr>
      <w:r>
        <w:t>aicina ES atbalstīt saistošu ANO līgumu par uzņēmējdarbību un cilvēktiesībām, kā arī apsvērt iespēju izstrādāt SDO konvenciju par pienācīgas kvalitātes nodarbinātību piegādes ķēdēs.</w:t>
      </w:r>
    </w:p>
    <w:p w:rsidRPr="009B70E7" w:rsidR="00883682" w:rsidP="009120CD" w:rsidRDefault="00883682" w14:paraId="2F06EC6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9B70E7" w:rsidR="00883682" w:rsidTr="004E4367" w14:paraId="0BE9B506" w14:textId="77777777">
        <w:tc>
          <w:tcPr>
            <w:tcW w:w="1418" w:type="dxa"/>
          </w:tcPr>
          <w:p w:rsidRPr="009B70E7" w:rsidR="00883682" w:rsidP="009120CD" w:rsidRDefault="00883682" w14:paraId="37A7655C" w14:textId="77777777">
            <w:pPr>
              <w:pStyle w:val="ListParagraph"/>
              <w:ind w:left="0"/>
              <w:rPr>
                <w:i/>
              </w:rPr>
            </w:pPr>
            <w:r>
              <w:rPr>
                <w:b/>
                <w:i/>
              </w:rPr>
              <w:t>Kontaktpersona:</w:t>
            </w:r>
          </w:p>
        </w:tc>
        <w:tc>
          <w:tcPr>
            <w:tcW w:w="5670" w:type="dxa"/>
          </w:tcPr>
          <w:p w:rsidRPr="009B70E7" w:rsidR="00883682" w:rsidP="009120CD" w:rsidRDefault="00883682" w14:paraId="2BE85AA2" w14:textId="0BEDE3D4">
            <w:pPr>
              <w:pStyle w:val="ListParagraph"/>
              <w:ind w:left="0"/>
              <w:rPr>
                <w:i/>
              </w:rPr>
            </w:pPr>
            <w:proofErr w:type="spellStart"/>
            <w:r>
              <w:rPr>
                <w:i/>
              </w:rPr>
              <w:t>Gemma</w:t>
            </w:r>
            <w:proofErr w:type="spellEnd"/>
            <w:r>
              <w:rPr>
                <w:i/>
              </w:rPr>
              <w:t xml:space="preserve"> </w:t>
            </w:r>
            <w:r w:rsidR="0022731C">
              <w:rPr>
                <w:i/>
              </w:rPr>
              <w:t>AMRAN</w:t>
            </w:r>
          </w:p>
        </w:tc>
      </w:tr>
      <w:tr w:rsidRPr="009B70E7" w:rsidR="00883682" w:rsidTr="004E4367" w14:paraId="182F90C4" w14:textId="77777777">
        <w:tc>
          <w:tcPr>
            <w:tcW w:w="1418" w:type="dxa"/>
          </w:tcPr>
          <w:p w:rsidRPr="009B70E7" w:rsidR="00883682" w:rsidP="009120CD" w:rsidRDefault="00883682" w14:paraId="1FD25530" w14:textId="77777777">
            <w:pPr>
              <w:pStyle w:val="ListParagraph"/>
              <w:ind w:left="601"/>
              <w:rPr>
                <w:i/>
              </w:rPr>
            </w:pPr>
            <w:r>
              <w:rPr>
                <w:i/>
              </w:rPr>
              <w:t>Tālr.:</w:t>
            </w:r>
          </w:p>
        </w:tc>
        <w:tc>
          <w:tcPr>
            <w:tcW w:w="5670" w:type="dxa"/>
          </w:tcPr>
          <w:p w:rsidRPr="009B70E7" w:rsidR="00883682" w:rsidP="009120CD" w:rsidRDefault="00883682" w14:paraId="631ADA24" w14:textId="068DB606">
            <w:pPr>
              <w:pStyle w:val="ListParagraph"/>
              <w:ind w:left="0"/>
              <w:rPr>
                <w:i/>
              </w:rPr>
            </w:pPr>
            <w:r>
              <w:rPr>
                <w:i/>
              </w:rPr>
              <w:t>00 32 2 546 94 15</w:t>
            </w:r>
          </w:p>
        </w:tc>
      </w:tr>
      <w:tr w:rsidRPr="001D770D" w:rsidR="00883682" w:rsidTr="004E4367" w14:paraId="6EB42E83" w14:textId="77777777">
        <w:tc>
          <w:tcPr>
            <w:tcW w:w="1418" w:type="dxa"/>
          </w:tcPr>
          <w:p w:rsidRPr="009B70E7" w:rsidR="00883682" w:rsidP="009120CD" w:rsidRDefault="00883682" w14:paraId="73D16214" w14:textId="77777777">
            <w:pPr>
              <w:pStyle w:val="ListParagraph"/>
              <w:ind w:left="601"/>
              <w:rPr>
                <w:i/>
              </w:rPr>
            </w:pPr>
            <w:r>
              <w:rPr>
                <w:i/>
              </w:rPr>
              <w:t>E-pasts:</w:t>
            </w:r>
          </w:p>
        </w:tc>
        <w:tc>
          <w:tcPr>
            <w:tcW w:w="5670" w:type="dxa"/>
          </w:tcPr>
          <w:p w:rsidRPr="001D770D" w:rsidR="00883682" w:rsidP="009120CD" w:rsidRDefault="0022731C" w14:paraId="42AC7FEB" w14:textId="3A37B427">
            <w:pPr>
              <w:pStyle w:val="ListParagraph"/>
              <w:ind w:left="0"/>
              <w:rPr>
                <w:i/>
              </w:rPr>
            </w:pPr>
            <w:hyperlink w:history="1" r:id="rId30">
              <w:r w:rsidR="0064748D">
                <w:rPr>
                  <w:rStyle w:val="Hyperlink"/>
                  <w:i/>
                </w:rPr>
                <w:t xml:space="preserve"> Gemma.Amran@eesc.europa.eu</w:t>
              </w:r>
            </w:hyperlink>
          </w:p>
        </w:tc>
      </w:tr>
    </w:tbl>
    <w:p w:rsidR="00037A85" w:rsidP="009120CD" w:rsidRDefault="00037A85" w14:paraId="138A6A0C" w14:textId="77777777">
      <w:pPr>
        <w:spacing w:after="160"/>
        <w:jc w:val="left"/>
        <w:rPr>
          <w:sz w:val="28"/>
        </w:rPr>
      </w:pPr>
      <w:r>
        <w:br w:type="page"/>
      </w:r>
    </w:p>
    <w:p w:rsidRPr="00AD3DB1" w:rsidR="004D7AC0" w:rsidP="009120CD" w:rsidRDefault="004D7AC0" w14:paraId="13643C27" w14:textId="77777777">
      <w:pPr>
        <w:pStyle w:val="Heading1"/>
        <w:rPr>
          <w:b/>
        </w:rPr>
      </w:pPr>
      <w:bookmarkStart w:name="_Toc24617160" w:id="12"/>
      <w:bookmarkStart w:name="_Toc75527082" w:id="13"/>
      <w:bookmarkStart w:name="_Toc108435210" w:id="14"/>
      <w:bookmarkStart w:name="_Toc116461961" w:id="15"/>
      <w:r>
        <w:rPr>
          <w:b/>
        </w:rPr>
        <w:lastRenderedPageBreak/>
        <w:t>TRANSPORTS, ENERĢĒTIKA, INFRASTRUKTŪRA UN INFORMĀCIJAS SABIEDRĪBA</w:t>
      </w:r>
      <w:bookmarkEnd w:id="12"/>
      <w:bookmarkEnd w:id="13"/>
      <w:bookmarkEnd w:id="14"/>
      <w:bookmarkEnd w:id="15"/>
    </w:p>
    <w:p w:rsidRPr="00AD3DB1" w:rsidR="00961956" w:rsidP="009120CD" w:rsidRDefault="00961956" w14:paraId="07646FB3" w14:textId="77777777">
      <w:pPr>
        <w:pStyle w:val="ListParagraph"/>
        <w:ind w:left="0"/>
        <w:rPr>
          <w:lang w:val="en-US"/>
        </w:rPr>
      </w:pPr>
    </w:p>
    <w:p w:rsidRPr="00413EA0" w:rsidR="00961956" w:rsidP="009120CD" w:rsidRDefault="00413EA0" w14:paraId="331DDD1A" w14:textId="086F12C1">
      <w:pPr>
        <w:pStyle w:val="ListParagraph"/>
        <w:keepNext/>
        <w:numPr>
          <w:ilvl w:val="0"/>
          <w:numId w:val="2"/>
        </w:numPr>
        <w:ind w:left="567" w:hanging="567"/>
        <w:rPr>
          <w:rStyle w:val="Hyperlink"/>
          <w:b/>
          <w:i/>
          <w:color w:val="auto"/>
          <w:sz w:val="28"/>
          <w:szCs w:val="28"/>
          <w:u w:val="none"/>
        </w:rPr>
      </w:pPr>
      <w:bookmarkStart w:name="_Hlk111625863" w:id="16"/>
      <w:r>
        <w:rPr>
          <w:b/>
          <w:i/>
          <w:sz w:val="28"/>
        </w:rPr>
        <w:t>Publiskie ieguldījumi enerģētikas infrastruktūrā kā daļa no klimata pārmaiņu problēmu risinājuma</w:t>
      </w:r>
    </w:p>
    <w:p w:rsidRPr="00413EA0" w:rsidR="00413EA0" w:rsidP="009120CD" w:rsidRDefault="00413EA0" w14:paraId="075EF839" w14:textId="77777777">
      <w:pPr>
        <w:keepNext/>
        <w:rPr>
          <w:b/>
          <w:i/>
          <w:sz w:val="28"/>
          <w:szCs w:val="28"/>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413EA0" w:rsidTr="004E4367" w14:paraId="07C36F8A" w14:textId="77777777">
        <w:tc>
          <w:tcPr>
            <w:tcW w:w="1701" w:type="dxa"/>
          </w:tcPr>
          <w:p w:rsidRPr="009B70E7" w:rsidR="00413EA0" w:rsidP="009120CD" w:rsidRDefault="00413EA0" w14:paraId="5169BBBA" w14:textId="77777777">
            <w:pPr>
              <w:pStyle w:val="ListParagraph"/>
              <w:ind w:left="0"/>
              <w:rPr>
                <w:b/>
              </w:rPr>
            </w:pPr>
            <w:r>
              <w:rPr>
                <w:b/>
              </w:rPr>
              <w:t>Ziņotājs:</w:t>
            </w:r>
          </w:p>
        </w:tc>
        <w:tc>
          <w:tcPr>
            <w:tcW w:w="6096" w:type="dxa"/>
          </w:tcPr>
          <w:p w:rsidRPr="007E7A4F" w:rsidR="00413EA0" w:rsidP="009120CD" w:rsidRDefault="00413EA0" w14:paraId="6053BE96" w14:textId="11C0DB0A">
            <w:pPr>
              <w:pStyle w:val="ListParagraph"/>
              <w:ind w:left="-108"/>
            </w:pPr>
            <w:proofErr w:type="spellStart"/>
            <w:r>
              <w:t>Thomas</w:t>
            </w:r>
            <w:proofErr w:type="spellEnd"/>
            <w:r>
              <w:t xml:space="preserve"> KATTNIG (Darba ņēmēju grupa – AT)</w:t>
            </w:r>
          </w:p>
        </w:tc>
      </w:tr>
      <w:tr w:rsidRPr="00A74B4C" w:rsidR="00413EA0" w:rsidTr="004E4367" w14:paraId="30FC10A5" w14:textId="77777777">
        <w:tc>
          <w:tcPr>
            <w:tcW w:w="1701" w:type="dxa"/>
          </w:tcPr>
          <w:p w:rsidRPr="009B70E7" w:rsidR="00413EA0" w:rsidP="009120CD" w:rsidRDefault="00413EA0" w14:paraId="6F9ABBF3" w14:textId="77777777">
            <w:pPr>
              <w:pStyle w:val="ListParagraph"/>
              <w:keepNext/>
              <w:ind w:left="0"/>
              <w:rPr>
                <w:b/>
              </w:rPr>
            </w:pPr>
            <w:r>
              <w:rPr>
                <w:b/>
              </w:rPr>
              <w:t>Līdzziņotājs:</w:t>
            </w:r>
          </w:p>
        </w:tc>
        <w:tc>
          <w:tcPr>
            <w:tcW w:w="6096" w:type="dxa"/>
          </w:tcPr>
          <w:p w:rsidRPr="00A74B4C" w:rsidR="00413EA0" w:rsidP="009120CD" w:rsidRDefault="00413EA0" w14:paraId="1E2949AC" w14:textId="3EB2891A">
            <w:pPr>
              <w:pStyle w:val="ListParagraph"/>
              <w:ind w:left="-108"/>
            </w:pPr>
            <w:proofErr w:type="spellStart"/>
            <w:r>
              <w:t>Lutz</w:t>
            </w:r>
            <w:proofErr w:type="spellEnd"/>
            <w:r>
              <w:t> RIBBE (Pilsoniskās sabiedrības organizāciju grupa)</w:t>
            </w:r>
          </w:p>
        </w:tc>
      </w:tr>
      <w:tr w:rsidRPr="00A74B4C" w:rsidR="00E00915" w:rsidTr="004E4367" w14:paraId="28E98AC7" w14:textId="77777777">
        <w:tc>
          <w:tcPr>
            <w:tcW w:w="1701" w:type="dxa"/>
          </w:tcPr>
          <w:p w:rsidRPr="00027441" w:rsidR="00E00915" w:rsidP="009120CD" w:rsidRDefault="00E00915" w14:paraId="52494427" w14:textId="77777777">
            <w:pPr>
              <w:pStyle w:val="ListParagraph"/>
              <w:keepNext/>
              <w:ind w:left="0"/>
              <w:rPr>
                <w:b/>
              </w:rPr>
            </w:pPr>
          </w:p>
        </w:tc>
        <w:tc>
          <w:tcPr>
            <w:tcW w:w="6096" w:type="dxa"/>
          </w:tcPr>
          <w:p w:rsidR="00E00915" w:rsidP="009120CD" w:rsidRDefault="00E00915" w14:paraId="5FC8797D" w14:textId="77777777">
            <w:pPr>
              <w:pStyle w:val="ListParagraph"/>
              <w:ind w:left="-108"/>
            </w:pPr>
          </w:p>
        </w:tc>
      </w:tr>
      <w:tr w:rsidRPr="00A74B4C" w:rsidR="00E00915" w:rsidTr="004E4367" w14:paraId="7163C699" w14:textId="77777777">
        <w:tc>
          <w:tcPr>
            <w:tcW w:w="1701" w:type="dxa"/>
          </w:tcPr>
          <w:p w:rsidRPr="00027441" w:rsidR="00E00915" w:rsidP="009120CD" w:rsidRDefault="00E00915" w14:paraId="20952046" w14:textId="1C895283">
            <w:pPr>
              <w:pStyle w:val="ListParagraph"/>
              <w:keepNext/>
              <w:ind w:left="0"/>
              <w:rPr>
                <w:b/>
              </w:rPr>
            </w:pPr>
            <w:r>
              <w:rPr>
                <w:b/>
              </w:rPr>
              <w:t>Atsauce:</w:t>
            </w:r>
          </w:p>
        </w:tc>
        <w:tc>
          <w:tcPr>
            <w:tcW w:w="6096" w:type="dxa"/>
          </w:tcPr>
          <w:p w:rsidR="00E00915" w:rsidP="009120CD" w:rsidRDefault="00E00915" w14:paraId="45E43A99" w14:textId="77777777">
            <w:pPr>
              <w:pStyle w:val="ListParagraph"/>
              <w:ind w:left="-108"/>
            </w:pPr>
            <w:r>
              <w:t>Pašiniciatīvas atzinums</w:t>
            </w:r>
          </w:p>
          <w:p w:rsidR="00E00915" w:rsidP="009120CD" w:rsidRDefault="00E00915" w14:paraId="1403D089" w14:textId="1C8A66F6">
            <w:pPr>
              <w:pStyle w:val="ListParagraph"/>
              <w:ind w:left="-108"/>
            </w:pPr>
            <w:r>
              <w:t>EESC-2022-00827-00-00-AC</w:t>
            </w:r>
          </w:p>
        </w:tc>
      </w:tr>
    </w:tbl>
    <w:p w:rsidRPr="009B70E7" w:rsidR="00961956" w:rsidP="009120CD" w:rsidRDefault="00961956" w14:paraId="148D7539" w14:textId="77777777">
      <w:pPr>
        <w:pStyle w:val="ListParagraph"/>
        <w:keepNext/>
        <w:ind w:left="0"/>
      </w:pPr>
    </w:p>
    <w:p w:rsidRPr="009B70E7" w:rsidR="00961956" w:rsidP="009120CD" w:rsidRDefault="00961956" w14:paraId="11D6B73E" w14:textId="1A0B4F05">
      <w:pPr>
        <w:pStyle w:val="ListParagraph"/>
        <w:ind w:left="0" w:firstLine="142"/>
        <w:rPr>
          <w:b/>
        </w:rPr>
      </w:pPr>
      <w:r>
        <w:rPr>
          <w:b/>
          <w:bCs/>
        </w:rPr>
        <w:t>Svarīgākie aspekti</w:t>
      </w:r>
    </w:p>
    <w:p w:rsidRPr="00027441" w:rsidR="00961956" w:rsidP="009120CD" w:rsidRDefault="00961956" w14:paraId="75408D74" w14:textId="77777777">
      <w:pPr>
        <w:pStyle w:val="ListParagraph"/>
        <w:ind w:left="0" w:firstLine="142"/>
        <w:rPr>
          <w:bCs/>
        </w:rPr>
      </w:pPr>
    </w:p>
    <w:p w:rsidR="00824DCF" w:rsidP="009120CD" w:rsidRDefault="00824DCF" w14:paraId="487F835E" w14:textId="77777777">
      <w:pPr>
        <w:pStyle w:val="ListParagraph"/>
        <w:ind w:left="0" w:firstLine="142"/>
      </w:pPr>
      <w:r>
        <w:t>EESK:</w:t>
      </w:r>
    </w:p>
    <w:p w:rsidRPr="009B70E7" w:rsidR="00824DCF" w:rsidP="009120CD" w:rsidRDefault="00824DCF" w14:paraId="5EDF7A19" w14:textId="77777777">
      <w:pPr>
        <w:pStyle w:val="ListParagraph"/>
        <w:ind w:left="0"/>
      </w:pPr>
    </w:p>
    <w:p w:rsidRPr="00F049D6" w:rsidR="00961956" w:rsidP="009120CD" w:rsidRDefault="00C80321" w14:paraId="3E5BFFD4" w14:textId="328AB13C">
      <w:pPr>
        <w:pStyle w:val="ListParagraph"/>
        <w:numPr>
          <w:ilvl w:val="0"/>
          <w:numId w:val="3"/>
        </w:numPr>
        <w:ind w:left="357" w:hanging="357"/>
      </w:pPr>
      <w:r>
        <w:t xml:space="preserve">uzskata, ka klimata krīzes sekas smagi skar Eiropu un pasauli. Eksperti norāda uz </w:t>
      </w:r>
      <w:r>
        <w:rPr>
          <w:b/>
        </w:rPr>
        <w:t>finanšu līdzekļu nepietiekamu piesaisti, iedzīvotāju un privātā sektora nepietiekamu ieinteresētību, kā arī uz politiskās vadības trūkumu, lai pielāgotos klimata pārmaiņām</w:t>
      </w:r>
      <w:r>
        <w:t>;</w:t>
      </w:r>
    </w:p>
    <w:p w:rsidRPr="00F049D6" w:rsidR="002C24B9" w:rsidP="009120CD" w:rsidRDefault="00C80321" w14:paraId="6A722D52" w14:textId="3BC2308D">
      <w:pPr>
        <w:pStyle w:val="ListParagraph"/>
        <w:numPr>
          <w:ilvl w:val="0"/>
          <w:numId w:val="3"/>
        </w:numPr>
        <w:ind w:left="357" w:hanging="357"/>
      </w:pPr>
      <w:r>
        <w:t xml:space="preserve">iesaka divkāršot </w:t>
      </w:r>
      <w:r>
        <w:rPr>
          <w:b/>
        </w:rPr>
        <w:t>ieguldījumus elektrotīklā</w:t>
      </w:r>
      <w:r>
        <w:t xml:space="preserve"> līdz 55 miljardiem EUR gadā un </w:t>
      </w:r>
      <w:r>
        <w:rPr>
          <w:b/>
        </w:rPr>
        <w:t>palielināt līdzekļus tīras enerģijas ražošanas jaudas ierīkošanai</w:t>
      </w:r>
      <w:r>
        <w:t xml:space="preserve"> līdz 75 miljardiem EUR gadā, lai nodrošinātu augošo pieprasījumu pēc elektroenerģijas un sasniegtu klimata mērķrādītājus;</w:t>
      </w:r>
    </w:p>
    <w:p w:rsidRPr="00C80321" w:rsidR="00394949" w:rsidP="009120CD" w:rsidRDefault="00C80321" w14:paraId="3941A3AB" w14:textId="5D61B7F2">
      <w:pPr>
        <w:pStyle w:val="ListParagraph"/>
        <w:numPr>
          <w:ilvl w:val="0"/>
          <w:numId w:val="3"/>
        </w:numPr>
        <w:ind w:left="357" w:hanging="357"/>
      </w:pPr>
      <w:r>
        <w:t xml:space="preserve">uzskata, ka </w:t>
      </w:r>
      <w:r>
        <w:rPr>
          <w:b/>
        </w:rPr>
        <w:t>tirgus struktūra un regulējums ir jāpielāgo jaunajiem nākotnes apstākļiem, proti, turpmākai atjaunīgo energoresursu enerģijas dominancei</w:t>
      </w:r>
      <w:r>
        <w:t xml:space="preserve"> (tostarp decentralizētākai ražošanai un lielākam vietējam patēriņam);</w:t>
      </w:r>
    </w:p>
    <w:p w:rsidRPr="00C80321" w:rsidR="00C80321" w:rsidP="009120CD" w:rsidRDefault="00C80321" w14:paraId="08DAB17C" w14:textId="2B4039D5">
      <w:pPr>
        <w:pStyle w:val="ListParagraph"/>
        <w:numPr>
          <w:ilvl w:val="0"/>
          <w:numId w:val="3"/>
        </w:numPr>
        <w:ind w:left="357" w:hanging="357"/>
      </w:pPr>
      <w:r>
        <w:t>tāpēc atzinīgi vērtē Komisijas nodomu apsvērt iespējas optimizēt elektroenerģijas tirgus struktūru un uzstājīgi aicina veikt tirgus novērtējumus, kuros analizēta visu potenciālo enerģijas tirgus dalībnieku rīcība un enerģijas tirgus struktūra;</w:t>
      </w:r>
    </w:p>
    <w:p w:rsidRPr="00C80321" w:rsidR="00C80321" w:rsidP="009120CD" w:rsidRDefault="00C80321" w14:paraId="59F75F05" w14:textId="0743366A">
      <w:pPr>
        <w:pStyle w:val="ListParagraph"/>
        <w:numPr>
          <w:ilvl w:val="0"/>
          <w:numId w:val="3"/>
        </w:numPr>
        <w:ind w:left="357" w:hanging="357"/>
      </w:pPr>
      <w:r>
        <w:t xml:space="preserve">aicina Komisiju tās plānotajā novērtējumā, kurā tiks aplūkotas iespējas optimizēt enerģijas tirgus struktūru, analizēt jautājumu par to, kādas </w:t>
      </w:r>
      <w:r>
        <w:rPr>
          <w:b/>
        </w:rPr>
        <w:t>priekšrocības un trūkumi labi funkcionējošā enerģijas tirgū ir enerģētikas infrastruktūras esībai publiskā un privātā īpašumā un/vai šādas infrastruktūras privātai finansēšanai</w:t>
      </w:r>
      <w:r>
        <w:t>;</w:t>
      </w:r>
    </w:p>
    <w:p w:rsidRPr="00C80321" w:rsidR="00C80321" w:rsidP="009120CD" w:rsidRDefault="00C80321" w14:paraId="388B333C" w14:textId="406674F8">
      <w:pPr>
        <w:pStyle w:val="ListParagraph"/>
        <w:numPr>
          <w:ilvl w:val="0"/>
          <w:numId w:val="3"/>
        </w:numPr>
        <w:ind w:left="357" w:hanging="357"/>
      </w:pPr>
      <w:r>
        <w:t>pauž pārliecību, ka</w:t>
      </w:r>
      <w:r>
        <w:rPr>
          <w:b/>
        </w:rPr>
        <w:t xml:space="preserve"> ir svarīgi tīkla paplašināšanu definēt kā</w:t>
      </w:r>
      <w:r>
        <w:t xml:space="preserve"> sevišķi svarīgas sabiedrības intereses, kā vienu no regulējuma mērķiem iekļaut klimata aizsardzību un kopumā labāk saskaņot atjaunīgo energoresursu enerģijas ieguves un elektrotīkla plānošanu;</w:t>
      </w:r>
    </w:p>
    <w:p w:rsidR="00C80321" w:rsidP="009120CD" w:rsidRDefault="00C80321" w14:paraId="35A2290F" w14:textId="4B9B228B">
      <w:pPr>
        <w:pStyle w:val="ListParagraph"/>
        <w:numPr>
          <w:ilvl w:val="0"/>
          <w:numId w:val="3"/>
        </w:numPr>
        <w:ind w:left="357" w:hanging="357"/>
      </w:pPr>
      <w:r>
        <w:t xml:space="preserve">uzskata, ka </w:t>
      </w:r>
      <w:r>
        <w:rPr>
          <w:b/>
        </w:rPr>
        <w:t>jauktu finansēšanu, iesaistot privātos ieguldītājus, var izmantot tikai tad, ja tiek nodrošināts, ka iepirkuma procedūra notiek pārredzami un šajā saistībā publiskajam sektoram nerodas nepamatotas lielākas izmaksas nekā gadījumā, ja finansēšana būtu publiska</w:t>
      </w:r>
      <w:r>
        <w:t>. Jānodrošina pilnīga pamatotu papildu izmaksu pārredzamība;</w:t>
      </w:r>
    </w:p>
    <w:p w:rsidR="00C80321" w:rsidP="009120CD" w:rsidRDefault="00C80321" w14:paraId="19890EEE" w14:textId="17DE338F">
      <w:pPr>
        <w:pStyle w:val="ListParagraph"/>
        <w:numPr>
          <w:ilvl w:val="0"/>
          <w:numId w:val="3"/>
        </w:numPr>
        <w:ind w:left="357" w:hanging="357"/>
      </w:pPr>
      <w:r>
        <w:t>pauž bažas par to, ka ārkārtīgi lielā enerģētikas uzņēmumu peļņa, no vienas puses, un pieaugošā enerģētiskā nabadzība, ko izraisa enerģijas cenu eksplozija, no otras puses, sabiedrībā var radīt bīstamu destabilizējošu ietekmi;</w:t>
      </w:r>
    </w:p>
    <w:p w:rsidR="00C80321" w:rsidP="009120CD" w:rsidRDefault="00C80321" w14:paraId="426CBDDB" w14:textId="387ACA9F">
      <w:pPr>
        <w:pStyle w:val="ListParagraph"/>
        <w:numPr>
          <w:ilvl w:val="0"/>
          <w:numId w:val="3"/>
        </w:numPr>
        <w:ind w:left="357" w:hanging="357"/>
      </w:pPr>
      <w:r>
        <w:t xml:space="preserve">ierosina šo peļņu </w:t>
      </w:r>
      <w:r>
        <w:rPr>
          <w:b/>
        </w:rPr>
        <w:t>samazināt ar nodokļu palīdzību un novirzīt kā finansiālu kompensāciju enerģijas patērētājiem un izmantot atjaunīgās enerģijas ražošanas un vajadzīgās tīkla infrastruktūras paplašināšanai</w:t>
      </w:r>
      <w:r>
        <w:t>;</w:t>
      </w:r>
    </w:p>
    <w:p w:rsidRPr="00C80321" w:rsidR="00C80321" w:rsidP="009120CD" w:rsidRDefault="00C80321" w14:paraId="59BC0C87" w14:textId="131FA362">
      <w:pPr>
        <w:pStyle w:val="ListParagraph"/>
        <w:numPr>
          <w:ilvl w:val="0"/>
          <w:numId w:val="3"/>
        </w:numPr>
        <w:ind w:left="357" w:hanging="357"/>
      </w:pPr>
      <w:r>
        <w:lastRenderedPageBreak/>
        <w:t xml:space="preserve">uzskata: lai </w:t>
      </w:r>
      <w:r>
        <w:rPr>
          <w:b/>
        </w:rPr>
        <w:t>energopakalpojumu uzņēmumus neatturētu no</w:t>
      </w:r>
      <w:r>
        <w:t xml:space="preserve"> ieguldījumiem mazoglekļa risinājumos, šādu nodokļu noteikšanā jāizmanto ļoti sensitīva pieeja;</w:t>
      </w:r>
    </w:p>
    <w:p w:rsidRPr="00C80321" w:rsidR="00C80321" w:rsidP="009120CD" w:rsidRDefault="00C80321" w14:paraId="620016E2" w14:textId="58560884">
      <w:pPr>
        <w:pStyle w:val="ListParagraph"/>
        <w:numPr>
          <w:ilvl w:val="0"/>
          <w:numId w:val="3"/>
        </w:numPr>
        <w:ind w:left="357" w:hanging="357"/>
      </w:pPr>
      <w:r>
        <w:t xml:space="preserve">iesaka </w:t>
      </w:r>
      <w:r>
        <w:rPr>
          <w:b/>
        </w:rPr>
        <w:t>publiskajiem ieguldījumiem piemērot “līdzsvarota budžeta normu”</w:t>
      </w:r>
      <w:r>
        <w:t>, lai nodrošinātu produktivitāti un sociālo un ekoloģisko pamatu nākamo paaudžu labklājībai;</w:t>
      </w:r>
    </w:p>
    <w:p w:rsidRPr="00C80321" w:rsidR="00394949" w:rsidP="009120CD" w:rsidRDefault="00C80321" w14:paraId="31E62463" w14:textId="5482DC6E">
      <w:pPr>
        <w:pStyle w:val="ListParagraph"/>
        <w:numPr>
          <w:ilvl w:val="0"/>
          <w:numId w:val="3"/>
        </w:numPr>
        <w:ind w:left="357" w:hanging="357"/>
      </w:pPr>
      <w:r>
        <w:t xml:space="preserve">uzskata: pēdējās desmitgades norises, tīkla paplašināšanas problēmas, milzīgais enerģijas cenu pieaugums, kiberuzbrukumu risks un, visbeidzot, bet ne mazāk svarīgi, Ukrainā notiekošais karš skaidri parāda, kas ir galvenais – proti, jautājums par to, </w:t>
      </w:r>
      <w:r>
        <w:rPr>
          <w:b/>
        </w:rPr>
        <w:t xml:space="preserve">kas turpmāk kontrolēs tādu svarīgu infrastruktūru kā </w:t>
      </w:r>
      <w:proofErr w:type="spellStart"/>
      <w:r>
        <w:rPr>
          <w:b/>
        </w:rPr>
        <w:t>energotīkls</w:t>
      </w:r>
      <w:proofErr w:type="spellEnd"/>
      <w:r>
        <w:t>. Tātad primāri runa ir par sabiedrības interesēm. No tā loģiski izriet, ka infrastruktūrai ir jābūt publiskā sektora īpašumam, kam jādarbojas sabiedrības interesēs un jānovērš esošā nevienlīdzība.</w:t>
      </w:r>
    </w:p>
    <w:p w:rsidRPr="00F049D6" w:rsidR="00961956" w:rsidP="009120CD" w:rsidRDefault="00961956" w14:paraId="650EBC4F"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9"/>
        <w:gridCol w:w="5670"/>
      </w:tblGrid>
      <w:tr w:rsidRPr="009B70E7" w:rsidR="00961956" w:rsidTr="00771110" w14:paraId="196AAA5A" w14:textId="77777777">
        <w:tc>
          <w:tcPr>
            <w:tcW w:w="1418" w:type="dxa"/>
          </w:tcPr>
          <w:p w:rsidRPr="009B70E7" w:rsidR="00961956" w:rsidP="009120CD" w:rsidRDefault="00961956" w14:paraId="015B1472" w14:textId="77777777">
            <w:pPr>
              <w:pStyle w:val="ListParagraph"/>
              <w:ind w:left="0"/>
              <w:rPr>
                <w:i/>
              </w:rPr>
            </w:pPr>
            <w:r>
              <w:rPr>
                <w:b/>
                <w:i/>
              </w:rPr>
              <w:t>Kontaktpersona</w:t>
            </w:r>
          </w:p>
        </w:tc>
        <w:tc>
          <w:tcPr>
            <w:tcW w:w="5670" w:type="dxa"/>
          </w:tcPr>
          <w:p w:rsidRPr="009B70E7" w:rsidR="00961956" w:rsidP="009120CD" w:rsidRDefault="00413EA0" w14:paraId="1E2C028D" w14:textId="3092F279">
            <w:pPr>
              <w:pStyle w:val="ListParagraph"/>
              <w:ind w:left="0"/>
              <w:rPr>
                <w:i/>
              </w:rPr>
            </w:pPr>
            <w:proofErr w:type="spellStart"/>
            <w:r>
              <w:rPr>
                <w:i/>
              </w:rPr>
              <w:t>Layla</w:t>
            </w:r>
            <w:proofErr w:type="spellEnd"/>
            <w:r>
              <w:rPr>
                <w:i/>
              </w:rPr>
              <w:t xml:space="preserve"> </w:t>
            </w:r>
            <w:r w:rsidR="0022731C">
              <w:rPr>
                <w:i/>
              </w:rPr>
              <w:t>REITER</w:t>
            </w:r>
          </w:p>
        </w:tc>
      </w:tr>
      <w:tr w:rsidRPr="009B70E7" w:rsidR="00961956" w:rsidTr="00771110" w14:paraId="767EF621" w14:textId="77777777">
        <w:tc>
          <w:tcPr>
            <w:tcW w:w="1418" w:type="dxa"/>
          </w:tcPr>
          <w:p w:rsidRPr="009B70E7" w:rsidR="00961956" w:rsidP="009120CD" w:rsidRDefault="00961956" w14:paraId="2C15F67B" w14:textId="77777777">
            <w:pPr>
              <w:pStyle w:val="ListParagraph"/>
              <w:ind w:left="601"/>
              <w:rPr>
                <w:i/>
              </w:rPr>
            </w:pPr>
            <w:r>
              <w:rPr>
                <w:i/>
              </w:rPr>
              <w:t>Tālr.:</w:t>
            </w:r>
          </w:p>
        </w:tc>
        <w:tc>
          <w:tcPr>
            <w:tcW w:w="5670" w:type="dxa"/>
          </w:tcPr>
          <w:p w:rsidRPr="009B70E7" w:rsidR="00961956" w:rsidP="009120CD" w:rsidRDefault="002C24B9" w14:paraId="619D9C38" w14:textId="5732F18A">
            <w:pPr>
              <w:pStyle w:val="ListParagraph"/>
              <w:ind w:left="0"/>
              <w:rPr>
                <w:i/>
              </w:rPr>
            </w:pPr>
            <w:r>
              <w:rPr>
                <w:i/>
              </w:rPr>
              <w:t>00 32 2 546 93 68</w:t>
            </w:r>
          </w:p>
        </w:tc>
      </w:tr>
      <w:tr w:rsidRPr="009B70E7" w:rsidR="00961956" w:rsidTr="00771110" w14:paraId="0B88B3E2" w14:textId="77777777">
        <w:tc>
          <w:tcPr>
            <w:tcW w:w="1418" w:type="dxa"/>
          </w:tcPr>
          <w:p w:rsidRPr="009B70E7" w:rsidR="00961956" w:rsidP="009120CD" w:rsidRDefault="00961956" w14:paraId="7FB55A27" w14:textId="77777777">
            <w:pPr>
              <w:pStyle w:val="ListParagraph"/>
              <w:ind w:left="601"/>
              <w:rPr>
                <w:i/>
              </w:rPr>
            </w:pPr>
            <w:r>
              <w:rPr>
                <w:i/>
              </w:rPr>
              <w:t>E-pasts:</w:t>
            </w:r>
          </w:p>
        </w:tc>
        <w:tc>
          <w:tcPr>
            <w:tcW w:w="5670" w:type="dxa"/>
          </w:tcPr>
          <w:p w:rsidRPr="009B70E7" w:rsidR="00F80F3B" w:rsidP="009120CD" w:rsidRDefault="0022731C" w14:paraId="6B508845" w14:textId="5DBC54B5">
            <w:pPr>
              <w:pStyle w:val="ListParagraph"/>
              <w:ind w:left="0"/>
              <w:rPr>
                <w:i/>
              </w:rPr>
            </w:pPr>
            <w:hyperlink w:history="1" r:id="rId31">
              <w:r w:rsidR="0064748D">
                <w:rPr>
                  <w:rStyle w:val="Hyperlink"/>
                  <w:i/>
                </w:rPr>
                <w:t>Layla.Reiter@eesc.europa.eu</w:t>
              </w:r>
            </w:hyperlink>
          </w:p>
        </w:tc>
      </w:tr>
      <w:bookmarkEnd w:id="16"/>
    </w:tbl>
    <w:p w:rsidRPr="00276CC9" w:rsidR="00037A85" w:rsidP="009120CD" w:rsidRDefault="00037A85" w14:paraId="3802F4D5" w14:textId="77777777">
      <w:pPr>
        <w:jc w:val="left"/>
        <w:rPr>
          <w:sz w:val="28"/>
        </w:rPr>
      </w:pPr>
    </w:p>
    <w:p w:rsidRPr="00413EA0" w:rsidR="00E66A9B" w:rsidP="009120CD" w:rsidRDefault="00F3200A" w14:paraId="73791747" w14:textId="4FE60FD0">
      <w:pPr>
        <w:pStyle w:val="ListParagraph"/>
        <w:keepNext/>
        <w:numPr>
          <w:ilvl w:val="0"/>
          <w:numId w:val="2"/>
        </w:numPr>
        <w:ind w:left="567" w:hanging="567"/>
        <w:rPr>
          <w:rStyle w:val="Hyperlink"/>
          <w:b/>
          <w:i/>
          <w:color w:val="auto"/>
          <w:sz w:val="28"/>
          <w:szCs w:val="28"/>
          <w:u w:val="none"/>
        </w:rPr>
      </w:pPr>
      <w:r>
        <w:rPr>
          <w:b/>
          <w:i/>
          <w:sz w:val="28"/>
        </w:rPr>
        <w:t>Vispārējas nozīmes pakalpojumu līdzradīšana kā ieguldījums līdzdalības demokrātijā Eiropas Savienībā</w:t>
      </w:r>
    </w:p>
    <w:p w:rsidRPr="00413EA0" w:rsidR="00E66A9B" w:rsidP="009120CD" w:rsidRDefault="00E66A9B" w14:paraId="077F0033" w14:textId="77777777">
      <w:pPr>
        <w:keepNext/>
        <w:rPr>
          <w:b/>
          <w:i/>
          <w:sz w:val="28"/>
          <w:szCs w:val="28"/>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45"/>
      </w:tblGrid>
      <w:tr w:rsidRPr="007E7A4F" w:rsidR="00E66A9B" w:rsidTr="0022731C" w14:paraId="7617DBB6" w14:textId="77777777">
        <w:tc>
          <w:tcPr>
            <w:tcW w:w="1701" w:type="dxa"/>
          </w:tcPr>
          <w:p w:rsidRPr="009B70E7" w:rsidR="00E66A9B" w:rsidP="009120CD" w:rsidRDefault="00E66A9B" w14:paraId="2E374C51" w14:textId="77777777">
            <w:pPr>
              <w:pStyle w:val="ListParagraph"/>
              <w:keepNext/>
              <w:ind w:left="0"/>
              <w:rPr>
                <w:b/>
              </w:rPr>
            </w:pPr>
            <w:r>
              <w:rPr>
                <w:b/>
              </w:rPr>
              <w:t>Ziņotājs:</w:t>
            </w:r>
          </w:p>
        </w:tc>
        <w:tc>
          <w:tcPr>
            <w:tcW w:w="6345" w:type="dxa"/>
          </w:tcPr>
          <w:p w:rsidRPr="007E7A4F" w:rsidR="00E66A9B" w:rsidP="009120CD" w:rsidRDefault="00E66A9B" w14:paraId="1A778436" w14:textId="501C75BF">
            <w:pPr>
              <w:pStyle w:val="ListParagraph"/>
              <w:ind w:left="-108"/>
            </w:pPr>
            <w:proofErr w:type="spellStart"/>
            <w:r>
              <w:t>Krzysztof</w:t>
            </w:r>
            <w:proofErr w:type="spellEnd"/>
            <w:r>
              <w:t xml:space="preserve"> BALON (Pilsoniskās sabiedrības organizāciju grupa – PL)</w:t>
            </w:r>
          </w:p>
        </w:tc>
      </w:tr>
      <w:tr w:rsidRPr="00A74B4C" w:rsidR="00E66A9B" w:rsidTr="0022731C" w14:paraId="3E966487" w14:textId="77777777">
        <w:tc>
          <w:tcPr>
            <w:tcW w:w="1701" w:type="dxa"/>
          </w:tcPr>
          <w:p w:rsidRPr="009B70E7" w:rsidR="00E66A9B" w:rsidP="009120CD" w:rsidRDefault="00E66A9B" w14:paraId="0C54DBFE" w14:textId="77777777">
            <w:pPr>
              <w:pStyle w:val="ListParagraph"/>
              <w:ind w:left="0"/>
              <w:rPr>
                <w:b/>
              </w:rPr>
            </w:pPr>
            <w:r>
              <w:rPr>
                <w:b/>
              </w:rPr>
              <w:t>Līdzziņotājs:</w:t>
            </w:r>
          </w:p>
        </w:tc>
        <w:tc>
          <w:tcPr>
            <w:tcW w:w="6345" w:type="dxa"/>
          </w:tcPr>
          <w:p w:rsidRPr="00A74B4C" w:rsidR="00F256CD" w:rsidP="009120CD" w:rsidRDefault="00E66A9B" w14:paraId="2E8850F4" w14:textId="049CAFDB">
            <w:pPr>
              <w:pStyle w:val="ListParagraph"/>
              <w:ind w:left="-108"/>
            </w:pPr>
            <w:proofErr w:type="spellStart"/>
            <w:r>
              <w:t>Thomas</w:t>
            </w:r>
            <w:proofErr w:type="spellEnd"/>
            <w:r>
              <w:t xml:space="preserve"> KATTNIG (Darba ņēmēju grupa – AT)</w:t>
            </w:r>
          </w:p>
        </w:tc>
      </w:tr>
      <w:tr w:rsidRPr="00A74B4C" w:rsidR="00E00915" w:rsidTr="0022731C" w14:paraId="287EF6BD" w14:textId="77777777">
        <w:tc>
          <w:tcPr>
            <w:tcW w:w="1701" w:type="dxa"/>
          </w:tcPr>
          <w:p w:rsidRPr="00E65D01" w:rsidR="00E00915" w:rsidP="009120CD" w:rsidRDefault="00E00915" w14:paraId="420833D9" w14:textId="77777777">
            <w:pPr>
              <w:pStyle w:val="ListParagraph"/>
              <w:ind w:left="0"/>
              <w:rPr>
                <w:b/>
                <w:lang w:val="fr-BE"/>
              </w:rPr>
            </w:pPr>
          </w:p>
        </w:tc>
        <w:tc>
          <w:tcPr>
            <w:tcW w:w="6345" w:type="dxa"/>
          </w:tcPr>
          <w:p w:rsidRPr="00413EA0" w:rsidR="00E00915" w:rsidP="009120CD" w:rsidRDefault="00E00915" w14:paraId="4FB9DDCE" w14:textId="77777777">
            <w:pPr>
              <w:pStyle w:val="ListParagraph"/>
              <w:ind w:left="-108"/>
            </w:pPr>
          </w:p>
        </w:tc>
      </w:tr>
      <w:tr w:rsidRPr="00A74B4C" w:rsidR="00E00915" w:rsidTr="0022731C" w14:paraId="666F65E6" w14:textId="77777777">
        <w:tc>
          <w:tcPr>
            <w:tcW w:w="1701" w:type="dxa"/>
          </w:tcPr>
          <w:p w:rsidRPr="00E65D01" w:rsidR="00E00915" w:rsidP="009120CD" w:rsidRDefault="00E00915" w14:paraId="7608AE5F" w14:textId="65DD0947">
            <w:pPr>
              <w:pStyle w:val="ListParagraph"/>
              <w:ind w:left="0"/>
              <w:rPr>
                <w:b/>
              </w:rPr>
            </w:pPr>
            <w:r>
              <w:rPr>
                <w:b/>
              </w:rPr>
              <w:t>Atsauce:</w:t>
            </w:r>
          </w:p>
        </w:tc>
        <w:tc>
          <w:tcPr>
            <w:tcW w:w="6345" w:type="dxa"/>
          </w:tcPr>
          <w:p w:rsidR="00E00915" w:rsidP="009120CD" w:rsidRDefault="00E00915" w14:paraId="2FF8AF8E" w14:textId="77777777">
            <w:pPr>
              <w:pStyle w:val="ListParagraph"/>
              <w:ind w:left="-108"/>
            </w:pPr>
            <w:r>
              <w:t>Pašiniciatīvas atzinums</w:t>
            </w:r>
          </w:p>
          <w:p w:rsidRPr="00413EA0" w:rsidR="00E00915" w:rsidP="009120CD" w:rsidRDefault="00E00915" w14:paraId="46167410" w14:textId="4EE684E3">
            <w:pPr>
              <w:pStyle w:val="ListParagraph"/>
              <w:ind w:left="-108"/>
            </w:pPr>
            <w:r>
              <w:t>EESC-2022-00662-00-00-AC</w:t>
            </w:r>
          </w:p>
        </w:tc>
      </w:tr>
    </w:tbl>
    <w:p w:rsidRPr="009B70E7" w:rsidR="00E66A9B" w:rsidP="009120CD" w:rsidRDefault="00E66A9B" w14:paraId="0D2579F4" w14:textId="77777777">
      <w:pPr>
        <w:pStyle w:val="ListParagraph"/>
        <w:keepNext/>
        <w:ind w:left="0"/>
      </w:pPr>
    </w:p>
    <w:p w:rsidRPr="00027441" w:rsidR="00E66A9B" w:rsidP="009120CD" w:rsidRDefault="00E66A9B" w14:paraId="71C43DFC" w14:textId="22D53DCB">
      <w:pPr>
        <w:pStyle w:val="ListParagraph"/>
        <w:ind w:left="0" w:firstLine="142"/>
        <w:rPr>
          <w:b/>
        </w:rPr>
      </w:pPr>
      <w:r>
        <w:rPr>
          <w:b/>
          <w:bCs/>
        </w:rPr>
        <w:t>Svarīgākie aspekti</w:t>
      </w:r>
    </w:p>
    <w:p w:rsidR="00E66A9B" w:rsidP="009120CD" w:rsidRDefault="00E66A9B" w14:paraId="108ADD2B" w14:textId="77777777">
      <w:pPr>
        <w:pStyle w:val="ListParagraph"/>
        <w:ind w:left="0"/>
      </w:pPr>
    </w:p>
    <w:p w:rsidR="00E66A9B" w:rsidP="009120CD" w:rsidRDefault="00E66A9B" w14:paraId="3A536E66" w14:textId="77777777">
      <w:pPr>
        <w:pStyle w:val="ListParagraph"/>
        <w:ind w:left="0" w:firstLine="142"/>
      </w:pPr>
      <w:bookmarkStart w:name="_Hlk113974725" w:id="17"/>
      <w:r>
        <w:t>EESK:</w:t>
      </w:r>
      <w:bookmarkEnd w:id="17"/>
    </w:p>
    <w:p w:rsidRPr="009B70E7" w:rsidR="00E66A9B" w:rsidP="009120CD" w:rsidRDefault="00E66A9B" w14:paraId="2DBF063D" w14:textId="77777777">
      <w:pPr>
        <w:pStyle w:val="ListParagraph"/>
        <w:ind w:left="0"/>
      </w:pPr>
    </w:p>
    <w:p w:rsidRPr="00F049D6" w:rsidR="00E66A9B" w:rsidP="009120CD" w:rsidRDefault="00C80321" w14:paraId="145F1B12" w14:textId="714F6822">
      <w:pPr>
        <w:pStyle w:val="ListParagraph"/>
        <w:numPr>
          <w:ilvl w:val="0"/>
          <w:numId w:val="3"/>
        </w:numPr>
        <w:ind w:left="357" w:hanging="357"/>
      </w:pPr>
      <w:r>
        <w:t xml:space="preserve">uzskata, ka vispārējas nozīmes pakalpojumu līdzradīšana, piedaloties pilsoniskās sabiedrības organizācijām, kā arī nepastarpināti iedzīvotājiem, ir viens no visefektīvākajiem </w:t>
      </w:r>
      <w:r>
        <w:rPr>
          <w:b/>
          <w:bCs/>
        </w:rPr>
        <w:t>līdzdalības demokrātijas atjaunināšanas</w:t>
      </w:r>
      <w:r>
        <w:t xml:space="preserve"> instrumentiem, kas tādējādi stiprina Eiropas integrāciju;</w:t>
      </w:r>
    </w:p>
    <w:p w:rsidRPr="00C80321" w:rsidR="00E66A9B" w:rsidP="009120CD" w:rsidRDefault="00C80321" w14:paraId="11E09D96" w14:textId="313DB5D9">
      <w:pPr>
        <w:pStyle w:val="ListParagraph"/>
        <w:numPr>
          <w:ilvl w:val="0"/>
          <w:numId w:val="3"/>
        </w:numPr>
        <w:ind w:left="357" w:hanging="357"/>
      </w:pPr>
      <w:r>
        <w:t xml:space="preserve">uzsver, ka ir svarīgi Eiropas Savienībā </w:t>
      </w:r>
      <w:r>
        <w:rPr>
          <w:b/>
          <w:bCs/>
        </w:rPr>
        <w:t>uzlabot pamatnosacījumus</w:t>
      </w:r>
      <w:r>
        <w:t xml:space="preserve"> šajā jomā, lai vēl vairāk </w:t>
      </w:r>
      <w:r>
        <w:rPr>
          <w:b/>
          <w:bCs/>
        </w:rPr>
        <w:t>stiprinātu iedzīvotāju tiesību un viņiem sniegto pakalpojumu aizsardzību</w:t>
      </w:r>
      <w:r>
        <w:t>;</w:t>
      </w:r>
    </w:p>
    <w:p w:rsidRPr="00C80321" w:rsidR="00C80321" w:rsidP="009120CD" w:rsidRDefault="00C80321" w14:paraId="0EA64CAF" w14:textId="47C432B3">
      <w:pPr>
        <w:pStyle w:val="ListParagraph"/>
        <w:numPr>
          <w:ilvl w:val="0"/>
          <w:numId w:val="3"/>
        </w:numPr>
        <w:ind w:left="357" w:hanging="357"/>
      </w:pPr>
      <w:r>
        <w:t xml:space="preserve">atbalsta </w:t>
      </w:r>
      <w:r>
        <w:rPr>
          <w:b/>
          <w:bCs/>
        </w:rPr>
        <w:t>līdzradīšanas pieejas mērķtiecīgu īstenošanu</w:t>
      </w:r>
      <w:r>
        <w:t> </w:t>
      </w:r>
      <w:r w:rsidR="00801DC4">
        <w:t>–</w:t>
      </w:r>
      <w:r>
        <w:t xml:space="preserve"> vispārējas nozīmes pakalpojumi būtu jāizstrādā kopā ar lietotājiem, kopienām un pilsoniskās sabiedrības organizācijām, lai nodrošinātu, ka, pirmkārt, tie patiešām atbilst faktiskajām vajadzībām un, otrkārt, dod iespēju demokrātiskai līdzdalībai;</w:t>
      </w:r>
    </w:p>
    <w:p w:rsidRPr="00C80321" w:rsidR="00C80321" w:rsidP="009120CD" w:rsidRDefault="00C80321" w14:paraId="4C493D3B" w14:textId="7509A9E8">
      <w:pPr>
        <w:pStyle w:val="ListParagraph"/>
        <w:numPr>
          <w:ilvl w:val="0"/>
          <w:numId w:val="3"/>
        </w:numPr>
        <w:ind w:left="357" w:hanging="357"/>
      </w:pPr>
      <w:r>
        <w:t xml:space="preserve">aicina dalībvalstis </w:t>
      </w:r>
      <w:r>
        <w:rPr>
          <w:b/>
          <w:bCs/>
        </w:rPr>
        <w:t>izstrādāt un/vai pilnveidot instrumentus</w:t>
      </w:r>
      <w:r>
        <w:t>, kas nodrošinās iedzīvotāju un pilsoniskās sabiedrības organizāciju līdzdalību visā vispārējas nozīmes pakalpojumu sniegšanas procesā;</w:t>
      </w:r>
    </w:p>
    <w:p w:rsidRPr="00C80321" w:rsidR="00C80321" w:rsidP="009120CD" w:rsidRDefault="00C80321" w14:paraId="0EC8230B" w14:textId="2FE1CDFF">
      <w:pPr>
        <w:pStyle w:val="ListParagraph"/>
        <w:numPr>
          <w:ilvl w:val="0"/>
          <w:numId w:val="3"/>
        </w:numPr>
        <w:ind w:left="357" w:hanging="357"/>
      </w:pPr>
      <w:r>
        <w:t xml:space="preserve">norāda, ka </w:t>
      </w:r>
      <w:r>
        <w:rPr>
          <w:b/>
          <w:bCs/>
        </w:rPr>
        <w:t>kvalitatīvu augstvērtīgu vispārējas nozīmes pakalpojumu sniegšana</w:t>
      </w:r>
      <w:r>
        <w:t xml:space="preserve"> iedzīvotāju un ekonomikas labā ir atkarīga no pietiekamiem finanšu un personāla resursiem, kas ir jānodrošina;</w:t>
      </w:r>
    </w:p>
    <w:p w:rsidRPr="00C80321" w:rsidR="00C80321" w:rsidP="009120CD" w:rsidRDefault="00C80321" w14:paraId="04A87121" w14:textId="518A1BDA">
      <w:pPr>
        <w:pStyle w:val="ListParagraph"/>
        <w:numPr>
          <w:ilvl w:val="0"/>
          <w:numId w:val="3"/>
        </w:numPr>
        <w:ind w:left="357" w:hanging="357"/>
      </w:pPr>
      <w:r>
        <w:t xml:space="preserve">norāda, ka vispārējas nozīmes pakalpojumu sniegšanas un līdzradīšanas pamatnosacījumi galvenokārt ir dalībvalstu, reģionu un pašvaldību kompetencē, taču dalībvalstis ir steidzami jāmudina izstrādāt kopradīšanas koncepcijas – šim </w:t>
      </w:r>
      <w:r>
        <w:rPr>
          <w:b/>
        </w:rPr>
        <w:t>mērķim ir jāizstrādā instrumentu kopums, kas atvieglo līdzradīšanas modeļu izmantošanu</w:t>
      </w:r>
      <w:r>
        <w:t>;</w:t>
      </w:r>
    </w:p>
    <w:p w:rsidRPr="009011ED" w:rsidR="00C80321" w:rsidP="009120CD" w:rsidRDefault="00C80321" w14:paraId="582E0CFD" w14:textId="5B60FC8C">
      <w:pPr>
        <w:pStyle w:val="ListParagraph"/>
        <w:numPr>
          <w:ilvl w:val="0"/>
          <w:numId w:val="3"/>
        </w:numPr>
        <w:ind w:left="357" w:hanging="357"/>
      </w:pPr>
      <w:r>
        <w:lastRenderedPageBreak/>
        <w:t>aicina dalībvalstis īstenot Direktīvas 2014/24/ES par publisko iepirkumu 77. pantu tādā veidā, ka līgumi par noteiktiem veselības, sociālajiem un kultūras, kā arī izglītības pakalpojumiem, kas uzskaitīti minētajā pantā, tiek rezervēti bezpeļņas organizācijām;</w:t>
      </w:r>
    </w:p>
    <w:p w:rsidRPr="009011ED" w:rsidR="009011ED" w:rsidP="009120CD" w:rsidRDefault="009011ED" w14:paraId="32C57B00" w14:textId="2910E669">
      <w:pPr>
        <w:pStyle w:val="ListParagraph"/>
        <w:numPr>
          <w:ilvl w:val="0"/>
          <w:numId w:val="3"/>
        </w:numPr>
        <w:ind w:left="357" w:hanging="357"/>
      </w:pPr>
      <w:r>
        <w:t>ierosina Komisijai publicēt darba dokumentu par šo tematu, kas kalpotu par pamatu turpmākam darbam ar mērķi izveidot instrumentu kopumu, kurš sniegtu ierosmi un norādes valstu iestādēm un reģionālajām un vietējām pašvaldībām virzībā uz līdzradīšanas modeļu plašāku izmantošanu;</w:t>
      </w:r>
    </w:p>
    <w:p w:rsidRPr="009011ED" w:rsidR="009011ED" w:rsidP="009120CD" w:rsidRDefault="009011ED" w14:paraId="08642496" w14:textId="0625715B">
      <w:pPr>
        <w:pStyle w:val="ListParagraph"/>
        <w:numPr>
          <w:ilvl w:val="0"/>
          <w:numId w:val="3"/>
        </w:numPr>
        <w:ind w:left="357" w:hanging="357"/>
      </w:pPr>
      <w:r>
        <w:t>uzskata, ka šādā dokumentā būtu jāiekļauj arī apsvērumi par līdzradīšanas pieejas līdzsvarošanu ar Līguma par Eiropas Savienības darbību (LESD) 14. pantu un LES un LESD pievienoto 26. protokolu, ņemot vērā Eiropas sociālo tiesību pīlāru, bezpeļņas sociālās ekonomikas īpašo lomu līdzradīšanā un tam nepieciešamos pamatnosacījumus;</w:t>
      </w:r>
    </w:p>
    <w:p w:rsidRPr="00F049D6" w:rsidR="009011ED" w:rsidP="009120CD" w:rsidRDefault="009011ED" w14:paraId="657A71D8" w14:textId="1B699CB2">
      <w:pPr>
        <w:pStyle w:val="ListParagraph"/>
        <w:numPr>
          <w:ilvl w:val="0"/>
          <w:numId w:val="3"/>
        </w:numPr>
        <w:ind w:left="357" w:hanging="357"/>
      </w:pPr>
      <w:r>
        <w:t xml:space="preserve">iesaka </w:t>
      </w:r>
      <w:r>
        <w:rPr>
          <w:b/>
        </w:rPr>
        <w:t>izveidos forumu, kurā apmainīties ar idejām un paraugpraksi</w:t>
      </w:r>
      <w:r>
        <w:t xml:space="preserve"> šajā jomā un kurā piedalīsies pilsoniskās sabiedrības organizācijas, sociālie partneri, augstskolas un pētniecības projekti, lai turpinātu un pilnveidotu debašu procesu Eiropas līmenī.</w:t>
      </w:r>
    </w:p>
    <w:p w:rsidRPr="00F049D6" w:rsidR="00E66A9B" w:rsidP="009120CD" w:rsidRDefault="00E66A9B" w14:paraId="32BD194E"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9B70E7" w:rsidR="00E66A9B" w:rsidTr="004E4367" w14:paraId="0EC28AAE" w14:textId="77777777">
        <w:tc>
          <w:tcPr>
            <w:tcW w:w="1418" w:type="dxa"/>
          </w:tcPr>
          <w:p w:rsidRPr="009B70E7" w:rsidR="00E66A9B" w:rsidP="009120CD" w:rsidRDefault="00E66A9B" w14:paraId="1B80A03A" w14:textId="77777777">
            <w:pPr>
              <w:pStyle w:val="ListParagraph"/>
              <w:ind w:left="0"/>
              <w:rPr>
                <w:i/>
              </w:rPr>
            </w:pPr>
            <w:r>
              <w:rPr>
                <w:b/>
                <w:i/>
              </w:rPr>
              <w:t>Kontaktpersona:</w:t>
            </w:r>
          </w:p>
        </w:tc>
        <w:tc>
          <w:tcPr>
            <w:tcW w:w="5670" w:type="dxa"/>
          </w:tcPr>
          <w:p w:rsidRPr="009B70E7" w:rsidR="00E66A9B" w:rsidP="009120CD" w:rsidRDefault="00E66A9B" w14:paraId="308F9136" w14:textId="183A785C">
            <w:pPr>
              <w:pStyle w:val="ListParagraph"/>
              <w:ind w:left="0"/>
              <w:rPr>
                <w:i/>
              </w:rPr>
            </w:pPr>
            <w:proofErr w:type="spellStart"/>
            <w:r>
              <w:rPr>
                <w:i/>
              </w:rPr>
              <w:t>Ágota</w:t>
            </w:r>
            <w:proofErr w:type="spellEnd"/>
            <w:r>
              <w:rPr>
                <w:i/>
              </w:rPr>
              <w:t xml:space="preserve"> </w:t>
            </w:r>
            <w:r w:rsidR="0022731C">
              <w:rPr>
                <w:i/>
              </w:rPr>
              <w:t>BASZIK</w:t>
            </w:r>
          </w:p>
        </w:tc>
      </w:tr>
      <w:tr w:rsidRPr="009B70E7" w:rsidR="00E66A9B" w:rsidTr="004E4367" w14:paraId="5B82065B" w14:textId="77777777">
        <w:tc>
          <w:tcPr>
            <w:tcW w:w="1418" w:type="dxa"/>
          </w:tcPr>
          <w:p w:rsidRPr="009B70E7" w:rsidR="00E66A9B" w:rsidP="009120CD" w:rsidRDefault="00E66A9B" w14:paraId="584EE251" w14:textId="77777777">
            <w:pPr>
              <w:pStyle w:val="ListParagraph"/>
              <w:ind w:left="601"/>
              <w:rPr>
                <w:i/>
              </w:rPr>
            </w:pPr>
            <w:r>
              <w:rPr>
                <w:i/>
              </w:rPr>
              <w:t>Tālr.:</w:t>
            </w:r>
          </w:p>
        </w:tc>
        <w:tc>
          <w:tcPr>
            <w:tcW w:w="5670" w:type="dxa"/>
          </w:tcPr>
          <w:p w:rsidRPr="009B70E7" w:rsidR="00E66A9B" w:rsidP="009120CD" w:rsidRDefault="00E66A9B" w14:paraId="654D249A" w14:textId="2F3FB09C">
            <w:pPr>
              <w:pStyle w:val="ListParagraph"/>
              <w:ind w:left="0"/>
              <w:rPr>
                <w:i/>
              </w:rPr>
            </w:pPr>
            <w:r>
              <w:rPr>
                <w:i/>
              </w:rPr>
              <w:t>00 32 2 546 86 58</w:t>
            </w:r>
          </w:p>
        </w:tc>
      </w:tr>
      <w:tr w:rsidRPr="009B70E7" w:rsidR="00E66A9B" w:rsidTr="004E4367" w14:paraId="5EF668E5" w14:textId="77777777">
        <w:tc>
          <w:tcPr>
            <w:tcW w:w="1418" w:type="dxa"/>
          </w:tcPr>
          <w:p w:rsidRPr="009B70E7" w:rsidR="00E66A9B" w:rsidP="009120CD" w:rsidRDefault="00E66A9B" w14:paraId="263AA5CE" w14:textId="77777777">
            <w:pPr>
              <w:pStyle w:val="ListParagraph"/>
              <w:ind w:left="601"/>
              <w:rPr>
                <w:i/>
              </w:rPr>
            </w:pPr>
            <w:r>
              <w:rPr>
                <w:i/>
              </w:rPr>
              <w:t>E-pasts:</w:t>
            </w:r>
          </w:p>
        </w:tc>
        <w:tc>
          <w:tcPr>
            <w:tcW w:w="5670" w:type="dxa"/>
          </w:tcPr>
          <w:p w:rsidRPr="009B70E7" w:rsidR="00E66A9B" w:rsidP="009120CD" w:rsidRDefault="0022731C" w14:paraId="32F79406" w14:textId="235AF369">
            <w:pPr>
              <w:pStyle w:val="ListParagraph"/>
              <w:ind w:left="0"/>
              <w:rPr>
                <w:i/>
              </w:rPr>
            </w:pPr>
            <w:hyperlink w:history="1" r:id="rId32">
              <w:r w:rsidR="0064748D">
                <w:rPr>
                  <w:rStyle w:val="Hyperlink"/>
                  <w:i/>
                </w:rPr>
                <w:t>Agota.Baszik@eesc.europa.eu</w:t>
              </w:r>
            </w:hyperlink>
          </w:p>
        </w:tc>
      </w:tr>
    </w:tbl>
    <w:p w:rsidRPr="00276CC9" w:rsidR="00037A85" w:rsidP="009120CD" w:rsidRDefault="00037A85" w14:paraId="085FE399" w14:textId="77777777">
      <w:pPr>
        <w:jc w:val="left"/>
        <w:rPr>
          <w:sz w:val="28"/>
        </w:rPr>
      </w:pPr>
    </w:p>
    <w:p w:rsidRPr="009B70E7" w:rsidR="00D76363" w:rsidP="009120CD" w:rsidRDefault="00F3200A" w14:paraId="401CAB05" w14:textId="692CEFA9">
      <w:pPr>
        <w:pStyle w:val="ListParagraph"/>
        <w:keepNext/>
        <w:numPr>
          <w:ilvl w:val="0"/>
          <w:numId w:val="2"/>
        </w:numPr>
        <w:ind w:left="567" w:hanging="567"/>
        <w:rPr>
          <w:b/>
          <w:i/>
          <w:sz w:val="28"/>
          <w:szCs w:val="28"/>
        </w:rPr>
      </w:pPr>
      <w:bookmarkStart w:name="_Hlk113975861" w:id="18"/>
      <w:r>
        <w:rPr>
          <w:b/>
          <w:i/>
          <w:sz w:val="28"/>
        </w:rPr>
        <w:t>Kosmosa tiesību aktu kopums</w:t>
      </w:r>
    </w:p>
    <w:p w:rsidRPr="009B70E7" w:rsidR="00D76363" w:rsidP="009120CD" w:rsidRDefault="00D76363" w14:paraId="26D9A939"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Pr="009B70E7" w:rsidR="00D76363" w:rsidTr="00F049D6" w14:paraId="1BC08D1D" w14:textId="77777777">
        <w:tc>
          <w:tcPr>
            <w:tcW w:w="1701" w:type="dxa"/>
          </w:tcPr>
          <w:p w:rsidRPr="009B70E7" w:rsidR="00D76363" w:rsidP="009120CD" w:rsidRDefault="00D76363" w14:paraId="073DB159" w14:textId="77777777">
            <w:pPr>
              <w:pStyle w:val="ListParagraph"/>
              <w:keepNext/>
              <w:ind w:left="0"/>
              <w:rPr>
                <w:b/>
              </w:rPr>
            </w:pPr>
            <w:r>
              <w:rPr>
                <w:b/>
              </w:rPr>
              <w:t>Ziņotājs:</w:t>
            </w:r>
          </w:p>
        </w:tc>
        <w:tc>
          <w:tcPr>
            <w:tcW w:w="5812" w:type="dxa"/>
          </w:tcPr>
          <w:p w:rsidRPr="009B70E7" w:rsidR="00D76363" w:rsidP="009120CD" w:rsidRDefault="00F3200A" w14:paraId="64C95B4D" w14:textId="0230F142">
            <w:pPr>
              <w:pStyle w:val="ListParagraph"/>
              <w:keepNext/>
              <w:ind w:left="-56" w:right="-453"/>
            </w:pPr>
            <w:r>
              <w:t xml:space="preserve">Pierre </w:t>
            </w:r>
            <w:proofErr w:type="spellStart"/>
            <w:r>
              <w:t>Jean</w:t>
            </w:r>
            <w:proofErr w:type="spellEnd"/>
            <w:r>
              <w:t xml:space="preserve"> COULON (Darba ņēmēju grupa – FR)</w:t>
            </w:r>
          </w:p>
        </w:tc>
      </w:tr>
      <w:tr w:rsidRPr="009B70E7" w:rsidR="00D76363" w:rsidTr="00F049D6" w14:paraId="206D71D0" w14:textId="77777777">
        <w:tc>
          <w:tcPr>
            <w:tcW w:w="7513" w:type="dxa"/>
            <w:gridSpan w:val="2"/>
          </w:tcPr>
          <w:p w:rsidRPr="009B70E7" w:rsidR="00D76363" w:rsidP="009120CD" w:rsidRDefault="00D76363" w14:paraId="44F259D7" w14:textId="77777777">
            <w:pPr>
              <w:pStyle w:val="ListParagraph"/>
              <w:keepNext/>
              <w:ind w:left="0"/>
            </w:pPr>
          </w:p>
        </w:tc>
      </w:tr>
      <w:tr w:rsidRPr="009B70E7" w:rsidR="00D76363" w:rsidTr="00F049D6" w14:paraId="006CBBBB" w14:textId="77777777">
        <w:tc>
          <w:tcPr>
            <w:tcW w:w="1701" w:type="dxa"/>
            <w:vMerge w:val="restart"/>
          </w:tcPr>
          <w:p w:rsidRPr="009B70E7" w:rsidR="00D76363" w:rsidP="009120CD" w:rsidRDefault="00D76363" w14:paraId="21B3F0D6" w14:textId="77777777">
            <w:pPr>
              <w:pStyle w:val="ListParagraph"/>
              <w:keepNext/>
              <w:ind w:left="0"/>
              <w:rPr>
                <w:b/>
              </w:rPr>
            </w:pPr>
            <w:r>
              <w:rPr>
                <w:b/>
              </w:rPr>
              <w:t xml:space="preserve">Atsauce: </w:t>
            </w:r>
          </w:p>
        </w:tc>
        <w:tc>
          <w:tcPr>
            <w:tcW w:w="5812" w:type="dxa"/>
          </w:tcPr>
          <w:p w:rsidRPr="009B70E7" w:rsidR="00D76363" w:rsidP="009120CD" w:rsidRDefault="00D76363" w14:paraId="0F2B0508" w14:textId="0A279174">
            <w:pPr>
              <w:pStyle w:val="ListParagraph"/>
              <w:keepNext/>
              <w:ind w:left="-56"/>
            </w:pPr>
            <w:r>
              <w:t xml:space="preserve">COM (2022) 57 </w:t>
            </w:r>
            <w:proofErr w:type="spellStart"/>
            <w:r>
              <w:t>final</w:t>
            </w:r>
            <w:proofErr w:type="spellEnd"/>
          </w:p>
        </w:tc>
      </w:tr>
      <w:tr w:rsidRPr="009B70E7" w:rsidR="00D76363" w:rsidTr="00F049D6" w14:paraId="44A197BD" w14:textId="77777777">
        <w:tc>
          <w:tcPr>
            <w:tcW w:w="1701" w:type="dxa"/>
            <w:vMerge/>
          </w:tcPr>
          <w:p w:rsidRPr="009B70E7" w:rsidR="00D76363" w:rsidP="009120CD" w:rsidRDefault="00D76363" w14:paraId="666AB4C5" w14:textId="77777777">
            <w:pPr>
              <w:pStyle w:val="ListParagraph"/>
              <w:keepNext/>
              <w:ind w:left="0"/>
              <w:rPr>
                <w:b/>
              </w:rPr>
            </w:pPr>
          </w:p>
        </w:tc>
        <w:tc>
          <w:tcPr>
            <w:tcW w:w="5812" w:type="dxa"/>
          </w:tcPr>
          <w:p w:rsidRPr="009B70E7" w:rsidR="00D76363" w:rsidP="009120CD" w:rsidRDefault="00E65D01" w14:paraId="26A5E07B" w14:textId="71826A0F">
            <w:pPr>
              <w:pStyle w:val="ListParagraph"/>
              <w:keepNext/>
              <w:ind w:left="-56"/>
            </w:pPr>
            <w:r>
              <w:t>EESC-2022-01215-00-00-AC</w:t>
            </w:r>
          </w:p>
        </w:tc>
      </w:tr>
    </w:tbl>
    <w:p w:rsidRPr="009B70E7" w:rsidR="00D76363" w:rsidP="009120CD" w:rsidRDefault="00D76363" w14:paraId="06470B53" w14:textId="77777777">
      <w:pPr>
        <w:pStyle w:val="ListParagraph"/>
        <w:keepNext/>
        <w:ind w:left="0"/>
      </w:pPr>
    </w:p>
    <w:p w:rsidRPr="00CE23CC" w:rsidR="00F049D6" w:rsidP="009120CD" w:rsidRDefault="00CE23CC" w14:paraId="6E8A2493" w14:textId="0ABC5100">
      <w:pPr>
        <w:pStyle w:val="ListParagraph"/>
        <w:ind w:left="0" w:firstLine="142"/>
        <w:rPr>
          <w:b/>
        </w:rPr>
      </w:pPr>
      <w:r>
        <w:rPr>
          <w:b/>
          <w:bCs/>
        </w:rPr>
        <w:t>Svarīgākie aspekti</w:t>
      </w:r>
    </w:p>
    <w:p w:rsidR="00F049D6" w:rsidP="009120CD" w:rsidRDefault="00F049D6" w14:paraId="44AA08CC" w14:textId="77106A21">
      <w:pPr>
        <w:pStyle w:val="ListParagraph"/>
        <w:ind w:left="0"/>
      </w:pPr>
    </w:p>
    <w:p w:rsidRPr="00027441" w:rsidR="003C5614" w:rsidP="009120CD" w:rsidRDefault="003C5614" w14:paraId="4BC47BC2" w14:textId="4235E7EB">
      <w:pPr>
        <w:pStyle w:val="ListParagraph"/>
        <w:ind w:left="0" w:firstLine="142"/>
        <w:rPr>
          <w:bCs/>
        </w:rPr>
      </w:pPr>
      <w:bookmarkStart w:name="_Hlk113974934" w:id="19"/>
      <w:r>
        <w:t>EESK:</w:t>
      </w:r>
      <w:bookmarkEnd w:id="19"/>
    </w:p>
    <w:p w:rsidRPr="009B70E7" w:rsidR="003C5614" w:rsidP="009120CD" w:rsidRDefault="003C5614" w14:paraId="290F00A2" w14:textId="77777777">
      <w:pPr>
        <w:pStyle w:val="ListParagraph"/>
        <w:ind w:left="0"/>
      </w:pPr>
    </w:p>
    <w:p w:rsidRPr="003527B4" w:rsidR="00D76363" w:rsidP="009120CD" w:rsidRDefault="003C5614" w14:paraId="5660D604" w14:textId="4750D8D2">
      <w:pPr>
        <w:pStyle w:val="ListParagraph"/>
        <w:numPr>
          <w:ilvl w:val="0"/>
          <w:numId w:val="3"/>
        </w:numPr>
        <w:ind w:left="357" w:hanging="357"/>
        <w:rPr>
          <w:bCs/>
        </w:rPr>
      </w:pPr>
      <w:r>
        <w:t>stingri atbalsta kosmosa satiksmes daudzpusējas pārvaldības veicināšanu ANO ietvaros, tostarp Eiropas dalībnieku vidū;</w:t>
      </w:r>
    </w:p>
    <w:p w:rsidR="00D76363" w:rsidP="009120CD" w:rsidRDefault="003C5614" w14:paraId="5BFF3ABB" w14:textId="50158259">
      <w:pPr>
        <w:pStyle w:val="ListParagraph"/>
        <w:numPr>
          <w:ilvl w:val="0"/>
          <w:numId w:val="3"/>
        </w:numPr>
        <w:ind w:left="357" w:hanging="357"/>
        <w:rPr>
          <w:bCs/>
        </w:rPr>
      </w:pPr>
      <w:r>
        <w:t xml:space="preserve">uzsver, ka standarti, pamatnostādnes un starptautiskā </w:t>
      </w:r>
      <w:proofErr w:type="spellStart"/>
      <w:r>
        <w:t>paraugprakse</w:t>
      </w:r>
      <w:proofErr w:type="spellEnd"/>
      <w:r>
        <w:t xml:space="preserve"> kosmosa satiksmes pārvaldības (STM) jomā ir jāizstrādā, izmantojot starptautisko standartizāciju;</w:t>
      </w:r>
    </w:p>
    <w:p w:rsidR="00E24CDF" w:rsidP="009120CD" w:rsidRDefault="003C5614" w14:paraId="697D0B9F" w14:textId="62559EE4">
      <w:pPr>
        <w:pStyle w:val="ListParagraph"/>
        <w:numPr>
          <w:ilvl w:val="0"/>
          <w:numId w:val="3"/>
        </w:numPr>
        <w:ind w:left="357" w:hanging="357"/>
        <w:rPr>
          <w:bCs/>
        </w:rPr>
      </w:pPr>
      <w:r>
        <w:t>iesaka pieņemt standartus un pamatnostādnes Eiropas līmenī, iesaistot organizētu pilsonisko sabiedrību;</w:t>
      </w:r>
    </w:p>
    <w:p w:rsidRPr="00F049D6" w:rsidR="00E24CDF" w:rsidP="009120CD" w:rsidRDefault="003C5614" w14:paraId="7D33BDFB" w14:textId="1DDDF5B4">
      <w:pPr>
        <w:pStyle w:val="ListParagraph"/>
        <w:numPr>
          <w:ilvl w:val="0"/>
          <w:numId w:val="3"/>
        </w:numPr>
        <w:ind w:left="357" w:hanging="357"/>
        <w:rPr>
          <w:bCs/>
        </w:rPr>
      </w:pPr>
      <w:r>
        <w:t>atgādina, ka izglītības un apmācības pasākumi ir būtiski, lai attīstītu padziļinātas prasmes ar kosmosu saistītās jomās.</w:t>
      </w:r>
    </w:p>
    <w:p w:rsidRPr="009B70E7" w:rsidR="00D76363" w:rsidP="009120CD" w:rsidRDefault="00D76363" w14:paraId="450C439D"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9B70E7" w:rsidR="00CE23CC" w:rsidTr="00B40158" w14:paraId="50862FD0" w14:textId="77777777">
        <w:tc>
          <w:tcPr>
            <w:tcW w:w="1418" w:type="dxa"/>
          </w:tcPr>
          <w:p w:rsidRPr="009B70E7" w:rsidR="00CE23CC" w:rsidP="009120CD" w:rsidRDefault="00CE23CC" w14:paraId="028ABA93" w14:textId="77777777">
            <w:pPr>
              <w:pStyle w:val="ListParagraph"/>
              <w:ind w:left="0"/>
              <w:rPr>
                <w:i/>
              </w:rPr>
            </w:pPr>
            <w:r>
              <w:rPr>
                <w:b/>
                <w:i/>
              </w:rPr>
              <w:t>Kontaktpersona:</w:t>
            </w:r>
          </w:p>
        </w:tc>
        <w:tc>
          <w:tcPr>
            <w:tcW w:w="5670" w:type="dxa"/>
          </w:tcPr>
          <w:p w:rsidRPr="009B70E7" w:rsidR="00CE23CC" w:rsidP="009120CD" w:rsidRDefault="00C508EF" w14:paraId="1F245965" w14:textId="0F9205CB">
            <w:pPr>
              <w:pStyle w:val="ListParagraph"/>
              <w:ind w:left="0"/>
              <w:rPr>
                <w:i/>
              </w:rPr>
            </w:pPr>
            <w:proofErr w:type="spellStart"/>
            <w:r>
              <w:rPr>
                <w:i/>
              </w:rPr>
              <w:t>Alessandro</w:t>
            </w:r>
            <w:proofErr w:type="spellEnd"/>
            <w:r>
              <w:rPr>
                <w:i/>
              </w:rPr>
              <w:t xml:space="preserve"> </w:t>
            </w:r>
            <w:r w:rsidR="0022731C">
              <w:rPr>
                <w:i/>
              </w:rPr>
              <w:t>RIZZI</w:t>
            </w:r>
          </w:p>
        </w:tc>
      </w:tr>
      <w:tr w:rsidRPr="009B70E7" w:rsidR="00CE23CC" w:rsidTr="00B40158" w14:paraId="5DE31472" w14:textId="77777777">
        <w:tc>
          <w:tcPr>
            <w:tcW w:w="1418" w:type="dxa"/>
          </w:tcPr>
          <w:p w:rsidRPr="009B70E7" w:rsidR="00CE23CC" w:rsidP="009120CD" w:rsidRDefault="00CE23CC" w14:paraId="46E53147" w14:textId="77777777">
            <w:pPr>
              <w:pStyle w:val="ListParagraph"/>
              <w:ind w:left="601"/>
              <w:rPr>
                <w:i/>
              </w:rPr>
            </w:pPr>
            <w:r>
              <w:rPr>
                <w:i/>
              </w:rPr>
              <w:t>Tālr.:</w:t>
            </w:r>
          </w:p>
        </w:tc>
        <w:tc>
          <w:tcPr>
            <w:tcW w:w="5670" w:type="dxa"/>
          </w:tcPr>
          <w:p w:rsidRPr="009B70E7" w:rsidR="00CE23CC" w:rsidP="009120CD" w:rsidRDefault="00CE23CC" w14:paraId="61A04E27" w14:textId="49032C83">
            <w:pPr>
              <w:pStyle w:val="ListParagraph"/>
              <w:ind w:left="0"/>
              <w:rPr>
                <w:i/>
              </w:rPr>
            </w:pPr>
            <w:r>
              <w:rPr>
                <w:i/>
              </w:rPr>
              <w:t>00 32 2 546 86 79</w:t>
            </w:r>
          </w:p>
        </w:tc>
      </w:tr>
      <w:tr w:rsidRPr="009B70E7" w:rsidR="00CE23CC" w:rsidTr="00B40158" w14:paraId="5EFFF55F" w14:textId="77777777">
        <w:tc>
          <w:tcPr>
            <w:tcW w:w="1418" w:type="dxa"/>
          </w:tcPr>
          <w:p w:rsidRPr="009B70E7" w:rsidR="00CE23CC" w:rsidP="009120CD" w:rsidRDefault="00CE23CC" w14:paraId="6B9430EE" w14:textId="77777777">
            <w:pPr>
              <w:pStyle w:val="ListParagraph"/>
              <w:ind w:left="601"/>
              <w:rPr>
                <w:i/>
              </w:rPr>
            </w:pPr>
            <w:r>
              <w:rPr>
                <w:i/>
              </w:rPr>
              <w:t>E-pasts:</w:t>
            </w:r>
          </w:p>
        </w:tc>
        <w:tc>
          <w:tcPr>
            <w:tcW w:w="5670" w:type="dxa"/>
          </w:tcPr>
          <w:p w:rsidRPr="009B70E7" w:rsidR="00CE23CC" w:rsidP="009120CD" w:rsidRDefault="0022731C" w14:paraId="2F25FA4C" w14:textId="51E8AFD3">
            <w:pPr>
              <w:pStyle w:val="ListParagraph"/>
              <w:ind w:left="0"/>
              <w:rPr>
                <w:i/>
              </w:rPr>
            </w:pPr>
            <w:hyperlink w:history="1" r:id="rId33">
              <w:r w:rsidR="0064748D">
                <w:rPr>
                  <w:rStyle w:val="Hyperlink"/>
                </w:rPr>
                <w:t>Alessandro.Rizzi</w:t>
              </w:r>
              <w:r w:rsidR="0064748D">
                <w:rPr>
                  <w:rStyle w:val="Hyperlink"/>
                  <w:i/>
                </w:rPr>
                <w:t>@eesc.europa.eu</w:t>
              </w:r>
            </w:hyperlink>
          </w:p>
        </w:tc>
      </w:tr>
      <w:bookmarkEnd w:id="18"/>
    </w:tbl>
    <w:p w:rsidRPr="00A10A98" w:rsidR="007327CD" w:rsidP="009120CD" w:rsidRDefault="007327CD" w14:paraId="1C752D75" w14:textId="77777777">
      <w:pPr>
        <w:jc w:val="left"/>
        <w:rPr>
          <w:sz w:val="28"/>
        </w:rPr>
      </w:pPr>
    </w:p>
    <w:p w:rsidRPr="009B70E7" w:rsidR="00552022" w:rsidP="009120CD" w:rsidRDefault="00552022" w14:paraId="78781758" w14:textId="24E36E03">
      <w:pPr>
        <w:pStyle w:val="ListParagraph"/>
        <w:keepNext/>
        <w:numPr>
          <w:ilvl w:val="0"/>
          <w:numId w:val="2"/>
        </w:numPr>
        <w:ind w:left="567" w:hanging="567"/>
        <w:rPr>
          <w:b/>
          <w:i/>
          <w:sz w:val="28"/>
          <w:szCs w:val="28"/>
        </w:rPr>
      </w:pPr>
      <w:bookmarkStart w:name="_Hlk112076379" w:id="20"/>
      <w:r>
        <w:rPr>
          <w:b/>
          <w:i/>
          <w:sz w:val="28"/>
        </w:rPr>
        <w:lastRenderedPageBreak/>
        <w:t>Kodolenerģijas nozīme ES enerģijas cenu stabilitātē</w:t>
      </w:r>
    </w:p>
    <w:p w:rsidRPr="009B70E7" w:rsidR="00552022" w:rsidP="009120CD" w:rsidRDefault="00552022" w14:paraId="32247E5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6237"/>
      </w:tblGrid>
      <w:tr w:rsidRPr="009B70E7" w:rsidR="00552022" w:rsidTr="00552022" w14:paraId="6EE8C0C9" w14:textId="77777777">
        <w:tc>
          <w:tcPr>
            <w:tcW w:w="1701" w:type="dxa"/>
          </w:tcPr>
          <w:p w:rsidRPr="009B70E7" w:rsidR="00552022" w:rsidP="009120CD" w:rsidRDefault="00552022" w14:paraId="3D105EC5" w14:textId="77777777">
            <w:pPr>
              <w:pStyle w:val="ListParagraph"/>
              <w:keepNext/>
              <w:ind w:left="0"/>
              <w:rPr>
                <w:b/>
              </w:rPr>
            </w:pPr>
            <w:r>
              <w:rPr>
                <w:b/>
              </w:rPr>
              <w:t>Ziņotāja:</w:t>
            </w:r>
          </w:p>
        </w:tc>
        <w:tc>
          <w:tcPr>
            <w:tcW w:w="6237" w:type="dxa"/>
          </w:tcPr>
          <w:p w:rsidRPr="009B70E7" w:rsidR="00552022" w:rsidP="009120CD" w:rsidRDefault="00552022" w14:paraId="3810931E" w14:textId="0A1B5B33">
            <w:pPr>
              <w:pStyle w:val="ListParagraph"/>
              <w:keepNext/>
              <w:ind w:left="-56" w:right="-453"/>
            </w:pPr>
            <w:r>
              <w:t>Alena MASTANTUONO (Darba devēju grupa – CZ)</w:t>
            </w:r>
          </w:p>
        </w:tc>
      </w:tr>
      <w:tr w:rsidRPr="009B70E7" w:rsidR="00552022" w:rsidTr="00552022" w14:paraId="06FE6BBE" w14:textId="77777777">
        <w:tc>
          <w:tcPr>
            <w:tcW w:w="7938" w:type="dxa"/>
            <w:gridSpan w:val="2"/>
          </w:tcPr>
          <w:p w:rsidRPr="009B70E7" w:rsidR="00552022" w:rsidP="009120CD" w:rsidRDefault="00552022" w14:paraId="7238C585" w14:textId="77777777">
            <w:pPr>
              <w:pStyle w:val="ListParagraph"/>
              <w:keepNext/>
              <w:ind w:left="0"/>
            </w:pPr>
          </w:p>
        </w:tc>
      </w:tr>
      <w:tr w:rsidRPr="009B70E7" w:rsidR="00552022" w:rsidTr="00552022" w14:paraId="2AF8558F" w14:textId="77777777">
        <w:tc>
          <w:tcPr>
            <w:tcW w:w="1701" w:type="dxa"/>
            <w:vMerge w:val="restart"/>
          </w:tcPr>
          <w:p w:rsidRPr="009B70E7" w:rsidR="00552022" w:rsidP="009120CD" w:rsidRDefault="00552022" w14:paraId="69780534" w14:textId="77777777">
            <w:pPr>
              <w:pStyle w:val="ListParagraph"/>
              <w:keepNext/>
              <w:ind w:left="0"/>
              <w:rPr>
                <w:b/>
              </w:rPr>
            </w:pPr>
            <w:r>
              <w:rPr>
                <w:b/>
              </w:rPr>
              <w:t xml:space="preserve">Atsauce: </w:t>
            </w:r>
          </w:p>
        </w:tc>
        <w:tc>
          <w:tcPr>
            <w:tcW w:w="6237" w:type="dxa"/>
          </w:tcPr>
          <w:p w:rsidRPr="009B70E7" w:rsidR="00552022" w:rsidP="009120CD" w:rsidRDefault="00552022" w14:paraId="3C6C8A09" w14:textId="67782258">
            <w:pPr>
              <w:pStyle w:val="ListParagraph"/>
              <w:keepNext/>
              <w:ind w:left="-56"/>
            </w:pPr>
            <w:r>
              <w:t>Izpētes atzinums pēc Padomes prezidentvalsts Čehijas pieprasījuma</w:t>
            </w:r>
          </w:p>
        </w:tc>
      </w:tr>
      <w:tr w:rsidRPr="009B70E7" w:rsidR="00552022" w:rsidTr="00552022" w14:paraId="3962A65D" w14:textId="77777777">
        <w:tc>
          <w:tcPr>
            <w:tcW w:w="1701" w:type="dxa"/>
            <w:vMerge/>
          </w:tcPr>
          <w:p w:rsidRPr="009B70E7" w:rsidR="00552022" w:rsidP="009120CD" w:rsidRDefault="00552022" w14:paraId="13F72412" w14:textId="77777777">
            <w:pPr>
              <w:pStyle w:val="ListParagraph"/>
              <w:keepNext/>
              <w:ind w:left="0"/>
              <w:rPr>
                <w:b/>
              </w:rPr>
            </w:pPr>
          </w:p>
        </w:tc>
        <w:tc>
          <w:tcPr>
            <w:tcW w:w="6237" w:type="dxa"/>
          </w:tcPr>
          <w:p w:rsidRPr="009B70E7" w:rsidR="00552022" w:rsidP="009120CD" w:rsidRDefault="00552022" w14:paraId="0B2F8735" w14:textId="6F41FB1F">
            <w:pPr>
              <w:pStyle w:val="ListParagraph"/>
              <w:keepNext/>
              <w:ind w:left="-56"/>
            </w:pPr>
            <w:r>
              <w:t>EESC-2022-01184-00-00-AC</w:t>
            </w:r>
          </w:p>
        </w:tc>
      </w:tr>
    </w:tbl>
    <w:p w:rsidRPr="009B70E7" w:rsidR="00552022" w:rsidP="009120CD" w:rsidRDefault="00552022" w14:paraId="18951AC6" w14:textId="77777777">
      <w:pPr>
        <w:pStyle w:val="ListParagraph"/>
        <w:keepNext/>
        <w:ind w:left="0"/>
      </w:pPr>
    </w:p>
    <w:p w:rsidRPr="00027441" w:rsidR="00552022" w:rsidP="009120CD" w:rsidRDefault="00552022" w14:paraId="2B30E15E" w14:textId="763FBC7A">
      <w:pPr>
        <w:pStyle w:val="ListParagraph"/>
        <w:ind w:left="0" w:firstLine="142"/>
        <w:rPr>
          <w:b/>
        </w:rPr>
      </w:pPr>
      <w:r>
        <w:rPr>
          <w:b/>
          <w:bCs/>
        </w:rPr>
        <w:t>Svarīgākie aspekti</w:t>
      </w:r>
    </w:p>
    <w:p w:rsidR="00552022" w:rsidP="009120CD" w:rsidRDefault="00552022" w14:paraId="0D4298E9" w14:textId="477EC84A">
      <w:pPr>
        <w:pStyle w:val="ListParagraph"/>
        <w:ind w:left="0"/>
      </w:pPr>
    </w:p>
    <w:p w:rsidRPr="00027441" w:rsidR="003C5614" w:rsidP="009120CD" w:rsidRDefault="003C5614" w14:paraId="65D692F3" w14:textId="363CCA57">
      <w:pPr>
        <w:pStyle w:val="ListParagraph"/>
        <w:ind w:left="0" w:firstLine="142"/>
        <w:rPr>
          <w:bCs/>
        </w:rPr>
      </w:pPr>
      <w:bookmarkStart w:name="_Hlk113975344" w:id="21"/>
      <w:r>
        <w:t>EESK:</w:t>
      </w:r>
      <w:bookmarkEnd w:id="21"/>
    </w:p>
    <w:p w:rsidRPr="009B70E7" w:rsidR="003C5614" w:rsidP="009120CD" w:rsidRDefault="003C5614" w14:paraId="552B3E66" w14:textId="77777777">
      <w:pPr>
        <w:pStyle w:val="ListParagraph"/>
        <w:ind w:left="0"/>
      </w:pPr>
    </w:p>
    <w:p w:rsidR="00552022" w:rsidP="009120CD" w:rsidRDefault="003C5614" w14:paraId="08F14DD3" w14:textId="453A1287">
      <w:pPr>
        <w:pStyle w:val="ListParagraph"/>
        <w:numPr>
          <w:ilvl w:val="0"/>
          <w:numId w:val="3"/>
        </w:numPr>
        <w:ind w:left="357" w:hanging="357"/>
        <w:rPr>
          <w:bCs/>
        </w:rPr>
      </w:pPr>
      <w:r>
        <w:t xml:space="preserve">atzīst, ka, ņemot vērā vairumtirdzniecības tirgus pašreizējo struktūru, </w:t>
      </w:r>
      <w:r>
        <w:rPr>
          <w:b/>
        </w:rPr>
        <w:t>elektroenerģijas cenas veidojas pēc izdevīguma secības</w:t>
      </w:r>
      <w:r>
        <w:t>.</w:t>
      </w:r>
      <w:r>
        <w:rPr>
          <w:b/>
        </w:rPr>
        <w:t xml:space="preserve"> </w:t>
      </w:r>
      <w:r>
        <w:t>Tas nozīmē</w:t>
      </w:r>
      <w:r>
        <w:rPr>
          <w:b/>
        </w:rPr>
        <w:t xml:space="preserve">, ka kodolenerģija neietekmē enerģijas cenas </w:t>
      </w:r>
      <w:proofErr w:type="spellStart"/>
      <w:r>
        <w:rPr>
          <w:b/>
        </w:rPr>
        <w:t>aktuāltirgū</w:t>
      </w:r>
      <w:proofErr w:type="spellEnd"/>
      <w:r>
        <w:rPr>
          <w:b/>
        </w:rPr>
        <w:t>,</w:t>
      </w:r>
      <w:r>
        <w:t xml:space="preserve"> ja vien energoresursu struktūrā nav liels </w:t>
      </w:r>
      <w:proofErr w:type="spellStart"/>
      <w:r>
        <w:t>mazemisiju</w:t>
      </w:r>
      <w:proofErr w:type="spellEnd"/>
      <w:r>
        <w:t xml:space="preserve"> avotu īpatsvars. Tomēr </w:t>
      </w:r>
      <w:r>
        <w:rPr>
          <w:b/>
        </w:rPr>
        <w:t>pastāv būtiska korelācija starp piedāvājuma samazināšanos un pieprasījuma palielināšanos, kas enerģijas cenām liek celties</w:t>
      </w:r>
      <w:r>
        <w:t>. Nodrošinot stabilāku piegādi no stabiliem mazoglekļa enerģijas avotiem, enerģijas cenas būs mazāk svārstīgas;</w:t>
      </w:r>
    </w:p>
    <w:bookmarkEnd w:id="20"/>
    <w:p w:rsidRPr="003C5614" w:rsidR="00552022" w:rsidP="009120CD" w:rsidRDefault="003C5614" w14:paraId="2D1BDD5C" w14:textId="35A2D5C7">
      <w:pPr>
        <w:pStyle w:val="ListParagraph"/>
        <w:numPr>
          <w:ilvl w:val="0"/>
          <w:numId w:val="3"/>
        </w:numPr>
        <w:ind w:left="357" w:hanging="357"/>
        <w:rPr>
          <w:bCs/>
        </w:rPr>
      </w:pPr>
      <w:r>
        <w:t xml:space="preserve">uzskata, ka </w:t>
      </w:r>
      <w:r>
        <w:rPr>
          <w:b/>
        </w:rPr>
        <w:t xml:space="preserve">pašreizējā kodolelektrostaciju parka darbības pagarināšana ir piemērots risinājums šajā konkrētajā situācijā un vienlaikus palīdzēs pāriet uz </w:t>
      </w:r>
      <w:proofErr w:type="spellStart"/>
      <w:r>
        <w:rPr>
          <w:b/>
        </w:rPr>
        <w:t>oglekļneitrālu</w:t>
      </w:r>
      <w:proofErr w:type="spellEnd"/>
      <w:r>
        <w:rPr>
          <w:b/>
        </w:rPr>
        <w:t xml:space="preserve"> ekonomiku</w:t>
      </w:r>
      <w:r>
        <w:t>;</w:t>
      </w:r>
    </w:p>
    <w:p w:rsidR="003C5614" w:rsidP="009120CD" w:rsidRDefault="003C5614" w14:paraId="42F00557" w14:textId="6B341506">
      <w:pPr>
        <w:pStyle w:val="ListParagraph"/>
        <w:numPr>
          <w:ilvl w:val="0"/>
          <w:numId w:val="3"/>
        </w:numPr>
        <w:ind w:left="357" w:hanging="357"/>
        <w:rPr>
          <w:bCs/>
        </w:rPr>
      </w:pPr>
      <w:r>
        <w:t xml:space="preserve">iesaka </w:t>
      </w:r>
      <w:r>
        <w:rPr>
          <w:b/>
        </w:rPr>
        <w:t xml:space="preserve">dalībvalstīm risināt uzglabāšanas jaudas jautājumu un nostiprināt pārvades </w:t>
      </w:r>
      <w:proofErr w:type="spellStart"/>
      <w:r>
        <w:rPr>
          <w:b/>
        </w:rPr>
        <w:t>starpsavienojumus</w:t>
      </w:r>
      <w:proofErr w:type="spellEnd"/>
      <w:r>
        <w:t>, lai ilgtermiņā varētu efektīvi reaģēt uz atjaunīgo energoresursu un </w:t>
      </w:r>
      <w:r w:rsidR="00801DC4">
        <w:t>–</w:t>
      </w:r>
      <w:r>
        <w:t xml:space="preserve"> īstermiņā </w:t>
      </w:r>
      <w:r w:rsidR="0022731C">
        <w:t>–</w:t>
      </w:r>
      <w:r>
        <w:t xml:space="preserve"> gāzes piegādes svārstībām;</w:t>
      </w:r>
    </w:p>
    <w:p w:rsidR="003C5614" w:rsidP="009120CD" w:rsidRDefault="003C5614" w14:paraId="63403914" w14:textId="58A189A4">
      <w:pPr>
        <w:pStyle w:val="ListParagraph"/>
        <w:numPr>
          <w:ilvl w:val="0"/>
          <w:numId w:val="3"/>
        </w:numPr>
        <w:ind w:left="357" w:hanging="357"/>
        <w:rPr>
          <w:bCs/>
        </w:rPr>
      </w:pPr>
      <w:r>
        <w:t xml:space="preserve">ierosina </w:t>
      </w:r>
      <w:r>
        <w:rPr>
          <w:b/>
        </w:rPr>
        <w:t>prezidentvalstij Čehijai</w:t>
      </w:r>
      <w:r>
        <w:t>, ciešā sadarbībā ar EESK,</w:t>
      </w:r>
      <w:r>
        <w:rPr>
          <w:b/>
        </w:rPr>
        <w:t xml:space="preserve"> Eiropas Kodolenerģijas forumā (</w:t>
      </w:r>
      <w:r>
        <w:rPr>
          <w:b/>
          <w:i/>
          <w:iCs/>
        </w:rPr>
        <w:t>ENEF</w:t>
      </w:r>
      <w:r>
        <w:rPr>
          <w:b/>
        </w:rPr>
        <w:t>) apspriest gan cenu stabilitāti kodolenerģijas nozarē, gan kodolenerģijas nozīmi piegādes stabilitātes nodrošināšanā</w:t>
      </w:r>
      <w:r>
        <w:t>, reaģējot uz samazināto ES atkarību no Krievijas gāzes;</w:t>
      </w:r>
    </w:p>
    <w:p w:rsidR="003C5614" w:rsidP="009120CD" w:rsidRDefault="003C5614" w14:paraId="482A40CE" w14:textId="788DCD1A">
      <w:pPr>
        <w:pStyle w:val="ListParagraph"/>
        <w:numPr>
          <w:ilvl w:val="0"/>
          <w:numId w:val="3"/>
        </w:numPr>
        <w:ind w:left="357" w:hanging="357"/>
        <w:rPr>
          <w:bCs/>
        </w:rPr>
      </w:pPr>
      <w:r>
        <w:t xml:space="preserve">ierosina </w:t>
      </w:r>
      <w:r>
        <w:rPr>
          <w:b/>
        </w:rPr>
        <w:t>pastiprināt divpusējo sadarbību ar starptautiskajiem partneriem kodolenerģijas nozarē</w:t>
      </w:r>
      <w:r>
        <w:t>, lai dalītos ar atklājumiem inovāciju un jauno tehnoloģiju jomā;</w:t>
      </w:r>
    </w:p>
    <w:p w:rsidRPr="00F049D6" w:rsidR="003C5614" w:rsidP="009120CD" w:rsidRDefault="00737766" w14:paraId="7302689C" w14:textId="3A6D7DFD">
      <w:pPr>
        <w:pStyle w:val="ListParagraph"/>
        <w:numPr>
          <w:ilvl w:val="0"/>
          <w:numId w:val="3"/>
        </w:numPr>
        <w:ind w:left="357" w:hanging="357"/>
        <w:rPr>
          <w:bCs/>
        </w:rPr>
      </w:pPr>
      <w:r>
        <w:t xml:space="preserve">iesaka </w:t>
      </w:r>
      <w:r>
        <w:rPr>
          <w:b/>
        </w:rPr>
        <w:t>ES Padomes prezidentvalstij Čehijai organizēt konferenci par maziem modulāriem reaktoriem</w:t>
      </w:r>
      <w:r>
        <w:t>, kas varētu izpausties kā ES un ASV augsta līmeņa forums par maziem modulāriem reaktoriem, un analizēt šos daudzsološos pētījumus.</w:t>
      </w:r>
    </w:p>
    <w:p w:rsidRPr="009B70E7" w:rsidR="00552022" w:rsidP="009120CD" w:rsidRDefault="00552022" w14:paraId="2107DC4E"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9B70E7" w:rsidR="00552022" w:rsidTr="004E4367" w14:paraId="196823A4" w14:textId="77777777">
        <w:tc>
          <w:tcPr>
            <w:tcW w:w="1418" w:type="dxa"/>
          </w:tcPr>
          <w:p w:rsidRPr="009B70E7" w:rsidR="00552022" w:rsidP="009120CD" w:rsidRDefault="00552022" w14:paraId="7C0B52EC" w14:textId="77777777">
            <w:pPr>
              <w:pStyle w:val="ListParagraph"/>
              <w:ind w:left="0"/>
              <w:rPr>
                <w:i/>
              </w:rPr>
            </w:pPr>
            <w:bookmarkStart w:name="_Hlk112076794" w:id="22"/>
            <w:r>
              <w:rPr>
                <w:b/>
                <w:i/>
              </w:rPr>
              <w:t>Kontaktpersona:</w:t>
            </w:r>
          </w:p>
        </w:tc>
        <w:tc>
          <w:tcPr>
            <w:tcW w:w="5670" w:type="dxa"/>
          </w:tcPr>
          <w:p w:rsidRPr="009B70E7" w:rsidR="00552022" w:rsidP="009120CD" w:rsidRDefault="00552022" w14:paraId="59793160" w14:textId="0B27502A">
            <w:pPr>
              <w:pStyle w:val="ListParagraph"/>
              <w:ind w:left="0"/>
              <w:rPr>
                <w:i/>
              </w:rPr>
            </w:pPr>
            <w:proofErr w:type="spellStart"/>
            <w:r>
              <w:rPr>
                <w:i/>
              </w:rPr>
              <w:t>Giorgia</w:t>
            </w:r>
            <w:proofErr w:type="spellEnd"/>
            <w:r>
              <w:rPr>
                <w:i/>
              </w:rPr>
              <w:t xml:space="preserve"> </w:t>
            </w:r>
            <w:r w:rsidR="0022731C">
              <w:rPr>
                <w:i/>
              </w:rPr>
              <w:t>BORDIGNON</w:t>
            </w:r>
          </w:p>
        </w:tc>
      </w:tr>
      <w:tr w:rsidRPr="009B70E7" w:rsidR="00552022" w:rsidTr="004E4367" w14:paraId="27C5CA55" w14:textId="77777777">
        <w:tc>
          <w:tcPr>
            <w:tcW w:w="1418" w:type="dxa"/>
          </w:tcPr>
          <w:p w:rsidRPr="009B70E7" w:rsidR="00552022" w:rsidP="009120CD" w:rsidRDefault="00552022" w14:paraId="4B2C1668" w14:textId="77777777">
            <w:pPr>
              <w:pStyle w:val="ListParagraph"/>
              <w:ind w:left="601"/>
              <w:rPr>
                <w:i/>
              </w:rPr>
            </w:pPr>
            <w:r>
              <w:rPr>
                <w:i/>
              </w:rPr>
              <w:t>Tālr.:</w:t>
            </w:r>
          </w:p>
        </w:tc>
        <w:tc>
          <w:tcPr>
            <w:tcW w:w="5670" w:type="dxa"/>
          </w:tcPr>
          <w:p w:rsidRPr="009B70E7" w:rsidR="00552022" w:rsidP="009120CD" w:rsidRDefault="00552022" w14:paraId="756466B9" w14:textId="77777777">
            <w:pPr>
              <w:pStyle w:val="ListParagraph"/>
              <w:ind w:left="0"/>
              <w:rPr>
                <w:i/>
              </w:rPr>
            </w:pPr>
            <w:r>
              <w:rPr>
                <w:i/>
              </w:rPr>
              <w:t>00 32 2 546 85 35</w:t>
            </w:r>
          </w:p>
        </w:tc>
      </w:tr>
      <w:tr w:rsidRPr="009B70E7" w:rsidR="00552022" w:rsidTr="004E4367" w14:paraId="458C3457" w14:textId="77777777">
        <w:tc>
          <w:tcPr>
            <w:tcW w:w="1418" w:type="dxa"/>
          </w:tcPr>
          <w:p w:rsidRPr="009B70E7" w:rsidR="00552022" w:rsidP="009120CD" w:rsidRDefault="00552022" w14:paraId="69EFF3EC" w14:textId="77777777">
            <w:pPr>
              <w:pStyle w:val="ListParagraph"/>
              <w:ind w:left="601"/>
              <w:rPr>
                <w:i/>
              </w:rPr>
            </w:pPr>
            <w:r>
              <w:rPr>
                <w:i/>
              </w:rPr>
              <w:t>E-pasts:</w:t>
            </w:r>
          </w:p>
        </w:tc>
        <w:tc>
          <w:tcPr>
            <w:tcW w:w="5670" w:type="dxa"/>
          </w:tcPr>
          <w:p w:rsidRPr="00F256CD" w:rsidR="0032340F" w:rsidP="009120CD" w:rsidRDefault="0022731C" w14:paraId="356D84CB" w14:textId="57CB110C">
            <w:pPr>
              <w:pStyle w:val="ListParagraph"/>
              <w:ind w:left="0"/>
              <w:rPr>
                <w:i/>
                <w:color w:val="0000FF"/>
                <w:u w:val="single"/>
              </w:rPr>
            </w:pPr>
            <w:hyperlink w:history="1" r:id="rId34">
              <w:r w:rsidR="0064748D">
                <w:rPr>
                  <w:rStyle w:val="Hyperlink"/>
                  <w:i/>
                </w:rPr>
                <w:t>Giorgia.Bordignon@eesc.europa.eu</w:t>
              </w:r>
            </w:hyperlink>
          </w:p>
        </w:tc>
      </w:tr>
      <w:bookmarkEnd w:id="22"/>
    </w:tbl>
    <w:p w:rsidRPr="00F256CD" w:rsidR="00F256CD" w:rsidP="00F256CD" w:rsidRDefault="00F256CD" w14:paraId="2691EB7C" w14:textId="77777777">
      <w:pPr>
        <w:pStyle w:val="ListParagraph"/>
        <w:keepNext/>
        <w:ind w:left="567"/>
        <w:rPr>
          <w:b/>
          <w:i/>
          <w:sz w:val="28"/>
          <w:szCs w:val="28"/>
        </w:rPr>
      </w:pPr>
    </w:p>
    <w:p w:rsidR="0022731C" w:rsidRDefault="0022731C" w14:paraId="262D23DD" w14:textId="77777777">
      <w:pPr>
        <w:spacing w:after="160" w:line="259" w:lineRule="auto"/>
        <w:jc w:val="left"/>
        <w:rPr>
          <w:b/>
          <w:i/>
          <w:sz w:val="28"/>
        </w:rPr>
      </w:pPr>
      <w:r>
        <w:rPr>
          <w:b/>
          <w:i/>
          <w:sz w:val="28"/>
        </w:rPr>
        <w:br w:type="page"/>
      </w:r>
    </w:p>
    <w:p w:rsidRPr="009B70E7" w:rsidR="00552022" w:rsidP="009120CD" w:rsidRDefault="00552022" w14:paraId="42B8070D" w14:textId="75004392">
      <w:pPr>
        <w:pStyle w:val="ListParagraph"/>
        <w:keepNext/>
        <w:numPr>
          <w:ilvl w:val="0"/>
          <w:numId w:val="2"/>
        </w:numPr>
        <w:ind w:left="567" w:hanging="567"/>
        <w:rPr>
          <w:b/>
          <w:i/>
          <w:sz w:val="28"/>
          <w:szCs w:val="28"/>
        </w:rPr>
      </w:pPr>
      <w:r>
        <w:rPr>
          <w:b/>
          <w:i/>
          <w:sz w:val="28"/>
        </w:rPr>
        <w:lastRenderedPageBreak/>
        <w:t xml:space="preserve">Plāns </w:t>
      </w:r>
      <w:r>
        <w:rPr>
          <w:b/>
          <w:i/>
          <w:iCs/>
          <w:sz w:val="28"/>
        </w:rPr>
        <w:t>REPowerEU</w:t>
      </w:r>
    </w:p>
    <w:p w:rsidRPr="009B70E7" w:rsidR="00552022" w:rsidP="009120CD" w:rsidRDefault="00552022" w14:paraId="28F363B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6237"/>
      </w:tblGrid>
      <w:tr w:rsidRPr="009B70E7" w:rsidR="00552022" w:rsidTr="004E4367" w14:paraId="41513243" w14:textId="77777777">
        <w:tc>
          <w:tcPr>
            <w:tcW w:w="1701" w:type="dxa"/>
          </w:tcPr>
          <w:p w:rsidRPr="009B70E7" w:rsidR="00552022" w:rsidP="009120CD" w:rsidRDefault="00552022" w14:paraId="1C44AC09" w14:textId="14426D14">
            <w:pPr>
              <w:pStyle w:val="ListParagraph"/>
              <w:keepNext/>
              <w:ind w:left="0"/>
              <w:rPr>
                <w:b/>
              </w:rPr>
            </w:pPr>
            <w:r>
              <w:rPr>
                <w:b/>
              </w:rPr>
              <w:t>Ziņotāji:</w:t>
            </w:r>
          </w:p>
        </w:tc>
        <w:tc>
          <w:tcPr>
            <w:tcW w:w="6237" w:type="dxa"/>
          </w:tcPr>
          <w:p w:rsidRPr="00552022" w:rsidR="00552022" w:rsidP="009120CD" w:rsidRDefault="00552022" w14:paraId="246309CE" w14:textId="40032DC6">
            <w:pPr>
              <w:pStyle w:val="ListParagraph"/>
              <w:keepNext/>
              <w:ind w:left="-56" w:right="-453"/>
            </w:pPr>
            <w:r>
              <w:t>Stefan BACK (Darba devēju grupa – SE)</w:t>
            </w:r>
          </w:p>
          <w:p w:rsidRPr="00552022" w:rsidR="00552022" w:rsidP="009120CD" w:rsidRDefault="00552022" w14:paraId="067BEC12" w14:textId="34F64F63">
            <w:pPr>
              <w:pStyle w:val="ListParagraph"/>
              <w:keepNext/>
              <w:ind w:left="-56" w:right="-453"/>
            </w:pPr>
            <w:proofErr w:type="spellStart"/>
            <w:r>
              <w:t>Thomas</w:t>
            </w:r>
            <w:proofErr w:type="spellEnd"/>
            <w:r>
              <w:t xml:space="preserve"> KATTNIG (Darba ņēmēju grupa – AT)</w:t>
            </w:r>
          </w:p>
          <w:p w:rsidRPr="009B70E7" w:rsidR="00552022" w:rsidP="009120CD" w:rsidRDefault="00552022" w14:paraId="11889F3A" w14:textId="0276BF56">
            <w:pPr>
              <w:pStyle w:val="ListParagraph"/>
              <w:keepNext/>
              <w:ind w:left="-56" w:right="-453"/>
            </w:pPr>
            <w:proofErr w:type="spellStart"/>
            <w:r>
              <w:t>Lutz</w:t>
            </w:r>
            <w:proofErr w:type="spellEnd"/>
            <w:r>
              <w:t> RIBBE (Pilsoniskās sabiedrības organizāciju grupa – DE)</w:t>
            </w:r>
          </w:p>
        </w:tc>
      </w:tr>
      <w:tr w:rsidRPr="009B70E7" w:rsidR="00552022" w:rsidTr="004E4367" w14:paraId="5F881C29" w14:textId="77777777">
        <w:tc>
          <w:tcPr>
            <w:tcW w:w="7938" w:type="dxa"/>
            <w:gridSpan w:val="2"/>
          </w:tcPr>
          <w:p w:rsidRPr="009B70E7" w:rsidR="00552022" w:rsidP="009120CD" w:rsidRDefault="00552022" w14:paraId="63020509" w14:textId="77777777">
            <w:pPr>
              <w:pStyle w:val="ListParagraph"/>
              <w:keepNext/>
              <w:ind w:left="0"/>
            </w:pPr>
          </w:p>
        </w:tc>
      </w:tr>
      <w:tr w:rsidRPr="009B70E7" w:rsidR="00552022" w:rsidTr="004E4367" w14:paraId="4CCFC13C" w14:textId="77777777">
        <w:tc>
          <w:tcPr>
            <w:tcW w:w="1701" w:type="dxa"/>
            <w:vMerge w:val="restart"/>
          </w:tcPr>
          <w:p w:rsidRPr="009B70E7" w:rsidR="00552022" w:rsidP="009120CD" w:rsidRDefault="00552022" w14:paraId="03AD2E56" w14:textId="77777777">
            <w:pPr>
              <w:pStyle w:val="ListParagraph"/>
              <w:keepNext/>
              <w:ind w:left="0"/>
              <w:rPr>
                <w:b/>
              </w:rPr>
            </w:pPr>
            <w:r>
              <w:rPr>
                <w:b/>
              </w:rPr>
              <w:t xml:space="preserve">Atsauces: </w:t>
            </w:r>
          </w:p>
        </w:tc>
        <w:tc>
          <w:tcPr>
            <w:tcW w:w="6237" w:type="dxa"/>
          </w:tcPr>
          <w:p w:rsidRPr="009B70E7" w:rsidR="00552022" w:rsidP="009120CD" w:rsidRDefault="00552022" w14:paraId="25D739C3" w14:textId="14F318DB">
            <w:pPr>
              <w:pStyle w:val="ListParagraph"/>
              <w:keepNext/>
              <w:ind w:left="-56"/>
            </w:pPr>
            <w:r>
              <w:t xml:space="preserve">COM(2022) 230-231 </w:t>
            </w:r>
            <w:proofErr w:type="spellStart"/>
            <w:r>
              <w:t>final</w:t>
            </w:r>
            <w:proofErr w:type="spellEnd"/>
          </w:p>
        </w:tc>
      </w:tr>
      <w:tr w:rsidRPr="009B70E7" w:rsidR="00552022" w:rsidTr="004E4367" w14:paraId="4B03208F" w14:textId="77777777">
        <w:tc>
          <w:tcPr>
            <w:tcW w:w="1701" w:type="dxa"/>
            <w:vMerge/>
          </w:tcPr>
          <w:p w:rsidRPr="009B70E7" w:rsidR="00552022" w:rsidP="009120CD" w:rsidRDefault="00552022" w14:paraId="5934FB01" w14:textId="77777777">
            <w:pPr>
              <w:pStyle w:val="ListParagraph"/>
              <w:keepNext/>
              <w:ind w:left="0"/>
              <w:rPr>
                <w:b/>
              </w:rPr>
            </w:pPr>
          </w:p>
        </w:tc>
        <w:tc>
          <w:tcPr>
            <w:tcW w:w="6237" w:type="dxa"/>
          </w:tcPr>
          <w:p w:rsidRPr="009B70E7" w:rsidR="00552022" w:rsidP="009120CD" w:rsidRDefault="00552022" w14:paraId="608E37E4" w14:textId="1E1A47C4">
            <w:pPr>
              <w:pStyle w:val="ListParagraph"/>
              <w:keepNext/>
              <w:ind w:left="-56"/>
            </w:pPr>
            <w:r>
              <w:t>EESC-2022-03497-00-00-AC</w:t>
            </w:r>
          </w:p>
        </w:tc>
      </w:tr>
    </w:tbl>
    <w:p w:rsidRPr="00A00F37" w:rsidR="00552022" w:rsidP="009120CD" w:rsidRDefault="00552022" w14:paraId="5204FC05" w14:textId="77777777">
      <w:pPr>
        <w:pStyle w:val="ListParagraph"/>
        <w:ind w:left="0" w:firstLine="142"/>
        <w:rPr>
          <w:b/>
        </w:rPr>
      </w:pPr>
    </w:p>
    <w:p w:rsidR="00552022" w:rsidP="009120CD" w:rsidRDefault="00552022" w14:paraId="24451F24" w14:textId="7A2B89B1">
      <w:pPr>
        <w:pStyle w:val="ListParagraph"/>
        <w:ind w:left="0" w:firstLine="142"/>
        <w:rPr>
          <w:b/>
        </w:rPr>
      </w:pPr>
      <w:r>
        <w:rPr>
          <w:b/>
          <w:bCs/>
        </w:rPr>
        <w:t>Svarīgākie aspekti</w:t>
      </w:r>
    </w:p>
    <w:p w:rsidRPr="00CE23CC" w:rsidR="00737766" w:rsidP="009120CD" w:rsidRDefault="00737766" w14:paraId="6DD0E9D1" w14:textId="77777777">
      <w:pPr>
        <w:pStyle w:val="ListParagraph"/>
        <w:ind w:left="-142" w:firstLine="142"/>
        <w:rPr>
          <w:b/>
        </w:rPr>
      </w:pPr>
    </w:p>
    <w:p w:rsidR="00552022" w:rsidP="009120CD" w:rsidRDefault="00737766" w14:paraId="0AC85AF5" w14:textId="633BFDE0">
      <w:pPr>
        <w:pStyle w:val="ListParagraph"/>
        <w:ind w:left="0" w:firstLine="142"/>
      </w:pPr>
      <w:r>
        <w:t>EESK:</w:t>
      </w:r>
    </w:p>
    <w:p w:rsidRPr="009B70E7" w:rsidR="00037A85" w:rsidP="009120CD" w:rsidRDefault="00037A85" w14:paraId="0F877662" w14:textId="77777777">
      <w:pPr>
        <w:pStyle w:val="ListParagraph"/>
        <w:ind w:left="0"/>
      </w:pPr>
    </w:p>
    <w:p w:rsidRPr="003527B4" w:rsidR="00552022" w:rsidP="009120CD" w:rsidRDefault="00737766" w14:paraId="4356294B" w14:textId="2644A485">
      <w:pPr>
        <w:pStyle w:val="ListParagraph"/>
        <w:numPr>
          <w:ilvl w:val="0"/>
          <w:numId w:val="3"/>
        </w:numPr>
        <w:ind w:left="357" w:hanging="357"/>
        <w:rPr>
          <w:bCs/>
        </w:rPr>
      </w:pPr>
      <w:r>
        <w:t>uzskata, ka Eiropas Komisijas</w:t>
      </w:r>
      <w:r w:rsidR="0022731C">
        <w:t xml:space="preserve"> </w:t>
      </w:r>
      <w:r>
        <w:rPr>
          <w:i/>
          <w:iCs/>
        </w:rPr>
        <w:t>REPowerEU</w:t>
      </w:r>
      <w:r>
        <w:t xml:space="preserve"> plāns ir solis pareizajā virzienā, lai panāktu ES neatkarību no Krievijas gāzes un naftas piegādes;</w:t>
      </w:r>
    </w:p>
    <w:p w:rsidR="00552022" w:rsidP="009120CD" w:rsidRDefault="00737766" w14:paraId="5B7AF63D" w14:textId="5382D663">
      <w:pPr>
        <w:pStyle w:val="ListParagraph"/>
        <w:numPr>
          <w:ilvl w:val="0"/>
          <w:numId w:val="3"/>
        </w:numPr>
        <w:ind w:left="357" w:hanging="357"/>
        <w:rPr>
          <w:bCs/>
        </w:rPr>
      </w:pPr>
      <w:r>
        <w:t xml:space="preserve">norāda, ka </w:t>
      </w:r>
      <w:r>
        <w:rPr>
          <w:b/>
          <w:bCs/>
        </w:rPr>
        <w:t>daudzas problēmas, kas tagad ir jāatrisina, būtu bijis iespējams novērst vai vismaz ierobežot, ja atkarība no enerģijas importa būtu bijusi samazināta</w:t>
      </w:r>
      <w:r>
        <w:t>, kā to pagājušajos gados ierosināja Komisija;</w:t>
      </w:r>
    </w:p>
    <w:p w:rsidR="00552022" w:rsidP="009120CD" w:rsidRDefault="00737766" w14:paraId="174573C1" w14:textId="0B6386FF">
      <w:pPr>
        <w:pStyle w:val="ListParagraph"/>
        <w:numPr>
          <w:ilvl w:val="0"/>
          <w:numId w:val="3"/>
        </w:numPr>
        <w:ind w:left="357" w:hanging="357"/>
        <w:rPr>
          <w:bCs/>
        </w:rPr>
      </w:pPr>
      <w:r>
        <w:t>vērš uzmanību uz pašreizējās krīzes kopējās ekonomiskās un sociālās ietekmes radīto risku, kas apdraud demokrātisko sistēmu, ja vien netiek rasti piemēroti risinājumi;</w:t>
      </w:r>
    </w:p>
    <w:p w:rsidR="00737766" w:rsidP="009120CD" w:rsidRDefault="00737766" w14:paraId="043EA0E2" w14:textId="4C767343">
      <w:pPr>
        <w:pStyle w:val="ListParagraph"/>
        <w:numPr>
          <w:ilvl w:val="0"/>
          <w:numId w:val="3"/>
        </w:numPr>
        <w:ind w:left="357" w:hanging="357"/>
        <w:rPr>
          <w:bCs/>
        </w:rPr>
      </w:pPr>
      <w:r>
        <w:t xml:space="preserve">atbalsta </w:t>
      </w:r>
      <w:r>
        <w:rPr>
          <w:b/>
          <w:bCs/>
        </w:rPr>
        <w:t>tūlītēju pasākumu</w:t>
      </w:r>
      <w:r>
        <w:t xml:space="preserve"> īstenošanu steidzamāko problēmu risināšanai, it īpaši, lai </w:t>
      </w:r>
      <w:r>
        <w:rPr>
          <w:b/>
          <w:bCs/>
        </w:rPr>
        <w:t>nodrošinātu piegādes drošību par “iespējami zemākām izmaksām” gan patērētājiem, gan nozarei</w:t>
      </w:r>
      <w:r>
        <w:t>, ko ietekmē pašreizējais krasais cenu pieaugums;</w:t>
      </w:r>
    </w:p>
    <w:p w:rsidR="00737766" w:rsidP="009120CD" w:rsidRDefault="00737766" w14:paraId="7730A555" w14:textId="27D59C68">
      <w:pPr>
        <w:pStyle w:val="ListParagraph"/>
        <w:numPr>
          <w:ilvl w:val="0"/>
          <w:numId w:val="3"/>
        </w:numPr>
        <w:ind w:left="357" w:hanging="357"/>
        <w:rPr>
          <w:bCs/>
        </w:rPr>
      </w:pPr>
      <w:r>
        <w:t xml:space="preserve">tomēr brīdina, ka </w:t>
      </w:r>
      <w:r>
        <w:rPr>
          <w:i/>
          <w:iCs/>
        </w:rPr>
        <w:t>REPowerEU</w:t>
      </w:r>
      <w:r>
        <w:t xml:space="preserve"> plāna ārkārtas pasākumi </w:t>
      </w:r>
      <w:r>
        <w:rPr>
          <w:b/>
          <w:bCs/>
        </w:rPr>
        <w:t>nedrīkst radīt jaunas atkarības un tiem nevajadzētu kaitēt centieniem</w:t>
      </w:r>
      <w:r>
        <w:t xml:space="preserve"> pēc iespējas ātrāk </w:t>
      </w:r>
      <w:r>
        <w:rPr>
          <w:b/>
          <w:bCs/>
        </w:rPr>
        <w:t>panākt klimatneitralitāti</w:t>
      </w:r>
      <w:r>
        <w:t>;</w:t>
      </w:r>
    </w:p>
    <w:p w:rsidR="00737766" w:rsidP="009120CD" w:rsidRDefault="00737766" w14:paraId="61990DE7" w14:textId="17B013C0">
      <w:pPr>
        <w:pStyle w:val="ListParagraph"/>
        <w:numPr>
          <w:ilvl w:val="0"/>
          <w:numId w:val="3"/>
        </w:numPr>
        <w:ind w:left="357" w:hanging="357"/>
        <w:rPr>
          <w:bCs/>
        </w:rPr>
      </w:pPr>
      <w:r>
        <w:t>aicina Komisiju pirms tiek veidotas partnerības ar nedemokrātiskām vai politiski nestabilām valstīm izstrādāt ģeopolitisku enerģijas importa stratēģiju, ņemot vērā arī enerģētikas un klimata ārkārtas situācijas;</w:t>
      </w:r>
    </w:p>
    <w:p w:rsidR="00737766" w:rsidP="009120CD" w:rsidRDefault="00737766" w14:paraId="58F266F8" w14:textId="49E11B2E">
      <w:pPr>
        <w:pStyle w:val="ListParagraph"/>
        <w:numPr>
          <w:ilvl w:val="0"/>
          <w:numId w:val="3"/>
        </w:numPr>
        <w:ind w:left="357" w:hanging="357"/>
        <w:rPr>
          <w:bCs/>
        </w:rPr>
      </w:pPr>
      <w:r>
        <w:t xml:space="preserve">norāda, ka piegādes situācijas steidzamības dēļ ir vajadzīga </w:t>
      </w:r>
      <w:r>
        <w:rPr>
          <w:b/>
          <w:bCs/>
        </w:rPr>
        <w:t xml:space="preserve">elastība attiecībā uz fosilā kurināmā, </w:t>
      </w:r>
      <w:proofErr w:type="spellStart"/>
      <w:r>
        <w:rPr>
          <w:b/>
          <w:bCs/>
        </w:rPr>
        <w:t>mazemisiju</w:t>
      </w:r>
      <w:proofErr w:type="spellEnd"/>
      <w:r>
        <w:rPr>
          <w:b/>
          <w:bCs/>
        </w:rPr>
        <w:t xml:space="preserve"> kurināmā, ogļu un kodolenerģijas pagaidu izmantošanu</w:t>
      </w:r>
      <w:r>
        <w:t xml:space="preserve"> un ka kodolenerģijas statuss ir valstu kompetencē;</w:t>
      </w:r>
    </w:p>
    <w:p w:rsidR="00737766" w:rsidP="009120CD" w:rsidRDefault="00737766" w14:paraId="5BDC8049" w14:textId="05DE4056">
      <w:pPr>
        <w:pStyle w:val="ListParagraph"/>
        <w:numPr>
          <w:ilvl w:val="0"/>
          <w:numId w:val="3"/>
        </w:numPr>
        <w:ind w:left="357" w:hanging="357"/>
        <w:rPr>
          <w:bCs/>
        </w:rPr>
      </w:pPr>
      <w:bookmarkStart w:name="_Hlk113975642" w:id="23"/>
      <w:r>
        <w:t>tādēļ atbalsta:</w:t>
      </w:r>
      <w:bookmarkEnd w:id="23"/>
    </w:p>
    <w:p w:rsidRPr="00737766" w:rsidR="00737766" w:rsidP="009120CD" w:rsidRDefault="00737766" w14:paraId="3DA0C962" w14:textId="08FD2290">
      <w:pPr>
        <w:widowControl w:val="0"/>
        <w:numPr>
          <w:ilvl w:val="0"/>
          <w:numId w:val="19"/>
        </w:numPr>
        <w:overflowPunct w:val="0"/>
        <w:autoSpaceDE w:val="0"/>
        <w:autoSpaceDN w:val="0"/>
        <w:adjustRightInd w:val="0"/>
        <w:textAlignment w:val="baseline"/>
        <w:rPr>
          <w:szCs w:val="20"/>
        </w:rPr>
      </w:pPr>
      <w:r>
        <w:t xml:space="preserve">priekšlikumu līdz 2030. gadam </w:t>
      </w:r>
      <w:r>
        <w:rPr>
          <w:b/>
          <w:bCs/>
        </w:rPr>
        <w:t>palielināt energoefektivitātes mērķi</w:t>
      </w:r>
      <w:r>
        <w:t xml:space="preserve"> no 9 % līdz 14 %;</w:t>
      </w:r>
    </w:p>
    <w:p w:rsidR="00737766" w:rsidP="009120CD" w:rsidRDefault="00737766" w14:paraId="6946A4DF" w14:textId="25CBDD89">
      <w:pPr>
        <w:widowControl w:val="0"/>
        <w:numPr>
          <w:ilvl w:val="0"/>
          <w:numId w:val="20"/>
        </w:numPr>
        <w:overflowPunct w:val="0"/>
        <w:autoSpaceDE w:val="0"/>
        <w:autoSpaceDN w:val="0"/>
        <w:adjustRightInd w:val="0"/>
        <w:textAlignment w:val="baseline"/>
        <w:rPr>
          <w:szCs w:val="20"/>
        </w:rPr>
      </w:pPr>
      <w:r>
        <w:rPr>
          <w:b/>
          <w:bCs/>
        </w:rPr>
        <w:t>atjaunīgo energoresursu īpatsvara palielināšanu ES energoresursu struktūrā</w:t>
      </w:r>
      <w:r>
        <w:t xml:space="preserve"> un stingri atbalsta Komisijas prasību </w:t>
      </w:r>
      <w:r>
        <w:rPr>
          <w:i/>
          <w:iCs/>
        </w:rPr>
        <w:t>REPowe</w:t>
      </w:r>
      <w:r w:rsidR="0022731C">
        <w:rPr>
          <w:i/>
          <w:iCs/>
        </w:rPr>
        <w:t>r</w:t>
      </w:r>
      <w:r>
        <w:rPr>
          <w:i/>
          <w:iCs/>
        </w:rPr>
        <w:t>EU</w:t>
      </w:r>
      <w:r>
        <w:t xml:space="preserve"> plānā ierosināto 45 % īpatsvara mērķi iekļaut paketē “Gatavi mērķrādītājam 55 %;</w:t>
      </w:r>
    </w:p>
    <w:p w:rsidRPr="00737766" w:rsidR="00737766" w:rsidP="009120CD" w:rsidRDefault="00737766" w14:paraId="3A56C4A9" w14:textId="0C7A594E">
      <w:pPr>
        <w:widowControl w:val="0"/>
        <w:numPr>
          <w:ilvl w:val="0"/>
          <w:numId w:val="20"/>
        </w:numPr>
        <w:overflowPunct w:val="0"/>
        <w:autoSpaceDE w:val="0"/>
        <w:autoSpaceDN w:val="0"/>
        <w:adjustRightInd w:val="0"/>
        <w:textAlignment w:val="baseline"/>
        <w:rPr>
          <w:szCs w:val="20"/>
        </w:rPr>
      </w:pPr>
      <w:r>
        <w:t xml:space="preserve">priekšlikumus attiecībā uz </w:t>
      </w:r>
      <w:r>
        <w:rPr>
          <w:b/>
          <w:bCs/>
        </w:rPr>
        <w:t>ātrām atļauju piešķiršanas procedūrām</w:t>
      </w:r>
      <w:r>
        <w:t xml:space="preserve"> atjaunīgās enerģijas projektu īstenošanai un tā dēvēto </w:t>
      </w:r>
      <w:r>
        <w:rPr>
          <w:b/>
          <w:bCs/>
        </w:rPr>
        <w:t>“izdevīgo teritoriju”</w:t>
      </w:r>
      <w:r>
        <w:t xml:space="preserve"> noteikšanu šādu projektu vajadzībām.</w:t>
      </w:r>
    </w:p>
    <w:p w:rsidR="00801DC4" w:rsidRDefault="00801DC4" w14:paraId="559D6E35" w14:textId="77777777">
      <w:pPr>
        <w:spacing w:after="160" w:line="259" w:lineRule="auto"/>
        <w:jc w:val="left"/>
      </w:pPr>
      <w:r>
        <w:br w:type="page"/>
      </w:r>
    </w:p>
    <w:p w:rsidRPr="00510903" w:rsidR="00A10A98" w:rsidP="009120CD" w:rsidRDefault="00037A85" w14:paraId="565DA337" w14:textId="1C85D733">
      <w:pPr>
        <w:pStyle w:val="ListParagraph"/>
        <w:numPr>
          <w:ilvl w:val="0"/>
          <w:numId w:val="3"/>
        </w:numPr>
        <w:ind w:left="357" w:hanging="357"/>
        <w:rPr>
          <w:sz w:val="28"/>
        </w:rPr>
      </w:pPr>
      <w:r>
        <w:lastRenderedPageBreak/>
        <w:t>Komiteja norāda,</w:t>
      </w:r>
    </w:p>
    <w:p w:rsidR="00510903" w:rsidP="009120CD" w:rsidRDefault="00510903" w14:paraId="0430650C" w14:textId="1569F791">
      <w:pPr>
        <w:widowControl w:val="0"/>
        <w:numPr>
          <w:ilvl w:val="0"/>
          <w:numId w:val="3"/>
        </w:numPr>
        <w:overflowPunct w:val="0"/>
        <w:autoSpaceDE w:val="0"/>
        <w:autoSpaceDN w:val="0"/>
        <w:adjustRightInd w:val="0"/>
        <w:textAlignment w:val="baseline"/>
      </w:pPr>
      <w:r>
        <w:t xml:space="preserve">ka ir vajadzīgi apjomīgi </w:t>
      </w:r>
      <w:r>
        <w:rPr>
          <w:b/>
          <w:bCs/>
        </w:rPr>
        <w:t>ieguldījumi, lai palielinātu atjaunīgo energoresursu īpatsvaru</w:t>
      </w:r>
      <w:r>
        <w:t xml:space="preserve"> ES energoresursu struktūrā;</w:t>
      </w:r>
    </w:p>
    <w:p w:rsidRPr="00237B5F" w:rsidR="00510903" w:rsidP="009120CD" w:rsidRDefault="00510903" w14:paraId="4FA13A20" w14:textId="1D75CD5B">
      <w:pPr>
        <w:widowControl w:val="0"/>
        <w:numPr>
          <w:ilvl w:val="0"/>
          <w:numId w:val="3"/>
        </w:numPr>
        <w:overflowPunct w:val="0"/>
        <w:autoSpaceDE w:val="0"/>
        <w:autoSpaceDN w:val="0"/>
        <w:adjustRightInd w:val="0"/>
        <w:textAlignment w:val="baseline"/>
      </w:pPr>
      <w:r>
        <w:t>ka ir vajadzīgi būtiski ieguldījumi pētniecībā un izstrādē;</w:t>
      </w:r>
    </w:p>
    <w:p w:rsidR="00510903" w:rsidP="009120CD" w:rsidRDefault="00510903" w14:paraId="2C82EAE2" w14:textId="680789D5">
      <w:pPr>
        <w:widowControl w:val="0"/>
        <w:numPr>
          <w:ilvl w:val="0"/>
          <w:numId w:val="3"/>
        </w:numPr>
        <w:overflowPunct w:val="0"/>
        <w:autoSpaceDE w:val="0"/>
        <w:autoSpaceDN w:val="0"/>
        <w:adjustRightInd w:val="0"/>
        <w:textAlignment w:val="baseline"/>
      </w:pPr>
      <w:r>
        <w:t xml:space="preserve">uz </w:t>
      </w:r>
      <w:r>
        <w:rPr>
          <w:b/>
          <w:bCs/>
        </w:rPr>
        <w:t>pašpatēriņa, atjaunīgās enerģijas kopienu un enerģijas koplietošanas potenciālu</w:t>
      </w:r>
      <w:r w:rsidR="00B3531E">
        <w:t>;</w:t>
      </w:r>
    </w:p>
    <w:p w:rsidRPr="00510903" w:rsidR="00510903" w:rsidP="009120CD" w:rsidRDefault="00510903" w14:paraId="7B914614" w14:textId="540B767C">
      <w:pPr>
        <w:widowControl w:val="0"/>
        <w:numPr>
          <w:ilvl w:val="0"/>
          <w:numId w:val="3"/>
        </w:numPr>
        <w:overflowPunct w:val="0"/>
        <w:autoSpaceDE w:val="0"/>
        <w:autoSpaceDN w:val="0"/>
        <w:adjustRightInd w:val="0"/>
        <w:textAlignment w:val="baseline"/>
      </w:pPr>
      <w:r>
        <w:t xml:space="preserve">uz to, cik svarīga nozīme ir </w:t>
      </w:r>
      <w:r>
        <w:rPr>
          <w:b/>
          <w:bCs/>
        </w:rPr>
        <w:t>valstu rīcības modeļiem un tradīcijām</w:t>
      </w:r>
      <w:r>
        <w:t>, kas ietekmē ilgtspējīgas energoresursu struktūras izvēli.</w:t>
      </w:r>
    </w:p>
    <w:p w:rsidRPr="00737766" w:rsidR="00037A85" w:rsidP="009120CD" w:rsidRDefault="00037A85" w14:paraId="5991D0DC" w14:textId="77777777">
      <w:pPr>
        <w:rPr>
          <w:sz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9B70E7" w:rsidR="00552022" w:rsidTr="004E4367" w14:paraId="6B47FDE5" w14:textId="77777777">
        <w:tc>
          <w:tcPr>
            <w:tcW w:w="1418" w:type="dxa"/>
          </w:tcPr>
          <w:p w:rsidRPr="009B70E7" w:rsidR="00552022" w:rsidP="009120CD" w:rsidRDefault="00552022" w14:paraId="266CD4C4" w14:textId="77777777">
            <w:pPr>
              <w:pStyle w:val="ListParagraph"/>
              <w:ind w:left="0"/>
              <w:rPr>
                <w:i/>
              </w:rPr>
            </w:pPr>
            <w:r>
              <w:rPr>
                <w:b/>
                <w:i/>
              </w:rPr>
              <w:t>Kontaktpersona:</w:t>
            </w:r>
          </w:p>
        </w:tc>
        <w:tc>
          <w:tcPr>
            <w:tcW w:w="5670" w:type="dxa"/>
          </w:tcPr>
          <w:p w:rsidRPr="009B70E7" w:rsidR="00552022" w:rsidP="009120CD" w:rsidRDefault="00552022" w14:paraId="382B2C1C" w14:textId="351E3458">
            <w:pPr>
              <w:pStyle w:val="ListParagraph"/>
              <w:ind w:left="0"/>
              <w:rPr>
                <w:i/>
              </w:rPr>
            </w:pPr>
            <w:proofErr w:type="spellStart"/>
            <w:r>
              <w:rPr>
                <w:i/>
              </w:rPr>
              <w:t>Layla</w:t>
            </w:r>
            <w:proofErr w:type="spellEnd"/>
            <w:r>
              <w:rPr>
                <w:i/>
              </w:rPr>
              <w:t xml:space="preserve"> </w:t>
            </w:r>
            <w:r w:rsidR="00801DC4">
              <w:rPr>
                <w:i/>
              </w:rPr>
              <w:t>REITER</w:t>
            </w:r>
          </w:p>
        </w:tc>
      </w:tr>
      <w:tr w:rsidRPr="009B70E7" w:rsidR="00552022" w:rsidTr="004E4367" w14:paraId="36155028" w14:textId="77777777">
        <w:tc>
          <w:tcPr>
            <w:tcW w:w="1418" w:type="dxa"/>
          </w:tcPr>
          <w:p w:rsidRPr="009B70E7" w:rsidR="00552022" w:rsidP="009120CD" w:rsidRDefault="00552022" w14:paraId="43E41E39" w14:textId="77777777">
            <w:pPr>
              <w:pStyle w:val="ListParagraph"/>
              <w:ind w:left="601"/>
              <w:rPr>
                <w:i/>
              </w:rPr>
            </w:pPr>
            <w:r>
              <w:rPr>
                <w:i/>
              </w:rPr>
              <w:t>Tālr.:</w:t>
            </w:r>
          </w:p>
        </w:tc>
        <w:tc>
          <w:tcPr>
            <w:tcW w:w="5670" w:type="dxa"/>
          </w:tcPr>
          <w:p w:rsidRPr="009B70E7" w:rsidR="00552022" w:rsidP="009120CD" w:rsidRDefault="00552022" w14:paraId="21683711" w14:textId="4DFEF3E1">
            <w:pPr>
              <w:pStyle w:val="ListParagraph"/>
              <w:ind w:left="0"/>
              <w:rPr>
                <w:i/>
              </w:rPr>
            </w:pPr>
            <w:r>
              <w:rPr>
                <w:i/>
              </w:rPr>
              <w:t>00 32 2 546 93 68</w:t>
            </w:r>
          </w:p>
        </w:tc>
      </w:tr>
      <w:tr w:rsidRPr="009B70E7" w:rsidR="00552022" w:rsidTr="004E4367" w14:paraId="10F3D4F1" w14:textId="77777777">
        <w:tc>
          <w:tcPr>
            <w:tcW w:w="1418" w:type="dxa"/>
          </w:tcPr>
          <w:p w:rsidRPr="009B70E7" w:rsidR="00552022" w:rsidP="009120CD" w:rsidRDefault="00552022" w14:paraId="6AB0E539" w14:textId="77777777">
            <w:pPr>
              <w:pStyle w:val="ListParagraph"/>
              <w:ind w:left="601"/>
              <w:rPr>
                <w:i/>
              </w:rPr>
            </w:pPr>
            <w:r>
              <w:rPr>
                <w:i/>
              </w:rPr>
              <w:t>E-pasts:</w:t>
            </w:r>
          </w:p>
        </w:tc>
        <w:tc>
          <w:tcPr>
            <w:tcW w:w="5670" w:type="dxa"/>
          </w:tcPr>
          <w:p w:rsidRPr="00F256CD" w:rsidR="00552022" w:rsidP="009120CD" w:rsidRDefault="0022731C" w14:paraId="589CC30E" w14:textId="4703B1F0">
            <w:pPr>
              <w:pStyle w:val="ListParagraph"/>
              <w:ind w:left="0"/>
              <w:rPr>
                <w:i/>
                <w:color w:val="0000FF"/>
                <w:u w:val="single"/>
              </w:rPr>
            </w:pPr>
            <w:hyperlink w:history="1" r:id="rId35">
              <w:r w:rsidR="0064748D">
                <w:rPr>
                  <w:rStyle w:val="Hyperlink"/>
                  <w:i/>
                </w:rPr>
                <w:t>Layla.Reiter@eesc.europa.eu</w:t>
              </w:r>
            </w:hyperlink>
          </w:p>
        </w:tc>
      </w:tr>
    </w:tbl>
    <w:p w:rsidR="002A2F38" w:rsidP="009120CD" w:rsidRDefault="002A2F38" w14:paraId="7C470F49" w14:textId="77777777">
      <w:pPr>
        <w:jc w:val="left"/>
        <w:rPr>
          <w:sz w:val="28"/>
        </w:rPr>
      </w:pPr>
    </w:p>
    <w:p w:rsidRPr="009B70E7" w:rsidR="00510903" w:rsidP="009120CD" w:rsidRDefault="00510903" w14:paraId="3D819B05" w14:textId="15090387">
      <w:pPr>
        <w:pStyle w:val="ListParagraph"/>
        <w:keepNext/>
        <w:numPr>
          <w:ilvl w:val="0"/>
          <w:numId w:val="2"/>
        </w:numPr>
        <w:ind w:left="567" w:hanging="567"/>
        <w:rPr>
          <w:b/>
          <w:i/>
          <w:sz w:val="28"/>
          <w:szCs w:val="28"/>
        </w:rPr>
      </w:pPr>
      <w:r>
        <w:rPr>
          <w:b/>
          <w:i/>
          <w:sz w:val="28"/>
        </w:rPr>
        <w:t>Pagaidu atbrīvojums no laika nišām lidostās Covid-19 pandēmijas dēļ</w:t>
      </w:r>
    </w:p>
    <w:p w:rsidRPr="009B70E7" w:rsidR="00510903" w:rsidP="009120CD" w:rsidRDefault="00510903" w14:paraId="3024F672"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900"/>
        <w:gridCol w:w="5619"/>
      </w:tblGrid>
      <w:tr w:rsidRPr="009B70E7" w:rsidR="00510903" w:rsidTr="00801DC4" w14:paraId="1DFAAC31" w14:textId="77777777">
        <w:tc>
          <w:tcPr>
            <w:tcW w:w="1900" w:type="dxa"/>
          </w:tcPr>
          <w:p w:rsidRPr="009B70E7" w:rsidR="00510903" w:rsidP="00E00915" w:rsidRDefault="00510903" w14:paraId="150F2EE9" w14:textId="7C84E2DC">
            <w:pPr>
              <w:pStyle w:val="ListParagraph"/>
              <w:keepNext/>
              <w:ind w:left="0"/>
              <w:rPr>
                <w:b/>
              </w:rPr>
            </w:pPr>
            <w:r>
              <w:rPr>
                <w:b/>
              </w:rPr>
              <w:t>Galvenais ziņotājs</w:t>
            </w:r>
          </w:p>
        </w:tc>
        <w:tc>
          <w:tcPr>
            <w:tcW w:w="5619" w:type="dxa"/>
          </w:tcPr>
          <w:p w:rsidRPr="009B70E7" w:rsidR="00510903" w:rsidP="009120CD" w:rsidRDefault="00510903" w14:paraId="02875CAB" w14:textId="6B83A059">
            <w:pPr>
              <w:pStyle w:val="ListParagraph"/>
              <w:keepNext/>
              <w:ind w:left="-56" w:right="-453"/>
            </w:pPr>
            <w:proofErr w:type="spellStart"/>
            <w:r>
              <w:t>Thomas</w:t>
            </w:r>
            <w:proofErr w:type="spellEnd"/>
            <w:r>
              <w:t xml:space="preserve"> KROPP (Darba devēju grupa – DE)</w:t>
            </w:r>
          </w:p>
        </w:tc>
      </w:tr>
      <w:tr w:rsidRPr="009B70E7" w:rsidR="00510903" w:rsidTr="00801DC4" w14:paraId="5E12E653" w14:textId="77777777">
        <w:tc>
          <w:tcPr>
            <w:tcW w:w="7519" w:type="dxa"/>
            <w:gridSpan w:val="2"/>
          </w:tcPr>
          <w:p w:rsidRPr="009B70E7" w:rsidR="00510903" w:rsidP="009120CD" w:rsidRDefault="00510903" w14:paraId="34ACA3C1" w14:textId="77777777">
            <w:pPr>
              <w:pStyle w:val="ListParagraph"/>
              <w:keepNext/>
              <w:ind w:left="0"/>
            </w:pPr>
          </w:p>
        </w:tc>
      </w:tr>
      <w:tr w:rsidRPr="009B70E7" w:rsidR="00510903" w:rsidTr="00801DC4" w14:paraId="0B402F22" w14:textId="77777777">
        <w:tc>
          <w:tcPr>
            <w:tcW w:w="1900" w:type="dxa"/>
            <w:vMerge w:val="restart"/>
          </w:tcPr>
          <w:p w:rsidRPr="009B70E7" w:rsidR="00510903" w:rsidP="009120CD" w:rsidRDefault="00510903" w14:paraId="161AD55F" w14:textId="77777777">
            <w:pPr>
              <w:pStyle w:val="ListParagraph"/>
              <w:keepNext/>
              <w:ind w:left="0"/>
              <w:rPr>
                <w:b/>
              </w:rPr>
            </w:pPr>
            <w:r>
              <w:rPr>
                <w:b/>
              </w:rPr>
              <w:t xml:space="preserve">Atsauce: </w:t>
            </w:r>
          </w:p>
        </w:tc>
        <w:tc>
          <w:tcPr>
            <w:tcW w:w="5619" w:type="dxa"/>
          </w:tcPr>
          <w:p w:rsidRPr="009B70E7" w:rsidR="00510903" w:rsidP="009120CD" w:rsidRDefault="00510903" w14:paraId="1E786179" w14:textId="106111E0">
            <w:pPr>
              <w:pStyle w:val="ListParagraph"/>
              <w:keepNext/>
              <w:ind w:left="-56"/>
            </w:pPr>
            <w:r>
              <w:t xml:space="preserve">COM (2022) 334 </w:t>
            </w:r>
            <w:proofErr w:type="spellStart"/>
            <w:r>
              <w:t>final</w:t>
            </w:r>
            <w:proofErr w:type="spellEnd"/>
          </w:p>
        </w:tc>
      </w:tr>
      <w:tr w:rsidRPr="009B70E7" w:rsidR="00510903" w:rsidTr="00801DC4" w14:paraId="717D4D6D" w14:textId="77777777">
        <w:tc>
          <w:tcPr>
            <w:tcW w:w="1900" w:type="dxa"/>
            <w:vMerge/>
          </w:tcPr>
          <w:p w:rsidRPr="009B70E7" w:rsidR="00510903" w:rsidP="009120CD" w:rsidRDefault="00510903" w14:paraId="385CEC77" w14:textId="77777777">
            <w:pPr>
              <w:pStyle w:val="ListParagraph"/>
              <w:keepNext/>
              <w:ind w:left="0"/>
              <w:rPr>
                <w:b/>
              </w:rPr>
            </w:pPr>
          </w:p>
        </w:tc>
        <w:tc>
          <w:tcPr>
            <w:tcW w:w="5619" w:type="dxa"/>
          </w:tcPr>
          <w:p w:rsidRPr="009B70E7" w:rsidR="00510903" w:rsidP="009120CD" w:rsidRDefault="00510903" w14:paraId="5FE86526" w14:textId="11261EE0">
            <w:pPr>
              <w:pStyle w:val="ListParagraph"/>
              <w:keepNext/>
              <w:ind w:left="-56"/>
            </w:pPr>
            <w:r>
              <w:t>EESC-2022-03866-00-00-AC</w:t>
            </w:r>
          </w:p>
        </w:tc>
      </w:tr>
    </w:tbl>
    <w:p w:rsidRPr="009B70E7" w:rsidR="00510903" w:rsidP="009120CD" w:rsidRDefault="00510903" w14:paraId="6F103AA4" w14:textId="77777777">
      <w:pPr>
        <w:pStyle w:val="ListParagraph"/>
        <w:keepNext/>
        <w:ind w:left="0"/>
      </w:pPr>
    </w:p>
    <w:p w:rsidRPr="00CE23CC" w:rsidR="00510903" w:rsidP="009120CD" w:rsidRDefault="00510903" w14:paraId="5CA6A315" w14:textId="6AD6534B">
      <w:pPr>
        <w:pStyle w:val="ListParagraph"/>
        <w:ind w:left="0" w:firstLine="142"/>
        <w:rPr>
          <w:b/>
        </w:rPr>
      </w:pPr>
      <w:r>
        <w:rPr>
          <w:b/>
          <w:bCs/>
        </w:rPr>
        <w:t>Svarīgākie aspekti</w:t>
      </w:r>
    </w:p>
    <w:p w:rsidR="00510903" w:rsidP="009120CD" w:rsidRDefault="00510903" w14:paraId="7FCB400E" w14:textId="77777777">
      <w:pPr>
        <w:pStyle w:val="ListParagraph"/>
        <w:ind w:left="0"/>
      </w:pPr>
    </w:p>
    <w:p w:rsidRPr="00A00F37" w:rsidR="00510903" w:rsidP="009120CD" w:rsidRDefault="00510903" w14:paraId="33655AB7" w14:textId="77777777">
      <w:pPr>
        <w:pStyle w:val="ListParagraph"/>
        <w:ind w:left="0" w:firstLine="142"/>
        <w:rPr>
          <w:bCs/>
        </w:rPr>
      </w:pPr>
      <w:r>
        <w:t>EESK:</w:t>
      </w:r>
    </w:p>
    <w:p w:rsidRPr="009B70E7" w:rsidR="00510903" w:rsidP="009120CD" w:rsidRDefault="00510903" w14:paraId="5255DB3F" w14:textId="77777777">
      <w:pPr>
        <w:pStyle w:val="ListParagraph"/>
        <w:ind w:left="0"/>
      </w:pPr>
    </w:p>
    <w:p w:rsidRPr="003527B4" w:rsidR="00510903" w:rsidP="009120CD" w:rsidRDefault="00510903" w14:paraId="42C8E5A4" w14:textId="2A5303FB">
      <w:pPr>
        <w:pStyle w:val="ListParagraph"/>
        <w:numPr>
          <w:ilvl w:val="0"/>
          <w:numId w:val="3"/>
        </w:numPr>
        <w:ind w:left="357" w:hanging="357"/>
        <w:rPr>
          <w:bCs/>
        </w:rPr>
      </w:pPr>
      <w:r>
        <w:t>nepiekrīt Komisijas argumentam, ka aviācijas tirgus ir atsācis “normālu” darbību;</w:t>
      </w:r>
    </w:p>
    <w:p w:rsidR="00510903" w:rsidP="009120CD" w:rsidRDefault="00510903" w14:paraId="301E91AE" w14:textId="2A483680">
      <w:pPr>
        <w:pStyle w:val="ListParagraph"/>
        <w:numPr>
          <w:ilvl w:val="0"/>
          <w:numId w:val="3"/>
        </w:numPr>
        <w:ind w:left="357" w:hanging="357"/>
        <w:rPr>
          <w:bCs/>
        </w:rPr>
      </w:pPr>
      <w:r>
        <w:t>uzskata, ka Komisijai priekšlikums būtu jāpārskata, lai līdz minimumam samazinātu izmaiņas spēkā esošajos noteikumos un lai tie arī turpmāk būtu “ārkārtas noteikumi”. Pašreizējā ārkārtas situācija nekādā gadījumā nav mazinājusies, un tādēļ ārkārtas noteikumi būtu jāpagarina vismaz uz Komisijas paredzēto laikposmu. Plānot tādas izmaiņas, kādas ierosinājusi Komisija, šķiet pāragri;</w:t>
      </w:r>
    </w:p>
    <w:p w:rsidRPr="00510903" w:rsidR="00510903" w:rsidP="009120CD" w:rsidRDefault="00510903" w14:paraId="7535B697" w14:textId="2F4DC204">
      <w:pPr>
        <w:pStyle w:val="ListParagraph"/>
        <w:numPr>
          <w:ilvl w:val="0"/>
          <w:numId w:val="3"/>
        </w:numPr>
        <w:ind w:left="357" w:hanging="357"/>
        <w:rPr>
          <w:bCs/>
        </w:rPr>
      </w:pPr>
      <w:r>
        <w:t>atzinīgi vērtē Komisijas priekšlikumu paplašināt pamatotas laika nišu neizmantošanas (</w:t>
      </w:r>
      <w:r>
        <w:rPr>
          <w:i/>
          <w:iCs/>
        </w:rPr>
        <w:t>JNUS</w:t>
      </w:r>
      <w:r>
        <w:t>) darbības jomu, attiecinot to arī uz politiskiem nemieriem un dabas katastrofām. Tomēr Komisijas paredzētās procedūras rada nevajadzīgu sarežģītību;</w:t>
      </w:r>
    </w:p>
    <w:p w:rsidR="00510903" w:rsidP="009120CD" w:rsidRDefault="00510903" w14:paraId="5518E426" w14:textId="4DA7FA1A">
      <w:pPr>
        <w:pStyle w:val="ListParagraph"/>
        <w:numPr>
          <w:ilvl w:val="0"/>
          <w:numId w:val="3"/>
        </w:numPr>
        <w:ind w:left="357" w:hanging="357"/>
        <w:rPr>
          <w:bCs/>
        </w:rPr>
      </w:pPr>
      <w:r>
        <w:t>atbalsta priekšlikumu uzlabot laika nišu piešķiršanas pārredzamību, stiprinot Eiropas Lidostu koordinatoru asociācijas lomu un ieviešot pienākumu koordinatoriem publicēt informāciju par galamērķiem, uz kuriem attiecas izņēmumi;</w:t>
      </w:r>
    </w:p>
    <w:p w:rsidRPr="00510903" w:rsidR="00510903" w:rsidP="009120CD" w:rsidRDefault="00510903" w14:paraId="4032A3A4" w14:textId="6D795862">
      <w:pPr>
        <w:pStyle w:val="ListParagraph"/>
        <w:numPr>
          <w:ilvl w:val="0"/>
          <w:numId w:val="3"/>
        </w:numPr>
        <w:ind w:left="357" w:hanging="357"/>
        <w:rPr>
          <w:bCs/>
        </w:rPr>
      </w:pPr>
      <w:r>
        <w:t>tajā pašā laikā norāda, ka ES pasākumi būtu cieši jākoordinē ar Pasaules Aviokompāniju laika nišu padomi (</w:t>
      </w:r>
      <w:r>
        <w:rPr>
          <w:i/>
          <w:iCs/>
        </w:rPr>
        <w:t>WASB</w:t>
      </w:r>
      <w:r>
        <w:t>), lai nepieļautu atšķirīgas pieejas vienam un tam pašam jautājumam dažādos pasaules reģionos;</w:t>
      </w:r>
    </w:p>
    <w:p w:rsidRPr="00F049D6" w:rsidR="00510903" w:rsidP="009120CD" w:rsidRDefault="00510903" w14:paraId="46E69C79" w14:textId="6FA62214">
      <w:pPr>
        <w:pStyle w:val="ListParagraph"/>
        <w:numPr>
          <w:ilvl w:val="0"/>
          <w:numId w:val="3"/>
        </w:numPr>
        <w:ind w:left="357" w:hanging="357"/>
        <w:rPr>
          <w:bCs/>
        </w:rPr>
      </w:pPr>
      <w:r>
        <w:t>pilnībā atbalsta Komisijas nodomus, taču uzskata, ka neraugoties uz acīmredzamajiem laika ierobežojumiem, būtu bijis nepieciešams veikt ietekmes novērtējumu, lai labāk novērtētu pašreizējā Laika nišu regulā ierosināto izmaiņu ietekmi.</w:t>
      </w:r>
    </w:p>
    <w:p w:rsidRPr="009B70E7" w:rsidR="00510903" w:rsidP="009120CD" w:rsidRDefault="00510903" w14:paraId="180DA939"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9B70E7" w:rsidR="00510903" w:rsidTr="004E4367" w14:paraId="1556D671" w14:textId="77777777">
        <w:tc>
          <w:tcPr>
            <w:tcW w:w="1418" w:type="dxa"/>
          </w:tcPr>
          <w:p w:rsidRPr="009B70E7" w:rsidR="00510903" w:rsidP="009120CD" w:rsidRDefault="00510903" w14:paraId="5F21AC53" w14:textId="77777777">
            <w:pPr>
              <w:pStyle w:val="ListParagraph"/>
              <w:ind w:left="0"/>
              <w:rPr>
                <w:i/>
              </w:rPr>
            </w:pPr>
            <w:r>
              <w:rPr>
                <w:b/>
                <w:i/>
              </w:rPr>
              <w:t>Kontaktpersona:</w:t>
            </w:r>
          </w:p>
        </w:tc>
        <w:tc>
          <w:tcPr>
            <w:tcW w:w="5670" w:type="dxa"/>
          </w:tcPr>
          <w:p w:rsidRPr="009B70E7" w:rsidR="00510903" w:rsidP="009120CD" w:rsidRDefault="00510903" w14:paraId="29DCC3F8" w14:textId="578B9E5E">
            <w:pPr>
              <w:pStyle w:val="ListParagraph"/>
              <w:ind w:left="0"/>
              <w:rPr>
                <w:i/>
              </w:rPr>
            </w:pPr>
            <w:r>
              <w:rPr>
                <w:i/>
              </w:rPr>
              <w:t xml:space="preserve">Antonio </w:t>
            </w:r>
            <w:r w:rsidR="00801DC4">
              <w:rPr>
                <w:i/>
              </w:rPr>
              <w:t>RIBEIRO PEREIRA</w:t>
            </w:r>
          </w:p>
        </w:tc>
      </w:tr>
      <w:tr w:rsidRPr="009B70E7" w:rsidR="00510903" w:rsidTr="004E4367" w14:paraId="7D046E19" w14:textId="77777777">
        <w:tc>
          <w:tcPr>
            <w:tcW w:w="1418" w:type="dxa"/>
          </w:tcPr>
          <w:p w:rsidRPr="009B70E7" w:rsidR="00510903" w:rsidP="009120CD" w:rsidRDefault="00510903" w14:paraId="3F6D5C42" w14:textId="77777777">
            <w:pPr>
              <w:pStyle w:val="ListParagraph"/>
              <w:ind w:left="601"/>
              <w:rPr>
                <w:i/>
              </w:rPr>
            </w:pPr>
            <w:r>
              <w:rPr>
                <w:i/>
              </w:rPr>
              <w:t>Tālr.:</w:t>
            </w:r>
          </w:p>
        </w:tc>
        <w:tc>
          <w:tcPr>
            <w:tcW w:w="5670" w:type="dxa"/>
          </w:tcPr>
          <w:p w:rsidRPr="009B70E7" w:rsidR="00510903" w:rsidP="009120CD" w:rsidRDefault="00510903" w14:paraId="61791416" w14:textId="77777777">
            <w:pPr>
              <w:pStyle w:val="ListParagraph"/>
              <w:ind w:left="0"/>
              <w:rPr>
                <w:i/>
              </w:rPr>
            </w:pPr>
            <w:r>
              <w:rPr>
                <w:i/>
              </w:rPr>
              <w:t>00 32 2 546 86 79</w:t>
            </w:r>
          </w:p>
        </w:tc>
      </w:tr>
      <w:tr w:rsidRPr="009B70E7" w:rsidR="00510903" w:rsidTr="004E4367" w14:paraId="2C817031" w14:textId="77777777">
        <w:tc>
          <w:tcPr>
            <w:tcW w:w="1418" w:type="dxa"/>
          </w:tcPr>
          <w:p w:rsidRPr="009B70E7" w:rsidR="00510903" w:rsidP="009120CD" w:rsidRDefault="00510903" w14:paraId="2E00BAAE" w14:textId="77777777">
            <w:pPr>
              <w:pStyle w:val="ListParagraph"/>
              <w:ind w:left="601"/>
              <w:rPr>
                <w:i/>
              </w:rPr>
            </w:pPr>
            <w:r>
              <w:rPr>
                <w:i/>
              </w:rPr>
              <w:t>E-pasts:</w:t>
            </w:r>
          </w:p>
        </w:tc>
        <w:tc>
          <w:tcPr>
            <w:tcW w:w="5670" w:type="dxa"/>
          </w:tcPr>
          <w:p w:rsidRPr="00F256CD" w:rsidR="00510903" w:rsidP="009120CD" w:rsidRDefault="0022731C" w14:paraId="6D0679F4" w14:textId="3016CED5">
            <w:pPr>
              <w:pStyle w:val="ListParagraph"/>
              <w:ind w:left="0"/>
              <w:rPr>
                <w:i/>
                <w:color w:val="0000FF"/>
                <w:u w:val="single"/>
              </w:rPr>
            </w:pPr>
            <w:hyperlink w:history="1" r:id="rId36">
              <w:r w:rsidR="0064748D">
                <w:rPr>
                  <w:rStyle w:val="Hyperlink"/>
                  <w:i/>
                </w:rPr>
                <w:t>Antonio.RibeiroPereira@eesc.europa.eu</w:t>
              </w:r>
            </w:hyperlink>
          </w:p>
        </w:tc>
      </w:tr>
    </w:tbl>
    <w:p w:rsidR="00037A85" w:rsidP="009120CD" w:rsidRDefault="00037A85" w14:paraId="3C2A5870" w14:textId="37D61382">
      <w:pPr>
        <w:spacing w:after="160"/>
        <w:jc w:val="left"/>
        <w:rPr>
          <w:sz w:val="28"/>
        </w:rPr>
      </w:pPr>
      <w:r>
        <w:br w:type="page"/>
      </w:r>
    </w:p>
    <w:p w:rsidRPr="009B70E7" w:rsidR="004D7AC0" w:rsidP="00E00915" w:rsidRDefault="004D7AC0" w14:paraId="3F8FA026" w14:textId="77777777">
      <w:pPr>
        <w:pStyle w:val="Heading1"/>
        <w:keepNext/>
        <w:keepLines/>
        <w:rPr>
          <w:b/>
        </w:rPr>
      </w:pPr>
      <w:bookmarkStart w:name="_Toc75527083" w:id="24"/>
      <w:bookmarkStart w:name="_Toc116461962" w:id="25"/>
      <w:r>
        <w:rPr>
          <w:b/>
        </w:rPr>
        <w:lastRenderedPageBreak/>
        <w:t>VIENOTAIS TIRGUS, RAŽOŠANA UN PATĒRIŅŠ</w:t>
      </w:r>
      <w:bookmarkEnd w:id="24"/>
      <w:bookmarkEnd w:id="25"/>
    </w:p>
    <w:p w:rsidRPr="009B70E7" w:rsidR="004D7AC0" w:rsidP="00E00915" w:rsidRDefault="004D7AC0" w14:paraId="03FF9505" w14:textId="77777777">
      <w:pPr>
        <w:keepNext/>
        <w:keepLines/>
      </w:pPr>
    </w:p>
    <w:p w:rsidRPr="007E7A4F" w:rsidR="00164813" w:rsidP="009120CD" w:rsidRDefault="00E34279" w14:paraId="12FD6239" w14:textId="63DC9FD0">
      <w:pPr>
        <w:pStyle w:val="ListParagraph"/>
        <w:numPr>
          <w:ilvl w:val="0"/>
          <w:numId w:val="2"/>
        </w:numPr>
        <w:ind w:left="567" w:hanging="567"/>
        <w:rPr>
          <w:b/>
          <w:i/>
          <w:sz w:val="28"/>
          <w:szCs w:val="28"/>
        </w:rPr>
      </w:pPr>
      <w:bookmarkStart w:name="_Hlk111801891" w:id="26"/>
      <w:r>
        <w:rPr>
          <w:b/>
          <w:i/>
          <w:sz w:val="28"/>
        </w:rPr>
        <w:t>Uzņēmumu pārņemšana kā ilgtspējīgas atveseļošanās veicinātāja MVU nozarē</w:t>
      </w:r>
    </w:p>
    <w:p w:rsidRPr="009B70E7" w:rsidR="00164813" w:rsidP="009120CD" w:rsidRDefault="00164813" w14:paraId="1DADE393"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164813" w:rsidTr="00B83E7B" w14:paraId="1383CB57" w14:textId="77777777">
        <w:tc>
          <w:tcPr>
            <w:tcW w:w="1701" w:type="dxa"/>
          </w:tcPr>
          <w:p w:rsidRPr="009B70E7" w:rsidR="00164813" w:rsidP="009120CD" w:rsidRDefault="00164813" w14:paraId="33004117" w14:textId="77777777">
            <w:pPr>
              <w:pStyle w:val="ListParagraph"/>
              <w:ind w:left="0"/>
              <w:rPr>
                <w:b/>
              </w:rPr>
            </w:pPr>
            <w:r>
              <w:rPr>
                <w:b/>
              </w:rPr>
              <w:t>Ziņotāja:</w:t>
            </w:r>
          </w:p>
        </w:tc>
        <w:tc>
          <w:tcPr>
            <w:tcW w:w="6096" w:type="dxa"/>
          </w:tcPr>
          <w:p w:rsidRPr="007E7A4F" w:rsidR="00164813" w:rsidP="009120CD" w:rsidRDefault="00164813" w14:paraId="2BCDDC29" w14:textId="07976905">
            <w:pPr>
              <w:pStyle w:val="ListParagraph"/>
              <w:ind w:left="-108"/>
            </w:pPr>
            <w:r>
              <w:t xml:space="preserve"> Mira-</w:t>
            </w:r>
            <w:proofErr w:type="spellStart"/>
            <w:r>
              <w:t>Maria</w:t>
            </w:r>
            <w:proofErr w:type="spellEnd"/>
            <w:r>
              <w:t xml:space="preserve"> KONTKANEN (Darba devēju grupa – FI)</w:t>
            </w:r>
          </w:p>
        </w:tc>
      </w:tr>
      <w:tr w:rsidRPr="007E7A4F" w:rsidR="00164813" w:rsidTr="00B83E7B" w14:paraId="5DB9564B" w14:textId="77777777">
        <w:tc>
          <w:tcPr>
            <w:tcW w:w="7797" w:type="dxa"/>
            <w:gridSpan w:val="2"/>
          </w:tcPr>
          <w:p w:rsidRPr="007E7A4F" w:rsidR="00164813" w:rsidP="009120CD" w:rsidRDefault="00164813" w14:paraId="421C9628" w14:textId="77777777">
            <w:pPr>
              <w:pStyle w:val="ListParagraph"/>
              <w:ind w:left="0"/>
              <w:rPr>
                <w:lang w:val="fr-BE"/>
              </w:rPr>
            </w:pPr>
          </w:p>
        </w:tc>
      </w:tr>
      <w:tr w:rsidRPr="009B70E7" w:rsidR="00164813" w:rsidTr="00B83E7B" w14:paraId="132333E4" w14:textId="77777777">
        <w:tc>
          <w:tcPr>
            <w:tcW w:w="1701" w:type="dxa"/>
          </w:tcPr>
          <w:p w:rsidRPr="009B70E7" w:rsidR="00164813" w:rsidP="009120CD" w:rsidRDefault="00164813" w14:paraId="2A306C51" w14:textId="77777777">
            <w:pPr>
              <w:pStyle w:val="ListParagraph"/>
              <w:ind w:left="0"/>
              <w:rPr>
                <w:b/>
              </w:rPr>
            </w:pPr>
            <w:r>
              <w:rPr>
                <w:b/>
              </w:rPr>
              <w:t xml:space="preserve">Atsauce: </w:t>
            </w:r>
          </w:p>
        </w:tc>
        <w:tc>
          <w:tcPr>
            <w:tcW w:w="6096" w:type="dxa"/>
          </w:tcPr>
          <w:p w:rsidRPr="009B70E7" w:rsidR="00164813" w:rsidP="009120CD" w:rsidRDefault="00E34279" w14:paraId="1EB81693" w14:textId="61725A75">
            <w:pPr>
              <w:tabs>
                <w:tab w:val="center" w:pos="284"/>
              </w:tabs>
              <w:ind w:left="266" w:hanging="374"/>
            </w:pPr>
            <w:r>
              <w:t>Pašiniciatīvas atzinums</w:t>
            </w:r>
          </w:p>
          <w:p w:rsidRPr="009B70E7" w:rsidR="00164813" w:rsidP="009120CD" w:rsidRDefault="00ED377B" w14:paraId="1746D341" w14:textId="2AA89A6A">
            <w:pPr>
              <w:pStyle w:val="ListParagraph"/>
              <w:ind w:left="-108"/>
            </w:pPr>
            <w:r>
              <w:t>EESC-2022-01530-00-00-AC</w:t>
            </w:r>
          </w:p>
        </w:tc>
      </w:tr>
    </w:tbl>
    <w:p w:rsidRPr="00A00F37" w:rsidR="00164813" w:rsidP="009120CD" w:rsidRDefault="00164813" w14:paraId="488A6C0C" w14:textId="77777777">
      <w:pPr>
        <w:pStyle w:val="ListParagraph"/>
        <w:ind w:left="0" w:firstLine="142"/>
        <w:rPr>
          <w:b/>
        </w:rPr>
      </w:pPr>
    </w:p>
    <w:p w:rsidRPr="0018231C" w:rsidR="00164813" w:rsidP="009120CD" w:rsidRDefault="00164813" w14:paraId="015FE75F" w14:textId="4469FC57">
      <w:pPr>
        <w:pStyle w:val="ListParagraph"/>
        <w:ind w:left="0" w:firstLine="142"/>
        <w:rPr>
          <w:b/>
        </w:rPr>
      </w:pPr>
      <w:r>
        <w:rPr>
          <w:b/>
          <w:bCs/>
        </w:rPr>
        <w:t>Svarīgākie aspekti</w:t>
      </w:r>
    </w:p>
    <w:p w:rsidRPr="0018231C" w:rsidR="00164813" w:rsidP="009120CD" w:rsidRDefault="00164813" w14:paraId="573BE746" w14:textId="77777777">
      <w:pPr>
        <w:pStyle w:val="ListParagraph"/>
        <w:ind w:left="0"/>
        <w:rPr>
          <w:lang w:val="fr-FR"/>
        </w:rPr>
      </w:pPr>
    </w:p>
    <w:p w:rsidR="00164813" w:rsidP="009120CD" w:rsidRDefault="00164813" w14:paraId="30245860" w14:textId="77777777">
      <w:pPr>
        <w:pStyle w:val="ListParagraph"/>
        <w:ind w:left="0" w:firstLine="142"/>
      </w:pPr>
      <w:r>
        <w:t>EESK:</w:t>
      </w:r>
    </w:p>
    <w:p w:rsidRPr="0018231C" w:rsidR="00164813" w:rsidP="009120CD" w:rsidRDefault="00164813" w14:paraId="7D5F280C" w14:textId="77777777">
      <w:pPr>
        <w:pStyle w:val="ListParagraph"/>
        <w:ind w:left="0"/>
        <w:rPr>
          <w:lang w:val="fr-FR"/>
        </w:rPr>
      </w:pPr>
    </w:p>
    <w:p w:rsidRPr="00A3344B" w:rsidR="00A3344B" w:rsidP="009120CD" w:rsidRDefault="00CA6928" w14:paraId="03AF28C8" w14:textId="7D973880">
      <w:pPr>
        <w:numPr>
          <w:ilvl w:val="0"/>
          <w:numId w:val="3"/>
        </w:numPr>
        <w:overflowPunct w:val="0"/>
        <w:autoSpaceDE w:val="0"/>
        <w:autoSpaceDN w:val="0"/>
        <w:adjustRightInd w:val="0"/>
        <w:ind w:left="357" w:hanging="357"/>
        <w:textAlignment w:val="baseline"/>
      </w:pPr>
      <w:r>
        <w:t xml:space="preserve">uzskata, ka uzņēmumu pārņemšana ir svarīgs stratēģisks process, kas nodrošina darījumdarbības nepārtrauktību un nodarbinātības aizsardzību. Tāpēc EESK norāda, ka ES un dalībvalstu </w:t>
      </w:r>
      <w:r>
        <w:rPr>
          <w:b/>
        </w:rPr>
        <w:t>ekonomikas atveseļošanas un izaugsmes politikas jomā liela nozīme ir uzņēmumu pārņemšanas veicināšanai</w:t>
      </w:r>
      <w:r>
        <w:t>;</w:t>
      </w:r>
    </w:p>
    <w:p w:rsidRPr="00A3344B" w:rsidR="00A3344B" w:rsidP="009120CD" w:rsidRDefault="00CA6928" w14:paraId="5C624B6F" w14:textId="70430F6A">
      <w:pPr>
        <w:numPr>
          <w:ilvl w:val="0"/>
          <w:numId w:val="3"/>
        </w:numPr>
        <w:overflowPunct w:val="0"/>
        <w:autoSpaceDE w:val="0"/>
        <w:autoSpaceDN w:val="0"/>
        <w:adjustRightInd w:val="0"/>
        <w:ind w:left="357" w:hanging="357"/>
        <w:textAlignment w:val="baseline"/>
      </w:pPr>
      <w:r>
        <w:t xml:space="preserve">uzskata, ka </w:t>
      </w:r>
      <w:r>
        <w:rPr>
          <w:b/>
        </w:rPr>
        <w:t>labi funkcionējošu uzņēmumu pārņemšanas ekosistēmu un atbalsta pakalpojumu attīstība ir būtiska</w:t>
      </w:r>
      <w:r>
        <w:t>, lai saglabātu lauku un vienas rūpniecības nozares reģionu iztiku un ekonomiku. Šis aspekts būtu jāatzīst, īstenojot ES ilgtermiņa redzējumu attiecībā uz lauku apvidiem un Lauku rīcības plānu;</w:t>
      </w:r>
    </w:p>
    <w:bookmarkEnd w:id="26"/>
    <w:p w:rsidRPr="00CA6928" w:rsidR="00A3344B" w:rsidP="009120CD" w:rsidRDefault="00CA6928" w14:paraId="41F4DB88" w14:textId="033F8594">
      <w:pPr>
        <w:numPr>
          <w:ilvl w:val="0"/>
          <w:numId w:val="3"/>
        </w:numPr>
        <w:overflowPunct w:val="0"/>
        <w:autoSpaceDE w:val="0"/>
        <w:autoSpaceDN w:val="0"/>
        <w:adjustRightInd w:val="0"/>
        <w:ind w:left="357" w:hanging="357"/>
        <w:textAlignment w:val="baseline"/>
      </w:pPr>
      <w:r>
        <w:t xml:space="preserve">aicina dalībvalstis ieviest un </w:t>
      </w:r>
      <w:r>
        <w:rPr>
          <w:b/>
        </w:rPr>
        <w:t>pilnveidot MVU agrīnās brīdināšanas mehānismus</w:t>
      </w:r>
      <w:r>
        <w:t>, lai atbalstītu uzņēmumu noturību, dzīvotspēju un, visbeidzot, pārņemšanas iespēju;</w:t>
      </w:r>
    </w:p>
    <w:p w:rsidRPr="00CA6928" w:rsidR="00CA6928" w:rsidP="009120CD" w:rsidRDefault="00CA6928" w14:paraId="36F42D42" w14:textId="2E7B90D2">
      <w:pPr>
        <w:numPr>
          <w:ilvl w:val="0"/>
          <w:numId w:val="3"/>
        </w:numPr>
        <w:overflowPunct w:val="0"/>
        <w:autoSpaceDE w:val="0"/>
        <w:autoSpaceDN w:val="0"/>
        <w:adjustRightInd w:val="0"/>
        <w:ind w:left="357" w:hanging="357"/>
        <w:textAlignment w:val="baseline"/>
      </w:pPr>
      <w:r>
        <w:t xml:space="preserve">aicina </w:t>
      </w:r>
      <w:r>
        <w:rPr>
          <w:b/>
        </w:rPr>
        <w:t>izstrādāt stimulus mazo uzņēmumu pārņemšanai jauniem uzņēmējiem</w:t>
      </w:r>
      <w:r>
        <w:t xml:space="preserve">. Šādi stimuli varētu ietvert </w:t>
      </w:r>
      <w:r>
        <w:rPr>
          <w:b/>
        </w:rPr>
        <w:t>informētības veicināšanu</w:t>
      </w:r>
      <w:r>
        <w:t xml:space="preserve">, konsultāciju pakalpojumus, </w:t>
      </w:r>
      <w:proofErr w:type="spellStart"/>
      <w:r>
        <w:t>mentorēšanu</w:t>
      </w:r>
      <w:proofErr w:type="spellEnd"/>
      <w:r>
        <w:t xml:space="preserve"> un </w:t>
      </w:r>
      <w:r>
        <w:rPr>
          <w:b/>
        </w:rPr>
        <w:t>piekļuvi finansējumam</w:t>
      </w:r>
      <w:r>
        <w:t>. Varētu arī nostiprināt gados jauno uzņēmēju izpratni par sociālo dialogu, lai uzņēmumu pārņemšana būtu sekmīga</w:t>
      </w:r>
      <w:r w:rsidR="00B3531E">
        <w:t xml:space="preserve"> visām ieinteresētajām personām;</w:t>
      </w:r>
    </w:p>
    <w:p w:rsidRPr="007E7DE3" w:rsidR="00CA6928" w:rsidP="009120CD" w:rsidRDefault="00CA6928" w14:paraId="00B8973C" w14:textId="6BEBA762">
      <w:pPr>
        <w:numPr>
          <w:ilvl w:val="0"/>
          <w:numId w:val="3"/>
        </w:numPr>
        <w:overflowPunct w:val="0"/>
        <w:autoSpaceDE w:val="0"/>
        <w:autoSpaceDN w:val="0"/>
        <w:adjustRightInd w:val="0"/>
        <w:ind w:left="357" w:hanging="357"/>
        <w:textAlignment w:val="baseline"/>
      </w:pPr>
      <w:r>
        <w:t xml:space="preserve">iesaka dalībvalstīm </w:t>
      </w:r>
      <w:r>
        <w:rPr>
          <w:b/>
        </w:rPr>
        <w:t>izveidot valsts mēroga uzņēmumu pārņemšanas ieinteresēto personu forumus</w:t>
      </w:r>
      <w:r>
        <w:t>, kuros būtu pārstāvētas gan publiskā, gan privātā sektora ieinteresētās personas. Uzņēmumu pārņemšanas forumi nodrošina sistemātisku un ilgtermiņa pieeju uzņēmumu pārņemšanas veicināšanai. Tie arī nodrošina vietu pastāvīgam dialogam starp valstu ekspertiem un garantē efektīvāku resursu izmantošanu.</w:t>
      </w:r>
    </w:p>
    <w:p w:rsidRPr="007E7A4F" w:rsidR="007E7DE3" w:rsidP="009120CD" w:rsidRDefault="007E7DE3" w14:paraId="043E47D4" w14:textId="776D7173">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164813" w:rsidR="00E34279" w:rsidTr="004E4367" w14:paraId="59E3F0D1" w14:textId="77777777">
        <w:tc>
          <w:tcPr>
            <w:tcW w:w="1418" w:type="dxa"/>
          </w:tcPr>
          <w:p w:rsidRPr="00164813" w:rsidR="00E34279" w:rsidP="009120CD" w:rsidRDefault="00E34279" w14:paraId="3F8C4AD7" w14:textId="77777777">
            <w:pPr>
              <w:contextualSpacing/>
              <w:rPr>
                <w:i/>
              </w:rPr>
            </w:pPr>
            <w:r>
              <w:rPr>
                <w:b/>
                <w:i/>
              </w:rPr>
              <w:t>Kontaktpersona:</w:t>
            </w:r>
          </w:p>
        </w:tc>
        <w:tc>
          <w:tcPr>
            <w:tcW w:w="5670" w:type="dxa"/>
          </w:tcPr>
          <w:p w:rsidRPr="00164813" w:rsidR="00E34279" w:rsidP="009120CD" w:rsidRDefault="00E34279" w14:paraId="041FFAC4" w14:textId="668CDBB0">
            <w:pPr>
              <w:contextualSpacing/>
              <w:rPr>
                <w:i/>
              </w:rPr>
            </w:pPr>
            <w:proofErr w:type="spellStart"/>
            <w:r>
              <w:rPr>
                <w:i/>
                <w:iCs/>
              </w:rPr>
              <w:t>Dalila</w:t>
            </w:r>
            <w:proofErr w:type="spellEnd"/>
            <w:r>
              <w:rPr>
                <w:i/>
                <w:iCs/>
              </w:rPr>
              <w:t xml:space="preserve"> </w:t>
            </w:r>
            <w:r w:rsidR="00801DC4">
              <w:rPr>
                <w:i/>
                <w:iCs/>
              </w:rPr>
              <w:t>BERNARD</w:t>
            </w:r>
          </w:p>
        </w:tc>
      </w:tr>
      <w:tr w:rsidRPr="00164813" w:rsidR="00E34279" w:rsidTr="004E4367" w14:paraId="5BFD63D8" w14:textId="77777777">
        <w:tc>
          <w:tcPr>
            <w:tcW w:w="1418" w:type="dxa"/>
          </w:tcPr>
          <w:p w:rsidRPr="00164813" w:rsidR="00E34279" w:rsidP="009120CD" w:rsidRDefault="00E34279" w14:paraId="189A63EF" w14:textId="77777777">
            <w:pPr>
              <w:ind w:left="601"/>
              <w:contextualSpacing/>
              <w:rPr>
                <w:i/>
              </w:rPr>
            </w:pPr>
            <w:r>
              <w:rPr>
                <w:i/>
              </w:rPr>
              <w:t>Tālr.:</w:t>
            </w:r>
          </w:p>
        </w:tc>
        <w:tc>
          <w:tcPr>
            <w:tcW w:w="5670" w:type="dxa"/>
          </w:tcPr>
          <w:p w:rsidRPr="00164813" w:rsidR="00E34279" w:rsidP="009120CD" w:rsidRDefault="00E34279" w14:paraId="75F891C7" w14:textId="77777777">
            <w:pPr>
              <w:contextualSpacing/>
              <w:rPr>
                <w:i/>
              </w:rPr>
            </w:pPr>
            <w:r>
              <w:rPr>
                <w:i/>
              </w:rPr>
              <w:t>00 32 2 546 84 38</w:t>
            </w:r>
          </w:p>
        </w:tc>
      </w:tr>
      <w:tr w:rsidRPr="00164813" w:rsidR="00E34279" w:rsidTr="004E4367" w14:paraId="48B7AFA1" w14:textId="77777777">
        <w:tc>
          <w:tcPr>
            <w:tcW w:w="1418" w:type="dxa"/>
          </w:tcPr>
          <w:p w:rsidRPr="00F256CD" w:rsidR="00E34279" w:rsidP="009120CD" w:rsidRDefault="00E34279" w14:paraId="22EC4CAF" w14:textId="77777777">
            <w:pPr>
              <w:ind w:left="601"/>
              <w:contextualSpacing/>
              <w:rPr>
                <w:i/>
              </w:rPr>
            </w:pPr>
            <w:r>
              <w:rPr>
                <w:i/>
              </w:rPr>
              <w:t>E-pasts:</w:t>
            </w:r>
          </w:p>
        </w:tc>
        <w:tc>
          <w:tcPr>
            <w:tcW w:w="5670" w:type="dxa"/>
          </w:tcPr>
          <w:p w:rsidRPr="00F256CD" w:rsidR="007D1564" w:rsidP="009120CD" w:rsidRDefault="0022731C" w14:paraId="52F62A0A" w14:textId="64730612">
            <w:pPr>
              <w:contextualSpacing/>
              <w:rPr>
                <w:i/>
                <w:color w:val="0000FF"/>
                <w:u w:val="single"/>
              </w:rPr>
            </w:pPr>
            <w:hyperlink w:history="1" r:id="rId37">
              <w:r w:rsidR="0064748D">
                <w:rPr>
                  <w:rStyle w:val="Hyperlink"/>
                  <w:i/>
                </w:rPr>
                <w:t>Dalila.Bernard@eesc.europa.eu</w:t>
              </w:r>
            </w:hyperlink>
          </w:p>
        </w:tc>
      </w:tr>
    </w:tbl>
    <w:p w:rsidR="00D35512" w:rsidP="009120CD" w:rsidRDefault="00D35512" w14:paraId="09FE38A4" w14:textId="3102646E">
      <w:pPr>
        <w:spacing w:after="160"/>
        <w:jc w:val="left"/>
        <w:rPr>
          <w:sz w:val="28"/>
        </w:rPr>
      </w:pPr>
    </w:p>
    <w:p w:rsidR="00801DC4" w:rsidRDefault="00801DC4" w14:paraId="670938A6" w14:textId="77777777">
      <w:pPr>
        <w:spacing w:after="160" w:line="259" w:lineRule="auto"/>
        <w:jc w:val="left"/>
        <w:rPr>
          <w:b/>
          <w:i/>
          <w:sz w:val="28"/>
        </w:rPr>
      </w:pPr>
      <w:bookmarkStart w:name="_Hlk111802185" w:id="27"/>
      <w:r>
        <w:rPr>
          <w:b/>
          <w:i/>
          <w:sz w:val="28"/>
        </w:rPr>
        <w:br w:type="page"/>
      </w:r>
    </w:p>
    <w:p w:rsidRPr="007E7A4F" w:rsidR="007D1564" w:rsidP="009120CD" w:rsidRDefault="007D1564" w14:paraId="354D6AF0" w14:textId="3F2AC660">
      <w:pPr>
        <w:pStyle w:val="ListParagraph"/>
        <w:numPr>
          <w:ilvl w:val="0"/>
          <w:numId w:val="2"/>
        </w:numPr>
        <w:ind w:left="567" w:hanging="567"/>
        <w:rPr>
          <w:b/>
          <w:i/>
          <w:sz w:val="28"/>
          <w:szCs w:val="28"/>
        </w:rPr>
      </w:pPr>
      <w:r>
        <w:rPr>
          <w:b/>
          <w:i/>
          <w:sz w:val="28"/>
        </w:rPr>
        <w:lastRenderedPageBreak/>
        <w:t>Eiropas veselības datu telpa</w:t>
      </w:r>
    </w:p>
    <w:p w:rsidRPr="009B70E7" w:rsidR="007D1564" w:rsidP="009120CD" w:rsidRDefault="007D1564" w14:paraId="760C5C17"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7D1564" w:rsidTr="004E4367" w14:paraId="17221B25" w14:textId="77777777">
        <w:tc>
          <w:tcPr>
            <w:tcW w:w="1701" w:type="dxa"/>
          </w:tcPr>
          <w:p w:rsidRPr="009B70E7" w:rsidR="007D1564" w:rsidP="009120CD" w:rsidRDefault="007D1564" w14:paraId="5335D591" w14:textId="77777777">
            <w:pPr>
              <w:pStyle w:val="ListParagraph"/>
              <w:ind w:left="0"/>
              <w:rPr>
                <w:b/>
              </w:rPr>
            </w:pPr>
            <w:r>
              <w:rPr>
                <w:b/>
              </w:rPr>
              <w:t>Ziņotājs:</w:t>
            </w:r>
          </w:p>
        </w:tc>
        <w:tc>
          <w:tcPr>
            <w:tcW w:w="6096" w:type="dxa"/>
          </w:tcPr>
          <w:p w:rsidRPr="007E7A4F" w:rsidR="007D1564" w:rsidP="009120CD" w:rsidRDefault="007D1564" w14:paraId="534EF537" w14:textId="4CB250D8">
            <w:pPr>
              <w:pStyle w:val="ListParagraph"/>
              <w:ind w:left="-108"/>
            </w:pPr>
            <w:proofErr w:type="spellStart"/>
            <w:r>
              <w:t>Gonçalo</w:t>
            </w:r>
            <w:proofErr w:type="spellEnd"/>
            <w:r>
              <w:t xml:space="preserve"> LOBO XAVIER (Darba devēju grupa – PT)</w:t>
            </w:r>
          </w:p>
        </w:tc>
      </w:tr>
      <w:tr w:rsidRPr="007E7A4F" w:rsidR="007D1564" w:rsidTr="004E4367" w14:paraId="2521E65F" w14:textId="77777777">
        <w:tc>
          <w:tcPr>
            <w:tcW w:w="7797" w:type="dxa"/>
            <w:gridSpan w:val="2"/>
          </w:tcPr>
          <w:p w:rsidRPr="007E7A4F" w:rsidR="007D1564" w:rsidP="009120CD" w:rsidRDefault="007D1564" w14:paraId="12781DF4" w14:textId="77777777">
            <w:pPr>
              <w:pStyle w:val="ListParagraph"/>
              <w:ind w:left="0"/>
              <w:rPr>
                <w:lang w:val="fr-BE"/>
              </w:rPr>
            </w:pPr>
          </w:p>
        </w:tc>
      </w:tr>
      <w:tr w:rsidRPr="009B70E7" w:rsidR="007D1564" w:rsidTr="004E4367" w14:paraId="46EF598B" w14:textId="77777777">
        <w:tc>
          <w:tcPr>
            <w:tcW w:w="1701" w:type="dxa"/>
          </w:tcPr>
          <w:p w:rsidRPr="009B70E7" w:rsidR="007D1564" w:rsidP="009120CD" w:rsidRDefault="007D1564" w14:paraId="208F7DFD" w14:textId="77777777">
            <w:pPr>
              <w:pStyle w:val="ListParagraph"/>
              <w:ind w:left="0"/>
              <w:rPr>
                <w:b/>
              </w:rPr>
            </w:pPr>
            <w:r>
              <w:rPr>
                <w:b/>
              </w:rPr>
              <w:t xml:space="preserve">Atsauce: </w:t>
            </w:r>
          </w:p>
        </w:tc>
        <w:tc>
          <w:tcPr>
            <w:tcW w:w="6096" w:type="dxa"/>
          </w:tcPr>
          <w:p w:rsidRPr="009B70E7" w:rsidR="007D1564" w:rsidP="009120CD" w:rsidRDefault="007D1564" w14:paraId="3BE12495" w14:textId="5594793C">
            <w:pPr>
              <w:tabs>
                <w:tab w:val="center" w:pos="284"/>
              </w:tabs>
              <w:ind w:left="266" w:hanging="374"/>
            </w:pPr>
            <w:r>
              <w:t xml:space="preserve">COM (2022) 197 </w:t>
            </w:r>
            <w:proofErr w:type="spellStart"/>
            <w:r>
              <w:t>final</w:t>
            </w:r>
            <w:proofErr w:type="spellEnd"/>
          </w:p>
          <w:p w:rsidRPr="009B70E7" w:rsidR="007D1564" w:rsidP="009120CD" w:rsidRDefault="007D1564" w14:paraId="47454185" w14:textId="054B6BDF">
            <w:pPr>
              <w:pStyle w:val="ListParagraph"/>
              <w:ind w:left="-108"/>
            </w:pPr>
            <w:r>
              <w:t>EESC-2022-02531-00-00-AC</w:t>
            </w:r>
          </w:p>
        </w:tc>
      </w:tr>
    </w:tbl>
    <w:p w:rsidRPr="009B70E7" w:rsidR="007D1564" w:rsidP="009120CD" w:rsidRDefault="007D1564" w14:paraId="674AF53F" w14:textId="77777777">
      <w:pPr>
        <w:pStyle w:val="ListParagraph"/>
        <w:ind w:left="0"/>
        <w:rPr>
          <w:b/>
        </w:rPr>
      </w:pPr>
    </w:p>
    <w:p w:rsidRPr="0018231C" w:rsidR="007D1564" w:rsidP="009120CD" w:rsidRDefault="007D1564" w14:paraId="41AF643A" w14:textId="317824E5">
      <w:pPr>
        <w:pStyle w:val="ListParagraph"/>
        <w:ind w:left="0" w:firstLine="142"/>
        <w:rPr>
          <w:b/>
        </w:rPr>
      </w:pPr>
      <w:r>
        <w:rPr>
          <w:b/>
          <w:bCs/>
        </w:rPr>
        <w:t>Svarīgākie aspekti</w:t>
      </w:r>
    </w:p>
    <w:p w:rsidRPr="0018231C" w:rsidR="007D1564" w:rsidP="009120CD" w:rsidRDefault="007D1564" w14:paraId="00A4E5F5" w14:textId="77777777">
      <w:pPr>
        <w:pStyle w:val="ListParagraph"/>
        <w:ind w:left="0"/>
        <w:rPr>
          <w:lang w:val="fr-FR"/>
        </w:rPr>
      </w:pPr>
    </w:p>
    <w:p w:rsidRPr="00A00F37" w:rsidR="007D1564" w:rsidP="009120CD" w:rsidRDefault="007D1564" w14:paraId="51169629" w14:textId="77777777">
      <w:pPr>
        <w:pStyle w:val="ListParagraph"/>
        <w:ind w:left="0" w:firstLine="142"/>
        <w:rPr>
          <w:bCs/>
        </w:rPr>
      </w:pPr>
      <w:r>
        <w:t>EESK:</w:t>
      </w:r>
    </w:p>
    <w:p w:rsidRPr="0018231C" w:rsidR="007D1564" w:rsidP="009120CD" w:rsidRDefault="007D1564" w14:paraId="6A8B7889" w14:textId="77777777">
      <w:pPr>
        <w:pStyle w:val="ListParagraph"/>
        <w:ind w:left="0"/>
        <w:rPr>
          <w:lang w:val="fr-FR"/>
        </w:rPr>
      </w:pPr>
    </w:p>
    <w:p w:rsidRPr="00A3344B" w:rsidR="007D1564" w:rsidP="009120CD" w:rsidRDefault="00CA6928" w14:paraId="1704EAD2" w14:textId="1A31592D">
      <w:pPr>
        <w:numPr>
          <w:ilvl w:val="0"/>
          <w:numId w:val="3"/>
        </w:numPr>
        <w:overflowPunct w:val="0"/>
        <w:autoSpaceDE w:val="0"/>
        <w:autoSpaceDN w:val="0"/>
        <w:adjustRightInd w:val="0"/>
        <w:ind w:left="357" w:hanging="357"/>
        <w:textAlignment w:val="baseline"/>
      </w:pPr>
      <w:r>
        <w:t xml:space="preserve">uzskata, ka ir ļoti svarīgi izmantot inovācijas un digitalizācijas sniegtās iespējas, lai palielinātu iedzīvotāju labklājību un uzlabotu veselības aprūpes pakalpojumu kvalitāti, un norāda, ka </w:t>
      </w:r>
      <w:r>
        <w:rPr>
          <w:b/>
        </w:rPr>
        <w:t>ES dalībvalstīs ir jārisina problēmas saistībā ar dažādiem digitālo prasmju līmeņiem</w:t>
      </w:r>
      <w:r>
        <w:t>;</w:t>
      </w:r>
    </w:p>
    <w:p w:rsidRPr="00A3344B" w:rsidR="007D1564" w:rsidP="009120CD" w:rsidRDefault="00CA6928" w14:paraId="32B14931" w14:textId="74421F36">
      <w:pPr>
        <w:numPr>
          <w:ilvl w:val="0"/>
          <w:numId w:val="3"/>
        </w:numPr>
        <w:overflowPunct w:val="0"/>
        <w:autoSpaceDE w:val="0"/>
        <w:autoSpaceDN w:val="0"/>
        <w:adjustRightInd w:val="0"/>
        <w:ind w:left="357" w:hanging="357"/>
        <w:textAlignment w:val="baseline"/>
      </w:pPr>
      <w:r>
        <w:t xml:space="preserve">uzskata, ka priekšlikums par Eiropas veselības datu telpu ir lieliska iespēja, lai </w:t>
      </w:r>
      <w:r>
        <w:rPr>
          <w:b/>
        </w:rPr>
        <w:t>indivīdi varētu piekļūt saviem veselības datiem un tos kontrolēt;</w:t>
      </w:r>
    </w:p>
    <w:p w:rsidRPr="00CA6928" w:rsidR="007D1564" w:rsidP="009120CD" w:rsidRDefault="00CA6928" w14:paraId="56519A8A" w14:textId="4BE2097C">
      <w:pPr>
        <w:numPr>
          <w:ilvl w:val="0"/>
          <w:numId w:val="3"/>
        </w:numPr>
        <w:overflowPunct w:val="0"/>
        <w:autoSpaceDE w:val="0"/>
        <w:autoSpaceDN w:val="0"/>
        <w:adjustRightInd w:val="0"/>
        <w:ind w:left="357" w:hanging="357"/>
        <w:textAlignment w:val="baseline"/>
      </w:pPr>
      <w:r>
        <w:t xml:space="preserve">atbalsta </w:t>
      </w:r>
      <w:r>
        <w:rPr>
          <w:b/>
        </w:rPr>
        <w:t>plaša mēroga komunikācijas kampaņu, kas palīdzētu veidot iedzīvotāju uzticēšanos</w:t>
      </w:r>
      <w:r>
        <w:t>. Iedzīvotājiem ir jāapzinās ieguvumi, kas saistīti ar datu kopīgošanas procesu;</w:t>
      </w:r>
    </w:p>
    <w:p w:rsidRPr="00CA6928" w:rsidR="00CA6928" w:rsidP="009120CD" w:rsidRDefault="00CA6928" w14:paraId="3992C100" w14:textId="4CA45F6B">
      <w:pPr>
        <w:numPr>
          <w:ilvl w:val="0"/>
          <w:numId w:val="3"/>
        </w:numPr>
        <w:overflowPunct w:val="0"/>
        <w:autoSpaceDE w:val="0"/>
        <w:autoSpaceDN w:val="0"/>
        <w:adjustRightInd w:val="0"/>
        <w:ind w:left="357" w:hanging="357"/>
        <w:textAlignment w:val="baseline"/>
      </w:pPr>
      <w:r>
        <w:t xml:space="preserve">uzskata, ka Eiropas veselības datu telpai kā tādai būs ievērojama </w:t>
      </w:r>
      <w:r>
        <w:rPr>
          <w:b/>
        </w:rPr>
        <w:t xml:space="preserve">pozitīva ietekme uz </w:t>
      </w:r>
      <w:proofErr w:type="spellStart"/>
      <w:r>
        <w:rPr>
          <w:b/>
        </w:rPr>
        <w:t>pamattiesībām</w:t>
      </w:r>
      <w:proofErr w:type="spellEnd"/>
      <w:r>
        <w:t xml:space="preserve"> saistībā ar </w:t>
      </w:r>
      <w:proofErr w:type="spellStart"/>
      <w:r>
        <w:t>persondatu</w:t>
      </w:r>
      <w:proofErr w:type="spellEnd"/>
      <w:r>
        <w:t xml:space="preserve"> aizsardzību un brīvu apriti;</w:t>
      </w:r>
    </w:p>
    <w:p w:rsidRPr="00CA6928" w:rsidR="00CA6928" w:rsidP="009120CD" w:rsidRDefault="00CA6928" w14:paraId="58ED59F2" w14:textId="3DF2A7E7">
      <w:pPr>
        <w:numPr>
          <w:ilvl w:val="0"/>
          <w:numId w:val="3"/>
        </w:numPr>
        <w:overflowPunct w:val="0"/>
        <w:autoSpaceDE w:val="0"/>
        <w:autoSpaceDN w:val="0"/>
        <w:adjustRightInd w:val="0"/>
        <w:ind w:left="357" w:hanging="357"/>
        <w:textAlignment w:val="baseline"/>
      </w:pPr>
      <w:r>
        <w:t xml:space="preserve">uzsver, ka iedzīvotāji ir </w:t>
      </w:r>
      <w:r>
        <w:rPr>
          <w:b/>
        </w:rPr>
        <w:t>labāk jāinformē par</w:t>
      </w:r>
      <w:r>
        <w:t xml:space="preserve"> </w:t>
      </w:r>
      <w:r>
        <w:rPr>
          <w:b/>
        </w:rPr>
        <w:t>primāro un sekundāro datu</w:t>
      </w:r>
      <w:r>
        <w:t xml:space="preserve"> izmantošanu. Cilvēkiem ir jāuzticas sistēmai, lai sadarbotos un izprastu ieguvumus gan indivīdiem, gan sabiedrībai kopumā. Ir ļoti skaidri jānosaka, kāds ir datu lietojums, kādi ir ierobežojumi, kura iestāde kontrolēs un apstiprinās datus un kādas sankcijas tiek piemērotas neatbilstības gadījumā;</w:t>
      </w:r>
    </w:p>
    <w:p w:rsidRPr="00CA6928" w:rsidR="00CA6928" w:rsidP="009120CD" w:rsidRDefault="00CA6928" w14:paraId="21202E86" w14:textId="6B86E66F">
      <w:pPr>
        <w:numPr>
          <w:ilvl w:val="0"/>
          <w:numId w:val="3"/>
        </w:numPr>
        <w:overflowPunct w:val="0"/>
        <w:autoSpaceDE w:val="0"/>
        <w:autoSpaceDN w:val="0"/>
        <w:adjustRightInd w:val="0"/>
        <w:ind w:left="357" w:hanging="357"/>
        <w:textAlignment w:val="baseline"/>
      </w:pPr>
      <w:r>
        <w:t xml:space="preserve">iesaka pārskatīt </w:t>
      </w:r>
      <w:r>
        <w:rPr>
          <w:b/>
        </w:rPr>
        <w:t>absolūto aizliegumu apdrošinātājiem izmantot sekundāros datus</w:t>
      </w:r>
      <w:r>
        <w:t>. Apdrošināšana būtu jāveicina, labāk izprotot datu nepieciešamību pētniecības un inovācijas vajadzībām nozarē, kas bieži vien netiek atzīta par tādu, bet ir ļoti svarīga patērētājiem;</w:t>
      </w:r>
    </w:p>
    <w:p w:rsidRPr="00CA6928" w:rsidR="00CA6928" w:rsidP="009120CD" w:rsidRDefault="00CA6928" w14:paraId="3143292F" w14:textId="49ACE610">
      <w:pPr>
        <w:numPr>
          <w:ilvl w:val="0"/>
          <w:numId w:val="3"/>
        </w:numPr>
        <w:overflowPunct w:val="0"/>
        <w:autoSpaceDE w:val="0"/>
        <w:autoSpaceDN w:val="0"/>
        <w:adjustRightInd w:val="0"/>
        <w:ind w:left="357" w:hanging="357"/>
        <w:textAlignment w:val="baseline"/>
      </w:pPr>
      <w:r>
        <w:t>uzskata, ka Eiropas veselības datu telpa sniegs labumu iedzīvotājiem, veselības aprūpes speciālistiem, veselības aprūpes pakalpojumu sniedzējiem, pētniekiem, regulatoriem un politikas veidotājiem, ja iedzīvotāji un ieinteresētās personas tiks iesaistītas pastāvīgos ieguldījumos valsts veselības aizsardzības sistēmās;</w:t>
      </w:r>
    </w:p>
    <w:p w:rsidRPr="00A3344B" w:rsidR="00CA6928" w:rsidP="009120CD" w:rsidRDefault="00CA6928" w14:paraId="0902CDCE" w14:textId="1D40EEF5">
      <w:pPr>
        <w:numPr>
          <w:ilvl w:val="0"/>
          <w:numId w:val="3"/>
        </w:numPr>
        <w:overflowPunct w:val="0"/>
        <w:autoSpaceDE w:val="0"/>
        <w:autoSpaceDN w:val="0"/>
        <w:adjustRightInd w:val="0"/>
        <w:ind w:left="357" w:hanging="357"/>
        <w:textAlignment w:val="baseline"/>
      </w:pPr>
      <w:r>
        <w:t xml:space="preserve">mudina Komisiju konsekventi ieguldīt </w:t>
      </w:r>
      <w:r>
        <w:rPr>
          <w:b/>
        </w:rPr>
        <w:t>kiberdrošības sistēmās</w:t>
      </w:r>
      <w:r>
        <w:t>, kas var novērst milzīgas problēmas visās dalībvalstīs.</w:t>
      </w:r>
    </w:p>
    <w:p w:rsidR="00B34E93" w:rsidP="009120CD" w:rsidRDefault="00B34E93" w14:paraId="7074CB09" w14:textId="6F388C17">
      <w:pPr>
        <w:spacing w:after="160"/>
        <w:jc w:val="left"/>
        <w:rPr>
          <w:sz w:val="28"/>
        </w:rPr>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164813" w:rsidR="007D1564" w:rsidTr="004E4367" w14:paraId="1D09E00F" w14:textId="77777777">
        <w:tc>
          <w:tcPr>
            <w:tcW w:w="1418" w:type="dxa"/>
          </w:tcPr>
          <w:p w:rsidRPr="00164813" w:rsidR="007D1564" w:rsidP="009120CD" w:rsidRDefault="007D1564" w14:paraId="2B63952E" w14:textId="77777777">
            <w:pPr>
              <w:contextualSpacing/>
              <w:rPr>
                <w:i/>
              </w:rPr>
            </w:pPr>
            <w:bookmarkStart w:name="_Hlk113981971" w:id="28"/>
            <w:r>
              <w:rPr>
                <w:b/>
                <w:i/>
              </w:rPr>
              <w:t>Kontaktpersona:</w:t>
            </w:r>
          </w:p>
        </w:tc>
        <w:tc>
          <w:tcPr>
            <w:tcW w:w="5670" w:type="dxa"/>
          </w:tcPr>
          <w:p w:rsidRPr="00164813" w:rsidR="007D1564" w:rsidP="009120CD" w:rsidRDefault="007D1564" w14:paraId="265EC720" w14:textId="0826526D">
            <w:pPr>
              <w:contextualSpacing/>
              <w:rPr>
                <w:i/>
              </w:rPr>
            </w:pPr>
            <w:proofErr w:type="spellStart"/>
            <w:r>
              <w:rPr>
                <w:i/>
              </w:rPr>
              <w:t>Claudia</w:t>
            </w:r>
            <w:proofErr w:type="spellEnd"/>
            <w:r>
              <w:rPr>
                <w:i/>
              </w:rPr>
              <w:t xml:space="preserve"> </w:t>
            </w:r>
            <w:r w:rsidR="00801DC4">
              <w:rPr>
                <w:i/>
              </w:rPr>
              <w:t>DREWES-WRAN </w:t>
            </w:r>
            <w:r>
              <w:rPr>
                <w:i/>
              </w:rPr>
              <w:t xml:space="preserve">/ </w:t>
            </w:r>
            <w:proofErr w:type="spellStart"/>
            <w:r>
              <w:rPr>
                <w:i/>
              </w:rPr>
              <w:t>Raquel</w:t>
            </w:r>
            <w:proofErr w:type="spellEnd"/>
            <w:r>
              <w:rPr>
                <w:i/>
              </w:rPr>
              <w:t xml:space="preserve"> </w:t>
            </w:r>
            <w:r w:rsidR="00801DC4">
              <w:rPr>
                <w:i/>
              </w:rPr>
              <w:t>FERREIRA DA SILVA</w:t>
            </w:r>
          </w:p>
        </w:tc>
      </w:tr>
      <w:tr w:rsidRPr="00164813" w:rsidR="007D1564" w:rsidTr="004E4367" w14:paraId="1F084985" w14:textId="77777777">
        <w:tc>
          <w:tcPr>
            <w:tcW w:w="1418" w:type="dxa"/>
          </w:tcPr>
          <w:p w:rsidRPr="00164813" w:rsidR="007D1564" w:rsidP="009120CD" w:rsidRDefault="007D1564" w14:paraId="1EE5533A" w14:textId="77777777">
            <w:pPr>
              <w:ind w:left="601"/>
              <w:contextualSpacing/>
              <w:rPr>
                <w:i/>
              </w:rPr>
            </w:pPr>
            <w:r>
              <w:rPr>
                <w:i/>
              </w:rPr>
              <w:t>Tālr.:</w:t>
            </w:r>
          </w:p>
        </w:tc>
        <w:tc>
          <w:tcPr>
            <w:tcW w:w="5670" w:type="dxa"/>
          </w:tcPr>
          <w:p w:rsidRPr="00164813" w:rsidR="007D1564" w:rsidP="009120CD" w:rsidRDefault="007D1564" w14:paraId="5EB69F40" w14:textId="331B7CA1">
            <w:pPr>
              <w:contextualSpacing/>
              <w:rPr>
                <w:i/>
              </w:rPr>
            </w:pPr>
            <w:r>
              <w:rPr>
                <w:i/>
              </w:rPr>
              <w:t>00 32 2 546 80 67 / 0032 2 546 13</w:t>
            </w:r>
          </w:p>
        </w:tc>
      </w:tr>
      <w:tr w:rsidRPr="00164813" w:rsidR="007D1564" w:rsidTr="004E4367" w14:paraId="610CB202" w14:textId="77777777">
        <w:tc>
          <w:tcPr>
            <w:tcW w:w="1418" w:type="dxa"/>
          </w:tcPr>
          <w:p w:rsidRPr="00164813" w:rsidR="007D1564" w:rsidP="009120CD" w:rsidRDefault="007D1564" w14:paraId="1BF9430B" w14:textId="77777777">
            <w:pPr>
              <w:ind w:left="601"/>
              <w:contextualSpacing/>
              <w:rPr>
                <w:i/>
              </w:rPr>
            </w:pPr>
            <w:r>
              <w:rPr>
                <w:i/>
              </w:rPr>
              <w:t>E-pasts:</w:t>
            </w:r>
          </w:p>
        </w:tc>
        <w:tc>
          <w:tcPr>
            <w:tcW w:w="5670" w:type="dxa"/>
          </w:tcPr>
          <w:p w:rsidRPr="00F256CD" w:rsidR="007D1564" w:rsidP="009120CD" w:rsidRDefault="0022731C" w14:paraId="448DBAAA" w14:textId="77777777">
            <w:pPr>
              <w:contextualSpacing/>
              <w:rPr>
                <w:i/>
                <w:iCs/>
              </w:rPr>
            </w:pPr>
            <w:hyperlink w:history="1" r:id="rId38">
              <w:r w:rsidR="0064748D">
                <w:rPr>
                  <w:rStyle w:val="Hyperlink"/>
                  <w:i/>
                </w:rPr>
                <w:t>Claudia.Drewes-Wran@eesc.europa.eu</w:t>
              </w:r>
            </w:hyperlink>
          </w:p>
          <w:p w:rsidRPr="00F256CD" w:rsidR="00036505" w:rsidP="009120CD" w:rsidRDefault="0022731C" w14:paraId="0C3ED20B" w14:textId="6FD4399F">
            <w:pPr>
              <w:contextualSpacing/>
            </w:pPr>
            <w:hyperlink w:history="1" r:id="rId39">
              <w:r w:rsidR="0064748D">
                <w:rPr>
                  <w:rStyle w:val="Hyperlink"/>
                  <w:i/>
                </w:rPr>
                <w:t>Raquel.FerreiraDaSilva@eesc.europa.eu</w:t>
              </w:r>
            </w:hyperlink>
          </w:p>
        </w:tc>
      </w:tr>
    </w:tbl>
    <w:p w:rsidRPr="00F256CD" w:rsidR="00F256CD" w:rsidP="00F256CD" w:rsidRDefault="00F256CD" w14:paraId="6CEB937B" w14:textId="77777777">
      <w:pPr>
        <w:pStyle w:val="ListParagraph"/>
        <w:ind w:left="567"/>
        <w:rPr>
          <w:b/>
          <w:i/>
          <w:sz w:val="28"/>
          <w:szCs w:val="28"/>
        </w:rPr>
      </w:pPr>
      <w:bookmarkStart w:name="_Hlk111802431" w:id="29"/>
      <w:bookmarkEnd w:id="27"/>
      <w:bookmarkEnd w:id="28"/>
    </w:p>
    <w:p w:rsidR="00801DC4" w:rsidRDefault="00801DC4" w14:paraId="5BE8EA6D" w14:textId="77777777">
      <w:pPr>
        <w:spacing w:after="160" w:line="259" w:lineRule="auto"/>
        <w:jc w:val="left"/>
        <w:rPr>
          <w:b/>
          <w:i/>
          <w:sz w:val="28"/>
        </w:rPr>
      </w:pPr>
      <w:r>
        <w:rPr>
          <w:b/>
          <w:i/>
          <w:sz w:val="28"/>
        </w:rPr>
        <w:br w:type="page"/>
      </w:r>
    </w:p>
    <w:p w:rsidRPr="007E7A4F" w:rsidR="007D1564" w:rsidP="009120CD" w:rsidRDefault="007D1564" w14:paraId="0C6070AD" w14:textId="05D51DE7">
      <w:pPr>
        <w:pStyle w:val="ListParagraph"/>
        <w:numPr>
          <w:ilvl w:val="0"/>
          <w:numId w:val="2"/>
        </w:numPr>
        <w:ind w:left="567" w:hanging="567"/>
        <w:rPr>
          <w:b/>
          <w:i/>
          <w:sz w:val="28"/>
          <w:szCs w:val="28"/>
        </w:rPr>
      </w:pPr>
      <w:r>
        <w:rPr>
          <w:b/>
          <w:i/>
          <w:sz w:val="28"/>
        </w:rPr>
        <w:lastRenderedPageBreak/>
        <w:t>Amatniecības un rūpniecības ražojumu ģeogrāfiskās izcelsmes norāžu aizsardzība</w:t>
      </w:r>
    </w:p>
    <w:p w:rsidRPr="009B70E7" w:rsidR="007D1564" w:rsidP="009120CD" w:rsidRDefault="007D1564" w14:paraId="6ACF41A3"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7D1564" w:rsidTr="004E4367" w14:paraId="74FBFD38" w14:textId="77777777">
        <w:tc>
          <w:tcPr>
            <w:tcW w:w="1701" w:type="dxa"/>
          </w:tcPr>
          <w:p w:rsidRPr="009B70E7" w:rsidR="007D1564" w:rsidP="009120CD" w:rsidRDefault="007D1564" w14:paraId="2C15EB2C" w14:textId="77777777">
            <w:pPr>
              <w:pStyle w:val="ListParagraph"/>
              <w:ind w:left="0"/>
              <w:rPr>
                <w:b/>
              </w:rPr>
            </w:pPr>
            <w:r>
              <w:rPr>
                <w:b/>
              </w:rPr>
              <w:t>Ziņotājs:</w:t>
            </w:r>
          </w:p>
        </w:tc>
        <w:tc>
          <w:tcPr>
            <w:tcW w:w="6096" w:type="dxa"/>
          </w:tcPr>
          <w:p w:rsidRPr="007E7A4F" w:rsidR="007D1564" w:rsidP="009120CD" w:rsidRDefault="007D1564" w14:paraId="5FEBD29F" w14:textId="715C01BD">
            <w:pPr>
              <w:pStyle w:val="ListParagraph"/>
              <w:ind w:left="-108"/>
            </w:pPr>
            <w:proofErr w:type="spellStart"/>
            <w:r>
              <w:t>Paulo</w:t>
            </w:r>
            <w:proofErr w:type="spellEnd"/>
            <w:r>
              <w:t> BARROS VALE (Darba devēju grupa – PT)</w:t>
            </w:r>
          </w:p>
        </w:tc>
      </w:tr>
      <w:tr w:rsidRPr="007E7A4F" w:rsidR="007D1564" w:rsidTr="004E4367" w14:paraId="41FDACAA" w14:textId="77777777">
        <w:tc>
          <w:tcPr>
            <w:tcW w:w="7797" w:type="dxa"/>
            <w:gridSpan w:val="2"/>
          </w:tcPr>
          <w:p w:rsidRPr="007E7A4F" w:rsidR="007D1564" w:rsidP="009120CD" w:rsidRDefault="007D1564" w14:paraId="022E36EC" w14:textId="77777777">
            <w:pPr>
              <w:pStyle w:val="ListParagraph"/>
              <w:ind w:left="0"/>
              <w:rPr>
                <w:lang w:val="fr-BE"/>
              </w:rPr>
            </w:pPr>
          </w:p>
        </w:tc>
      </w:tr>
      <w:tr w:rsidRPr="009B70E7" w:rsidR="007D1564" w:rsidTr="004E4367" w14:paraId="00C375AD" w14:textId="77777777">
        <w:tc>
          <w:tcPr>
            <w:tcW w:w="1701" w:type="dxa"/>
          </w:tcPr>
          <w:p w:rsidRPr="009B70E7" w:rsidR="007D1564" w:rsidP="009120CD" w:rsidRDefault="007D1564" w14:paraId="3BD5C0B0" w14:textId="77777777">
            <w:pPr>
              <w:pStyle w:val="ListParagraph"/>
              <w:ind w:left="0"/>
              <w:rPr>
                <w:b/>
              </w:rPr>
            </w:pPr>
            <w:r>
              <w:rPr>
                <w:b/>
              </w:rPr>
              <w:t xml:space="preserve">Atsauce: </w:t>
            </w:r>
          </w:p>
        </w:tc>
        <w:tc>
          <w:tcPr>
            <w:tcW w:w="6096" w:type="dxa"/>
          </w:tcPr>
          <w:p w:rsidRPr="009B70E7" w:rsidR="007D1564" w:rsidP="009120CD" w:rsidRDefault="007D1564" w14:paraId="124E02FF" w14:textId="2A83977F">
            <w:pPr>
              <w:tabs>
                <w:tab w:val="center" w:pos="284"/>
              </w:tabs>
              <w:ind w:left="266" w:hanging="374"/>
            </w:pPr>
            <w:r>
              <w:t xml:space="preserve">COM (2022) 174 </w:t>
            </w:r>
            <w:proofErr w:type="spellStart"/>
            <w:r>
              <w:t>final</w:t>
            </w:r>
            <w:proofErr w:type="spellEnd"/>
          </w:p>
          <w:p w:rsidRPr="009B70E7" w:rsidR="007D1564" w:rsidP="009120CD" w:rsidRDefault="007D1564" w14:paraId="55D5A90F" w14:textId="0A000523">
            <w:pPr>
              <w:pStyle w:val="ListParagraph"/>
              <w:ind w:left="-108"/>
            </w:pPr>
            <w:r>
              <w:t>EESC-2022-03163-00-00-AC</w:t>
            </w:r>
          </w:p>
        </w:tc>
      </w:tr>
    </w:tbl>
    <w:p w:rsidRPr="009B70E7" w:rsidR="007D1564" w:rsidP="009120CD" w:rsidRDefault="007D1564" w14:paraId="65861D6D" w14:textId="77777777">
      <w:pPr>
        <w:pStyle w:val="ListParagraph"/>
        <w:ind w:left="0"/>
        <w:rPr>
          <w:b/>
        </w:rPr>
      </w:pPr>
    </w:p>
    <w:p w:rsidRPr="00A00F37" w:rsidR="007D1564" w:rsidP="009120CD" w:rsidRDefault="007D1564" w14:paraId="6523C58C" w14:textId="649F4B82">
      <w:pPr>
        <w:pStyle w:val="ListParagraph"/>
        <w:ind w:left="0" w:firstLine="142"/>
        <w:rPr>
          <w:b/>
        </w:rPr>
      </w:pPr>
      <w:r>
        <w:rPr>
          <w:b/>
          <w:bCs/>
        </w:rPr>
        <w:t>Svarīgākie aspekti</w:t>
      </w:r>
    </w:p>
    <w:p w:rsidRPr="0018231C" w:rsidR="007D1564" w:rsidP="009120CD" w:rsidRDefault="007D1564" w14:paraId="285E8731" w14:textId="77777777">
      <w:pPr>
        <w:pStyle w:val="ListParagraph"/>
        <w:ind w:left="0"/>
        <w:rPr>
          <w:lang w:val="fr-FR"/>
        </w:rPr>
      </w:pPr>
    </w:p>
    <w:p w:rsidR="007D1564" w:rsidP="009120CD" w:rsidRDefault="007D1564" w14:paraId="4D753BE4" w14:textId="77777777">
      <w:pPr>
        <w:pStyle w:val="ListParagraph"/>
        <w:ind w:left="0" w:firstLine="142"/>
      </w:pPr>
      <w:r>
        <w:t>EESK:</w:t>
      </w:r>
    </w:p>
    <w:p w:rsidRPr="0018231C" w:rsidR="007D1564" w:rsidP="009120CD" w:rsidRDefault="007D1564" w14:paraId="2587728C" w14:textId="77777777">
      <w:pPr>
        <w:pStyle w:val="ListParagraph"/>
        <w:ind w:left="0"/>
        <w:rPr>
          <w:lang w:val="fr-FR"/>
        </w:rPr>
      </w:pPr>
    </w:p>
    <w:p w:rsidRPr="00A3344B" w:rsidR="007D1564" w:rsidP="009120CD" w:rsidRDefault="003A7071" w14:paraId="58421ABB" w14:textId="3AD36947">
      <w:pPr>
        <w:numPr>
          <w:ilvl w:val="0"/>
          <w:numId w:val="3"/>
        </w:numPr>
        <w:overflowPunct w:val="0"/>
        <w:autoSpaceDE w:val="0"/>
        <w:autoSpaceDN w:val="0"/>
        <w:adjustRightInd w:val="0"/>
        <w:ind w:left="357" w:hanging="357"/>
        <w:textAlignment w:val="baseline"/>
      </w:pPr>
      <w:r>
        <w:t xml:space="preserve">atzinīgi vērtē </w:t>
      </w:r>
      <w:r>
        <w:rPr>
          <w:b/>
        </w:rPr>
        <w:t>Komisijas iniciatīvu ES līmenī nodrošināt rūpniecisko un amatniecības ražojumu ģeogrāfiskās izcelsmes norāžu (ĢIN) aizsardzību, tādējādi novēršot pašreizējo tiesību aktu trūkumu</w:t>
      </w:r>
      <w:r>
        <w:t xml:space="preserve"> attiecībā uz šāda veida ražojumiem;</w:t>
      </w:r>
    </w:p>
    <w:p w:rsidRPr="00A3344B" w:rsidR="007D1564" w:rsidP="009120CD" w:rsidRDefault="001016BE" w14:paraId="7B0868C6" w14:textId="7B216A89">
      <w:pPr>
        <w:numPr>
          <w:ilvl w:val="0"/>
          <w:numId w:val="3"/>
        </w:numPr>
        <w:overflowPunct w:val="0"/>
        <w:autoSpaceDE w:val="0"/>
        <w:autoSpaceDN w:val="0"/>
        <w:adjustRightInd w:val="0"/>
        <w:ind w:left="357" w:hanging="357"/>
        <w:textAlignment w:val="baseline"/>
      </w:pPr>
      <w:r>
        <w:t xml:space="preserve">uzskata, ka ģeogrāfiskās izcelsmes norāžu nodrošinātā aizsardzība </w:t>
      </w:r>
      <w:r>
        <w:rPr>
          <w:b/>
        </w:rPr>
        <w:t>veicina reģionu</w:t>
      </w:r>
      <w:r>
        <w:t>, it īpaši mazāk attīstīto reģionu, attīstību, jo tā stimulē ražotājus, nodrošina viņu ražojumu atpazīstamību un aizsardzību pret atdarinājumiem, piesaista un notur cilvēkus attiecīgajā teritorijā, piedāvājot kvalificētāka un labāk apmaksāta darba iespējas, un atbalsta ilgtspējīgu tūrismu, tostarp nišas tūrismu, kura pamatā ir reģiona atpazīstamība;</w:t>
      </w:r>
    </w:p>
    <w:p w:rsidRPr="00A3344B" w:rsidR="007D1564" w:rsidP="009120CD" w:rsidRDefault="001016BE" w14:paraId="0CA862E7" w14:textId="58DC54A4">
      <w:pPr>
        <w:numPr>
          <w:ilvl w:val="0"/>
          <w:numId w:val="3"/>
        </w:numPr>
        <w:overflowPunct w:val="0"/>
        <w:autoSpaceDE w:val="0"/>
        <w:autoSpaceDN w:val="0"/>
        <w:adjustRightInd w:val="0"/>
        <w:ind w:left="357" w:hanging="357"/>
        <w:textAlignment w:val="baseline"/>
      </w:pPr>
      <w:r>
        <w:t xml:space="preserve">nav pārliecināta, ka šis likumdošanas risinājums ir labāks nekā risinājums, ar kuru tiktu </w:t>
      </w:r>
      <w:r>
        <w:rPr>
          <w:b/>
        </w:rPr>
        <w:t>paplašināts spēkā esošais regulējums attiecībā uz lauksaimniecības produktiem un pārtikas produktiem, vīniem un stiprajiem alkoholiskajiem dzērieniem, iekļaujot tajā amatniecības un rūpnieciskos ražojumus</w:t>
      </w:r>
      <w:r>
        <w:t>;</w:t>
      </w:r>
    </w:p>
    <w:p w:rsidRPr="001016BE" w:rsidR="007D1564" w:rsidP="009120CD" w:rsidRDefault="001016BE" w14:paraId="32E6EBD8" w14:textId="2B18C1EF">
      <w:pPr>
        <w:numPr>
          <w:ilvl w:val="0"/>
          <w:numId w:val="3"/>
        </w:numPr>
        <w:overflowPunct w:val="0"/>
        <w:autoSpaceDE w:val="0"/>
        <w:autoSpaceDN w:val="0"/>
        <w:adjustRightInd w:val="0"/>
        <w:ind w:left="357" w:hanging="357"/>
        <w:textAlignment w:val="baseline"/>
      </w:pPr>
      <w:r>
        <w:t xml:space="preserve">uzskata, ka svarīgi ir, lai </w:t>
      </w:r>
      <w:r>
        <w:rPr>
          <w:b/>
        </w:rPr>
        <w:t>simbols, ko izmanto ģeogrāfiskās izcelsmes norādes apzīmēšanai, būtu pievilcīgs un piemērots visiem jaunajiem izplatīšanas kanāliem</w:t>
      </w:r>
      <w:r>
        <w:t>, aptvertu visu klāstu – no tradicionālā marķējuma līdz vismodernākajai digitālajai komunikācijai;</w:t>
      </w:r>
    </w:p>
    <w:p w:rsidR="001016BE" w:rsidP="009120CD" w:rsidRDefault="001016BE" w14:paraId="6FD4C197" w14:textId="2614F6BD">
      <w:pPr>
        <w:numPr>
          <w:ilvl w:val="0"/>
          <w:numId w:val="3"/>
        </w:numPr>
        <w:overflowPunct w:val="0"/>
        <w:autoSpaceDE w:val="0"/>
        <w:autoSpaceDN w:val="0"/>
        <w:adjustRightInd w:val="0"/>
        <w:ind w:left="357" w:hanging="357"/>
        <w:textAlignment w:val="baseline"/>
      </w:pPr>
      <w:r>
        <w:t xml:space="preserve">uzskata, ka </w:t>
      </w:r>
      <w:r>
        <w:rPr>
          <w:b/>
        </w:rPr>
        <w:t>ģeogrāfiskās izcelsmes norāžu aizsardzības jomā</w:t>
      </w:r>
      <w:r>
        <w:t xml:space="preserve"> ir svarīgi panākt, lai pārkārtošanās process no valsts līmeņa uz ES līmeni būtu ātrs un vienkāršs;</w:t>
      </w:r>
      <w:r w:rsidR="00801DC4">
        <w:t xml:space="preserve"> </w:t>
      </w:r>
      <w:r>
        <w:t xml:space="preserve">uzskata, ka </w:t>
      </w:r>
      <w:r>
        <w:rPr>
          <w:b/>
        </w:rPr>
        <w:t>ģeogrāfiskās izcelsmes norāžu aizsardzības jomā</w:t>
      </w:r>
      <w:r>
        <w:t xml:space="preserve"> ir svarīgi panākt, lai pārkārtošanās process no valsts līmeņa uz ES līmeni būtu ātrs un vienkāršs;</w:t>
      </w:r>
      <w:r w:rsidR="00801DC4">
        <w:t xml:space="preserve"> </w:t>
      </w:r>
      <w:r>
        <w:t xml:space="preserve">uzskata, ka </w:t>
      </w:r>
      <w:r>
        <w:rPr>
          <w:b/>
        </w:rPr>
        <w:t>ģeogrāfiskās izcelsmes norāžu aizsardzības jomā</w:t>
      </w:r>
      <w:r>
        <w:t xml:space="preserve"> ir svarīgi panākt, lai pārkārtošanās process no valsts līmeņa uz ES līmeni būtu ātrs un vienkāršs;</w:t>
      </w:r>
    </w:p>
    <w:p w:rsidR="001016BE" w:rsidP="009120CD" w:rsidRDefault="001016BE" w14:paraId="7639215A" w14:textId="3E284095">
      <w:pPr>
        <w:numPr>
          <w:ilvl w:val="0"/>
          <w:numId w:val="3"/>
        </w:numPr>
        <w:overflowPunct w:val="0"/>
        <w:autoSpaceDE w:val="0"/>
        <w:autoSpaceDN w:val="0"/>
        <w:adjustRightInd w:val="0"/>
        <w:ind w:left="357" w:hanging="357"/>
        <w:textAlignment w:val="baseline"/>
      </w:pPr>
      <w:r>
        <w:t xml:space="preserve">iesaka Komisijai cieši </w:t>
      </w:r>
      <w:r>
        <w:rPr>
          <w:b/>
        </w:rPr>
        <w:t>uzraudzīt konfliktus, kas var rasties sertifikācijas procesos</w:t>
      </w:r>
      <w:r>
        <w:t>, it īpaši ar trešām valstīm, un īstenot savas sarunu pilnvaras.</w:t>
      </w:r>
    </w:p>
    <w:p w:rsidRPr="00A3344B" w:rsidR="001016BE" w:rsidP="009120CD" w:rsidRDefault="001016BE" w14:paraId="29425E3C" w14:textId="77777777">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164813" w:rsidR="001016BE" w:rsidTr="004E4367" w14:paraId="19916B24" w14:textId="77777777">
        <w:tc>
          <w:tcPr>
            <w:tcW w:w="1418" w:type="dxa"/>
          </w:tcPr>
          <w:p w:rsidRPr="00164813" w:rsidR="001016BE" w:rsidP="009120CD" w:rsidRDefault="001016BE" w14:paraId="193156F1" w14:textId="77777777">
            <w:pPr>
              <w:contextualSpacing/>
              <w:rPr>
                <w:i/>
              </w:rPr>
            </w:pPr>
            <w:r>
              <w:rPr>
                <w:b/>
                <w:i/>
              </w:rPr>
              <w:t>Kontaktpersona:</w:t>
            </w:r>
          </w:p>
        </w:tc>
        <w:tc>
          <w:tcPr>
            <w:tcW w:w="5670" w:type="dxa"/>
          </w:tcPr>
          <w:p w:rsidRPr="00164813" w:rsidR="001016BE" w:rsidP="009120CD" w:rsidRDefault="001016BE" w14:paraId="14E1128D" w14:textId="7F22204E">
            <w:pPr>
              <w:contextualSpacing/>
              <w:rPr>
                <w:i/>
              </w:rPr>
            </w:pPr>
            <w:proofErr w:type="spellStart"/>
            <w:r>
              <w:rPr>
                <w:i/>
              </w:rPr>
              <w:t>Claudia</w:t>
            </w:r>
            <w:proofErr w:type="spellEnd"/>
            <w:r>
              <w:rPr>
                <w:i/>
              </w:rPr>
              <w:t xml:space="preserve"> </w:t>
            </w:r>
            <w:r w:rsidR="00801DC4">
              <w:rPr>
                <w:i/>
              </w:rPr>
              <w:t>DREWES-WRAN </w:t>
            </w:r>
            <w:r>
              <w:rPr>
                <w:i/>
              </w:rPr>
              <w:t xml:space="preserve">/ </w:t>
            </w:r>
            <w:proofErr w:type="spellStart"/>
            <w:r>
              <w:rPr>
                <w:i/>
              </w:rPr>
              <w:t>Raquel</w:t>
            </w:r>
            <w:proofErr w:type="spellEnd"/>
            <w:r>
              <w:rPr>
                <w:i/>
              </w:rPr>
              <w:t xml:space="preserve"> </w:t>
            </w:r>
            <w:r w:rsidR="00801DC4">
              <w:rPr>
                <w:i/>
              </w:rPr>
              <w:t>FERREIRA DA SILVA</w:t>
            </w:r>
          </w:p>
        </w:tc>
      </w:tr>
      <w:tr w:rsidRPr="00164813" w:rsidR="001016BE" w:rsidTr="004E4367" w14:paraId="7D04EED4" w14:textId="77777777">
        <w:tc>
          <w:tcPr>
            <w:tcW w:w="1418" w:type="dxa"/>
          </w:tcPr>
          <w:p w:rsidRPr="00164813" w:rsidR="001016BE" w:rsidP="009120CD" w:rsidRDefault="001016BE" w14:paraId="7AC7F53A" w14:textId="77777777">
            <w:pPr>
              <w:ind w:left="601"/>
              <w:contextualSpacing/>
              <w:rPr>
                <w:i/>
              </w:rPr>
            </w:pPr>
            <w:r>
              <w:rPr>
                <w:i/>
              </w:rPr>
              <w:t>Tālr.:</w:t>
            </w:r>
          </w:p>
        </w:tc>
        <w:tc>
          <w:tcPr>
            <w:tcW w:w="5670" w:type="dxa"/>
          </w:tcPr>
          <w:p w:rsidRPr="00164813" w:rsidR="001016BE" w:rsidP="009120CD" w:rsidRDefault="001016BE" w14:paraId="6417B844" w14:textId="77777777">
            <w:pPr>
              <w:contextualSpacing/>
              <w:rPr>
                <w:i/>
              </w:rPr>
            </w:pPr>
            <w:r>
              <w:rPr>
                <w:i/>
              </w:rPr>
              <w:t>00 32 2 546 80 67 / 0032 2 546 13</w:t>
            </w:r>
          </w:p>
        </w:tc>
      </w:tr>
      <w:tr w:rsidRPr="00164813" w:rsidR="001016BE" w:rsidTr="004E4367" w14:paraId="5EDB0091" w14:textId="77777777">
        <w:tc>
          <w:tcPr>
            <w:tcW w:w="1418" w:type="dxa"/>
          </w:tcPr>
          <w:p w:rsidRPr="00164813" w:rsidR="001016BE" w:rsidP="009120CD" w:rsidRDefault="001016BE" w14:paraId="414B2AF5" w14:textId="77777777">
            <w:pPr>
              <w:ind w:left="601"/>
              <w:contextualSpacing/>
              <w:rPr>
                <w:i/>
              </w:rPr>
            </w:pPr>
            <w:r>
              <w:rPr>
                <w:i/>
              </w:rPr>
              <w:t>E-pasts:</w:t>
            </w:r>
          </w:p>
        </w:tc>
        <w:tc>
          <w:tcPr>
            <w:tcW w:w="5670" w:type="dxa"/>
          </w:tcPr>
          <w:p w:rsidRPr="00F256CD" w:rsidR="001016BE" w:rsidP="009120CD" w:rsidRDefault="0022731C" w14:paraId="7BBBE13A" w14:textId="77777777">
            <w:pPr>
              <w:contextualSpacing/>
              <w:rPr>
                <w:i/>
                <w:iCs/>
              </w:rPr>
            </w:pPr>
            <w:hyperlink w:history="1" r:id="rId40">
              <w:r w:rsidR="0064748D">
                <w:rPr>
                  <w:rStyle w:val="Hyperlink"/>
                  <w:i/>
                </w:rPr>
                <w:t>Claudia.Drewes-Wran@eesc.europa.eu</w:t>
              </w:r>
            </w:hyperlink>
          </w:p>
          <w:p w:rsidRPr="00F256CD" w:rsidR="001016BE" w:rsidP="009120CD" w:rsidRDefault="0022731C" w14:paraId="62EDFB9F" w14:textId="2485B525">
            <w:pPr>
              <w:contextualSpacing/>
            </w:pPr>
            <w:hyperlink w:history="1" r:id="rId41">
              <w:r w:rsidR="0064748D">
                <w:rPr>
                  <w:rStyle w:val="Hyperlink"/>
                  <w:i/>
                </w:rPr>
                <w:t>Raquel.FerreiraDaSilva@eesc.europa.eu</w:t>
              </w:r>
            </w:hyperlink>
          </w:p>
        </w:tc>
      </w:tr>
    </w:tbl>
    <w:p w:rsidR="00037A85" w:rsidP="009120CD" w:rsidRDefault="00037A85" w14:paraId="5FF29296" w14:textId="0F45C84B">
      <w:pPr>
        <w:spacing w:after="160"/>
        <w:jc w:val="left"/>
        <w:rPr>
          <w:sz w:val="28"/>
        </w:rPr>
      </w:pPr>
    </w:p>
    <w:bookmarkEnd w:id="29"/>
    <w:p w:rsidR="00801DC4" w:rsidRDefault="00801DC4" w14:paraId="31148B1D" w14:textId="77777777">
      <w:pPr>
        <w:spacing w:after="160" w:line="259" w:lineRule="auto"/>
        <w:jc w:val="left"/>
        <w:rPr>
          <w:b/>
          <w:i/>
          <w:sz w:val="28"/>
        </w:rPr>
      </w:pPr>
      <w:r>
        <w:rPr>
          <w:b/>
          <w:i/>
          <w:sz w:val="28"/>
        </w:rPr>
        <w:br w:type="page"/>
      </w:r>
    </w:p>
    <w:p w:rsidRPr="007E7A4F" w:rsidR="00CA684E" w:rsidP="009120CD" w:rsidRDefault="00CA684E" w14:paraId="3BF2A83D" w14:textId="0E88CC5B">
      <w:pPr>
        <w:pStyle w:val="ListParagraph"/>
        <w:numPr>
          <w:ilvl w:val="0"/>
          <w:numId w:val="2"/>
        </w:numPr>
        <w:ind w:left="567" w:hanging="567"/>
        <w:rPr>
          <w:b/>
          <w:i/>
          <w:sz w:val="28"/>
          <w:szCs w:val="28"/>
        </w:rPr>
      </w:pPr>
      <w:r>
        <w:rPr>
          <w:b/>
          <w:i/>
          <w:sz w:val="28"/>
        </w:rPr>
        <w:lastRenderedPageBreak/>
        <w:t>Tiesību aktu kopums seksuālas vardarbības pret bērniem apkarošanai</w:t>
      </w:r>
    </w:p>
    <w:p w:rsidRPr="009B70E7" w:rsidR="00CA684E" w:rsidP="009120CD" w:rsidRDefault="00CA684E" w14:paraId="672D1150"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CA684E" w:rsidTr="00370548" w14:paraId="6AC1A837" w14:textId="77777777">
        <w:tc>
          <w:tcPr>
            <w:tcW w:w="1701" w:type="dxa"/>
          </w:tcPr>
          <w:p w:rsidRPr="009B70E7" w:rsidR="00CA684E" w:rsidP="009120CD" w:rsidRDefault="00CA684E" w14:paraId="46FE0C25" w14:textId="77777777">
            <w:pPr>
              <w:pStyle w:val="ListParagraph"/>
              <w:ind w:left="0"/>
              <w:rPr>
                <w:b/>
              </w:rPr>
            </w:pPr>
            <w:r>
              <w:rPr>
                <w:b/>
              </w:rPr>
              <w:t>Ziņotājs:</w:t>
            </w:r>
          </w:p>
        </w:tc>
        <w:tc>
          <w:tcPr>
            <w:tcW w:w="6096" w:type="dxa"/>
          </w:tcPr>
          <w:p w:rsidRPr="007E7A4F" w:rsidR="00CA684E" w:rsidP="009120CD" w:rsidRDefault="00CA684E" w14:paraId="1B24B85E" w14:textId="557BA10F">
            <w:pPr>
              <w:ind w:left="-108"/>
              <w:contextualSpacing/>
            </w:pPr>
            <w:proofErr w:type="spellStart"/>
            <w:r>
              <w:t>Veselin</w:t>
            </w:r>
            <w:proofErr w:type="spellEnd"/>
            <w:r>
              <w:t xml:space="preserve"> MITOV (Darba ņēmēju grupa – BG)</w:t>
            </w:r>
          </w:p>
        </w:tc>
      </w:tr>
      <w:tr w:rsidRPr="007E7A4F" w:rsidR="00CA684E" w:rsidTr="00370548" w14:paraId="3AC3F9E1" w14:textId="77777777">
        <w:tc>
          <w:tcPr>
            <w:tcW w:w="7795" w:type="dxa"/>
            <w:gridSpan w:val="2"/>
          </w:tcPr>
          <w:p w:rsidRPr="007E7A4F" w:rsidR="00CA684E" w:rsidP="009120CD" w:rsidRDefault="00CA684E" w14:paraId="225F3D6B" w14:textId="77777777">
            <w:pPr>
              <w:pStyle w:val="ListParagraph"/>
              <w:ind w:left="0"/>
              <w:rPr>
                <w:lang w:val="fr-BE"/>
              </w:rPr>
            </w:pPr>
          </w:p>
        </w:tc>
      </w:tr>
      <w:tr w:rsidRPr="009B70E7" w:rsidR="00CA684E" w:rsidTr="00370548" w14:paraId="334FDE9D" w14:textId="77777777">
        <w:tc>
          <w:tcPr>
            <w:tcW w:w="1701" w:type="dxa"/>
          </w:tcPr>
          <w:p w:rsidRPr="009B70E7" w:rsidR="00CA684E" w:rsidP="009120CD" w:rsidRDefault="00CA684E" w14:paraId="0B55F592" w14:textId="77777777">
            <w:pPr>
              <w:pStyle w:val="ListParagraph"/>
              <w:ind w:left="0"/>
              <w:rPr>
                <w:b/>
              </w:rPr>
            </w:pPr>
            <w:r>
              <w:rPr>
                <w:b/>
              </w:rPr>
              <w:t xml:space="preserve">Atsauce: </w:t>
            </w:r>
          </w:p>
        </w:tc>
        <w:tc>
          <w:tcPr>
            <w:tcW w:w="6096" w:type="dxa"/>
          </w:tcPr>
          <w:p w:rsidRPr="009B70E7" w:rsidR="00CA684E" w:rsidP="009120CD" w:rsidRDefault="00CA684E" w14:paraId="7BBAAACB" w14:textId="2F3861A3">
            <w:pPr>
              <w:tabs>
                <w:tab w:val="center" w:pos="284"/>
              </w:tabs>
              <w:ind w:left="266" w:hanging="374"/>
            </w:pPr>
            <w:r>
              <w:t xml:space="preserve">COM (2022) 209-212 </w:t>
            </w:r>
            <w:proofErr w:type="spellStart"/>
            <w:r>
              <w:t>final</w:t>
            </w:r>
            <w:proofErr w:type="spellEnd"/>
          </w:p>
          <w:p w:rsidRPr="009B70E7" w:rsidR="00CA684E" w:rsidP="009120CD" w:rsidRDefault="00CA684E" w14:paraId="433715E6" w14:textId="68B125C7">
            <w:pPr>
              <w:pStyle w:val="ListParagraph"/>
              <w:ind w:left="-108"/>
            </w:pPr>
            <w:r>
              <w:t>EESC-2022-02804-00-00-AC</w:t>
            </w:r>
          </w:p>
        </w:tc>
      </w:tr>
    </w:tbl>
    <w:p w:rsidRPr="009B70E7" w:rsidR="00CA684E" w:rsidP="009120CD" w:rsidRDefault="00CA684E" w14:paraId="1A1C0082" w14:textId="77777777">
      <w:pPr>
        <w:pStyle w:val="ListParagraph"/>
        <w:ind w:left="0"/>
        <w:rPr>
          <w:b/>
        </w:rPr>
      </w:pPr>
    </w:p>
    <w:p w:rsidRPr="0018231C" w:rsidR="00CA684E" w:rsidP="009120CD" w:rsidRDefault="00CA684E" w14:paraId="3F4C3C0A" w14:textId="78CC749C">
      <w:pPr>
        <w:pStyle w:val="ListParagraph"/>
        <w:ind w:left="0" w:firstLine="142"/>
        <w:rPr>
          <w:b/>
        </w:rPr>
      </w:pPr>
      <w:r>
        <w:rPr>
          <w:b/>
          <w:bCs/>
        </w:rPr>
        <w:t>Svarīgākie aspekti</w:t>
      </w:r>
    </w:p>
    <w:p w:rsidRPr="0018231C" w:rsidR="00CA684E" w:rsidP="009120CD" w:rsidRDefault="00CA684E" w14:paraId="6AA82A0A" w14:textId="77777777">
      <w:pPr>
        <w:pStyle w:val="ListParagraph"/>
        <w:ind w:left="0"/>
        <w:rPr>
          <w:lang w:val="fr-FR"/>
        </w:rPr>
      </w:pPr>
    </w:p>
    <w:p w:rsidRPr="00A00F37" w:rsidR="00CA684E" w:rsidP="009120CD" w:rsidRDefault="00CA684E" w14:paraId="5061BCBD" w14:textId="77777777">
      <w:pPr>
        <w:pStyle w:val="ListParagraph"/>
        <w:ind w:left="0" w:firstLine="142"/>
        <w:rPr>
          <w:bCs/>
        </w:rPr>
      </w:pPr>
      <w:r>
        <w:t>EESK:</w:t>
      </w:r>
    </w:p>
    <w:p w:rsidRPr="0018231C" w:rsidR="00CA684E" w:rsidP="009120CD" w:rsidRDefault="00CA684E" w14:paraId="50928935" w14:textId="77777777">
      <w:pPr>
        <w:pStyle w:val="ListParagraph"/>
        <w:ind w:left="0"/>
        <w:rPr>
          <w:lang w:val="fr-FR"/>
        </w:rPr>
      </w:pPr>
    </w:p>
    <w:p w:rsidRPr="00A3344B" w:rsidR="00CA684E" w:rsidP="009120CD" w:rsidRDefault="001016BE" w14:paraId="20A69B56" w14:textId="6D58D340">
      <w:pPr>
        <w:numPr>
          <w:ilvl w:val="0"/>
          <w:numId w:val="3"/>
        </w:numPr>
        <w:overflowPunct w:val="0"/>
        <w:autoSpaceDE w:val="0"/>
        <w:autoSpaceDN w:val="0"/>
        <w:adjustRightInd w:val="0"/>
        <w:ind w:left="357" w:hanging="357"/>
        <w:textAlignment w:val="baseline"/>
      </w:pPr>
      <w:r>
        <w:t xml:space="preserve">atzinīgi vērtē abus Komisijas dokumentus, kas tiek pieņemti savlaicīgi, jo </w:t>
      </w:r>
      <w:r>
        <w:rPr>
          <w:b/>
        </w:rPr>
        <w:t>bērni internetu izmanto jau agrīnā vecumā un gandrīz katru dienu</w:t>
      </w:r>
      <w:r>
        <w:t xml:space="preserve">, un ņemot vērā arī Eiropola konstatēto </w:t>
      </w:r>
      <w:r>
        <w:rPr>
          <w:b/>
        </w:rPr>
        <w:t>pieaugošo pieprasījumu pēc bērnu pornogrāfijas materiāliem</w:t>
      </w:r>
      <w:r>
        <w:t>;</w:t>
      </w:r>
    </w:p>
    <w:p w:rsidRPr="00A3344B" w:rsidR="00CA684E" w:rsidP="009120CD" w:rsidRDefault="001016BE" w14:paraId="08277352" w14:textId="20A30B37">
      <w:pPr>
        <w:numPr>
          <w:ilvl w:val="0"/>
          <w:numId w:val="3"/>
        </w:numPr>
        <w:overflowPunct w:val="0"/>
        <w:autoSpaceDE w:val="0"/>
        <w:autoSpaceDN w:val="0"/>
        <w:adjustRightInd w:val="0"/>
        <w:ind w:left="357" w:hanging="357"/>
        <w:textAlignment w:val="baseline"/>
      </w:pPr>
      <w:r>
        <w:t xml:space="preserve">atbalsta stratēģijā iekļauto izglītības aspektu, jo ir būtiski </w:t>
      </w:r>
      <w:r>
        <w:rPr>
          <w:b/>
        </w:rPr>
        <w:t xml:space="preserve">stiprināt prasmes, digitālo </w:t>
      </w:r>
      <w:proofErr w:type="spellStart"/>
      <w:r>
        <w:rPr>
          <w:b/>
        </w:rPr>
        <w:t>pratību</w:t>
      </w:r>
      <w:proofErr w:type="spellEnd"/>
      <w:r>
        <w:rPr>
          <w:b/>
        </w:rPr>
        <w:t xml:space="preserve"> un izpratni</w:t>
      </w:r>
      <w:r>
        <w:t xml:space="preserve"> par personas datu izmantošanu, lai visi bērni neatkarīgi no viņu situācijas varētu apzināti izmantot internetu un pasargāt sevi no potenciālajiem apdraudējumiem;</w:t>
      </w:r>
    </w:p>
    <w:p w:rsidR="00CA684E" w:rsidP="009120CD" w:rsidRDefault="00B77513" w14:paraId="6C7FCA7B" w14:textId="09C69C47">
      <w:pPr>
        <w:numPr>
          <w:ilvl w:val="0"/>
          <w:numId w:val="3"/>
        </w:numPr>
        <w:overflowPunct w:val="0"/>
        <w:autoSpaceDE w:val="0"/>
        <w:autoSpaceDN w:val="0"/>
        <w:adjustRightInd w:val="0"/>
        <w:ind w:left="357" w:hanging="357"/>
        <w:textAlignment w:val="baseline"/>
      </w:pPr>
      <w:r>
        <w:t xml:space="preserve">pauž gandarījumu par nodomu organizēt </w:t>
      </w:r>
      <w:proofErr w:type="spellStart"/>
      <w:r>
        <w:rPr>
          <w:b/>
        </w:rPr>
        <w:t>medijpratības</w:t>
      </w:r>
      <w:proofErr w:type="spellEnd"/>
      <w:r>
        <w:rPr>
          <w:b/>
        </w:rPr>
        <w:t xml:space="preserve"> kampaņas</w:t>
      </w:r>
      <w:r>
        <w:t xml:space="preserve"> bērniem un viņu likumīgajiem aizbildņiem, izmantojot dažādus tīklus, un stingri mudina tās paplašināt, </w:t>
      </w:r>
      <w:r>
        <w:rPr>
          <w:b/>
        </w:rPr>
        <w:t>iekļaujot arī organizētas pilsoniskās sabiedrības organizācijas</w:t>
      </w:r>
      <w:r>
        <w:t>, jo tām ir ilga priekšplāna pieredze vietējā līmenī;</w:t>
      </w:r>
    </w:p>
    <w:p w:rsidRPr="00B77513" w:rsidR="00B77513" w:rsidP="009120CD" w:rsidRDefault="00B77513" w14:paraId="23661794" w14:textId="03303A4F">
      <w:pPr>
        <w:numPr>
          <w:ilvl w:val="0"/>
          <w:numId w:val="3"/>
        </w:numPr>
        <w:overflowPunct w:val="0"/>
        <w:autoSpaceDE w:val="0"/>
        <w:autoSpaceDN w:val="0"/>
        <w:adjustRightInd w:val="0"/>
        <w:ind w:left="357" w:hanging="357"/>
        <w:textAlignment w:val="baseline"/>
      </w:pPr>
      <w:r>
        <w:t xml:space="preserve">principiāli atbalsta ierosināto regulu, taču </w:t>
      </w:r>
      <w:r>
        <w:rPr>
          <w:b/>
        </w:rPr>
        <w:t>atturīgi vērtē</w:t>
      </w:r>
      <w:r>
        <w:t xml:space="preserve"> paredzēto </w:t>
      </w:r>
      <w:r>
        <w:rPr>
          <w:b/>
        </w:rPr>
        <w:t>pasākumu nesamērīgo raksturu</w:t>
      </w:r>
      <w:r>
        <w:t xml:space="preserve"> un </w:t>
      </w:r>
      <w:r>
        <w:rPr>
          <w:b/>
        </w:rPr>
        <w:t>nevainīguma prezumpcijas pārkāpšanas</w:t>
      </w:r>
      <w:r>
        <w:t xml:space="preserve"> risku;</w:t>
      </w:r>
    </w:p>
    <w:p w:rsidRPr="00B77513" w:rsidR="00B77513" w:rsidP="009120CD" w:rsidRDefault="00B77513" w14:paraId="6C398A7D" w14:textId="4CB9297F">
      <w:pPr>
        <w:numPr>
          <w:ilvl w:val="0"/>
          <w:numId w:val="3"/>
        </w:numPr>
        <w:overflowPunct w:val="0"/>
        <w:autoSpaceDE w:val="0"/>
        <w:autoSpaceDN w:val="0"/>
        <w:adjustRightInd w:val="0"/>
        <w:ind w:left="357" w:hanging="357"/>
        <w:textAlignment w:val="baseline"/>
      </w:pPr>
      <w:r>
        <w:t xml:space="preserve">piekrīt, ka cīņa pret bērnu pornogrāfiju tiešsaistē ir likumīga un nepieciešama, taču </w:t>
      </w:r>
      <w:proofErr w:type="spellStart"/>
      <w:r>
        <w:rPr>
          <w:b/>
        </w:rPr>
        <w:t>pirmšķietami</w:t>
      </w:r>
      <w:proofErr w:type="spellEnd"/>
      <w:r>
        <w:rPr>
          <w:b/>
        </w:rPr>
        <w:t xml:space="preserve"> privātas atklāšanas sistēmas</w:t>
      </w:r>
      <w:r>
        <w:t xml:space="preserve"> piemērošana attiecībā uz dažiem satura veidiem </w:t>
      </w:r>
      <w:r>
        <w:rPr>
          <w:b/>
        </w:rPr>
        <w:t>rada risku, ka tiks plaši uzraudzīta visa virtuālā saziņa</w:t>
      </w:r>
      <w:r>
        <w:t>;</w:t>
      </w:r>
    </w:p>
    <w:p w:rsidRPr="00B77513" w:rsidR="00B77513" w:rsidP="009120CD" w:rsidRDefault="00B77513" w14:paraId="7679DE33" w14:textId="78335AE6">
      <w:pPr>
        <w:numPr>
          <w:ilvl w:val="0"/>
          <w:numId w:val="3"/>
        </w:numPr>
        <w:overflowPunct w:val="0"/>
        <w:autoSpaceDE w:val="0"/>
        <w:autoSpaceDN w:val="0"/>
        <w:adjustRightInd w:val="0"/>
        <w:ind w:left="357" w:hanging="357"/>
        <w:textAlignment w:val="baseline"/>
      </w:pPr>
      <w:r>
        <w:t xml:space="preserve">vēlas aizsargāt visu intereses, tostarp </w:t>
      </w:r>
      <w:r>
        <w:rPr>
          <w:b/>
        </w:rPr>
        <w:t>korespondences slepenību</w:t>
      </w:r>
      <w:r>
        <w:t xml:space="preserve"> un </w:t>
      </w:r>
      <w:r>
        <w:rPr>
          <w:b/>
        </w:rPr>
        <w:t>privātumu</w:t>
      </w:r>
      <w:r>
        <w:t>;</w:t>
      </w:r>
    </w:p>
    <w:p w:rsidRPr="00A3344B" w:rsidR="00B77513" w:rsidP="009120CD" w:rsidRDefault="00B77513" w14:paraId="65331693" w14:textId="214E4DFC">
      <w:pPr>
        <w:numPr>
          <w:ilvl w:val="0"/>
          <w:numId w:val="3"/>
        </w:numPr>
        <w:overflowPunct w:val="0"/>
        <w:autoSpaceDE w:val="0"/>
        <w:autoSpaceDN w:val="0"/>
        <w:adjustRightInd w:val="0"/>
        <w:ind w:left="357" w:hanging="357"/>
        <w:textAlignment w:val="baseline"/>
      </w:pPr>
      <w:r>
        <w:t xml:space="preserve">atbalsta </w:t>
      </w:r>
      <w:r>
        <w:rPr>
          <w:b/>
        </w:rPr>
        <w:t>jaunas Eiropas aģentūras</w:t>
      </w:r>
      <w:r>
        <w:t xml:space="preserve"> izveidi un atzinīgi vērtētu </w:t>
      </w:r>
      <w:proofErr w:type="spellStart"/>
      <w:r>
        <w:rPr>
          <w:b/>
          <w:i/>
          <w:iCs/>
        </w:rPr>
        <w:t>Eurojust</w:t>
      </w:r>
      <w:proofErr w:type="spellEnd"/>
      <w:r>
        <w:rPr>
          <w:b/>
        </w:rPr>
        <w:t xml:space="preserve"> operatīvo iesaistīšanu</w:t>
      </w:r>
      <w:r>
        <w:t xml:space="preserve"> Komisijas paredzētajā struktūrā.</w:t>
      </w:r>
    </w:p>
    <w:p w:rsidR="00CA684E" w:rsidP="009120CD" w:rsidRDefault="00CA684E" w14:paraId="7D87CBA3" w14:textId="77777777">
      <w:pPr>
        <w:spacing w:after="160"/>
        <w:jc w:val="left"/>
        <w:rPr>
          <w:sz w:val="28"/>
        </w:rPr>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164813" w:rsidR="00CA684E" w:rsidTr="004E4367" w14:paraId="3B8A039A" w14:textId="77777777">
        <w:tc>
          <w:tcPr>
            <w:tcW w:w="1418" w:type="dxa"/>
          </w:tcPr>
          <w:p w:rsidRPr="00164813" w:rsidR="00CA684E" w:rsidP="009120CD" w:rsidRDefault="00CA684E" w14:paraId="5D9C2F43" w14:textId="77777777">
            <w:pPr>
              <w:contextualSpacing/>
              <w:rPr>
                <w:i/>
              </w:rPr>
            </w:pPr>
            <w:r>
              <w:rPr>
                <w:b/>
                <w:i/>
              </w:rPr>
              <w:t>Kontaktpersona:</w:t>
            </w:r>
          </w:p>
        </w:tc>
        <w:tc>
          <w:tcPr>
            <w:tcW w:w="5670" w:type="dxa"/>
          </w:tcPr>
          <w:p w:rsidRPr="00164813" w:rsidR="00CA684E" w:rsidP="009120CD" w:rsidRDefault="00CA684E" w14:paraId="4BCE11B4" w14:textId="47575E01">
            <w:pPr>
              <w:contextualSpacing/>
              <w:rPr>
                <w:i/>
              </w:rPr>
            </w:pPr>
            <w:proofErr w:type="spellStart"/>
            <w:r>
              <w:rPr>
                <w:i/>
              </w:rPr>
              <w:t>Radoslava</w:t>
            </w:r>
            <w:proofErr w:type="spellEnd"/>
            <w:r>
              <w:rPr>
                <w:i/>
              </w:rPr>
              <w:t xml:space="preserve"> </w:t>
            </w:r>
            <w:r w:rsidR="00801DC4">
              <w:rPr>
                <w:i/>
              </w:rPr>
              <w:t>STEFANKOVA</w:t>
            </w:r>
          </w:p>
        </w:tc>
      </w:tr>
      <w:tr w:rsidRPr="00164813" w:rsidR="00CA684E" w:rsidTr="004E4367" w14:paraId="59186DE0" w14:textId="77777777">
        <w:tc>
          <w:tcPr>
            <w:tcW w:w="1418" w:type="dxa"/>
          </w:tcPr>
          <w:p w:rsidRPr="00164813" w:rsidR="00CA684E" w:rsidP="009120CD" w:rsidRDefault="00CA684E" w14:paraId="38B90349" w14:textId="77777777">
            <w:pPr>
              <w:ind w:left="601"/>
              <w:contextualSpacing/>
              <w:rPr>
                <w:i/>
              </w:rPr>
            </w:pPr>
            <w:r>
              <w:rPr>
                <w:i/>
              </w:rPr>
              <w:t>Tālr.:</w:t>
            </w:r>
          </w:p>
        </w:tc>
        <w:tc>
          <w:tcPr>
            <w:tcW w:w="5670" w:type="dxa"/>
          </w:tcPr>
          <w:p w:rsidRPr="00164813" w:rsidR="00CA684E" w:rsidP="009120CD" w:rsidRDefault="00CA684E" w14:paraId="2CBFE748" w14:textId="58CD75E5">
            <w:pPr>
              <w:contextualSpacing/>
              <w:rPr>
                <w:i/>
              </w:rPr>
            </w:pPr>
            <w:r>
              <w:rPr>
                <w:i/>
              </w:rPr>
              <w:t>00 32 2 546 81 88</w:t>
            </w:r>
          </w:p>
        </w:tc>
      </w:tr>
      <w:tr w:rsidRPr="00164813" w:rsidR="00CA684E" w:rsidTr="004E4367" w14:paraId="1495CCCA" w14:textId="77777777">
        <w:tc>
          <w:tcPr>
            <w:tcW w:w="1418" w:type="dxa"/>
          </w:tcPr>
          <w:p w:rsidRPr="00164813" w:rsidR="00CA684E" w:rsidP="009120CD" w:rsidRDefault="00CA684E" w14:paraId="193C1779" w14:textId="77777777">
            <w:pPr>
              <w:ind w:left="601"/>
              <w:contextualSpacing/>
              <w:rPr>
                <w:i/>
              </w:rPr>
            </w:pPr>
            <w:r>
              <w:rPr>
                <w:i/>
              </w:rPr>
              <w:t>E-pasts:</w:t>
            </w:r>
          </w:p>
        </w:tc>
        <w:tc>
          <w:tcPr>
            <w:tcW w:w="5670" w:type="dxa"/>
          </w:tcPr>
          <w:p w:rsidRPr="00F256CD" w:rsidR="00CA684E" w:rsidP="009120CD" w:rsidRDefault="0022731C" w14:paraId="61C9C4F5" w14:textId="38830FCD">
            <w:pPr>
              <w:contextualSpacing/>
              <w:rPr>
                <w:i/>
                <w:iCs/>
              </w:rPr>
            </w:pPr>
            <w:hyperlink w:history="1" r:id="rId42">
              <w:r w:rsidR="0064748D">
                <w:rPr>
                  <w:rStyle w:val="Hyperlink"/>
                  <w:i/>
                </w:rPr>
                <w:t>Radoslava.Stefankova@eesc.europa.eu</w:t>
              </w:r>
            </w:hyperlink>
          </w:p>
        </w:tc>
      </w:tr>
    </w:tbl>
    <w:p w:rsidR="00037A85" w:rsidP="009120CD" w:rsidRDefault="00037A85" w14:paraId="67633096" w14:textId="533A8ECA">
      <w:pPr>
        <w:spacing w:after="160"/>
        <w:jc w:val="left"/>
        <w:rPr>
          <w:sz w:val="28"/>
        </w:rPr>
      </w:pPr>
    </w:p>
    <w:p w:rsidR="00801DC4" w:rsidRDefault="00801DC4" w14:paraId="01AE5C7F" w14:textId="77777777">
      <w:pPr>
        <w:spacing w:after="160" w:line="259" w:lineRule="auto"/>
        <w:jc w:val="left"/>
        <w:rPr>
          <w:b/>
          <w:i/>
          <w:sz w:val="28"/>
        </w:rPr>
      </w:pPr>
      <w:r>
        <w:rPr>
          <w:b/>
          <w:i/>
          <w:sz w:val="28"/>
        </w:rPr>
        <w:br w:type="page"/>
      </w:r>
    </w:p>
    <w:p w:rsidRPr="00164813" w:rsidR="00164813" w:rsidP="009120CD" w:rsidRDefault="00A3344B" w14:paraId="65567F7B" w14:textId="1A9FDB57">
      <w:pPr>
        <w:pStyle w:val="ListParagraph"/>
        <w:numPr>
          <w:ilvl w:val="0"/>
          <w:numId w:val="2"/>
        </w:numPr>
        <w:ind w:left="567" w:hanging="567"/>
        <w:rPr>
          <w:b/>
          <w:i/>
          <w:sz w:val="28"/>
          <w:szCs w:val="28"/>
        </w:rPr>
      </w:pPr>
      <w:r>
        <w:rPr>
          <w:b/>
          <w:i/>
          <w:sz w:val="28"/>
        </w:rPr>
        <w:lastRenderedPageBreak/>
        <w:t>MVU, sociālās ekonomikas uzņēmumi, amatniecība un brīvās profesijas / pakete “Gatavi mērķrādītājam 55 %”</w:t>
      </w:r>
    </w:p>
    <w:p w:rsidRPr="00164813" w:rsidR="00164813" w:rsidP="009120CD" w:rsidRDefault="00164813" w14:paraId="426580BA" w14:textId="77777777">
      <w:pPr>
        <w:contextualSpacing/>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164813" w:rsidR="00164813" w:rsidTr="00B83E7B" w14:paraId="6AF7AE99" w14:textId="77777777">
        <w:tc>
          <w:tcPr>
            <w:tcW w:w="1701" w:type="dxa"/>
          </w:tcPr>
          <w:p w:rsidRPr="00164813" w:rsidR="00164813" w:rsidP="009120CD" w:rsidRDefault="00164813" w14:paraId="4B0840C1" w14:textId="77777777">
            <w:pPr>
              <w:contextualSpacing/>
              <w:rPr>
                <w:b/>
              </w:rPr>
            </w:pPr>
            <w:r>
              <w:rPr>
                <w:b/>
              </w:rPr>
              <w:t>Ziņotāja:</w:t>
            </w:r>
          </w:p>
        </w:tc>
        <w:tc>
          <w:tcPr>
            <w:tcW w:w="6096" w:type="dxa"/>
          </w:tcPr>
          <w:p w:rsidRPr="00164813" w:rsidR="00164813" w:rsidP="009120CD" w:rsidRDefault="00A3344B" w14:paraId="16A8F625" w14:textId="77777777">
            <w:pPr>
              <w:ind w:left="-108"/>
              <w:contextualSpacing/>
            </w:pPr>
            <w:r>
              <w:t>Milena ANGELOVA (Darba devēju grupa – BG)</w:t>
            </w:r>
          </w:p>
        </w:tc>
      </w:tr>
      <w:tr w:rsidRPr="00164813" w:rsidR="00A3344B" w:rsidTr="00B83E7B" w14:paraId="43AB93C9" w14:textId="77777777">
        <w:tc>
          <w:tcPr>
            <w:tcW w:w="1701" w:type="dxa"/>
          </w:tcPr>
          <w:p w:rsidRPr="00164813" w:rsidR="00A3344B" w:rsidP="009120CD" w:rsidRDefault="00A3344B" w14:paraId="3AF21686" w14:textId="77777777">
            <w:pPr>
              <w:contextualSpacing/>
              <w:rPr>
                <w:b/>
              </w:rPr>
            </w:pPr>
            <w:r>
              <w:rPr>
                <w:b/>
              </w:rPr>
              <w:t>Līdzziņotājs:</w:t>
            </w:r>
          </w:p>
        </w:tc>
        <w:tc>
          <w:tcPr>
            <w:tcW w:w="6096" w:type="dxa"/>
          </w:tcPr>
          <w:p w:rsidRPr="00A3344B" w:rsidR="00A3344B" w:rsidP="009120CD" w:rsidRDefault="00A3344B" w14:paraId="7456DEBB" w14:textId="77777777">
            <w:pPr>
              <w:ind w:left="-108"/>
              <w:contextualSpacing/>
            </w:pPr>
            <w:r>
              <w:t>Rudolf KOLBE (Pilsoniskās sabiedrības organizāciju grupa – AT)</w:t>
            </w:r>
          </w:p>
        </w:tc>
      </w:tr>
      <w:tr w:rsidRPr="00164813" w:rsidR="00164813" w:rsidTr="00B83E7B" w14:paraId="5372DCA1" w14:textId="77777777">
        <w:tc>
          <w:tcPr>
            <w:tcW w:w="7797" w:type="dxa"/>
            <w:gridSpan w:val="2"/>
          </w:tcPr>
          <w:p w:rsidRPr="00164813" w:rsidR="00164813" w:rsidP="009120CD" w:rsidRDefault="00164813" w14:paraId="28515692" w14:textId="77777777">
            <w:pPr>
              <w:contextualSpacing/>
              <w:rPr>
                <w:lang w:val="fr-BE"/>
              </w:rPr>
            </w:pPr>
          </w:p>
        </w:tc>
      </w:tr>
      <w:tr w:rsidRPr="00164813" w:rsidR="00164813" w:rsidTr="00B83E7B" w14:paraId="6516DB5A" w14:textId="77777777">
        <w:tc>
          <w:tcPr>
            <w:tcW w:w="1701" w:type="dxa"/>
          </w:tcPr>
          <w:p w:rsidRPr="00164813" w:rsidR="00164813" w:rsidP="009120CD" w:rsidRDefault="00164813" w14:paraId="7886F22A" w14:textId="77777777">
            <w:pPr>
              <w:contextualSpacing/>
              <w:rPr>
                <w:b/>
              </w:rPr>
            </w:pPr>
            <w:r>
              <w:rPr>
                <w:b/>
              </w:rPr>
              <w:t xml:space="preserve">Atsauce: </w:t>
            </w:r>
          </w:p>
        </w:tc>
        <w:tc>
          <w:tcPr>
            <w:tcW w:w="6096" w:type="dxa"/>
          </w:tcPr>
          <w:p w:rsidRPr="00164813" w:rsidR="00164813" w:rsidP="009120CD" w:rsidRDefault="00A3344B" w14:paraId="6C0521C0" w14:textId="77777777">
            <w:pPr>
              <w:tabs>
                <w:tab w:val="center" w:pos="284"/>
              </w:tabs>
              <w:ind w:left="266" w:hanging="374"/>
            </w:pPr>
            <w:r>
              <w:t>Pašiniciatīvas atzinums</w:t>
            </w:r>
          </w:p>
          <w:p w:rsidRPr="00164813" w:rsidR="00164813" w:rsidP="009120CD" w:rsidRDefault="00A3344B" w14:paraId="1BECC38E" w14:textId="77777777">
            <w:pPr>
              <w:ind w:left="-108"/>
              <w:contextualSpacing/>
            </w:pPr>
            <w:r>
              <w:t>EESC-2022-01049-00-00-AC</w:t>
            </w:r>
          </w:p>
        </w:tc>
      </w:tr>
    </w:tbl>
    <w:p w:rsidRPr="00164813" w:rsidR="00164813" w:rsidP="009120CD" w:rsidRDefault="00164813" w14:paraId="38E9F173" w14:textId="77777777">
      <w:pPr>
        <w:contextualSpacing/>
        <w:rPr>
          <w:b/>
        </w:rPr>
      </w:pPr>
    </w:p>
    <w:p w:rsidRPr="00164813" w:rsidR="00164813" w:rsidP="009120CD" w:rsidRDefault="00164813" w14:paraId="01E095E2" w14:textId="7990D0E8">
      <w:pPr>
        <w:pStyle w:val="ListParagraph"/>
        <w:ind w:left="0" w:firstLine="142"/>
        <w:rPr>
          <w:b/>
        </w:rPr>
      </w:pPr>
      <w:r>
        <w:rPr>
          <w:b/>
          <w:bCs/>
        </w:rPr>
        <w:t>Svarīgākie aspekti</w:t>
      </w:r>
    </w:p>
    <w:p w:rsidRPr="00164813" w:rsidR="00164813" w:rsidP="009120CD" w:rsidRDefault="00164813" w14:paraId="1FE2AF0F" w14:textId="77777777">
      <w:pPr>
        <w:contextualSpacing/>
        <w:rPr>
          <w:lang w:val="fr-FR"/>
        </w:rPr>
      </w:pPr>
    </w:p>
    <w:p w:rsidRPr="00A00F37" w:rsidR="00164813" w:rsidP="009120CD" w:rsidRDefault="00164813" w14:paraId="56628F84" w14:textId="77777777">
      <w:pPr>
        <w:pStyle w:val="ListParagraph"/>
        <w:ind w:left="0" w:firstLine="142"/>
        <w:rPr>
          <w:bCs/>
        </w:rPr>
      </w:pPr>
      <w:r>
        <w:t>EESK:</w:t>
      </w:r>
    </w:p>
    <w:p w:rsidRPr="00164813" w:rsidR="00164813" w:rsidP="009120CD" w:rsidRDefault="00164813" w14:paraId="1E28AD39" w14:textId="77777777">
      <w:pPr>
        <w:contextualSpacing/>
        <w:rPr>
          <w:lang w:val="fr-FR"/>
        </w:rPr>
      </w:pPr>
    </w:p>
    <w:p w:rsidRPr="00164813" w:rsidR="00164813" w:rsidP="009120CD" w:rsidRDefault="00A3344B" w14:paraId="198A1743" w14:textId="77777777">
      <w:pPr>
        <w:numPr>
          <w:ilvl w:val="0"/>
          <w:numId w:val="3"/>
        </w:numPr>
        <w:overflowPunct w:val="0"/>
        <w:autoSpaceDE w:val="0"/>
        <w:autoSpaceDN w:val="0"/>
        <w:adjustRightInd w:val="0"/>
        <w:ind w:left="357" w:hanging="357"/>
        <w:textAlignment w:val="baseline"/>
        <w:rPr>
          <w:bCs/>
          <w:iCs/>
        </w:rPr>
      </w:pPr>
      <w:r>
        <w:t xml:space="preserve">uzskata, ka ir steidzami jāatbalsta mazie un vidējie uzņēmumi (MMVU), lai tie pēc iespējas labāk </w:t>
      </w:r>
      <w:r>
        <w:rPr>
          <w:b/>
        </w:rPr>
        <w:t>izprastu zaļo pārkārtošanos un spētu to īstenot</w:t>
      </w:r>
      <w:r>
        <w:t>;</w:t>
      </w:r>
    </w:p>
    <w:p w:rsidRPr="00164813" w:rsidR="00164813" w:rsidP="009120CD" w:rsidRDefault="00A3344B" w14:paraId="61AB179D" w14:textId="77777777">
      <w:pPr>
        <w:numPr>
          <w:ilvl w:val="0"/>
          <w:numId w:val="3"/>
        </w:numPr>
        <w:overflowPunct w:val="0"/>
        <w:autoSpaceDE w:val="0"/>
        <w:autoSpaceDN w:val="0"/>
        <w:adjustRightInd w:val="0"/>
        <w:ind w:left="357" w:hanging="357"/>
        <w:textAlignment w:val="baseline"/>
        <w:rPr>
          <w:bCs/>
          <w:iCs/>
        </w:rPr>
      </w:pPr>
      <w:r>
        <w:t xml:space="preserve">aicina izstrādāt visaptverošu programmu, kas ietvertu </w:t>
      </w:r>
      <w:r>
        <w:rPr>
          <w:b/>
        </w:rPr>
        <w:t>īpaši pielāgotus risinājumus un precīzi mērķorientētas rīcībpolitikas</w:t>
      </w:r>
      <w:r>
        <w:t xml:space="preserve"> un pasākumus, kas būtu vērsti uz atbalstu mikrouzņēmumiem, maziem un vidējiem uzņēmumiem visos jautājumos, ar ko tie saskaras savā darījumdarbībā, pārejā uz videi nekaitīgu rīcību un tiesību aktu izpildē;</w:t>
      </w:r>
    </w:p>
    <w:p w:rsidR="00164813" w:rsidP="009120CD" w:rsidRDefault="00A3344B" w14:paraId="7BB5DDAA" w14:textId="77777777">
      <w:pPr>
        <w:numPr>
          <w:ilvl w:val="0"/>
          <w:numId w:val="3"/>
        </w:numPr>
        <w:overflowPunct w:val="0"/>
        <w:autoSpaceDE w:val="0"/>
        <w:autoSpaceDN w:val="0"/>
        <w:adjustRightInd w:val="0"/>
        <w:ind w:left="357" w:hanging="357"/>
        <w:textAlignment w:val="baseline"/>
      </w:pPr>
      <w:r>
        <w:t xml:space="preserve">uzskata, ka tūlītējs un mērķtiecīgs īstermiņa atbalsts MMVU ir izšķiroši svarīgs, lai </w:t>
      </w:r>
      <w:r>
        <w:rPr>
          <w:b/>
        </w:rPr>
        <w:t>veicinātu to ekonomikas atveseļošanu</w:t>
      </w:r>
      <w:r>
        <w:t xml:space="preserve"> no pandēmijas un palīdzētu tiem </w:t>
      </w:r>
      <w:r>
        <w:rPr>
          <w:b/>
        </w:rPr>
        <w:t>pārvarēt sekas, ko radījis Krievijas iebrukums Ukrainā,</w:t>
      </w:r>
      <w:r>
        <w:t xml:space="preserve"> piemēram, augstās enerģijas cenas un materiālu un produktu piegādes trūkums;</w:t>
      </w:r>
    </w:p>
    <w:p w:rsidR="00BC3FCE" w:rsidP="009120CD" w:rsidRDefault="00A3344B" w14:paraId="0B05B7B9" w14:textId="77777777">
      <w:pPr>
        <w:numPr>
          <w:ilvl w:val="0"/>
          <w:numId w:val="3"/>
        </w:numPr>
        <w:overflowPunct w:val="0"/>
        <w:autoSpaceDE w:val="0"/>
        <w:autoSpaceDN w:val="0"/>
        <w:adjustRightInd w:val="0"/>
        <w:ind w:left="357" w:hanging="357"/>
        <w:textAlignment w:val="baseline"/>
      </w:pPr>
      <w:r>
        <w:t xml:space="preserve">ierosina </w:t>
      </w:r>
      <w:r>
        <w:rPr>
          <w:b/>
        </w:rPr>
        <w:t>vairākos reģionos izveidot “apritīguma centrus”</w:t>
      </w:r>
      <w:r>
        <w:t>, lai uzlabotu MMVU resursu izmantošanas efektivitāti. Tā mērķim vajadzētu būt dažādu nozaru uzņēmumu sadarbības veicināšanai un jaunas prakses un procesu attīstības atvieglošanai, tostarp jaunu tehnoloģiju demonstrēšanai;</w:t>
      </w:r>
    </w:p>
    <w:p w:rsidR="00BC3FCE" w:rsidP="009120CD" w:rsidRDefault="00361E48" w14:paraId="7565FC83" w14:textId="77777777">
      <w:pPr>
        <w:numPr>
          <w:ilvl w:val="0"/>
          <w:numId w:val="3"/>
        </w:numPr>
        <w:overflowPunct w:val="0"/>
        <w:autoSpaceDE w:val="0"/>
        <w:autoSpaceDN w:val="0"/>
        <w:adjustRightInd w:val="0"/>
        <w:ind w:left="357" w:hanging="357"/>
        <w:textAlignment w:val="baseline"/>
      </w:pPr>
      <w:r>
        <w:t xml:space="preserve">aicina ES un dalībvalstis </w:t>
      </w:r>
      <w:r>
        <w:rPr>
          <w:b/>
        </w:rPr>
        <w:t>paātrināt MMVU zaļos ieguldījumus</w:t>
      </w:r>
      <w:r>
        <w:t>, nodrošinot labvēlīgu, prognozējamu un stimulējošu normatīvo vidi;</w:t>
      </w:r>
    </w:p>
    <w:p w:rsidR="00BC3FCE" w:rsidP="009120CD" w:rsidRDefault="00361E48" w14:paraId="6495124B" w14:textId="77777777">
      <w:pPr>
        <w:numPr>
          <w:ilvl w:val="0"/>
          <w:numId w:val="3"/>
        </w:numPr>
        <w:overflowPunct w:val="0"/>
        <w:autoSpaceDE w:val="0"/>
        <w:autoSpaceDN w:val="0"/>
        <w:adjustRightInd w:val="0"/>
        <w:ind w:left="357" w:hanging="357"/>
        <w:textAlignment w:val="baseline"/>
      </w:pPr>
      <w:r>
        <w:t xml:space="preserve">uzsver nepieciešamību nodrošināt </w:t>
      </w:r>
      <w:r>
        <w:rPr>
          <w:b/>
        </w:rPr>
        <w:t>ciešu sadarbību starp izglītības iestādēm un MMVU, veidojot apmācību tā</w:t>
      </w:r>
      <w:r>
        <w:t>, lai tā atbilstu prasmēm un iemaņām, kas vajadzīgas zaļajai pārkārtošanai, tostarp izmantojot gan darba ņēmēju, gan uzņēmēju kvalifikācijas celšanu un pārkvalifikāciju;</w:t>
      </w:r>
    </w:p>
    <w:p w:rsidRPr="00164813" w:rsidR="00361E48" w:rsidP="009120CD" w:rsidRDefault="00361E48" w14:paraId="45EBA5E1" w14:textId="77777777">
      <w:pPr>
        <w:numPr>
          <w:ilvl w:val="0"/>
          <w:numId w:val="3"/>
        </w:numPr>
        <w:overflowPunct w:val="0"/>
        <w:autoSpaceDE w:val="0"/>
        <w:autoSpaceDN w:val="0"/>
        <w:adjustRightInd w:val="0"/>
        <w:ind w:left="357" w:hanging="357"/>
        <w:textAlignment w:val="baseline"/>
      </w:pPr>
      <w:r>
        <w:t xml:space="preserve">mudina </w:t>
      </w:r>
      <w:r>
        <w:rPr>
          <w:b/>
        </w:rPr>
        <w:t>veicināt MMVU izstrādāto zaļo risinājumu tirdzniecību</w:t>
      </w:r>
      <w:r>
        <w:t xml:space="preserve">, tostarp </w:t>
      </w:r>
      <w:r>
        <w:rPr>
          <w:b/>
        </w:rPr>
        <w:t>publiskā iepirkuma</w:t>
      </w:r>
      <w:r>
        <w:t xml:space="preserve"> jomā.</w:t>
      </w:r>
    </w:p>
    <w:p w:rsidRPr="00164813" w:rsidR="00164813" w:rsidP="009120CD" w:rsidRDefault="00164813" w14:paraId="7C479262"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164813" w:rsidR="00164813" w:rsidTr="00B83E7B" w14:paraId="697B6325" w14:textId="77777777">
        <w:tc>
          <w:tcPr>
            <w:tcW w:w="1418" w:type="dxa"/>
          </w:tcPr>
          <w:p w:rsidRPr="00164813" w:rsidR="00164813" w:rsidP="009120CD" w:rsidRDefault="00164813" w14:paraId="60C7BE26" w14:textId="77777777">
            <w:pPr>
              <w:contextualSpacing/>
              <w:rPr>
                <w:i/>
              </w:rPr>
            </w:pPr>
            <w:bookmarkStart w:name="_Hlk111717917" w:id="30"/>
            <w:r>
              <w:rPr>
                <w:b/>
                <w:i/>
              </w:rPr>
              <w:t>Kontaktpersona:</w:t>
            </w:r>
          </w:p>
        </w:tc>
        <w:tc>
          <w:tcPr>
            <w:tcW w:w="5670" w:type="dxa"/>
          </w:tcPr>
          <w:p w:rsidRPr="00164813" w:rsidR="00164813" w:rsidP="009120CD" w:rsidRDefault="00361E48" w14:paraId="69D69E14" w14:textId="7E5AAF07">
            <w:pPr>
              <w:contextualSpacing/>
              <w:rPr>
                <w:i/>
              </w:rPr>
            </w:pPr>
            <w:proofErr w:type="spellStart"/>
            <w:r>
              <w:rPr>
                <w:i/>
                <w:iCs/>
              </w:rPr>
              <w:t>Dalila</w:t>
            </w:r>
            <w:proofErr w:type="spellEnd"/>
            <w:r>
              <w:rPr>
                <w:i/>
                <w:iCs/>
              </w:rPr>
              <w:t xml:space="preserve"> </w:t>
            </w:r>
            <w:r w:rsidR="00801DC4">
              <w:rPr>
                <w:i/>
                <w:iCs/>
              </w:rPr>
              <w:t>BERNARD</w:t>
            </w:r>
          </w:p>
        </w:tc>
      </w:tr>
      <w:tr w:rsidRPr="00164813" w:rsidR="00164813" w:rsidTr="00B83E7B" w14:paraId="288640A9" w14:textId="77777777">
        <w:tc>
          <w:tcPr>
            <w:tcW w:w="1418" w:type="dxa"/>
          </w:tcPr>
          <w:p w:rsidRPr="00164813" w:rsidR="00164813" w:rsidP="009120CD" w:rsidRDefault="00164813" w14:paraId="3D976246" w14:textId="77777777">
            <w:pPr>
              <w:ind w:left="601"/>
              <w:contextualSpacing/>
              <w:rPr>
                <w:i/>
              </w:rPr>
            </w:pPr>
            <w:r>
              <w:rPr>
                <w:i/>
              </w:rPr>
              <w:t>Tālr.:</w:t>
            </w:r>
          </w:p>
        </w:tc>
        <w:tc>
          <w:tcPr>
            <w:tcW w:w="5670" w:type="dxa"/>
          </w:tcPr>
          <w:p w:rsidRPr="00164813" w:rsidR="00164813" w:rsidP="009120CD" w:rsidRDefault="00E11C18" w14:paraId="73A1FD7B" w14:textId="77777777">
            <w:pPr>
              <w:contextualSpacing/>
              <w:rPr>
                <w:i/>
              </w:rPr>
            </w:pPr>
            <w:r>
              <w:rPr>
                <w:i/>
              </w:rPr>
              <w:t>00 32 2 546 84 38</w:t>
            </w:r>
          </w:p>
        </w:tc>
      </w:tr>
      <w:tr w:rsidRPr="00164813" w:rsidR="00164813" w:rsidTr="00B83E7B" w14:paraId="75C5E7D5" w14:textId="77777777">
        <w:tc>
          <w:tcPr>
            <w:tcW w:w="1418" w:type="dxa"/>
          </w:tcPr>
          <w:p w:rsidRPr="00164813" w:rsidR="00164813" w:rsidP="009120CD" w:rsidRDefault="00164813" w14:paraId="416B594E" w14:textId="77777777">
            <w:pPr>
              <w:ind w:left="601"/>
              <w:contextualSpacing/>
              <w:rPr>
                <w:i/>
              </w:rPr>
            </w:pPr>
            <w:r>
              <w:rPr>
                <w:i/>
              </w:rPr>
              <w:t>E-pasts:</w:t>
            </w:r>
          </w:p>
        </w:tc>
        <w:tc>
          <w:tcPr>
            <w:tcW w:w="5670" w:type="dxa"/>
          </w:tcPr>
          <w:p w:rsidRPr="00F256CD" w:rsidR="00037A85" w:rsidP="00F256CD" w:rsidRDefault="0022731C" w14:paraId="196C9612" w14:textId="1DF16A9A">
            <w:pPr>
              <w:contextualSpacing/>
              <w:rPr>
                <w:i/>
                <w:iCs/>
              </w:rPr>
            </w:pPr>
            <w:hyperlink w:history="1" r:id="rId43">
              <w:r w:rsidR="0064748D">
                <w:rPr>
                  <w:rStyle w:val="Hyperlink"/>
                  <w:i/>
                </w:rPr>
                <w:t>Dalila.Bernard@eesc.europa.eu</w:t>
              </w:r>
            </w:hyperlink>
          </w:p>
        </w:tc>
      </w:tr>
      <w:bookmarkEnd w:id="30"/>
    </w:tbl>
    <w:p w:rsidR="00F256CD" w:rsidP="00F256CD" w:rsidRDefault="00F256CD" w14:paraId="7E888659" w14:textId="77777777">
      <w:pPr>
        <w:pStyle w:val="ListParagraph"/>
        <w:ind w:left="567"/>
        <w:rPr>
          <w:b/>
          <w:bCs/>
          <w:i/>
          <w:iCs/>
          <w:sz w:val="28"/>
          <w:szCs w:val="28"/>
        </w:rPr>
      </w:pPr>
    </w:p>
    <w:p w:rsidR="00801DC4" w:rsidRDefault="00801DC4" w14:paraId="4ED1424D" w14:textId="77777777">
      <w:pPr>
        <w:spacing w:after="160" w:line="259" w:lineRule="auto"/>
        <w:jc w:val="left"/>
        <w:rPr>
          <w:b/>
          <w:i/>
          <w:sz w:val="28"/>
        </w:rPr>
      </w:pPr>
      <w:r>
        <w:rPr>
          <w:b/>
          <w:i/>
          <w:sz w:val="28"/>
        </w:rPr>
        <w:br w:type="page"/>
      </w:r>
    </w:p>
    <w:p w:rsidRPr="00AA5C1D" w:rsidR="00AA5C1D" w:rsidP="009120CD" w:rsidRDefault="00AA5C1D" w14:paraId="2EE2A332" w14:textId="1CFDC643">
      <w:pPr>
        <w:pStyle w:val="ListParagraph"/>
        <w:numPr>
          <w:ilvl w:val="0"/>
          <w:numId w:val="2"/>
        </w:numPr>
        <w:ind w:left="567" w:hanging="567"/>
        <w:rPr>
          <w:b/>
          <w:bCs/>
          <w:i/>
          <w:iCs/>
          <w:sz w:val="28"/>
          <w:szCs w:val="28"/>
        </w:rPr>
      </w:pPr>
      <w:r>
        <w:rPr>
          <w:b/>
          <w:i/>
          <w:sz w:val="28"/>
        </w:rPr>
        <w:lastRenderedPageBreak/>
        <w:t>F</w:t>
      </w:r>
      <w:r w:rsidR="00801DC4">
        <w:rPr>
          <w:b/>
          <w:i/>
          <w:sz w:val="28"/>
        </w:rPr>
        <w:t>i</w:t>
      </w:r>
      <w:r>
        <w:rPr>
          <w:b/>
          <w:i/>
          <w:sz w:val="28"/>
        </w:rPr>
        <w:t>nanšu pakalpojumu līgumi</w:t>
      </w:r>
    </w:p>
    <w:p w:rsidRPr="009B70E7" w:rsidR="00AA5C1D" w:rsidP="009120CD" w:rsidRDefault="00AA5C1D" w14:paraId="02288197"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AA5C1D" w:rsidTr="004E4367" w14:paraId="377CFA40" w14:textId="77777777">
        <w:tc>
          <w:tcPr>
            <w:tcW w:w="1701" w:type="dxa"/>
          </w:tcPr>
          <w:p w:rsidRPr="009B70E7" w:rsidR="00AA5C1D" w:rsidP="009120CD" w:rsidRDefault="00AA5C1D" w14:paraId="6700269D" w14:textId="77777777">
            <w:pPr>
              <w:pStyle w:val="ListParagraph"/>
              <w:ind w:left="0"/>
              <w:rPr>
                <w:b/>
              </w:rPr>
            </w:pPr>
            <w:r>
              <w:rPr>
                <w:b/>
              </w:rPr>
              <w:t>Ziņotājs:</w:t>
            </w:r>
          </w:p>
        </w:tc>
        <w:tc>
          <w:tcPr>
            <w:tcW w:w="6096" w:type="dxa"/>
          </w:tcPr>
          <w:p w:rsidRPr="007E7A4F" w:rsidR="00AA5C1D" w:rsidP="009120CD" w:rsidRDefault="00AA5C1D" w14:paraId="0BD64E0D" w14:textId="32E0A826">
            <w:pPr>
              <w:pStyle w:val="ListParagraph"/>
              <w:ind w:left="-108"/>
            </w:pPr>
            <w:proofErr w:type="spellStart"/>
            <w:r>
              <w:t>Gonçalo</w:t>
            </w:r>
            <w:proofErr w:type="spellEnd"/>
            <w:r>
              <w:t xml:space="preserve"> LOBO XAVIER (Darba devēju grupa – PT)</w:t>
            </w:r>
          </w:p>
        </w:tc>
      </w:tr>
      <w:tr w:rsidRPr="007E7A4F" w:rsidR="00AA5C1D" w:rsidTr="004E4367" w14:paraId="230E76C3" w14:textId="77777777">
        <w:tc>
          <w:tcPr>
            <w:tcW w:w="7797" w:type="dxa"/>
            <w:gridSpan w:val="2"/>
          </w:tcPr>
          <w:p w:rsidRPr="007E7A4F" w:rsidR="00AA5C1D" w:rsidP="009120CD" w:rsidRDefault="00AA5C1D" w14:paraId="50994590" w14:textId="77777777">
            <w:pPr>
              <w:pStyle w:val="ListParagraph"/>
              <w:ind w:left="0"/>
              <w:rPr>
                <w:lang w:val="fr-BE"/>
              </w:rPr>
            </w:pPr>
          </w:p>
        </w:tc>
      </w:tr>
      <w:tr w:rsidRPr="009B70E7" w:rsidR="00AA5C1D" w:rsidTr="004E4367" w14:paraId="4E577528" w14:textId="77777777">
        <w:tc>
          <w:tcPr>
            <w:tcW w:w="1701" w:type="dxa"/>
          </w:tcPr>
          <w:p w:rsidRPr="009B70E7" w:rsidR="00AA5C1D" w:rsidP="009120CD" w:rsidRDefault="00AA5C1D" w14:paraId="7CEEDB52" w14:textId="77777777">
            <w:pPr>
              <w:pStyle w:val="ListParagraph"/>
              <w:ind w:left="0"/>
              <w:rPr>
                <w:b/>
              </w:rPr>
            </w:pPr>
            <w:r>
              <w:rPr>
                <w:b/>
              </w:rPr>
              <w:t xml:space="preserve">Atsauce: </w:t>
            </w:r>
          </w:p>
        </w:tc>
        <w:tc>
          <w:tcPr>
            <w:tcW w:w="6096" w:type="dxa"/>
          </w:tcPr>
          <w:p w:rsidRPr="009B70E7" w:rsidR="00AA5C1D" w:rsidP="009120CD" w:rsidRDefault="00AA5C1D" w14:paraId="7260D9BD" w14:textId="5D369DD1">
            <w:pPr>
              <w:tabs>
                <w:tab w:val="center" w:pos="284"/>
              </w:tabs>
              <w:ind w:left="266" w:hanging="374"/>
            </w:pPr>
            <w:r>
              <w:t xml:space="preserve">COM (2022) 204 </w:t>
            </w:r>
            <w:proofErr w:type="spellStart"/>
            <w:r>
              <w:t>final</w:t>
            </w:r>
            <w:proofErr w:type="spellEnd"/>
          </w:p>
          <w:p w:rsidRPr="009B70E7" w:rsidR="00AA5C1D" w:rsidP="009120CD" w:rsidRDefault="00AA5C1D" w14:paraId="088E18BB" w14:textId="16D52DB0">
            <w:pPr>
              <w:pStyle w:val="ListParagraph"/>
              <w:ind w:left="-108"/>
            </w:pPr>
            <w:r>
              <w:t>EESC-2022-02933-00-00-AC</w:t>
            </w:r>
          </w:p>
        </w:tc>
      </w:tr>
    </w:tbl>
    <w:p w:rsidRPr="009B70E7" w:rsidR="00AA5C1D" w:rsidP="009120CD" w:rsidRDefault="00AA5C1D" w14:paraId="0C36545B" w14:textId="77777777">
      <w:pPr>
        <w:pStyle w:val="ListParagraph"/>
        <w:ind w:left="0"/>
        <w:rPr>
          <w:b/>
        </w:rPr>
      </w:pPr>
    </w:p>
    <w:p w:rsidRPr="00A00F37" w:rsidR="00AA5C1D" w:rsidP="009120CD" w:rsidRDefault="00AA5C1D" w14:paraId="1B4ECBDA" w14:textId="406DD5FE">
      <w:pPr>
        <w:pStyle w:val="ListParagraph"/>
        <w:ind w:left="0" w:firstLine="142"/>
        <w:rPr>
          <w:b/>
        </w:rPr>
      </w:pPr>
      <w:r>
        <w:rPr>
          <w:b/>
          <w:bCs/>
        </w:rPr>
        <w:t>Svarīgākie aspekti</w:t>
      </w:r>
    </w:p>
    <w:p w:rsidRPr="0018231C" w:rsidR="00AA5C1D" w:rsidP="009120CD" w:rsidRDefault="00AA5C1D" w14:paraId="38EF24CA" w14:textId="77777777">
      <w:pPr>
        <w:pStyle w:val="ListParagraph"/>
        <w:ind w:left="0"/>
        <w:rPr>
          <w:lang w:val="fr-FR"/>
        </w:rPr>
      </w:pPr>
    </w:p>
    <w:p w:rsidR="00AA5C1D" w:rsidP="009120CD" w:rsidRDefault="00AA5C1D" w14:paraId="496334DF" w14:textId="77777777">
      <w:pPr>
        <w:pStyle w:val="ListParagraph"/>
        <w:ind w:left="0" w:firstLine="142"/>
      </w:pPr>
      <w:r>
        <w:t>EESK:</w:t>
      </w:r>
    </w:p>
    <w:p w:rsidRPr="0018231C" w:rsidR="00AA5C1D" w:rsidP="009120CD" w:rsidRDefault="00AA5C1D" w14:paraId="7DF02088" w14:textId="77777777">
      <w:pPr>
        <w:pStyle w:val="ListParagraph"/>
        <w:ind w:left="0"/>
        <w:rPr>
          <w:lang w:val="fr-FR"/>
        </w:rPr>
      </w:pPr>
    </w:p>
    <w:p w:rsidRPr="00A3344B" w:rsidR="00AA5C1D" w:rsidP="009120CD" w:rsidRDefault="00AB20C0" w14:paraId="001CF33A" w14:textId="642521B4">
      <w:pPr>
        <w:numPr>
          <w:ilvl w:val="0"/>
          <w:numId w:val="3"/>
        </w:numPr>
        <w:overflowPunct w:val="0"/>
        <w:autoSpaceDE w:val="0"/>
        <w:autoSpaceDN w:val="0"/>
        <w:adjustRightInd w:val="0"/>
        <w:ind w:left="357" w:hanging="357"/>
        <w:textAlignment w:val="baseline"/>
      </w:pPr>
      <w:r>
        <w:t xml:space="preserve">uzsver, ka ir </w:t>
      </w:r>
      <w:r>
        <w:rPr>
          <w:b/>
        </w:rPr>
        <w:t>jāiegulda līdzekļi iedzīvotāju digitālo un finanšu prasmju uzlabošanā, lai patērētāji varētu pareizi izprast savas tiesības un pienākumus</w:t>
      </w:r>
      <w:r>
        <w:t xml:space="preserve"> saistībā ar attālināti noslēgtiem finanšu līgumiem, it īpaši tiesības atteikties no līguma un tiesības saņemt vairāk informācijas pirms līguma noslēgšanas;</w:t>
      </w:r>
    </w:p>
    <w:p w:rsidRPr="00A3344B" w:rsidR="00AA5C1D" w:rsidP="009120CD" w:rsidRDefault="00AB20C0" w14:paraId="71ABA83F" w14:textId="61825A0F">
      <w:pPr>
        <w:numPr>
          <w:ilvl w:val="0"/>
          <w:numId w:val="3"/>
        </w:numPr>
        <w:overflowPunct w:val="0"/>
        <w:autoSpaceDE w:val="0"/>
        <w:autoSpaceDN w:val="0"/>
        <w:adjustRightInd w:val="0"/>
        <w:ind w:left="357" w:hanging="357"/>
        <w:textAlignment w:val="baseline"/>
      </w:pPr>
      <w:r>
        <w:t xml:space="preserve">apstiprina, ka ļoti svarīga ir </w:t>
      </w:r>
      <w:r>
        <w:rPr>
          <w:b/>
        </w:rPr>
        <w:t>pieeja, kas nodrošina pareizo līdzsvaru starp digitālo pieredzi un uzņēmējdarbības pieredzi klātienē</w:t>
      </w:r>
      <w:r>
        <w:t xml:space="preserve">; aicina garantēt </w:t>
      </w:r>
      <w:r>
        <w:rPr>
          <w:b/>
        </w:rPr>
        <w:t>tiesības pieprasīt “cilvēka līdzdalību”</w:t>
      </w:r>
      <w:r>
        <w:t xml:space="preserve"> attālināti noslēgtajos finanšu pakalpojumos;</w:t>
      </w:r>
    </w:p>
    <w:p w:rsidRPr="00A3344B" w:rsidR="00AA5C1D" w:rsidP="009120CD" w:rsidRDefault="00AB20C0" w14:paraId="61627139" w14:textId="54A1FF07">
      <w:pPr>
        <w:numPr>
          <w:ilvl w:val="0"/>
          <w:numId w:val="3"/>
        </w:numPr>
        <w:overflowPunct w:val="0"/>
        <w:autoSpaceDE w:val="0"/>
        <w:autoSpaceDN w:val="0"/>
        <w:adjustRightInd w:val="0"/>
        <w:ind w:left="357" w:hanging="357"/>
        <w:textAlignment w:val="baseline"/>
      </w:pPr>
      <w:r>
        <w:t xml:space="preserve">uzskata, ka </w:t>
      </w:r>
      <w:r>
        <w:rPr>
          <w:b/>
        </w:rPr>
        <w:t>lielāka uzticēšanās mūsu finanšu sistēmām</w:t>
      </w:r>
      <w:r>
        <w:t xml:space="preserve"> ir sabiedrībai ļoti noderīgs princips patēriņa finanšu pakalpojumu jomā, un vērš uzmanību uz </w:t>
      </w:r>
      <w:r>
        <w:rPr>
          <w:b/>
        </w:rPr>
        <w:t>nepieciešamību konsekventi ieguldīt kiberdrošībā</w:t>
      </w:r>
      <w:r>
        <w:t>;</w:t>
      </w:r>
    </w:p>
    <w:p w:rsidR="00AA5C1D" w:rsidP="009120CD" w:rsidRDefault="00AB20C0" w14:paraId="189E74FF" w14:textId="6234DEC3">
      <w:pPr>
        <w:numPr>
          <w:ilvl w:val="0"/>
          <w:numId w:val="3"/>
        </w:numPr>
        <w:overflowPunct w:val="0"/>
        <w:autoSpaceDE w:val="0"/>
        <w:autoSpaceDN w:val="0"/>
        <w:adjustRightInd w:val="0"/>
        <w:ind w:left="357" w:hanging="357"/>
        <w:textAlignment w:val="baseline"/>
      </w:pPr>
      <w:r>
        <w:t xml:space="preserve">uzskata, ka attālināti finanšu pakalpojumi ir lieliska iespēja </w:t>
      </w:r>
      <w:r>
        <w:rPr>
          <w:b/>
        </w:rPr>
        <w:t>labāk īstenot patērētāju tiesības</w:t>
      </w:r>
      <w:r>
        <w:t xml:space="preserve"> un </w:t>
      </w:r>
      <w:r>
        <w:rPr>
          <w:b/>
        </w:rPr>
        <w:t>stimulēt uzņēmumu ieguldījumus</w:t>
      </w:r>
      <w:r>
        <w:t xml:space="preserve"> šajā jomā;</w:t>
      </w:r>
    </w:p>
    <w:p w:rsidR="00AB20C0" w:rsidP="009120CD" w:rsidRDefault="00AB20C0" w14:paraId="2152BA1B" w14:textId="4F129468">
      <w:pPr>
        <w:numPr>
          <w:ilvl w:val="0"/>
          <w:numId w:val="3"/>
        </w:numPr>
        <w:overflowPunct w:val="0"/>
        <w:autoSpaceDE w:val="0"/>
        <w:autoSpaceDN w:val="0"/>
        <w:adjustRightInd w:val="0"/>
        <w:ind w:left="357" w:hanging="357"/>
        <w:textAlignment w:val="baseline"/>
      </w:pPr>
      <w:r>
        <w:t xml:space="preserve">stingri iesaka izmantot </w:t>
      </w:r>
      <w:r>
        <w:rPr>
          <w:b/>
        </w:rPr>
        <w:t>mākslīgo intelektu, lai izveidotu labāku, integrētāku vienoto tirgu</w:t>
      </w:r>
      <w:r>
        <w:t>, kas atbalsta iedzīvotājus un garantē drošu darbību finanšu sistēmā;</w:t>
      </w:r>
    </w:p>
    <w:p w:rsidR="00AB20C0" w:rsidP="009120CD" w:rsidRDefault="00AB20C0" w14:paraId="16D43173" w14:textId="7AFFE3AD">
      <w:pPr>
        <w:numPr>
          <w:ilvl w:val="0"/>
          <w:numId w:val="3"/>
        </w:numPr>
        <w:overflowPunct w:val="0"/>
        <w:autoSpaceDE w:val="0"/>
        <w:autoSpaceDN w:val="0"/>
        <w:adjustRightInd w:val="0"/>
        <w:ind w:left="357" w:hanging="357"/>
        <w:textAlignment w:val="baseline"/>
      </w:pPr>
      <w:r>
        <w:t xml:space="preserve">uzsver </w:t>
      </w:r>
      <w:r>
        <w:rPr>
          <w:b/>
        </w:rPr>
        <w:t>nepieciešamību precizēt ārpus ES reģistrētu uzņēmumu darbības</w:t>
      </w:r>
      <w:r>
        <w:t>, kas var ietekmēt Eiropas iedzīvotājus;</w:t>
      </w:r>
    </w:p>
    <w:p w:rsidR="00AB20C0" w:rsidP="009120CD" w:rsidRDefault="00AB20C0" w14:paraId="45CE5B49" w14:textId="106E1A16">
      <w:pPr>
        <w:numPr>
          <w:ilvl w:val="0"/>
          <w:numId w:val="3"/>
        </w:numPr>
        <w:overflowPunct w:val="0"/>
        <w:autoSpaceDE w:val="0"/>
        <w:autoSpaceDN w:val="0"/>
        <w:adjustRightInd w:val="0"/>
        <w:ind w:left="357" w:hanging="357"/>
        <w:textAlignment w:val="baseline"/>
      </w:pPr>
      <w:r>
        <w:t xml:space="preserve">aicina rīkoties attiecībā uz </w:t>
      </w:r>
      <w:r>
        <w:rPr>
          <w:b/>
        </w:rPr>
        <w:t>publicitātes noteikumiem un normām, kas saistītas ar finanšu pakalpojumu attālinātas sniegšanas jutīgo procesu</w:t>
      </w:r>
      <w:r w:rsidR="00B3531E">
        <w:t>;</w:t>
      </w:r>
      <w:r>
        <w:t xml:space="preserve"> un</w:t>
      </w:r>
    </w:p>
    <w:p w:rsidRPr="00A3344B" w:rsidR="00AB20C0" w:rsidP="009120CD" w:rsidRDefault="00AB20C0" w14:paraId="57E13EFF" w14:textId="6CAC5AD8">
      <w:pPr>
        <w:numPr>
          <w:ilvl w:val="0"/>
          <w:numId w:val="3"/>
        </w:numPr>
        <w:overflowPunct w:val="0"/>
        <w:autoSpaceDE w:val="0"/>
        <w:autoSpaceDN w:val="0"/>
        <w:adjustRightInd w:val="0"/>
        <w:ind w:left="357" w:hanging="357"/>
        <w:textAlignment w:val="baseline"/>
      </w:pPr>
      <w:r>
        <w:t xml:space="preserve">uzskata: lai labāk īstenotu direktīvu un patiesi gūtu labumu no tās principiem, ir ļoti svarīgi veikt </w:t>
      </w:r>
      <w:r>
        <w:rPr>
          <w:b/>
        </w:rPr>
        <w:t>ieguldījumus infrastruktūrā, lai sasniegtu labākus rezultātus</w:t>
      </w:r>
      <w:r>
        <w:t>.</w:t>
      </w:r>
    </w:p>
    <w:p w:rsidR="00AA5C1D" w:rsidP="009120CD" w:rsidRDefault="00AA5C1D" w14:paraId="11FB1396" w14:textId="77777777">
      <w:pPr>
        <w:spacing w:after="160"/>
        <w:jc w:val="left"/>
        <w:rPr>
          <w:sz w:val="28"/>
        </w:rPr>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164813" w:rsidR="00AA5C1D" w:rsidTr="004E4367" w14:paraId="41C508F8" w14:textId="77777777">
        <w:tc>
          <w:tcPr>
            <w:tcW w:w="1418" w:type="dxa"/>
          </w:tcPr>
          <w:p w:rsidRPr="00164813" w:rsidR="00AA5C1D" w:rsidP="009120CD" w:rsidRDefault="00AA5C1D" w14:paraId="682B16C4" w14:textId="77777777">
            <w:pPr>
              <w:contextualSpacing/>
              <w:rPr>
                <w:i/>
              </w:rPr>
            </w:pPr>
            <w:r>
              <w:rPr>
                <w:b/>
                <w:i/>
              </w:rPr>
              <w:t>Kontaktpersona:</w:t>
            </w:r>
          </w:p>
        </w:tc>
        <w:tc>
          <w:tcPr>
            <w:tcW w:w="5670" w:type="dxa"/>
          </w:tcPr>
          <w:p w:rsidRPr="00164813" w:rsidR="00AA5C1D" w:rsidP="009120CD" w:rsidRDefault="00AA5C1D" w14:paraId="58153CA9" w14:textId="0623053C">
            <w:pPr>
              <w:contextualSpacing/>
              <w:rPr>
                <w:i/>
              </w:rPr>
            </w:pPr>
            <w:proofErr w:type="spellStart"/>
            <w:r>
              <w:rPr>
                <w:i/>
              </w:rPr>
              <w:t>Marie-Laurence</w:t>
            </w:r>
            <w:proofErr w:type="spellEnd"/>
            <w:r>
              <w:rPr>
                <w:i/>
              </w:rPr>
              <w:t xml:space="preserve"> </w:t>
            </w:r>
            <w:r w:rsidR="00801DC4">
              <w:rPr>
                <w:i/>
              </w:rPr>
              <w:t>DRILLON</w:t>
            </w:r>
          </w:p>
        </w:tc>
      </w:tr>
      <w:tr w:rsidRPr="00164813" w:rsidR="00AA5C1D" w:rsidTr="004E4367" w14:paraId="72CAC45A" w14:textId="77777777">
        <w:tc>
          <w:tcPr>
            <w:tcW w:w="1418" w:type="dxa"/>
          </w:tcPr>
          <w:p w:rsidRPr="00164813" w:rsidR="00AA5C1D" w:rsidP="009120CD" w:rsidRDefault="00AA5C1D" w14:paraId="3EF5E950" w14:textId="77777777">
            <w:pPr>
              <w:ind w:left="601"/>
              <w:contextualSpacing/>
              <w:rPr>
                <w:i/>
              </w:rPr>
            </w:pPr>
            <w:r>
              <w:rPr>
                <w:i/>
              </w:rPr>
              <w:t>Tālr.:</w:t>
            </w:r>
          </w:p>
        </w:tc>
        <w:tc>
          <w:tcPr>
            <w:tcW w:w="5670" w:type="dxa"/>
          </w:tcPr>
          <w:p w:rsidRPr="00164813" w:rsidR="00AA5C1D" w:rsidP="009120CD" w:rsidRDefault="00AA5C1D" w14:paraId="7B046605" w14:textId="1BCF99C6">
            <w:pPr>
              <w:contextualSpacing/>
              <w:rPr>
                <w:i/>
              </w:rPr>
            </w:pPr>
            <w:r>
              <w:rPr>
                <w:i/>
              </w:rPr>
              <w:t>00 32 2 546 83 20</w:t>
            </w:r>
          </w:p>
        </w:tc>
      </w:tr>
      <w:tr w:rsidRPr="00164813" w:rsidR="00AA5C1D" w:rsidTr="004E4367" w14:paraId="73DA6362" w14:textId="77777777">
        <w:tc>
          <w:tcPr>
            <w:tcW w:w="1418" w:type="dxa"/>
          </w:tcPr>
          <w:p w:rsidRPr="00164813" w:rsidR="00AA5C1D" w:rsidP="009120CD" w:rsidRDefault="00AA5C1D" w14:paraId="67DB9852" w14:textId="77777777">
            <w:pPr>
              <w:ind w:left="601"/>
              <w:contextualSpacing/>
              <w:rPr>
                <w:i/>
              </w:rPr>
            </w:pPr>
            <w:r>
              <w:rPr>
                <w:i/>
              </w:rPr>
              <w:t>E-pasts:</w:t>
            </w:r>
          </w:p>
        </w:tc>
        <w:tc>
          <w:tcPr>
            <w:tcW w:w="5670" w:type="dxa"/>
          </w:tcPr>
          <w:p w:rsidRPr="00F256CD" w:rsidR="00AA5C1D" w:rsidP="009120CD" w:rsidRDefault="0022731C" w14:paraId="49BD07A0" w14:textId="56970342">
            <w:pPr>
              <w:contextualSpacing/>
              <w:rPr>
                <w:i/>
                <w:iCs/>
              </w:rPr>
            </w:pPr>
            <w:hyperlink w:history="1" r:id="rId44">
              <w:r w:rsidR="0064748D">
                <w:rPr>
                  <w:rStyle w:val="Hyperlink"/>
                  <w:i/>
                </w:rPr>
                <w:t>Marie-Laurence.Drillon@eesc.europa.eu</w:t>
              </w:r>
            </w:hyperlink>
          </w:p>
        </w:tc>
      </w:tr>
    </w:tbl>
    <w:p w:rsidR="000956DB" w:rsidP="009120CD" w:rsidRDefault="000956DB" w14:paraId="32ABF98F" w14:textId="67292419">
      <w:pPr>
        <w:spacing w:after="160"/>
        <w:jc w:val="left"/>
        <w:rPr>
          <w:sz w:val="28"/>
        </w:rPr>
      </w:pPr>
      <w:r>
        <w:br w:type="page"/>
      </w:r>
    </w:p>
    <w:p w:rsidRPr="009B70E7" w:rsidR="002E01B5" w:rsidP="009120CD" w:rsidRDefault="004D7AC0" w14:paraId="6C52985F" w14:textId="77777777">
      <w:pPr>
        <w:pStyle w:val="Heading1"/>
        <w:keepNext/>
        <w:rPr>
          <w:b/>
        </w:rPr>
      </w:pPr>
      <w:bookmarkStart w:name="_Toc70322234" w:id="31"/>
      <w:bookmarkStart w:name="_Toc75527084" w:id="32"/>
      <w:bookmarkStart w:name="_Toc116461963" w:id="33"/>
      <w:r>
        <w:rPr>
          <w:b/>
        </w:rPr>
        <w:lastRenderedPageBreak/>
        <w:t>LAUKSAIMNIECĪBA, LAUKU ATTĪSTĪBA UN VIDE</w:t>
      </w:r>
      <w:bookmarkEnd w:id="31"/>
      <w:bookmarkEnd w:id="32"/>
      <w:bookmarkEnd w:id="33"/>
    </w:p>
    <w:p w:rsidRPr="009B70E7" w:rsidR="009173E7" w:rsidP="009120CD" w:rsidRDefault="009173E7" w14:paraId="37AC66EE" w14:textId="77777777">
      <w:pPr>
        <w:keepNext/>
      </w:pPr>
    </w:p>
    <w:p w:rsidRPr="009B70E7" w:rsidR="00AC7690" w:rsidP="009120CD" w:rsidRDefault="0005110E" w14:paraId="6BF57A05" w14:textId="285B882D">
      <w:pPr>
        <w:pStyle w:val="ListParagraph"/>
        <w:keepNext/>
        <w:numPr>
          <w:ilvl w:val="0"/>
          <w:numId w:val="2"/>
        </w:numPr>
        <w:ind w:left="567" w:hanging="567"/>
        <w:rPr>
          <w:b/>
          <w:i/>
          <w:sz w:val="28"/>
          <w:szCs w:val="28"/>
        </w:rPr>
      </w:pPr>
      <w:r>
        <w:rPr>
          <w:b/>
          <w:i/>
          <w:sz w:val="28"/>
        </w:rPr>
        <w:t>Enerģētikas un digitālā pārkārtošana lauku apvidos</w:t>
      </w:r>
    </w:p>
    <w:p w:rsidRPr="009B70E7" w:rsidR="004D7AC0" w:rsidP="009120CD" w:rsidRDefault="004D7AC0" w14:paraId="43570F8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45"/>
      </w:tblGrid>
      <w:tr w:rsidRPr="009B70E7" w:rsidR="004D7AC0" w:rsidTr="00801DC4" w14:paraId="32C9FAF0" w14:textId="77777777">
        <w:tc>
          <w:tcPr>
            <w:tcW w:w="1701" w:type="dxa"/>
          </w:tcPr>
          <w:p w:rsidRPr="009B70E7" w:rsidR="004D7AC0" w:rsidP="009120CD" w:rsidRDefault="004D7AC0" w14:paraId="7DFC3FE7" w14:textId="77777777">
            <w:pPr>
              <w:pStyle w:val="ListParagraph"/>
              <w:keepNext/>
              <w:ind w:left="0"/>
              <w:rPr>
                <w:b/>
              </w:rPr>
            </w:pPr>
            <w:bookmarkStart w:name="_Hlk111563809" w:id="34"/>
            <w:r>
              <w:rPr>
                <w:b/>
              </w:rPr>
              <w:t>Ziņotājs:</w:t>
            </w:r>
          </w:p>
        </w:tc>
        <w:tc>
          <w:tcPr>
            <w:tcW w:w="6345" w:type="dxa"/>
          </w:tcPr>
          <w:p w:rsidRPr="009B70E7" w:rsidR="004D7AC0" w:rsidP="009120CD" w:rsidRDefault="0005110E" w14:paraId="512C7D26" w14:textId="4F4F61E2">
            <w:pPr>
              <w:pStyle w:val="ListParagraph"/>
              <w:keepNext/>
              <w:ind w:left="-106"/>
            </w:pPr>
            <w:proofErr w:type="spellStart"/>
            <w:r>
              <w:t>John</w:t>
            </w:r>
            <w:proofErr w:type="spellEnd"/>
            <w:r>
              <w:t xml:space="preserve"> COMER (EESK Pilsoniskās sabiedrības organizāciju grupa-IE)</w:t>
            </w:r>
          </w:p>
        </w:tc>
      </w:tr>
      <w:tr w:rsidRPr="009B70E7" w:rsidR="0005110E" w:rsidTr="00801DC4" w14:paraId="37A4E77C" w14:textId="77777777">
        <w:tc>
          <w:tcPr>
            <w:tcW w:w="1701" w:type="dxa"/>
          </w:tcPr>
          <w:p w:rsidRPr="007B231B" w:rsidR="0005110E" w:rsidP="009120CD" w:rsidRDefault="0005110E" w14:paraId="648A1766" w14:textId="5A11562C">
            <w:pPr>
              <w:pStyle w:val="ListParagraph"/>
              <w:keepNext/>
              <w:ind w:left="0"/>
              <w:rPr>
                <w:b/>
              </w:rPr>
            </w:pPr>
            <w:r>
              <w:rPr>
                <w:b/>
              </w:rPr>
              <w:t>Līdzziņotājs:</w:t>
            </w:r>
          </w:p>
        </w:tc>
        <w:tc>
          <w:tcPr>
            <w:tcW w:w="6345" w:type="dxa"/>
          </w:tcPr>
          <w:p w:rsidR="0005110E" w:rsidP="009120CD" w:rsidRDefault="0005110E" w14:paraId="3FB6D138" w14:textId="22C9DE2B">
            <w:pPr>
              <w:pStyle w:val="ListParagraph"/>
              <w:keepNext/>
              <w:ind w:left="-106"/>
            </w:pPr>
            <w:r>
              <w:t xml:space="preserve">Luis MIRA (Darba devēju grupa </w:t>
            </w:r>
            <w:r w:rsidR="00801DC4">
              <w:t>–</w:t>
            </w:r>
            <w:r>
              <w:t xml:space="preserve"> PT)</w:t>
            </w:r>
          </w:p>
          <w:p w:rsidRPr="00E54548" w:rsidR="0005110E" w:rsidP="009120CD" w:rsidRDefault="0005110E" w14:paraId="30DA0956" w14:textId="65B72FEF">
            <w:pPr>
              <w:pStyle w:val="ListParagraph"/>
              <w:keepNext/>
              <w:ind w:left="-106"/>
              <w:rPr>
                <w:highlight w:val="yellow"/>
              </w:rPr>
            </w:pPr>
          </w:p>
        </w:tc>
      </w:tr>
    </w:tbl>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032038" w:rsidR="0005110E" w:rsidTr="004E4367" w14:paraId="2F855FDD" w14:textId="77777777">
        <w:tc>
          <w:tcPr>
            <w:tcW w:w="1701" w:type="dxa"/>
          </w:tcPr>
          <w:bookmarkEnd w:id="34"/>
          <w:p w:rsidRPr="00032038" w:rsidR="0005110E" w:rsidP="009120CD" w:rsidRDefault="0005110E" w14:paraId="6DB55280" w14:textId="77777777">
            <w:pPr>
              <w:contextualSpacing/>
              <w:rPr>
                <w:b/>
              </w:rPr>
            </w:pPr>
            <w:r>
              <w:rPr>
                <w:b/>
              </w:rPr>
              <w:t xml:space="preserve">Atsauce: </w:t>
            </w:r>
          </w:p>
        </w:tc>
        <w:tc>
          <w:tcPr>
            <w:tcW w:w="6379" w:type="dxa"/>
          </w:tcPr>
          <w:p w:rsidRPr="00032038" w:rsidR="0005110E" w:rsidP="009120CD" w:rsidRDefault="0005110E" w14:paraId="602AF089" w14:textId="51E3E044">
            <w:pPr>
              <w:tabs>
                <w:tab w:val="center" w:pos="284"/>
              </w:tabs>
              <w:ind w:left="266" w:right="-534" w:hanging="374"/>
            </w:pPr>
            <w:r>
              <w:t>Pašiniciatīvas atzinums</w:t>
            </w:r>
          </w:p>
          <w:p w:rsidRPr="00032038" w:rsidR="0005110E" w:rsidP="009120CD" w:rsidRDefault="0005110E" w14:paraId="6A5A914E" w14:textId="3DFF6070">
            <w:pPr>
              <w:ind w:left="-108"/>
              <w:contextualSpacing/>
            </w:pPr>
            <w:r>
              <w:t>EESC-2022-0484-00-00-AC</w:t>
            </w:r>
          </w:p>
        </w:tc>
      </w:tr>
    </w:tbl>
    <w:p w:rsidRPr="002C4B6E" w:rsidR="0005110E" w:rsidP="009120CD" w:rsidRDefault="0005110E" w14:paraId="63F4FD2B" w14:textId="77777777">
      <w:pPr>
        <w:pStyle w:val="ListParagraph"/>
        <w:ind w:left="-142" w:firstLine="142"/>
        <w:rPr>
          <w:b/>
        </w:rPr>
      </w:pPr>
    </w:p>
    <w:p w:rsidRPr="00A00F37" w:rsidR="004D7AC0" w:rsidP="009120CD" w:rsidRDefault="004D7AC0" w14:paraId="63F2D92D" w14:textId="5F76C7A8">
      <w:pPr>
        <w:pStyle w:val="ListParagraph"/>
        <w:ind w:left="0" w:firstLine="142"/>
        <w:rPr>
          <w:b/>
        </w:rPr>
      </w:pPr>
      <w:r>
        <w:rPr>
          <w:b/>
          <w:bCs/>
        </w:rPr>
        <w:t>Svarīgākie aspekti</w:t>
      </w:r>
    </w:p>
    <w:p w:rsidR="001513FD" w:rsidP="009120CD" w:rsidRDefault="001513FD" w14:paraId="76827606" w14:textId="77777777">
      <w:pPr>
        <w:pStyle w:val="ListParagraph"/>
        <w:keepNext/>
        <w:ind w:left="0"/>
      </w:pPr>
    </w:p>
    <w:p w:rsidR="00E54548" w:rsidP="009120CD" w:rsidRDefault="00E54548" w14:paraId="05F6CCDA" w14:textId="77777777">
      <w:pPr>
        <w:pStyle w:val="ListParagraph"/>
        <w:ind w:left="0" w:firstLine="142"/>
      </w:pPr>
      <w:r>
        <w:t>EESK:</w:t>
      </w:r>
    </w:p>
    <w:p w:rsidR="00E54548" w:rsidP="009120CD" w:rsidRDefault="00E54548" w14:paraId="681D86A8" w14:textId="77777777">
      <w:pPr>
        <w:pStyle w:val="ListParagraph"/>
        <w:keepNext/>
        <w:ind w:left="0"/>
      </w:pPr>
    </w:p>
    <w:p w:rsidR="00BE6D5A" w:rsidP="009120CD" w:rsidRDefault="0005110E" w14:paraId="4FC3D577" w14:textId="00AC6372">
      <w:pPr>
        <w:numPr>
          <w:ilvl w:val="0"/>
          <w:numId w:val="3"/>
        </w:numPr>
        <w:ind w:left="357" w:hanging="357"/>
        <w:contextualSpacing/>
      </w:pPr>
      <w:r>
        <w:t>uzskata, ka kombinēta enerģētikas un digitālās pārkārtošanās stratēģija lauku apvidos nav saņēmusi tādu uzmanību un atbalstu, ko varētu gaidīt. Īpaša uzmanība jāpievērš visneaizsargātākajiem lauku apvidiem, lai neviens netiktu atstāts novārtā;</w:t>
      </w:r>
    </w:p>
    <w:p w:rsidR="0005110E" w:rsidP="009120CD" w:rsidRDefault="0005110E" w14:paraId="6497B7B1" w14:textId="77777777">
      <w:pPr>
        <w:numPr>
          <w:ilvl w:val="0"/>
          <w:numId w:val="3"/>
        </w:numPr>
        <w:ind w:left="357" w:hanging="357"/>
        <w:contextualSpacing/>
      </w:pPr>
      <w:r>
        <w:t>ir pārliecināta, ka Eiropas panākumi nākotnē lielā mērā būs atkarīgi no tā, kā mēs nodrošināsim, ka pret lauku apvidiem piemērojam līdzvērtīgu attieksmi kā pret pilsētu teritorijām;</w:t>
      </w:r>
    </w:p>
    <w:p w:rsidR="0005110E" w:rsidP="009120CD" w:rsidRDefault="0005110E" w14:paraId="2B6EEF4C" w14:textId="77777777">
      <w:pPr>
        <w:numPr>
          <w:ilvl w:val="0"/>
          <w:numId w:val="3"/>
        </w:numPr>
        <w:ind w:left="357" w:hanging="357"/>
        <w:contextualSpacing/>
      </w:pPr>
      <w:r>
        <w:t>uzsver: lai ES vai nacionālie atveseļošanas un noturības plāni pilnībā gūtu labumu no lauku apvidu ieguldījuma, ir jānodrošina ātrdarbīgs interneta pieslēgums, aptverot visu teritoriju, tostarp mazapdzīvotus apvidus;</w:t>
      </w:r>
    </w:p>
    <w:p w:rsidR="0005110E" w:rsidP="009120CD" w:rsidRDefault="0005110E" w14:paraId="59DF02F6" w14:textId="77777777">
      <w:pPr>
        <w:numPr>
          <w:ilvl w:val="0"/>
          <w:numId w:val="3"/>
        </w:numPr>
        <w:ind w:left="357" w:hanging="357"/>
        <w:contextualSpacing/>
      </w:pPr>
      <w:r>
        <w:t>uzskata, ka valsts iestādēm un pakalpojumu sniedzējiem ir jāizstrādā lietotājdraudzīgas lietojumprogrammas, kas būtu īpaši pielāgotas lauku dzīvesveida un darbības realitātei. Šo tehnoloģiju izmantošana, piemēram, samazinās lauksaimniecības radīto oglekļa pēdu (precīzā lauksaimniecība) un palīdzēs uzlabot attālu apgabalu pieejamību (droni);</w:t>
      </w:r>
    </w:p>
    <w:p w:rsidR="0005110E" w:rsidP="009120CD" w:rsidRDefault="0005110E" w14:paraId="5B8174BA" w14:textId="77777777">
      <w:pPr>
        <w:numPr>
          <w:ilvl w:val="0"/>
          <w:numId w:val="3"/>
        </w:numPr>
        <w:ind w:left="357" w:hanging="357"/>
        <w:contextualSpacing/>
      </w:pPr>
      <w:r>
        <w:t>uzsver, ka lietotājiem laukos neatkarīgi no vecuma ir jābūt iespējām saņemt atbilstošu apmācību un uzlabot prasmes, lai viņi varētu izmantot šīs jaunās digitālās tehnoloģijas. Izmantojot iekļaušanu, mazāk labvēlīgos apgabalos jānodrošina arī piekļuve vajadzīgajām ierīcēm, vai nu tās koplietojot vai piešķirot valsts subsīdiju to iegādei;</w:t>
      </w:r>
    </w:p>
    <w:p w:rsidR="0005110E" w:rsidP="009120CD" w:rsidRDefault="0005110E" w14:paraId="1067E9DA" w14:textId="77777777">
      <w:pPr>
        <w:numPr>
          <w:ilvl w:val="0"/>
          <w:numId w:val="3"/>
        </w:numPr>
        <w:ind w:left="357" w:hanging="357"/>
        <w:contextualSpacing/>
      </w:pPr>
      <w:r>
        <w:t>secina, ka digitālo tehnoloģiju ieviešana lauku apvidos ir nepieciešama, lai atbalstītu enerģētikas pārkārtošanu;</w:t>
      </w:r>
    </w:p>
    <w:p w:rsidR="0005110E" w:rsidP="009120CD" w:rsidRDefault="0005110E" w14:paraId="7D830158" w14:textId="62FED5C6">
      <w:pPr>
        <w:numPr>
          <w:ilvl w:val="0"/>
          <w:numId w:val="3"/>
        </w:numPr>
        <w:ind w:left="357" w:hanging="357"/>
        <w:contextualSpacing/>
      </w:pPr>
      <w:r>
        <w:t>uzsver: tā kā 30 % ES iedzīvotāju dzīvo lauku apvidos, taisnīga enerģētikas pārkārtošana laukos ir būtisks elements taisnīgā pārejā uz klimatneitrālu, ilgtspējīgu un pārticīgu Eiropas Savienību saskaņā ar Teritoriālās a</w:t>
      </w:r>
      <w:r w:rsidR="00B3531E">
        <w:t>ttīstības programmu 2030. gadam;</w:t>
      </w:r>
    </w:p>
    <w:p w:rsidRPr="00CA685D" w:rsidR="00071F4C" w:rsidP="009120CD" w:rsidRDefault="0005110E" w14:paraId="6CC74428" w14:textId="739BEC36">
      <w:pPr>
        <w:numPr>
          <w:ilvl w:val="0"/>
          <w:numId w:val="3"/>
        </w:numPr>
        <w:ind w:left="357" w:hanging="357"/>
        <w:contextualSpacing/>
      </w:pPr>
      <w:r>
        <w:t xml:space="preserve">Komisija ir ierosinājusi 20 % no </w:t>
      </w:r>
      <w:r>
        <w:rPr>
          <w:i/>
          <w:iCs/>
        </w:rPr>
        <w:t>NextGenerationEU</w:t>
      </w:r>
      <w:r>
        <w:t xml:space="preserve"> ieguldīt digitālajā jomā. EESK iesaka visām dalībvalstīm vismaz 10 % no šiem līdzekļiem veltīt lauku </w:t>
      </w:r>
      <w:r w:rsidR="00801DC4">
        <w:t>digitalizācijai</w:t>
      </w:r>
      <w:r>
        <w:t>, neradot nevajadzīgu birokrātiju.</w:t>
      </w:r>
    </w:p>
    <w:p w:rsidRPr="009B70E7" w:rsidR="00CA685D" w:rsidP="009120CD" w:rsidRDefault="00CA685D" w14:paraId="338EA745" w14:textId="77777777">
      <w:pPr>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9B70E7" w:rsidR="004331B4" w:rsidTr="00BC41D9" w14:paraId="587E7E08" w14:textId="77777777">
        <w:tc>
          <w:tcPr>
            <w:tcW w:w="1418" w:type="dxa"/>
          </w:tcPr>
          <w:p w:rsidRPr="009B70E7" w:rsidR="004331B4" w:rsidP="009120CD" w:rsidRDefault="004331B4" w14:paraId="02B3DBE9" w14:textId="77777777">
            <w:pPr>
              <w:pStyle w:val="ListParagraph"/>
              <w:ind w:left="0"/>
              <w:rPr>
                <w:i/>
              </w:rPr>
            </w:pPr>
            <w:r>
              <w:rPr>
                <w:b/>
                <w:i/>
              </w:rPr>
              <w:t>Kontaktpersona:</w:t>
            </w:r>
          </w:p>
        </w:tc>
        <w:tc>
          <w:tcPr>
            <w:tcW w:w="5670" w:type="dxa"/>
          </w:tcPr>
          <w:p w:rsidRPr="009B70E7" w:rsidR="004331B4" w:rsidP="009120CD" w:rsidRDefault="00E54548" w14:paraId="490824F4" w14:textId="4B41469C">
            <w:pPr>
              <w:pStyle w:val="ListParagraph"/>
              <w:ind w:left="0"/>
              <w:rPr>
                <w:i/>
              </w:rPr>
            </w:pPr>
            <w:proofErr w:type="spellStart"/>
            <w:r>
              <w:rPr>
                <w:i/>
              </w:rPr>
              <w:t>Arturo</w:t>
            </w:r>
            <w:proofErr w:type="spellEnd"/>
            <w:r>
              <w:rPr>
                <w:i/>
              </w:rPr>
              <w:t xml:space="preserve"> </w:t>
            </w:r>
            <w:r w:rsidR="00801DC4">
              <w:rPr>
                <w:i/>
              </w:rPr>
              <w:t>INIGUEZ YUSTE</w:t>
            </w:r>
          </w:p>
        </w:tc>
      </w:tr>
      <w:tr w:rsidRPr="009B70E7" w:rsidR="004331B4" w:rsidTr="00BC41D9" w14:paraId="117DE739" w14:textId="77777777">
        <w:tc>
          <w:tcPr>
            <w:tcW w:w="1418" w:type="dxa"/>
          </w:tcPr>
          <w:p w:rsidRPr="009B70E7" w:rsidR="004331B4" w:rsidP="009120CD" w:rsidRDefault="004331B4" w14:paraId="07B5DE23" w14:textId="77777777">
            <w:pPr>
              <w:pStyle w:val="ListParagraph"/>
              <w:ind w:left="601"/>
              <w:rPr>
                <w:i/>
              </w:rPr>
            </w:pPr>
            <w:r>
              <w:rPr>
                <w:i/>
              </w:rPr>
              <w:t>Tālr.:</w:t>
            </w:r>
          </w:p>
        </w:tc>
        <w:tc>
          <w:tcPr>
            <w:tcW w:w="5670" w:type="dxa"/>
          </w:tcPr>
          <w:p w:rsidRPr="009B70E7" w:rsidR="004331B4" w:rsidP="009120CD" w:rsidRDefault="00E54548" w14:paraId="6717A766" w14:textId="77777777">
            <w:pPr>
              <w:pStyle w:val="ListParagraph"/>
              <w:ind w:left="0"/>
              <w:rPr>
                <w:i/>
              </w:rPr>
            </w:pPr>
            <w:r>
              <w:rPr>
                <w:i/>
              </w:rPr>
              <w:t>00 32 2 546 87 68</w:t>
            </w:r>
          </w:p>
        </w:tc>
      </w:tr>
      <w:tr w:rsidRPr="009B70E7" w:rsidR="004331B4" w:rsidTr="00BC41D9" w14:paraId="6D5CE45F" w14:textId="77777777">
        <w:tc>
          <w:tcPr>
            <w:tcW w:w="1418" w:type="dxa"/>
          </w:tcPr>
          <w:p w:rsidRPr="009B70E7" w:rsidR="004331B4" w:rsidP="009120CD" w:rsidRDefault="004331B4" w14:paraId="261C3027" w14:textId="77777777">
            <w:pPr>
              <w:pStyle w:val="ListParagraph"/>
              <w:ind w:left="601"/>
              <w:rPr>
                <w:i/>
              </w:rPr>
            </w:pPr>
            <w:r>
              <w:rPr>
                <w:i/>
              </w:rPr>
              <w:t>E-pasts:</w:t>
            </w:r>
          </w:p>
        </w:tc>
        <w:tc>
          <w:tcPr>
            <w:tcW w:w="5670" w:type="dxa"/>
          </w:tcPr>
          <w:p w:rsidRPr="009B70E7" w:rsidR="00CA685D" w:rsidP="00F256CD" w:rsidRDefault="0022731C" w14:paraId="40FE0D9C" w14:textId="7A64EFC9">
            <w:pPr>
              <w:pStyle w:val="ListParagraph"/>
              <w:ind w:left="0"/>
              <w:rPr>
                <w:i/>
              </w:rPr>
            </w:pPr>
            <w:hyperlink w:history="1" r:id="rId45">
              <w:r w:rsidR="0064748D">
                <w:rPr>
                  <w:rStyle w:val="Hyperlink"/>
                  <w:i/>
                </w:rPr>
                <w:t>Arturo.Iniguez@eesc.europa.eu</w:t>
              </w:r>
            </w:hyperlink>
          </w:p>
        </w:tc>
      </w:tr>
    </w:tbl>
    <w:p w:rsidRPr="00A10A98" w:rsidR="00A10A98" w:rsidP="009120CD" w:rsidRDefault="00A10A98" w14:paraId="32D600D1" w14:textId="77777777">
      <w:pPr>
        <w:spacing w:after="160"/>
        <w:jc w:val="left"/>
        <w:rPr>
          <w:sz w:val="28"/>
          <w:szCs w:val="28"/>
        </w:rPr>
      </w:pPr>
    </w:p>
    <w:p w:rsidR="00801DC4" w:rsidRDefault="00801DC4" w14:paraId="3126DA53" w14:textId="77777777">
      <w:pPr>
        <w:spacing w:after="160" w:line="259" w:lineRule="auto"/>
        <w:jc w:val="left"/>
        <w:rPr>
          <w:b/>
          <w:i/>
          <w:sz w:val="28"/>
        </w:rPr>
      </w:pPr>
      <w:r>
        <w:rPr>
          <w:b/>
          <w:i/>
          <w:sz w:val="28"/>
        </w:rPr>
        <w:br w:type="page"/>
      </w:r>
    </w:p>
    <w:p w:rsidRPr="00F256CD" w:rsidR="00E54548" w:rsidP="009120CD" w:rsidRDefault="000C18CA" w14:paraId="55FE0C33" w14:textId="555175F3">
      <w:pPr>
        <w:pStyle w:val="ListParagraph"/>
        <w:numPr>
          <w:ilvl w:val="0"/>
          <w:numId w:val="2"/>
        </w:numPr>
        <w:ind w:left="0" w:hanging="567"/>
      </w:pPr>
      <w:r>
        <w:rPr>
          <w:b/>
          <w:i/>
          <w:sz w:val="28"/>
        </w:rPr>
        <w:lastRenderedPageBreak/>
        <w:t>Sociālais dialogs zaļās pārkārtošanās procesā</w:t>
      </w:r>
    </w:p>
    <w:p w:rsidRPr="009B70E7" w:rsidR="00F256CD" w:rsidP="00F256CD" w:rsidRDefault="00F256CD" w14:paraId="1DFEA98A"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29"/>
      </w:tblGrid>
      <w:tr w:rsidRPr="009B70E7" w:rsidR="000C18CA" w:rsidTr="00F256CD" w14:paraId="4E01B598" w14:textId="77777777">
        <w:tc>
          <w:tcPr>
            <w:tcW w:w="1701" w:type="dxa"/>
          </w:tcPr>
          <w:p w:rsidRPr="009B70E7" w:rsidR="000C18CA" w:rsidP="009120CD" w:rsidRDefault="000C18CA" w14:paraId="3EE6EB4F" w14:textId="77777777">
            <w:pPr>
              <w:pStyle w:val="ListParagraph"/>
              <w:keepNext/>
              <w:ind w:left="0"/>
              <w:rPr>
                <w:b/>
              </w:rPr>
            </w:pPr>
            <w:r>
              <w:rPr>
                <w:b/>
              </w:rPr>
              <w:t>Ziņotājs:</w:t>
            </w:r>
          </w:p>
        </w:tc>
        <w:tc>
          <w:tcPr>
            <w:tcW w:w="6629" w:type="dxa"/>
          </w:tcPr>
          <w:p w:rsidR="000C18CA" w:rsidP="009120CD" w:rsidRDefault="000C18CA" w14:paraId="3B0EEFBE" w14:textId="77777777">
            <w:pPr>
              <w:pStyle w:val="ListParagraph"/>
              <w:keepNext/>
              <w:ind w:left="-106"/>
            </w:pPr>
            <w:proofErr w:type="spellStart"/>
            <w:r>
              <w:t>Lucie</w:t>
            </w:r>
            <w:proofErr w:type="spellEnd"/>
            <w:r>
              <w:t xml:space="preserve"> STUDNIČNÁ (Darba ņēmēju grupa – CZ)</w:t>
            </w:r>
          </w:p>
          <w:p w:rsidRPr="009B70E7" w:rsidR="006A1317" w:rsidP="009120CD" w:rsidRDefault="006A1317" w14:paraId="3BDDFB62" w14:textId="58B88D3B">
            <w:pPr>
              <w:pStyle w:val="ListParagraph"/>
              <w:keepNext/>
              <w:ind w:left="-106"/>
            </w:pPr>
          </w:p>
        </w:tc>
      </w:tr>
      <w:tr w:rsidRPr="009B70E7" w:rsidR="00E54548" w:rsidTr="00F256CD" w14:paraId="7A103358" w14:textId="77777777">
        <w:tc>
          <w:tcPr>
            <w:tcW w:w="1701" w:type="dxa"/>
          </w:tcPr>
          <w:p w:rsidRPr="009B70E7" w:rsidR="00E54548" w:rsidP="009120CD" w:rsidRDefault="00E54548" w14:paraId="3D88AB9C" w14:textId="77777777">
            <w:pPr>
              <w:pStyle w:val="ListParagraph"/>
              <w:ind w:left="0"/>
              <w:rPr>
                <w:b/>
              </w:rPr>
            </w:pPr>
            <w:r>
              <w:rPr>
                <w:b/>
              </w:rPr>
              <w:t xml:space="preserve">Atsauce: </w:t>
            </w:r>
          </w:p>
        </w:tc>
        <w:tc>
          <w:tcPr>
            <w:tcW w:w="6629" w:type="dxa"/>
          </w:tcPr>
          <w:p w:rsidRPr="009B70E7" w:rsidR="00E54548" w:rsidP="009120CD" w:rsidRDefault="000C18CA" w14:paraId="3F2C4954" w14:textId="111DDEFA">
            <w:pPr>
              <w:tabs>
                <w:tab w:val="center" w:pos="284"/>
              </w:tabs>
              <w:ind w:left="266" w:hanging="374"/>
            </w:pPr>
            <w:r>
              <w:t>Izpētes atzinums pēc Padomes prezidentvalsts Čehijas pieprasījuma</w:t>
            </w:r>
          </w:p>
          <w:p w:rsidRPr="009B70E7" w:rsidR="00E54548" w:rsidP="009120CD" w:rsidRDefault="00E54548" w14:paraId="2105E433" w14:textId="55E54C9A">
            <w:pPr>
              <w:pStyle w:val="ListParagraph"/>
              <w:ind w:left="-108"/>
            </w:pPr>
            <w:r>
              <w:t>EESC-2022-01682-00-00-AC</w:t>
            </w:r>
          </w:p>
        </w:tc>
      </w:tr>
    </w:tbl>
    <w:p w:rsidRPr="009B70E7" w:rsidR="00E54548" w:rsidP="009120CD" w:rsidRDefault="00E54548" w14:paraId="5A8EA75C" w14:textId="77777777">
      <w:pPr>
        <w:pStyle w:val="ListParagraph"/>
        <w:ind w:left="0"/>
        <w:rPr>
          <w:b/>
        </w:rPr>
      </w:pPr>
    </w:p>
    <w:p w:rsidRPr="0018231C" w:rsidR="00E54548" w:rsidP="009120CD" w:rsidRDefault="00E54548" w14:paraId="2DB75FF2" w14:textId="5E95D69C">
      <w:pPr>
        <w:pStyle w:val="ListParagraph"/>
        <w:ind w:left="0" w:firstLine="142"/>
        <w:rPr>
          <w:b/>
        </w:rPr>
      </w:pPr>
      <w:r>
        <w:rPr>
          <w:b/>
          <w:bCs/>
        </w:rPr>
        <w:t>Svarīgākie aspekti</w:t>
      </w:r>
    </w:p>
    <w:p w:rsidRPr="0018231C" w:rsidR="00E54548" w:rsidP="009120CD" w:rsidRDefault="00E54548" w14:paraId="6EE8937D" w14:textId="77777777">
      <w:pPr>
        <w:pStyle w:val="ListParagraph"/>
        <w:ind w:left="0"/>
        <w:rPr>
          <w:lang w:val="fr-FR"/>
        </w:rPr>
      </w:pPr>
    </w:p>
    <w:p w:rsidRPr="00A00F37" w:rsidR="00E54548" w:rsidP="009120CD" w:rsidRDefault="00E54548" w14:paraId="6B6F14AC" w14:textId="77777777">
      <w:pPr>
        <w:pStyle w:val="ListParagraph"/>
        <w:ind w:left="0" w:firstLine="142"/>
        <w:rPr>
          <w:bCs/>
        </w:rPr>
      </w:pPr>
      <w:r>
        <w:t>EESK:</w:t>
      </w:r>
    </w:p>
    <w:p w:rsidRPr="0018231C" w:rsidR="00E54548" w:rsidP="009120CD" w:rsidRDefault="00E54548" w14:paraId="1F790AD7" w14:textId="77777777">
      <w:pPr>
        <w:pStyle w:val="ListParagraph"/>
        <w:ind w:left="0"/>
        <w:rPr>
          <w:lang w:val="fr-FR"/>
        </w:rPr>
      </w:pPr>
    </w:p>
    <w:p w:rsidRPr="00A3344B" w:rsidR="00E54548" w:rsidP="009120CD" w:rsidRDefault="006A1317" w14:paraId="2EA194B7" w14:textId="06EAB1B1">
      <w:pPr>
        <w:numPr>
          <w:ilvl w:val="0"/>
          <w:numId w:val="3"/>
        </w:numPr>
        <w:overflowPunct w:val="0"/>
        <w:autoSpaceDE w:val="0"/>
        <w:autoSpaceDN w:val="0"/>
        <w:adjustRightInd w:val="0"/>
        <w:ind w:left="357" w:hanging="357"/>
        <w:textAlignment w:val="baseline"/>
      </w:pPr>
      <w:r>
        <w:t xml:space="preserve">šo </w:t>
      </w:r>
      <w:r>
        <w:rPr>
          <w:b/>
        </w:rPr>
        <w:t>izpētes atzinumu</w:t>
      </w:r>
      <w:r>
        <w:t xml:space="preserve"> izstrādājusi, ņemot vērā </w:t>
      </w:r>
      <w:r>
        <w:rPr>
          <w:b/>
        </w:rPr>
        <w:t>ES prezidentvalsts Čehijas Republikas</w:t>
      </w:r>
      <w:r>
        <w:t xml:space="preserve"> pieprasījumu, un tas veidos daļu no Eiropas zaļā kursa sociālās dimensijas un it īpaši sociālā dialoga lomas novērtējuma;</w:t>
      </w:r>
    </w:p>
    <w:p w:rsidRPr="00A3344B" w:rsidR="00E54548" w:rsidP="009120CD" w:rsidRDefault="006A1317" w14:paraId="07D2FB57" w14:textId="0B3BA641">
      <w:pPr>
        <w:numPr>
          <w:ilvl w:val="0"/>
          <w:numId w:val="3"/>
        </w:numPr>
        <w:overflowPunct w:val="0"/>
        <w:autoSpaceDE w:val="0"/>
        <w:autoSpaceDN w:val="0"/>
        <w:adjustRightInd w:val="0"/>
        <w:ind w:left="357" w:hanging="357"/>
        <w:textAlignment w:val="baseline"/>
      </w:pPr>
      <w:r>
        <w:rPr>
          <w:b/>
        </w:rPr>
        <w:t>atzinīgi vērtē spēcīgo un vērienīgo klimata politikas satvaru, kas izveidots saistībā ar Eiropas zaļo kursu</w:t>
      </w:r>
      <w:r>
        <w:t xml:space="preserve"> un ko atbalsta ar to saistītie likumdošanas pasākumi, </w:t>
      </w:r>
      <w:r>
        <w:rPr>
          <w:b/>
        </w:rPr>
        <w:t>taču</w:t>
      </w:r>
      <w:r>
        <w:t xml:space="preserve"> uzsver arī to, ka, neraugoties uz visiem pozitīvajiem paziņojumiem, tā </w:t>
      </w:r>
      <w:r>
        <w:rPr>
          <w:b/>
        </w:rPr>
        <w:t>sociālā dimensija joprojām nav pietiekami izstrādāta</w:t>
      </w:r>
      <w:r>
        <w:t>;</w:t>
      </w:r>
    </w:p>
    <w:p w:rsidRPr="00A3344B" w:rsidR="00E54548" w:rsidP="009120CD" w:rsidRDefault="00F929FB" w14:paraId="4400E2D4" w14:textId="7A9D97BD">
      <w:pPr>
        <w:numPr>
          <w:ilvl w:val="0"/>
          <w:numId w:val="3"/>
        </w:numPr>
        <w:overflowPunct w:val="0"/>
        <w:autoSpaceDE w:val="0"/>
        <w:autoSpaceDN w:val="0"/>
        <w:adjustRightInd w:val="0"/>
        <w:ind w:left="357" w:hanging="357"/>
        <w:textAlignment w:val="baseline"/>
      </w:pPr>
      <w:r>
        <w:t xml:space="preserve">uzskata, ka </w:t>
      </w:r>
      <w:r>
        <w:rPr>
          <w:b/>
        </w:rPr>
        <w:t>pašreizējās iniciatīvas ar zaļo pārkārtošanos saistīto sociālo problēmu risināšanai joprojām ir sadrumstalotas</w:t>
      </w:r>
      <w:r>
        <w:t xml:space="preserve">. Taisnīgas pārkārtošanās mehānisms ir ierobežots un attiecas tikai uz nelielu pārkārtošanās procesa daļu. Ierosinātajam Sociālajam klimata fondam būs ierobežota darbības joma un mērķis un tas galvenokārt līdzsvaros regresīvo distributīvo ietekmi, ko radīs transporta un ēku plānotā iekļaušana ES emisijas kvotu tirdzniecības sistēmā (sk. it īpaši EESK atzinumu par Sociālo klimata fondu). </w:t>
      </w:r>
      <w:r>
        <w:rPr>
          <w:b/>
        </w:rPr>
        <w:t>EESK atzinīgi vērtē</w:t>
      </w:r>
      <w:r>
        <w:t xml:space="preserve"> </w:t>
      </w:r>
      <w:r>
        <w:rPr>
          <w:b/>
        </w:rPr>
        <w:t>Padomes ieteikumu par to, kā nodrošināt taisnīgu pārkārtošanos uz klimatneitralitāti</w:t>
      </w:r>
      <w:r>
        <w:t>, taču Komiteja arī norāda, ka minētais nesaistošais ieteikums nav visaptveroša politikas platforma, kas Eiropas Savienībai ir vajadzīga, lai novērstu pārkārtošanās ietekmi uz skartajiem darba ņēmējiem, reģioniem un neaizsargātām personām;</w:t>
      </w:r>
    </w:p>
    <w:p w:rsidR="00E54548" w:rsidP="009120CD" w:rsidRDefault="00F929FB" w14:paraId="428C54E7" w14:textId="7D3D139B">
      <w:pPr>
        <w:numPr>
          <w:ilvl w:val="0"/>
          <w:numId w:val="3"/>
        </w:numPr>
        <w:overflowPunct w:val="0"/>
        <w:autoSpaceDE w:val="0"/>
        <w:autoSpaceDN w:val="0"/>
        <w:adjustRightInd w:val="0"/>
        <w:ind w:left="357" w:hanging="357"/>
        <w:textAlignment w:val="baseline"/>
      </w:pPr>
      <w:r>
        <w:t xml:space="preserve">uzsver, ka </w:t>
      </w:r>
      <w:r>
        <w:rPr>
          <w:b/>
        </w:rPr>
        <w:t>Eiropas Savienībai ir vajadzīgs stingrs regulējums, lai nodrošinātu vienlīdzīgus apstākļus pārkārtošanās pārvaldībai</w:t>
      </w:r>
      <w:r>
        <w:t>. Šādā spēcīgā ES taisnīgas pārkārtošanās regulējumā cita starpā būtu jāpievēršas pārmaiņu prognozēšanai un pārvaldībai zaļās pārkārtošanās procesā, jēgpilni iesaistot darba ņēmējus, uzņēmumus un iedzīvotājus;</w:t>
      </w:r>
    </w:p>
    <w:p w:rsidRPr="007E7A4F" w:rsidR="00C44A5C" w:rsidP="009120CD" w:rsidRDefault="006A1317" w14:paraId="0DC28D76" w14:textId="78202B7B">
      <w:pPr>
        <w:numPr>
          <w:ilvl w:val="0"/>
          <w:numId w:val="3"/>
        </w:numPr>
        <w:overflowPunct w:val="0"/>
        <w:autoSpaceDE w:val="0"/>
        <w:autoSpaceDN w:val="0"/>
        <w:adjustRightInd w:val="0"/>
        <w:ind w:left="357" w:hanging="357"/>
        <w:textAlignment w:val="baseline"/>
      </w:pPr>
      <w:r>
        <w:t xml:space="preserve">ierosina </w:t>
      </w:r>
      <w:r>
        <w:rPr>
          <w:b/>
        </w:rPr>
        <w:t>sistemātiski plānot sociālā dialoga darbību dalībvalstu līmenī</w:t>
      </w:r>
      <w:r>
        <w:t xml:space="preserve">, un ir vajadzīgi vēl citi salīdzinošie pētījumi, kas analizētu sociālā dialoga lomu nacionālajos enerģētikas un klimata plānos, piemēram, nacionālajos atveseļošanas un noturības plānos, un uzskata, ka </w:t>
      </w:r>
      <w:r>
        <w:rPr>
          <w:b/>
        </w:rPr>
        <w:t>sociālajam dialogam vajadzētu būt neatņemamai sastāvdaļai politikā, kas izveidota, lai sasniegtu 2050. gada klimata politikas mērķus, tostarp nacionālajos enerģētikas un klimata plānos, nacionālajos atveseļošanas un noturības plānos un taisnīgas pārkārtošanās plānos</w:t>
      </w:r>
      <w:r>
        <w:t>.</w:t>
      </w:r>
    </w:p>
    <w:p w:rsidRPr="007E7A4F" w:rsidR="00E54548" w:rsidP="009120CD" w:rsidRDefault="00E54548" w14:paraId="7BB9A561"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164813" w:rsidR="00E54548" w:rsidTr="008B66DD" w14:paraId="25A3FF7E" w14:textId="77777777">
        <w:tc>
          <w:tcPr>
            <w:tcW w:w="1418" w:type="dxa"/>
          </w:tcPr>
          <w:p w:rsidRPr="00164813" w:rsidR="00E54548" w:rsidP="009120CD" w:rsidRDefault="00E54548" w14:paraId="1C0A7F50" w14:textId="77777777">
            <w:pPr>
              <w:contextualSpacing/>
              <w:rPr>
                <w:i/>
              </w:rPr>
            </w:pPr>
            <w:r>
              <w:rPr>
                <w:b/>
                <w:i/>
              </w:rPr>
              <w:t>Kontaktpersona:</w:t>
            </w:r>
          </w:p>
        </w:tc>
        <w:tc>
          <w:tcPr>
            <w:tcW w:w="5670" w:type="dxa"/>
          </w:tcPr>
          <w:p w:rsidRPr="00164813" w:rsidR="00E54548" w:rsidP="009120CD" w:rsidRDefault="000C18CA" w14:paraId="59C2EA51" w14:textId="0295DCBD">
            <w:pPr>
              <w:contextualSpacing/>
              <w:rPr>
                <w:i/>
              </w:rPr>
            </w:pPr>
            <w:proofErr w:type="spellStart"/>
            <w:r>
              <w:rPr>
                <w:i/>
              </w:rPr>
              <w:t>Judit</w:t>
            </w:r>
            <w:proofErr w:type="spellEnd"/>
            <w:r>
              <w:rPr>
                <w:i/>
              </w:rPr>
              <w:t xml:space="preserve"> </w:t>
            </w:r>
            <w:r w:rsidR="00801DC4">
              <w:rPr>
                <w:i/>
              </w:rPr>
              <w:t>CARRERAS GARCIA</w:t>
            </w:r>
          </w:p>
        </w:tc>
      </w:tr>
      <w:tr w:rsidRPr="00164813" w:rsidR="00E54548" w:rsidTr="008B66DD" w14:paraId="50BF4889" w14:textId="77777777">
        <w:tc>
          <w:tcPr>
            <w:tcW w:w="1418" w:type="dxa"/>
          </w:tcPr>
          <w:p w:rsidRPr="00164813" w:rsidR="00E54548" w:rsidP="009120CD" w:rsidRDefault="00E54548" w14:paraId="1F8D44FD" w14:textId="77777777">
            <w:pPr>
              <w:ind w:left="601"/>
              <w:contextualSpacing/>
              <w:rPr>
                <w:i/>
              </w:rPr>
            </w:pPr>
            <w:r>
              <w:rPr>
                <w:i/>
              </w:rPr>
              <w:t>Tālr.:</w:t>
            </w:r>
          </w:p>
        </w:tc>
        <w:tc>
          <w:tcPr>
            <w:tcW w:w="5670" w:type="dxa"/>
          </w:tcPr>
          <w:p w:rsidRPr="00164813" w:rsidR="00E54548" w:rsidP="009120CD" w:rsidRDefault="00E54548" w14:paraId="099C6AF1" w14:textId="47AB8DF2">
            <w:pPr>
              <w:contextualSpacing/>
              <w:rPr>
                <w:i/>
              </w:rPr>
            </w:pPr>
            <w:r>
              <w:rPr>
                <w:i/>
              </w:rPr>
              <w:t>00 32 2 546 84 21</w:t>
            </w:r>
          </w:p>
        </w:tc>
      </w:tr>
      <w:tr w:rsidRPr="00164813" w:rsidR="00E54548" w:rsidTr="008B66DD" w14:paraId="735920C0" w14:textId="77777777">
        <w:tc>
          <w:tcPr>
            <w:tcW w:w="1418" w:type="dxa"/>
          </w:tcPr>
          <w:p w:rsidRPr="00164813" w:rsidR="00E54548" w:rsidP="009120CD" w:rsidRDefault="00E54548" w14:paraId="554E9752" w14:textId="77777777">
            <w:pPr>
              <w:ind w:left="601"/>
              <w:contextualSpacing/>
              <w:rPr>
                <w:i/>
              </w:rPr>
            </w:pPr>
            <w:r>
              <w:rPr>
                <w:i/>
              </w:rPr>
              <w:t>E-pasts:</w:t>
            </w:r>
          </w:p>
        </w:tc>
        <w:tc>
          <w:tcPr>
            <w:tcW w:w="5670" w:type="dxa"/>
          </w:tcPr>
          <w:p w:rsidRPr="00F256CD" w:rsidR="00E54548" w:rsidP="009120CD" w:rsidRDefault="0022731C" w14:paraId="57D07659" w14:textId="31EE9DA8">
            <w:pPr>
              <w:contextualSpacing/>
              <w:rPr>
                <w:i/>
                <w:iCs/>
              </w:rPr>
            </w:pPr>
            <w:hyperlink w:history="1" r:id="rId46">
              <w:r w:rsidR="0064748D">
                <w:rPr>
                  <w:rStyle w:val="Hyperlink"/>
                  <w:i/>
                </w:rPr>
                <w:t>Judit.CarrerasGarcia@eesc.europa.eu</w:t>
              </w:r>
            </w:hyperlink>
          </w:p>
        </w:tc>
      </w:tr>
    </w:tbl>
    <w:p w:rsidR="00F2127E" w:rsidP="009120CD" w:rsidRDefault="00F2127E" w14:paraId="287BC97F" w14:textId="77777777">
      <w:pPr>
        <w:spacing w:after="160"/>
        <w:jc w:val="left"/>
        <w:rPr>
          <w:sz w:val="28"/>
          <w:szCs w:val="16"/>
        </w:rPr>
      </w:pPr>
      <w:r>
        <w:br w:type="page"/>
      </w:r>
    </w:p>
    <w:p w:rsidRPr="003E692C" w:rsidR="0005170F" w:rsidP="009120CD" w:rsidRDefault="00931584" w14:paraId="259B2927" w14:textId="77777777">
      <w:pPr>
        <w:pStyle w:val="Heading1"/>
        <w:keepNext/>
        <w:rPr>
          <w:b/>
        </w:rPr>
      </w:pPr>
      <w:bookmarkStart w:name="_Toc90469310" w:id="35"/>
      <w:bookmarkStart w:name="_Toc116461964" w:id="36"/>
      <w:r>
        <w:rPr>
          <w:b/>
        </w:rPr>
        <w:lastRenderedPageBreak/>
        <w:t>ĀRĒJĀS ATTIECĪBAS</w:t>
      </w:r>
      <w:bookmarkEnd w:id="35"/>
      <w:bookmarkEnd w:id="36"/>
    </w:p>
    <w:p w:rsidR="00CB3335" w:rsidP="009120CD" w:rsidRDefault="00CB3335" w14:paraId="4C868865" w14:textId="0AB40322"/>
    <w:p w:rsidRPr="00092425" w:rsidR="00B10934" w:rsidP="009120CD" w:rsidRDefault="00B10934" w14:paraId="18F82F09" w14:textId="3048E3BF">
      <w:pPr>
        <w:keepNext/>
        <w:keepLines/>
        <w:numPr>
          <w:ilvl w:val="0"/>
          <w:numId w:val="2"/>
        </w:numPr>
        <w:ind w:left="567" w:hanging="567"/>
        <w:contextualSpacing/>
      </w:pPr>
      <w:r>
        <w:rPr>
          <w:b/>
          <w:i/>
          <w:sz w:val="28"/>
        </w:rPr>
        <w:t>Enerģētikas pārkārtošanas ģeopolitiskā ietekme</w:t>
      </w:r>
    </w:p>
    <w:p w:rsidRPr="006E3F60" w:rsidR="00B10934" w:rsidP="009120CD" w:rsidRDefault="00B10934" w14:paraId="04311F99"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B10934" w:rsidTr="004E4367" w14:paraId="63C47200" w14:textId="77777777">
        <w:tc>
          <w:tcPr>
            <w:tcW w:w="1701" w:type="dxa"/>
          </w:tcPr>
          <w:p w:rsidRPr="006E3F60" w:rsidR="00B10934" w:rsidP="009120CD" w:rsidRDefault="00B10934" w14:paraId="6B95F451" w14:textId="77777777">
            <w:pPr>
              <w:keepNext/>
              <w:contextualSpacing/>
              <w:rPr>
                <w:b/>
              </w:rPr>
            </w:pPr>
            <w:r>
              <w:rPr>
                <w:b/>
              </w:rPr>
              <w:t>Ziņotājs:</w:t>
            </w:r>
          </w:p>
        </w:tc>
        <w:tc>
          <w:tcPr>
            <w:tcW w:w="6946" w:type="dxa"/>
          </w:tcPr>
          <w:p w:rsidRPr="006E3F60" w:rsidR="00B10934" w:rsidP="009120CD" w:rsidRDefault="00B10934" w14:paraId="72CAA90E" w14:textId="71B5AF5D">
            <w:pPr>
              <w:keepNext/>
              <w:ind w:left="-106"/>
              <w:contextualSpacing/>
            </w:pPr>
            <w:proofErr w:type="spellStart"/>
            <w:r>
              <w:t>Tomasz</w:t>
            </w:r>
            <w:proofErr w:type="spellEnd"/>
            <w:r>
              <w:t xml:space="preserve"> </w:t>
            </w:r>
            <w:proofErr w:type="spellStart"/>
            <w:r>
              <w:t>Andrzej</w:t>
            </w:r>
            <w:proofErr w:type="spellEnd"/>
            <w:r>
              <w:t xml:space="preserve"> WRÓBLEWSKI (Darba devēju grupa – PL)</w:t>
            </w:r>
          </w:p>
        </w:tc>
      </w:tr>
      <w:tr w:rsidRPr="006E3F60" w:rsidR="00B10934" w:rsidTr="004E4367" w14:paraId="2C0E8BB0" w14:textId="77777777">
        <w:tc>
          <w:tcPr>
            <w:tcW w:w="1701" w:type="dxa"/>
          </w:tcPr>
          <w:p w:rsidRPr="006E3F60" w:rsidR="00B10934" w:rsidP="009120CD" w:rsidRDefault="00B10934" w14:paraId="025643D8" w14:textId="77777777">
            <w:pPr>
              <w:keepNext/>
              <w:contextualSpacing/>
              <w:rPr>
                <w:b/>
              </w:rPr>
            </w:pPr>
            <w:r>
              <w:rPr>
                <w:b/>
              </w:rPr>
              <w:t>Līdzziņotājs(-a)</w:t>
            </w:r>
          </w:p>
        </w:tc>
        <w:tc>
          <w:tcPr>
            <w:tcW w:w="6946" w:type="dxa"/>
          </w:tcPr>
          <w:p w:rsidRPr="006E3F60" w:rsidR="00B10934" w:rsidP="009120CD" w:rsidRDefault="00B10934" w14:paraId="427560C7" w14:textId="4F6458B0">
            <w:pPr>
              <w:keepNext/>
              <w:ind w:left="-106"/>
              <w:contextualSpacing/>
            </w:pPr>
            <w:proofErr w:type="spellStart"/>
            <w:r>
              <w:t>Ioannis</w:t>
            </w:r>
            <w:proofErr w:type="spellEnd"/>
            <w:r>
              <w:t xml:space="preserve"> VARDAKASTANIS (Pilsoniskās sabiedrības organizāciju grupa – EL)</w:t>
            </w:r>
          </w:p>
        </w:tc>
      </w:tr>
      <w:tr w:rsidRPr="006E3F60" w:rsidR="00B10934" w:rsidTr="004E4367" w14:paraId="4FDFAA85" w14:textId="77777777">
        <w:tc>
          <w:tcPr>
            <w:tcW w:w="8647" w:type="dxa"/>
            <w:gridSpan w:val="2"/>
          </w:tcPr>
          <w:p w:rsidRPr="006E3F60" w:rsidR="00B10934" w:rsidP="009120CD" w:rsidRDefault="00B10934" w14:paraId="45119DCD" w14:textId="77777777">
            <w:pPr>
              <w:keepNext/>
              <w:contextualSpacing/>
            </w:pPr>
          </w:p>
        </w:tc>
      </w:tr>
      <w:tr w:rsidRPr="006E3F60" w:rsidR="00B10934" w:rsidTr="004E4367" w14:paraId="20EA12EB" w14:textId="77777777">
        <w:tc>
          <w:tcPr>
            <w:tcW w:w="1701" w:type="dxa"/>
          </w:tcPr>
          <w:p w:rsidRPr="006E3F60" w:rsidR="00B10934" w:rsidP="009120CD" w:rsidRDefault="00B10934" w14:paraId="529DA37B" w14:textId="77777777">
            <w:pPr>
              <w:keepNext/>
              <w:contextualSpacing/>
              <w:rPr>
                <w:b/>
              </w:rPr>
            </w:pPr>
            <w:r>
              <w:rPr>
                <w:b/>
              </w:rPr>
              <w:t xml:space="preserve">Atsauce: </w:t>
            </w:r>
          </w:p>
        </w:tc>
        <w:tc>
          <w:tcPr>
            <w:tcW w:w="6946" w:type="dxa"/>
          </w:tcPr>
          <w:p w:rsidRPr="006E3F60" w:rsidR="00B10934" w:rsidP="009120CD" w:rsidRDefault="00B10934" w14:paraId="0495867F" w14:textId="77777777">
            <w:pPr>
              <w:keepNext/>
              <w:ind w:left="-106"/>
              <w:contextualSpacing/>
              <w:rPr>
                <w:iCs/>
                <w:color w:val="000000"/>
              </w:rPr>
            </w:pPr>
            <w:r>
              <w:rPr>
                <w:color w:val="000000"/>
              </w:rPr>
              <w:t>Pašiniciatīvas atzinums</w:t>
            </w:r>
          </w:p>
          <w:p w:rsidRPr="006E3F60" w:rsidR="00B10934" w:rsidP="009120CD" w:rsidRDefault="00B10934" w14:paraId="77555D52" w14:textId="055A76D0">
            <w:pPr>
              <w:keepNext/>
              <w:ind w:left="-106"/>
              <w:contextualSpacing/>
            </w:pPr>
            <w:r>
              <w:t>EESC-2022-01398-00-00-AC</w:t>
            </w:r>
          </w:p>
        </w:tc>
      </w:tr>
    </w:tbl>
    <w:p w:rsidRPr="006E3F60" w:rsidR="00B10934" w:rsidP="009120CD" w:rsidRDefault="00B10934" w14:paraId="4EE48C39" w14:textId="77777777">
      <w:pPr>
        <w:keepNext/>
        <w:ind w:left="567"/>
        <w:contextualSpacing/>
      </w:pPr>
    </w:p>
    <w:p w:rsidRPr="00A00F37" w:rsidR="00B10934" w:rsidP="009120CD" w:rsidRDefault="00B10934" w14:paraId="30E45228" w14:textId="3328F4E0">
      <w:pPr>
        <w:pStyle w:val="ListParagraph"/>
        <w:ind w:left="0" w:firstLine="142"/>
        <w:rPr>
          <w:b/>
        </w:rPr>
      </w:pPr>
      <w:r>
        <w:rPr>
          <w:b/>
          <w:bCs/>
        </w:rPr>
        <w:t>Svarīgākie aspekti</w:t>
      </w:r>
    </w:p>
    <w:p w:rsidRPr="00C25DB3" w:rsidR="00B10934" w:rsidP="009120CD" w:rsidRDefault="00B10934" w14:paraId="42308E24" w14:textId="77777777">
      <w:pPr>
        <w:contextualSpacing/>
        <w:rPr>
          <w:b/>
        </w:rPr>
      </w:pPr>
    </w:p>
    <w:p w:rsidR="00B10934" w:rsidP="009120CD" w:rsidRDefault="00B10934" w14:paraId="5BC9CB1A" w14:textId="77777777">
      <w:pPr>
        <w:ind w:left="142"/>
        <w:contextualSpacing/>
        <w:rPr>
          <w:bCs/>
          <w:iCs/>
        </w:rPr>
      </w:pPr>
      <w:r>
        <w:t>EESK:</w:t>
      </w:r>
    </w:p>
    <w:p w:rsidRPr="006E3F60" w:rsidR="00B10934" w:rsidP="009120CD" w:rsidRDefault="00B10934" w14:paraId="67817DFC" w14:textId="77777777">
      <w:pPr>
        <w:contextualSpacing/>
      </w:pPr>
    </w:p>
    <w:p w:rsidR="00B10934" w:rsidP="009120CD" w:rsidRDefault="001106FB" w14:paraId="2119F1A1" w14:textId="11267DD4">
      <w:pPr>
        <w:numPr>
          <w:ilvl w:val="0"/>
          <w:numId w:val="3"/>
        </w:numPr>
        <w:ind w:left="357" w:hanging="357"/>
        <w:contextualSpacing/>
      </w:pPr>
      <w:r>
        <w:t>atzinīgi vērtē Eiropas Komisijas un atsevišķu dalībvalstu centienus, kas ir paātrinājuši ceļu uz neatkarību no Krievijas energoavotiem;</w:t>
      </w:r>
    </w:p>
    <w:p w:rsidR="00B10934" w:rsidP="009120CD" w:rsidRDefault="001106FB" w14:paraId="7B577A49" w14:textId="3F481535">
      <w:pPr>
        <w:numPr>
          <w:ilvl w:val="0"/>
          <w:numId w:val="3"/>
        </w:numPr>
        <w:ind w:left="357" w:hanging="357"/>
        <w:contextualSpacing/>
      </w:pPr>
      <w:r>
        <w:t>uzskata: ņemot vērā Ukrainā notiekošā kara dinamiku, process ir jāpaātrina, nosakot stingru embargo, kam jāietver ātra alternatīvu, tīru energoresursu izvēršana;</w:t>
      </w:r>
    </w:p>
    <w:p w:rsidR="00B10934" w:rsidP="009120CD" w:rsidRDefault="001106FB" w14:paraId="65FB49B0" w14:textId="73EDC72E">
      <w:pPr>
        <w:numPr>
          <w:ilvl w:val="0"/>
          <w:numId w:val="3"/>
        </w:numPr>
        <w:ind w:left="357" w:hanging="357"/>
        <w:contextualSpacing/>
      </w:pPr>
      <w:r>
        <w:t>atzinīgi vērtē to, ka Eiropa joprojām ir enerģētikas pārkārtošanas priekšgalā, taču norāda, ka pārmaiņas ES iekšienē nav pietiekamas, lai kompensētu globālo emisiju ietekmi, un ka mūsu nenoliedzamās interesēs ir pasākumu īstenošana starptautiskā mērogā gan klimata pārmaiņu, gan ekonomikas paplašināšanas ziņā, lai nodrošinātu ilgtspējīgu globālo attīstību;</w:t>
      </w:r>
    </w:p>
    <w:p w:rsidR="00B10934" w:rsidP="009120CD" w:rsidRDefault="001106FB" w14:paraId="7446D8D9" w14:textId="5E450BF8">
      <w:pPr>
        <w:numPr>
          <w:ilvl w:val="0"/>
          <w:numId w:val="3"/>
        </w:numPr>
        <w:ind w:left="357" w:hanging="357"/>
        <w:contextualSpacing/>
      </w:pPr>
      <w:r>
        <w:t xml:space="preserve">atzinīgi vērtē vairākas </w:t>
      </w:r>
      <w:r>
        <w:rPr>
          <w:b/>
        </w:rPr>
        <w:t>ES iniciatīvas</w:t>
      </w:r>
      <w:r>
        <w:t xml:space="preserve">, kas vai nu stiprina </w:t>
      </w:r>
      <w:r>
        <w:rPr>
          <w:b/>
        </w:rPr>
        <w:t>ES iekšējo noturību</w:t>
      </w:r>
      <w:r>
        <w:t xml:space="preserve">, piemēram, </w:t>
      </w:r>
      <w:r>
        <w:rPr>
          <w:i/>
          <w:iCs/>
        </w:rPr>
        <w:t>REPowerEU</w:t>
      </w:r>
      <w:r>
        <w:t xml:space="preserve">, vai tādas iniciatīvas kā “Taisnīgas enerģētikas pārkārtošanas partnerība”, </w:t>
      </w:r>
      <w:proofErr w:type="spellStart"/>
      <w:r>
        <w:rPr>
          <w:i/>
          <w:iCs/>
        </w:rPr>
        <w:t>Global</w:t>
      </w:r>
      <w:proofErr w:type="spellEnd"/>
      <w:r>
        <w:rPr>
          <w:i/>
          <w:iCs/>
        </w:rPr>
        <w:t xml:space="preserve"> </w:t>
      </w:r>
      <w:proofErr w:type="spellStart"/>
      <w:r>
        <w:rPr>
          <w:i/>
          <w:iCs/>
        </w:rPr>
        <w:t>Gateway</w:t>
      </w:r>
      <w:proofErr w:type="spellEnd"/>
      <w:r>
        <w:t xml:space="preserve"> un “Zaļā programma Rietumbalkāniem”, kas veicina </w:t>
      </w:r>
      <w:r>
        <w:rPr>
          <w:b/>
        </w:rPr>
        <w:t>politisko stabilitāti</w:t>
      </w:r>
      <w:r>
        <w:t>;</w:t>
      </w:r>
    </w:p>
    <w:p w:rsidR="00B10934" w:rsidP="009120CD" w:rsidRDefault="001106FB" w14:paraId="5CF9FCF5" w14:textId="4E2C7ADC">
      <w:pPr>
        <w:numPr>
          <w:ilvl w:val="0"/>
          <w:numId w:val="3"/>
        </w:numPr>
        <w:ind w:left="357" w:hanging="357"/>
        <w:contextualSpacing/>
      </w:pPr>
      <w:r>
        <w:t xml:space="preserve">atzinīgi vērtē iniciatīvu pievienot Moldovu un Ukrainu Eiropas energotīklam, tomēr aicina </w:t>
      </w:r>
      <w:r>
        <w:rPr>
          <w:b/>
        </w:rPr>
        <w:t>periodiski pārskatīt ģeopolitisko situāciju</w:t>
      </w:r>
      <w:r>
        <w:t>, ko rada dinamiskas pārmaiņas enerģētikas struktūrā tādās valstīs kā Armēnija, Gruzija un Kazahstāna;</w:t>
      </w:r>
    </w:p>
    <w:p w:rsidRPr="00C25DB3" w:rsidR="00B10934" w:rsidP="009120CD" w:rsidRDefault="001106FB" w14:paraId="6E6233CA" w14:textId="22CF3287">
      <w:pPr>
        <w:numPr>
          <w:ilvl w:val="0"/>
          <w:numId w:val="3"/>
        </w:numPr>
        <w:ind w:left="357" w:hanging="357"/>
        <w:contextualSpacing/>
      </w:pPr>
      <w:r>
        <w:t>vērš uzmanību uz nepieciešamību veidot īpašas attiecības ar valstīm, kas ir galvenās tīras enerģijas tehnoloģiju ražošanai nepieciešamo smago metālu un izejvielu piegādātājas un kas var tikt apdraudētas. Tālab starptautiskajās attiecībās ir jāveido pilnīgi jauna nozare </w:t>
      </w:r>
      <w:r w:rsidR="00801DC4">
        <w:t>–</w:t>
      </w:r>
      <w:r>
        <w:t xml:space="preserve"> </w:t>
      </w:r>
      <w:r>
        <w:rPr>
          <w:b/>
        </w:rPr>
        <w:t>Eiropas enerģētikas diplomātija</w:t>
      </w:r>
      <w:r>
        <w:t>.</w:t>
      </w:r>
    </w:p>
    <w:p w:rsidRPr="006E3F60" w:rsidR="00B10934" w:rsidP="009120CD" w:rsidRDefault="00B10934" w14:paraId="4869B881" w14:textId="77777777"/>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6E3F60" w:rsidR="00B10934" w:rsidTr="004E4367" w14:paraId="0A17DE15" w14:textId="77777777">
        <w:tc>
          <w:tcPr>
            <w:tcW w:w="1418" w:type="dxa"/>
          </w:tcPr>
          <w:p w:rsidRPr="006E3F60" w:rsidR="00B10934" w:rsidP="009120CD" w:rsidRDefault="00B10934" w14:paraId="1AD80AE7" w14:textId="77777777">
            <w:pPr>
              <w:contextualSpacing/>
              <w:rPr>
                <w:i/>
              </w:rPr>
            </w:pPr>
            <w:r>
              <w:rPr>
                <w:b/>
                <w:i/>
              </w:rPr>
              <w:t>Kontaktpersona:</w:t>
            </w:r>
          </w:p>
        </w:tc>
        <w:tc>
          <w:tcPr>
            <w:tcW w:w="5670" w:type="dxa"/>
          </w:tcPr>
          <w:p w:rsidRPr="006E3F60" w:rsidR="00B10934" w:rsidP="009120CD" w:rsidRDefault="00B10934" w14:paraId="6D26F1D1" w14:textId="4E32C8A8">
            <w:pPr>
              <w:contextualSpacing/>
              <w:rPr>
                <w:i/>
              </w:rPr>
            </w:pPr>
            <w:r>
              <w:rPr>
                <w:i/>
              </w:rPr>
              <w:t xml:space="preserve">Andreas </w:t>
            </w:r>
            <w:r w:rsidR="00801DC4">
              <w:rPr>
                <w:i/>
              </w:rPr>
              <w:t>BERGER</w:t>
            </w:r>
          </w:p>
        </w:tc>
      </w:tr>
      <w:tr w:rsidRPr="006E3F60" w:rsidR="00B10934" w:rsidTr="004E4367" w14:paraId="6343664B" w14:textId="77777777">
        <w:tc>
          <w:tcPr>
            <w:tcW w:w="1418" w:type="dxa"/>
          </w:tcPr>
          <w:p w:rsidRPr="006E3F60" w:rsidR="00B10934" w:rsidP="009120CD" w:rsidRDefault="00B10934" w14:paraId="50AF888B" w14:textId="77777777">
            <w:pPr>
              <w:ind w:left="601"/>
              <w:contextualSpacing/>
              <w:rPr>
                <w:i/>
              </w:rPr>
            </w:pPr>
            <w:r>
              <w:rPr>
                <w:i/>
              </w:rPr>
              <w:t>Tālr.:</w:t>
            </w:r>
          </w:p>
        </w:tc>
        <w:tc>
          <w:tcPr>
            <w:tcW w:w="5670" w:type="dxa"/>
          </w:tcPr>
          <w:p w:rsidRPr="006E3F60" w:rsidR="00B10934" w:rsidP="009120CD" w:rsidRDefault="00B10934" w14:paraId="7916302F" w14:textId="4203DD70">
            <w:pPr>
              <w:contextualSpacing/>
              <w:rPr>
                <w:i/>
              </w:rPr>
            </w:pPr>
            <w:r>
              <w:rPr>
                <w:i/>
              </w:rPr>
              <w:t>00 32 2 546 90 62</w:t>
            </w:r>
          </w:p>
        </w:tc>
      </w:tr>
      <w:tr w:rsidRPr="006E3F60" w:rsidR="00B10934" w:rsidTr="004E4367" w14:paraId="4121CD1A" w14:textId="77777777">
        <w:tc>
          <w:tcPr>
            <w:tcW w:w="1418" w:type="dxa"/>
          </w:tcPr>
          <w:p w:rsidRPr="006E3F60" w:rsidR="00B10934" w:rsidP="009120CD" w:rsidRDefault="00B10934" w14:paraId="2BB848C1" w14:textId="77777777">
            <w:pPr>
              <w:ind w:left="601"/>
              <w:contextualSpacing/>
              <w:rPr>
                <w:i/>
              </w:rPr>
            </w:pPr>
            <w:r>
              <w:rPr>
                <w:i/>
              </w:rPr>
              <w:t>E-pasts:</w:t>
            </w:r>
          </w:p>
        </w:tc>
        <w:tc>
          <w:tcPr>
            <w:tcW w:w="5670" w:type="dxa"/>
          </w:tcPr>
          <w:p w:rsidRPr="006E3F60" w:rsidR="00B10934" w:rsidP="009120CD" w:rsidRDefault="0022731C" w14:paraId="57CBD11B" w14:textId="1EEADEC6">
            <w:pPr>
              <w:contextualSpacing/>
              <w:rPr>
                <w:i/>
              </w:rPr>
            </w:pPr>
            <w:hyperlink w:history="1" r:id="rId47">
              <w:r w:rsidR="0064748D">
                <w:rPr>
                  <w:rStyle w:val="Hyperlink"/>
                </w:rPr>
                <w:t>Andreas.Berger</w:t>
              </w:r>
              <w:r w:rsidR="0064748D">
                <w:rPr>
                  <w:rStyle w:val="Hyperlink"/>
                  <w:i/>
                </w:rPr>
                <w:t>@eesc.europa.eu</w:t>
              </w:r>
            </w:hyperlink>
          </w:p>
        </w:tc>
      </w:tr>
    </w:tbl>
    <w:p w:rsidR="00E00915" w:rsidP="009120CD" w:rsidRDefault="00E00915" w14:paraId="68F37C68" w14:textId="77777777">
      <w:pPr>
        <w:sectPr w:rsidR="00E00915" w:rsidSect="00A10A98">
          <w:headerReference w:type="even" r:id="rId48"/>
          <w:headerReference w:type="default" r:id="rId49"/>
          <w:footerReference w:type="even" r:id="rId50"/>
          <w:footerReference w:type="default" r:id="rId51"/>
          <w:headerReference w:type="first" r:id="rId52"/>
          <w:footerReference w:type="first" r:id="rId53"/>
          <w:pgSz w:w="11907" w:h="16839"/>
          <w:pgMar w:top="1191" w:right="1418" w:bottom="1077" w:left="1276" w:header="709" w:footer="709" w:gutter="0"/>
          <w:cols w:space="708"/>
          <w:docGrid w:linePitch="360"/>
        </w:sectPr>
      </w:pPr>
    </w:p>
    <w:p w:rsidRPr="003E692C" w:rsidR="00745EAA" w:rsidP="009120CD" w:rsidRDefault="00745EAA" w14:paraId="43F93309" w14:textId="77777777">
      <w:pPr>
        <w:pStyle w:val="Heading1"/>
        <w:keepNext/>
        <w:rPr>
          <w:b/>
        </w:rPr>
      </w:pPr>
      <w:bookmarkStart w:name="_Toc116461965" w:id="37"/>
      <w:r>
        <w:rPr>
          <w:b/>
        </w:rPr>
        <w:lastRenderedPageBreak/>
        <w:t>RŪPNIECĪBAS PĀRMAIŅU KONSULTATĪVĀ KOMISIJA</w:t>
      </w:r>
      <w:bookmarkEnd w:id="37"/>
    </w:p>
    <w:p w:rsidRPr="00745EAA" w:rsidR="006E3F60" w:rsidP="009120CD" w:rsidRDefault="00745EAA" w14:paraId="4A27BE14" w14:textId="77777777">
      <w:pPr>
        <w:keepNext/>
        <w:keepLines/>
        <w:contextualSpacing/>
        <w:rPr>
          <w:b/>
          <w:sz w:val="28"/>
          <w:szCs w:val="28"/>
        </w:rPr>
      </w:pPr>
      <w:r>
        <w:rPr>
          <w:b/>
        </w:rPr>
        <w:tab/>
      </w:r>
    </w:p>
    <w:p w:rsidRPr="00092425" w:rsidR="006E3F60" w:rsidP="009120CD" w:rsidRDefault="00070AAE" w14:paraId="1EE44511" w14:textId="07A3F9D5">
      <w:pPr>
        <w:keepNext/>
        <w:keepLines/>
        <w:numPr>
          <w:ilvl w:val="0"/>
          <w:numId w:val="2"/>
        </w:numPr>
        <w:ind w:left="567" w:hanging="567"/>
        <w:contextualSpacing/>
      </w:pPr>
      <w:bookmarkStart w:name="_Hlk113971064" w:id="38"/>
      <w:r>
        <w:rPr>
          <w:b/>
          <w:i/>
          <w:sz w:val="28"/>
        </w:rPr>
        <w:t>Oglekļa piesaistes tehnoloģijas rūpniecības dekarbonizācijai</w:t>
      </w:r>
    </w:p>
    <w:p w:rsidRPr="006E3F60" w:rsidR="00092425" w:rsidP="009120CD" w:rsidRDefault="00092425" w14:paraId="4FF48D94"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6E3F60" w:rsidTr="00C25DB3" w14:paraId="25907EC0" w14:textId="77777777">
        <w:tc>
          <w:tcPr>
            <w:tcW w:w="1701" w:type="dxa"/>
          </w:tcPr>
          <w:p w:rsidRPr="006E3F60" w:rsidR="006E3F60" w:rsidP="009120CD" w:rsidRDefault="006E3F60" w14:paraId="363A590B" w14:textId="77777777">
            <w:pPr>
              <w:keepNext/>
              <w:contextualSpacing/>
              <w:rPr>
                <w:b/>
              </w:rPr>
            </w:pPr>
            <w:r>
              <w:rPr>
                <w:b/>
              </w:rPr>
              <w:t>Ziņotājs:</w:t>
            </w:r>
          </w:p>
        </w:tc>
        <w:tc>
          <w:tcPr>
            <w:tcW w:w="6946" w:type="dxa"/>
          </w:tcPr>
          <w:p w:rsidRPr="006E3F60" w:rsidR="006E3F60" w:rsidP="009120CD" w:rsidRDefault="00070AAE" w14:paraId="7776D9DA" w14:textId="1511AEC6">
            <w:pPr>
              <w:keepNext/>
              <w:ind w:left="-106"/>
              <w:contextualSpacing/>
            </w:pPr>
            <w:proofErr w:type="spellStart"/>
            <w:r>
              <w:t>Andrés</w:t>
            </w:r>
            <w:proofErr w:type="spellEnd"/>
            <w:r>
              <w:t xml:space="preserve"> BARCELÓ DELGADO (Darba devēju grupa – ES)</w:t>
            </w:r>
          </w:p>
        </w:tc>
      </w:tr>
      <w:tr w:rsidRPr="006E3F60" w:rsidR="006E3F60" w:rsidTr="00C25DB3" w14:paraId="3818F306" w14:textId="77777777">
        <w:tc>
          <w:tcPr>
            <w:tcW w:w="1701" w:type="dxa"/>
          </w:tcPr>
          <w:p w:rsidRPr="006E3F60" w:rsidR="006E3F60" w:rsidP="009120CD" w:rsidRDefault="006E3F60" w14:paraId="335B5DA6" w14:textId="77777777">
            <w:pPr>
              <w:keepNext/>
              <w:contextualSpacing/>
              <w:rPr>
                <w:b/>
              </w:rPr>
            </w:pPr>
            <w:r>
              <w:rPr>
                <w:b/>
              </w:rPr>
              <w:t>Līdzziņotājs(-a)</w:t>
            </w:r>
          </w:p>
        </w:tc>
        <w:tc>
          <w:tcPr>
            <w:tcW w:w="6946" w:type="dxa"/>
          </w:tcPr>
          <w:p w:rsidRPr="006E3F60" w:rsidR="006E3F60" w:rsidP="009120CD" w:rsidRDefault="00070AAE" w14:paraId="5324713C" w14:textId="389CB9FA">
            <w:pPr>
              <w:keepNext/>
              <w:ind w:left="-106"/>
              <w:contextualSpacing/>
            </w:pPr>
            <w:r>
              <w:t>Monika SITÁROVÁ (2. </w:t>
            </w:r>
            <w:proofErr w:type="spellStart"/>
            <w:r>
              <w:t>kat</w:t>
            </w:r>
            <w:proofErr w:type="spellEnd"/>
            <w:r>
              <w:t>.-SK)</w:t>
            </w:r>
          </w:p>
        </w:tc>
      </w:tr>
      <w:tr w:rsidRPr="006E3F60" w:rsidR="006E3F60" w:rsidTr="00C25DB3" w14:paraId="3B98D2DD" w14:textId="77777777">
        <w:tc>
          <w:tcPr>
            <w:tcW w:w="8647" w:type="dxa"/>
            <w:gridSpan w:val="2"/>
          </w:tcPr>
          <w:p w:rsidRPr="006E3F60" w:rsidR="006E3F60" w:rsidP="009120CD" w:rsidRDefault="006E3F60" w14:paraId="302FFA0F" w14:textId="77777777">
            <w:pPr>
              <w:keepNext/>
              <w:contextualSpacing/>
            </w:pPr>
          </w:p>
        </w:tc>
      </w:tr>
      <w:tr w:rsidRPr="006E3F60" w:rsidR="006E3F60" w:rsidTr="00C25DB3" w14:paraId="5C47C9B0" w14:textId="77777777">
        <w:tc>
          <w:tcPr>
            <w:tcW w:w="1701" w:type="dxa"/>
          </w:tcPr>
          <w:p w:rsidRPr="006E3F60" w:rsidR="006E3F60" w:rsidP="009120CD" w:rsidRDefault="006E3F60" w14:paraId="70DE31B6" w14:textId="77777777">
            <w:pPr>
              <w:keepNext/>
              <w:contextualSpacing/>
              <w:rPr>
                <w:b/>
              </w:rPr>
            </w:pPr>
            <w:r>
              <w:rPr>
                <w:b/>
              </w:rPr>
              <w:t xml:space="preserve">Atsauce: </w:t>
            </w:r>
          </w:p>
        </w:tc>
        <w:tc>
          <w:tcPr>
            <w:tcW w:w="6946" w:type="dxa"/>
          </w:tcPr>
          <w:p w:rsidRPr="006E3F60" w:rsidR="006E3F60" w:rsidP="009120CD" w:rsidRDefault="00070AAE" w14:paraId="1726139F" w14:textId="0025D447">
            <w:pPr>
              <w:keepNext/>
              <w:ind w:left="-106"/>
              <w:contextualSpacing/>
              <w:rPr>
                <w:iCs/>
                <w:color w:val="000000"/>
              </w:rPr>
            </w:pPr>
            <w:r>
              <w:rPr>
                <w:color w:val="000000"/>
              </w:rPr>
              <w:t>Pašiniciatīvas atzinums</w:t>
            </w:r>
          </w:p>
          <w:p w:rsidRPr="006E3F60" w:rsidR="006E3F60" w:rsidP="009120CD" w:rsidRDefault="00C25DB3" w14:paraId="2ACB8205" w14:textId="734F4C38">
            <w:pPr>
              <w:keepNext/>
              <w:ind w:left="-106"/>
              <w:contextualSpacing/>
            </w:pPr>
            <w:r>
              <w:t>EESC-2022-01057-00-00-AC</w:t>
            </w:r>
          </w:p>
        </w:tc>
      </w:tr>
    </w:tbl>
    <w:p w:rsidRPr="006E3F60" w:rsidR="006E3F60" w:rsidP="009120CD" w:rsidRDefault="006E3F60" w14:paraId="491156E7" w14:textId="77777777">
      <w:pPr>
        <w:keepNext/>
        <w:ind w:left="567"/>
        <w:contextualSpacing/>
      </w:pPr>
    </w:p>
    <w:p w:rsidR="006E3F60" w:rsidP="009120CD" w:rsidRDefault="006E3F60" w14:paraId="393FC053" w14:textId="7D463869">
      <w:pPr>
        <w:pStyle w:val="ListParagraph"/>
        <w:ind w:left="0" w:firstLine="142"/>
        <w:rPr>
          <w:b/>
        </w:rPr>
      </w:pPr>
      <w:r>
        <w:rPr>
          <w:b/>
          <w:bCs/>
        </w:rPr>
        <w:t>Svarīgākie aspekti</w:t>
      </w:r>
    </w:p>
    <w:p w:rsidRPr="00C25DB3" w:rsidR="00C25DB3" w:rsidP="009120CD" w:rsidRDefault="00C25DB3" w14:paraId="5DC1F2E9" w14:textId="77777777">
      <w:pPr>
        <w:contextualSpacing/>
        <w:rPr>
          <w:b/>
        </w:rPr>
      </w:pPr>
    </w:p>
    <w:p w:rsidRPr="00A00F37" w:rsidR="006E3F60" w:rsidP="009120CD" w:rsidRDefault="00C25DB3" w14:paraId="7490CEC6" w14:textId="77777777">
      <w:pPr>
        <w:pStyle w:val="ListParagraph"/>
        <w:ind w:left="0" w:firstLine="142"/>
        <w:rPr>
          <w:bCs/>
          <w:iCs/>
        </w:rPr>
      </w:pPr>
      <w:r>
        <w:t>EESK:</w:t>
      </w:r>
    </w:p>
    <w:p w:rsidRPr="006E3F60" w:rsidR="00C25DB3" w:rsidP="009120CD" w:rsidRDefault="00C25DB3" w14:paraId="725984FA" w14:textId="77777777">
      <w:pPr>
        <w:contextualSpacing/>
      </w:pPr>
    </w:p>
    <w:p w:rsidR="00070AAE" w:rsidP="009120CD" w:rsidRDefault="00070AAE" w14:paraId="23C73CEE" w14:textId="77777777">
      <w:pPr>
        <w:numPr>
          <w:ilvl w:val="0"/>
          <w:numId w:val="3"/>
        </w:numPr>
        <w:ind w:left="357" w:hanging="357"/>
        <w:contextualSpacing/>
      </w:pPr>
      <w:r>
        <w:t>atkārtoti pauž stingru atbalstu zaļā kursa saistībām un centieniem stiprināt stratēģisko autonomiju energoapgādes jomā un vadošo lomu rūpniecībā;</w:t>
      </w:r>
    </w:p>
    <w:p w:rsidR="00070AAE" w:rsidP="009120CD" w:rsidRDefault="00070AAE" w14:paraId="2D793A46" w14:textId="77777777">
      <w:pPr>
        <w:numPr>
          <w:ilvl w:val="0"/>
          <w:numId w:val="3"/>
        </w:numPr>
        <w:ind w:left="357" w:hanging="357"/>
        <w:contextualSpacing/>
      </w:pPr>
      <w:r>
        <w:t>uzsver, ka nevar neņemt vērā Ukrainā notiekošā kara ietekmi uz enerģijas un izejvielu pieejamību, un Eiropas pusgadā šī situācija ir jāuzrauga;</w:t>
      </w:r>
    </w:p>
    <w:p w:rsidR="00070AAE" w:rsidP="009120CD" w:rsidRDefault="00070AAE" w14:paraId="1EBD51AB" w14:textId="77777777">
      <w:pPr>
        <w:numPr>
          <w:ilvl w:val="0"/>
          <w:numId w:val="3"/>
        </w:numPr>
        <w:ind w:left="357" w:hanging="357"/>
        <w:contextualSpacing/>
      </w:pPr>
      <w:r>
        <w:t>Uzsver, ka apstrādes rūpniecības zaļās pārkārtošanas pamatā jābūt pietiekamai un pienācīgai atjaunīgo energoresursu struktūrai, lai elektrifikācija un zaļā ūdeņraža ražošana būtu sekmīga. Oglekļa piesaistes tehnoloģijas (</w:t>
      </w:r>
      <w:r>
        <w:rPr>
          <w:i/>
          <w:iCs/>
        </w:rPr>
        <w:t>CDR</w:t>
      </w:r>
      <w:r>
        <w:t>), oglekļa uztveršana un uzglabāšana (</w:t>
      </w:r>
      <w:r>
        <w:rPr>
          <w:i/>
          <w:iCs/>
        </w:rPr>
        <w:t>CCS</w:t>
      </w:r>
      <w:r>
        <w:t>), kā arī oglekļa uztveršana un izmantošana (</w:t>
      </w:r>
      <w:r>
        <w:rPr>
          <w:i/>
          <w:iCs/>
        </w:rPr>
        <w:t>CCU</w:t>
      </w:r>
      <w:r>
        <w:t>) palīdzēs nozarei panākt klimatneitralitāti. Atjaunīgās enerģijas izvēršana visā Eiropā ir nepieciešama, lai sasniegtu zaļā kursa mērķus;</w:t>
      </w:r>
    </w:p>
    <w:p w:rsidR="00070AAE" w:rsidP="009120CD" w:rsidRDefault="00070AAE" w14:paraId="5FF2D679" w14:textId="77777777">
      <w:pPr>
        <w:numPr>
          <w:ilvl w:val="0"/>
          <w:numId w:val="3"/>
        </w:numPr>
        <w:ind w:left="357" w:hanging="357"/>
        <w:contextualSpacing/>
      </w:pPr>
      <w:r>
        <w:t>uzsver, ka dekarbonizācijai būs vajadzīga rūpnieciskās darbības dziļa pārveide (nākamajos 30 gados);</w:t>
      </w:r>
    </w:p>
    <w:p w:rsidR="00070AAE" w:rsidP="009120CD" w:rsidRDefault="00070AAE" w14:paraId="021AD97F" w14:textId="77777777">
      <w:pPr>
        <w:numPr>
          <w:ilvl w:val="0"/>
          <w:numId w:val="3"/>
        </w:numPr>
        <w:ind w:left="357" w:hanging="357"/>
        <w:contextualSpacing/>
      </w:pPr>
      <w:r>
        <w:t>uzsver, ka tāpēc tehnoloģiju attīstība un darbaspēka izglītošana un pārkvalifikācija ir būtiski svarīgas zaļajai pārejai apstrādes rūpniecībā;</w:t>
      </w:r>
    </w:p>
    <w:p w:rsidR="00070AAE" w:rsidP="009120CD" w:rsidRDefault="00070AAE" w14:paraId="5B168213" w14:textId="77777777">
      <w:pPr>
        <w:numPr>
          <w:ilvl w:val="0"/>
          <w:numId w:val="3"/>
        </w:numPr>
        <w:ind w:left="357" w:hanging="357"/>
        <w:contextualSpacing/>
      </w:pPr>
      <w:r>
        <w:t>uzsver, ka alternatīvu ievadresursu – it īpaši ilgtspējīgas biomasas – plašākai izmantošanai ir potenciāls veicināt ilgtspējīgu oglekļa piesaisti no atmosfēras;</w:t>
      </w:r>
    </w:p>
    <w:p w:rsidR="00070AAE" w:rsidP="009120CD" w:rsidRDefault="00070AAE" w14:paraId="098901CD" w14:textId="77777777">
      <w:pPr>
        <w:numPr>
          <w:ilvl w:val="0"/>
          <w:numId w:val="3"/>
        </w:numPr>
        <w:ind w:left="357" w:hanging="357"/>
        <w:contextualSpacing/>
      </w:pPr>
      <w:r>
        <w:t>aicina saglabāt Eiropas rūpniecības konkurētspēju;</w:t>
      </w:r>
    </w:p>
    <w:p w:rsidRPr="00C25DB3" w:rsidR="00C25DB3" w:rsidP="009120CD" w:rsidRDefault="00070AAE" w14:paraId="27F7B8B2" w14:textId="7EEF943D">
      <w:pPr>
        <w:numPr>
          <w:ilvl w:val="0"/>
          <w:numId w:val="3"/>
        </w:numPr>
        <w:ind w:left="357" w:hanging="357"/>
        <w:contextualSpacing/>
      </w:pPr>
      <w:r>
        <w:t>uzsver, ka stabilas rūpnieciskās bāzes saglabāšana Eiropas Savienībā nodrošinās labklājību, kvalitatīvas darbvietas un apņemšanos cīnīties pret klimata pārmaiņām Eiropas sabiedrības labā. Lai saglabātu savu konkurētspēju, Eiropas rūpniecībai ar atbilstošu tiesisko regulējumu Eiropā ir jāiegulda gan pētniecības, attīstības un inovācijas jomā, gan rūpnīcās un iekārtās.</w:t>
      </w:r>
    </w:p>
    <w:p w:rsidRPr="006E3F60" w:rsidR="00C25DB3" w:rsidP="009120CD" w:rsidRDefault="00C25DB3" w14:paraId="6575574F" w14:textId="77777777"/>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6E3F60" w:rsidR="006E3F60" w:rsidTr="00B83E7B" w14:paraId="3701C8A8" w14:textId="77777777">
        <w:tc>
          <w:tcPr>
            <w:tcW w:w="1418" w:type="dxa"/>
          </w:tcPr>
          <w:p w:rsidRPr="006E3F60" w:rsidR="006E3F60" w:rsidP="009120CD" w:rsidRDefault="006E3F60" w14:paraId="61A358F3" w14:textId="77777777">
            <w:pPr>
              <w:contextualSpacing/>
              <w:rPr>
                <w:i/>
              </w:rPr>
            </w:pPr>
            <w:r>
              <w:rPr>
                <w:b/>
                <w:i/>
              </w:rPr>
              <w:t>Kontaktpersona:</w:t>
            </w:r>
          </w:p>
        </w:tc>
        <w:tc>
          <w:tcPr>
            <w:tcW w:w="5670" w:type="dxa"/>
          </w:tcPr>
          <w:p w:rsidRPr="006E3F60" w:rsidR="006E3F60" w:rsidP="009120CD" w:rsidRDefault="00070AAE" w14:paraId="529847A8" w14:textId="427FAF97">
            <w:pPr>
              <w:contextualSpacing/>
              <w:rPr>
                <w:i/>
              </w:rPr>
            </w:pPr>
            <w:proofErr w:type="spellStart"/>
            <w:r>
              <w:rPr>
                <w:i/>
                <w:iCs/>
              </w:rPr>
              <w:t>Ioannis</w:t>
            </w:r>
            <w:proofErr w:type="spellEnd"/>
            <w:r>
              <w:rPr>
                <w:i/>
                <w:iCs/>
              </w:rPr>
              <w:t xml:space="preserve"> </w:t>
            </w:r>
            <w:r w:rsidR="00801DC4">
              <w:rPr>
                <w:i/>
                <w:iCs/>
              </w:rPr>
              <w:t>DIAMANTOPOULOS</w:t>
            </w:r>
          </w:p>
        </w:tc>
      </w:tr>
      <w:tr w:rsidRPr="006E3F60" w:rsidR="006E3F60" w:rsidTr="00B83E7B" w14:paraId="2E4F0404" w14:textId="77777777">
        <w:tc>
          <w:tcPr>
            <w:tcW w:w="1418" w:type="dxa"/>
          </w:tcPr>
          <w:p w:rsidRPr="006E3F60" w:rsidR="006E3F60" w:rsidP="009120CD" w:rsidRDefault="006E3F60" w14:paraId="5A7B9997" w14:textId="77777777">
            <w:pPr>
              <w:ind w:left="601"/>
              <w:contextualSpacing/>
              <w:rPr>
                <w:i/>
              </w:rPr>
            </w:pPr>
            <w:r>
              <w:rPr>
                <w:i/>
              </w:rPr>
              <w:t>Tālr.:</w:t>
            </w:r>
          </w:p>
        </w:tc>
        <w:tc>
          <w:tcPr>
            <w:tcW w:w="5670" w:type="dxa"/>
          </w:tcPr>
          <w:p w:rsidRPr="006E3F60" w:rsidR="006E3F60" w:rsidP="009120CD" w:rsidRDefault="00F512BB" w14:paraId="52C01769" w14:textId="133C2BFD">
            <w:pPr>
              <w:contextualSpacing/>
              <w:rPr>
                <w:i/>
              </w:rPr>
            </w:pPr>
            <w:r>
              <w:rPr>
                <w:i/>
              </w:rPr>
              <w:t>00 32 2 546 91 70</w:t>
            </w:r>
          </w:p>
        </w:tc>
      </w:tr>
      <w:tr w:rsidRPr="006E3F60" w:rsidR="006E3F60" w:rsidTr="00B83E7B" w14:paraId="1F686407" w14:textId="77777777">
        <w:tc>
          <w:tcPr>
            <w:tcW w:w="1418" w:type="dxa"/>
          </w:tcPr>
          <w:p w:rsidRPr="006E3F60" w:rsidR="006E3F60" w:rsidP="009120CD" w:rsidRDefault="006E3F60" w14:paraId="2859E45F" w14:textId="77777777">
            <w:pPr>
              <w:ind w:left="601"/>
              <w:contextualSpacing/>
              <w:rPr>
                <w:i/>
              </w:rPr>
            </w:pPr>
            <w:r>
              <w:rPr>
                <w:i/>
              </w:rPr>
              <w:t>E-pasts:</w:t>
            </w:r>
          </w:p>
        </w:tc>
        <w:tc>
          <w:tcPr>
            <w:tcW w:w="5670" w:type="dxa"/>
          </w:tcPr>
          <w:p w:rsidRPr="00F256CD" w:rsidR="006E3F60" w:rsidP="009120CD" w:rsidRDefault="0022731C" w14:paraId="1B9ADEF7" w14:textId="649D0B4E">
            <w:pPr>
              <w:contextualSpacing/>
              <w:rPr>
                <w:i/>
                <w:iCs/>
              </w:rPr>
            </w:pPr>
            <w:hyperlink w:history="1" r:id="rId54">
              <w:r w:rsidR="0064748D">
                <w:rPr>
                  <w:rStyle w:val="Hyperlink"/>
                  <w:i/>
                </w:rPr>
                <w:t>Ioannis.Diamantopoulos@eesc.europa.eu</w:t>
              </w:r>
            </w:hyperlink>
          </w:p>
        </w:tc>
      </w:tr>
      <w:bookmarkEnd w:id="38"/>
    </w:tbl>
    <w:p w:rsidR="00A10A98" w:rsidP="009120CD" w:rsidRDefault="00A10A98" w14:paraId="02D22029" w14:textId="77777777">
      <w:pPr>
        <w:pStyle w:val="Heading1"/>
        <w:numPr>
          <w:ilvl w:val="0"/>
          <w:numId w:val="0"/>
        </w:numPr>
      </w:pPr>
    </w:p>
    <w:p w:rsidR="00835925" w:rsidP="009120CD" w:rsidRDefault="00835925" w14:paraId="52288089" w14:textId="57BFD64F">
      <w:pPr>
        <w:spacing w:after="160"/>
        <w:jc w:val="left"/>
      </w:pPr>
      <w:r>
        <w:br w:type="page"/>
      </w:r>
    </w:p>
    <w:p w:rsidRPr="00835925" w:rsidR="00835925" w:rsidP="009120CD" w:rsidRDefault="00835925" w14:paraId="4598CF20" w14:textId="2C8D0F44">
      <w:pPr>
        <w:keepNext/>
        <w:keepLines/>
        <w:numPr>
          <w:ilvl w:val="0"/>
          <w:numId w:val="2"/>
        </w:numPr>
        <w:ind w:left="567" w:hanging="567"/>
        <w:contextualSpacing/>
      </w:pPr>
      <w:r>
        <w:rPr>
          <w:b/>
          <w:i/>
          <w:sz w:val="28"/>
        </w:rPr>
        <w:lastRenderedPageBreak/>
        <w:t>Aizsardzības nostiprināšana, izmantojot iepirkumu</w:t>
      </w:r>
    </w:p>
    <w:p w:rsidRPr="006E3F60" w:rsidR="00835925" w:rsidP="009120CD" w:rsidRDefault="00835925" w14:paraId="3A8F76F3" w14:textId="77777777">
      <w:pPr>
        <w:keepNext/>
        <w:keepLines/>
        <w:ind w:left="567"/>
        <w:contextualSpacing/>
      </w:pPr>
    </w:p>
    <w:tbl>
      <w:tblPr>
        <w:tblStyle w:val="TableGrid6"/>
        <w:tblW w:w="86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8"/>
        <w:gridCol w:w="6132"/>
      </w:tblGrid>
      <w:tr w:rsidRPr="006E3F60" w:rsidR="00835925" w:rsidTr="00801DC4" w14:paraId="13E94984" w14:textId="77777777">
        <w:tc>
          <w:tcPr>
            <w:tcW w:w="2518" w:type="dxa"/>
          </w:tcPr>
          <w:p w:rsidRPr="006E3F60" w:rsidR="00835925" w:rsidP="00801DC4" w:rsidRDefault="00835925" w14:paraId="124EDC70" w14:textId="7666B482">
            <w:pPr>
              <w:keepNext/>
              <w:ind w:right="-253"/>
              <w:contextualSpacing/>
              <w:rPr>
                <w:b/>
              </w:rPr>
            </w:pPr>
            <w:r>
              <w:rPr>
                <w:b/>
              </w:rPr>
              <w:t>Galvenais</w:t>
            </w:r>
            <w:r w:rsidR="00801DC4">
              <w:rPr>
                <w:b/>
              </w:rPr>
              <w:t xml:space="preserve"> </w:t>
            </w:r>
            <w:r w:rsidR="00F01E91">
              <w:rPr>
                <w:b/>
              </w:rPr>
              <w:t>ziņotājs:</w:t>
            </w:r>
          </w:p>
        </w:tc>
        <w:tc>
          <w:tcPr>
            <w:tcW w:w="6132" w:type="dxa"/>
          </w:tcPr>
          <w:p w:rsidRPr="006E3F60" w:rsidR="00835925" w:rsidP="009120CD" w:rsidRDefault="00835925" w14:paraId="766B780C" w14:textId="707631E4">
            <w:pPr>
              <w:keepNext/>
              <w:ind w:left="-810" w:firstLine="705"/>
              <w:contextualSpacing/>
            </w:pPr>
            <w:proofErr w:type="spellStart"/>
            <w:r>
              <w:t>Maurizio</w:t>
            </w:r>
            <w:proofErr w:type="spellEnd"/>
            <w:r>
              <w:t xml:space="preserve"> MENSI (Pilsoniskās sabiedrības organizāciju grupa </w:t>
            </w:r>
            <w:r w:rsidR="00801DC4">
              <w:t>–</w:t>
            </w:r>
            <w:r>
              <w:t xml:space="preserve"> IT)</w:t>
            </w:r>
          </w:p>
        </w:tc>
      </w:tr>
      <w:tr w:rsidRPr="006E3F60" w:rsidR="00835925" w:rsidTr="00801DC4" w14:paraId="68EC6D25" w14:textId="77777777">
        <w:tc>
          <w:tcPr>
            <w:tcW w:w="2518" w:type="dxa"/>
          </w:tcPr>
          <w:p w:rsidRPr="006E3F60" w:rsidR="00835925" w:rsidP="00801DC4" w:rsidRDefault="00835925" w14:paraId="77B608D1" w14:textId="6DD5E716">
            <w:pPr>
              <w:keepNext/>
              <w:contextualSpacing/>
              <w:rPr>
                <w:b/>
              </w:rPr>
            </w:pPr>
            <w:r>
              <w:rPr>
                <w:b/>
              </w:rPr>
              <w:t>Galvenais</w:t>
            </w:r>
            <w:r w:rsidR="00801DC4">
              <w:rPr>
                <w:b/>
              </w:rPr>
              <w:t xml:space="preserve"> </w:t>
            </w:r>
            <w:r w:rsidR="00F01E91">
              <w:rPr>
                <w:b/>
              </w:rPr>
              <w:t>līdzziņotājs:</w:t>
            </w:r>
          </w:p>
        </w:tc>
        <w:tc>
          <w:tcPr>
            <w:tcW w:w="6132" w:type="dxa"/>
          </w:tcPr>
          <w:p w:rsidRPr="006E3F60" w:rsidR="00835925" w:rsidP="009120CD" w:rsidRDefault="00835925" w14:paraId="1D7D3F27" w14:textId="538DBE65">
            <w:pPr>
              <w:keepNext/>
              <w:ind w:left="-810" w:firstLine="705"/>
              <w:contextualSpacing/>
            </w:pPr>
            <w:proofErr w:type="spellStart"/>
            <w:r>
              <w:t>Jan</w:t>
            </w:r>
            <w:proofErr w:type="spellEnd"/>
            <w:r>
              <w:t xml:space="preserve"> PIE (1. </w:t>
            </w:r>
            <w:proofErr w:type="spellStart"/>
            <w:r>
              <w:t>kat</w:t>
            </w:r>
            <w:proofErr w:type="spellEnd"/>
            <w:r>
              <w:t>.-SE)</w:t>
            </w:r>
          </w:p>
        </w:tc>
      </w:tr>
      <w:tr w:rsidRPr="006E3F60" w:rsidR="00835925" w:rsidTr="00801DC4" w14:paraId="6DC1F79C" w14:textId="77777777">
        <w:tc>
          <w:tcPr>
            <w:tcW w:w="8650" w:type="dxa"/>
            <w:gridSpan w:val="2"/>
          </w:tcPr>
          <w:p w:rsidRPr="006E3F60" w:rsidR="00835925" w:rsidP="009120CD" w:rsidRDefault="00835925" w14:paraId="51240433" w14:textId="77777777">
            <w:pPr>
              <w:keepNext/>
              <w:contextualSpacing/>
            </w:pPr>
          </w:p>
        </w:tc>
      </w:tr>
      <w:tr w:rsidRPr="006E3F60" w:rsidR="00835925" w:rsidTr="00801DC4" w14:paraId="5EE9E345" w14:textId="77777777">
        <w:tc>
          <w:tcPr>
            <w:tcW w:w="2518" w:type="dxa"/>
          </w:tcPr>
          <w:p w:rsidRPr="006E3F60" w:rsidR="00835925" w:rsidP="009120CD" w:rsidRDefault="00835925" w14:paraId="454508C4" w14:textId="77777777">
            <w:pPr>
              <w:keepNext/>
              <w:contextualSpacing/>
              <w:rPr>
                <w:b/>
              </w:rPr>
            </w:pPr>
            <w:r>
              <w:rPr>
                <w:b/>
              </w:rPr>
              <w:t xml:space="preserve">Atsauce: </w:t>
            </w:r>
          </w:p>
        </w:tc>
        <w:tc>
          <w:tcPr>
            <w:tcW w:w="6132" w:type="dxa"/>
          </w:tcPr>
          <w:p w:rsidRPr="006E3F60" w:rsidR="00835925" w:rsidP="009120CD" w:rsidRDefault="00835925" w14:paraId="046E3307" w14:textId="27047500">
            <w:pPr>
              <w:keepNext/>
              <w:ind w:left="-106"/>
              <w:contextualSpacing/>
              <w:rPr>
                <w:iCs/>
                <w:color w:val="000000"/>
              </w:rPr>
            </w:pPr>
            <w:r>
              <w:rPr>
                <w:color w:val="000000"/>
              </w:rPr>
              <w:t xml:space="preserve">COM(2022) 349 </w:t>
            </w:r>
            <w:proofErr w:type="spellStart"/>
            <w:r>
              <w:rPr>
                <w:color w:val="000000"/>
              </w:rPr>
              <w:t>final</w:t>
            </w:r>
            <w:proofErr w:type="spellEnd"/>
          </w:p>
          <w:p w:rsidRPr="006E3F60" w:rsidR="00835925" w:rsidP="009120CD" w:rsidRDefault="00835925" w14:paraId="12A855A2" w14:textId="71E652D5">
            <w:pPr>
              <w:keepNext/>
              <w:ind w:left="-106"/>
              <w:contextualSpacing/>
            </w:pPr>
            <w:r>
              <w:t>EESC-2022-03971-00-00-AC</w:t>
            </w:r>
          </w:p>
        </w:tc>
      </w:tr>
    </w:tbl>
    <w:p w:rsidRPr="00A00F37" w:rsidR="00835925" w:rsidP="009120CD" w:rsidRDefault="00835925" w14:paraId="4DC0A97A" w14:textId="77777777">
      <w:pPr>
        <w:keepNext/>
        <w:ind w:right="-253"/>
        <w:contextualSpacing/>
        <w:rPr>
          <w:b/>
        </w:rPr>
      </w:pPr>
    </w:p>
    <w:p w:rsidR="00835925" w:rsidP="009120CD" w:rsidRDefault="00835925" w14:paraId="73329E3C" w14:textId="411C2E52">
      <w:pPr>
        <w:pStyle w:val="ListParagraph"/>
        <w:ind w:left="0" w:firstLine="142"/>
        <w:rPr>
          <w:b/>
        </w:rPr>
      </w:pPr>
      <w:r>
        <w:rPr>
          <w:b/>
          <w:bCs/>
        </w:rPr>
        <w:t>Svarīgākie aspekti</w:t>
      </w:r>
    </w:p>
    <w:p w:rsidRPr="00C25DB3" w:rsidR="00835925" w:rsidP="009120CD" w:rsidRDefault="00835925" w14:paraId="77ED59BB" w14:textId="77777777">
      <w:pPr>
        <w:contextualSpacing/>
        <w:rPr>
          <w:b/>
        </w:rPr>
      </w:pPr>
    </w:p>
    <w:p w:rsidRPr="00A00F37" w:rsidR="00835925" w:rsidP="009120CD" w:rsidRDefault="00835925" w14:paraId="6798578A" w14:textId="77777777">
      <w:pPr>
        <w:pStyle w:val="ListParagraph"/>
        <w:ind w:left="0" w:firstLine="142"/>
        <w:rPr>
          <w:bCs/>
          <w:iCs/>
        </w:rPr>
      </w:pPr>
      <w:r>
        <w:t>EESK:</w:t>
      </w:r>
    </w:p>
    <w:p w:rsidRPr="006E3F60" w:rsidR="00835925" w:rsidP="009120CD" w:rsidRDefault="00835925" w14:paraId="5A6325AB" w14:textId="77777777">
      <w:pPr>
        <w:contextualSpacing/>
      </w:pPr>
    </w:p>
    <w:p w:rsidR="00835925" w:rsidP="009120CD" w:rsidRDefault="00835925" w14:paraId="28A8F77A" w14:textId="6AD362DF">
      <w:pPr>
        <w:numPr>
          <w:ilvl w:val="0"/>
          <w:numId w:val="3"/>
        </w:numPr>
        <w:ind w:left="357" w:hanging="357"/>
        <w:contextualSpacing/>
      </w:pPr>
      <w:r>
        <w:t>atzinīgi vērtē priekšlikumu regulai par instrumentu Eiropas aizsardzības nozares nostiprināšanai, izmantojot kopīgu iepirkumu. Regulas mērķis ir, domājot par pašreizējiem izaicinājumiem, kuru cēlonis ir Krievijas iebrukums Ukrainā, strauji stiprināt Eiropas aizsardzības nozares un aizsardzības spējas;</w:t>
      </w:r>
    </w:p>
    <w:p w:rsidR="00835925" w:rsidP="009120CD" w:rsidRDefault="00835925" w14:paraId="752ABB70" w14:textId="68FAE185">
      <w:pPr>
        <w:numPr>
          <w:ilvl w:val="0"/>
          <w:numId w:val="3"/>
        </w:numPr>
        <w:ind w:left="357" w:hanging="357"/>
        <w:contextualSpacing/>
      </w:pPr>
      <w:r>
        <w:t>atbalsta šā instrumenta mērķus: Eiropas aizsardzības tehniskā un rūpnieciskā pamata uzlabošanu;</w:t>
      </w:r>
    </w:p>
    <w:p w:rsidR="00835925" w:rsidP="009120CD" w:rsidRDefault="00835925" w14:paraId="0365B9C4" w14:textId="703AD443">
      <w:pPr>
        <w:numPr>
          <w:ilvl w:val="0"/>
          <w:numId w:val="3"/>
        </w:numPr>
        <w:ind w:left="357" w:hanging="357"/>
        <w:contextualSpacing/>
      </w:pPr>
      <w:r>
        <w:t>uzskata, ka instruments Eiropas aizsardzības nozares nostiprināšanai, izmantojot kopīgu iepirkumu, ir vajadzīgs, lai labāk strukturētu un koordinētu pašreizējo paaugstināto pieprasījumu pēc steidzami nepieciešama standarta aprīkojuma, bet to nav iespējams uzskatīt par Eiropas aizsardzības investīciju programmas bāzi, jo no rūpniecības politikas viedokļa šis instruments ir samērā vājš;</w:t>
      </w:r>
    </w:p>
    <w:p w:rsidR="00835925" w:rsidP="009120CD" w:rsidRDefault="00835925" w14:paraId="05719A29" w14:textId="7883C946">
      <w:pPr>
        <w:numPr>
          <w:ilvl w:val="0"/>
          <w:numId w:val="3"/>
        </w:numPr>
        <w:ind w:left="357" w:hanging="357"/>
        <w:contextualSpacing/>
      </w:pPr>
      <w:r>
        <w:t>piekrīt, ka ir jāpanāk, lai paātrinātos pielāgošanās nozares strukturālajām pārmaiņām;</w:t>
      </w:r>
    </w:p>
    <w:p w:rsidR="00835925" w:rsidP="009120CD" w:rsidRDefault="00835925" w14:paraId="7233C845" w14:textId="0934A301">
      <w:pPr>
        <w:numPr>
          <w:ilvl w:val="0"/>
          <w:numId w:val="3"/>
        </w:numPr>
        <w:ind w:left="357" w:hanging="357"/>
        <w:contextualSpacing/>
      </w:pPr>
      <w:r>
        <w:t>ir pārliecināta, ka kopīgs iepirkums ir vajadzīgs, lai izvairītos no palielinātiem valstu aizsardzības ieguldījumiem, kas padziļinātu Eiropas aizsardzības nozares sadrumstalotību, ierobežotu sadarbības potenciālu, palielinātu ārēju atkarību un mazinātu sadarbspēju, jo, pateicoties kopīgam iepirkumam, visas dalībvalstis varētu ātri nodrošināt vissteidzamāk nepieciešamās spēju vajadzības, kuras ir atklājusi vai pastiprinājusi atbilde uz Krievijas agresiju pret Ukrainu;</w:t>
      </w:r>
    </w:p>
    <w:p w:rsidR="00835925" w:rsidP="009120CD" w:rsidRDefault="00835925" w14:paraId="4796F3CE" w14:textId="766F11E4">
      <w:pPr>
        <w:numPr>
          <w:ilvl w:val="0"/>
          <w:numId w:val="3"/>
        </w:numPr>
        <w:ind w:left="357" w:hanging="357"/>
        <w:contextualSpacing/>
      </w:pPr>
      <w:r>
        <w:t>ir pārliecināta, ka krājumu pa</w:t>
      </w:r>
      <w:bookmarkStart w:name="_GoBack" w:id="39"/>
      <w:bookmarkEnd w:id="39"/>
      <w:r>
        <w:t>pildināšanas nolūkā bieži vien ir nepieciešams ar tieši tādiem pašiem produktiem aizstāt tos, kas ir nosūtīti Ukrainai. Šādi pirkumi varētu nekalpot nozares struktūras uzlabošanai, nedz arī virzīt tehnoloģisko inovāciju. Tāpēc EESK rodas jautājums, vai loģika, kas piemīt instrumentam Eiropas aizsardzības nozares nostiprināšanai, izmantojot kopīgu iepirkumu, būtu tieši jāpiemēro topošajai Eiropas aizsardzības investīciju programmai;</w:t>
      </w:r>
    </w:p>
    <w:p w:rsidRPr="00835925" w:rsidR="00835925" w:rsidP="009120CD" w:rsidRDefault="00835925" w14:paraId="0513FFAE" w14:textId="6B1947F3">
      <w:pPr>
        <w:numPr>
          <w:ilvl w:val="0"/>
          <w:numId w:val="3"/>
        </w:numPr>
        <w:ind w:left="357" w:hanging="357"/>
        <w:contextualSpacing/>
      </w:pPr>
      <w:r>
        <w:t>atzinīgi vērtē pieeju, kuras mērķis ir veicināt kopīgu iepirkumu ar tiešu finansiālu atbalstu no ES budžeta, bet šaubās, vai finansējums 500 miljonu EUR apmērā būs pietiekams, lai izmainītu dalībvalstu iepirkuma lēmumus;</w:t>
      </w:r>
    </w:p>
    <w:p w:rsidRPr="003B2007" w:rsidR="00835925" w:rsidP="009120CD" w:rsidRDefault="00835925" w14:paraId="43EA3481" w14:textId="4F1C2F9B">
      <w:pPr>
        <w:numPr>
          <w:ilvl w:val="0"/>
          <w:numId w:val="3"/>
        </w:numPr>
        <w:ind w:left="357" w:hanging="357"/>
        <w:contextualSpacing/>
      </w:pPr>
      <w:r>
        <w:t>atzinīgi vērtē to, ka ES finanšu atbalsts ir paredzēts tikai tiem aizsardzības produktiem, kuri ir ražoti ES vai asociācijas valstīs;</w:t>
      </w:r>
    </w:p>
    <w:p w:rsidRPr="003B2007" w:rsidR="003B2007" w:rsidP="009120CD" w:rsidRDefault="003B2007" w14:paraId="075B3ED4" w14:textId="44D25667">
      <w:pPr>
        <w:numPr>
          <w:ilvl w:val="0"/>
          <w:numId w:val="3"/>
        </w:numPr>
        <w:ind w:left="357" w:hanging="357"/>
        <w:contextualSpacing/>
      </w:pPr>
      <w:r>
        <w:t>aicina elastīgi interpretēt prasību, lai aizsardzības produktam kāda no ārpus asociācijas esošām trešām valstīm (vienībām) nebūtu noteikusi ierobežojumu;</w:t>
      </w:r>
    </w:p>
    <w:p w:rsidRPr="00C25DB3" w:rsidR="003B2007" w:rsidP="009120CD" w:rsidRDefault="003B2007" w14:paraId="54498F93" w14:textId="29066DE9">
      <w:pPr>
        <w:numPr>
          <w:ilvl w:val="0"/>
          <w:numId w:val="3"/>
        </w:numPr>
        <w:ind w:left="357" w:hanging="357"/>
        <w:contextualSpacing/>
      </w:pPr>
      <w:r>
        <w:t>aicina dalībvalstis cieši sadarboties ar Eiropas Komisijas un Augstā pārstāvja / Eiropas Aizsardzības aģentūras vadītāja izveidoto Kopīgā iepirkuma darba grupu aizsardzības jomā ar mērķi nodrošināt veiksmīgu instrumenta Eiropas aizsardzības nozares nostiprināšanai, izmantoj</w:t>
      </w:r>
      <w:r w:rsidR="00801DC4">
        <w:t>ot kopīgu iepirkumu, īstenošanu.</w:t>
      </w:r>
    </w:p>
    <w:p w:rsidRPr="006E3F60" w:rsidR="00835925" w:rsidP="009120CD" w:rsidRDefault="00835925" w14:paraId="6B446184" w14:textId="77777777"/>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6E3F60" w:rsidR="00835925" w:rsidTr="004E4367" w14:paraId="55A985CE" w14:textId="77777777">
        <w:tc>
          <w:tcPr>
            <w:tcW w:w="1418" w:type="dxa"/>
          </w:tcPr>
          <w:p w:rsidRPr="006E3F60" w:rsidR="00835925" w:rsidP="009120CD" w:rsidRDefault="00835925" w14:paraId="395E04B5" w14:textId="77777777">
            <w:pPr>
              <w:contextualSpacing/>
              <w:rPr>
                <w:i/>
              </w:rPr>
            </w:pPr>
            <w:r>
              <w:rPr>
                <w:b/>
                <w:i/>
              </w:rPr>
              <w:t>Kontaktpersona:</w:t>
            </w:r>
          </w:p>
        </w:tc>
        <w:tc>
          <w:tcPr>
            <w:tcW w:w="5670" w:type="dxa"/>
          </w:tcPr>
          <w:p w:rsidRPr="003B2007" w:rsidR="00835925" w:rsidP="009120CD" w:rsidRDefault="003B2007" w14:paraId="66E7620D" w14:textId="1517EC3C">
            <w:pPr>
              <w:contextualSpacing/>
              <w:rPr>
                <w:i/>
              </w:rPr>
            </w:pPr>
            <w:r>
              <w:rPr>
                <w:i/>
              </w:rPr>
              <w:t xml:space="preserve">Adam </w:t>
            </w:r>
            <w:r w:rsidR="00801DC4">
              <w:rPr>
                <w:i/>
              </w:rPr>
              <w:t>PLEZER</w:t>
            </w:r>
          </w:p>
        </w:tc>
      </w:tr>
      <w:tr w:rsidRPr="006E3F60" w:rsidR="00835925" w:rsidTr="004E4367" w14:paraId="029B60F8" w14:textId="77777777">
        <w:tc>
          <w:tcPr>
            <w:tcW w:w="1418" w:type="dxa"/>
          </w:tcPr>
          <w:p w:rsidRPr="006E3F60" w:rsidR="00835925" w:rsidP="009120CD" w:rsidRDefault="00835925" w14:paraId="637F1E0E" w14:textId="77777777">
            <w:pPr>
              <w:ind w:left="601"/>
              <w:contextualSpacing/>
              <w:rPr>
                <w:i/>
              </w:rPr>
            </w:pPr>
            <w:r>
              <w:rPr>
                <w:i/>
              </w:rPr>
              <w:t>Tālr.:</w:t>
            </w:r>
          </w:p>
        </w:tc>
        <w:tc>
          <w:tcPr>
            <w:tcW w:w="5670" w:type="dxa"/>
          </w:tcPr>
          <w:p w:rsidRPr="006E3F60" w:rsidR="00835925" w:rsidP="009120CD" w:rsidRDefault="00835925" w14:paraId="1EB0E058" w14:textId="7166A464">
            <w:pPr>
              <w:contextualSpacing/>
              <w:rPr>
                <w:i/>
              </w:rPr>
            </w:pPr>
            <w:r>
              <w:rPr>
                <w:i/>
              </w:rPr>
              <w:t>00 32 2 546 86 28</w:t>
            </w:r>
          </w:p>
        </w:tc>
      </w:tr>
      <w:tr w:rsidRPr="006E3F60" w:rsidR="00835925" w:rsidTr="004E4367" w14:paraId="325023B9" w14:textId="77777777">
        <w:tc>
          <w:tcPr>
            <w:tcW w:w="1418" w:type="dxa"/>
          </w:tcPr>
          <w:p w:rsidRPr="006E3F60" w:rsidR="00835925" w:rsidP="009120CD" w:rsidRDefault="00835925" w14:paraId="1DE3CB22" w14:textId="77777777">
            <w:pPr>
              <w:ind w:left="601"/>
              <w:contextualSpacing/>
              <w:rPr>
                <w:i/>
              </w:rPr>
            </w:pPr>
            <w:r>
              <w:rPr>
                <w:i/>
              </w:rPr>
              <w:t>E-pasts:</w:t>
            </w:r>
          </w:p>
        </w:tc>
        <w:tc>
          <w:tcPr>
            <w:tcW w:w="5670" w:type="dxa"/>
          </w:tcPr>
          <w:p w:rsidRPr="00F256CD" w:rsidR="00835925" w:rsidP="009120CD" w:rsidRDefault="0022731C" w14:paraId="46F4A44E" w14:textId="4D8FB277">
            <w:pPr>
              <w:contextualSpacing/>
              <w:rPr>
                <w:i/>
                <w:iCs/>
              </w:rPr>
            </w:pPr>
            <w:hyperlink w:history="1" r:id="rId55">
              <w:r w:rsidR="0064748D">
                <w:rPr>
                  <w:rStyle w:val="Hyperlink"/>
                  <w:i/>
                </w:rPr>
                <w:t>Adam.Plezer@eesc.europa.eu</w:t>
              </w:r>
            </w:hyperlink>
          </w:p>
        </w:tc>
      </w:tr>
    </w:tbl>
    <w:p w:rsidRPr="0032340F" w:rsidR="00D67CAD" w:rsidP="009120CD" w:rsidRDefault="00D67CAD" w14:paraId="5E62A09A" w14:textId="77777777">
      <w:pPr>
        <w:rPr>
          <w:sz w:val="2"/>
          <w:szCs w:val="2"/>
        </w:rPr>
      </w:pPr>
    </w:p>
    <w:sectPr w:rsidRPr="0032340F" w:rsidR="00D67CAD" w:rsidSect="00A10A98">
      <w:pgSz w:w="11907" w:h="16839"/>
      <w:pgMar w:top="1191" w:right="1418" w:bottom="107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1CD46" w14:textId="77777777" w:rsidR="0022731C" w:rsidRDefault="0022731C" w:rsidP="003B0516">
      <w:pPr>
        <w:spacing w:line="240" w:lineRule="auto"/>
      </w:pPr>
      <w:r>
        <w:separator/>
      </w:r>
    </w:p>
  </w:endnote>
  <w:endnote w:type="continuationSeparator" w:id="0">
    <w:p w14:paraId="48CBCA37" w14:textId="77777777" w:rsidR="0022731C" w:rsidRDefault="0022731C"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84C1E" w14:textId="77777777" w:rsidR="0022731C" w:rsidRDefault="00227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9D38" w14:textId="424A9657" w:rsidR="0022731C" w:rsidRPr="00A10A98" w:rsidRDefault="0022731C" w:rsidP="00A10A98">
    <w:pPr>
      <w:pStyle w:val="Footer"/>
    </w:pPr>
    <w:r>
      <w:t xml:space="preserve">EESC-2022-03966-00-00-TCD-TRA (EN) </w:t>
    </w:r>
    <w:r>
      <w:fldChar w:fldCharType="begin"/>
    </w:r>
    <w:r>
      <w:instrText xml:space="preserve"> PAGE  \* Arabic  \* MERGEFORMAT </w:instrText>
    </w:r>
    <w:r>
      <w:fldChar w:fldCharType="separate"/>
    </w:r>
    <w:r w:rsidR="00BE2880">
      <w:rPr>
        <w:noProof/>
      </w:rPr>
      <w:t>1</w:t>
    </w:r>
    <w:r>
      <w:fldChar w:fldCharType="end"/>
    </w:r>
    <w:r>
      <w:t>/</w:t>
    </w:r>
    <w:fldSimple w:instr=" NUMPAGES ">
      <w:r w:rsidR="00BE2880">
        <w:rPr>
          <w:noProof/>
        </w:rPr>
        <w:t>31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64E5" w14:textId="77777777" w:rsidR="0022731C" w:rsidRDefault="002273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C15F" w14:textId="77777777" w:rsidR="0022731C" w:rsidRPr="00A10A98" w:rsidRDefault="0022731C" w:rsidP="00A10A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4860" w14:textId="4EC3FE8E" w:rsidR="0022731C" w:rsidRPr="00A10A98" w:rsidRDefault="0022731C" w:rsidP="00A10A98">
    <w:pPr>
      <w:pStyle w:val="Footer"/>
    </w:pPr>
    <w:r>
      <w:t xml:space="preserve">EESC-2022-03966-00-00-TCD-TRA (EN/FR) </w:t>
    </w:r>
    <w:r>
      <w:fldChar w:fldCharType="begin"/>
    </w:r>
    <w:r>
      <w:instrText xml:space="preserve"> PAGE  \* Arabic  \* MERGEFORMAT </w:instrText>
    </w:r>
    <w:r>
      <w:fldChar w:fldCharType="separate"/>
    </w:r>
    <w:r w:rsidR="00BE2880">
      <w:rPr>
        <w:noProof/>
      </w:rPr>
      <w:t>31</w:t>
    </w:r>
    <w:r>
      <w:fldChar w:fldCharType="end"/>
    </w:r>
    <w:r>
      <w:t>/</w:t>
    </w:r>
    <w:fldSimple w:instr=" NUMPAGES ">
      <w:r w:rsidR="00BE2880">
        <w:rPr>
          <w:noProof/>
        </w:rPr>
        <w:t>31</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E62D" w14:textId="77777777" w:rsidR="0022731C" w:rsidRPr="00A10A98" w:rsidRDefault="0022731C" w:rsidP="00A1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5CD9B" w14:textId="77777777" w:rsidR="0022731C" w:rsidRDefault="0022731C" w:rsidP="003B0516">
      <w:pPr>
        <w:spacing w:line="240" w:lineRule="auto"/>
      </w:pPr>
      <w:r>
        <w:separator/>
      </w:r>
    </w:p>
  </w:footnote>
  <w:footnote w:type="continuationSeparator" w:id="0">
    <w:p w14:paraId="0605FDD5" w14:textId="77777777" w:rsidR="0022731C" w:rsidRDefault="0022731C" w:rsidP="003B0516">
      <w:pPr>
        <w:spacing w:line="240" w:lineRule="auto"/>
      </w:pPr>
      <w:r>
        <w:continuationSeparator/>
      </w:r>
    </w:p>
  </w:footnote>
  <w:footnote w:id="1">
    <w:p w14:paraId="0F8432CF" w14:textId="77777777" w:rsidR="0022731C" w:rsidRPr="00EB5DB7" w:rsidRDefault="0022731C" w:rsidP="005B5038">
      <w:pPr>
        <w:pStyle w:val="FootnoteText"/>
      </w:pPr>
      <w:r>
        <w:rPr>
          <w:rStyle w:val="FootnoteReference"/>
        </w:rPr>
        <w:footnoteRef/>
      </w:r>
      <w:r>
        <w:t xml:space="preserve"> </w:t>
      </w:r>
      <w:r>
        <w:tab/>
        <w:t>Eiropas Komisija 2012. gadā publicēja rīcības plānu ES veselības aprūpes darbaspēkam.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C87F" w14:textId="77777777" w:rsidR="0022731C" w:rsidRDefault="00227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4D89C" w14:textId="77777777" w:rsidR="0022731C" w:rsidRDefault="00227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93962" w14:textId="77777777" w:rsidR="0022731C" w:rsidRDefault="002273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9DF2" w14:textId="77777777" w:rsidR="0022731C" w:rsidRPr="00A10A98" w:rsidRDefault="0022731C" w:rsidP="00A10A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4FBA" w14:textId="77777777" w:rsidR="0022731C" w:rsidRPr="00A10A98" w:rsidRDefault="0022731C" w:rsidP="00A10A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5E7F" w14:textId="77777777" w:rsidR="0022731C" w:rsidRPr="00A10A98" w:rsidRDefault="0022731C" w:rsidP="00A10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C7ACE32"/>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EA6E5E"/>
    <w:multiLevelType w:val="hybridMultilevel"/>
    <w:tmpl w:val="D58846A4"/>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4" w15:restartNumberingAfterBreak="0">
    <w:nsid w:val="1EE61FFB"/>
    <w:multiLevelType w:val="hybridMultilevel"/>
    <w:tmpl w:val="0B6C7FD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7"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5935A71"/>
    <w:multiLevelType w:val="hybridMultilevel"/>
    <w:tmpl w:val="C9DC9BDC"/>
    <w:lvl w:ilvl="0" w:tplc="0F104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383186"/>
    <w:multiLevelType w:val="hybridMultilevel"/>
    <w:tmpl w:val="A0243724"/>
    <w:lvl w:ilvl="0" w:tplc="9CD4DE18">
      <w:start w:val="1"/>
      <w:numFmt w:val="bullet"/>
      <w:lvlText w:val=""/>
      <w:lvlJc w:val="left"/>
      <w:pPr>
        <w:ind w:left="644" w:hanging="360"/>
      </w:pPr>
      <w:rPr>
        <w:rFonts w:ascii="Symbol" w:hAnsi="Symbo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 w15:restartNumberingAfterBreak="0">
    <w:nsid w:val="60346CB0"/>
    <w:multiLevelType w:val="hybridMultilevel"/>
    <w:tmpl w:val="FB76917E"/>
    <w:lvl w:ilvl="0" w:tplc="83107D1C">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3" w15:restartNumberingAfterBreak="0">
    <w:nsid w:val="61D026E9"/>
    <w:multiLevelType w:val="hybridMultilevel"/>
    <w:tmpl w:val="C2A4AF8C"/>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3180E"/>
    <w:multiLevelType w:val="hybridMultilevel"/>
    <w:tmpl w:val="0B6C7FD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681F42C0"/>
    <w:multiLevelType w:val="hybridMultilevel"/>
    <w:tmpl w:val="207A7068"/>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15:restartNumberingAfterBreak="0">
    <w:nsid w:val="70967A6A"/>
    <w:multiLevelType w:val="hybridMultilevel"/>
    <w:tmpl w:val="27F2B37A"/>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8" w15:restartNumberingAfterBreak="0">
    <w:nsid w:val="767D7BDC"/>
    <w:multiLevelType w:val="hybridMultilevel"/>
    <w:tmpl w:val="948AFA3C"/>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18"/>
  </w:num>
  <w:num w:numId="4">
    <w:abstractNumId w:val="1"/>
  </w:num>
  <w:num w:numId="5">
    <w:abstractNumId w:val="12"/>
  </w:num>
  <w:num w:numId="6">
    <w:abstractNumId w:val="7"/>
  </w:num>
  <w:num w:numId="7">
    <w:abstractNumId w:val="2"/>
  </w:num>
  <w:num w:numId="8">
    <w:abstractNumId w:val="6"/>
  </w:num>
  <w:num w:numId="9">
    <w:abstractNumId w:val="5"/>
  </w:num>
  <w:num w:numId="10">
    <w:abstractNumId w:val="19"/>
  </w:num>
  <w:num w:numId="11">
    <w:abstractNumId w:val="8"/>
  </w:num>
  <w:num w:numId="12">
    <w:abstractNumId w:val="15"/>
  </w:num>
  <w:num w:numId="13">
    <w:abstractNumId w:val="0"/>
  </w:num>
  <w:num w:numId="14">
    <w:abstractNumId w:val="0"/>
  </w:num>
  <w:num w:numId="15">
    <w:abstractNumId w:val="13"/>
  </w:num>
  <w:num w:numId="16">
    <w:abstractNumId w:val="9"/>
  </w:num>
  <w:num w:numId="17">
    <w:abstractNumId w:val="0"/>
  </w:num>
  <w:num w:numId="18">
    <w:abstractNumId w:val="0"/>
  </w:num>
  <w:num w:numId="19">
    <w:abstractNumId w:val="17"/>
  </w:num>
  <w:num w:numId="20">
    <w:abstractNumId w:val="3"/>
  </w:num>
  <w:num w:numId="21">
    <w:abstractNumId w:val="10"/>
  </w:num>
  <w:num w:numId="22">
    <w:abstractNumId w:val="4"/>
  </w:num>
  <w:num w:numId="23">
    <w:abstractNumId w:val="11"/>
  </w:num>
  <w:num w:numId="2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15E18"/>
    <w:rsid w:val="000232FA"/>
    <w:rsid w:val="0002450A"/>
    <w:rsid w:val="00027072"/>
    <w:rsid w:val="00027441"/>
    <w:rsid w:val="00032038"/>
    <w:rsid w:val="0003271A"/>
    <w:rsid w:val="00032BAA"/>
    <w:rsid w:val="00034E35"/>
    <w:rsid w:val="00036505"/>
    <w:rsid w:val="00037A85"/>
    <w:rsid w:val="000402AE"/>
    <w:rsid w:val="00041C4A"/>
    <w:rsid w:val="0004205F"/>
    <w:rsid w:val="000421E0"/>
    <w:rsid w:val="0005110E"/>
    <w:rsid w:val="0005170F"/>
    <w:rsid w:val="00055D63"/>
    <w:rsid w:val="00056079"/>
    <w:rsid w:val="00056B3E"/>
    <w:rsid w:val="00063DFF"/>
    <w:rsid w:val="00063F30"/>
    <w:rsid w:val="00064EDE"/>
    <w:rsid w:val="00070AAE"/>
    <w:rsid w:val="00070FEE"/>
    <w:rsid w:val="0007146F"/>
    <w:rsid w:val="00071F4C"/>
    <w:rsid w:val="000764E8"/>
    <w:rsid w:val="00076BA9"/>
    <w:rsid w:val="000812E8"/>
    <w:rsid w:val="00083845"/>
    <w:rsid w:val="00086174"/>
    <w:rsid w:val="000911BF"/>
    <w:rsid w:val="00092425"/>
    <w:rsid w:val="000951A1"/>
    <w:rsid w:val="000956DB"/>
    <w:rsid w:val="00096786"/>
    <w:rsid w:val="000A007B"/>
    <w:rsid w:val="000A03BD"/>
    <w:rsid w:val="000A1218"/>
    <w:rsid w:val="000A74DC"/>
    <w:rsid w:val="000A7BA8"/>
    <w:rsid w:val="000B01F7"/>
    <w:rsid w:val="000B19C4"/>
    <w:rsid w:val="000C18CA"/>
    <w:rsid w:val="000C3942"/>
    <w:rsid w:val="000C43E2"/>
    <w:rsid w:val="000C6D0B"/>
    <w:rsid w:val="000D2F8F"/>
    <w:rsid w:val="000D65AC"/>
    <w:rsid w:val="000E5FFD"/>
    <w:rsid w:val="000E6108"/>
    <w:rsid w:val="000F1B49"/>
    <w:rsid w:val="000F53B7"/>
    <w:rsid w:val="000F679A"/>
    <w:rsid w:val="001000A8"/>
    <w:rsid w:val="001016BE"/>
    <w:rsid w:val="00106358"/>
    <w:rsid w:val="001106FB"/>
    <w:rsid w:val="001167A1"/>
    <w:rsid w:val="00116A1C"/>
    <w:rsid w:val="001179DB"/>
    <w:rsid w:val="00117AA8"/>
    <w:rsid w:val="00124D7C"/>
    <w:rsid w:val="001271C3"/>
    <w:rsid w:val="001400C7"/>
    <w:rsid w:val="001445A7"/>
    <w:rsid w:val="001455A1"/>
    <w:rsid w:val="00150AD8"/>
    <w:rsid w:val="001513FD"/>
    <w:rsid w:val="00163106"/>
    <w:rsid w:val="00164813"/>
    <w:rsid w:val="001744F9"/>
    <w:rsid w:val="00174763"/>
    <w:rsid w:val="0018231C"/>
    <w:rsid w:val="00182F92"/>
    <w:rsid w:val="00191597"/>
    <w:rsid w:val="001951FD"/>
    <w:rsid w:val="001A0AD4"/>
    <w:rsid w:val="001A2273"/>
    <w:rsid w:val="001A7476"/>
    <w:rsid w:val="001B10DA"/>
    <w:rsid w:val="001B6460"/>
    <w:rsid w:val="001C4EDC"/>
    <w:rsid w:val="001C5D5C"/>
    <w:rsid w:val="001D1F54"/>
    <w:rsid w:val="001D2636"/>
    <w:rsid w:val="001D6FFF"/>
    <w:rsid w:val="001D770D"/>
    <w:rsid w:val="001E0F0C"/>
    <w:rsid w:val="001E2286"/>
    <w:rsid w:val="001E6413"/>
    <w:rsid w:val="001F1433"/>
    <w:rsid w:val="001F1862"/>
    <w:rsid w:val="001F56CE"/>
    <w:rsid w:val="001F6FD5"/>
    <w:rsid w:val="00200222"/>
    <w:rsid w:val="0020062C"/>
    <w:rsid w:val="002037FC"/>
    <w:rsid w:val="002043D7"/>
    <w:rsid w:val="00215520"/>
    <w:rsid w:val="0021590B"/>
    <w:rsid w:val="00215FAB"/>
    <w:rsid w:val="00224583"/>
    <w:rsid w:val="00225BCA"/>
    <w:rsid w:val="00225C52"/>
    <w:rsid w:val="00226DC1"/>
    <w:rsid w:val="0022731C"/>
    <w:rsid w:val="00227E12"/>
    <w:rsid w:val="00232374"/>
    <w:rsid w:val="002328D2"/>
    <w:rsid w:val="00237481"/>
    <w:rsid w:val="00242666"/>
    <w:rsid w:val="00247E02"/>
    <w:rsid w:val="00255669"/>
    <w:rsid w:val="00256F0A"/>
    <w:rsid w:val="00261903"/>
    <w:rsid w:val="00261FDB"/>
    <w:rsid w:val="00270828"/>
    <w:rsid w:val="002737D4"/>
    <w:rsid w:val="00276CC9"/>
    <w:rsid w:val="002776B9"/>
    <w:rsid w:val="00291154"/>
    <w:rsid w:val="00292D44"/>
    <w:rsid w:val="00293E9C"/>
    <w:rsid w:val="00295ABF"/>
    <w:rsid w:val="002A2F38"/>
    <w:rsid w:val="002A417C"/>
    <w:rsid w:val="002A6192"/>
    <w:rsid w:val="002A696A"/>
    <w:rsid w:val="002B09A7"/>
    <w:rsid w:val="002B1961"/>
    <w:rsid w:val="002B2BA3"/>
    <w:rsid w:val="002B5031"/>
    <w:rsid w:val="002B75A5"/>
    <w:rsid w:val="002B7981"/>
    <w:rsid w:val="002C0E2F"/>
    <w:rsid w:val="002C2466"/>
    <w:rsid w:val="002C24B9"/>
    <w:rsid w:val="002C2B80"/>
    <w:rsid w:val="002C4B6E"/>
    <w:rsid w:val="002C5F52"/>
    <w:rsid w:val="002D4C38"/>
    <w:rsid w:val="002E01B5"/>
    <w:rsid w:val="002E44D6"/>
    <w:rsid w:val="002E459D"/>
    <w:rsid w:val="002E5473"/>
    <w:rsid w:val="002F32E6"/>
    <w:rsid w:val="002F63EB"/>
    <w:rsid w:val="00305834"/>
    <w:rsid w:val="00311562"/>
    <w:rsid w:val="003123CB"/>
    <w:rsid w:val="003165A9"/>
    <w:rsid w:val="0032266E"/>
    <w:rsid w:val="003227CC"/>
    <w:rsid w:val="0032340F"/>
    <w:rsid w:val="00323A05"/>
    <w:rsid w:val="00326919"/>
    <w:rsid w:val="00331ACB"/>
    <w:rsid w:val="00331C12"/>
    <w:rsid w:val="00333F1A"/>
    <w:rsid w:val="00340F46"/>
    <w:rsid w:val="00342F72"/>
    <w:rsid w:val="00350A12"/>
    <w:rsid w:val="00350F5C"/>
    <w:rsid w:val="003527B4"/>
    <w:rsid w:val="00361E48"/>
    <w:rsid w:val="0036641A"/>
    <w:rsid w:val="00370548"/>
    <w:rsid w:val="00370CCB"/>
    <w:rsid w:val="00376574"/>
    <w:rsid w:val="00394949"/>
    <w:rsid w:val="00396061"/>
    <w:rsid w:val="003965BB"/>
    <w:rsid w:val="003A0DB7"/>
    <w:rsid w:val="003A7071"/>
    <w:rsid w:val="003B0516"/>
    <w:rsid w:val="003B2007"/>
    <w:rsid w:val="003B3C5F"/>
    <w:rsid w:val="003B3D68"/>
    <w:rsid w:val="003B6760"/>
    <w:rsid w:val="003C07C5"/>
    <w:rsid w:val="003C0E5B"/>
    <w:rsid w:val="003C2647"/>
    <w:rsid w:val="003C4D5B"/>
    <w:rsid w:val="003C5614"/>
    <w:rsid w:val="003D33F7"/>
    <w:rsid w:val="003D4F68"/>
    <w:rsid w:val="003D57BD"/>
    <w:rsid w:val="003D76E2"/>
    <w:rsid w:val="003E2757"/>
    <w:rsid w:val="003E5137"/>
    <w:rsid w:val="003E692C"/>
    <w:rsid w:val="003F0159"/>
    <w:rsid w:val="003F2D36"/>
    <w:rsid w:val="003F510A"/>
    <w:rsid w:val="003F6382"/>
    <w:rsid w:val="0040019C"/>
    <w:rsid w:val="00400A1F"/>
    <w:rsid w:val="00403406"/>
    <w:rsid w:val="004047A6"/>
    <w:rsid w:val="004047B1"/>
    <w:rsid w:val="00405802"/>
    <w:rsid w:val="00405FD9"/>
    <w:rsid w:val="00407760"/>
    <w:rsid w:val="00413EA0"/>
    <w:rsid w:val="00426ECD"/>
    <w:rsid w:val="004331B4"/>
    <w:rsid w:val="00441E45"/>
    <w:rsid w:val="004442D3"/>
    <w:rsid w:val="004511AE"/>
    <w:rsid w:val="00456E3C"/>
    <w:rsid w:val="00462B31"/>
    <w:rsid w:val="00463300"/>
    <w:rsid w:val="004646AF"/>
    <w:rsid w:val="0046631E"/>
    <w:rsid w:val="00470719"/>
    <w:rsid w:val="00472A79"/>
    <w:rsid w:val="00472E72"/>
    <w:rsid w:val="004755C3"/>
    <w:rsid w:val="004904F9"/>
    <w:rsid w:val="0049347F"/>
    <w:rsid w:val="004A46D9"/>
    <w:rsid w:val="004A5CD7"/>
    <w:rsid w:val="004B2250"/>
    <w:rsid w:val="004B344F"/>
    <w:rsid w:val="004B7248"/>
    <w:rsid w:val="004B72DD"/>
    <w:rsid w:val="004C1E12"/>
    <w:rsid w:val="004C2872"/>
    <w:rsid w:val="004C40E4"/>
    <w:rsid w:val="004D2E64"/>
    <w:rsid w:val="004D65FF"/>
    <w:rsid w:val="004D7AC0"/>
    <w:rsid w:val="004E4367"/>
    <w:rsid w:val="004F2430"/>
    <w:rsid w:val="004F68A8"/>
    <w:rsid w:val="00502B04"/>
    <w:rsid w:val="00502C82"/>
    <w:rsid w:val="005030F7"/>
    <w:rsid w:val="00510903"/>
    <w:rsid w:val="00530644"/>
    <w:rsid w:val="00531E0B"/>
    <w:rsid w:val="00533BF2"/>
    <w:rsid w:val="0053502B"/>
    <w:rsid w:val="0054010D"/>
    <w:rsid w:val="00542C6F"/>
    <w:rsid w:val="00546842"/>
    <w:rsid w:val="005475DA"/>
    <w:rsid w:val="00550800"/>
    <w:rsid w:val="00552022"/>
    <w:rsid w:val="00554499"/>
    <w:rsid w:val="00555A39"/>
    <w:rsid w:val="00560174"/>
    <w:rsid w:val="00564924"/>
    <w:rsid w:val="00565C6E"/>
    <w:rsid w:val="00571FEB"/>
    <w:rsid w:val="00577672"/>
    <w:rsid w:val="00582A42"/>
    <w:rsid w:val="00584D91"/>
    <w:rsid w:val="00585857"/>
    <w:rsid w:val="0058593B"/>
    <w:rsid w:val="00586B4B"/>
    <w:rsid w:val="00590BDD"/>
    <w:rsid w:val="00594140"/>
    <w:rsid w:val="0059647B"/>
    <w:rsid w:val="005A3E6D"/>
    <w:rsid w:val="005A755F"/>
    <w:rsid w:val="005B0E27"/>
    <w:rsid w:val="005B3012"/>
    <w:rsid w:val="005B5038"/>
    <w:rsid w:val="005C0363"/>
    <w:rsid w:val="005C7C47"/>
    <w:rsid w:val="005D621C"/>
    <w:rsid w:val="005D6E4D"/>
    <w:rsid w:val="005D7939"/>
    <w:rsid w:val="005E23CD"/>
    <w:rsid w:val="005E2C02"/>
    <w:rsid w:val="005E56F3"/>
    <w:rsid w:val="005E682E"/>
    <w:rsid w:val="005E764B"/>
    <w:rsid w:val="005F4FFC"/>
    <w:rsid w:val="005F78D7"/>
    <w:rsid w:val="005F7E48"/>
    <w:rsid w:val="00600A25"/>
    <w:rsid w:val="006025C9"/>
    <w:rsid w:val="00607F17"/>
    <w:rsid w:val="006119BD"/>
    <w:rsid w:val="006125A8"/>
    <w:rsid w:val="00613467"/>
    <w:rsid w:val="0061692F"/>
    <w:rsid w:val="0062138E"/>
    <w:rsid w:val="00622822"/>
    <w:rsid w:val="00624785"/>
    <w:rsid w:val="00627B8F"/>
    <w:rsid w:val="00630047"/>
    <w:rsid w:val="00630928"/>
    <w:rsid w:val="00631509"/>
    <w:rsid w:val="00632139"/>
    <w:rsid w:val="006324DA"/>
    <w:rsid w:val="006334BE"/>
    <w:rsid w:val="00640656"/>
    <w:rsid w:val="00641262"/>
    <w:rsid w:val="00645723"/>
    <w:rsid w:val="0064748D"/>
    <w:rsid w:val="00650DB1"/>
    <w:rsid w:val="006568C8"/>
    <w:rsid w:val="006604D8"/>
    <w:rsid w:val="00662436"/>
    <w:rsid w:val="006669FA"/>
    <w:rsid w:val="00666A72"/>
    <w:rsid w:val="00670347"/>
    <w:rsid w:val="00675177"/>
    <w:rsid w:val="00681B23"/>
    <w:rsid w:val="0068241A"/>
    <w:rsid w:val="006849A6"/>
    <w:rsid w:val="00691356"/>
    <w:rsid w:val="006967AE"/>
    <w:rsid w:val="006A1317"/>
    <w:rsid w:val="006A3A88"/>
    <w:rsid w:val="006A42C1"/>
    <w:rsid w:val="006A5AA8"/>
    <w:rsid w:val="006B106B"/>
    <w:rsid w:val="006B265F"/>
    <w:rsid w:val="006C4311"/>
    <w:rsid w:val="006C4ED2"/>
    <w:rsid w:val="006D32E3"/>
    <w:rsid w:val="006D4847"/>
    <w:rsid w:val="006D6086"/>
    <w:rsid w:val="006E0E88"/>
    <w:rsid w:val="006E3078"/>
    <w:rsid w:val="006E3F60"/>
    <w:rsid w:val="006E6434"/>
    <w:rsid w:val="006F3409"/>
    <w:rsid w:val="00700030"/>
    <w:rsid w:val="007037CE"/>
    <w:rsid w:val="00704C1E"/>
    <w:rsid w:val="00705674"/>
    <w:rsid w:val="0070677E"/>
    <w:rsid w:val="007105B2"/>
    <w:rsid w:val="007150C5"/>
    <w:rsid w:val="00715A60"/>
    <w:rsid w:val="007179BC"/>
    <w:rsid w:val="00720D22"/>
    <w:rsid w:val="00721342"/>
    <w:rsid w:val="00721386"/>
    <w:rsid w:val="00727B0D"/>
    <w:rsid w:val="007327CD"/>
    <w:rsid w:val="00732CC4"/>
    <w:rsid w:val="00733A55"/>
    <w:rsid w:val="00735256"/>
    <w:rsid w:val="00737766"/>
    <w:rsid w:val="0074379C"/>
    <w:rsid w:val="00745EAA"/>
    <w:rsid w:val="00746B35"/>
    <w:rsid w:val="0075250B"/>
    <w:rsid w:val="00753F2A"/>
    <w:rsid w:val="00756F3D"/>
    <w:rsid w:val="00760B02"/>
    <w:rsid w:val="00760C0A"/>
    <w:rsid w:val="0076429F"/>
    <w:rsid w:val="00765C4F"/>
    <w:rsid w:val="00771110"/>
    <w:rsid w:val="00775FDA"/>
    <w:rsid w:val="0077736D"/>
    <w:rsid w:val="0077792F"/>
    <w:rsid w:val="00781B32"/>
    <w:rsid w:val="007830DD"/>
    <w:rsid w:val="00785F4A"/>
    <w:rsid w:val="007A0970"/>
    <w:rsid w:val="007A1548"/>
    <w:rsid w:val="007B21C5"/>
    <w:rsid w:val="007B231B"/>
    <w:rsid w:val="007B4C38"/>
    <w:rsid w:val="007B7C40"/>
    <w:rsid w:val="007C11A7"/>
    <w:rsid w:val="007C58EF"/>
    <w:rsid w:val="007C7CE2"/>
    <w:rsid w:val="007D1564"/>
    <w:rsid w:val="007D42D1"/>
    <w:rsid w:val="007D5174"/>
    <w:rsid w:val="007E0CE8"/>
    <w:rsid w:val="007E3FFA"/>
    <w:rsid w:val="007E70D2"/>
    <w:rsid w:val="007E7A4F"/>
    <w:rsid w:val="007E7DE3"/>
    <w:rsid w:val="007F0BB7"/>
    <w:rsid w:val="007F2119"/>
    <w:rsid w:val="007F292F"/>
    <w:rsid w:val="007F7DBA"/>
    <w:rsid w:val="00801DC4"/>
    <w:rsid w:val="00804736"/>
    <w:rsid w:val="0080501D"/>
    <w:rsid w:val="00812594"/>
    <w:rsid w:val="00813A00"/>
    <w:rsid w:val="00814E33"/>
    <w:rsid w:val="008159E1"/>
    <w:rsid w:val="008172B0"/>
    <w:rsid w:val="00822ED8"/>
    <w:rsid w:val="00824647"/>
    <w:rsid w:val="00824DCF"/>
    <w:rsid w:val="0082509A"/>
    <w:rsid w:val="00827B0E"/>
    <w:rsid w:val="008327B1"/>
    <w:rsid w:val="00833E27"/>
    <w:rsid w:val="00835925"/>
    <w:rsid w:val="00841374"/>
    <w:rsid w:val="00842465"/>
    <w:rsid w:val="00842BDD"/>
    <w:rsid w:val="00842C71"/>
    <w:rsid w:val="00844B87"/>
    <w:rsid w:val="0085096C"/>
    <w:rsid w:val="00855196"/>
    <w:rsid w:val="00855772"/>
    <w:rsid w:val="0086045C"/>
    <w:rsid w:val="008608BA"/>
    <w:rsid w:val="00861942"/>
    <w:rsid w:val="00862DC9"/>
    <w:rsid w:val="0086458A"/>
    <w:rsid w:val="008737C0"/>
    <w:rsid w:val="008745F7"/>
    <w:rsid w:val="00875BB4"/>
    <w:rsid w:val="00881E9B"/>
    <w:rsid w:val="0088219D"/>
    <w:rsid w:val="00883682"/>
    <w:rsid w:val="0088465F"/>
    <w:rsid w:val="00884879"/>
    <w:rsid w:val="008854AE"/>
    <w:rsid w:val="00886448"/>
    <w:rsid w:val="008946BF"/>
    <w:rsid w:val="008A0B15"/>
    <w:rsid w:val="008A4C14"/>
    <w:rsid w:val="008B2544"/>
    <w:rsid w:val="008B26C6"/>
    <w:rsid w:val="008B2708"/>
    <w:rsid w:val="008B66DD"/>
    <w:rsid w:val="008B6C3D"/>
    <w:rsid w:val="008B72DD"/>
    <w:rsid w:val="008C18DE"/>
    <w:rsid w:val="008D2131"/>
    <w:rsid w:val="008D5213"/>
    <w:rsid w:val="008E0C2F"/>
    <w:rsid w:val="008E5076"/>
    <w:rsid w:val="008F1627"/>
    <w:rsid w:val="00900BFC"/>
    <w:rsid w:val="009011ED"/>
    <w:rsid w:val="009049FC"/>
    <w:rsid w:val="009109F5"/>
    <w:rsid w:val="009120CD"/>
    <w:rsid w:val="00912E0E"/>
    <w:rsid w:val="00912F6B"/>
    <w:rsid w:val="00914265"/>
    <w:rsid w:val="009173E7"/>
    <w:rsid w:val="009177FF"/>
    <w:rsid w:val="00931584"/>
    <w:rsid w:val="00934472"/>
    <w:rsid w:val="00942238"/>
    <w:rsid w:val="0094733C"/>
    <w:rsid w:val="00947E08"/>
    <w:rsid w:val="0095386D"/>
    <w:rsid w:val="0095396D"/>
    <w:rsid w:val="0096099A"/>
    <w:rsid w:val="00961956"/>
    <w:rsid w:val="00961F3C"/>
    <w:rsid w:val="0096721E"/>
    <w:rsid w:val="00967517"/>
    <w:rsid w:val="00970971"/>
    <w:rsid w:val="00971495"/>
    <w:rsid w:val="0097659B"/>
    <w:rsid w:val="00986C7F"/>
    <w:rsid w:val="00987507"/>
    <w:rsid w:val="009954A1"/>
    <w:rsid w:val="009B0E36"/>
    <w:rsid w:val="009B2ADD"/>
    <w:rsid w:val="009B37E5"/>
    <w:rsid w:val="009B70E7"/>
    <w:rsid w:val="009B72AB"/>
    <w:rsid w:val="009C513E"/>
    <w:rsid w:val="009C574C"/>
    <w:rsid w:val="009C75E4"/>
    <w:rsid w:val="009D07F4"/>
    <w:rsid w:val="009D1CA2"/>
    <w:rsid w:val="009D2CD0"/>
    <w:rsid w:val="009D388E"/>
    <w:rsid w:val="009D5CC6"/>
    <w:rsid w:val="009E4E92"/>
    <w:rsid w:val="009E6BA2"/>
    <w:rsid w:val="009E70A3"/>
    <w:rsid w:val="009E7942"/>
    <w:rsid w:val="009F3BC5"/>
    <w:rsid w:val="009F5F78"/>
    <w:rsid w:val="009F706B"/>
    <w:rsid w:val="00A00F37"/>
    <w:rsid w:val="00A0410F"/>
    <w:rsid w:val="00A048E9"/>
    <w:rsid w:val="00A049D5"/>
    <w:rsid w:val="00A06E9E"/>
    <w:rsid w:val="00A10A98"/>
    <w:rsid w:val="00A20E9D"/>
    <w:rsid w:val="00A30792"/>
    <w:rsid w:val="00A30B84"/>
    <w:rsid w:val="00A3344B"/>
    <w:rsid w:val="00A37880"/>
    <w:rsid w:val="00A45EC3"/>
    <w:rsid w:val="00A46122"/>
    <w:rsid w:val="00A51F03"/>
    <w:rsid w:val="00A51F67"/>
    <w:rsid w:val="00A522D4"/>
    <w:rsid w:val="00A5507B"/>
    <w:rsid w:val="00A62F57"/>
    <w:rsid w:val="00A63413"/>
    <w:rsid w:val="00A6556C"/>
    <w:rsid w:val="00A659B5"/>
    <w:rsid w:val="00A661BB"/>
    <w:rsid w:val="00A720CF"/>
    <w:rsid w:val="00A74B4C"/>
    <w:rsid w:val="00A763E7"/>
    <w:rsid w:val="00A827D2"/>
    <w:rsid w:val="00A86E2C"/>
    <w:rsid w:val="00A9462E"/>
    <w:rsid w:val="00A94E45"/>
    <w:rsid w:val="00AA05F8"/>
    <w:rsid w:val="00AA5C1D"/>
    <w:rsid w:val="00AA5C61"/>
    <w:rsid w:val="00AA69BF"/>
    <w:rsid w:val="00AB20C0"/>
    <w:rsid w:val="00AB3045"/>
    <w:rsid w:val="00AB4D68"/>
    <w:rsid w:val="00AB5E6A"/>
    <w:rsid w:val="00AB72EB"/>
    <w:rsid w:val="00AC16C9"/>
    <w:rsid w:val="00AC567A"/>
    <w:rsid w:val="00AC7690"/>
    <w:rsid w:val="00AD1524"/>
    <w:rsid w:val="00AD3DB1"/>
    <w:rsid w:val="00AD6708"/>
    <w:rsid w:val="00AD75EB"/>
    <w:rsid w:val="00AE0A52"/>
    <w:rsid w:val="00AE2E3C"/>
    <w:rsid w:val="00AF1233"/>
    <w:rsid w:val="00AF2C37"/>
    <w:rsid w:val="00AF45AD"/>
    <w:rsid w:val="00AF4F10"/>
    <w:rsid w:val="00B0753C"/>
    <w:rsid w:val="00B10934"/>
    <w:rsid w:val="00B11964"/>
    <w:rsid w:val="00B13B9C"/>
    <w:rsid w:val="00B24B60"/>
    <w:rsid w:val="00B24C28"/>
    <w:rsid w:val="00B30118"/>
    <w:rsid w:val="00B33E9C"/>
    <w:rsid w:val="00B34E93"/>
    <w:rsid w:val="00B3531E"/>
    <w:rsid w:val="00B35908"/>
    <w:rsid w:val="00B40093"/>
    <w:rsid w:val="00B40158"/>
    <w:rsid w:val="00B41E79"/>
    <w:rsid w:val="00B42F7B"/>
    <w:rsid w:val="00B4330A"/>
    <w:rsid w:val="00B44BB9"/>
    <w:rsid w:val="00B44E37"/>
    <w:rsid w:val="00B4522B"/>
    <w:rsid w:val="00B51AF6"/>
    <w:rsid w:val="00B51B20"/>
    <w:rsid w:val="00B51EBC"/>
    <w:rsid w:val="00B5317E"/>
    <w:rsid w:val="00B53791"/>
    <w:rsid w:val="00B539C0"/>
    <w:rsid w:val="00B53E01"/>
    <w:rsid w:val="00B54D49"/>
    <w:rsid w:val="00B56041"/>
    <w:rsid w:val="00B61819"/>
    <w:rsid w:val="00B62D22"/>
    <w:rsid w:val="00B656FE"/>
    <w:rsid w:val="00B67EDA"/>
    <w:rsid w:val="00B7530C"/>
    <w:rsid w:val="00B76922"/>
    <w:rsid w:val="00B77513"/>
    <w:rsid w:val="00B83E7B"/>
    <w:rsid w:val="00B85573"/>
    <w:rsid w:val="00B876EC"/>
    <w:rsid w:val="00B90D85"/>
    <w:rsid w:val="00B92B86"/>
    <w:rsid w:val="00B9776A"/>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D4DBF"/>
    <w:rsid w:val="00BD6E79"/>
    <w:rsid w:val="00BD7550"/>
    <w:rsid w:val="00BD7A8C"/>
    <w:rsid w:val="00BE12B3"/>
    <w:rsid w:val="00BE2880"/>
    <w:rsid w:val="00BE5754"/>
    <w:rsid w:val="00BE6D5A"/>
    <w:rsid w:val="00BF27C9"/>
    <w:rsid w:val="00BF6653"/>
    <w:rsid w:val="00C005B2"/>
    <w:rsid w:val="00C00B1F"/>
    <w:rsid w:val="00C0119D"/>
    <w:rsid w:val="00C10C77"/>
    <w:rsid w:val="00C23683"/>
    <w:rsid w:val="00C259DF"/>
    <w:rsid w:val="00C25DB3"/>
    <w:rsid w:val="00C331A1"/>
    <w:rsid w:val="00C34B35"/>
    <w:rsid w:val="00C445FE"/>
    <w:rsid w:val="00C44A5C"/>
    <w:rsid w:val="00C46E4F"/>
    <w:rsid w:val="00C508EF"/>
    <w:rsid w:val="00C554BB"/>
    <w:rsid w:val="00C600B5"/>
    <w:rsid w:val="00C60AE2"/>
    <w:rsid w:val="00C61E75"/>
    <w:rsid w:val="00C65A95"/>
    <w:rsid w:val="00C677AD"/>
    <w:rsid w:val="00C70E54"/>
    <w:rsid w:val="00C752C7"/>
    <w:rsid w:val="00C7574C"/>
    <w:rsid w:val="00C76C46"/>
    <w:rsid w:val="00C76D56"/>
    <w:rsid w:val="00C80321"/>
    <w:rsid w:val="00C834A5"/>
    <w:rsid w:val="00C8431E"/>
    <w:rsid w:val="00C86F74"/>
    <w:rsid w:val="00C90660"/>
    <w:rsid w:val="00C92102"/>
    <w:rsid w:val="00C95751"/>
    <w:rsid w:val="00C9679B"/>
    <w:rsid w:val="00C96BF2"/>
    <w:rsid w:val="00C97966"/>
    <w:rsid w:val="00CA3848"/>
    <w:rsid w:val="00CA684E"/>
    <w:rsid w:val="00CA685D"/>
    <w:rsid w:val="00CA6928"/>
    <w:rsid w:val="00CB0CBA"/>
    <w:rsid w:val="00CB1D03"/>
    <w:rsid w:val="00CB2A8A"/>
    <w:rsid w:val="00CB3335"/>
    <w:rsid w:val="00CB3574"/>
    <w:rsid w:val="00CB4448"/>
    <w:rsid w:val="00CB6509"/>
    <w:rsid w:val="00CC25F9"/>
    <w:rsid w:val="00CD077F"/>
    <w:rsid w:val="00CD1982"/>
    <w:rsid w:val="00CD7E1B"/>
    <w:rsid w:val="00CD7F66"/>
    <w:rsid w:val="00CE23CC"/>
    <w:rsid w:val="00CE48CB"/>
    <w:rsid w:val="00CF2F88"/>
    <w:rsid w:val="00CF3D01"/>
    <w:rsid w:val="00CF5AC7"/>
    <w:rsid w:val="00CF7F58"/>
    <w:rsid w:val="00D0023B"/>
    <w:rsid w:val="00D007F3"/>
    <w:rsid w:val="00D00BF8"/>
    <w:rsid w:val="00D014A8"/>
    <w:rsid w:val="00D04678"/>
    <w:rsid w:val="00D13F40"/>
    <w:rsid w:val="00D205F2"/>
    <w:rsid w:val="00D20C54"/>
    <w:rsid w:val="00D243A3"/>
    <w:rsid w:val="00D24601"/>
    <w:rsid w:val="00D327F0"/>
    <w:rsid w:val="00D35512"/>
    <w:rsid w:val="00D35C97"/>
    <w:rsid w:val="00D41F72"/>
    <w:rsid w:val="00D423EB"/>
    <w:rsid w:val="00D442EE"/>
    <w:rsid w:val="00D47085"/>
    <w:rsid w:val="00D534BA"/>
    <w:rsid w:val="00D55B4C"/>
    <w:rsid w:val="00D61B08"/>
    <w:rsid w:val="00D630B8"/>
    <w:rsid w:val="00D67CAD"/>
    <w:rsid w:val="00D761CD"/>
    <w:rsid w:val="00D76363"/>
    <w:rsid w:val="00D80558"/>
    <w:rsid w:val="00D84FBD"/>
    <w:rsid w:val="00D85838"/>
    <w:rsid w:val="00D85D67"/>
    <w:rsid w:val="00D86432"/>
    <w:rsid w:val="00D91EA9"/>
    <w:rsid w:val="00D92EBC"/>
    <w:rsid w:val="00D944B2"/>
    <w:rsid w:val="00D95AA1"/>
    <w:rsid w:val="00DA2D88"/>
    <w:rsid w:val="00DA608B"/>
    <w:rsid w:val="00DA6126"/>
    <w:rsid w:val="00DB2B61"/>
    <w:rsid w:val="00DB3219"/>
    <w:rsid w:val="00DB34D6"/>
    <w:rsid w:val="00DB6D98"/>
    <w:rsid w:val="00DC057E"/>
    <w:rsid w:val="00DC097D"/>
    <w:rsid w:val="00DC17CF"/>
    <w:rsid w:val="00DC53E9"/>
    <w:rsid w:val="00DD23A2"/>
    <w:rsid w:val="00DD289C"/>
    <w:rsid w:val="00DD53BD"/>
    <w:rsid w:val="00DE010C"/>
    <w:rsid w:val="00DE308B"/>
    <w:rsid w:val="00DE3CA7"/>
    <w:rsid w:val="00DE78E2"/>
    <w:rsid w:val="00DF2640"/>
    <w:rsid w:val="00DF2B94"/>
    <w:rsid w:val="00DF349B"/>
    <w:rsid w:val="00DF3AB5"/>
    <w:rsid w:val="00DF590D"/>
    <w:rsid w:val="00E00915"/>
    <w:rsid w:val="00E02E1A"/>
    <w:rsid w:val="00E060CF"/>
    <w:rsid w:val="00E0620E"/>
    <w:rsid w:val="00E06456"/>
    <w:rsid w:val="00E074E2"/>
    <w:rsid w:val="00E119DF"/>
    <w:rsid w:val="00E11C18"/>
    <w:rsid w:val="00E20579"/>
    <w:rsid w:val="00E207F0"/>
    <w:rsid w:val="00E20FC5"/>
    <w:rsid w:val="00E211D9"/>
    <w:rsid w:val="00E227B2"/>
    <w:rsid w:val="00E24CDF"/>
    <w:rsid w:val="00E26F29"/>
    <w:rsid w:val="00E33923"/>
    <w:rsid w:val="00E33D03"/>
    <w:rsid w:val="00E34279"/>
    <w:rsid w:val="00E36EA1"/>
    <w:rsid w:val="00E4196E"/>
    <w:rsid w:val="00E461E1"/>
    <w:rsid w:val="00E54548"/>
    <w:rsid w:val="00E61540"/>
    <w:rsid w:val="00E642C0"/>
    <w:rsid w:val="00E64300"/>
    <w:rsid w:val="00E65D01"/>
    <w:rsid w:val="00E66A9B"/>
    <w:rsid w:val="00E72E7D"/>
    <w:rsid w:val="00E81FDD"/>
    <w:rsid w:val="00E86232"/>
    <w:rsid w:val="00E9792C"/>
    <w:rsid w:val="00EA2799"/>
    <w:rsid w:val="00EA403A"/>
    <w:rsid w:val="00EA76FF"/>
    <w:rsid w:val="00EB051C"/>
    <w:rsid w:val="00EC533C"/>
    <w:rsid w:val="00EC6B43"/>
    <w:rsid w:val="00EC78C3"/>
    <w:rsid w:val="00EC79EC"/>
    <w:rsid w:val="00ED2A6A"/>
    <w:rsid w:val="00ED377B"/>
    <w:rsid w:val="00ED441B"/>
    <w:rsid w:val="00ED7BC2"/>
    <w:rsid w:val="00EF0853"/>
    <w:rsid w:val="00EF6631"/>
    <w:rsid w:val="00EF688F"/>
    <w:rsid w:val="00F00603"/>
    <w:rsid w:val="00F01CF2"/>
    <w:rsid w:val="00F01E91"/>
    <w:rsid w:val="00F03155"/>
    <w:rsid w:val="00F03950"/>
    <w:rsid w:val="00F049D6"/>
    <w:rsid w:val="00F13607"/>
    <w:rsid w:val="00F161F9"/>
    <w:rsid w:val="00F173C9"/>
    <w:rsid w:val="00F2127E"/>
    <w:rsid w:val="00F256CD"/>
    <w:rsid w:val="00F25F17"/>
    <w:rsid w:val="00F3200A"/>
    <w:rsid w:val="00F324AC"/>
    <w:rsid w:val="00F32577"/>
    <w:rsid w:val="00F37E4A"/>
    <w:rsid w:val="00F423CE"/>
    <w:rsid w:val="00F443A0"/>
    <w:rsid w:val="00F471FB"/>
    <w:rsid w:val="00F47818"/>
    <w:rsid w:val="00F508B3"/>
    <w:rsid w:val="00F512BB"/>
    <w:rsid w:val="00F545CF"/>
    <w:rsid w:val="00F63F2A"/>
    <w:rsid w:val="00F646EF"/>
    <w:rsid w:val="00F71666"/>
    <w:rsid w:val="00F72D85"/>
    <w:rsid w:val="00F804C6"/>
    <w:rsid w:val="00F80F3B"/>
    <w:rsid w:val="00F841DB"/>
    <w:rsid w:val="00F856AC"/>
    <w:rsid w:val="00F85BA3"/>
    <w:rsid w:val="00F86531"/>
    <w:rsid w:val="00F86EB5"/>
    <w:rsid w:val="00F86F23"/>
    <w:rsid w:val="00F916E1"/>
    <w:rsid w:val="00F929FB"/>
    <w:rsid w:val="00F941D5"/>
    <w:rsid w:val="00F946E1"/>
    <w:rsid w:val="00F94A84"/>
    <w:rsid w:val="00F95D18"/>
    <w:rsid w:val="00FA0704"/>
    <w:rsid w:val="00FB044B"/>
    <w:rsid w:val="00FB24BA"/>
    <w:rsid w:val="00FB55E3"/>
    <w:rsid w:val="00FD3685"/>
    <w:rsid w:val="00FD3A69"/>
    <w:rsid w:val="00FE044C"/>
    <w:rsid w:val="00FE68B2"/>
    <w:rsid w:val="00FE7250"/>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6BE"/>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uiPriority w:val="99"/>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lv-LV"/>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25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Margherita.Logrillo@eesc.europa.eu" TargetMode="External"/><Relationship Id="rId39" Type="http://schemas.openxmlformats.org/officeDocument/2006/relationships/hyperlink" Target="mailto:Raquel.FerreiraDaSilva@eesc.europa.eu" TargetMode="External"/><Relationship Id="rId21" Type="http://schemas.openxmlformats.org/officeDocument/2006/relationships/hyperlink" Target="mailto:Krisztina.PerlakyToth@eesc.europa.eu" TargetMode="External"/><Relationship Id="rId34" Type="http://schemas.openxmlformats.org/officeDocument/2006/relationships/hyperlink" Target="mailto:Giorgia.Bordignon@eesc.europa.eu" TargetMode="External"/><Relationship Id="rId42" Type="http://schemas.openxmlformats.org/officeDocument/2006/relationships/hyperlink" Target="mailto:Radoslava.Stefankova@eesc.europa.eu" TargetMode="External"/><Relationship Id="rId47" Type="http://schemas.openxmlformats.org/officeDocument/2006/relationships/hyperlink" Target="mailto:Andreas.Berger@eesc.europa.eu" TargetMode="External"/><Relationship Id="rId50" Type="http://schemas.openxmlformats.org/officeDocument/2006/relationships/footer" Target="footer4.xml"/><Relationship Id="rId55" Type="http://schemas.openxmlformats.org/officeDocument/2006/relationships/hyperlink" Target="mailto:Adam.Plezer@eesc.europa.eu" TargetMode="Externa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20Triin%20Aasmaa@eesc.europa.eu" TargetMode="External"/><Relationship Id="rId11" Type="http://schemas.openxmlformats.org/officeDocument/2006/relationships/image" Target="media/image1.jpeg"/><Relationship Id="rId24" Type="http://schemas.openxmlformats.org/officeDocument/2006/relationships/hyperlink" Target="mailto:Gerald.Klec@eesc.europa.eu" TargetMode="External"/><Relationship Id="rId32" Type="http://schemas.openxmlformats.org/officeDocument/2006/relationships/hyperlink" Target="mailto:Agota.Baszik@eesc.europa.eu" TargetMode="External"/><Relationship Id="rId37" Type="http://schemas.openxmlformats.org/officeDocument/2006/relationships/hyperlink" Target="mailto:Dalila.Bernard@eesc.europa.eu" TargetMode="External"/><Relationship Id="rId40" Type="http://schemas.openxmlformats.org/officeDocument/2006/relationships/hyperlink" Target="mailto:Claudia.Drewes-Wran@eesc.europa.eu" TargetMode="External"/><Relationship Id="rId45" Type="http://schemas.openxmlformats.org/officeDocument/2006/relationships/hyperlink" Target="mailto:Arturo.Iniguez@eesc.europa.eu" TargetMode="External"/><Relationship Id="rId53" Type="http://schemas.openxmlformats.org/officeDocument/2006/relationships/footer" Target="footer6.xml"/><Relationship Id="rId58" Type="http://schemas.openxmlformats.org/officeDocument/2006/relationships/customXml" Target="../customXml/item1.xml"/><Relationship Id="rId5" Type="http://schemas.openxmlformats.org/officeDocument/2006/relationships/numbering" Target="numbering.xml"/><Relationship Id="rId61" Type="http://schemas.openxmlformats.org/officeDocument/2006/relationships/customXml" Target="../customXml/item4.xml"/><Relationship Id="rId19" Type="http://schemas.openxmlformats.org/officeDocument/2006/relationships/footer" Target="footer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Georgeos.Meleas@eesc.europa.eu" TargetMode="External"/><Relationship Id="rId27" Type="http://schemas.openxmlformats.org/officeDocument/2006/relationships/hyperlink" Target="mailto:Valeria.Atzori@eesc.europa.eu" TargetMode="External"/><Relationship Id="rId30" Type="http://schemas.openxmlformats.org/officeDocument/2006/relationships/hyperlink" Target="mailto:%20Gemma.Amran@eesc.europa.eu" TargetMode="External"/><Relationship Id="rId35" Type="http://schemas.openxmlformats.org/officeDocument/2006/relationships/hyperlink" Target="mailto:Layla.Reiter@eesc.europa.eu" TargetMode="External"/><Relationship Id="rId43" Type="http://schemas.openxmlformats.org/officeDocument/2006/relationships/hyperlink" Target="mailto:Dalila.Bernard@eesc.europa.eu" TargetMode="External"/><Relationship Id="rId48" Type="http://schemas.openxmlformats.org/officeDocument/2006/relationships/header" Target="header4.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5.xml"/><Relationship Id="rId12" Type="http://schemas.openxmlformats.org/officeDocument/2006/relationships/hyperlink" Target="https://www.eesc.europa.eu/lv/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Georgeos.Meleas@eesc.europa.eu" TargetMode="External"/><Relationship Id="rId33" Type="http://schemas.openxmlformats.org/officeDocument/2006/relationships/hyperlink" Target="mailto:Alessandro.Rizzi@eesc.europa.eu" TargetMode="External"/><Relationship Id="rId38" Type="http://schemas.openxmlformats.org/officeDocument/2006/relationships/hyperlink" Target="mailto:Claudia.Drewes-Wran@eesc.europa.eu" TargetMode="External"/><Relationship Id="rId46" Type="http://schemas.openxmlformats.org/officeDocument/2006/relationships/hyperlink" Target="mailto:Judit.CarrerasGarcia@eesc.europa.eu" TargetMode="External"/><Relationship Id="rId59" Type="http://schemas.openxmlformats.org/officeDocument/2006/relationships/customXml" Target="../customXml/item2.xml"/><Relationship Id="rId20" Type="http://schemas.openxmlformats.org/officeDocument/2006/relationships/hyperlink" Target="mailto:Gerald.Klec@eesc.europa.eu" TargetMode="External"/><Relationship Id="rId41" Type="http://schemas.openxmlformats.org/officeDocument/2006/relationships/hyperlink" Target="mailto:Raquel.FerreiraDaSilva@eesc.europa.eu" TargetMode="External"/><Relationship Id="rId54" Type="http://schemas.openxmlformats.org/officeDocument/2006/relationships/hyperlink" Target="mailto:Ioannis.Diamantopoulos@eesc.europa.eu" TargetMode="Externa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Georgeos.Meleas@eesc.europa.eu" TargetMode="External"/><Relationship Id="rId28" Type="http://schemas.openxmlformats.org/officeDocument/2006/relationships/hyperlink" Target="mailto:Sabrina.Borg@eesc.europa.eu" TargetMode="External"/><Relationship Id="rId36" Type="http://schemas.openxmlformats.org/officeDocument/2006/relationships/hyperlink" Target="mailto:Antonio.RibeiroPereira@eesc.europa.eu" TargetMode="External"/><Relationship Id="rId49" Type="http://schemas.openxmlformats.org/officeDocument/2006/relationships/header" Target="header5.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Layla.Reiter@eesc.europa.eu" TargetMode="External"/><Relationship Id="rId44" Type="http://schemas.openxmlformats.org/officeDocument/2006/relationships/hyperlink" Target="mailto:Marie-Laurence.Drillon@eesc.europa.eu" TargetMode="External"/><Relationship Id="rId52" Type="http://schemas.openxmlformats.org/officeDocument/2006/relationships/header" Target="header6.xml"/><Relationship Id="rId6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6EADD26EE0CA468385E76F4CAC56BA" ma:contentTypeVersion="4" ma:contentTypeDescription="Defines the documents for Document Manager V2" ma:contentTypeScope="" ma:versionID="dc0fa69cc2a991f528bd5b7c516a5e87">
  <xsd:schema xmlns:xsd="http://www.w3.org/2001/XMLSchema" xmlns:xs="http://www.w3.org/2001/XMLSchema" xmlns:p="http://schemas.microsoft.com/office/2006/metadata/properties" xmlns:ns2="1299d781-265f-4ceb-999e-e1eca3df2c90" xmlns:ns3="http://schemas.microsoft.com/sharepoint/v3/fields" xmlns:ns4="4e5ad790-8ffd-4f61-866f-51e1599a4efe" targetNamespace="http://schemas.microsoft.com/office/2006/metadata/properties" ma:root="true" ma:fieldsID="32d1ef0291ab947b1497483d599cc4d6" ns2:_="" ns3:_="" ns4:_="">
    <xsd:import namespace="1299d781-265f-4ceb-999e-e1eca3df2c90"/>
    <xsd:import namespace="http://schemas.microsoft.com/sharepoint/v3/fields"/>
    <xsd:import namespace="4e5ad790-8ffd-4f61-866f-51e1599a4ef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5ad790-8ffd-4f61-866f-51e1599a4efe"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P6FJPSUHKDC2-1050578159-6873</_dlc_DocId>
    <_dlc_DocIdUrl xmlns="1299d781-265f-4ceb-999e-e1eca3df2c90">
      <Url>http://dm2016/eesc/2022/_layouts/15/DocIdRedir.aspx?ID=P6FJPSUHKDC2-1050578159-6873</Url>
      <Description>P6FJPSUHKDC2-1050578159-6873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2022-10-12T12:00:00+00:00</ProductionDate>
    <DocumentNumber xmlns="4e5ad790-8ffd-4f61-866f-51e1599a4efe">3966</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2022-10-26T12:00:00+00:00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11189</FicheNumber>
    <OriginalSender xmlns="1299d781-265f-4ceb-999e-e1eca3df2c90">
      <UserInfo>
        <DisplayName>Skubina Ieva</DisplayName>
        <AccountId>2263</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e5ad790-8ffd-4f61-866f-51e1599a4efe"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43B805C6-061C-4AB5-B497-DFC99342FE98}"/>
</file>

<file path=customXml/itemProps2.xml><?xml version="1.0" encoding="utf-8"?>
<ds:datastoreItem xmlns:ds="http://schemas.openxmlformats.org/officeDocument/2006/customXml" ds:itemID="{045CB17D-FAF8-40C1-B601-88AFDCCD1AD4}"/>
</file>

<file path=customXml/itemProps3.xml><?xml version="1.0" encoding="utf-8"?>
<ds:datastoreItem xmlns:ds="http://schemas.openxmlformats.org/officeDocument/2006/customXml" ds:itemID="{65685FAA-32DE-41CD-A503-0C302024655D}"/>
</file>

<file path=customXml/itemProps4.xml><?xml version="1.0" encoding="utf-8"?>
<ds:datastoreItem xmlns:ds="http://schemas.openxmlformats.org/officeDocument/2006/customXml" ds:itemID="{3600A15E-1105-4038-967D-9B4A38433F46}"/>
</file>

<file path=docProps/app.xml><?xml version="1.0" encoding="utf-8"?>
<Properties xmlns="http://schemas.openxmlformats.org/officeDocument/2006/extended-properties" xmlns:vt="http://schemas.openxmlformats.org/officeDocument/2006/docPropsVTypes">
  <Template>Normal.dotm</Template>
  <TotalTime>24</TotalTime>
  <Pages>31</Pages>
  <Words>10648</Words>
  <Characters>60695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71201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Septembra plenārās sesijas atzinumu kopsavilkums</dc:title>
  <dc:subject>TCD</dc:subject>
  <dc:creator>Nieddu Emma</dc:creator>
  <cp:keywords>EESC-2022-03966-00-00-TCD-TRA-EN</cp:keywords>
  <dc:description>Rapporteur:  - Original language: EN - Date of document: 12-10-2022 - Date of meeting: 30-26-2022 14:30 - External documents:  - Administrator: Mme DAMYANOVA-KERESTELIEVA Ani Alexieva</dc:description>
  <cp:lastModifiedBy>Skubina Ieva</cp:lastModifiedBy>
  <cp:revision>9</cp:revision>
  <cp:lastPrinted>2022-05-02T09:48:00Z</cp:lastPrinted>
  <dcterms:created xsi:type="dcterms:W3CDTF">2022-10-05T15:26:00Z</dcterms:created>
  <dcterms:modified xsi:type="dcterms:W3CDTF">2022-10-12T08:35:00Z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05/10/2022, 29/03/2022, 04/03/2022, 15/12/2021, 13/09/2021, 03/09/2021, 28/06/2021</vt:lpwstr>
  </property>
  <property fmtid="{D5CDD505-2E9C-101B-9397-08002B2CF9AE}" pid="4" name="Pref_Time">
    <vt:lpwstr>16:30:23, 14:21:50, 16:54:06, 17:56:36, 14:13:00, 10:08:10, 08:41:48</vt:lpwstr>
  </property>
  <property fmtid="{D5CDD505-2E9C-101B-9397-08002B2CF9AE}" pid="5" name="Pref_User">
    <vt:lpwstr>amett, jhvi, enied, hnic, amett, enied, enied</vt:lpwstr>
  </property>
  <property fmtid="{D5CDD505-2E9C-101B-9397-08002B2CF9AE}" pid="6" name="Pref_FileName">
    <vt:lpwstr>EESC-2022-03966-00-00-TCD-ORI.docx, EESC-2022-01223-00-00-TCD-ORI.docx, EESC-2022-00391-00-00-TCD-ORI.docx, EESC-2021-05445-00-00-TCD-ORI.docx, EESC-2021-03366-00-01-TCD-ORI.docx, EESC-2021-03366-00-00-TCD-ORI.docx, Synthese des avis Template.docx</vt:lpwstr>
  </property>
  <property fmtid="{D5CDD505-2E9C-101B-9397-08002B2CF9AE}" pid="7" name="ContentTypeId">
    <vt:lpwstr>0x010100EA97B91038054C99906057A708A1480A00626EADD26EE0CA468385E76F4CAC56BA</vt:lpwstr>
  </property>
  <property fmtid="{D5CDD505-2E9C-101B-9397-08002B2CF9AE}" pid="8" name="_dlc_DocIdItemGuid">
    <vt:lpwstr>dc3ba3a8-57f0-45f5-aaaa-65867ce43df5</vt:lpwstr>
  </property>
  <property fmtid="{D5CDD505-2E9C-101B-9397-08002B2CF9AE}" pid="9" name="AvailableTranslations">
    <vt:lpwstr>42;#SL|98a412ae-eb01-49e9-ae3d-585a81724cfc;#33;#IT|0774613c-01ed-4e5d-a25d-11d2388de825;#46;#EL|6d4f4d51-af9b-4650-94b4-4276bee85c91;#44;#LT|a7ff5ce7-6123-4f68-865a-a57c31810414;#11;#FR|d2afafd3-4c81-4f60-8f52-ee33f2f54ff3;#37;#PT|50ccc04a-eadd-42ae-a0cb-acaf45f812ba;#26;#LV|46f7e311-5d9f-4663-b433-18aeccb7ace7;#43;#NL|55c6556c-b4f4-441d-9acf-c498d4f838bd;#32;#DA|5d49c027-8956-412b-aa16-e85a0f96ad0e;#29;#SV|c2ed69e7-a339-43d7-8f22-d93680a92aa0;#34;#SK|46d9fce0-ef79-4f71-b89b-cd6aa82426b8;#54;#ET|ff6c3f4c-b02c-4c3c-ab07-2c37995a7a0a;#41;#CS|72f9705b-0217-4fd3-bea2-cbc7ed80e26e;#22;#DE|f6b31e5a-26fa-4935-b661-318e46daf27e;#30;#PL|1e03da61-4678-4e07-b136-b5024ca9197b;#36;#HU|6b229040-c589-4408-b4c1-4285663d20a8;#4;#EN|f2175f21-25d7-44a3-96da-d6a61b075e1b;#38;#FI|87606a43-d45f-42d6-b8c9-e1a3457db5b7;#40;#BG|1a1b3951-7821-4e6a-85f5-5673fc08bd2c;#45;#RO|feb747a2-64cd-4299-af12-4833ddc30497;#31;#ES|e7a6b05b-ae16-40c8-add9-68b64b03aeba;#55;#HR|2f555653-ed1a-4fe6-8362-9082d95989e5</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3966</vt:i4>
  </property>
  <property fmtid="{D5CDD505-2E9C-101B-9397-08002B2CF9AE}" pid="14" name="DocumentYear">
    <vt:i4>2022</vt:i4>
  </property>
  <property fmtid="{D5CDD505-2E9C-101B-9397-08002B2CF9AE}" pid="15" name="DocumentVersion">
    <vt:i4>0</vt:i4>
  </property>
  <property fmtid="{D5CDD505-2E9C-101B-9397-08002B2CF9AE}" pid="16" name="FicheNumber">
    <vt:i4>11189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25;#TCD|cd9d6eb6-3f4f-424a-b2d1-57c9d450eaaf</vt:lpwstr>
  </property>
  <property fmtid="{D5CDD505-2E9C-101B-9397-08002B2CF9AE}" pid="23" name="RequestingService">
    <vt:lpwstr>Greffe</vt:lpwstr>
  </property>
  <property fmtid="{D5CDD505-2E9C-101B-9397-08002B2CF9AE}" pid="24" name="Confidentiality">
    <vt:lpwstr>9;#Unrestricted|826e22d7-d029-4ec0-a450-0c28ff673572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2022-10-26T12:00:00Z</vt:filetime>
  </property>
  <property fmtid="{D5CDD505-2E9C-101B-9397-08002B2CF9AE}" pid="30" name="AvailableTranslations_0">
    <vt:lpwstr>IT|0774613c-01ed-4e5d-a25d-11d2388de825;PT|50ccc04a-eadd-42ae-a0cb-acaf45f812ba;NL|55c6556c-b4f4-441d-9acf-c498d4f838bd;SV|c2ed69e7-a339-43d7-8f22-d93680a92aa0;ET|ff6c3f4c-b02c-4c3c-ab07-2c37995a7a0a;DE|f6b31e5a-26fa-4935-b661-318e46daf27e;PL|1e03da61-4678-4e07-b136-b5024ca9197b;HU|6b229040-c589-4408-b4c1-4285663d20a8;EN|f2175f21-25d7-44a3-96da-d6a61b075e1b;FI|87606a43-d45f-42d6-b8c9-e1a3457db5b7;ES|e7a6b05b-ae16-40c8-add9-68b64b03aeba</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HU|6b229040-c589-4408-b4c1-4285663d20a8;#33;#IT|0774613c-01ed-4e5d-a25d-11d2388de825;#31;#ES|e7a6b05b-ae16-40c8-add9-68b64b03aeba;#43;#NL|55c6556c-b4f4-441d-9acf-c498d4f838bd;#29;#SV|c2ed69e7-a339-43d7-8f22-d93680a92aa0;#25;#TCD|cd9d6eb6-3f4f-424a-b2d1-57c9d450eaaf;#38;#FI|87606a43-d45f-42d6-b8c9-e1a3457db5b7;#22;#DE|f6b31e5a-26fa-4935-b661-318e46daf27e;#30;#PL|1e03da61-4678-4e07-b136-b5024ca9197b;#54;#ET|ff6c3f4c-b02c-4c3c-ab07-2c37995a7a0a;#51;#SPL-CES|32d8cb1f-c9ec-4365-95c7-8385a18618ac;#9;#Unrestricted|826e22d7-d029-4ec0-a450-0c28ff673572;#7;#TRA|150d2a88-1431-44e6-a8ca-0bb753ab8672;#6;#Final|ea5e6674-7b27-4bac-b091-73adbb394efe;#4;#EN|f2175f21-25d7-44a3-96da-d6a61b075e1b;#1;#EESC|422833ec-8d7e-4e65-8e4e-8bed07ffb729;#37;#PT|50ccc04a-eadd-42ae-a0cb-acaf45f812b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26;#LV|46f7e311-5d9f-4663-b433-18aeccb7ace7</vt:lpwstr>
  </property>
</Properties>
</file>