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70E7" w:rsidR="004D7AC0" w:rsidP="00116A1C" w:rsidRDefault="005458B6" w14:paraId="785AE44C" w14:textId="527DA2DF">
      <w:pPr>
        <w:jc w:val="center"/>
      </w:pPr>
      <w:r>
        <w:rPr>
          <w:noProof/>
          <w:lang w:val="en-US"/>
        </w:rPr>
        <w:drawing>
          <wp:inline distT="0" distB="0" distL="0" distR="0" wp14:anchorId="7D1C3457" wp14:editId="0E0D062B">
            <wp:extent cx="1792605" cy="1239520"/>
            <wp:effectExtent l="0" t="0" r="0" b="0"/>
            <wp:docPr id="2" name="Picture 2" title="EESCLogo_NL"/>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lang w:val="en-US"/>
        </w:rPr>
        <mc:AlternateContent>
          <mc:Choice Requires="wps">
            <w:drawing>
              <wp:anchor distT="0" distB="0" distL="114300" distR="114300" simplePos="0" relativeHeight="251659264" behindDoc="1" locked="0" layoutInCell="0" allowOverlap="1" wp14:editId="38DE2645" wp14:anchorId="6005041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6B4ED9" w:rsidP="004D7AC0" w:rsidRDefault="006B4ED9" w14:paraId="2AA40ECF" w14:textId="77777777">
                            <w:pPr>
                              <w:jc w:val="center"/>
                              <w:rPr>
                                <w:rFonts w:ascii="Arial" w:hAnsi="Arial" w:cs="Arial"/>
                                <w:b/>
                                <w:bCs/>
                                <w:sz w:val="48"/>
                              </w:rPr>
                            </w:pPr>
                            <w:r>
                              <w:rPr>
                                <w:rFonts w:ascii="Arial" w:hAnsi="Arial"/>
                                <w:b/>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050413">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6B4ED9" w:rsidP="004D7AC0" w:rsidRDefault="006B4ED9" w14:paraId="2AA40ECF" w14:textId="77777777">
                      <w:pPr>
                        <w:jc w:val="center"/>
                        <w:rPr>
                          <w:rFonts w:ascii="Arial" w:hAnsi="Arial" w:cs="Arial"/>
                          <w:b/>
                          <w:bCs/>
                          <w:sz w:val="48"/>
                        </w:rPr>
                      </w:pPr>
                      <w:r>
                        <w:rPr>
                          <w:rFonts w:ascii="Arial" w:hAnsi="Arial"/>
                          <w:b/>
                          <w:sz w:val="48"/>
                        </w:rPr>
                        <w:t>NL</w:t>
                      </w:r>
                    </w:p>
                  </w:txbxContent>
                </v:textbox>
                <w10:wrap anchorx="page" anchory="page"/>
              </v:shape>
            </w:pict>
          </mc:Fallback>
        </mc:AlternateContent>
      </w:r>
    </w:p>
    <w:p w:rsidRPr="009B70E7" w:rsidR="004D7AC0" w:rsidP="00116A1C" w:rsidRDefault="004D7AC0" w14:paraId="51F52D79" w14:textId="77777777"/>
    <w:p w:rsidRPr="009B70E7" w:rsidR="004D7AC0" w:rsidP="00116A1C" w:rsidRDefault="00014C93" w14:paraId="45DE4A28" w14:textId="0EE2E322">
      <w:pPr>
        <w:jc w:val="right"/>
      </w:pPr>
      <w:r>
        <w:t>Brussel, 27 juli 2022</w:t>
      </w:r>
    </w:p>
    <w:p w:rsidRPr="009B70E7" w:rsidR="004D7AC0" w:rsidRDefault="004D7AC0" w14:paraId="7BCFBA24" w14:textId="77777777"/>
    <w:p w:rsidRPr="009B70E7" w:rsidR="004D7AC0" w:rsidRDefault="004D7AC0" w14:paraId="6B250092" w14:textId="77777777"/>
    <w:p w:rsidRPr="009B70E7" w:rsidR="004D7AC0" w:rsidRDefault="004D7AC0" w14:paraId="0593C6DF" w14:textId="77777777">
      <w:bookmarkStart w:name="_GoBack" w:id="0"/>
      <w:bookmarkEnd w:id="0"/>
    </w:p>
    <w:tbl>
      <w:tblPr>
        <w:tblW w:w="0" w:type="auto"/>
        <w:tblLook w:val="04A0" w:firstRow="1" w:lastRow="0" w:firstColumn="1" w:lastColumn="0" w:noHBand="0" w:noVBand="1"/>
      </w:tblPr>
      <w:tblGrid>
        <w:gridCol w:w="9289"/>
      </w:tblGrid>
      <w:tr w:rsidRPr="009B70E7" w:rsidR="004D7AC0" w:rsidTr="00662436" w14:paraId="6D7B3453" w14:textId="77777777">
        <w:tc>
          <w:tcPr>
            <w:tcW w:w="9289" w:type="dxa"/>
            <w:tcBorders>
              <w:bottom w:val="double" w:color="auto" w:sz="4" w:space="0"/>
            </w:tcBorders>
          </w:tcPr>
          <w:p w:rsidRPr="009B70E7" w:rsidR="004D7AC0" w:rsidRDefault="00DA2D88" w14:paraId="114106CC" w14:textId="7056469C">
            <w:pPr>
              <w:snapToGrid w:val="0"/>
              <w:jc w:val="center"/>
              <w:rPr>
                <w:rFonts w:eastAsia="MS Mincho"/>
                <w:b/>
                <w:sz w:val="32"/>
                <w:szCs w:val="32"/>
              </w:rPr>
            </w:pPr>
            <w:r>
              <w:rPr>
                <w:b/>
                <w:sz w:val="32"/>
              </w:rPr>
              <w:t>571</w:t>
            </w:r>
            <w:r>
              <w:rPr>
                <w:b/>
                <w:sz w:val="32"/>
                <w:vertAlign w:val="superscript"/>
              </w:rPr>
              <w:t>e</w:t>
            </w:r>
            <w:r>
              <w:rPr>
                <w:b/>
                <w:sz w:val="32"/>
              </w:rPr>
              <w:t xml:space="preserve"> ZITTING</w:t>
            </w:r>
            <w:r>
              <w:rPr>
                <w:b/>
                <w:sz w:val="32"/>
              </w:rPr>
              <w:br/>
            </w:r>
            <w:r>
              <w:rPr>
                <w:b/>
                <w:sz w:val="32"/>
              </w:rPr>
              <w:br/>
              <w:t>13 en 14 juli 2022</w:t>
            </w:r>
            <w:r>
              <w:rPr>
                <w:b/>
                <w:sz w:val="32"/>
              </w:rPr>
              <w:br/>
            </w:r>
            <w:r>
              <w:rPr>
                <w:b/>
                <w:sz w:val="32"/>
              </w:rPr>
              <w:br/>
              <w:t xml:space="preserve">SAMENVATTING VAN DE GOEDGEKEURDE ADVIEZEN EN RESOLUTIES EN VAN DE INFORMATIEVE RAPPORTEN EN EVALUATIEVERSLAGEN </w:t>
            </w:r>
          </w:p>
          <w:p w:rsidRPr="009B70E7" w:rsidR="004D7AC0" w:rsidRDefault="004D7AC0" w14:paraId="06AE72EA" w14:textId="77777777">
            <w:pPr>
              <w:snapToGrid w:val="0"/>
            </w:pPr>
          </w:p>
        </w:tc>
      </w:tr>
      <w:tr w:rsidRPr="009B70E7" w:rsidR="004D7AC0" w:rsidTr="00662436" w14:paraId="45EAB22F" w14:textId="77777777">
        <w:tc>
          <w:tcPr>
            <w:tcW w:w="9289" w:type="dxa"/>
            <w:tcBorders>
              <w:top w:val="double" w:color="auto" w:sz="4" w:space="0"/>
              <w:left w:val="double" w:color="auto" w:sz="4" w:space="0"/>
              <w:bottom w:val="double" w:color="auto" w:sz="4" w:space="0"/>
              <w:right w:val="double" w:color="auto" w:sz="4" w:space="0"/>
            </w:tcBorders>
          </w:tcPr>
          <w:p w:rsidRPr="009B70E7" w:rsidR="004D7AC0" w:rsidRDefault="004D7AC0" w14:paraId="2A9352A2" w14:textId="77777777">
            <w:pPr>
              <w:snapToGrid w:val="0"/>
              <w:jc w:val="center"/>
            </w:pPr>
            <w:r>
              <w:t>Dit document is in de officiële talen te vinden op de website van het EESC:</w:t>
            </w:r>
            <w:r>
              <w:br/>
            </w:r>
            <w:r>
              <w:br/>
            </w:r>
            <w:hyperlink w:history="1" r:id="rId12">
              <w:r>
                <w:rPr>
                  <w:rStyle w:val="Hyperlink"/>
                  <w:highlight w:val="yellow"/>
                </w:rPr>
                <w:t>https://www.eesc.europa.eu/en/our-work/opinions-information-reports/plenary-session-summaries</w:t>
              </w:r>
            </w:hyperlink>
          </w:p>
          <w:p w:rsidRPr="009B70E7" w:rsidR="004D7AC0" w:rsidRDefault="004D7AC0" w14:paraId="70D5DBB4" w14:textId="77777777">
            <w:pPr>
              <w:snapToGrid w:val="0"/>
              <w:jc w:val="center"/>
            </w:pPr>
          </w:p>
          <w:p w:rsidRPr="009B70E7" w:rsidR="004D7AC0" w:rsidRDefault="004D7AC0" w14:paraId="575A73D6" w14:textId="77777777">
            <w:pPr>
              <w:snapToGrid w:val="0"/>
              <w:jc w:val="center"/>
              <w:rPr>
                <w:rFonts w:eastAsia="SimSun"/>
              </w:rPr>
            </w:pPr>
          </w:p>
          <w:p w:rsidRPr="009B70E7" w:rsidR="004D7AC0" w:rsidRDefault="004D7AC0" w14:paraId="441AC4DD" w14:textId="77777777">
            <w:pPr>
              <w:snapToGrid w:val="0"/>
              <w:jc w:val="center"/>
            </w:pPr>
            <w:r>
              <w:t>De genoemde adviezen kunnen online worden geraadpleegd via de zoekmachine van het EESC:</w:t>
            </w:r>
            <w:r>
              <w:br/>
            </w:r>
            <w:hyperlink w:history="1" r:id="rId13">
              <w:r>
                <w:rPr>
                  <w:rStyle w:val="Hyperlink"/>
                </w:rPr>
                <w:t>https://dmsearch.eesc.europa.eu/search/opinion</w:t>
              </w:r>
            </w:hyperlink>
          </w:p>
          <w:p w:rsidRPr="009B70E7" w:rsidR="004D7AC0" w:rsidRDefault="004D7AC0" w14:paraId="51FF303F" w14:textId="77777777">
            <w:pPr>
              <w:snapToGrid w:val="0"/>
              <w:jc w:val="center"/>
            </w:pPr>
          </w:p>
        </w:tc>
      </w:tr>
    </w:tbl>
    <w:p w:rsidRPr="009B70E7" w:rsidR="004D7AC0" w:rsidRDefault="004D7AC0" w14:paraId="57C291FC" w14:textId="77777777"/>
    <w:p w:rsidRPr="009B70E7" w:rsidR="004D7AC0" w:rsidRDefault="004D7AC0" w14:paraId="5E675360" w14:textId="77777777"/>
    <w:p w:rsidR="007B7C40" w:rsidRDefault="007B7C40" w14:paraId="3CF67A1E" w14:textId="77777777">
      <w:pPr>
        <w:sectPr w:rsidR="007B7C40" w:rsidSect="00910972">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rsidRPr="009B70E7" w:rsidR="004D7AC0" w:rsidRDefault="004D7AC0" w14:paraId="56B7AE7C" w14:textId="77777777">
      <w:pPr>
        <w:rPr>
          <w:b/>
        </w:rPr>
      </w:pPr>
    </w:p>
    <w:sdt>
      <w:sdtPr>
        <w:rPr>
          <w:rFonts w:ascii="Times New Roman" w:hAnsi="Times New Roman" w:eastAsia="Times New Roman" w:cs="Times New Roman"/>
          <w:color w:val="auto"/>
          <w:sz w:val="22"/>
          <w:szCs w:val="22"/>
        </w:rPr>
        <w:id w:val="-1759744941"/>
        <w:docPartObj>
          <w:docPartGallery w:val="Table of Contents"/>
          <w:docPartUnique/>
        </w:docPartObj>
      </w:sdtPr>
      <w:sdtEndPr>
        <w:rPr>
          <w:b/>
          <w:bCs/>
          <w:noProof/>
        </w:rPr>
      </w:sdtEndPr>
      <w:sdtContent>
        <w:p w:rsidR="001E6413" w:rsidRDefault="001E6413" w14:paraId="5FAD9FDD" w14:textId="77777777">
          <w:pPr>
            <w:pStyle w:val="TOCHeading"/>
          </w:pPr>
          <w:r>
            <w:t>Inhoud</w:t>
          </w:r>
        </w:p>
        <w:p w:rsidR="003A7ED4" w:rsidRDefault="001E6413" w14:paraId="73E0006D" w14:textId="2CBF68EA">
          <w:pPr>
            <w:pStyle w:val="TOC1"/>
            <w:rPr>
              <w:rFonts w:asciiTheme="minorHAnsi" w:hAnsiTheme="minorHAnsi" w:eastAsiaTheme="minorEastAsia" w:cstheme="minorBidi"/>
              <w:noProof/>
              <w:lang w:val="en-US"/>
            </w:rPr>
          </w:pPr>
          <w:r>
            <w:fldChar w:fldCharType="begin"/>
          </w:r>
          <w:r>
            <w:instrText xml:space="preserve"> TOC \o "1-3" \h \z \u </w:instrText>
          </w:r>
          <w:r>
            <w:fldChar w:fldCharType="separate"/>
          </w:r>
          <w:hyperlink w:history="1" w:anchor="_Toc109806221">
            <w:r w:rsidRPr="002A063C" w:rsidR="003A7ED4">
              <w:rPr>
                <w:rStyle w:val="Hyperlink"/>
                <w:noProof/>
                <w14:scene3d>
                  <w14:camera w14:prst="orthographicFront"/>
                  <w14:lightRig w14:rig="threePt" w14:dir="t">
                    <w14:rot w14:lat="0" w14:lon="0" w14:rev="0"/>
                  </w14:lightRig>
                </w14:scene3d>
              </w:rPr>
              <w:t>1.</w:t>
            </w:r>
            <w:r w:rsidR="003A7ED4">
              <w:rPr>
                <w:rFonts w:asciiTheme="minorHAnsi" w:hAnsiTheme="minorHAnsi" w:eastAsiaTheme="minorEastAsia" w:cstheme="minorBidi"/>
                <w:noProof/>
                <w:lang w:val="en-US"/>
              </w:rPr>
              <w:tab/>
            </w:r>
            <w:r w:rsidRPr="002A063C" w:rsidR="003A7ED4">
              <w:rPr>
                <w:rStyle w:val="Hyperlink"/>
                <w:b/>
                <w:noProof/>
              </w:rPr>
              <w:t>RESOLUTIE OVER DE BIJDRAGE VAN HET EUROPEES ECONOMISCH EN SOCIAAL COMITÉ AAN HET WERKPROGRAMMA VAN DE EUROPESE COMMISSIE VOOR 2023</w:t>
            </w:r>
            <w:r w:rsidR="003A7ED4">
              <w:rPr>
                <w:noProof/>
                <w:webHidden/>
              </w:rPr>
              <w:tab/>
            </w:r>
            <w:r w:rsidR="003A7ED4">
              <w:rPr>
                <w:noProof/>
                <w:webHidden/>
              </w:rPr>
              <w:fldChar w:fldCharType="begin"/>
            </w:r>
            <w:r w:rsidR="003A7ED4">
              <w:rPr>
                <w:noProof/>
                <w:webHidden/>
              </w:rPr>
              <w:instrText xml:space="preserve"> PAGEREF _Toc109806221 \h </w:instrText>
            </w:r>
            <w:r w:rsidR="003A7ED4">
              <w:rPr>
                <w:noProof/>
                <w:webHidden/>
              </w:rPr>
            </w:r>
            <w:r w:rsidR="003A7ED4">
              <w:rPr>
                <w:noProof/>
                <w:webHidden/>
              </w:rPr>
              <w:fldChar w:fldCharType="separate"/>
            </w:r>
            <w:r w:rsidR="003A7ED4">
              <w:rPr>
                <w:noProof/>
                <w:webHidden/>
              </w:rPr>
              <w:t>3</w:t>
            </w:r>
            <w:r w:rsidR="003A7ED4">
              <w:rPr>
                <w:noProof/>
                <w:webHidden/>
              </w:rPr>
              <w:fldChar w:fldCharType="end"/>
            </w:r>
          </w:hyperlink>
        </w:p>
        <w:p w:rsidR="003A7ED4" w:rsidRDefault="0003462B" w14:paraId="737D5C64" w14:textId="59005B51">
          <w:pPr>
            <w:pStyle w:val="TOC1"/>
            <w:rPr>
              <w:rFonts w:asciiTheme="minorHAnsi" w:hAnsiTheme="minorHAnsi" w:eastAsiaTheme="minorEastAsia" w:cstheme="minorBidi"/>
              <w:noProof/>
              <w:lang w:val="en-US"/>
            </w:rPr>
          </w:pPr>
          <w:hyperlink w:history="1" w:anchor="_Toc109806222">
            <w:r w:rsidRPr="002A063C" w:rsidR="003A7ED4">
              <w:rPr>
                <w:rStyle w:val="Hyperlink"/>
                <w:noProof/>
                <w14:scene3d>
                  <w14:camera w14:prst="orthographicFront"/>
                  <w14:lightRig w14:rig="threePt" w14:dir="t">
                    <w14:rot w14:lat="0" w14:lon="0" w14:rev="0"/>
                  </w14:lightRig>
                </w14:scene3d>
              </w:rPr>
              <w:t>2.</w:t>
            </w:r>
            <w:r w:rsidR="003A7ED4">
              <w:rPr>
                <w:rFonts w:asciiTheme="minorHAnsi" w:hAnsiTheme="minorHAnsi" w:eastAsiaTheme="minorEastAsia" w:cstheme="minorBidi"/>
                <w:noProof/>
                <w:lang w:val="en-US"/>
              </w:rPr>
              <w:tab/>
            </w:r>
            <w:r w:rsidRPr="002A063C" w:rsidR="003A7ED4">
              <w:rPr>
                <w:rStyle w:val="Hyperlink"/>
                <w:b/>
                <w:noProof/>
              </w:rPr>
              <w:t>ECONOMISCHE EN MONETAIRE UNIE, ECONOMISCHE EN SOCIALE SAMENHANG</w:t>
            </w:r>
            <w:r w:rsidR="003A7ED4">
              <w:rPr>
                <w:noProof/>
                <w:webHidden/>
              </w:rPr>
              <w:tab/>
            </w:r>
            <w:r w:rsidR="003A7ED4">
              <w:rPr>
                <w:noProof/>
                <w:webHidden/>
              </w:rPr>
              <w:fldChar w:fldCharType="begin"/>
            </w:r>
            <w:r w:rsidR="003A7ED4">
              <w:rPr>
                <w:noProof/>
                <w:webHidden/>
              </w:rPr>
              <w:instrText xml:space="preserve"> PAGEREF _Toc109806222 \h </w:instrText>
            </w:r>
            <w:r w:rsidR="003A7ED4">
              <w:rPr>
                <w:noProof/>
                <w:webHidden/>
              </w:rPr>
            </w:r>
            <w:r w:rsidR="003A7ED4">
              <w:rPr>
                <w:noProof/>
                <w:webHidden/>
              </w:rPr>
              <w:fldChar w:fldCharType="separate"/>
            </w:r>
            <w:r w:rsidR="003A7ED4">
              <w:rPr>
                <w:noProof/>
                <w:webHidden/>
              </w:rPr>
              <w:t>5</w:t>
            </w:r>
            <w:r w:rsidR="003A7ED4">
              <w:rPr>
                <w:noProof/>
                <w:webHidden/>
              </w:rPr>
              <w:fldChar w:fldCharType="end"/>
            </w:r>
          </w:hyperlink>
        </w:p>
        <w:p w:rsidR="003A7ED4" w:rsidRDefault="0003462B" w14:paraId="2B4E5FD7" w14:textId="2437AA6D">
          <w:pPr>
            <w:pStyle w:val="TOC1"/>
            <w:rPr>
              <w:rFonts w:asciiTheme="minorHAnsi" w:hAnsiTheme="minorHAnsi" w:eastAsiaTheme="minorEastAsia" w:cstheme="minorBidi"/>
              <w:noProof/>
              <w:lang w:val="en-US"/>
            </w:rPr>
          </w:pPr>
          <w:hyperlink w:history="1" w:anchor="_Toc109806223">
            <w:r w:rsidRPr="002A063C" w:rsidR="003A7ED4">
              <w:rPr>
                <w:rStyle w:val="Hyperlink"/>
                <w:noProof/>
                <w14:scene3d>
                  <w14:camera w14:prst="orthographicFront"/>
                  <w14:lightRig w14:rig="threePt" w14:dir="t">
                    <w14:rot w14:lat="0" w14:lon="0" w14:rev="0"/>
                  </w14:lightRig>
                </w14:scene3d>
              </w:rPr>
              <w:t>3.</w:t>
            </w:r>
            <w:r w:rsidR="003A7ED4">
              <w:rPr>
                <w:rFonts w:asciiTheme="minorHAnsi" w:hAnsiTheme="minorHAnsi" w:eastAsiaTheme="minorEastAsia" w:cstheme="minorBidi"/>
                <w:noProof/>
                <w:lang w:val="en-US"/>
              </w:rPr>
              <w:tab/>
            </w:r>
            <w:r w:rsidRPr="002A063C" w:rsidR="003A7ED4">
              <w:rPr>
                <w:rStyle w:val="Hyperlink"/>
                <w:b/>
                <w:noProof/>
              </w:rPr>
              <w:t>WERKGELEGENHEID, SOCIALE ZAKEN EN BURGERSCHAP</w:t>
            </w:r>
            <w:r w:rsidR="003A7ED4">
              <w:rPr>
                <w:noProof/>
                <w:webHidden/>
              </w:rPr>
              <w:tab/>
            </w:r>
            <w:r w:rsidR="003A7ED4">
              <w:rPr>
                <w:noProof/>
                <w:webHidden/>
              </w:rPr>
              <w:fldChar w:fldCharType="begin"/>
            </w:r>
            <w:r w:rsidR="003A7ED4">
              <w:rPr>
                <w:noProof/>
                <w:webHidden/>
              </w:rPr>
              <w:instrText xml:space="preserve"> PAGEREF _Toc109806223 \h </w:instrText>
            </w:r>
            <w:r w:rsidR="003A7ED4">
              <w:rPr>
                <w:noProof/>
                <w:webHidden/>
              </w:rPr>
            </w:r>
            <w:r w:rsidR="003A7ED4">
              <w:rPr>
                <w:noProof/>
                <w:webHidden/>
              </w:rPr>
              <w:fldChar w:fldCharType="separate"/>
            </w:r>
            <w:r w:rsidR="003A7ED4">
              <w:rPr>
                <w:noProof/>
                <w:webHidden/>
              </w:rPr>
              <w:t>8</w:t>
            </w:r>
            <w:r w:rsidR="003A7ED4">
              <w:rPr>
                <w:noProof/>
                <w:webHidden/>
              </w:rPr>
              <w:fldChar w:fldCharType="end"/>
            </w:r>
          </w:hyperlink>
        </w:p>
        <w:p w:rsidR="003A7ED4" w:rsidRDefault="0003462B" w14:paraId="78BF8A27" w14:textId="25EE8F15">
          <w:pPr>
            <w:pStyle w:val="TOC1"/>
            <w:rPr>
              <w:rFonts w:asciiTheme="minorHAnsi" w:hAnsiTheme="minorHAnsi" w:eastAsiaTheme="minorEastAsia" w:cstheme="minorBidi"/>
              <w:noProof/>
              <w:lang w:val="en-US"/>
            </w:rPr>
          </w:pPr>
          <w:hyperlink w:history="1" w:anchor="_Toc109806224">
            <w:r w:rsidRPr="002A063C" w:rsidR="003A7ED4">
              <w:rPr>
                <w:rStyle w:val="Hyperlink"/>
                <w:noProof/>
                <w14:scene3d>
                  <w14:camera w14:prst="orthographicFront"/>
                  <w14:lightRig w14:rig="threePt" w14:dir="t">
                    <w14:rot w14:lat="0" w14:lon="0" w14:rev="0"/>
                  </w14:lightRig>
                </w14:scene3d>
              </w:rPr>
              <w:t>4.</w:t>
            </w:r>
            <w:r w:rsidR="003A7ED4">
              <w:rPr>
                <w:rFonts w:asciiTheme="minorHAnsi" w:hAnsiTheme="minorHAnsi" w:eastAsiaTheme="minorEastAsia" w:cstheme="minorBidi"/>
                <w:noProof/>
                <w:lang w:val="en-US"/>
              </w:rPr>
              <w:tab/>
            </w:r>
            <w:r w:rsidRPr="002A063C" w:rsidR="003A7ED4">
              <w:rPr>
                <w:rStyle w:val="Hyperlink"/>
                <w:b/>
                <w:noProof/>
              </w:rPr>
              <w:t>VERVOER, ENERGIE, INFRASTRUCTUUR EN INFORMATIEMAATSCHAPPIJ</w:t>
            </w:r>
            <w:r w:rsidR="003A7ED4">
              <w:rPr>
                <w:noProof/>
                <w:webHidden/>
              </w:rPr>
              <w:tab/>
            </w:r>
            <w:r w:rsidR="003A7ED4">
              <w:rPr>
                <w:noProof/>
                <w:webHidden/>
              </w:rPr>
              <w:fldChar w:fldCharType="begin"/>
            </w:r>
            <w:r w:rsidR="003A7ED4">
              <w:rPr>
                <w:noProof/>
                <w:webHidden/>
              </w:rPr>
              <w:instrText xml:space="preserve"> PAGEREF _Toc109806224 \h </w:instrText>
            </w:r>
            <w:r w:rsidR="003A7ED4">
              <w:rPr>
                <w:noProof/>
                <w:webHidden/>
              </w:rPr>
            </w:r>
            <w:r w:rsidR="003A7ED4">
              <w:rPr>
                <w:noProof/>
                <w:webHidden/>
              </w:rPr>
              <w:fldChar w:fldCharType="separate"/>
            </w:r>
            <w:r w:rsidR="003A7ED4">
              <w:rPr>
                <w:noProof/>
                <w:webHidden/>
              </w:rPr>
              <w:t>11</w:t>
            </w:r>
            <w:r w:rsidR="003A7ED4">
              <w:rPr>
                <w:noProof/>
                <w:webHidden/>
              </w:rPr>
              <w:fldChar w:fldCharType="end"/>
            </w:r>
          </w:hyperlink>
        </w:p>
        <w:p w:rsidR="003A7ED4" w:rsidRDefault="0003462B" w14:paraId="6723EC35" w14:textId="2319B961">
          <w:pPr>
            <w:pStyle w:val="TOC1"/>
            <w:rPr>
              <w:rFonts w:asciiTheme="minorHAnsi" w:hAnsiTheme="minorHAnsi" w:eastAsiaTheme="minorEastAsia" w:cstheme="minorBidi"/>
              <w:noProof/>
              <w:lang w:val="en-US"/>
            </w:rPr>
          </w:pPr>
          <w:hyperlink w:history="1" w:anchor="_Toc109806225">
            <w:r w:rsidRPr="002A063C" w:rsidR="003A7ED4">
              <w:rPr>
                <w:rStyle w:val="Hyperlink"/>
                <w:noProof/>
                <w14:scene3d>
                  <w14:camera w14:prst="orthographicFront"/>
                  <w14:lightRig w14:rig="threePt" w14:dir="t">
                    <w14:rot w14:lat="0" w14:lon="0" w14:rev="0"/>
                  </w14:lightRig>
                </w14:scene3d>
              </w:rPr>
              <w:t>5.</w:t>
            </w:r>
            <w:r w:rsidR="003A7ED4">
              <w:rPr>
                <w:rFonts w:asciiTheme="minorHAnsi" w:hAnsiTheme="minorHAnsi" w:eastAsiaTheme="minorEastAsia" w:cstheme="minorBidi"/>
                <w:noProof/>
                <w:lang w:val="en-US"/>
              </w:rPr>
              <w:tab/>
            </w:r>
            <w:r w:rsidRPr="002A063C" w:rsidR="003A7ED4">
              <w:rPr>
                <w:rStyle w:val="Hyperlink"/>
                <w:b/>
                <w:noProof/>
              </w:rPr>
              <w:t>INTERNE MARKT, PRODUCTIE EN CONSUMPTIE</w:t>
            </w:r>
            <w:r w:rsidR="003A7ED4">
              <w:rPr>
                <w:noProof/>
                <w:webHidden/>
              </w:rPr>
              <w:tab/>
            </w:r>
            <w:r w:rsidR="003A7ED4">
              <w:rPr>
                <w:noProof/>
                <w:webHidden/>
              </w:rPr>
              <w:fldChar w:fldCharType="begin"/>
            </w:r>
            <w:r w:rsidR="003A7ED4">
              <w:rPr>
                <w:noProof/>
                <w:webHidden/>
              </w:rPr>
              <w:instrText xml:space="preserve"> PAGEREF _Toc109806225 \h </w:instrText>
            </w:r>
            <w:r w:rsidR="003A7ED4">
              <w:rPr>
                <w:noProof/>
                <w:webHidden/>
              </w:rPr>
            </w:r>
            <w:r w:rsidR="003A7ED4">
              <w:rPr>
                <w:noProof/>
                <w:webHidden/>
              </w:rPr>
              <w:fldChar w:fldCharType="separate"/>
            </w:r>
            <w:r w:rsidR="003A7ED4">
              <w:rPr>
                <w:noProof/>
                <w:webHidden/>
              </w:rPr>
              <w:t>15</w:t>
            </w:r>
            <w:r w:rsidR="003A7ED4">
              <w:rPr>
                <w:noProof/>
                <w:webHidden/>
              </w:rPr>
              <w:fldChar w:fldCharType="end"/>
            </w:r>
          </w:hyperlink>
        </w:p>
        <w:p w:rsidR="003A7ED4" w:rsidRDefault="0003462B" w14:paraId="682998C6" w14:textId="37D98B01">
          <w:pPr>
            <w:pStyle w:val="TOC1"/>
            <w:rPr>
              <w:rFonts w:asciiTheme="minorHAnsi" w:hAnsiTheme="minorHAnsi" w:eastAsiaTheme="minorEastAsia" w:cstheme="minorBidi"/>
              <w:noProof/>
              <w:lang w:val="en-US"/>
            </w:rPr>
          </w:pPr>
          <w:hyperlink w:history="1" w:anchor="_Toc109806226">
            <w:r w:rsidRPr="002A063C" w:rsidR="003A7ED4">
              <w:rPr>
                <w:rStyle w:val="Hyperlink"/>
                <w:noProof/>
                <w14:scene3d>
                  <w14:camera w14:prst="orthographicFront"/>
                  <w14:lightRig w14:rig="threePt" w14:dir="t">
                    <w14:rot w14:lat="0" w14:lon="0" w14:rev="0"/>
                  </w14:lightRig>
                </w14:scene3d>
              </w:rPr>
              <w:t>6.</w:t>
            </w:r>
            <w:r w:rsidR="003A7ED4">
              <w:rPr>
                <w:rFonts w:asciiTheme="minorHAnsi" w:hAnsiTheme="minorHAnsi" w:eastAsiaTheme="minorEastAsia" w:cstheme="minorBidi"/>
                <w:noProof/>
                <w:lang w:val="en-US"/>
              </w:rPr>
              <w:tab/>
            </w:r>
            <w:r w:rsidRPr="002A063C" w:rsidR="003A7ED4">
              <w:rPr>
                <w:rStyle w:val="Hyperlink"/>
                <w:b/>
                <w:noProof/>
              </w:rPr>
              <w:t>LANDBOUW, PLATTELANDSONTWIKKELING, MILIEU</w:t>
            </w:r>
            <w:r w:rsidR="003A7ED4">
              <w:rPr>
                <w:noProof/>
                <w:webHidden/>
              </w:rPr>
              <w:tab/>
            </w:r>
            <w:r w:rsidR="003A7ED4">
              <w:rPr>
                <w:noProof/>
                <w:webHidden/>
              </w:rPr>
              <w:fldChar w:fldCharType="begin"/>
            </w:r>
            <w:r w:rsidR="003A7ED4">
              <w:rPr>
                <w:noProof/>
                <w:webHidden/>
              </w:rPr>
              <w:instrText xml:space="preserve"> PAGEREF _Toc109806226 \h </w:instrText>
            </w:r>
            <w:r w:rsidR="003A7ED4">
              <w:rPr>
                <w:noProof/>
                <w:webHidden/>
              </w:rPr>
            </w:r>
            <w:r w:rsidR="003A7ED4">
              <w:rPr>
                <w:noProof/>
                <w:webHidden/>
              </w:rPr>
              <w:fldChar w:fldCharType="separate"/>
            </w:r>
            <w:r w:rsidR="003A7ED4">
              <w:rPr>
                <w:noProof/>
                <w:webHidden/>
              </w:rPr>
              <w:t>19</w:t>
            </w:r>
            <w:r w:rsidR="003A7ED4">
              <w:rPr>
                <w:noProof/>
                <w:webHidden/>
              </w:rPr>
              <w:fldChar w:fldCharType="end"/>
            </w:r>
          </w:hyperlink>
        </w:p>
        <w:p w:rsidR="003A7ED4" w:rsidRDefault="0003462B" w14:paraId="1ED6D6DF" w14:textId="00510B67">
          <w:pPr>
            <w:pStyle w:val="TOC1"/>
            <w:rPr>
              <w:rFonts w:asciiTheme="minorHAnsi" w:hAnsiTheme="minorHAnsi" w:eastAsiaTheme="minorEastAsia" w:cstheme="minorBidi"/>
              <w:noProof/>
              <w:lang w:val="en-US"/>
            </w:rPr>
          </w:pPr>
          <w:hyperlink w:history="1" w:anchor="_Toc109806227">
            <w:r w:rsidRPr="002A063C" w:rsidR="003A7ED4">
              <w:rPr>
                <w:rStyle w:val="Hyperlink"/>
                <w:noProof/>
                <w14:scene3d>
                  <w14:camera w14:prst="orthographicFront"/>
                  <w14:lightRig w14:rig="threePt" w14:dir="t">
                    <w14:rot w14:lat="0" w14:lon="0" w14:rev="0"/>
                  </w14:lightRig>
                </w14:scene3d>
              </w:rPr>
              <w:t>7.</w:t>
            </w:r>
            <w:r w:rsidR="003A7ED4">
              <w:rPr>
                <w:rFonts w:asciiTheme="minorHAnsi" w:hAnsiTheme="minorHAnsi" w:eastAsiaTheme="minorEastAsia" w:cstheme="minorBidi"/>
                <w:noProof/>
                <w:lang w:val="en-US"/>
              </w:rPr>
              <w:tab/>
            </w:r>
            <w:r w:rsidRPr="002A063C" w:rsidR="003A7ED4">
              <w:rPr>
                <w:rStyle w:val="Hyperlink"/>
                <w:b/>
                <w:noProof/>
              </w:rPr>
              <w:t>EXTERNE BETREKKINGEN</w:t>
            </w:r>
            <w:r w:rsidR="003A7ED4">
              <w:rPr>
                <w:noProof/>
                <w:webHidden/>
              </w:rPr>
              <w:tab/>
            </w:r>
            <w:r w:rsidR="003A7ED4">
              <w:rPr>
                <w:noProof/>
                <w:webHidden/>
              </w:rPr>
              <w:fldChar w:fldCharType="begin"/>
            </w:r>
            <w:r w:rsidR="003A7ED4">
              <w:rPr>
                <w:noProof/>
                <w:webHidden/>
              </w:rPr>
              <w:instrText xml:space="preserve"> PAGEREF _Toc109806227 \h </w:instrText>
            </w:r>
            <w:r w:rsidR="003A7ED4">
              <w:rPr>
                <w:noProof/>
                <w:webHidden/>
              </w:rPr>
            </w:r>
            <w:r w:rsidR="003A7ED4">
              <w:rPr>
                <w:noProof/>
                <w:webHidden/>
              </w:rPr>
              <w:fldChar w:fldCharType="separate"/>
            </w:r>
            <w:r w:rsidR="003A7ED4">
              <w:rPr>
                <w:noProof/>
                <w:webHidden/>
              </w:rPr>
              <w:t>22</w:t>
            </w:r>
            <w:r w:rsidR="003A7ED4">
              <w:rPr>
                <w:noProof/>
                <w:webHidden/>
              </w:rPr>
              <w:fldChar w:fldCharType="end"/>
            </w:r>
          </w:hyperlink>
        </w:p>
        <w:p w:rsidR="003A7ED4" w:rsidRDefault="0003462B" w14:paraId="32FDF4EA" w14:textId="0CCECAC6">
          <w:pPr>
            <w:pStyle w:val="TOC1"/>
            <w:rPr>
              <w:rFonts w:asciiTheme="minorHAnsi" w:hAnsiTheme="minorHAnsi" w:eastAsiaTheme="minorEastAsia" w:cstheme="minorBidi"/>
              <w:noProof/>
              <w:lang w:val="en-US"/>
            </w:rPr>
          </w:pPr>
          <w:hyperlink w:history="1" w:anchor="_Toc109806228">
            <w:r w:rsidRPr="002A063C" w:rsidR="003A7ED4">
              <w:rPr>
                <w:rStyle w:val="Hyperlink"/>
                <w:noProof/>
                <w14:scene3d>
                  <w14:camera w14:prst="orthographicFront"/>
                  <w14:lightRig w14:rig="threePt" w14:dir="t">
                    <w14:rot w14:lat="0" w14:lon="0" w14:rev="0"/>
                  </w14:lightRig>
                </w14:scene3d>
              </w:rPr>
              <w:t>8.</w:t>
            </w:r>
            <w:r w:rsidR="003A7ED4">
              <w:rPr>
                <w:rFonts w:asciiTheme="minorHAnsi" w:hAnsiTheme="minorHAnsi" w:eastAsiaTheme="minorEastAsia" w:cstheme="minorBidi"/>
                <w:noProof/>
                <w:lang w:val="en-US"/>
              </w:rPr>
              <w:tab/>
            </w:r>
            <w:r w:rsidRPr="002A063C" w:rsidR="003A7ED4">
              <w:rPr>
                <w:rStyle w:val="Hyperlink"/>
                <w:b/>
                <w:noProof/>
              </w:rPr>
              <w:t>ADVIESCOMMISSIE INDUSTRIËLE RECONVERSIE</w:t>
            </w:r>
            <w:r w:rsidR="003A7ED4">
              <w:rPr>
                <w:noProof/>
                <w:webHidden/>
              </w:rPr>
              <w:tab/>
            </w:r>
            <w:r w:rsidR="003A7ED4">
              <w:rPr>
                <w:noProof/>
                <w:webHidden/>
              </w:rPr>
              <w:fldChar w:fldCharType="begin"/>
            </w:r>
            <w:r w:rsidR="003A7ED4">
              <w:rPr>
                <w:noProof/>
                <w:webHidden/>
              </w:rPr>
              <w:instrText xml:space="preserve"> PAGEREF _Toc109806228 \h </w:instrText>
            </w:r>
            <w:r w:rsidR="003A7ED4">
              <w:rPr>
                <w:noProof/>
                <w:webHidden/>
              </w:rPr>
            </w:r>
            <w:r w:rsidR="003A7ED4">
              <w:rPr>
                <w:noProof/>
                <w:webHidden/>
              </w:rPr>
              <w:fldChar w:fldCharType="separate"/>
            </w:r>
            <w:r w:rsidR="003A7ED4">
              <w:rPr>
                <w:noProof/>
                <w:webHidden/>
              </w:rPr>
              <w:t>25</w:t>
            </w:r>
            <w:r w:rsidR="003A7ED4">
              <w:rPr>
                <w:noProof/>
                <w:webHidden/>
              </w:rPr>
              <w:fldChar w:fldCharType="end"/>
            </w:r>
          </w:hyperlink>
        </w:p>
        <w:p w:rsidR="001E6413" w:rsidRDefault="001E6413" w14:paraId="684BFB9B" w14:textId="730DCF8B">
          <w:r>
            <w:rPr>
              <w:b/>
            </w:rPr>
            <w:fldChar w:fldCharType="end"/>
          </w:r>
        </w:p>
      </w:sdtContent>
    </w:sdt>
    <w:p w:rsidRPr="009B70E7" w:rsidR="004D7AC0" w:rsidRDefault="004D7AC0" w14:paraId="4600634B" w14:textId="77777777"/>
    <w:p w:rsidRPr="00D13F40" w:rsidR="00D13F40" w:rsidP="00910972" w:rsidRDefault="004D7AC0" w14:paraId="17EE0300" w14:textId="77777777">
      <w:pPr>
        <w:pStyle w:val="Heading1"/>
        <w:ind w:left="567" w:hanging="567"/>
        <w:rPr>
          <w:b/>
          <w:bCs/>
          <w:iCs/>
        </w:rPr>
      </w:pPr>
      <w:r>
        <w:br w:type="page"/>
      </w:r>
      <w:bookmarkStart w:name="_Toc109806221" w:id="1"/>
      <w:r>
        <w:rPr>
          <w:b/>
        </w:rPr>
        <w:lastRenderedPageBreak/>
        <w:t>RESOLUTIE OVER DE BIJDRAGE VAN HET EUROPEES ECONOMISCH EN SOCIAAL COMITÉ AAN HET WERKPROGRAMMA VAN DE EUROPESE COMMISSIE VOOR 2023</w:t>
      </w:r>
      <w:bookmarkEnd w:id="1"/>
    </w:p>
    <w:p w:rsidRPr="00EC533C" w:rsidR="00D13F40" w:rsidP="00D13F40" w:rsidRDefault="00D13F40" w14:paraId="20F5C6CE" w14:textId="77777777">
      <w:pPr>
        <w:rPr>
          <w:b/>
        </w:rPr>
      </w:pPr>
    </w:p>
    <w:p w:rsidRPr="0059551E" w:rsidR="00D13F40" w:rsidP="002C1BC2" w:rsidRDefault="0059551E" w14:paraId="0FD8A255" w14:textId="0FCD5100">
      <w:pPr>
        <w:keepNext/>
        <w:keepLines/>
        <w:numPr>
          <w:ilvl w:val="0"/>
          <w:numId w:val="5"/>
        </w:numPr>
        <w:overflowPunct w:val="0"/>
        <w:autoSpaceDE w:val="0"/>
        <w:autoSpaceDN w:val="0"/>
        <w:adjustRightInd w:val="0"/>
        <w:ind w:left="567" w:hanging="567"/>
        <w:textAlignment w:val="baseline"/>
        <w:rPr>
          <w:b/>
          <w:i/>
          <w:sz w:val="28"/>
          <w:szCs w:val="28"/>
        </w:rPr>
      </w:pPr>
      <w:r>
        <w:rPr>
          <w:b/>
          <w:i/>
          <w:sz w:val="28"/>
        </w:rPr>
        <w:t>Bijdrage aan het werkprogramma van de Europese Commissie voor 2023</w:t>
      </w:r>
    </w:p>
    <w:p w:rsidRPr="00032038" w:rsidR="00D13F40" w:rsidP="00D13F40" w:rsidRDefault="00D13F40" w14:paraId="04D85406" w14:textId="77777777">
      <w:pPr>
        <w:contextualSpacing/>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2"/>
        <w:gridCol w:w="6096"/>
      </w:tblGrid>
      <w:tr w:rsidRPr="00032038" w:rsidR="00D13F40" w:rsidTr="00D13F40" w14:paraId="1EF331B0" w14:textId="77777777">
        <w:tc>
          <w:tcPr>
            <w:tcW w:w="1701" w:type="dxa"/>
          </w:tcPr>
          <w:p w:rsidRPr="00032038" w:rsidR="00D13F40" w:rsidP="00D13F40" w:rsidRDefault="00D13F40" w14:paraId="7A1C260B" w14:textId="77777777">
            <w:pPr>
              <w:contextualSpacing/>
              <w:rPr>
                <w:b/>
              </w:rPr>
            </w:pPr>
            <w:r>
              <w:rPr>
                <w:b/>
              </w:rPr>
              <w:t>Rapporteurs</w:t>
            </w:r>
          </w:p>
        </w:tc>
        <w:tc>
          <w:tcPr>
            <w:tcW w:w="6096" w:type="dxa"/>
          </w:tcPr>
          <w:p w:rsidRPr="00032038" w:rsidR="00D13F40" w:rsidP="00D13F40" w:rsidRDefault="00D13F40" w14:paraId="24EC7938" w14:textId="77777777">
            <w:pPr>
              <w:ind w:left="-108"/>
              <w:contextualSpacing/>
            </w:pPr>
            <w:r>
              <w:t>Mariya MINCHEVA (groep Werkgevers – BG)</w:t>
            </w:r>
          </w:p>
        </w:tc>
      </w:tr>
      <w:tr w:rsidRPr="00032038" w:rsidR="00D13F40" w:rsidTr="00D13F40" w14:paraId="12B0AF8A" w14:textId="77777777">
        <w:tc>
          <w:tcPr>
            <w:tcW w:w="1701" w:type="dxa"/>
          </w:tcPr>
          <w:p w:rsidRPr="00032038" w:rsidR="00D13F40" w:rsidP="00D13F40" w:rsidRDefault="00D13F40" w14:paraId="72C5E654" w14:textId="77777777">
            <w:pPr>
              <w:contextualSpacing/>
              <w:rPr>
                <w:b/>
              </w:rPr>
            </w:pPr>
          </w:p>
        </w:tc>
        <w:tc>
          <w:tcPr>
            <w:tcW w:w="6096" w:type="dxa"/>
          </w:tcPr>
          <w:p w:rsidRPr="0022407C" w:rsidR="00D13F40" w:rsidP="00D13F40" w:rsidRDefault="00D13F40" w14:paraId="2D2229F7" w14:textId="77777777">
            <w:pPr>
              <w:ind w:left="-108"/>
              <w:contextualSpacing/>
            </w:pPr>
            <w:r>
              <w:t>Stefano PALMIERI (groep Werknemers – IT)</w:t>
            </w:r>
          </w:p>
        </w:tc>
      </w:tr>
      <w:tr w:rsidRPr="00032038" w:rsidR="00D13F40" w:rsidTr="00D13F40" w14:paraId="3C4184F3" w14:textId="77777777">
        <w:tc>
          <w:tcPr>
            <w:tcW w:w="1701" w:type="dxa"/>
          </w:tcPr>
          <w:p w:rsidRPr="00032038" w:rsidR="00D13F40" w:rsidP="00D13F40" w:rsidRDefault="00D13F40" w14:paraId="1F4B0D90" w14:textId="77777777">
            <w:pPr>
              <w:contextualSpacing/>
              <w:rPr>
                <w:b/>
              </w:rPr>
            </w:pPr>
          </w:p>
        </w:tc>
        <w:tc>
          <w:tcPr>
            <w:tcW w:w="6096" w:type="dxa"/>
          </w:tcPr>
          <w:p w:rsidR="00D13F40" w:rsidP="00D13F40" w:rsidRDefault="00D13F40" w14:paraId="1D540B48" w14:textId="77777777">
            <w:pPr>
              <w:ind w:left="-108"/>
              <w:contextualSpacing/>
            </w:pPr>
            <w:r>
              <w:t>Kinga JOÓ (groep Maatschappelijke Organisaties – HU)</w:t>
            </w:r>
          </w:p>
        </w:tc>
      </w:tr>
      <w:tr w:rsidRPr="00032038" w:rsidR="00D13F40" w:rsidTr="00D13F40" w14:paraId="75A8EBEE" w14:textId="77777777">
        <w:tc>
          <w:tcPr>
            <w:tcW w:w="7797" w:type="dxa"/>
            <w:gridSpan w:val="2"/>
          </w:tcPr>
          <w:p w:rsidRPr="00032038" w:rsidR="00D13F40" w:rsidP="00D13F40" w:rsidRDefault="00D13F40" w14:paraId="3896362B" w14:textId="77777777">
            <w:pPr>
              <w:contextualSpacing/>
              <w:rPr>
                <w:lang w:val="fr-BE"/>
              </w:rPr>
            </w:pPr>
          </w:p>
        </w:tc>
      </w:tr>
      <w:tr w:rsidRPr="00032038" w:rsidR="00D13F40" w:rsidTr="00D13F40" w14:paraId="67EE6EF8" w14:textId="77777777">
        <w:tc>
          <w:tcPr>
            <w:tcW w:w="1701" w:type="dxa"/>
          </w:tcPr>
          <w:p w:rsidRPr="00032038" w:rsidR="00D13F40" w:rsidP="00D13F40" w:rsidRDefault="00D13F40" w14:paraId="6C700145" w14:textId="77777777">
            <w:pPr>
              <w:contextualSpacing/>
              <w:rPr>
                <w:b/>
              </w:rPr>
            </w:pPr>
            <w:r>
              <w:rPr>
                <w:b/>
              </w:rPr>
              <w:t xml:space="preserve">Referentiedocument </w:t>
            </w:r>
          </w:p>
        </w:tc>
        <w:tc>
          <w:tcPr>
            <w:tcW w:w="6096" w:type="dxa"/>
          </w:tcPr>
          <w:p w:rsidRPr="00032038" w:rsidR="00D13F40" w:rsidP="00910972" w:rsidRDefault="00F6297B" w14:paraId="79F9318A" w14:textId="403B185E">
            <w:pPr>
              <w:tabs>
                <w:tab w:val="center" w:pos="284"/>
              </w:tabs>
              <w:ind w:left="266" w:hanging="374"/>
            </w:pPr>
            <w:r>
              <w:t>EESC-2022-02408-00-00-RES-TRA</w:t>
            </w:r>
          </w:p>
        </w:tc>
      </w:tr>
    </w:tbl>
    <w:p w:rsidRPr="00032038" w:rsidR="00D13F40" w:rsidP="00D13F40" w:rsidRDefault="00D13F40" w14:paraId="41241967" w14:textId="77777777">
      <w:pPr>
        <w:contextualSpacing/>
        <w:rPr>
          <w:b/>
        </w:rPr>
      </w:pPr>
    </w:p>
    <w:p w:rsidRPr="0086045C" w:rsidR="00D13F40" w:rsidP="00D13F40" w:rsidRDefault="00D13F40" w14:paraId="20EF612E" w14:textId="2C581C0B">
      <w:pPr>
        <w:pStyle w:val="ListParagraph"/>
        <w:spacing w:line="240" w:lineRule="auto"/>
        <w:ind w:left="-142" w:firstLine="142"/>
        <w:rPr>
          <w:b/>
        </w:rPr>
      </w:pPr>
      <w:r>
        <w:rPr>
          <w:b/>
        </w:rPr>
        <w:t>Hoofdpunten</w:t>
      </w:r>
    </w:p>
    <w:p w:rsidRPr="00032038" w:rsidR="00D13F40" w:rsidP="00D13F40" w:rsidRDefault="00D13F40" w14:paraId="1A6FF69B" w14:textId="77777777">
      <w:pPr>
        <w:contextualSpacing/>
        <w:rPr>
          <w:lang w:val="fr-FR"/>
        </w:rPr>
      </w:pPr>
    </w:p>
    <w:p w:rsidRPr="00032038" w:rsidR="00D13F40" w:rsidP="00D13F40" w:rsidRDefault="00D13F40" w14:paraId="54546A6E" w14:textId="77777777">
      <w:pPr>
        <w:numPr>
          <w:ilvl w:val="0"/>
          <w:numId w:val="3"/>
        </w:numPr>
        <w:overflowPunct w:val="0"/>
        <w:autoSpaceDE w:val="0"/>
        <w:autoSpaceDN w:val="0"/>
        <w:adjustRightInd w:val="0"/>
        <w:ind w:left="357" w:hanging="357"/>
        <w:textAlignment w:val="baseline"/>
        <w:rPr>
          <w:bCs/>
          <w:iCs/>
        </w:rPr>
      </w:pPr>
      <w:r>
        <w:t>Het EESC dringt erop aan dat bij de strategische prognoseactiviteiten veel meer aandacht wordt besteed aan de geopolitieke ontwikkelingen. De opeenvolgende schokken hebben laten zien hoe belangrijk het is de Europese economie veerkrachtiger te maken en de secundaire effecten van verschillende crises op te vangen (inflatie, stijgingen van energie- en grondstoffenprijzen, leveringstekorten, verstoringen van de toeleveringsketens). Om het herstel na de crises te stimuleren, moeten de Commissie en de lidstaten beleid en initiatieven vaststellen en nastreven die tegelijkertijd economische, sociale en milieuvoordelen opleveren, d.w.z. het bedrijfsklimaat en de arbeids- en levensomstandigheden verbeteren en de transitie naar een klimaatneutrale en circulaire economie bevorderen.</w:t>
      </w:r>
    </w:p>
    <w:p w:rsidRPr="00032038" w:rsidR="00D13F40" w:rsidP="00D13F40" w:rsidRDefault="00D13F40" w14:paraId="4583DACC" w14:textId="77777777">
      <w:pPr>
        <w:numPr>
          <w:ilvl w:val="0"/>
          <w:numId w:val="3"/>
        </w:numPr>
        <w:overflowPunct w:val="0"/>
        <w:autoSpaceDE w:val="0"/>
        <w:autoSpaceDN w:val="0"/>
        <w:adjustRightInd w:val="0"/>
        <w:ind w:left="357" w:hanging="357"/>
        <w:textAlignment w:val="baseline"/>
        <w:rPr>
          <w:bCs/>
          <w:iCs/>
        </w:rPr>
      </w:pPr>
      <w:r>
        <w:t>Het herstel van de EU en haar weerbaarheid tegen crises is onlosmakelijk verbonden met duurzame groei, sociale convergentie en een positieve ontwikkeling van de werkgelegenheid en de arbeidsvoorwaarden, in overeenstemming met de Europese Green Deal, de Europese pijler van sociale rechten en het bijbehorende actieplan, en de duurzameontwikkelingsdoelstellingen. Daarom vraagt het EESC om een herzien en evenwichtiger kader voor economische governance dat op welvaart is gericht. Verdieping van de economische en monetaire unie gaat hand in hand met versterking van de economische governance, onder meer door voltooiing van de bankenunie en de kapitaalmarktenunie en versterking van de rol van het Europees Semester bij het bevorderen van groei, cohesie, inclusiviteit, concurrentievermogen en convergentie.</w:t>
      </w:r>
    </w:p>
    <w:p w:rsidR="00D13F40" w:rsidP="00D13F40" w:rsidRDefault="00D13F40" w14:paraId="6E6D9FF8" w14:textId="77777777">
      <w:pPr>
        <w:numPr>
          <w:ilvl w:val="0"/>
          <w:numId w:val="3"/>
        </w:numPr>
        <w:overflowPunct w:val="0"/>
        <w:autoSpaceDE w:val="0"/>
        <w:autoSpaceDN w:val="0"/>
        <w:adjustRightInd w:val="0"/>
        <w:ind w:left="357" w:hanging="357"/>
        <w:textAlignment w:val="baseline"/>
      </w:pPr>
      <w:r>
        <w:t>De Europese samenlevingen waren al zwaar getroffen door de pandemie en de crisis in Oekraïne is een nieuwe enorme schok, die vooral de meest kwetsbare mensen in onze samenleving treft. Solidariteit en sociale convergentie moeten ook de leidraad zijn van het toekomstige EU-beleid: de reactie op de oorlog in Oekraïne zal door iedereen in zijn portemonnee worden gevoeld en wij moeten ervoor zorgen dat deze lasten op billijke wijze worden verdeeld. De lidstaten van de EU moeten over voldoende begrotingsruimte beschikken om de negatieve economische en sociale gevolgen op te vangen. Tegen deze achtergrond waarschuwt het EESC er nogmaals voor om de algemene ontsnappingsclausule niet voortijdig buiten werking te stellen. De Europese Commissie zou verdere besprekingen met de lidstaten kunnen voeren over mogelijke instrumenten voor de lange termijn, zoals systemen voor de herverzekering van werkloosheidsuitkeringen, teneinde de systeemproblemen aan te pakken die door de huidige crisis alleen maar erger zijn geworden. De effecten en het mogelijke verdere gebruik van het SURE-instrument moeten ook met de sociale partners worden bestudeerd en besproken.</w:t>
      </w:r>
    </w:p>
    <w:p w:rsidRPr="0086045C" w:rsidR="00D13F40" w:rsidP="00D13F40" w:rsidRDefault="00D13F40" w14:paraId="7E9EE174" w14:textId="77777777">
      <w:pPr>
        <w:numPr>
          <w:ilvl w:val="0"/>
          <w:numId w:val="3"/>
        </w:numPr>
        <w:overflowPunct w:val="0"/>
        <w:autoSpaceDE w:val="0"/>
        <w:autoSpaceDN w:val="0"/>
        <w:adjustRightInd w:val="0"/>
        <w:ind w:left="357" w:hanging="357"/>
        <w:textAlignment w:val="baseline"/>
      </w:pPr>
      <w:r>
        <w:t xml:space="preserve">Het energiebeleid van de EU moet realistisch zijn en helpen de energie-unie op te bouwen en de klimaatdoelstellingen te verwezenlijken zonder kwetsbare consumenten en werknemers extra te </w:t>
      </w:r>
      <w:r>
        <w:lastRenderedPageBreak/>
        <w:t>belasten en zonder het concurrentievermogen van het Europese bedrijfsleven te ondermijnen. De EU moet werk maken van haar ambitieuze klimaatdoelstellingen en tegelijkertijd de stabiliteit en de continuïteit van de energievoorziening waarborgen tegen een prijs die betaalbaar is voor bedrijven en burgers. Om het welslagen van het proces te garanderen, moeten er voldoende particuliere en publieke investeringen worden aangetrokken.</w:t>
      </w:r>
    </w:p>
    <w:p w:rsidRPr="00361E48" w:rsidR="00D13F40" w:rsidP="00D13F40" w:rsidRDefault="00D13F40" w14:paraId="303C22CA" w14:textId="77777777">
      <w:pPr>
        <w:numPr>
          <w:ilvl w:val="0"/>
          <w:numId w:val="3"/>
        </w:numPr>
        <w:overflowPunct w:val="0"/>
        <w:autoSpaceDE w:val="0"/>
        <w:autoSpaceDN w:val="0"/>
        <w:adjustRightInd w:val="0"/>
        <w:ind w:left="357" w:hanging="357"/>
        <w:textAlignment w:val="baseline"/>
      </w:pPr>
      <w:r>
        <w:t>Het is van vitaal belang de EU-behoeften op de lange termijn, zoals klimaatneutraliteit tegen 2050 en bestrijding van armoede en sociale uitsluiting niet uit het oog te verliezen, om burgers een succesvolle toekomst te kunnen garanderen. De EU moet ook de capaciteit van de gezondheidssector versterken, in de zin van beter onderzoek en methodes om het hoofd te bieden aan zowel de stijgende zorgvraag als mogelijke toekomstige pandemieën. Duurzame ontwikkeling moet de overkoepelende en essentiële doelstelling van alle beleidslijnen, programma’s en maatregelen zijn. Het EESC heeft zijn steun uitgesproken voor de uitvoering van de Europese Green Deal en erop gewezen dat dit op een sociaal rechtvaardige manier moet gebeuren, met als uitgangspunt dat in Europa de voedselzekerheid en de energievoorzieningszekerheid tegen betaalbare prijzen gewaarborgd moeten zijn. Het is van vitaal belang om burgers en groepen van belanghebbenden te ondersteunen bij hun inspanningen om actief deel te nemen aan de transitie naar een koolstofarme samenleving.</w:t>
      </w:r>
    </w:p>
    <w:p w:rsidR="00D13F40" w:rsidP="00D13F40" w:rsidRDefault="00D13F40" w14:paraId="0E0F7EC5" w14:textId="77777777">
      <w:pPr>
        <w:numPr>
          <w:ilvl w:val="0"/>
          <w:numId w:val="3"/>
        </w:numPr>
        <w:overflowPunct w:val="0"/>
        <w:autoSpaceDE w:val="0"/>
        <w:autoSpaceDN w:val="0"/>
        <w:adjustRightInd w:val="0"/>
        <w:ind w:left="357" w:hanging="357"/>
        <w:textAlignment w:val="baseline"/>
      </w:pPr>
      <w:r>
        <w:t>Er zijn maatregelen nodig om de civiele dialoog met en tussen belanghebbenden en groepen in de samenleving te verbeteren, zodat zij de verantwoording kunnen nemen voor het beleid dat hen rechtstreeks aangaat en er daadwerkelijk aan kunnen deelnemen, waardoor de rol van burgers bij het bouwen aan de toekomst van Europa wordt bevorderd. In alle fasen van de beleidsvorming, met inbegrip van de uitvoerings- en evaluatiefase, moeten onlineraadplegingsprocedures worden aangevuld met een gestructureerde dialoog met maatschappelijke organisaties. Het is van essentieel belang dat de aandacht wordt toegespitst op de follow-up van de voorstellen van de Conferentie over de toekomst van Europa, teneinde aan de wensen van de burgers te voldoen. Het EESC staat klaar om zijn rol te vervullen en te zorgen voor een goede follow-up van de resultaten van de Conferentie, en als er een Conventie wordt georganiseerd, moet het EESC hierin een prominente rol spelen.</w:t>
      </w:r>
    </w:p>
    <w:p w:rsidRPr="00032038" w:rsidR="00D13F40" w:rsidP="00D13F40" w:rsidRDefault="00D13F40" w14:paraId="037F07D0" w14:textId="77777777">
      <w:pPr>
        <w:overflowPunct w:val="0"/>
        <w:autoSpaceDE w:val="0"/>
        <w:autoSpaceDN w:val="0"/>
        <w:adjustRightInd w:val="0"/>
        <w:ind w:left="357"/>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7"/>
        <w:gridCol w:w="5670"/>
      </w:tblGrid>
      <w:tr w:rsidRPr="00164813" w:rsidR="00D13F40" w:rsidTr="00D13F40" w14:paraId="5ADA768A" w14:textId="77777777">
        <w:tc>
          <w:tcPr>
            <w:tcW w:w="1418" w:type="dxa"/>
          </w:tcPr>
          <w:p w:rsidRPr="00164813" w:rsidR="00D13F40" w:rsidP="00D13F40" w:rsidRDefault="00D13F40" w14:paraId="3B5B6B8A" w14:textId="77777777">
            <w:pPr>
              <w:contextualSpacing/>
              <w:rPr>
                <w:i/>
              </w:rPr>
            </w:pPr>
            <w:r>
              <w:rPr>
                <w:b/>
                <w:i/>
              </w:rPr>
              <w:t>Contactpersoon</w:t>
            </w:r>
          </w:p>
        </w:tc>
        <w:tc>
          <w:tcPr>
            <w:tcW w:w="5670" w:type="dxa"/>
          </w:tcPr>
          <w:p w:rsidRPr="00164813" w:rsidR="00D13F40" w:rsidP="00D13F40" w:rsidRDefault="00D13F40" w14:paraId="3D3950B8" w14:textId="77777777">
            <w:pPr>
              <w:contextualSpacing/>
              <w:rPr>
                <w:i/>
              </w:rPr>
            </w:pPr>
            <w:r>
              <w:rPr>
                <w:i/>
              </w:rPr>
              <w:t>Domenico Cosmai</w:t>
            </w:r>
          </w:p>
        </w:tc>
      </w:tr>
      <w:tr w:rsidRPr="00164813" w:rsidR="00D13F40" w:rsidTr="00D13F40" w14:paraId="37A5B264" w14:textId="77777777">
        <w:tc>
          <w:tcPr>
            <w:tcW w:w="1418" w:type="dxa"/>
          </w:tcPr>
          <w:p w:rsidRPr="00164813" w:rsidR="00D13F40" w:rsidP="00D13F40" w:rsidRDefault="00D13F40" w14:paraId="0A0261DB" w14:textId="77777777">
            <w:pPr>
              <w:ind w:left="601"/>
              <w:contextualSpacing/>
              <w:rPr>
                <w:i/>
              </w:rPr>
            </w:pPr>
            <w:r>
              <w:rPr>
                <w:i/>
              </w:rPr>
              <w:t>Tel.</w:t>
            </w:r>
          </w:p>
        </w:tc>
        <w:tc>
          <w:tcPr>
            <w:tcW w:w="5670" w:type="dxa"/>
          </w:tcPr>
          <w:p w:rsidRPr="00164813" w:rsidR="00D13F40" w:rsidP="00D13F40" w:rsidRDefault="00D13F40" w14:paraId="1870BA3F" w14:textId="77777777">
            <w:pPr>
              <w:contextualSpacing/>
              <w:rPr>
                <w:i/>
              </w:rPr>
            </w:pPr>
            <w:r>
              <w:rPr>
                <w:i/>
              </w:rPr>
              <w:t>00 32 2 546 90 41</w:t>
            </w:r>
          </w:p>
        </w:tc>
      </w:tr>
      <w:tr w:rsidRPr="00164813" w:rsidR="00D13F40" w:rsidTr="00D13F40" w14:paraId="0DD10512" w14:textId="77777777">
        <w:tc>
          <w:tcPr>
            <w:tcW w:w="1418" w:type="dxa"/>
          </w:tcPr>
          <w:p w:rsidRPr="00164813" w:rsidR="00D13F40" w:rsidP="00D13F40" w:rsidRDefault="00D13F40" w14:paraId="6AB9864F" w14:textId="77777777">
            <w:pPr>
              <w:ind w:left="601"/>
              <w:contextualSpacing/>
              <w:rPr>
                <w:i/>
              </w:rPr>
            </w:pPr>
            <w:r>
              <w:rPr>
                <w:i/>
              </w:rPr>
              <w:t>E-mail</w:t>
            </w:r>
          </w:p>
        </w:tc>
        <w:tc>
          <w:tcPr>
            <w:tcW w:w="5670" w:type="dxa"/>
          </w:tcPr>
          <w:p w:rsidRPr="00164813" w:rsidR="00D13F40" w:rsidP="00910972" w:rsidRDefault="0003462B" w14:paraId="5EBCD8AB" w14:textId="6E96CD92">
            <w:pPr>
              <w:contextualSpacing/>
              <w:rPr>
                <w:i/>
              </w:rPr>
            </w:pPr>
            <w:hyperlink w:history="1" r:id="rId20">
              <w:r w:rsidR="005458B6">
                <w:rPr>
                  <w:rStyle w:val="Hyperlink"/>
                </w:rPr>
                <w:t>Domenico.Cosmai@eesc.europa.eu</w:t>
              </w:r>
            </w:hyperlink>
          </w:p>
        </w:tc>
      </w:tr>
    </w:tbl>
    <w:p w:rsidR="00D35512" w:rsidRDefault="00D35512" w14:paraId="26BC3B10" w14:textId="44A04F65">
      <w:pPr>
        <w:jc w:val="left"/>
      </w:pPr>
    </w:p>
    <w:p w:rsidR="00D35512" w:rsidRDefault="00D35512" w14:paraId="5512BC58" w14:textId="77777777">
      <w:pPr>
        <w:spacing w:after="160" w:line="259" w:lineRule="auto"/>
        <w:jc w:val="left"/>
      </w:pPr>
      <w:r>
        <w:br w:type="page"/>
      </w:r>
    </w:p>
    <w:p w:rsidRPr="009B70E7" w:rsidR="004D7AC0" w:rsidRDefault="004D7AC0" w14:paraId="68489C47" w14:textId="77777777">
      <w:pPr>
        <w:jc w:val="left"/>
      </w:pPr>
    </w:p>
    <w:p w:rsidRPr="00D13F40" w:rsidR="004D7AC0" w:rsidP="00D13F40" w:rsidRDefault="004D7AC0" w14:paraId="1E329F25" w14:textId="77777777">
      <w:pPr>
        <w:pStyle w:val="Heading1"/>
        <w:rPr>
          <w:b/>
        </w:rPr>
      </w:pPr>
      <w:bookmarkStart w:name="_Toc109806222" w:id="2"/>
      <w:r>
        <w:rPr>
          <w:b/>
        </w:rPr>
        <w:t>ECONOMISCHE EN MONETAIRE UNIE, ECONOMISCHE EN SOCIALE SAMENHANG</w:t>
      </w:r>
      <w:bookmarkEnd w:id="2"/>
    </w:p>
    <w:p w:rsidR="00662436" w:rsidP="0018231C" w:rsidRDefault="00662436" w14:paraId="1710091D" w14:textId="77777777">
      <w:pPr>
        <w:spacing w:line="240" w:lineRule="auto"/>
      </w:pPr>
    </w:p>
    <w:p w:rsidRPr="009B70E7" w:rsidR="00640656" w:rsidP="00640656" w:rsidRDefault="000A03BD" w14:paraId="5D3A59A0" w14:textId="77777777">
      <w:pPr>
        <w:keepNext/>
        <w:keepLines/>
        <w:numPr>
          <w:ilvl w:val="0"/>
          <w:numId w:val="5"/>
        </w:numPr>
        <w:overflowPunct w:val="0"/>
        <w:autoSpaceDE w:val="0"/>
        <w:autoSpaceDN w:val="0"/>
        <w:adjustRightInd w:val="0"/>
        <w:ind w:left="567" w:hanging="567"/>
        <w:textAlignment w:val="baseline"/>
        <w:rPr>
          <w:b/>
          <w:i/>
          <w:spacing w:val="-2"/>
          <w:sz w:val="28"/>
          <w:szCs w:val="28"/>
        </w:rPr>
      </w:pPr>
      <w:r>
        <w:rPr>
          <w:b/>
          <w:i/>
          <w:sz w:val="28"/>
        </w:rPr>
        <w:t>Belastingheffing bij grensoverschrijdende telewerkers en hun werkgevers</w:t>
      </w:r>
    </w:p>
    <w:p w:rsidRPr="0018231C" w:rsidR="00640656" w:rsidP="00640656" w:rsidRDefault="00640656" w14:paraId="228D42E4" w14:textId="77777777">
      <w:pPr>
        <w:keepNext/>
        <w:keepLines/>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78"/>
        <w:gridCol w:w="6521"/>
      </w:tblGrid>
      <w:tr w:rsidRPr="00627B8F" w:rsidR="00640656" w:rsidTr="00B83E7B" w14:paraId="17A96696" w14:textId="77777777">
        <w:tc>
          <w:tcPr>
            <w:tcW w:w="1701" w:type="dxa"/>
          </w:tcPr>
          <w:p w:rsidRPr="009B70E7" w:rsidR="00640656" w:rsidP="002C4B6E" w:rsidRDefault="00640656" w14:paraId="204BF0A8" w14:textId="77777777">
            <w:pPr>
              <w:pStyle w:val="ListParagraph"/>
              <w:spacing w:line="240" w:lineRule="auto"/>
              <w:ind w:left="-142" w:firstLine="142"/>
              <w:rPr>
                <w:b/>
              </w:rPr>
            </w:pPr>
            <w:r>
              <w:rPr>
                <w:b/>
              </w:rPr>
              <w:t>Rapporteur</w:t>
            </w:r>
          </w:p>
        </w:tc>
        <w:tc>
          <w:tcPr>
            <w:tcW w:w="6521" w:type="dxa"/>
          </w:tcPr>
          <w:p w:rsidRPr="00627B8F" w:rsidR="00640656" w:rsidP="00B83E7B" w:rsidRDefault="000A03BD" w14:paraId="1C5C2FFB" w14:textId="77777777">
            <w:pPr>
              <w:pStyle w:val="ListParagraph"/>
              <w:ind w:left="-60" w:right="-55"/>
            </w:pPr>
            <w:r>
              <w:t>Krister ANDERSSON (groep Werkgevers – SE)</w:t>
            </w:r>
          </w:p>
        </w:tc>
      </w:tr>
      <w:tr w:rsidRPr="009B70E7" w:rsidR="00640656" w:rsidTr="00B83E7B" w14:paraId="6D38B34C" w14:textId="77777777">
        <w:tc>
          <w:tcPr>
            <w:tcW w:w="8222" w:type="dxa"/>
            <w:gridSpan w:val="2"/>
          </w:tcPr>
          <w:p w:rsidRPr="009B70E7" w:rsidR="00640656" w:rsidP="00B83E7B" w:rsidRDefault="00640656" w14:paraId="58D13705" w14:textId="77777777">
            <w:pPr>
              <w:pStyle w:val="ListParagraph"/>
              <w:ind w:left="0"/>
            </w:pPr>
          </w:p>
        </w:tc>
      </w:tr>
      <w:tr w:rsidRPr="00627B8F" w:rsidR="00640656" w:rsidTr="00B83E7B" w14:paraId="3D93C3AA" w14:textId="77777777">
        <w:tc>
          <w:tcPr>
            <w:tcW w:w="1701" w:type="dxa"/>
          </w:tcPr>
          <w:p w:rsidRPr="009B70E7" w:rsidR="00640656" w:rsidP="00804736" w:rsidRDefault="00640656" w14:paraId="33436DCF" w14:textId="77777777">
            <w:pPr>
              <w:pStyle w:val="ListParagraph"/>
              <w:spacing w:line="240" w:lineRule="auto"/>
              <w:ind w:left="-142" w:firstLine="142"/>
              <w:rPr>
                <w:b/>
              </w:rPr>
            </w:pPr>
            <w:r>
              <w:rPr>
                <w:b/>
              </w:rPr>
              <w:t xml:space="preserve">Referentiedocument </w:t>
            </w:r>
          </w:p>
        </w:tc>
        <w:tc>
          <w:tcPr>
            <w:tcW w:w="6521" w:type="dxa"/>
          </w:tcPr>
          <w:p w:rsidRPr="00627B8F" w:rsidR="00640656" w:rsidP="00B83E7B" w:rsidRDefault="000A03BD" w14:paraId="3CD87A23" w14:textId="77777777">
            <w:pPr>
              <w:pStyle w:val="ListParagraph"/>
              <w:ind w:left="-61"/>
              <w:rPr>
                <w:bCs/>
              </w:rPr>
            </w:pPr>
            <w:r>
              <w:t>Initiatiefadvies</w:t>
            </w:r>
          </w:p>
          <w:p w:rsidRPr="00627B8F" w:rsidR="00640656" w:rsidP="00B83E7B" w:rsidRDefault="00640656" w14:paraId="57D265AF" w14:textId="77777777">
            <w:pPr>
              <w:pStyle w:val="ListParagraph"/>
              <w:ind w:left="-61"/>
            </w:pPr>
            <w:r>
              <w:t>EESC-2022-00408-00-00-AC</w:t>
            </w:r>
          </w:p>
        </w:tc>
      </w:tr>
    </w:tbl>
    <w:p w:rsidRPr="00627B8F" w:rsidR="00640656" w:rsidP="00640656" w:rsidRDefault="00640656" w14:paraId="68C62979" w14:textId="77777777">
      <w:pPr>
        <w:pStyle w:val="ListParagraph"/>
        <w:spacing w:line="240" w:lineRule="auto"/>
        <w:ind w:left="0"/>
        <w:rPr>
          <w:lang w:val="pt-PT"/>
        </w:rPr>
      </w:pPr>
    </w:p>
    <w:p w:rsidRPr="009B70E7" w:rsidR="00640656" w:rsidP="00700030" w:rsidRDefault="00631509" w14:paraId="1531E332" w14:textId="77777777">
      <w:pPr>
        <w:pStyle w:val="ListParagraph"/>
        <w:spacing w:line="240" w:lineRule="auto"/>
        <w:ind w:left="-142" w:firstLine="142"/>
        <w:rPr>
          <w:b/>
        </w:rPr>
      </w:pPr>
      <w:r>
        <w:rPr>
          <w:b/>
        </w:rPr>
        <w:t xml:space="preserve"> Hoofdpunten</w:t>
      </w:r>
    </w:p>
    <w:p w:rsidRPr="00804736" w:rsidR="00640656" w:rsidP="00804736" w:rsidRDefault="00640656" w14:paraId="35E5BFA5" w14:textId="77777777">
      <w:pPr>
        <w:pStyle w:val="ListParagraph"/>
        <w:spacing w:line="240" w:lineRule="auto"/>
        <w:ind w:left="-142" w:firstLine="142"/>
        <w:rPr>
          <w:b/>
        </w:rPr>
      </w:pPr>
    </w:p>
    <w:p w:rsidRPr="009B70E7" w:rsidR="00640656" w:rsidP="00640656" w:rsidRDefault="00640656" w14:paraId="49F5E58C" w14:textId="77777777">
      <w:pPr>
        <w:pStyle w:val="ListParagraph"/>
        <w:spacing w:line="240" w:lineRule="auto"/>
        <w:ind w:left="0"/>
      </w:pPr>
      <w:r>
        <w:t>Het EESC:</w:t>
      </w:r>
    </w:p>
    <w:p w:rsidRPr="009B70E7" w:rsidR="00640656" w:rsidP="00640656" w:rsidRDefault="00640656" w14:paraId="79740612" w14:textId="77777777">
      <w:pPr>
        <w:pStyle w:val="ListParagraph"/>
        <w:spacing w:line="276" w:lineRule="auto"/>
        <w:ind w:left="0"/>
      </w:pPr>
    </w:p>
    <w:p w:rsidRPr="009B70E7" w:rsidR="00640656" w:rsidP="00640656" w:rsidRDefault="000A03BD" w14:paraId="7319D50D" w14:textId="77777777">
      <w:pPr>
        <w:pStyle w:val="ListParagraph"/>
        <w:numPr>
          <w:ilvl w:val="0"/>
          <w:numId w:val="3"/>
        </w:numPr>
        <w:spacing w:line="276" w:lineRule="auto"/>
        <w:ind w:left="357" w:hanging="357"/>
      </w:pPr>
      <w:r>
        <w:t>erkent dat de toename van grensoverschrijdend telewerken lastige vraagstukken met zich meebrengt met betrekking tot de huidige internationale belastingregelingen. Het gaat daarbij met name om de loonbelasting en de belasting op ondernemingswinsten;</w:t>
      </w:r>
    </w:p>
    <w:p w:rsidR="00640656" w:rsidP="00640656" w:rsidRDefault="000A03BD" w14:paraId="410F3EF2" w14:textId="77777777">
      <w:pPr>
        <w:pStyle w:val="ListParagraph"/>
        <w:numPr>
          <w:ilvl w:val="0"/>
          <w:numId w:val="3"/>
        </w:numPr>
        <w:spacing w:line="276" w:lineRule="auto"/>
        <w:ind w:left="357" w:hanging="357"/>
      </w:pPr>
      <w:r>
        <w:t>is het met de Commissie eens dat het inkomen van grensoverschrijdende telewerkende werknemers mogelijk dubbel wordt belast, wat tot (langdurige en dure) geschillen tussen werknemers en belastingdiensten van lidstaten kan leiden;</w:t>
      </w:r>
    </w:p>
    <w:p w:rsidRPr="009B70E7" w:rsidR="00640656" w:rsidP="00640656" w:rsidRDefault="000A03BD" w14:paraId="00EEA10F" w14:textId="77777777">
      <w:pPr>
        <w:pStyle w:val="ListParagraph"/>
        <w:numPr>
          <w:ilvl w:val="0"/>
          <w:numId w:val="3"/>
        </w:numPr>
        <w:spacing w:line="276" w:lineRule="auto"/>
        <w:ind w:left="357" w:hanging="357"/>
      </w:pPr>
      <w:r>
        <w:t>herinnert eraan dat, wat de belasting van ondernemingswinsten betreft, internationale telewerkers het risico kunnen lopen dat zij onbedoeld een vaste inrichting voor de onderneming creëren in een ander land dan het land waar die onderneming is gevestigd. In dat geval zou de onderneming gedwongen zijn haar inkomsten accuraat over de twee locaties te verdelen en dus onderworpen zijn aan verschillende aangifte- en belastingverplichtingen;</w:t>
      </w:r>
    </w:p>
    <w:p w:rsidR="00640656" w:rsidP="00640656" w:rsidRDefault="000A03BD" w14:paraId="5DA57970" w14:textId="77777777">
      <w:pPr>
        <w:pStyle w:val="ListParagraph"/>
        <w:numPr>
          <w:ilvl w:val="0"/>
          <w:numId w:val="3"/>
        </w:numPr>
        <w:spacing w:line="276" w:lineRule="auto"/>
        <w:ind w:left="357" w:hanging="357"/>
      </w:pPr>
      <w:r>
        <w:t>wijst erop hoe belangrijk het is dat de belastingstelsels verder worden geactualiseerd om tegemoet te komen aan de behoeften van de huidige arbeidssituatie. Het internationale kader voor de vennootschapsbelasting is onlangs herzien met de overeenstemming die is bereikt over het uit twee pijlers bestaande belastingpakket van het inclusief kader van de OESO/G20;</w:t>
      </w:r>
    </w:p>
    <w:p w:rsidR="000A03BD" w:rsidP="00640656" w:rsidRDefault="000A03BD" w14:paraId="3030B859" w14:textId="77777777">
      <w:pPr>
        <w:pStyle w:val="ListParagraph"/>
        <w:numPr>
          <w:ilvl w:val="0"/>
          <w:numId w:val="3"/>
        </w:numPr>
        <w:spacing w:line="276" w:lineRule="auto"/>
        <w:ind w:left="357" w:hanging="357"/>
      </w:pPr>
      <w:r>
        <w:t>beklemtoont dat de regels eenvoudig moeten zijn, zowel voor werknemers als voor werkgevers. Lidstaten zouden bijvoorbeeld kunnen afspreken dat de werknemer alleen wordt belast indien hij of zij meer dan 96 dagen per kalenderjaar in het betrokken land werkt. Het EESC merkt op dat in het kader van de werkzaamheden van de OESO/IF op fiscaal gebied gebruik is gemaakt van een multilateraal instrument om een tijdige implementatie van nieuwe belastingregels te vergemakkelijken;</w:t>
      </w:r>
    </w:p>
    <w:p w:rsidR="000A03BD" w:rsidP="00640656" w:rsidRDefault="000A03BD" w14:paraId="581CFA88" w14:textId="77777777">
      <w:pPr>
        <w:pStyle w:val="ListParagraph"/>
        <w:numPr>
          <w:ilvl w:val="0"/>
          <w:numId w:val="3"/>
        </w:numPr>
        <w:spacing w:line="276" w:lineRule="auto"/>
        <w:ind w:left="357" w:hanging="357"/>
      </w:pPr>
      <w:r>
        <w:t>verzoekt de Commissie na te gaan of een éénloketsysteem, zoals ook op btw-gebied bestaat, tot de mogelijkheden behoort. In dat geval zou de werkgever voor grensoverschrijdende telewerkers moeten opgeven hoeveel dagen zij in elk land (het land waarin zij wonen en het land waarin de werkgever is gevestigd) hebben gewerkt.</w:t>
      </w:r>
    </w:p>
    <w:p w:rsidRPr="009B70E7" w:rsidR="00577672" w:rsidP="00577672" w:rsidRDefault="00577672" w14:paraId="6AC42931" w14:textId="77777777">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7"/>
        <w:gridCol w:w="5670"/>
      </w:tblGrid>
      <w:tr w:rsidRPr="009B70E7" w:rsidR="00640656" w:rsidTr="00B83E7B" w14:paraId="437B7156" w14:textId="77777777">
        <w:tc>
          <w:tcPr>
            <w:tcW w:w="1418" w:type="dxa"/>
          </w:tcPr>
          <w:p w:rsidRPr="009B70E7" w:rsidR="00640656" w:rsidP="00B83E7B" w:rsidRDefault="00640656" w14:paraId="026D2B53" w14:textId="77777777">
            <w:pPr>
              <w:pStyle w:val="ListParagraph"/>
              <w:spacing w:line="276" w:lineRule="auto"/>
              <w:ind w:left="0"/>
              <w:rPr>
                <w:i/>
              </w:rPr>
            </w:pPr>
            <w:r>
              <w:rPr>
                <w:b/>
                <w:i/>
              </w:rPr>
              <w:t>Contactpersoon</w:t>
            </w:r>
          </w:p>
        </w:tc>
        <w:tc>
          <w:tcPr>
            <w:tcW w:w="5670" w:type="dxa"/>
          </w:tcPr>
          <w:p w:rsidRPr="009B70E7" w:rsidR="00640656" w:rsidP="00B83E7B" w:rsidRDefault="000A03BD" w14:paraId="3123BFA2" w14:textId="77777777">
            <w:pPr>
              <w:pStyle w:val="ListParagraph"/>
              <w:spacing w:line="276" w:lineRule="auto"/>
              <w:ind w:left="0"/>
              <w:rPr>
                <w:i/>
              </w:rPr>
            </w:pPr>
            <w:r>
              <w:rPr>
                <w:i/>
              </w:rPr>
              <w:t>Jüri Soosaar</w:t>
            </w:r>
          </w:p>
        </w:tc>
      </w:tr>
      <w:tr w:rsidRPr="009B70E7" w:rsidR="00640656" w:rsidTr="00B83E7B" w14:paraId="13C450E4" w14:textId="77777777">
        <w:tc>
          <w:tcPr>
            <w:tcW w:w="1418" w:type="dxa"/>
          </w:tcPr>
          <w:p w:rsidRPr="009B70E7" w:rsidR="00640656" w:rsidP="00B83E7B" w:rsidRDefault="00640656" w14:paraId="71B7C5A8" w14:textId="77777777">
            <w:pPr>
              <w:pStyle w:val="ListParagraph"/>
              <w:spacing w:line="276" w:lineRule="auto"/>
              <w:ind w:left="601"/>
              <w:rPr>
                <w:i/>
              </w:rPr>
            </w:pPr>
            <w:r>
              <w:rPr>
                <w:i/>
              </w:rPr>
              <w:t>Tel.</w:t>
            </w:r>
          </w:p>
        </w:tc>
        <w:tc>
          <w:tcPr>
            <w:tcW w:w="5670" w:type="dxa"/>
          </w:tcPr>
          <w:p w:rsidRPr="009B70E7" w:rsidR="00640656" w:rsidP="00B83E7B" w:rsidRDefault="00577672" w14:paraId="3226C0EF" w14:textId="77777777">
            <w:pPr>
              <w:pStyle w:val="ListParagraph"/>
              <w:spacing w:line="276" w:lineRule="auto"/>
              <w:ind w:left="0"/>
              <w:rPr>
                <w:i/>
              </w:rPr>
            </w:pPr>
            <w:r>
              <w:rPr>
                <w:i/>
              </w:rPr>
              <w:t>00 32 2 546 97 95</w:t>
            </w:r>
          </w:p>
        </w:tc>
      </w:tr>
      <w:tr w:rsidRPr="009B70E7" w:rsidR="00640656" w:rsidTr="00B83E7B" w14:paraId="1FEA5B3F" w14:textId="77777777">
        <w:tc>
          <w:tcPr>
            <w:tcW w:w="1418" w:type="dxa"/>
          </w:tcPr>
          <w:p w:rsidRPr="009B70E7" w:rsidR="00640656" w:rsidP="00B83E7B" w:rsidRDefault="00640656" w14:paraId="6D5FF9EA" w14:textId="77777777">
            <w:pPr>
              <w:pStyle w:val="ListParagraph"/>
              <w:spacing w:line="276" w:lineRule="auto"/>
              <w:ind w:left="601"/>
              <w:rPr>
                <w:i/>
              </w:rPr>
            </w:pPr>
            <w:r>
              <w:rPr>
                <w:i/>
              </w:rPr>
              <w:t>E-mail</w:t>
            </w:r>
          </w:p>
        </w:tc>
        <w:tc>
          <w:tcPr>
            <w:tcW w:w="5670" w:type="dxa"/>
          </w:tcPr>
          <w:p w:rsidRPr="009B70E7" w:rsidR="00640656" w:rsidP="00B83E7B" w:rsidRDefault="0003462B" w14:paraId="160383F7" w14:textId="77777777">
            <w:pPr>
              <w:pStyle w:val="ListParagraph"/>
              <w:spacing w:line="276" w:lineRule="auto"/>
              <w:ind w:left="0"/>
              <w:rPr>
                <w:i/>
              </w:rPr>
            </w:pPr>
            <w:hyperlink w:history="1" r:id="rId21">
              <w:r w:rsidR="005458B6">
                <w:rPr>
                  <w:rStyle w:val="Hyperlink"/>
                  <w:i/>
                </w:rPr>
                <w:t>Juri.Soosar@eesc.europa.eu</w:t>
              </w:r>
            </w:hyperlink>
          </w:p>
        </w:tc>
      </w:tr>
    </w:tbl>
    <w:p w:rsidR="00D35512" w:rsidP="0018231C" w:rsidRDefault="00D35512" w14:paraId="7CBB426B" w14:textId="59BE7BEE">
      <w:pPr>
        <w:spacing w:line="240" w:lineRule="auto"/>
      </w:pPr>
    </w:p>
    <w:p w:rsidR="00D35512" w:rsidRDefault="00D35512" w14:paraId="7BA530D3" w14:textId="77777777">
      <w:pPr>
        <w:spacing w:after="160" w:line="259" w:lineRule="auto"/>
        <w:jc w:val="left"/>
      </w:pPr>
      <w:r>
        <w:br w:type="page"/>
      </w:r>
    </w:p>
    <w:p w:rsidRPr="009B70E7" w:rsidR="004D7AC0" w:rsidP="008B2544" w:rsidRDefault="00BD6E79" w14:paraId="3267ADFE" w14:textId="77777777">
      <w:pPr>
        <w:keepNext/>
        <w:keepLines/>
        <w:numPr>
          <w:ilvl w:val="0"/>
          <w:numId w:val="5"/>
        </w:numPr>
        <w:overflowPunct w:val="0"/>
        <w:autoSpaceDE w:val="0"/>
        <w:autoSpaceDN w:val="0"/>
        <w:adjustRightInd w:val="0"/>
        <w:ind w:left="567" w:hanging="567"/>
        <w:textAlignment w:val="baseline"/>
        <w:rPr>
          <w:b/>
          <w:i/>
          <w:spacing w:val="-2"/>
          <w:sz w:val="28"/>
          <w:szCs w:val="28"/>
        </w:rPr>
      </w:pPr>
      <w:r>
        <w:rPr>
          <w:b/>
          <w:i/>
          <w:sz w:val="28"/>
        </w:rPr>
        <w:lastRenderedPageBreak/>
        <w:t>Belasten van de digitale economie</w:t>
      </w:r>
    </w:p>
    <w:p w:rsidRPr="0018231C" w:rsidR="006E6434" w:rsidP="008B2544" w:rsidRDefault="006E6434" w14:paraId="4E8ABD0B" w14:textId="77777777">
      <w:pPr>
        <w:keepNext/>
        <w:keepLines/>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020"/>
        <w:gridCol w:w="6521"/>
      </w:tblGrid>
      <w:tr w:rsidRPr="00627B8F" w:rsidR="00705674" w:rsidTr="004A46D9" w14:paraId="691352BE" w14:textId="77777777">
        <w:tc>
          <w:tcPr>
            <w:tcW w:w="1701" w:type="dxa"/>
          </w:tcPr>
          <w:p w:rsidRPr="009B70E7" w:rsidR="00705674" w:rsidP="002C4B6E" w:rsidRDefault="00705674" w14:paraId="3B832BAF" w14:textId="77777777">
            <w:pPr>
              <w:pStyle w:val="ListParagraph"/>
              <w:spacing w:line="240" w:lineRule="auto"/>
              <w:ind w:left="-142" w:firstLine="142"/>
              <w:rPr>
                <w:b/>
              </w:rPr>
            </w:pPr>
            <w:r>
              <w:rPr>
                <w:b/>
              </w:rPr>
              <w:t>Rapporteur</w:t>
            </w:r>
          </w:p>
        </w:tc>
        <w:tc>
          <w:tcPr>
            <w:tcW w:w="6521" w:type="dxa"/>
          </w:tcPr>
          <w:p w:rsidRPr="00627B8F" w:rsidR="00705674" w:rsidP="00ED2A6A" w:rsidRDefault="00174763" w14:paraId="322FA680" w14:textId="77777777">
            <w:pPr>
              <w:pStyle w:val="ListParagraph"/>
              <w:ind w:left="-60" w:right="-55"/>
            </w:pPr>
            <w:r>
              <w:t xml:space="preserve"> Benjamin RIZZO (groep Maatschappelijke Organisaties – MT)</w:t>
            </w:r>
          </w:p>
        </w:tc>
      </w:tr>
      <w:tr w:rsidRPr="009B70E7" w:rsidR="00705674" w:rsidTr="004A46D9" w14:paraId="1E67D992" w14:textId="77777777">
        <w:tc>
          <w:tcPr>
            <w:tcW w:w="1701" w:type="dxa"/>
          </w:tcPr>
          <w:p w:rsidRPr="009B70E7" w:rsidR="00705674" w:rsidRDefault="00705674" w14:paraId="255A1F7D" w14:textId="77777777">
            <w:pPr>
              <w:pStyle w:val="ListParagraph"/>
              <w:ind w:left="0"/>
              <w:rPr>
                <w:b/>
              </w:rPr>
            </w:pPr>
            <w:r>
              <w:rPr>
                <w:b/>
              </w:rPr>
              <w:t>Corapporteur</w:t>
            </w:r>
          </w:p>
        </w:tc>
        <w:tc>
          <w:tcPr>
            <w:tcW w:w="6521" w:type="dxa"/>
          </w:tcPr>
          <w:p w:rsidRPr="009B70E7" w:rsidR="00705674" w:rsidP="0068241A" w:rsidRDefault="00174763" w14:paraId="0D76B76F" w14:textId="77777777">
            <w:pPr>
              <w:pStyle w:val="ListParagraph"/>
              <w:tabs>
                <w:tab w:val="left" w:pos="838"/>
              </w:tabs>
              <w:ind w:left="-61"/>
            </w:pPr>
            <w:r>
              <w:t xml:space="preserve"> Petru Sorin DANDEA (groep Werknemers – RO)</w:t>
            </w:r>
          </w:p>
        </w:tc>
      </w:tr>
      <w:tr w:rsidRPr="009B70E7" w:rsidR="00986C7F" w:rsidTr="004A46D9" w14:paraId="0AA03C0B" w14:textId="77777777">
        <w:tc>
          <w:tcPr>
            <w:tcW w:w="8222" w:type="dxa"/>
            <w:gridSpan w:val="2"/>
          </w:tcPr>
          <w:p w:rsidRPr="009B70E7" w:rsidR="00986C7F" w:rsidRDefault="00986C7F" w14:paraId="11126B04" w14:textId="77777777">
            <w:pPr>
              <w:pStyle w:val="ListParagraph"/>
              <w:ind w:left="0"/>
            </w:pPr>
          </w:p>
        </w:tc>
      </w:tr>
      <w:tr w:rsidRPr="00627B8F" w:rsidR="004D7AC0" w:rsidTr="004A46D9" w14:paraId="1499CE6A" w14:textId="77777777">
        <w:tc>
          <w:tcPr>
            <w:tcW w:w="1701" w:type="dxa"/>
          </w:tcPr>
          <w:p w:rsidRPr="009B70E7" w:rsidR="004D7AC0" w:rsidRDefault="004D7AC0" w14:paraId="402C1F54" w14:textId="77777777">
            <w:pPr>
              <w:pStyle w:val="ListParagraph"/>
              <w:ind w:left="0"/>
              <w:rPr>
                <w:b/>
              </w:rPr>
            </w:pPr>
            <w:r>
              <w:rPr>
                <w:b/>
              </w:rPr>
              <w:t xml:space="preserve">Referentiedocument </w:t>
            </w:r>
          </w:p>
        </w:tc>
        <w:tc>
          <w:tcPr>
            <w:tcW w:w="6521" w:type="dxa"/>
          </w:tcPr>
          <w:p w:rsidRPr="00627B8F" w:rsidR="00DC097D" w:rsidP="0068241A" w:rsidRDefault="0004205F" w14:paraId="77BAAF3B" w14:textId="77777777">
            <w:pPr>
              <w:pStyle w:val="ListParagraph"/>
              <w:ind w:left="-61"/>
              <w:rPr>
                <w:bCs/>
              </w:rPr>
            </w:pPr>
            <w:r>
              <w:t>Verkennend advies op verzoek van het Tsjechische voorzitterschap van de Raad</w:t>
            </w:r>
          </w:p>
          <w:p w:rsidRPr="00627B8F" w:rsidR="004D7AC0" w:rsidP="0068241A" w:rsidRDefault="000C6D0B" w14:paraId="4FE162D8" w14:textId="77777777">
            <w:pPr>
              <w:pStyle w:val="ListParagraph"/>
              <w:ind w:left="-61"/>
            </w:pPr>
            <w:r>
              <w:t>EESC-2022-02060-00-00-AC</w:t>
            </w:r>
          </w:p>
        </w:tc>
      </w:tr>
    </w:tbl>
    <w:p w:rsidR="00631509" w:rsidP="003D4F68" w:rsidRDefault="00631509" w14:paraId="6B907918" w14:textId="77777777">
      <w:pPr>
        <w:pStyle w:val="ListParagraph"/>
        <w:spacing w:line="240" w:lineRule="auto"/>
        <w:ind w:left="0" w:firstLine="142"/>
        <w:rPr>
          <w:lang w:val="pt-PT"/>
        </w:rPr>
      </w:pPr>
    </w:p>
    <w:p w:rsidRPr="009B70E7" w:rsidR="004D7AC0" w:rsidP="00631509" w:rsidRDefault="004D7AC0" w14:paraId="20827D97" w14:textId="06BC8467">
      <w:pPr>
        <w:pStyle w:val="ListParagraph"/>
        <w:spacing w:line="240" w:lineRule="auto"/>
        <w:ind w:left="0"/>
        <w:rPr>
          <w:b/>
        </w:rPr>
      </w:pPr>
      <w:r>
        <w:rPr>
          <w:b/>
        </w:rPr>
        <w:t>Hoofdpunten</w:t>
      </w:r>
    </w:p>
    <w:p w:rsidRPr="009B70E7" w:rsidR="004D7AC0" w:rsidP="0018231C" w:rsidRDefault="004D7AC0" w14:paraId="4918C4AD" w14:textId="77777777">
      <w:pPr>
        <w:pStyle w:val="ListParagraph"/>
        <w:spacing w:line="240" w:lineRule="auto"/>
        <w:ind w:left="0"/>
      </w:pPr>
    </w:p>
    <w:p w:rsidRPr="009B70E7" w:rsidR="004D7AC0" w:rsidP="0018231C" w:rsidRDefault="004D7AC0" w14:paraId="563DEAE0" w14:textId="6ACB49CD">
      <w:pPr>
        <w:pStyle w:val="ListParagraph"/>
        <w:spacing w:line="240" w:lineRule="auto"/>
        <w:ind w:left="0"/>
      </w:pPr>
      <w:r>
        <w:t>Het EESC:</w:t>
      </w:r>
    </w:p>
    <w:p w:rsidRPr="009B70E7" w:rsidR="004D7AC0" w:rsidP="0018231C" w:rsidRDefault="004D7AC0" w14:paraId="20687EE6" w14:textId="77777777">
      <w:pPr>
        <w:pStyle w:val="ListParagraph"/>
        <w:spacing w:line="276" w:lineRule="auto"/>
        <w:ind w:left="0"/>
      </w:pPr>
    </w:p>
    <w:p w:rsidRPr="009B70E7" w:rsidR="004D7AC0" w:rsidP="0018231C" w:rsidRDefault="0004205F" w14:paraId="63D90A21" w14:textId="77777777">
      <w:pPr>
        <w:pStyle w:val="ListParagraph"/>
        <w:numPr>
          <w:ilvl w:val="0"/>
          <w:numId w:val="3"/>
        </w:numPr>
        <w:spacing w:line="276" w:lineRule="auto"/>
        <w:ind w:left="357" w:hanging="357"/>
      </w:pPr>
      <w:r>
        <w:t>stelt voor om, zodra er een internationale overeenkomst over pijler 1 van het inclusief kader van de OESO/G20 inzake de herverdeling van heffingsbevoegdheden is bereikt, de desbetreffende regels snel te implementeren in de EU. Daarbij moet worden gezorgd voor coördinatie met initiatieven die belangrijke handelspartners ontplooien;</w:t>
      </w:r>
    </w:p>
    <w:p w:rsidR="004D7AC0" w:rsidP="0018231C" w:rsidRDefault="0004205F" w14:paraId="18668642" w14:textId="77777777">
      <w:pPr>
        <w:pStyle w:val="ListParagraph"/>
        <w:numPr>
          <w:ilvl w:val="0"/>
          <w:numId w:val="3"/>
        </w:numPr>
        <w:spacing w:line="276" w:lineRule="auto"/>
        <w:ind w:left="357" w:hanging="357"/>
      </w:pPr>
      <w:r>
        <w:t>is van mening dat de EU een leidende rol kan spelen op het gebied van het belasten van de digitale economie. Die rol moet echter wel gestalte krijgen binnen een internationale overeenkomst van de OESO/G20, zoals nu reeds is bereikt met betrekking tot pijler 2 ten aanzien van het mechanisme ter bestrijding van grondslaguitholling;</w:t>
      </w:r>
    </w:p>
    <w:p w:rsidRPr="009B70E7" w:rsidR="007F2119" w:rsidP="0018231C" w:rsidRDefault="0004205F" w14:paraId="30394587" w14:textId="77777777">
      <w:pPr>
        <w:pStyle w:val="ListParagraph"/>
        <w:numPr>
          <w:ilvl w:val="0"/>
          <w:numId w:val="3"/>
        </w:numPr>
        <w:spacing w:line="276" w:lineRule="auto"/>
        <w:ind w:left="357" w:hanging="357"/>
      </w:pPr>
      <w:r>
        <w:t>acht het van belang dat zowel pijler 1 als pijler 2 zo snel mogelijk ten uitvoer worden gelegd binnen de EU, waarbij zorg wordt gedragen voor een hoge mate van samenhang met de internationale overeenkomst waarover binnen de OESO/G20 zal worden onderhandeld. Pijlers 1 en 2 moeten worden gezien als één integraal regelgevingspakket;</w:t>
      </w:r>
    </w:p>
    <w:p w:rsidR="004D7AC0" w:rsidP="0018231C" w:rsidRDefault="0004205F" w14:paraId="202D24AF" w14:textId="77777777">
      <w:pPr>
        <w:pStyle w:val="ListParagraph"/>
        <w:numPr>
          <w:ilvl w:val="0"/>
          <w:numId w:val="3"/>
        </w:numPr>
        <w:spacing w:line="276" w:lineRule="auto"/>
        <w:ind w:left="357" w:hanging="357"/>
      </w:pPr>
      <w:r>
        <w:t>merkt op dat een Europees wetgevingsinitiatief voor het belasten van de digitale economie heel goed zou kunnen uitpakken voor de interne markt omdat het ongetwijfeld doeltreffender zou zijn dan afzonderlijke nationale initiatieven;</w:t>
      </w:r>
    </w:p>
    <w:p w:rsidRPr="009B70E7" w:rsidR="003E692C" w:rsidP="003E692C" w:rsidRDefault="0004205F" w14:paraId="02A3942D" w14:textId="141920AE">
      <w:pPr>
        <w:pStyle w:val="ListParagraph"/>
        <w:numPr>
          <w:ilvl w:val="0"/>
          <w:numId w:val="3"/>
        </w:numPr>
        <w:spacing w:line="276" w:lineRule="auto"/>
        <w:ind w:left="357" w:hanging="357"/>
      </w:pPr>
      <w:r>
        <w:t>dringt aan op een internationale overeenkomst over pijler 1 die al te complexe regels zoveel mogelijk mijdt en gericht is op transparantie, voorspelbaarheid en administratieve vereenvoudiging, waardoor de nalevingskosten laag blijven. Een te ingewikkeld systeem zou immers mogelijkheden kunnen scheppen om de nieuwe regels te omzeilen en daarmee de doeltreffendheid ervan ondermijnen;</w:t>
      </w:r>
    </w:p>
    <w:p w:rsidRPr="003E692C" w:rsidR="00DC097D" w:rsidP="001A0AD4" w:rsidRDefault="0004205F" w14:paraId="58783A9E" w14:textId="77777777">
      <w:pPr>
        <w:pStyle w:val="ListParagraph"/>
        <w:numPr>
          <w:ilvl w:val="0"/>
          <w:numId w:val="3"/>
        </w:numPr>
        <w:spacing w:line="276" w:lineRule="auto"/>
        <w:ind w:left="357" w:hanging="357"/>
      </w:pPr>
      <w:r>
        <w:t>wijst erop dat een solide internationale wetgeving inzake het belasten van digitale bedrijven belastingontduiking en -ontwijking helpt te voorkomen en bijdraagt aan een eerlijk, stabiel en progressief heffingssysteem.</w:t>
      </w:r>
    </w:p>
    <w:p w:rsidR="003E692C" w:rsidP="003E692C" w:rsidRDefault="003E692C" w14:paraId="176DA90D" w14:textId="77777777">
      <w:pPr>
        <w:pStyle w:val="ListParagraph"/>
        <w:spacing w:line="276" w:lineRule="auto"/>
        <w:ind w:left="357"/>
      </w:pPr>
    </w:p>
    <w:p w:rsidRPr="009B70E7" w:rsidR="00AA05F8" w:rsidP="0004205F" w:rsidRDefault="00AA05F8" w14:paraId="64FB268C" w14:textId="77777777">
      <w:pPr>
        <w:pStyle w:val="ListParagraph"/>
        <w:spacing w:line="276" w:lineRule="auto"/>
        <w:ind w:left="35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7"/>
        <w:gridCol w:w="5670"/>
      </w:tblGrid>
      <w:tr w:rsidRPr="009B70E7" w:rsidR="0004205F" w:rsidTr="008B66DD" w14:paraId="42ABA59B" w14:textId="77777777">
        <w:tc>
          <w:tcPr>
            <w:tcW w:w="1418" w:type="dxa"/>
          </w:tcPr>
          <w:p w:rsidRPr="009B70E7" w:rsidR="0004205F" w:rsidP="008B66DD" w:rsidRDefault="0004205F" w14:paraId="1202A600" w14:textId="77777777">
            <w:pPr>
              <w:pStyle w:val="ListParagraph"/>
              <w:spacing w:line="276" w:lineRule="auto"/>
              <w:ind w:left="0"/>
              <w:rPr>
                <w:i/>
              </w:rPr>
            </w:pPr>
            <w:r>
              <w:rPr>
                <w:b/>
                <w:i/>
              </w:rPr>
              <w:t>Contactpersoon</w:t>
            </w:r>
          </w:p>
        </w:tc>
        <w:tc>
          <w:tcPr>
            <w:tcW w:w="5670" w:type="dxa"/>
          </w:tcPr>
          <w:p w:rsidRPr="009B70E7" w:rsidR="0004205F" w:rsidP="008B66DD" w:rsidRDefault="0004205F" w14:paraId="0AA6F903" w14:textId="77777777">
            <w:pPr>
              <w:pStyle w:val="ListParagraph"/>
              <w:spacing w:line="276" w:lineRule="auto"/>
              <w:ind w:left="0"/>
              <w:rPr>
                <w:i/>
              </w:rPr>
            </w:pPr>
            <w:r>
              <w:rPr>
                <w:i/>
              </w:rPr>
              <w:t>Jüri Soosaar</w:t>
            </w:r>
          </w:p>
        </w:tc>
      </w:tr>
      <w:tr w:rsidRPr="009B70E7" w:rsidR="0004205F" w:rsidTr="008B66DD" w14:paraId="7385889A" w14:textId="77777777">
        <w:tc>
          <w:tcPr>
            <w:tcW w:w="1418" w:type="dxa"/>
          </w:tcPr>
          <w:p w:rsidRPr="009B70E7" w:rsidR="0004205F" w:rsidP="008B66DD" w:rsidRDefault="0004205F" w14:paraId="4DFD0A04" w14:textId="77777777">
            <w:pPr>
              <w:pStyle w:val="ListParagraph"/>
              <w:spacing w:line="276" w:lineRule="auto"/>
              <w:ind w:left="601"/>
              <w:rPr>
                <w:i/>
              </w:rPr>
            </w:pPr>
            <w:r>
              <w:rPr>
                <w:i/>
              </w:rPr>
              <w:t>Tel.</w:t>
            </w:r>
          </w:p>
        </w:tc>
        <w:tc>
          <w:tcPr>
            <w:tcW w:w="5670" w:type="dxa"/>
          </w:tcPr>
          <w:p w:rsidRPr="009B70E7" w:rsidR="0004205F" w:rsidP="008B66DD" w:rsidRDefault="0004205F" w14:paraId="7F762C11" w14:textId="77777777">
            <w:pPr>
              <w:pStyle w:val="ListParagraph"/>
              <w:spacing w:line="276" w:lineRule="auto"/>
              <w:ind w:left="0"/>
              <w:rPr>
                <w:i/>
              </w:rPr>
            </w:pPr>
            <w:r>
              <w:rPr>
                <w:i/>
              </w:rPr>
              <w:t>00 32 2 546 97 95</w:t>
            </w:r>
          </w:p>
        </w:tc>
      </w:tr>
      <w:tr w:rsidRPr="009B70E7" w:rsidR="0004205F" w:rsidTr="008B66DD" w14:paraId="44BC51C1" w14:textId="77777777">
        <w:tc>
          <w:tcPr>
            <w:tcW w:w="1418" w:type="dxa"/>
          </w:tcPr>
          <w:p w:rsidRPr="009B70E7" w:rsidR="0004205F" w:rsidP="008B66DD" w:rsidRDefault="0004205F" w14:paraId="64D662AC" w14:textId="77777777">
            <w:pPr>
              <w:pStyle w:val="ListParagraph"/>
              <w:spacing w:line="276" w:lineRule="auto"/>
              <w:ind w:left="601"/>
              <w:rPr>
                <w:i/>
              </w:rPr>
            </w:pPr>
            <w:r>
              <w:rPr>
                <w:i/>
              </w:rPr>
              <w:t>E-mail</w:t>
            </w:r>
          </w:p>
        </w:tc>
        <w:tc>
          <w:tcPr>
            <w:tcW w:w="5670" w:type="dxa"/>
          </w:tcPr>
          <w:p w:rsidRPr="009B70E7" w:rsidR="0004205F" w:rsidP="008B66DD" w:rsidRDefault="0003462B" w14:paraId="0F943B87" w14:textId="77777777">
            <w:pPr>
              <w:pStyle w:val="ListParagraph"/>
              <w:spacing w:line="276" w:lineRule="auto"/>
              <w:ind w:left="0"/>
              <w:rPr>
                <w:i/>
              </w:rPr>
            </w:pPr>
            <w:hyperlink w:history="1" r:id="rId22">
              <w:r w:rsidR="005458B6">
                <w:rPr>
                  <w:rStyle w:val="Hyperlink"/>
                  <w:i/>
                </w:rPr>
                <w:t>Juri.Soosar@eesc.europa.eu</w:t>
              </w:r>
            </w:hyperlink>
          </w:p>
        </w:tc>
      </w:tr>
    </w:tbl>
    <w:p w:rsidR="00D35512" w:rsidRDefault="00D35512" w14:paraId="07993D4C" w14:textId="52CB357C">
      <w:pPr>
        <w:spacing w:after="160" w:line="259" w:lineRule="auto"/>
        <w:jc w:val="left"/>
      </w:pPr>
    </w:p>
    <w:p w:rsidR="00D35512" w:rsidRDefault="00D35512" w14:paraId="58CFB761" w14:textId="77777777">
      <w:pPr>
        <w:spacing w:after="160" w:line="259" w:lineRule="auto"/>
        <w:jc w:val="left"/>
      </w:pPr>
      <w:r>
        <w:br w:type="page"/>
      </w:r>
    </w:p>
    <w:p w:rsidRPr="0004205F" w:rsidR="00DC17CF" w:rsidP="00DC17CF" w:rsidRDefault="0004205F" w14:paraId="1CD13A78" w14:textId="77777777">
      <w:pPr>
        <w:keepNext/>
        <w:numPr>
          <w:ilvl w:val="0"/>
          <w:numId w:val="2"/>
        </w:numPr>
        <w:ind w:left="567" w:hanging="567"/>
        <w:contextualSpacing/>
        <w:rPr>
          <w:b/>
          <w:i/>
          <w:sz w:val="28"/>
          <w:szCs w:val="28"/>
        </w:rPr>
      </w:pPr>
      <w:r>
        <w:rPr>
          <w:b/>
          <w:i/>
          <w:sz w:val="28"/>
        </w:rPr>
        <w:lastRenderedPageBreak/>
        <w:t>Evaluatie van centrale effectenbewaarinstellingen</w:t>
      </w:r>
    </w:p>
    <w:p w:rsidRPr="00A30B84" w:rsidR="0004205F" w:rsidP="00B44BB9" w:rsidRDefault="0004205F" w14:paraId="21BCC75E" w14:textId="77777777">
      <w:pPr>
        <w:keepNext/>
        <w:ind w:left="567"/>
        <w:contextualSpacing/>
        <w:rPr>
          <w:b/>
          <w:i/>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014"/>
        <w:gridCol w:w="5766"/>
        <w:gridCol w:w="755"/>
      </w:tblGrid>
      <w:tr w:rsidRPr="00627B8F" w:rsidR="0004205F" w:rsidTr="008B66DD" w14:paraId="049361FD" w14:textId="77777777">
        <w:tc>
          <w:tcPr>
            <w:tcW w:w="1701" w:type="dxa"/>
          </w:tcPr>
          <w:p w:rsidRPr="009B70E7" w:rsidR="0004205F" w:rsidP="0004205F" w:rsidRDefault="0004205F" w14:paraId="62391659" w14:textId="77777777">
            <w:pPr>
              <w:pStyle w:val="ListParagraph"/>
              <w:spacing w:line="240" w:lineRule="auto"/>
              <w:ind w:left="-142" w:firstLine="142"/>
              <w:rPr>
                <w:b/>
              </w:rPr>
            </w:pPr>
            <w:r>
              <w:rPr>
                <w:b/>
              </w:rPr>
              <w:t>Rapporteur</w:t>
            </w:r>
          </w:p>
        </w:tc>
        <w:tc>
          <w:tcPr>
            <w:tcW w:w="6521" w:type="dxa"/>
            <w:gridSpan w:val="2"/>
          </w:tcPr>
          <w:p w:rsidRPr="00627B8F" w:rsidR="0004205F" w:rsidP="0004205F" w:rsidRDefault="0004205F" w14:paraId="431B2CD3" w14:textId="77777777">
            <w:pPr>
              <w:pStyle w:val="ListParagraph"/>
              <w:ind w:left="-60" w:right="-55"/>
            </w:pPr>
            <w:r>
              <w:t>Kęstutis KUPŠYS (groep Maatschappelijke Organisaties – LT)</w:t>
            </w:r>
          </w:p>
        </w:tc>
      </w:tr>
      <w:tr w:rsidRPr="009B70E7" w:rsidR="0004205F" w:rsidTr="008B66DD" w14:paraId="6A254F6C" w14:textId="77777777">
        <w:tc>
          <w:tcPr>
            <w:tcW w:w="1701" w:type="dxa"/>
          </w:tcPr>
          <w:p w:rsidRPr="009B70E7" w:rsidR="0004205F" w:rsidP="0004205F" w:rsidRDefault="0004205F" w14:paraId="2522D764" w14:textId="77777777">
            <w:pPr>
              <w:pStyle w:val="ListParagraph"/>
              <w:ind w:left="0"/>
              <w:rPr>
                <w:b/>
              </w:rPr>
            </w:pPr>
            <w:r>
              <w:rPr>
                <w:b/>
              </w:rPr>
              <w:t>Corapporteur</w:t>
            </w:r>
          </w:p>
        </w:tc>
        <w:tc>
          <w:tcPr>
            <w:tcW w:w="6521" w:type="dxa"/>
            <w:gridSpan w:val="2"/>
          </w:tcPr>
          <w:p w:rsidR="0004205F" w:rsidP="0004205F" w:rsidRDefault="0004205F" w14:paraId="44ADDECF" w14:textId="77777777">
            <w:pPr>
              <w:pStyle w:val="ListParagraph"/>
              <w:tabs>
                <w:tab w:val="left" w:pos="838"/>
              </w:tabs>
              <w:ind w:left="-61"/>
            </w:pPr>
            <w:r>
              <w:t>Christophe LEFÈVRE (groep Werknemers – FR)</w:t>
            </w:r>
          </w:p>
          <w:p w:rsidRPr="009B70E7" w:rsidR="0004205F" w:rsidP="0004205F" w:rsidRDefault="0004205F" w14:paraId="5D498FFA" w14:textId="77777777">
            <w:pPr>
              <w:pStyle w:val="ListParagraph"/>
              <w:tabs>
                <w:tab w:val="left" w:pos="838"/>
              </w:tabs>
              <w:ind w:left="-61"/>
            </w:pPr>
          </w:p>
        </w:tc>
      </w:tr>
      <w:tr w:rsidRPr="009B70E7" w:rsidR="0004205F" w:rsidTr="00326919" w14:paraId="793D9F9A" w14:textId="77777777">
        <w:tblPrEx>
          <w:tblCellMar>
            <w:left w:w="108" w:type="dxa"/>
            <w:right w:w="108" w:type="dxa"/>
          </w:tblCellMar>
        </w:tblPrEx>
        <w:trPr>
          <w:gridAfter w:val="1"/>
          <w:wAfter w:w="755" w:type="dxa"/>
          <w:trHeight w:val="636"/>
        </w:trPr>
        <w:tc>
          <w:tcPr>
            <w:tcW w:w="1701" w:type="dxa"/>
          </w:tcPr>
          <w:p w:rsidRPr="009B70E7" w:rsidR="0004205F" w:rsidP="0004205F" w:rsidRDefault="0004205F" w14:paraId="3464C7C3" w14:textId="77777777">
            <w:pPr>
              <w:pStyle w:val="ListParagraph"/>
              <w:ind w:left="0" w:hanging="108"/>
              <w:rPr>
                <w:b/>
              </w:rPr>
            </w:pPr>
            <w:r>
              <w:rPr>
                <w:b/>
              </w:rPr>
              <w:t xml:space="preserve">Referentiedocument </w:t>
            </w:r>
          </w:p>
        </w:tc>
        <w:tc>
          <w:tcPr>
            <w:tcW w:w="5766" w:type="dxa"/>
          </w:tcPr>
          <w:p w:rsidR="0004205F" w:rsidP="0004205F" w:rsidRDefault="0004205F" w14:paraId="19506267" w14:textId="77777777">
            <w:pPr>
              <w:pStyle w:val="ListParagraph"/>
              <w:ind w:left="-108"/>
            </w:pPr>
            <w:r>
              <w:t>COM(2022) 120 final</w:t>
            </w:r>
          </w:p>
          <w:p w:rsidRPr="009B70E7" w:rsidR="0004205F" w:rsidP="0004205F" w:rsidRDefault="00765C4F" w14:paraId="3BDBC5BC" w14:textId="77777777">
            <w:pPr>
              <w:pStyle w:val="ListParagraph"/>
              <w:ind w:left="-108"/>
            </w:pPr>
            <w:r>
              <w:t>EESC-2022-01786-00-00-AC</w:t>
            </w:r>
          </w:p>
        </w:tc>
      </w:tr>
    </w:tbl>
    <w:p w:rsidRPr="00A30B84" w:rsidR="00DC17CF" w:rsidP="00DC17CF" w:rsidRDefault="00DC17CF" w14:paraId="4C20BCC6" w14:textId="77777777">
      <w:pPr>
        <w:contextualSpacing/>
      </w:pPr>
    </w:p>
    <w:p w:rsidRPr="00A30B84" w:rsidR="00DC17CF" w:rsidP="00DC17CF" w:rsidRDefault="00DC17CF" w14:paraId="1EF6CC14" w14:textId="77777777">
      <w:pPr>
        <w:pStyle w:val="ListParagraph"/>
        <w:spacing w:line="240" w:lineRule="auto"/>
        <w:ind w:left="-142" w:firstLine="142"/>
        <w:rPr>
          <w:b/>
        </w:rPr>
      </w:pPr>
      <w:r>
        <w:rPr>
          <w:b/>
        </w:rPr>
        <w:t>Hoofdpunten</w:t>
      </w:r>
    </w:p>
    <w:p w:rsidRPr="00A30B84" w:rsidR="00DC17CF" w:rsidP="00DC17CF" w:rsidRDefault="00DC17CF" w14:paraId="7CFFCE10" w14:textId="77777777">
      <w:pPr>
        <w:contextualSpacing/>
      </w:pPr>
    </w:p>
    <w:p w:rsidRPr="00A30B84" w:rsidR="00DC17CF" w:rsidP="00326919" w:rsidRDefault="00DC17CF" w14:paraId="7C9141DB" w14:textId="77777777">
      <w:pPr>
        <w:pStyle w:val="ListParagraph"/>
        <w:spacing w:line="240" w:lineRule="auto"/>
        <w:ind w:left="0"/>
      </w:pPr>
      <w:r>
        <w:t>Het EESC:</w:t>
      </w:r>
    </w:p>
    <w:p w:rsidRPr="00A30B84" w:rsidR="00DC17CF" w:rsidP="00DC17CF" w:rsidRDefault="00DC17CF" w14:paraId="6B986D1C" w14:textId="77777777">
      <w:pPr>
        <w:contextualSpacing/>
        <w:rPr>
          <w:lang w:val="fr-FR"/>
        </w:rPr>
      </w:pPr>
    </w:p>
    <w:p w:rsidRPr="00A30B84" w:rsidR="00502B04" w:rsidP="00502B04" w:rsidRDefault="00F71666" w14:paraId="519EC36E" w14:textId="21CC0365">
      <w:pPr>
        <w:numPr>
          <w:ilvl w:val="0"/>
          <w:numId w:val="3"/>
        </w:numPr>
        <w:ind w:left="357" w:hanging="357"/>
        <w:contextualSpacing/>
      </w:pPr>
      <w:r>
        <w:t>is van mening dat de oplossingen die de Commissie voorstelt voor de vijf belangrijkste problemen die bij de herziening van de verordening betreffende centrale effectenbewaarinstellingen (</w:t>
      </w:r>
      <w:r>
        <w:rPr>
          <w:i/>
          <w:iCs/>
        </w:rPr>
        <w:t>central securities depositories</w:t>
      </w:r>
      <w:r>
        <w:t xml:space="preserve"> – CSD’s) aan het licht zijn gekomen, over het algemeen toereikend en doeltreffend zijn;</w:t>
      </w:r>
    </w:p>
    <w:p w:rsidRPr="001445A7" w:rsidR="00DC17CF" w:rsidP="00DC17CF" w:rsidRDefault="00F71666" w14:paraId="1B2322B6" w14:textId="1DBA4E52">
      <w:pPr>
        <w:numPr>
          <w:ilvl w:val="0"/>
          <w:numId w:val="3"/>
        </w:numPr>
        <w:ind w:left="357" w:hanging="357"/>
        <w:contextualSpacing/>
      </w:pPr>
      <w:r>
        <w:t>is ingenomen met de initiatieven van de Commissie om de bestaande paspoortprocedures te vervangen door een kennisgeving, alsook met het voorstel voor toezichtcolleges;</w:t>
      </w:r>
    </w:p>
    <w:p w:rsidR="00DC17CF" w:rsidP="00DC17CF" w:rsidRDefault="00F71666" w14:paraId="2DF768E0" w14:textId="47D817FB">
      <w:pPr>
        <w:numPr>
          <w:ilvl w:val="0"/>
          <w:numId w:val="3"/>
        </w:numPr>
        <w:ind w:left="357" w:hanging="357"/>
        <w:contextualSpacing/>
      </w:pPr>
      <w:r>
        <w:t>ziet mogelijkheden voor de verlening van bancaire nevendiensten in oplossingen op basis van afwikkeling in centralebankgeld. Door meer gebruik te maken van het platform Target2-Securities (T2S) voor de afwikkeling van effecten zouden de risico’s worden verminderd;</w:t>
      </w:r>
    </w:p>
    <w:p w:rsidRPr="00F71666" w:rsidR="00A86E2C" w:rsidP="0004205F" w:rsidRDefault="00F71666" w14:paraId="077F1B2A" w14:textId="6B62A243">
      <w:pPr>
        <w:numPr>
          <w:ilvl w:val="0"/>
          <w:numId w:val="3"/>
        </w:numPr>
        <w:ind w:left="357" w:hanging="357"/>
        <w:contextualSpacing/>
      </w:pPr>
      <w:r>
        <w:t>beveelt aan het voorstel van de Commissie aan te vullen met de bepalingen om te erkennen dat T2S een centrale rol speelt in de Europese infrastructuur voor effectenafwikkeling;</w:t>
      </w:r>
    </w:p>
    <w:p w:rsidRPr="00F71666" w:rsidR="00F71666" w:rsidP="0004205F" w:rsidRDefault="00F71666" w14:paraId="41F7CB84" w14:textId="2FB4B7ED">
      <w:pPr>
        <w:numPr>
          <w:ilvl w:val="0"/>
          <w:numId w:val="3"/>
        </w:numPr>
        <w:ind w:left="357" w:hanging="357"/>
        <w:contextualSpacing/>
      </w:pPr>
      <w:r>
        <w:t>merkt op dat het opleggen van verplichte buy-ins volgens een “tweestappenaanpak” alleen mag worden overwogen zolang de onderliggende redenen voor het mislukken van afwikkelingen niet zijn onderzocht en niet is gebleken of er andere maatregelen zijn om het aantal mislukte afwikkelingen op bevredigende wijze te verminderen;</w:t>
      </w:r>
    </w:p>
    <w:p w:rsidRPr="00F71666" w:rsidR="00F71666" w:rsidP="0004205F" w:rsidRDefault="00F71666" w14:paraId="4300CB13" w14:textId="3735AC49">
      <w:pPr>
        <w:numPr>
          <w:ilvl w:val="0"/>
          <w:numId w:val="3"/>
        </w:numPr>
        <w:ind w:left="357" w:hanging="357"/>
        <w:contextualSpacing/>
      </w:pPr>
      <w:r>
        <w:t>beveelt maatregelen aan om “effectenafwikkelingsketens” in te korten en stelt voor onderzoek te doen naar een wijdverbreid gebruik van de “pre-matchingtechniek” om mislukte afwikkelingsoperaties te verminderen;</w:t>
      </w:r>
    </w:p>
    <w:p w:rsidRPr="00F71666" w:rsidR="00F71666" w:rsidP="0004205F" w:rsidRDefault="00F71666" w14:paraId="211F343A" w14:textId="458017F2">
      <w:pPr>
        <w:numPr>
          <w:ilvl w:val="0"/>
          <w:numId w:val="3"/>
        </w:numPr>
        <w:ind w:left="357" w:hanging="357"/>
        <w:contextualSpacing/>
      </w:pPr>
      <w:r>
        <w:t>waarschuwt ervoor dat een proefregeling voor “distributed ledger technology” (DLT) geen precedent mag vormen om de bestaande normen inzake marktgedrag en beleggersbescherming te verlagen. Om het tegenpartijrisico te beperken, moeten CSD’s een sleutelrol spelen bij het beheer van DLT-netwerken;</w:t>
      </w:r>
    </w:p>
    <w:p w:rsidRPr="00B44BB9" w:rsidR="00F71666" w:rsidP="0004205F" w:rsidRDefault="00F71666" w14:paraId="5E238A5C" w14:textId="128D34F4">
      <w:pPr>
        <w:numPr>
          <w:ilvl w:val="0"/>
          <w:numId w:val="3"/>
        </w:numPr>
        <w:ind w:left="357" w:hanging="357"/>
        <w:contextualSpacing/>
      </w:pPr>
      <w:r>
        <w:t>stelt voor dat CSD’s, de uitgevende instellingen en de deelnemers ervan moeten worden verplicht een mechanisme op te zetten voor het uitwisselen en delen van gegevens die relevant zijn voor de toepassing van Europese sancties.</w:t>
      </w:r>
    </w:p>
    <w:p w:rsidRPr="00A30B84" w:rsidR="00DC17CF" w:rsidP="00DC17CF" w:rsidRDefault="00DC17CF" w14:paraId="3241E02B" w14:textId="77777777"/>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7"/>
        <w:gridCol w:w="5670"/>
      </w:tblGrid>
      <w:tr w:rsidRPr="00A30B84" w:rsidR="00DC17CF" w:rsidTr="00DC17CF" w14:paraId="477A3227" w14:textId="77777777">
        <w:tc>
          <w:tcPr>
            <w:tcW w:w="1418" w:type="dxa"/>
          </w:tcPr>
          <w:p w:rsidRPr="00A30B84" w:rsidR="00DC17CF" w:rsidP="00DC17CF" w:rsidRDefault="00DC17CF" w14:paraId="24419728" w14:textId="77777777">
            <w:pPr>
              <w:contextualSpacing/>
              <w:rPr>
                <w:i/>
              </w:rPr>
            </w:pPr>
            <w:r>
              <w:rPr>
                <w:b/>
                <w:i/>
              </w:rPr>
              <w:t>Contactpersoon</w:t>
            </w:r>
          </w:p>
        </w:tc>
        <w:tc>
          <w:tcPr>
            <w:tcW w:w="5670" w:type="dxa"/>
          </w:tcPr>
          <w:p w:rsidRPr="00A30B84" w:rsidR="00DC17CF" w:rsidP="00DC17CF" w:rsidRDefault="0004205F" w14:paraId="0350A297" w14:textId="77777777">
            <w:pPr>
              <w:contextualSpacing/>
              <w:rPr>
                <w:i/>
              </w:rPr>
            </w:pPr>
            <w:r>
              <w:rPr>
                <w:i/>
              </w:rPr>
              <w:t>Sergio Lorencio Matallana</w:t>
            </w:r>
          </w:p>
        </w:tc>
      </w:tr>
      <w:tr w:rsidRPr="00A30B84" w:rsidR="00DC17CF" w:rsidTr="00DC17CF" w14:paraId="0777FDE7" w14:textId="77777777">
        <w:tc>
          <w:tcPr>
            <w:tcW w:w="1418" w:type="dxa"/>
          </w:tcPr>
          <w:p w:rsidRPr="00A30B84" w:rsidR="00DC17CF" w:rsidP="00DC17CF" w:rsidRDefault="00DC17CF" w14:paraId="35E2DDF5" w14:textId="77777777">
            <w:pPr>
              <w:ind w:left="601"/>
              <w:contextualSpacing/>
              <w:rPr>
                <w:i/>
              </w:rPr>
            </w:pPr>
            <w:r>
              <w:rPr>
                <w:i/>
              </w:rPr>
              <w:t>Tel.</w:t>
            </w:r>
          </w:p>
        </w:tc>
        <w:tc>
          <w:tcPr>
            <w:tcW w:w="5670" w:type="dxa"/>
          </w:tcPr>
          <w:p w:rsidRPr="00A30B84" w:rsidR="00DC17CF" w:rsidP="00DC17CF" w:rsidRDefault="00A86E2C" w14:paraId="5B69DE0A" w14:textId="77777777">
            <w:pPr>
              <w:contextualSpacing/>
              <w:rPr>
                <w:i/>
              </w:rPr>
            </w:pPr>
            <w:r>
              <w:rPr>
                <w:i/>
              </w:rPr>
              <w:t>00 32 2 546 92 40</w:t>
            </w:r>
          </w:p>
        </w:tc>
      </w:tr>
      <w:tr w:rsidRPr="00A30B84" w:rsidR="0004205F" w:rsidTr="008B66DD" w14:paraId="32942CB5" w14:textId="77777777">
        <w:tc>
          <w:tcPr>
            <w:tcW w:w="1418" w:type="dxa"/>
          </w:tcPr>
          <w:p w:rsidRPr="00A30B84" w:rsidR="0004205F" w:rsidP="0004205F" w:rsidRDefault="0004205F" w14:paraId="21543959" w14:textId="77777777">
            <w:pPr>
              <w:ind w:left="601"/>
              <w:contextualSpacing/>
              <w:rPr>
                <w:i/>
              </w:rPr>
            </w:pPr>
            <w:r>
              <w:rPr>
                <w:i/>
              </w:rPr>
              <w:t>E-mail</w:t>
            </w:r>
          </w:p>
        </w:tc>
        <w:tc>
          <w:tcPr>
            <w:tcW w:w="5670" w:type="dxa"/>
          </w:tcPr>
          <w:p w:rsidRPr="00A30B84" w:rsidR="0004205F" w:rsidP="0004205F" w:rsidRDefault="0003462B" w14:paraId="3728C82D" w14:textId="77777777">
            <w:pPr>
              <w:spacing w:after="160" w:line="259" w:lineRule="auto"/>
              <w:jc w:val="left"/>
            </w:pPr>
            <w:hyperlink w:history="1" r:id="rId23">
              <w:r w:rsidR="005458B6">
                <w:rPr>
                  <w:rStyle w:val="Hyperlink"/>
                  <w:i/>
                </w:rPr>
                <w:t>Sergio.LorencioMatallana@eesc.europa.eu</w:t>
              </w:r>
            </w:hyperlink>
            <w:r w:rsidR="005458B6">
              <w:rPr>
                <w:i/>
              </w:rPr>
              <w:t xml:space="preserve"> </w:t>
            </w:r>
          </w:p>
        </w:tc>
      </w:tr>
    </w:tbl>
    <w:p w:rsidR="00B44BB9" w:rsidRDefault="00B44BB9" w14:paraId="7983E4BB" w14:textId="77777777">
      <w:pPr>
        <w:spacing w:after="160" w:line="259" w:lineRule="auto"/>
        <w:jc w:val="left"/>
      </w:pPr>
    </w:p>
    <w:p w:rsidR="00B44BB9" w:rsidRDefault="00B44BB9" w14:paraId="53EAD6FD" w14:textId="77777777">
      <w:pPr>
        <w:spacing w:after="160" w:line="259" w:lineRule="auto"/>
        <w:jc w:val="left"/>
      </w:pPr>
      <w:r>
        <w:br w:type="page"/>
      </w:r>
    </w:p>
    <w:p w:rsidRPr="009B70E7" w:rsidR="004D7AC0" w:rsidRDefault="004D7AC0" w14:paraId="73D829D0" w14:textId="77777777">
      <w:pPr>
        <w:pStyle w:val="Heading1"/>
        <w:rPr>
          <w:b/>
        </w:rPr>
      </w:pPr>
      <w:bookmarkStart w:name="_Toc75527081" w:id="3"/>
      <w:bookmarkStart w:name="_Toc109806223" w:id="4"/>
      <w:r>
        <w:rPr>
          <w:b/>
        </w:rPr>
        <w:lastRenderedPageBreak/>
        <w:t>WERKGELEGENHEID, SOCIALE ZAKEN EN BURGERSCHAP</w:t>
      </w:r>
      <w:bookmarkEnd w:id="3"/>
      <w:bookmarkEnd w:id="4"/>
    </w:p>
    <w:p w:rsidRPr="00B33E54" w:rsidR="00775FDA" w:rsidP="00B33E54" w:rsidRDefault="00775FDA" w14:paraId="46C917A8" w14:textId="77777777">
      <w:pPr>
        <w:spacing w:line="240" w:lineRule="auto"/>
        <w:jc w:val="left"/>
        <w:rPr>
          <w:b/>
          <w:sz w:val="18"/>
          <w:szCs w:val="18"/>
        </w:rPr>
      </w:pPr>
    </w:p>
    <w:p w:rsidRPr="00DA2D88" w:rsidR="00DA608B" w:rsidP="00B33E54" w:rsidRDefault="00DA2D88" w14:paraId="2B9D750E" w14:textId="7E36CE8F">
      <w:pPr>
        <w:pStyle w:val="ListParagraph"/>
        <w:numPr>
          <w:ilvl w:val="0"/>
          <w:numId w:val="2"/>
        </w:numPr>
        <w:spacing w:line="264" w:lineRule="auto"/>
        <w:ind w:left="567" w:hanging="567"/>
        <w:rPr>
          <w:i/>
          <w:sz w:val="28"/>
          <w:szCs w:val="28"/>
        </w:rPr>
      </w:pPr>
      <w:r w:rsidRPr="00B33E54">
        <w:rPr>
          <w:b/>
          <w:i/>
          <w:spacing w:val="-4"/>
          <w:sz w:val="28"/>
        </w:rPr>
        <w:t>COVID-19 – De paraatheid en respons van de EU in stand houden: Een blik</w:t>
      </w:r>
      <w:r>
        <w:rPr>
          <w:b/>
          <w:i/>
          <w:sz w:val="28"/>
        </w:rPr>
        <w:t xml:space="preserve"> vooruit</w:t>
      </w:r>
    </w:p>
    <w:p w:rsidRPr="00B33E54" w:rsidR="00DA608B" w:rsidP="00B33E54" w:rsidRDefault="00DA608B" w14:paraId="52A05893" w14:textId="77777777">
      <w:pPr>
        <w:pStyle w:val="ListParagraph"/>
        <w:spacing w:line="240" w:lineRule="auto"/>
        <w:ind w:left="0"/>
        <w:contextualSpacing w:val="0"/>
        <w:jc w:val="left"/>
        <w:rPr>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5"/>
        <w:gridCol w:w="5232"/>
      </w:tblGrid>
      <w:tr w:rsidRPr="009B70E7" w:rsidR="00DA608B" w:rsidTr="003A7ED4" w14:paraId="5CC43C80" w14:textId="77777777">
        <w:trPr>
          <w:trHeight w:val="400"/>
        </w:trPr>
        <w:tc>
          <w:tcPr>
            <w:tcW w:w="2235" w:type="dxa"/>
          </w:tcPr>
          <w:p w:rsidR="00DA608B" w:rsidP="00B33E54" w:rsidRDefault="00DA608B" w14:paraId="27FDCFCA" w14:textId="43B2C3C3">
            <w:pPr>
              <w:pStyle w:val="ListParagraph"/>
              <w:spacing w:line="240" w:lineRule="auto"/>
              <w:ind w:left="0" w:right="-975" w:hanging="108"/>
              <w:rPr>
                <w:b/>
              </w:rPr>
            </w:pPr>
            <w:r>
              <w:rPr>
                <w:b/>
              </w:rPr>
              <w:t>Algemeen rapporteur</w:t>
            </w:r>
          </w:p>
          <w:p w:rsidRPr="009B70E7" w:rsidR="000C43E2" w:rsidP="00B33E54" w:rsidRDefault="000C43E2" w14:paraId="6C72EBF9" w14:textId="676EFD71">
            <w:pPr>
              <w:pStyle w:val="ListParagraph"/>
              <w:spacing w:line="240" w:lineRule="auto"/>
              <w:ind w:left="0" w:right="-975" w:hanging="108"/>
              <w:rPr>
                <w:b/>
              </w:rPr>
            </w:pPr>
          </w:p>
        </w:tc>
        <w:tc>
          <w:tcPr>
            <w:tcW w:w="5232" w:type="dxa"/>
          </w:tcPr>
          <w:p w:rsidRPr="009B70E7" w:rsidR="00DA608B" w:rsidP="00B33E54" w:rsidRDefault="00DA2D88" w14:paraId="0FD390DE" w14:textId="77777777">
            <w:pPr>
              <w:pStyle w:val="ListParagraph"/>
              <w:spacing w:line="240" w:lineRule="auto"/>
              <w:ind w:left="-108"/>
            </w:pPr>
            <w:r>
              <w:t>Sára FELSZEGHI (groep Werknemers – HU)</w:t>
            </w:r>
          </w:p>
          <w:p w:rsidRPr="009B70E7" w:rsidR="00DA608B" w:rsidRDefault="00DA608B" w14:paraId="42694D38" w14:textId="77777777">
            <w:pPr>
              <w:pStyle w:val="ListParagraph"/>
              <w:ind w:left="0"/>
            </w:pPr>
          </w:p>
        </w:tc>
      </w:tr>
      <w:tr w:rsidRPr="009B70E7" w:rsidR="00DA608B" w:rsidTr="003A7ED4" w14:paraId="0AB50045" w14:textId="77777777">
        <w:trPr>
          <w:trHeight w:val="550"/>
        </w:trPr>
        <w:tc>
          <w:tcPr>
            <w:tcW w:w="2235" w:type="dxa"/>
          </w:tcPr>
          <w:p w:rsidRPr="00765C4F" w:rsidR="00DA608B" w:rsidP="003A7ED4" w:rsidRDefault="00DA608B" w14:paraId="6F51EE90" w14:textId="77777777">
            <w:pPr>
              <w:pStyle w:val="ListParagraph"/>
              <w:spacing w:line="240" w:lineRule="auto"/>
              <w:ind w:left="0" w:hanging="108"/>
              <w:rPr>
                <w:b/>
              </w:rPr>
            </w:pPr>
            <w:r>
              <w:rPr>
                <w:b/>
              </w:rPr>
              <w:t xml:space="preserve">Referentiedocument </w:t>
            </w:r>
          </w:p>
        </w:tc>
        <w:tc>
          <w:tcPr>
            <w:tcW w:w="5232" w:type="dxa"/>
          </w:tcPr>
          <w:p w:rsidRPr="00765C4F" w:rsidR="00DA608B" w:rsidP="003A7ED4" w:rsidRDefault="00765C4F" w14:paraId="3539F204" w14:textId="77777777">
            <w:pPr>
              <w:pStyle w:val="ListParagraph"/>
              <w:spacing w:line="240" w:lineRule="auto"/>
              <w:ind w:left="-108"/>
            </w:pPr>
            <w:r>
              <w:t>COM(2022) 190 final</w:t>
            </w:r>
          </w:p>
          <w:p w:rsidRPr="00765C4F" w:rsidR="00DA608B" w:rsidP="003A7ED4" w:rsidRDefault="00DA2D88" w14:paraId="0B0645EB" w14:textId="77777777">
            <w:pPr>
              <w:pStyle w:val="ListParagraph"/>
              <w:spacing w:line="240" w:lineRule="auto"/>
              <w:ind w:left="-108"/>
            </w:pPr>
            <w:r>
              <w:t>EESC-2022-02844-00-00-AC</w:t>
            </w:r>
          </w:p>
        </w:tc>
      </w:tr>
    </w:tbl>
    <w:p w:rsidRPr="00B33E54" w:rsidR="00DA608B" w:rsidP="00B33E54" w:rsidRDefault="00DA608B" w14:paraId="5CD81DDF" w14:textId="77777777">
      <w:pPr>
        <w:pStyle w:val="ListParagraph"/>
        <w:spacing w:line="240" w:lineRule="auto"/>
        <w:ind w:left="0"/>
        <w:contextualSpacing w:val="0"/>
        <w:jc w:val="left"/>
        <w:rPr>
          <w:b/>
          <w:sz w:val="18"/>
          <w:szCs w:val="18"/>
        </w:rPr>
      </w:pPr>
    </w:p>
    <w:p w:rsidR="00C76C46" w:rsidP="002C4B6E" w:rsidRDefault="00DA608B" w14:paraId="69FEE6CD" w14:textId="2D579889">
      <w:pPr>
        <w:pStyle w:val="ListParagraph"/>
        <w:spacing w:line="240" w:lineRule="auto"/>
        <w:ind w:left="-142" w:firstLine="142"/>
        <w:rPr>
          <w:b/>
        </w:rPr>
      </w:pPr>
      <w:r>
        <w:rPr>
          <w:b/>
        </w:rPr>
        <w:t>Hoofdpunten</w:t>
      </w:r>
    </w:p>
    <w:p w:rsidRPr="00B33E54" w:rsidR="00C76C46" w:rsidP="00B33E54" w:rsidRDefault="00C76C46" w14:paraId="72E92ACD" w14:textId="77777777">
      <w:pPr>
        <w:pStyle w:val="ListParagraph"/>
        <w:spacing w:line="240" w:lineRule="auto"/>
        <w:ind w:left="0"/>
        <w:contextualSpacing w:val="0"/>
        <w:jc w:val="left"/>
        <w:rPr>
          <w:b/>
          <w:sz w:val="18"/>
          <w:szCs w:val="18"/>
        </w:rPr>
      </w:pPr>
    </w:p>
    <w:p w:rsidR="00813A00" w:rsidP="00150AD8" w:rsidRDefault="001B6460" w14:paraId="761BDCA0" w14:textId="77777777">
      <w:pPr>
        <w:pStyle w:val="ListParagraph"/>
        <w:spacing w:line="240" w:lineRule="auto"/>
        <w:ind w:left="0"/>
      </w:pPr>
      <w:r>
        <w:t>Het EESC:</w:t>
      </w:r>
    </w:p>
    <w:p w:rsidRPr="00B33E54" w:rsidR="00276CC9" w:rsidP="00B33E54" w:rsidRDefault="00276CC9" w14:paraId="25EBE488" w14:textId="77777777">
      <w:pPr>
        <w:pStyle w:val="ListParagraph"/>
        <w:spacing w:line="240" w:lineRule="auto"/>
        <w:ind w:left="0"/>
        <w:contextualSpacing w:val="0"/>
        <w:jc w:val="left"/>
        <w:rPr>
          <w:sz w:val="18"/>
          <w:szCs w:val="18"/>
        </w:rPr>
      </w:pPr>
    </w:p>
    <w:p w:rsidR="00813A00" w:rsidP="0018231C" w:rsidRDefault="00DA2D88" w14:paraId="65AAF95D" w14:textId="77777777">
      <w:pPr>
        <w:pStyle w:val="ListParagraph"/>
        <w:numPr>
          <w:ilvl w:val="0"/>
          <w:numId w:val="3"/>
        </w:numPr>
        <w:ind w:left="357" w:hanging="357"/>
      </w:pPr>
      <w:r>
        <w:t>is van mening dat de EU een snelle reactiecapaciteit moet ontwikkelen, zodat ze meteen kan reageren op gevaren voor de volksgezondheid. Een dergelijke strategie moet alle aspecten omvatten van preventie (vaccinatie, preventieve gezondheidsmaatregelen, onderwijs, communicatie enz.), behandeling (geneesmiddelen, patiëntenzorg, medische revalidatie, zorg enz.), re-integratie (op de arbeidsmarkt en op school) en zorg (met bijzondere aandacht voor mensen met long covid);</w:t>
      </w:r>
    </w:p>
    <w:p w:rsidR="00C76C46" w:rsidP="0018231C" w:rsidRDefault="00DA2D88" w14:paraId="6B2D5B52" w14:textId="77777777">
      <w:pPr>
        <w:pStyle w:val="ListParagraph"/>
        <w:numPr>
          <w:ilvl w:val="0"/>
          <w:numId w:val="3"/>
        </w:numPr>
        <w:ind w:left="357" w:hanging="357"/>
      </w:pPr>
      <w:r>
        <w:t>beschouwt vaccinatie als een hoeksteen van preventie en is van mening dat de vaccinatiestrategie van de EU steeds moet worden geactualiseerd en afgestemd op lopende ontwikkelingen;</w:t>
      </w:r>
    </w:p>
    <w:p w:rsidR="00C76C46" w:rsidP="0018231C" w:rsidRDefault="00DA2D88" w14:paraId="46154044" w14:textId="77777777">
      <w:pPr>
        <w:pStyle w:val="ListParagraph"/>
        <w:numPr>
          <w:ilvl w:val="0"/>
          <w:numId w:val="3"/>
        </w:numPr>
        <w:ind w:left="357" w:hanging="357"/>
      </w:pPr>
      <w:r>
        <w:t>acht het belangrijk dat COVID-19-tests betrouwbaar en op epidemiologisch vlak representatief zijn, zodat ze als nuttige referentiepunten voor een snelle respons kunnen dienen. Snelle antigeentests moeten voldoen aan de prestatiecriteria die zijn aangegeven in de desbetreffende EU-lijst;</w:t>
      </w:r>
    </w:p>
    <w:p w:rsidR="00C76C46" w:rsidP="0018231C" w:rsidRDefault="00DA2D88" w14:paraId="384F44B3" w14:textId="77777777">
      <w:pPr>
        <w:pStyle w:val="ListParagraph"/>
        <w:numPr>
          <w:ilvl w:val="0"/>
          <w:numId w:val="3"/>
        </w:numPr>
        <w:ind w:left="357" w:hanging="357"/>
      </w:pPr>
      <w:r>
        <w:t>wijst op het belang van ventilatie als preventiemaatregel en raadt aan om onder meer in drukke en slecht verluchte ruimten en in het openbaar vervoer een masker te blijven dragen, afstand te houden en handen te ontsmetten;</w:t>
      </w:r>
    </w:p>
    <w:p w:rsidR="00C76C46" w:rsidP="0018231C" w:rsidRDefault="00DA2D88" w14:paraId="540B5241" w14:textId="77777777">
      <w:pPr>
        <w:pStyle w:val="ListParagraph"/>
        <w:numPr>
          <w:ilvl w:val="0"/>
          <w:numId w:val="3"/>
        </w:numPr>
        <w:ind w:left="357" w:hanging="357"/>
      </w:pPr>
      <w:r>
        <w:t>is van mening dat de epidemiologische surveillance nu moet worden gebruikt om betrouwbare schattingen te verkrijgen van de intensiteit waarmee lokale overdracht plaatsvindt, de gevolgen van ernstige ziektegevallen en de doeltreffendheid van vaccins. De lidstaten moeten strategieën uitwerken om opnieuw surveillance op basis van peilstations in te voeren die gericht is op acute infecties van de luchtwegen en gebaseerd is op de eerste- en tweedelijnszorg. Die surveillance moet worden aangevuld door andere waarschuwingssystemen te versterken, bijvoorbeeld de monitoring van afvalwater. De EU en de lidstaten moeten gezamenlijk één rapportagesysteem ontwikkelen;</w:t>
      </w:r>
    </w:p>
    <w:p w:rsidR="001B6460" w:rsidP="0018231C" w:rsidRDefault="00DA2D88" w14:paraId="515F6F8A" w14:textId="77777777">
      <w:pPr>
        <w:pStyle w:val="ListParagraph"/>
        <w:numPr>
          <w:ilvl w:val="0"/>
          <w:numId w:val="3"/>
        </w:numPr>
        <w:ind w:left="357" w:hanging="357"/>
      </w:pPr>
      <w:r>
        <w:t>beveelt aan bewustmakingsactiviteiten te organiseren om burgers meer inzicht te geven in de genomen maatregelen en het belang ervan. De EU en de WHO zouden materiaal voor deze activiteiten kunnen verstrekken;</w:t>
      </w:r>
    </w:p>
    <w:p w:rsidRPr="00DA2D88" w:rsidR="00DA2D88" w:rsidP="00DA2D88" w:rsidRDefault="00DA2D88" w14:paraId="19EC7866" w14:textId="700DB502">
      <w:pPr>
        <w:pStyle w:val="ListParagraph"/>
        <w:numPr>
          <w:ilvl w:val="0"/>
          <w:numId w:val="3"/>
        </w:numPr>
        <w:ind w:left="357" w:hanging="357"/>
      </w:pPr>
      <w:r>
        <w:t>beveelt de lidstaten aan om een waarnemings- en certificeringssysteem op touw te zetten waarmee nepnieuws kan worden opgespoord en “gelabeld”. De desbetreffende informatie moet beschikbaar zijn in de moedertaal van de burgers;</w:t>
      </w:r>
    </w:p>
    <w:p w:rsidRPr="009B70E7" w:rsidR="00DA2D88" w:rsidP="0018231C" w:rsidRDefault="00DA2D88" w14:paraId="1FD3A8FD" w14:textId="77777777">
      <w:pPr>
        <w:pStyle w:val="ListParagraph"/>
        <w:numPr>
          <w:ilvl w:val="0"/>
          <w:numId w:val="3"/>
        </w:numPr>
        <w:ind w:left="357" w:hanging="357"/>
      </w:pPr>
      <w:r>
        <w:t>beveelt aan een protocol op te stellen voor alle onderdelen van de behandeling, waarvan een voortdurend bijgewerkte versie online toegankelijk is in alle officiële talen van de EU. Rehabilitatie moet een prominente rol krijgen in het protocol en worden aangeboden door gezondheidsdiensten, op school of op de werkplek.</w:t>
      </w:r>
    </w:p>
    <w:p w:rsidRPr="00B33E54" w:rsidR="00DA608B" w:rsidP="00B33E54" w:rsidRDefault="00DA608B" w14:paraId="1606B3C6" w14:textId="77777777">
      <w:pPr>
        <w:spacing w:line="240" w:lineRule="auto"/>
        <w:rPr>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7"/>
        <w:gridCol w:w="5670"/>
      </w:tblGrid>
      <w:tr w:rsidRPr="009B70E7" w:rsidR="00AA5C61" w:rsidTr="00670347" w14:paraId="6358F577" w14:textId="77777777">
        <w:tc>
          <w:tcPr>
            <w:tcW w:w="1418" w:type="dxa"/>
          </w:tcPr>
          <w:p w:rsidRPr="009B70E7" w:rsidR="00AA5C61" w:rsidP="00B34E93" w:rsidRDefault="00AA5C61" w14:paraId="1A2B7FCF" w14:textId="77777777">
            <w:pPr>
              <w:pStyle w:val="ListParagraph"/>
              <w:keepNext/>
              <w:keepLines/>
              <w:ind w:left="0"/>
              <w:rPr>
                <w:i/>
              </w:rPr>
            </w:pPr>
            <w:r>
              <w:rPr>
                <w:b/>
                <w:i/>
              </w:rPr>
              <w:t>Contactpersoon</w:t>
            </w:r>
          </w:p>
        </w:tc>
        <w:tc>
          <w:tcPr>
            <w:tcW w:w="5670" w:type="dxa"/>
          </w:tcPr>
          <w:p w:rsidRPr="009B70E7" w:rsidR="00AA5C61" w:rsidP="00B34E93" w:rsidRDefault="00DA2D88" w14:paraId="11D2E99D" w14:textId="77777777">
            <w:pPr>
              <w:pStyle w:val="ListParagraph"/>
              <w:keepNext/>
              <w:keepLines/>
              <w:ind w:left="0"/>
              <w:rPr>
                <w:i/>
              </w:rPr>
            </w:pPr>
            <w:r>
              <w:rPr>
                <w:i/>
              </w:rPr>
              <w:t>Valeria Atzori</w:t>
            </w:r>
          </w:p>
        </w:tc>
      </w:tr>
      <w:tr w:rsidRPr="009B70E7" w:rsidR="00AA5C61" w:rsidTr="00670347" w14:paraId="58D8BC91" w14:textId="77777777">
        <w:tc>
          <w:tcPr>
            <w:tcW w:w="1418" w:type="dxa"/>
          </w:tcPr>
          <w:p w:rsidRPr="009B70E7" w:rsidR="00AA5C61" w:rsidP="00B34E93" w:rsidRDefault="00AA5C61" w14:paraId="66CDB05E" w14:textId="77777777">
            <w:pPr>
              <w:pStyle w:val="ListParagraph"/>
              <w:keepNext/>
              <w:keepLines/>
              <w:ind w:left="601"/>
              <w:rPr>
                <w:i/>
              </w:rPr>
            </w:pPr>
            <w:r>
              <w:rPr>
                <w:i/>
              </w:rPr>
              <w:t>Tel.</w:t>
            </w:r>
          </w:p>
        </w:tc>
        <w:tc>
          <w:tcPr>
            <w:tcW w:w="5670" w:type="dxa"/>
          </w:tcPr>
          <w:p w:rsidRPr="009B70E7" w:rsidR="00AA5C61" w:rsidP="00B34E93" w:rsidRDefault="00DA2D88" w14:paraId="7BF3F3B1" w14:textId="77777777">
            <w:pPr>
              <w:pStyle w:val="ListParagraph"/>
              <w:keepNext/>
              <w:keepLines/>
              <w:ind w:left="0"/>
              <w:rPr>
                <w:i/>
              </w:rPr>
            </w:pPr>
            <w:r>
              <w:rPr>
                <w:i/>
              </w:rPr>
              <w:t>00 32 2 546 87 74</w:t>
            </w:r>
          </w:p>
        </w:tc>
      </w:tr>
      <w:tr w:rsidRPr="009B70E7" w:rsidR="00AA5C61" w:rsidTr="00670347" w14:paraId="6530A32F" w14:textId="77777777">
        <w:tc>
          <w:tcPr>
            <w:tcW w:w="1418" w:type="dxa"/>
          </w:tcPr>
          <w:p w:rsidRPr="009B70E7" w:rsidR="00AA5C61" w:rsidP="00670347" w:rsidRDefault="00AA5C61" w14:paraId="0DC6FCD7" w14:textId="77777777">
            <w:pPr>
              <w:pStyle w:val="ListParagraph"/>
              <w:ind w:left="601"/>
              <w:rPr>
                <w:i/>
              </w:rPr>
            </w:pPr>
            <w:r>
              <w:rPr>
                <w:i/>
              </w:rPr>
              <w:t>E-mail</w:t>
            </w:r>
          </w:p>
        </w:tc>
        <w:tc>
          <w:tcPr>
            <w:tcW w:w="5670" w:type="dxa"/>
          </w:tcPr>
          <w:p w:rsidRPr="009B70E7" w:rsidR="00AA5C61" w:rsidP="00670347" w:rsidRDefault="0003462B" w14:paraId="25DE88BE" w14:textId="77777777">
            <w:pPr>
              <w:pStyle w:val="ListParagraph"/>
              <w:ind w:left="0"/>
              <w:rPr>
                <w:i/>
              </w:rPr>
            </w:pPr>
            <w:hyperlink w:history="1" r:id="rId24">
              <w:r w:rsidR="005458B6">
                <w:rPr>
                  <w:rStyle w:val="Hyperlink"/>
                  <w:i/>
                </w:rPr>
                <w:t>Valeria.Atzori@eesc.europa.eu</w:t>
              </w:r>
            </w:hyperlink>
          </w:p>
        </w:tc>
      </w:tr>
    </w:tbl>
    <w:p w:rsidRPr="00B33E54" w:rsidR="00910972" w:rsidP="00B33E54" w:rsidRDefault="00910972" w14:paraId="15F12AD4" w14:textId="483B1106">
      <w:pPr>
        <w:spacing w:line="240" w:lineRule="auto"/>
        <w:rPr>
          <w:sz w:val="16"/>
          <w:szCs w:val="16"/>
        </w:rPr>
      </w:pPr>
    </w:p>
    <w:p w:rsidR="00910972" w:rsidRDefault="00910972" w14:paraId="1D08F02B" w14:textId="77777777">
      <w:pPr>
        <w:spacing w:after="160" w:line="259" w:lineRule="auto"/>
        <w:jc w:val="left"/>
        <w:rPr>
          <w:sz w:val="28"/>
        </w:rPr>
      </w:pPr>
      <w:r>
        <w:br w:type="page"/>
      </w:r>
    </w:p>
    <w:p w:rsidRPr="009B70E7" w:rsidR="00775FDA" w:rsidP="0018231C" w:rsidRDefault="00B44BB9" w14:paraId="6004B7F1" w14:textId="77777777">
      <w:pPr>
        <w:pStyle w:val="ListParagraph"/>
        <w:keepNext/>
        <w:numPr>
          <w:ilvl w:val="0"/>
          <w:numId w:val="2"/>
        </w:numPr>
        <w:ind w:left="567" w:hanging="567"/>
        <w:rPr>
          <w:b/>
          <w:i/>
          <w:sz w:val="28"/>
          <w:szCs w:val="28"/>
        </w:rPr>
      </w:pPr>
      <w:r>
        <w:rPr>
          <w:b/>
          <w:i/>
          <w:sz w:val="28"/>
        </w:rPr>
        <w:lastRenderedPageBreak/>
        <w:t>Bestrijding van geweld tegen vrouwen</w:t>
      </w:r>
    </w:p>
    <w:p w:rsidRPr="009B70E7" w:rsidR="00775FDA" w:rsidP="0018231C" w:rsidRDefault="00775FDA" w14:paraId="301189D8"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020"/>
        <w:gridCol w:w="6096"/>
        <w:gridCol w:w="425"/>
      </w:tblGrid>
      <w:tr w:rsidRPr="009B70E7" w:rsidR="00B44BB9" w:rsidTr="00174763" w14:paraId="5CC040D5" w14:textId="77777777">
        <w:trPr>
          <w:gridAfter w:val="1"/>
          <w:wAfter w:w="425" w:type="dxa"/>
          <w:cantSplit/>
          <w:trHeight w:val="284" w:hRule="exact"/>
        </w:trPr>
        <w:tc>
          <w:tcPr>
            <w:tcW w:w="1701" w:type="dxa"/>
          </w:tcPr>
          <w:p w:rsidR="00B44BB9" w:rsidP="00B44BB9" w:rsidRDefault="00B44BB9" w14:paraId="2BE1EF86" w14:textId="77777777">
            <w:pPr>
              <w:pStyle w:val="ListParagraph"/>
              <w:keepNext/>
              <w:ind w:left="0"/>
              <w:rPr>
                <w:b/>
              </w:rPr>
            </w:pPr>
            <w:r>
              <w:rPr>
                <w:b/>
              </w:rPr>
              <w:t>Rapporteur</w:t>
            </w:r>
          </w:p>
          <w:p w:rsidRPr="009B70E7" w:rsidR="00B44BB9" w:rsidP="00B44BB9" w:rsidRDefault="00B44BB9" w14:paraId="15AEA92C" w14:textId="77777777">
            <w:pPr>
              <w:pStyle w:val="ListParagraph"/>
              <w:keepNext/>
              <w:ind w:left="0"/>
              <w:rPr>
                <w:b/>
              </w:rPr>
            </w:pPr>
          </w:p>
        </w:tc>
        <w:tc>
          <w:tcPr>
            <w:tcW w:w="6096" w:type="dxa"/>
          </w:tcPr>
          <w:p w:rsidRPr="009B70E7" w:rsidR="00B44BB9" w:rsidP="00D35512" w:rsidRDefault="00B44BB9" w14:paraId="689CA704" w14:textId="77777777">
            <w:pPr>
              <w:pStyle w:val="ListParagraph"/>
              <w:keepNext/>
              <w:ind w:left="0" w:firstLine="90"/>
            </w:pPr>
            <w:r>
              <w:t>José Antonio MORENO DÍAZ (groep Werknemers – ES)</w:t>
            </w:r>
          </w:p>
        </w:tc>
      </w:tr>
      <w:tr w:rsidRPr="009B70E7" w:rsidR="00B44BB9" w:rsidTr="00174763" w14:paraId="0BE10C0A" w14:textId="77777777">
        <w:trPr>
          <w:gridAfter w:val="1"/>
          <w:wAfter w:w="425" w:type="dxa"/>
          <w:cantSplit/>
          <w:trHeight w:val="567" w:hRule="exact"/>
        </w:trPr>
        <w:tc>
          <w:tcPr>
            <w:tcW w:w="1701" w:type="dxa"/>
          </w:tcPr>
          <w:p w:rsidR="00B44BB9" w:rsidP="00B44BB9" w:rsidRDefault="00B44BB9" w14:paraId="5684194C" w14:textId="77777777">
            <w:pPr>
              <w:pStyle w:val="ListParagraph"/>
              <w:keepNext/>
              <w:ind w:left="0"/>
              <w:rPr>
                <w:b/>
              </w:rPr>
            </w:pPr>
            <w:r>
              <w:rPr>
                <w:b/>
              </w:rPr>
              <w:t>Corapporteur</w:t>
            </w:r>
          </w:p>
          <w:p w:rsidRPr="009B70E7" w:rsidR="00B44BB9" w:rsidP="00B44BB9" w:rsidRDefault="00B44BB9" w14:paraId="24CB645C" w14:textId="77777777">
            <w:pPr>
              <w:pStyle w:val="ListParagraph"/>
              <w:keepNext/>
              <w:ind w:left="0"/>
              <w:rPr>
                <w:b/>
              </w:rPr>
            </w:pPr>
          </w:p>
        </w:tc>
        <w:tc>
          <w:tcPr>
            <w:tcW w:w="6096" w:type="dxa"/>
          </w:tcPr>
          <w:p w:rsidRPr="009B70E7" w:rsidR="00B44BB9" w:rsidP="00910972" w:rsidRDefault="00B44BB9" w14:paraId="29D5D88B" w14:textId="799BB3FB">
            <w:pPr>
              <w:pStyle w:val="ListParagraph"/>
              <w:keepNext/>
              <w:ind w:left="145"/>
            </w:pPr>
            <w:r>
              <w:t>Ody NEISINGH (groep Maatschappelijke Organisaties – NL)</w:t>
            </w:r>
          </w:p>
        </w:tc>
      </w:tr>
      <w:tr w:rsidRPr="00627B8F" w:rsidR="00B44BB9" w:rsidTr="00B83E7B" w14:paraId="58C9EA77" w14:textId="77777777">
        <w:tc>
          <w:tcPr>
            <w:tcW w:w="1701" w:type="dxa"/>
          </w:tcPr>
          <w:p w:rsidRPr="009B70E7" w:rsidR="00B44BB9" w:rsidP="00B44BB9" w:rsidRDefault="00B44BB9" w14:paraId="5397904E" w14:textId="77777777">
            <w:pPr>
              <w:pStyle w:val="ListParagraph"/>
              <w:keepNext/>
              <w:ind w:left="0"/>
              <w:rPr>
                <w:b/>
              </w:rPr>
            </w:pPr>
            <w:r>
              <w:rPr>
                <w:b/>
              </w:rPr>
              <w:t xml:space="preserve">Referentiedocument </w:t>
            </w:r>
          </w:p>
        </w:tc>
        <w:tc>
          <w:tcPr>
            <w:tcW w:w="6521" w:type="dxa"/>
            <w:gridSpan w:val="2"/>
          </w:tcPr>
          <w:p w:rsidRPr="00627B8F" w:rsidR="00B44BB9" w:rsidP="00D35512" w:rsidRDefault="00E65D01" w14:paraId="7887F4C5" w14:textId="77777777">
            <w:pPr>
              <w:pStyle w:val="ListParagraph"/>
              <w:ind w:left="-52" w:firstLine="142"/>
              <w:rPr>
                <w:bCs/>
              </w:rPr>
            </w:pPr>
            <w:r>
              <w:t>COM(2022) 105 final</w:t>
            </w:r>
          </w:p>
          <w:p w:rsidRPr="00627B8F" w:rsidR="00B44BB9" w:rsidP="008745F7" w:rsidRDefault="00B44BB9" w14:paraId="12C6341D" w14:textId="77777777">
            <w:pPr>
              <w:pStyle w:val="ListParagraph"/>
              <w:ind w:left="0" w:firstLine="90"/>
            </w:pPr>
            <w:r>
              <w:t>EESC-2022-01395-00-00-AC</w:t>
            </w:r>
          </w:p>
        </w:tc>
      </w:tr>
    </w:tbl>
    <w:p w:rsidR="00631509" w:rsidP="00631509" w:rsidRDefault="00631509" w14:paraId="5534BE55" w14:textId="77777777">
      <w:pPr>
        <w:pStyle w:val="ListParagraph"/>
        <w:spacing w:line="240" w:lineRule="auto"/>
        <w:ind w:left="-142" w:firstLine="284"/>
        <w:rPr>
          <w:b/>
        </w:rPr>
      </w:pPr>
    </w:p>
    <w:p w:rsidRPr="00C76C46" w:rsidR="00775FDA" w:rsidP="00631509" w:rsidRDefault="00C76C46" w14:paraId="63769A52" w14:textId="5936BE53">
      <w:pPr>
        <w:pStyle w:val="ListParagraph"/>
        <w:spacing w:line="240" w:lineRule="auto"/>
        <w:ind w:left="-142" w:firstLine="142"/>
        <w:rPr>
          <w:b/>
        </w:rPr>
      </w:pPr>
      <w:r>
        <w:rPr>
          <w:b/>
        </w:rPr>
        <w:t>Hoofdpunten</w:t>
      </w:r>
    </w:p>
    <w:p w:rsidRPr="009B70E7" w:rsidR="005475DA" w:rsidRDefault="005475DA" w14:paraId="580B14A7" w14:textId="77777777">
      <w:pPr>
        <w:pStyle w:val="ListParagraph"/>
        <w:ind w:left="0"/>
      </w:pPr>
    </w:p>
    <w:p w:rsidRPr="009B70E7" w:rsidR="00775FDA" w:rsidP="00326919" w:rsidRDefault="008946BF" w14:paraId="3C2434D8" w14:textId="77777777">
      <w:pPr>
        <w:pStyle w:val="ListParagraph"/>
        <w:spacing w:line="240" w:lineRule="auto"/>
        <w:ind w:left="0"/>
      </w:pPr>
      <w:r>
        <w:t>Het EESC:</w:t>
      </w:r>
    </w:p>
    <w:p w:rsidRPr="009B70E7" w:rsidR="00775FDA" w:rsidP="0018231C" w:rsidRDefault="00775FDA" w14:paraId="540C04B4" w14:textId="77777777">
      <w:pPr>
        <w:pStyle w:val="ListParagraph"/>
        <w:ind w:left="0"/>
      </w:pPr>
    </w:p>
    <w:p w:rsidRPr="009B70E7" w:rsidR="00775FDA" w:rsidP="0018231C" w:rsidRDefault="00B44BB9" w14:paraId="6C1D5D1B" w14:textId="77777777">
      <w:pPr>
        <w:pStyle w:val="ListParagraph"/>
        <w:numPr>
          <w:ilvl w:val="0"/>
          <w:numId w:val="3"/>
        </w:numPr>
        <w:ind w:left="357" w:hanging="357"/>
      </w:pPr>
      <w:r>
        <w:t>is ingenomen met de beleidsinnovatie die een richtlijn ter bestrijding van geweld tegen vrouwen vanuit een intersectionele benadering met zich meebrengt. Op een dergelijke richtlijn zit de samenleving al lang te wachten;</w:t>
      </w:r>
    </w:p>
    <w:p w:rsidRPr="009B70E7" w:rsidR="00775FDA" w:rsidP="0018231C" w:rsidRDefault="00B44BB9" w14:paraId="3D89CE58" w14:textId="77777777">
      <w:pPr>
        <w:pStyle w:val="ListParagraph"/>
        <w:numPr>
          <w:ilvl w:val="0"/>
          <w:numId w:val="3"/>
        </w:numPr>
        <w:ind w:left="357" w:hanging="357"/>
      </w:pPr>
      <w:r>
        <w:t xml:space="preserve">vindt dat het beleid om dat geweld te bestrijden bovendien geen neutraal beleid mag zijn, maar moet worden ontwikkeld vanuit een </w:t>
      </w:r>
      <w:r>
        <w:rPr>
          <w:b/>
        </w:rPr>
        <w:t>duidelijk, ontegensprekelijk genderperspectief</w:t>
      </w:r>
      <w:r>
        <w:t xml:space="preserve"> en zo worden opgezet dat de noodzaak en doeltreffendheid ervan duidelijk blijken;</w:t>
      </w:r>
    </w:p>
    <w:p w:rsidR="00B92B86" w:rsidP="0018231C" w:rsidRDefault="00B7530C" w14:paraId="6ABDD16B" w14:textId="77777777">
      <w:pPr>
        <w:pStyle w:val="ListParagraph"/>
        <w:numPr>
          <w:ilvl w:val="0"/>
          <w:numId w:val="3"/>
        </w:numPr>
        <w:ind w:left="357" w:hanging="357"/>
      </w:pPr>
      <w:r>
        <w:t xml:space="preserve">is van mening dat </w:t>
      </w:r>
      <w:r>
        <w:rPr>
          <w:b/>
        </w:rPr>
        <w:t>alle vormen van geweld tegen vrouwen in deze richtlijn moeten worden opgenomen,</w:t>
      </w:r>
      <w:r>
        <w:t xml:space="preserve"> waaronder institutioneel geweld, seksuele en reproductieve uitbuiting, pesten op het werk, gendergerelateerd geweld in huiselijke kring, bedwelming, intimidatie op straat, seksuele intimidatie vanwege geslacht en/of gender of gedwongen sterilisatie van vrouwen met een handicap;</w:t>
      </w:r>
    </w:p>
    <w:p w:rsidR="00B61819" w:rsidP="00B61819" w:rsidRDefault="00B7530C" w14:paraId="0F17F2B4" w14:textId="77777777">
      <w:pPr>
        <w:pStyle w:val="ListParagraph"/>
        <w:numPr>
          <w:ilvl w:val="0"/>
          <w:numId w:val="3"/>
        </w:numPr>
        <w:ind w:left="357" w:hanging="357"/>
      </w:pPr>
      <w:r>
        <w:t xml:space="preserve">is van mening dat ervoor gekozen moet worden om geweld tegen vrouwen als een van de zogeheten </w:t>
      </w:r>
      <w:r>
        <w:rPr>
          <w:b/>
        </w:rPr>
        <w:t>“Euromisdrijven” op te nemen in artikel 83, lid 1, VWEU</w:t>
      </w:r>
      <w:r>
        <w:t>;</w:t>
      </w:r>
    </w:p>
    <w:p w:rsidR="00B61819" w:rsidP="0018231C" w:rsidRDefault="00B7530C" w14:paraId="24C6AE65" w14:textId="77777777">
      <w:pPr>
        <w:pStyle w:val="ListParagraph"/>
        <w:numPr>
          <w:ilvl w:val="0"/>
          <w:numId w:val="3"/>
        </w:numPr>
        <w:ind w:left="357" w:hanging="357"/>
      </w:pPr>
      <w:r>
        <w:t>is van mening dat de sociale dialoog en collectieve onderhandelingen ook concrete maatregelen moeten omvatten om vrouwen die het slachtoffer zijn van geweld in staat te stellen hun baan te behouden of, als zij geen baan hebben, een baan te vinden;</w:t>
      </w:r>
    </w:p>
    <w:p w:rsidR="00B61819" w:rsidP="0018231C" w:rsidRDefault="00B7530C" w14:paraId="751D2BB6" w14:textId="77777777">
      <w:pPr>
        <w:pStyle w:val="ListParagraph"/>
        <w:numPr>
          <w:ilvl w:val="0"/>
          <w:numId w:val="3"/>
        </w:numPr>
        <w:ind w:left="357" w:hanging="357"/>
      </w:pPr>
      <w:r>
        <w:t>benadrukt dat ook bijzondere aandacht moet worden geschonken aan</w:t>
      </w:r>
      <w:r>
        <w:rPr>
          <w:b/>
        </w:rPr>
        <w:t xml:space="preserve"> vrouwen met een handicap, vrouwen en meisjes van etnische en/of culturele minderheden, zoals de Roma, en aan migrantenvrouwen</w:t>
      </w:r>
      <w:r>
        <w:t>, vooral wanneer zij geen verblijfsvergunning hebben, en aan meisjes en vrouwen die op de vlucht zijn voor oorlog;</w:t>
      </w:r>
    </w:p>
    <w:p w:rsidRPr="009B70E7" w:rsidR="00C92102" w:rsidP="00B7530C" w:rsidRDefault="00B7530C" w14:paraId="7B22C8D8" w14:textId="77777777">
      <w:pPr>
        <w:pStyle w:val="ListParagraph"/>
        <w:numPr>
          <w:ilvl w:val="0"/>
          <w:numId w:val="3"/>
        </w:numPr>
        <w:ind w:left="357" w:hanging="357"/>
      </w:pPr>
      <w:r>
        <w:t xml:space="preserve">verzoekt de Europese Commissie om </w:t>
      </w:r>
      <w:r>
        <w:rPr>
          <w:b/>
        </w:rPr>
        <w:t>gezondheidsdiensten</w:t>
      </w:r>
      <w:r>
        <w:t xml:space="preserve">, waaronder diensten op het gebied van seksuele en reproductieve gezondheid, op te nemen in de lijst van essentiële hulp voor slachtoffers, en om er bij alle EU-lidstaten op aan te dringen met spoed alle belemmeringen voor de toegang tot </w:t>
      </w:r>
      <w:r>
        <w:rPr>
          <w:b/>
        </w:rPr>
        <w:t>noodanticonceptie en vrijwillige zwangerschapsonderbreking na verkrachting weg te nemen</w:t>
      </w:r>
      <w:r>
        <w:t>.</w:t>
      </w:r>
    </w:p>
    <w:p w:rsidRPr="009B70E7" w:rsidR="00775FDA" w:rsidRDefault="00775FDA" w14:paraId="007FFDAF"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7"/>
        <w:gridCol w:w="5670"/>
      </w:tblGrid>
      <w:tr w:rsidRPr="009B70E7" w:rsidR="00B44BB9" w:rsidTr="008B66DD" w14:paraId="502899FB" w14:textId="77777777">
        <w:tc>
          <w:tcPr>
            <w:tcW w:w="1418" w:type="dxa"/>
          </w:tcPr>
          <w:p w:rsidRPr="009B70E7" w:rsidR="00B44BB9" w:rsidP="008B66DD" w:rsidRDefault="00B44BB9" w14:paraId="4933D5C0" w14:textId="77777777">
            <w:pPr>
              <w:pStyle w:val="ListParagraph"/>
              <w:ind w:left="0"/>
              <w:rPr>
                <w:i/>
              </w:rPr>
            </w:pPr>
            <w:r>
              <w:rPr>
                <w:b/>
                <w:i/>
              </w:rPr>
              <w:t>Contactpersoon</w:t>
            </w:r>
          </w:p>
        </w:tc>
        <w:tc>
          <w:tcPr>
            <w:tcW w:w="5670" w:type="dxa"/>
          </w:tcPr>
          <w:p w:rsidRPr="009B70E7" w:rsidR="00B44BB9" w:rsidP="008B66DD" w:rsidRDefault="00B44BB9" w14:paraId="649C02E9" w14:textId="77777777">
            <w:pPr>
              <w:pStyle w:val="ListParagraph"/>
              <w:ind w:left="0"/>
              <w:rPr>
                <w:i/>
              </w:rPr>
            </w:pPr>
            <w:r>
              <w:rPr>
                <w:i/>
              </w:rPr>
              <w:t>Margherita Logrillo</w:t>
            </w:r>
          </w:p>
        </w:tc>
      </w:tr>
      <w:tr w:rsidRPr="009B70E7" w:rsidR="00B44BB9" w:rsidTr="008B66DD" w14:paraId="54638E70" w14:textId="77777777">
        <w:tc>
          <w:tcPr>
            <w:tcW w:w="1418" w:type="dxa"/>
          </w:tcPr>
          <w:p w:rsidRPr="009B70E7" w:rsidR="00B44BB9" w:rsidP="008B66DD" w:rsidRDefault="00B44BB9" w14:paraId="40A81D42" w14:textId="77777777">
            <w:pPr>
              <w:pStyle w:val="ListParagraph"/>
              <w:ind w:left="601"/>
              <w:rPr>
                <w:i/>
              </w:rPr>
            </w:pPr>
            <w:r>
              <w:rPr>
                <w:i/>
              </w:rPr>
              <w:t>Tel.</w:t>
            </w:r>
          </w:p>
        </w:tc>
        <w:tc>
          <w:tcPr>
            <w:tcW w:w="5670" w:type="dxa"/>
          </w:tcPr>
          <w:p w:rsidRPr="009B70E7" w:rsidR="00B44BB9" w:rsidP="008B66DD" w:rsidRDefault="00B44BB9" w14:paraId="0C77361C" w14:textId="77777777">
            <w:pPr>
              <w:pStyle w:val="ListParagraph"/>
              <w:ind w:left="0"/>
              <w:rPr>
                <w:i/>
              </w:rPr>
            </w:pPr>
            <w:r>
              <w:rPr>
                <w:i/>
              </w:rPr>
              <w:t>00 32 2 546 90 99</w:t>
            </w:r>
          </w:p>
        </w:tc>
      </w:tr>
      <w:tr w:rsidRPr="001D770D" w:rsidR="00B44BB9" w:rsidTr="008B66DD" w14:paraId="5FB79B0A" w14:textId="77777777">
        <w:tc>
          <w:tcPr>
            <w:tcW w:w="1418" w:type="dxa"/>
          </w:tcPr>
          <w:p w:rsidRPr="009B70E7" w:rsidR="00B44BB9" w:rsidP="008B66DD" w:rsidRDefault="00B44BB9" w14:paraId="0A5C365B" w14:textId="77777777">
            <w:pPr>
              <w:pStyle w:val="ListParagraph"/>
              <w:ind w:left="601"/>
              <w:rPr>
                <w:i/>
              </w:rPr>
            </w:pPr>
            <w:r>
              <w:rPr>
                <w:i/>
              </w:rPr>
              <w:t>E-mail</w:t>
            </w:r>
          </w:p>
        </w:tc>
        <w:tc>
          <w:tcPr>
            <w:tcW w:w="5670" w:type="dxa"/>
          </w:tcPr>
          <w:p w:rsidRPr="001D770D" w:rsidR="00B44BB9" w:rsidP="008B66DD" w:rsidRDefault="0003462B" w14:paraId="0E9E0878" w14:textId="77777777">
            <w:pPr>
              <w:pStyle w:val="ListParagraph"/>
              <w:ind w:left="0"/>
              <w:rPr>
                <w:i/>
              </w:rPr>
            </w:pPr>
            <w:hyperlink w:history="1" r:id="rId25">
              <w:r w:rsidR="005458B6">
                <w:rPr>
                  <w:rStyle w:val="Hyperlink"/>
                  <w:i/>
                </w:rPr>
                <w:t>Margherita.Logrillo@eesc.europa.eu</w:t>
              </w:r>
            </w:hyperlink>
          </w:p>
        </w:tc>
      </w:tr>
    </w:tbl>
    <w:p w:rsidR="002C0E2F" w:rsidRDefault="002C0E2F" w14:paraId="21C3B85C" w14:textId="77777777">
      <w:pPr>
        <w:spacing w:after="160" w:line="259" w:lineRule="auto"/>
        <w:jc w:val="left"/>
      </w:pPr>
    </w:p>
    <w:p w:rsidR="002C0E2F" w:rsidRDefault="002C0E2F" w14:paraId="6C846036" w14:textId="77777777">
      <w:pPr>
        <w:spacing w:after="160" w:line="259" w:lineRule="auto"/>
        <w:jc w:val="left"/>
      </w:pPr>
      <w:r>
        <w:br w:type="page"/>
      </w:r>
    </w:p>
    <w:p w:rsidRPr="009B70E7" w:rsidR="00841374" w:rsidRDefault="00A06E9E" w14:paraId="2D6BD9B3" w14:textId="77777777">
      <w:pPr>
        <w:pStyle w:val="ListParagraph"/>
        <w:numPr>
          <w:ilvl w:val="0"/>
          <w:numId w:val="4"/>
        </w:numPr>
        <w:overflowPunct w:val="0"/>
        <w:autoSpaceDE w:val="0"/>
        <w:autoSpaceDN w:val="0"/>
        <w:adjustRightInd w:val="0"/>
        <w:ind w:left="567" w:hanging="567"/>
        <w:textAlignment w:val="baseline"/>
        <w:rPr>
          <w:b/>
          <w:i/>
          <w:sz w:val="28"/>
          <w:szCs w:val="28"/>
        </w:rPr>
      </w:pPr>
      <w:r>
        <w:rPr>
          <w:b/>
          <w:i/>
          <w:sz w:val="28"/>
        </w:rPr>
        <w:lastRenderedPageBreak/>
        <w:t>Gendergelijkheid</w:t>
      </w:r>
    </w:p>
    <w:p w:rsidRPr="009B70E7" w:rsidR="00841374" w:rsidP="0018231C" w:rsidRDefault="00841374" w14:paraId="1D8B7907"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18"/>
        <w:gridCol w:w="44"/>
        <w:gridCol w:w="5529"/>
        <w:gridCol w:w="797"/>
      </w:tblGrid>
      <w:tr w:rsidRPr="009B70E7" w:rsidR="008946BF" w:rsidTr="00DF349B" w14:paraId="6EA9204F" w14:textId="77777777">
        <w:trPr>
          <w:gridAfter w:val="1"/>
          <w:wAfter w:w="797" w:type="dxa"/>
        </w:trPr>
        <w:tc>
          <w:tcPr>
            <w:tcW w:w="1657" w:type="dxa"/>
          </w:tcPr>
          <w:p w:rsidR="008946BF" w:rsidP="006D6086" w:rsidRDefault="008946BF" w14:paraId="0AAEC296" w14:textId="77777777">
            <w:pPr>
              <w:pStyle w:val="ListParagraph"/>
              <w:keepNext/>
              <w:ind w:left="0" w:hanging="107"/>
              <w:rPr>
                <w:b/>
              </w:rPr>
            </w:pPr>
            <w:r>
              <w:rPr>
                <w:b/>
              </w:rPr>
              <w:t>Rapporteur</w:t>
            </w:r>
          </w:p>
          <w:p w:rsidRPr="00F63F2A" w:rsidR="008946BF" w:rsidP="001513FD" w:rsidRDefault="008946BF" w14:paraId="6D6B9B14" w14:textId="77777777">
            <w:pPr>
              <w:pStyle w:val="ListParagraph"/>
              <w:ind w:left="0"/>
              <w:rPr>
                <w:b/>
                <w:sz w:val="20"/>
                <w:szCs w:val="20"/>
              </w:rPr>
            </w:pPr>
          </w:p>
        </w:tc>
        <w:tc>
          <w:tcPr>
            <w:tcW w:w="5573" w:type="dxa"/>
            <w:gridSpan w:val="2"/>
          </w:tcPr>
          <w:p w:rsidR="008946BF" w:rsidP="00DF349B" w:rsidRDefault="00A06E9E" w14:paraId="54293D02" w14:textId="77777777">
            <w:pPr>
              <w:pStyle w:val="ListParagraph"/>
              <w:ind w:left="-108" w:right="-195"/>
            </w:pPr>
            <w:r>
              <w:t>Milena ANGELOVA (groep Werkgevers – BG)</w:t>
            </w:r>
          </w:p>
          <w:p w:rsidRPr="009B70E7" w:rsidR="008946BF" w:rsidP="001513FD" w:rsidRDefault="008946BF" w14:paraId="4D16618C" w14:textId="77777777">
            <w:pPr>
              <w:pStyle w:val="ListParagraph"/>
              <w:ind w:left="-108"/>
            </w:pPr>
          </w:p>
        </w:tc>
      </w:tr>
      <w:tr w:rsidRPr="009B70E7" w:rsidR="00841374" w:rsidTr="00DF349B" w14:paraId="51253DAE" w14:textId="77777777">
        <w:tblPrEx>
          <w:tblCellMar>
            <w:left w:w="57" w:type="dxa"/>
            <w:right w:w="57" w:type="dxa"/>
          </w:tblCellMar>
        </w:tblPrEx>
        <w:tc>
          <w:tcPr>
            <w:tcW w:w="1701" w:type="dxa"/>
            <w:gridSpan w:val="2"/>
          </w:tcPr>
          <w:p w:rsidRPr="009B70E7" w:rsidR="00841374" w:rsidP="006D6086" w:rsidRDefault="00841374" w14:paraId="6949587A" w14:textId="77777777">
            <w:pPr>
              <w:pStyle w:val="ListParagraph"/>
              <w:ind w:left="0" w:hanging="60"/>
              <w:rPr>
                <w:b/>
              </w:rPr>
            </w:pPr>
            <w:r>
              <w:rPr>
                <w:b/>
              </w:rPr>
              <w:t xml:space="preserve">Referentiedocument </w:t>
            </w:r>
          </w:p>
        </w:tc>
        <w:tc>
          <w:tcPr>
            <w:tcW w:w="6326" w:type="dxa"/>
            <w:gridSpan w:val="2"/>
          </w:tcPr>
          <w:p w:rsidRPr="009B70E7" w:rsidR="00841374" w:rsidP="00407760" w:rsidRDefault="00A06E9E" w14:paraId="3DD4422C" w14:textId="77777777">
            <w:pPr>
              <w:pStyle w:val="ListParagraph"/>
              <w:ind w:left="-56"/>
            </w:pPr>
            <w:r>
              <w:t>Verkennend advies op verzoek van het Tsjechische voorzitterschap van de Raad</w:t>
            </w:r>
          </w:p>
          <w:p w:rsidRPr="009B70E7" w:rsidR="00841374" w:rsidP="00407760" w:rsidRDefault="002E5473" w14:paraId="12FB6382" w14:textId="77777777">
            <w:pPr>
              <w:pStyle w:val="ListParagraph"/>
              <w:ind w:left="-56"/>
            </w:pPr>
            <w:r>
              <w:t>EESC-2022-01932-00-00-AC</w:t>
            </w:r>
          </w:p>
        </w:tc>
      </w:tr>
    </w:tbl>
    <w:p w:rsidRPr="009B70E7" w:rsidR="00841374" w:rsidRDefault="00841374" w14:paraId="1CBC12AE" w14:textId="77777777">
      <w:pPr>
        <w:pStyle w:val="ListParagraph"/>
        <w:ind w:left="0"/>
        <w:rPr>
          <w:b/>
        </w:rPr>
      </w:pPr>
    </w:p>
    <w:p w:rsidRPr="00D85D67" w:rsidR="00841374" w:rsidP="002C4B6E" w:rsidRDefault="00841374" w14:paraId="76256836" w14:textId="77777777">
      <w:pPr>
        <w:pStyle w:val="ListParagraph"/>
        <w:spacing w:line="240" w:lineRule="auto"/>
        <w:ind w:left="-142" w:firstLine="142"/>
        <w:rPr>
          <w:b/>
        </w:rPr>
      </w:pPr>
      <w:r>
        <w:rPr>
          <w:b/>
        </w:rPr>
        <w:t>Hoofdpunten</w:t>
      </w:r>
    </w:p>
    <w:p w:rsidR="00841374" w:rsidRDefault="00841374" w14:paraId="141BD901" w14:textId="77777777">
      <w:pPr>
        <w:pStyle w:val="ListParagraph"/>
        <w:ind w:left="0"/>
      </w:pPr>
    </w:p>
    <w:p w:rsidR="001D770D" w:rsidP="00326919" w:rsidRDefault="001D770D" w14:paraId="0B60B8BC" w14:textId="77777777">
      <w:pPr>
        <w:pStyle w:val="ListParagraph"/>
        <w:spacing w:line="240" w:lineRule="auto"/>
        <w:ind w:left="0"/>
      </w:pPr>
      <w:r>
        <w:t>Het EESC:</w:t>
      </w:r>
    </w:p>
    <w:p w:rsidRPr="009B70E7" w:rsidR="001D770D" w:rsidRDefault="001D770D" w14:paraId="189BAEB6" w14:textId="77777777">
      <w:pPr>
        <w:pStyle w:val="ListParagraph"/>
        <w:ind w:left="0"/>
      </w:pPr>
    </w:p>
    <w:p w:rsidRPr="009B70E7" w:rsidR="00841374" w:rsidP="0018231C" w:rsidRDefault="008159E1" w14:paraId="278A2840" w14:textId="77777777">
      <w:pPr>
        <w:pStyle w:val="ListParagraph"/>
        <w:numPr>
          <w:ilvl w:val="0"/>
          <w:numId w:val="3"/>
        </w:numPr>
        <w:ind w:left="357" w:hanging="357"/>
      </w:pPr>
      <w:r>
        <w:t xml:space="preserve">onderstreept dat het welslagen van een duurzame bevordering van gendergelijkheid afhangt van de totstandbrenging van een </w:t>
      </w:r>
      <w:r>
        <w:rPr>
          <w:b/>
        </w:rPr>
        <w:t>levenslange gendergelijkheidscultuur (LLGGC)</w:t>
      </w:r>
      <w:r>
        <w:t>, die de gehele levenscyclus bestrijkt en voorziet in maatregelen die op de specifieke kenmerken en behoeften van elke levensfase zijn toegesneden;</w:t>
      </w:r>
    </w:p>
    <w:p w:rsidRPr="009B70E7" w:rsidR="00841374" w:rsidP="0018231C" w:rsidRDefault="008159E1" w14:paraId="7A36F890" w14:textId="77777777">
      <w:pPr>
        <w:pStyle w:val="ListParagraph"/>
        <w:numPr>
          <w:ilvl w:val="0"/>
          <w:numId w:val="3"/>
        </w:numPr>
        <w:ind w:left="357" w:hanging="357"/>
      </w:pPr>
      <w:r>
        <w:t xml:space="preserve">roept de lidstaten op om via hun onderwijsbeleid </w:t>
      </w:r>
      <w:r>
        <w:rPr>
          <w:b/>
        </w:rPr>
        <w:t>genderneutraal onderwijs</w:t>
      </w:r>
      <w:r>
        <w:t xml:space="preserve"> te bevorderen, zowel wat kennis als sociale vaardigheden betreft, alsook leeromgevingen die vrij zijn van genderstereotypen;</w:t>
      </w:r>
    </w:p>
    <w:p w:rsidRPr="009B70E7" w:rsidR="00B51B20" w:rsidP="0018231C" w:rsidRDefault="008159E1" w14:paraId="29EA99EF" w14:textId="77777777">
      <w:pPr>
        <w:pStyle w:val="ListParagraph"/>
        <w:numPr>
          <w:ilvl w:val="0"/>
          <w:numId w:val="3"/>
        </w:numPr>
        <w:ind w:left="357" w:hanging="357"/>
      </w:pPr>
      <w:r>
        <w:t>beveelt aan dat de lidstaten, met steun van de Commissie en samen met de sociale partners en relevante maatschappelijke organisaties, een</w:t>
      </w:r>
      <w:r>
        <w:rPr>
          <w:b/>
        </w:rPr>
        <w:t xml:space="preserve"> brede bewustmakings- en voorlichtingscampagne lanceren om de LLGGC te propageren</w:t>
      </w:r>
      <w:r>
        <w:t>;</w:t>
      </w:r>
    </w:p>
    <w:p w:rsidRPr="001D770D" w:rsidR="00D85D67" w:rsidP="00D85D67" w:rsidRDefault="008159E1" w14:paraId="282035C6" w14:textId="77777777">
      <w:pPr>
        <w:pStyle w:val="ListParagraph"/>
        <w:numPr>
          <w:ilvl w:val="0"/>
          <w:numId w:val="3"/>
        </w:numPr>
        <w:ind w:left="357" w:hanging="357"/>
      </w:pPr>
      <w:r>
        <w:t xml:space="preserve">is van mening dat het wegnemen van belemmeringen voor de algemene participatie van vrouwen op de arbeidsmarkt van cruciaal belang is. Naast eventuele wetgevingskaders zouden de praktische regelingen moeten worden vastgesteld via </w:t>
      </w:r>
      <w:r>
        <w:rPr>
          <w:b/>
          <w:bCs/>
        </w:rPr>
        <w:t>collectieve onderhandelingen tussen de sociale partners</w:t>
      </w:r>
      <w:r>
        <w:t>;</w:t>
      </w:r>
    </w:p>
    <w:p w:rsidR="001D770D" w:rsidP="00D85D67" w:rsidRDefault="008159E1" w14:paraId="76BBBF7F" w14:textId="77777777">
      <w:pPr>
        <w:pStyle w:val="ListParagraph"/>
        <w:numPr>
          <w:ilvl w:val="0"/>
          <w:numId w:val="3"/>
        </w:numPr>
        <w:ind w:left="357" w:hanging="357"/>
      </w:pPr>
      <w:r>
        <w:t xml:space="preserve">acht het van vitaal belang dat het leiderschap van vrouwen in ondernemingen en overheidsorganisaties wordt bevorderd en roept de lidstaten, bedrijfsorganisaties en de sociale partners op om </w:t>
      </w:r>
      <w:r>
        <w:rPr>
          <w:b/>
        </w:rPr>
        <w:t>opleidings- en mentorschapsprogramma’s op te zetten voor vrouwelijke leiders</w:t>
      </w:r>
      <w:r>
        <w:t>;</w:t>
      </w:r>
    </w:p>
    <w:p w:rsidR="00B40093" w:rsidP="00D85D67" w:rsidRDefault="008159E1" w14:paraId="1BAE71C9" w14:textId="77777777">
      <w:pPr>
        <w:pStyle w:val="ListParagraph"/>
        <w:numPr>
          <w:ilvl w:val="0"/>
          <w:numId w:val="3"/>
        </w:numPr>
        <w:ind w:left="357" w:hanging="357"/>
      </w:pPr>
      <w:r>
        <w:t>acht het bovendien noodzakelijk dat alle belemmeringen voor vrouwelijk ondernemerschap worden weggenomen. Aangezien</w:t>
      </w:r>
      <w:r>
        <w:rPr>
          <w:b/>
        </w:rPr>
        <w:t xml:space="preserve"> toegang tot financiering</w:t>
      </w:r>
      <w:r>
        <w:t xml:space="preserve"> een eerste vereiste is voor ondernemerschap, moet gelijke toegang van vrouwen tot zowel particuliere financiering als overheidsfinanciering worden gewaarborgd;</w:t>
      </w:r>
    </w:p>
    <w:p w:rsidR="00B40093" w:rsidP="00D85D67" w:rsidRDefault="008159E1" w14:paraId="0E4FEF3C" w14:textId="77777777">
      <w:pPr>
        <w:pStyle w:val="ListParagraph"/>
        <w:numPr>
          <w:ilvl w:val="0"/>
          <w:numId w:val="3"/>
        </w:numPr>
        <w:ind w:left="357" w:hanging="357"/>
      </w:pPr>
      <w:r>
        <w:t xml:space="preserve">dringt erop aan dat bij de aanpak van het vraagstuk van de </w:t>
      </w:r>
      <w:r>
        <w:rPr>
          <w:b/>
        </w:rPr>
        <w:t>Oekraïense vluchtelingen</w:t>
      </w:r>
      <w:r>
        <w:t xml:space="preserve"> gepaste aandacht wordt besteed aan gendergelijkheid. Dit geldt voor steun aan kinderen om toegang te krijgen tot zorg en onderwijs, integratie van vrouwen in de arbeidsmarkt door middel van hoogwaardige werkgelegenheid, en diensten op het gebied van seksuele en reproductieve gezondheid.</w:t>
      </w:r>
    </w:p>
    <w:p w:rsidRPr="009B70E7" w:rsidR="00841374" w:rsidRDefault="00841374" w14:paraId="3B0FA7A1"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7"/>
        <w:gridCol w:w="5670"/>
      </w:tblGrid>
      <w:tr w:rsidRPr="009B70E7" w:rsidR="00841374" w:rsidTr="00841374" w14:paraId="50A403EE" w14:textId="77777777">
        <w:tc>
          <w:tcPr>
            <w:tcW w:w="1418" w:type="dxa"/>
          </w:tcPr>
          <w:p w:rsidRPr="009B70E7" w:rsidR="00841374" w:rsidRDefault="00841374" w14:paraId="629E9BA9" w14:textId="77777777">
            <w:pPr>
              <w:pStyle w:val="ListParagraph"/>
              <w:ind w:left="0"/>
              <w:rPr>
                <w:i/>
              </w:rPr>
            </w:pPr>
            <w:r>
              <w:rPr>
                <w:b/>
                <w:i/>
              </w:rPr>
              <w:t>Contactpersoon</w:t>
            </w:r>
          </w:p>
        </w:tc>
        <w:tc>
          <w:tcPr>
            <w:tcW w:w="5670" w:type="dxa"/>
          </w:tcPr>
          <w:p w:rsidRPr="009B70E7" w:rsidR="00841374" w:rsidRDefault="00A06E9E" w14:paraId="79C689DE" w14:textId="77777777">
            <w:pPr>
              <w:pStyle w:val="ListParagraph"/>
              <w:ind w:left="0"/>
              <w:rPr>
                <w:i/>
              </w:rPr>
            </w:pPr>
            <w:r>
              <w:rPr>
                <w:i/>
              </w:rPr>
              <w:t>Margherita Logrillo</w:t>
            </w:r>
          </w:p>
        </w:tc>
      </w:tr>
      <w:tr w:rsidRPr="009B70E7" w:rsidR="00841374" w:rsidTr="00841374" w14:paraId="6334FCD6" w14:textId="77777777">
        <w:tc>
          <w:tcPr>
            <w:tcW w:w="1418" w:type="dxa"/>
          </w:tcPr>
          <w:p w:rsidRPr="009B70E7" w:rsidR="00841374" w:rsidRDefault="00841374" w14:paraId="3F37AC16" w14:textId="77777777">
            <w:pPr>
              <w:pStyle w:val="ListParagraph"/>
              <w:ind w:left="601"/>
              <w:rPr>
                <w:i/>
              </w:rPr>
            </w:pPr>
            <w:r>
              <w:rPr>
                <w:i/>
              </w:rPr>
              <w:t>Tel.</w:t>
            </w:r>
          </w:p>
        </w:tc>
        <w:tc>
          <w:tcPr>
            <w:tcW w:w="5670" w:type="dxa"/>
          </w:tcPr>
          <w:p w:rsidRPr="009B70E7" w:rsidR="00841374" w:rsidRDefault="00A06E9E" w14:paraId="55D18DAD" w14:textId="77777777">
            <w:pPr>
              <w:pStyle w:val="ListParagraph"/>
              <w:ind w:left="0"/>
              <w:rPr>
                <w:i/>
              </w:rPr>
            </w:pPr>
            <w:r>
              <w:rPr>
                <w:i/>
              </w:rPr>
              <w:t>00 32 2 546 90 99</w:t>
            </w:r>
          </w:p>
        </w:tc>
      </w:tr>
      <w:tr w:rsidRPr="001D770D" w:rsidR="00841374" w:rsidTr="00841374" w14:paraId="2EB3D256" w14:textId="77777777">
        <w:tc>
          <w:tcPr>
            <w:tcW w:w="1418" w:type="dxa"/>
          </w:tcPr>
          <w:p w:rsidRPr="009B70E7" w:rsidR="00841374" w:rsidRDefault="00841374" w14:paraId="02D49987" w14:textId="77777777">
            <w:pPr>
              <w:pStyle w:val="ListParagraph"/>
              <w:ind w:left="601"/>
              <w:rPr>
                <w:i/>
              </w:rPr>
            </w:pPr>
            <w:r>
              <w:rPr>
                <w:i/>
              </w:rPr>
              <w:t>E-mail</w:t>
            </w:r>
          </w:p>
        </w:tc>
        <w:tc>
          <w:tcPr>
            <w:tcW w:w="5670" w:type="dxa"/>
          </w:tcPr>
          <w:p w:rsidRPr="001D770D" w:rsidR="00841374" w:rsidRDefault="0003462B" w14:paraId="31128638" w14:textId="77777777">
            <w:pPr>
              <w:pStyle w:val="ListParagraph"/>
              <w:ind w:left="0"/>
              <w:rPr>
                <w:i/>
              </w:rPr>
            </w:pPr>
            <w:hyperlink w:history="1" r:id="rId26">
              <w:r w:rsidR="005458B6">
                <w:rPr>
                  <w:rStyle w:val="Hyperlink"/>
                  <w:i/>
                </w:rPr>
                <w:t>Margherita.Logrillo@eesc.europa.eu</w:t>
              </w:r>
            </w:hyperlink>
          </w:p>
        </w:tc>
      </w:tr>
    </w:tbl>
    <w:p w:rsidRPr="00276CC9" w:rsidR="00400A1F" w:rsidRDefault="00502B04" w14:paraId="3060FA04" w14:textId="77777777">
      <w:pPr>
        <w:spacing w:after="160" w:line="259" w:lineRule="auto"/>
        <w:jc w:val="left"/>
        <w:rPr>
          <w:sz w:val="28"/>
        </w:rPr>
      </w:pPr>
      <w:r>
        <w:br w:type="page"/>
      </w:r>
    </w:p>
    <w:p w:rsidRPr="00AD3DB1" w:rsidR="004D7AC0" w:rsidRDefault="004D7AC0" w14:paraId="13643C27" w14:textId="77777777">
      <w:pPr>
        <w:pStyle w:val="Heading1"/>
        <w:rPr>
          <w:b/>
        </w:rPr>
      </w:pPr>
      <w:bookmarkStart w:name="_Toc24617160" w:id="5"/>
      <w:bookmarkStart w:name="_Toc75527082" w:id="6"/>
      <w:bookmarkStart w:name="_Toc108435210" w:id="7"/>
      <w:bookmarkStart w:name="_Toc109806224" w:id="8"/>
      <w:r>
        <w:rPr>
          <w:b/>
        </w:rPr>
        <w:lastRenderedPageBreak/>
        <w:t>VERVOER, ENERGIE, INFRASTRUCTUUR EN INFORMATIEMAATSCHAPPIJ</w:t>
      </w:r>
      <w:bookmarkEnd w:id="5"/>
      <w:bookmarkEnd w:id="6"/>
      <w:bookmarkEnd w:id="7"/>
      <w:bookmarkEnd w:id="8"/>
    </w:p>
    <w:p w:rsidRPr="00AD3DB1" w:rsidR="00961956" w:rsidRDefault="00961956" w14:paraId="07646FB3" w14:textId="77777777">
      <w:pPr>
        <w:pStyle w:val="ListParagraph"/>
        <w:ind w:left="0"/>
        <w:rPr>
          <w:lang w:val="en-US"/>
        </w:rPr>
      </w:pPr>
    </w:p>
    <w:p w:rsidRPr="00824DCF" w:rsidR="00961956" w:rsidP="0018231C" w:rsidRDefault="002C0E2F" w14:paraId="331DDD1A" w14:textId="2BA933B6">
      <w:pPr>
        <w:pStyle w:val="ListParagraph"/>
        <w:keepNext/>
        <w:numPr>
          <w:ilvl w:val="0"/>
          <w:numId w:val="2"/>
        </w:numPr>
        <w:ind w:left="567" w:hanging="567"/>
        <w:rPr>
          <w:b/>
          <w:i/>
          <w:sz w:val="28"/>
          <w:szCs w:val="28"/>
        </w:rPr>
      </w:pPr>
      <w:r>
        <w:rPr>
          <w:b/>
          <w:i/>
          <w:sz w:val="28"/>
        </w:rPr>
        <w:t>Digitale identiteit, datasoevereiniteit en de weg naar een rechtvaardige digitale transitie voor burgers in de informatiemaatschappij</w:t>
      </w:r>
    </w:p>
    <w:p w:rsidRPr="00824DCF" w:rsidR="00961956" w:rsidP="0018231C" w:rsidRDefault="00961956" w14:paraId="1BB7F554" w14:textId="77777777">
      <w:pPr>
        <w:pStyle w:val="ListParagraph"/>
        <w:keepNext/>
        <w:ind w:left="0"/>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991"/>
        <w:gridCol w:w="5387"/>
      </w:tblGrid>
      <w:tr w:rsidRPr="00824DCF" w:rsidR="00961956" w:rsidTr="0018231C" w14:paraId="24FE29BA" w14:textId="77777777">
        <w:tc>
          <w:tcPr>
            <w:tcW w:w="1701" w:type="dxa"/>
          </w:tcPr>
          <w:p w:rsidRPr="009B70E7" w:rsidR="00961956" w:rsidP="0018231C" w:rsidRDefault="00961956" w14:paraId="7B4B6AE8" w14:textId="77777777">
            <w:pPr>
              <w:pStyle w:val="ListParagraph"/>
              <w:keepNext/>
              <w:ind w:left="0"/>
              <w:rPr>
                <w:b/>
              </w:rPr>
            </w:pPr>
            <w:r>
              <w:rPr>
                <w:b/>
              </w:rPr>
              <w:t>Rapporteur</w:t>
            </w:r>
          </w:p>
        </w:tc>
        <w:tc>
          <w:tcPr>
            <w:tcW w:w="5387" w:type="dxa"/>
          </w:tcPr>
          <w:p w:rsidRPr="00824DCF" w:rsidR="00961956" w:rsidP="00C834A5" w:rsidRDefault="002C0E2F" w14:paraId="17514CDB" w14:textId="77777777">
            <w:pPr>
              <w:pStyle w:val="ListParagraph"/>
              <w:keepNext/>
              <w:ind w:left="-56"/>
            </w:pPr>
            <w:r>
              <w:t>Dumitru FORNEA (groep Werknemers – RO)</w:t>
            </w:r>
          </w:p>
        </w:tc>
      </w:tr>
      <w:tr w:rsidRPr="00824DCF" w:rsidR="004C40E4" w:rsidTr="0018231C" w14:paraId="4A5F1D42" w14:textId="77777777">
        <w:tc>
          <w:tcPr>
            <w:tcW w:w="7088" w:type="dxa"/>
            <w:gridSpan w:val="2"/>
          </w:tcPr>
          <w:p w:rsidRPr="00824DCF" w:rsidR="004C40E4" w:rsidP="0018231C" w:rsidRDefault="004C40E4" w14:paraId="459398F1" w14:textId="77777777">
            <w:pPr>
              <w:pStyle w:val="ListParagraph"/>
              <w:keepNext/>
              <w:ind w:left="0"/>
              <w:rPr>
                <w:lang w:val="en-US"/>
              </w:rPr>
            </w:pPr>
          </w:p>
        </w:tc>
      </w:tr>
      <w:tr w:rsidRPr="009B70E7" w:rsidR="00961956" w:rsidTr="0018231C" w14:paraId="4857777C" w14:textId="77777777">
        <w:tc>
          <w:tcPr>
            <w:tcW w:w="1701" w:type="dxa"/>
            <w:vMerge w:val="restart"/>
          </w:tcPr>
          <w:p w:rsidRPr="009B70E7" w:rsidR="00961956" w:rsidP="0018231C" w:rsidRDefault="00961956" w14:paraId="3DF2404C" w14:textId="77777777">
            <w:pPr>
              <w:pStyle w:val="ListParagraph"/>
              <w:keepNext/>
              <w:ind w:left="0"/>
              <w:rPr>
                <w:b/>
              </w:rPr>
            </w:pPr>
            <w:r>
              <w:rPr>
                <w:b/>
              </w:rPr>
              <w:t xml:space="preserve">Referentiedocument </w:t>
            </w:r>
          </w:p>
        </w:tc>
        <w:tc>
          <w:tcPr>
            <w:tcW w:w="5387" w:type="dxa"/>
          </w:tcPr>
          <w:p w:rsidRPr="009B70E7" w:rsidR="00961956" w:rsidP="00407760" w:rsidRDefault="002C0E2F" w14:paraId="11997CDA" w14:textId="77777777">
            <w:pPr>
              <w:pStyle w:val="ListParagraph"/>
              <w:keepNext/>
              <w:ind w:left="-56"/>
            </w:pPr>
            <w:r>
              <w:t>Initiatiefadvies</w:t>
            </w:r>
          </w:p>
        </w:tc>
      </w:tr>
      <w:tr w:rsidRPr="009B70E7" w:rsidR="00961956" w:rsidTr="0018231C" w14:paraId="3AF643A2" w14:textId="77777777">
        <w:tc>
          <w:tcPr>
            <w:tcW w:w="1701" w:type="dxa"/>
            <w:vMerge/>
          </w:tcPr>
          <w:p w:rsidRPr="009B70E7" w:rsidR="00961956" w:rsidP="0018231C" w:rsidRDefault="00961956" w14:paraId="5E8FA40A" w14:textId="77777777">
            <w:pPr>
              <w:pStyle w:val="ListParagraph"/>
              <w:keepNext/>
              <w:ind w:left="0"/>
              <w:rPr>
                <w:b/>
              </w:rPr>
            </w:pPr>
          </w:p>
        </w:tc>
        <w:tc>
          <w:tcPr>
            <w:tcW w:w="5387" w:type="dxa"/>
          </w:tcPr>
          <w:p w:rsidRPr="009B70E7" w:rsidR="00961956" w:rsidP="00407760" w:rsidRDefault="00E65D01" w14:paraId="47950539" w14:textId="77777777">
            <w:pPr>
              <w:pStyle w:val="ListParagraph"/>
              <w:keepNext/>
              <w:ind w:left="-56"/>
            </w:pPr>
            <w:r>
              <w:t>EESC-2022-01011-00-00-AC</w:t>
            </w:r>
          </w:p>
        </w:tc>
      </w:tr>
    </w:tbl>
    <w:p w:rsidRPr="009B70E7" w:rsidR="00961956" w:rsidP="0018231C" w:rsidRDefault="00961956" w14:paraId="148D7539" w14:textId="77777777">
      <w:pPr>
        <w:pStyle w:val="ListParagraph"/>
        <w:keepNext/>
        <w:ind w:left="0"/>
      </w:pPr>
    </w:p>
    <w:p w:rsidRPr="009B70E7" w:rsidR="00961956" w:rsidP="002C4B6E" w:rsidRDefault="00961956" w14:paraId="11D6B73E" w14:textId="5C69D606">
      <w:pPr>
        <w:pStyle w:val="ListParagraph"/>
        <w:spacing w:line="240" w:lineRule="auto"/>
        <w:ind w:left="-142" w:firstLine="142"/>
        <w:rPr>
          <w:b/>
        </w:rPr>
      </w:pPr>
      <w:r>
        <w:rPr>
          <w:b/>
        </w:rPr>
        <w:t>Hoofdpunten</w:t>
      </w:r>
    </w:p>
    <w:p w:rsidR="00961956" w:rsidRDefault="00961956" w14:paraId="75408D74" w14:textId="77777777">
      <w:pPr>
        <w:pStyle w:val="ListParagraph"/>
        <w:ind w:left="0"/>
      </w:pPr>
    </w:p>
    <w:p w:rsidR="00824DCF" w:rsidP="00326919" w:rsidRDefault="00824DCF" w14:paraId="487F835E" w14:textId="77777777">
      <w:pPr>
        <w:pStyle w:val="ListParagraph"/>
        <w:keepNext/>
        <w:keepLines/>
        <w:ind w:left="0"/>
      </w:pPr>
      <w:r>
        <w:t>Het EESC:</w:t>
      </w:r>
    </w:p>
    <w:p w:rsidRPr="009B70E7" w:rsidR="00824DCF" w:rsidRDefault="00824DCF" w14:paraId="5EDF7A19" w14:textId="77777777">
      <w:pPr>
        <w:pStyle w:val="ListParagraph"/>
        <w:ind w:left="0"/>
      </w:pPr>
    </w:p>
    <w:p w:rsidRPr="00F049D6" w:rsidR="00961956" w:rsidP="00C86F74" w:rsidRDefault="005A755F" w14:paraId="3E5BFFD4" w14:textId="77777777">
      <w:pPr>
        <w:pStyle w:val="ListParagraph"/>
        <w:numPr>
          <w:ilvl w:val="0"/>
          <w:numId w:val="3"/>
        </w:numPr>
        <w:ind w:left="357" w:hanging="357"/>
      </w:pPr>
      <w:r>
        <w:t xml:space="preserve">is van mening dat de bestuursinstrumenten in verband met de digitale revolutie </w:t>
      </w:r>
      <w:r>
        <w:rPr>
          <w:b/>
        </w:rPr>
        <w:t>het leven van mensen niet mogen verslechteren door dwingend te worden</w:t>
      </w:r>
      <w:r>
        <w:t>.</w:t>
      </w:r>
      <w:r>
        <w:rPr>
          <w:b/>
        </w:rPr>
        <w:t xml:space="preserve"> Burgers kunnen zich namelijk onder grote druk gezet voelen om deel uit te maken van de digitale wereld, een wereld die niet onder een democratisch bestuur valt</w:t>
      </w:r>
      <w:r>
        <w:t>;</w:t>
      </w:r>
    </w:p>
    <w:p w:rsidRPr="00F049D6" w:rsidR="002C24B9" w:rsidP="0018231C" w:rsidRDefault="005A755F" w14:paraId="6A722D52" w14:textId="77777777">
      <w:pPr>
        <w:pStyle w:val="ListParagraph"/>
        <w:numPr>
          <w:ilvl w:val="0"/>
          <w:numId w:val="3"/>
        </w:numPr>
        <w:ind w:left="357" w:hanging="357"/>
      </w:pPr>
      <w:r>
        <w:t xml:space="preserve">is ervan overtuigd dat digitale identiteit, digitale betaalmiddelen en virtual- en augmentedrealityplatforms instrumenten moeten blijven </w:t>
      </w:r>
      <w:r>
        <w:rPr>
          <w:b/>
        </w:rPr>
        <w:t>die slechts een aanvulling vormen op het fysieke bestaan</w:t>
      </w:r>
      <w:r>
        <w:t xml:space="preserve"> en dat zij niet volledig en op oneigenlijke wijze in de plaats mogen komen van andere existentiële patronen;</w:t>
      </w:r>
    </w:p>
    <w:p w:rsidRPr="00F049D6" w:rsidR="00394949" w:rsidP="00394949" w:rsidRDefault="005A755F" w14:paraId="3941A3AB" w14:textId="77777777">
      <w:pPr>
        <w:pStyle w:val="ListParagraph"/>
        <w:numPr>
          <w:ilvl w:val="0"/>
          <w:numId w:val="3"/>
        </w:numPr>
        <w:ind w:left="357" w:hanging="357"/>
      </w:pPr>
      <w:r>
        <w:t>vindt dat elk initiatief om burgers in het Europese digitale-identiteitssysteem op te nemen,</w:t>
      </w:r>
      <w:r>
        <w:rPr>
          <w:b/>
        </w:rPr>
        <w:t xml:space="preserve"> gebaseerd moet zijn op impactstudies en uitgebreide sociologische onderzoeken</w:t>
      </w:r>
      <w:r>
        <w:t xml:space="preserve">. De uiteindelijke beslissing </w:t>
      </w:r>
      <w:r>
        <w:rPr>
          <w:b/>
        </w:rPr>
        <w:t>mag alleen worden genomen met de geïnformeerde en vrijelijk gegeven toestemming van de burger</w:t>
      </w:r>
      <w:r>
        <w:t>;</w:t>
      </w:r>
    </w:p>
    <w:p w:rsidRPr="00435099" w:rsidR="005A755F" w:rsidP="00D13F40" w:rsidRDefault="005A755F" w14:paraId="26309AC9" w14:textId="77777777">
      <w:pPr>
        <w:pStyle w:val="ListParagraph"/>
        <w:numPr>
          <w:ilvl w:val="0"/>
          <w:numId w:val="15"/>
        </w:numPr>
        <w:ind w:left="1134" w:hanging="567"/>
      </w:pPr>
      <w:bookmarkStart w:name="_Toc108435087" w:id="9"/>
      <w:bookmarkStart w:name="_Toc108435211" w:id="10"/>
      <w:bookmarkStart w:name="_Toc108437611" w:id="11"/>
      <w:r>
        <w:t>wijst erop dat EU waakzaam moet blijven ten aanzien van de gevolgen van de digitalisering voor burgers, werknemers en bedrijven. Bij de stappen in de richting van een democratische en eerlijke digitale samenleving die algemeen wordt aanvaard moet worden gekeken naar de enorme en 24/7-behoefte aan energie om de wereldwijde technologische infrastructuur in stand te houden ter ondersteuning van een ononderbroken en veilige toegang tot een digitaal systeem;</w:t>
      </w:r>
      <w:bookmarkEnd w:id="9"/>
      <w:bookmarkEnd w:id="10"/>
      <w:bookmarkEnd w:id="11"/>
    </w:p>
    <w:p w:rsidRPr="00F516B9" w:rsidR="005A755F" w:rsidP="005A755F" w:rsidRDefault="005A755F" w14:paraId="31AEC552" w14:textId="77777777">
      <w:pPr>
        <w:pStyle w:val="ListParagraph"/>
        <w:numPr>
          <w:ilvl w:val="0"/>
          <w:numId w:val="12"/>
        </w:numPr>
        <w:ind w:left="1134" w:hanging="567"/>
      </w:pPr>
      <w:r>
        <w:t>vindt dat ook aandacht moet uitgaan naar het effect van de digitalisering en de automatisering van de menselijke interactie op de levenskwaliteit en de arbeidsomstandigheden; ziet duidelijk dat de digitale middelen gevolgen hebben wat betreft menselijke relaties, eenzaamheid, geestelijke gezondheid, cognitieve en emotionele intelligentie en sociale vervreemding;</w:t>
      </w:r>
    </w:p>
    <w:p w:rsidR="005A755F" w:rsidP="005A755F" w:rsidRDefault="005A755F" w14:paraId="18D4AC64" w14:textId="77777777">
      <w:pPr>
        <w:pStyle w:val="ListParagraph"/>
        <w:numPr>
          <w:ilvl w:val="0"/>
          <w:numId w:val="12"/>
        </w:numPr>
        <w:ind w:left="1134" w:hanging="567"/>
      </w:pPr>
      <w:r>
        <w:t>wijst op de politieke, economische en sociale maatregelen die nodig zijn om de samenleving aan te passen aan de dramatische kwantitatieve veranderingen op de arbeidsmarkt;</w:t>
      </w:r>
    </w:p>
    <w:p w:rsidRPr="005A755F" w:rsidR="00394949" w:rsidP="005A755F" w:rsidRDefault="005A755F" w14:paraId="31E62463" w14:textId="77777777">
      <w:pPr>
        <w:pStyle w:val="ListParagraph"/>
        <w:numPr>
          <w:ilvl w:val="0"/>
          <w:numId w:val="12"/>
        </w:numPr>
        <w:ind w:left="1134" w:hanging="567"/>
      </w:pPr>
      <w:r>
        <w:t>benadrukt het belang van cyberbeveiliging.</w:t>
      </w:r>
    </w:p>
    <w:p w:rsidRPr="00F049D6" w:rsidR="00961956" w:rsidRDefault="00961956" w14:paraId="650EBC4F" w14:textId="77777777">
      <w:pPr>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7"/>
        <w:gridCol w:w="5670"/>
      </w:tblGrid>
      <w:tr w:rsidRPr="009B70E7" w:rsidR="00961956" w:rsidTr="00771110" w14:paraId="196AAA5A" w14:textId="77777777">
        <w:tc>
          <w:tcPr>
            <w:tcW w:w="1418" w:type="dxa"/>
          </w:tcPr>
          <w:p w:rsidRPr="009B70E7" w:rsidR="00961956" w:rsidRDefault="00961956" w14:paraId="015B1472" w14:textId="77777777">
            <w:pPr>
              <w:pStyle w:val="ListParagraph"/>
              <w:ind w:left="0"/>
              <w:rPr>
                <w:i/>
              </w:rPr>
            </w:pPr>
            <w:r>
              <w:rPr>
                <w:b/>
                <w:i/>
              </w:rPr>
              <w:t>Contactpersoon</w:t>
            </w:r>
          </w:p>
        </w:tc>
        <w:tc>
          <w:tcPr>
            <w:tcW w:w="5670" w:type="dxa"/>
          </w:tcPr>
          <w:p w:rsidRPr="009B70E7" w:rsidR="00961956" w:rsidRDefault="005A755F" w14:paraId="1E2C028D" w14:textId="77777777">
            <w:pPr>
              <w:pStyle w:val="ListParagraph"/>
              <w:ind w:left="0"/>
              <w:rPr>
                <w:i/>
              </w:rPr>
            </w:pPr>
            <w:r>
              <w:rPr>
                <w:i/>
              </w:rPr>
              <w:t>Maja Radman</w:t>
            </w:r>
          </w:p>
        </w:tc>
      </w:tr>
      <w:tr w:rsidRPr="009B70E7" w:rsidR="00961956" w:rsidTr="00771110" w14:paraId="767EF621" w14:textId="77777777">
        <w:tc>
          <w:tcPr>
            <w:tcW w:w="1418" w:type="dxa"/>
          </w:tcPr>
          <w:p w:rsidRPr="009B70E7" w:rsidR="00961956" w:rsidRDefault="00961956" w14:paraId="2C15F67B" w14:textId="77777777">
            <w:pPr>
              <w:pStyle w:val="ListParagraph"/>
              <w:ind w:left="601"/>
              <w:rPr>
                <w:i/>
              </w:rPr>
            </w:pPr>
            <w:r>
              <w:rPr>
                <w:i/>
              </w:rPr>
              <w:t>Tel.</w:t>
            </w:r>
          </w:p>
        </w:tc>
        <w:tc>
          <w:tcPr>
            <w:tcW w:w="5670" w:type="dxa"/>
          </w:tcPr>
          <w:p w:rsidRPr="009B70E7" w:rsidR="00961956" w:rsidRDefault="002C24B9" w14:paraId="619D9C38" w14:textId="77777777">
            <w:pPr>
              <w:pStyle w:val="ListParagraph"/>
              <w:ind w:left="0"/>
              <w:rPr>
                <w:i/>
              </w:rPr>
            </w:pPr>
            <w:r>
              <w:rPr>
                <w:i/>
              </w:rPr>
              <w:t>00 32 2 546 90 51</w:t>
            </w:r>
          </w:p>
        </w:tc>
      </w:tr>
      <w:tr w:rsidRPr="009B70E7" w:rsidR="00961956" w:rsidTr="00771110" w14:paraId="0B88B3E2" w14:textId="77777777">
        <w:tc>
          <w:tcPr>
            <w:tcW w:w="1418" w:type="dxa"/>
          </w:tcPr>
          <w:p w:rsidRPr="009B70E7" w:rsidR="00961956" w:rsidRDefault="00961956" w14:paraId="7FB55A27" w14:textId="77777777">
            <w:pPr>
              <w:pStyle w:val="ListParagraph"/>
              <w:ind w:left="601"/>
              <w:rPr>
                <w:i/>
              </w:rPr>
            </w:pPr>
            <w:r>
              <w:rPr>
                <w:i/>
              </w:rPr>
              <w:t>E-mail</w:t>
            </w:r>
          </w:p>
        </w:tc>
        <w:tc>
          <w:tcPr>
            <w:tcW w:w="5670" w:type="dxa"/>
          </w:tcPr>
          <w:p w:rsidRPr="009B70E7" w:rsidR="00F80F3B" w:rsidRDefault="0003462B" w14:paraId="6B508845" w14:textId="77777777">
            <w:pPr>
              <w:pStyle w:val="ListParagraph"/>
              <w:ind w:left="0"/>
              <w:rPr>
                <w:i/>
              </w:rPr>
            </w:pPr>
            <w:hyperlink w:history="1" r:id="rId27">
              <w:r w:rsidR="005458B6">
                <w:rPr>
                  <w:rStyle w:val="Hyperlink"/>
                  <w:i/>
                </w:rPr>
                <w:t>Maja.Radmani@eesc.europa.eu</w:t>
              </w:r>
            </w:hyperlink>
          </w:p>
        </w:tc>
      </w:tr>
    </w:tbl>
    <w:p w:rsidR="00910972" w:rsidP="0018231C" w:rsidRDefault="00910972" w14:paraId="6D17AB89" w14:textId="7DC2E94D">
      <w:pPr>
        <w:jc w:val="left"/>
        <w:rPr>
          <w:sz w:val="28"/>
        </w:rPr>
      </w:pPr>
    </w:p>
    <w:p w:rsidR="00910972" w:rsidRDefault="00910972" w14:paraId="397D2CDA" w14:textId="77777777">
      <w:pPr>
        <w:spacing w:after="160" w:line="259" w:lineRule="auto"/>
        <w:jc w:val="left"/>
        <w:rPr>
          <w:sz w:val="28"/>
        </w:rPr>
      </w:pPr>
      <w:r>
        <w:br w:type="page"/>
      </w:r>
    </w:p>
    <w:p w:rsidRPr="009B70E7" w:rsidR="00D76363" w:rsidP="00D76363" w:rsidRDefault="00CE23CC" w14:paraId="401CAB05" w14:textId="77777777">
      <w:pPr>
        <w:pStyle w:val="ListParagraph"/>
        <w:keepNext/>
        <w:numPr>
          <w:ilvl w:val="0"/>
          <w:numId w:val="2"/>
        </w:numPr>
        <w:ind w:left="567" w:hanging="567"/>
        <w:rPr>
          <w:b/>
          <w:i/>
          <w:sz w:val="28"/>
          <w:szCs w:val="28"/>
        </w:rPr>
      </w:pPr>
      <w:r>
        <w:rPr>
          <w:b/>
          <w:i/>
          <w:sz w:val="28"/>
        </w:rPr>
        <w:lastRenderedPageBreak/>
        <w:t>Voorzieningszekerheid en betaalbare energieprijzen</w:t>
      </w:r>
    </w:p>
    <w:p w:rsidRPr="009B70E7" w:rsidR="00D76363" w:rsidP="00D76363" w:rsidRDefault="00D76363" w14:paraId="26D9A939"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991"/>
        <w:gridCol w:w="5812"/>
      </w:tblGrid>
      <w:tr w:rsidRPr="009B70E7" w:rsidR="00D76363" w:rsidTr="00F049D6" w14:paraId="1BC08D1D" w14:textId="77777777">
        <w:tc>
          <w:tcPr>
            <w:tcW w:w="1701" w:type="dxa"/>
          </w:tcPr>
          <w:p w:rsidRPr="009B70E7" w:rsidR="00D76363" w:rsidP="001513FD" w:rsidRDefault="00D76363" w14:paraId="073DB159" w14:textId="77777777">
            <w:pPr>
              <w:pStyle w:val="ListParagraph"/>
              <w:keepNext/>
              <w:ind w:left="0"/>
              <w:rPr>
                <w:b/>
              </w:rPr>
            </w:pPr>
            <w:r>
              <w:rPr>
                <w:b/>
              </w:rPr>
              <w:t>Rapporteur</w:t>
            </w:r>
          </w:p>
        </w:tc>
        <w:tc>
          <w:tcPr>
            <w:tcW w:w="5812" w:type="dxa"/>
          </w:tcPr>
          <w:p w:rsidRPr="009B70E7" w:rsidR="00D76363" w:rsidP="00F049D6" w:rsidRDefault="00CE23CC" w14:paraId="64C95B4D" w14:textId="77777777">
            <w:pPr>
              <w:pStyle w:val="ListParagraph"/>
              <w:keepNext/>
              <w:ind w:left="-56" w:right="-453"/>
            </w:pPr>
            <w:r>
              <w:t>Alena MASTANTUONO (groep Werkgevers – CZ)</w:t>
            </w:r>
          </w:p>
        </w:tc>
      </w:tr>
      <w:tr w:rsidRPr="009B70E7" w:rsidR="00D76363" w:rsidTr="00F049D6" w14:paraId="206D71D0" w14:textId="77777777">
        <w:tc>
          <w:tcPr>
            <w:tcW w:w="7513" w:type="dxa"/>
            <w:gridSpan w:val="2"/>
          </w:tcPr>
          <w:p w:rsidRPr="009B70E7" w:rsidR="00D76363" w:rsidP="001513FD" w:rsidRDefault="00D76363" w14:paraId="44F259D7" w14:textId="77777777">
            <w:pPr>
              <w:pStyle w:val="ListParagraph"/>
              <w:keepNext/>
              <w:ind w:left="0"/>
            </w:pPr>
          </w:p>
        </w:tc>
      </w:tr>
      <w:tr w:rsidRPr="009B70E7" w:rsidR="00D76363" w:rsidTr="00F049D6" w14:paraId="006CBBBB" w14:textId="77777777">
        <w:tc>
          <w:tcPr>
            <w:tcW w:w="1701" w:type="dxa"/>
            <w:vMerge w:val="restart"/>
          </w:tcPr>
          <w:p w:rsidRPr="009B70E7" w:rsidR="00D76363" w:rsidP="001513FD" w:rsidRDefault="00D76363" w14:paraId="21B3F0D6" w14:textId="77777777">
            <w:pPr>
              <w:pStyle w:val="ListParagraph"/>
              <w:keepNext/>
              <w:ind w:left="0"/>
              <w:rPr>
                <w:b/>
              </w:rPr>
            </w:pPr>
            <w:r>
              <w:rPr>
                <w:b/>
              </w:rPr>
              <w:t xml:space="preserve">Referentiedocument </w:t>
            </w:r>
          </w:p>
        </w:tc>
        <w:tc>
          <w:tcPr>
            <w:tcW w:w="5812" w:type="dxa"/>
          </w:tcPr>
          <w:p w:rsidRPr="009B70E7" w:rsidR="00D76363" w:rsidP="001513FD" w:rsidRDefault="00D76363" w14:paraId="0F2B0508" w14:textId="77777777">
            <w:pPr>
              <w:pStyle w:val="ListParagraph"/>
              <w:keepNext/>
              <w:ind w:left="-56"/>
            </w:pPr>
            <w:r>
              <w:t>COM (2022) 138 final</w:t>
            </w:r>
          </w:p>
        </w:tc>
      </w:tr>
      <w:tr w:rsidRPr="009B70E7" w:rsidR="00D76363" w:rsidTr="00F049D6" w14:paraId="44A197BD" w14:textId="77777777">
        <w:tc>
          <w:tcPr>
            <w:tcW w:w="1701" w:type="dxa"/>
            <w:vMerge/>
          </w:tcPr>
          <w:p w:rsidRPr="009B70E7" w:rsidR="00D76363" w:rsidP="001513FD" w:rsidRDefault="00D76363" w14:paraId="666AB4C5" w14:textId="77777777">
            <w:pPr>
              <w:pStyle w:val="ListParagraph"/>
              <w:keepNext/>
              <w:ind w:left="0"/>
              <w:rPr>
                <w:b/>
              </w:rPr>
            </w:pPr>
          </w:p>
        </w:tc>
        <w:tc>
          <w:tcPr>
            <w:tcW w:w="5812" w:type="dxa"/>
          </w:tcPr>
          <w:p w:rsidRPr="009B70E7" w:rsidR="00D76363" w:rsidP="001513FD" w:rsidRDefault="00E65D01" w14:paraId="26A5E07B" w14:textId="77777777">
            <w:pPr>
              <w:pStyle w:val="ListParagraph"/>
              <w:keepNext/>
              <w:ind w:left="-56"/>
            </w:pPr>
            <w:r>
              <w:t>EESC-2022-02693-00-00-AC</w:t>
            </w:r>
          </w:p>
        </w:tc>
      </w:tr>
    </w:tbl>
    <w:p w:rsidRPr="009B70E7" w:rsidR="00D76363" w:rsidP="00D76363" w:rsidRDefault="00D76363" w14:paraId="06470B53" w14:textId="77777777">
      <w:pPr>
        <w:pStyle w:val="ListParagraph"/>
        <w:keepNext/>
        <w:ind w:left="0"/>
      </w:pPr>
    </w:p>
    <w:p w:rsidRPr="00CE23CC" w:rsidR="00F049D6" w:rsidP="00CE23CC" w:rsidRDefault="00CE23CC" w14:paraId="6E8A2493" w14:textId="1E2A2AD2">
      <w:pPr>
        <w:pStyle w:val="ListParagraph"/>
        <w:spacing w:line="240" w:lineRule="auto"/>
        <w:ind w:left="-142" w:firstLine="142"/>
        <w:rPr>
          <w:b/>
        </w:rPr>
      </w:pPr>
      <w:r>
        <w:rPr>
          <w:b/>
        </w:rPr>
        <w:t>Hoofdpunten</w:t>
      </w:r>
    </w:p>
    <w:p w:rsidRPr="009B70E7" w:rsidR="00F049D6" w:rsidP="00D76363" w:rsidRDefault="00F049D6" w14:paraId="44AA08CC" w14:textId="77777777">
      <w:pPr>
        <w:pStyle w:val="ListParagraph"/>
        <w:ind w:left="0"/>
      </w:pPr>
    </w:p>
    <w:p w:rsidRPr="00CE23CC" w:rsidR="00A30B84" w:rsidP="00CE23CC" w:rsidRDefault="00CE23CC" w14:paraId="4A205B71" w14:textId="77777777">
      <w:pPr>
        <w:pStyle w:val="ListParagraph"/>
        <w:numPr>
          <w:ilvl w:val="0"/>
          <w:numId w:val="3"/>
        </w:numPr>
        <w:ind w:left="357" w:hanging="357"/>
      </w:pPr>
      <w:r>
        <w:t>Europa heeft een efficiënt energieplan nodig waarmee in geval van energietekorten op verschillende scenario’s kan worden ingespeeld. Dit moet door de EU en de lidstaten gezamenlijk worden aangepakt, waarbij een antwoord moet worden gevonden op de vraag hoe er in elk scenario moet worden gereageerd en hoe de bestaande energie-infrastructuur efficiënt gebruikt en verder ontwikkeld kan worden.</w:t>
      </w:r>
    </w:p>
    <w:p w:rsidRPr="003527B4" w:rsidR="00D76363" w:rsidP="00D76363" w:rsidRDefault="00CE23CC" w14:paraId="5660D604" w14:textId="77777777">
      <w:pPr>
        <w:pStyle w:val="ListParagraph"/>
        <w:numPr>
          <w:ilvl w:val="0"/>
          <w:numId w:val="3"/>
        </w:numPr>
        <w:ind w:left="357" w:hanging="357"/>
        <w:rPr>
          <w:bCs/>
        </w:rPr>
      </w:pPr>
      <w:r>
        <w:t>De levering van energie uit derde landen heeft voor de EU economische en politieke gevolgen. Het is nu wel duidelijk dat grondig moet worden nagedacht over een te grote afhankelijkheid van energie uit landen die de waarden van de EU niet delen. De ideale oplossing zou zijn de productie en het gebruik van niet-fossiele elektriciteit op te voeren om aan de vraag naar stroom te voldoen.</w:t>
      </w:r>
    </w:p>
    <w:p w:rsidR="00D76363" w:rsidP="00D76363" w:rsidRDefault="00CE23CC" w14:paraId="5BFF3ABB" w14:textId="77777777">
      <w:pPr>
        <w:pStyle w:val="ListParagraph"/>
        <w:numPr>
          <w:ilvl w:val="0"/>
          <w:numId w:val="3"/>
        </w:numPr>
        <w:ind w:left="357" w:hanging="357"/>
        <w:rPr>
          <w:bCs/>
        </w:rPr>
      </w:pPr>
      <w:r>
        <w:t>Het EESC acht het van vitaal belang om constant en consequent te blijven streven naar een duurzaam energiesysteem: voorzieningszekerheid, redelijke kosten en prijzen, en milieuduurzaamheid.</w:t>
      </w:r>
    </w:p>
    <w:p w:rsidR="00E24CDF" w:rsidP="00D76363" w:rsidRDefault="00CE23CC" w14:paraId="697D0B9F" w14:textId="77777777">
      <w:pPr>
        <w:pStyle w:val="ListParagraph"/>
        <w:numPr>
          <w:ilvl w:val="0"/>
          <w:numId w:val="3"/>
        </w:numPr>
        <w:ind w:left="357" w:hanging="357"/>
        <w:rPr>
          <w:bCs/>
        </w:rPr>
      </w:pPr>
      <w:r>
        <w:t>Rechtstreekse steun aan consumenten is als noodmaatregel de meest realistische optie. Alle steunmaatregelen om de crisis te verzachten moeten tijdelijk zijn en gericht op degenen die het meest te lijden hebben: burgers, kleine ondernemingen, energie-intensieve industrieën. De consumenten zullen hun steentje moeten bijdragen aan de vermindering van het gasverbruik.</w:t>
      </w:r>
    </w:p>
    <w:p w:rsidRPr="00F049D6" w:rsidR="00E24CDF" w:rsidP="00D76363" w:rsidRDefault="00CE23CC" w14:paraId="7D33BDFB" w14:textId="77777777">
      <w:pPr>
        <w:pStyle w:val="ListParagraph"/>
        <w:numPr>
          <w:ilvl w:val="0"/>
          <w:numId w:val="3"/>
        </w:numPr>
        <w:ind w:left="357" w:hanging="357"/>
        <w:rPr>
          <w:bCs/>
        </w:rPr>
      </w:pPr>
      <w:r>
        <w:t>Om de situatie het hoofd te bieden zou er alleen sprake mogen zijn van tijdelijke maatregelen op lidstaatniveau, zodat EU-markten niet al te lang worden verstoord. Terugdringing van de CO</w:t>
      </w:r>
      <w:r>
        <w:rPr>
          <w:vertAlign w:val="subscript"/>
        </w:rPr>
        <w:t>2</w:t>
      </w:r>
      <w:r>
        <w:t>-uitstoot van energiebronnen moet een hoofddoel blijven.</w:t>
      </w:r>
    </w:p>
    <w:p w:rsidRPr="009B70E7" w:rsidR="00D76363" w:rsidP="00D76363" w:rsidRDefault="00D76363" w14:paraId="450C439D"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7"/>
        <w:gridCol w:w="5670"/>
      </w:tblGrid>
      <w:tr w:rsidRPr="009B70E7" w:rsidR="00CE23CC" w:rsidTr="00B40158" w14:paraId="50862FD0" w14:textId="77777777">
        <w:tc>
          <w:tcPr>
            <w:tcW w:w="1418" w:type="dxa"/>
          </w:tcPr>
          <w:p w:rsidRPr="009B70E7" w:rsidR="00CE23CC" w:rsidP="00CE23CC" w:rsidRDefault="00CE23CC" w14:paraId="028ABA93" w14:textId="77777777">
            <w:pPr>
              <w:pStyle w:val="ListParagraph"/>
              <w:ind w:left="0"/>
              <w:rPr>
                <w:i/>
              </w:rPr>
            </w:pPr>
            <w:r>
              <w:rPr>
                <w:b/>
                <w:i/>
              </w:rPr>
              <w:t>Contactpersoon</w:t>
            </w:r>
          </w:p>
        </w:tc>
        <w:tc>
          <w:tcPr>
            <w:tcW w:w="5670" w:type="dxa"/>
          </w:tcPr>
          <w:p w:rsidRPr="009B70E7" w:rsidR="00CE23CC" w:rsidP="00CE23CC" w:rsidRDefault="00CE23CC" w14:paraId="1F245965" w14:textId="77777777">
            <w:pPr>
              <w:pStyle w:val="ListParagraph"/>
              <w:ind w:left="0"/>
              <w:rPr>
                <w:i/>
              </w:rPr>
            </w:pPr>
            <w:r>
              <w:rPr>
                <w:i/>
              </w:rPr>
              <w:t>Francesco Napolitano</w:t>
            </w:r>
          </w:p>
        </w:tc>
      </w:tr>
      <w:tr w:rsidRPr="009B70E7" w:rsidR="00CE23CC" w:rsidTr="00B40158" w14:paraId="5DE31472" w14:textId="77777777">
        <w:tc>
          <w:tcPr>
            <w:tcW w:w="1418" w:type="dxa"/>
          </w:tcPr>
          <w:p w:rsidRPr="009B70E7" w:rsidR="00CE23CC" w:rsidP="00CE23CC" w:rsidRDefault="00CE23CC" w14:paraId="46E53147" w14:textId="77777777">
            <w:pPr>
              <w:pStyle w:val="ListParagraph"/>
              <w:ind w:left="601"/>
              <w:rPr>
                <w:i/>
              </w:rPr>
            </w:pPr>
            <w:r>
              <w:rPr>
                <w:i/>
              </w:rPr>
              <w:t>Tel.</w:t>
            </w:r>
          </w:p>
        </w:tc>
        <w:tc>
          <w:tcPr>
            <w:tcW w:w="5670" w:type="dxa"/>
          </w:tcPr>
          <w:p w:rsidRPr="009B70E7" w:rsidR="00CE23CC" w:rsidP="00CE23CC" w:rsidRDefault="00CE23CC" w14:paraId="61A04E27" w14:textId="77777777">
            <w:pPr>
              <w:pStyle w:val="ListParagraph"/>
              <w:ind w:left="0"/>
              <w:rPr>
                <w:i/>
              </w:rPr>
            </w:pPr>
            <w:r>
              <w:rPr>
                <w:i/>
              </w:rPr>
              <w:t>00 32 2 546 89 21</w:t>
            </w:r>
          </w:p>
        </w:tc>
      </w:tr>
      <w:tr w:rsidRPr="009B70E7" w:rsidR="00CE23CC" w:rsidTr="00B40158" w14:paraId="5EFFF55F" w14:textId="77777777">
        <w:tc>
          <w:tcPr>
            <w:tcW w:w="1418" w:type="dxa"/>
          </w:tcPr>
          <w:p w:rsidRPr="009B70E7" w:rsidR="00CE23CC" w:rsidP="00CE23CC" w:rsidRDefault="00CE23CC" w14:paraId="6B9430EE" w14:textId="77777777">
            <w:pPr>
              <w:pStyle w:val="ListParagraph"/>
              <w:ind w:left="601"/>
              <w:rPr>
                <w:i/>
              </w:rPr>
            </w:pPr>
            <w:r>
              <w:rPr>
                <w:i/>
              </w:rPr>
              <w:t>E-mail</w:t>
            </w:r>
          </w:p>
        </w:tc>
        <w:tc>
          <w:tcPr>
            <w:tcW w:w="5670" w:type="dxa"/>
          </w:tcPr>
          <w:p w:rsidRPr="009B70E7" w:rsidR="00CE23CC" w:rsidP="00CE23CC" w:rsidRDefault="0003462B" w14:paraId="2F25FA4C" w14:textId="77777777">
            <w:pPr>
              <w:pStyle w:val="ListParagraph"/>
              <w:ind w:left="0"/>
              <w:rPr>
                <w:i/>
              </w:rPr>
            </w:pPr>
            <w:hyperlink w:history="1" r:id="rId28">
              <w:r w:rsidR="005458B6">
                <w:rPr>
                  <w:rStyle w:val="Hyperlink"/>
                  <w:i/>
                </w:rPr>
                <w:t>Francesco.Napolitano@eesc.europa.eu</w:t>
              </w:r>
            </w:hyperlink>
          </w:p>
        </w:tc>
      </w:tr>
    </w:tbl>
    <w:p w:rsidRPr="00A10A98" w:rsidR="007327CD" w:rsidP="0018231C" w:rsidRDefault="007327CD" w14:paraId="1C752D75" w14:textId="77777777">
      <w:pPr>
        <w:jc w:val="left"/>
        <w:rPr>
          <w:sz w:val="28"/>
        </w:rPr>
      </w:pPr>
    </w:p>
    <w:p w:rsidR="00910972" w:rsidRDefault="00910972" w14:paraId="565DA337" w14:textId="0CAB6DF2">
      <w:pPr>
        <w:spacing w:after="160" w:line="259" w:lineRule="auto"/>
        <w:jc w:val="left"/>
        <w:rPr>
          <w:sz w:val="28"/>
        </w:rPr>
      </w:pPr>
      <w:r>
        <w:br w:type="page"/>
      </w:r>
    </w:p>
    <w:p w:rsidRPr="009B70E7" w:rsidR="00E02E1A" w:rsidP="00E02E1A" w:rsidRDefault="00CE23CC" w14:paraId="614B5A48" w14:textId="77777777">
      <w:pPr>
        <w:pStyle w:val="ListParagraph"/>
        <w:keepNext/>
        <w:numPr>
          <w:ilvl w:val="0"/>
          <w:numId w:val="2"/>
        </w:numPr>
        <w:ind w:left="567" w:hanging="567"/>
        <w:rPr>
          <w:b/>
          <w:i/>
          <w:sz w:val="28"/>
          <w:szCs w:val="28"/>
        </w:rPr>
      </w:pPr>
      <w:r>
        <w:rPr>
          <w:b/>
          <w:i/>
          <w:sz w:val="28"/>
        </w:rPr>
        <w:lastRenderedPageBreak/>
        <w:t>Erkenning van Oekraïense rijbewijzen</w:t>
      </w:r>
    </w:p>
    <w:p w:rsidRPr="009B70E7" w:rsidR="00E02E1A" w:rsidP="00E02E1A" w:rsidRDefault="00E02E1A" w14:paraId="22D36C2D"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2995"/>
        <w:gridCol w:w="5387"/>
      </w:tblGrid>
      <w:tr w:rsidRPr="009B70E7" w:rsidR="00E02E1A" w:rsidTr="007B4C38" w14:paraId="79CECBDD" w14:textId="77777777">
        <w:tc>
          <w:tcPr>
            <w:tcW w:w="7088" w:type="dxa"/>
            <w:gridSpan w:val="2"/>
          </w:tcPr>
          <w:tbl>
            <w:tblPr>
              <w:tblStyle w:val="TableGrid"/>
              <w:tblW w:w="7524" w:type="dxa"/>
              <w:tblInd w:w="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6"/>
              <w:gridCol w:w="5398"/>
            </w:tblGrid>
            <w:tr w:rsidRPr="009B70E7" w:rsidR="00394949" w:rsidTr="00E65D01" w14:paraId="67D0221A" w14:textId="77777777">
              <w:tc>
                <w:tcPr>
                  <w:tcW w:w="2126" w:type="dxa"/>
                </w:tcPr>
                <w:p w:rsidRPr="00B40158" w:rsidR="00394949" w:rsidP="00E65D01" w:rsidRDefault="00CE23CC" w14:paraId="23E9C308" w14:textId="77777777">
                  <w:pPr>
                    <w:pStyle w:val="ListParagraph"/>
                    <w:ind w:left="-24" w:hanging="85"/>
                    <w:rPr>
                      <w:b/>
                    </w:rPr>
                  </w:pPr>
                  <w:r>
                    <w:rPr>
                      <w:b/>
                    </w:rPr>
                    <w:t>Categorie C-advies</w:t>
                  </w:r>
                </w:p>
              </w:tc>
              <w:tc>
                <w:tcPr>
                  <w:tcW w:w="5398" w:type="dxa"/>
                </w:tcPr>
                <w:p w:rsidR="00394949" w:rsidP="00E65D01" w:rsidRDefault="00394949" w14:paraId="59EBC4B9" w14:textId="77777777">
                  <w:pPr>
                    <w:pStyle w:val="ListParagraph"/>
                    <w:ind w:left="64" w:firstLine="142"/>
                  </w:pPr>
                </w:p>
                <w:p w:rsidRPr="009B70E7" w:rsidR="00394949" w:rsidP="00394949" w:rsidRDefault="00394949" w14:paraId="44E6DD99" w14:textId="77777777">
                  <w:pPr>
                    <w:pStyle w:val="ListParagraph"/>
                    <w:ind w:left="-108"/>
                  </w:pPr>
                </w:p>
              </w:tc>
            </w:tr>
          </w:tbl>
          <w:p w:rsidRPr="009B70E7" w:rsidR="00E02E1A" w:rsidP="007B4C38" w:rsidRDefault="00E02E1A" w14:paraId="36B93263" w14:textId="77777777">
            <w:pPr>
              <w:pStyle w:val="ListParagraph"/>
              <w:keepNext/>
              <w:ind w:left="0"/>
            </w:pPr>
          </w:p>
        </w:tc>
      </w:tr>
      <w:tr w:rsidRPr="009B70E7" w:rsidR="00E02E1A" w:rsidTr="007B4C38" w14:paraId="18B826E9" w14:textId="77777777">
        <w:tc>
          <w:tcPr>
            <w:tcW w:w="1701" w:type="dxa"/>
            <w:vMerge w:val="restart"/>
          </w:tcPr>
          <w:p w:rsidRPr="009B70E7" w:rsidR="00E02E1A" w:rsidP="003165A9" w:rsidRDefault="00E02E1A" w14:paraId="0D6FDD91" w14:textId="77777777">
            <w:pPr>
              <w:pStyle w:val="ListParagraph"/>
              <w:keepNext/>
              <w:ind w:left="84"/>
              <w:rPr>
                <w:b/>
              </w:rPr>
            </w:pPr>
            <w:r>
              <w:rPr>
                <w:b/>
              </w:rPr>
              <w:t xml:space="preserve">Referentiedocument </w:t>
            </w:r>
          </w:p>
        </w:tc>
        <w:tc>
          <w:tcPr>
            <w:tcW w:w="5387" w:type="dxa"/>
          </w:tcPr>
          <w:p w:rsidRPr="009B70E7" w:rsidR="00E02E1A" w:rsidP="007B4C38" w:rsidRDefault="00E02E1A" w14:paraId="1793B5F5" w14:textId="77777777">
            <w:pPr>
              <w:pStyle w:val="ListParagraph"/>
              <w:keepNext/>
              <w:ind w:left="-56"/>
            </w:pPr>
            <w:r>
              <w:t>COM(2022) 313 final</w:t>
            </w:r>
          </w:p>
        </w:tc>
      </w:tr>
      <w:tr w:rsidRPr="009B70E7" w:rsidR="00E02E1A" w:rsidTr="007B4C38" w14:paraId="04F010A3" w14:textId="77777777">
        <w:tc>
          <w:tcPr>
            <w:tcW w:w="1701" w:type="dxa"/>
            <w:vMerge/>
          </w:tcPr>
          <w:p w:rsidRPr="009B70E7" w:rsidR="00E02E1A" w:rsidP="007B4C38" w:rsidRDefault="00E02E1A" w14:paraId="6BB9873E" w14:textId="77777777">
            <w:pPr>
              <w:pStyle w:val="ListParagraph"/>
              <w:keepNext/>
              <w:ind w:left="0"/>
              <w:rPr>
                <w:b/>
              </w:rPr>
            </w:pPr>
          </w:p>
        </w:tc>
        <w:tc>
          <w:tcPr>
            <w:tcW w:w="5387" w:type="dxa"/>
          </w:tcPr>
          <w:p w:rsidRPr="009B70E7" w:rsidR="00E02E1A" w:rsidP="007B4C38" w:rsidRDefault="00A30B84" w14:paraId="4786441E" w14:textId="77777777">
            <w:pPr>
              <w:pStyle w:val="ListParagraph"/>
              <w:keepNext/>
              <w:ind w:left="-56"/>
            </w:pPr>
            <w:r>
              <w:t>EESC-2022-03334-00-00-AC</w:t>
            </w:r>
          </w:p>
        </w:tc>
      </w:tr>
    </w:tbl>
    <w:p w:rsidR="00E02E1A" w:rsidP="00E02E1A" w:rsidRDefault="00E02E1A" w14:paraId="08BAF99C" w14:textId="77777777">
      <w:pPr>
        <w:pStyle w:val="ListParagraph"/>
        <w:ind w:left="0"/>
      </w:pPr>
    </w:p>
    <w:p w:rsidR="003165A9" w:rsidP="002C4B6E" w:rsidRDefault="003165A9" w14:paraId="08069896" w14:textId="1CDF9A93">
      <w:pPr>
        <w:pStyle w:val="ListParagraph"/>
        <w:spacing w:line="240" w:lineRule="auto"/>
        <w:ind w:left="-142" w:firstLine="142"/>
        <w:rPr>
          <w:b/>
        </w:rPr>
      </w:pPr>
      <w:r>
        <w:rPr>
          <w:b/>
        </w:rPr>
        <w:t>Hoofdpunten</w:t>
      </w:r>
    </w:p>
    <w:p w:rsidR="003165A9" w:rsidP="00326919" w:rsidRDefault="003165A9" w14:paraId="00186DD7" w14:textId="77777777">
      <w:pPr>
        <w:pStyle w:val="ListParagraph"/>
        <w:keepNext/>
        <w:keepLines/>
        <w:ind w:left="0"/>
      </w:pPr>
    </w:p>
    <w:p w:rsidRPr="0018231C" w:rsidR="003165A9" w:rsidP="00326919" w:rsidRDefault="00E65D01" w14:paraId="443A7F30" w14:textId="77777777">
      <w:pPr>
        <w:pStyle w:val="ListParagraph"/>
        <w:keepNext/>
        <w:keepLines/>
        <w:ind w:left="0"/>
      </w:pPr>
      <w:r>
        <w:t>Aangezien het Comité met het voorstel instemt en er geen commentaar op heeft, heeft het besloten hierover een positief advies uit te brengen.</w:t>
      </w:r>
    </w:p>
    <w:p w:rsidRPr="009B70E7" w:rsidR="00E02E1A" w:rsidP="00E02E1A" w:rsidRDefault="00E02E1A" w14:paraId="132E231E"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7"/>
        <w:gridCol w:w="5670"/>
      </w:tblGrid>
      <w:tr w:rsidRPr="009B70E7" w:rsidR="00056079" w:rsidTr="00DC17CF" w14:paraId="3D653507" w14:textId="77777777">
        <w:tc>
          <w:tcPr>
            <w:tcW w:w="1418" w:type="dxa"/>
          </w:tcPr>
          <w:p w:rsidRPr="009B70E7" w:rsidR="00056079" w:rsidP="00DC17CF" w:rsidRDefault="00056079" w14:paraId="6C05EC5E" w14:textId="77777777">
            <w:pPr>
              <w:pStyle w:val="ListParagraph"/>
              <w:ind w:left="0"/>
              <w:rPr>
                <w:i/>
              </w:rPr>
            </w:pPr>
            <w:r>
              <w:rPr>
                <w:b/>
                <w:i/>
              </w:rPr>
              <w:t>Contactpersoon</w:t>
            </w:r>
          </w:p>
        </w:tc>
        <w:tc>
          <w:tcPr>
            <w:tcW w:w="5670" w:type="dxa"/>
          </w:tcPr>
          <w:p w:rsidRPr="009B70E7" w:rsidR="00056079" w:rsidP="00DC17CF" w:rsidRDefault="00E65D01" w14:paraId="3A49D460" w14:textId="77777777">
            <w:pPr>
              <w:pStyle w:val="ListParagraph"/>
              <w:ind w:left="0"/>
              <w:rPr>
                <w:i/>
              </w:rPr>
            </w:pPr>
            <w:r>
              <w:rPr>
                <w:i/>
              </w:rPr>
              <w:t>Antonio Ribeiro Pereira</w:t>
            </w:r>
          </w:p>
        </w:tc>
      </w:tr>
      <w:tr w:rsidRPr="009B70E7" w:rsidR="00056079" w:rsidTr="00DC17CF" w14:paraId="0C0A979F" w14:textId="77777777">
        <w:tc>
          <w:tcPr>
            <w:tcW w:w="1418" w:type="dxa"/>
          </w:tcPr>
          <w:p w:rsidRPr="009B70E7" w:rsidR="00056079" w:rsidP="00DC17CF" w:rsidRDefault="00056079" w14:paraId="6EB01253" w14:textId="77777777">
            <w:pPr>
              <w:pStyle w:val="ListParagraph"/>
              <w:ind w:left="601"/>
              <w:rPr>
                <w:i/>
              </w:rPr>
            </w:pPr>
            <w:r>
              <w:rPr>
                <w:i/>
              </w:rPr>
              <w:t>Tel.</w:t>
            </w:r>
          </w:p>
        </w:tc>
        <w:tc>
          <w:tcPr>
            <w:tcW w:w="5670" w:type="dxa"/>
          </w:tcPr>
          <w:p w:rsidRPr="009B70E7" w:rsidR="00056079" w:rsidP="00DC17CF" w:rsidRDefault="00056079" w14:paraId="73BBF09C" w14:textId="77777777">
            <w:pPr>
              <w:pStyle w:val="ListParagraph"/>
              <w:ind w:left="0"/>
              <w:rPr>
                <w:i/>
              </w:rPr>
            </w:pPr>
            <w:r>
              <w:rPr>
                <w:i/>
              </w:rPr>
              <w:t>00 32 2 546 93 63</w:t>
            </w:r>
          </w:p>
        </w:tc>
      </w:tr>
      <w:tr w:rsidRPr="009B70E7" w:rsidR="00056079" w:rsidTr="00DC17CF" w14:paraId="534BAC1D" w14:textId="77777777">
        <w:tc>
          <w:tcPr>
            <w:tcW w:w="1418" w:type="dxa"/>
          </w:tcPr>
          <w:p w:rsidRPr="009B70E7" w:rsidR="00056079" w:rsidP="00DC17CF" w:rsidRDefault="00056079" w14:paraId="0D67677C" w14:textId="77777777">
            <w:pPr>
              <w:pStyle w:val="ListParagraph"/>
              <w:ind w:left="601"/>
              <w:rPr>
                <w:i/>
              </w:rPr>
            </w:pPr>
            <w:r>
              <w:rPr>
                <w:i/>
              </w:rPr>
              <w:t>E-mail</w:t>
            </w:r>
          </w:p>
        </w:tc>
        <w:tc>
          <w:tcPr>
            <w:tcW w:w="5670" w:type="dxa"/>
          </w:tcPr>
          <w:p w:rsidRPr="009B70E7" w:rsidR="00056079" w:rsidP="00DC17CF" w:rsidRDefault="0003462B" w14:paraId="52F9C6C7" w14:textId="77777777">
            <w:pPr>
              <w:pStyle w:val="ListParagraph"/>
              <w:ind w:left="0"/>
              <w:rPr>
                <w:i/>
              </w:rPr>
            </w:pPr>
            <w:hyperlink w:history="1" r:id="rId29">
              <w:r w:rsidR="005458B6">
                <w:rPr>
                  <w:rStyle w:val="Hyperlink"/>
                  <w:i/>
                </w:rPr>
                <w:t>Antonio.RibeiroPereira@eesc.europa.eu</w:t>
              </w:r>
            </w:hyperlink>
          </w:p>
        </w:tc>
      </w:tr>
    </w:tbl>
    <w:p w:rsidR="00910972" w:rsidP="00910972" w:rsidRDefault="00910972" w14:paraId="47123D2A" w14:textId="77777777">
      <w:pPr>
        <w:pStyle w:val="ListParagraph"/>
        <w:keepNext/>
        <w:ind w:left="567"/>
        <w:rPr>
          <w:b/>
          <w:i/>
          <w:sz w:val="28"/>
          <w:szCs w:val="28"/>
        </w:rPr>
      </w:pPr>
    </w:p>
    <w:p w:rsidR="00910972" w:rsidRDefault="00910972" w14:paraId="0E683792" w14:textId="77777777">
      <w:pPr>
        <w:spacing w:after="160" w:line="259" w:lineRule="auto"/>
        <w:jc w:val="left"/>
        <w:rPr>
          <w:b/>
          <w:i/>
          <w:sz w:val="28"/>
          <w:szCs w:val="28"/>
        </w:rPr>
      </w:pPr>
      <w:r>
        <w:br w:type="page"/>
      </w:r>
    </w:p>
    <w:p w:rsidRPr="009B70E7" w:rsidR="00E65D01" w:rsidP="00E65D01" w:rsidRDefault="00015E18" w14:paraId="1916BCFD" w14:textId="21C1445C">
      <w:pPr>
        <w:pStyle w:val="ListParagraph"/>
        <w:keepNext/>
        <w:numPr>
          <w:ilvl w:val="0"/>
          <w:numId w:val="2"/>
        </w:numPr>
        <w:ind w:left="567" w:hanging="567"/>
        <w:rPr>
          <w:b/>
          <w:i/>
          <w:sz w:val="28"/>
          <w:szCs w:val="28"/>
        </w:rPr>
      </w:pPr>
      <w:r>
        <w:rPr>
          <w:b/>
          <w:i/>
          <w:sz w:val="28"/>
        </w:rPr>
        <w:lastRenderedPageBreak/>
        <w:t>Richtlijn energie-efficiëntie</w:t>
      </w:r>
    </w:p>
    <w:p w:rsidRPr="009B70E7" w:rsidR="00E65D01" w:rsidP="00E65D01" w:rsidRDefault="00E65D01" w14:paraId="185CF155"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2995"/>
        <w:gridCol w:w="5387"/>
      </w:tblGrid>
      <w:tr w:rsidRPr="009B70E7" w:rsidR="00E65D01" w:rsidTr="008B66DD" w14:paraId="258CD34A" w14:textId="77777777">
        <w:tc>
          <w:tcPr>
            <w:tcW w:w="7088" w:type="dxa"/>
            <w:gridSpan w:val="2"/>
          </w:tcPr>
          <w:tbl>
            <w:tblPr>
              <w:tblStyle w:val="TableGrid"/>
              <w:tblW w:w="7524" w:type="dxa"/>
              <w:tblInd w:w="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6"/>
              <w:gridCol w:w="5398"/>
            </w:tblGrid>
            <w:tr w:rsidRPr="009B70E7" w:rsidR="00E65D01" w:rsidTr="008B66DD" w14:paraId="4A8EDAA3" w14:textId="77777777">
              <w:tc>
                <w:tcPr>
                  <w:tcW w:w="2126" w:type="dxa"/>
                </w:tcPr>
                <w:p w:rsidRPr="00B40158" w:rsidR="00E65D01" w:rsidP="008B66DD" w:rsidRDefault="00E65D01" w14:paraId="40A2FEEE" w14:textId="77777777">
                  <w:pPr>
                    <w:pStyle w:val="ListParagraph"/>
                    <w:ind w:left="-24" w:hanging="85"/>
                    <w:rPr>
                      <w:b/>
                    </w:rPr>
                  </w:pPr>
                  <w:r>
                    <w:rPr>
                      <w:b/>
                    </w:rPr>
                    <w:t>Categorie C-advies</w:t>
                  </w:r>
                </w:p>
              </w:tc>
              <w:tc>
                <w:tcPr>
                  <w:tcW w:w="5398" w:type="dxa"/>
                </w:tcPr>
                <w:p w:rsidR="00E65D01" w:rsidP="008B66DD" w:rsidRDefault="00E65D01" w14:paraId="481ABB04" w14:textId="77777777">
                  <w:pPr>
                    <w:pStyle w:val="ListParagraph"/>
                    <w:ind w:left="64" w:firstLine="142"/>
                  </w:pPr>
                </w:p>
                <w:p w:rsidRPr="009B70E7" w:rsidR="00E65D01" w:rsidP="008B66DD" w:rsidRDefault="00E65D01" w14:paraId="44855807" w14:textId="77777777">
                  <w:pPr>
                    <w:pStyle w:val="ListParagraph"/>
                    <w:ind w:left="-108"/>
                  </w:pPr>
                </w:p>
              </w:tc>
            </w:tr>
          </w:tbl>
          <w:p w:rsidRPr="009B70E7" w:rsidR="00E65D01" w:rsidP="008B66DD" w:rsidRDefault="00E65D01" w14:paraId="65666DBD" w14:textId="77777777">
            <w:pPr>
              <w:pStyle w:val="ListParagraph"/>
              <w:keepNext/>
              <w:ind w:left="0"/>
            </w:pPr>
          </w:p>
        </w:tc>
      </w:tr>
      <w:tr w:rsidRPr="009B70E7" w:rsidR="00E65D01" w:rsidTr="008B66DD" w14:paraId="3392BC69" w14:textId="77777777">
        <w:tc>
          <w:tcPr>
            <w:tcW w:w="1701" w:type="dxa"/>
            <w:vMerge w:val="restart"/>
          </w:tcPr>
          <w:p w:rsidRPr="009B70E7" w:rsidR="00E65D01" w:rsidP="008B66DD" w:rsidRDefault="00E65D01" w14:paraId="26927961" w14:textId="77777777">
            <w:pPr>
              <w:pStyle w:val="ListParagraph"/>
              <w:keepNext/>
              <w:ind w:left="84"/>
              <w:rPr>
                <w:b/>
              </w:rPr>
            </w:pPr>
            <w:r>
              <w:rPr>
                <w:b/>
              </w:rPr>
              <w:t xml:space="preserve">Referentiedocument </w:t>
            </w:r>
          </w:p>
        </w:tc>
        <w:tc>
          <w:tcPr>
            <w:tcW w:w="5387" w:type="dxa"/>
          </w:tcPr>
          <w:p w:rsidRPr="009B70E7" w:rsidR="00E65D01" w:rsidP="008B66DD" w:rsidRDefault="00E65D01" w14:paraId="5C473A41" w14:textId="77777777">
            <w:pPr>
              <w:pStyle w:val="ListParagraph"/>
              <w:keepNext/>
              <w:ind w:left="-56"/>
            </w:pPr>
            <w:r>
              <w:t>COM(2021) 222 final</w:t>
            </w:r>
          </w:p>
        </w:tc>
      </w:tr>
      <w:tr w:rsidRPr="009B70E7" w:rsidR="00E65D01" w:rsidTr="008B66DD" w14:paraId="49746E2A" w14:textId="77777777">
        <w:tc>
          <w:tcPr>
            <w:tcW w:w="1701" w:type="dxa"/>
            <w:vMerge/>
          </w:tcPr>
          <w:p w:rsidRPr="009B70E7" w:rsidR="00E65D01" w:rsidP="008B66DD" w:rsidRDefault="00E65D01" w14:paraId="1F52D818" w14:textId="77777777">
            <w:pPr>
              <w:pStyle w:val="ListParagraph"/>
              <w:keepNext/>
              <w:ind w:left="0"/>
              <w:rPr>
                <w:b/>
              </w:rPr>
            </w:pPr>
          </w:p>
        </w:tc>
        <w:tc>
          <w:tcPr>
            <w:tcW w:w="5387" w:type="dxa"/>
          </w:tcPr>
          <w:p w:rsidRPr="009B70E7" w:rsidR="00E65D01" w:rsidP="008B66DD" w:rsidRDefault="00E65D01" w14:paraId="4838E34A" w14:textId="77777777">
            <w:pPr>
              <w:pStyle w:val="ListParagraph"/>
              <w:keepNext/>
              <w:ind w:left="-56"/>
            </w:pPr>
            <w:r>
              <w:t>EESC-2022-03411-00-00-AC</w:t>
            </w:r>
          </w:p>
        </w:tc>
      </w:tr>
    </w:tbl>
    <w:p w:rsidR="00E65D01" w:rsidP="00E65D01" w:rsidRDefault="00E65D01" w14:paraId="12B32AC3" w14:textId="77777777">
      <w:pPr>
        <w:pStyle w:val="ListParagraph"/>
        <w:ind w:left="0"/>
      </w:pPr>
    </w:p>
    <w:p w:rsidR="00E65D01" w:rsidP="00E65D01" w:rsidRDefault="00E65D01" w14:paraId="7E7C24B9" w14:textId="5C9C3C91">
      <w:pPr>
        <w:pStyle w:val="ListParagraph"/>
        <w:spacing w:line="240" w:lineRule="auto"/>
        <w:ind w:left="-142" w:firstLine="142"/>
        <w:rPr>
          <w:b/>
        </w:rPr>
      </w:pPr>
      <w:r>
        <w:rPr>
          <w:b/>
        </w:rPr>
        <w:t>Hoofdpunten</w:t>
      </w:r>
    </w:p>
    <w:p w:rsidR="00E65D01" w:rsidP="00E65D01" w:rsidRDefault="00E65D01" w14:paraId="7B99BBA6" w14:textId="77777777">
      <w:pPr>
        <w:pStyle w:val="ListParagraph"/>
        <w:keepNext/>
        <w:keepLines/>
        <w:ind w:left="0"/>
      </w:pPr>
    </w:p>
    <w:p w:rsidRPr="0018231C" w:rsidR="00E65D01" w:rsidP="00E65D01" w:rsidRDefault="00E65D01" w14:paraId="53C0C59E" w14:textId="77777777">
      <w:pPr>
        <w:pStyle w:val="ListParagraph"/>
        <w:keepNext/>
        <w:keepLines/>
        <w:ind w:left="0"/>
      </w:pPr>
      <w:r>
        <w:t>Aangezien het Comité met het voorstel instemt en er geen commentaar op heeft, heeft het besloten hierover een positief advies uit te brengen.</w:t>
      </w:r>
    </w:p>
    <w:p w:rsidRPr="0018231C" w:rsidR="00E65D01" w:rsidP="00E65D01" w:rsidRDefault="00E65D01" w14:paraId="256A110C" w14:textId="77777777">
      <w:pPr>
        <w:pStyle w:val="ListParagraph"/>
        <w:ind w:left="0"/>
        <w:rPr>
          <w:lang w:val="fr-FR"/>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7"/>
        <w:gridCol w:w="5670"/>
      </w:tblGrid>
      <w:tr w:rsidRPr="009B70E7" w:rsidR="00E65D01" w:rsidTr="008B66DD" w14:paraId="0DD84967" w14:textId="77777777">
        <w:tc>
          <w:tcPr>
            <w:tcW w:w="1418" w:type="dxa"/>
          </w:tcPr>
          <w:p w:rsidRPr="009B70E7" w:rsidR="00E65D01" w:rsidP="008B66DD" w:rsidRDefault="00E65D01" w14:paraId="711CBA3F" w14:textId="77777777">
            <w:pPr>
              <w:pStyle w:val="ListParagraph"/>
              <w:ind w:left="0"/>
              <w:rPr>
                <w:i/>
              </w:rPr>
            </w:pPr>
            <w:r>
              <w:rPr>
                <w:b/>
                <w:i/>
              </w:rPr>
              <w:t>Contactpersoon</w:t>
            </w:r>
          </w:p>
        </w:tc>
        <w:tc>
          <w:tcPr>
            <w:tcW w:w="5670" w:type="dxa"/>
          </w:tcPr>
          <w:p w:rsidRPr="009B70E7" w:rsidR="00E65D01" w:rsidP="008B66DD" w:rsidRDefault="00E65D01" w14:paraId="7621E843" w14:textId="77777777">
            <w:pPr>
              <w:pStyle w:val="ListParagraph"/>
              <w:ind w:left="0"/>
              <w:rPr>
                <w:i/>
              </w:rPr>
            </w:pPr>
            <w:r>
              <w:rPr>
                <w:i/>
              </w:rPr>
              <w:t>Giorgia Bordignon</w:t>
            </w:r>
          </w:p>
        </w:tc>
      </w:tr>
      <w:tr w:rsidRPr="009B70E7" w:rsidR="00E65D01" w:rsidTr="008B66DD" w14:paraId="045CA179" w14:textId="77777777">
        <w:tc>
          <w:tcPr>
            <w:tcW w:w="1418" w:type="dxa"/>
          </w:tcPr>
          <w:p w:rsidRPr="009B70E7" w:rsidR="00E65D01" w:rsidP="008B66DD" w:rsidRDefault="00E65D01" w14:paraId="3D84C005" w14:textId="77777777">
            <w:pPr>
              <w:pStyle w:val="ListParagraph"/>
              <w:ind w:left="601"/>
              <w:rPr>
                <w:i/>
              </w:rPr>
            </w:pPr>
            <w:r>
              <w:rPr>
                <w:i/>
              </w:rPr>
              <w:t>Tel.</w:t>
            </w:r>
          </w:p>
        </w:tc>
        <w:tc>
          <w:tcPr>
            <w:tcW w:w="5670" w:type="dxa"/>
          </w:tcPr>
          <w:p w:rsidRPr="009B70E7" w:rsidR="00E65D01" w:rsidP="008B66DD" w:rsidRDefault="00E65D01" w14:paraId="28C76439" w14:textId="77777777">
            <w:pPr>
              <w:pStyle w:val="ListParagraph"/>
              <w:ind w:left="0"/>
              <w:rPr>
                <w:i/>
              </w:rPr>
            </w:pPr>
            <w:r>
              <w:rPr>
                <w:i/>
              </w:rPr>
              <w:t>00 32 2 546 85 35</w:t>
            </w:r>
          </w:p>
        </w:tc>
      </w:tr>
      <w:tr w:rsidRPr="009B70E7" w:rsidR="00E65D01" w:rsidTr="008B66DD" w14:paraId="0FBDB7F6" w14:textId="77777777">
        <w:tc>
          <w:tcPr>
            <w:tcW w:w="1418" w:type="dxa"/>
          </w:tcPr>
          <w:p w:rsidRPr="009B70E7" w:rsidR="00E65D01" w:rsidP="008B66DD" w:rsidRDefault="00E65D01" w14:paraId="70AB4C5C" w14:textId="77777777">
            <w:pPr>
              <w:pStyle w:val="ListParagraph"/>
              <w:ind w:left="601"/>
              <w:rPr>
                <w:i/>
              </w:rPr>
            </w:pPr>
            <w:r>
              <w:rPr>
                <w:i/>
              </w:rPr>
              <w:t>E-mail</w:t>
            </w:r>
          </w:p>
        </w:tc>
        <w:tc>
          <w:tcPr>
            <w:tcW w:w="5670" w:type="dxa"/>
          </w:tcPr>
          <w:p w:rsidRPr="009B70E7" w:rsidR="00E65D01" w:rsidP="008B66DD" w:rsidRDefault="0003462B" w14:paraId="769D6878" w14:textId="77777777">
            <w:pPr>
              <w:pStyle w:val="ListParagraph"/>
              <w:ind w:left="0"/>
              <w:rPr>
                <w:i/>
              </w:rPr>
            </w:pPr>
            <w:hyperlink w:history="1" r:id="rId30">
              <w:r w:rsidR="005458B6">
                <w:rPr>
                  <w:rStyle w:val="Hyperlink"/>
                  <w:i/>
                </w:rPr>
                <w:t>Giorgia.Bordignon@eesc.europa.eu</w:t>
              </w:r>
            </w:hyperlink>
          </w:p>
        </w:tc>
      </w:tr>
    </w:tbl>
    <w:p w:rsidR="002A2F38" w:rsidP="0018231C" w:rsidRDefault="002A2F38" w14:paraId="7C470F49" w14:textId="77777777">
      <w:pPr>
        <w:jc w:val="left"/>
        <w:rPr>
          <w:sz w:val="28"/>
        </w:rPr>
      </w:pPr>
    </w:p>
    <w:p w:rsidR="00015E18" w:rsidRDefault="00015E18" w14:paraId="4D226931" w14:textId="77777777">
      <w:pPr>
        <w:spacing w:after="160" w:line="259" w:lineRule="auto"/>
        <w:jc w:val="left"/>
        <w:rPr>
          <w:sz w:val="28"/>
        </w:rPr>
      </w:pPr>
      <w:r>
        <w:br w:type="page"/>
      </w:r>
    </w:p>
    <w:p w:rsidRPr="009B70E7" w:rsidR="004D7AC0" w:rsidRDefault="004D7AC0" w14:paraId="3F8FA026" w14:textId="77777777">
      <w:pPr>
        <w:pStyle w:val="Heading1"/>
        <w:rPr>
          <w:b/>
        </w:rPr>
      </w:pPr>
      <w:bookmarkStart w:name="_Toc75527083" w:id="12"/>
      <w:bookmarkStart w:name="_Toc109806225" w:id="13"/>
      <w:r>
        <w:rPr>
          <w:b/>
        </w:rPr>
        <w:lastRenderedPageBreak/>
        <w:t>INTERNE MARKT, PRODUCTIE EN CONSUMPTIE</w:t>
      </w:r>
      <w:bookmarkEnd w:id="12"/>
      <w:bookmarkEnd w:id="13"/>
    </w:p>
    <w:p w:rsidRPr="009B70E7" w:rsidR="004D7AC0" w:rsidRDefault="004D7AC0" w14:paraId="03FF9505" w14:textId="77777777"/>
    <w:p w:rsidRPr="007E7A4F" w:rsidR="004D7AC0" w:rsidP="007E7A4F" w:rsidRDefault="001A2273" w14:paraId="7F0491AB" w14:textId="35589013">
      <w:pPr>
        <w:pStyle w:val="ListParagraph"/>
        <w:numPr>
          <w:ilvl w:val="0"/>
          <w:numId w:val="2"/>
        </w:numPr>
        <w:ind w:left="567" w:hanging="567"/>
        <w:rPr>
          <w:b/>
          <w:i/>
          <w:sz w:val="28"/>
          <w:szCs w:val="28"/>
        </w:rPr>
      </w:pPr>
      <w:r>
        <w:rPr>
          <w:b/>
          <w:i/>
          <w:sz w:val="28"/>
        </w:rPr>
        <w:t>Consumenten en de groene transitie</w:t>
      </w:r>
    </w:p>
    <w:p w:rsidRPr="009B70E7" w:rsidR="004D7AC0" w:rsidP="0018231C" w:rsidRDefault="004D7AC0" w14:paraId="6D553771"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2"/>
        <w:gridCol w:w="6096"/>
      </w:tblGrid>
      <w:tr w:rsidRPr="007E7A4F" w:rsidR="00753F2A" w:rsidTr="00342F72" w14:paraId="67E764D9" w14:textId="77777777">
        <w:tc>
          <w:tcPr>
            <w:tcW w:w="1701" w:type="dxa"/>
          </w:tcPr>
          <w:p w:rsidRPr="009B70E7" w:rsidR="00753F2A" w:rsidRDefault="00753F2A" w14:paraId="793CE0A9" w14:textId="77777777">
            <w:pPr>
              <w:pStyle w:val="ListParagraph"/>
              <w:ind w:left="0"/>
              <w:rPr>
                <w:b/>
              </w:rPr>
            </w:pPr>
            <w:r>
              <w:rPr>
                <w:b/>
              </w:rPr>
              <w:t>Rapporteur</w:t>
            </w:r>
          </w:p>
        </w:tc>
        <w:tc>
          <w:tcPr>
            <w:tcW w:w="6096" w:type="dxa"/>
          </w:tcPr>
          <w:p w:rsidRPr="007E7A4F" w:rsidR="00645723" w:rsidP="00A74B4C" w:rsidRDefault="000A007B" w14:paraId="2F83A1EA" w14:textId="77777777">
            <w:pPr>
              <w:pStyle w:val="ListParagraph"/>
              <w:ind w:left="-108"/>
            </w:pPr>
            <w:r>
              <w:t>Thierry LIBAERT (groep Maatschappelijke Organisaties – FR)</w:t>
            </w:r>
          </w:p>
        </w:tc>
      </w:tr>
      <w:tr w:rsidRPr="007E7A4F" w:rsidR="00E65D01" w:rsidTr="00342F72" w14:paraId="66C242BA" w14:textId="77777777">
        <w:tc>
          <w:tcPr>
            <w:tcW w:w="1701" w:type="dxa"/>
          </w:tcPr>
          <w:p w:rsidRPr="009B70E7" w:rsidR="00E65D01" w:rsidRDefault="00E65D01" w14:paraId="3314C6AE" w14:textId="77777777">
            <w:pPr>
              <w:pStyle w:val="ListParagraph"/>
              <w:ind w:left="0"/>
              <w:rPr>
                <w:b/>
              </w:rPr>
            </w:pPr>
            <w:r>
              <w:rPr>
                <w:b/>
              </w:rPr>
              <w:t>Corapporteur</w:t>
            </w:r>
          </w:p>
        </w:tc>
        <w:tc>
          <w:tcPr>
            <w:tcW w:w="6096" w:type="dxa"/>
          </w:tcPr>
          <w:p w:rsidRPr="00A74B4C" w:rsidR="00E65D01" w:rsidP="00A74B4C" w:rsidRDefault="00E65D01" w14:paraId="3F16BFA0" w14:textId="77777777">
            <w:pPr>
              <w:pStyle w:val="ListParagraph"/>
              <w:ind w:left="-108"/>
            </w:pPr>
            <w:r>
              <w:t>Gonçalo LOBO XAVIER (groep Werkgevers – PT)</w:t>
            </w:r>
          </w:p>
        </w:tc>
      </w:tr>
      <w:tr w:rsidRPr="007E7A4F" w:rsidR="004C40E4" w:rsidTr="00342F72" w14:paraId="5D5E00A4" w14:textId="77777777">
        <w:tc>
          <w:tcPr>
            <w:tcW w:w="7797" w:type="dxa"/>
            <w:gridSpan w:val="2"/>
          </w:tcPr>
          <w:p w:rsidRPr="00E65D01" w:rsidR="004C40E4" w:rsidRDefault="004C40E4" w14:paraId="4586BF19" w14:textId="77777777">
            <w:pPr>
              <w:pStyle w:val="ListParagraph"/>
              <w:ind w:left="0"/>
              <w:rPr>
                <w:b/>
                <w:lang w:val="fr-BE"/>
              </w:rPr>
            </w:pPr>
          </w:p>
        </w:tc>
      </w:tr>
      <w:tr w:rsidRPr="009B70E7" w:rsidR="004D7AC0" w:rsidTr="00342F72" w14:paraId="5F7FEE9D" w14:textId="77777777">
        <w:tc>
          <w:tcPr>
            <w:tcW w:w="1701" w:type="dxa"/>
          </w:tcPr>
          <w:p w:rsidRPr="009B70E7" w:rsidR="004D7AC0" w:rsidRDefault="004D7AC0" w14:paraId="7A4B7641" w14:textId="77777777">
            <w:pPr>
              <w:pStyle w:val="ListParagraph"/>
              <w:ind w:left="0"/>
              <w:rPr>
                <w:b/>
              </w:rPr>
            </w:pPr>
            <w:r>
              <w:rPr>
                <w:b/>
              </w:rPr>
              <w:t xml:space="preserve">Referentiedocument </w:t>
            </w:r>
          </w:p>
        </w:tc>
        <w:tc>
          <w:tcPr>
            <w:tcW w:w="6096" w:type="dxa"/>
          </w:tcPr>
          <w:p w:rsidRPr="009B70E7" w:rsidR="006A3A88" w:rsidP="000F53B7" w:rsidRDefault="000A007B" w14:paraId="3C04A448" w14:textId="77777777">
            <w:pPr>
              <w:tabs>
                <w:tab w:val="center" w:pos="284"/>
              </w:tabs>
              <w:ind w:left="266" w:hanging="374"/>
            </w:pPr>
            <w:r>
              <w:t>COM(2022) 143 final</w:t>
            </w:r>
          </w:p>
          <w:p w:rsidRPr="009B70E7" w:rsidR="004D7AC0" w:rsidP="000F53B7" w:rsidRDefault="000A007B" w14:paraId="191F43FD" w14:textId="77777777">
            <w:pPr>
              <w:pStyle w:val="ListParagraph"/>
              <w:ind w:left="-108"/>
            </w:pPr>
            <w:r>
              <w:t>EESC-2022-01950-00-00-AC</w:t>
            </w:r>
          </w:p>
        </w:tc>
      </w:tr>
    </w:tbl>
    <w:p w:rsidRPr="009B70E7" w:rsidR="00BB1EE2" w:rsidRDefault="00BB1EE2" w14:paraId="49F1F598" w14:textId="77777777">
      <w:pPr>
        <w:pStyle w:val="ListParagraph"/>
        <w:ind w:left="0"/>
        <w:rPr>
          <w:b/>
        </w:rPr>
      </w:pPr>
    </w:p>
    <w:p w:rsidRPr="0018231C" w:rsidR="004D7AC0" w:rsidP="002C4B6E" w:rsidRDefault="00D20C54" w14:paraId="6267AC05" w14:textId="1849BC99">
      <w:pPr>
        <w:pStyle w:val="ListParagraph"/>
        <w:spacing w:line="240" w:lineRule="auto"/>
        <w:ind w:left="-142" w:firstLine="142"/>
        <w:rPr>
          <w:b/>
        </w:rPr>
      </w:pPr>
      <w:r>
        <w:rPr>
          <w:b/>
        </w:rPr>
        <w:t>Hoofdpunten</w:t>
      </w:r>
    </w:p>
    <w:p w:rsidRPr="0018231C" w:rsidR="004D7AC0" w:rsidRDefault="004D7AC0" w14:paraId="3E3F39EC" w14:textId="77777777">
      <w:pPr>
        <w:pStyle w:val="ListParagraph"/>
        <w:ind w:left="0"/>
        <w:rPr>
          <w:lang w:val="fr-FR"/>
        </w:rPr>
      </w:pPr>
    </w:p>
    <w:p w:rsidR="007E7A4F" w:rsidRDefault="00D20C54" w14:paraId="1A9DE11D" w14:textId="77777777">
      <w:pPr>
        <w:pStyle w:val="ListParagraph"/>
        <w:ind w:left="0"/>
      </w:pPr>
      <w:r>
        <w:t>Het EESC:</w:t>
      </w:r>
    </w:p>
    <w:p w:rsidRPr="0018231C" w:rsidR="00331C12" w:rsidRDefault="00331C12" w14:paraId="35D1C8DD" w14:textId="77777777">
      <w:pPr>
        <w:pStyle w:val="ListParagraph"/>
        <w:ind w:left="0"/>
        <w:rPr>
          <w:lang w:val="fr-FR"/>
        </w:rPr>
      </w:pPr>
    </w:p>
    <w:p w:rsidRPr="007E7A4F" w:rsidR="00225C52" w:rsidP="00225C52" w:rsidRDefault="00D04678" w14:paraId="4C138A05" w14:textId="35C76187">
      <w:pPr>
        <w:numPr>
          <w:ilvl w:val="0"/>
          <w:numId w:val="3"/>
        </w:numPr>
        <w:overflowPunct w:val="0"/>
        <w:autoSpaceDE w:val="0"/>
        <w:autoSpaceDN w:val="0"/>
        <w:adjustRightInd w:val="0"/>
        <w:ind w:left="357" w:hanging="357"/>
        <w:textAlignment w:val="baseline"/>
        <w:rPr>
          <w:bCs/>
          <w:iCs/>
        </w:rPr>
      </w:pPr>
      <w:r>
        <w:t xml:space="preserve">hamert erop </w:t>
      </w:r>
      <w:r>
        <w:rPr>
          <w:b/>
          <w:bCs/>
        </w:rPr>
        <w:t>dat alles in het werk wordt gesteld om ervoor te zorgen dat consumenten systematisch informatie krijgen</w:t>
      </w:r>
      <w:r>
        <w:t>;</w:t>
      </w:r>
    </w:p>
    <w:p w:rsidRPr="000A007B" w:rsidR="00225C52" w:rsidP="00225C52" w:rsidRDefault="00D04678" w14:paraId="24A2C373" w14:textId="41211029">
      <w:pPr>
        <w:numPr>
          <w:ilvl w:val="0"/>
          <w:numId w:val="3"/>
        </w:numPr>
        <w:overflowPunct w:val="0"/>
        <w:autoSpaceDE w:val="0"/>
        <w:autoSpaceDN w:val="0"/>
        <w:adjustRightInd w:val="0"/>
        <w:ind w:left="357" w:hanging="357"/>
        <w:textAlignment w:val="baseline"/>
        <w:rPr>
          <w:bCs/>
          <w:iCs/>
        </w:rPr>
      </w:pPr>
      <w:r>
        <w:t xml:space="preserve">dringt er bij de Commissie op aan </w:t>
      </w:r>
      <w:r>
        <w:rPr>
          <w:b/>
          <w:bCs/>
        </w:rPr>
        <w:t>ambitieus te zijn en het beginsel van een herstelbaarheidsindex voor bruin- en witgoed goed te keuren</w:t>
      </w:r>
      <w:r>
        <w:t>;</w:t>
      </w:r>
    </w:p>
    <w:p w:rsidRPr="000A007B" w:rsidR="000A007B" w:rsidP="00225C52" w:rsidRDefault="00D04678" w14:paraId="1330E042" w14:textId="100E679E">
      <w:pPr>
        <w:numPr>
          <w:ilvl w:val="0"/>
          <w:numId w:val="3"/>
        </w:numPr>
        <w:overflowPunct w:val="0"/>
        <w:autoSpaceDE w:val="0"/>
        <w:autoSpaceDN w:val="0"/>
        <w:adjustRightInd w:val="0"/>
        <w:ind w:left="357" w:hanging="357"/>
        <w:textAlignment w:val="baseline"/>
        <w:rPr>
          <w:bCs/>
          <w:iCs/>
        </w:rPr>
      </w:pPr>
      <w:r>
        <w:t xml:space="preserve">meent dat de Commissie de komende jaren </w:t>
      </w:r>
      <w:r>
        <w:rPr>
          <w:b/>
          <w:bCs/>
        </w:rPr>
        <w:t>werk zou moeten maken van het beginsel van eenvoudige en onderling afgestemde weergave van de duurzaamheid van producten</w:t>
      </w:r>
      <w:r>
        <w:t>;</w:t>
      </w:r>
    </w:p>
    <w:p w:rsidRPr="000A007B" w:rsidR="000A007B" w:rsidP="00225C52" w:rsidRDefault="00D04678" w14:paraId="3D07993B" w14:textId="2FB4C5D0">
      <w:pPr>
        <w:numPr>
          <w:ilvl w:val="0"/>
          <w:numId w:val="3"/>
        </w:numPr>
        <w:overflowPunct w:val="0"/>
        <w:autoSpaceDE w:val="0"/>
        <w:autoSpaceDN w:val="0"/>
        <w:adjustRightInd w:val="0"/>
        <w:ind w:left="357" w:hanging="357"/>
        <w:textAlignment w:val="baseline"/>
        <w:rPr>
          <w:bCs/>
          <w:iCs/>
        </w:rPr>
      </w:pPr>
      <w:r>
        <w:t xml:space="preserve">meent dat het van belang is </w:t>
      </w:r>
      <w:r>
        <w:rPr>
          <w:b/>
          <w:bCs/>
        </w:rPr>
        <w:t>de opleiding van nieuwe herstellers en de bijscholing van de huidige actoren te stimuleren</w:t>
      </w:r>
      <w:r>
        <w:t>;</w:t>
      </w:r>
    </w:p>
    <w:p w:rsidRPr="000A007B" w:rsidR="000A007B" w:rsidP="00225C52" w:rsidRDefault="00D04678" w14:paraId="678E3DCE" w14:textId="27E40AC8">
      <w:pPr>
        <w:numPr>
          <w:ilvl w:val="0"/>
          <w:numId w:val="3"/>
        </w:numPr>
        <w:overflowPunct w:val="0"/>
        <w:autoSpaceDE w:val="0"/>
        <w:autoSpaceDN w:val="0"/>
        <w:adjustRightInd w:val="0"/>
        <w:ind w:left="357" w:hanging="357"/>
        <w:textAlignment w:val="baseline"/>
        <w:rPr>
          <w:bCs/>
          <w:iCs/>
        </w:rPr>
      </w:pPr>
      <w:r>
        <w:t xml:space="preserve">roept Europa ook op om </w:t>
      </w:r>
      <w:r>
        <w:rPr>
          <w:b/>
          <w:bCs/>
        </w:rPr>
        <w:t>minder afhankelijk te worden van grondstoffen, zodat het beter in staat is om te repareren en reserveonderdelen te kopen</w:t>
      </w:r>
      <w:r>
        <w:t>;</w:t>
      </w:r>
    </w:p>
    <w:p w:rsidRPr="000A007B" w:rsidR="000A007B" w:rsidP="00225C52" w:rsidRDefault="00D04678" w14:paraId="4D90AA30" w14:textId="65E73F4C">
      <w:pPr>
        <w:numPr>
          <w:ilvl w:val="0"/>
          <w:numId w:val="3"/>
        </w:numPr>
        <w:overflowPunct w:val="0"/>
        <w:autoSpaceDE w:val="0"/>
        <w:autoSpaceDN w:val="0"/>
        <w:adjustRightInd w:val="0"/>
        <w:ind w:left="357" w:hanging="357"/>
        <w:textAlignment w:val="baseline"/>
        <w:rPr>
          <w:bCs/>
          <w:iCs/>
        </w:rPr>
      </w:pPr>
      <w:r>
        <w:t xml:space="preserve">is van oordeel dat de consument ook </w:t>
      </w:r>
      <w:r>
        <w:rPr>
          <w:b/>
          <w:bCs/>
        </w:rPr>
        <w:t>beter beschermd moet worden tegen verwarring tussen juridische en commerciële garanties</w:t>
      </w:r>
      <w:r>
        <w:t xml:space="preserve"> en vindt dat </w:t>
      </w:r>
      <w:r>
        <w:rPr>
          <w:b/>
          <w:bCs/>
        </w:rPr>
        <w:t>reparatie boven vervanging moet worden bevorderd</w:t>
      </w:r>
      <w:r>
        <w:t>, maar zonder de vrije keuze van de consument voor een oplossing te beperken;</w:t>
      </w:r>
    </w:p>
    <w:p w:rsidRPr="00650DB1" w:rsidR="000A007B" w:rsidP="00225C52" w:rsidRDefault="00D04678" w14:paraId="41DDE40E" w14:textId="69AC55BA">
      <w:pPr>
        <w:numPr>
          <w:ilvl w:val="0"/>
          <w:numId w:val="3"/>
        </w:numPr>
        <w:overflowPunct w:val="0"/>
        <w:autoSpaceDE w:val="0"/>
        <w:autoSpaceDN w:val="0"/>
        <w:adjustRightInd w:val="0"/>
        <w:ind w:left="357" w:hanging="357"/>
        <w:textAlignment w:val="baseline"/>
        <w:rPr>
          <w:bCs/>
          <w:iCs/>
        </w:rPr>
      </w:pPr>
      <w:r>
        <w:t xml:space="preserve">meent dat </w:t>
      </w:r>
      <w:r>
        <w:rPr>
          <w:b/>
          <w:bCs/>
        </w:rPr>
        <w:t>versterking van het vermogen van de consument om te beslissen, gepaard moet gaan met een betere bescherming tegen misleidende reclame</w:t>
      </w:r>
      <w:r>
        <w:t>;</w:t>
      </w:r>
    </w:p>
    <w:p w:rsidRPr="00650DB1" w:rsidR="00650DB1" w:rsidP="00225C52" w:rsidRDefault="00650DB1" w14:paraId="1361AE6B" w14:textId="186485B1">
      <w:pPr>
        <w:numPr>
          <w:ilvl w:val="0"/>
          <w:numId w:val="3"/>
        </w:numPr>
        <w:overflowPunct w:val="0"/>
        <w:autoSpaceDE w:val="0"/>
        <w:autoSpaceDN w:val="0"/>
        <w:adjustRightInd w:val="0"/>
        <w:ind w:left="357" w:hanging="357"/>
        <w:textAlignment w:val="baseline"/>
        <w:rPr>
          <w:bCs/>
          <w:iCs/>
        </w:rPr>
      </w:pPr>
      <w:r>
        <w:t>is van mening dat er ook</w:t>
      </w:r>
      <w:r>
        <w:rPr>
          <w:b/>
          <w:bCs/>
        </w:rPr>
        <w:t xml:space="preserve"> meer bevoegdheden nodig zijn om milieuclaims te controleren</w:t>
      </w:r>
      <w:r>
        <w:t>;</w:t>
      </w:r>
    </w:p>
    <w:p w:rsidRPr="00650DB1" w:rsidR="00650DB1" w:rsidP="00225C52" w:rsidRDefault="00650DB1" w14:paraId="63699F61" w14:textId="24067C04">
      <w:pPr>
        <w:numPr>
          <w:ilvl w:val="0"/>
          <w:numId w:val="3"/>
        </w:numPr>
        <w:overflowPunct w:val="0"/>
        <w:autoSpaceDE w:val="0"/>
        <w:autoSpaceDN w:val="0"/>
        <w:adjustRightInd w:val="0"/>
        <w:ind w:left="357" w:hanging="357"/>
        <w:textAlignment w:val="baseline"/>
        <w:rPr>
          <w:bCs/>
          <w:iCs/>
        </w:rPr>
      </w:pPr>
      <w:r>
        <w:t>is van mening dat de Europese Commissie m</w:t>
      </w:r>
      <w:r>
        <w:rPr>
          <w:b/>
          <w:bCs/>
        </w:rPr>
        <w:t>eer bekendheid moet geven aan de Europese milieukeur</w:t>
      </w:r>
      <w:r>
        <w:t xml:space="preserve"> en de noodzaak van certificeringsprocedures voor etikettering;</w:t>
      </w:r>
    </w:p>
    <w:p w:rsidRPr="00650DB1" w:rsidR="00650DB1" w:rsidP="00225C52" w:rsidRDefault="00650DB1" w14:paraId="27D078B3" w14:textId="55240C64">
      <w:pPr>
        <w:numPr>
          <w:ilvl w:val="0"/>
          <w:numId w:val="3"/>
        </w:numPr>
        <w:overflowPunct w:val="0"/>
        <w:autoSpaceDE w:val="0"/>
        <w:autoSpaceDN w:val="0"/>
        <w:adjustRightInd w:val="0"/>
        <w:ind w:left="357" w:hanging="357"/>
        <w:textAlignment w:val="baseline"/>
        <w:rPr>
          <w:bCs/>
          <w:iCs/>
        </w:rPr>
      </w:pPr>
      <w:r>
        <w:t xml:space="preserve">roept de EU op om </w:t>
      </w:r>
      <w:r>
        <w:rPr>
          <w:b/>
          <w:bCs/>
        </w:rPr>
        <w:t>klokkenluiders beter te beschermen als het gaat om de milieukenmerken van producten, en</w:t>
      </w:r>
    </w:p>
    <w:p w:rsidRPr="007E7A4F" w:rsidR="00650DB1" w:rsidP="00225C52" w:rsidRDefault="00650DB1" w14:paraId="62FC44AC" w14:textId="585E3086">
      <w:pPr>
        <w:numPr>
          <w:ilvl w:val="0"/>
          <w:numId w:val="3"/>
        </w:numPr>
        <w:overflowPunct w:val="0"/>
        <w:autoSpaceDE w:val="0"/>
        <w:autoSpaceDN w:val="0"/>
        <w:adjustRightInd w:val="0"/>
        <w:ind w:left="357" w:hanging="357"/>
        <w:textAlignment w:val="baseline"/>
        <w:rPr>
          <w:bCs/>
          <w:iCs/>
        </w:rPr>
      </w:pPr>
      <w:r>
        <w:t>spoort de Commissie aan om d</w:t>
      </w:r>
      <w:r>
        <w:rPr>
          <w:b/>
          <w:bCs/>
        </w:rPr>
        <w:t>e consumenten bewuster te maken van verantwoorde consumptie.</w:t>
      </w:r>
    </w:p>
    <w:p w:rsidRPr="007E7A4F" w:rsidR="003C4D5B" w:rsidP="000A007B" w:rsidRDefault="003C4D5B" w14:paraId="7882C726" w14:textId="77777777">
      <w:pPr>
        <w:overflowPunct w:val="0"/>
        <w:autoSpaceDE w:val="0"/>
        <w:autoSpaceDN w:val="0"/>
        <w:adjustRightInd w:val="0"/>
        <w:ind w:left="357"/>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7"/>
        <w:gridCol w:w="5670"/>
      </w:tblGrid>
      <w:tr w:rsidRPr="009B70E7" w:rsidR="00225C52" w:rsidTr="008327B1" w14:paraId="776316B4" w14:textId="77777777">
        <w:tc>
          <w:tcPr>
            <w:tcW w:w="1418" w:type="dxa"/>
          </w:tcPr>
          <w:p w:rsidRPr="009B70E7" w:rsidR="00225C52" w:rsidP="008327B1" w:rsidRDefault="00225C52" w14:paraId="4C1EE362" w14:textId="77777777">
            <w:pPr>
              <w:pStyle w:val="ListParagraph"/>
              <w:ind w:left="0"/>
              <w:rPr>
                <w:i/>
              </w:rPr>
            </w:pPr>
            <w:r>
              <w:rPr>
                <w:b/>
                <w:i/>
              </w:rPr>
              <w:t>Contactpersoon</w:t>
            </w:r>
          </w:p>
        </w:tc>
        <w:tc>
          <w:tcPr>
            <w:tcW w:w="5670" w:type="dxa"/>
          </w:tcPr>
          <w:p w:rsidRPr="002F63EB" w:rsidR="00225C52" w:rsidP="008327B1" w:rsidRDefault="001A2273" w14:paraId="5805F3B4" w14:textId="77777777">
            <w:pPr>
              <w:pStyle w:val="ListParagraph"/>
              <w:ind w:left="0"/>
              <w:rPr>
                <w:i/>
              </w:rPr>
            </w:pPr>
            <w:r>
              <w:rPr>
                <w:i/>
              </w:rPr>
              <w:t>Marie-Laurence Drillon</w:t>
            </w:r>
          </w:p>
        </w:tc>
      </w:tr>
      <w:tr w:rsidRPr="009B70E7" w:rsidR="00225C52" w:rsidTr="008327B1" w14:paraId="5F3BFD17" w14:textId="77777777">
        <w:tc>
          <w:tcPr>
            <w:tcW w:w="1418" w:type="dxa"/>
          </w:tcPr>
          <w:p w:rsidRPr="009B70E7" w:rsidR="00225C52" w:rsidP="008327B1" w:rsidRDefault="00225C52" w14:paraId="2F6B012F" w14:textId="77777777">
            <w:pPr>
              <w:pStyle w:val="ListParagraph"/>
              <w:ind w:left="601"/>
              <w:rPr>
                <w:i/>
              </w:rPr>
            </w:pPr>
            <w:r>
              <w:rPr>
                <w:i/>
              </w:rPr>
              <w:t>Tel.</w:t>
            </w:r>
          </w:p>
        </w:tc>
        <w:tc>
          <w:tcPr>
            <w:tcW w:w="5670" w:type="dxa"/>
          </w:tcPr>
          <w:p w:rsidRPr="002F63EB" w:rsidR="00225C52" w:rsidP="008327B1" w:rsidRDefault="001A2273" w14:paraId="3719436A" w14:textId="77777777">
            <w:pPr>
              <w:pStyle w:val="ListParagraph"/>
              <w:ind w:left="0"/>
              <w:rPr>
                <w:i/>
              </w:rPr>
            </w:pPr>
            <w:r>
              <w:rPr>
                <w:i/>
              </w:rPr>
              <w:t>00 32 2 546 9 83 20</w:t>
            </w:r>
          </w:p>
        </w:tc>
      </w:tr>
      <w:tr w:rsidRPr="007E7A4F" w:rsidR="00225C52" w:rsidTr="008327B1" w14:paraId="75C7F48B" w14:textId="77777777">
        <w:tc>
          <w:tcPr>
            <w:tcW w:w="1418" w:type="dxa"/>
          </w:tcPr>
          <w:p w:rsidRPr="009B70E7" w:rsidR="00225C52" w:rsidP="008327B1" w:rsidRDefault="00225C52" w14:paraId="1B69556B" w14:textId="77777777">
            <w:pPr>
              <w:pStyle w:val="ListParagraph"/>
              <w:ind w:left="601"/>
              <w:rPr>
                <w:i/>
              </w:rPr>
            </w:pPr>
            <w:r>
              <w:rPr>
                <w:i/>
              </w:rPr>
              <w:t>E-mail</w:t>
            </w:r>
          </w:p>
        </w:tc>
        <w:tc>
          <w:tcPr>
            <w:tcW w:w="5670" w:type="dxa"/>
          </w:tcPr>
          <w:p w:rsidRPr="00B33E54" w:rsidR="002A2F38" w:rsidP="008327B1" w:rsidRDefault="0003462B" w14:paraId="46E90DEC" w14:textId="514554CD">
            <w:pPr>
              <w:pStyle w:val="ListParagraph"/>
              <w:ind w:left="0"/>
            </w:pPr>
            <w:hyperlink w:history="1" r:id="rId31">
              <w:r w:rsidR="005458B6">
                <w:rPr>
                  <w:rStyle w:val="Hyperlink"/>
                </w:rPr>
                <w:t>Marie-Laurence.Drillon@eesc.europa.eu</w:t>
              </w:r>
            </w:hyperlink>
          </w:p>
        </w:tc>
      </w:tr>
    </w:tbl>
    <w:p w:rsidR="00910972" w:rsidP="00910972" w:rsidRDefault="00910972" w14:paraId="256CC1D8" w14:textId="77777777">
      <w:pPr>
        <w:pStyle w:val="ListParagraph"/>
        <w:ind w:left="567"/>
        <w:rPr>
          <w:b/>
          <w:bCs/>
          <w:i/>
          <w:iCs/>
          <w:sz w:val="28"/>
          <w:szCs w:val="28"/>
          <w:lang w:val="en-US"/>
        </w:rPr>
      </w:pPr>
    </w:p>
    <w:p w:rsidR="00910972" w:rsidRDefault="00910972" w14:paraId="5A6F039F" w14:textId="77777777">
      <w:pPr>
        <w:spacing w:after="160" w:line="259" w:lineRule="auto"/>
        <w:jc w:val="left"/>
        <w:rPr>
          <w:b/>
          <w:bCs/>
          <w:i/>
          <w:iCs/>
          <w:sz w:val="28"/>
          <w:szCs w:val="28"/>
        </w:rPr>
      </w:pPr>
      <w:r>
        <w:br w:type="page"/>
      </w:r>
    </w:p>
    <w:p w:rsidRPr="007E7A4F" w:rsidR="00164813" w:rsidP="00164813" w:rsidRDefault="00015E18" w14:paraId="12FD6239" w14:textId="58554619">
      <w:pPr>
        <w:pStyle w:val="ListParagraph"/>
        <w:numPr>
          <w:ilvl w:val="0"/>
          <w:numId w:val="2"/>
        </w:numPr>
        <w:ind w:left="567" w:hanging="567"/>
        <w:rPr>
          <w:b/>
          <w:i/>
          <w:sz w:val="28"/>
          <w:szCs w:val="28"/>
        </w:rPr>
      </w:pPr>
      <w:r>
        <w:rPr>
          <w:b/>
          <w:i/>
          <w:sz w:val="28"/>
        </w:rPr>
        <w:lastRenderedPageBreak/>
        <w:t>Duurzame corporate governance</w:t>
      </w:r>
    </w:p>
    <w:p w:rsidRPr="009B70E7" w:rsidR="00164813" w:rsidP="00164813" w:rsidRDefault="00164813" w14:paraId="1DADE393"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2"/>
        <w:gridCol w:w="6096"/>
      </w:tblGrid>
      <w:tr w:rsidRPr="007E7A4F" w:rsidR="00164813" w:rsidTr="00B83E7B" w14:paraId="1383CB57" w14:textId="77777777">
        <w:tc>
          <w:tcPr>
            <w:tcW w:w="1701" w:type="dxa"/>
          </w:tcPr>
          <w:p w:rsidRPr="009B70E7" w:rsidR="00164813" w:rsidP="00B83E7B" w:rsidRDefault="00164813" w14:paraId="33004117" w14:textId="77777777">
            <w:pPr>
              <w:pStyle w:val="ListParagraph"/>
              <w:ind w:left="0"/>
              <w:rPr>
                <w:b/>
              </w:rPr>
            </w:pPr>
            <w:r>
              <w:rPr>
                <w:b/>
              </w:rPr>
              <w:t>Rapporteur</w:t>
            </w:r>
          </w:p>
        </w:tc>
        <w:tc>
          <w:tcPr>
            <w:tcW w:w="6096" w:type="dxa"/>
          </w:tcPr>
          <w:p w:rsidRPr="007E7A4F" w:rsidR="00164813" w:rsidP="00B83E7B" w:rsidRDefault="00AA69BF" w14:paraId="2BCDDC29" w14:textId="7BDC3D18">
            <w:pPr>
              <w:pStyle w:val="ListParagraph"/>
              <w:ind w:left="-108"/>
            </w:pPr>
            <w:r>
              <w:t>Antje GERSTEIN (groep Werkgevers – DE)</w:t>
            </w:r>
          </w:p>
        </w:tc>
      </w:tr>
      <w:tr w:rsidRPr="007E7A4F" w:rsidR="00164813" w:rsidTr="00B83E7B" w14:paraId="5DB9564B" w14:textId="77777777">
        <w:tc>
          <w:tcPr>
            <w:tcW w:w="7797" w:type="dxa"/>
            <w:gridSpan w:val="2"/>
          </w:tcPr>
          <w:p w:rsidRPr="007E7A4F" w:rsidR="00164813" w:rsidP="00B83E7B" w:rsidRDefault="00164813" w14:paraId="421C9628" w14:textId="77777777">
            <w:pPr>
              <w:pStyle w:val="ListParagraph"/>
              <w:ind w:left="0"/>
              <w:rPr>
                <w:lang w:val="fr-BE"/>
              </w:rPr>
            </w:pPr>
          </w:p>
        </w:tc>
      </w:tr>
      <w:tr w:rsidRPr="009B70E7" w:rsidR="00164813" w:rsidTr="00B83E7B" w14:paraId="132333E4" w14:textId="77777777">
        <w:tc>
          <w:tcPr>
            <w:tcW w:w="1701" w:type="dxa"/>
          </w:tcPr>
          <w:p w:rsidRPr="009B70E7" w:rsidR="00164813" w:rsidP="00B83E7B" w:rsidRDefault="00164813" w14:paraId="2A306C51" w14:textId="77777777">
            <w:pPr>
              <w:pStyle w:val="ListParagraph"/>
              <w:ind w:left="0"/>
              <w:rPr>
                <w:b/>
              </w:rPr>
            </w:pPr>
            <w:r>
              <w:rPr>
                <w:b/>
              </w:rPr>
              <w:t xml:space="preserve">Referentiedocument </w:t>
            </w:r>
          </w:p>
        </w:tc>
        <w:tc>
          <w:tcPr>
            <w:tcW w:w="6096" w:type="dxa"/>
          </w:tcPr>
          <w:p w:rsidRPr="009B70E7" w:rsidR="00164813" w:rsidP="00B83E7B" w:rsidRDefault="00164813" w14:paraId="1EB81693" w14:textId="77777777">
            <w:pPr>
              <w:tabs>
                <w:tab w:val="center" w:pos="284"/>
              </w:tabs>
              <w:ind w:left="266" w:hanging="374"/>
            </w:pPr>
            <w:r>
              <w:t>COM(2022) 71 final</w:t>
            </w:r>
          </w:p>
          <w:p w:rsidRPr="009B70E7" w:rsidR="00164813" w:rsidP="00B83E7B" w:rsidRDefault="00ED377B" w14:paraId="1746D341" w14:textId="77777777">
            <w:pPr>
              <w:pStyle w:val="ListParagraph"/>
              <w:ind w:left="-108"/>
            </w:pPr>
            <w:r>
              <w:t>EESC-2022-01327-00-00-AC</w:t>
            </w:r>
          </w:p>
        </w:tc>
      </w:tr>
    </w:tbl>
    <w:p w:rsidRPr="009B70E7" w:rsidR="00164813" w:rsidP="00164813" w:rsidRDefault="00164813" w14:paraId="488A6C0C" w14:textId="77777777">
      <w:pPr>
        <w:pStyle w:val="ListParagraph"/>
        <w:ind w:left="0"/>
        <w:rPr>
          <w:b/>
        </w:rPr>
      </w:pPr>
    </w:p>
    <w:p w:rsidRPr="0018231C" w:rsidR="00164813" w:rsidP="002C4B6E" w:rsidRDefault="00164813" w14:paraId="015FE75F" w14:textId="751DC40F">
      <w:pPr>
        <w:pStyle w:val="ListParagraph"/>
        <w:spacing w:line="240" w:lineRule="auto"/>
        <w:ind w:left="-142" w:firstLine="142"/>
        <w:rPr>
          <w:b/>
        </w:rPr>
      </w:pPr>
      <w:r>
        <w:rPr>
          <w:b/>
        </w:rPr>
        <w:t>Hoofdpunten</w:t>
      </w:r>
    </w:p>
    <w:p w:rsidRPr="0018231C" w:rsidR="00164813" w:rsidP="00164813" w:rsidRDefault="00164813" w14:paraId="573BE746" w14:textId="77777777">
      <w:pPr>
        <w:pStyle w:val="ListParagraph"/>
        <w:ind w:left="0"/>
        <w:rPr>
          <w:lang w:val="fr-FR"/>
        </w:rPr>
      </w:pPr>
    </w:p>
    <w:p w:rsidR="00164813" w:rsidP="00164813" w:rsidRDefault="00164813" w14:paraId="30245860" w14:textId="77777777">
      <w:pPr>
        <w:pStyle w:val="ListParagraph"/>
        <w:ind w:left="0"/>
      </w:pPr>
      <w:r>
        <w:t>Het EESC:</w:t>
      </w:r>
    </w:p>
    <w:p w:rsidRPr="0018231C" w:rsidR="00164813" w:rsidP="00164813" w:rsidRDefault="00164813" w14:paraId="7D5F280C" w14:textId="77777777">
      <w:pPr>
        <w:pStyle w:val="ListParagraph"/>
        <w:ind w:left="0"/>
        <w:rPr>
          <w:lang w:val="fr-FR"/>
        </w:rPr>
      </w:pPr>
    </w:p>
    <w:p w:rsidRPr="00A3344B" w:rsidR="00BC3FCE" w:rsidP="00164813" w:rsidRDefault="007E7DE3" w14:paraId="2A8D241D" w14:textId="2BE7DD2B">
      <w:pPr>
        <w:numPr>
          <w:ilvl w:val="0"/>
          <w:numId w:val="3"/>
        </w:numPr>
        <w:overflowPunct w:val="0"/>
        <w:autoSpaceDE w:val="0"/>
        <w:autoSpaceDN w:val="0"/>
        <w:adjustRightInd w:val="0"/>
        <w:ind w:left="357" w:hanging="357"/>
        <w:textAlignment w:val="baseline"/>
      </w:pPr>
      <w:r>
        <w:t>is ingenomen met dit voorstel, waarmee een belangrijke stap is gezet naar de ontwikkeling van een samenhangend EU-rechtskader inzake duurzame corporate governance en passende zorgvuldigheid dat duidelijk maakt dat het de plicht is van bedrijven en bestuurders om de mensenrechten te eerbiedigen en dat streeft naar een gelijk speelveld in de EU;</w:t>
      </w:r>
    </w:p>
    <w:p w:rsidRPr="00A3344B" w:rsidR="00A3344B" w:rsidP="00164813" w:rsidRDefault="007E7DE3" w14:paraId="03AF28C8" w14:textId="0FC700C2">
      <w:pPr>
        <w:numPr>
          <w:ilvl w:val="0"/>
          <w:numId w:val="3"/>
        </w:numPr>
        <w:overflowPunct w:val="0"/>
        <w:autoSpaceDE w:val="0"/>
        <w:autoSpaceDN w:val="0"/>
        <w:adjustRightInd w:val="0"/>
        <w:ind w:left="357" w:hanging="357"/>
        <w:textAlignment w:val="baseline"/>
      </w:pPr>
      <w:r>
        <w:t>onderstreept het grote belang van de leidende beginselen van de VN inzake bedrijfsleven en mensenrechten en pleit voor beleidscoherentie tussen nationaal beleid en Europese wetgeving die soortgelijke gebieden bestrijkt of ook zorgvuldigheidsregels bevat;</w:t>
      </w:r>
    </w:p>
    <w:p w:rsidRPr="00A3344B" w:rsidR="00A3344B" w:rsidP="00164813" w:rsidRDefault="007E7DE3" w14:paraId="71BC35A1" w14:textId="7731C2B8">
      <w:pPr>
        <w:numPr>
          <w:ilvl w:val="0"/>
          <w:numId w:val="3"/>
        </w:numPr>
        <w:overflowPunct w:val="0"/>
        <w:autoSpaceDE w:val="0"/>
        <w:autoSpaceDN w:val="0"/>
        <w:adjustRightInd w:val="0"/>
        <w:ind w:left="357" w:hanging="357"/>
        <w:textAlignment w:val="baseline"/>
      </w:pPr>
      <w:r>
        <w:t>wijst erop dat beleidsmakers de lastige positie van micro-, kleine en middelgrote ondernemingen voor ogen moeten houden en ervoor moeten zorgen dat zij na de inwerkingtreding van de wetgeving inzake zorgvuldigheidseisen gebruik kunnen maken van Europese en nationale steunregelingen;</w:t>
      </w:r>
    </w:p>
    <w:p w:rsidRPr="00A3344B" w:rsidR="00A3344B" w:rsidP="00164813" w:rsidRDefault="007E7DE3" w14:paraId="5C624B6F" w14:textId="0BDA1CBC">
      <w:pPr>
        <w:numPr>
          <w:ilvl w:val="0"/>
          <w:numId w:val="3"/>
        </w:numPr>
        <w:overflowPunct w:val="0"/>
        <w:autoSpaceDE w:val="0"/>
        <w:autoSpaceDN w:val="0"/>
        <w:adjustRightInd w:val="0"/>
        <w:ind w:left="357" w:hanging="357"/>
        <w:textAlignment w:val="baseline"/>
      </w:pPr>
      <w:r>
        <w:t>benadrukt dat passende zorgvuldigheid in het bedrijfsleven een continu proces is waarbij de betrokkenheid van vakbonden en werknemersvertegenwoordigers een succesfactor is;</w:t>
      </w:r>
    </w:p>
    <w:p w:rsidRPr="007E7DE3" w:rsidR="00A3344B" w:rsidP="00164813" w:rsidRDefault="007E7DE3" w14:paraId="41F4DB88" w14:textId="02AB6495">
      <w:pPr>
        <w:numPr>
          <w:ilvl w:val="0"/>
          <w:numId w:val="3"/>
        </w:numPr>
        <w:overflowPunct w:val="0"/>
        <w:autoSpaceDE w:val="0"/>
        <w:autoSpaceDN w:val="0"/>
        <w:adjustRightInd w:val="0"/>
        <w:ind w:left="357" w:hanging="357"/>
        <w:textAlignment w:val="baseline"/>
      </w:pPr>
      <w:r>
        <w:t>vreest dat het Commissievoorstel tal van onduidelijke rechtsbegrippen bevat die voor interpretatie vatbaar zijn, en acht het dan ook noodzakelijk om deze termen beter te omschrijven;</w:t>
      </w:r>
    </w:p>
    <w:p w:rsidRPr="007E7A4F" w:rsidR="007E7DE3" w:rsidP="00164813" w:rsidRDefault="007E7DE3" w14:paraId="043E47D4" w14:textId="30C15593">
      <w:pPr>
        <w:numPr>
          <w:ilvl w:val="0"/>
          <w:numId w:val="3"/>
        </w:numPr>
        <w:overflowPunct w:val="0"/>
        <w:autoSpaceDE w:val="0"/>
        <w:autoSpaceDN w:val="0"/>
        <w:adjustRightInd w:val="0"/>
        <w:ind w:left="357" w:hanging="357"/>
        <w:textAlignment w:val="baseline"/>
      </w:pPr>
      <w:r>
        <w:t>zou graag erkend zien dat zorgvuldigheidseisen een risicogebaseerde benadering vereisen en dat daarbij prioriteiten kunnen worden gesteld aan de hand van de risicobeoordeling.</w:t>
      </w:r>
    </w:p>
    <w:p w:rsidRPr="007E7A4F" w:rsidR="00164813" w:rsidP="00164813" w:rsidRDefault="00164813" w14:paraId="6996D40F" w14:textId="77777777">
      <w:pPr>
        <w:widowControl w:val="0"/>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7"/>
        <w:gridCol w:w="5670"/>
      </w:tblGrid>
      <w:tr w:rsidRPr="00164813" w:rsidR="00A3344B" w:rsidTr="008B66DD" w14:paraId="0A1A7166" w14:textId="77777777">
        <w:tc>
          <w:tcPr>
            <w:tcW w:w="1418" w:type="dxa"/>
          </w:tcPr>
          <w:p w:rsidRPr="00164813" w:rsidR="00A3344B" w:rsidP="008B66DD" w:rsidRDefault="00A3344B" w14:paraId="5A52339E" w14:textId="77777777">
            <w:pPr>
              <w:contextualSpacing/>
              <w:rPr>
                <w:i/>
              </w:rPr>
            </w:pPr>
            <w:r>
              <w:rPr>
                <w:b/>
                <w:i/>
              </w:rPr>
              <w:t>Contactpersoon</w:t>
            </w:r>
          </w:p>
        </w:tc>
        <w:tc>
          <w:tcPr>
            <w:tcW w:w="5670" w:type="dxa"/>
          </w:tcPr>
          <w:p w:rsidRPr="00164813" w:rsidR="00A3344B" w:rsidP="008B66DD" w:rsidRDefault="00A3344B" w14:paraId="1E930B05" w14:textId="77777777">
            <w:pPr>
              <w:contextualSpacing/>
              <w:rPr>
                <w:i/>
              </w:rPr>
            </w:pPr>
            <w:r>
              <w:rPr>
                <w:i/>
              </w:rPr>
              <w:t>Claudia Drewes-Wran</w:t>
            </w:r>
          </w:p>
        </w:tc>
      </w:tr>
      <w:tr w:rsidRPr="00164813" w:rsidR="00A3344B" w:rsidTr="008B66DD" w14:paraId="42394CA2" w14:textId="77777777">
        <w:tc>
          <w:tcPr>
            <w:tcW w:w="1418" w:type="dxa"/>
          </w:tcPr>
          <w:p w:rsidRPr="00164813" w:rsidR="00A3344B" w:rsidP="008B66DD" w:rsidRDefault="00A3344B" w14:paraId="337CFA79" w14:textId="77777777">
            <w:pPr>
              <w:ind w:left="601"/>
              <w:contextualSpacing/>
              <w:rPr>
                <w:i/>
              </w:rPr>
            </w:pPr>
            <w:r>
              <w:rPr>
                <w:i/>
              </w:rPr>
              <w:t>Tel.</w:t>
            </w:r>
          </w:p>
        </w:tc>
        <w:tc>
          <w:tcPr>
            <w:tcW w:w="5670" w:type="dxa"/>
          </w:tcPr>
          <w:p w:rsidRPr="00164813" w:rsidR="00A3344B" w:rsidP="008B66DD" w:rsidRDefault="00A3344B" w14:paraId="5CA1B212" w14:textId="77777777">
            <w:pPr>
              <w:contextualSpacing/>
              <w:rPr>
                <w:i/>
              </w:rPr>
            </w:pPr>
            <w:r>
              <w:rPr>
                <w:i/>
              </w:rPr>
              <w:t>00 32 2 546 80 67</w:t>
            </w:r>
          </w:p>
        </w:tc>
      </w:tr>
      <w:tr w:rsidRPr="00164813" w:rsidR="00A3344B" w:rsidTr="008B66DD" w14:paraId="7B24978D" w14:textId="77777777">
        <w:tc>
          <w:tcPr>
            <w:tcW w:w="1418" w:type="dxa"/>
          </w:tcPr>
          <w:p w:rsidRPr="00164813" w:rsidR="00A3344B" w:rsidP="008B66DD" w:rsidRDefault="00A3344B" w14:paraId="2B3DB280" w14:textId="77777777">
            <w:pPr>
              <w:ind w:left="601"/>
              <w:contextualSpacing/>
              <w:rPr>
                <w:i/>
              </w:rPr>
            </w:pPr>
            <w:r>
              <w:rPr>
                <w:i/>
              </w:rPr>
              <w:t>E-mail</w:t>
            </w:r>
          </w:p>
        </w:tc>
        <w:tc>
          <w:tcPr>
            <w:tcW w:w="5670" w:type="dxa"/>
          </w:tcPr>
          <w:p w:rsidRPr="00B33E54" w:rsidR="00A3344B" w:rsidP="008B66DD" w:rsidRDefault="0003462B" w14:paraId="05431FB8" w14:textId="5F2E55B0">
            <w:pPr>
              <w:contextualSpacing/>
            </w:pPr>
            <w:hyperlink w:history="1" r:id="rId32">
              <w:r w:rsidR="005458B6">
                <w:rPr>
                  <w:rStyle w:val="Hyperlink"/>
                </w:rPr>
                <w:t>Claudia.Drewes-Wran@eesc.europa.eu</w:t>
              </w:r>
            </w:hyperlink>
          </w:p>
        </w:tc>
      </w:tr>
    </w:tbl>
    <w:p w:rsidR="00D35512" w:rsidRDefault="00D35512" w14:paraId="45D707E4" w14:textId="4B9E10FB">
      <w:pPr>
        <w:spacing w:after="160" w:line="259" w:lineRule="auto"/>
        <w:jc w:val="left"/>
        <w:rPr>
          <w:sz w:val="28"/>
        </w:rPr>
      </w:pPr>
    </w:p>
    <w:p w:rsidR="00D35512" w:rsidRDefault="00D35512" w14:paraId="09FE38A4" w14:textId="77777777">
      <w:pPr>
        <w:spacing w:after="160" w:line="259" w:lineRule="auto"/>
        <w:jc w:val="left"/>
        <w:rPr>
          <w:sz w:val="28"/>
        </w:rPr>
      </w:pPr>
      <w:r>
        <w:br w:type="page"/>
      </w:r>
    </w:p>
    <w:p w:rsidRPr="00164813" w:rsidR="00164813" w:rsidP="00BC3FCE" w:rsidRDefault="00A3344B" w14:paraId="65567F7B" w14:textId="77777777">
      <w:pPr>
        <w:pStyle w:val="ListParagraph"/>
        <w:numPr>
          <w:ilvl w:val="0"/>
          <w:numId w:val="2"/>
        </w:numPr>
        <w:ind w:left="567" w:hanging="567"/>
        <w:rPr>
          <w:b/>
          <w:i/>
          <w:sz w:val="28"/>
          <w:szCs w:val="28"/>
        </w:rPr>
      </w:pPr>
      <w:r>
        <w:rPr>
          <w:b/>
          <w:i/>
          <w:sz w:val="28"/>
        </w:rPr>
        <w:lastRenderedPageBreak/>
        <w:t>Kmo’s, ondernemingen van de sociale economie, ambachten en vrije beroepen / Fit for 55</w:t>
      </w:r>
    </w:p>
    <w:p w:rsidRPr="00164813" w:rsidR="00164813" w:rsidP="00164813" w:rsidRDefault="00164813" w14:paraId="426580BA" w14:textId="77777777">
      <w:pPr>
        <w:contextualSpacing/>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2"/>
        <w:gridCol w:w="6096"/>
      </w:tblGrid>
      <w:tr w:rsidRPr="00164813" w:rsidR="00164813" w:rsidTr="00B83E7B" w14:paraId="6AF7AE99" w14:textId="77777777">
        <w:tc>
          <w:tcPr>
            <w:tcW w:w="1701" w:type="dxa"/>
          </w:tcPr>
          <w:p w:rsidRPr="00164813" w:rsidR="00164813" w:rsidP="00164813" w:rsidRDefault="00164813" w14:paraId="4B0840C1" w14:textId="77777777">
            <w:pPr>
              <w:contextualSpacing/>
              <w:rPr>
                <w:b/>
              </w:rPr>
            </w:pPr>
            <w:r>
              <w:rPr>
                <w:b/>
              </w:rPr>
              <w:t>Rapporteur</w:t>
            </w:r>
          </w:p>
        </w:tc>
        <w:tc>
          <w:tcPr>
            <w:tcW w:w="6096" w:type="dxa"/>
          </w:tcPr>
          <w:p w:rsidRPr="00164813" w:rsidR="00164813" w:rsidP="00164813" w:rsidRDefault="00A3344B" w14:paraId="16A8F625" w14:textId="77777777">
            <w:pPr>
              <w:ind w:left="-108"/>
              <w:contextualSpacing/>
            </w:pPr>
            <w:r>
              <w:t>Milena ANGELOVA (groep Werkgevers – BG)</w:t>
            </w:r>
          </w:p>
        </w:tc>
      </w:tr>
      <w:tr w:rsidRPr="00164813" w:rsidR="00A3344B" w:rsidTr="00B83E7B" w14:paraId="43AB93C9" w14:textId="77777777">
        <w:tc>
          <w:tcPr>
            <w:tcW w:w="1701" w:type="dxa"/>
          </w:tcPr>
          <w:p w:rsidRPr="00164813" w:rsidR="00A3344B" w:rsidP="00164813" w:rsidRDefault="00A3344B" w14:paraId="3AF21686" w14:textId="77777777">
            <w:pPr>
              <w:contextualSpacing/>
              <w:rPr>
                <w:b/>
              </w:rPr>
            </w:pPr>
            <w:r>
              <w:rPr>
                <w:b/>
              </w:rPr>
              <w:t>Corapporteur</w:t>
            </w:r>
          </w:p>
        </w:tc>
        <w:tc>
          <w:tcPr>
            <w:tcW w:w="6096" w:type="dxa"/>
          </w:tcPr>
          <w:p w:rsidRPr="00A3344B" w:rsidR="00A3344B" w:rsidP="00164813" w:rsidRDefault="00A3344B" w14:paraId="7456DEBB" w14:textId="77777777">
            <w:pPr>
              <w:ind w:left="-108"/>
              <w:contextualSpacing/>
            </w:pPr>
            <w:r>
              <w:t>Rudolf KOLBE (groep Maatschappelijke Organisaties – AT)</w:t>
            </w:r>
          </w:p>
        </w:tc>
      </w:tr>
      <w:tr w:rsidRPr="00164813" w:rsidR="00164813" w:rsidTr="00B83E7B" w14:paraId="5372DCA1" w14:textId="77777777">
        <w:tc>
          <w:tcPr>
            <w:tcW w:w="7797" w:type="dxa"/>
            <w:gridSpan w:val="2"/>
          </w:tcPr>
          <w:p w:rsidRPr="00164813" w:rsidR="00164813" w:rsidP="00164813" w:rsidRDefault="00164813" w14:paraId="28515692" w14:textId="77777777">
            <w:pPr>
              <w:contextualSpacing/>
              <w:rPr>
                <w:lang w:val="fr-BE"/>
              </w:rPr>
            </w:pPr>
          </w:p>
        </w:tc>
      </w:tr>
      <w:tr w:rsidRPr="00164813" w:rsidR="00164813" w:rsidTr="00B83E7B" w14:paraId="6516DB5A" w14:textId="77777777">
        <w:tc>
          <w:tcPr>
            <w:tcW w:w="1701" w:type="dxa"/>
          </w:tcPr>
          <w:p w:rsidRPr="00164813" w:rsidR="00164813" w:rsidP="00164813" w:rsidRDefault="00164813" w14:paraId="7886F22A" w14:textId="77777777">
            <w:pPr>
              <w:contextualSpacing/>
              <w:rPr>
                <w:b/>
              </w:rPr>
            </w:pPr>
            <w:r>
              <w:rPr>
                <w:b/>
              </w:rPr>
              <w:t xml:space="preserve">Referentiedocument </w:t>
            </w:r>
          </w:p>
        </w:tc>
        <w:tc>
          <w:tcPr>
            <w:tcW w:w="6096" w:type="dxa"/>
          </w:tcPr>
          <w:p w:rsidRPr="00164813" w:rsidR="00164813" w:rsidP="00164813" w:rsidRDefault="00A3344B" w14:paraId="6C0521C0" w14:textId="77777777">
            <w:pPr>
              <w:tabs>
                <w:tab w:val="center" w:pos="284"/>
              </w:tabs>
              <w:ind w:left="266" w:hanging="374"/>
            </w:pPr>
            <w:r>
              <w:t>Initiatiefadvies</w:t>
            </w:r>
          </w:p>
          <w:p w:rsidRPr="00164813" w:rsidR="00164813" w:rsidP="00164813" w:rsidRDefault="00A3344B" w14:paraId="1BECC38E" w14:textId="77777777">
            <w:pPr>
              <w:ind w:left="-108"/>
              <w:contextualSpacing/>
            </w:pPr>
            <w:r>
              <w:t>EESC-2022-01049-00-00-AC</w:t>
            </w:r>
          </w:p>
        </w:tc>
      </w:tr>
    </w:tbl>
    <w:p w:rsidRPr="00164813" w:rsidR="00164813" w:rsidP="00164813" w:rsidRDefault="00164813" w14:paraId="38E9F173" w14:textId="77777777">
      <w:pPr>
        <w:contextualSpacing/>
        <w:rPr>
          <w:b/>
        </w:rPr>
      </w:pPr>
    </w:p>
    <w:p w:rsidRPr="00164813" w:rsidR="00164813" w:rsidP="002C4B6E" w:rsidRDefault="00164813" w14:paraId="01E095E2" w14:textId="28FC8A04">
      <w:pPr>
        <w:pStyle w:val="ListParagraph"/>
        <w:spacing w:line="240" w:lineRule="auto"/>
        <w:ind w:left="-142" w:firstLine="142"/>
        <w:rPr>
          <w:b/>
        </w:rPr>
      </w:pPr>
      <w:r>
        <w:rPr>
          <w:b/>
        </w:rPr>
        <w:t>Hoofdpunten</w:t>
      </w:r>
    </w:p>
    <w:p w:rsidRPr="00164813" w:rsidR="00164813" w:rsidP="00164813" w:rsidRDefault="00164813" w14:paraId="1FE2AF0F" w14:textId="77777777">
      <w:pPr>
        <w:contextualSpacing/>
        <w:rPr>
          <w:lang w:val="fr-FR"/>
        </w:rPr>
      </w:pPr>
    </w:p>
    <w:p w:rsidRPr="00164813" w:rsidR="00164813" w:rsidP="00164813" w:rsidRDefault="00164813" w14:paraId="56628F84" w14:textId="77777777">
      <w:pPr>
        <w:contextualSpacing/>
      </w:pPr>
      <w:r>
        <w:t>Het EESC:</w:t>
      </w:r>
    </w:p>
    <w:p w:rsidRPr="00164813" w:rsidR="00164813" w:rsidP="00164813" w:rsidRDefault="00164813" w14:paraId="1E28AD39" w14:textId="77777777">
      <w:pPr>
        <w:contextualSpacing/>
        <w:rPr>
          <w:lang w:val="fr-FR"/>
        </w:rPr>
      </w:pPr>
    </w:p>
    <w:p w:rsidRPr="00164813" w:rsidR="00164813" w:rsidP="00164813" w:rsidRDefault="00A3344B" w14:paraId="198A1743" w14:textId="77777777">
      <w:pPr>
        <w:numPr>
          <w:ilvl w:val="0"/>
          <w:numId w:val="3"/>
        </w:numPr>
        <w:overflowPunct w:val="0"/>
        <w:autoSpaceDE w:val="0"/>
        <w:autoSpaceDN w:val="0"/>
        <w:adjustRightInd w:val="0"/>
        <w:ind w:left="357" w:hanging="357"/>
        <w:textAlignment w:val="baseline"/>
        <w:rPr>
          <w:bCs/>
          <w:iCs/>
        </w:rPr>
      </w:pPr>
      <w:r>
        <w:t xml:space="preserve">benadrukt dat micro-, kleine en middelgrote ondernemingen (mkmo’s) dringend moeten worden geholpen om </w:t>
      </w:r>
      <w:r>
        <w:rPr>
          <w:b/>
        </w:rPr>
        <w:t>de groene transitie zo goed mogelijk te begrijpen en aan te pakken</w:t>
      </w:r>
      <w:r>
        <w:t>;</w:t>
      </w:r>
    </w:p>
    <w:p w:rsidRPr="00164813" w:rsidR="00164813" w:rsidP="00164813" w:rsidRDefault="00A3344B" w14:paraId="61AB179D" w14:textId="77777777">
      <w:pPr>
        <w:numPr>
          <w:ilvl w:val="0"/>
          <w:numId w:val="3"/>
        </w:numPr>
        <w:overflowPunct w:val="0"/>
        <w:autoSpaceDE w:val="0"/>
        <w:autoSpaceDN w:val="0"/>
        <w:adjustRightInd w:val="0"/>
        <w:ind w:left="357" w:hanging="357"/>
        <w:textAlignment w:val="baseline"/>
        <w:rPr>
          <w:bCs/>
          <w:iCs/>
        </w:rPr>
      </w:pPr>
      <w:r>
        <w:t xml:space="preserve">pleit voor een uitgebreid programma van </w:t>
      </w:r>
      <w:r>
        <w:rPr>
          <w:b/>
        </w:rPr>
        <w:t>sterk op maat gesneden oplossingen en doelgerichte beleidslijnen</w:t>
      </w:r>
      <w:r>
        <w:t xml:space="preserve"> en maatregelen om mkmo’s te helpen bij alle problemen waarmee ze bij hun bedrijfsvoering en activiteiten te maken krijgen als het gaat om vergroening en naleving van wetgeving;</w:t>
      </w:r>
    </w:p>
    <w:p w:rsidR="00164813" w:rsidP="00164813" w:rsidRDefault="00A3344B" w14:paraId="7BB5DDAA" w14:textId="77777777">
      <w:pPr>
        <w:numPr>
          <w:ilvl w:val="0"/>
          <w:numId w:val="3"/>
        </w:numPr>
        <w:overflowPunct w:val="0"/>
        <w:autoSpaceDE w:val="0"/>
        <w:autoSpaceDN w:val="0"/>
        <w:adjustRightInd w:val="0"/>
        <w:ind w:left="357" w:hanging="357"/>
        <w:textAlignment w:val="baseline"/>
      </w:pPr>
      <w:r>
        <w:t xml:space="preserve">is van mening dat onmiddellijke en gerichte kortetermijnsteun voor mkmo’s cruciaal is om het </w:t>
      </w:r>
      <w:r>
        <w:rPr>
          <w:b/>
        </w:rPr>
        <w:t>economische herstel</w:t>
      </w:r>
      <w:r>
        <w:t xml:space="preserve"> van de bedrijven na de pandemie </w:t>
      </w:r>
      <w:r>
        <w:rPr>
          <w:b/>
        </w:rPr>
        <w:t>te</w:t>
      </w:r>
      <w:r>
        <w:t xml:space="preserve"> </w:t>
      </w:r>
      <w:r>
        <w:rPr>
          <w:b/>
        </w:rPr>
        <w:t>stimuleren</w:t>
      </w:r>
      <w:r>
        <w:t xml:space="preserve"> en ze te helpen </w:t>
      </w:r>
      <w:r>
        <w:rPr>
          <w:b/>
        </w:rPr>
        <w:t>de gevolgen van de Russische invasie in Oekraïne</w:t>
      </w:r>
      <w:r>
        <w:t xml:space="preserve">, zoals de hoge energieprijzen en tekortschietende levering van materialen en producten, </w:t>
      </w:r>
      <w:r>
        <w:rPr>
          <w:b/>
        </w:rPr>
        <w:t>op te vangen</w:t>
      </w:r>
      <w:r>
        <w:t>;</w:t>
      </w:r>
    </w:p>
    <w:p w:rsidR="00BC3FCE" w:rsidP="00164813" w:rsidRDefault="00A3344B" w14:paraId="0B05B7B9" w14:textId="77777777">
      <w:pPr>
        <w:numPr>
          <w:ilvl w:val="0"/>
          <w:numId w:val="3"/>
        </w:numPr>
        <w:overflowPunct w:val="0"/>
        <w:autoSpaceDE w:val="0"/>
        <w:autoSpaceDN w:val="0"/>
        <w:adjustRightInd w:val="0"/>
        <w:ind w:left="357" w:hanging="357"/>
        <w:textAlignment w:val="baseline"/>
      </w:pPr>
      <w:r>
        <w:t xml:space="preserve">stelt voor </w:t>
      </w:r>
      <w:r>
        <w:rPr>
          <w:b/>
        </w:rPr>
        <w:t>dat er in verschillende regio’s “circulariteitshubs” worden opgericht</w:t>
      </w:r>
      <w:r>
        <w:t xml:space="preserve"> om een efficiënter hulpbronnengebruik door mkmo’s te bevorderen. Hierbij moet ernaar gestreefd worden de samenwerking tussen bedrijven in alle sectoren te bevorderen en de ontwikkeling van nieuwe praktijken en processen, waaronder het demonstreren van nieuwe technologieën, te vergemakkelijken;</w:t>
      </w:r>
    </w:p>
    <w:p w:rsidR="00BC3FCE" w:rsidP="00164813" w:rsidRDefault="00361E48" w14:paraId="7565FC83" w14:textId="77777777">
      <w:pPr>
        <w:numPr>
          <w:ilvl w:val="0"/>
          <w:numId w:val="3"/>
        </w:numPr>
        <w:overflowPunct w:val="0"/>
        <w:autoSpaceDE w:val="0"/>
        <w:autoSpaceDN w:val="0"/>
        <w:adjustRightInd w:val="0"/>
        <w:ind w:left="357" w:hanging="357"/>
        <w:textAlignment w:val="baseline"/>
      </w:pPr>
      <w:r>
        <w:t xml:space="preserve">verzoekt de EU en de lidstaten om </w:t>
      </w:r>
      <w:r>
        <w:rPr>
          <w:b/>
        </w:rPr>
        <w:t>groene investeringen van mkmo’s te versnellen</w:t>
      </w:r>
      <w:r>
        <w:t xml:space="preserve"> door te zorgen voor een gunstig en stimulerend regelgevingsklimaat;</w:t>
      </w:r>
    </w:p>
    <w:p w:rsidR="00BC3FCE" w:rsidP="00164813" w:rsidRDefault="00361E48" w14:paraId="6495124B" w14:textId="77777777">
      <w:pPr>
        <w:numPr>
          <w:ilvl w:val="0"/>
          <w:numId w:val="3"/>
        </w:numPr>
        <w:overflowPunct w:val="0"/>
        <w:autoSpaceDE w:val="0"/>
        <w:autoSpaceDN w:val="0"/>
        <w:adjustRightInd w:val="0"/>
        <w:ind w:left="357" w:hanging="357"/>
        <w:textAlignment w:val="baseline"/>
      </w:pPr>
      <w:r>
        <w:t xml:space="preserve">wijst op de noodzaak van </w:t>
      </w:r>
      <w:r>
        <w:rPr>
          <w:b/>
        </w:rPr>
        <w:t>nauwe samenwerking tussen onderwijsaanbieders en mkmo’s bij het vormgeven van opleidingen</w:t>
      </w:r>
      <w:r>
        <w:t xml:space="preserve"> om te zorgen voor de competenties en vaardigheden die nodig zijn in de groene transitie, o.a. door bij- en omscholing van werknemers èn werkgevers;</w:t>
      </w:r>
    </w:p>
    <w:p w:rsidRPr="00164813" w:rsidR="00361E48" w:rsidP="00164813" w:rsidRDefault="00361E48" w14:paraId="45EBA5E1" w14:textId="77777777">
      <w:pPr>
        <w:numPr>
          <w:ilvl w:val="0"/>
          <w:numId w:val="3"/>
        </w:numPr>
        <w:overflowPunct w:val="0"/>
        <w:autoSpaceDE w:val="0"/>
        <w:autoSpaceDN w:val="0"/>
        <w:adjustRightInd w:val="0"/>
        <w:ind w:left="357" w:hanging="357"/>
        <w:textAlignment w:val="baseline"/>
      </w:pPr>
      <w:r>
        <w:t xml:space="preserve">dringt aan op </w:t>
      </w:r>
      <w:r>
        <w:rPr>
          <w:b/>
        </w:rPr>
        <w:t>bevordering van de handel in door mkmo’s geproduceerde groene oplossingen</w:t>
      </w:r>
      <w:r>
        <w:t>, ook in het kader van overheidsopdrachten.</w:t>
      </w:r>
    </w:p>
    <w:p w:rsidRPr="00164813" w:rsidR="00164813" w:rsidP="00164813" w:rsidRDefault="00164813" w14:paraId="7C479262" w14:textId="77777777">
      <w:pPr>
        <w:widowControl w:val="0"/>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7"/>
        <w:gridCol w:w="5670"/>
      </w:tblGrid>
      <w:tr w:rsidRPr="00164813" w:rsidR="00164813" w:rsidTr="00B83E7B" w14:paraId="697B6325" w14:textId="77777777">
        <w:tc>
          <w:tcPr>
            <w:tcW w:w="1418" w:type="dxa"/>
          </w:tcPr>
          <w:p w:rsidRPr="00164813" w:rsidR="00164813" w:rsidP="00164813" w:rsidRDefault="00164813" w14:paraId="60C7BE26" w14:textId="77777777">
            <w:pPr>
              <w:contextualSpacing/>
              <w:rPr>
                <w:i/>
              </w:rPr>
            </w:pPr>
            <w:r>
              <w:rPr>
                <w:b/>
                <w:i/>
              </w:rPr>
              <w:t>Contactpersoon</w:t>
            </w:r>
          </w:p>
        </w:tc>
        <w:tc>
          <w:tcPr>
            <w:tcW w:w="5670" w:type="dxa"/>
          </w:tcPr>
          <w:p w:rsidRPr="00164813" w:rsidR="00164813" w:rsidP="00164813" w:rsidRDefault="00361E48" w14:paraId="69D69E14" w14:textId="77777777">
            <w:pPr>
              <w:contextualSpacing/>
              <w:rPr>
                <w:i/>
              </w:rPr>
            </w:pPr>
            <w:r>
              <w:rPr>
                <w:i/>
              </w:rPr>
              <w:t>Dalila Bernard</w:t>
            </w:r>
          </w:p>
        </w:tc>
      </w:tr>
      <w:tr w:rsidRPr="00164813" w:rsidR="00164813" w:rsidTr="00B83E7B" w14:paraId="288640A9" w14:textId="77777777">
        <w:tc>
          <w:tcPr>
            <w:tcW w:w="1418" w:type="dxa"/>
          </w:tcPr>
          <w:p w:rsidRPr="00164813" w:rsidR="00164813" w:rsidP="00164813" w:rsidRDefault="00164813" w14:paraId="3D976246" w14:textId="77777777">
            <w:pPr>
              <w:ind w:left="601"/>
              <w:contextualSpacing/>
              <w:rPr>
                <w:i/>
              </w:rPr>
            </w:pPr>
            <w:r>
              <w:rPr>
                <w:i/>
              </w:rPr>
              <w:t>Tel.</w:t>
            </w:r>
          </w:p>
        </w:tc>
        <w:tc>
          <w:tcPr>
            <w:tcW w:w="5670" w:type="dxa"/>
          </w:tcPr>
          <w:p w:rsidRPr="00164813" w:rsidR="00164813" w:rsidP="00164813" w:rsidRDefault="00E11C18" w14:paraId="73A1FD7B" w14:textId="77777777">
            <w:pPr>
              <w:contextualSpacing/>
              <w:rPr>
                <w:i/>
              </w:rPr>
            </w:pPr>
            <w:r>
              <w:rPr>
                <w:i/>
              </w:rPr>
              <w:t>00 32 2 546 84 38</w:t>
            </w:r>
          </w:p>
        </w:tc>
      </w:tr>
      <w:tr w:rsidRPr="00164813" w:rsidR="00164813" w:rsidTr="00B83E7B" w14:paraId="75C5E7D5" w14:textId="77777777">
        <w:tc>
          <w:tcPr>
            <w:tcW w:w="1418" w:type="dxa"/>
          </w:tcPr>
          <w:p w:rsidRPr="00164813" w:rsidR="00164813" w:rsidP="00164813" w:rsidRDefault="00164813" w14:paraId="416B594E" w14:textId="77777777">
            <w:pPr>
              <w:ind w:left="601"/>
              <w:contextualSpacing/>
              <w:rPr>
                <w:i/>
              </w:rPr>
            </w:pPr>
            <w:r>
              <w:rPr>
                <w:i/>
              </w:rPr>
              <w:t>E-mail</w:t>
            </w:r>
          </w:p>
        </w:tc>
        <w:tc>
          <w:tcPr>
            <w:tcW w:w="5670" w:type="dxa"/>
          </w:tcPr>
          <w:p w:rsidRPr="00164813" w:rsidR="00032038" w:rsidP="00910972" w:rsidRDefault="0003462B" w14:paraId="196C9612" w14:textId="519B2DB4">
            <w:pPr>
              <w:contextualSpacing/>
              <w:rPr>
                <w:i/>
              </w:rPr>
            </w:pPr>
            <w:hyperlink w:history="1" r:id="rId33">
              <w:r w:rsidR="005458B6">
                <w:rPr>
                  <w:rStyle w:val="Hyperlink"/>
                </w:rPr>
                <w:t xml:space="preserve"> Dalila.Bernard@eesc.europa.eu</w:t>
              </w:r>
            </w:hyperlink>
          </w:p>
        </w:tc>
      </w:tr>
    </w:tbl>
    <w:p w:rsidR="00D35512" w:rsidRDefault="00D35512" w14:paraId="445BD888" w14:textId="085727DD">
      <w:pPr>
        <w:spacing w:after="160" w:line="259" w:lineRule="auto"/>
        <w:jc w:val="left"/>
        <w:rPr>
          <w:sz w:val="28"/>
        </w:rPr>
      </w:pPr>
    </w:p>
    <w:p w:rsidR="00D35512" w:rsidRDefault="00D35512" w14:paraId="12A10D9F" w14:textId="77777777">
      <w:pPr>
        <w:spacing w:after="160" w:line="259" w:lineRule="auto"/>
        <w:jc w:val="left"/>
        <w:rPr>
          <w:sz w:val="28"/>
        </w:rPr>
      </w:pPr>
      <w:r>
        <w:br w:type="page"/>
      </w:r>
    </w:p>
    <w:p w:rsidRPr="00032038" w:rsidR="00032038" w:rsidP="00032038" w:rsidRDefault="00361E48" w14:paraId="128EA084" w14:textId="77777777">
      <w:pPr>
        <w:numPr>
          <w:ilvl w:val="0"/>
          <w:numId w:val="2"/>
        </w:numPr>
        <w:ind w:left="567" w:hanging="567"/>
        <w:contextualSpacing/>
        <w:rPr>
          <w:b/>
          <w:i/>
          <w:sz w:val="28"/>
          <w:szCs w:val="28"/>
        </w:rPr>
      </w:pPr>
      <w:r>
        <w:rPr>
          <w:b/>
          <w:i/>
          <w:sz w:val="28"/>
        </w:rPr>
        <w:lastRenderedPageBreak/>
        <w:t>De kosten van een niet-verenigd Europa – de voordelen van de eengemaakte markt</w:t>
      </w:r>
    </w:p>
    <w:p w:rsidRPr="00032038" w:rsidR="00032038" w:rsidP="00032038" w:rsidRDefault="00032038" w14:paraId="04B0A9E5" w14:textId="77777777">
      <w:pPr>
        <w:contextualSpacing/>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2"/>
        <w:gridCol w:w="6379"/>
      </w:tblGrid>
      <w:tr w:rsidRPr="00032038" w:rsidR="00032038" w:rsidTr="00A5507B" w14:paraId="2740ABE2" w14:textId="77777777">
        <w:tc>
          <w:tcPr>
            <w:tcW w:w="1701" w:type="dxa"/>
          </w:tcPr>
          <w:p w:rsidRPr="00032038" w:rsidR="00032038" w:rsidP="00B83E7B" w:rsidRDefault="00032038" w14:paraId="087263AD" w14:textId="77777777">
            <w:pPr>
              <w:contextualSpacing/>
              <w:rPr>
                <w:b/>
              </w:rPr>
            </w:pPr>
            <w:r>
              <w:rPr>
                <w:b/>
              </w:rPr>
              <w:t>Rapporteur</w:t>
            </w:r>
          </w:p>
        </w:tc>
        <w:tc>
          <w:tcPr>
            <w:tcW w:w="6379" w:type="dxa"/>
          </w:tcPr>
          <w:p w:rsidRPr="00032038" w:rsidR="00032038" w:rsidP="00B83E7B" w:rsidRDefault="00361E48" w14:paraId="2766A124" w14:textId="77777777">
            <w:pPr>
              <w:ind w:left="-108"/>
              <w:contextualSpacing/>
            </w:pPr>
            <w:r>
              <w:t>Philip VON BROCKDORFF (groep Werknemers – MT)</w:t>
            </w:r>
          </w:p>
        </w:tc>
      </w:tr>
      <w:tr w:rsidRPr="00032038" w:rsidR="00361E48" w:rsidTr="00A5507B" w14:paraId="522673DF" w14:textId="77777777">
        <w:tc>
          <w:tcPr>
            <w:tcW w:w="1701" w:type="dxa"/>
          </w:tcPr>
          <w:p w:rsidRPr="00032038" w:rsidR="00361E48" w:rsidP="00B83E7B" w:rsidRDefault="00361E48" w14:paraId="770ED3B7" w14:textId="77777777">
            <w:pPr>
              <w:contextualSpacing/>
              <w:rPr>
                <w:b/>
              </w:rPr>
            </w:pPr>
            <w:r>
              <w:rPr>
                <w:b/>
              </w:rPr>
              <w:t>Corapporteur</w:t>
            </w:r>
          </w:p>
        </w:tc>
        <w:tc>
          <w:tcPr>
            <w:tcW w:w="6379" w:type="dxa"/>
          </w:tcPr>
          <w:p w:rsidRPr="0022407C" w:rsidR="00361E48" w:rsidP="00B83E7B" w:rsidRDefault="00361E48" w14:paraId="0EDD12C9" w14:textId="77777777">
            <w:pPr>
              <w:ind w:left="-108"/>
              <w:contextualSpacing/>
            </w:pPr>
            <w:r>
              <w:t>Emilie PROUZET (groep Werkgevers – FR)</w:t>
            </w:r>
          </w:p>
        </w:tc>
      </w:tr>
      <w:tr w:rsidRPr="00032038" w:rsidR="00032038" w:rsidTr="00A5507B" w14:paraId="0BCEFD7B" w14:textId="77777777">
        <w:tc>
          <w:tcPr>
            <w:tcW w:w="8080" w:type="dxa"/>
            <w:gridSpan w:val="2"/>
          </w:tcPr>
          <w:p w:rsidRPr="00032038" w:rsidR="00032038" w:rsidP="00B83E7B" w:rsidRDefault="00032038" w14:paraId="28381D76" w14:textId="77777777">
            <w:pPr>
              <w:contextualSpacing/>
              <w:rPr>
                <w:lang w:val="fr-BE"/>
              </w:rPr>
            </w:pPr>
          </w:p>
        </w:tc>
      </w:tr>
      <w:tr w:rsidRPr="00032038" w:rsidR="00032038" w:rsidTr="00A5507B" w14:paraId="1FFE70FE" w14:textId="77777777">
        <w:tc>
          <w:tcPr>
            <w:tcW w:w="1701" w:type="dxa"/>
          </w:tcPr>
          <w:p w:rsidRPr="00032038" w:rsidR="00032038" w:rsidP="00B83E7B" w:rsidRDefault="00032038" w14:paraId="1EDF0159" w14:textId="77777777">
            <w:pPr>
              <w:contextualSpacing/>
              <w:rPr>
                <w:b/>
              </w:rPr>
            </w:pPr>
            <w:r>
              <w:rPr>
                <w:b/>
              </w:rPr>
              <w:t xml:space="preserve">Referentiedocument </w:t>
            </w:r>
          </w:p>
        </w:tc>
        <w:tc>
          <w:tcPr>
            <w:tcW w:w="6379" w:type="dxa"/>
          </w:tcPr>
          <w:p w:rsidRPr="00032038" w:rsidR="00032038" w:rsidP="00A5507B" w:rsidRDefault="00361E48" w14:paraId="6C436681" w14:textId="77777777">
            <w:pPr>
              <w:tabs>
                <w:tab w:val="center" w:pos="284"/>
              </w:tabs>
              <w:ind w:left="266" w:right="-534" w:hanging="374"/>
            </w:pPr>
            <w:r>
              <w:t>Verkennend advies op verzoek van het Tsjechische voorzitterschap van de Raad</w:t>
            </w:r>
          </w:p>
          <w:p w:rsidRPr="00032038" w:rsidR="00032038" w:rsidP="00B83E7B" w:rsidRDefault="00032038" w14:paraId="70C06563" w14:textId="77777777">
            <w:pPr>
              <w:ind w:left="-108"/>
              <w:contextualSpacing/>
            </w:pPr>
            <w:r>
              <w:t>EESC-2022-01691-00-00-AC</w:t>
            </w:r>
          </w:p>
        </w:tc>
      </w:tr>
    </w:tbl>
    <w:p w:rsidRPr="00032038" w:rsidR="00032038" w:rsidP="00032038" w:rsidRDefault="00032038" w14:paraId="7F4174A5" w14:textId="77777777">
      <w:pPr>
        <w:contextualSpacing/>
        <w:rPr>
          <w:b/>
        </w:rPr>
      </w:pPr>
    </w:p>
    <w:p w:rsidRPr="00032038" w:rsidR="00032038" w:rsidP="002C4B6E" w:rsidRDefault="00032038" w14:paraId="0D24DCE0" w14:textId="19BB44B8">
      <w:pPr>
        <w:pStyle w:val="ListParagraph"/>
        <w:spacing w:line="240" w:lineRule="auto"/>
        <w:ind w:left="-142" w:firstLine="142"/>
        <w:rPr>
          <w:b/>
        </w:rPr>
      </w:pPr>
      <w:r>
        <w:rPr>
          <w:b/>
        </w:rPr>
        <w:t>Hoofdpunten</w:t>
      </w:r>
    </w:p>
    <w:p w:rsidRPr="00032038" w:rsidR="00032038" w:rsidP="00032038" w:rsidRDefault="00032038" w14:paraId="5A3A2576" w14:textId="77777777">
      <w:pPr>
        <w:contextualSpacing/>
        <w:rPr>
          <w:lang w:val="fr-FR"/>
        </w:rPr>
      </w:pPr>
    </w:p>
    <w:p w:rsidR="00032038" w:rsidP="00032038" w:rsidRDefault="00032038" w14:paraId="03BC0087" w14:textId="77777777">
      <w:pPr>
        <w:contextualSpacing/>
      </w:pPr>
      <w:r>
        <w:t>Het EESC:</w:t>
      </w:r>
    </w:p>
    <w:p w:rsidRPr="00032038" w:rsidR="00E54548" w:rsidP="00032038" w:rsidRDefault="00E54548" w14:paraId="5E6CFAA8" w14:textId="77777777">
      <w:pPr>
        <w:contextualSpacing/>
        <w:rPr>
          <w:lang w:val="fr-FR"/>
        </w:rPr>
      </w:pPr>
    </w:p>
    <w:p w:rsidRPr="00032038" w:rsidR="00032038" w:rsidP="00032038" w:rsidRDefault="00361E48" w14:paraId="15D8E10A" w14:textId="77777777">
      <w:pPr>
        <w:numPr>
          <w:ilvl w:val="0"/>
          <w:numId w:val="3"/>
        </w:numPr>
        <w:overflowPunct w:val="0"/>
        <w:autoSpaceDE w:val="0"/>
        <w:autoSpaceDN w:val="0"/>
        <w:adjustRightInd w:val="0"/>
        <w:ind w:left="357" w:hanging="357"/>
        <w:textAlignment w:val="baseline"/>
        <w:rPr>
          <w:bCs/>
          <w:iCs/>
        </w:rPr>
      </w:pPr>
      <w:r>
        <w:t>is van mening dat de interne markt bedoeld is om de welvaart te vergroten door middel van sociale en economische convergentie teneinde de ongelijkheden te verminderen en te voorkomen dat toenemende sociale onevenwichtigheden een ernstige belemmering gaan vormen voor de Europese integratie;</w:t>
      </w:r>
    </w:p>
    <w:p w:rsidRPr="00032038" w:rsidR="00032038" w:rsidP="00032038" w:rsidRDefault="00361E48" w14:paraId="3C3E0696" w14:textId="77777777">
      <w:pPr>
        <w:numPr>
          <w:ilvl w:val="0"/>
          <w:numId w:val="3"/>
        </w:numPr>
        <w:overflowPunct w:val="0"/>
        <w:autoSpaceDE w:val="0"/>
        <w:autoSpaceDN w:val="0"/>
        <w:adjustRightInd w:val="0"/>
        <w:ind w:left="357" w:hanging="357"/>
        <w:textAlignment w:val="baseline"/>
        <w:rPr>
          <w:bCs/>
          <w:iCs/>
        </w:rPr>
      </w:pPr>
      <w:r>
        <w:t>meent dat de Europese Commissie in kennis moet worden gesteld van voorstellen voor nationale wetgeving die de eengemaakte markt kunnen belemmeren, en dat dergelijke voorstellen moeten worden becommentarieerd en geëvalueerd;</w:t>
      </w:r>
    </w:p>
    <w:p w:rsidR="00032038" w:rsidP="00032038" w:rsidRDefault="00361E48" w14:paraId="328F8D0C" w14:textId="77777777">
      <w:pPr>
        <w:numPr>
          <w:ilvl w:val="0"/>
          <w:numId w:val="3"/>
        </w:numPr>
        <w:overflowPunct w:val="0"/>
        <w:autoSpaceDE w:val="0"/>
        <w:autoSpaceDN w:val="0"/>
        <w:adjustRightInd w:val="0"/>
        <w:ind w:left="357" w:hanging="357"/>
        <w:textAlignment w:val="baseline"/>
      </w:pPr>
      <w:r>
        <w:t>vraagt dat richtlijnen waarover reeds is onderhandeld en gestemd, zoals het pakket inzake betere regelgeving, daadwerkelijk worden omgezet en gehandhaafd;</w:t>
      </w:r>
    </w:p>
    <w:p w:rsidRPr="00361E48" w:rsidR="00622822" w:rsidP="00032038" w:rsidRDefault="00361E48" w14:paraId="4822D60F" w14:textId="77777777">
      <w:pPr>
        <w:numPr>
          <w:ilvl w:val="0"/>
          <w:numId w:val="3"/>
        </w:numPr>
        <w:overflowPunct w:val="0"/>
        <w:autoSpaceDE w:val="0"/>
        <w:autoSpaceDN w:val="0"/>
        <w:adjustRightInd w:val="0"/>
        <w:ind w:left="357" w:hanging="357"/>
        <w:textAlignment w:val="baseline"/>
      </w:pPr>
      <w:r>
        <w:t>beschouwt de wet inzake digitale diensten en de wet inzake digitale markten als een cruciale stap op weg naar een gelijk speelveld voor alle spelers op digitale markten;</w:t>
      </w:r>
    </w:p>
    <w:p w:rsidR="00361E48" w:rsidP="00032038" w:rsidRDefault="00361E48" w14:paraId="7B7AC8F9" w14:textId="77777777">
      <w:pPr>
        <w:numPr>
          <w:ilvl w:val="0"/>
          <w:numId w:val="3"/>
        </w:numPr>
        <w:overflowPunct w:val="0"/>
        <w:autoSpaceDE w:val="0"/>
        <w:autoSpaceDN w:val="0"/>
        <w:adjustRightInd w:val="0"/>
        <w:ind w:left="357" w:hanging="357"/>
        <w:textAlignment w:val="baseline"/>
      </w:pPr>
      <w:r>
        <w:t>beveelt aan dat de lidstaten gecoördineerde actie ondernemen met betrekking tot het op de markt brengen van producten die zijn getroffen door de crisis in Oekraïne;</w:t>
      </w:r>
    </w:p>
    <w:p w:rsidR="00361E48" w:rsidP="00032038" w:rsidRDefault="00361E48" w14:paraId="307CFC42" w14:textId="77777777">
      <w:pPr>
        <w:numPr>
          <w:ilvl w:val="0"/>
          <w:numId w:val="3"/>
        </w:numPr>
        <w:overflowPunct w:val="0"/>
        <w:autoSpaceDE w:val="0"/>
        <w:autoSpaceDN w:val="0"/>
        <w:adjustRightInd w:val="0"/>
        <w:ind w:left="357" w:hanging="357"/>
        <w:textAlignment w:val="baseline"/>
      </w:pPr>
      <w:r>
        <w:t>wijst erop dat er in de EU nog steeds 27 kapitaal- en financiële markten zijn die niet als één geheel functioneren, waardoor het potentieel van de interne markt niet ten volle wordt ontplooid;</w:t>
      </w:r>
    </w:p>
    <w:p w:rsidRPr="00032038" w:rsidR="00361E48" w:rsidP="00032038" w:rsidRDefault="00361E48" w14:paraId="45E636EF" w14:textId="77777777">
      <w:pPr>
        <w:numPr>
          <w:ilvl w:val="0"/>
          <w:numId w:val="3"/>
        </w:numPr>
        <w:overflowPunct w:val="0"/>
        <w:autoSpaceDE w:val="0"/>
        <w:autoSpaceDN w:val="0"/>
        <w:adjustRightInd w:val="0"/>
        <w:ind w:left="357" w:hanging="357"/>
        <w:textAlignment w:val="baseline"/>
      </w:pPr>
      <w:r>
        <w:t>is van mening dat moet worden gezorgd voor “open strategische autonomie”, met name in sleutelsectoren.</w:t>
      </w:r>
    </w:p>
    <w:p w:rsidRPr="00032038" w:rsidR="00032038" w:rsidP="00032038" w:rsidRDefault="00032038" w14:paraId="2BD64930" w14:textId="77777777">
      <w:pPr>
        <w:widowControl w:val="0"/>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7"/>
        <w:gridCol w:w="5670"/>
      </w:tblGrid>
      <w:tr w:rsidRPr="00164813" w:rsidR="00361E48" w:rsidTr="008B66DD" w14:paraId="0D55A858" w14:textId="77777777">
        <w:tc>
          <w:tcPr>
            <w:tcW w:w="1418" w:type="dxa"/>
          </w:tcPr>
          <w:p w:rsidRPr="00164813" w:rsidR="00361E48" w:rsidP="008B66DD" w:rsidRDefault="00361E48" w14:paraId="56C29286" w14:textId="77777777">
            <w:pPr>
              <w:contextualSpacing/>
              <w:rPr>
                <w:i/>
              </w:rPr>
            </w:pPr>
            <w:r>
              <w:rPr>
                <w:b/>
                <w:i/>
              </w:rPr>
              <w:t>Contactpersoon</w:t>
            </w:r>
          </w:p>
        </w:tc>
        <w:tc>
          <w:tcPr>
            <w:tcW w:w="5670" w:type="dxa"/>
          </w:tcPr>
          <w:p w:rsidRPr="00164813" w:rsidR="00361E48" w:rsidP="008B66DD" w:rsidRDefault="00361E48" w14:paraId="017C0197" w14:textId="77777777">
            <w:pPr>
              <w:contextualSpacing/>
              <w:rPr>
                <w:i/>
              </w:rPr>
            </w:pPr>
            <w:r>
              <w:rPr>
                <w:i/>
              </w:rPr>
              <w:t>Claudia Drewes-Wran</w:t>
            </w:r>
          </w:p>
        </w:tc>
      </w:tr>
      <w:tr w:rsidRPr="00164813" w:rsidR="00361E48" w:rsidTr="008B66DD" w14:paraId="2666BE14" w14:textId="77777777">
        <w:tc>
          <w:tcPr>
            <w:tcW w:w="1418" w:type="dxa"/>
          </w:tcPr>
          <w:p w:rsidRPr="00164813" w:rsidR="00361E48" w:rsidP="008B66DD" w:rsidRDefault="00361E48" w14:paraId="2A27EB13" w14:textId="77777777">
            <w:pPr>
              <w:ind w:left="601"/>
              <w:contextualSpacing/>
              <w:rPr>
                <w:i/>
              </w:rPr>
            </w:pPr>
            <w:r>
              <w:rPr>
                <w:i/>
              </w:rPr>
              <w:t>Tel.</w:t>
            </w:r>
          </w:p>
        </w:tc>
        <w:tc>
          <w:tcPr>
            <w:tcW w:w="5670" w:type="dxa"/>
          </w:tcPr>
          <w:p w:rsidRPr="00164813" w:rsidR="00361E48" w:rsidP="008B66DD" w:rsidRDefault="00361E48" w14:paraId="5871F23C" w14:textId="77777777">
            <w:pPr>
              <w:contextualSpacing/>
              <w:rPr>
                <w:i/>
              </w:rPr>
            </w:pPr>
            <w:r>
              <w:rPr>
                <w:i/>
              </w:rPr>
              <w:t>00 32 2 546 80 67</w:t>
            </w:r>
          </w:p>
        </w:tc>
      </w:tr>
      <w:tr w:rsidRPr="00164813" w:rsidR="00361E48" w:rsidTr="008B66DD" w14:paraId="2382DBA5" w14:textId="77777777">
        <w:tc>
          <w:tcPr>
            <w:tcW w:w="1418" w:type="dxa"/>
          </w:tcPr>
          <w:p w:rsidRPr="00164813" w:rsidR="00361E48" w:rsidP="008B66DD" w:rsidRDefault="00361E48" w14:paraId="4E96D1FE" w14:textId="77777777">
            <w:pPr>
              <w:ind w:left="601"/>
              <w:contextualSpacing/>
              <w:rPr>
                <w:i/>
              </w:rPr>
            </w:pPr>
            <w:r>
              <w:rPr>
                <w:i/>
              </w:rPr>
              <w:t>E-mail</w:t>
            </w:r>
          </w:p>
        </w:tc>
        <w:tc>
          <w:tcPr>
            <w:tcW w:w="5670" w:type="dxa"/>
          </w:tcPr>
          <w:p w:rsidRPr="00164813" w:rsidR="00361E48" w:rsidP="00910972" w:rsidRDefault="0003462B" w14:paraId="07034536" w14:textId="0960E89F">
            <w:pPr>
              <w:contextualSpacing/>
              <w:rPr>
                <w:i/>
              </w:rPr>
            </w:pPr>
            <w:hyperlink w:history="1" r:id="rId34">
              <w:r w:rsidR="005458B6">
                <w:rPr>
                  <w:rStyle w:val="Hyperlink"/>
                </w:rPr>
                <w:t xml:space="preserve"> Claudia.Drewes-Wran@eesc.europa.eu</w:t>
              </w:r>
            </w:hyperlink>
          </w:p>
        </w:tc>
      </w:tr>
    </w:tbl>
    <w:p w:rsidR="000956DB" w:rsidRDefault="000956DB" w14:paraId="6E31172A" w14:textId="78CEDAC7">
      <w:pPr>
        <w:spacing w:after="160" w:line="259" w:lineRule="auto"/>
        <w:jc w:val="left"/>
        <w:rPr>
          <w:sz w:val="28"/>
        </w:rPr>
      </w:pPr>
    </w:p>
    <w:p w:rsidR="000956DB" w:rsidRDefault="000956DB" w14:paraId="32ABF98F" w14:textId="77777777">
      <w:pPr>
        <w:spacing w:after="160" w:line="259" w:lineRule="auto"/>
        <w:jc w:val="left"/>
        <w:rPr>
          <w:sz w:val="28"/>
        </w:rPr>
      </w:pPr>
      <w:r>
        <w:br w:type="page"/>
      </w:r>
    </w:p>
    <w:p w:rsidRPr="009B70E7" w:rsidR="002E01B5" w:rsidP="0018231C" w:rsidRDefault="004D7AC0" w14:paraId="6C52985F" w14:textId="77777777">
      <w:pPr>
        <w:pStyle w:val="Heading1"/>
        <w:keepNext/>
        <w:rPr>
          <w:b/>
        </w:rPr>
      </w:pPr>
      <w:bookmarkStart w:name="_Toc70322234" w:id="14"/>
      <w:bookmarkStart w:name="_Toc75527084" w:id="15"/>
      <w:bookmarkStart w:name="_Toc109806226" w:id="16"/>
      <w:r>
        <w:rPr>
          <w:b/>
        </w:rPr>
        <w:lastRenderedPageBreak/>
        <w:t>LANDBOUW, PLATTELANDSONTWIKKELING, MILIEU</w:t>
      </w:r>
      <w:bookmarkEnd w:id="14"/>
      <w:bookmarkEnd w:id="15"/>
      <w:bookmarkEnd w:id="16"/>
    </w:p>
    <w:p w:rsidRPr="009B70E7" w:rsidR="009173E7" w:rsidP="1EBA916B" w:rsidRDefault="009173E7" w14:paraId="37AC66EE" w14:textId="77777777">
      <w:pPr>
        <w:keepNext/>
      </w:pPr>
    </w:p>
    <w:p w:rsidRPr="009B70E7" w:rsidR="00AC7690" w:rsidP="0018231C" w:rsidRDefault="000956DB" w14:paraId="6BF57A05" w14:textId="6349D851">
      <w:pPr>
        <w:pStyle w:val="ListParagraph"/>
        <w:keepNext/>
        <w:numPr>
          <w:ilvl w:val="0"/>
          <w:numId w:val="2"/>
        </w:numPr>
        <w:ind w:left="567" w:hanging="567"/>
        <w:rPr>
          <w:b/>
          <w:i/>
          <w:sz w:val="28"/>
          <w:szCs w:val="28"/>
        </w:rPr>
      </w:pPr>
      <w:r>
        <w:rPr>
          <w:b/>
          <w:i/>
          <w:sz w:val="28"/>
        </w:rPr>
        <w:t>Herziening van de EU-regelingen voor geografische aanduidingen (GA’s)</w:t>
      </w:r>
    </w:p>
    <w:p w:rsidRPr="009B70E7" w:rsidR="004D7AC0" w:rsidP="0018231C" w:rsidRDefault="004D7AC0" w14:paraId="43570F8C"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2"/>
        <w:gridCol w:w="5387"/>
      </w:tblGrid>
      <w:tr w:rsidRPr="009B70E7" w:rsidR="004D7AC0" w:rsidTr="00662436" w14:paraId="32C9FAF0" w14:textId="77777777">
        <w:tc>
          <w:tcPr>
            <w:tcW w:w="1701" w:type="dxa"/>
          </w:tcPr>
          <w:p w:rsidRPr="009B70E7" w:rsidR="004D7AC0" w:rsidP="0018231C" w:rsidRDefault="004D7AC0" w14:paraId="7DFC3FE7" w14:textId="77777777">
            <w:pPr>
              <w:pStyle w:val="ListParagraph"/>
              <w:keepNext/>
              <w:ind w:left="0"/>
              <w:rPr>
                <w:b/>
              </w:rPr>
            </w:pPr>
            <w:r>
              <w:rPr>
                <w:b/>
              </w:rPr>
              <w:t>Rapporteur</w:t>
            </w:r>
          </w:p>
        </w:tc>
        <w:tc>
          <w:tcPr>
            <w:tcW w:w="5387" w:type="dxa"/>
          </w:tcPr>
          <w:p w:rsidRPr="009B70E7" w:rsidR="004D7AC0" w:rsidP="001C4EDC" w:rsidRDefault="00E54548" w14:paraId="512C7D26" w14:textId="77777777">
            <w:pPr>
              <w:pStyle w:val="ListParagraph"/>
              <w:keepNext/>
              <w:ind w:left="-106"/>
            </w:pPr>
            <w:r>
              <w:t>Decebal-Ștefăniță PADURE (groep Werkgevers – RO)</w:t>
            </w:r>
          </w:p>
        </w:tc>
      </w:tr>
      <w:tr w:rsidRPr="009B70E7" w:rsidR="004D7AC0" w:rsidTr="00662436" w14:paraId="10493BDC" w14:textId="77777777">
        <w:tc>
          <w:tcPr>
            <w:tcW w:w="1701" w:type="dxa"/>
          </w:tcPr>
          <w:p w:rsidRPr="009B70E7" w:rsidR="004D7AC0" w:rsidP="0018231C" w:rsidRDefault="004D7AC0" w14:paraId="09ACA4C1" w14:textId="77777777">
            <w:pPr>
              <w:pStyle w:val="ListParagraph"/>
              <w:keepNext/>
              <w:ind w:left="0"/>
              <w:rPr>
                <w:b/>
              </w:rPr>
            </w:pPr>
          </w:p>
        </w:tc>
        <w:tc>
          <w:tcPr>
            <w:tcW w:w="5387" w:type="dxa"/>
          </w:tcPr>
          <w:p w:rsidRPr="009B70E7" w:rsidR="004D7AC0" w:rsidP="001C4EDC" w:rsidRDefault="004D7AC0" w14:paraId="3F39323E" w14:textId="77777777">
            <w:pPr>
              <w:pStyle w:val="ListParagraph"/>
              <w:keepNext/>
              <w:ind w:left="-106"/>
            </w:pPr>
          </w:p>
        </w:tc>
      </w:tr>
      <w:tr w:rsidRPr="009B70E7" w:rsidR="004D7AC0" w:rsidTr="00662436" w14:paraId="37A4E77C" w14:textId="77777777">
        <w:tc>
          <w:tcPr>
            <w:tcW w:w="1701" w:type="dxa"/>
          </w:tcPr>
          <w:p w:rsidRPr="007B231B" w:rsidR="004D7AC0" w:rsidP="0018231C" w:rsidRDefault="004D7AC0" w14:paraId="648A1766" w14:textId="77777777">
            <w:pPr>
              <w:pStyle w:val="ListParagraph"/>
              <w:keepNext/>
              <w:ind w:left="0"/>
              <w:rPr>
                <w:b/>
              </w:rPr>
            </w:pPr>
            <w:r>
              <w:rPr>
                <w:b/>
              </w:rPr>
              <w:t xml:space="preserve">Referentiedocument </w:t>
            </w:r>
          </w:p>
        </w:tc>
        <w:tc>
          <w:tcPr>
            <w:tcW w:w="5387" w:type="dxa"/>
          </w:tcPr>
          <w:p w:rsidRPr="000956DB" w:rsidR="00814E33" w:rsidP="001C4EDC" w:rsidRDefault="001455A1" w14:paraId="20B091E7" w14:textId="7F25AFCE">
            <w:pPr>
              <w:pStyle w:val="ListParagraph"/>
              <w:keepNext/>
              <w:ind w:left="-106"/>
              <w:rPr>
                <w:iCs/>
                <w:color w:val="000000"/>
              </w:rPr>
            </w:pPr>
            <w:r>
              <w:rPr>
                <w:color w:val="000000"/>
              </w:rPr>
              <w:t>COM(2021) 134 final</w:t>
            </w:r>
          </w:p>
          <w:p w:rsidRPr="00E54548" w:rsidR="004D7AC0" w:rsidP="001C4EDC" w:rsidRDefault="004331B4" w14:paraId="30DA0956" w14:textId="77777777">
            <w:pPr>
              <w:pStyle w:val="ListParagraph"/>
              <w:keepNext/>
              <w:ind w:left="-106"/>
              <w:rPr>
                <w:highlight w:val="yellow"/>
              </w:rPr>
            </w:pPr>
            <w:r>
              <w:t>EESC-2021-06620-00-00-AC</w:t>
            </w:r>
          </w:p>
        </w:tc>
      </w:tr>
    </w:tbl>
    <w:p w:rsidRPr="002C4B6E" w:rsidR="004D7AC0" w:rsidP="002C4B6E" w:rsidRDefault="004D7AC0" w14:paraId="4C513F36" w14:textId="77777777">
      <w:pPr>
        <w:pStyle w:val="ListParagraph"/>
        <w:spacing w:line="240" w:lineRule="auto"/>
        <w:ind w:left="-142" w:firstLine="142"/>
        <w:rPr>
          <w:b/>
        </w:rPr>
      </w:pPr>
    </w:p>
    <w:p w:rsidR="004D7AC0" w:rsidP="002C4B6E" w:rsidRDefault="004D7AC0" w14:paraId="63F2D92D" w14:textId="09C76463">
      <w:pPr>
        <w:pStyle w:val="ListParagraph"/>
        <w:spacing w:line="240" w:lineRule="auto"/>
        <w:ind w:left="-142" w:firstLine="142"/>
        <w:rPr>
          <w:b/>
        </w:rPr>
      </w:pPr>
      <w:r>
        <w:rPr>
          <w:b/>
        </w:rPr>
        <w:t>Hoofdpunten</w:t>
      </w:r>
    </w:p>
    <w:p w:rsidR="001513FD" w:rsidP="0018231C" w:rsidRDefault="001513FD" w14:paraId="76827606" w14:textId="77777777">
      <w:pPr>
        <w:pStyle w:val="ListParagraph"/>
        <w:keepNext/>
        <w:ind w:left="0"/>
      </w:pPr>
    </w:p>
    <w:p w:rsidR="00E54548" w:rsidP="0018231C" w:rsidRDefault="00E54548" w14:paraId="05F6CCDA" w14:textId="77777777">
      <w:pPr>
        <w:pStyle w:val="ListParagraph"/>
        <w:keepNext/>
        <w:ind w:left="0"/>
      </w:pPr>
      <w:r>
        <w:t>Het EESC:</w:t>
      </w:r>
    </w:p>
    <w:p w:rsidR="00E54548" w:rsidP="0018231C" w:rsidRDefault="00E54548" w14:paraId="681D86A8" w14:textId="77777777">
      <w:pPr>
        <w:pStyle w:val="ListParagraph"/>
        <w:keepNext/>
        <w:ind w:left="0"/>
      </w:pPr>
    </w:p>
    <w:p w:rsidR="00BE6D5A" w:rsidP="00BE6D5A" w:rsidRDefault="00E54548" w14:paraId="4FC3D577" w14:textId="77777777">
      <w:pPr>
        <w:numPr>
          <w:ilvl w:val="0"/>
          <w:numId w:val="3"/>
        </w:numPr>
        <w:ind w:left="357" w:hanging="357"/>
        <w:contextualSpacing/>
      </w:pPr>
      <w:r>
        <w:t>is ingenomen met het initiatief van de Commissie om een voorstel voor een nieuwe verordening in te dienen waarmee het huidige systeem van geografische aanduidingen (GA’s) voor landbouwproducten, gedistilleerde dranken en wijnen wordt versterkt. De bijdrage van GA’s aan de ontwikkeling van plattelandsgebieden en de instandhouding van hun gemeenschappelijk, landschappelijk en cultureel erfgoed is van essentieel belang en verdient een zo goed en zo efficiënt mogelijk systeem. Van dergelijke inspanningen ten behoeve van specifieke streken en hun “savoir-faire”, terroir en cultuur was al sprake reeds lang voordat er een EU-rechtsgrondslag voor werd gecreëerd. Het is van essentieel belang dit systeem in stand te houden en de hoogst mogelijke bescherming te waarborgen;</w:t>
      </w:r>
    </w:p>
    <w:p w:rsidR="008608BA" w:rsidP="008608BA" w:rsidRDefault="00E54548" w14:paraId="26E1086E" w14:textId="77777777">
      <w:pPr>
        <w:numPr>
          <w:ilvl w:val="0"/>
          <w:numId w:val="3"/>
        </w:numPr>
        <w:ind w:left="357" w:hanging="357"/>
        <w:contextualSpacing/>
      </w:pPr>
      <w:r>
        <w:t>is van mening dat GA’s een zeer specifiek systeem vormen dat veel meer is dan een intellectueel eigendomsrecht en niet moet worden beheerd als een handelsmerk. Daarom verzoekt het EESC de EU-instellingen om zorgvuldig na te gaan of het nodig is en of het toegevoegde waarde heeft om beheerstaken met betrekking tot GA’s, die nu door DG AGRI worden uitgevoerd, aan een extern agentschap te delegeren. Ook moet worden nagegaan of het aangewezen agentschap over de deskundigheid en nodige kennis beschikt om de gedelegeerde taken naar behoren te verrichten. DG AGRI moet de hoofdverantwoordelijke voor het beheer van geografische aanduidingen blijven;</w:t>
      </w:r>
    </w:p>
    <w:p w:rsidRPr="001513FD" w:rsidR="001513FD" w:rsidP="001513FD" w:rsidRDefault="00E54548" w14:paraId="220D2167" w14:textId="77777777">
      <w:pPr>
        <w:numPr>
          <w:ilvl w:val="0"/>
          <w:numId w:val="3"/>
        </w:numPr>
        <w:ind w:left="357" w:hanging="357"/>
        <w:contextualSpacing/>
      </w:pPr>
      <w:r>
        <w:t>is van mening dat elke delegatie van bevoegdheden nauwkeurig moet worden omschreven in de hoofdtekst van de verordening en beperkt moet blijven tot administratieve taken. Besluiten over de aanvraag, wijziging of annulering van GA’s of over bezwaren daartegen moeten de exclusieve bevoegdheid van DG AGRI blijven;</w:t>
      </w:r>
    </w:p>
    <w:p w:rsidRPr="00CA685D" w:rsidR="00071F4C" w:rsidP="004331B4" w:rsidRDefault="00E54548" w14:paraId="6CC74428" w14:textId="77777777">
      <w:pPr>
        <w:numPr>
          <w:ilvl w:val="0"/>
          <w:numId w:val="3"/>
        </w:numPr>
        <w:ind w:left="357" w:hanging="357"/>
        <w:contextualSpacing/>
      </w:pPr>
      <w:r>
        <w:t>roept de medewetgevers op om in de verordening maatregelen op te nemen om het GA-systeem te promoten onder producenten, met name in regio’s die ondervertegenwoordigd zijn in de GA-regeling.</w:t>
      </w:r>
    </w:p>
    <w:p w:rsidRPr="009B70E7" w:rsidR="00CA685D" w:rsidP="00E54548" w:rsidRDefault="00CA685D" w14:paraId="338EA745" w14:textId="77777777">
      <w:pPr>
        <w:ind w:left="357"/>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7"/>
        <w:gridCol w:w="5670"/>
      </w:tblGrid>
      <w:tr w:rsidRPr="009B70E7" w:rsidR="004331B4" w:rsidTr="00BC41D9" w14:paraId="587E7E08" w14:textId="77777777">
        <w:tc>
          <w:tcPr>
            <w:tcW w:w="1418" w:type="dxa"/>
          </w:tcPr>
          <w:p w:rsidRPr="009B70E7" w:rsidR="004331B4" w:rsidP="00BC41D9" w:rsidRDefault="004331B4" w14:paraId="02B3DBE9" w14:textId="77777777">
            <w:pPr>
              <w:pStyle w:val="ListParagraph"/>
              <w:ind w:left="0"/>
              <w:rPr>
                <w:i/>
              </w:rPr>
            </w:pPr>
            <w:r>
              <w:rPr>
                <w:b/>
                <w:i/>
              </w:rPr>
              <w:t>Contactpersoon</w:t>
            </w:r>
          </w:p>
        </w:tc>
        <w:tc>
          <w:tcPr>
            <w:tcW w:w="5670" w:type="dxa"/>
          </w:tcPr>
          <w:p w:rsidRPr="009B70E7" w:rsidR="004331B4" w:rsidP="00BC41D9" w:rsidRDefault="00E54548" w14:paraId="490824F4" w14:textId="77777777">
            <w:pPr>
              <w:pStyle w:val="ListParagraph"/>
              <w:ind w:left="0"/>
              <w:rPr>
                <w:i/>
              </w:rPr>
            </w:pPr>
            <w:r>
              <w:rPr>
                <w:i/>
              </w:rPr>
              <w:t>Arturo Iñiguez</w:t>
            </w:r>
          </w:p>
        </w:tc>
      </w:tr>
      <w:tr w:rsidRPr="009B70E7" w:rsidR="004331B4" w:rsidTr="00BC41D9" w14:paraId="117DE739" w14:textId="77777777">
        <w:tc>
          <w:tcPr>
            <w:tcW w:w="1418" w:type="dxa"/>
          </w:tcPr>
          <w:p w:rsidRPr="009B70E7" w:rsidR="004331B4" w:rsidP="00BC41D9" w:rsidRDefault="004331B4" w14:paraId="07B5DE23" w14:textId="77777777">
            <w:pPr>
              <w:pStyle w:val="ListParagraph"/>
              <w:ind w:left="601"/>
              <w:rPr>
                <w:i/>
              </w:rPr>
            </w:pPr>
            <w:r>
              <w:rPr>
                <w:i/>
              </w:rPr>
              <w:t>Tel.</w:t>
            </w:r>
          </w:p>
        </w:tc>
        <w:tc>
          <w:tcPr>
            <w:tcW w:w="5670" w:type="dxa"/>
          </w:tcPr>
          <w:p w:rsidRPr="009B70E7" w:rsidR="004331B4" w:rsidP="00BC41D9" w:rsidRDefault="00E54548" w14:paraId="6717A766" w14:textId="77777777">
            <w:pPr>
              <w:pStyle w:val="ListParagraph"/>
              <w:ind w:left="0"/>
              <w:rPr>
                <w:i/>
              </w:rPr>
            </w:pPr>
            <w:r>
              <w:rPr>
                <w:i/>
              </w:rPr>
              <w:t>00 32 2 546 87 68</w:t>
            </w:r>
          </w:p>
        </w:tc>
      </w:tr>
      <w:tr w:rsidRPr="009B70E7" w:rsidR="004331B4" w:rsidTr="00BC41D9" w14:paraId="6D5CE45F" w14:textId="77777777">
        <w:tc>
          <w:tcPr>
            <w:tcW w:w="1418" w:type="dxa"/>
          </w:tcPr>
          <w:p w:rsidRPr="009B70E7" w:rsidR="004331B4" w:rsidP="00BC41D9" w:rsidRDefault="004331B4" w14:paraId="261C3027" w14:textId="77777777">
            <w:pPr>
              <w:pStyle w:val="ListParagraph"/>
              <w:ind w:left="601"/>
              <w:rPr>
                <w:i/>
              </w:rPr>
            </w:pPr>
            <w:r>
              <w:rPr>
                <w:i/>
              </w:rPr>
              <w:t>E-mail</w:t>
            </w:r>
          </w:p>
        </w:tc>
        <w:tc>
          <w:tcPr>
            <w:tcW w:w="5670" w:type="dxa"/>
          </w:tcPr>
          <w:p w:rsidRPr="009B70E7" w:rsidR="00CA685D" w:rsidP="00BC41D9" w:rsidRDefault="0003462B" w14:paraId="40FE0D9C" w14:textId="069AAA72">
            <w:pPr>
              <w:pStyle w:val="ListParagraph"/>
              <w:ind w:left="0"/>
              <w:rPr>
                <w:i/>
              </w:rPr>
            </w:pPr>
            <w:hyperlink w:history="1" r:id="rId35">
              <w:r w:rsidR="005458B6">
                <w:rPr>
                  <w:rStyle w:val="Hyperlink"/>
                  <w:i/>
                </w:rPr>
                <w:t>Arturo.Iniguez@eesc.europa.eu</w:t>
              </w:r>
            </w:hyperlink>
          </w:p>
        </w:tc>
      </w:tr>
    </w:tbl>
    <w:p w:rsidR="000956DB" w:rsidP="0018231C" w:rsidRDefault="000956DB" w14:paraId="1FB21463" w14:textId="56EA1091">
      <w:pPr>
        <w:spacing w:after="160" w:line="240" w:lineRule="auto"/>
        <w:jc w:val="left"/>
        <w:rPr>
          <w:sz w:val="28"/>
          <w:szCs w:val="28"/>
        </w:rPr>
      </w:pPr>
    </w:p>
    <w:p w:rsidR="000956DB" w:rsidRDefault="000956DB" w14:paraId="6C8A5ED1" w14:textId="77777777">
      <w:pPr>
        <w:spacing w:after="160" w:line="259" w:lineRule="auto"/>
        <w:jc w:val="left"/>
        <w:rPr>
          <w:sz w:val="28"/>
          <w:szCs w:val="28"/>
        </w:rPr>
      </w:pPr>
      <w:r>
        <w:br w:type="page"/>
      </w:r>
    </w:p>
    <w:p w:rsidRPr="007E7A4F" w:rsidR="00E54548" w:rsidP="00E54548" w:rsidRDefault="00E54548" w14:paraId="0DC4E7D2" w14:textId="77777777">
      <w:pPr>
        <w:pStyle w:val="ListParagraph"/>
        <w:numPr>
          <w:ilvl w:val="0"/>
          <w:numId w:val="2"/>
        </w:numPr>
        <w:ind w:left="567" w:hanging="567"/>
        <w:rPr>
          <w:b/>
          <w:i/>
          <w:sz w:val="28"/>
          <w:szCs w:val="28"/>
        </w:rPr>
      </w:pPr>
      <w:r>
        <w:rPr>
          <w:b/>
          <w:i/>
          <w:sz w:val="28"/>
        </w:rPr>
        <w:lastRenderedPageBreak/>
        <w:t>Initiatief inzake duurzame producten, met inbegrip van de richtlijn inzake ecologisch ontwerp</w:t>
      </w:r>
    </w:p>
    <w:p w:rsidRPr="009B70E7" w:rsidR="00E54548" w:rsidP="00E54548" w:rsidRDefault="00E54548" w14:paraId="55FE0C33"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2"/>
        <w:gridCol w:w="6096"/>
      </w:tblGrid>
      <w:tr w:rsidRPr="007E7A4F" w:rsidR="00E54548" w:rsidTr="008B66DD" w14:paraId="2870A0D7" w14:textId="77777777">
        <w:tc>
          <w:tcPr>
            <w:tcW w:w="1701" w:type="dxa"/>
          </w:tcPr>
          <w:p w:rsidRPr="009B70E7" w:rsidR="00E54548" w:rsidP="008B66DD" w:rsidRDefault="00E54548" w14:paraId="0E26E11D" w14:textId="77777777">
            <w:pPr>
              <w:pStyle w:val="ListParagraph"/>
              <w:ind w:left="0"/>
              <w:rPr>
                <w:b/>
              </w:rPr>
            </w:pPr>
            <w:r>
              <w:rPr>
                <w:b/>
              </w:rPr>
              <w:t>Rapporteur</w:t>
            </w:r>
          </w:p>
        </w:tc>
        <w:tc>
          <w:tcPr>
            <w:tcW w:w="6096" w:type="dxa"/>
          </w:tcPr>
          <w:p w:rsidRPr="007E7A4F" w:rsidR="00E54548" w:rsidP="008B66DD" w:rsidRDefault="00E54548" w14:paraId="0496CE2F" w14:textId="77777777">
            <w:pPr>
              <w:pStyle w:val="ListParagraph"/>
              <w:ind w:left="-108"/>
            </w:pPr>
            <w:r>
              <w:t xml:space="preserve"> Thomas WAGNSONNER (groep Werknemers – AT)</w:t>
            </w:r>
          </w:p>
        </w:tc>
      </w:tr>
      <w:tr w:rsidRPr="007E7A4F" w:rsidR="00E54548" w:rsidTr="008B66DD" w14:paraId="6F341EA6" w14:textId="77777777">
        <w:tc>
          <w:tcPr>
            <w:tcW w:w="7797" w:type="dxa"/>
            <w:gridSpan w:val="2"/>
          </w:tcPr>
          <w:p w:rsidRPr="007E7A4F" w:rsidR="00E54548" w:rsidP="008B66DD" w:rsidRDefault="00E54548" w14:paraId="03D721B0" w14:textId="77777777">
            <w:pPr>
              <w:pStyle w:val="ListParagraph"/>
              <w:ind w:left="0"/>
              <w:rPr>
                <w:lang w:val="fr-BE"/>
              </w:rPr>
            </w:pPr>
          </w:p>
        </w:tc>
      </w:tr>
      <w:tr w:rsidRPr="009B70E7" w:rsidR="00E54548" w:rsidTr="008B66DD" w14:paraId="7A103358" w14:textId="77777777">
        <w:tc>
          <w:tcPr>
            <w:tcW w:w="1701" w:type="dxa"/>
          </w:tcPr>
          <w:p w:rsidRPr="009B70E7" w:rsidR="00E54548" w:rsidP="008B66DD" w:rsidRDefault="00E54548" w14:paraId="3D88AB9C" w14:textId="77777777">
            <w:pPr>
              <w:pStyle w:val="ListParagraph"/>
              <w:ind w:left="0"/>
              <w:rPr>
                <w:b/>
              </w:rPr>
            </w:pPr>
            <w:r>
              <w:rPr>
                <w:b/>
              </w:rPr>
              <w:t xml:space="preserve">Referentiedocument </w:t>
            </w:r>
          </w:p>
        </w:tc>
        <w:tc>
          <w:tcPr>
            <w:tcW w:w="6096" w:type="dxa"/>
          </w:tcPr>
          <w:p w:rsidRPr="009B70E7" w:rsidR="00E54548" w:rsidP="008B66DD" w:rsidRDefault="00E54548" w14:paraId="3F2C4954" w14:textId="67A9BD8A">
            <w:pPr>
              <w:tabs>
                <w:tab w:val="center" w:pos="284"/>
              </w:tabs>
              <w:ind w:left="266" w:hanging="374"/>
            </w:pPr>
            <w:r>
              <w:t>COM(2022) 140 – 142 final</w:t>
            </w:r>
          </w:p>
          <w:p w:rsidRPr="009B70E7" w:rsidR="00E54548" w:rsidP="008B66DD" w:rsidRDefault="00E54548" w14:paraId="2105E433" w14:textId="77777777">
            <w:pPr>
              <w:pStyle w:val="ListParagraph"/>
              <w:ind w:left="-108"/>
            </w:pPr>
            <w:r>
              <w:t>EESC-2022-00598-00-00-AC</w:t>
            </w:r>
          </w:p>
        </w:tc>
      </w:tr>
    </w:tbl>
    <w:p w:rsidRPr="009B70E7" w:rsidR="00E54548" w:rsidP="00E54548" w:rsidRDefault="00E54548" w14:paraId="5A8EA75C" w14:textId="77777777">
      <w:pPr>
        <w:pStyle w:val="ListParagraph"/>
        <w:ind w:left="0"/>
        <w:rPr>
          <w:b/>
        </w:rPr>
      </w:pPr>
    </w:p>
    <w:p w:rsidRPr="0018231C" w:rsidR="00E54548" w:rsidP="00E54548" w:rsidRDefault="00E54548" w14:paraId="2DB75FF2" w14:textId="535F1F3A">
      <w:pPr>
        <w:pStyle w:val="ListParagraph"/>
        <w:spacing w:line="240" w:lineRule="auto"/>
        <w:ind w:left="-142" w:firstLine="142"/>
        <w:rPr>
          <w:b/>
        </w:rPr>
      </w:pPr>
      <w:r>
        <w:rPr>
          <w:b/>
        </w:rPr>
        <w:t>Hoofdpunten</w:t>
      </w:r>
    </w:p>
    <w:p w:rsidRPr="0018231C" w:rsidR="00E54548" w:rsidP="00E54548" w:rsidRDefault="00E54548" w14:paraId="6EE8937D" w14:textId="77777777">
      <w:pPr>
        <w:pStyle w:val="ListParagraph"/>
        <w:ind w:left="0"/>
        <w:rPr>
          <w:lang w:val="fr-FR"/>
        </w:rPr>
      </w:pPr>
    </w:p>
    <w:p w:rsidR="00E54548" w:rsidP="00E54548" w:rsidRDefault="00E54548" w14:paraId="6B6F14AC" w14:textId="77777777">
      <w:pPr>
        <w:pStyle w:val="ListParagraph"/>
        <w:ind w:left="0"/>
      </w:pPr>
      <w:r>
        <w:t>Het EESC:</w:t>
      </w:r>
    </w:p>
    <w:p w:rsidRPr="0018231C" w:rsidR="00E54548" w:rsidP="00B33E54" w:rsidRDefault="00E54548" w14:paraId="1F790AD7" w14:textId="77777777">
      <w:pPr>
        <w:pStyle w:val="ListParagraph"/>
        <w:spacing w:line="240" w:lineRule="auto"/>
        <w:ind w:left="0"/>
        <w:rPr>
          <w:lang w:val="fr-FR"/>
        </w:rPr>
      </w:pPr>
    </w:p>
    <w:p w:rsidRPr="00A74B4C" w:rsidR="00E54548" w:rsidP="00E54548" w:rsidRDefault="00C44A5C" w14:paraId="01A1936E" w14:textId="77777777">
      <w:pPr>
        <w:numPr>
          <w:ilvl w:val="0"/>
          <w:numId w:val="3"/>
        </w:numPr>
        <w:overflowPunct w:val="0"/>
        <w:autoSpaceDE w:val="0"/>
        <w:autoSpaceDN w:val="0"/>
        <w:adjustRightInd w:val="0"/>
        <w:ind w:left="357" w:hanging="357"/>
        <w:textAlignment w:val="baseline"/>
        <w:rPr>
          <w:bCs/>
          <w:iCs/>
        </w:rPr>
      </w:pPr>
      <w:r>
        <w:t xml:space="preserve">waardeert de geharmoniseerde voorstellen in het actieplan voor de circulaire economie en </w:t>
      </w:r>
      <w:r>
        <w:rPr>
          <w:b/>
          <w:bCs/>
        </w:rPr>
        <w:t xml:space="preserve">steunt in dit advies </w:t>
      </w:r>
      <w:r>
        <w:t>met name</w:t>
      </w:r>
      <w:r>
        <w:rPr>
          <w:b/>
          <w:bCs/>
        </w:rPr>
        <w:t xml:space="preserve"> de manier om producten duurzamer te maken</w:t>
      </w:r>
      <w:r>
        <w:t>. Tegelijkertijd wordt erop gewezen dat het voorstel voor de nieuwe verordening inzake ecologisch ontwerp door de vele gedelegeerde handelingen nog grotendeels onduidelijk is;</w:t>
      </w:r>
    </w:p>
    <w:p w:rsidRPr="00A3344B" w:rsidR="00E54548" w:rsidP="00E54548" w:rsidRDefault="00C44A5C" w14:paraId="2EA194B7" w14:textId="77777777">
      <w:pPr>
        <w:numPr>
          <w:ilvl w:val="0"/>
          <w:numId w:val="3"/>
        </w:numPr>
        <w:overflowPunct w:val="0"/>
        <w:autoSpaceDE w:val="0"/>
        <w:autoSpaceDN w:val="0"/>
        <w:adjustRightInd w:val="0"/>
        <w:ind w:left="357" w:hanging="357"/>
        <w:textAlignment w:val="baseline"/>
      </w:pPr>
      <w:r w:rsidRPr="00B33E54">
        <w:rPr>
          <w:spacing w:val="-4"/>
        </w:rPr>
        <w:t xml:space="preserve">stelt </w:t>
      </w:r>
      <w:r w:rsidRPr="00B33E54">
        <w:rPr>
          <w:b/>
          <w:bCs/>
          <w:spacing w:val="-4"/>
        </w:rPr>
        <w:t>een snellere en ambitieuzere uitvoering</w:t>
      </w:r>
      <w:r w:rsidRPr="00B33E54">
        <w:rPr>
          <w:spacing w:val="-4"/>
        </w:rPr>
        <w:t xml:space="preserve"> voor en wijst er met name op dat de circulaire economie alleen kans van slagen heeft als alle marktdeelnemers — producenten, consumenten, werknemers en overheden — goed bij een en ander worden betrokken en erover worden geïnformeerd</w:t>
      </w:r>
      <w:r>
        <w:t>;</w:t>
      </w:r>
    </w:p>
    <w:p w:rsidRPr="00A3344B" w:rsidR="00E54548" w:rsidP="00E54548" w:rsidRDefault="00C44A5C" w14:paraId="07D2FB57" w14:textId="77777777">
      <w:pPr>
        <w:numPr>
          <w:ilvl w:val="0"/>
          <w:numId w:val="3"/>
        </w:numPr>
        <w:overflowPunct w:val="0"/>
        <w:autoSpaceDE w:val="0"/>
        <w:autoSpaceDN w:val="0"/>
        <w:adjustRightInd w:val="0"/>
        <w:ind w:left="357" w:hanging="357"/>
        <w:textAlignment w:val="baseline"/>
      </w:pPr>
      <w:r>
        <w:t xml:space="preserve">juicht de nieuwe onderdelen van de verordening toe, zoals de </w:t>
      </w:r>
      <w:r>
        <w:rPr>
          <w:b/>
          <w:bCs/>
        </w:rPr>
        <w:t>uitbreiding van het toepassingsgebied</w:t>
      </w:r>
      <w:r>
        <w:t xml:space="preserve">, de nieuwe eisen inzake ecologisch ontwerp (duurzaamheid, repareerbaarheid, recycling, milieueffect, CO2‑emissies, enz.) en de </w:t>
      </w:r>
      <w:r>
        <w:rPr>
          <w:b/>
          <w:bCs/>
        </w:rPr>
        <w:t>informatievereisten via het digitale productpaspoort en de etiketten</w:t>
      </w:r>
      <w:r>
        <w:t>, waarbij het belang van correcte en passende informatie, vooral voor de consument, wordt benadrukt;</w:t>
      </w:r>
    </w:p>
    <w:p w:rsidRPr="00A3344B" w:rsidR="00E54548" w:rsidP="00E54548" w:rsidRDefault="00C44A5C" w14:paraId="4400E2D4" w14:textId="77777777">
      <w:pPr>
        <w:numPr>
          <w:ilvl w:val="0"/>
          <w:numId w:val="3"/>
        </w:numPr>
        <w:overflowPunct w:val="0"/>
        <w:autoSpaceDE w:val="0"/>
        <w:autoSpaceDN w:val="0"/>
        <w:adjustRightInd w:val="0"/>
        <w:ind w:left="357" w:hanging="357"/>
        <w:textAlignment w:val="baseline"/>
      </w:pPr>
      <w:r>
        <w:rPr>
          <w:b/>
          <w:bCs/>
        </w:rPr>
        <w:t>steunt het verbod op vernietiging van onverkochte goederen</w:t>
      </w:r>
      <w:r>
        <w:t>, waaronder nieuwe, geretourneerde of repareerbare goederen worden verstaan. Positief is voorts dat bestaande ergernissen, zoals greenwashing of geplande veroudering, door de verordening in combinatie met het circulaire pakket worden tegengegaan;</w:t>
      </w:r>
    </w:p>
    <w:p w:rsidRPr="00A3344B" w:rsidR="00E54548" w:rsidP="00E54548" w:rsidRDefault="00C44A5C" w14:paraId="710AB345" w14:textId="77777777">
      <w:pPr>
        <w:numPr>
          <w:ilvl w:val="0"/>
          <w:numId w:val="3"/>
        </w:numPr>
        <w:overflowPunct w:val="0"/>
        <w:autoSpaceDE w:val="0"/>
        <w:autoSpaceDN w:val="0"/>
        <w:adjustRightInd w:val="0"/>
        <w:ind w:left="357" w:hanging="357"/>
        <w:textAlignment w:val="baseline"/>
      </w:pPr>
      <w:r>
        <w:t xml:space="preserve">promoot het </w:t>
      </w:r>
      <w:r>
        <w:rPr>
          <w:b/>
          <w:bCs/>
        </w:rPr>
        <w:t>forum inzake ecologisch ontwerp</w:t>
      </w:r>
      <w:r>
        <w:t>, een ondersteunende instantie met veel taken voor de uitvoering. Hier moeten alle belanghebbenden en vertegenwoordigers van maatschappelijke organisaties, met inbegrip van de sociale partners, de kans krijgen om ideeën en suggesties aan te dragen ter verbetering van het proces;</w:t>
      </w:r>
    </w:p>
    <w:p w:rsidR="00E54548" w:rsidP="00E54548" w:rsidRDefault="00C44A5C" w14:paraId="428C54E7" w14:textId="77777777">
      <w:pPr>
        <w:numPr>
          <w:ilvl w:val="0"/>
          <w:numId w:val="3"/>
        </w:numPr>
        <w:overflowPunct w:val="0"/>
        <w:autoSpaceDE w:val="0"/>
        <w:autoSpaceDN w:val="0"/>
        <w:adjustRightInd w:val="0"/>
        <w:ind w:left="357" w:hanging="357"/>
        <w:textAlignment w:val="baseline"/>
      </w:pPr>
      <w:r>
        <w:t xml:space="preserve">erkent de </w:t>
      </w:r>
      <w:r>
        <w:rPr>
          <w:b/>
          <w:bCs/>
        </w:rPr>
        <w:t>problematiek waarmee producenten en bedrijven</w:t>
      </w:r>
      <w:r>
        <w:t>, met name kleine en middelgrote ondernemingen (kmo’s),</w:t>
      </w:r>
      <w:r>
        <w:rPr>
          <w:b/>
          <w:bCs/>
        </w:rPr>
        <w:t xml:space="preserve"> worden geconfronteerd</w:t>
      </w:r>
      <w:r>
        <w:t>. Onnodige administratieve lasten moeten in dat verband worden vermeden. Het wijst ook op de kans om met normen voor duurzame producten een nieuw Europees productieniveau “Made in Europe” tot stand te brengen;</w:t>
      </w:r>
    </w:p>
    <w:p w:rsidRPr="00C44A5C" w:rsidR="00C44A5C" w:rsidP="00E54548" w:rsidRDefault="00C44A5C" w14:paraId="1CA1FF0E" w14:textId="77777777">
      <w:pPr>
        <w:numPr>
          <w:ilvl w:val="0"/>
          <w:numId w:val="3"/>
        </w:numPr>
        <w:overflowPunct w:val="0"/>
        <w:autoSpaceDE w:val="0"/>
        <w:autoSpaceDN w:val="0"/>
        <w:adjustRightInd w:val="0"/>
        <w:ind w:left="357" w:hanging="357"/>
        <w:textAlignment w:val="baseline"/>
      </w:pPr>
      <w:r w:rsidRPr="00B33E54">
        <w:rPr>
          <w:spacing w:val="-4"/>
        </w:rPr>
        <w:t xml:space="preserve">benadrukt dat de instrumenten voor de conformiteitsverklaring en zelfregulering </w:t>
      </w:r>
      <w:r w:rsidRPr="00B33E54">
        <w:rPr>
          <w:b/>
          <w:bCs/>
          <w:spacing w:val="-4"/>
        </w:rPr>
        <w:t>ondernemers</w:t>
      </w:r>
      <w:r w:rsidRPr="00B33E54">
        <w:rPr>
          <w:spacing w:val="-4"/>
        </w:rPr>
        <w:t xml:space="preserve"> ruimte bieden</w:t>
      </w:r>
      <w:r>
        <w:t>;</w:t>
      </w:r>
    </w:p>
    <w:p w:rsidRPr="007E7A4F" w:rsidR="00C44A5C" w:rsidP="00E54548" w:rsidRDefault="00C44A5C" w14:paraId="0DC28D76" w14:textId="77777777">
      <w:pPr>
        <w:numPr>
          <w:ilvl w:val="0"/>
          <w:numId w:val="3"/>
        </w:numPr>
        <w:overflowPunct w:val="0"/>
        <w:autoSpaceDE w:val="0"/>
        <w:autoSpaceDN w:val="0"/>
        <w:adjustRightInd w:val="0"/>
        <w:ind w:left="357" w:hanging="357"/>
        <w:textAlignment w:val="baseline"/>
      </w:pPr>
      <w:r>
        <w:t xml:space="preserve">moet helaas vaststellen dat de </w:t>
      </w:r>
      <w:r>
        <w:rPr>
          <w:b/>
          <w:bCs/>
        </w:rPr>
        <w:t>sociale dimensie in de verordening geen aandacht krijgt</w:t>
      </w:r>
      <w:r>
        <w:t>. Een verwijzing naar het voorstel van de Commissie betreffende de richtlijn inzake passende zorgvuldigheid in het bedrijfsleven lijkt niet voldoende.</w:t>
      </w:r>
    </w:p>
    <w:p w:rsidRPr="007E7A4F" w:rsidR="00E54548" w:rsidP="00B33E54" w:rsidRDefault="00E54548" w14:paraId="7BB9A561" w14:textId="77777777">
      <w:pPr>
        <w:spacing w:line="240" w:lineRule="auto"/>
        <w:contextualSpacing/>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7"/>
        <w:gridCol w:w="5670"/>
      </w:tblGrid>
      <w:tr w:rsidRPr="00164813" w:rsidR="00E54548" w:rsidTr="008B66DD" w14:paraId="25A3FF7E" w14:textId="77777777">
        <w:tc>
          <w:tcPr>
            <w:tcW w:w="1418" w:type="dxa"/>
          </w:tcPr>
          <w:p w:rsidRPr="00164813" w:rsidR="00E54548" w:rsidP="008B66DD" w:rsidRDefault="00E54548" w14:paraId="1C0A7F50" w14:textId="77777777">
            <w:pPr>
              <w:contextualSpacing/>
              <w:rPr>
                <w:i/>
              </w:rPr>
            </w:pPr>
            <w:r>
              <w:rPr>
                <w:b/>
                <w:i/>
              </w:rPr>
              <w:t>Contactpersoon</w:t>
            </w:r>
          </w:p>
        </w:tc>
        <w:tc>
          <w:tcPr>
            <w:tcW w:w="5670" w:type="dxa"/>
          </w:tcPr>
          <w:p w:rsidRPr="00164813" w:rsidR="00E54548" w:rsidP="008B66DD" w:rsidRDefault="00E54548" w14:paraId="59C2EA51" w14:textId="77777777">
            <w:pPr>
              <w:contextualSpacing/>
              <w:rPr>
                <w:i/>
              </w:rPr>
            </w:pPr>
            <w:r>
              <w:rPr>
                <w:i/>
              </w:rPr>
              <w:t>Caroline Verhelst</w:t>
            </w:r>
          </w:p>
        </w:tc>
      </w:tr>
      <w:tr w:rsidRPr="00164813" w:rsidR="00E54548" w:rsidTr="008B66DD" w14:paraId="50BF4889" w14:textId="77777777">
        <w:tc>
          <w:tcPr>
            <w:tcW w:w="1418" w:type="dxa"/>
          </w:tcPr>
          <w:p w:rsidRPr="00164813" w:rsidR="00E54548" w:rsidP="008B66DD" w:rsidRDefault="00E54548" w14:paraId="1F8D44FD" w14:textId="77777777">
            <w:pPr>
              <w:ind w:left="601"/>
              <w:contextualSpacing/>
              <w:rPr>
                <w:i/>
              </w:rPr>
            </w:pPr>
            <w:r>
              <w:rPr>
                <w:i/>
              </w:rPr>
              <w:t>Tel.</w:t>
            </w:r>
          </w:p>
        </w:tc>
        <w:tc>
          <w:tcPr>
            <w:tcW w:w="5670" w:type="dxa"/>
          </w:tcPr>
          <w:p w:rsidRPr="00164813" w:rsidR="00E54548" w:rsidP="008B66DD" w:rsidRDefault="00E54548" w14:paraId="099C6AF1" w14:textId="77777777">
            <w:pPr>
              <w:contextualSpacing/>
              <w:rPr>
                <w:i/>
              </w:rPr>
            </w:pPr>
            <w:r>
              <w:rPr>
                <w:i/>
              </w:rPr>
              <w:t>00 32 2 546 94 97</w:t>
            </w:r>
          </w:p>
        </w:tc>
      </w:tr>
      <w:tr w:rsidRPr="00164813" w:rsidR="00E54548" w:rsidTr="008B66DD" w14:paraId="735920C0" w14:textId="77777777">
        <w:tc>
          <w:tcPr>
            <w:tcW w:w="1418" w:type="dxa"/>
          </w:tcPr>
          <w:p w:rsidRPr="00164813" w:rsidR="00E54548" w:rsidP="008B66DD" w:rsidRDefault="00E54548" w14:paraId="554E9752" w14:textId="77777777">
            <w:pPr>
              <w:ind w:left="601"/>
              <w:contextualSpacing/>
              <w:rPr>
                <w:i/>
              </w:rPr>
            </w:pPr>
            <w:r>
              <w:rPr>
                <w:i/>
              </w:rPr>
              <w:t>E-mail</w:t>
            </w:r>
          </w:p>
        </w:tc>
        <w:tc>
          <w:tcPr>
            <w:tcW w:w="5670" w:type="dxa"/>
          </w:tcPr>
          <w:p w:rsidRPr="00164813" w:rsidR="00E54548" w:rsidP="00910972" w:rsidRDefault="0003462B" w14:paraId="57D07659" w14:textId="10CBCC61">
            <w:pPr>
              <w:contextualSpacing/>
              <w:rPr>
                <w:i/>
              </w:rPr>
            </w:pPr>
            <w:hyperlink w:history="1" r:id="rId36">
              <w:r w:rsidR="005458B6">
                <w:rPr>
                  <w:rStyle w:val="Hyperlink"/>
                </w:rPr>
                <w:t xml:space="preserve"> Caroline.Verhelst@eesc.europa.eu</w:t>
              </w:r>
            </w:hyperlink>
          </w:p>
        </w:tc>
      </w:tr>
    </w:tbl>
    <w:p w:rsidRPr="00B33E54" w:rsidR="00F2127E" w:rsidP="0018231C" w:rsidRDefault="00F2127E" w14:paraId="3D4A5F95" w14:textId="178D72DA">
      <w:pPr>
        <w:spacing w:after="160" w:line="240" w:lineRule="auto"/>
        <w:jc w:val="left"/>
        <w:rPr>
          <w:sz w:val="18"/>
          <w:szCs w:val="18"/>
        </w:rPr>
      </w:pPr>
    </w:p>
    <w:p w:rsidR="00F2127E" w:rsidRDefault="00F2127E" w14:paraId="287BC97F" w14:textId="77777777">
      <w:pPr>
        <w:spacing w:after="160" w:line="259" w:lineRule="auto"/>
        <w:jc w:val="left"/>
        <w:rPr>
          <w:sz w:val="28"/>
          <w:szCs w:val="16"/>
        </w:rPr>
      </w:pPr>
      <w:r>
        <w:br w:type="page"/>
      </w:r>
    </w:p>
    <w:p w:rsidRPr="007E7A4F" w:rsidR="008B66DD" w:rsidP="008B66DD" w:rsidRDefault="008B66DD" w14:paraId="6941BE74" w14:textId="77777777">
      <w:pPr>
        <w:pStyle w:val="ListParagraph"/>
        <w:keepNext/>
        <w:keepLines/>
        <w:numPr>
          <w:ilvl w:val="0"/>
          <w:numId w:val="2"/>
        </w:numPr>
        <w:ind w:left="567" w:hanging="567"/>
        <w:rPr>
          <w:b/>
          <w:i/>
          <w:sz w:val="28"/>
          <w:szCs w:val="28"/>
        </w:rPr>
      </w:pPr>
      <w:r>
        <w:rPr>
          <w:b/>
          <w:i/>
          <w:sz w:val="28"/>
        </w:rPr>
        <w:lastRenderedPageBreak/>
        <w:t>Herziening van de richtlijn industriële emissies en van de verordening inzake het Europees PRTR</w:t>
      </w:r>
    </w:p>
    <w:p w:rsidRPr="009B70E7" w:rsidR="008B66DD" w:rsidP="008B66DD" w:rsidRDefault="008B66DD" w14:paraId="1A34547D"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2"/>
        <w:gridCol w:w="6096"/>
      </w:tblGrid>
      <w:tr w:rsidRPr="007E7A4F" w:rsidR="008B66DD" w:rsidTr="008B66DD" w14:paraId="0140FF97" w14:textId="77777777">
        <w:tc>
          <w:tcPr>
            <w:tcW w:w="1701" w:type="dxa"/>
          </w:tcPr>
          <w:p w:rsidRPr="009B70E7" w:rsidR="008B66DD" w:rsidP="008B66DD" w:rsidRDefault="008B66DD" w14:paraId="649A0BE9" w14:textId="77777777">
            <w:pPr>
              <w:pStyle w:val="ListParagraph"/>
              <w:ind w:left="0"/>
              <w:rPr>
                <w:b/>
              </w:rPr>
            </w:pPr>
            <w:r>
              <w:rPr>
                <w:b/>
              </w:rPr>
              <w:t>Rapporteur</w:t>
            </w:r>
          </w:p>
        </w:tc>
        <w:tc>
          <w:tcPr>
            <w:tcW w:w="6096" w:type="dxa"/>
          </w:tcPr>
          <w:p w:rsidRPr="007E7A4F" w:rsidR="008B66DD" w:rsidP="008B66DD" w:rsidRDefault="008B66DD" w14:paraId="04C7D4F2" w14:textId="77777777">
            <w:pPr>
              <w:pStyle w:val="ListParagraph"/>
              <w:ind w:left="-108"/>
            </w:pPr>
            <w:r>
              <w:t>Stoyan TCHOUKANOV (groep Maatschappelijke Organisaties – BG)</w:t>
            </w:r>
          </w:p>
        </w:tc>
      </w:tr>
      <w:tr w:rsidRPr="007E7A4F" w:rsidR="008B66DD" w:rsidTr="008B66DD" w14:paraId="6E75EC44" w14:textId="77777777">
        <w:tc>
          <w:tcPr>
            <w:tcW w:w="7797" w:type="dxa"/>
            <w:gridSpan w:val="2"/>
          </w:tcPr>
          <w:p w:rsidRPr="007E7A4F" w:rsidR="008B66DD" w:rsidP="008B66DD" w:rsidRDefault="008B66DD" w14:paraId="3599F5C2" w14:textId="77777777">
            <w:pPr>
              <w:pStyle w:val="ListParagraph"/>
              <w:ind w:left="0"/>
              <w:rPr>
                <w:lang w:val="fr-BE"/>
              </w:rPr>
            </w:pPr>
          </w:p>
        </w:tc>
      </w:tr>
      <w:tr w:rsidRPr="009B70E7" w:rsidR="008B66DD" w:rsidTr="008B66DD" w14:paraId="35CD3693" w14:textId="77777777">
        <w:tc>
          <w:tcPr>
            <w:tcW w:w="1701" w:type="dxa"/>
          </w:tcPr>
          <w:p w:rsidRPr="009B70E7" w:rsidR="008B66DD" w:rsidP="008B66DD" w:rsidRDefault="008B66DD" w14:paraId="3CF5DB5F" w14:textId="77777777">
            <w:pPr>
              <w:pStyle w:val="ListParagraph"/>
              <w:ind w:left="0"/>
              <w:rPr>
                <w:b/>
              </w:rPr>
            </w:pPr>
            <w:r>
              <w:rPr>
                <w:b/>
              </w:rPr>
              <w:t xml:space="preserve">Referentiedocument </w:t>
            </w:r>
          </w:p>
        </w:tc>
        <w:tc>
          <w:tcPr>
            <w:tcW w:w="6096" w:type="dxa"/>
          </w:tcPr>
          <w:p w:rsidRPr="009B70E7" w:rsidR="008B66DD" w:rsidP="008B66DD" w:rsidRDefault="008B66DD" w14:paraId="3EEDB04A" w14:textId="0C268394">
            <w:pPr>
              <w:tabs>
                <w:tab w:val="center" w:pos="284"/>
              </w:tabs>
              <w:ind w:left="266" w:hanging="374"/>
            </w:pPr>
            <w:r>
              <w:t>COM(2022) 156 – 157 final</w:t>
            </w:r>
          </w:p>
          <w:p w:rsidRPr="009B70E7" w:rsidR="008B66DD" w:rsidP="008B66DD" w:rsidRDefault="008B66DD" w14:paraId="3F90EC7C" w14:textId="77777777">
            <w:pPr>
              <w:pStyle w:val="ListParagraph"/>
              <w:ind w:left="-108"/>
            </w:pPr>
            <w:r>
              <w:t>EESC-2022-02403-00-00-AC</w:t>
            </w:r>
          </w:p>
        </w:tc>
      </w:tr>
    </w:tbl>
    <w:p w:rsidRPr="009B70E7" w:rsidR="008B66DD" w:rsidP="008B66DD" w:rsidRDefault="008B66DD" w14:paraId="1CB383F7" w14:textId="77777777">
      <w:pPr>
        <w:pStyle w:val="ListParagraph"/>
        <w:ind w:left="0"/>
        <w:rPr>
          <w:b/>
        </w:rPr>
      </w:pPr>
    </w:p>
    <w:p w:rsidRPr="0018231C" w:rsidR="008B66DD" w:rsidP="008B66DD" w:rsidRDefault="008B66DD" w14:paraId="2DDA570D" w14:textId="6E2E4A4A">
      <w:pPr>
        <w:pStyle w:val="ListParagraph"/>
        <w:spacing w:line="240" w:lineRule="auto"/>
        <w:ind w:left="-142" w:firstLine="142"/>
        <w:rPr>
          <w:b/>
        </w:rPr>
      </w:pPr>
      <w:r>
        <w:rPr>
          <w:b/>
        </w:rPr>
        <w:t>Hoofdpunten</w:t>
      </w:r>
    </w:p>
    <w:p w:rsidRPr="0018231C" w:rsidR="008B66DD" w:rsidP="008B66DD" w:rsidRDefault="008B66DD" w14:paraId="2C4A49AB" w14:textId="77777777">
      <w:pPr>
        <w:pStyle w:val="ListParagraph"/>
        <w:ind w:left="0"/>
        <w:rPr>
          <w:lang w:val="fr-FR"/>
        </w:rPr>
      </w:pPr>
    </w:p>
    <w:p w:rsidR="008B66DD" w:rsidP="008B66DD" w:rsidRDefault="008B66DD" w14:paraId="38F8E496" w14:textId="77777777">
      <w:pPr>
        <w:pStyle w:val="ListParagraph"/>
        <w:ind w:left="0"/>
      </w:pPr>
      <w:r>
        <w:t>Het EESC:</w:t>
      </w:r>
    </w:p>
    <w:p w:rsidRPr="0018231C" w:rsidR="008B66DD" w:rsidP="008B66DD" w:rsidRDefault="008B66DD" w14:paraId="3F662290" w14:textId="77777777">
      <w:pPr>
        <w:pStyle w:val="ListParagraph"/>
        <w:ind w:left="0"/>
        <w:rPr>
          <w:lang w:val="fr-FR"/>
        </w:rPr>
      </w:pPr>
    </w:p>
    <w:p w:rsidRPr="008B66DD" w:rsidR="008B66DD" w:rsidP="008B66DD" w:rsidRDefault="008B66DD" w14:paraId="4C48C082" w14:textId="77777777">
      <w:pPr>
        <w:numPr>
          <w:ilvl w:val="0"/>
          <w:numId w:val="3"/>
        </w:numPr>
        <w:overflowPunct w:val="0"/>
        <w:autoSpaceDE w:val="0"/>
        <w:autoSpaceDN w:val="0"/>
        <w:adjustRightInd w:val="0"/>
        <w:ind w:left="357" w:hanging="357"/>
        <w:textAlignment w:val="baseline"/>
        <w:rPr>
          <w:bCs/>
          <w:iCs/>
        </w:rPr>
      </w:pPr>
      <w:r>
        <w:t xml:space="preserve">deelt de mening dat de </w:t>
      </w:r>
      <w:r>
        <w:rPr>
          <w:b/>
        </w:rPr>
        <w:t>richtlijn industriële emissies (RIE)</w:t>
      </w:r>
      <w:r>
        <w:t xml:space="preserve"> een consistente beleidsaanpak is om </w:t>
      </w:r>
      <w:r>
        <w:rPr>
          <w:b/>
        </w:rPr>
        <w:t>ecosystemen en de volksgezondheid te beschermen</w:t>
      </w:r>
      <w:r>
        <w:t>, aangezien hierin alle relevante potentiële verontreiniging door agro-industriële installaties op geïntegreerde wijze en per sector aan bod komt;</w:t>
      </w:r>
    </w:p>
    <w:p w:rsidRPr="00A74B4C" w:rsidR="008B66DD" w:rsidP="008B66DD" w:rsidRDefault="008B66DD" w14:paraId="1E0E1F09" w14:textId="77777777">
      <w:pPr>
        <w:numPr>
          <w:ilvl w:val="0"/>
          <w:numId w:val="3"/>
        </w:numPr>
        <w:overflowPunct w:val="0"/>
        <w:autoSpaceDE w:val="0"/>
        <w:autoSpaceDN w:val="0"/>
        <w:adjustRightInd w:val="0"/>
        <w:ind w:left="357" w:hanging="357"/>
        <w:textAlignment w:val="baseline"/>
        <w:rPr>
          <w:bCs/>
          <w:iCs/>
        </w:rPr>
      </w:pPr>
      <w:r>
        <w:t xml:space="preserve">onderstreept dat de herziening van de RIE tot doel heeft de industriesector aan te zetten tot het doorvoeren van ingrijpende veranderingen met het oog op </w:t>
      </w:r>
      <w:r>
        <w:rPr>
          <w:b/>
        </w:rPr>
        <w:t>de totstandbrenging van een schoon milieu dat bevorderlijk is voor de volksgezondheid en aansluit bij de ambitie van de Europese Green Deal om de verontreiniging tot nul terug te dringen</w:t>
      </w:r>
      <w:r>
        <w:t>;</w:t>
      </w:r>
    </w:p>
    <w:p w:rsidR="008B66DD" w:rsidP="008B66DD" w:rsidRDefault="008B66DD" w14:paraId="1EC94DA6" w14:textId="77777777">
      <w:pPr>
        <w:numPr>
          <w:ilvl w:val="0"/>
          <w:numId w:val="3"/>
        </w:numPr>
        <w:overflowPunct w:val="0"/>
        <w:autoSpaceDE w:val="0"/>
        <w:autoSpaceDN w:val="0"/>
        <w:adjustRightInd w:val="0"/>
        <w:ind w:left="357" w:hanging="357"/>
        <w:textAlignment w:val="baseline"/>
      </w:pPr>
      <w:r>
        <w:t>merkt op dat de richtlijn industriële emissies niet in alle lidstaten consequent wordt geïmplementeerd, waardoor de doelstellingen ervan worden ondermijnd;</w:t>
      </w:r>
    </w:p>
    <w:p w:rsidR="008B66DD" w:rsidP="008B66DD" w:rsidRDefault="008B66DD" w14:paraId="2BB4A7AE" w14:textId="77777777">
      <w:pPr>
        <w:numPr>
          <w:ilvl w:val="0"/>
          <w:numId w:val="3"/>
        </w:numPr>
        <w:overflowPunct w:val="0"/>
        <w:autoSpaceDE w:val="0"/>
        <w:autoSpaceDN w:val="0"/>
        <w:adjustRightInd w:val="0"/>
        <w:ind w:left="357" w:hanging="357"/>
        <w:textAlignment w:val="baseline"/>
      </w:pPr>
      <w:r>
        <w:t xml:space="preserve">is het met de Europese Rekenkamer eens dat het </w:t>
      </w:r>
      <w:r>
        <w:rPr>
          <w:b/>
        </w:rPr>
        <w:t>beginsel “de vervuiler betaalt”</w:t>
      </w:r>
      <w:r>
        <w:t xml:space="preserve"> duidelijk moet worden omschreven. Naast de verhouding tussen de in geld uitgedrukte economische kosten en de maatschappelijke baten moeten met het oog op transparantie en volledigheid ook indicatoren van maatschappelijke kosten versus maatschappelijke en milieuvoordelen worden geanalyseerd;</w:t>
      </w:r>
    </w:p>
    <w:p w:rsidR="008B66DD" w:rsidP="008B66DD" w:rsidRDefault="008B66DD" w14:paraId="4C9197E6" w14:textId="77777777">
      <w:pPr>
        <w:numPr>
          <w:ilvl w:val="0"/>
          <w:numId w:val="3"/>
        </w:numPr>
        <w:overflowPunct w:val="0"/>
        <w:autoSpaceDE w:val="0"/>
        <w:autoSpaceDN w:val="0"/>
        <w:adjustRightInd w:val="0"/>
        <w:ind w:left="357" w:hanging="357"/>
        <w:textAlignment w:val="baseline"/>
      </w:pPr>
      <w:r>
        <w:t xml:space="preserve">onderschrijft de ambities van de </w:t>
      </w:r>
      <w:r>
        <w:rPr>
          <w:b/>
        </w:rPr>
        <w:t>Europese Green Deal</w:t>
      </w:r>
      <w:r>
        <w:t xml:space="preserve"> om nieuwe maatregelen te nemen tegen verontreiniging door grote agro-industriële installaties en hiertoe </w:t>
      </w:r>
      <w:r>
        <w:rPr>
          <w:b/>
        </w:rPr>
        <w:t>de EU-regels inzake industriële emissies van het belangrijkste EU-instrument voor het reguleren van de uitstoot van verontreinigende stoffen door industriële installaties te actualiseren en bij te dragen tot verschillende duurzameontwikkelingsdoelstellingen</w:t>
      </w:r>
      <w:r>
        <w:t>;</w:t>
      </w:r>
    </w:p>
    <w:p w:rsidR="008B66DD" w:rsidP="008B66DD" w:rsidRDefault="00C25DB3" w14:paraId="087D3CA8" w14:textId="77777777">
      <w:pPr>
        <w:numPr>
          <w:ilvl w:val="0"/>
          <w:numId w:val="3"/>
        </w:numPr>
        <w:overflowPunct w:val="0"/>
        <w:autoSpaceDE w:val="0"/>
        <w:autoSpaceDN w:val="0"/>
        <w:adjustRightInd w:val="0"/>
        <w:ind w:left="357" w:hanging="357"/>
        <w:textAlignment w:val="baseline"/>
      </w:pPr>
      <w:r>
        <w:t xml:space="preserve">stelt voor meer duidelijkheid te verschaffen over de impact van de RIE voor verschillende sectoren, aangezien rekening moet worden gehouden met verschillende situaties, d.w.z. met de verschillende gevolgen van de </w:t>
      </w:r>
      <w:r>
        <w:rPr>
          <w:b/>
        </w:rPr>
        <w:t>uitvoering van de RIE voor verschillende landbouwbedrijven</w:t>
      </w:r>
      <w:r>
        <w:t>;</w:t>
      </w:r>
    </w:p>
    <w:p w:rsidRPr="007E7A4F" w:rsidR="008B66DD" w:rsidP="008B66DD" w:rsidRDefault="008B66DD" w14:paraId="478CB44D" w14:textId="77777777">
      <w:pPr>
        <w:numPr>
          <w:ilvl w:val="0"/>
          <w:numId w:val="3"/>
        </w:numPr>
        <w:overflowPunct w:val="0"/>
        <w:autoSpaceDE w:val="0"/>
        <w:autoSpaceDN w:val="0"/>
        <w:adjustRightInd w:val="0"/>
        <w:ind w:left="357" w:hanging="357"/>
        <w:textAlignment w:val="baseline"/>
      </w:pPr>
      <w:r>
        <w:t xml:space="preserve">is ingenomen met de oprichting van het portaal voor industriële emissies dat </w:t>
      </w:r>
      <w:r>
        <w:rPr>
          <w:b/>
        </w:rPr>
        <w:t>EU-burgers van milieugegevens voorziet op basis waarvan zij met kennis van zaken kunnen deelnemen aan de besluitvorming op milieugebied</w:t>
      </w:r>
      <w:r>
        <w:t xml:space="preserve"> met betrekking tot grootschalige (agro-)industriële activiteiten in de EU.</w:t>
      </w:r>
    </w:p>
    <w:p w:rsidRPr="007E7A4F" w:rsidR="008B66DD" w:rsidP="008B66DD" w:rsidRDefault="008B66DD" w14:paraId="7BEDBB72" w14:textId="77777777">
      <w:pPr>
        <w:widowControl w:val="0"/>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7"/>
        <w:gridCol w:w="5670"/>
      </w:tblGrid>
      <w:tr w:rsidRPr="00164813" w:rsidR="008B66DD" w:rsidTr="008B66DD" w14:paraId="562FD113" w14:textId="77777777">
        <w:tc>
          <w:tcPr>
            <w:tcW w:w="1418" w:type="dxa"/>
          </w:tcPr>
          <w:p w:rsidRPr="00164813" w:rsidR="008B66DD" w:rsidP="008B66DD" w:rsidRDefault="008B66DD" w14:paraId="6A3CFD92" w14:textId="77777777">
            <w:pPr>
              <w:contextualSpacing/>
              <w:rPr>
                <w:i/>
              </w:rPr>
            </w:pPr>
            <w:r>
              <w:rPr>
                <w:b/>
                <w:i/>
              </w:rPr>
              <w:t>Contactpersoon</w:t>
            </w:r>
          </w:p>
        </w:tc>
        <w:tc>
          <w:tcPr>
            <w:tcW w:w="5670" w:type="dxa"/>
          </w:tcPr>
          <w:p w:rsidRPr="00164813" w:rsidR="008B66DD" w:rsidP="008B66DD" w:rsidRDefault="008B66DD" w14:paraId="40D8BF4D" w14:textId="77777777">
            <w:pPr>
              <w:contextualSpacing/>
              <w:rPr>
                <w:i/>
              </w:rPr>
            </w:pPr>
            <w:r>
              <w:rPr>
                <w:i/>
              </w:rPr>
              <w:t>Caroline Verhelst</w:t>
            </w:r>
          </w:p>
        </w:tc>
      </w:tr>
      <w:tr w:rsidRPr="00164813" w:rsidR="008B66DD" w:rsidTr="008B66DD" w14:paraId="39B58971" w14:textId="77777777">
        <w:tc>
          <w:tcPr>
            <w:tcW w:w="1418" w:type="dxa"/>
          </w:tcPr>
          <w:p w:rsidRPr="00164813" w:rsidR="008B66DD" w:rsidP="008B66DD" w:rsidRDefault="008B66DD" w14:paraId="0374B985" w14:textId="77777777">
            <w:pPr>
              <w:ind w:left="601"/>
              <w:contextualSpacing/>
              <w:rPr>
                <w:i/>
              </w:rPr>
            </w:pPr>
            <w:r>
              <w:rPr>
                <w:i/>
              </w:rPr>
              <w:t>Tel.</w:t>
            </w:r>
          </w:p>
        </w:tc>
        <w:tc>
          <w:tcPr>
            <w:tcW w:w="5670" w:type="dxa"/>
          </w:tcPr>
          <w:p w:rsidRPr="00164813" w:rsidR="008B66DD" w:rsidP="008B66DD" w:rsidRDefault="008B66DD" w14:paraId="2FFDE135" w14:textId="77777777">
            <w:pPr>
              <w:contextualSpacing/>
              <w:rPr>
                <w:i/>
              </w:rPr>
            </w:pPr>
            <w:r>
              <w:rPr>
                <w:i/>
              </w:rPr>
              <w:t>00 32 2 546 94 97</w:t>
            </w:r>
          </w:p>
        </w:tc>
      </w:tr>
      <w:tr w:rsidRPr="00164813" w:rsidR="008B66DD" w:rsidTr="008B66DD" w14:paraId="0D993716" w14:textId="77777777">
        <w:tc>
          <w:tcPr>
            <w:tcW w:w="1418" w:type="dxa"/>
          </w:tcPr>
          <w:p w:rsidRPr="00164813" w:rsidR="008B66DD" w:rsidP="008B66DD" w:rsidRDefault="008B66DD" w14:paraId="04669011" w14:textId="77777777">
            <w:pPr>
              <w:ind w:left="601"/>
              <w:contextualSpacing/>
              <w:rPr>
                <w:i/>
              </w:rPr>
            </w:pPr>
            <w:r>
              <w:rPr>
                <w:i/>
              </w:rPr>
              <w:t>E-mail</w:t>
            </w:r>
          </w:p>
        </w:tc>
        <w:tc>
          <w:tcPr>
            <w:tcW w:w="5670" w:type="dxa"/>
          </w:tcPr>
          <w:p w:rsidRPr="00164813" w:rsidR="008B66DD" w:rsidP="00910972" w:rsidRDefault="0003462B" w14:paraId="503147B8" w14:textId="7DD9F44B">
            <w:pPr>
              <w:contextualSpacing/>
              <w:rPr>
                <w:i/>
              </w:rPr>
            </w:pPr>
            <w:hyperlink w:history="1" r:id="rId37">
              <w:r w:rsidR="005458B6">
                <w:rPr>
                  <w:rStyle w:val="Hyperlink"/>
                </w:rPr>
                <w:t xml:space="preserve"> Caroline.Verhelst@eesc.europa.eu</w:t>
              </w:r>
            </w:hyperlink>
          </w:p>
        </w:tc>
      </w:tr>
    </w:tbl>
    <w:p w:rsidRPr="00A10A98" w:rsidR="00931584" w:rsidP="002A2F38" w:rsidRDefault="002A2F38" w14:paraId="49E30748" w14:textId="77777777">
      <w:pPr>
        <w:spacing w:after="160" w:line="259" w:lineRule="auto"/>
        <w:jc w:val="left"/>
        <w:rPr>
          <w:sz w:val="28"/>
          <w:szCs w:val="16"/>
        </w:rPr>
      </w:pPr>
      <w:r>
        <w:br w:type="page"/>
      </w:r>
    </w:p>
    <w:p w:rsidRPr="003E692C" w:rsidR="0005170F" w:rsidP="003E692C" w:rsidRDefault="00931584" w14:paraId="259B2927" w14:textId="77777777">
      <w:pPr>
        <w:pStyle w:val="Heading1"/>
        <w:keepNext/>
        <w:rPr>
          <w:b/>
        </w:rPr>
      </w:pPr>
      <w:bookmarkStart w:name="_Toc90469310" w:id="17"/>
      <w:bookmarkStart w:name="_Toc109806227" w:id="18"/>
      <w:r>
        <w:rPr>
          <w:b/>
        </w:rPr>
        <w:lastRenderedPageBreak/>
        <w:t>EXTERNE BETREKKINGEN</w:t>
      </w:r>
      <w:bookmarkEnd w:id="17"/>
      <w:bookmarkEnd w:id="18"/>
    </w:p>
    <w:p w:rsidRPr="00B33E54" w:rsidR="00CB3335" w:rsidP="00B33E54" w:rsidRDefault="00CB3335" w14:paraId="4C868865" w14:textId="77777777">
      <w:pPr>
        <w:spacing w:line="240" w:lineRule="auto"/>
        <w:contextualSpacing/>
        <w:rPr>
          <w:sz w:val="18"/>
          <w:szCs w:val="18"/>
        </w:rPr>
      </w:pPr>
    </w:p>
    <w:p w:rsidR="0005170F" w:rsidP="00F856AC" w:rsidRDefault="00F856AC" w14:paraId="602B729E" w14:textId="77777777">
      <w:pPr>
        <w:pStyle w:val="ListParagraph"/>
        <w:keepNext/>
        <w:keepLines/>
        <w:numPr>
          <w:ilvl w:val="0"/>
          <w:numId w:val="2"/>
        </w:numPr>
        <w:ind w:left="567" w:hanging="567"/>
        <w:rPr>
          <w:b/>
          <w:i/>
          <w:sz w:val="28"/>
          <w:szCs w:val="28"/>
        </w:rPr>
      </w:pPr>
      <w:r>
        <w:rPr>
          <w:b/>
          <w:i/>
          <w:sz w:val="28"/>
        </w:rPr>
        <w:t>De nieuwe Handels- en Technologieraad EU-VS in actie</w:t>
      </w:r>
    </w:p>
    <w:p w:rsidRPr="00B33E54" w:rsidR="00F856AC" w:rsidP="00B33E54" w:rsidRDefault="00F856AC" w14:paraId="7DD8EEC3" w14:textId="77777777">
      <w:pPr>
        <w:keepNext/>
        <w:keepLines/>
        <w:spacing w:line="240" w:lineRule="auto"/>
        <w:rPr>
          <w:b/>
          <w: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2"/>
        <w:gridCol w:w="5387"/>
      </w:tblGrid>
      <w:tr w:rsidRPr="009B70E7" w:rsidR="0005170F" w:rsidTr="00BC41D9" w14:paraId="0C5522F9" w14:textId="77777777">
        <w:tc>
          <w:tcPr>
            <w:tcW w:w="1701" w:type="dxa"/>
          </w:tcPr>
          <w:p w:rsidRPr="009B70E7" w:rsidR="0005170F" w:rsidP="00BC41D9" w:rsidRDefault="0005170F" w14:paraId="064CA71B" w14:textId="77777777">
            <w:pPr>
              <w:pStyle w:val="ListParagraph"/>
              <w:keepNext/>
              <w:ind w:left="0"/>
              <w:rPr>
                <w:b/>
              </w:rPr>
            </w:pPr>
            <w:r>
              <w:rPr>
                <w:b/>
              </w:rPr>
              <w:t>Rapporteur</w:t>
            </w:r>
          </w:p>
        </w:tc>
        <w:tc>
          <w:tcPr>
            <w:tcW w:w="5387" w:type="dxa"/>
          </w:tcPr>
          <w:p w:rsidRPr="009B70E7" w:rsidR="0005170F" w:rsidP="00BC41D9" w:rsidRDefault="00F856AC" w14:paraId="45B35874" w14:textId="77777777">
            <w:pPr>
              <w:pStyle w:val="ListParagraph"/>
              <w:keepNext/>
              <w:ind w:left="-106"/>
            </w:pPr>
            <w:r>
              <w:t>Timo VUORI (groep Werkgevers – FI)</w:t>
            </w:r>
          </w:p>
        </w:tc>
      </w:tr>
      <w:tr w:rsidRPr="009B70E7" w:rsidR="0005170F" w:rsidTr="00BC41D9" w14:paraId="53A93979" w14:textId="77777777">
        <w:tc>
          <w:tcPr>
            <w:tcW w:w="1701" w:type="dxa"/>
          </w:tcPr>
          <w:p w:rsidRPr="009B70E7" w:rsidR="0005170F" w:rsidP="00BC41D9" w:rsidRDefault="0005170F" w14:paraId="392B7337" w14:textId="77777777">
            <w:pPr>
              <w:pStyle w:val="ListParagraph"/>
              <w:keepNext/>
              <w:ind w:left="0"/>
              <w:rPr>
                <w:b/>
              </w:rPr>
            </w:pPr>
            <w:r>
              <w:rPr>
                <w:b/>
              </w:rPr>
              <w:t>Corapporteur</w:t>
            </w:r>
          </w:p>
        </w:tc>
        <w:tc>
          <w:tcPr>
            <w:tcW w:w="5387" w:type="dxa"/>
          </w:tcPr>
          <w:p w:rsidRPr="009B70E7" w:rsidR="0005170F" w:rsidP="00BC41D9" w:rsidRDefault="00F856AC" w14:paraId="52EFC6C4" w14:textId="0996E1F8">
            <w:pPr>
              <w:pStyle w:val="ListParagraph"/>
              <w:keepNext/>
              <w:ind w:left="-106"/>
            </w:pPr>
            <w:r>
              <w:t>Tanja BUZEK (groep Werknemers – DE)</w:t>
            </w:r>
          </w:p>
        </w:tc>
      </w:tr>
      <w:tr w:rsidRPr="009B70E7" w:rsidR="0005170F" w:rsidTr="00BC41D9" w14:paraId="3756149D" w14:textId="77777777">
        <w:tc>
          <w:tcPr>
            <w:tcW w:w="7088" w:type="dxa"/>
            <w:gridSpan w:val="2"/>
          </w:tcPr>
          <w:p w:rsidRPr="007B231B" w:rsidR="0005170F" w:rsidP="00BC41D9" w:rsidRDefault="0005170F" w14:paraId="1E0EC2DB" w14:textId="77777777">
            <w:pPr>
              <w:pStyle w:val="ListParagraph"/>
              <w:keepNext/>
              <w:ind w:left="0"/>
            </w:pPr>
          </w:p>
        </w:tc>
      </w:tr>
      <w:tr w:rsidRPr="009B70E7" w:rsidR="0005170F" w:rsidTr="00BC41D9" w14:paraId="19BB4E31" w14:textId="77777777">
        <w:tc>
          <w:tcPr>
            <w:tcW w:w="1701" w:type="dxa"/>
          </w:tcPr>
          <w:p w:rsidRPr="007B231B" w:rsidR="0005170F" w:rsidP="00BC41D9" w:rsidRDefault="0005170F" w14:paraId="7C61A8B1" w14:textId="77777777">
            <w:pPr>
              <w:pStyle w:val="ListParagraph"/>
              <w:keepNext/>
              <w:ind w:left="0"/>
              <w:rPr>
                <w:b/>
              </w:rPr>
            </w:pPr>
            <w:r>
              <w:rPr>
                <w:b/>
              </w:rPr>
              <w:t xml:space="preserve">Referentiedocument </w:t>
            </w:r>
          </w:p>
        </w:tc>
        <w:tc>
          <w:tcPr>
            <w:tcW w:w="5387" w:type="dxa"/>
          </w:tcPr>
          <w:p w:rsidRPr="00163106" w:rsidR="0005170F" w:rsidP="00BC41D9" w:rsidRDefault="00F856AC" w14:paraId="49919073" w14:textId="77777777">
            <w:pPr>
              <w:pStyle w:val="ListParagraph"/>
              <w:keepNext/>
              <w:ind w:left="-106"/>
              <w:rPr>
                <w:iCs/>
                <w:color w:val="000000"/>
              </w:rPr>
            </w:pPr>
            <w:r>
              <w:rPr>
                <w:color w:val="000000"/>
              </w:rPr>
              <w:t>Initiatiefadvies</w:t>
            </w:r>
          </w:p>
          <w:p w:rsidRPr="007B231B" w:rsidR="0005170F" w:rsidP="00BC41D9" w:rsidRDefault="009D1CA2" w14:paraId="705F793F" w14:textId="77777777">
            <w:pPr>
              <w:pStyle w:val="ListParagraph"/>
              <w:keepNext/>
              <w:ind w:left="-106"/>
            </w:pPr>
            <w:r>
              <w:t>EESC-2022-00726-00-00-AC</w:t>
            </w:r>
          </w:p>
        </w:tc>
      </w:tr>
    </w:tbl>
    <w:p w:rsidRPr="009B70E7" w:rsidR="0005170F" w:rsidP="0005170F" w:rsidRDefault="0005170F" w14:paraId="41B35B48" w14:textId="77777777">
      <w:pPr>
        <w:pStyle w:val="ListParagraph"/>
        <w:keepNext/>
        <w:ind w:left="567"/>
      </w:pPr>
    </w:p>
    <w:p w:rsidRPr="00F856AC" w:rsidR="00BC29C8" w:rsidP="00F856AC" w:rsidRDefault="00F856AC" w14:paraId="18C1BCD0" w14:textId="43F4EE79">
      <w:pPr>
        <w:pStyle w:val="ListParagraph"/>
        <w:spacing w:line="240" w:lineRule="auto"/>
        <w:ind w:left="-142" w:firstLine="142"/>
        <w:rPr>
          <w:b/>
        </w:rPr>
      </w:pPr>
      <w:r>
        <w:rPr>
          <w:b/>
        </w:rPr>
        <w:t>Hoofdpunten</w:t>
      </w:r>
    </w:p>
    <w:p w:rsidRPr="00B33E54" w:rsidR="00BC29C8" w:rsidP="00B33E54" w:rsidRDefault="00BC29C8" w14:paraId="5B75415E" w14:textId="77777777">
      <w:pPr>
        <w:pStyle w:val="ListParagraph"/>
        <w:spacing w:line="240" w:lineRule="auto"/>
        <w:ind w:left="0"/>
        <w:rPr>
          <w:sz w:val="18"/>
          <w:szCs w:val="18"/>
        </w:rPr>
      </w:pPr>
    </w:p>
    <w:p w:rsidRPr="004646AF" w:rsidR="0005170F" w:rsidP="0005170F" w:rsidRDefault="00F856AC" w14:paraId="3C5989C4" w14:textId="77777777">
      <w:pPr>
        <w:numPr>
          <w:ilvl w:val="0"/>
          <w:numId w:val="3"/>
        </w:numPr>
        <w:ind w:left="357" w:hanging="357"/>
        <w:contextualSpacing/>
      </w:pPr>
      <w:r>
        <w:t>De nieuwe Handels- en Technologieraad (TTC) EU-VS kan de kern vormen van een agenda om ons trans-Atlantisch partnerschap nieuw leven in te blazen met vertrouwde samenwerkingskanalen. De TTC kan een belangrijk forum zijn om de bestaande belemmeringen in de bilaterale handels- en investeringsbetrekkingen EU-VS aan te pakken, alsook een strategisch platform om onze waarden te beschermen en te reageren op mondiale handelsverstoringen.</w:t>
      </w:r>
    </w:p>
    <w:p w:rsidRPr="0005170F" w:rsidR="009D1CA2" w:rsidP="009D1CA2" w:rsidRDefault="00F856AC" w14:paraId="5206FD24" w14:textId="77777777">
      <w:pPr>
        <w:numPr>
          <w:ilvl w:val="0"/>
          <w:numId w:val="3"/>
        </w:numPr>
        <w:ind w:left="357" w:hanging="357"/>
        <w:contextualSpacing/>
      </w:pPr>
      <w:r>
        <w:t>In turbulente geopolitieke tijden is er een grote verantwoordelijkheid om samen een modern samenwerkingskader voor handel en technologie te bevorderen, dat een open en duurzame economie, vrije en eerlijke handel en de eerbiediging van democratische waarden, het recht op fatsoenlijk werk en mensenrechten ondersteunt.</w:t>
      </w:r>
    </w:p>
    <w:p w:rsidRPr="0005170F" w:rsidR="009D1CA2" w:rsidP="009D1CA2" w:rsidRDefault="00F856AC" w14:paraId="712A3F38" w14:textId="77777777">
      <w:pPr>
        <w:numPr>
          <w:ilvl w:val="0"/>
          <w:numId w:val="3"/>
        </w:numPr>
        <w:ind w:left="357" w:hanging="357"/>
        <w:contextualSpacing/>
      </w:pPr>
      <w:r>
        <w:t>Bij handel en technologie gat het om meer dan louter regelgevingskwesties; het zijn essentiële instrumenten om universele waarden wereldwijd te beschermen en te bevorderen. De TTC biedt een unieke gelegenheid voor strategische samenwerking op het gebied van handel en technologie die verder gaat dan de huidige ad-hocsamenwerkingsregelingen.</w:t>
      </w:r>
    </w:p>
    <w:p w:rsidRPr="00D630B8" w:rsidR="0005170F" w:rsidP="0005170F" w:rsidRDefault="00F856AC" w14:paraId="7CC82BD2" w14:textId="77777777">
      <w:pPr>
        <w:numPr>
          <w:ilvl w:val="0"/>
          <w:numId w:val="3"/>
        </w:numPr>
        <w:ind w:left="357" w:hanging="357"/>
        <w:contextualSpacing/>
      </w:pPr>
      <w:r>
        <w:t>De trans-Atlantische partners moeten snel manieren vinden om onze open democratische samenlevingen veerkrachtiger te maken, onder meer door onze mondiale waarde- en toeleveringsketens en onze energiezekerheid veilig te stellen, in het bijzonder wat betreft de dringende noodzaak om een alternatief te vinden voor de levering van energie en grondstoffen uit Rusland. De EU en de VS moeten meer inspanningen leveren om het multilateralisme te versterken en de uitdagingen in verband met de klimaatverandering aan te pakken, alsook om ervoor te zorgen dat de vrije en eerlijke handel niet wordt ondermijnd en dat marktverstoringen door autoritaire staten worden voorkomen.</w:t>
      </w:r>
    </w:p>
    <w:p w:rsidR="0005170F" w:rsidP="0005170F" w:rsidRDefault="00F856AC" w14:paraId="26460775" w14:textId="77777777">
      <w:pPr>
        <w:numPr>
          <w:ilvl w:val="0"/>
          <w:numId w:val="3"/>
        </w:numPr>
        <w:ind w:left="357" w:hanging="357"/>
        <w:contextualSpacing/>
      </w:pPr>
      <w:r>
        <w:t>De EU en de VS moeten in het kader van de TTC ijveren voor een meer strategische en horizontale aanpak en samenwerking waarbij onnodige verkokering wordt voorkomen. Het EESC is ingenomen met de aankondiging van een tripartiete dialoog over handel en arbeid, maar dringt er bij de Europese Commissie op aan om iets te doen aan het gebrek aan evenwicht in de arbeidsdemocratie als gevolg van de niet-ratificatie van zes fundamentele IAO-verdragen. De tien werkgroepen van de TTC moeten streven naar een doeltreffend gecoördineerde totaalaanpak van de samenwerking.</w:t>
      </w:r>
    </w:p>
    <w:p w:rsidRPr="009B70E7" w:rsidR="0005170F" w:rsidP="00F856AC" w:rsidRDefault="00F856AC" w14:paraId="6798EA32" w14:textId="77777777">
      <w:pPr>
        <w:numPr>
          <w:ilvl w:val="0"/>
          <w:numId w:val="3"/>
        </w:numPr>
        <w:ind w:left="357" w:hanging="357"/>
        <w:contextualSpacing/>
      </w:pPr>
      <w:r w:rsidRPr="00B33E54">
        <w:rPr>
          <w:spacing w:val="-4"/>
        </w:rPr>
        <w:t>Transparantie en een sterke betrokkenheid van de belanghebbenden aan weerszijden van de Atlantische Oceaan zijn geboden. Alleen dan kan de TTC zijn doelstellingen bereiken. Het EESC zal zich actief inzetten binnen de structuren van de TTC en streeft ernaar om als unieke stakeholder van het maatschappelijk middenveld betrokken te worden bij de ministeriële bijeenkomsten van de TTC</w:t>
      </w:r>
      <w:r>
        <w:t>.</w:t>
      </w:r>
    </w:p>
    <w:p w:rsidRPr="00B33E54" w:rsidR="0005170F" w:rsidP="00B33E54" w:rsidRDefault="0005170F" w14:paraId="705D6012" w14:textId="77777777">
      <w:pPr>
        <w:spacing w:line="240" w:lineRule="auto"/>
        <w:rPr>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7"/>
        <w:gridCol w:w="5670"/>
      </w:tblGrid>
      <w:tr w:rsidRPr="009B70E7" w:rsidR="00F856AC" w:rsidTr="00BC41D9" w14:paraId="3C4C05EA" w14:textId="77777777">
        <w:tc>
          <w:tcPr>
            <w:tcW w:w="1418" w:type="dxa"/>
          </w:tcPr>
          <w:p w:rsidRPr="009B70E7" w:rsidR="00F856AC" w:rsidP="00F856AC" w:rsidRDefault="00F856AC" w14:paraId="493B7F8F" w14:textId="77777777">
            <w:pPr>
              <w:pStyle w:val="ListParagraph"/>
              <w:ind w:left="0"/>
              <w:rPr>
                <w:i/>
              </w:rPr>
            </w:pPr>
            <w:r>
              <w:rPr>
                <w:b/>
                <w:i/>
              </w:rPr>
              <w:t>Contactpersoon</w:t>
            </w:r>
          </w:p>
        </w:tc>
        <w:tc>
          <w:tcPr>
            <w:tcW w:w="5670" w:type="dxa"/>
          </w:tcPr>
          <w:p w:rsidRPr="009B70E7" w:rsidR="00F856AC" w:rsidP="00F856AC" w:rsidRDefault="00F856AC" w14:paraId="0A9975E2" w14:textId="77777777">
            <w:pPr>
              <w:pStyle w:val="ListParagraph"/>
              <w:ind w:left="0"/>
              <w:rPr>
                <w:i/>
              </w:rPr>
            </w:pPr>
            <w:r>
              <w:rPr>
                <w:i/>
              </w:rPr>
              <w:t>Gunilla Fevre-Burdy</w:t>
            </w:r>
          </w:p>
        </w:tc>
      </w:tr>
      <w:tr w:rsidRPr="009B70E7" w:rsidR="00F856AC" w:rsidTr="00BC41D9" w14:paraId="04C8463A" w14:textId="77777777">
        <w:tc>
          <w:tcPr>
            <w:tcW w:w="1418" w:type="dxa"/>
          </w:tcPr>
          <w:p w:rsidRPr="009B70E7" w:rsidR="00F856AC" w:rsidP="00F856AC" w:rsidRDefault="00F856AC" w14:paraId="4B8BBF4B" w14:textId="77777777">
            <w:pPr>
              <w:pStyle w:val="ListParagraph"/>
              <w:ind w:left="601"/>
              <w:rPr>
                <w:i/>
              </w:rPr>
            </w:pPr>
            <w:r>
              <w:rPr>
                <w:i/>
              </w:rPr>
              <w:t>Tel.</w:t>
            </w:r>
          </w:p>
        </w:tc>
        <w:tc>
          <w:tcPr>
            <w:tcW w:w="5670" w:type="dxa"/>
          </w:tcPr>
          <w:p w:rsidRPr="009B70E7" w:rsidR="00F856AC" w:rsidP="00F856AC" w:rsidRDefault="00F856AC" w14:paraId="4B367F8E" w14:textId="77777777">
            <w:pPr>
              <w:pStyle w:val="ListParagraph"/>
              <w:ind w:left="0"/>
              <w:rPr>
                <w:i/>
              </w:rPr>
            </w:pPr>
            <w:r>
              <w:rPr>
                <w:i/>
              </w:rPr>
              <w:t>00 32 2 546 91 08</w:t>
            </w:r>
          </w:p>
        </w:tc>
      </w:tr>
      <w:tr w:rsidRPr="009B70E7" w:rsidR="00F856AC" w:rsidTr="00BC41D9" w14:paraId="348A3E99" w14:textId="77777777">
        <w:tc>
          <w:tcPr>
            <w:tcW w:w="1418" w:type="dxa"/>
          </w:tcPr>
          <w:p w:rsidRPr="009B70E7" w:rsidR="00F856AC" w:rsidP="00F856AC" w:rsidRDefault="00F856AC" w14:paraId="123AD82B" w14:textId="77777777">
            <w:pPr>
              <w:pStyle w:val="ListParagraph"/>
              <w:ind w:left="601"/>
              <w:rPr>
                <w:i/>
              </w:rPr>
            </w:pPr>
            <w:r>
              <w:rPr>
                <w:i/>
              </w:rPr>
              <w:t>E-mail</w:t>
            </w:r>
          </w:p>
        </w:tc>
        <w:tc>
          <w:tcPr>
            <w:tcW w:w="5670" w:type="dxa"/>
          </w:tcPr>
          <w:p w:rsidRPr="009B70E7" w:rsidR="00F856AC" w:rsidP="00F856AC" w:rsidRDefault="0003462B" w14:paraId="7683ACD4" w14:textId="77777777">
            <w:pPr>
              <w:pStyle w:val="ListParagraph"/>
              <w:ind w:left="0"/>
              <w:rPr>
                <w:i/>
              </w:rPr>
            </w:pPr>
            <w:hyperlink w:history="1" r:id="rId38">
              <w:r w:rsidR="005458B6">
                <w:rPr>
                  <w:rStyle w:val="Hyperlink"/>
                  <w:i/>
                </w:rPr>
                <w:t>Gunilla.Sandberg@eesc.europa.eu</w:t>
              </w:r>
            </w:hyperlink>
          </w:p>
        </w:tc>
      </w:tr>
    </w:tbl>
    <w:p w:rsidRPr="00B33E54" w:rsidR="00910972" w:rsidP="00A10A98" w:rsidRDefault="00910972" w14:paraId="3690378B" w14:textId="48CD998B">
      <w:pPr>
        <w:spacing w:line="240" w:lineRule="auto"/>
        <w:jc w:val="left"/>
        <w:rPr>
          <w:sz w:val="18"/>
          <w:szCs w:val="18"/>
        </w:rPr>
      </w:pPr>
    </w:p>
    <w:p w:rsidR="00910972" w:rsidRDefault="00910972" w14:paraId="12885432" w14:textId="77777777">
      <w:pPr>
        <w:spacing w:after="160" w:line="259" w:lineRule="auto"/>
        <w:jc w:val="left"/>
        <w:rPr>
          <w:szCs w:val="28"/>
        </w:rPr>
      </w:pPr>
      <w:r>
        <w:br w:type="page"/>
      </w:r>
    </w:p>
    <w:p w:rsidR="00D55B4C" w:rsidP="00D55B4C" w:rsidRDefault="00D55B4C" w14:paraId="55AF9FAB" w14:textId="77777777">
      <w:pPr>
        <w:pStyle w:val="ListParagraph"/>
        <w:keepNext/>
        <w:keepLines/>
        <w:numPr>
          <w:ilvl w:val="0"/>
          <w:numId w:val="2"/>
        </w:numPr>
        <w:ind w:left="567" w:hanging="567"/>
        <w:rPr>
          <w:b/>
          <w:i/>
          <w:sz w:val="28"/>
          <w:szCs w:val="28"/>
        </w:rPr>
      </w:pPr>
      <w:r>
        <w:rPr>
          <w:b/>
          <w:i/>
          <w:sz w:val="28"/>
        </w:rPr>
        <w:lastRenderedPageBreak/>
        <w:t>Vervoersbeleid in de westelijke Balkan</w:t>
      </w:r>
    </w:p>
    <w:p w:rsidRPr="00F856AC" w:rsidR="00D55B4C" w:rsidP="00D55B4C" w:rsidRDefault="00D55B4C" w14:paraId="4D8D4A99" w14:textId="77777777">
      <w:pPr>
        <w:keepNext/>
        <w:keepLines/>
        <w:rPr>
          <w:b/>
          <w:i/>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2"/>
        <w:gridCol w:w="5387"/>
      </w:tblGrid>
      <w:tr w:rsidRPr="009B70E7" w:rsidR="00D55B4C" w:rsidTr="00D13F40" w14:paraId="5092A14F" w14:textId="77777777">
        <w:tc>
          <w:tcPr>
            <w:tcW w:w="1701" w:type="dxa"/>
          </w:tcPr>
          <w:p w:rsidRPr="009B70E7" w:rsidR="00D55B4C" w:rsidP="00D13F40" w:rsidRDefault="00D55B4C" w14:paraId="4073A381" w14:textId="77777777">
            <w:pPr>
              <w:pStyle w:val="ListParagraph"/>
              <w:keepNext/>
              <w:ind w:left="0"/>
              <w:rPr>
                <w:b/>
              </w:rPr>
            </w:pPr>
            <w:r>
              <w:rPr>
                <w:b/>
              </w:rPr>
              <w:t>Rapporteur</w:t>
            </w:r>
          </w:p>
        </w:tc>
        <w:tc>
          <w:tcPr>
            <w:tcW w:w="5387" w:type="dxa"/>
          </w:tcPr>
          <w:p w:rsidRPr="009B70E7" w:rsidR="00D55B4C" w:rsidP="00D13F40" w:rsidRDefault="00D55B4C" w14:paraId="2F545020" w14:textId="77777777">
            <w:pPr>
              <w:pStyle w:val="ListParagraph"/>
              <w:keepNext/>
              <w:ind w:left="-106"/>
            </w:pPr>
            <w:r>
              <w:t>Ionuţ SIBIAN (groep Maatschappelijke Organisaties – RO)</w:t>
            </w:r>
          </w:p>
        </w:tc>
      </w:tr>
      <w:tr w:rsidRPr="009B70E7" w:rsidR="00D55B4C" w:rsidTr="00D13F40" w14:paraId="34B47862" w14:textId="77777777">
        <w:tc>
          <w:tcPr>
            <w:tcW w:w="1701" w:type="dxa"/>
          </w:tcPr>
          <w:p w:rsidRPr="009B70E7" w:rsidR="00D55B4C" w:rsidP="00D13F40" w:rsidRDefault="00D55B4C" w14:paraId="24432AB1" w14:textId="77777777">
            <w:pPr>
              <w:pStyle w:val="ListParagraph"/>
              <w:keepNext/>
              <w:ind w:left="0"/>
              <w:rPr>
                <w:b/>
              </w:rPr>
            </w:pPr>
            <w:r>
              <w:rPr>
                <w:b/>
              </w:rPr>
              <w:t>Corapporteur</w:t>
            </w:r>
          </w:p>
        </w:tc>
        <w:tc>
          <w:tcPr>
            <w:tcW w:w="5387" w:type="dxa"/>
          </w:tcPr>
          <w:p w:rsidRPr="009B70E7" w:rsidR="00D55B4C" w:rsidP="00D13F40" w:rsidRDefault="00D55B4C" w14:paraId="3FC99DB8" w14:textId="77777777">
            <w:pPr>
              <w:pStyle w:val="ListParagraph"/>
              <w:keepNext/>
              <w:ind w:left="-106"/>
            </w:pPr>
            <w:r>
              <w:t>Andrej ZORKO (groep Werknemers – SI)</w:t>
            </w:r>
          </w:p>
        </w:tc>
      </w:tr>
      <w:tr w:rsidRPr="009B70E7" w:rsidR="00D55B4C" w:rsidTr="00D13F40" w14:paraId="2CDF0A57" w14:textId="77777777">
        <w:tc>
          <w:tcPr>
            <w:tcW w:w="7088" w:type="dxa"/>
            <w:gridSpan w:val="2"/>
          </w:tcPr>
          <w:p w:rsidRPr="007B231B" w:rsidR="00D55B4C" w:rsidP="00D13F40" w:rsidRDefault="00D55B4C" w14:paraId="0A7B0798" w14:textId="77777777">
            <w:pPr>
              <w:pStyle w:val="ListParagraph"/>
              <w:keepNext/>
              <w:ind w:left="0"/>
            </w:pPr>
          </w:p>
        </w:tc>
      </w:tr>
      <w:tr w:rsidRPr="009B70E7" w:rsidR="00D55B4C" w:rsidTr="00D13F40" w14:paraId="57E6BBE5" w14:textId="77777777">
        <w:tc>
          <w:tcPr>
            <w:tcW w:w="1701" w:type="dxa"/>
          </w:tcPr>
          <w:p w:rsidRPr="007B231B" w:rsidR="00D55B4C" w:rsidP="00D13F40" w:rsidRDefault="00D55B4C" w14:paraId="039C8752" w14:textId="77777777">
            <w:pPr>
              <w:pStyle w:val="ListParagraph"/>
              <w:keepNext/>
              <w:ind w:left="0"/>
              <w:rPr>
                <w:b/>
              </w:rPr>
            </w:pPr>
            <w:r>
              <w:rPr>
                <w:b/>
              </w:rPr>
              <w:t xml:space="preserve">Referentiedocument </w:t>
            </w:r>
          </w:p>
        </w:tc>
        <w:tc>
          <w:tcPr>
            <w:tcW w:w="5387" w:type="dxa"/>
          </w:tcPr>
          <w:p w:rsidRPr="00163106" w:rsidR="00D55B4C" w:rsidP="00D13F40" w:rsidRDefault="00D55B4C" w14:paraId="270014DB" w14:textId="77777777">
            <w:pPr>
              <w:pStyle w:val="ListParagraph"/>
              <w:keepNext/>
              <w:ind w:left="-106"/>
              <w:rPr>
                <w:iCs/>
                <w:color w:val="000000"/>
              </w:rPr>
            </w:pPr>
            <w:r>
              <w:rPr>
                <w:color w:val="000000"/>
              </w:rPr>
              <w:t>Initiatiefadvies</w:t>
            </w:r>
          </w:p>
          <w:p w:rsidRPr="007B231B" w:rsidR="00D55B4C" w:rsidP="00D13F40" w:rsidRDefault="00D55B4C" w14:paraId="492CD4A6" w14:textId="77777777">
            <w:pPr>
              <w:pStyle w:val="ListParagraph"/>
              <w:keepNext/>
              <w:ind w:left="-106"/>
            </w:pPr>
            <w:r>
              <w:t>EESC-2022-00778-00-00-AC</w:t>
            </w:r>
          </w:p>
        </w:tc>
      </w:tr>
    </w:tbl>
    <w:p w:rsidRPr="009B70E7" w:rsidR="00D55B4C" w:rsidP="00D55B4C" w:rsidRDefault="00D55B4C" w14:paraId="49C326FE" w14:textId="77777777">
      <w:pPr>
        <w:pStyle w:val="ListParagraph"/>
        <w:keepNext/>
        <w:ind w:left="567"/>
      </w:pPr>
    </w:p>
    <w:p w:rsidRPr="00F856AC" w:rsidR="00D55B4C" w:rsidP="00D55B4C" w:rsidRDefault="00D55B4C" w14:paraId="5EBBC034" w14:textId="3622AA3C">
      <w:pPr>
        <w:pStyle w:val="ListParagraph"/>
        <w:spacing w:line="240" w:lineRule="auto"/>
        <w:ind w:left="-142" w:firstLine="142"/>
        <w:rPr>
          <w:b/>
        </w:rPr>
      </w:pPr>
      <w:r>
        <w:rPr>
          <w:b/>
        </w:rPr>
        <w:t>Hoofdpunten</w:t>
      </w:r>
    </w:p>
    <w:p w:rsidR="00D55B4C" w:rsidP="00D55B4C" w:rsidRDefault="00D55B4C" w14:paraId="63C9743D" w14:textId="77777777">
      <w:pPr>
        <w:pStyle w:val="ListParagraph"/>
        <w:ind w:left="0"/>
      </w:pPr>
    </w:p>
    <w:p w:rsidR="00DD23A2" w:rsidP="00D55B4C" w:rsidRDefault="00DD23A2" w14:paraId="427D30D6" w14:textId="77777777">
      <w:pPr>
        <w:pStyle w:val="ListParagraph"/>
        <w:ind w:left="0"/>
        <w:rPr>
          <w:bCs/>
          <w:iCs/>
        </w:rPr>
      </w:pPr>
      <w:r>
        <w:t>Het EESC:</w:t>
      </w:r>
    </w:p>
    <w:p w:rsidR="00DD23A2" w:rsidP="00D55B4C" w:rsidRDefault="00DD23A2" w14:paraId="57C75210" w14:textId="77777777">
      <w:pPr>
        <w:pStyle w:val="ListParagraph"/>
        <w:ind w:left="0"/>
      </w:pPr>
    </w:p>
    <w:p w:rsidRPr="004646AF" w:rsidR="00D55B4C" w:rsidP="00D55B4C" w:rsidRDefault="00DD23A2" w14:paraId="14A4253A" w14:textId="77777777">
      <w:pPr>
        <w:numPr>
          <w:ilvl w:val="0"/>
          <w:numId w:val="3"/>
        </w:numPr>
        <w:ind w:left="357" w:hanging="357"/>
        <w:contextualSpacing/>
      </w:pPr>
      <w:r>
        <w:t xml:space="preserve">verzoekt de regeringen van de partnerlanden in de Westelijke Balkan om </w:t>
      </w:r>
      <w:r>
        <w:rPr>
          <w:b/>
        </w:rPr>
        <w:t>de lijnen die zijn uitgezet in de belangrijkste beleidsdocumenten van de EU inzake jeugdbeleid te volgen</w:t>
      </w:r>
      <w:r>
        <w:t xml:space="preserve"> en </w:t>
      </w:r>
      <w:r>
        <w:rPr>
          <w:b/>
        </w:rPr>
        <w:t>verder te investeren in empirisch onderbouwd jongerenbeleid</w:t>
      </w:r>
      <w:r>
        <w:t xml:space="preserve"> waarmee de ontwikkelingsproblemen van jongeren kunnen worden aangepakt; is ervan overtuigd dat de transparante </w:t>
      </w:r>
      <w:r>
        <w:rPr>
          <w:b/>
        </w:rPr>
        <w:t>toewijzing van voldoende begrotingsmiddelen voor de ontwikkeling van jeugdbeleid</w:t>
      </w:r>
      <w:r>
        <w:t xml:space="preserve"> een eerste vereiste is om positieve veranderingen mogelijk te maken en de situatie van jongeren te verbeteren;</w:t>
      </w:r>
    </w:p>
    <w:p w:rsidRPr="0005170F" w:rsidR="00D55B4C" w:rsidP="00D55B4C" w:rsidRDefault="00DD23A2" w14:paraId="7834EDBF" w14:textId="77777777">
      <w:pPr>
        <w:numPr>
          <w:ilvl w:val="0"/>
          <w:numId w:val="3"/>
        </w:numPr>
        <w:ind w:left="357" w:hanging="357"/>
        <w:contextualSpacing/>
      </w:pPr>
      <w:r>
        <w:t xml:space="preserve">acht het van cruciaal belang dat de sociale partners en de maatschappelijke organisaties worden betrokken, zodat </w:t>
      </w:r>
      <w:r>
        <w:rPr>
          <w:b/>
        </w:rPr>
        <w:t>een bredere hervorming kan worden doorgevoerd om de sociale rechten en de vooruitzichten van jongeren te verbeteren</w:t>
      </w:r>
      <w:r>
        <w:t xml:space="preserve">; roept de </w:t>
      </w:r>
      <w:r>
        <w:rPr>
          <w:b/>
        </w:rPr>
        <w:t>sociale partners</w:t>
      </w:r>
      <w:r>
        <w:t xml:space="preserve"> van de Westelijke Balkan op nationaal en sectoraal niveau op om </w:t>
      </w:r>
      <w:r>
        <w:rPr>
          <w:b/>
        </w:rPr>
        <w:t>jongeren actief te betrekken</w:t>
      </w:r>
      <w:r>
        <w:t xml:space="preserve"> bij al hun activiteiten, met inbegrip van collectieve onderhandelingen;</w:t>
      </w:r>
    </w:p>
    <w:p w:rsidRPr="00D630B8" w:rsidR="00D55B4C" w:rsidP="00D55B4C" w:rsidRDefault="00DD23A2" w14:paraId="2191A3C3" w14:textId="77777777">
      <w:pPr>
        <w:numPr>
          <w:ilvl w:val="0"/>
          <w:numId w:val="3"/>
        </w:numPr>
        <w:ind w:left="357" w:hanging="357"/>
        <w:contextualSpacing/>
      </w:pPr>
      <w:r>
        <w:t xml:space="preserve">dringt erop aan dat de </w:t>
      </w:r>
      <w:r>
        <w:rPr>
          <w:b/>
        </w:rPr>
        <w:t>jongerengarantie in de Westelijke Balkan</w:t>
      </w:r>
      <w:r>
        <w:t xml:space="preserve"> ten uitvoer wordt gelegd in aansluiting op de aanbevelingen van de Raad over een versterkte jongerengarantie, in </w:t>
      </w:r>
      <w:r>
        <w:rPr>
          <w:b/>
        </w:rPr>
        <w:t>partnerschap met aanbieders van de jongerengarantie en relevante belanghebbenden</w:t>
      </w:r>
      <w:r>
        <w:t xml:space="preserve">, en dat </w:t>
      </w:r>
      <w:r>
        <w:rPr>
          <w:b/>
        </w:rPr>
        <w:t>de capaciteit van de openbare diensten voor arbeidsvoorziening (ODA’s) wordt vergroot</w:t>
      </w:r>
      <w:r>
        <w:t>;</w:t>
      </w:r>
    </w:p>
    <w:p w:rsidRPr="00DD23A2" w:rsidR="00D55B4C" w:rsidP="00D55B4C" w:rsidRDefault="00DD23A2" w14:paraId="6B442E8D" w14:textId="77777777">
      <w:pPr>
        <w:numPr>
          <w:ilvl w:val="0"/>
          <w:numId w:val="3"/>
        </w:numPr>
        <w:ind w:left="357" w:hanging="357"/>
        <w:contextualSpacing/>
      </w:pPr>
      <w:r>
        <w:t xml:space="preserve">dringt aan op </w:t>
      </w:r>
      <w:r>
        <w:rPr>
          <w:b/>
        </w:rPr>
        <w:t>versterking van de EU-programma’s en de regionale structuren</w:t>
      </w:r>
      <w:r>
        <w:t xml:space="preserve">, met als doel meer jongeren in de Westelijke Balkan te bereiken door hun mogelijkheden te bieden op het gebied van onderwijs, mobiliteit, vrijwilligerswerk en werkgelegenheid; vindt dat de EU de Westelijke Balkan zou moeten helpen bij </w:t>
      </w:r>
      <w:r>
        <w:rPr>
          <w:b/>
        </w:rPr>
        <w:t>het in kaart brengen van de belangrijkste gebieden en manieren</w:t>
      </w:r>
      <w:r>
        <w:t xml:space="preserve"> waarop voor de burgers van alle landen van de Westelijke Balkan, en met name voor jongeren, </w:t>
      </w:r>
      <w:r>
        <w:rPr>
          <w:b/>
        </w:rPr>
        <w:t>veranderingen kunnen worden bewerkstelligd</w:t>
      </w:r>
      <w:r>
        <w:t xml:space="preserve">, zodat een </w:t>
      </w:r>
      <w:r>
        <w:rPr>
          <w:b/>
        </w:rPr>
        <w:t>regionale dialoog over het jongerenbeleid</w:t>
      </w:r>
      <w:r>
        <w:t xml:space="preserve"> mogelijk wordt;</w:t>
      </w:r>
    </w:p>
    <w:p w:rsidR="00DD23A2" w:rsidP="00D55B4C" w:rsidRDefault="00DD23A2" w14:paraId="31BAD8B3" w14:textId="77777777">
      <w:pPr>
        <w:numPr>
          <w:ilvl w:val="0"/>
          <w:numId w:val="3"/>
        </w:numPr>
        <w:ind w:left="357" w:hanging="357"/>
        <w:contextualSpacing/>
      </w:pPr>
      <w:r>
        <w:t xml:space="preserve">verzoekt de EU dan ook om de Westelijke Balkan verder te steunen bij het </w:t>
      </w:r>
      <w:r>
        <w:rPr>
          <w:b/>
        </w:rPr>
        <w:t>verbeteren van de participatie van jongeren</w:t>
      </w:r>
      <w:r>
        <w:t xml:space="preserve">, gelet op de positieve correlatie tussen onderwijs- of opleidingsmobiliteit en het </w:t>
      </w:r>
      <w:r>
        <w:rPr>
          <w:b/>
        </w:rPr>
        <w:t>maatschappelijk en politiek engagement van jongeren</w:t>
      </w:r>
      <w:r>
        <w:t>;</w:t>
      </w:r>
    </w:p>
    <w:p w:rsidR="00DD23A2" w:rsidP="00D55B4C" w:rsidRDefault="00DD23A2" w14:paraId="68182012" w14:textId="77777777">
      <w:pPr>
        <w:numPr>
          <w:ilvl w:val="0"/>
          <w:numId w:val="3"/>
        </w:numPr>
        <w:ind w:left="357" w:hanging="357"/>
        <w:contextualSpacing/>
      </w:pPr>
      <w:r>
        <w:t xml:space="preserve">wijst er nogmaals op dat jongeren belangrijk zijn voor de toekomst van de Westelijke Balkan en dat er daarom </w:t>
      </w:r>
      <w:r>
        <w:rPr>
          <w:b/>
        </w:rPr>
        <w:t>concrete maatregelen moeten worden genomen om van de regio een plek met toekomstperspectieven en kansen voor jongeren te maken, zodat zij er kunnen blijven en zich er kunnen ontplooien</w:t>
      </w:r>
      <w:r>
        <w:t>.</w:t>
      </w:r>
    </w:p>
    <w:p w:rsidRPr="009B70E7" w:rsidR="00D55B4C" w:rsidP="00D55B4C" w:rsidRDefault="00D55B4C" w14:paraId="0093329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7"/>
        <w:gridCol w:w="5670"/>
      </w:tblGrid>
      <w:tr w:rsidRPr="009B70E7" w:rsidR="00D55B4C" w:rsidTr="00D13F40" w14:paraId="0569EDD4" w14:textId="77777777">
        <w:tc>
          <w:tcPr>
            <w:tcW w:w="1418" w:type="dxa"/>
          </w:tcPr>
          <w:p w:rsidRPr="009B70E7" w:rsidR="00D55B4C" w:rsidP="00D13F40" w:rsidRDefault="00D55B4C" w14:paraId="2A08EC2E" w14:textId="77777777">
            <w:pPr>
              <w:pStyle w:val="ListParagraph"/>
              <w:ind w:left="0"/>
              <w:rPr>
                <w:i/>
              </w:rPr>
            </w:pPr>
            <w:r>
              <w:rPr>
                <w:b/>
                <w:i/>
              </w:rPr>
              <w:t>Contactpersoon</w:t>
            </w:r>
          </w:p>
        </w:tc>
        <w:tc>
          <w:tcPr>
            <w:tcW w:w="5670" w:type="dxa"/>
          </w:tcPr>
          <w:p w:rsidRPr="009B70E7" w:rsidR="00D55B4C" w:rsidP="00D13F40" w:rsidRDefault="00DD23A2" w14:paraId="335956F6" w14:textId="77777777">
            <w:pPr>
              <w:pStyle w:val="ListParagraph"/>
              <w:ind w:left="0"/>
              <w:rPr>
                <w:i/>
              </w:rPr>
            </w:pPr>
            <w:r>
              <w:rPr>
                <w:i/>
              </w:rPr>
              <w:t>David Hoić</w:t>
            </w:r>
          </w:p>
        </w:tc>
      </w:tr>
      <w:tr w:rsidRPr="009B70E7" w:rsidR="00D55B4C" w:rsidTr="00D13F40" w14:paraId="4AA291B3" w14:textId="77777777">
        <w:tc>
          <w:tcPr>
            <w:tcW w:w="1418" w:type="dxa"/>
          </w:tcPr>
          <w:p w:rsidRPr="009B70E7" w:rsidR="00D55B4C" w:rsidP="00D13F40" w:rsidRDefault="00D55B4C" w14:paraId="4BD5A0AA" w14:textId="77777777">
            <w:pPr>
              <w:pStyle w:val="ListParagraph"/>
              <w:ind w:left="601"/>
              <w:rPr>
                <w:i/>
              </w:rPr>
            </w:pPr>
            <w:r>
              <w:rPr>
                <w:i/>
              </w:rPr>
              <w:t>Tel.</w:t>
            </w:r>
          </w:p>
        </w:tc>
        <w:tc>
          <w:tcPr>
            <w:tcW w:w="5670" w:type="dxa"/>
          </w:tcPr>
          <w:p w:rsidRPr="009B70E7" w:rsidR="00D55B4C" w:rsidP="00D13F40" w:rsidRDefault="00DD23A2" w14:paraId="5D817641" w14:textId="77777777">
            <w:pPr>
              <w:pStyle w:val="ListParagraph"/>
              <w:ind w:left="0"/>
              <w:rPr>
                <w:i/>
              </w:rPr>
            </w:pPr>
            <w:r>
              <w:rPr>
                <w:i/>
              </w:rPr>
              <w:t>00 32 2 546 90 69</w:t>
            </w:r>
          </w:p>
        </w:tc>
      </w:tr>
      <w:tr w:rsidRPr="009B70E7" w:rsidR="00D55B4C" w:rsidTr="00D13F40" w14:paraId="511A434F" w14:textId="77777777">
        <w:tc>
          <w:tcPr>
            <w:tcW w:w="1418" w:type="dxa"/>
          </w:tcPr>
          <w:p w:rsidRPr="009B70E7" w:rsidR="00D55B4C" w:rsidP="00D13F40" w:rsidRDefault="00D55B4C" w14:paraId="59BC640E" w14:textId="77777777">
            <w:pPr>
              <w:pStyle w:val="ListParagraph"/>
              <w:ind w:left="601"/>
              <w:rPr>
                <w:i/>
              </w:rPr>
            </w:pPr>
            <w:r>
              <w:rPr>
                <w:i/>
              </w:rPr>
              <w:t>E-mail</w:t>
            </w:r>
          </w:p>
        </w:tc>
        <w:tc>
          <w:tcPr>
            <w:tcW w:w="5670" w:type="dxa"/>
          </w:tcPr>
          <w:p w:rsidRPr="009B70E7" w:rsidR="00D55B4C" w:rsidP="00D13F40" w:rsidRDefault="0003462B" w14:paraId="2B5759BC" w14:textId="77777777">
            <w:pPr>
              <w:pStyle w:val="ListParagraph"/>
              <w:ind w:left="0"/>
              <w:rPr>
                <w:i/>
              </w:rPr>
            </w:pPr>
            <w:hyperlink w:history="1" r:id="rId39">
              <w:r w:rsidR="005458B6">
                <w:rPr>
                  <w:rStyle w:val="Hyperlink"/>
                  <w:i/>
                </w:rPr>
                <w:t>David.Hoic@eesc.europa.eu</w:t>
              </w:r>
            </w:hyperlink>
          </w:p>
        </w:tc>
      </w:tr>
    </w:tbl>
    <w:p w:rsidR="00910972" w:rsidP="00A10A98" w:rsidRDefault="00910972" w14:paraId="77950882" w14:textId="4A0E5534">
      <w:pPr>
        <w:spacing w:line="240" w:lineRule="auto"/>
        <w:jc w:val="left"/>
        <w:rPr>
          <w:szCs w:val="28"/>
        </w:rPr>
      </w:pPr>
    </w:p>
    <w:p w:rsidR="00910972" w:rsidRDefault="00910972" w14:paraId="22E7970A" w14:textId="77777777">
      <w:pPr>
        <w:spacing w:after="160" w:line="259" w:lineRule="auto"/>
        <w:jc w:val="left"/>
        <w:rPr>
          <w:szCs w:val="28"/>
        </w:rPr>
      </w:pPr>
      <w:r>
        <w:br w:type="page"/>
      </w:r>
    </w:p>
    <w:p w:rsidRPr="009B70E7" w:rsidR="00370CCB" w:rsidP="00370CCB" w:rsidRDefault="00D35C97" w14:paraId="2BF1BAE1" w14:textId="7425C1EF">
      <w:pPr>
        <w:pStyle w:val="ListParagraph"/>
        <w:keepNext/>
        <w:numPr>
          <w:ilvl w:val="0"/>
          <w:numId w:val="2"/>
        </w:numPr>
        <w:ind w:left="567" w:hanging="567"/>
        <w:rPr>
          <w:b/>
          <w:i/>
          <w:sz w:val="28"/>
          <w:szCs w:val="28"/>
        </w:rPr>
      </w:pPr>
      <w:r>
        <w:rPr>
          <w:b/>
          <w:i/>
          <w:sz w:val="28"/>
        </w:rPr>
        <w:lastRenderedPageBreak/>
        <w:t xml:space="preserve">Analyse van de rol van het maatschappelijk middenveld in de nieuwe overeenkomst tussen de EU en de Organisatie van staten in Afrika, het Caribisch gebied en de Stille Oceaan (OACPS), met inbegrip van de situatie van de EPO’s in dit kader </w:t>
      </w:r>
    </w:p>
    <w:p w:rsidRPr="009B70E7" w:rsidR="00370CCB" w:rsidP="00370CCB" w:rsidRDefault="00370CCB" w14:paraId="739B23CD"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2"/>
        <w:gridCol w:w="5387"/>
      </w:tblGrid>
      <w:tr w:rsidRPr="009B70E7" w:rsidR="00370CCB" w:rsidTr="00BC41D9" w14:paraId="18E45DF9" w14:textId="77777777">
        <w:tc>
          <w:tcPr>
            <w:tcW w:w="1701" w:type="dxa"/>
          </w:tcPr>
          <w:p w:rsidRPr="009B70E7" w:rsidR="00370CCB" w:rsidP="00BC41D9" w:rsidRDefault="00370CCB" w14:paraId="21B9560D" w14:textId="77777777">
            <w:pPr>
              <w:pStyle w:val="ListParagraph"/>
              <w:keepNext/>
              <w:ind w:left="0"/>
              <w:rPr>
                <w:b/>
              </w:rPr>
            </w:pPr>
            <w:r>
              <w:rPr>
                <w:b/>
              </w:rPr>
              <w:t>Rapporteur</w:t>
            </w:r>
          </w:p>
        </w:tc>
        <w:tc>
          <w:tcPr>
            <w:tcW w:w="5387" w:type="dxa"/>
          </w:tcPr>
          <w:p w:rsidRPr="009B70E7" w:rsidR="00370CCB" w:rsidP="00BC41D9" w:rsidRDefault="00D35C97" w14:paraId="5E26FDD3" w14:textId="77777777">
            <w:pPr>
              <w:pStyle w:val="ListParagraph"/>
              <w:keepNext/>
              <w:ind w:left="-106"/>
            </w:pPr>
            <w:r>
              <w:t>Carlos Manuel TRINDADE (groep Werknemers – PT)</w:t>
            </w:r>
          </w:p>
        </w:tc>
      </w:tr>
      <w:tr w:rsidRPr="009B70E7" w:rsidR="00370CCB" w:rsidTr="00BC41D9" w14:paraId="66A4D987" w14:textId="77777777">
        <w:tc>
          <w:tcPr>
            <w:tcW w:w="1701" w:type="dxa"/>
          </w:tcPr>
          <w:p w:rsidRPr="009B70E7" w:rsidR="00370CCB" w:rsidP="00BC41D9" w:rsidRDefault="00370CCB" w14:paraId="0BF5D687" w14:textId="77777777">
            <w:pPr>
              <w:pStyle w:val="ListParagraph"/>
              <w:keepNext/>
              <w:ind w:left="0"/>
              <w:rPr>
                <w:b/>
              </w:rPr>
            </w:pPr>
          </w:p>
        </w:tc>
        <w:tc>
          <w:tcPr>
            <w:tcW w:w="5387" w:type="dxa"/>
          </w:tcPr>
          <w:p w:rsidRPr="009B70E7" w:rsidR="00370CCB" w:rsidP="00BC41D9" w:rsidRDefault="00370CCB" w14:paraId="7133ADF1" w14:textId="77777777">
            <w:pPr>
              <w:pStyle w:val="ListParagraph"/>
              <w:keepNext/>
              <w:ind w:left="-106"/>
            </w:pPr>
          </w:p>
        </w:tc>
      </w:tr>
      <w:tr w:rsidRPr="009B70E7" w:rsidR="00370CCB" w:rsidTr="00BC41D9" w14:paraId="072D9F90" w14:textId="77777777">
        <w:tc>
          <w:tcPr>
            <w:tcW w:w="1701" w:type="dxa"/>
          </w:tcPr>
          <w:p w:rsidRPr="007B231B" w:rsidR="00370CCB" w:rsidP="00BC41D9" w:rsidRDefault="00370CCB" w14:paraId="5D3A0E4C" w14:textId="77777777">
            <w:pPr>
              <w:pStyle w:val="ListParagraph"/>
              <w:keepNext/>
              <w:ind w:left="0"/>
              <w:rPr>
                <w:b/>
              </w:rPr>
            </w:pPr>
            <w:r>
              <w:rPr>
                <w:b/>
              </w:rPr>
              <w:t xml:space="preserve">Referentiedocument </w:t>
            </w:r>
          </w:p>
        </w:tc>
        <w:tc>
          <w:tcPr>
            <w:tcW w:w="5387" w:type="dxa"/>
          </w:tcPr>
          <w:p w:rsidRPr="00163106" w:rsidR="00370CCB" w:rsidP="00BC41D9" w:rsidRDefault="00D35C97" w14:paraId="174355ED" w14:textId="77777777">
            <w:pPr>
              <w:pStyle w:val="ListParagraph"/>
              <w:keepNext/>
              <w:ind w:left="-106"/>
              <w:rPr>
                <w:iCs/>
                <w:color w:val="000000"/>
              </w:rPr>
            </w:pPr>
            <w:r>
              <w:rPr>
                <w:color w:val="000000"/>
              </w:rPr>
              <w:t>Initiatiefadvies</w:t>
            </w:r>
          </w:p>
          <w:p w:rsidRPr="007B231B" w:rsidR="00370CCB" w:rsidP="00BC41D9" w:rsidRDefault="00BC29C8" w14:paraId="0D44102F" w14:textId="77777777">
            <w:pPr>
              <w:pStyle w:val="ListParagraph"/>
              <w:keepNext/>
              <w:ind w:left="-106"/>
            </w:pPr>
            <w:r>
              <w:t>EESC-2022-00344-00-00-AC</w:t>
            </w:r>
          </w:p>
        </w:tc>
      </w:tr>
    </w:tbl>
    <w:p w:rsidRPr="009B70E7" w:rsidR="00370CCB" w:rsidP="006B4ED9" w:rsidRDefault="00370CCB" w14:paraId="7C4F0B89" w14:textId="77777777">
      <w:pPr>
        <w:pStyle w:val="ListParagraph"/>
        <w:keepNext/>
        <w:spacing w:line="240" w:lineRule="auto"/>
        <w:ind w:left="567"/>
      </w:pPr>
    </w:p>
    <w:p w:rsidR="00370CCB" w:rsidP="001F1862" w:rsidRDefault="00370CCB" w14:paraId="7F7A77C2" w14:textId="453CEF85">
      <w:pPr>
        <w:pStyle w:val="ListParagraph"/>
        <w:keepNext/>
        <w:ind w:left="0"/>
        <w:rPr>
          <w:b/>
        </w:rPr>
      </w:pPr>
      <w:r>
        <w:rPr>
          <w:b/>
        </w:rPr>
        <w:t>Hoofdpunten</w:t>
      </w:r>
    </w:p>
    <w:p w:rsidR="00D35C97" w:rsidP="006B4ED9" w:rsidRDefault="00D35C97" w14:paraId="18514A63" w14:textId="77777777">
      <w:pPr>
        <w:pStyle w:val="ListParagraph"/>
        <w:keepNext/>
        <w:spacing w:line="240" w:lineRule="auto"/>
        <w:ind w:left="0"/>
        <w:rPr>
          <w:b/>
        </w:rPr>
      </w:pPr>
    </w:p>
    <w:p w:rsidRPr="009B70E7" w:rsidR="00D35C97" w:rsidP="001F1862" w:rsidRDefault="00D35C97" w14:paraId="019F63A7" w14:textId="77777777">
      <w:pPr>
        <w:pStyle w:val="ListParagraph"/>
        <w:keepNext/>
        <w:ind w:left="0"/>
        <w:rPr>
          <w:b/>
        </w:rPr>
      </w:pPr>
      <w:r>
        <w:t>Het EESC:</w:t>
      </w:r>
    </w:p>
    <w:p w:rsidR="00370CCB" w:rsidP="006B4ED9" w:rsidRDefault="00370CCB" w14:paraId="5ABEAD2C" w14:textId="77777777">
      <w:pPr>
        <w:pStyle w:val="ListParagraph"/>
        <w:spacing w:line="240" w:lineRule="auto"/>
        <w:ind w:left="0"/>
      </w:pPr>
    </w:p>
    <w:p w:rsidRPr="004646AF" w:rsidR="00370CCB" w:rsidP="00370CCB" w:rsidRDefault="00D35C97" w14:paraId="600650F8" w14:textId="77777777">
      <w:pPr>
        <w:numPr>
          <w:ilvl w:val="0"/>
          <w:numId w:val="3"/>
        </w:numPr>
        <w:ind w:left="357" w:hanging="357"/>
        <w:contextualSpacing/>
      </w:pPr>
      <w:r>
        <w:t xml:space="preserve">staat in het algemeen achter de </w:t>
      </w:r>
      <w:r>
        <w:rPr>
          <w:b/>
        </w:rPr>
        <w:t>nieuwe overeenkomst</w:t>
      </w:r>
      <w:r>
        <w:t xml:space="preserve"> en hoopt dat deze snel door de partijen kan worden ondertekend; tevens prijst het de grote inspanningen die zijn geleverd en de belangrijke toezeggingen die zijn gedaan </w:t>
      </w:r>
      <w:r>
        <w:rPr>
          <w:b/>
        </w:rPr>
        <w:t>in het kader van de duurzameontwikkelingsdoelstellingen (SDG’s) van de Verenigde Naties</w:t>
      </w:r>
      <w:r>
        <w:t>;</w:t>
      </w:r>
    </w:p>
    <w:p w:rsidRPr="00D630B8" w:rsidR="00D423EB" w:rsidP="00A74B4C" w:rsidRDefault="00D35C97" w14:paraId="6D5D132E" w14:textId="77777777">
      <w:pPr>
        <w:numPr>
          <w:ilvl w:val="0"/>
          <w:numId w:val="3"/>
        </w:numPr>
        <w:ind w:left="357" w:hanging="357"/>
        <w:contextualSpacing/>
      </w:pPr>
      <w:r>
        <w:t xml:space="preserve">acht het van essentieel belang dat maatschappelijke organisaties/sociale partners over institutionele mechanismen beschikken die — ongeacht hun benaming (economische, sociale en culturele comités, adviesraden, fora, platforms, netwerken van maatschappelijke organisaties, permanente conferenties of andere formaties) — bij wet zijn gereguleerd en formele werkzaamheden verrichten waaraan wordt deelgenomen door </w:t>
      </w:r>
      <w:r>
        <w:rPr>
          <w:b/>
        </w:rPr>
        <w:t>maatschappelijke organisaties (die een burgerdialoog voeren) en sociale partners (die een sociale dialoog voeren)</w:t>
      </w:r>
      <w:r>
        <w:t xml:space="preserve">, en die aldus een bijdrage leveren aan het debat in de </w:t>
      </w:r>
      <w:r>
        <w:rPr>
          <w:b/>
        </w:rPr>
        <w:t>publieke ruimte en de democratische arena</w:t>
      </w:r>
      <w:r>
        <w:t>;</w:t>
      </w:r>
    </w:p>
    <w:p w:rsidRPr="00D630B8" w:rsidR="00370CCB" w:rsidP="00370CCB" w:rsidRDefault="00D35C97" w14:paraId="26B5CACB" w14:textId="77777777">
      <w:pPr>
        <w:numPr>
          <w:ilvl w:val="0"/>
          <w:numId w:val="3"/>
        </w:numPr>
        <w:ind w:left="357" w:hanging="357"/>
        <w:contextualSpacing/>
      </w:pPr>
      <w:r>
        <w:t xml:space="preserve">stelt de Commissie voor om te streven naar het opzetten van </w:t>
      </w:r>
      <w:r>
        <w:rPr>
          <w:b/>
        </w:rPr>
        <w:t>vier institutionele mechanismen</w:t>
      </w:r>
      <w:r>
        <w:t>: één tussen de EU en de OACPS, een tweede tussen de EU en Afrika, een derde tussen de EU en het Caribisch gebied en een vierde tussen de EU en de Stille Oceaan;</w:t>
      </w:r>
    </w:p>
    <w:p w:rsidRPr="00D630B8" w:rsidR="00370CCB" w:rsidP="00370CCB" w:rsidRDefault="00D35C97" w14:paraId="2731839F" w14:textId="77777777">
      <w:pPr>
        <w:numPr>
          <w:ilvl w:val="0"/>
          <w:numId w:val="3"/>
        </w:numPr>
        <w:ind w:left="357" w:hanging="357"/>
        <w:contextualSpacing/>
      </w:pPr>
      <w:r>
        <w:t xml:space="preserve">stelt de Commissie ook voor om </w:t>
      </w:r>
      <w:r>
        <w:rPr>
          <w:b/>
        </w:rPr>
        <w:t>in het kader van de EPO’s raadgevende comités op te richten</w:t>
      </w:r>
      <w:r>
        <w:t>;</w:t>
      </w:r>
    </w:p>
    <w:p w:rsidR="00370CCB" w:rsidP="00D423EB" w:rsidRDefault="00D35C97" w14:paraId="3193353E" w14:textId="77777777">
      <w:pPr>
        <w:numPr>
          <w:ilvl w:val="0"/>
          <w:numId w:val="3"/>
        </w:numPr>
        <w:ind w:left="357" w:hanging="357"/>
        <w:contextualSpacing/>
      </w:pPr>
      <w:r>
        <w:t xml:space="preserve">zou bijzonder graag zien dat de Commissie over financiële instrumenten zou beschikken ter ondersteuning van </w:t>
      </w:r>
      <w:r>
        <w:rPr>
          <w:b/>
        </w:rPr>
        <w:t>onderzoeksprogramma’s en -projecten ten behoeve van maatschappelijke organisaties/sociale partners in de ACS-landen</w:t>
      </w:r>
      <w:r>
        <w:t>, waarbij rekening wordt gehouden met hun behoeften aan training op het gebied van leiderschap, technische versterking van organisaties en tenuitvoerlegging van de geplande institutionele mechanismen;</w:t>
      </w:r>
    </w:p>
    <w:p w:rsidRPr="009B70E7" w:rsidR="00BC29C8" w:rsidP="00D423EB" w:rsidRDefault="00D35C97" w14:paraId="776E5420" w14:textId="77777777">
      <w:pPr>
        <w:numPr>
          <w:ilvl w:val="0"/>
          <w:numId w:val="3"/>
        </w:numPr>
        <w:ind w:left="357" w:hanging="357"/>
        <w:contextualSpacing/>
      </w:pPr>
      <w:r>
        <w:t xml:space="preserve">verzoekt de Commissie met klem om steun te verlenen aan de werkzaamheden van het </w:t>
      </w:r>
      <w:r>
        <w:rPr>
          <w:b/>
        </w:rPr>
        <w:t>follow-upcomité ACS</w:t>
      </w:r>
      <w:r>
        <w:rPr>
          <w:b/>
        </w:rPr>
        <w:noBreakHyphen/>
        <w:t>EU van het EESC</w:t>
      </w:r>
      <w:r>
        <w:t xml:space="preserve">, dat momenteel het enige institutionele mechanisme is in het kader van de nieuwe overeenkomst tussen de EU en de OACPS. Dit comité zal een grote rol spelen in dit proces, met name door via een gestructureerde dialoog i) de instellingen te voorzien van </w:t>
      </w:r>
      <w:r>
        <w:rPr>
          <w:b/>
        </w:rPr>
        <w:t>relevante verslagen, projecten en adviezen</w:t>
      </w:r>
      <w:r>
        <w:t xml:space="preserve">; ii) de </w:t>
      </w:r>
      <w:r>
        <w:rPr>
          <w:b/>
        </w:rPr>
        <w:t>betrokkenheid van belanghebbenden uit de ACS-landen</w:t>
      </w:r>
      <w:r>
        <w:t xml:space="preserve"> te stimuleren; iii) bij te dragen tot </w:t>
      </w:r>
      <w:r>
        <w:rPr>
          <w:b/>
        </w:rPr>
        <w:t>de instelling van de beoogde institutionele mechanismen</w:t>
      </w:r>
      <w:r>
        <w:t>.</w:t>
      </w:r>
    </w:p>
    <w:p w:rsidR="00370CCB" w:rsidP="00370CCB" w:rsidRDefault="00370CCB" w14:paraId="5E9E5033" w14:textId="2B4C2D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7"/>
        <w:gridCol w:w="5725"/>
      </w:tblGrid>
      <w:tr w:rsidRPr="009B70E7" w:rsidR="00910972" w:rsidTr="006B4ED9" w14:paraId="7BA9BA0D" w14:textId="77777777">
        <w:trPr>
          <w:trHeight w:val="186"/>
        </w:trPr>
        <w:tc>
          <w:tcPr>
            <w:tcW w:w="1431" w:type="dxa"/>
          </w:tcPr>
          <w:p w:rsidRPr="009B70E7" w:rsidR="00910972" w:rsidP="006B4ED9" w:rsidRDefault="00910972" w14:paraId="52E9E39C" w14:textId="77777777">
            <w:pPr>
              <w:pStyle w:val="ListParagraph"/>
              <w:ind w:left="0"/>
              <w:rPr>
                <w:i/>
              </w:rPr>
            </w:pPr>
            <w:r>
              <w:rPr>
                <w:b/>
                <w:i/>
              </w:rPr>
              <w:t>Contactpersoon</w:t>
            </w:r>
          </w:p>
        </w:tc>
        <w:tc>
          <w:tcPr>
            <w:tcW w:w="5725" w:type="dxa"/>
          </w:tcPr>
          <w:p w:rsidRPr="009B70E7" w:rsidR="00910972" w:rsidP="006B4ED9" w:rsidRDefault="00910972" w14:paraId="71CDB51B" w14:textId="77777777">
            <w:pPr>
              <w:pStyle w:val="ListParagraph"/>
              <w:ind w:left="0"/>
              <w:rPr>
                <w:i/>
              </w:rPr>
            </w:pPr>
            <w:r>
              <w:rPr>
                <w:i/>
              </w:rPr>
              <w:t>Cédric Cabanne</w:t>
            </w:r>
          </w:p>
        </w:tc>
      </w:tr>
      <w:tr w:rsidRPr="009B70E7" w:rsidR="00910972" w:rsidTr="006B4ED9" w14:paraId="20460503" w14:textId="77777777">
        <w:trPr>
          <w:trHeight w:val="193"/>
        </w:trPr>
        <w:tc>
          <w:tcPr>
            <w:tcW w:w="1431" w:type="dxa"/>
          </w:tcPr>
          <w:p w:rsidRPr="009B70E7" w:rsidR="00910972" w:rsidP="006B4ED9" w:rsidRDefault="00910972" w14:paraId="39537EA2" w14:textId="77777777">
            <w:pPr>
              <w:pStyle w:val="ListParagraph"/>
              <w:ind w:left="601"/>
              <w:rPr>
                <w:i/>
              </w:rPr>
            </w:pPr>
            <w:r>
              <w:rPr>
                <w:i/>
              </w:rPr>
              <w:t>Tel.</w:t>
            </w:r>
          </w:p>
        </w:tc>
        <w:tc>
          <w:tcPr>
            <w:tcW w:w="5725" w:type="dxa"/>
          </w:tcPr>
          <w:p w:rsidRPr="009B70E7" w:rsidR="00910972" w:rsidP="006B4ED9" w:rsidRDefault="00910972" w14:paraId="532DD4B5" w14:textId="77777777">
            <w:pPr>
              <w:pStyle w:val="ListParagraph"/>
              <w:ind w:left="0"/>
              <w:rPr>
                <w:i/>
              </w:rPr>
            </w:pPr>
            <w:r>
              <w:rPr>
                <w:i/>
              </w:rPr>
              <w:t>00 32 2 546 93 55</w:t>
            </w:r>
          </w:p>
        </w:tc>
      </w:tr>
      <w:tr w:rsidRPr="003E692C" w:rsidR="00910972" w:rsidTr="006B4ED9" w14:paraId="1074F3A5" w14:textId="77777777">
        <w:trPr>
          <w:trHeight w:val="364"/>
        </w:trPr>
        <w:tc>
          <w:tcPr>
            <w:tcW w:w="1431" w:type="dxa"/>
          </w:tcPr>
          <w:p w:rsidRPr="009B70E7" w:rsidR="00910972" w:rsidP="006B4ED9" w:rsidRDefault="00910972" w14:paraId="393B1517" w14:textId="77777777">
            <w:pPr>
              <w:pStyle w:val="ListParagraph"/>
              <w:ind w:left="601"/>
              <w:rPr>
                <w:i/>
              </w:rPr>
            </w:pPr>
            <w:r>
              <w:rPr>
                <w:i/>
              </w:rPr>
              <w:t>E-mail</w:t>
            </w:r>
          </w:p>
        </w:tc>
        <w:tc>
          <w:tcPr>
            <w:tcW w:w="5725" w:type="dxa"/>
          </w:tcPr>
          <w:p w:rsidRPr="003E692C" w:rsidR="00910972" w:rsidP="006B4ED9" w:rsidRDefault="0003462B" w14:paraId="2AA4D465" w14:textId="77777777">
            <w:pPr>
              <w:pStyle w:val="ListParagraph"/>
              <w:ind w:left="0"/>
              <w:rPr>
                <w:i/>
                <w:color w:val="0000FF"/>
                <w:u w:val="single"/>
              </w:rPr>
            </w:pPr>
            <w:hyperlink w:history="1" r:id="rId40">
              <w:r w:rsidR="005458B6">
                <w:rPr>
                  <w:rStyle w:val="Hyperlink"/>
                  <w:i/>
                </w:rPr>
                <w:t>Cédric.Cabanne@eesc.europa.eu</w:t>
              </w:r>
            </w:hyperlink>
          </w:p>
        </w:tc>
      </w:tr>
    </w:tbl>
    <w:p w:rsidR="00910972" w:rsidP="006B4ED9" w:rsidRDefault="00910972" w14:paraId="246A3448" w14:textId="1C4DE147">
      <w:pPr>
        <w:spacing w:line="240" w:lineRule="auto"/>
      </w:pPr>
    </w:p>
    <w:p w:rsidR="00910972" w:rsidRDefault="00910972" w14:paraId="72C81FE1" w14:textId="77777777">
      <w:pPr>
        <w:spacing w:after="160" w:line="259" w:lineRule="auto"/>
        <w:jc w:val="left"/>
      </w:pPr>
      <w:r>
        <w:br w:type="page"/>
      </w:r>
    </w:p>
    <w:p w:rsidRPr="003E692C" w:rsidR="00745EAA" w:rsidP="003E692C" w:rsidRDefault="00745EAA" w14:paraId="43F93309" w14:textId="77777777">
      <w:pPr>
        <w:pStyle w:val="Heading1"/>
        <w:keepNext/>
        <w:rPr>
          <w:b/>
        </w:rPr>
      </w:pPr>
      <w:bookmarkStart w:name="_Toc109806228" w:id="19"/>
      <w:r>
        <w:rPr>
          <w:b/>
        </w:rPr>
        <w:lastRenderedPageBreak/>
        <w:t>ADVIESCOMMISSIE INDUSTRIËLE RECONVERSIE</w:t>
      </w:r>
      <w:bookmarkEnd w:id="19"/>
    </w:p>
    <w:p w:rsidRPr="006B4ED9" w:rsidR="006E3F60" w:rsidP="00745EAA" w:rsidRDefault="006E3F60" w14:paraId="4A27BE14" w14:textId="59D4B4EC">
      <w:pPr>
        <w:keepNext/>
        <w:keepLines/>
        <w:contextualSpacing/>
        <w:rPr>
          <w:b/>
          <w:sz w:val="18"/>
          <w:szCs w:val="18"/>
        </w:rPr>
      </w:pPr>
    </w:p>
    <w:p w:rsidRPr="00092425" w:rsidR="006E3F60" w:rsidP="006C3FDB" w:rsidRDefault="00092425" w14:paraId="1EE44511" w14:textId="50290012">
      <w:pPr>
        <w:keepNext/>
        <w:keepLines/>
        <w:numPr>
          <w:ilvl w:val="0"/>
          <w:numId w:val="2"/>
        </w:numPr>
        <w:ind w:left="567" w:hanging="567"/>
        <w:contextualSpacing/>
      </w:pPr>
      <w:r>
        <w:rPr>
          <w:b/>
          <w:i/>
          <w:sz w:val="28"/>
        </w:rPr>
        <w:t>Textielstrategie</w:t>
      </w:r>
    </w:p>
    <w:p w:rsidRPr="006B4ED9" w:rsidR="00092425" w:rsidP="006B4ED9" w:rsidRDefault="00092425" w14:paraId="4FF48D94" w14:textId="77777777">
      <w:pPr>
        <w:keepNext/>
        <w:keepLines/>
        <w:spacing w:line="240" w:lineRule="auto"/>
        <w:ind w:left="567"/>
        <w:contextualSpacing/>
        <w:rPr>
          <w:sz w:val="18"/>
          <w:szCs w:val="18"/>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2"/>
        <w:gridCol w:w="6946"/>
      </w:tblGrid>
      <w:tr w:rsidRPr="006E3F60" w:rsidR="006E3F60" w:rsidTr="00C25DB3" w14:paraId="25907EC0" w14:textId="77777777">
        <w:tc>
          <w:tcPr>
            <w:tcW w:w="1701" w:type="dxa"/>
          </w:tcPr>
          <w:p w:rsidRPr="006E3F60" w:rsidR="006E3F60" w:rsidP="006E3F60" w:rsidRDefault="006E3F60" w14:paraId="363A590B" w14:textId="77777777">
            <w:pPr>
              <w:keepNext/>
              <w:contextualSpacing/>
              <w:rPr>
                <w:b/>
              </w:rPr>
            </w:pPr>
            <w:r>
              <w:rPr>
                <w:b/>
              </w:rPr>
              <w:t>Rapporteur</w:t>
            </w:r>
          </w:p>
        </w:tc>
        <w:tc>
          <w:tcPr>
            <w:tcW w:w="6946" w:type="dxa"/>
          </w:tcPr>
          <w:p w:rsidRPr="006E3F60" w:rsidR="006E3F60" w:rsidP="006E3F60" w:rsidRDefault="00C25DB3" w14:paraId="7776D9DA" w14:textId="77777777">
            <w:pPr>
              <w:keepNext/>
              <w:ind w:left="-106"/>
              <w:contextualSpacing/>
            </w:pPr>
            <w:r>
              <w:t>Florian MARIN art. 86, lid 2 (Dumitri FORNEA) (groep Werknemers – RO)</w:t>
            </w:r>
          </w:p>
        </w:tc>
      </w:tr>
      <w:tr w:rsidRPr="006E3F60" w:rsidR="006E3F60" w:rsidTr="00C25DB3" w14:paraId="3818F306" w14:textId="77777777">
        <w:tc>
          <w:tcPr>
            <w:tcW w:w="1701" w:type="dxa"/>
          </w:tcPr>
          <w:p w:rsidRPr="006E3F60" w:rsidR="006E3F60" w:rsidP="006E3F60" w:rsidRDefault="006E3F60" w14:paraId="335B5DA6" w14:textId="77777777">
            <w:pPr>
              <w:keepNext/>
              <w:contextualSpacing/>
              <w:rPr>
                <w:b/>
              </w:rPr>
            </w:pPr>
            <w:r>
              <w:rPr>
                <w:b/>
              </w:rPr>
              <w:t>Corapporteur</w:t>
            </w:r>
          </w:p>
        </w:tc>
        <w:tc>
          <w:tcPr>
            <w:tcW w:w="6946" w:type="dxa"/>
          </w:tcPr>
          <w:p w:rsidRPr="006E3F60" w:rsidR="006E3F60" w:rsidP="006E3F60" w:rsidRDefault="00C25DB3" w14:paraId="5324713C" w14:textId="77777777">
            <w:pPr>
              <w:keepNext/>
              <w:ind w:left="-106"/>
              <w:contextualSpacing/>
            </w:pPr>
            <w:r>
              <w:t>Antonello PEZZINI (cat.1 – IT)</w:t>
            </w:r>
          </w:p>
        </w:tc>
      </w:tr>
      <w:tr w:rsidRPr="006E3F60" w:rsidR="006E3F60" w:rsidTr="00C25DB3" w14:paraId="3B98D2DD" w14:textId="77777777">
        <w:tc>
          <w:tcPr>
            <w:tcW w:w="8647" w:type="dxa"/>
            <w:gridSpan w:val="2"/>
          </w:tcPr>
          <w:p w:rsidRPr="006E3F60" w:rsidR="006E3F60" w:rsidP="006E3F60" w:rsidRDefault="006E3F60" w14:paraId="302FFA0F" w14:textId="77777777">
            <w:pPr>
              <w:keepNext/>
              <w:contextualSpacing/>
            </w:pPr>
          </w:p>
        </w:tc>
      </w:tr>
      <w:tr w:rsidRPr="006E3F60" w:rsidR="006E3F60" w:rsidTr="00C25DB3" w14:paraId="5C47C9B0" w14:textId="77777777">
        <w:tc>
          <w:tcPr>
            <w:tcW w:w="1701" w:type="dxa"/>
          </w:tcPr>
          <w:p w:rsidRPr="006E3F60" w:rsidR="006E3F60" w:rsidP="006E3F60" w:rsidRDefault="006E3F60" w14:paraId="70DE31B6" w14:textId="77777777">
            <w:pPr>
              <w:keepNext/>
              <w:contextualSpacing/>
              <w:rPr>
                <w:b/>
              </w:rPr>
            </w:pPr>
            <w:r>
              <w:rPr>
                <w:b/>
              </w:rPr>
              <w:t xml:space="preserve">Referentiedocument </w:t>
            </w:r>
          </w:p>
        </w:tc>
        <w:tc>
          <w:tcPr>
            <w:tcW w:w="6946" w:type="dxa"/>
          </w:tcPr>
          <w:p w:rsidRPr="006E3F60" w:rsidR="006E3F60" w:rsidP="006E3F60" w:rsidRDefault="00092425" w14:paraId="1726139F" w14:textId="4384C9D6">
            <w:pPr>
              <w:keepNext/>
              <w:ind w:left="-106"/>
              <w:contextualSpacing/>
              <w:rPr>
                <w:iCs/>
                <w:color w:val="000000"/>
              </w:rPr>
            </w:pPr>
            <w:r>
              <w:rPr>
                <w:color w:val="000000"/>
              </w:rPr>
              <w:t>COM(2022) 141 final</w:t>
            </w:r>
          </w:p>
          <w:p w:rsidRPr="006E3F60" w:rsidR="006E3F60" w:rsidP="006E3F60" w:rsidRDefault="00C25DB3" w14:paraId="2ACB8205" w14:textId="77777777">
            <w:pPr>
              <w:keepNext/>
              <w:ind w:left="-106"/>
              <w:contextualSpacing/>
            </w:pPr>
            <w:r>
              <w:t>EESC-2022-01663-00-00-AC</w:t>
            </w:r>
          </w:p>
        </w:tc>
      </w:tr>
    </w:tbl>
    <w:p w:rsidRPr="006E3F60" w:rsidR="006E3F60" w:rsidP="006B4ED9" w:rsidRDefault="006E3F60" w14:paraId="491156E7" w14:textId="77777777">
      <w:pPr>
        <w:keepNext/>
        <w:keepLines/>
        <w:spacing w:line="240" w:lineRule="auto"/>
        <w:ind w:left="567"/>
        <w:contextualSpacing/>
      </w:pPr>
    </w:p>
    <w:p w:rsidR="006E3F60" w:rsidP="002C4B6E" w:rsidRDefault="006E3F60" w14:paraId="393FC053" w14:textId="42EB6890">
      <w:pPr>
        <w:pStyle w:val="ListParagraph"/>
        <w:spacing w:line="240" w:lineRule="auto"/>
        <w:ind w:left="-142" w:firstLine="142"/>
        <w:rPr>
          <w:b/>
        </w:rPr>
      </w:pPr>
      <w:r>
        <w:rPr>
          <w:b/>
        </w:rPr>
        <w:t>Hoofdpunten</w:t>
      </w:r>
    </w:p>
    <w:p w:rsidRPr="006B4ED9" w:rsidR="00C25DB3" w:rsidP="006B4ED9" w:rsidRDefault="00C25DB3" w14:paraId="5DC1F2E9" w14:textId="77777777">
      <w:pPr>
        <w:spacing w:line="240" w:lineRule="auto"/>
        <w:contextualSpacing/>
        <w:rPr>
          <w:b/>
          <w:sz w:val="18"/>
          <w:szCs w:val="18"/>
        </w:rPr>
      </w:pPr>
    </w:p>
    <w:p w:rsidR="006E3F60" w:rsidP="00C25DB3" w:rsidRDefault="00C25DB3" w14:paraId="7490CEC6" w14:textId="77777777">
      <w:pPr>
        <w:contextualSpacing/>
        <w:rPr>
          <w:bCs/>
          <w:iCs/>
        </w:rPr>
      </w:pPr>
      <w:r>
        <w:t>Het EESC:</w:t>
      </w:r>
    </w:p>
    <w:p w:rsidRPr="006B4ED9" w:rsidR="00C25DB3" w:rsidP="006B4ED9" w:rsidRDefault="00C25DB3" w14:paraId="725984FA" w14:textId="77777777">
      <w:pPr>
        <w:spacing w:line="240" w:lineRule="auto"/>
        <w:contextualSpacing/>
        <w:rPr>
          <w:sz w:val="18"/>
          <w:szCs w:val="18"/>
        </w:rPr>
      </w:pPr>
    </w:p>
    <w:p w:rsidRPr="006E3F60" w:rsidR="006E3F60" w:rsidP="006E3F60" w:rsidRDefault="00C25DB3" w14:paraId="6F4F5F2E" w14:textId="77777777">
      <w:pPr>
        <w:numPr>
          <w:ilvl w:val="0"/>
          <w:numId w:val="3"/>
        </w:numPr>
        <w:ind w:left="357" w:hanging="357"/>
        <w:contextualSpacing/>
      </w:pPr>
      <w:r>
        <w:t>vindt dat de textielindustrie het potentieel heeft om bij te dragen tot de EU-milieudoelstellingen en de verantwoordelijkheid moet nemen voor de milieueffecten die zij veroorzaakt;</w:t>
      </w:r>
    </w:p>
    <w:p w:rsidRPr="006E3F60" w:rsidR="00C25DB3" w:rsidP="00C25DB3" w:rsidRDefault="00C25DB3" w14:paraId="53036B5C" w14:textId="77777777">
      <w:pPr>
        <w:numPr>
          <w:ilvl w:val="0"/>
          <w:numId w:val="3"/>
        </w:numPr>
        <w:ind w:left="357" w:hanging="357"/>
        <w:contextualSpacing/>
      </w:pPr>
      <w:r>
        <w:t>onderstreept dat er een juist evenwicht moet worden gevonden tussen de kosten aan het eind van de levenscyclus voor textielproducenten en het concurrentievermogen van de sector;</w:t>
      </w:r>
    </w:p>
    <w:p w:rsidRPr="006E3F60" w:rsidR="006E3F60" w:rsidP="006E3F60" w:rsidRDefault="00C25DB3" w14:paraId="453A87CE" w14:textId="77777777">
      <w:pPr>
        <w:numPr>
          <w:ilvl w:val="0"/>
          <w:numId w:val="3"/>
        </w:numPr>
        <w:ind w:left="357" w:hanging="357"/>
        <w:contextualSpacing/>
      </w:pPr>
      <w:r>
        <w:t>steunt de uitgebreide etiketteringsvereisten met betrekking tot de mate van recycling en de voetafdruk van textielproducten als mogelijke stimulans voor consumenten om te kiezen voor duurzame producten en voor kwaliteit boven kwantiteit, maar merkt op dat dit een grondige effectbeoordeling en een grootschalige Europese voorlichtingscampagne vereist;</w:t>
      </w:r>
    </w:p>
    <w:p w:rsidRPr="006E3F60" w:rsidR="006E3F60" w:rsidP="006E3F60" w:rsidRDefault="00C25DB3" w14:paraId="7178CC70" w14:textId="77777777">
      <w:pPr>
        <w:numPr>
          <w:ilvl w:val="0"/>
          <w:numId w:val="3"/>
        </w:numPr>
        <w:ind w:left="357" w:hanging="357"/>
        <w:contextualSpacing/>
      </w:pPr>
      <w:r>
        <w:t>bekritiseert de oneerlijke concurrentiepraktijken en vindt dat er meer markttoezicht op ingevoerde producten moet komen en dat de coördinatie en de samenwerking tussen de handhavingsautoriteiten verbeterd moeten worden;</w:t>
      </w:r>
    </w:p>
    <w:p w:rsidRPr="00C25DB3" w:rsidR="006E3F60" w:rsidP="006E3F60" w:rsidRDefault="00C25DB3" w14:paraId="4247E663" w14:textId="77777777">
      <w:pPr>
        <w:numPr>
          <w:ilvl w:val="0"/>
          <w:numId w:val="3"/>
        </w:numPr>
        <w:ind w:left="357" w:hanging="357"/>
        <w:contextualSpacing/>
      </w:pPr>
      <w:r w:rsidRPr="006B4ED9">
        <w:rPr>
          <w:spacing w:val="-4"/>
        </w:rPr>
        <w:t>dringt aan op maatregelen die zorgen voor een evenwicht tussen de actoren in de textieltoeleveringsketens en pleit voor wereldwijde beste praktijken op het gebied van duurzaamheid</w:t>
      </w:r>
      <w:r>
        <w:t>;</w:t>
      </w:r>
    </w:p>
    <w:p w:rsidRPr="00C25DB3" w:rsidR="00C25DB3" w:rsidP="006E3F60" w:rsidRDefault="00C25DB3" w14:paraId="5B5E4DFD" w14:textId="77777777">
      <w:pPr>
        <w:numPr>
          <w:ilvl w:val="0"/>
          <w:numId w:val="3"/>
        </w:numPr>
        <w:ind w:left="357" w:hanging="357"/>
        <w:contextualSpacing/>
      </w:pPr>
      <w:r>
        <w:t>acht het noodzakelijk de bestaande en toekomstige handelsovereenkomsten te versterken en in het stelsel van algemene tariefpreferenties voor ontwikkelingslanden paragrafen op te nemen over duurzaamheid en mensenrechtenbescherming;</w:t>
      </w:r>
    </w:p>
    <w:p w:rsidRPr="00C25DB3" w:rsidR="00C25DB3" w:rsidP="006E3F60" w:rsidRDefault="00C25DB3" w14:paraId="4BE2BD93" w14:textId="77777777">
      <w:pPr>
        <w:numPr>
          <w:ilvl w:val="0"/>
          <w:numId w:val="3"/>
        </w:numPr>
        <w:ind w:left="357" w:hanging="357"/>
        <w:contextualSpacing/>
      </w:pPr>
      <w:r>
        <w:t>had verwacht dat er meer nadruk zou worden gelegd op de sociale aspecten in de textielsector, met name wat de rechten van werknemers en het recht op collectieve onderhandelingen betreft;</w:t>
      </w:r>
    </w:p>
    <w:p w:rsidRPr="00C25DB3" w:rsidR="00C25DB3" w:rsidP="006E3F60" w:rsidRDefault="00C25DB3" w14:paraId="548F8200" w14:textId="77777777">
      <w:pPr>
        <w:numPr>
          <w:ilvl w:val="0"/>
          <w:numId w:val="3"/>
        </w:numPr>
        <w:ind w:left="357" w:hanging="357"/>
        <w:contextualSpacing/>
      </w:pPr>
      <w:r>
        <w:t>wijst erop dat de inspectie-instanties over voldoende capaciteit moeten beschikken om een doeltreffende controle te waarborgen;</w:t>
      </w:r>
    </w:p>
    <w:p w:rsidRPr="00C25DB3" w:rsidR="00C25DB3" w:rsidP="006E3F60" w:rsidRDefault="00C25DB3" w14:paraId="207B0C6C" w14:textId="77777777">
      <w:pPr>
        <w:numPr>
          <w:ilvl w:val="0"/>
          <w:numId w:val="3"/>
        </w:numPr>
        <w:ind w:left="357" w:hanging="357"/>
        <w:contextualSpacing/>
      </w:pPr>
      <w:r w:rsidRPr="006B4ED9">
        <w:rPr>
          <w:spacing w:val="-4"/>
        </w:rPr>
        <w:t>is voorstander van verplichte zorgvuldigheidseisen voor alle ondernemingen in de EU, waarbij kleine en middelgrote ondernemingen specifiek moeten worden ondersteund bij de naleving van die eisen</w:t>
      </w:r>
      <w:r>
        <w:t>;</w:t>
      </w:r>
    </w:p>
    <w:p w:rsidRPr="00C25DB3" w:rsidR="00C25DB3" w:rsidP="006E3F60" w:rsidRDefault="00C25DB3" w14:paraId="2B985D95" w14:textId="77777777">
      <w:pPr>
        <w:numPr>
          <w:ilvl w:val="0"/>
          <w:numId w:val="3"/>
        </w:numPr>
        <w:ind w:left="357" w:hanging="357"/>
        <w:contextualSpacing/>
      </w:pPr>
      <w:r w:rsidRPr="006B4ED9">
        <w:rPr>
          <w:spacing w:val="-4"/>
        </w:rPr>
        <w:t>dringt aan op strenge maatregelen die een verbod inhouden op economische betrekkingen met entiteiten die gebruikmaken van kinderarbeid of die geen fatsoenlijke arbeidsomstandigheden bieden</w:t>
      </w:r>
      <w:r>
        <w:t>;</w:t>
      </w:r>
    </w:p>
    <w:p w:rsidR="00C25DB3" w:rsidP="006E3F60" w:rsidRDefault="00C25DB3" w14:paraId="0F4AE883" w14:textId="77777777">
      <w:pPr>
        <w:numPr>
          <w:ilvl w:val="0"/>
          <w:numId w:val="3"/>
        </w:numPr>
        <w:ind w:left="357" w:hanging="357"/>
        <w:contextualSpacing/>
      </w:pPr>
      <w:r w:rsidRPr="006B4ED9">
        <w:rPr>
          <w:spacing w:val="-4"/>
        </w:rPr>
        <w:t>vindt dat de toekomstige regeling inzake uitgebreide producentenverantwoordelijkheid “fibre-to-fibre”-recycling van textiel moet aanmoedigen in plaats van processen die circulair lijken, maar dat niet zijn</w:t>
      </w:r>
      <w:r>
        <w:t>;</w:t>
      </w:r>
    </w:p>
    <w:p w:rsidRPr="00C25DB3" w:rsidR="006E3F60" w:rsidP="006E3F60" w:rsidRDefault="00C25DB3" w14:paraId="47C692BA" w14:textId="77777777">
      <w:pPr>
        <w:numPr>
          <w:ilvl w:val="0"/>
          <w:numId w:val="3"/>
        </w:numPr>
        <w:ind w:left="357" w:hanging="357"/>
        <w:contextualSpacing/>
      </w:pPr>
      <w:r>
        <w:t>pleit voor nationale campagnes om de arbeidsmogelijkheden in de textielsector te promoten en voor financieringsprogramma’s voor de bij- en omscholing van arbeidskrachten;</w:t>
      </w:r>
    </w:p>
    <w:p w:rsidRPr="00C25DB3" w:rsidR="00C25DB3" w:rsidP="006E3F60" w:rsidRDefault="00C25DB3" w14:paraId="27F7B8B2" w14:textId="77777777">
      <w:pPr>
        <w:numPr>
          <w:ilvl w:val="0"/>
          <w:numId w:val="3"/>
        </w:numPr>
        <w:ind w:left="357" w:hanging="357"/>
        <w:contextualSpacing/>
      </w:pPr>
      <w:r>
        <w:t>dringt aan op sectorspecifieke en geharmoniseerde sociale en milieunormen voor overheidsopdrachten in de Unie.</w:t>
      </w:r>
    </w:p>
    <w:p w:rsidRPr="006E3F60" w:rsidR="00C25DB3" w:rsidP="006B4ED9" w:rsidRDefault="00C25DB3" w14:paraId="6575574F" w14:textId="77777777">
      <w:pPr>
        <w:spacing w:line="240" w:lineRule="auto"/>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7"/>
        <w:gridCol w:w="5670"/>
      </w:tblGrid>
      <w:tr w:rsidRPr="006E3F60" w:rsidR="006E3F60" w:rsidTr="00B83E7B" w14:paraId="3701C8A8" w14:textId="77777777">
        <w:tc>
          <w:tcPr>
            <w:tcW w:w="1418" w:type="dxa"/>
          </w:tcPr>
          <w:p w:rsidRPr="006E3F60" w:rsidR="006E3F60" w:rsidP="006E3F60" w:rsidRDefault="006E3F60" w14:paraId="61A358F3" w14:textId="77777777">
            <w:pPr>
              <w:contextualSpacing/>
              <w:rPr>
                <w:i/>
              </w:rPr>
            </w:pPr>
            <w:r>
              <w:rPr>
                <w:b/>
                <w:i/>
              </w:rPr>
              <w:t>Contactpersoon</w:t>
            </w:r>
          </w:p>
        </w:tc>
        <w:tc>
          <w:tcPr>
            <w:tcW w:w="5670" w:type="dxa"/>
          </w:tcPr>
          <w:p w:rsidRPr="006E3F60" w:rsidR="006E3F60" w:rsidP="006E3F60" w:rsidRDefault="00F512BB" w14:paraId="529847A8" w14:textId="77777777">
            <w:pPr>
              <w:contextualSpacing/>
              <w:rPr>
                <w:i/>
              </w:rPr>
            </w:pPr>
            <w:r>
              <w:rPr>
                <w:i/>
              </w:rPr>
              <w:t>Gerald Klec</w:t>
            </w:r>
          </w:p>
        </w:tc>
      </w:tr>
      <w:tr w:rsidRPr="006E3F60" w:rsidR="006E3F60" w:rsidTr="00B83E7B" w14:paraId="2E4F0404" w14:textId="77777777">
        <w:tc>
          <w:tcPr>
            <w:tcW w:w="1418" w:type="dxa"/>
          </w:tcPr>
          <w:p w:rsidRPr="006E3F60" w:rsidR="006E3F60" w:rsidP="006E3F60" w:rsidRDefault="006E3F60" w14:paraId="5A7B9997" w14:textId="77777777">
            <w:pPr>
              <w:ind w:left="601"/>
              <w:contextualSpacing/>
              <w:rPr>
                <w:i/>
              </w:rPr>
            </w:pPr>
            <w:r>
              <w:rPr>
                <w:i/>
              </w:rPr>
              <w:t>Tel.</w:t>
            </w:r>
          </w:p>
        </w:tc>
        <w:tc>
          <w:tcPr>
            <w:tcW w:w="5670" w:type="dxa"/>
          </w:tcPr>
          <w:p w:rsidRPr="006E3F60" w:rsidR="006E3F60" w:rsidP="006E3F60" w:rsidRDefault="00F512BB" w14:paraId="52C01769" w14:textId="77777777">
            <w:pPr>
              <w:contextualSpacing/>
              <w:rPr>
                <w:i/>
              </w:rPr>
            </w:pPr>
            <w:r>
              <w:rPr>
                <w:i/>
              </w:rPr>
              <w:t>00 32 2 546 99 09</w:t>
            </w:r>
          </w:p>
        </w:tc>
      </w:tr>
      <w:tr w:rsidRPr="006E3F60" w:rsidR="006E3F60" w:rsidTr="00B83E7B" w14:paraId="1F686407" w14:textId="77777777">
        <w:tc>
          <w:tcPr>
            <w:tcW w:w="1418" w:type="dxa"/>
          </w:tcPr>
          <w:p w:rsidRPr="006E3F60" w:rsidR="006E3F60" w:rsidP="006E3F60" w:rsidRDefault="006E3F60" w14:paraId="2859E45F" w14:textId="77777777">
            <w:pPr>
              <w:ind w:left="601"/>
              <w:contextualSpacing/>
              <w:rPr>
                <w:i/>
              </w:rPr>
            </w:pPr>
            <w:r>
              <w:rPr>
                <w:i/>
              </w:rPr>
              <w:t>E-mail</w:t>
            </w:r>
          </w:p>
        </w:tc>
        <w:tc>
          <w:tcPr>
            <w:tcW w:w="5670" w:type="dxa"/>
          </w:tcPr>
          <w:p w:rsidRPr="006E3F60" w:rsidR="006E3F60" w:rsidP="006E3F60" w:rsidRDefault="0003462B" w14:paraId="1B9ADEF7" w14:textId="77777777">
            <w:pPr>
              <w:contextualSpacing/>
              <w:rPr>
                <w:i/>
              </w:rPr>
            </w:pPr>
            <w:hyperlink w:history="1" r:id="rId41">
              <w:r w:rsidR="005458B6">
                <w:rPr>
                  <w:rStyle w:val="Hyperlink"/>
                  <w:i/>
                </w:rPr>
                <w:t>Gerald.Klec@eesc.europa.eu</w:t>
              </w:r>
            </w:hyperlink>
          </w:p>
        </w:tc>
      </w:tr>
    </w:tbl>
    <w:p w:rsidRPr="006B4ED9" w:rsidR="00910972" w:rsidP="006B4ED9" w:rsidRDefault="00910972" w14:paraId="02D22029" w14:textId="7EA4AD27">
      <w:pPr>
        <w:pStyle w:val="Heading1"/>
        <w:numPr>
          <w:ilvl w:val="0"/>
          <w:numId w:val="0"/>
        </w:numPr>
        <w:spacing w:line="240" w:lineRule="auto"/>
        <w:rPr>
          <w:sz w:val="16"/>
          <w:szCs w:val="16"/>
        </w:rPr>
      </w:pPr>
    </w:p>
    <w:p w:rsidRPr="006E3F60" w:rsidR="00DB2B61" w:rsidP="006B4ED9" w:rsidRDefault="00910972" w14:paraId="76D7F816" w14:textId="29145D64">
      <w:pPr>
        <w:spacing w:after="160" w:line="259" w:lineRule="auto"/>
        <w:jc w:val="left"/>
        <w:rPr>
          <w:b/>
          <w:i/>
          <w:sz w:val="28"/>
          <w:szCs w:val="28"/>
        </w:rPr>
      </w:pPr>
      <w:r>
        <w:br w:type="page"/>
      </w:r>
      <w:r w:rsidR="00DB2B61">
        <w:rPr>
          <w:b/>
          <w:i/>
          <w:sz w:val="28"/>
        </w:rPr>
        <w:lastRenderedPageBreak/>
        <w:t>Routekaart voor technologieën voor veiligheid en defensie</w:t>
      </w:r>
    </w:p>
    <w:p w:rsidRPr="006E3F60" w:rsidR="00DB2B61" w:rsidP="00DB2B61" w:rsidRDefault="00DB2B61" w14:paraId="56555F8C" w14:textId="77777777">
      <w:pPr>
        <w:keepNext/>
        <w:contextualSpacing/>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2"/>
        <w:gridCol w:w="6946"/>
      </w:tblGrid>
      <w:tr w:rsidRPr="006E3F60" w:rsidR="00DB2B61" w:rsidTr="00DB2B61" w14:paraId="4B203DE5" w14:textId="77777777">
        <w:tc>
          <w:tcPr>
            <w:tcW w:w="1701" w:type="dxa"/>
          </w:tcPr>
          <w:p w:rsidRPr="006E3F60" w:rsidR="00DB2B61" w:rsidP="00DB2B61" w:rsidRDefault="00DB2B61" w14:paraId="243F6BEE" w14:textId="77777777">
            <w:pPr>
              <w:keepNext/>
              <w:contextualSpacing/>
              <w:rPr>
                <w:b/>
              </w:rPr>
            </w:pPr>
            <w:r>
              <w:rPr>
                <w:b/>
              </w:rPr>
              <w:t>Rapporteur</w:t>
            </w:r>
          </w:p>
        </w:tc>
        <w:tc>
          <w:tcPr>
            <w:tcW w:w="6946" w:type="dxa"/>
          </w:tcPr>
          <w:p w:rsidRPr="006E3F60" w:rsidR="00DB2B61" w:rsidP="00DB2B61" w:rsidRDefault="00092425" w14:paraId="301C5CC8" w14:textId="7F1362E4">
            <w:pPr>
              <w:keepNext/>
              <w:ind w:left="-106"/>
              <w:contextualSpacing/>
            </w:pPr>
            <w:r>
              <w:t>Maurizio MENSI (groep Maatschappelijke Organisaties – IT)</w:t>
            </w:r>
          </w:p>
        </w:tc>
      </w:tr>
      <w:tr w:rsidRPr="006E3F60" w:rsidR="00DB2B61" w:rsidTr="00DB2B61" w14:paraId="5AEC2A75" w14:textId="77777777">
        <w:tc>
          <w:tcPr>
            <w:tcW w:w="1701" w:type="dxa"/>
          </w:tcPr>
          <w:p w:rsidRPr="006E3F60" w:rsidR="00DB2B61" w:rsidP="00DB2B61" w:rsidRDefault="00DB2B61" w14:paraId="2EF360D8" w14:textId="77777777">
            <w:pPr>
              <w:keepNext/>
              <w:contextualSpacing/>
              <w:rPr>
                <w:b/>
              </w:rPr>
            </w:pPr>
            <w:r>
              <w:rPr>
                <w:b/>
              </w:rPr>
              <w:t>Corapporteur</w:t>
            </w:r>
          </w:p>
        </w:tc>
        <w:tc>
          <w:tcPr>
            <w:tcW w:w="6946" w:type="dxa"/>
          </w:tcPr>
          <w:p w:rsidRPr="006E3F60" w:rsidR="00DB2B61" w:rsidP="00DB2B61" w:rsidRDefault="00DB2B61" w14:paraId="49D71277" w14:textId="77777777">
            <w:pPr>
              <w:keepNext/>
              <w:ind w:left="-106"/>
              <w:contextualSpacing/>
            </w:pPr>
            <w:r>
              <w:t>Jan PIE (cat. 1 – SE)</w:t>
            </w:r>
          </w:p>
        </w:tc>
      </w:tr>
      <w:tr w:rsidRPr="006E3F60" w:rsidR="00DB2B61" w:rsidTr="00DB2B61" w14:paraId="0E3AFD55" w14:textId="77777777">
        <w:tc>
          <w:tcPr>
            <w:tcW w:w="8647" w:type="dxa"/>
            <w:gridSpan w:val="2"/>
          </w:tcPr>
          <w:p w:rsidRPr="006E3F60" w:rsidR="00DB2B61" w:rsidP="00DB2B61" w:rsidRDefault="00DB2B61" w14:paraId="3125B26E" w14:textId="77777777">
            <w:pPr>
              <w:keepNext/>
              <w:contextualSpacing/>
            </w:pPr>
          </w:p>
        </w:tc>
      </w:tr>
      <w:tr w:rsidRPr="006E3F60" w:rsidR="00DB2B61" w:rsidTr="00DB2B61" w14:paraId="38CEDCE3" w14:textId="77777777">
        <w:tc>
          <w:tcPr>
            <w:tcW w:w="1701" w:type="dxa"/>
          </w:tcPr>
          <w:p w:rsidRPr="006E3F60" w:rsidR="00DB2B61" w:rsidP="00DB2B61" w:rsidRDefault="00DB2B61" w14:paraId="0815516A" w14:textId="77777777">
            <w:pPr>
              <w:keepNext/>
              <w:contextualSpacing/>
              <w:rPr>
                <w:b/>
              </w:rPr>
            </w:pPr>
            <w:r>
              <w:rPr>
                <w:b/>
              </w:rPr>
              <w:t xml:space="preserve">Referentiedocument </w:t>
            </w:r>
          </w:p>
        </w:tc>
        <w:tc>
          <w:tcPr>
            <w:tcW w:w="6946" w:type="dxa"/>
          </w:tcPr>
          <w:p w:rsidRPr="006E3F60" w:rsidR="00DB2B61" w:rsidP="00DB2B61" w:rsidRDefault="00092425" w14:paraId="34E11771" w14:textId="5B709DB2">
            <w:pPr>
              <w:keepNext/>
              <w:ind w:left="-106"/>
              <w:contextualSpacing/>
              <w:rPr>
                <w:iCs/>
                <w:color w:val="000000"/>
              </w:rPr>
            </w:pPr>
            <w:r>
              <w:rPr>
                <w:color w:val="000000"/>
              </w:rPr>
              <w:t>COM(2022) 61 final</w:t>
            </w:r>
          </w:p>
          <w:p w:rsidRPr="006E3F60" w:rsidR="00DB2B61" w:rsidP="00DB2B61" w:rsidRDefault="00DB2B61" w14:paraId="3A4D0BEA" w14:textId="77777777">
            <w:pPr>
              <w:keepNext/>
              <w:ind w:left="-106"/>
              <w:contextualSpacing/>
            </w:pPr>
            <w:r>
              <w:t>EESC-2022-007258-00-00-AC</w:t>
            </w:r>
          </w:p>
        </w:tc>
      </w:tr>
    </w:tbl>
    <w:p w:rsidRPr="006E3F60" w:rsidR="00DB2B61" w:rsidP="00DB2B61" w:rsidRDefault="00DB2B61" w14:paraId="72FCB1E0" w14:textId="77777777">
      <w:pPr>
        <w:keepNext/>
        <w:ind w:left="567"/>
        <w:contextualSpacing/>
      </w:pPr>
    </w:p>
    <w:p w:rsidR="00DB2B61" w:rsidP="00DB2B61" w:rsidRDefault="00DB2B61" w14:paraId="6340CE2B" w14:textId="710D5151">
      <w:pPr>
        <w:pStyle w:val="ListParagraph"/>
        <w:spacing w:line="240" w:lineRule="auto"/>
        <w:ind w:left="-142" w:firstLine="142"/>
        <w:rPr>
          <w:b/>
        </w:rPr>
      </w:pPr>
      <w:r>
        <w:rPr>
          <w:b/>
        </w:rPr>
        <w:t>Hoofdpunten</w:t>
      </w:r>
    </w:p>
    <w:p w:rsidRPr="00C25DB3" w:rsidR="00DB2B61" w:rsidP="00DB2B61" w:rsidRDefault="00DB2B61" w14:paraId="483221C2" w14:textId="77777777">
      <w:pPr>
        <w:contextualSpacing/>
        <w:rPr>
          <w:b/>
        </w:rPr>
      </w:pPr>
    </w:p>
    <w:p w:rsidR="00DB2B61" w:rsidP="00DB2B61" w:rsidRDefault="00DB2B61" w14:paraId="4645FD06" w14:textId="77777777">
      <w:pPr>
        <w:contextualSpacing/>
        <w:rPr>
          <w:bCs/>
          <w:iCs/>
        </w:rPr>
      </w:pPr>
      <w:r>
        <w:t>Het EESC:</w:t>
      </w:r>
    </w:p>
    <w:p w:rsidRPr="006E3F60" w:rsidR="00DB2B61" w:rsidP="00DB2B61" w:rsidRDefault="00DB2B61" w14:paraId="06089817" w14:textId="77777777">
      <w:pPr>
        <w:contextualSpacing/>
      </w:pPr>
    </w:p>
    <w:p w:rsidRPr="006E3F60" w:rsidR="00DB2B61" w:rsidP="00DB2B61" w:rsidRDefault="00DB2B61" w14:paraId="12BF53B8" w14:textId="77777777">
      <w:pPr>
        <w:numPr>
          <w:ilvl w:val="0"/>
          <w:numId w:val="3"/>
        </w:numPr>
        <w:ind w:left="357" w:hanging="357"/>
        <w:contextualSpacing/>
      </w:pPr>
      <w:r>
        <w:t>staat volledig achter de doelstellingen van de routekaart voor kritieke technologieën voor veiligheid en defensie — die bijzonder actueel is in het licht van de Russische agressie tegen Oekraïne —, namelijk het bevorderen van onderzoek, technologische ontwikkeling en innovatie, en het verminderen van de strategische afhankelijkheid van de EU op het gebied van kritieke technologieën en waardeketens voor veiligheid en defensie;</w:t>
      </w:r>
    </w:p>
    <w:p w:rsidRPr="006E3F60" w:rsidR="00DB2B61" w:rsidP="00DB2B61" w:rsidRDefault="00DB2B61" w14:paraId="50FB7782" w14:textId="77777777">
      <w:pPr>
        <w:numPr>
          <w:ilvl w:val="0"/>
          <w:numId w:val="3"/>
        </w:numPr>
        <w:ind w:left="357" w:hanging="357"/>
        <w:contextualSpacing/>
      </w:pPr>
      <w:r>
        <w:t>is ingenomen met de ambitie die blijkt uit het streven naar een alomvattende aanpak die de civiel-militaire scheidslijn overstijgt en het EU- en het nationale niveau combineert. Deze onderneming moet in hoog tempo worden uitgevoerd, aangezien de invasie van Oekraïne een waarschuwing is om veel sneller te handelen dan gewoonlijk;</w:t>
      </w:r>
    </w:p>
    <w:p w:rsidRPr="006E3F60" w:rsidR="00DB2B61" w:rsidP="00DB2B61" w:rsidRDefault="00DB2B61" w14:paraId="5A24A2DF" w14:textId="77777777">
      <w:pPr>
        <w:numPr>
          <w:ilvl w:val="0"/>
          <w:numId w:val="3"/>
        </w:numPr>
        <w:ind w:left="357" w:hanging="357"/>
        <w:contextualSpacing/>
      </w:pPr>
      <w:r>
        <w:t>verzoekt de lidstaten om hun onmiddellijke reacties op de Russische agressie tegen Oekraïne af te stemmen op de inhoud en doelstellingen van de routekaart, die een zaak van lange adem is. Nationale defensie-investeringen op korte termijn moeten op Europees niveau worden gecoördineerd om meer versnippering en dubbel werk te voorkomen;</w:t>
      </w:r>
    </w:p>
    <w:p w:rsidRPr="00C25DB3" w:rsidR="00DB2B61" w:rsidP="00DB2B61" w:rsidRDefault="00DB2B61" w14:paraId="4A892D63" w14:textId="77777777">
      <w:pPr>
        <w:numPr>
          <w:ilvl w:val="0"/>
          <w:numId w:val="3"/>
        </w:numPr>
        <w:ind w:left="357" w:hanging="357"/>
        <w:contextualSpacing/>
      </w:pPr>
      <w:r>
        <w:t>beveelt aan om het waarnemingscentrum voor kritieke technologieën te voorzien van een duidelijk bestuur, aanzienlijke middelen en een sterke institutionele positie;</w:t>
      </w:r>
    </w:p>
    <w:p w:rsidRPr="00C25DB3" w:rsidR="00DB2B61" w:rsidP="00DB2B61" w:rsidRDefault="00DB2B61" w14:paraId="0B9F09C8" w14:textId="77777777">
      <w:pPr>
        <w:numPr>
          <w:ilvl w:val="0"/>
          <w:numId w:val="3"/>
        </w:numPr>
        <w:ind w:left="357" w:hanging="357"/>
        <w:contextualSpacing/>
      </w:pPr>
      <w:r>
        <w:t>is ingenomen met de voorgestelde nauwe coördinatie met de lidstaten en pleit voor een extra forum voor uitwisselingen met het bedrijfsleven;</w:t>
      </w:r>
    </w:p>
    <w:p w:rsidRPr="00DB2B61" w:rsidR="00DB2B61" w:rsidP="00DB2B61" w:rsidRDefault="00DB2B61" w14:paraId="6F46F6D3" w14:textId="77777777">
      <w:pPr>
        <w:numPr>
          <w:ilvl w:val="0"/>
          <w:numId w:val="3"/>
        </w:numPr>
        <w:ind w:left="357" w:hanging="357"/>
        <w:contextualSpacing/>
      </w:pPr>
      <w:r>
        <w:t>is van mening dat ervoor moet worden gezorgd dat de resultaten van het waarnemingscentrum in routekaarten worden opgenomen en in vlaggenschepen worden vertaald. De overgang tussen de verschillende fasen van de technologie- en de industriële cyclus kan alleen met succes worden beheerd als het eigendom van een initiatief en de verantwoordelijkheden duidelijk zijn. Coherentie en synergieën zijn niet alleen horizontaal nodig, tussen OTO&amp;I-programma’s voor civiele en voor defensiedoeleinden, maar ook verticaal, tussen OTO&amp;I- en uitrolprogramma’s;</w:t>
      </w:r>
    </w:p>
    <w:p w:rsidRPr="00DB2B61" w:rsidR="00DB2B61" w:rsidP="00DB2B61" w:rsidRDefault="00DB2B61" w14:paraId="1077ED33" w14:textId="77777777">
      <w:pPr>
        <w:numPr>
          <w:ilvl w:val="0"/>
          <w:numId w:val="3"/>
        </w:numPr>
        <w:ind w:left="357" w:hanging="357"/>
        <w:contextualSpacing/>
      </w:pPr>
      <w:r>
        <w:t>is van mening dat vereenvoudiging en stroomlijning van EU-programma’s en -instrumenten ter ondersteuning van OTO&amp;I van fundamenteel belang zijn, in het belang van de begunstigden zelf;</w:t>
      </w:r>
    </w:p>
    <w:p w:rsidRPr="00C25DB3" w:rsidR="00DB2B61" w:rsidP="00DB2B61" w:rsidRDefault="00DB2B61" w14:paraId="63D36A68" w14:textId="77777777">
      <w:pPr>
        <w:numPr>
          <w:ilvl w:val="0"/>
          <w:numId w:val="3"/>
        </w:numPr>
        <w:ind w:left="357" w:hanging="357"/>
        <w:contextualSpacing/>
      </w:pPr>
      <w:r>
        <w:t>stelt voor een online onestopshop voor kmo’s en startende ondernemingen op te zetten, een online “kmo-hoek van de EU”, waar men vooraf gedefinieerde gegevens kan invoeren en vervolgens op maat gesneden informatie kan krijgen over de meest geschikte EU-programma’s die steun kunnen bieden.</w:t>
      </w:r>
    </w:p>
    <w:p w:rsidRPr="006E3F60" w:rsidR="00DB2B61" w:rsidP="00DB2B61" w:rsidRDefault="00DB2B61" w14:paraId="40A6106B" w14:textId="77777777"/>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7"/>
        <w:gridCol w:w="5670"/>
      </w:tblGrid>
      <w:tr w:rsidRPr="006E3F60" w:rsidR="00DB2B61" w:rsidTr="00DB2B61" w14:paraId="23C0EF0B" w14:textId="77777777">
        <w:tc>
          <w:tcPr>
            <w:tcW w:w="1418" w:type="dxa"/>
          </w:tcPr>
          <w:p w:rsidRPr="006E3F60" w:rsidR="00DB2B61" w:rsidP="00DB2B61" w:rsidRDefault="00DB2B61" w14:paraId="3DD09D48" w14:textId="77777777">
            <w:pPr>
              <w:contextualSpacing/>
              <w:rPr>
                <w:i/>
              </w:rPr>
            </w:pPr>
            <w:r>
              <w:rPr>
                <w:b/>
                <w:i/>
              </w:rPr>
              <w:t>Contactpersoon</w:t>
            </w:r>
          </w:p>
        </w:tc>
        <w:tc>
          <w:tcPr>
            <w:tcW w:w="5670" w:type="dxa"/>
          </w:tcPr>
          <w:p w:rsidRPr="006E3F60" w:rsidR="00DB2B61" w:rsidP="00DB2B61" w:rsidRDefault="00CD1982" w14:paraId="072EA6C8" w14:textId="77777777">
            <w:pPr>
              <w:contextualSpacing/>
              <w:rPr>
                <w:i/>
              </w:rPr>
            </w:pPr>
            <w:r>
              <w:rPr>
                <w:i/>
              </w:rPr>
              <w:t>Gaëlle Michelier</w:t>
            </w:r>
          </w:p>
        </w:tc>
      </w:tr>
      <w:tr w:rsidRPr="006E3F60" w:rsidR="00DB2B61" w:rsidTr="00DB2B61" w14:paraId="26445042" w14:textId="77777777">
        <w:tc>
          <w:tcPr>
            <w:tcW w:w="1418" w:type="dxa"/>
          </w:tcPr>
          <w:p w:rsidRPr="006E3F60" w:rsidR="00DB2B61" w:rsidP="00DB2B61" w:rsidRDefault="00DB2B61" w14:paraId="3B9F4F2A" w14:textId="77777777">
            <w:pPr>
              <w:ind w:left="601"/>
              <w:contextualSpacing/>
              <w:rPr>
                <w:i/>
              </w:rPr>
            </w:pPr>
            <w:r>
              <w:rPr>
                <w:i/>
              </w:rPr>
              <w:t>Tel.</w:t>
            </w:r>
          </w:p>
        </w:tc>
        <w:tc>
          <w:tcPr>
            <w:tcW w:w="5670" w:type="dxa"/>
          </w:tcPr>
          <w:p w:rsidRPr="006E3F60" w:rsidR="00DB2B61" w:rsidP="00DB2B61" w:rsidRDefault="00DB2B61" w14:paraId="69ACD3C0" w14:textId="77777777">
            <w:pPr>
              <w:contextualSpacing/>
              <w:rPr>
                <w:i/>
              </w:rPr>
            </w:pPr>
            <w:r>
              <w:rPr>
                <w:i/>
              </w:rPr>
              <w:t>00 32 2 546 96 05</w:t>
            </w:r>
          </w:p>
        </w:tc>
      </w:tr>
      <w:tr w:rsidRPr="006E3F60" w:rsidR="00DB2B61" w:rsidTr="00DB2B61" w14:paraId="5891FEB4" w14:textId="77777777">
        <w:tc>
          <w:tcPr>
            <w:tcW w:w="1418" w:type="dxa"/>
          </w:tcPr>
          <w:p w:rsidRPr="006E3F60" w:rsidR="00DB2B61" w:rsidP="00DB2B61" w:rsidRDefault="00DB2B61" w14:paraId="25C7AFD9" w14:textId="77777777">
            <w:pPr>
              <w:ind w:left="601"/>
              <w:contextualSpacing/>
              <w:rPr>
                <w:i/>
              </w:rPr>
            </w:pPr>
            <w:r>
              <w:rPr>
                <w:i/>
              </w:rPr>
              <w:t>E-mail</w:t>
            </w:r>
          </w:p>
        </w:tc>
        <w:tc>
          <w:tcPr>
            <w:tcW w:w="5670" w:type="dxa"/>
          </w:tcPr>
          <w:p w:rsidRPr="006E3F60" w:rsidR="00DB2B61" w:rsidP="00DB2B61" w:rsidRDefault="0003462B" w14:paraId="78B1D053" w14:textId="77777777">
            <w:pPr>
              <w:contextualSpacing/>
              <w:rPr>
                <w:i/>
              </w:rPr>
            </w:pPr>
            <w:hyperlink w:history="1" r:id="rId42">
              <w:r w:rsidR="005458B6">
                <w:rPr>
                  <w:rStyle w:val="Hyperlink"/>
                  <w:i/>
                </w:rPr>
                <w:t>Gaelle.Michelier@eesc.europa.eu</w:t>
              </w:r>
            </w:hyperlink>
          </w:p>
        </w:tc>
      </w:tr>
    </w:tbl>
    <w:p w:rsidR="00910972" w:rsidRDefault="00910972" w14:paraId="68E54163" w14:textId="77777777">
      <w:pPr>
        <w:overflowPunct w:val="0"/>
        <w:autoSpaceDE w:val="0"/>
        <w:autoSpaceDN w:val="0"/>
        <w:adjustRightInd w:val="0"/>
        <w:jc w:val="center"/>
        <w:textAlignment w:val="baseline"/>
      </w:pPr>
      <w:r>
        <w:t>_____________</w:t>
      </w:r>
    </w:p>
    <w:p w:rsidRPr="005B3012" w:rsidR="005B3012" w:rsidP="005B3012" w:rsidRDefault="005B3012" w14:paraId="73E537A6" w14:textId="0E4F0144"/>
    <w:sectPr w:rsidRPr="005B3012" w:rsidR="005B3012" w:rsidSect="00910972">
      <w:headerReference w:type="even" r:id="rId43"/>
      <w:headerReference w:type="default" r:id="rId44"/>
      <w:footerReference w:type="even" r:id="rId45"/>
      <w:footerReference w:type="default" r:id="rId46"/>
      <w:headerReference w:type="first" r:id="rId47"/>
      <w:footerReference w:type="first" r:id="rId48"/>
      <w:pgSz w:w="11907" w:h="16839"/>
      <w:pgMar w:top="1191" w:right="1418" w:bottom="1077" w:left="1276"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E64118" w16cid:durableId="267FAA6F"/>
  <w16cid:commentId w16cid:paraId="215C170E" w16cid:durableId="267FAA70"/>
  <w16cid:commentId w16cid:paraId="64ED25B0" w16cid:durableId="267FAA71"/>
  <w16cid:commentId w16cid:paraId="78CBB437" w16cid:durableId="267FAA72"/>
  <w16cid:commentId w16cid:paraId="39CD95AC" w16cid:durableId="267FAA73"/>
  <w16cid:commentId w16cid:paraId="1EF3AC59" w16cid:durableId="267FAA74"/>
  <w16cid:commentId w16cid:paraId="0527830A" w16cid:durableId="267FAA75"/>
  <w16cid:commentId w16cid:paraId="57DACCA8" w16cid:durableId="267FAA76"/>
  <w16cid:commentId w16cid:paraId="7FEA2171" w16cid:durableId="267FAA77"/>
  <w16cid:commentId w16cid:paraId="5411F924" w16cid:durableId="267FAA78"/>
  <w16cid:commentId w16cid:paraId="508FB51E" w16cid:durableId="267FAA79"/>
  <w16cid:commentId w16cid:paraId="34240DFA" w16cid:durableId="267FAA7A"/>
  <w16cid:commentId w16cid:paraId="6638EDA2" w16cid:durableId="267FAA7B"/>
  <w16cid:commentId w16cid:paraId="31015A6F" w16cid:durableId="267FAA7C"/>
  <w16cid:commentId w16cid:paraId="3E0FC3AA" w16cid:durableId="267FAA7D"/>
  <w16cid:commentId w16cid:paraId="38E2BDD5" w16cid:durableId="267FAA7E"/>
  <w16cid:commentId w16cid:paraId="0749A011" w16cid:durableId="267FAA7F"/>
  <w16cid:commentId w16cid:paraId="1BF73476" w16cid:durableId="267FAA80"/>
  <w16cid:commentId w16cid:paraId="75A44810" w16cid:durableId="267FAA81"/>
  <w16cid:commentId w16cid:paraId="3A6D8CAB" w16cid:durableId="267FAA82"/>
  <w16cid:commentId w16cid:paraId="5FA44054" w16cid:durableId="267FAA83"/>
  <w16cid:commentId w16cid:paraId="5FBD6FDA" w16cid:durableId="267FAA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707EF" w14:textId="77777777" w:rsidR="006B4ED9" w:rsidRDefault="006B4ED9" w:rsidP="003B0516">
      <w:pPr>
        <w:spacing w:line="240" w:lineRule="auto"/>
      </w:pPr>
      <w:r>
        <w:separator/>
      </w:r>
    </w:p>
  </w:endnote>
  <w:endnote w:type="continuationSeparator" w:id="0">
    <w:p w14:paraId="7657AFA9" w14:textId="77777777" w:rsidR="006B4ED9" w:rsidRDefault="006B4ED9"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A99BB" w14:textId="77777777" w:rsidR="006B4ED9" w:rsidRPr="00910972" w:rsidRDefault="006B4ED9" w:rsidP="00910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89D38" w14:textId="2FCCA551" w:rsidR="006B4ED9" w:rsidRPr="00910972" w:rsidRDefault="006B4ED9" w:rsidP="00910972">
    <w:pPr>
      <w:pStyle w:val="Footer"/>
    </w:pPr>
    <w:r>
      <w:t xml:space="preserve">EESC-2022-03184-00-00-TCD-TRA (EN) </w:t>
    </w:r>
    <w:r>
      <w:fldChar w:fldCharType="begin"/>
    </w:r>
    <w:r>
      <w:instrText xml:space="preserve"> PAGE  \* Arabic  \* MERGEFORMAT </w:instrText>
    </w:r>
    <w:r>
      <w:fldChar w:fldCharType="separate"/>
    </w:r>
    <w:r w:rsidR="00723A21">
      <w:rPr>
        <w:noProof/>
      </w:rPr>
      <w:t>1</w:t>
    </w:r>
    <w:r>
      <w:fldChar w:fldCharType="end"/>
    </w:r>
    <w:r>
      <w:t>/</w:t>
    </w:r>
    <w:r w:rsidR="0003462B">
      <w:fldChar w:fldCharType="begin"/>
    </w:r>
    <w:r w:rsidR="0003462B">
      <w:instrText xml:space="preserve"> NUMPAGES </w:instrText>
    </w:r>
    <w:r w:rsidR="0003462B">
      <w:fldChar w:fldCharType="separate"/>
    </w:r>
    <w:r w:rsidR="00723A21">
      <w:rPr>
        <w:noProof/>
      </w:rPr>
      <w:t>26</w:t>
    </w:r>
    <w:r w:rsidR="0003462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7D0A1" w14:textId="77777777" w:rsidR="006B4ED9" w:rsidRPr="00910972" w:rsidRDefault="006B4ED9" w:rsidP="009109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5C15F" w14:textId="77777777" w:rsidR="006B4ED9" w:rsidRPr="00910972" w:rsidRDefault="006B4ED9" w:rsidP="0091097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04860" w14:textId="13D2587E" w:rsidR="006B4ED9" w:rsidRPr="00910972" w:rsidRDefault="006B4ED9" w:rsidP="00910972">
    <w:pPr>
      <w:pStyle w:val="Footer"/>
    </w:pPr>
    <w:r>
      <w:t xml:space="preserve">EESC-2022-03184-00-00-TCD-TRA (EN) </w:t>
    </w:r>
    <w:r>
      <w:fldChar w:fldCharType="begin"/>
    </w:r>
    <w:r>
      <w:instrText xml:space="preserve"> PAGE  \* Arabic  \* MERGEFORMAT </w:instrText>
    </w:r>
    <w:r>
      <w:fldChar w:fldCharType="separate"/>
    </w:r>
    <w:r w:rsidR="00E84F7B">
      <w:rPr>
        <w:noProof/>
      </w:rPr>
      <w:t>3</w:t>
    </w:r>
    <w:r>
      <w:fldChar w:fldCharType="end"/>
    </w:r>
    <w:r>
      <w:t>/</w:t>
    </w:r>
    <w:r w:rsidR="0003462B">
      <w:fldChar w:fldCharType="begin"/>
    </w:r>
    <w:r w:rsidR="0003462B">
      <w:instrText xml:space="preserve"> NUMPAGES </w:instrText>
    </w:r>
    <w:r w:rsidR="0003462B">
      <w:fldChar w:fldCharType="separate"/>
    </w:r>
    <w:r w:rsidR="00E84F7B">
      <w:rPr>
        <w:noProof/>
      </w:rPr>
      <w:t>26</w:t>
    </w:r>
    <w:r w:rsidR="0003462B">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FE62D" w14:textId="77777777" w:rsidR="006B4ED9" w:rsidRPr="00910972" w:rsidRDefault="006B4ED9" w:rsidP="00910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60787" w14:textId="77777777" w:rsidR="006B4ED9" w:rsidRDefault="006B4ED9" w:rsidP="003B0516">
      <w:pPr>
        <w:spacing w:line="240" w:lineRule="auto"/>
      </w:pPr>
      <w:r>
        <w:separator/>
      </w:r>
    </w:p>
  </w:footnote>
  <w:footnote w:type="continuationSeparator" w:id="0">
    <w:p w14:paraId="7CEDF243" w14:textId="77777777" w:rsidR="006B4ED9" w:rsidRDefault="006B4ED9" w:rsidP="003B05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9653A" w14:textId="77777777" w:rsidR="006B4ED9" w:rsidRPr="00910972" w:rsidRDefault="006B4ED9" w:rsidP="00910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8E1A2" w14:textId="548A34A6" w:rsidR="006B4ED9" w:rsidRPr="00910972" w:rsidRDefault="006B4ED9" w:rsidP="009109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C636A" w14:textId="77777777" w:rsidR="006B4ED9" w:rsidRPr="00910972" w:rsidRDefault="006B4ED9" w:rsidP="009109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69DF2" w14:textId="77777777" w:rsidR="006B4ED9" w:rsidRPr="00910972" w:rsidRDefault="006B4ED9" w:rsidP="0091097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94FBA" w14:textId="0C1C1FB3" w:rsidR="006B4ED9" w:rsidRPr="00910972" w:rsidRDefault="006B4ED9" w:rsidP="009109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35E7F" w14:textId="77777777" w:rsidR="006B4ED9" w:rsidRPr="00910972" w:rsidRDefault="006B4ED9" w:rsidP="00910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C7ACE32"/>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2" w15:restartNumberingAfterBreak="0">
    <w:nsid w:val="0E185D1A"/>
    <w:multiLevelType w:val="hybridMultilevel"/>
    <w:tmpl w:val="F45E57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7D4193E"/>
    <w:multiLevelType w:val="hybridMultilevel"/>
    <w:tmpl w:val="0534E460"/>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D0190"/>
    <w:multiLevelType w:val="hybridMultilevel"/>
    <w:tmpl w:val="540225C6"/>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5" w15:restartNumberingAfterBreak="0">
    <w:nsid w:val="35CE609E"/>
    <w:multiLevelType w:val="hybridMultilevel"/>
    <w:tmpl w:val="A9E2E0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583FAE"/>
    <w:multiLevelType w:val="hybridMultilevel"/>
    <w:tmpl w:val="49B05486"/>
    <w:lvl w:ilvl="0" w:tplc="080C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45935A71"/>
    <w:multiLevelType w:val="hybridMultilevel"/>
    <w:tmpl w:val="C9DC9BDC"/>
    <w:lvl w:ilvl="0" w:tplc="0F1045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9" w15:restartNumberingAfterBreak="0">
    <w:nsid w:val="61D026E9"/>
    <w:multiLevelType w:val="hybridMultilevel"/>
    <w:tmpl w:val="C2A4AF8C"/>
    <w:lvl w:ilvl="0" w:tplc="08090005">
      <w:start w:val="1"/>
      <w:numFmt w:val="bullet"/>
      <w:lvlText w:val=""/>
      <w:lvlJc w:val="left"/>
      <w:pPr>
        <w:ind w:left="78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1F42C0"/>
    <w:multiLevelType w:val="hybridMultilevel"/>
    <w:tmpl w:val="207A7068"/>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1"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2" w15:restartNumberingAfterBreak="0">
    <w:nsid w:val="767D7BDC"/>
    <w:multiLevelType w:val="hybridMultilevel"/>
    <w:tmpl w:val="948AFA3C"/>
    <w:lvl w:ilvl="0" w:tplc="89029AA0">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27257"/>
    <w:multiLevelType w:val="hybridMultilevel"/>
    <w:tmpl w:val="4F50226C"/>
    <w:lvl w:ilvl="0" w:tplc="5F48E7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12"/>
  </w:num>
  <w:num w:numId="4">
    <w:abstractNumId w:val="1"/>
  </w:num>
  <w:num w:numId="5">
    <w:abstractNumId w:val="8"/>
  </w:num>
  <w:num w:numId="6">
    <w:abstractNumId w:val="5"/>
  </w:num>
  <w:num w:numId="7">
    <w:abstractNumId w:val="2"/>
  </w:num>
  <w:num w:numId="8">
    <w:abstractNumId w:val="4"/>
  </w:num>
  <w:num w:numId="9">
    <w:abstractNumId w:val="3"/>
  </w:num>
  <w:num w:numId="10">
    <w:abstractNumId w:val="13"/>
  </w:num>
  <w:num w:numId="11">
    <w:abstractNumId w:val="6"/>
  </w:num>
  <w:num w:numId="12">
    <w:abstractNumId w:val="10"/>
  </w:num>
  <w:num w:numId="13">
    <w:abstractNumId w:val="0"/>
  </w:num>
  <w:num w:numId="14">
    <w:abstractNumId w:val="0"/>
  </w:num>
  <w:num w:numId="15">
    <w:abstractNumId w:val="9"/>
  </w:num>
  <w:num w:numId="16">
    <w:abstractNumId w:val="7"/>
  </w:num>
  <w:num w:numId="17">
    <w:abstractNumId w:val="0"/>
  </w:num>
  <w:num w:numId="1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6" w:nlCheck="1" w:checkStyle="0"/>
  <w:activeWritingStyle w:appName="MSWord" w:lang="en-GB" w:vendorID="64" w:dllVersion="6" w:nlCheck="1" w:checkStyle="0"/>
  <w:activeWritingStyle w:appName="MSWord" w:lang="fr-FR" w:vendorID="64" w:dllVersion="6" w:nlCheck="1" w:checkStyle="0"/>
  <w:activeWritingStyle w:appName="MSWord" w:lang="en-AU" w:vendorID="64" w:dllVersion="6" w:nlCheck="1" w:checkStyle="0"/>
  <w:activeWritingStyle w:appName="MSWord" w:lang="en-US" w:vendorID="64" w:dllVersion="6" w:nlCheck="1" w:checkStyle="0"/>
  <w:activeWritingStyle w:appName="MSWord" w:lang="pt-PT" w:vendorID="64" w:dllVersion="6" w:nlCheck="1" w:checkStyle="0"/>
  <w:activeWritingStyle w:appName="MSWord" w:lang="de-DE" w:vendorID="64" w:dllVersion="6" w:nlCheck="1" w:checkStyle="0"/>
  <w:activeWritingStyle w:appName="MSWord" w:lang="nl-BE" w:vendorID="64" w:dllVersion="6" w:nlCheck="1" w:checkStyle="0"/>
  <w:activeWritingStyle w:appName="MSWord" w:lang="it-IT"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pt-PT" w:vendorID="64" w:dllVersion="131078" w:nlCheck="1" w:checkStyle="0"/>
  <w:activeWritingStyle w:appName="MSWord" w:lang="es-ES" w:vendorID="64" w:dllVersion="131078" w:nlCheck="1" w:checkStyle="0"/>
  <w:activeWritingStyle w:appName="MSWord" w:lang="fr-BE"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nl-BE" w:vendorID="64" w:dllVersion="131078" w:nlCheck="1" w:checkStyle="0"/>
  <w:activeWritingStyle w:appName="MSWord" w:lang="nl-NL" w:vendorID="64" w:dllVersion="131078"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4C93"/>
    <w:rsid w:val="00015E18"/>
    <w:rsid w:val="000232FA"/>
    <w:rsid w:val="0002450A"/>
    <w:rsid w:val="00025D55"/>
    <w:rsid w:val="00027072"/>
    <w:rsid w:val="00032038"/>
    <w:rsid w:val="0003271A"/>
    <w:rsid w:val="00032BAA"/>
    <w:rsid w:val="0003462B"/>
    <w:rsid w:val="00034E35"/>
    <w:rsid w:val="000402AE"/>
    <w:rsid w:val="00041C4A"/>
    <w:rsid w:val="0004205F"/>
    <w:rsid w:val="000421E0"/>
    <w:rsid w:val="0005170F"/>
    <w:rsid w:val="00055D63"/>
    <w:rsid w:val="00056079"/>
    <w:rsid w:val="00056B3E"/>
    <w:rsid w:val="0005760F"/>
    <w:rsid w:val="00063DFF"/>
    <w:rsid w:val="00064EDE"/>
    <w:rsid w:val="00070FEE"/>
    <w:rsid w:val="0007146F"/>
    <w:rsid w:val="00071F4C"/>
    <w:rsid w:val="000764E8"/>
    <w:rsid w:val="00076BA9"/>
    <w:rsid w:val="00083845"/>
    <w:rsid w:val="000911BF"/>
    <w:rsid w:val="00092425"/>
    <w:rsid w:val="000951A1"/>
    <w:rsid w:val="000956DB"/>
    <w:rsid w:val="00096786"/>
    <w:rsid w:val="000A007B"/>
    <w:rsid w:val="000A03BD"/>
    <w:rsid w:val="000A1218"/>
    <w:rsid w:val="000A74DC"/>
    <w:rsid w:val="000A7BA8"/>
    <w:rsid w:val="000B19C4"/>
    <w:rsid w:val="000C3942"/>
    <w:rsid w:val="000C43E2"/>
    <w:rsid w:val="000C6D0B"/>
    <w:rsid w:val="000D2F8F"/>
    <w:rsid w:val="000D65AC"/>
    <w:rsid w:val="000E5FFD"/>
    <w:rsid w:val="000E6108"/>
    <w:rsid w:val="000F53B7"/>
    <w:rsid w:val="000F679A"/>
    <w:rsid w:val="001000A8"/>
    <w:rsid w:val="001167A1"/>
    <w:rsid w:val="00116A1C"/>
    <w:rsid w:val="001179DB"/>
    <w:rsid w:val="00117AA8"/>
    <w:rsid w:val="00124D7C"/>
    <w:rsid w:val="00126CBC"/>
    <w:rsid w:val="001271C3"/>
    <w:rsid w:val="001400C7"/>
    <w:rsid w:val="001445A7"/>
    <w:rsid w:val="001455A1"/>
    <w:rsid w:val="00150AD8"/>
    <w:rsid w:val="001513FD"/>
    <w:rsid w:val="00163106"/>
    <w:rsid w:val="00164813"/>
    <w:rsid w:val="001744F9"/>
    <w:rsid w:val="00174763"/>
    <w:rsid w:val="0018231C"/>
    <w:rsid w:val="00182F92"/>
    <w:rsid w:val="00191597"/>
    <w:rsid w:val="001951FD"/>
    <w:rsid w:val="001A0AD4"/>
    <w:rsid w:val="001A2273"/>
    <w:rsid w:val="001B10DA"/>
    <w:rsid w:val="001B6460"/>
    <w:rsid w:val="001C4EDC"/>
    <w:rsid w:val="001C5D5C"/>
    <w:rsid w:val="001D1F54"/>
    <w:rsid w:val="001D2636"/>
    <w:rsid w:val="001D6FFF"/>
    <w:rsid w:val="001D770D"/>
    <w:rsid w:val="001E0F0C"/>
    <w:rsid w:val="001E2286"/>
    <w:rsid w:val="001E6413"/>
    <w:rsid w:val="001F1433"/>
    <w:rsid w:val="001F1862"/>
    <w:rsid w:val="001F22AC"/>
    <w:rsid w:val="001F56CE"/>
    <w:rsid w:val="001F6FD5"/>
    <w:rsid w:val="00200222"/>
    <w:rsid w:val="0020062C"/>
    <w:rsid w:val="002037FC"/>
    <w:rsid w:val="002043D7"/>
    <w:rsid w:val="002043F8"/>
    <w:rsid w:val="00215520"/>
    <w:rsid w:val="0021590B"/>
    <w:rsid w:val="00215FAB"/>
    <w:rsid w:val="00224583"/>
    <w:rsid w:val="00225BCA"/>
    <w:rsid w:val="00225C52"/>
    <w:rsid w:val="00226DC1"/>
    <w:rsid w:val="00227E12"/>
    <w:rsid w:val="00232374"/>
    <w:rsid w:val="002328D2"/>
    <w:rsid w:val="00237481"/>
    <w:rsid w:val="00242666"/>
    <w:rsid w:val="00247E02"/>
    <w:rsid w:val="00255669"/>
    <w:rsid w:val="00256F0A"/>
    <w:rsid w:val="00261FDB"/>
    <w:rsid w:val="00270828"/>
    <w:rsid w:val="002737D4"/>
    <w:rsid w:val="00276CC9"/>
    <w:rsid w:val="002776B9"/>
    <w:rsid w:val="00291154"/>
    <w:rsid w:val="00292D44"/>
    <w:rsid w:val="00293E9C"/>
    <w:rsid w:val="002A2F38"/>
    <w:rsid w:val="002A417C"/>
    <w:rsid w:val="002A6192"/>
    <w:rsid w:val="002A696A"/>
    <w:rsid w:val="002B09A7"/>
    <w:rsid w:val="002B1961"/>
    <w:rsid w:val="002B2BA3"/>
    <w:rsid w:val="002B5031"/>
    <w:rsid w:val="002B75A5"/>
    <w:rsid w:val="002B7981"/>
    <w:rsid w:val="002C0E2F"/>
    <w:rsid w:val="002C1BC2"/>
    <w:rsid w:val="002C2466"/>
    <w:rsid w:val="002C24B9"/>
    <w:rsid w:val="002C2B80"/>
    <w:rsid w:val="002C4B6E"/>
    <w:rsid w:val="002C5F52"/>
    <w:rsid w:val="002D4C38"/>
    <w:rsid w:val="002E01B5"/>
    <w:rsid w:val="002E44D6"/>
    <w:rsid w:val="002E459D"/>
    <w:rsid w:val="002E5473"/>
    <w:rsid w:val="002F32E6"/>
    <w:rsid w:val="002F63EB"/>
    <w:rsid w:val="00305834"/>
    <w:rsid w:val="00311562"/>
    <w:rsid w:val="003123CB"/>
    <w:rsid w:val="003165A9"/>
    <w:rsid w:val="0032266E"/>
    <w:rsid w:val="003227CC"/>
    <w:rsid w:val="00323A05"/>
    <w:rsid w:val="00326919"/>
    <w:rsid w:val="00331ACB"/>
    <w:rsid w:val="00331C12"/>
    <w:rsid w:val="00333F1A"/>
    <w:rsid w:val="00340F46"/>
    <w:rsid w:val="00342F72"/>
    <w:rsid w:val="00350A12"/>
    <w:rsid w:val="00350F5C"/>
    <w:rsid w:val="003527B4"/>
    <w:rsid w:val="00361E48"/>
    <w:rsid w:val="0036641A"/>
    <w:rsid w:val="00370CCB"/>
    <w:rsid w:val="00376574"/>
    <w:rsid w:val="00394949"/>
    <w:rsid w:val="00396061"/>
    <w:rsid w:val="003965BB"/>
    <w:rsid w:val="003A0DB7"/>
    <w:rsid w:val="003A7ED4"/>
    <w:rsid w:val="003B0516"/>
    <w:rsid w:val="003B3C5F"/>
    <w:rsid w:val="003B3D68"/>
    <w:rsid w:val="003B6760"/>
    <w:rsid w:val="003C07C5"/>
    <w:rsid w:val="003C2647"/>
    <w:rsid w:val="003C4D5B"/>
    <w:rsid w:val="003D33F7"/>
    <w:rsid w:val="003D4F68"/>
    <w:rsid w:val="003D57BD"/>
    <w:rsid w:val="003D76E2"/>
    <w:rsid w:val="003E2757"/>
    <w:rsid w:val="003E5137"/>
    <w:rsid w:val="003E692C"/>
    <w:rsid w:val="003F0159"/>
    <w:rsid w:val="003F2D36"/>
    <w:rsid w:val="003F510A"/>
    <w:rsid w:val="003F6382"/>
    <w:rsid w:val="0040019C"/>
    <w:rsid w:val="00400A1F"/>
    <w:rsid w:val="00403406"/>
    <w:rsid w:val="004047B1"/>
    <w:rsid w:val="00405FD9"/>
    <w:rsid w:val="00407760"/>
    <w:rsid w:val="00426ECD"/>
    <w:rsid w:val="004331B4"/>
    <w:rsid w:val="00441E45"/>
    <w:rsid w:val="004511AE"/>
    <w:rsid w:val="00456E3C"/>
    <w:rsid w:val="00462B31"/>
    <w:rsid w:val="00463300"/>
    <w:rsid w:val="004646AF"/>
    <w:rsid w:val="0046631E"/>
    <w:rsid w:val="00470719"/>
    <w:rsid w:val="00472A79"/>
    <w:rsid w:val="00472E72"/>
    <w:rsid w:val="004755C3"/>
    <w:rsid w:val="0048695C"/>
    <w:rsid w:val="004904F9"/>
    <w:rsid w:val="0049347F"/>
    <w:rsid w:val="004A46D9"/>
    <w:rsid w:val="004A5CD7"/>
    <w:rsid w:val="004B344F"/>
    <w:rsid w:val="004B7248"/>
    <w:rsid w:val="004B72DD"/>
    <w:rsid w:val="004C1E12"/>
    <w:rsid w:val="004C2872"/>
    <w:rsid w:val="004C40E4"/>
    <w:rsid w:val="004D2E64"/>
    <w:rsid w:val="004D65FF"/>
    <w:rsid w:val="004D7AC0"/>
    <w:rsid w:val="004F2430"/>
    <w:rsid w:val="004F68A8"/>
    <w:rsid w:val="00502B04"/>
    <w:rsid w:val="00502C82"/>
    <w:rsid w:val="005030F7"/>
    <w:rsid w:val="00530644"/>
    <w:rsid w:val="00533BF2"/>
    <w:rsid w:val="0053502B"/>
    <w:rsid w:val="0054010D"/>
    <w:rsid w:val="00542C6F"/>
    <w:rsid w:val="005458B6"/>
    <w:rsid w:val="00546842"/>
    <w:rsid w:val="005475DA"/>
    <w:rsid w:val="00550800"/>
    <w:rsid w:val="00554499"/>
    <w:rsid w:val="00555A39"/>
    <w:rsid w:val="00560174"/>
    <w:rsid w:val="00564924"/>
    <w:rsid w:val="00565C6E"/>
    <w:rsid w:val="00571FEB"/>
    <w:rsid w:val="00577672"/>
    <w:rsid w:val="00582A42"/>
    <w:rsid w:val="00584D91"/>
    <w:rsid w:val="0058593B"/>
    <w:rsid w:val="00586B4B"/>
    <w:rsid w:val="00590BDD"/>
    <w:rsid w:val="00594140"/>
    <w:rsid w:val="0059551E"/>
    <w:rsid w:val="005A3E6D"/>
    <w:rsid w:val="005A755F"/>
    <w:rsid w:val="005B0E27"/>
    <w:rsid w:val="005B3012"/>
    <w:rsid w:val="005C0363"/>
    <w:rsid w:val="005C7C47"/>
    <w:rsid w:val="005D621C"/>
    <w:rsid w:val="005D6E4D"/>
    <w:rsid w:val="005D7939"/>
    <w:rsid w:val="005E23CD"/>
    <w:rsid w:val="005E2C02"/>
    <w:rsid w:val="005E56F3"/>
    <w:rsid w:val="005E682E"/>
    <w:rsid w:val="005F4FFC"/>
    <w:rsid w:val="005F78D7"/>
    <w:rsid w:val="005F7E48"/>
    <w:rsid w:val="00600A25"/>
    <w:rsid w:val="006025C9"/>
    <w:rsid w:val="006119BD"/>
    <w:rsid w:val="00613467"/>
    <w:rsid w:val="0061692F"/>
    <w:rsid w:val="0062138E"/>
    <w:rsid w:val="00622822"/>
    <w:rsid w:val="00624785"/>
    <w:rsid w:val="00627B8F"/>
    <w:rsid w:val="00630047"/>
    <w:rsid w:val="00630928"/>
    <w:rsid w:val="00631509"/>
    <w:rsid w:val="00632139"/>
    <w:rsid w:val="006324DA"/>
    <w:rsid w:val="006334BE"/>
    <w:rsid w:val="00640656"/>
    <w:rsid w:val="00641262"/>
    <w:rsid w:val="00645723"/>
    <w:rsid w:val="00650DB1"/>
    <w:rsid w:val="006568C8"/>
    <w:rsid w:val="006604D8"/>
    <w:rsid w:val="00662436"/>
    <w:rsid w:val="006669FA"/>
    <w:rsid w:val="00666A72"/>
    <w:rsid w:val="00670347"/>
    <w:rsid w:val="00675177"/>
    <w:rsid w:val="00681B23"/>
    <w:rsid w:val="0068241A"/>
    <w:rsid w:val="006849A6"/>
    <w:rsid w:val="00691356"/>
    <w:rsid w:val="006967AE"/>
    <w:rsid w:val="006A3A88"/>
    <w:rsid w:val="006A42C1"/>
    <w:rsid w:val="006A5AA8"/>
    <w:rsid w:val="006B106B"/>
    <w:rsid w:val="006B265F"/>
    <w:rsid w:val="006B4ED9"/>
    <w:rsid w:val="006C3FDB"/>
    <w:rsid w:val="006C4311"/>
    <w:rsid w:val="006C4ED2"/>
    <w:rsid w:val="006D32E3"/>
    <w:rsid w:val="006D4847"/>
    <w:rsid w:val="006D6086"/>
    <w:rsid w:val="006E0E88"/>
    <w:rsid w:val="006E3078"/>
    <w:rsid w:val="006E3F60"/>
    <w:rsid w:val="006E6434"/>
    <w:rsid w:val="006F3409"/>
    <w:rsid w:val="00700030"/>
    <w:rsid w:val="007037CE"/>
    <w:rsid w:val="00704C1E"/>
    <w:rsid w:val="00705674"/>
    <w:rsid w:val="007105B2"/>
    <w:rsid w:val="007150C5"/>
    <w:rsid w:val="00715A60"/>
    <w:rsid w:val="00720D22"/>
    <w:rsid w:val="00721342"/>
    <w:rsid w:val="00721386"/>
    <w:rsid w:val="00723A21"/>
    <w:rsid w:val="00727B0D"/>
    <w:rsid w:val="007327CD"/>
    <w:rsid w:val="00732CC4"/>
    <w:rsid w:val="00733A55"/>
    <w:rsid w:val="00735256"/>
    <w:rsid w:val="0074379C"/>
    <w:rsid w:val="00745EAA"/>
    <w:rsid w:val="00746B35"/>
    <w:rsid w:val="0075250B"/>
    <w:rsid w:val="00753F2A"/>
    <w:rsid w:val="00760B02"/>
    <w:rsid w:val="00760C0A"/>
    <w:rsid w:val="0076429F"/>
    <w:rsid w:val="00765C4F"/>
    <w:rsid w:val="00771110"/>
    <w:rsid w:val="00775FDA"/>
    <w:rsid w:val="0077736D"/>
    <w:rsid w:val="00781B32"/>
    <w:rsid w:val="007830DD"/>
    <w:rsid w:val="00785F4A"/>
    <w:rsid w:val="00787CD6"/>
    <w:rsid w:val="007A0970"/>
    <w:rsid w:val="007A1548"/>
    <w:rsid w:val="007B21C5"/>
    <w:rsid w:val="007B231B"/>
    <w:rsid w:val="007B4C38"/>
    <w:rsid w:val="007B7C40"/>
    <w:rsid w:val="007C11A7"/>
    <w:rsid w:val="007C58EF"/>
    <w:rsid w:val="007C7CE2"/>
    <w:rsid w:val="007D42D1"/>
    <w:rsid w:val="007D5174"/>
    <w:rsid w:val="007E0CE8"/>
    <w:rsid w:val="007E3FFA"/>
    <w:rsid w:val="007E70D2"/>
    <w:rsid w:val="007E7A4F"/>
    <w:rsid w:val="007E7DE3"/>
    <w:rsid w:val="007F0BB7"/>
    <w:rsid w:val="007F2119"/>
    <w:rsid w:val="007F7DBA"/>
    <w:rsid w:val="00804736"/>
    <w:rsid w:val="0080501D"/>
    <w:rsid w:val="00812594"/>
    <w:rsid w:val="00813A00"/>
    <w:rsid w:val="00814E33"/>
    <w:rsid w:val="008159E1"/>
    <w:rsid w:val="008172B0"/>
    <w:rsid w:val="00822ED8"/>
    <w:rsid w:val="00824647"/>
    <w:rsid w:val="00824DCF"/>
    <w:rsid w:val="0082509A"/>
    <w:rsid w:val="00827B0E"/>
    <w:rsid w:val="008327B1"/>
    <w:rsid w:val="00833E27"/>
    <w:rsid w:val="00841374"/>
    <w:rsid w:val="00842465"/>
    <w:rsid w:val="00842BDD"/>
    <w:rsid w:val="00842C71"/>
    <w:rsid w:val="00844B87"/>
    <w:rsid w:val="0085096C"/>
    <w:rsid w:val="00855196"/>
    <w:rsid w:val="00855772"/>
    <w:rsid w:val="0086045C"/>
    <w:rsid w:val="008608BA"/>
    <w:rsid w:val="00861942"/>
    <w:rsid w:val="00861D96"/>
    <w:rsid w:val="00862DC9"/>
    <w:rsid w:val="0086458A"/>
    <w:rsid w:val="008737C0"/>
    <w:rsid w:val="008745F7"/>
    <w:rsid w:val="00881E9B"/>
    <w:rsid w:val="0088219D"/>
    <w:rsid w:val="0088465F"/>
    <w:rsid w:val="00884879"/>
    <w:rsid w:val="008854AE"/>
    <w:rsid w:val="00886448"/>
    <w:rsid w:val="008946BF"/>
    <w:rsid w:val="008A4C14"/>
    <w:rsid w:val="008B2544"/>
    <w:rsid w:val="008B26C6"/>
    <w:rsid w:val="008B2708"/>
    <w:rsid w:val="008B66DD"/>
    <w:rsid w:val="008B72DD"/>
    <w:rsid w:val="008C18DE"/>
    <w:rsid w:val="008D2131"/>
    <w:rsid w:val="008D5213"/>
    <w:rsid w:val="008E0C2F"/>
    <w:rsid w:val="008E5076"/>
    <w:rsid w:val="008F1627"/>
    <w:rsid w:val="00900BFC"/>
    <w:rsid w:val="009049FC"/>
    <w:rsid w:val="00910972"/>
    <w:rsid w:val="009109F5"/>
    <w:rsid w:val="00912E0E"/>
    <w:rsid w:val="00912F6B"/>
    <w:rsid w:val="00914265"/>
    <w:rsid w:val="009173E7"/>
    <w:rsid w:val="009177FF"/>
    <w:rsid w:val="00931584"/>
    <w:rsid w:val="00934472"/>
    <w:rsid w:val="00942238"/>
    <w:rsid w:val="0094733C"/>
    <w:rsid w:val="00947E08"/>
    <w:rsid w:val="0095386D"/>
    <w:rsid w:val="0095396D"/>
    <w:rsid w:val="00955797"/>
    <w:rsid w:val="0096099A"/>
    <w:rsid w:val="00961956"/>
    <w:rsid w:val="00961F3C"/>
    <w:rsid w:val="0096721E"/>
    <w:rsid w:val="00970971"/>
    <w:rsid w:val="00971495"/>
    <w:rsid w:val="0097659B"/>
    <w:rsid w:val="00986C7F"/>
    <w:rsid w:val="00987507"/>
    <w:rsid w:val="009954A1"/>
    <w:rsid w:val="009B0E36"/>
    <w:rsid w:val="009B2ADD"/>
    <w:rsid w:val="009B37E5"/>
    <w:rsid w:val="009B70E7"/>
    <w:rsid w:val="009B72AB"/>
    <w:rsid w:val="009C513E"/>
    <w:rsid w:val="009C574C"/>
    <w:rsid w:val="009C75E4"/>
    <w:rsid w:val="009D07F4"/>
    <w:rsid w:val="009D1CA2"/>
    <w:rsid w:val="009D2CD0"/>
    <w:rsid w:val="009D388E"/>
    <w:rsid w:val="009D5CC6"/>
    <w:rsid w:val="009E4E92"/>
    <w:rsid w:val="009E6BA2"/>
    <w:rsid w:val="009E70A3"/>
    <w:rsid w:val="009E7942"/>
    <w:rsid w:val="009F3BC5"/>
    <w:rsid w:val="009F5F78"/>
    <w:rsid w:val="009F706B"/>
    <w:rsid w:val="00A0410F"/>
    <w:rsid w:val="00A048E9"/>
    <w:rsid w:val="00A049D5"/>
    <w:rsid w:val="00A06E9E"/>
    <w:rsid w:val="00A10A98"/>
    <w:rsid w:val="00A20E9D"/>
    <w:rsid w:val="00A30792"/>
    <w:rsid w:val="00A30B84"/>
    <w:rsid w:val="00A3344B"/>
    <w:rsid w:val="00A37880"/>
    <w:rsid w:val="00A45EC3"/>
    <w:rsid w:val="00A46122"/>
    <w:rsid w:val="00A51F03"/>
    <w:rsid w:val="00A522D4"/>
    <w:rsid w:val="00A5507B"/>
    <w:rsid w:val="00A62F57"/>
    <w:rsid w:val="00A63413"/>
    <w:rsid w:val="00A6556C"/>
    <w:rsid w:val="00A659B5"/>
    <w:rsid w:val="00A661BB"/>
    <w:rsid w:val="00A720CF"/>
    <w:rsid w:val="00A74B4C"/>
    <w:rsid w:val="00A763E7"/>
    <w:rsid w:val="00A827D2"/>
    <w:rsid w:val="00A86E2C"/>
    <w:rsid w:val="00A9462E"/>
    <w:rsid w:val="00A94E45"/>
    <w:rsid w:val="00AA05F8"/>
    <w:rsid w:val="00AA5C61"/>
    <w:rsid w:val="00AA69BF"/>
    <w:rsid w:val="00AB3045"/>
    <w:rsid w:val="00AB4D68"/>
    <w:rsid w:val="00AB72EB"/>
    <w:rsid w:val="00AC567A"/>
    <w:rsid w:val="00AC7690"/>
    <w:rsid w:val="00AD1524"/>
    <w:rsid w:val="00AD3DB1"/>
    <w:rsid w:val="00AD6708"/>
    <w:rsid w:val="00AE0A52"/>
    <w:rsid w:val="00AE2E3C"/>
    <w:rsid w:val="00AF2C37"/>
    <w:rsid w:val="00AF45AD"/>
    <w:rsid w:val="00AF4F10"/>
    <w:rsid w:val="00B0753C"/>
    <w:rsid w:val="00B11964"/>
    <w:rsid w:val="00B13B9C"/>
    <w:rsid w:val="00B24B60"/>
    <w:rsid w:val="00B24C28"/>
    <w:rsid w:val="00B30118"/>
    <w:rsid w:val="00B33E54"/>
    <w:rsid w:val="00B34E93"/>
    <w:rsid w:val="00B35908"/>
    <w:rsid w:val="00B40093"/>
    <w:rsid w:val="00B40158"/>
    <w:rsid w:val="00B41E79"/>
    <w:rsid w:val="00B42F7B"/>
    <w:rsid w:val="00B4330A"/>
    <w:rsid w:val="00B44BB9"/>
    <w:rsid w:val="00B44E37"/>
    <w:rsid w:val="00B4522B"/>
    <w:rsid w:val="00B51AF6"/>
    <w:rsid w:val="00B51B20"/>
    <w:rsid w:val="00B51EBC"/>
    <w:rsid w:val="00B5317E"/>
    <w:rsid w:val="00B53791"/>
    <w:rsid w:val="00B539C0"/>
    <w:rsid w:val="00B53E01"/>
    <w:rsid w:val="00B54D49"/>
    <w:rsid w:val="00B56041"/>
    <w:rsid w:val="00B61819"/>
    <w:rsid w:val="00B62D22"/>
    <w:rsid w:val="00B656FE"/>
    <w:rsid w:val="00B7530C"/>
    <w:rsid w:val="00B76922"/>
    <w:rsid w:val="00B83E7B"/>
    <w:rsid w:val="00B85573"/>
    <w:rsid w:val="00B876EC"/>
    <w:rsid w:val="00B92B86"/>
    <w:rsid w:val="00B97AA6"/>
    <w:rsid w:val="00BA051D"/>
    <w:rsid w:val="00BA579D"/>
    <w:rsid w:val="00BB054C"/>
    <w:rsid w:val="00BB1EE2"/>
    <w:rsid w:val="00BB37C1"/>
    <w:rsid w:val="00BB3A55"/>
    <w:rsid w:val="00BB739D"/>
    <w:rsid w:val="00BC1767"/>
    <w:rsid w:val="00BC29C8"/>
    <w:rsid w:val="00BC3670"/>
    <w:rsid w:val="00BC375B"/>
    <w:rsid w:val="00BC3FCE"/>
    <w:rsid w:val="00BC41D9"/>
    <w:rsid w:val="00BD4DBF"/>
    <w:rsid w:val="00BD6E79"/>
    <w:rsid w:val="00BD7550"/>
    <w:rsid w:val="00BD7A8C"/>
    <w:rsid w:val="00BE12B3"/>
    <w:rsid w:val="00BE5754"/>
    <w:rsid w:val="00BE6D5A"/>
    <w:rsid w:val="00BF27C9"/>
    <w:rsid w:val="00BF5C7D"/>
    <w:rsid w:val="00BF6653"/>
    <w:rsid w:val="00C00B1F"/>
    <w:rsid w:val="00C0119D"/>
    <w:rsid w:val="00C10C77"/>
    <w:rsid w:val="00C23683"/>
    <w:rsid w:val="00C259DF"/>
    <w:rsid w:val="00C25DB3"/>
    <w:rsid w:val="00C331A1"/>
    <w:rsid w:val="00C34B35"/>
    <w:rsid w:val="00C445FE"/>
    <w:rsid w:val="00C44A5C"/>
    <w:rsid w:val="00C46E4F"/>
    <w:rsid w:val="00C554BB"/>
    <w:rsid w:val="00C600B5"/>
    <w:rsid w:val="00C60AE2"/>
    <w:rsid w:val="00C61E75"/>
    <w:rsid w:val="00C677AD"/>
    <w:rsid w:val="00C752C7"/>
    <w:rsid w:val="00C7574C"/>
    <w:rsid w:val="00C76C46"/>
    <w:rsid w:val="00C76D56"/>
    <w:rsid w:val="00C834A5"/>
    <w:rsid w:val="00C8431E"/>
    <w:rsid w:val="00C86F74"/>
    <w:rsid w:val="00C92102"/>
    <w:rsid w:val="00C95751"/>
    <w:rsid w:val="00C9679B"/>
    <w:rsid w:val="00C96BF2"/>
    <w:rsid w:val="00C97966"/>
    <w:rsid w:val="00CA3848"/>
    <w:rsid w:val="00CA685D"/>
    <w:rsid w:val="00CB0AEA"/>
    <w:rsid w:val="00CB0CBA"/>
    <w:rsid w:val="00CB1D03"/>
    <w:rsid w:val="00CB2A8A"/>
    <w:rsid w:val="00CB3335"/>
    <w:rsid w:val="00CB3574"/>
    <w:rsid w:val="00CB4448"/>
    <w:rsid w:val="00CB6509"/>
    <w:rsid w:val="00CC25F9"/>
    <w:rsid w:val="00CD1982"/>
    <w:rsid w:val="00CD7E1B"/>
    <w:rsid w:val="00CD7F66"/>
    <w:rsid w:val="00CE23CC"/>
    <w:rsid w:val="00CE48CB"/>
    <w:rsid w:val="00CF2F88"/>
    <w:rsid w:val="00CF3D01"/>
    <w:rsid w:val="00CF5AC7"/>
    <w:rsid w:val="00CF7F58"/>
    <w:rsid w:val="00D0023B"/>
    <w:rsid w:val="00D007F3"/>
    <w:rsid w:val="00D00BF8"/>
    <w:rsid w:val="00D014A8"/>
    <w:rsid w:val="00D04678"/>
    <w:rsid w:val="00D13F40"/>
    <w:rsid w:val="00D205F2"/>
    <w:rsid w:val="00D20C54"/>
    <w:rsid w:val="00D243A3"/>
    <w:rsid w:val="00D24601"/>
    <w:rsid w:val="00D327F0"/>
    <w:rsid w:val="00D35512"/>
    <w:rsid w:val="00D35C97"/>
    <w:rsid w:val="00D41F72"/>
    <w:rsid w:val="00D423EB"/>
    <w:rsid w:val="00D442EE"/>
    <w:rsid w:val="00D47085"/>
    <w:rsid w:val="00D534BA"/>
    <w:rsid w:val="00D55B4C"/>
    <w:rsid w:val="00D61B08"/>
    <w:rsid w:val="00D630B8"/>
    <w:rsid w:val="00D761CD"/>
    <w:rsid w:val="00D76363"/>
    <w:rsid w:val="00D80558"/>
    <w:rsid w:val="00D84FBD"/>
    <w:rsid w:val="00D85D67"/>
    <w:rsid w:val="00D86432"/>
    <w:rsid w:val="00D92EBC"/>
    <w:rsid w:val="00D944B2"/>
    <w:rsid w:val="00DA2D88"/>
    <w:rsid w:val="00DA608B"/>
    <w:rsid w:val="00DB2B61"/>
    <w:rsid w:val="00DB34D6"/>
    <w:rsid w:val="00DB6D98"/>
    <w:rsid w:val="00DC057E"/>
    <w:rsid w:val="00DC097D"/>
    <w:rsid w:val="00DC17CF"/>
    <w:rsid w:val="00DC53E9"/>
    <w:rsid w:val="00DD23A2"/>
    <w:rsid w:val="00DD289C"/>
    <w:rsid w:val="00DD53BD"/>
    <w:rsid w:val="00DE010C"/>
    <w:rsid w:val="00DE308B"/>
    <w:rsid w:val="00DE3CA7"/>
    <w:rsid w:val="00DF2640"/>
    <w:rsid w:val="00DF2B94"/>
    <w:rsid w:val="00DF349B"/>
    <w:rsid w:val="00DF3AB5"/>
    <w:rsid w:val="00DF590D"/>
    <w:rsid w:val="00E02E1A"/>
    <w:rsid w:val="00E060CF"/>
    <w:rsid w:val="00E0620E"/>
    <w:rsid w:val="00E06456"/>
    <w:rsid w:val="00E074E2"/>
    <w:rsid w:val="00E11C18"/>
    <w:rsid w:val="00E20579"/>
    <w:rsid w:val="00E207F0"/>
    <w:rsid w:val="00E20FC5"/>
    <w:rsid w:val="00E211D9"/>
    <w:rsid w:val="00E227B2"/>
    <w:rsid w:val="00E24CDF"/>
    <w:rsid w:val="00E26F29"/>
    <w:rsid w:val="00E33923"/>
    <w:rsid w:val="00E33D03"/>
    <w:rsid w:val="00E36EA1"/>
    <w:rsid w:val="00E4196E"/>
    <w:rsid w:val="00E461E1"/>
    <w:rsid w:val="00E54548"/>
    <w:rsid w:val="00E61540"/>
    <w:rsid w:val="00E64300"/>
    <w:rsid w:val="00E65D01"/>
    <w:rsid w:val="00E72E7D"/>
    <w:rsid w:val="00E81FDD"/>
    <w:rsid w:val="00E84F7B"/>
    <w:rsid w:val="00E86232"/>
    <w:rsid w:val="00E9792C"/>
    <w:rsid w:val="00EA2799"/>
    <w:rsid w:val="00EA403A"/>
    <w:rsid w:val="00EA76FF"/>
    <w:rsid w:val="00EB051C"/>
    <w:rsid w:val="00EC533C"/>
    <w:rsid w:val="00EC6B43"/>
    <w:rsid w:val="00EC78C3"/>
    <w:rsid w:val="00EC79EC"/>
    <w:rsid w:val="00ED0BA8"/>
    <w:rsid w:val="00ED2A6A"/>
    <w:rsid w:val="00ED377B"/>
    <w:rsid w:val="00ED441B"/>
    <w:rsid w:val="00ED7BC2"/>
    <w:rsid w:val="00EF0853"/>
    <w:rsid w:val="00EF6631"/>
    <w:rsid w:val="00EF688F"/>
    <w:rsid w:val="00F00603"/>
    <w:rsid w:val="00F01CF2"/>
    <w:rsid w:val="00F03950"/>
    <w:rsid w:val="00F049D6"/>
    <w:rsid w:val="00F13607"/>
    <w:rsid w:val="00F173C9"/>
    <w:rsid w:val="00F2127E"/>
    <w:rsid w:val="00F25F17"/>
    <w:rsid w:val="00F324AC"/>
    <w:rsid w:val="00F32577"/>
    <w:rsid w:val="00F349C7"/>
    <w:rsid w:val="00F37E4A"/>
    <w:rsid w:val="00F423CE"/>
    <w:rsid w:val="00F443A0"/>
    <w:rsid w:val="00F471FB"/>
    <w:rsid w:val="00F47818"/>
    <w:rsid w:val="00F508B3"/>
    <w:rsid w:val="00F512BB"/>
    <w:rsid w:val="00F545CF"/>
    <w:rsid w:val="00F6297B"/>
    <w:rsid w:val="00F63F2A"/>
    <w:rsid w:val="00F646EF"/>
    <w:rsid w:val="00F71666"/>
    <w:rsid w:val="00F804C6"/>
    <w:rsid w:val="00F80F3B"/>
    <w:rsid w:val="00F841DB"/>
    <w:rsid w:val="00F856AC"/>
    <w:rsid w:val="00F86531"/>
    <w:rsid w:val="00F86EB5"/>
    <w:rsid w:val="00F86F23"/>
    <w:rsid w:val="00F916E1"/>
    <w:rsid w:val="00F941D5"/>
    <w:rsid w:val="00F946E1"/>
    <w:rsid w:val="00F94A84"/>
    <w:rsid w:val="00F95D18"/>
    <w:rsid w:val="00FA0704"/>
    <w:rsid w:val="00FB044B"/>
    <w:rsid w:val="00FB24BA"/>
    <w:rsid w:val="00FB55E3"/>
    <w:rsid w:val="00FD3685"/>
    <w:rsid w:val="00FD3A69"/>
    <w:rsid w:val="00FE044C"/>
    <w:rsid w:val="00FE68B2"/>
    <w:rsid w:val="00FE7250"/>
    <w:rsid w:val="00FF2BA0"/>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0C22DD5"/>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05F"/>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uiPriority w:val="99"/>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iPriority w:val="99"/>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F349C7"/>
    <w:pPr>
      <w:tabs>
        <w:tab w:val="left" w:pos="440"/>
        <w:tab w:val="right" w:leader="dot" w:pos="9063"/>
      </w:tabs>
      <w:spacing w:before="240"/>
      <w:ind w:left="426" w:hanging="426"/>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nl-NL"/>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nhideWhenUsed/>
    <w:rsid w:val="00B5317E"/>
    <w:pPr>
      <w:spacing w:line="240" w:lineRule="auto"/>
    </w:pPr>
    <w:rPr>
      <w:sz w:val="20"/>
      <w:szCs w:val="20"/>
    </w:rPr>
  </w:style>
  <w:style w:type="character" w:customStyle="1" w:styleId="CommentTextChar">
    <w:name w:val="Comment Text Char"/>
    <w:basedOn w:val="DefaultParagraphFont"/>
    <w:link w:val="CommentText"/>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mailto:Margherita.Logrillo@eesc.europa.eu" TargetMode="External"/><Relationship Id="rId39" Type="http://schemas.openxmlformats.org/officeDocument/2006/relationships/hyperlink" Target="mailto:david.hoic@eesc.europa.eu" TargetMode="External"/><Relationship Id="rId21" Type="http://schemas.openxmlformats.org/officeDocument/2006/relationships/hyperlink" Target="mailto:Juri.Soosar@eesc.europa.eu" TargetMode="External"/><Relationship Id="rId34" Type="http://schemas.openxmlformats.org/officeDocument/2006/relationships/hyperlink" Target="mailto:%20Claudia.Drewes-Wran@eesc.europa.eu" TargetMode="External"/><Relationship Id="rId42" Type="http://schemas.openxmlformats.org/officeDocument/2006/relationships/hyperlink" Target="mailto:Gaelle.Michelier@eesc.europa.eu" TargetMode="External"/><Relationship Id="rId47" Type="http://schemas.openxmlformats.org/officeDocument/2006/relationships/header" Target="header6.xml"/><Relationship Id="rId50" Type="http://schemas.openxmlformats.org/officeDocument/2006/relationships/theme" Target="theme/theme1.xml"/><Relationship Id="rId55" Type="http://schemas.microsoft.com/office/2016/09/relationships/commentsIds" Target="commentsIds.xml"/><Relationship Id="rId7" Type="http://schemas.openxmlformats.org/officeDocument/2006/relationships/settings" Target="settings.xml"/><Relationship Id="rId16" Type="http://schemas.openxmlformats.org/officeDocument/2006/relationships/footer" Target="footer1.xml"/><Relationship Id="rId29" Type="http://schemas.openxmlformats.org/officeDocument/2006/relationships/hyperlink" Target="mailto:Antonio.RibeiroPereira@eesc.europa.eu" TargetMode="External"/><Relationship Id="rId11" Type="http://schemas.openxmlformats.org/officeDocument/2006/relationships/image" Target="media/image1.jpeg"/><Relationship Id="rId24" Type="http://schemas.openxmlformats.org/officeDocument/2006/relationships/hyperlink" Target="mailto:Valeria.Atzori@eesc.europa.eu" TargetMode="External"/><Relationship Id="rId32" Type="http://schemas.openxmlformats.org/officeDocument/2006/relationships/hyperlink" Target="mailto:Claudia.Drewes-Wran@eesc.europa.eu" TargetMode="External"/><Relationship Id="rId37" Type="http://schemas.openxmlformats.org/officeDocument/2006/relationships/hyperlink" Target="mailto:%20Caroline.Verhelst@eesc.europa.eu" TargetMode="External"/><Relationship Id="rId40" Type="http://schemas.openxmlformats.org/officeDocument/2006/relationships/hyperlink" Target="mailto:C&#233;dric.Cabanne@eesc.europa.eu" TargetMode="External"/><Relationship Id="rId45" Type="http://schemas.openxmlformats.org/officeDocument/2006/relationships/footer" Target="footer4.xml"/><Relationship Id="rId58"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Sergio.LorencioMatallana@eesc.europa.eu" TargetMode="External"/><Relationship Id="rId28" Type="http://schemas.openxmlformats.org/officeDocument/2006/relationships/hyperlink" Target="mailto:Francesco.Napolitano@eesc.europa.eu" TargetMode="External"/><Relationship Id="rId36" Type="http://schemas.openxmlformats.org/officeDocument/2006/relationships/hyperlink" Target="mailto:%20Caroline.Verhelst@eesc.europa.eu" TargetMode="External"/><Relationship Id="rId49" Type="http://schemas.openxmlformats.org/officeDocument/2006/relationships/fontTable" Target="fontTable.xml"/><Relationship Id="rId57"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Marie-Laurence.Drillon@eesc.europa.eu" TargetMode="External"/><Relationship Id="rId44" Type="http://schemas.openxmlformats.org/officeDocument/2006/relationships/header" Target="header5.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Juri.Soosar@eesc.europa.eu" TargetMode="External"/><Relationship Id="rId27" Type="http://schemas.openxmlformats.org/officeDocument/2006/relationships/hyperlink" Target="mailto:Maja.Radmani@eesc.europa.eu" TargetMode="External"/><Relationship Id="rId30" Type="http://schemas.openxmlformats.org/officeDocument/2006/relationships/hyperlink" Target="mailto:Giorgia.Bordignon@eesc.europa.eu" TargetMode="External"/><Relationship Id="rId35" Type="http://schemas.openxmlformats.org/officeDocument/2006/relationships/hyperlink" Target="mailto:Arturo.Iniguez@eesc.europa.eu" TargetMode="External"/><Relationship Id="rId43" Type="http://schemas.openxmlformats.org/officeDocument/2006/relationships/header" Target="header4.xml"/><Relationship Id="rId48" Type="http://schemas.openxmlformats.org/officeDocument/2006/relationships/footer" Target="footer6.xml"/><Relationship Id="rId56" Type="http://schemas.openxmlformats.org/officeDocument/2006/relationships/customXml" Target="../customXml/item1.xml"/><Relationship Id="rId8" Type="http://schemas.openxmlformats.org/officeDocument/2006/relationships/webSettings" Target="webSettings.xml"/><Relationship Id="rId12" Type="http://schemas.openxmlformats.org/officeDocument/2006/relationships/hyperlink" Target="https://www.eesc.europa.eu/nl/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Margherita.Logrillo@eesc.europa.eu" TargetMode="External"/><Relationship Id="rId33" Type="http://schemas.openxmlformats.org/officeDocument/2006/relationships/hyperlink" Target="mailto:%20dalila.bernard@eesc.europa.eu" TargetMode="External"/><Relationship Id="rId38" Type="http://schemas.openxmlformats.org/officeDocument/2006/relationships/hyperlink" Target="mailto:Gunilla.Sandberg@eesc.europa.eu" TargetMode="External"/><Relationship Id="rId46" Type="http://schemas.openxmlformats.org/officeDocument/2006/relationships/footer" Target="footer5.xml"/><Relationship Id="rId59" Type="http://schemas.openxmlformats.org/officeDocument/2006/relationships/customXml" Target="../customXml/item4.xml"/><Relationship Id="rId20" Type="http://schemas.openxmlformats.org/officeDocument/2006/relationships/hyperlink" Target="mailto:domenico.cosmai@eesc.europa.eu" TargetMode="External"/><Relationship Id="rId41" Type="http://schemas.openxmlformats.org/officeDocument/2006/relationships/hyperlink" Target="mailto:Gerald.Klec@eesc.europa.eu" TargetMode="Externa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626EADD26EE0CA468385E76F4CAC56BA" ma:contentTypeVersion="4" ma:contentTypeDescription="Defines the documents for Document Manager V2" ma:contentTypeScope="" ma:versionID="dc0fa69cc2a991f528bd5b7c516a5e87">
  <xsd:schema xmlns:xsd="http://www.w3.org/2001/XMLSchema" xmlns:xs="http://www.w3.org/2001/XMLSchema" xmlns:p="http://schemas.microsoft.com/office/2006/metadata/properties" xmlns:ns2="1299d781-265f-4ceb-999e-e1eca3df2c90" xmlns:ns3="http://schemas.microsoft.com/sharepoint/v3/fields" xmlns:ns4="4e5ad790-8ffd-4f61-866f-51e1599a4efe" targetNamespace="http://schemas.microsoft.com/office/2006/metadata/properties" ma:root="true" ma:fieldsID="32d1ef0291ab947b1497483d599cc4d6" ns2:_="" ns3:_="" ns4:_="">
    <xsd:import namespace="1299d781-265f-4ceb-999e-e1eca3df2c90"/>
    <xsd:import namespace="http://schemas.microsoft.com/sharepoint/v3/fields"/>
    <xsd:import namespace="4e5ad790-8ffd-4f61-866f-51e1599a4efe"/>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5ad790-8ffd-4f61-866f-51e1599a4efe"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P6FJPSUHKDC2-1050578159-3530</_dlc_DocId>
    <_dlc_DocIdUrl xmlns="1299d781-265f-4ceb-999e-e1eca3df2c90">
      <Url>http://dm2016/eesc/2022/_layouts/15/DocIdRedir.aspx?ID=P6FJPSUHKDC2-1050578159-3530</Url>
      <Description>P6FJPSUHKDC2-1050578159-3530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2022-08-03T12:00:00+00:00</ProductionDate>
    <DocumentNumber xmlns="4e5ad790-8ffd-4f61-866f-51e1599a4efe">3184</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2022-09-21T12:00:00+00:00</MeetingDate>
    <TaxCatchAll xmlns="1299d781-265f-4ceb-999e-e1eca3df2c90">
      <Value>55</Value>
      <Value>54</Value>
      <Value>51</Value>
      <Value>46</Value>
      <Value>45</Value>
      <Value>44</Value>
      <Value>43</Value>
      <Value>42</Value>
      <Value>41</Value>
      <Value>38</Value>
      <Value>37</Value>
      <Value>36</Value>
      <Value>34</Value>
      <Value>33</Value>
      <Value>31</Value>
      <Value>30</Value>
      <Value>29</Value>
      <Value>26</Value>
      <Value>25</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9012</FicheNumber>
    <OriginalSender xmlns="1299d781-265f-4ceb-999e-e1eca3df2c90">
      <UserInfo>
        <DisplayName>Buts Christel</DisplayName>
        <AccountId>1678</AccountId>
        <AccountType/>
      </UserInfo>
    </OriginalSender>
    <DocumentPart xmlns="1299d781-265f-4ceb-999e-e1eca3df2c90">0</DocumentPart>
    <AdoptionDate xmlns="1299d781-265f-4ceb-999e-e1eca3df2c90" xsi:nil="true"/>
    <RequestingService xmlns="1299d781-265f-4ceb-999e-e1eca3df2c90">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e5ad790-8ffd-4f61-866f-51e1599a4efe"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7F8CE188-FB16-435B-BD86-D813D78C6521}"/>
</file>

<file path=customXml/itemProps2.xml><?xml version="1.0" encoding="utf-8"?>
<ds:datastoreItem xmlns:ds="http://schemas.openxmlformats.org/officeDocument/2006/customXml" ds:itemID="{A7C3DF1E-D9A4-456D-834A-28DF26ECE875}"/>
</file>

<file path=customXml/itemProps3.xml><?xml version="1.0" encoding="utf-8"?>
<ds:datastoreItem xmlns:ds="http://schemas.openxmlformats.org/officeDocument/2006/customXml" ds:itemID="{BDDA0FD0-7B51-4F91-905B-A52016C288D2}"/>
</file>

<file path=customXml/itemProps4.xml><?xml version="1.0" encoding="utf-8"?>
<ds:datastoreItem xmlns:ds="http://schemas.openxmlformats.org/officeDocument/2006/customXml" ds:itemID="{858F9E2A-1E41-44C7-965E-FAF581B1BFDE}"/>
</file>

<file path=docProps/app.xml><?xml version="1.0" encoding="utf-8"?>
<Properties xmlns="http://schemas.openxmlformats.org/officeDocument/2006/extended-properties" xmlns:vt="http://schemas.openxmlformats.org/officeDocument/2006/docPropsVTypes">
  <Template>Normal.dotm</Template>
  <TotalTime>33</TotalTime>
  <Pages>26</Pages>
  <Words>8624</Words>
  <Characters>49157</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Summary of opinions adopted - 562nd plenary session February  2022</vt:lpstr>
    </vt:vector>
  </TitlesOfParts>
  <Company>CESE-CdR</Company>
  <LinksUpToDate>false</LinksUpToDate>
  <CharactersWithSpaces>57666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Samenvatting van goedgekeurde adviezen juli zitting</dc:title>
  <dc:subject>TCD</dc:subject>
  <dc:creator>Nieddu Emma</dc:creator>
  <cp:keywords>EESC-2022-03184-00-00-TCD-TRA-EN</cp:keywords>
  <dc:description>Rapporteur:  - Original language: EN - Date of document: 03/08/2022 - Date of meeting: 30/21/2022 14:30 - External documents:  - Administrator: Mme DAMYANOVA-KERESTELIEVA Ani Alexieva</dc:description>
  <cp:lastModifiedBy>Buts Christel</cp:lastModifiedBy>
  <cp:revision>12</cp:revision>
  <cp:lastPrinted>2022-05-02T09:48:00Z</cp:lastPrinted>
  <dcterms:created xsi:type="dcterms:W3CDTF">2022-07-19T15:37:00Z</dcterms:created>
  <dcterms:modified xsi:type="dcterms:W3CDTF">2022-08-03T08:49:00Z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19/07/2022, 29/03/2022, 04/03/2022, 15/12/2021, 13/09/2021, 03/09/2021, 28/06/2021</vt:lpwstr>
  </property>
  <property fmtid="{D5CDD505-2E9C-101B-9397-08002B2CF9AE}" pid="4" name="Pref_Time">
    <vt:lpwstr>15:30:24, 14:21:50, 16:54:06, 17:56:36, 14:13:00, 10:08:10, 08:41:48</vt:lpwstr>
  </property>
  <property fmtid="{D5CDD505-2E9C-101B-9397-08002B2CF9AE}" pid="5" name="Pref_User">
    <vt:lpwstr>enied, jhvi, enied, hnic, amett, enied, enied</vt:lpwstr>
  </property>
  <property fmtid="{D5CDD505-2E9C-101B-9397-08002B2CF9AE}" pid="6" name="Pref_FileName">
    <vt:lpwstr>EESC-2022-03184-00-00-TCD-ORI.docx, EESC-2022-01223-00-00-TCD-ORI.docx, EESC-2022-00391-00-00-TCD-ORI.docx, EESC-2021-05445-00-00-TCD-ORI.docx, EESC-2021-03366-00-01-TCD-ORI.docx, EESC-2021-03366-00-00-TCD-ORI.docx, Synthese des avis Template.docx</vt:lpwstr>
  </property>
  <property fmtid="{D5CDD505-2E9C-101B-9397-08002B2CF9AE}" pid="7" name="ContentTypeId">
    <vt:lpwstr>0x010100EA97B91038054C99906057A708A1480A00626EADD26EE0CA468385E76F4CAC56BA</vt:lpwstr>
  </property>
  <property fmtid="{D5CDD505-2E9C-101B-9397-08002B2CF9AE}" pid="8" name="_dlc_DocIdItemGuid">
    <vt:lpwstr>7ec59dbc-512d-459e-82a1-cb9b5e38305e</vt:lpwstr>
  </property>
  <property fmtid="{D5CDD505-2E9C-101B-9397-08002B2CF9AE}" pid="9" name="AvailableTranslations">
    <vt:lpwstr>36;#HU|6b229040-c589-4408-b4c1-4285663d20a8;#54;#ET|ff6c3f4c-b02c-4c3c-ab07-2c37995a7a0a;#44;#LT|a7ff5ce7-6123-4f68-865a-a57c31810414;#55;#HR|2f555653-ed1a-4fe6-8362-9082d95989e5;#41;#CS|72f9705b-0217-4fd3-bea2-cbc7ed80e26e;#29;#SV|c2ed69e7-a339-43d7-8f22-d93680a92aa0;#34;#SK|46d9fce0-ef79-4f71-b89b-cd6aa82426b8;#38;#FI|87606a43-d45f-42d6-b8c9-e1a3457db5b7;#42;#SL|98a412ae-eb01-49e9-ae3d-585a81724cfc;#31;#ES|e7a6b05b-ae16-40c8-add9-68b64b03aeba;#22;#DE|f6b31e5a-26fa-4935-b661-318e46daf27e;#33;#IT|0774613c-01ed-4e5d-a25d-11d2388de825;#30;#PL|1e03da61-4678-4e07-b136-b5024ca9197b;#43;#NL|55c6556c-b4f4-441d-9acf-c498d4f838bd;#11;#FR|d2afafd3-4c81-4f60-8f52-ee33f2f54ff3;#45;#RO|feb747a2-64cd-4299-af12-4833ddc30497;#26;#LV|46f7e311-5d9f-4663-b433-18aeccb7ace7;#37;#PT|50ccc04a-eadd-42ae-a0cb-acaf45f812ba;#46;#EL|6d4f4d51-af9b-4650-94b4-4276bee85c91</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3184</vt:i4>
  </property>
  <property fmtid="{D5CDD505-2E9C-101B-9397-08002B2CF9AE}" pid="14" name="DocumentYear">
    <vt:i4>2022</vt:i4>
  </property>
  <property fmtid="{D5CDD505-2E9C-101B-9397-08002B2CF9AE}" pid="15" name="DocumentVersion">
    <vt:i4>0</vt:i4>
  </property>
  <property fmtid="{D5CDD505-2E9C-101B-9397-08002B2CF9AE}" pid="16" name="FicheNumber">
    <vt:i4>9012</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25;#TCD|cd9d6eb6-3f4f-424a-b2d1-57c9d450eaaf</vt:lpwstr>
  </property>
  <property fmtid="{D5CDD505-2E9C-101B-9397-08002B2CF9AE}" pid="23" name="RequestingService">
    <vt:lpwstr>Greffe</vt:lpwstr>
  </property>
  <property fmtid="{D5CDD505-2E9C-101B-9397-08002B2CF9AE}" pid="24" name="Confidentiality">
    <vt:lpwstr>9;#Unrestricted|826e22d7-d029-4ec0-a450-0c28ff673572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2022-09-21T12:00:00Z</vt:filetime>
  </property>
  <property fmtid="{D5CDD505-2E9C-101B-9397-08002B2CF9AE}" pid="30" name="AvailableTranslations_0">
    <vt:lpwstr>HU|6b229040-c589-4408-b4c1-4285663d20a8;LT|a7ff5ce7-6123-4f68-865a-a57c31810414;HR|2f555653-ed1a-4fe6-8362-9082d95989e5;CS|72f9705b-0217-4fd3-bea2-cbc7ed80e26e;SV|c2ed69e7-a339-43d7-8f22-d93680a92aa0;SK|46d9fce0-ef79-4f71-b89b-cd6aa82426b8;FI|87606a43-d45f-42d6-b8c9-e1a3457db5b7;SL|98a412ae-eb01-49e9-ae3d-585a81724cfc;ES|e7a6b05b-ae16-40c8-add9-68b64b03aeba;DE|f6b31e5a-26fa-4935-b661-318e46daf27e;IT|0774613c-01ed-4e5d-a25d-11d2388de825;FR|d2afafd3-4c81-4f60-8f52-ee33f2f54ff3;RO|feb747a2-64cd-4299-af12-4833ddc30497;LV|46f7e311-5d9f-4663-b433-18aeccb7ace7;PT|50ccc04a-eadd-42ae-a0cb-acaf45f812ba;EL|6d4f4d51-af9b-4650-94b4-4276bee85c91</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HU|6b229040-c589-4408-b4c1-4285663d20a8;#34;#SK|46d9fce0-ef79-4f71-b89b-cd6aa82426b8;#33;#IT|0774613c-01ed-4e5d-a25d-11d2388de825;#31;#ES|e7a6b05b-ae16-40c8-add9-68b64b03aeba;#29;#SV|c2ed69e7-a339-43d7-8f22-d93680a92aa0;#45;#RO|feb747a2-64cd-4299-af12-4833ddc30497;#26;#LV|46f7e311-5d9f-4663-b433-18aeccb7ace7;#25;#TCD|cd9d6eb6-3f4f-424a-b2d1-57c9d450eaaf;#44;#LT|a7ff5ce7-6123-4f68-865a-a57c31810414;#22;#DE|f6b31e5a-26fa-4935-b661-318e46daf27e;#55;#HR|2f555653-ed1a-4fe6-8362-9082d95989e5;#51;#SPL-CES|32d8cb1f-c9ec-4365-95c7-8385a18618ac;#46;#EL|6d4f4d51-af9b-4650-94b4-4276bee85c91;#11;#FR|d2afafd3-4c81-4f60-8f52-ee33f2f54ff3;#38;#FI|87606a43-d45f-42d6-b8c9-e1a3457db5b7;#9;#Unrestricted|826e22d7-d029-4ec0-a450-0c28ff673572;#41;#CS|72f9705b-0217-4fd3-bea2-cbc7ed80e26e;#7;#TRA|150d2a88-1431-44e6-a8ca-0bb753ab8672;#6;#Final|ea5e6674-7b27-4bac-b091-73adbb394efe;#42;#SL|98a412ae-eb01-49e9-ae3d-585a81724cfc;#4;#EN|f2175f21-25d7-44a3-96da-d6a61b075e1b;#1;#EESC|422833ec-8d7e-4e65-8e4e-8bed07ffb729;#37;#PT|50ccc04a-eadd-42ae-a0cb-acaf45f812ba</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43;#NL|55c6556c-b4f4-441d-9acf-c498d4f838bd</vt:lpwstr>
  </property>
</Properties>
</file>