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0E7" w:rsidR="004D7AC0" w:rsidP="00116A1C" w:rsidRDefault="00B80426" w14:paraId="785AE44C" w14:textId="49AEE0B3">
      <w:pPr>
        <w:jc w:val="center"/>
      </w:pPr>
      <w:r>
        <w:rPr>
          <w:noProof/>
          <w:lang w:val="en-US"/>
        </w:rPr>
        <w:drawing>
          <wp:inline distT="0" distB="0" distL="0" distR="0" wp14:anchorId="631904CF" wp14:editId="1EE5F494">
            <wp:extent cx="1792605" cy="1239520"/>
            <wp:effectExtent l="0" t="0" r="0" b="0"/>
            <wp:docPr id="2" name="Picture 2" title="EESCLogo_LV"/>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lang w:val="en-US"/>
        </w:rPr>
        <mc:AlternateContent>
          <mc:Choice Requires="wps">
            <w:drawing>
              <wp:anchor distT="0" distB="0" distL="114300" distR="114300" simplePos="0" relativeHeight="251659264" behindDoc="1" locked="0" layoutInCell="0" allowOverlap="1" wp14:editId="54EF1FA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6C3FDB" w:rsidP="004D7AC0" w:rsidRDefault="006C3FDB" w14:paraId="2AA40ECF" w14:textId="77777777">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6C3FDB" w:rsidP="004D7AC0" w:rsidRDefault="006C3FDB" w14:paraId="2AA40ECF" w14:textId="77777777">
                      <w:pPr>
                        <w:jc w:val="center"/>
                        <w:rPr>
                          <w:rFonts w:ascii="Arial" w:hAnsi="Arial" w:cs="Arial"/>
                          <w:b/>
                          <w:bCs/>
                          <w:sz w:val="48"/>
                        </w:rPr>
                      </w:pPr>
                      <w:r>
                        <w:rPr>
                          <w:rFonts w:ascii="Arial" w:hAnsi="Arial"/>
                          <w:b/>
                          <w:sz w:val="48"/>
                        </w:rPr>
                        <w:t>LV</w:t>
                      </w:r>
                    </w:p>
                  </w:txbxContent>
                </v:textbox>
                <w10:wrap anchorx="page" anchory="page"/>
              </v:shape>
            </w:pict>
          </mc:Fallback>
        </mc:AlternateContent>
      </w:r>
    </w:p>
    <w:p w:rsidRPr="009B70E7" w:rsidR="004D7AC0" w:rsidP="00116A1C" w:rsidRDefault="004D7AC0" w14:paraId="51F52D79" w14:textId="77777777"/>
    <w:p w:rsidRPr="009B70E7" w:rsidR="004D7AC0" w:rsidP="00116A1C" w:rsidRDefault="00014C93" w14:paraId="45DE4A28" w14:textId="0EE2E322">
      <w:pPr>
        <w:jc w:val="right"/>
      </w:pPr>
      <w:r>
        <w:t>Briselē, 2022. gada 27. jūlijā</w:t>
      </w:r>
    </w:p>
    <w:p w:rsidRPr="009B70E7" w:rsidR="004D7AC0" w:rsidRDefault="004D7AC0" w14:paraId="7BCFBA24" w14:textId="77777777"/>
    <w:p w:rsidRPr="009B70E7" w:rsidR="004D7AC0" w:rsidRDefault="004D7AC0" w14:paraId="6B250092" w14:textId="77777777"/>
    <w:p w:rsidRPr="009B70E7" w:rsidR="004D7AC0" w:rsidRDefault="004D7AC0" w14:paraId="0593C6DF" w14:textId="77777777"/>
    <w:tbl>
      <w:tblPr>
        <w:tblW w:w="0" w:type="auto"/>
        <w:tblLook w:val="04A0" w:firstRow="1" w:lastRow="0" w:firstColumn="1" w:lastColumn="0" w:noHBand="0" w:noVBand="1"/>
      </w:tblPr>
      <w:tblGrid>
        <w:gridCol w:w="9289"/>
      </w:tblGrid>
      <w:tr w:rsidRPr="009B70E7" w:rsidR="004D7AC0" w:rsidTr="00662436" w14:paraId="6D7B3453" w14:textId="77777777">
        <w:tc>
          <w:tcPr>
            <w:tcW w:w="9289" w:type="dxa"/>
            <w:tcBorders>
              <w:bottom w:val="double" w:color="auto" w:sz="4" w:space="0"/>
            </w:tcBorders>
          </w:tcPr>
          <w:p w:rsidRPr="009B70E7" w:rsidR="004D7AC0" w:rsidRDefault="00DA2D88" w14:paraId="114106CC" w14:textId="7056469C">
            <w:pPr>
              <w:snapToGrid w:val="0"/>
              <w:jc w:val="center"/>
              <w:rPr>
                <w:rFonts w:eastAsia="MS Mincho"/>
                <w:b/>
                <w:sz w:val="32"/>
                <w:szCs w:val="32"/>
              </w:rPr>
            </w:pPr>
            <w:r>
              <w:rPr>
                <w:b/>
                <w:sz w:val="32"/>
              </w:rPr>
              <w:t>571. PLENĀRĀ SESIJA</w:t>
            </w:r>
            <w:r>
              <w:rPr>
                <w:b/>
                <w:sz w:val="32"/>
              </w:rPr>
              <w:br/>
            </w:r>
            <w:r>
              <w:rPr>
                <w:b/>
                <w:sz w:val="32"/>
              </w:rPr>
              <w:br/>
              <w:t>2022. gada 13. un 14. jūlijā</w:t>
            </w:r>
            <w:r>
              <w:rPr>
                <w:b/>
                <w:sz w:val="32"/>
              </w:rPr>
              <w:br/>
            </w:r>
            <w:r>
              <w:rPr>
                <w:b/>
                <w:sz w:val="32"/>
              </w:rPr>
              <w:br/>
              <w:t xml:space="preserve">PIEŅEMTO ATZINUMU UN REZOLŪCIJU, KĀ ARĪ INFORMATĪVO / NOVĒRTĒJUMA ZIŅOJUMU KOPSAVILKUMS </w:t>
            </w:r>
          </w:p>
          <w:p w:rsidRPr="009B70E7" w:rsidR="004D7AC0" w:rsidRDefault="004D7AC0" w14:paraId="06AE72EA" w14:textId="77777777">
            <w:pPr>
              <w:snapToGrid w:val="0"/>
            </w:pPr>
          </w:p>
        </w:tc>
      </w:tr>
      <w:tr w:rsidRPr="009B70E7"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9B70E7" w:rsidR="004D7AC0" w:rsidRDefault="004D7AC0" w14:paraId="2A9352A2" w14:textId="77777777">
            <w:pPr>
              <w:snapToGrid w:val="0"/>
              <w:jc w:val="center"/>
            </w:pPr>
            <w:r>
              <w:t>Šis dokuments oficiālajās valodās ir pieejams EESK tīmekļa vietnē:</w:t>
            </w:r>
            <w:r>
              <w:br/>
            </w:r>
            <w:r>
              <w:br/>
            </w:r>
            <w:hyperlink w:history="1" r:id="rId12">
              <w:r>
                <w:rPr>
                  <w:rStyle w:val="Hyperlink"/>
                  <w:highlight w:val="yellow"/>
                </w:rPr>
                <w:t>https://www.eesc.europa.eu/en/our-work/opinions-information-reports/plenary-session-summaries</w:t>
              </w:r>
            </w:hyperlink>
          </w:p>
          <w:p w:rsidRPr="009B70E7" w:rsidR="004D7AC0" w:rsidRDefault="004D7AC0" w14:paraId="70D5DBB4" w14:textId="77777777">
            <w:pPr>
              <w:snapToGrid w:val="0"/>
              <w:jc w:val="center"/>
            </w:pPr>
          </w:p>
          <w:p w:rsidRPr="009B70E7" w:rsidR="004D7AC0" w:rsidRDefault="004D7AC0" w14:paraId="575A73D6" w14:textId="77777777">
            <w:pPr>
              <w:snapToGrid w:val="0"/>
              <w:jc w:val="center"/>
              <w:rPr>
                <w:rFonts w:eastAsia="SimSun"/>
              </w:rPr>
            </w:pPr>
          </w:p>
          <w:p w:rsidRPr="009B70E7" w:rsidR="004D7AC0" w:rsidRDefault="004D7AC0" w14:paraId="441AC4DD" w14:textId="77777777">
            <w:pPr>
              <w:snapToGrid w:val="0"/>
              <w:jc w:val="center"/>
            </w:pPr>
            <w:r>
              <w:t>Ar atzinumiem var iepazīties tiešsaistē, izmantojot EESK meklētājprogrammu:</w:t>
            </w:r>
            <w:r>
              <w:br/>
            </w:r>
            <w:r>
              <w:br/>
            </w:r>
            <w:hyperlink w:history="1" r:id="rId13">
              <w:r>
                <w:rPr>
                  <w:rStyle w:val="Hyperlink"/>
                </w:rPr>
                <w:t>https://dmsearch.eesc.europa.eu/search/opinion</w:t>
              </w:r>
            </w:hyperlink>
          </w:p>
          <w:p w:rsidRPr="009B70E7" w:rsidR="004D7AC0" w:rsidRDefault="004D7AC0" w14:paraId="51FF303F" w14:textId="77777777">
            <w:pPr>
              <w:snapToGrid w:val="0"/>
              <w:jc w:val="center"/>
            </w:pPr>
          </w:p>
        </w:tc>
      </w:tr>
    </w:tbl>
    <w:p w:rsidRPr="009B70E7" w:rsidR="004D7AC0" w:rsidRDefault="004D7AC0" w14:paraId="57C291FC" w14:textId="77777777">
      <w:bookmarkStart w:name="_GoBack" w:id="0"/>
      <w:bookmarkEnd w:id="0"/>
    </w:p>
    <w:p w:rsidRPr="009B70E7" w:rsidR="004D7AC0" w:rsidRDefault="004D7AC0" w14:paraId="5E675360" w14:textId="77777777"/>
    <w:p w:rsidR="007B7C40" w:rsidRDefault="007B7C40" w14:paraId="3CF67A1E" w14:textId="77777777">
      <w:pPr>
        <w:sectPr w:rsidR="007B7C40" w:rsidSect="0091097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9B70E7" w:rsidR="004D7AC0" w:rsidRDefault="004D7AC0" w14:paraId="56B7AE7C" w14:textId="77777777">
      <w:pPr>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noProof/>
        </w:rPr>
      </w:sdtEndPr>
      <w:sdtContent>
        <w:p w:rsidR="001E6413" w:rsidRDefault="001E6413" w14:paraId="5FAD9FDD" w14:textId="77777777">
          <w:pPr>
            <w:pStyle w:val="TOCHeading"/>
          </w:pPr>
          <w:r>
            <w:t>Satura rādītājs</w:t>
          </w:r>
        </w:p>
        <w:p w:rsidR="000433B6" w:rsidRDefault="001E6413" w14:paraId="7F75270F" w14:textId="6B46E9C0">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10414902">
            <w:r w:rsidRPr="00FC7A31" w:rsidR="000433B6">
              <w:rPr>
                <w:rStyle w:val="Hyperlink"/>
                <w:noProof/>
                <w14:scene3d>
                  <w14:camera w14:prst="orthographicFront"/>
                  <w14:lightRig w14:rig="threePt" w14:dir="t">
                    <w14:rot w14:lat="0" w14:lon="0" w14:rev="0"/>
                  </w14:lightRig>
                </w14:scene3d>
              </w:rPr>
              <w:t>1.</w:t>
            </w:r>
            <w:r w:rsidR="000433B6">
              <w:rPr>
                <w:rFonts w:asciiTheme="minorHAnsi" w:hAnsiTheme="minorHAnsi" w:eastAsiaTheme="minorEastAsia" w:cstheme="minorBidi"/>
                <w:noProof/>
                <w:lang w:val="en-US"/>
              </w:rPr>
              <w:tab/>
            </w:r>
            <w:r w:rsidRPr="00FC7A31" w:rsidR="000433B6">
              <w:rPr>
                <w:rStyle w:val="Hyperlink"/>
                <w:b/>
                <w:noProof/>
              </w:rPr>
              <w:t>REZOLŪCIJA PAR EIROPAS EKONOMIKAS UN SOCIĀLO LIETU KOMITEJAS IEGULDĪJUMU EIROPAS KOMISIJAS 2023. GADA DARBA PROGRAMMĀ</w:t>
            </w:r>
            <w:r w:rsidR="000433B6">
              <w:rPr>
                <w:noProof/>
                <w:webHidden/>
              </w:rPr>
              <w:tab/>
            </w:r>
            <w:r w:rsidR="000433B6">
              <w:rPr>
                <w:noProof/>
                <w:webHidden/>
              </w:rPr>
              <w:fldChar w:fldCharType="begin"/>
            </w:r>
            <w:r w:rsidR="000433B6">
              <w:rPr>
                <w:noProof/>
                <w:webHidden/>
              </w:rPr>
              <w:instrText xml:space="preserve"> PAGEREF _Toc110414902 \h </w:instrText>
            </w:r>
            <w:r w:rsidR="000433B6">
              <w:rPr>
                <w:noProof/>
                <w:webHidden/>
              </w:rPr>
            </w:r>
            <w:r w:rsidR="000433B6">
              <w:rPr>
                <w:noProof/>
                <w:webHidden/>
              </w:rPr>
              <w:fldChar w:fldCharType="separate"/>
            </w:r>
            <w:r w:rsidR="000433B6">
              <w:rPr>
                <w:noProof/>
                <w:webHidden/>
              </w:rPr>
              <w:t>3</w:t>
            </w:r>
            <w:r w:rsidR="000433B6">
              <w:rPr>
                <w:noProof/>
                <w:webHidden/>
              </w:rPr>
              <w:fldChar w:fldCharType="end"/>
            </w:r>
          </w:hyperlink>
        </w:p>
        <w:p w:rsidR="000433B6" w:rsidRDefault="000433B6" w14:paraId="4C686C26" w14:textId="1BDEA825">
          <w:pPr>
            <w:pStyle w:val="TOC1"/>
            <w:rPr>
              <w:rFonts w:asciiTheme="minorHAnsi" w:hAnsiTheme="minorHAnsi" w:eastAsiaTheme="minorEastAsia" w:cstheme="minorBidi"/>
              <w:noProof/>
              <w:lang w:val="en-US"/>
            </w:rPr>
          </w:pPr>
          <w:hyperlink w:history="1" w:anchor="_Toc110414903">
            <w:r w:rsidRPr="00FC7A31">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val="en-US"/>
              </w:rPr>
              <w:tab/>
            </w:r>
            <w:r w:rsidRPr="00FC7A31">
              <w:rPr>
                <w:rStyle w:val="Hyperlink"/>
                <w:b/>
                <w:noProof/>
              </w:rPr>
              <w:t>EKONOMISKĀ UN MONETĀRĀ SAVIENĪBA, EKONOMISKĀ UN SOCIĀLĀ KOHĒZIJA</w:t>
            </w:r>
            <w:r>
              <w:rPr>
                <w:noProof/>
                <w:webHidden/>
              </w:rPr>
              <w:tab/>
            </w:r>
            <w:r>
              <w:rPr>
                <w:noProof/>
                <w:webHidden/>
              </w:rPr>
              <w:fldChar w:fldCharType="begin"/>
            </w:r>
            <w:r>
              <w:rPr>
                <w:noProof/>
                <w:webHidden/>
              </w:rPr>
              <w:instrText xml:space="preserve"> PAGEREF _Toc110414903 \h </w:instrText>
            </w:r>
            <w:r>
              <w:rPr>
                <w:noProof/>
                <w:webHidden/>
              </w:rPr>
            </w:r>
            <w:r>
              <w:rPr>
                <w:noProof/>
                <w:webHidden/>
              </w:rPr>
              <w:fldChar w:fldCharType="separate"/>
            </w:r>
            <w:r>
              <w:rPr>
                <w:noProof/>
                <w:webHidden/>
              </w:rPr>
              <w:t>5</w:t>
            </w:r>
            <w:r>
              <w:rPr>
                <w:noProof/>
                <w:webHidden/>
              </w:rPr>
              <w:fldChar w:fldCharType="end"/>
            </w:r>
          </w:hyperlink>
        </w:p>
        <w:p w:rsidR="000433B6" w:rsidRDefault="000433B6" w14:paraId="5D09D7D4" w14:textId="77D095EB">
          <w:pPr>
            <w:pStyle w:val="TOC1"/>
            <w:rPr>
              <w:rFonts w:asciiTheme="minorHAnsi" w:hAnsiTheme="minorHAnsi" w:eastAsiaTheme="minorEastAsia" w:cstheme="minorBidi"/>
              <w:noProof/>
              <w:lang w:val="en-US"/>
            </w:rPr>
          </w:pPr>
          <w:hyperlink w:history="1" w:anchor="_Toc110414904">
            <w:r w:rsidRPr="00FC7A31">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val="en-US"/>
              </w:rPr>
              <w:tab/>
            </w:r>
            <w:r w:rsidRPr="00FC7A31">
              <w:rPr>
                <w:rStyle w:val="Hyperlink"/>
                <w:b/>
                <w:noProof/>
              </w:rPr>
              <w:t>NODARBINĀTĪBA, SOCIĀLĀS LIETAS UN PILSONISKUMS</w:t>
            </w:r>
            <w:r>
              <w:rPr>
                <w:noProof/>
                <w:webHidden/>
              </w:rPr>
              <w:tab/>
            </w:r>
            <w:r>
              <w:rPr>
                <w:noProof/>
                <w:webHidden/>
              </w:rPr>
              <w:fldChar w:fldCharType="begin"/>
            </w:r>
            <w:r>
              <w:rPr>
                <w:noProof/>
                <w:webHidden/>
              </w:rPr>
              <w:instrText xml:space="preserve"> PAGEREF _Toc110414904 \h </w:instrText>
            </w:r>
            <w:r>
              <w:rPr>
                <w:noProof/>
                <w:webHidden/>
              </w:rPr>
            </w:r>
            <w:r>
              <w:rPr>
                <w:noProof/>
                <w:webHidden/>
              </w:rPr>
              <w:fldChar w:fldCharType="separate"/>
            </w:r>
            <w:r>
              <w:rPr>
                <w:noProof/>
                <w:webHidden/>
              </w:rPr>
              <w:t>8</w:t>
            </w:r>
            <w:r>
              <w:rPr>
                <w:noProof/>
                <w:webHidden/>
              </w:rPr>
              <w:fldChar w:fldCharType="end"/>
            </w:r>
          </w:hyperlink>
        </w:p>
        <w:p w:rsidR="000433B6" w:rsidRDefault="000433B6" w14:paraId="5DA9BAAD" w14:textId="1AA85F24">
          <w:pPr>
            <w:pStyle w:val="TOC1"/>
            <w:rPr>
              <w:rFonts w:asciiTheme="minorHAnsi" w:hAnsiTheme="minorHAnsi" w:eastAsiaTheme="minorEastAsia" w:cstheme="minorBidi"/>
              <w:noProof/>
              <w:lang w:val="en-US"/>
            </w:rPr>
          </w:pPr>
          <w:hyperlink w:history="1" w:anchor="_Toc110414905">
            <w:r w:rsidRPr="00FC7A31">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val="en-US"/>
              </w:rPr>
              <w:tab/>
            </w:r>
            <w:r w:rsidRPr="00FC7A31">
              <w:rPr>
                <w:rStyle w:val="Hyperlink"/>
                <w:b/>
                <w:noProof/>
              </w:rPr>
              <w:t>TRANSPORTS, ENERĢĒTIKA, INFRASTRUKTŪRA UN INFORMĀCIJAS SABIEDRĪBA</w:t>
            </w:r>
            <w:r>
              <w:rPr>
                <w:noProof/>
                <w:webHidden/>
              </w:rPr>
              <w:tab/>
            </w:r>
            <w:r>
              <w:rPr>
                <w:noProof/>
                <w:webHidden/>
              </w:rPr>
              <w:fldChar w:fldCharType="begin"/>
            </w:r>
            <w:r>
              <w:rPr>
                <w:noProof/>
                <w:webHidden/>
              </w:rPr>
              <w:instrText xml:space="preserve"> PAGEREF _Toc110414905 \h </w:instrText>
            </w:r>
            <w:r>
              <w:rPr>
                <w:noProof/>
                <w:webHidden/>
              </w:rPr>
            </w:r>
            <w:r>
              <w:rPr>
                <w:noProof/>
                <w:webHidden/>
              </w:rPr>
              <w:fldChar w:fldCharType="separate"/>
            </w:r>
            <w:r>
              <w:rPr>
                <w:noProof/>
                <w:webHidden/>
              </w:rPr>
              <w:t>11</w:t>
            </w:r>
            <w:r>
              <w:rPr>
                <w:noProof/>
                <w:webHidden/>
              </w:rPr>
              <w:fldChar w:fldCharType="end"/>
            </w:r>
          </w:hyperlink>
        </w:p>
        <w:p w:rsidR="000433B6" w:rsidRDefault="000433B6" w14:paraId="536B76CF" w14:textId="09E28D48">
          <w:pPr>
            <w:pStyle w:val="TOC1"/>
            <w:rPr>
              <w:rFonts w:asciiTheme="minorHAnsi" w:hAnsiTheme="minorHAnsi" w:eastAsiaTheme="minorEastAsia" w:cstheme="minorBidi"/>
              <w:noProof/>
              <w:lang w:val="en-US"/>
            </w:rPr>
          </w:pPr>
          <w:hyperlink w:history="1" w:anchor="_Toc110414906">
            <w:r w:rsidRPr="00FC7A31">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val="en-US"/>
              </w:rPr>
              <w:tab/>
            </w:r>
            <w:r w:rsidRPr="00FC7A31">
              <w:rPr>
                <w:rStyle w:val="Hyperlink"/>
                <w:b/>
                <w:noProof/>
              </w:rPr>
              <w:t>VIENOTAIS TIRGUS, RAŽOŠANA UN PATĒRIŅŠ</w:t>
            </w:r>
            <w:r>
              <w:rPr>
                <w:noProof/>
                <w:webHidden/>
              </w:rPr>
              <w:tab/>
            </w:r>
            <w:r>
              <w:rPr>
                <w:noProof/>
                <w:webHidden/>
              </w:rPr>
              <w:fldChar w:fldCharType="begin"/>
            </w:r>
            <w:r>
              <w:rPr>
                <w:noProof/>
                <w:webHidden/>
              </w:rPr>
              <w:instrText xml:space="preserve"> PAGEREF _Toc110414906 \h </w:instrText>
            </w:r>
            <w:r>
              <w:rPr>
                <w:noProof/>
                <w:webHidden/>
              </w:rPr>
            </w:r>
            <w:r>
              <w:rPr>
                <w:noProof/>
                <w:webHidden/>
              </w:rPr>
              <w:fldChar w:fldCharType="separate"/>
            </w:r>
            <w:r>
              <w:rPr>
                <w:noProof/>
                <w:webHidden/>
              </w:rPr>
              <w:t>15</w:t>
            </w:r>
            <w:r>
              <w:rPr>
                <w:noProof/>
                <w:webHidden/>
              </w:rPr>
              <w:fldChar w:fldCharType="end"/>
            </w:r>
          </w:hyperlink>
        </w:p>
        <w:p w:rsidR="000433B6" w:rsidRDefault="000433B6" w14:paraId="5CB9B59E" w14:textId="08D09B71">
          <w:pPr>
            <w:pStyle w:val="TOC1"/>
            <w:rPr>
              <w:rFonts w:asciiTheme="minorHAnsi" w:hAnsiTheme="minorHAnsi" w:eastAsiaTheme="minorEastAsia" w:cstheme="minorBidi"/>
              <w:noProof/>
              <w:lang w:val="en-US"/>
            </w:rPr>
          </w:pPr>
          <w:hyperlink w:history="1" w:anchor="_Toc110414907">
            <w:r w:rsidRPr="00FC7A31">
              <w:rPr>
                <w:rStyle w:val="Hyperlink"/>
                <w:noProof/>
                <w14:scene3d>
                  <w14:camera w14:prst="orthographicFront"/>
                  <w14:lightRig w14:rig="threePt" w14:dir="t">
                    <w14:rot w14:lat="0" w14:lon="0" w14:rev="0"/>
                  </w14:lightRig>
                </w14:scene3d>
              </w:rPr>
              <w:t>6.</w:t>
            </w:r>
            <w:r>
              <w:rPr>
                <w:rFonts w:asciiTheme="minorHAnsi" w:hAnsiTheme="minorHAnsi" w:eastAsiaTheme="minorEastAsia" w:cstheme="minorBidi"/>
                <w:noProof/>
                <w:lang w:val="en-US"/>
              </w:rPr>
              <w:tab/>
            </w:r>
            <w:r w:rsidRPr="00FC7A31">
              <w:rPr>
                <w:rStyle w:val="Hyperlink"/>
                <w:b/>
                <w:noProof/>
              </w:rPr>
              <w:t>LAUKSAIMNIECĪBA, LAUKU ATTĪSTĪBA UN VIDE</w:t>
            </w:r>
            <w:r>
              <w:rPr>
                <w:noProof/>
                <w:webHidden/>
              </w:rPr>
              <w:tab/>
            </w:r>
            <w:r>
              <w:rPr>
                <w:noProof/>
                <w:webHidden/>
              </w:rPr>
              <w:fldChar w:fldCharType="begin"/>
            </w:r>
            <w:r>
              <w:rPr>
                <w:noProof/>
                <w:webHidden/>
              </w:rPr>
              <w:instrText xml:space="preserve"> PAGEREF _Toc110414907 \h </w:instrText>
            </w:r>
            <w:r>
              <w:rPr>
                <w:noProof/>
                <w:webHidden/>
              </w:rPr>
            </w:r>
            <w:r>
              <w:rPr>
                <w:noProof/>
                <w:webHidden/>
              </w:rPr>
              <w:fldChar w:fldCharType="separate"/>
            </w:r>
            <w:r>
              <w:rPr>
                <w:noProof/>
                <w:webHidden/>
              </w:rPr>
              <w:t>19</w:t>
            </w:r>
            <w:r>
              <w:rPr>
                <w:noProof/>
                <w:webHidden/>
              </w:rPr>
              <w:fldChar w:fldCharType="end"/>
            </w:r>
          </w:hyperlink>
        </w:p>
        <w:p w:rsidR="000433B6" w:rsidRDefault="000433B6" w14:paraId="5B79671B" w14:textId="5B490884">
          <w:pPr>
            <w:pStyle w:val="TOC1"/>
            <w:rPr>
              <w:rFonts w:asciiTheme="minorHAnsi" w:hAnsiTheme="minorHAnsi" w:eastAsiaTheme="minorEastAsia" w:cstheme="minorBidi"/>
              <w:noProof/>
              <w:lang w:val="en-US"/>
            </w:rPr>
          </w:pPr>
          <w:hyperlink w:history="1" w:anchor="_Toc110414908">
            <w:r w:rsidRPr="00FC7A31">
              <w:rPr>
                <w:rStyle w:val="Hyperlink"/>
                <w:noProof/>
                <w14:scene3d>
                  <w14:camera w14:prst="orthographicFront"/>
                  <w14:lightRig w14:rig="threePt" w14:dir="t">
                    <w14:rot w14:lat="0" w14:lon="0" w14:rev="0"/>
                  </w14:lightRig>
                </w14:scene3d>
              </w:rPr>
              <w:t>7.</w:t>
            </w:r>
            <w:r>
              <w:rPr>
                <w:rFonts w:asciiTheme="minorHAnsi" w:hAnsiTheme="minorHAnsi" w:eastAsiaTheme="minorEastAsia" w:cstheme="minorBidi"/>
                <w:noProof/>
                <w:lang w:val="en-US"/>
              </w:rPr>
              <w:tab/>
            </w:r>
            <w:r w:rsidRPr="00FC7A31">
              <w:rPr>
                <w:rStyle w:val="Hyperlink"/>
                <w:b/>
                <w:noProof/>
              </w:rPr>
              <w:t>ĀRĒJĀS ATTIECĪBAS</w:t>
            </w:r>
            <w:r>
              <w:rPr>
                <w:noProof/>
                <w:webHidden/>
              </w:rPr>
              <w:tab/>
            </w:r>
            <w:r>
              <w:rPr>
                <w:noProof/>
                <w:webHidden/>
              </w:rPr>
              <w:fldChar w:fldCharType="begin"/>
            </w:r>
            <w:r>
              <w:rPr>
                <w:noProof/>
                <w:webHidden/>
              </w:rPr>
              <w:instrText xml:space="preserve"> PAGEREF _Toc110414908 \h </w:instrText>
            </w:r>
            <w:r>
              <w:rPr>
                <w:noProof/>
                <w:webHidden/>
              </w:rPr>
            </w:r>
            <w:r>
              <w:rPr>
                <w:noProof/>
                <w:webHidden/>
              </w:rPr>
              <w:fldChar w:fldCharType="separate"/>
            </w:r>
            <w:r>
              <w:rPr>
                <w:noProof/>
                <w:webHidden/>
              </w:rPr>
              <w:t>22</w:t>
            </w:r>
            <w:r>
              <w:rPr>
                <w:noProof/>
                <w:webHidden/>
              </w:rPr>
              <w:fldChar w:fldCharType="end"/>
            </w:r>
          </w:hyperlink>
        </w:p>
        <w:p w:rsidR="000433B6" w:rsidRDefault="000433B6" w14:paraId="5B75688C" w14:textId="23BFDCA3">
          <w:pPr>
            <w:pStyle w:val="TOC1"/>
            <w:rPr>
              <w:rFonts w:asciiTheme="minorHAnsi" w:hAnsiTheme="minorHAnsi" w:eastAsiaTheme="minorEastAsia" w:cstheme="minorBidi"/>
              <w:noProof/>
              <w:lang w:val="en-US"/>
            </w:rPr>
          </w:pPr>
          <w:hyperlink w:history="1" w:anchor="_Toc110414909">
            <w:r w:rsidRPr="00FC7A31">
              <w:rPr>
                <w:rStyle w:val="Hyperlink"/>
                <w:noProof/>
                <w14:scene3d>
                  <w14:camera w14:prst="orthographicFront"/>
                  <w14:lightRig w14:rig="threePt" w14:dir="t">
                    <w14:rot w14:lat="0" w14:lon="0" w14:rev="0"/>
                  </w14:lightRig>
                </w14:scene3d>
              </w:rPr>
              <w:t>8.</w:t>
            </w:r>
            <w:r>
              <w:rPr>
                <w:rFonts w:asciiTheme="minorHAnsi" w:hAnsiTheme="minorHAnsi" w:eastAsiaTheme="minorEastAsia" w:cstheme="minorBidi"/>
                <w:noProof/>
                <w:lang w:val="en-US"/>
              </w:rPr>
              <w:tab/>
            </w:r>
            <w:r w:rsidRPr="00FC7A31">
              <w:rPr>
                <w:rStyle w:val="Hyperlink"/>
                <w:b/>
                <w:noProof/>
              </w:rPr>
              <w:t>RŪPNIECĪBAS PĀRMAIŅU KONSULTATĪVĀ KOMISIJA</w:t>
            </w:r>
            <w:r>
              <w:rPr>
                <w:noProof/>
                <w:webHidden/>
              </w:rPr>
              <w:tab/>
            </w:r>
            <w:r>
              <w:rPr>
                <w:noProof/>
                <w:webHidden/>
              </w:rPr>
              <w:fldChar w:fldCharType="begin"/>
            </w:r>
            <w:r>
              <w:rPr>
                <w:noProof/>
                <w:webHidden/>
              </w:rPr>
              <w:instrText xml:space="preserve"> PAGEREF _Toc110414909 \h </w:instrText>
            </w:r>
            <w:r>
              <w:rPr>
                <w:noProof/>
                <w:webHidden/>
              </w:rPr>
            </w:r>
            <w:r>
              <w:rPr>
                <w:noProof/>
                <w:webHidden/>
              </w:rPr>
              <w:fldChar w:fldCharType="separate"/>
            </w:r>
            <w:r>
              <w:rPr>
                <w:noProof/>
                <w:webHidden/>
              </w:rPr>
              <w:t>25</w:t>
            </w:r>
            <w:r>
              <w:rPr>
                <w:noProof/>
                <w:webHidden/>
              </w:rPr>
              <w:fldChar w:fldCharType="end"/>
            </w:r>
          </w:hyperlink>
        </w:p>
        <w:p w:rsidR="001E6413" w:rsidRDefault="001E6413" w14:paraId="684BFB9B" w14:textId="34B784F9">
          <w:r>
            <w:rPr>
              <w:b/>
            </w:rPr>
            <w:fldChar w:fldCharType="end"/>
          </w:r>
        </w:p>
      </w:sdtContent>
    </w:sdt>
    <w:p w:rsidRPr="009B70E7" w:rsidR="004D7AC0" w:rsidRDefault="004D7AC0" w14:paraId="4600634B" w14:textId="77777777"/>
    <w:p w:rsidRPr="00D13F40" w:rsidR="00D13F40" w:rsidP="00910972" w:rsidRDefault="004D7AC0" w14:paraId="17EE0300" w14:textId="77777777">
      <w:pPr>
        <w:pStyle w:val="Heading1"/>
        <w:ind w:left="567" w:hanging="567"/>
        <w:rPr>
          <w:b/>
          <w:bCs/>
          <w:iCs/>
        </w:rPr>
      </w:pPr>
      <w:r>
        <w:br w:type="page"/>
      </w:r>
      <w:bookmarkStart w:name="_Toc110414902" w:id="1"/>
      <w:r>
        <w:rPr>
          <w:b/>
        </w:rPr>
        <w:lastRenderedPageBreak/>
        <w:t>REZOLŪCIJA PAR EIROPAS EKONOMIKAS UN SOCIĀLO LIETU KOMITEJAS IEGULDĪJUMU EIROPAS KOMISIJAS 2023. GADA DARBA PROGRAMMĀ</w:t>
      </w:r>
      <w:bookmarkEnd w:id="1"/>
    </w:p>
    <w:p w:rsidRPr="00EC533C" w:rsidR="00D13F40" w:rsidP="00D13F40" w:rsidRDefault="00D13F40" w14:paraId="20F5C6CE" w14:textId="77777777">
      <w:pPr>
        <w:rPr>
          <w:b/>
        </w:rPr>
      </w:pPr>
    </w:p>
    <w:p w:rsidRPr="0059551E" w:rsidR="00D13F40" w:rsidP="002C1BC2" w:rsidRDefault="0059551E" w14:paraId="0FD8A255" w14:textId="0FCD5100">
      <w:pPr>
        <w:keepNext/>
        <w:keepLines/>
        <w:numPr>
          <w:ilvl w:val="0"/>
          <w:numId w:val="5"/>
        </w:numPr>
        <w:overflowPunct w:val="0"/>
        <w:autoSpaceDE w:val="0"/>
        <w:autoSpaceDN w:val="0"/>
        <w:adjustRightInd w:val="0"/>
        <w:ind w:left="567" w:hanging="567"/>
        <w:textAlignment w:val="baseline"/>
        <w:rPr>
          <w:b/>
          <w:i/>
          <w:sz w:val="28"/>
          <w:szCs w:val="28"/>
        </w:rPr>
      </w:pPr>
      <w:r>
        <w:rPr>
          <w:b/>
          <w:i/>
          <w:sz w:val="28"/>
        </w:rPr>
        <w:t>EESK ieguldījums Eiropas Komisijas 2023. gada darba programmā</w:t>
      </w:r>
    </w:p>
    <w:p w:rsidRPr="00032038" w:rsidR="00D13F40" w:rsidP="00D13F40" w:rsidRDefault="00D13F40" w14:paraId="04D85406" w14:textId="77777777">
      <w:pPr>
        <w:contextualSpacing/>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32038" w:rsidR="00D13F40" w:rsidTr="00D13F40" w14:paraId="1EF331B0" w14:textId="77777777">
        <w:tc>
          <w:tcPr>
            <w:tcW w:w="1701" w:type="dxa"/>
          </w:tcPr>
          <w:p w:rsidRPr="00032038" w:rsidR="00D13F40" w:rsidP="00D13F40" w:rsidRDefault="00D13F40" w14:paraId="7A1C260B" w14:textId="77777777">
            <w:pPr>
              <w:contextualSpacing/>
              <w:rPr>
                <w:b/>
              </w:rPr>
            </w:pPr>
            <w:r>
              <w:rPr>
                <w:b/>
              </w:rPr>
              <w:t>Ziņotāji:</w:t>
            </w:r>
          </w:p>
        </w:tc>
        <w:tc>
          <w:tcPr>
            <w:tcW w:w="6096" w:type="dxa"/>
          </w:tcPr>
          <w:p w:rsidRPr="00032038" w:rsidR="00D13F40" w:rsidP="00D13F40" w:rsidRDefault="00D13F40" w14:paraId="24EC7938" w14:textId="77777777">
            <w:pPr>
              <w:ind w:left="-108"/>
              <w:contextualSpacing/>
            </w:pPr>
            <w:proofErr w:type="spellStart"/>
            <w:r>
              <w:t>Mariya</w:t>
            </w:r>
            <w:proofErr w:type="spellEnd"/>
            <w:r>
              <w:t xml:space="preserve"> MINCHEVA (Darba devēju grupa – BG)</w:t>
            </w:r>
          </w:p>
        </w:tc>
      </w:tr>
      <w:tr w:rsidRPr="00032038" w:rsidR="00D13F40" w:rsidTr="00D13F40" w14:paraId="12B0AF8A" w14:textId="77777777">
        <w:tc>
          <w:tcPr>
            <w:tcW w:w="1701" w:type="dxa"/>
          </w:tcPr>
          <w:p w:rsidRPr="00032038" w:rsidR="00D13F40" w:rsidP="00D13F40" w:rsidRDefault="00D13F40" w14:paraId="72C5E654" w14:textId="77777777">
            <w:pPr>
              <w:contextualSpacing/>
              <w:rPr>
                <w:b/>
              </w:rPr>
            </w:pPr>
          </w:p>
        </w:tc>
        <w:tc>
          <w:tcPr>
            <w:tcW w:w="6096" w:type="dxa"/>
          </w:tcPr>
          <w:p w:rsidRPr="0022407C" w:rsidR="00D13F40" w:rsidP="00D13F40" w:rsidRDefault="00D13F40" w14:paraId="2D2229F7" w14:textId="77777777">
            <w:pPr>
              <w:ind w:left="-108"/>
              <w:contextualSpacing/>
            </w:pPr>
            <w:r>
              <w:t>Stefano PALMIERI (Darba ņēmēju grupa – IT)</w:t>
            </w:r>
          </w:p>
        </w:tc>
      </w:tr>
      <w:tr w:rsidRPr="00032038" w:rsidR="00D13F40" w:rsidTr="00D13F40" w14:paraId="3C4184F3" w14:textId="77777777">
        <w:tc>
          <w:tcPr>
            <w:tcW w:w="1701" w:type="dxa"/>
          </w:tcPr>
          <w:p w:rsidRPr="00032038" w:rsidR="00D13F40" w:rsidP="00D13F40" w:rsidRDefault="00D13F40" w14:paraId="1F4B0D90" w14:textId="77777777">
            <w:pPr>
              <w:contextualSpacing/>
              <w:rPr>
                <w:b/>
              </w:rPr>
            </w:pPr>
          </w:p>
        </w:tc>
        <w:tc>
          <w:tcPr>
            <w:tcW w:w="6096" w:type="dxa"/>
          </w:tcPr>
          <w:p w:rsidR="00D13F40" w:rsidP="00D13F40" w:rsidRDefault="00D13F40" w14:paraId="1D540B48" w14:textId="77777777">
            <w:pPr>
              <w:ind w:left="-108"/>
              <w:contextualSpacing/>
            </w:pPr>
            <w:r>
              <w:t>Kinga JOÓ (Pilsoniskās sabiedrības organizāciju grupa — HU)</w:t>
            </w:r>
          </w:p>
        </w:tc>
      </w:tr>
      <w:tr w:rsidRPr="00032038" w:rsidR="00D13F40" w:rsidTr="00D13F40" w14:paraId="75A8EBEE" w14:textId="77777777">
        <w:tc>
          <w:tcPr>
            <w:tcW w:w="7797" w:type="dxa"/>
            <w:gridSpan w:val="2"/>
          </w:tcPr>
          <w:p w:rsidRPr="00032038" w:rsidR="00D13F40" w:rsidP="00D13F40" w:rsidRDefault="00D13F40" w14:paraId="3896362B" w14:textId="77777777">
            <w:pPr>
              <w:contextualSpacing/>
              <w:rPr>
                <w:lang w:val="fr-BE"/>
              </w:rPr>
            </w:pPr>
          </w:p>
        </w:tc>
      </w:tr>
      <w:tr w:rsidRPr="00032038" w:rsidR="00D13F40" w:rsidTr="00D13F40" w14:paraId="67EE6EF8" w14:textId="77777777">
        <w:tc>
          <w:tcPr>
            <w:tcW w:w="1701" w:type="dxa"/>
          </w:tcPr>
          <w:p w:rsidRPr="00032038" w:rsidR="00D13F40" w:rsidP="00D13F40" w:rsidRDefault="00D13F40" w14:paraId="6C700145" w14:textId="77777777">
            <w:pPr>
              <w:contextualSpacing/>
              <w:rPr>
                <w:b/>
              </w:rPr>
            </w:pPr>
            <w:r>
              <w:rPr>
                <w:b/>
              </w:rPr>
              <w:t xml:space="preserve">Atsauce: </w:t>
            </w:r>
          </w:p>
        </w:tc>
        <w:tc>
          <w:tcPr>
            <w:tcW w:w="6096" w:type="dxa"/>
          </w:tcPr>
          <w:p w:rsidRPr="00032038" w:rsidR="00D13F40" w:rsidP="00910972" w:rsidRDefault="00F6297B" w14:paraId="79F9318A" w14:textId="403B185E">
            <w:pPr>
              <w:tabs>
                <w:tab w:val="center" w:pos="284"/>
              </w:tabs>
              <w:ind w:left="266" w:hanging="374"/>
            </w:pPr>
            <w:r>
              <w:t>EESC-2022-02408-00-00-RES-TRA</w:t>
            </w:r>
          </w:p>
        </w:tc>
      </w:tr>
    </w:tbl>
    <w:p w:rsidRPr="00032038" w:rsidR="00D13F40" w:rsidP="00D13F40" w:rsidRDefault="00D13F40" w14:paraId="41241967" w14:textId="77777777">
      <w:pPr>
        <w:contextualSpacing/>
        <w:rPr>
          <w:b/>
        </w:rPr>
      </w:pPr>
    </w:p>
    <w:p w:rsidRPr="0086045C" w:rsidR="00D13F40" w:rsidP="00D13F40" w:rsidRDefault="00D13F40" w14:paraId="20EF612E" w14:textId="2C581C0B">
      <w:pPr>
        <w:pStyle w:val="ListParagraph"/>
        <w:spacing w:line="240" w:lineRule="auto"/>
        <w:ind w:left="-142" w:firstLine="142"/>
        <w:rPr>
          <w:b/>
        </w:rPr>
      </w:pPr>
      <w:r>
        <w:rPr>
          <w:b/>
          <w:bCs/>
        </w:rPr>
        <w:t>Svarīgākie aspekti</w:t>
      </w:r>
    </w:p>
    <w:p w:rsidRPr="00032038" w:rsidR="00D13F40" w:rsidP="00D13F40" w:rsidRDefault="00D13F40" w14:paraId="1A6FF69B" w14:textId="77777777">
      <w:pPr>
        <w:contextualSpacing/>
        <w:rPr>
          <w:lang w:val="fr-FR"/>
        </w:rPr>
      </w:pPr>
    </w:p>
    <w:p w:rsidRPr="00032038" w:rsidR="00D13F40" w:rsidP="00D13F40" w:rsidRDefault="00D13F40" w14:paraId="54546A6E" w14:textId="77777777">
      <w:pPr>
        <w:numPr>
          <w:ilvl w:val="0"/>
          <w:numId w:val="3"/>
        </w:numPr>
        <w:overflowPunct w:val="0"/>
        <w:autoSpaceDE w:val="0"/>
        <w:autoSpaceDN w:val="0"/>
        <w:adjustRightInd w:val="0"/>
        <w:ind w:left="357" w:hanging="357"/>
        <w:textAlignment w:val="baseline"/>
        <w:rPr>
          <w:bCs/>
          <w:iCs/>
        </w:rPr>
      </w:pPr>
      <w:r>
        <w:t xml:space="preserve">EESK aicina stratēģiskajā prognozēšanā pievērst daudz lielāku uzmanību ģeopolitiskajām norisēm. Secīgi satricinājumi liecina par to, cik svarīgi ir veidot noturīgāku Eiropas ekonomiku un mazināt dažādu krīžu sekundāro ietekmi (inflāciju, enerģijas un izejvielu cenu pieaugumu un piegādes iztrūkumu, piegādes ķēdes traucējumus). Lai veicinātu atlabšanu pēc krīzēm, Komisijai un dalībvalstīm būtu jānosaka un jācenšas īstenot tādu politiku un tādas iniciatīvas, kas vienlaikus dod ieguvumus ekonomikai, sabiedrībai un videi, t. i., stiprina uzņēmējdarbības vidi, uzlabo darba un dzīves apstākļus un atvieglo pāreju uz </w:t>
      </w:r>
      <w:proofErr w:type="spellStart"/>
      <w:r>
        <w:t>klimatneitrālu</w:t>
      </w:r>
      <w:proofErr w:type="spellEnd"/>
      <w:r>
        <w:t xml:space="preserve"> aprites ekonomiku.</w:t>
      </w:r>
    </w:p>
    <w:p w:rsidRPr="00032038" w:rsidR="00D13F40" w:rsidP="00D13F40" w:rsidRDefault="00D13F40" w14:paraId="4583DACC" w14:textId="77777777">
      <w:pPr>
        <w:numPr>
          <w:ilvl w:val="0"/>
          <w:numId w:val="3"/>
        </w:numPr>
        <w:overflowPunct w:val="0"/>
        <w:autoSpaceDE w:val="0"/>
        <w:autoSpaceDN w:val="0"/>
        <w:adjustRightInd w:val="0"/>
        <w:ind w:left="357" w:hanging="357"/>
        <w:textAlignment w:val="baseline"/>
        <w:rPr>
          <w:bCs/>
          <w:iCs/>
        </w:rPr>
      </w:pPr>
      <w:r>
        <w:t xml:space="preserve">ES atveseļošana un noturība pret krīzēm lielā mērā ir atkarīga no ilgtspējīgas izaugsmes, sociālās konverģences un pozitīvas nodarbinātības un nodarbinātības apstākļu attīstības saskaņā ar Eiropas zaļo kursu, Eiropas sociālo tiesību pīlāru un tā rīcības plānu, kā arī ilgtspējīgas attīstības mērķiem. Šajā nolūkā EESK aicina pievērsties pārskatītam un līdzsvarotam, kā arī uz labklājību vērstam ekonomikas pārvaldības satvaram. Ekonomiskās un monetārās savienības padziļināšana ir ļoti cieši saistīta ar ekonomikas pārvaldības stiprināšanu, tostarp banku un kapitāla tirgu savienības izveides pabeigšanu un Eiropas pusgada lomas pastiprināšanu izaugsmes, kohēzijas, </w:t>
      </w:r>
      <w:proofErr w:type="spellStart"/>
      <w:r>
        <w:t>iekļautības</w:t>
      </w:r>
      <w:proofErr w:type="spellEnd"/>
      <w:r>
        <w:t>, konkurētspējas un konverģences palielināšanā.</w:t>
      </w:r>
    </w:p>
    <w:p w:rsidR="00D13F40" w:rsidP="00D13F40" w:rsidRDefault="00D13F40" w14:paraId="6E6D9FF8" w14:textId="77777777">
      <w:pPr>
        <w:numPr>
          <w:ilvl w:val="0"/>
          <w:numId w:val="3"/>
        </w:numPr>
        <w:overflowPunct w:val="0"/>
        <w:autoSpaceDE w:val="0"/>
        <w:autoSpaceDN w:val="0"/>
        <w:adjustRightInd w:val="0"/>
        <w:ind w:left="357" w:hanging="357"/>
        <w:textAlignment w:val="baseline"/>
      </w:pPr>
      <w:r>
        <w:t xml:space="preserve">Eiropas sabiedrību jau ir smagi </w:t>
      </w:r>
      <w:proofErr w:type="spellStart"/>
      <w:r>
        <w:t>skārusi</w:t>
      </w:r>
      <w:proofErr w:type="spellEnd"/>
      <w:r>
        <w:t xml:space="preserve"> pandēmija, un Ukrainas krīze ir vēl viens milzīgs satricinājums, ko pārsvarā izjūt visneaizsargātākie mūsu sabiedrības locekļi. Solidaritātei un sociālajai konverģencei ir jābūt arī turpmākās ES politikas virzītājspēkam; reaģēšana uz karu Ukrainā dārgi maksās ikvienam, un mums ir jāgādā, ka šis slogs tiek sadalīts taisnīgi. ES dalībvalstu rīcībā ir jābūt atbilstīgai fiskālai telpai, lai cīnītos pret negatīvajām ekonomiskajām un sociālajām sekām. Ņemot vērā minēto, EESK atkārtoti brīdina priekšlaikus neatcelt vispārēja izņēmuma klauzulu. EK varētu turpināt diskusijas ar dalībvalstīm par iespējamiem ilgtermiņa instrumentiem, piemēram, bezdarba pārapdrošināšanas shēmām, lai risinātu sistēmiskas problēmas, ko vēl vairāk saasinājusi pašreizējā krīze. Būtu jāizpēta un jāapspriež ar sociālajiem partneriem arī </w:t>
      </w:r>
      <w:r>
        <w:rPr>
          <w:i/>
          <w:iCs/>
        </w:rPr>
        <w:t xml:space="preserve">SURE </w:t>
      </w:r>
      <w:r>
        <w:t>mehānisma ietekme un iespējamā turpmākā izmantošana.</w:t>
      </w:r>
    </w:p>
    <w:p w:rsidRPr="0086045C" w:rsidR="00D13F40" w:rsidP="00D13F40" w:rsidRDefault="00D13F40" w14:paraId="7E9EE174" w14:textId="77777777">
      <w:pPr>
        <w:numPr>
          <w:ilvl w:val="0"/>
          <w:numId w:val="3"/>
        </w:numPr>
        <w:overflowPunct w:val="0"/>
        <w:autoSpaceDE w:val="0"/>
        <w:autoSpaceDN w:val="0"/>
        <w:adjustRightInd w:val="0"/>
        <w:ind w:left="357" w:hanging="357"/>
        <w:textAlignment w:val="baseline"/>
      </w:pPr>
      <w:r>
        <w:t>ES enerģētikas politikai jābūt reālai, jāpalīdz veidot Enerģētikas savienību un sasniegt klimata mērķus, neuzliekot papildu slogu neaizsargātiem patērētājiem un darba ņēmējiem un nemazinot Eiropas uzņēmumu konkurētspēju. Eiropas Savienībai ir jāstrādā, lai sasniegtu savus vērienīgos klimata mērķus, vienlaikus nodrošinot energoapgādes stabilitāti un drošību par uzņēmumiem un iedzīvotājiem pieejamām izmaksām. Lai nodrošinātu procesa veiksmīgu norisi, ir jāmobilizē pietiekami privātie un publiskie ieguldījumi.</w:t>
      </w:r>
    </w:p>
    <w:p w:rsidRPr="00361E48" w:rsidR="00D13F40" w:rsidP="00D13F40" w:rsidRDefault="00D13F40" w14:paraId="303C22CA" w14:textId="77777777">
      <w:pPr>
        <w:numPr>
          <w:ilvl w:val="0"/>
          <w:numId w:val="3"/>
        </w:numPr>
        <w:overflowPunct w:val="0"/>
        <w:autoSpaceDE w:val="0"/>
        <w:autoSpaceDN w:val="0"/>
        <w:adjustRightInd w:val="0"/>
        <w:ind w:left="357" w:hanging="357"/>
        <w:textAlignment w:val="baseline"/>
      </w:pPr>
      <w:r>
        <w:t xml:space="preserve">Ir svarīgi neaizmirst par ES ilgtermiņa vajadzībām, piemēram, </w:t>
      </w:r>
      <w:proofErr w:type="spellStart"/>
      <w:r>
        <w:t>klimatneitralitātes</w:t>
      </w:r>
      <w:proofErr w:type="spellEnd"/>
      <w:r>
        <w:t xml:space="preserve"> sasniegšanu līdz 2050. gadam, kā arī nabadzības un sociālās atstumtības apkarošanu, lai iedzīvotājiem nodrošinātu sekmīgu nākotni. ES arī jāstiprina veselības nozares spēja uzlabot pētniecību un metodes, lai </w:t>
      </w:r>
      <w:r>
        <w:lastRenderedPageBreak/>
        <w:t xml:space="preserve">pārvaldītu augošo pieprasījumu pēc aprūpes, kā arī iespējamās pandēmijas nākotnē. Ilgtspējīgas attīstības pieeja būtu jāpieņem kā visu politikas virzienu, programmu un pasākumu visaptverošs un neatņemams mērķis. EESK ir atbalstījusi Eiropas zaļā kursa īstenošanu un norādījusi, ka tam jānotiek sociāli taisnīgi, ievērojot nosacījumus par Eiropas pārtikas nodrošinājumu, kā arī energoapgādes drošību par pieņemamu cenu. Ir ārkārtīgi svarīgi motivēt iedzīvotājus un ieinteresēto personu grupas aktīvi piedalīties pārejā uz </w:t>
      </w:r>
      <w:proofErr w:type="spellStart"/>
      <w:r>
        <w:t>mazoglekļa</w:t>
      </w:r>
      <w:proofErr w:type="spellEnd"/>
      <w:r>
        <w:t xml:space="preserve"> sabiedrību.</w:t>
      </w:r>
    </w:p>
    <w:p w:rsidR="00D13F40" w:rsidP="00D13F40" w:rsidRDefault="00D13F40" w14:paraId="0E0F7EC5" w14:textId="77777777">
      <w:pPr>
        <w:numPr>
          <w:ilvl w:val="0"/>
          <w:numId w:val="3"/>
        </w:numPr>
        <w:overflowPunct w:val="0"/>
        <w:autoSpaceDE w:val="0"/>
        <w:autoSpaceDN w:val="0"/>
        <w:adjustRightInd w:val="0"/>
        <w:ind w:left="357" w:hanging="357"/>
        <w:textAlignment w:val="baseline"/>
      </w:pPr>
      <w:r>
        <w:t>Ir jārīkojas, lai uzlabotu pilsonisko dialogu ar ieinteresētajām personām un sabiedrības grupām, kā arī to starpā, ļaujot tām uzņemties atbildību un patiesi piedalīties politikā, kas tās tieši ietekmē, palielinot iedzīvotāju lomu Eiropas nākotnes veidošanā. Visos politikas veidošanas posmos, tostarp īstenošanas un novērtēšanas posmā, tiešsaistes procedūras ir jāpapildina ar strukturētu dialogu ar pilsoniskās sabiedrības organizācijām. Lai izpildītu iedzīvotāju prasības, ir svarīgi koncentrēties uz turpmākajiem pasākumiem saistībā ar konferences par Eiropas nākotni (</w:t>
      </w:r>
      <w:proofErr w:type="spellStart"/>
      <w:r>
        <w:t>CoFoE</w:t>
      </w:r>
      <w:proofErr w:type="spellEnd"/>
      <w:r>
        <w:t>) priekšlikumiem. EESK ir gatava uzņemties savu lomu un saistībā ar konferences rezultātiem nodrošināt pienācīgus turpmākos pasākumus, un, ja tiks organizēta konvencija, Komitejai ir jāuzņemas ievērojama loma.</w:t>
      </w:r>
    </w:p>
    <w:p w:rsidRPr="00032038" w:rsidR="00D13F40" w:rsidP="00D13F40" w:rsidRDefault="00D13F40" w14:paraId="037F07D0" w14:textId="77777777">
      <w:pPr>
        <w:overflowPunct w:val="0"/>
        <w:autoSpaceDE w:val="0"/>
        <w:autoSpaceDN w:val="0"/>
        <w:adjustRightInd w:val="0"/>
        <w:ind w:left="357"/>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D13F40" w:rsidTr="00D13F40" w14:paraId="5ADA768A" w14:textId="77777777">
        <w:tc>
          <w:tcPr>
            <w:tcW w:w="1418" w:type="dxa"/>
          </w:tcPr>
          <w:p w:rsidRPr="00164813" w:rsidR="00D13F40" w:rsidP="00D13F40" w:rsidRDefault="00D13F40" w14:paraId="3B5B6B8A" w14:textId="77777777">
            <w:pPr>
              <w:contextualSpacing/>
              <w:rPr>
                <w:i/>
              </w:rPr>
            </w:pPr>
            <w:r>
              <w:rPr>
                <w:b/>
                <w:i/>
              </w:rPr>
              <w:t>Kontaktpersona:</w:t>
            </w:r>
          </w:p>
        </w:tc>
        <w:tc>
          <w:tcPr>
            <w:tcW w:w="5670" w:type="dxa"/>
          </w:tcPr>
          <w:p w:rsidRPr="00164813" w:rsidR="00D13F40" w:rsidP="00D13F40" w:rsidRDefault="00D13F40" w14:paraId="3D3950B8" w14:textId="77777777">
            <w:pPr>
              <w:contextualSpacing/>
              <w:rPr>
                <w:i/>
              </w:rPr>
            </w:pPr>
            <w:proofErr w:type="spellStart"/>
            <w:r>
              <w:rPr>
                <w:i/>
              </w:rPr>
              <w:t>Domenico</w:t>
            </w:r>
            <w:proofErr w:type="spellEnd"/>
            <w:r>
              <w:rPr>
                <w:i/>
              </w:rPr>
              <w:t xml:space="preserve"> </w:t>
            </w:r>
            <w:proofErr w:type="spellStart"/>
            <w:r>
              <w:rPr>
                <w:i/>
              </w:rPr>
              <w:t>Cosmai</w:t>
            </w:r>
            <w:proofErr w:type="spellEnd"/>
          </w:p>
        </w:tc>
      </w:tr>
      <w:tr w:rsidRPr="00164813" w:rsidR="00D13F40" w:rsidTr="00D13F40" w14:paraId="37A5B264" w14:textId="77777777">
        <w:tc>
          <w:tcPr>
            <w:tcW w:w="1418" w:type="dxa"/>
          </w:tcPr>
          <w:p w:rsidRPr="00164813" w:rsidR="00D13F40" w:rsidP="00D13F40" w:rsidRDefault="00D13F40" w14:paraId="0A0261DB" w14:textId="77777777">
            <w:pPr>
              <w:ind w:left="601"/>
              <w:contextualSpacing/>
              <w:rPr>
                <w:i/>
              </w:rPr>
            </w:pPr>
            <w:r>
              <w:rPr>
                <w:i/>
              </w:rPr>
              <w:t>Tālr.:</w:t>
            </w:r>
          </w:p>
        </w:tc>
        <w:tc>
          <w:tcPr>
            <w:tcW w:w="5670" w:type="dxa"/>
          </w:tcPr>
          <w:p w:rsidRPr="00164813" w:rsidR="00D13F40" w:rsidP="00D13F40" w:rsidRDefault="00D13F40" w14:paraId="1870BA3F" w14:textId="77777777">
            <w:pPr>
              <w:contextualSpacing/>
              <w:rPr>
                <w:i/>
              </w:rPr>
            </w:pPr>
            <w:r>
              <w:rPr>
                <w:i/>
              </w:rPr>
              <w:t>00 32 2 546 90 41</w:t>
            </w:r>
          </w:p>
        </w:tc>
      </w:tr>
      <w:tr w:rsidRPr="00164813" w:rsidR="00D13F40" w:rsidTr="00D13F40" w14:paraId="0DD10512" w14:textId="77777777">
        <w:tc>
          <w:tcPr>
            <w:tcW w:w="1418" w:type="dxa"/>
          </w:tcPr>
          <w:p w:rsidRPr="00164813" w:rsidR="00D13F40" w:rsidP="00D13F40" w:rsidRDefault="00D13F40" w14:paraId="6AB9864F" w14:textId="77777777">
            <w:pPr>
              <w:ind w:left="601"/>
              <w:contextualSpacing/>
              <w:rPr>
                <w:i/>
              </w:rPr>
            </w:pPr>
            <w:r>
              <w:rPr>
                <w:i/>
              </w:rPr>
              <w:t>E-pasts:</w:t>
            </w:r>
          </w:p>
        </w:tc>
        <w:tc>
          <w:tcPr>
            <w:tcW w:w="5670" w:type="dxa"/>
          </w:tcPr>
          <w:p w:rsidRPr="00164813" w:rsidR="00D13F40" w:rsidP="00910972" w:rsidRDefault="0039128C" w14:paraId="5EBCD8AB" w14:textId="6E96CD92">
            <w:pPr>
              <w:contextualSpacing/>
              <w:rPr>
                <w:i/>
              </w:rPr>
            </w:pPr>
            <w:hyperlink w:history="1" r:id="rId20">
              <w:r w:rsidR="00B80426">
                <w:rPr>
                  <w:rStyle w:val="Hyperlink"/>
                </w:rPr>
                <w:t>Domenico.Cosmai@eesc.europa.eu</w:t>
              </w:r>
            </w:hyperlink>
          </w:p>
        </w:tc>
      </w:tr>
    </w:tbl>
    <w:p w:rsidR="00D35512" w:rsidRDefault="00D35512" w14:paraId="26BC3B10" w14:textId="44A04F65">
      <w:pPr>
        <w:jc w:val="left"/>
      </w:pPr>
    </w:p>
    <w:p w:rsidR="00D35512" w:rsidRDefault="00D35512" w14:paraId="5512BC58" w14:textId="77777777">
      <w:pPr>
        <w:spacing w:after="160" w:line="259" w:lineRule="auto"/>
        <w:jc w:val="left"/>
      </w:pPr>
      <w:r>
        <w:br w:type="page"/>
      </w:r>
    </w:p>
    <w:p w:rsidRPr="009B70E7" w:rsidR="004D7AC0" w:rsidRDefault="004D7AC0" w14:paraId="68489C47" w14:textId="77777777">
      <w:pPr>
        <w:jc w:val="left"/>
      </w:pPr>
    </w:p>
    <w:p w:rsidRPr="00D13F40" w:rsidR="004D7AC0" w:rsidP="00D13F40" w:rsidRDefault="004D7AC0" w14:paraId="1E329F25" w14:textId="77777777">
      <w:pPr>
        <w:pStyle w:val="Heading1"/>
        <w:rPr>
          <w:b/>
        </w:rPr>
      </w:pPr>
      <w:bookmarkStart w:name="_Toc110414903" w:id="2"/>
      <w:r>
        <w:rPr>
          <w:b/>
        </w:rPr>
        <w:t>EKONOMISKĀ UN MONETĀRĀ SAVIENĪBA, EKONOMISKĀ UN SOCIĀLĀ KOHĒZIJA</w:t>
      </w:r>
      <w:bookmarkEnd w:id="2"/>
    </w:p>
    <w:p w:rsidR="00662436" w:rsidP="0018231C" w:rsidRDefault="00662436" w14:paraId="1710091D" w14:textId="77777777">
      <w:pPr>
        <w:spacing w:line="240" w:lineRule="auto"/>
      </w:pPr>
    </w:p>
    <w:p w:rsidRPr="009B70E7" w:rsidR="00640656" w:rsidP="00640656" w:rsidRDefault="000A03BD" w14:paraId="5D3A59A0" w14:textId="77777777">
      <w:pPr>
        <w:keepNext/>
        <w:keepLines/>
        <w:numPr>
          <w:ilvl w:val="0"/>
          <w:numId w:val="5"/>
        </w:numPr>
        <w:overflowPunct w:val="0"/>
        <w:autoSpaceDE w:val="0"/>
        <w:autoSpaceDN w:val="0"/>
        <w:adjustRightInd w:val="0"/>
        <w:ind w:left="567" w:hanging="567"/>
        <w:textAlignment w:val="baseline"/>
        <w:rPr>
          <w:b/>
          <w:i/>
          <w:spacing w:val="-2"/>
          <w:sz w:val="28"/>
          <w:szCs w:val="28"/>
        </w:rPr>
      </w:pPr>
      <w:r>
        <w:rPr>
          <w:b/>
          <w:i/>
          <w:sz w:val="28"/>
        </w:rPr>
        <w:t>Nodokļu uzlikšana pārrobežu tāldarbiniekiem un viņu darba devējiem</w:t>
      </w:r>
    </w:p>
    <w:p w:rsidRPr="0018231C" w:rsidR="00640656" w:rsidP="00640656" w:rsidRDefault="00640656" w14:paraId="228D42E4" w14:textId="77777777">
      <w:pPr>
        <w:keepNext/>
        <w:keepLines/>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627B8F" w:rsidR="00640656" w:rsidTr="00B83E7B" w14:paraId="17A96696" w14:textId="77777777">
        <w:tc>
          <w:tcPr>
            <w:tcW w:w="1701" w:type="dxa"/>
          </w:tcPr>
          <w:p w:rsidRPr="009B70E7" w:rsidR="00640656" w:rsidP="002C4B6E" w:rsidRDefault="00640656" w14:paraId="204BF0A8" w14:textId="77777777">
            <w:pPr>
              <w:pStyle w:val="ListParagraph"/>
              <w:spacing w:line="240" w:lineRule="auto"/>
              <w:ind w:left="-142" w:firstLine="142"/>
              <w:rPr>
                <w:b/>
              </w:rPr>
            </w:pPr>
            <w:r>
              <w:rPr>
                <w:b/>
              </w:rPr>
              <w:t>Ziņotājs:</w:t>
            </w:r>
          </w:p>
        </w:tc>
        <w:tc>
          <w:tcPr>
            <w:tcW w:w="6521" w:type="dxa"/>
          </w:tcPr>
          <w:p w:rsidRPr="00627B8F" w:rsidR="00640656" w:rsidP="00B83E7B" w:rsidRDefault="000A03BD" w14:paraId="1C5C2FFB" w14:textId="77777777">
            <w:pPr>
              <w:pStyle w:val="ListParagraph"/>
              <w:ind w:left="-60" w:right="-55"/>
            </w:pPr>
            <w:proofErr w:type="spellStart"/>
            <w:r>
              <w:t>Krister</w:t>
            </w:r>
            <w:proofErr w:type="spellEnd"/>
            <w:r>
              <w:t xml:space="preserve"> ANDERSSON (Darba devēju grupa – SE)</w:t>
            </w:r>
          </w:p>
        </w:tc>
      </w:tr>
      <w:tr w:rsidRPr="009B70E7" w:rsidR="00640656" w:rsidTr="00B83E7B" w14:paraId="6D38B34C" w14:textId="77777777">
        <w:tc>
          <w:tcPr>
            <w:tcW w:w="8222" w:type="dxa"/>
            <w:gridSpan w:val="2"/>
          </w:tcPr>
          <w:p w:rsidRPr="009B70E7" w:rsidR="00640656" w:rsidP="00B83E7B" w:rsidRDefault="00640656" w14:paraId="58D13705" w14:textId="77777777">
            <w:pPr>
              <w:pStyle w:val="ListParagraph"/>
              <w:ind w:left="0"/>
            </w:pPr>
          </w:p>
        </w:tc>
      </w:tr>
      <w:tr w:rsidRPr="00627B8F" w:rsidR="00640656" w:rsidTr="00B83E7B" w14:paraId="3D93C3AA" w14:textId="77777777">
        <w:tc>
          <w:tcPr>
            <w:tcW w:w="1701" w:type="dxa"/>
          </w:tcPr>
          <w:p w:rsidRPr="009B70E7" w:rsidR="00640656" w:rsidP="00804736" w:rsidRDefault="00640656" w14:paraId="33436DCF" w14:textId="77777777">
            <w:pPr>
              <w:pStyle w:val="ListParagraph"/>
              <w:spacing w:line="240" w:lineRule="auto"/>
              <w:ind w:left="-142" w:firstLine="142"/>
              <w:rPr>
                <w:b/>
              </w:rPr>
            </w:pPr>
            <w:r>
              <w:rPr>
                <w:b/>
              </w:rPr>
              <w:t xml:space="preserve">Atsauce: </w:t>
            </w:r>
          </w:p>
        </w:tc>
        <w:tc>
          <w:tcPr>
            <w:tcW w:w="6521" w:type="dxa"/>
          </w:tcPr>
          <w:p w:rsidRPr="00627B8F" w:rsidR="00640656" w:rsidP="00B83E7B" w:rsidRDefault="000A03BD" w14:paraId="3CD87A23" w14:textId="77777777">
            <w:pPr>
              <w:pStyle w:val="ListParagraph"/>
              <w:ind w:left="-61"/>
              <w:rPr>
                <w:bCs/>
              </w:rPr>
            </w:pPr>
            <w:r>
              <w:t>Pašiniciatīvas atzinums</w:t>
            </w:r>
          </w:p>
          <w:p w:rsidRPr="00627B8F" w:rsidR="00640656" w:rsidP="00B83E7B" w:rsidRDefault="00640656" w14:paraId="57D265AF" w14:textId="77777777">
            <w:pPr>
              <w:pStyle w:val="ListParagraph"/>
              <w:ind w:left="-61"/>
            </w:pPr>
            <w:r>
              <w:t>EESC-2022-00408-00-00-AC</w:t>
            </w:r>
          </w:p>
        </w:tc>
      </w:tr>
    </w:tbl>
    <w:p w:rsidRPr="00627B8F" w:rsidR="00640656" w:rsidP="00640656" w:rsidRDefault="00640656" w14:paraId="68C62979" w14:textId="77777777">
      <w:pPr>
        <w:pStyle w:val="ListParagraph"/>
        <w:spacing w:line="240" w:lineRule="auto"/>
        <w:ind w:left="0"/>
        <w:rPr>
          <w:lang w:val="pt-PT"/>
        </w:rPr>
      </w:pPr>
    </w:p>
    <w:p w:rsidRPr="009B70E7" w:rsidR="00640656" w:rsidP="00700030" w:rsidRDefault="00631509" w14:paraId="1531E332" w14:textId="6CFA21BF">
      <w:pPr>
        <w:pStyle w:val="ListParagraph"/>
        <w:spacing w:line="240" w:lineRule="auto"/>
        <w:ind w:left="-142" w:firstLine="142"/>
        <w:rPr>
          <w:b/>
        </w:rPr>
      </w:pPr>
      <w:r>
        <w:rPr>
          <w:b/>
          <w:bCs/>
        </w:rPr>
        <w:t>Svarīgākie aspekti</w:t>
      </w:r>
    </w:p>
    <w:p w:rsidRPr="00804736" w:rsidR="00640656" w:rsidP="00804736" w:rsidRDefault="00640656" w14:paraId="35E5BFA5" w14:textId="77777777">
      <w:pPr>
        <w:pStyle w:val="ListParagraph"/>
        <w:spacing w:line="240" w:lineRule="auto"/>
        <w:ind w:left="-142" w:firstLine="142"/>
        <w:rPr>
          <w:b/>
        </w:rPr>
      </w:pPr>
    </w:p>
    <w:p w:rsidRPr="009B70E7" w:rsidR="00640656" w:rsidP="00640656" w:rsidRDefault="00640656" w14:paraId="49F5E58C" w14:textId="77777777">
      <w:pPr>
        <w:pStyle w:val="ListParagraph"/>
        <w:spacing w:line="240" w:lineRule="auto"/>
        <w:ind w:left="0"/>
      </w:pPr>
      <w:r>
        <w:t>EESK:</w:t>
      </w:r>
    </w:p>
    <w:p w:rsidRPr="009B70E7" w:rsidR="00640656" w:rsidP="00640656" w:rsidRDefault="00640656" w14:paraId="79740612" w14:textId="77777777">
      <w:pPr>
        <w:pStyle w:val="ListParagraph"/>
        <w:spacing w:line="276" w:lineRule="auto"/>
        <w:ind w:left="0"/>
      </w:pPr>
    </w:p>
    <w:p w:rsidRPr="009B70E7" w:rsidR="00640656" w:rsidP="00640656" w:rsidRDefault="000A03BD" w14:paraId="7319D50D" w14:textId="77777777">
      <w:pPr>
        <w:pStyle w:val="ListParagraph"/>
        <w:numPr>
          <w:ilvl w:val="0"/>
          <w:numId w:val="3"/>
        </w:numPr>
        <w:spacing w:line="276" w:lineRule="auto"/>
        <w:ind w:left="357" w:hanging="357"/>
      </w:pPr>
      <w:r>
        <w:t>izprot īpašās problēmas, ko pārrobežu tāldarba pieaugums mūsdienās rada starptautiskajai nodokļu sistēmai. Tas īpaši sakāms par darba samaksas un uzņēmumu peļņas aplikšanu ar nodokli;</w:t>
      </w:r>
    </w:p>
    <w:p w:rsidR="00640656" w:rsidP="00640656" w:rsidRDefault="000A03BD" w14:paraId="410F3EF2" w14:textId="77777777">
      <w:pPr>
        <w:pStyle w:val="ListParagraph"/>
        <w:numPr>
          <w:ilvl w:val="0"/>
          <w:numId w:val="3"/>
        </w:numPr>
        <w:spacing w:line="276" w:lineRule="auto"/>
        <w:ind w:left="357" w:hanging="357"/>
      </w:pPr>
      <w:r>
        <w:t>piekrīt Eiropas Komisijai, ka var izveidoties situācija, kad pārrobežu tāldarba veicēju ienākumiem tiek uzlikti dubulti nodokļi, tādēļ var sākties ilgstoši un dārgi strīdi starp darba ņēmējiem un dalībvalstu nodokļu iestādēm;</w:t>
      </w:r>
    </w:p>
    <w:p w:rsidRPr="009B70E7" w:rsidR="00640656" w:rsidP="00640656" w:rsidRDefault="000A03BD" w14:paraId="00EEA10F" w14:textId="77777777">
      <w:pPr>
        <w:pStyle w:val="ListParagraph"/>
        <w:numPr>
          <w:ilvl w:val="0"/>
          <w:numId w:val="3"/>
        </w:numPr>
        <w:spacing w:line="276" w:lineRule="auto"/>
        <w:ind w:left="357" w:hanging="357"/>
      </w:pPr>
      <w:r>
        <w:t xml:space="preserve">atgādina: saistībā ar uzņēmumu peļņas aplikšanu ar nodokli starptautisku tāldarbinieku dēļ uzņēmumam var netīši tikt izveidota pastāvīga </w:t>
      </w:r>
      <w:proofErr w:type="spellStart"/>
      <w:r>
        <w:t>darījumdarbības</w:t>
      </w:r>
      <w:proofErr w:type="spellEnd"/>
      <w:r>
        <w:t xml:space="preserve"> vieta citā valstī. Ja pastāvīga </w:t>
      </w:r>
      <w:proofErr w:type="spellStart"/>
      <w:r>
        <w:t>darījumdarbības</w:t>
      </w:r>
      <w:proofErr w:type="spellEnd"/>
      <w:r>
        <w:t xml:space="preserve"> vieta tiktu izveidota citā valstī, uzņēmums būtu spiests precīzi sadalīt savus uzņēmuma ienākumus starp abām vietām, un tādējādi uz to attiektos atšķirīgi deklarēšanas pienākumi un nodokļu saistības;</w:t>
      </w:r>
    </w:p>
    <w:p w:rsidR="00640656" w:rsidP="00640656" w:rsidRDefault="000A03BD" w14:paraId="5DA57970" w14:textId="77777777">
      <w:pPr>
        <w:pStyle w:val="ListParagraph"/>
        <w:numPr>
          <w:ilvl w:val="0"/>
          <w:numId w:val="3"/>
        </w:numPr>
        <w:spacing w:line="276" w:lineRule="auto"/>
        <w:ind w:left="357" w:hanging="357"/>
      </w:pPr>
      <w:r>
        <w:t>uzsver, cik svarīgi ir turpināt atjaunināt nodokļu sistēmas, lai tās atbilstu mūsdienu darba vides vajadzībām. Starptautiskā uzņēmumu ienākuma nodokļa sistēma nesen tika pārskatīta, vienojoties par ESAO / G20 Iekļaujošo satvaru, proti, nodokļu tiesību aktu kopumu, ko veido divi pīlāri;</w:t>
      </w:r>
    </w:p>
    <w:p w:rsidR="000A03BD" w:rsidP="00640656" w:rsidRDefault="000A03BD" w14:paraId="3030B859" w14:textId="77777777">
      <w:pPr>
        <w:pStyle w:val="ListParagraph"/>
        <w:numPr>
          <w:ilvl w:val="0"/>
          <w:numId w:val="3"/>
        </w:numPr>
        <w:spacing w:line="276" w:lineRule="auto"/>
        <w:ind w:left="357" w:hanging="357"/>
      </w:pPr>
      <w:r>
        <w:t>uzsver, ka noteikumiem, kas jāievēro gan darba ņēmējiem, gan darba devējiem, vajadzētu būt vienkāršiem. Viena iespēja būtu, ka dalībvalstis piekrīt uzlikt nodokli darba ņēmējam tikai tad, ja valstī nostrādāto darba dienu skaits pārsniedz 96 dienas kalendārajā gadā. EESK norāda, ka ESAO / Iekļaujošās struktūras darbā nodokļu jomā tiek izmantots Daudzpusējs instruments (</w:t>
      </w:r>
      <w:r>
        <w:rPr>
          <w:i/>
          <w:iCs/>
        </w:rPr>
        <w:t>MLI</w:t>
      </w:r>
      <w:r>
        <w:t>), kas atvieglo jauno nodokļu noteikumu savlaicīgu ieviešanu;</w:t>
      </w:r>
    </w:p>
    <w:p w:rsidR="000A03BD" w:rsidP="00640656" w:rsidRDefault="000A03BD" w14:paraId="581CFA88" w14:textId="77777777">
      <w:pPr>
        <w:pStyle w:val="ListParagraph"/>
        <w:numPr>
          <w:ilvl w:val="0"/>
          <w:numId w:val="3"/>
        </w:numPr>
        <w:spacing w:line="276" w:lineRule="auto"/>
        <w:ind w:left="357" w:hanging="357"/>
      </w:pPr>
      <w:r>
        <w:t>mudina Eiropas Komisiju apsvērt, vai nebūtu iespējams izveidot vienas pieturas aģentūru, kā tas ir PVN jomā. Tas nozīmētu, ka darba devējiem ir jāziņo par dienu skaitu, ko tāldarbinieki nostrādājuši savā dzīvesvietas valstī un valstī, kurā atrodas darba devējs.</w:t>
      </w:r>
    </w:p>
    <w:p w:rsidRPr="009B70E7" w:rsidR="00577672" w:rsidP="00577672" w:rsidRDefault="00577672" w14:paraId="6AC42931"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640656" w:rsidTr="00B83E7B" w14:paraId="437B7156" w14:textId="77777777">
        <w:tc>
          <w:tcPr>
            <w:tcW w:w="1418" w:type="dxa"/>
          </w:tcPr>
          <w:p w:rsidRPr="009B70E7" w:rsidR="00640656" w:rsidP="00B83E7B" w:rsidRDefault="00640656" w14:paraId="026D2B53" w14:textId="77777777">
            <w:pPr>
              <w:pStyle w:val="ListParagraph"/>
              <w:spacing w:line="276" w:lineRule="auto"/>
              <w:ind w:left="0"/>
              <w:rPr>
                <w:i/>
              </w:rPr>
            </w:pPr>
            <w:r>
              <w:rPr>
                <w:b/>
                <w:i/>
              </w:rPr>
              <w:t>Kontaktpersona:</w:t>
            </w:r>
          </w:p>
        </w:tc>
        <w:tc>
          <w:tcPr>
            <w:tcW w:w="5670" w:type="dxa"/>
          </w:tcPr>
          <w:p w:rsidRPr="009B70E7" w:rsidR="00640656" w:rsidP="00B83E7B" w:rsidRDefault="000A03BD" w14:paraId="3123BFA2" w14:textId="77777777">
            <w:pPr>
              <w:pStyle w:val="ListParagraph"/>
              <w:spacing w:line="276" w:lineRule="auto"/>
              <w:ind w:left="0"/>
              <w:rPr>
                <w:i/>
              </w:rPr>
            </w:pPr>
            <w:proofErr w:type="spellStart"/>
            <w:r>
              <w:rPr>
                <w:i/>
              </w:rPr>
              <w:t>Jüri</w:t>
            </w:r>
            <w:proofErr w:type="spellEnd"/>
            <w:r>
              <w:rPr>
                <w:i/>
              </w:rPr>
              <w:t> SOOSAAR</w:t>
            </w:r>
          </w:p>
        </w:tc>
      </w:tr>
      <w:tr w:rsidRPr="009B70E7" w:rsidR="00640656" w:rsidTr="00B83E7B" w14:paraId="13C450E4" w14:textId="77777777">
        <w:tc>
          <w:tcPr>
            <w:tcW w:w="1418" w:type="dxa"/>
          </w:tcPr>
          <w:p w:rsidRPr="009B70E7" w:rsidR="00640656" w:rsidP="00B83E7B" w:rsidRDefault="00640656" w14:paraId="71B7C5A8" w14:textId="77777777">
            <w:pPr>
              <w:pStyle w:val="ListParagraph"/>
              <w:spacing w:line="276" w:lineRule="auto"/>
              <w:ind w:left="601"/>
              <w:rPr>
                <w:i/>
              </w:rPr>
            </w:pPr>
            <w:r>
              <w:rPr>
                <w:i/>
              </w:rPr>
              <w:t>Tālr.:</w:t>
            </w:r>
          </w:p>
        </w:tc>
        <w:tc>
          <w:tcPr>
            <w:tcW w:w="5670" w:type="dxa"/>
          </w:tcPr>
          <w:p w:rsidRPr="009B70E7" w:rsidR="00640656" w:rsidP="00B83E7B" w:rsidRDefault="00577672" w14:paraId="3226C0EF" w14:textId="77777777">
            <w:pPr>
              <w:pStyle w:val="ListParagraph"/>
              <w:spacing w:line="276" w:lineRule="auto"/>
              <w:ind w:left="0"/>
              <w:rPr>
                <w:i/>
              </w:rPr>
            </w:pPr>
            <w:r>
              <w:rPr>
                <w:i/>
              </w:rPr>
              <w:t>00 32 2 546 97 95</w:t>
            </w:r>
          </w:p>
        </w:tc>
      </w:tr>
      <w:tr w:rsidRPr="009B70E7" w:rsidR="00640656" w:rsidTr="00B83E7B" w14:paraId="1FEA5B3F" w14:textId="77777777">
        <w:tc>
          <w:tcPr>
            <w:tcW w:w="1418" w:type="dxa"/>
          </w:tcPr>
          <w:p w:rsidRPr="009B70E7" w:rsidR="00640656" w:rsidP="00B83E7B" w:rsidRDefault="00640656" w14:paraId="6D5FF9EA" w14:textId="77777777">
            <w:pPr>
              <w:pStyle w:val="ListParagraph"/>
              <w:spacing w:line="276" w:lineRule="auto"/>
              <w:ind w:left="601"/>
              <w:rPr>
                <w:i/>
              </w:rPr>
            </w:pPr>
            <w:r>
              <w:rPr>
                <w:i/>
              </w:rPr>
              <w:t>E-pasts:</w:t>
            </w:r>
          </w:p>
        </w:tc>
        <w:tc>
          <w:tcPr>
            <w:tcW w:w="5670" w:type="dxa"/>
          </w:tcPr>
          <w:p w:rsidRPr="009B70E7" w:rsidR="00640656" w:rsidP="00B83E7B" w:rsidRDefault="0039128C" w14:paraId="160383F7" w14:textId="77777777">
            <w:pPr>
              <w:pStyle w:val="ListParagraph"/>
              <w:spacing w:line="276" w:lineRule="auto"/>
              <w:ind w:left="0"/>
              <w:rPr>
                <w:i/>
              </w:rPr>
            </w:pPr>
            <w:hyperlink w:history="1" r:id="rId21">
              <w:r w:rsidR="00B80426">
                <w:rPr>
                  <w:rStyle w:val="Hyperlink"/>
                  <w:i/>
                </w:rPr>
                <w:t>Juri.Soosar@eesc.europa.eu</w:t>
              </w:r>
            </w:hyperlink>
          </w:p>
        </w:tc>
      </w:tr>
    </w:tbl>
    <w:p w:rsidR="00D35512" w:rsidP="0018231C" w:rsidRDefault="00D35512" w14:paraId="7CBB426B" w14:textId="59BE7BEE">
      <w:pPr>
        <w:spacing w:line="240" w:lineRule="auto"/>
      </w:pPr>
    </w:p>
    <w:p w:rsidR="00D35512" w:rsidRDefault="00D35512" w14:paraId="7BA530D3" w14:textId="77777777">
      <w:pPr>
        <w:spacing w:after="160" w:line="259" w:lineRule="auto"/>
        <w:jc w:val="left"/>
      </w:pPr>
      <w:r>
        <w:br w:type="page"/>
      </w:r>
    </w:p>
    <w:p w:rsidRPr="009B70E7" w:rsidR="004D7AC0" w:rsidP="008B2544" w:rsidRDefault="00BD6E79" w14:paraId="3267ADFE" w14:textId="77777777">
      <w:pPr>
        <w:keepNext/>
        <w:keepLines/>
        <w:numPr>
          <w:ilvl w:val="0"/>
          <w:numId w:val="5"/>
        </w:numPr>
        <w:overflowPunct w:val="0"/>
        <w:autoSpaceDE w:val="0"/>
        <w:autoSpaceDN w:val="0"/>
        <w:adjustRightInd w:val="0"/>
        <w:ind w:left="567" w:hanging="567"/>
        <w:textAlignment w:val="baseline"/>
        <w:rPr>
          <w:b/>
          <w:i/>
          <w:spacing w:val="-2"/>
          <w:sz w:val="28"/>
          <w:szCs w:val="28"/>
        </w:rPr>
      </w:pPr>
      <w:r>
        <w:rPr>
          <w:b/>
          <w:i/>
          <w:sz w:val="28"/>
        </w:rPr>
        <w:lastRenderedPageBreak/>
        <w:t>Nodokļu uzlikšana digitālajā ekonomikā</w:t>
      </w:r>
    </w:p>
    <w:p w:rsidRPr="0018231C" w:rsidR="006E6434" w:rsidP="008B2544" w:rsidRDefault="006E6434" w14:paraId="4E8ABD0B" w14:textId="77777777">
      <w:pPr>
        <w:keepNext/>
        <w:keepLines/>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627B8F" w:rsidR="00705674" w:rsidTr="004A46D9" w14:paraId="691352BE" w14:textId="77777777">
        <w:tc>
          <w:tcPr>
            <w:tcW w:w="1701" w:type="dxa"/>
          </w:tcPr>
          <w:p w:rsidRPr="009B70E7" w:rsidR="00705674" w:rsidP="002C4B6E" w:rsidRDefault="00705674" w14:paraId="3B832BAF" w14:textId="77777777">
            <w:pPr>
              <w:pStyle w:val="ListParagraph"/>
              <w:spacing w:line="240" w:lineRule="auto"/>
              <w:ind w:left="-142" w:firstLine="142"/>
              <w:rPr>
                <w:b/>
              </w:rPr>
            </w:pPr>
            <w:r>
              <w:rPr>
                <w:b/>
              </w:rPr>
              <w:t>Ziņotājs:</w:t>
            </w:r>
          </w:p>
        </w:tc>
        <w:tc>
          <w:tcPr>
            <w:tcW w:w="6521" w:type="dxa"/>
          </w:tcPr>
          <w:p w:rsidRPr="00627B8F" w:rsidR="00705674" w:rsidP="00ED2A6A" w:rsidRDefault="00174763" w14:paraId="322FA680" w14:textId="77777777">
            <w:pPr>
              <w:pStyle w:val="ListParagraph"/>
              <w:ind w:left="-60" w:right="-55"/>
            </w:pPr>
            <w:r>
              <w:t xml:space="preserve"> Benjamin RIZZO (Pilsoniskās sabiedrības organizāciju grupa – MT)</w:t>
            </w:r>
          </w:p>
        </w:tc>
      </w:tr>
      <w:tr w:rsidRPr="009B70E7" w:rsidR="00705674" w:rsidTr="004A46D9" w14:paraId="1E67D992" w14:textId="77777777">
        <w:tc>
          <w:tcPr>
            <w:tcW w:w="1701" w:type="dxa"/>
          </w:tcPr>
          <w:p w:rsidRPr="009B70E7" w:rsidR="00705674" w:rsidRDefault="00705674" w14:paraId="255A1F7D" w14:textId="77777777">
            <w:pPr>
              <w:pStyle w:val="ListParagraph"/>
              <w:ind w:left="0"/>
              <w:rPr>
                <w:b/>
              </w:rPr>
            </w:pPr>
            <w:r>
              <w:rPr>
                <w:b/>
              </w:rPr>
              <w:t>Līdzziņotājs</w:t>
            </w:r>
          </w:p>
        </w:tc>
        <w:tc>
          <w:tcPr>
            <w:tcW w:w="6521" w:type="dxa"/>
          </w:tcPr>
          <w:p w:rsidRPr="009B70E7" w:rsidR="00705674" w:rsidP="0068241A" w:rsidRDefault="00174763" w14:paraId="0D76B76F" w14:textId="77777777">
            <w:pPr>
              <w:pStyle w:val="ListParagraph"/>
              <w:tabs>
                <w:tab w:val="left" w:pos="838"/>
              </w:tabs>
              <w:ind w:left="-61"/>
            </w:pPr>
            <w:r>
              <w:t xml:space="preserve"> Petru SORIN DANDEA (Darba ņēmēju grupa – RO)</w:t>
            </w:r>
          </w:p>
        </w:tc>
      </w:tr>
      <w:tr w:rsidRPr="009B70E7" w:rsidR="00986C7F" w:rsidTr="004A46D9" w14:paraId="0AA03C0B" w14:textId="77777777">
        <w:tc>
          <w:tcPr>
            <w:tcW w:w="8222" w:type="dxa"/>
            <w:gridSpan w:val="2"/>
          </w:tcPr>
          <w:p w:rsidRPr="009B70E7" w:rsidR="00986C7F" w:rsidRDefault="00986C7F" w14:paraId="11126B04" w14:textId="77777777">
            <w:pPr>
              <w:pStyle w:val="ListParagraph"/>
              <w:ind w:left="0"/>
            </w:pPr>
          </w:p>
        </w:tc>
      </w:tr>
      <w:tr w:rsidRPr="00627B8F" w:rsidR="004D7AC0" w:rsidTr="004A46D9" w14:paraId="1499CE6A" w14:textId="77777777">
        <w:tc>
          <w:tcPr>
            <w:tcW w:w="1701" w:type="dxa"/>
          </w:tcPr>
          <w:p w:rsidRPr="009B70E7" w:rsidR="004D7AC0" w:rsidRDefault="004D7AC0" w14:paraId="402C1F54" w14:textId="77777777">
            <w:pPr>
              <w:pStyle w:val="ListParagraph"/>
              <w:ind w:left="0"/>
              <w:rPr>
                <w:b/>
              </w:rPr>
            </w:pPr>
            <w:r>
              <w:rPr>
                <w:b/>
              </w:rPr>
              <w:t xml:space="preserve">Atsauce: </w:t>
            </w:r>
          </w:p>
        </w:tc>
        <w:tc>
          <w:tcPr>
            <w:tcW w:w="6521" w:type="dxa"/>
          </w:tcPr>
          <w:p w:rsidRPr="00627B8F" w:rsidR="00DC097D" w:rsidP="0068241A" w:rsidRDefault="0004205F" w14:paraId="77BAAF3B" w14:textId="77777777">
            <w:pPr>
              <w:pStyle w:val="ListParagraph"/>
              <w:ind w:left="-61"/>
              <w:rPr>
                <w:bCs/>
              </w:rPr>
            </w:pPr>
            <w:r>
              <w:t>Izpētes atzinums pēc Padomes prezidentvalsts Čehijas pieprasījuma</w:t>
            </w:r>
          </w:p>
          <w:p w:rsidRPr="00627B8F" w:rsidR="004D7AC0" w:rsidP="0068241A" w:rsidRDefault="000C6D0B" w14:paraId="4FE162D8" w14:textId="77777777">
            <w:pPr>
              <w:pStyle w:val="ListParagraph"/>
              <w:ind w:left="-61"/>
            </w:pPr>
            <w:r>
              <w:t>EESC-2022-02060-00-00-AC</w:t>
            </w:r>
          </w:p>
        </w:tc>
      </w:tr>
    </w:tbl>
    <w:p w:rsidR="00631509" w:rsidP="003D4F68" w:rsidRDefault="00631509" w14:paraId="6B907918" w14:textId="77777777">
      <w:pPr>
        <w:pStyle w:val="ListParagraph"/>
        <w:spacing w:line="240" w:lineRule="auto"/>
        <w:ind w:left="0" w:firstLine="142"/>
        <w:rPr>
          <w:lang w:val="pt-PT"/>
        </w:rPr>
      </w:pPr>
    </w:p>
    <w:p w:rsidRPr="009B70E7" w:rsidR="004D7AC0" w:rsidP="00631509" w:rsidRDefault="004D7AC0" w14:paraId="20827D97" w14:textId="06BC8467">
      <w:pPr>
        <w:pStyle w:val="ListParagraph"/>
        <w:spacing w:line="240" w:lineRule="auto"/>
        <w:ind w:left="0"/>
        <w:rPr>
          <w:b/>
        </w:rPr>
      </w:pPr>
      <w:r>
        <w:rPr>
          <w:b/>
          <w:bCs/>
        </w:rPr>
        <w:t>Svarīgākie aspekti</w:t>
      </w:r>
    </w:p>
    <w:p w:rsidRPr="009B70E7" w:rsidR="004D7AC0" w:rsidP="0018231C" w:rsidRDefault="004D7AC0" w14:paraId="4918C4AD" w14:textId="77777777">
      <w:pPr>
        <w:pStyle w:val="ListParagraph"/>
        <w:spacing w:line="240" w:lineRule="auto"/>
        <w:ind w:left="0"/>
      </w:pPr>
    </w:p>
    <w:p w:rsidRPr="009B70E7" w:rsidR="004D7AC0" w:rsidP="0018231C" w:rsidRDefault="004D7AC0" w14:paraId="563DEAE0" w14:textId="6ACB49CD">
      <w:pPr>
        <w:pStyle w:val="ListParagraph"/>
        <w:spacing w:line="240" w:lineRule="auto"/>
        <w:ind w:left="0"/>
      </w:pPr>
      <w:r>
        <w:t>EESK:</w:t>
      </w:r>
    </w:p>
    <w:p w:rsidRPr="009B70E7" w:rsidR="004D7AC0" w:rsidP="0018231C" w:rsidRDefault="004D7AC0" w14:paraId="20687EE6" w14:textId="77777777">
      <w:pPr>
        <w:pStyle w:val="ListParagraph"/>
        <w:spacing w:line="276" w:lineRule="auto"/>
        <w:ind w:left="0"/>
      </w:pPr>
    </w:p>
    <w:p w:rsidRPr="009B70E7" w:rsidR="004D7AC0" w:rsidP="0018231C" w:rsidRDefault="0004205F" w14:paraId="63D90A21" w14:textId="77777777">
      <w:pPr>
        <w:pStyle w:val="ListParagraph"/>
        <w:numPr>
          <w:ilvl w:val="0"/>
          <w:numId w:val="3"/>
        </w:numPr>
        <w:spacing w:line="276" w:lineRule="auto"/>
        <w:ind w:left="357" w:hanging="357"/>
      </w:pPr>
      <w:r>
        <w:t>ierosina, ka, tiklīdz tiks panākta starptautiska vienošanās par ESAO/G20 Iekļaujošā satvara 1. pīlāru attiecībā uz nodokļu uzlikšanas tiesību pārdali, attiecīgie noteikumi ES būtu ātri jāīsteno, koordinējot un vienlaikus īstenojot iniciatīvu ar citiem galvenajiem tirdzniecības partneriem;</w:t>
      </w:r>
    </w:p>
    <w:p w:rsidR="004D7AC0" w:rsidP="0018231C" w:rsidRDefault="0004205F" w14:paraId="18668642" w14:textId="77777777">
      <w:pPr>
        <w:pStyle w:val="ListParagraph"/>
        <w:numPr>
          <w:ilvl w:val="0"/>
          <w:numId w:val="3"/>
        </w:numPr>
        <w:spacing w:line="276" w:lineRule="auto"/>
        <w:ind w:left="357" w:hanging="357"/>
      </w:pPr>
      <w:r>
        <w:t>uzskata, ka ES var uzņemties vadošu lomu attiecībā uz nodokļu uzlikšanu digitālajā ekonomikā. Tomēr šāda loma būtu jāuzņemas saskaņā ar starptautisku nolīgumu, ko panākusi ESAO/G20, kā tas jau notika attiecībā uz 2. pīlāru attiecībā uz nodokļu bāzes samazināšanas novēršanas mehānismu.</w:t>
      </w:r>
    </w:p>
    <w:p w:rsidRPr="009B70E7" w:rsidR="007F2119" w:rsidP="0018231C" w:rsidRDefault="0004205F" w14:paraId="30394587" w14:textId="77777777">
      <w:pPr>
        <w:pStyle w:val="ListParagraph"/>
        <w:numPr>
          <w:ilvl w:val="0"/>
          <w:numId w:val="3"/>
        </w:numPr>
        <w:spacing w:line="276" w:lineRule="auto"/>
        <w:ind w:left="357" w:hanging="357"/>
      </w:pPr>
      <w:r>
        <w:t>uzsver, ka ir ļoti svarīgi, lai gan 1., gan 2. pīlārs ES tiktu īstenots pēc iespējas ātrāk, panākot augstu saskaņotības pakāpi ar starptautisko nolīgumu, kas tiks apspriests ESAO/G20 sanāksmē. 1. un 2. pīlārs būtu jāuzskata par visaptverošu un savstarpēji integrētu normatīvo aktu kopumu;</w:t>
      </w:r>
    </w:p>
    <w:p w:rsidR="004D7AC0" w:rsidP="0018231C" w:rsidRDefault="0004205F" w14:paraId="202D24AF" w14:textId="77777777">
      <w:pPr>
        <w:pStyle w:val="ListParagraph"/>
        <w:numPr>
          <w:ilvl w:val="0"/>
          <w:numId w:val="3"/>
        </w:numPr>
        <w:spacing w:line="276" w:lineRule="auto"/>
        <w:ind w:left="357" w:hanging="357"/>
      </w:pPr>
      <w:r>
        <w:t>norāda, ka Eiropas likumdošanas iniciatīva par nodokļu uzlikšanu digitālajā ekonomikā varētu sniegt ievērojamu labumu iekšējam tirgum, neapšaubāmi nodrošinot efektīvāku sistēmu salīdzinājumā ar atsevišķām valstu iniciatīvām.</w:t>
      </w:r>
    </w:p>
    <w:p w:rsidRPr="009B70E7" w:rsidR="003E692C" w:rsidP="003E692C" w:rsidRDefault="0004205F" w14:paraId="02A3942D" w14:textId="141920AE">
      <w:pPr>
        <w:pStyle w:val="ListParagraph"/>
        <w:numPr>
          <w:ilvl w:val="0"/>
          <w:numId w:val="3"/>
        </w:numPr>
        <w:spacing w:line="276" w:lineRule="auto"/>
        <w:ind w:left="357" w:hanging="357"/>
      </w:pPr>
      <w:r>
        <w:t xml:space="preserve">aicina noslēgt starptautisku nolīgumu par 1. pīlāru, kurā pēc iespējas atturas no pārāk sarežģītiem noteikumiem un kura mērķis ir panākt </w:t>
      </w:r>
      <w:proofErr w:type="spellStart"/>
      <w:r>
        <w:t>pārredzamību</w:t>
      </w:r>
      <w:proofErr w:type="spellEnd"/>
      <w:r>
        <w:t xml:space="preserve">, </w:t>
      </w:r>
      <w:proofErr w:type="spellStart"/>
      <w:r>
        <w:t>paredzamību</w:t>
      </w:r>
      <w:proofErr w:type="spellEnd"/>
      <w:r>
        <w:t xml:space="preserve"> un administratīvo vienkāršošanu, saglabājot zemas atbilstības nodrošināšanas izmaksas. Pārāk sarežģīta sistēma patiešām varētu radīt iespējas apiet </w:t>
      </w:r>
      <w:proofErr w:type="spellStart"/>
      <w:r>
        <w:t>jaunpieņemtos</w:t>
      </w:r>
      <w:proofErr w:type="spellEnd"/>
      <w:r>
        <w:t xml:space="preserve"> noteikumus, samazinot to efektivitāti.</w:t>
      </w:r>
    </w:p>
    <w:p w:rsidRPr="003E692C" w:rsidR="00DC097D" w:rsidP="001A0AD4" w:rsidRDefault="0004205F" w14:paraId="58783A9E" w14:textId="77777777">
      <w:pPr>
        <w:pStyle w:val="ListParagraph"/>
        <w:numPr>
          <w:ilvl w:val="0"/>
          <w:numId w:val="3"/>
        </w:numPr>
        <w:spacing w:line="276" w:lineRule="auto"/>
        <w:ind w:left="357" w:hanging="357"/>
      </w:pPr>
      <w:r>
        <w:t>uzsver, ka pienācīgi izstrādāti starptautiski nodokļu tiesību akti par digitālajiem uzņēmumiem ir instrumenti, kas dod iespēju novērst izvairīšanos no nodokļu maksāšanas un nodokļu apiešanas praksi, kā arī iespēju izstrādāt taisnīgu, stabilu un progresīvu nodokļu sistēmu.</w:t>
      </w:r>
    </w:p>
    <w:p w:rsidR="003E692C" w:rsidP="003E692C" w:rsidRDefault="003E692C" w14:paraId="176DA90D" w14:textId="77777777">
      <w:pPr>
        <w:pStyle w:val="ListParagraph"/>
        <w:spacing w:line="276" w:lineRule="auto"/>
        <w:ind w:left="357"/>
      </w:pPr>
    </w:p>
    <w:p w:rsidRPr="009B70E7" w:rsidR="00AA05F8" w:rsidP="0004205F" w:rsidRDefault="00AA05F8" w14:paraId="64FB268C" w14:textId="77777777">
      <w:pPr>
        <w:pStyle w:val="ListParagraph"/>
        <w:spacing w:line="276" w:lineRule="auto"/>
        <w:ind w:left="35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04205F" w:rsidTr="008B66DD" w14:paraId="42ABA59B" w14:textId="77777777">
        <w:tc>
          <w:tcPr>
            <w:tcW w:w="1418" w:type="dxa"/>
          </w:tcPr>
          <w:p w:rsidRPr="009B70E7" w:rsidR="0004205F" w:rsidP="008B66DD" w:rsidRDefault="0004205F" w14:paraId="1202A600" w14:textId="77777777">
            <w:pPr>
              <w:pStyle w:val="ListParagraph"/>
              <w:spacing w:line="276" w:lineRule="auto"/>
              <w:ind w:left="0"/>
              <w:rPr>
                <w:i/>
              </w:rPr>
            </w:pPr>
            <w:r>
              <w:rPr>
                <w:b/>
                <w:i/>
              </w:rPr>
              <w:t>Kontaktpersona:</w:t>
            </w:r>
          </w:p>
        </w:tc>
        <w:tc>
          <w:tcPr>
            <w:tcW w:w="5670" w:type="dxa"/>
          </w:tcPr>
          <w:p w:rsidRPr="009B70E7" w:rsidR="0004205F" w:rsidP="008B66DD" w:rsidRDefault="0004205F" w14:paraId="0AA6F903" w14:textId="77777777">
            <w:pPr>
              <w:pStyle w:val="ListParagraph"/>
              <w:spacing w:line="276" w:lineRule="auto"/>
              <w:ind w:left="0"/>
              <w:rPr>
                <w:i/>
              </w:rPr>
            </w:pPr>
            <w:proofErr w:type="spellStart"/>
            <w:r>
              <w:rPr>
                <w:i/>
              </w:rPr>
              <w:t>Jüri</w:t>
            </w:r>
            <w:proofErr w:type="spellEnd"/>
            <w:r>
              <w:rPr>
                <w:i/>
              </w:rPr>
              <w:t> SOOSAAR</w:t>
            </w:r>
          </w:p>
        </w:tc>
      </w:tr>
      <w:tr w:rsidRPr="009B70E7" w:rsidR="0004205F" w:rsidTr="008B66DD" w14:paraId="7385889A" w14:textId="77777777">
        <w:tc>
          <w:tcPr>
            <w:tcW w:w="1418" w:type="dxa"/>
          </w:tcPr>
          <w:p w:rsidRPr="009B70E7" w:rsidR="0004205F" w:rsidP="008B66DD" w:rsidRDefault="0004205F" w14:paraId="4DFD0A04" w14:textId="77777777">
            <w:pPr>
              <w:pStyle w:val="ListParagraph"/>
              <w:spacing w:line="276" w:lineRule="auto"/>
              <w:ind w:left="601"/>
              <w:rPr>
                <w:i/>
              </w:rPr>
            </w:pPr>
            <w:r>
              <w:rPr>
                <w:i/>
              </w:rPr>
              <w:t>Tālr.:</w:t>
            </w:r>
          </w:p>
        </w:tc>
        <w:tc>
          <w:tcPr>
            <w:tcW w:w="5670" w:type="dxa"/>
          </w:tcPr>
          <w:p w:rsidRPr="009B70E7" w:rsidR="0004205F" w:rsidP="008B66DD" w:rsidRDefault="0004205F" w14:paraId="7F762C11" w14:textId="77777777">
            <w:pPr>
              <w:pStyle w:val="ListParagraph"/>
              <w:spacing w:line="276" w:lineRule="auto"/>
              <w:ind w:left="0"/>
              <w:rPr>
                <w:i/>
              </w:rPr>
            </w:pPr>
            <w:r>
              <w:rPr>
                <w:i/>
              </w:rPr>
              <w:t>00 32 2 546 97 95</w:t>
            </w:r>
          </w:p>
        </w:tc>
      </w:tr>
      <w:tr w:rsidRPr="009B70E7" w:rsidR="0004205F" w:rsidTr="008B66DD" w14:paraId="44BC51C1" w14:textId="77777777">
        <w:tc>
          <w:tcPr>
            <w:tcW w:w="1418" w:type="dxa"/>
          </w:tcPr>
          <w:p w:rsidRPr="009B70E7" w:rsidR="0004205F" w:rsidP="008B66DD" w:rsidRDefault="0004205F" w14:paraId="64D662AC" w14:textId="77777777">
            <w:pPr>
              <w:pStyle w:val="ListParagraph"/>
              <w:spacing w:line="276" w:lineRule="auto"/>
              <w:ind w:left="601"/>
              <w:rPr>
                <w:i/>
              </w:rPr>
            </w:pPr>
            <w:r>
              <w:rPr>
                <w:i/>
              </w:rPr>
              <w:t>E-pasts:</w:t>
            </w:r>
          </w:p>
        </w:tc>
        <w:tc>
          <w:tcPr>
            <w:tcW w:w="5670" w:type="dxa"/>
          </w:tcPr>
          <w:p w:rsidRPr="009B70E7" w:rsidR="0004205F" w:rsidP="008B66DD" w:rsidRDefault="0039128C" w14:paraId="0F943B87" w14:textId="77777777">
            <w:pPr>
              <w:pStyle w:val="ListParagraph"/>
              <w:spacing w:line="276" w:lineRule="auto"/>
              <w:ind w:left="0"/>
              <w:rPr>
                <w:i/>
              </w:rPr>
            </w:pPr>
            <w:hyperlink w:history="1" r:id="rId22">
              <w:r w:rsidR="00B80426">
                <w:rPr>
                  <w:rStyle w:val="Hyperlink"/>
                  <w:i/>
                </w:rPr>
                <w:t>Juri.Soosar@eesc.europa.eu</w:t>
              </w:r>
            </w:hyperlink>
          </w:p>
        </w:tc>
      </w:tr>
    </w:tbl>
    <w:p w:rsidR="00D35512" w:rsidRDefault="00D35512" w14:paraId="07993D4C" w14:textId="52CB357C">
      <w:pPr>
        <w:spacing w:after="160" w:line="259" w:lineRule="auto"/>
        <w:jc w:val="left"/>
      </w:pPr>
    </w:p>
    <w:p w:rsidR="00D35512" w:rsidRDefault="00D35512" w14:paraId="58CFB761" w14:textId="77777777">
      <w:pPr>
        <w:spacing w:after="160" w:line="259" w:lineRule="auto"/>
        <w:jc w:val="left"/>
      </w:pPr>
      <w:r>
        <w:br w:type="page"/>
      </w:r>
    </w:p>
    <w:p w:rsidRPr="0004205F" w:rsidR="00DC17CF" w:rsidP="00DC17CF" w:rsidRDefault="0004205F" w14:paraId="1CD13A78" w14:textId="77777777">
      <w:pPr>
        <w:keepNext/>
        <w:numPr>
          <w:ilvl w:val="0"/>
          <w:numId w:val="2"/>
        </w:numPr>
        <w:ind w:left="567" w:hanging="567"/>
        <w:contextualSpacing/>
        <w:rPr>
          <w:b/>
          <w:i/>
          <w:sz w:val="28"/>
          <w:szCs w:val="28"/>
        </w:rPr>
      </w:pPr>
      <w:r>
        <w:rPr>
          <w:b/>
          <w:i/>
          <w:sz w:val="28"/>
        </w:rPr>
        <w:lastRenderedPageBreak/>
        <w:t>Centrālo depozitāriju regulas pārskatīšana</w:t>
      </w:r>
    </w:p>
    <w:p w:rsidRPr="00A30B84" w:rsidR="0004205F" w:rsidP="00B44BB9" w:rsidRDefault="0004205F" w14:paraId="21BCC75E" w14:textId="77777777">
      <w:pPr>
        <w:keepNext/>
        <w:ind w:left="567"/>
        <w:contextualSpacing/>
        <w:rPr>
          <w:b/>
          <w:i/>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5766"/>
        <w:gridCol w:w="755"/>
      </w:tblGrid>
      <w:tr w:rsidRPr="00627B8F" w:rsidR="0004205F" w:rsidTr="008B66DD" w14:paraId="049361FD" w14:textId="77777777">
        <w:tc>
          <w:tcPr>
            <w:tcW w:w="1701" w:type="dxa"/>
          </w:tcPr>
          <w:p w:rsidRPr="009B70E7" w:rsidR="0004205F" w:rsidP="0004205F" w:rsidRDefault="0004205F" w14:paraId="62391659" w14:textId="77777777">
            <w:pPr>
              <w:pStyle w:val="ListParagraph"/>
              <w:spacing w:line="240" w:lineRule="auto"/>
              <w:ind w:left="-142" w:firstLine="142"/>
              <w:rPr>
                <w:b/>
              </w:rPr>
            </w:pPr>
            <w:r>
              <w:rPr>
                <w:b/>
              </w:rPr>
              <w:t>Ziņotājs:</w:t>
            </w:r>
          </w:p>
        </w:tc>
        <w:tc>
          <w:tcPr>
            <w:tcW w:w="6521" w:type="dxa"/>
            <w:gridSpan w:val="2"/>
          </w:tcPr>
          <w:p w:rsidRPr="00627B8F" w:rsidR="0004205F" w:rsidP="0004205F" w:rsidRDefault="0004205F" w14:paraId="431B2CD3" w14:textId="77777777">
            <w:pPr>
              <w:pStyle w:val="ListParagraph"/>
              <w:ind w:left="-60" w:right="-55"/>
            </w:pPr>
            <w:proofErr w:type="spellStart"/>
            <w:r>
              <w:t>Kęstutis</w:t>
            </w:r>
            <w:proofErr w:type="spellEnd"/>
            <w:r>
              <w:t xml:space="preserve"> KUPŠYS (Pilsoniskās sabiedrības organizāciju grupa — LT)</w:t>
            </w:r>
          </w:p>
        </w:tc>
      </w:tr>
      <w:tr w:rsidRPr="009B70E7" w:rsidR="0004205F" w:rsidTr="008B66DD" w14:paraId="6A254F6C" w14:textId="77777777">
        <w:tc>
          <w:tcPr>
            <w:tcW w:w="1701" w:type="dxa"/>
          </w:tcPr>
          <w:p w:rsidRPr="009B70E7" w:rsidR="0004205F" w:rsidP="0004205F" w:rsidRDefault="0004205F" w14:paraId="2522D764" w14:textId="77777777">
            <w:pPr>
              <w:pStyle w:val="ListParagraph"/>
              <w:ind w:left="0"/>
              <w:rPr>
                <w:b/>
              </w:rPr>
            </w:pPr>
            <w:r>
              <w:rPr>
                <w:b/>
              </w:rPr>
              <w:t>Līdzziņotājs</w:t>
            </w:r>
          </w:p>
        </w:tc>
        <w:tc>
          <w:tcPr>
            <w:tcW w:w="6521" w:type="dxa"/>
            <w:gridSpan w:val="2"/>
          </w:tcPr>
          <w:p w:rsidR="0004205F" w:rsidP="0004205F" w:rsidRDefault="0004205F" w14:paraId="44ADDECF" w14:textId="77777777">
            <w:pPr>
              <w:pStyle w:val="ListParagraph"/>
              <w:tabs>
                <w:tab w:val="left" w:pos="838"/>
              </w:tabs>
              <w:ind w:left="-61"/>
            </w:pPr>
            <w:proofErr w:type="spellStart"/>
            <w:r>
              <w:t>Christophe</w:t>
            </w:r>
            <w:proofErr w:type="spellEnd"/>
            <w:r>
              <w:t xml:space="preserve"> LEFÈVRE (Darba ņēmēju grupa – FR)</w:t>
            </w:r>
          </w:p>
          <w:p w:rsidRPr="009B70E7" w:rsidR="0004205F" w:rsidP="0004205F" w:rsidRDefault="0004205F" w14:paraId="5D498FFA" w14:textId="77777777">
            <w:pPr>
              <w:pStyle w:val="ListParagraph"/>
              <w:tabs>
                <w:tab w:val="left" w:pos="838"/>
              </w:tabs>
              <w:ind w:left="-61"/>
            </w:pPr>
          </w:p>
        </w:tc>
      </w:tr>
      <w:tr w:rsidRPr="009B70E7" w:rsidR="0004205F" w:rsidTr="00326919" w14:paraId="793D9F9A" w14:textId="77777777">
        <w:tblPrEx>
          <w:tblCellMar>
            <w:left w:w="108" w:type="dxa"/>
            <w:right w:w="108" w:type="dxa"/>
          </w:tblCellMar>
        </w:tblPrEx>
        <w:trPr>
          <w:gridAfter w:val="1"/>
          <w:wAfter w:w="755" w:type="dxa"/>
          <w:trHeight w:val="636"/>
        </w:trPr>
        <w:tc>
          <w:tcPr>
            <w:tcW w:w="1701" w:type="dxa"/>
          </w:tcPr>
          <w:p w:rsidRPr="009B70E7" w:rsidR="0004205F" w:rsidP="0004205F" w:rsidRDefault="0004205F" w14:paraId="3464C7C3" w14:textId="77777777">
            <w:pPr>
              <w:pStyle w:val="ListParagraph"/>
              <w:ind w:left="0" w:hanging="108"/>
              <w:rPr>
                <w:b/>
              </w:rPr>
            </w:pPr>
            <w:r>
              <w:rPr>
                <w:b/>
              </w:rPr>
              <w:t xml:space="preserve">Atsauce: </w:t>
            </w:r>
          </w:p>
        </w:tc>
        <w:tc>
          <w:tcPr>
            <w:tcW w:w="5766" w:type="dxa"/>
          </w:tcPr>
          <w:p w:rsidR="0004205F" w:rsidP="0004205F" w:rsidRDefault="0004205F" w14:paraId="19506267" w14:textId="77777777">
            <w:pPr>
              <w:pStyle w:val="ListParagraph"/>
              <w:ind w:left="-108"/>
            </w:pPr>
            <w:r>
              <w:t xml:space="preserve">COM(2022) 120 </w:t>
            </w:r>
            <w:proofErr w:type="spellStart"/>
            <w:r>
              <w:t>final</w:t>
            </w:r>
            <w:proofErr w:type="spellEnd"/>
          </w:p>
          <w:p w:rsidRPr="009B70E7" w:rsidR="0004205F" w:rsidP="0004205F" w:rsidRDefault="00765C4F" w14:paraId="3BDBC5BC" w14:textId="77777777">
            <w:pPr>
              <w:pStyle w:val="ListParagraph"/>
              <w:ind w:left="-108"/>
            </w:pPr>
            <w:r>
              <w:t>EESC-2022-01786-00-00-AC</w:t>
            </w:r>
          </w:p>
        </w:tc>
      </w:tr>
    </w:tbl>
    <w:p w:rsidRPr="00A30B84" w:rsidR="00DC17CF" w:rsidP="00DC17CF" w:rsidRDefault="00DC17CF" w14:paraId="4C20BCC6" w14:textId="77777777">
      <w:pPr>
        <w:contextualSpacing/>
      </w:pPr>
    </w:p>
    <w:p w:rsidRPr="00A30B84" w:rsidR="00DC17CF" w:rsidP="00DC17CF" w:rsidRDefault="00DC17CF" w14:paraId="1EF6CC14" w14:textId="77777777">
      <w:pPr>
        <w:pStyle w:val="ListParagraph"/>
        <w:spacing w:line="240" w:lineRule="auto"/>
        <w:ind w:left="-142" w:firstLine="142"/>
        <w:rPr>
          <w:b/>
        </w:rPr>
      </w:pPr>
      <w:r>
        <w:rPr>
          <w:b/>
          <w:bCs/>
        </w:rPr>
        <w:t>Svarīgākie aspekti</w:t>
      </w:r>
    </w:p>
    <w:p w:rsidRPr="00A30B84" w:rsidR="00DC17CF" w:rsidP="00DC17CF" w:rsidRDefault="00DC17CF" w14:paraId="7CFFCE10" w14:textId="77777777">
      <w:pPr>
        <w:contextualSpacing/>
      </w:pPr>
    </w:p>
    <w:p w:rsidRPr="00A30B84" w:rsidR="00DC17CF" w:rsidP="00326919" w:rsidRDefault="00DC17CF" w14:paraId="7C9141DB" w14:textId="77777777">
      <w:pPr>
        <w:pStyle w:val="ListParagraph"/>
        <w:spacing w:line="240" w:lineRule="auto"/>
        <w:ind w:left="0"/>
      </w:pPr>
      <w:r>
        <w:t>EESK:</w:t>
      </w:r>
    </w:p>
    <w:p w:rsidRPr="00A30B84" w:rsidR="00DC17CF" w:rsidP="00DC17CF" w:rsidRDefault="00DC17CF" w14:paraId="6B986D1C" w14:textId="77777777">
      <w:pPr>
        <w:contextualSpacing/>
        <w:rPr>
          <w:lang w:val="fr-FR"/>
        </w:rPr>
      </w:pPr>
    </w:p>
    <w:p w:rsidRPr="00A30B84" w:rsidR="00502B04" w:rsidP="00502B04" w:rsidRDefault="00F71666" w14:paraId="519EC36E" w14:textId="21CC0365">
      <w:pPr>
        <w:numPr>
          <w:ilvl w:val="0"/>
          <w:numId w:val="3"/>
        </w:numPr>
        <w:ind w:left="357" w:hanging="357"/>
        <w:contextualSpacing/>
      </w:pPr>
      <w:r>
        <w:t>uzskata, ka Komisijas ierosinātie risinājumi pieciem galvenajiem jautājumiem, kas konstatēti Centrālo vērtspapīru depozitāriju (CVD) regulas pārskatīšanas procesā, kopumā ir pietiekami un efektīvi;</w:t>
      </w:r>
    </w:p>
    <w:p w:rsidRPr="001445A7" w:rsidR="00DC17CF" w:rsidP="00DC17CF" w:rsidRDefault="00F71666" w14:paraId="1B2322B6" w14:textId="1DBA4E52">
      <w:pPr>
        <w:numPr>
          <w:ilvl w:val="0"/>
          <w:numId w:val="3"/>
        </w:numPr>
        <w:ind w:left="357" w:hanging="357"/>
        <w:contextualSpacing/>
      </w:pPr>
      <w:r>
        <w:t>atzinīgi vērtē Komisijas iniciatīvas spēkā esošās prasības par pārrobežu atļaujas piešķiršanu aizstāt ar paziņojumu, kā arī priekšlikumu par uzraudzības kolēģijām;</w:t>
      </w:r>
    </w:p>
    <w:p w:rsidR="00DC17CF" w:rsidP="00DC17CF" w:rsidRDefault="00F71666" w14:paraId="2DF768E0" w14:textId="47D817FB">
      <w:pPr>
        <w:numPr>
          <w:ilvl w:val="0"/>
          <w:numId w:val="3"/>
        </w:numPr>
        <w:ind w:left="357" w:hanging="357"/>
        <w:contextualSpacing/>
      </w:pPr>
      <w:r>
        <w:t xml:space="preserve">attiecībā uz banku tipa papildpakalpojumu sniegšanu saskata papildu iespējas tādos risinājumos, kuru pamatā ir norēķini ar centrālās bankas naudu. Riskus varētu samazināt, plašāk izmantojot </w:t>
      </w:r>
      <w:r>
        <w:rPr>
          <w:i/>
          <w:iCs/>
        </w:rPr>
        <w:t>TARGET2</w:t>
      </w:r>
      <w:r>
        <w:t xml:space="preserve"> vērtspapīru (</w:t>
      </w:r>
      <w:r>
        <w:rPr>
          <w:i/>
          <w:iCs/>
        </w:rPr>
        <w:t>T2S</w:t>
      </w:r>
      <w:r>
        <w:t>) norēķinu platformu;</w:t>
      </w:r>
    </w:p>
    <w:p w:rsidRPr="00F71666" w:rsidR="00A86E2C" w:rsidP="0004205F" w:rsidRDefault="00F71666" w14:paraId="077F1B2A" w14:textId="6B62A243">
      <w:pPr>
        <w:numPr>
          <w:ilvl w:val="0"/>
          <w:numId w:val="3"/>
        </w:numPr>
        <w:ind w:left="357" w:hanging="357"/>
        <w:contextualSpacing/>
      </w:pPr>
      <w:r>
        <w:t xml:space="preserve">iesaka Komisijas priekšlikumā iekļaut noteikumus, kuros atzīta </w:t>
      </w:r>
      <w:r>
        <w:rPr>
          <w:i/>
          <w:iCs/>
        </w:rPr>
        <w:t>T2S</w:t>
      </w:r>
      <w:r>
        <w:t xml:space="preserve"> centrālā loma Eiropas vērtspapīru norēķinu infrastruktūrā;</w:t>
      </w:r>
    </w:p>
    <w:p w:rsidRPr="00F71666" w:rsidR="00F71666" w:rsidP="0004205F" w:rsidRDefault="00F71666" w14:paraId="41F7CB84" w14:textId="2FB4B7ED">
      <w:pPr>
        <w:numPr>
          <w:ilvl w:val="0"/>
          <w:numId w:val="3"/>
        </w:numPr>
        <w:ind w:left="357" w:hanging="357"/>
        <w:contextualSpacing/>
      </w:pPr>
      <w:r>
        <w:t>norāda, ka divpakāpju pieeja obligātās iepirkšanas (OI) uzlikšanai par pienākumu būtu jāapsver tikai tad, kad ir noskaidroti norēķinu neizpildes iemesli un gūta skaidrība par citu pasākumu efektivitāti;</w:t>
      </w:r>
    </w:p>
    <w:p w:rsidRPr="00F71666" w:rsidR="00F71666" w:rsidP="0004205F" w:rsidRDefault="00F71666" w14:paraId="4300CB13" w14:textId="3735AC49">
      <w:pPr>
        <w:numPr>
          <w:ilvl w:val="0"/>
          <w:numId w:val="3"/>
        </w:numPr>
        <w:ind w:left="357" w:hanging="357"/>
        <w:contextualSpacing/>
      </w:pPr>
      <w:r>
        <w:t>iesaka veikt pasākumus, lai veicinātu norēķinu “</w:t>
      </w:r>
      <w:proofErr w:type="spellStart"/>
      <w:r>
        <w:t>komandķēžu</w:t>
      </w:r>
      <w:proofErr w:type="spellEnd"/>
      <w:r>
        <w:t>” saīsināšanu, un ierosina analizēt iemeslus, kāpēc tik plaši tiek izmantota “</w:t>
      </w:r>
      <w:proofErr w:type="spellStart"/>
      <w:r>
        <w:t>pirmsatbilstības</w:t>
      </w:r>
      <w:proofErr w:type="spellEnd"/>
      <w:r>
        <w:t>” metode, lai samazinātu norēķinu neveikšanu;</w:t>
      </w:r>
    </w:p>
    <w:p w:rsidRPr="00F71666" w:rsidR="00F71666" w:rsidP="0004205F" w:rsidRDefault="00F71666" w14:paraId="211F343A" w14:textId="458017F2">
      <w:pPr>
        <w:numPr>
          <w:ilvl w:val="0"/>
          <w:numId w:val="3"/>
        </w:numPr>
        <w:ind w:left="357" w:hanging="357"/>
        <w:contextualSpacing/>
      </w:pPr>
      <w:r>
        <w:t>brīdina, ka sadalītās virsgrāmatas tehnoloģijas (SVT) izmēģinājuma režīms nedrīkst radīt precedentu, kas ļautu pazemināt pašreizējos tirgus uzvedības un ieguldītāju aizsardzības standartus. Lai samazinātu darījuma partnera risku, CVD būtu jāuzņemas nozīmīga loma SVT tīklu pārvaldībā;</w:t>
      </w:r>
    </w:p>
    <w:p w:rsidRPr="00B44BB9" w:rsidR="00F71666" w:rsidP="0004205F" w:rsidRDefault="00F71666" w14:paraId="5E238A5C" w14:textId="128D34F4">
      <w:pPr>
        <w:numPr>
          <w:ilvl w:val="0"/>
          <w:numId w:val="3"/>
        </w:numPr>
        <w:ind w:left="357" w:hanging="357"/>
        <w:contextualSpacing/>
      </w:pPr>
      <w:r>
        <w:t>ierosina, ka CVD, to emitentiem un to dalībniekiem ir jāizveido mehānisms, lai apmainītos un dalītos ar datiem, kas attiecas uz Eiropas sankciju īstenošanu.</w:t>
      </w:r>
    </w:p>
    <w:p w:rsidRPr="00A30B84" w:rsidR="00DC17CF" w:rsidP="00DC17CF" w:rsidRDefault="00DC17CF" w14:paraId="3241E02B"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A30B84" w:rsidR="00DC17CF" w:rsidTr="00DC17CF" w14:paraId="477A3227" w14:textId="77777777">
        <w:tc>
          <w:tcPr>
            <w:tcW w:w="1418" w:type="dxa"/>
          </w:tcPr>
          <w:p w:rsidRPr="00A30B84" w:rsidR="00DC17CF" w:rsidP="00DC17CF" w:rsidRDefault="00DC17CF" w14:paraId="24419728" w14:textId="77777777">
            <w:pPr>
              <w:contextualSpacing/>
              <w:rPr>
                <w:i/>
              </w:rPr>
            </w:pPr>
            <w:r>
              <w:rPr>
                <w:b/>
                <w:i/>
              </w:rPr>
              <w:t>Kontaktpersona:</w:t>
            </w:r>
          </w:p>
        </w:tc>
        <w:tc>
          <w:tcPr>
            <w:tcW w:w="5670" w:type="dxa"/>
          </w:tcPr>
          <w:p w:rsidRPr="00A30B84" w:rsidR="00DC17CF" w:rsidP="00DC17CF" w:rsidRDefault="0004205F" w14:paraId="0350A297" w14:textId="77777777">
            <w:pPr>
              <w:contextualSpacing/>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A30B84" w:rsidR="00DC17CF" w:rsidTr="00DC17CF" w14:paraId="0777FDE7" w14:textId="77777777">
        <w:tc>
          <w:tcPr>
            <w:tcW w:w="1418" w:type="dxa"/>
          </w:tcPr>
          <w:p w:rsidRPr="00A30B84" w:rsidR="00DC17CF" w:rsidP="00DC17CF" w:rsidRDefault="00DC17CF" w14:paraId="35E2DDF5" w14:textId="77777777">
            <w:pPr>
              <w:ind w:left="601"/>
              <w:contextualSpacing/>
              <w:rPr>
                <w:i/>
              </w:rPr>
            </w:pPr>
            <w:r>
              <w:rPr>
                <w:i/>
              </w:rPr>
              <w:t>Tālr.:</w:t>
            </w:r>
          </w:p>
        </w:tc>
        <w:tc>
          <w:tcPr>
            <w:tcW w:w="5670" w:type="dxa"/>
          </w:tcPr>
          <w:p w:rsidRPr="00A30B84" w:rsidR="00DC17CF" w:rsidP="00DC17CF" w:rsidRDefault="00A86E2C" w14:paraId="5B69DE0A" w14:textId="77777777">
            <w:pPr>
              <w:contextualSpacing/>
              <w:rPr>
                <w:i/>
              </w:rPr>
            </w:pPr>
            <w:r>
              <w:rPr>
                <w:i/>
              </w:rPr>
              <w:t>00 32 2 546 92 40</w:t>
            </w:r>
          </w:p>
        </w:tc>
      </w:tr>
      <w:tr w:rsidRPr="00A30B84" w:rsidR="0004205F" w:rsidTr="008B66DD" w14:paraId="32942CB5" w14:textId="77777777">
        <w:tc>
          <w:tcPr>
            <w:tcW w:w="1418" w:type="dxa"/>
          </w:tcPr>
          <w:p w:rsidRPr="00A30B84" w:rsidR="0004205F" w:rsidP="0004205F" w:rsidRDefault="0004205F" w14:paraId="21543959" w14:textId="77777777">
            <w:pPr>
              <w:ind w:left="601"/>
              <w:contextualSpacing/>
              <w:rPr>
                <w:i/>
              </w:rPr>
            </w:pPr>
            <w:r>
              <w:rPr>
                <w:i/>
              </w:rPr>
              <w:t>E-pasts:</w:t>
            </w:r>
          </w:p>
        </w:tc>
        <w:tc>
          <w:tcPr>
            <w:tcW w:w="5670" w:type="dxa"/>
          </w:tcPr>
          <w:p w:rsidRPr="00A30B84" w:rsidR="0004205F" w:rsidP="0004205F" w:rsidRDefault="0039128C" w14:paraId="3728C82D" w14:textId="77777777">
            <w:pPr>
              <w:spacing w:after="160" w:line="259" w:lineRule="auto"/>
              <w:jc w:val="left"/>
            </w:pPr>
            <w:hyperlink w:history="1" r:id="rId23">
              <w:r w:rsidR="00B80426">
                <w:rPr>
                  <w:rStyle w:val="Hyperlink"/>
                  <w:i/>
                </w:rPr>
                <w:t>Sergio.LorencioMatallana@eesc.europa.eu</w:t>
              </w:r>
            </w:hyperlink>
            <w:r w:rsidR="00B80426">
              <w:rPr>
                <w:i/>
              </w:rPr>
              <w:t xml:space="preserve"> </w:t>
            </w:r>
          </w:p>
        </w:tc>
      </w:tr>
    </w:tbl>
    <w:p w:rsidR="00B44BB9" w:rsidRDefault="00B44BB9" w14:paraId="7983E4BB" w14:textId="77777777">
      <w:pPr>
        <w:spacing w:after="160" w:line="259" w:lineRule="auto"/>
        <w:jc w:val="left"/>
      </w:pPr>
    </w:p>
    <w:p w:rsidR="00B44BB9" w:rsidRDefault="00B44BB9" w14:paraId="53EAD6FD" w14:textId="77777777">
      <w:pPr>
        <w:spacing w:after="160" w:line="259" w:lineRule="auto"/>
        <w:jc w:val="left"/>
      </w:pPr>
      <w:r>
        <w:br w:type="page"/>
      </w:r>
    </w:p>
    <w:p w:rsidRPr="009B70E7" w:rsidR="004D7AC0" w:rsidRDefault="004D7AC0" w14:paraId="73D829D0" w14:textId="77777777">
      <w:pPr>
        <w:pStyle w:val="Heading1"/>
        <w:rPr>
          <w:b/>
        </w:rPr>
      </w:pPr>
      <w:bookmarkStart w:name="_Toc75527081" w:id="3"/>
      <w:bookmarkStart w:name="_Toc110414904" w:id="4"/>
      <w:r>
        <w:rPr>
          <w:b/>
        </w:rPr>
        <w:lastRenderedPageBreak/>
        <w:t>NODARBINĀTĪBA, SOCIĀLĀS LIETAS UN PILSONISKUMS</w:t>
      </w:r>
      <w:bookmarkEnd w:id="3"/>
      <w:bookmarkEnd w:id="4"/>
    </w:p>
    <w:p w:rsidRPr="00DA2D88" w:rsidR="00775FDA" w:rsidP="0018231C" w:rsidRDefault="00775FDA" w14:paraId="46C917A8" w14:textId="77777777">
      <w:pPr>
        <w:spacing w:line="259" w:lineRule="auto"/>
        <w:jc w:val="left"/>
        <w:rPr>
          <w:b/>
        </w:rPr>
      </w:pPr>
    </w:p>
    <w:p w:rsidRPr="00DA2D88" w:rsidR="00DA608B" w:rsidRDefault="00DA2D88" w14:paraId="2B9D750E" w14:textId="7E36CE8F">
      <w:pPr>
        <w:pStyle w:val="ListParagraph"/>
        <w:numPr>
          <w:ilvl w:val="0"/>
          <w:numId w:val="2"/>
        </w:numPr>
        <w:ind w:left="567" w:hanging="567"/>
        <w:rPr>
          <w:i/>
          <w:sz w:val="28"/>
          <w:szCs w:val="28"/>
        </w:rPr>
      </w:pPr>
      <w:r>
        <w:rPr>
          <w:b/>
          <w:i/>
          <w:sz w:val="28"/>
        </w:rPr>
        <w:t>COVID-19. ES gatavības un reaģēšanas uzturēšana: nākotnes perspektīva</w:t>
      </w:r>
    </w:p>
    <w:p w:rsidRPr="009B70E7" w:rsidR="00DA608B" w:rsidP="0018231C" w:rsidRDefault="00DA608B" w14:paraId="52A05893"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232"/>
      </w:tblGrid>
      <w:tr w:rsidRPr="009B70E7" w:rsidR="00DA608B" w:rsidTr="00910972" w14:paraId="5CC43C80" w14:textId="77777777">
        <w:trPr>
          <w:trHeight w:val="309"/>
        </w:trPr>
        <w:tc>
          <w:tcPr>
            <w:tcW w:w="2235" w:type="dxa"/>
          </w:tcPr>
          <w:p w:rsidR="00DA608B" w:rsidP="00150AD8" w:rsidRDefault="00DA608B" w14:paraId="27FDCFCA" w14:textId="43B2C3C3">
            <w:pPr>
              <w:pStyle w:val="ListParagraph"/>
              <w:ind w:left="0" w:right="-978" w:hanging="108"/>
              <w:rPr>
                <w:b/>
              </w:rPr>
            </w:pPr>
            <w:r>
              <w:rPr>
                <w:b/>
              </w:rPr>
              <w:t>Galvenā ziņotāja</w:t>
            </w:r>
          </w:p>
          <w:p w:rsidRPr="009B70E7" w:rsidR="000C43E2" w:rsidP="00150AD8" w:rsidRDefault="000C43E2" w14:paraId="6C72EBF9" w14:textId="676EFD71">
            <w:pPr>
              <w:pStyle w:val="ListParagraph"/>
              <w:ind w:left="0" w:right="-978" w:hanging="108"/>
              <w:rPr>
                <w:b/>
              </w:rPr>
            </w:pPr>
          </w:p>
        </w:tc>
        <w:tc>
          <w:tcPr>
            <w:tcW w:w="5232" w:type="dxa"/>
          </w:tcPr>
          <w:p w:rsidRPr="009B70E7" w:rsidR="00DA608B" w:rsidRDefault="00DA2D88" w14:paraId="0FD390DE" w14:textId="77777777">
            <w:pPr>
              <w:pStyle w:val="ListParagraph"/>
              <w:ind w:left="-105"/>
            </w:pPr>
            <w:proofErr w:type="spellStart"/>
            <w:r>
              <w:t>Sára</w:t>
            </w:r>
            <w:proofErr w:type="spellEnd"/>
            <w:r>
              <w:t xml:space="preserve"> FELSZEGHI (</w:t>
            </w:r>
            <w:proofErr w:type="spellStart"/>
            <w:r>
              <w:t>Workers</w:t>
            </w:r>
            <w:proofErr w:type="spellEnd"/>
            <w:r>
              <w:t xml:space="preserve">' </w:t>
            </w:r>
            <w:proofErr w:type="spellStart"/>
            <w:r>
              <w:t>Group</w:t>
            </w:r>
            <w:proofErr w:type="spellEnd"/>
            <w:r>
              <w:t xml:space="preserve"> – HU)</w:t>
            </w:r>
          </w:p>
          <w:p w:rsidRPr="009B70E7" w:rsidR="00DA608B" w:rsidRDefault="00DA608B" w14:paraId="42694D38" w14:textId="77777777">
            <w:pPr>
              <w:pStyle w:val="ListParagraph"/>
              <w:ind w:left="0"/>
            </w:pPr>
          </w:p>
        </w:tc>
      </w:tr>
      <w:tr w:rsidRPr="009B70E7" w:rsidR="00DA608B" w:rsidTr="00910972" w14:paraId="0AB50045" w14:textId="77777777">
        <w:trPr>
          <w:trHeight w:val="636"/>
        </w:trPr>
        <w:tc>
          <w:tcPr>
            <w:tcW w:w="2235" w:type="dxa"/>
          </w:tcPr>
          <w:p w:rsidRPr="00765C4F" w:rsidR="00DA608B" w:rsidP="00150AD8" w:rsidRDefault="00DA608B" w14:paraId="6F51EE90" w14:textId="77777777">
            <w:pPr>
              <w:pStyle w:val="ListParagraph"/>
              <w:ind w:left="0" w:hanging="108"/>
              <w:rPr>
                <w:b/>
              </w:rPr>
            </w:pPr>
            <w:r>
              <w:rPr>
                <w:b/>
              </w:rPr>
              <w:t xml:space="preserve">Atsauce: </w:t>
            </w:r>
          </w:p>
        </w:tc>
        <w:tc>
          <w:tcPr>
            <w:tcW w:w="5232" w:type="dxa"/>
          </w:tcPr>
          <w:p w:rsidRPr="00765C4F" w:rsidR="00DA608B" w:rsidRDefault="00765C4F" w14:paraId="3539F204" w14:textId="77777777">
            <w:pPr>
              <w:pStyle w:val="ListParagraph"/>
              <w:ind w:left="-108"/>
            </w:pPr>
            <w:r>
              <w:t xml:space="preserve">COM(2022) 190 </w:t>
            </w:r>
            <w:proofErr w:type="spellStart"/>
            <w:r>
              <w:t>final</w:t>
            </w:r>
            <w:proofErr w:type="spellEnd"/>
          </w:p>
          <w:p w:rsidRPr="00765C4F" w:rsidR="00DA608B" w:rsidRDefault="00DA2D88" w14:paraId="0B0645EB" w14:textId="77777777">
            <w:pPr>
              <w:pStyle w:val="ListParagraph"/>
              <w:ind w:left="-108"/>
            </w:pPr>
            <w:r>
              <w:t>EESC-2022-02844-00-00-AC</w:t>
            </w:r>
          </w:p>
        </w:tc>
      </w:tr>
    </w:tbl>
    <w:p w:rsidRPr="009B70E7" w:rsidR="00DA608B" w:rsidRDefault="00DA608B" w14:paraId="5CD81DDF" w14:textId="77777777">
      <w:pPr>
        <w:pStyle w:val="ListParagraph"/>
        <w:ind w:left="0"/>
        <w:rPr>
          <w:b/>
        </w:rPr>
      </w:pPr>
    </w:p>
    <w:p w:rsidR="00C76C46" w:rsidP="002C4B6E" w:rsidRDefault="00DA608B" w14:paraId="69FEE6CD" w14:textId="2D579889">
      <w:pPr>
        <w:pStyle w:val="ListParagraph"/>
        <w:spacing w:line="240" w:lineRule="auto"/>
        <w:ind w:left="-142" w:firstLine="142"/>
        <w:rPr>
          <w:b/>
        </w:rPr>
      </w:pPr>
      <w:r>
        <w:rPr>
          <w:b/>
          <w:bCs/>
        </w:rPr>
        <w:t>Svarīgākie aspekti</w:t>
      </w:r>
    </w:p>
    <w:p w:rsidR="00C76C46" w:rsidP="00C76C46" w:rsidRDefault="00C76C46" w14:paraId="72E92ACD" w14:textId="77777777">
      <w:pPr>
        <w:pStyle w:val="ListParagraph"/>
        <w:ind w:left="0"/>
        <w:rPr>
          <w:b/>
        </w:rPr>
      </w:pPr>
    </w:p>
    <w:p w:rsidR="00813A00" w:rsidP="00150AD8" w:rsidRDefault="001B6460" w14:paraId="761BDCA0" w14:textId="77777777">
      <w:pPr>
        <w:pStyle w:val="ListParagraph"/>
        <w:spacing w:line="240" w:lineRule="auto"/>
        <w:ind w:left="0"/>
      </w:pPr>
      <w:r>
        <w:t>EESK:</w:t>
      </w:r>
    </w:p>
    <w:p w:rsidR="00276CC9" w:rsidP="00C76C46" w:rsidRDefault="00276CC9" w14:paraId="25EBE488" w14:textId="77777777">
      <w:pPr>
        <w:pStyle w:val="ListParagraph"/>
        <w:ind w:left="0"/>
      </w:pPr>
    </w:p>
    <w:p w:rsidR="00813A00" w:rsidP="0018231C" w:rsidRDefault="00DA2D88" w14:paraId="65AAF95D" w14:textId="77777777">
      <w:pPr>
        <w:pStyle w:val="ListParagraph"/>
        <w:numPr>
          <w:ilvl w:val="0"/>
          <w:numId w:val="3"/>
        </w:numPr>
        <w:ind w:left="357" w:hanging="357"/>
      </w:pPr>
      <w:r>
        <w:t>uzskata, ka ES būtu jāattīsta tūlītējas reaģēšanas spējas, lai tā būtu gatava nekavējoties reaģēt uz ārkārtas situācijām veselības jomā. Tādā stratēģijā būtu jāaptver visi profilakses (vakcinācija, epidemioloģiskie pasākumi, izglītošana, komunikācija utt.), atveseļošanās (zāles, pacientu aprūpe, medicīniskā rehabilitācija, aprūpe utt.), reintegrācijas (profesionālajā un izglītības jomā) un ilgtermiņa aprūpes (īpašu uzmanību pievēršot cilvēkiem, kas slimo ar ilgstošu Covid-19);</w:t>
      </w:r>
    </w:p>
    <w:p w:rsidR="00C76C46" w:rsidP="0018231C" w:rsidRDefault="00DA2D88" w14:paraId="6B2D5B52" w14:textId="77777777">
      <w:pPr>
        <w:pStyle w:val="ListParagraph"/>
        <w:numPr>
          <w:ilvl w:val="0"/>
          <w:numId w:val="3"/>
        </w:numPr>
        <w:ind w:left="357" w:hanging="357"/>
      </w:pPr>
      <w:r>
        <w:t>uzskata, ka vakcinācija ir viens no profilakses pīlāriem un ka vakcinācijas stratēģija ir jāatjaunina un jāpielāgo, ņemot vērā pašreizējās norises;</w:t>
      </w:r>
    </w:p>
    <w:p w:rsidR="00C76C46" w:rsidP="0018231C" w:rsidRDefault="00DA2D88" w14:paraId="46154044" w14:textId="77777777">
      <w:pPr>
        <w:pStyle w:val="ListParagraph"/>
        <w:numPr>
          <w:ilvl w:val="0"/>
          <w:numId w:val="3"/>
        </w:numPr>
        <w:ind w:left="357" w:hanging="357"/>
      </w:pPr>
      <w:r>
        <w:t>uzskata, ka ir svarīgi nodrošināt testu uzticamību un epidemioloģisko reprezentativitāti, lai sniegtu noderīgu informāciju ātrai reaģēšanai. Ātrajiem antigēna testiem būtu jāatbilst veiktspējas kritērijiem, kas norādīti īpašajā ES sarakstā;</w:t>
      </w:r>
    </w:p>
    <w:p w:rsidR="00C76C46" w:rsidP="0018231C" w:rsidRDefault="00DA2D88" w14:paraId="384F44B3" w14:textId="77777777">
      <w:pPr>
        <w:pStyle w:val="ListParagraph"/>
        <w:numPr>
          <w:ilvl w:val="0"/>
          <w:numId w:val="3"/>
        </w:numPr>
        <w:ind w:left="357" w:hanging="357"/>
      </w:pPr>
      <w:r>
        <w:t>uzsver, ka ventilācija ir svarīgs profilakses pasākums, un iesaka arī turpmāk nēsāt masku vietās, kurās ir daudz cilvēku, slikti vēdinātās telpās, sabiedriskajā transportā, ievērot distanci un dezinficēt rokas;</w:t>
      </w:r>
    </w:p>
    <w:p w:rsidR="00C76C46" w:rsidP="0018231C" w:rsidRDefault="00DA2D88" w14:paraId="540B5241" w14:textId="77777777">
      <w:pPr>
        <w:pStyle w:val="ListParagraph"/>
        <w:numPr>
          <w:ilvl w:val="0"/>
          <w:numId w:val="3"/>
        </w:numPr>
        <w:ind w:left="357" w:hanging="357"/>
      </w:pPr>
      <w:r>
        <w:t>uzskata, ka epidemioloģiskā uzraudzība būtu jāpārorientē uz ticamu aplēšu iegūšanu par vīrusa pārnešanas intensitāti sabiedrībā, smagu slimību ietekmi un vakcīnu efektivitāti. Dalībvalstīm būtu jāizstrādā stratēģijas, kuru mērķis ir atjaunot pastiprinātas uzraudzības sistēmas, kuru pamatā ir akūtu elpceļu infekciju primārā un sekundārā aprūpe, un tās jāpapildina, pastiprinot citas uzraudzības sistēmas, piemēram, notekūdeņu monitoringu. ES un dalībvalstīm būtu kopīgi jāizstrādā vienota paziņošanas sistēma;</w:t>
      </w:r>
    </w:p>
    <w:p w:rsidR="001B6460" w:rsidP="0018231C" w:rsidRDefault="00DA2D88" w14:paraId="515F6F8A" w14:textId="77777777">
      <w:pPr>
        <w:pStyle w:val="ListParagraph"/>
        <w:numPr>
          <w:ilvl w:val="0"/>
          <w:numId w:val="3"/>
        </w:numPr>
        <w:ind w:left="357" w:hanging="357"/>
      </w:pPr>
      <w:r>
        <w:t>iesaka organizēt izpratnes veicināšanas pasākumus, lai veicinātu iedzīvotāju izpratni par pieņemtajiem pasākumiem un to nozīmi. ES un PVO varētu sagatavot materiālus šiem pasākumiem;</w:t>
      </w:r>
    </w:p>
    <w:p w:rsidRPr="00DA2D88" w:rsidR="00DA2D88" w:rsidP="00DA2D88" w:rsidRDefault="00DA2D88" w14:paraId="19EC7866" w14:textId="700DB502">
      <w:pPr>
        <w:pStyle w:val="ListParagraph"/>
        <w:numPr>
          <w:ilvl w:val="0"/>
          <w:numId w:val="3"/>
        </w:numPr>
        <w:ind w:left="357" w:hanging="357"/>
      </w:pPr>
      <w:r>
        <w:t>iesaka dalībvalstīm ieviest novērošanas un sertificēšanas sistēmu, kura atklātu viltus ziņas un “marķētu” apstiprinātu informāciju, kas būtu iedzīvotajiem pieejama dzimtajā valodā;</w:t>
      </w:r>
    </w:p>
    <w:p w:rsidRPr="009B70E7" w:rsidR="00DA2D88" w:rsidP="0018231C" w:rsidRDefault="00DA2D88" w14:paraId="1FD3A8FD" w14:textId="77777777">
      <w:pPr>
        <w:pStyle w:val="ListParagraph"/>
        <w:numPr>
          <w:ilvl w:val="0"/>
          <w:numId w:val="3"/>
        </w:numPr>
        <w:ind w:left="357" w:hanging="357"/>
      </w:pPr>
      <w:r>
        <w:t>iesaka izstrādāt protokolu, kurā būtu ietverti visi ārstēšanas elementi un kuras pastāvīgi atjauninātā versija būtu pieejama tiešsaistē visās ES oficiālajā valodās. Svarīga nozīme protokolā būtu jāpiešķir rehabilitācijai, ko piedāvātu attiecīgais veselības dienests vai nu skolā, vai darbavietā.</w:t>
      </w:r>
    </w:p>
    <w:p w:rsidR="00DA608B" w:rsidRDefault="00DA608B" w14:paraId="1606B3C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AA5C61" w:rsidTr="00670347" w14:paraId="6358F577" w14:textId="77777777">
        <w:tc>
          <w:tcPr>
            <w:tcW w:w="1418" w:type="dxa"/>
          </w:tcPr>
          <w:p w:rsidRPr="009B70E7" w:rsidR="00AA5C61" w:rsidP="00B34E93" w:rsidRDefault="00AA5C61" w14:paraId="1A2B7FCF" w14:textId="77777777">
            <w:pPr>
              <w:pStyle w:val="ListParagraph"/>
              <w:keepNext/>
              <w:keepLines/>
              <w:ind w:left="0"/>
              <w:rPr>
                <w:i/>
              </w:rPr>
            </w:pPr>
            <w:r>
              <w:rPr>
                <w:b/>
                <w:i/>
              </w:rPr>
              <w:t>Kontaktpersona:</w:t>
            </w:r>
          </w:p>
        </w:tc>
        <w:tc>
          <w:tcPr>
            <w:tcW w:w="5670" w:type="dxa"/>
          </w:tcPr>
          <w:p w:rsidRPr="009B70E7" w:rsidR="00AA5C61" w:rsidP="00B34E93" w:rsidRDefault="00DA2D88" w14:paraId="11D2E99D" w14:textId="77777777">
            <w:pPr>
              <w:pStyle w:val="ListParagraph"/>
              <w:keepNext/>
              <w:keepLines/>
              <w:ind w:left="0"/>
              <w:rPr>
                <w:i/>
              </w:rPr>
            </w:pPr>
            <w:proofErr w:type="spellStart"/>
            <w:r>
              <w:rPr>
                <w:i/>
              </w:rPr>
              <w:t>Valeria</w:t>
            </w:r>
            <w:proofErr w:type="spellEnd"/>
            <w:r>
              <w:rPr>
                <w:i/>
              </w:rPr>
              <w:t xml:space="preserve"> </w:t>
            </w:r>
            <w:proofErr w:type="spellStart"/>
            <w:r>
              <w:rPr>
                <w:i/>
              </w:rPr>
              <w:t>Atzori</w:t>
            </w:r>
            <w:proofErr w:type="spellEnd"/>
          </w:p>
        </w:tc>
      </w:tr>
      <w:tr w:rsidRPr="009B70E7" w:rsidR="00AA5C61" w:rsidTr="00670347" w14:paraId="58D8BC91" w14:textId="77777777">
        <w:tc>
          <w:tcPr>
            <w:tcW w:w="1418" w:type="dxa"/>
          </w:tcPr>
          <w:p w:rsidRPr="009B70E7" w:rsidR="00AA5C61" w:rsidP="00B34E93" w:rsidRDefault="00AA5C61" w14:paraId="66CDB05E" w14:textId="77777777">
            <w:pPr>
              <w:pStyle w:val="ListParagraph"/>
              <w:keepNext/>
              <w:keepLines/>
              <w:ind w:left="601"/>
              <w:rPr>
                <w:i/>
              </w:rPr>
            </w:pPr>
            <w:r>
              <w:rPr>
                <w:i/>
              </w:rPr>
              <w:t>Tālr.:</w:t>
            </w:r>
          </w:p>
        </w:tc>
        <w:tc>
          <w:tcPr>
            <w:tcW w:w="5670" w:type="dxa"/>
          </w:tcPr>
          <w:p w:rsidRPr="009B70E7" w:rsidR="00AA5C61" w:rsidP="00B34E93" w:rsidRDefault="00DA2D88" w14:paraId="7BF3F3B1" w14:textId="77777777">
            <w:pPr>
              <w:pStyle w:val="ListParagraph"/>
              <w:keepNext/>
              <w:keepLines/>
              <w:ind w:left="0"/>
              <w:rPr>
                <w:i/>
              </w:rPr>
            </w:pPr>
            <w:r>
              <w:rPr>
                <w:i/>
              </w:rPr>
              <w:t>00 32 2 546 87 74</w:t>
            </w:r>
          </w:p>
        </w:tc>
      </w:tr>
      <w:tr w:rsidRPr="009B70E7" w:rsidR="00AA5C61" w:rsidTr="00670347" w14:paraId="6530A32F" w14:textId="77777777">
        <w:tc>
          <w:tcPr>
            <w:tcW w:w="1418" w:type="dxa"/>
          </w:tcPr>
          <w:p w:rsidRPr="009B70E7" w:rsidR="00AA5C61" w:rsidP="00670347" w:rsidRDefault="00AA5C61" w14:paraId="0DC6FCD7" w14:textId="77777777">
            <w:pPr>
              <w:pStyle w:val="ListParagraph"/>
              <w:ind w:left="601"/>
              <w:rPr>
                <w:i/>
              </w:rPr>
            </w:pPr>
            <w:r>
              <w:rPr>
                <w:i/>
              </w:rPr>
              <w:t>E-pasts:</w:t>
            </w:r>
          </w:p>
        </w:tc>
        <w:tc>
          <w:tcPr>
            <w:tcW w:w="5670" w:type="dxa"/>
          </w:tcPr>
          <w:p w:rsidRPr="009B70E7" w:rsidR="00AA5C61" w:rsidP="00670347" w:rsidRDefault="0039128C" w14:paraId="25DE88BE" w14:textId="77777777">
            <w:pPr>
              <w:pStyle w:val="ListParagraph"/>
              <w:ind w:left="0"/>
              <w:rPr>
                <w:i/>
              </w:rPr>
            </w:pPr>
            <w:hyperlink w:history="1" r:id="rId24">
              <w:r w:rsidR="00B80426">
                <w:rPr>
                  <w:rStyle w:val="Hyperlink"/>
                  <w:i/>
                </w:rPr>
                <w:t>Valeria.Atzori@eesc.europa.eu</w:t>
              </w:r>
            </w:hyperlink>
          </w:p>
        </w:tc>
      </w:tr>
    </w:tbl>
    <w:p w:rsidR="00910972" w:rsidP="0018231C" w:rsidRDefault="00910972" w14:paraId="15F12AD4" w14:textId="483B1106">
      <w:pPr>
        <w:jc w:val="left"/>
        <w:rPr>
          <w:sz w:val="28"/>
        </w:rPr>
      </w:pPr>
    </w:p>
    <w:p w:rsidR="00910972" w:rsidRDefault="00910972" w14:paraId="1D08F02B" w14:textId="77777777">
      <w:pPr>
        <w:spacing w:after="160" w:line="259" w:lineRule="auto"/>
        <w:jc w:val="left"/>
        <w:rPr>
          <w:sz w:val="28"/>
        </w:rPr>
      </w:pPr>
      <w:r>
        <w:br w:type="page"/>
      </w:r>
    </w:p>
    <w:p w:rsidRPr="009B70E7" w:rsidR="00775FDA" w:rsidP="0018231C" w:rsidRDefault="00B44BB9" w14:paraId="6004B7F1" w14:textId="77777777">
      <w:pPr>
        <w:pStyle w:val="ListParagraph"/>
        <w:keepNext/>
        <w:numPr>
          <w:ilvl w:val="0"/>
          <w:numId w:val="2"/>
        </w:numPr>
        <w:ind w:left="567" w:hanging="567"/>
        <w:rPr>
          <w:b/>
          <w:i/>
          <w:sz w:val="28"/>
          <w:szCs w:val="28"/>
        </w:rPr>
      </w:pPr>
      <w:r>
        <w:rPr>
          <w:b/>
          <w:i/>
          <w:sz w:val="28"/>
        </w:rPr>
        <w:lastRenderedPageBreak/>
        <w:t>Vardarbības pret sievietēm apkarošana</w:t>
      </w:r>
    </w:p>
    <w:p w:rsidRPr="009B70E7" w:rsidR="00775FDA" w:rsidP="0018231C" w:rsidRDefault="00775FDA" w14:paraId="301189D8"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gridCol w:w="425"/>
      </w:tblGrid>
      <w:tr w:rsidRPr="009B70E7" w:rsidR="00B44BB9" w:rsidTr="00174763" w14:paraId="5CC040D5" w14:textId="77777777">
        <w:trPr>
          <w:gridAfter w:val="1"/>
          <w:wAfter w:w="425" w:type="dxa"/>
          <w:cantSplit/>
          <w:trHeight w:val="284" w:hRule="exact"/>
        </w:trPr>
        <w:tc>
          <w:tcPr>
            <w:tcW w:w="1701" w:type="dxa"/>
          </w:tcPr>
          <w:p w:rsidR="00B44BB9" w:rsidP="00B44BB9" w:rsidRDefault="00B44BB9" w14:paraId="2BE1EF86" w14:textId="77777777">
            <w:pPr>
              <w:pStyle w:val="ListParagraph"/>
              <w:keepNext/>
              <w:ind w:left="0"/>
              <w:rPr>
                <w:b/>
              </w:rPr>
            </w:pPr>
            <w:r>
              <w:rPr>
                <w:b/>
              </w:rPr>
              <w:t>Ziņotājs:</w:t>
            </w:r>
          </w:p>
          <w:p w:rsidRPr="009B70E7" w:rsidR="00B44BB9" w:rsidP="00B44BB9" w:rsidRDefault="00B44BB9" w14:paraId="15AEA92C" w14:textId="77777777">
            <w:pPr>
              <w:pStyle w:val="ListParagraph"/>
              <w:keepNext/>
              <w:ind w:left="0"/>
              <w:rPr>
                <w:b/>
              </w:rPr>
            </w:pPr>
          </w:p>
        </w:tc>
        <w:tc>
          <w:tcPr>
            <w:tcW w:w="6096" w:type="dxa"/>
          </w:tcPr>
          <w:p w:rsidRPr="009B70E7" w:rsidR="00B44BB9" w:rsidP="00D35512" w:rsidRDefault="00B44BB9" w14:paraId="689CA704" w14:textId="77777777">
            <w:pPr>
              <w:pStyle w:val="ListParagraph"/>
              <w:keepNext/>
              <w:ind w:left="0" w:firstLine="90"/>
            </w:pPr>
            <w:r>
              <w:t>José Antonio MORENO DIAZ (Darba ņēmēju grupa – ES)</w:t>
            </w:r>
          </w:p>
        </w:tc>
      </w:tr>
      <w:tr w:rsidRPr="009B70E7" w:rsidR="00B44BB9" w:rsidTr="00174763" w14:paraId="0BE10C0A" w14:textId="77777777">
        <w:trPr>
          <w:gridAfter w:val="1"/>
          <w:wAfter w:w="425" w:type="dxa"/>
          <w:cantSplit/>
          <w:trHeight w:val="567" w:hRule="exact"/>
        </w:trPr>
        <w:tc>
          <w:tcPr>
            <w:tcW w:w="1701" w:type="dxa"/>
          </w:tcPr>
          <w:p w:rsidR="00B44BB9" w:rsidP="00B44BB9" w:rsidRDefault="00B44BB9" w14:paraId="5684194C" w14:textId="77777777">
            <w:pPr>
              <w:pStyle w:val="ListParagraph"/>
              <w:keepNext/>
              <w:ind w:left="0"/>
              <w:rPr>
                <w:b/>
              </w:rPr>
            </w:pPr>
            <w:r>
              <w:rPr>
                <w:b/>
              </w:rPr>
              <w:t>Līdzziņotājs:</w:t>
            </w:r>
          </w:p>
          <w:p w:rsidRPr="009B70E7" w:rsidR="00B44BB9" w:rsidP="00B44BB9" w:rsidRDefault="00B44BB9" w14:paraId="24CB645C" w14:textId="77777777">
            <w:pPr>
              <w:pStyle w:val="ListParagraph"/>
              <w:keepNext/>
              <w:ind w:left="0"/>
              <w:rPr>
                <w:b/>
              </w:rPr>
            </w:pPr>
          </w:p>
        </w:tc>
        <w:tc>
          <w:tcPr>
            <w:tcW w:w="6096" w:type="dxa"/>
          </w:tcPr>
          <w:p w:rsidRPr="009B70E7" w:rsidR="00B44BB9" w:rsidP="00910972" w:rsidRDefault="00B44BB9" w14:paraId="29D5D88B" w14:textId="799BB3FB">
            <w:pPr>
              <w:pStyle w:val="ListParagraph"/>
              <w:keepNext/>
              <w:ind w:left="145"/>
            </w:pPr>
            <w:proofErr w:type="spellStart"/>
            <w:r>
              <w:t>Ody</w:t>
            </w:r>
            <w:proofErr w:type="spellEnd"/>
            <w:r>
              <w:t xml:space="preserve"> NEISINGH (Pilsoniskās sabiedrības organizāciju grupa – NL)</w:t>
            </w:r>
          </w:p>
        </w:tc>
      </w:tr>
      <w:tr w:rsidRPr="00627B8F" w:rsidR="00B44BB9" w:rsidTr="00B83E7B" w14:paraId="58C9EA77" w14:textId="77777777">
        <w:tc>
          <w:tcPr>
            <w:tcW w:w="1701" w:type="dxa"/>
          </w:tcPr>
          <w:p w:rsidRPr="009B70E7" w:rsidR="00B44BB9" w:rsidP="00B44BB9" w:rsidRDefault="00B44BB9" w14:paraId="5397904E" w14:textId="77777777">
            <w:pPr>
              <w:pStyle w:val="ListParagraph"/>
              <w:keepNext/>
              <w:ind w:left="0"/>
              <w:rPr>
                <w:b/>
              </w:rPr>
            </w:pPr>
            <w:r>
              <w:rPr>
                <w:b/>
              </w:rPr>
              <w:t xml:space="preserve">Atsauce: </w:t>
            </w:r>
          </w:p>
        </w:tc>
        <w:tc>
          <w:tcPr>
            <w:tcW w:w="6521" w:type="dxa"/>
            <w:gridSpan w:val="2"/>
          </w:tcPr>
          <w:p w:rsidRPr="00627B8F" w:rsidR="00B44BB9" w:rsidP="00D35512" w:rsidRDefault="00E65D01" w14:paraId="7887F4C5" w14:textId="77777777">
            <w:pPr>
              <w:pStyle w:val="ListParagraph"/>
              <w:ind w:left="-52" w:firstLine="142"/>
              <w:rPr>
                <w:bCs/>
              </w:rPr>
            </w:pPr>
            <w:r>
              <w:t xml:space="preserve">COM(2022) 105 </w:t>
            </w:r>
            <w:proofErr w:type="spellStart"/>
            <w:r>
              <w:t>final</w:t>
            </w:r>
            <w:proofErr w:type="spellEnd"/>
          </w:p>
          <w:p w:rsidRPr="00627B8F" w:rsidR="00B44BB9" w:rsidP="008745F7" w:rsidRDefault="00B44BB9" w14:paraId="12C6341D" w14:textId="77777777">
            <w:pPr>
              <w:pStyle w:val="ListParagraph"/>
              <w:ind w:left="0" w:firstLine="90"/>
            </w:pPr>
            <w:r>
              <w:t>EESC-2022-01395-00-00-AC</w:t>
            </w:r>
          </w:p>
        </w:tc>
      </w:tr>
    </w:tbl>
    <w:p w:rsidR="00631509" w:rsidP="00631509" w:rsidRDefault="00631509" w14:paraId="5534BE55" w14:textId="77777777">
      <w:pPr>
        <w:pStyle w:val="ListParagraph"/>
        <w:spacing w:line="240" w:lineRule="auto"/>
        <w:ind w:left="-142" w:firstLine="284"/>
        <w:rPr>
          <w:b/>
        </w:rPr>
      </w:pPr>
    </w:p>
    <w:p w:rsidRPr="00C76C46" w:rsidR="00775FDA" w:rsidP="00631509" w:rsidRDefault="00C76C46" w14:paraId="63769A52" w14:textId="5936BE53">
      <w:pPr>
        <w:pStyle w:val="ListParagraph"/>
        <w:spacing w:line="240" w:lineRule="auto"/>
        <w:ind w:left="-142" w:firstLine="142"/>
        <w:rPr>
          <w:b/>
        </w:rPr>
      </w:pPr>
      <w:r>
        <w:rPr>
          <w:b/>
          <w:bCs/>
        </w:rPr>
        <w:t>Svarīgākie aspekti</w:t>
      </w:r>
    </w:p>
    <w:p w:rsidRPr="009B70E7" w:rsidR="005475DA" w:rsidRDefault="005475DA" w14:paraId="580B14A7" w14:textId="77777777">
      <w:pPr>
        <w:pStyle w:val="ListParagraph"/>
        <w:ind w:left="0"/>
      </w:pPr>
    </w:p>
    <w:p w:rsidRPr="009B70E7" w:rsidR="00775FDA" w:rsidP="00326919" w:rsidRDefault="008946BF" w14:paraId="3C2434D8" w14:textId="77777777">
      <w:pPr>
        <w:pStyle w:val="ListParagraph"/>
        <w:spacing w:line="240" w:lineRule="auto"/>
        <w:ind w:left="0"/>
      </w:pPr>
      <w:r>
        <w:t>EESK:</w:t>
      </w:r>
    </w:p>
    <w:p w:rsidRPr="009B70E7" w:rsidR="00775FDA" w:rsidP="0018231C" w:rsidRDefault="00775FDA" w14:paraId="540C04B4" w14:textId="77777777">
      <w:pPr>
        <w:pStyle w:val="ListParagraph"/>
        <w:ind w:left="0"/>
      </w:pPr>
    </w:p>
    <w:p w:rsidRPr="009B70E7" w:rsidR="00775FDA" w:rsidP="0018231C" w:rsidRDefault="00B44BB9" w14:paraId="6C1D5D1B" w14:textId="77777777">
      <w:pPr>
        <w:pStyle w:val="ListParagraph"/>
        <w:numPr>
          <w:ilvl w:val="0"/>
          <w:numId w:val="3"/>
        </w:numPr>
        <w:ind w:left="357" w:hanging="357"/>
      </w:pPr>
      <w:r>
        <w:t>atzinīgi vērtē regulatīvo jauninājumu, proti, direktīvā par vardarbības pret sievietēm apkarošanu izmantoto starpnozaru pieeju. Šādu direktīvu plaši pieprasa sabiedrība;</w:t>
      </w:r>
    </w:p>
    <w:p w:rsidRPr="009B70E7" w:rsidR="00775FDA" w:rsidP="0018231C" w:rsidRDefault="00B44BB9" w14:paraId="3D89CE58" w14:textId="77777777">
      <w:pPr>
        <w:pStyle w:val="ListParagraph"/>
        <w:numPr>
          <w:ilvl w:val="0"/>
          <w:numId w:val="3"/>
        </w:numPr>
        <w:ind w:left="357" w:hanging="357"/>
      </w:pPr>
      <w:r>
        <w:t xml:space="preserve">Turklāt, ņemot vērā pret sievietēm vērstas vardarbības daudzveidību un izplatību, ir jāpanāk, lai šādas vardarbības apkarošanas politika nebūtu neitrāla, bet gan izstrādāta, balstoties uz </w:t>
      </w:r>
      <w:r>
        <w:rPr>
          <w:b/>
        </w:rPr>
        <w:t>skaidru un nepārprotamu dzimumu līdztiesības perspektīvu</w:t>
      </w:r>
      <w:r>
        <w:t>, un veidota tā, lai veicinātu izpratni par tās nepieciešamību un efektivitāti;</w:t>
      </w:r>
    </w:p>
    <w:p w:rsidR="00B92B86" w:rsidP="0018231C" w:rsidRDefault="00B7530C" w14:paraId="6ABDD16B" w14:textId="77777777">
      <w:pPr>
        <w:pStyle w:val="ListParagraph"/>
        <w:numPr>
          <w:ilvl w:val="0"/>
          <w:numId w:val="3"/>
        </w:numPr>
        <w:ind w:left="357" w:hanging="357"/>
      </w:pPr>
      <w:r>
        <w:t xml:space="preserve">uzskata, ka </w:t>
      </w:r>
      <w:r>
        <w:rPr>
          <w:b/>
        </w:rPr>
        <w:t>minētajā direktīvā būtu jāiekļauj visa veida vardarbība pret sievietēm</w:t>
      </w:r>
      <w:r>
        <w:t>, piemēram, institucionālā vardarbība, seksuālā un reproduktīvā izmantošana, personas aizskaršana darba vietā, ar dzimumu saistīta vardarbība ģimenē, sazāļošana, uzmākšanās uz ielas, seksuāla uzmākšanās dzimuma un/vai dzimtes dēļ, sieviešu ar invaliditāti piespiedu sterilizācija u.c.;</w:t>
      </w:r>
    </w:p>
    <w:p w:rsidR="00B61819" w:rsidP="00B61819" w:rsidRDefault="00B7530C" w14:paraId="0F17F2B4" w14:textId="77777777">
      <w:pPr>
        <w:pStyle w:val="ListParagraph"/>
        <w:numPr>
          <w:ilvl w:val="0"/>
          <w:numId w:val="3"/>
        </w:numPr>
        <w:ind w:left="357" w:hanging="357"/>
      </w:pPr>
      <w:r>
        <w:t xml:space="preserve">uzsver, ka vardarbība pret sievietēm ir jāiekļauj </w:t>
      </w:r>
      <w:r>
        <w:rPr>
          <w:b/>
        </w:rPr>
        <w:t>LESD 83. panta 1. punktā minēto ES noziegumu uzskaitījumā</w:t>
      </w:r>
      <w:r>
        <w:t>;</w:t>
      </w:r>
    </w:p>
    <w:p w:rsidR="00B61819" w:rsidP="0018231C" w:rsidRDefault="00B7530C" w14:paraId="24C6AE65" w14:textId="77777777">
      <w:pPr>
        <w:pStyle w:val="ListParagraph"/>
        <w:numPr>
          <w:ilvl w:val="0"/>
          <w:numId w:val="3"/>
        </w:numPr>
        <w:ind w:left="357" w:hanging="357"/>
      </w:pPr>
      <w:r>
        <w:t xml:space="preserve">uzskata, ka </w:t>
      </w:r>
      <w:r>
        <w:rPr>
          <w:b/>
        </w:rPr>
        <w:t>sociālajā dialogā un darba koplīguma slēgšanas sarunās</w:t>
      </w:r>
      <w:r>
        <w:t xml:space="preserve"> būtu jāparedz konkrēti pasākumi, kas nodrošinātu darbvietu saglabāšanu vardarbībā pret sievietēm cietušajām personām un bez darba palikušo cietušo integrēšanu darba tirgū;</w:t>
      </w:r>
    </w:p>
    <w:p w:rsidR="00B61819" w:rsidP="0018231C" w:rsidRDefault="00B7530C" w14:paraId="751D2BB6" w14:textId="77777777">
      <w:pPr>
        <w:pStyle w:val="ListParagraph"/>
        <w:numPr>
          <w:ilvl w:val="0"/>
          <w:numId w:val="3"/>
        </w:numPr>
        <w:ind w:left="357" w:hanging="357"/>
      </w:pPr>
      <w:r>
        <w:t xml:space="preserve">uzsver, ka paša uzmanība būtu jāpievērš arī </w:t>
      </w:r>
      <w:r>
        <w:rPr>
          <w:b/>
        </w:rPr>
        <w:t xml:space="preserve">sievietēm ar invaliditāti, sievietēm un meitenēm no etniskajām un/vai kultūras minoritātēm, piemēram, </w:t>
      </w:r>
      <w:proofErr w:type="spellStart"/>
      <w:r>
        <w:rPr>
          <w:b/>
        </w:rPr>
        <w:t>romiem</w:t>
      </w:r>
      <w:proofErr w:type="spellEnd"/>
      <w:r>
        <w:rPr>
          <w:b/>
        </w:rPr>
        <w:t xml:space="preserve"> un migrantēm,</w:t>
      </w:r>
      <w:r>
        <w:t xml:space="preserve"> it īpaši sievietēm migrantēm ar nelikumīgu administratīvo statusu, kā arī meitenēm un sievietēm, kuras bēg no kara;</w:t>
      </w:r>
    </w:p>
    <w:p w:rsidRPr="009B70E7" w:rsidR="00C92102" w:rsidP="00B7530C" w:rsidRDefault="00B7530C" w14:paraId="7B22C8D8" w14:textId="77777777">
      <w:pPr>
        <w:pStyle w:val="ListParagraph"/>
        <w:numPr>
          <w:ilvl w:val="0"/>
          <w:numId w:val="3"/>
        </w:numPr>
        <w:ind w:left="357" w:hanging="357"/>
      </w:pPr>
      <w:r>
        <w:t xml:space="preserve">aicina Eiropas Komisiju iekļaut </w:t>
      </w:r>
      <w:r>
        <w:rPr>
          <w:b/>
        </w:rPr>
        <w:t>veselības aprūpes pakalpojumus</w:t>
      </w:r>
      <w:r>
        <w:t xml:space="preserve">, tostarp seksuālās un reproduktīvās veselības pakalpojumus, cietušajām personām paredzēto atbalsta pamatpakalpojumu sarakstā un mudināt visas ES dalībvalstis nekavējoties novērst visus šķēršļus, kas kavē piekļuvi </w:t>
      </w:r>
      <w:r>
        <w:rPr>
          <w:b/>
        </w:rPr>
        <w:t xml:space="preserve">avārijas kontracepcijas un brīvprātīgas grūtniecības pārtraukšanas pakalpojumiem pēc </w:t>
      </w:r>
      <w:proofErr w:type="spellStart"/>
      <w:r>
        <w:rPr>
          <w:b/>
        </w:rPr>
        <w:t>izvarošanas</w:t>
      </w:r>
      <w:proofErr w:type="spellEnd"/>
      <w:r>
        <w:t>.</w:t>
      </w:r>
    </w:p>
    <w:p w:rsidRPr="009B70E7" w:rsidR="00775FDA" w:rsidRDefault="00775FDA" w14:paraId="007FFDA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B44BB9" w:rsidTr="008B66DD" w14:paraId="502899FB" w14:textId="77777777">
        <w:tc>
          <w:tcPr>
            <w:tcW w:w="1418" w:type="dxa"/>
          </w:tcPr>
          <w:p w:rsidRPr="009B70E7" w:rsidR="00B44BB9" w:rsidP="008B66DD" w:rsidRDefault="00B44BB9" w14:paraId="4933D5C0" w14:textId="77777777">
            <w:pPr>
              <w:pStyle w:val="ListParagraph"/>
              <w:ind w:left="0"/>
              <w:rPr>
                <w:i/>
              </w:rPr>
            </w:pPr>
            <w:r>
              <w:rPr>
                <w:b/>
                <w:i/>
              </w:rPr>
              <w:t>Kontaktpersona:</w:t>
            </w:r>
          </w:p>
        </w:tc>
        <w:tc>
          <w:tcPr>
            <w:tcW w:w="5670" w:type="dxa"/>
          </w:tcPr>
          <w:p w:rsidRPr="009B70E7" w:rsidR="00B44BB9" w:rsidP="008B66DD" w:rsidRDefault="00B44BB9" w14:paraId="649C02E9" w14:textId="77777777">
            <w:pPr>
              <w:pStyle w:val="ListParagraph"/>
              <w:ind w:left="0"/>
              <w:rPr>
                <w:i/>
              </w:rPr>
            </w:pPr>
            <w:proofErr w:type="spellStart"/>
            <w:r>
              <w:rPr>
                <w:i/>
              </w:rPr>
              <w:t>Margherita</w:t>
            </w:r>
            <w:proofErr w:type="spellEnd"/>
            <w:r>
              <w:rPr>
                <w:i/>
              </w:rPr>
              <w:t xml:space="preserve"> </w:t>
            </w:r>
            <w:proofErr w:type="spellStart"/>
            <w:r>
              <w:rPr>
                <w:i/>
              </w:rPr>
              <w:t>Logrillo</w:t>
            </w:r>
            <w:proofErr w:type="spellEnd"/>
          </w:p>
        </w:tc>
      </w:tr>
      <w:tr w:rsidRPr="009B70E7" w:rsidR="00B44BB9" w:rsidTr="008B66DD" w14:paraId="54638E70" w14:textId="77777777">
        <w:tc>
          <w:tcPr>
            <w:tcW w:w="1418" w:type="dxa"/>
          </w:tcPr>
          <w:p w:rsidRPr="009B70E7" w:rsidR="00B44BB9" w:rsidP="008B66DD" w:rsidRDefault="00B44BB9" w14:paraId="40A81D42" w14:textId="77777777">
            <w:pPr>
              <w:pStyle w:val="ListParagraph"/>
              <w:ind w:left="601"/>
              <w:rPr>
                <w:i/>
              </w:rPr>
            </w:pPr>
            <w:r>
              <w:rPr>
                <w:i/>
              </w:rPr>
              <w:t>Tālr.:</w:t>
            </w:r>
          </w:p>
        </w:tc>
        <w:tc>
          <w:tcPr>
            <w:tcW w:w="5670" w:type="dxa"/>
          </w:tcPr>
          <w:p w:rsidRPr="009B70E7" w:rsidR="00B44BB9" w:rsidP="008B66DD" w:rsidRDefault="00B44BB9" w14:paraId="0C77361C" w14:textId="77777777">
            <w:pPr>
              <w:pStyle w:val="ListParagraph"/>
              <w:ind w:left="0"/>
              <w:rPr>
                <w:i/>
              </w:rPr>
            </w:pPr>
            <w:r>
              <w:rPr>
                <w:i/>
              </w:rPr>
              <w:t>00 32 2 546 90 99</w:t>
            </w:r>
          </w:p>
        </w:tc>
      </w:tr>
      <w:tr w:rsidRPr="001D770D" w:rsidR="00B44BB9" w:rsidTr="008B66DD" w14:paraId="5FB79B0A" w14:textId="77777777">
        <w:tc>
          <w:tcPr>
            <w:tcW w:w="1418" w:type="dxa"/>
          </w:tcPr>
          <w:p w:rsidRPr="009B70E7" w:rsidR="00B44BB9" w:rsidP="008B66DD" w:rsidRDefault="00B44BB9" w14:paraId="0A5C365B" w14:textId="77777777">
            <w:pPr>
              <w:pStyle w:val="ListParagraph"/>
              <w:ind w:left="601"/>
              <w:rPr>
                <w:i/>
              </w:rPr>
            </w:pPr>
            <w:r>
              <w:rPr>
                <w:i/>
              </w:rPr>
              <w:t>E-pasts:</w:t>
            </w:r>
          </w:p>
        </w:tc>
        <w:tc>
          <w:tcPr>
            <w:tcW w:w="5670" w:type="dxa"/>
          </w:tcPr>
          <w:p w:rsidRPr="001D770D" w:rsidR="00B44BB9" w:rsidP="008B66DD" w:rsidRDefault="0039128C" w14:paraId="0E9E0878" w14:textId="77777777">
            <w:pPr>
              <w:pStyle w:val="ListParagraph"/>
              <w:ind w:left="0"/>
              <w:rPr>
                <w:i/>
              </w:rPr>
            </w:pPr>
            <w:hyperlink w:history="1" r:id="rId25">
              <w:r w:rsidR="00B80426">
                <w:rPr>
                  <w:rStyle w:val="Hyperlink"/>
                  <w:i/>
                </w:rPr>
                <w:t>Margherita.Logrillo@eesc.europa.eu</w:t>
              </w:r>
            </w:hyperlink>
          </w:p>
        </w:tc>
      </w:tr>
    </w:tbl>
    <w:p w:rsidR="002C0E2F" w:rsidRDefault="002C0E2F" w14:paraId="21C3B85C" w14:textId="77777777">
      <w:pPr>
        <w:spacing w:after="160" w:line="259" w:lineRule="auto"/>
        <w:jc w:val="left"/>
      </w:pPr>
    </w:p>
    <w:p w:rsidR="002C0E2F" w:rsidRDefault="002C0E2F" w14:paraId="6C846036" w14:textId="77777777">
      <w:pPr>
        <w:spacing w:after="160" w:line="259" w:lineRule="auto"/>
        <w:jc w:val="left"/>
      </w:pPr>
      <w:r>
        <w:br w:type="page"/>
      </w:r>
    </w:p>
    <w:p w:rsidRPr="009B70E7" w:rsidR="00841374" w:rsidRDefault="00A06E9E" w14:paraId="2D6BD9B3" w14:textId="77777777">
      <w:pPr>
        <w:pStyle w:val="ListParagraph"/>
        <w:numPr>
          <w:ilvl w:val="0"/>
          <w:numId w:val="4"/>
        </w:numPr>
        <w:overflowPunct w:val="0"/>
        <w:autoSpaceDE w:val="0"/>
        <w:autoSpaceDN w:val="0"/>
        <w:adjustRightInd w:val="0"/>
        <w:ind w:left="567" w:hanging="567"/>
        <w:textAlignment w:val="baseline"/>
        <w:rPr>
          <w:b/>
          <w:i/>
          <w:sz w:val="28"/>
          <w:szCs w:val="28"/>
        </w:rPr>
      </w:pPr>
      <w:r>
        <w:rPr>
          <w:b/>
          <w:i/>
          <w:sz w:val="28"/>
        </w:rPr>
        <w:lastRenderedPageBreak/>
        <w:t>Dzimumu līdztiesības</w:t>
      </w:r>
    </w:p>
    <w:p w:rsidRPr="009B70E7" w:rsidR="00841374" w:rsidP="0018231C" w:rsidRDefault="00841374" w14:paraId="1D8B790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44"/>
        <w:gridCol w:w="5529"/>
        <w:gridCol w:w="797"/>
      </w:tblGrid>
      <w:tr w:rsidRPr="009B70E7" w:rsidR="008946BF" w:rsidTr="00DF349B" w14:paraId="6EA9204F" w14:textId="77777777">
        <w:trPr>
          <w:gridAfter w:val="1"/>
          <w:wAfter w:w="797" w:type="dxa"/>
        </w:trPr>
        <w:tc>
          <w:tcPr>
            <w:tcW w:w="1657" w:type="dxa"/>
          </w:tcPr>
          <w:p w:rsidR="008946BF" w:rsidP="006D6086" w:rsidRDefault="008946BF" w14:paraId="0AAEC296" w14:textId="77777777">
            <w:pPr>
              <w:pStyle w:val="ListParagraph"/>
              <w:keepNext/>
              <w:ind w:left="0" w:hanging="107"/>
              <w:rPr>
                <w:b/>
              </w:rPr>
            </w:pPr>
            <w:r>
              <w:rPr>
                <w:b/>
              </w:rPr>
              <w:t>Ziņotāja:</w:t>
            </w:r>
          </w:p>
          <w:p w:rsidRPr="00F63F2A" w:rsidR="008946BF" w:rsidP="001513FD" w:rsidRDefault="008946BF" w14:paraId="6D6B9B14" w14:textId="77777777">
            <w:pPr>
              <w:pStyle w:val="ListParagraph"/>
              <w:ind w:left="0"/>
              <w:rPr>
                <w:b/>
                <w:sz w:val="20"/>
                <w:szCs w:val="20"/>
              </w:rPr>
            </w:pPr>
          </w:p>
        </w:tc>
        <w:tc>
          <w:tcPr>
            <w:tcW w:w="5573" w:type="dxa"/>
            <w:gridSpan w:val="2"/>
          </w:tcPr>
          <w:p w:rsidR="008946BF" w:rsidP="00DF349B" w:rsidRDefault="00A06E9E" w14:paraId="54293D02" w14:textId="77777777">
            <w:pPr>
              <w:pStyle w:val="ListParagraph"/>
              <w:ind w:left="-108" w:right="-195"/>
            </w:pPr>
            <w:r>
              <w:t>Milena ANGELOVA (Darba devēju grupa – BG)</w:t>
            </w:r>
          </w:p>
          <w:p w:rsidRPr="009B70E7" w:rsidR="008946BF" w:rsidP="001513FD" w:rsidRDefault="008946BF" w14:paraId="4D16618C" w14:textId="77777777">
            <w:pPr>
              <w:pStyle w:val="ListParagraph"/>
              <w:ind w:left="-108"/>
            </w:pPr>
          </w:p>
        </w:tc>
      </w:tr>
      <w:tr w:rsidRPr="009B70E7" w:rsidR="00841374" w:rsidTr="00DF349B" w14:paraId="51253DAE" w14:textId="77777777">
        <w:tblPrEx>
          <w:tblCellMar>
            <w:left w:w="57" w:type="dxa"/>
            <w:right w:w="57" w:type="dxa"/>
          </w:tblCellMar>
        </w:tblPrEx>
        <w:tc>
          <w:tcPr>
            <w:tcW w:w="1701" w:type="dxa"/>
            <w:gridSpan w:val="2"/>
          </w:tcPr>
          <w:p w:rsidRPr="009B70E7" w:rsidR="00841374" w:rsidP="006D6086" w:rsidRDefault="00841374" w14:paraId="6949587A" w14:textId="77777777">
            <w:pPr>
              <w:pStyle w:val="ListParagraph"/>
              <w:ind w:left="0" w:hanging="60"/>
              <w:rPr>
                <w:b/>
              </w:rPr>
            </w:pPr>
            <w:r>
              <w:rPr>
                <w:b/>
              </w:rPr>
              <w:t xml:space="preserve">Atsauce: </w:t>
            </w:r>
          </w:p>
        </w:tc>
        <w:tc>
          <w:tcPr>
            <w:tcW w:w="6326" w:type="dxa"/>
            <w:gridSpan w:val="2"/>
          </w:tcPr>
          <w:p w:rsidRPr="009B70E7" w:rsidR="00841374" w:rsidP="00407760" w:rsidRDefault="00A06E9E" w14:paraId="3DD4422C" w14:textId="77777777">
            <w:pPr>
              <w:pStyle w:val="ListParagraph"/>
              <w:ind w:left="-56"/>
            </w:pPr>
            <w:r>
              <w:t>Izpētes atzinums pēc Padomes prezidentvalsts Čehijas pieprasījuma</w:t>
            </w:r>
          </w:p>
          <w:p w:rsidRPr="009B70E7" w:rsidR="00841374" w:rsidP="00407760" w:rsidRDefault="002E5473" w14:paraId="12FB6382" w14:textId="77777777">
            <w:pPr>
              <w:pStyle w:val="ListParagraph"/>
              <w:ind w:left="-56"/>
            </w:pPr>
            <w:r>
              <w:t>EESC-2022-01932-00-00-AC</w:t>
            </w:r>
          </w:p>
        </w:tc>
      </w:tr>
    </w:tbl>
    <w:p w:rsidRPr="009B70E7" w:rsidR="00841374" w:rsidRDefault="00841374" w14:paraId="1CBC12AE" w14:textId="77777777">
      <w:pPr>
        <w:pStyle w:val="ListParagraph"/>
        <w:ind w:left="0"/>
        <w:rPr>
          <w:b/>
        </w:rPr>
      </w:pPr>
    </w:p>
    <w:p w:rsidRPr="00D85D67" w:rsidR="00841374" w:rsidP="002C4B6E" w:rsidRDefault="00841374" w14:paraId="76256836" w14:textId="77777777">
      <w:pPr>
        <w:pStyle w:val="ListParagraph"/>
        <w:spacing w:line="240" w:lineRule="auto"/>
        <w:ind w:left="-142" w:firstLine="142"/>
        <w:rPr>
          <w:b/>
        </w:rPr>
      </w:pPr>
      <w:r>
        <w:rPr>
          <w:b/>
          <w:bCs/>
        </w:rPr>
        <w:t>Svarīgākie aspekti</w:t>
      </w:r>
    </w:p>
    <w:p w:rsidR="00841374" w:rsidRDefault="00841374" w14:paraId="141BD901" w14:textId="77777777">
      <w:pPr>
        <w:pStyle w:val="ListParagraph"/>
        <w:ind w:left="0"/>
      </w:pPr>
    </w:p>
    <w:p w:rsidR="001D770D" w:rsidP="00326919" w:rsidRDefault="001D770D" w14:paraId="0B60B8BC" w14:textId="77777777">
      <w:pPr>
        <w:pStyle w:val="ListParagraph"/>
        <w:spacing w:line="240" w:lineRule="auto"/>
        <w:ind w:left="0"/>
      </w:pPr>
      <w:r>
        <w:t>EESK:</w:t>
      </w:r>
    </w:p>
    <w:p w:rsidRPr="009B70E7" w:rsidR="001D770D" w:rsidRDefault="001D770D" w14:paraId="189BAEB6" w14:textId="77777777">
      <w:pPr>
        <w:pStyle w:val="ListParagraph"/>
        <w:ind w:left="0"/>
      </w:pPr>
    </w:p>
    <w:p w:rsidRPr="009B70E7" w:rsidR="00841374" w:rsidP="0018231C" w:rsidRDefault="008159E1" w14:paraId="278A2840" w14:textId="77777777">
      <w:pPr>
        <w:pStyle w:val="ListParagraph"/>
        <w:numPr>
          <w:ilvl w:val="0"/>
          <w:numId w:val="3"/>
        </w:numPr>
        <w:ind w:left="357" w:hanging="357"/>
      </w:pPr>
      <w:r>
        <w:t xml:space="preserve">uzsver, ka panākumi dzimumu līdztiesības ilgtspējīgā veicināšanā ir saistīti ar </w:t>
      </w:r>
      <w:r>
        <w:rPr>
          <w:b/>
        </w:rPr>
        <w:t>dzimumu līdztiesības kultūru mūža ilgumā</w:t>
      </w:r>
      <w:r>
        <w:t>, kura aptver visu dzīves ciklu un nodrošina pasākumus, kas pielāgoti īpašajām iezīmēm un vajadzībām katrā dzīves posmā;</w:t>
      </w:r>
    </w:p>
    <w:p w:rsidRPr="009B70E7" w:rsidR="00841374" w:rsidP="0018231C" w:rsidRDefault="008159E1" w14:paraId="7A36F890" w14:textId="77777777">
      <w:pPr>
        <w:pStyle w:val="ListParagraph"/>
        <w:numPr>
          <w:ilvl w:val="0"/>
          <w:numId w:val="3"/>
        </w:numPr>
        <w:ind w:left="357" w:hanging="357"/>
      </w:pPr>
      <w:r>
        <w:t xml:space="preserve">aicina dalībvalstis savā izglītības politikā uzlabot </w:t>
      </w:r>
      <w:proofErr w:type="spellStart"/>
      <w:r>
        <w:rPr>
          <w:b/>
        </w:rPr>
        <w:t>dzimumneitrālu</w:t>
      </w:r>
      <w:proofErr w:type="spellEnd"/>
      <w:r>
        <w:rPr>
          <w:b/>
        </w:rPr>
        <w:t xml:space="preserve"> mācīšanu</w:t>
      </w:r>
      <w:r>
        <w:t xml:space="preserve"> gan attiecībā uz zināšanām, gan uz sociālajām prasmēm, kā arī mācīšanos, kas nav pakļauta dzimumu stereotipiem;</w:t>
      </w:r>
    </w:p>
    <w:p w:rsidRPr="009B70E7" w:rsidR="00B51B20" w:rsidP="0018231C" w:rsidRDefault="008159E1" w14:paraId="29EA99EF" w14:textId="77777777">
      <w:pPr>
        <w:pStyle w:val="ListParagraph"/>
        <w:numPr>
          <w:ilvl w:val="0"/>
          <w:numId w:val="3"/>
        </w:numPr>
        <w:ind w:left="357" w:hanging="357"/>
      </w:pPr>
      <w:r>
        <w:t xml:space="preserve">iesaka dalībvalstīm ar Komisijas atbalstu un kopā ar sociālajiem partneriem un attiecīgajām pilsoniskās sabiedrības organizācijām uzsākt </w:t>
      </w:r>
      <w:r>
        <w:rPr>
          <w:b/>
        </w:rPr>
        <w:t>plašu izpratnes veidošanas un informēšanas kampaņu, lai veicinātu dzimumu līdztiesības kultūru</w:t>
      </w:r>
      <w:r>
        <w:t>;</w:t>
      </w:r>
    </w:p>
    <w:p w:rsidRPr="001D770D" w:rsidR="00D85D67" w:rsidP="00D85D67" w:rsidRDefault="008159E1" w14:paraId="282035C6" w14:textId="77777777">
      <w:pPr>
        <w:pStyle w:val="ListParagraph"/>
        <w:numPr>
          <w:ilvl w:val="0"/>
          <w:numId w:val="3"/>
        </w:numPr>
        <w:ind w:left="357" w:hanging="357"/>
      </w:pPr>
      <w:r>
        <w:t xml:space="preserve">uzskata, ka ir būtiski svarīgi likvidēt jebkādus šķēršļus sieviešu vispārējai dalībai darba tirgos. Papildus tiesiskajam regulējumam praktiskā kārtība būtu jānosaka, izmantojot iespējas, ko paver </w:t>
      </w:r>
      <w:r>
        <w:rPr>
          <w:b/>
        </w:rPr>
        <w:t>darba koplīguma slēgšanas sarunas ar sociālajiem partneriem</w:t>
      </w:r>
      <w:r>
        <w:t>;</w:t>
      </w:r>
    </w:p>
    <w:p w:rsidR="001D770D" w:rsidP="00D85D67" w:rsidRDefault="008159E1" w14:paraId="76BBBF7F" w14:textId="77777777">
      <w:pPr>
        <w:pStyle w:val="ListParagraph"/>
        <w:numPr>
          <w:ilvl w:val="0"/>
          <w:numId w:val="3"/>
        </w:numPr>
        <w:ind w:left="357" w:hanging="357"/>
      </w:pPr>
      <w:r>
        <w:t xml:space="preserve">uzskata, ka ir ārkārtīgi svarīgi veicināt sieviešu līderību uzņēmumos, arodbiedrībās un sabiedriskajās organizācijās, un aicina dalībvalstis, uzņēmēju organizācijas un sociālos partnerus uzsākt </w:t>
      </w:r>
      <w:r>
        <w:rPr>
          <w:b/>
        </w:rPr>
        <w:t xml:space="preserve">apmācību un </w:t>
      </w:r>
      <w:proofErr w:type="spellStart"/>
      <w:r>
        <w:rPr>
          <w:b/>
        </w:rPr>
        <w:t>mentorēšanas</w:t>
      </w:r>
      <w:proofErr w:type="spellEnd"/>
      <w:r>
        <w:rPr>
          <w:b/>
        </w:rPr>
        <w:t xml:space="preserve"> programmas, kas paredzētas sievietēm vadošos amatos</w:t>
      </w:r>
      <w:r>
        <w:t>;</w:t>
      </w:r>
    </w:p>
    <w:p w:rsidR="00B40093" w:rsidP="00D85D67" w:rsidRDefault="008159E1" w14:paraId="1BAE71C9" w14:textId="77777777">
      <w:pPr>
        <w:pStyle w:val="ListParagraph"/>
        <w:numPr>
          <w:ilvl w:val="0"/>
          <w:numId w:val="3"/>
        </w:numPr>
        <w:ind w:left="357" w:hanging="357"/>
      </w:pPr>
      <w:r>
        <w:t xml:space="preserve">uzskata, ka ir jānovērš arī jebkādi šķēršļi sieviešu </w:t>
      </w:r>
      <w:proofErr w:type="spellStart"/>
      <w:r>
        <w:t>darījumdarbībai</w:t>
      </w:r>
      <w:proofErr w:type="spellEnd"/>
      <w:r>
        <w:t xml:space="preserve">. Tā kā </w:t>
      </w:r>
      <w:r>
        <w:rPr>
          <w:b/>
        </w:rPr>
        <w:t>piekļuve finansējumam</w:t>
      </w:r>
      <w:r>
        <w:t xml:space="preserve"> ir priekšnosacījums </w:t>
      </w:r>
      <w:proofErr w:type="spellStart"/>
      <w:r>
        <w:t>darījumdarbībai</w:t>
      </w:r>
      <w:proofErr w:type="spellEnd"/>
      <w:r>
        <w:t>, sievietēm jāiegūst vienlīdzīga piekļuve gan privātajam, gan publiskajam finansējumam;</w:t>
      </w:r>
    </w:p>
    <w:p w:rsidR="00B40093" w:rsidP="00D85D67" w:rsidRDefault="008159E1" w14:paraId="0E4FEF3C" w14:textId="77777777">
      <w:pPr>
        <w:pStyle w:val="ListParagraph"/>
        <w:numPr>
          <w:ilvl w:val="0"/>
          <w:numId w:val="3"/>
        </w:numPr>
        <w:ind w:left="357" w:hanging="357"/>
      </w:pPr>
      <w:r>
        <w:t xml:space="preserve">aicina pievērst pienācīgu uzmanību dzimumu līdztiesībai </w:t>
      </w:r>
      <w:r>
        <w:rPr>
          <w:b/>
        </w:rPr>
        <w:t>Ukrainas bēgļu</w:t>
      </w:r>
      <w:r>
        <w:t xml:space="preserve"> jautājuma risināšanā. Tas attiecas uz atbalstu bērniem attiecībā uz piekļuvi aprūpei un izglītībai, uz sieviešu integrāciju darba tirgū ar kvalitatīvas nodarbinātības palīdzību un uz piekļuvi seksuālās un reproduktīvās veselības aprūpes pakalpojumiem.</w:t>
      </w:r>
    </w:p>
    <w:p w:rsidRPr="009B70E7" w:rsidR="00841374" w:rsidRDefault="00841374" w14:paraId="3B0FA7A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841374" w:rsidTr="00841374" w14:paraId="50A403EE" w14:textId="77777777">
        <w:tc>
          <w:tcPr>
            <w:tcW w:w="1418" w:type="dxa"/>
          </w:tcPr>
          <w:p w:rsidRPr="009B70E7" w:rsidR="00841374" w:rsidRDefault="00841374" w14:paraId="629E9BA9" w14:textId="77777777">
            <w:pPr>
              <w:pStyle w:val="ListParagraph"/>
              <w:ind w:left="0"/>
              <w:rPr>
                <w:i/>
              </w:rPr>
            </w:pPr>
            <w:r>
              <w:rPr>
                <w:b/>
                <w:i/>
              </w:rPr>
              <w:t>Kontaktpersona:</w:t>
            </w:r>
          </w:p>
        </w:tc>
        <w:tc>
          <w:tcPr>
            <w:tcW w:w="5670" w:type="dxa"/>
          </w:tcPr>
          <w:p w:rsidRPr="009B70E7" w:rsidR="00841374" w:rsidRDefault="00A06E9E" w14:paraId="79C689DE" w14:textId="77777777">
            <w:pPr>
              <w:pStyle w:val="ListParagraph"/>
              <w:ind w:left="0"/>
              <w:rPr>
                <w:i/>
              </w:rPr>
            </w:pPr>
            <w:proofErr w:type="spellStart"/>
            <w:r>
              <w:rPr>
                <w:i/>
              </w:rPr>
              <w:t>Margherita</w:t>
            </w:r>
            <w:proofErr w:type="spellEnd"/>
            <w:r>
              <w:rPr>
                <w:i/>
              </w:rPr>
              <w:t xml:space="preserve"> </w:t>
            </w:r>
            <w:proofErr w:type="spellStart"/>
            <w:r>
              <w:rPr>
                <w:i/>
              </w:rPr>
              <w:t>Logrillo</w:t>
            </w:r>
            <w:proofErr w:type="spellEnd"/>
          </w:p>
        </w:tc>
      </w:tr>
      <w:tr w:rsidRPr="009B70E7" w:rsidR="00841374" w:rsidTr="00841374" w14:paraId="6334FCD6" w14:textId="77777777">
        <w:tc>
          <w:tcPr>
            <w:tcW w:w="1418" w:type="dxa"/>
          </w:tcPr>
          <w:p w:rsidRPr="009B70E7" w:rsidR="00841374" w:rsidRDefault="00841374" w14:paraId="3F37AC16" w14:textId="77777777">
            <w:pPr>
              <w:pStyle w:val="ListParagraph"/>
              <w:ind w:left="601"/>
              <w:rPr>
                <w:i/>
              </w:rPr>
            </w:pPr>
            <w:r>
              <w:rPr>
                <w:i/>
              </w:rPr>
              <w:t>Tālr.:</w:t>
            </w:r>
          </w:p>
        </w:tc>
        <w:tc>
          <w:tcPr>
            <w:tcW w:w="5670" w:type="dxa"/>
          </w:tcPr>
          <w:p w:rsidRPr="009B70E7" w:rsidR="00841374" w:rsidRDefault="00A06E9E" w14:paraId="55D18DAD" w14:textId="77777777">
            <w:pPr>
              <w:pStyle w:val="ListParagraph"/>
              <w:ind w:left="0"/>
              <w:rPr>
                <w:i/>
              </w:rPr>
            </w:pPr>
            <w:r>
              <w:rPr>
                <w:i/>
              </w:rPr>
              <w:t>00 32 2 546 90 99</w:t>
            </w:r>
          </w:p>
        </w:tc>
      </w:tr>
      <w:tr w:rsidRPr="001D770D" w:rsidR="00841374" w:rsidTr="00841374" w14:paraId="2EB3D256" w14:textId="77777777">
        <w:tc>
          <w:tcPr>
            <w:tcW w:w="1418" w:type="dxa"/>
          </w:tcPr>
          <w:p w:rsidRPr="009B70E7" w:rsidR="00841374" w:rsidRDefault="00841374" w14:paraId="02D49987" w14:textId="77777777">
            <w:pPr>
              <w:pStyle w:val="ListParagraph"/>
              <w:ind w:left="601"/>
              <w:rPr>
                <w:i/>
              </w:rPr>
            </w:pPr>
            <w:r>
              <w:rPr>
                <w:i/>
              </w:rPr>
              <w:t>E-pasts:</w:t>
            </w:r>
          </w:p>
        </w:tc>
        <w:tc>
          <w:tcPr>
            <w:tcW w:w="5670" w:type="dxa"/>
          </w:tcPr>
          <w:p w:rsidRPr="001D770D" w:rsidR="00841374" w:rsidRDefault="0039128C" w14:paraId="31128638" w14:textId="77777777">
            <w:pPr>
              <w:pStyle w:val="ListParagraph"/>
              <w:ind w:left="0"/>
              <w:rPr>
                <w:i/>
              </w:rPr>
            </w:pPr>
            <w:hyperlink w:history="1" r:id="rId26">
              <w:r w:rsidR="00B80426">
                <w:rPr>
                  <w:rStyle w:val="Hyperlink"/>
                  <w:i/>
                </w:rPr>
                <w:t>Margherita.Logrillo@eesc.europa.eu</w:t>
              </w:r>
            </w:hyperlink>
          </w:p>
        </w:tc>
      </w:tr>
    </w:tbl>
    <w:p w:rsidRPr="00276CC9" w:rsidR="00400A1F" w:rsidRDefault="00502B04" w14:paraId="3060FA04" w14:textId="77777777">
      <w:pPr>
        <w:spacing w:after="160" w:line="259" w:lineRule="auto"/>
        <w:jc w:val="left"/>
        <w:rPr>
          <w:sz w:val="28"/>
        </w:rPr>
      </w:pPr>
      <w:r>
        <w:br w:type="page"/>
      </w:r>
    </w:p>
    <w:p w:rsidRPr="00AD3DB1" w:rsidR="004D7AC0" w:rsidRDefault="004D7AC0" w14:paraId="13643C27" w14:textId="77777777">
      <w:pPr>
        <w:pStyle w:val="Heading1"/>
        <w:rPr>
          <w:b/>
        </w:rPr>
      </w:pPr>
      <w:bookmarkStart w:name="_Toc24617160" w:id="5"/>
      <w:bookmarkStart w:name="_Toc75527082" w:id="6"/>
      <w:bookmarkStart w:name="_Toc108435210" w:id="7"/>
      <w:bookmarkStart w:name="_Toc110414905" w:id="8"/>
      <w:r>
        <w:rPr>
          <w:b/>
        </w:rPr>
        <w:lastRenderedPageBreak/>
        <w:t>TRANSPORTS, ENERĢĒTIKA, INFRASTRUKTŪRA UN INFORMĀCIJAS SABIEDRĪBA</w:t>
      </w:r>
      <w:bookmarkEnd w:id="5"/>
      <w:bookmarkEnd w:id="6"/>
      <w:bookmarkEnd w:id="7"/>
      <w:bookmarkEnd w:id="8"/>
    </w:p>
    <w:p w:rsidRPr="00AD3DB1" w:rsidR="00961956" w:rsidRDefault="00961956" w14:paraId="07646FB3" w14:textId="77777777">
      <w:pPr>
        <w:pStyle w:val="ListParagraph"/>
        <w:ind w:left="0"/>
        <w:rPr>
          <w:lang w:val="en-US"/>
        </w:rPr>
      </w:pPr>
    </w:p>
    <w:p w:rsidRPr="00824DCF" w:rsidR="00961956" w:rsidP="0018231C" w:rsidRDefault="002C0E2F" w14:paraId="331DDD1A" w14:textId="2BA933B6">
      <w:pPr>
        <w:pStyle w:val="ListParagraph"/>
        <w:keepNext/>
        <w:numPr>
          <w:ilvl w:val="0"/>
          <w:numId w:val="2"/>
        </w:numPr>
        <w:ind w:left="567" w:hanging="567"/>
        <w:rPr>
          <w:b/>
          <w:i/>
          <w:sz w:val="28"/>
          <w:szCs w:val="28"/>
        </w:rPr>
      </w:pPr>
      <w:r>
        <w:rPr>
          <w:b/>
          <w:i/>
          <w:sz w:val="28"/>
        </w:rPr>
        <w:t>Digitālā identitāte, datu suverenitāte un taisnīgas virzības uz digitālo pārkārtošanos nodrošināšana informācijas sabiedrības locekļiem</w:t>
      </w:r>
    </w:p>
    <w:p w:rsidRPr="00824DCF" w:rsidR="00961956" w:rsidP="0018231C" w:rsidRDefault="00961956" w14:paraId="1BB7F554" w14:textId="77777777">
      <w:pPr>
        <w:pStyle w:val="ListParagraph"/>
        <w:keepNext/>
        <w:ind w:left="0"/>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387"/>
      </w:tblGrid>
      <w:tr w:rsidRPr="00824DCF" w:rsidR="00961956" w:rsidTr="0018231C" w14:paraId="24FE29BA" w14:textId="77777777">
        <w:tc>
          <w:tcPr>
            <w:tcW w:w="1701" w:type="dxa"/>
          </w:tcPr>
          <w:p w:rsidRPr="009B70E7" w:rsidR="00961956" w:rsidP="0018231C" w:rsidRDefault="00961956" w14:paraId="7B4B6AE8" w14:textId="77777777">
            <w:pPr>
              <w:pStyle w:val="ListParagraph"/>
              <w:keepNext/>
              <w:ind w:left="0"/>
              <w:rPr>
                <w:b/>
              </w:rPr>
            </w:pPr>
            <w:r>
              <w:rPr>
                <w:b/>
              </w:rPr>
              <w:t>Ziņotājs:</w:t>
            </w:r>
          </w:p>
        </w:tc>
        <w:tc>
          <w:tcPr>
            <w:tcW w:w="5387" w:type="dxa"/>
          </w:tcPr>
          <w:p w:rsidRPr="00824DCF" w:rsidR="00961956" w:rsidP="00C834A5" w:rsidRDefault="002C0E2F" w14:paraId="17514CDB" w14:textId="77777777">
            <w:pPr>
              <w:pStyle w:val="ListParagraph"/>
              <w:keepNext/>
              <w:ind w:left="-56"/>
            </w:pPr>
            <w:proofErr w:type="spellStart"/>
            <w:r>
              <w:t>Dumitru</w:t>
            </w:r>
            <w:proofErr w:type="spellEnd"/>
            <w:r>
              <w:t xml:space="preserve"> FORNEA (Darba ņēmēju grupa – RO)</w:t>
            </w:r>
          </w:p>
        </w:tc>
      </w:tr>
      <w:tr w:rsidRPr="00824DCF" w:rsidR="004C40E4" w:rsidTr="0018231C" w14:paraId="4A5F1D42" w14:textId="77777777">
        <w:tc>
          <w:tcPr>
            <w:tcW w:w="7088" w:type="dxa"/>
            <w:gridSpan w:val="2"/>
          </w:tcPr>
          <w:p w:rsidRPr="00824DCF" w:rsidR="004C40E4" w:rsidP="0018231C" w:rsidRDefault="004C40E4" w14:paraId="459398F1" w14:textId="77777777">
            <w:pPr>
              <w:pStyle w:val="ListParagraph"/>
              <w:keepNext/>
              <w:ind w:left="0"/>
              <w:rPr>
                <w:lang w:val="en-US"/>
              </w:rPr>
            </w:pPr>
          </w:p>
        </w:tc>
      </w:tr>
      <w:tr w:rsidRPr="009B70E7" w:rsidR="00961956" w:rsidTr="0018231C" w14:paraId="4857777C" w14:textId="77777777">
        <w:tc>
          <w:tcPr>
            <w:tcW w:w="1701" w:type="dxa"/>
            <w:vMerge w:val="restart"/>
          </w:tcPr>
          <w:p w:rsidRPr="009B70E7" w:rsidR="00961956" w:rsidP="0018231C" w:rsidRDefault="00961956" w14:paraId="3DF2404C" w14:textId="77777777">
            <w:pPr>
              <w:pStyle w:val="ListParagraph"/>
              <w:keepNext/>
              <w:ind w:left="0"/>
              <w:rPr>
                <w:b/>
              </w:rPr>
            </w:pPr>
            <w:r>
              <w:rPr>
                <w:b/>
              </w:rPr>
              <w:t xml:space="preserve">Atsauce: </w:t>
            </w:r>
          </w:p>
        </w:tc>
        <w:tc>
          <w:tcPr>
            <w:tcW w:w="5387" w:type="dxa"/>
          </w:tcPr>
          <w:p w:rsidRPr="009B70E7" w:rsidR="00961956" w:rsidP="00407760" w:rsidRDefault="002C0E2F" w14:paraId="11997CDA" w14:textId="77777777">
            <w:pPr>
              <w:pStyle w:val="ListParagraph"/>
              <w:keepNext/>
              <w:ind w:left="-56"/>
            </w:pPr>
            <w:r>
              <w:t>Pašiniciatīvas atzinums</w:t>
            </w:r>
          </w:p>
        </w:tc>
      </w:tr>
      <w:tr w:rsidRPr="009B70E7" w:rsidR="00961956" w:rsidTr="0018231C" w14:paraId="3AF643A2" w14:textId="77777777">
        <w:tc>
          <w:tcPr>
            <w:tcW w:w="1701" w:type="dxa"/>
            <w:vMerge/>
          </w:tcPr>
          <w:p w:rsidRPr="009B70E7" w:rsidR="00961956" w:rsidP="0018231C" w:rsidRDefault="00961956" w14:paraId="5E8FA40A" w14:textId="77777777">
            <w:pPr>
              <w:pStyle w:val="ListParagraph"/>
              <w:keepNext/>
              <w:ind w:left="0"/>
              <w:rPr>
                <w:b/>
              </w:rPr>
            </w:pPr>
          </w:p>
        </w:tc>
        <w:tc>
          <w:tcPr>
            <w:tcW w:w="5387" w:type="dxa"/>
          </w:tcPr>
          <w:p w:rsidRPr="009B70E7" w:rsidR="00961956" w:rsidP="00407760" w:rsidRDefault="00E65D01" w14:paraId="47950539" w14:textId="77777777">
            <w:pPr>
              <w:pStyle w:val="ListParagraph"/>
              <w:keepNext/>
              <w:ind w:left="-56"/>
            </w:pPr>
            <w:r>
              <w:t>EESC-2022-01011-00-00-AC</w:t>
            </w:r>
          </w:p>
        </w:tc>
      </w:tr>
    </w:tbl>
    <w:p w:rsidRPr="009B70E7" w:rsidR="00961956" w:rsidP="0018231C" w:rsidRDefault="00961956" w14:paraId="148D7539" w14:textId="77777777">
      <w:pPr>
        <w:pStyle w:val="ListParagraph"/>
        <w:keepNext/>
        <w:ind w:left="0"/>
      </w:pPr>
    </w:p>
    <w:p w:rsidRPr="009B70E7" w:rsidR="00961956" w:rsidP="002C4B6E" w:rsidRDefault="00961956" w14:paraId="11D6B73E" w14:textId="5C69D606">
      <w:pPr>
        <w:pStyle w:val="ListParagraph"/>
        <w:spacing w:line="240" w:lineRule="auto"/>
        <w:ind w:left="-142" w:firstLine="142"/>
        <w:rPr>
          <w:b/>
        </w:rPr>
      </w:pPr>
      <w:r>
        <w:rPr>
          <w:b/>
          <w:bCs/>
        </w:rPr>
        <w:t>Svarīgākie aspekti</w:t>
      </w:r>
    </w:p>
    <w:p w:rsidR="00961956" w:rsidRDefault="00961956" w14:paraId="75408D74" w14:textId="77777777">
      <w:pPr>
        <w:pStyle w:val="ListParagraph"/>
        <w:ind w:left="0"/>
      </w:pPr>
    </w:p>
    <w:p w:rsidR="00824DCF" w:rsidP="00326919" w:rsidRDefault="00824DCF" w14:paraId="487F835E" w14:textId="77777777">
      <w:pPr>
        <w:pStyle w:val="ListParagraph"/>
        <w:keepNext/>
        <w:keepLines/>
        <w:ind w:left="0"/>
      </w:pPr>
      <w:r>
        <w:t>EESK:</w:t>
      </w:r>
    </w:p>
    <w:p w:rsidRPr="009B70E7" w:rsidR="00824DCF" w:rsidRDefault="00824DCF" w14:paraId="5EDF7A19" w14:textId="77777777">
      <w:pPr>
        <w:pStyle w:val="ListParagraph"/>
        <w:ind w:left="0"/>
      </w:pPr>
    </w:p>
    <w:p w:rsidRPr="00F049D6" w:rsidR="00961956" w:rsidP="00C86F74" w:rsidRDefault="005A755F" w14:paraId="3E5BFFD4" w14:textId="77777777">
      <w:pPr>
        <w:pStyle w:val="ListParagraph"/>
        <w:numPr>
          <w:ilvl w:val="0"/>
          <w:numId w:val="3"/>
        </w:numPr>
        <w:ind w:left="357" w:hanging="357"/>
      </w:pPr>
      <w:r>
        <w:t xml:space="preserve">uzskata, ka digitālā revolūcija ir jāvada tā, lai, </w:t>
      </w:r>
      <w:r>
        <w:rPr>
          <w:b/>
        </w:rPr>
        <w:t>kļūdama obligāta, tā nepasliktinātu cilvēkiem dzīvi</w:t>
      </w:r>
      <w:r>
        <w:t>.</w:t>
      </w:r>
      <w:r>
        <w:rPr>
          <w:b/>
        </w:rPr>
        <w:t xml:space="preserve"> Galvenais tā iemesls ir tas, ka cilvēki var justies spiesti kļūt par tās digitālās pasaules daļu, kurā nepastāv demokrātiska pārvaldība;</w:t>
      </w:r>
    </w:p>
    <w:p w:rsidRPr="00F049D6" w:rsidR="002C24B9" w:rsidP="0018231C" w:rsidRDefault="005A755F" w14:paraId="6A722D52" w14:textId="77777777">
      <w:pPr>
        <w:pStyle w:val="ListParagraph"/>
        <w:numPr>
          <w:ilvl w:val="0"/>
          <w:numId w:val="3"/>
        </w:numPr>
        <w:ind w:left="357" w:hanging="357"/>
      </w:pPr>
      <w:r>
        <w:t xml:space="preserve">Digitālajai identitātei, digitālajiem maksāšanas līdzekļiem, kā arī virtuālām un papildinātās realitātes platformām arī turpmāk ir jābūt instrumentiem, </w:t>
      </w:r>
      <w:r>
        <w:rPr>
          <w:b/>
        </w:rPr>
        <w:t>kas tikai papildina fizisko eksistenci</w:t>
      </w:r>
      <w:r>
        <w:t> – tie nedrīkst pilnībā un piespiedu kārtā aizstāt citus eksistenciālos modeļus;</w:t>
      </w:r>
    </w:p>
    <w:p w:rsidRPr="00F049D6" w:rsidR="00394949" w:rsidP="00394949" w:rsidRDefault="005A755F" w14:paraId="3941A3AB" w14:textId="77777777">
      <w:pPr>
        <w:pStyle w:val="ListParagraph"/>
        <w:numPr>
          <w:ilvl w:val="0"/>
          <w:numId w:val="3"/>
        </w:numPr>
        <w:ind w:left="357" w:hanging="357"/>
      </w:pPr>
      <w:r>
        <w:t xml:space="preserve">Ikviena iniciatīva, kas vērsta uz cilvēku integrēšanu Eiropas digitālās identitātes sistēmā, </w:t>
      </w:r>
      <w:r>
        <w:rPr>
          <w:b/>
        </w:rPr>
        <w:t xml:space="preserve">būtu jābalsta uz ietekmes pētījumiem un visaptverošiem socioloģiskiem </w:t>
      </w:r>
      <w:proofErr w:type="spellStart"/>
      <w:r>
        <w:rPr>
          <w:b/>
        </w:rPr>
        <w:t>apsekojumiem</w:t>
      </w:r>
      <w:proofErr w:type="spellEnd"/>
      <w:r>
        <w:t xml:space="preserve">. Galīgais lēmums būtu </w:t>
      </w:r>
      <w:r>
        <w:rPr>
          <w:b/>
        </w:rPr>
        <w:t>jāpieņem tikai pēc iedzīvotāju informēšanas un ar brīvi izteiktu piekrišanu</w:t>
      </w:r>
      <w:r>
        <w:t>.</w:t>
      </w:r>
    </w:p>
    <w:p w:rsidRPr="00435099" w:rsidR="005A755F" w:rsidP="00D13F40" w:rsidRDefault="005A755F" w14:paraId="26309AC9" w14:textId="77777777">
      <w:pPr>
        <w:pStyle w:val="ListParagraph"/>
        <w:numPr>
          <w:ilvl w:val="0"/>
          <w:numId w:val="15"/>
        </w:numPr>
        <w:ind w:left="1134" w:hanging="567"/>
      </w:pPr>
      <w:bookmarkStart w:name="_Toc108435087" w:id="9"/>
      <w:bookmarkStart w:name="_Toc108435211" w:id="10"/>
      <w:bookmarkStart w:name="_Toc108437611" w:id="11"/>
      <w:r>
        <w:t xml:space="preserve">Eiropas Savienībai ir rūpīgi jāseko līdzi tam, kā </w:t>
      </w:r>
      <w:proofErr w:type="spellStart"/>
      <w:r>
        <w:t>digitalizācija</w:t>
      </w:r>
      <w:proofErr w:type="spellEnd"/>
      <w:r>
        <w:t xml:space="preserve"> ietekmē pilsoņus, strādājošos un uzņēmumus. Demokrātiskai un taisnīgai, visiem pieņemamai digitālai sabiedrībai ir jāņem vērā: nepārtrauktā nepieciešamība pēc liela enerģijas daudzuma, lai uzturētu globālo tehnoloģisko infrastruktūru un padarītu iespējamu nepārtrauktu un drošu piekļuvi digitālajai sistēmai;</w:t>
      </w:r>
      <w:bookmarkEnd w:id="9"/>
      <w:bookmarkEnd w:id="10"/>
      <w:bookmarkEnd w:id="11"/>
    </w:p>
    <w:p w:rsidRPr="00F516B9" w:rsidR="005A755F" w:rsidP="005A755F" w:rsidRDefault="005A755F" w14:paraId="31AEC552" w14:textId="77777777">
      <w:pPr>
        <w:pStyle w:val="ListParagraph"/>
        <w:numPr>
          <w:ilvl w:val="0"/>
          <w:numId w:val="12"/>
        </w:numPr>
        <w:ind w:left="1134" w:hanging="567"/>
      </w:pPr>
      <w:proofErr w:type="spellStart"/>
      <w:r>
        <w:t>digitalizācijas</w:t>
      </w:r>
      <w:proofErr w:type="spellEnd"/>
      <w:r>
        <w:t xml:space="preserve"> un automatizācijas ietekme uz cilvēku dzīves kvalitāti un darba apstākļiem. Jābūt skaidrībai, ka digitālie līdzekļi neskars cilvēku attiecības, nepalielinās vientulību, nevājinās garīgo veselību, izziņas un emocionālās spējas un neveicinās sociālo atsvešināšanos;</w:t>
      </w:r>
    </w:p>
    <w:p w:rsidR="005A755F" w:rsidP="005A755F" w:rsidRDefault="005A755F" w14:paraId="18D4AC64" w14:textId="77777777">
      <w:pPr>
        <w:pStyle w:val="ListParagraph"/>
        <w:numPr>
          <w:ilvl w:val="0"/>
          <w:numId w:val="12"/>
        </w:numPr>
        <w:ind w:left="1134" w:hanging="567"/>
      </w:pPr>
      <w:r>
        <w:t>politiskie, ekonomiskie un sociālie pasākumi, kas vajadzīgi, lai pielāgotu sabiedrību krasajām kvantitatīvajām pārmaiņām darba tirgū;</w:t>
      </w:r>
    </w:p>
    <w:p w:rsidRPr="005A755F" w:rsidR="00394949" w:rsidP="005A755F" w:rsidRDefault="005A755F" w14:paraId="31E62463" w14:textId="77777777">
      <w:pPr>
        <w:pStyle w:val="ListParagraph"/>
        <w:numPr>
          <w:ilvl w:val="0"/>
          <w:numId w:val="12"/>
        </w:numPr>
        <w:ind w:left="1134" w:hanging="567"/>
      </w:pPr>
      <w:proofErr w:type="spellStart"/>
      <w:r>
        <w:t>kiberdrošība</w:t>
      </w:r>
      <w:proofErr w:type="spellEnd"/>
      <w:r>
        <w:t>.</w:t>
      </w:r>
    </w:p>
    <w:p w:rsidRPr="00F049D6" w:rsidR="00961956" w:rsidRDefault="00961956" w14:paraId="650EBC4F" w14:textId="77777777">
      <w:pPr>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961956" w:rsidTr="00771110" w14:paraId="196AAA5A" w14:textId="77777777">
        <w:tc>
          <w:tcPr>
            <w:tcW w:w="1418" w:type="dxa"/>
          </w:tcPr>
          <w:p w:rsidRPr="009B70E7" w:rsidR="00961956" w:rsidRDefault="00961956" w14:paraId="015B1472" w14:textId="77777777">
            <w:pPr>
              <w:pStyle w:val="ListParagraph"/>
              <w:ind w:left="0"/>
              <w:rPr>
                <w:i/>
              </w:rPr>
            </w:pPr>
            <w:r>
              <w:rPr>
                <w:b/>
                <w:i/>
              </w:rPr>
              <w:t>Kontaktpersona:</w:t>
            </w:r>
          </w:p>
        </w:tc>
        <w:tc>
          <w:tcPr>
            <w:tcW w:w="5670" w:type="dxa"/>
          </w:tcPr>
          <w:p w:rsidRPr="009B70E7" w:rsidR="00961956" w:rsidRDefault="005A755F" w14:paraId="1E2C028D" w14:textId="77777777">
            <w:pPr>
              <w:pStyle w:val="ListParagraph"/>
              <w:ind w:left="0"/>
              <w:rPr>
                <w:i/>
              </w:rPr>
            </w:pPr>
            <w:proofErr w:type="spellStart"/>
            <w:r>
              <w:rPr>
                <w:i/>
              </w:rPr>
              <w:t>Maja</w:t>
            </w:r>
            <w:proofErr w:type="spellEnd"/>
            <w:r>
              <w:rPr>
                <w:i/>
              </w:rPr>
              <w:t xml:space="preserve"> </w:t>
            </w:r>
            <w:proofErr w:type="spellStart"/>
            <w:r>
              <w:rPr>
                <w:i/>
              </w:rPr>
              <w:t>Radman</w:t>
            </w:r>
            <w:proofErr w:type="spellEnd"/>
          </w:p>
        </w:tc>
      </w:tr>
      <w:tr w:rsidRPr="009B70E7" w:rsidR="00961956" w:rsidTr="00771110" w14:paraId="767EF621" w14:textId="77777777">
        <w:tc>
          <w:tcPr>
            <w:tcW w:w="1418" w:type="dxa"/>
          </w:tcPr>
          <w:p w:rsidRPr="009B70E7" w:rsidR="00961956" w:rsidRDefault="00961956" w14:paraId="2C15F67B" w14:textId="77777777">
            <w:pPr>
              <w:pStyle w:val="ListParagraph"/>
              <w:ind w:left="601"/>
              <w:rPr>
                <w:i/>
              </w:rPr>
            </w:pPr>
            <w:r>
              <w:rPr>
                <w:i/>
              </w:rPr>
              <w:t>Tālr.:</w:t>
            </w:r>
          </w:p>
        </w:tc>
        <w:tc>
          <w:tcPr>
            <w:tcW w:w="5670" w:type="dxa"/>
          </w:tcPr>
          <w:p w:rsidRPr="009B70E7" w:rsidR="00961956" w:rsidRDefault="002C24B9" w14:paraId="619D9C38" w14:textId="77777777">
            <w:pPr>
              <w:pStyle w:val="ListParagraph"/>
              <w:ind w:left="0"/>
              <w:rPr>
                <w:i/>
              </w:rPr>
            </w:pPr>
            <w:r>
              <w:rPr>
                <w:i/>
              </w:rPr>
              <w:t>00 32 2 546 90 51</w:t>
            </w:r>
          </w:p>
        </w:tc>
      </w:tr>
      <w:tr w:rsidRPr="009B70E7" w:rsidR="00961956" w:rsidTr="00771110" w14:paraId="0B88B3E2" w14:textId="77777777">
        <w:tc>
          <w:tcPr>
            <w:tcW w:w="1418" w:type="dxa"/>
          </w:tcPr>
          <w:p w:rsidRPr="009B70E7" w:rsidR="00961956" w:rsidRDefault="00961956" w14:paraId="7FB55A27" w14:textId="77777777">
            <w:pPr>
              <w:pStyle w:val="ListParagraph"/>
              <w:ind w:left="601"/>
              <w:rPr>
                <w:i/>
              </w:rPr>
            </w:pPr>
            <w:r>
              <w:rPr>
                <w:i/>
              </w:rPr>
              <w:t>E-pasts:</w:t>
            </w:r>
          </w:p>
        </w:tc>
        <w:tc>
          <w:tcPr>
            <w:tcW w:w="5670" w:type="dxa"/>
          </w:tcPr>
          <w:p w:rsidRPr="009B70E7" w:rsidR="00F80F3B" w:rsidRDefault="0039128C" w14:paraId="6B508845" w14:textId="77777777">
            <w:pPr>
              <w:pStyle w:val="ListParagraph"/>
              <w:ind w:left="0"/>
              <w:rPr>
                <w:i/>
              </w:rPr>
            </w:pPr>
            <w:hyperlink w:history="1" r:id="rId27">
              <w:r w:rsidR="00B80426">
                <w:rPr>
                  <w:rStyle w:val="Hyperlink"/>
                  <w:i/>
                </w:rPr>
                <w:t>Maja.Radmani@eesc.europa.eu</w:t>
              </w:r>
            </w:hyperlink>
          </w:p>
        </w:tc>
      </w:tr>
    </w:tbl>
    <w:p w:rsidR="00910972" w:rsidP="0018231C" w:rsidRDefault="00910972" w14:paraId="6D17AB89" w14:textId="7DC2E94D">
      <w:pPr>
        <w:jc w:val="left"/>
        <w:rPr>
          <w:sz w:val="28"/>
        </w:rPr>
      </w:pPr>
    </w:p>
    <w:p w:rsidR="00910972" w:rsidRDefault="00910972" w14:paraId="397D2CDA" w14:textId="77777777">
      <w:pPr>
        <w:spacing w:after="160" w:line="259" w:lineRule="auto"/>
        <w:jc w:val="left"/>
        <w:rPr>
          <w:sz w:val="28"/>
        </w:rPr>
      </w:pPr>
      <w:r>
        <w:br w:type="page"/>
      </w:r>
    </w:p>
    <w:p w:rsidRPr="009B70E7" w:rsidR="00D76363" w:rsidP="00D76363" w:rsidRDefault="00CE23CC" w14:paraId="401CAB05" w14:textId="77777777">
      <w:pPr>
        <w:pStyle w:val="ListParagraph"/>
        <w:keepNext/>
        <w:numPr>
          <w:ilvl w:val="0"/>
          <w:numId w:val="2"/>
        </w:numPr>
        <w:ind w:left="567" w:hanging="567"/>
        <w:rPr>
          <w:b/>
          <w:i/>
          <w:sz w:val="28"/>
          <w:szCs w:val="28"/>
        </w:rPr>
      </w:pPr>
      <w:r>
        <w:rPr>
          <w:b/>
          <w:i/>
          <w:sz w:val="28"/>
        </w:rPr>
        <w:lastRenderedPageBreak/>
        <w:t>Piegādes drošība un pieņemamas enerģijas cenas</w:t>
      </w:r>
    </w:p>
    <w:p w:rsidRPr="009B70E7" w:rsidR="00D76363" w:rsidP="00D76363" w:rsidRDefault="00D76363" w14:paraId="26D9A939"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1701"/>
        <w:gridCol w:w="5812"/>
      </w:tblGrid>
      <w:tr w:rsidRPr="009B70E7" w:rsidR="00D76363" w:rsidTr="00F049D6" w14:paraId="1BC08D1D" w14:textId="77777777">
        <w:tc>
          <w:tcPr>
            <w:tcW w:w="1701" w:type="dxa"/>
          </w:tcPr>
          <w:p w:rsidRPr="009B70E7" w:rsidR="00D76363" w:rsidP="001513FD" w:rsidRDefault="00D76363" w14:paraId="073DB159" w14:textId="77777777">
            <w:pPr>
              <w:pStyle w:val="ListParagraph"/>
              <w:keepNext/>
              <w:ind w:left="0"/>
              <w:rPr>
                <w:b/>
              </w:rPr>
            </w:pPr>
            <w:r>
              <w:rPr>
                <w:b/>
              </w:rPr>
              <w:t>Ziņotāja:</w:t>
            </w:r>
          </w:p>
        </w:tc>
        <w:tc>
          <w:tcPr>
            <w:tcW w:w="5812" w:type="dxa"/>
          </w:tcPr>
          <w:p w:rsidRPr="009B70E7" w:rsidR="00D76363" w:rsidP="00F049D6" w:rsidRDefault="00CE23CC" w14:paraId="64C95B4D" w14:textId="77777777">
            <w:pPr>
              <w:pStyle w:val="ListParagraph"/>
              <w:keepNext/>
              <w:ind w:left="-56" w:right="-453"/>
            </w:pPr>
            <w:r>
              <w:t>Alena MASTANTUONO (Darba devēju grupa – CZ)</w:t>
            </w:r>
          </w:p>
        </w:tc>
      </w:tr>
      <w:tr w:rsidRPr="009B70E7" w:rsidR="00D76363" w:rsidTr="00F049D6" w14:paraId="206D71D0" w14:textId="77777777">
        <w:tc>
          <w:tcPr>
            <w:tcW w:w="7513" w:type="dxa"/>
            <w:gridSpan w:val="2"/>
          </w:tcPr>
          <w:p w:rsidRPr="009B70E7" w:rsidR="00D76363" w:rsidP="001513FD" w:rsidRDefault="00D76363" w14:paraId="44F259D7" w14:textId="77777777">
            <w:pPr>
              <w:pStyle w:val="ListParagraph"/>
              <w:keepNext/>
              <w:ind w:left="0"/>
            </w:pPr>
          </w:p>
        </w:tc>
      </w:tr>
      <w:tr w:rsidRPr="009B70E7" w:rsidR="00D76363" w:rsidTr="00F049D6" w14:paraId="006CBBBB" w14:textId="77777777">
        <w:tc>
          <w:tcPr>
            <w:tcW w:w="1701" w:type="dxa"/>
            <w:vMerge w:val="restart"/>
          </w:tcPr>
          <w:p w:rsidRPr="009B70E7" w:rsidR="00D76363" w:rsidP="001513FD" w:rsidRDefault="00D76363" w14:paraId="21B3F0D6" w14:textId="77777777">
            <w:pPr>
              <w:pStyle w:val="ListParagraph"/>
              <w:keepNext/>
              <w:ind w:left="0"/>
              <w:rPr>
                <w:b/>
              </w:rPr>
            </w:pPr>
            <w:r>
              <w:rPr>
                <w:b/>
              </w:rPr>
              <w:t xml:space="preserve">Atsauce: </w:t>
            </w:r>
          </w:p>
        </w:tc>
        <w:tc>
          <w:tcPr>
            <w:tcW w:w="5812" w:type="dxa"/>
          </w:tcPr>
          <w:p w:rsidRPr="009B70E7" w:rsidR="00D76363" w:rsidP="001513FD" w:rsidRDefault="00D76363" w14:paraId="0F2B0508" w14:textId="77777777">
            <w:pPr>
              <w:pStyle w:val="ListParagraph"/>
              <w:keepNext/>
              <w:ind w:left="-56"/>
            </w:pPr>
            <w:r>
              <w:t xml:space="preserve">COM (2022) 138 </w:t>
            </w:r>
            <w:proofErr w:type="spellStart"/>
            <w:r>
              <w:t>final</w:t>
            </w:r>
            <w:proofErr w:type="spellEnd"/>
          </w:p>
        </w:tc>
      </w:tr>
      <w:tr w:rsidRPr="009B70E7" w:rsidR="00D76363" w:rsidTr="00F049D6" w14:paraId="44A197BD" w14:textId="77777777">
        <w:tc>
          <w:tcPr>
            <w:tcW w:w="1701" w:type="dxa"/>
            <w:vMerge/>
          </w:tcPr>
          <w:p w:rsidRPr="009B70E7" w:rsidR="00D76363" w:rsidP="001513FD" w:rsidRDefault="00D76363" w14:paraId="666AB4C5" w14:textId="77777777">
            <w:pPr>
              <w:pStyle w:val="ListParagraph"/>
              <w:keepNext/>
              <w:ind w:left="0"/>
              <w:rPr>
                <w:b/>
              </w:rPr>
            </w:pPr>
          </w:p>
        </w:tc>
        <w:tc>
          <w:tcPr>
            <w:tcW w:w="5812" w:type="dxa"/>
          </w:tcPr>
          <w:p w:rsidRPr="009B70E7" w:rsidR="00D76363" w:rsidP="001513FD" w:rsidRDefault="00E65D01" w14:paraId="26A5E07B" w14:textId="77777777">
            <w:pPr>
              <w:pStyle w:val="ListParagraph"/>
              <w:keepNext/>
              <w:ind w:left="-56"/>
            </w:pPr>
            <w:r>
              <w:t>EESC-2022-02693-00-00-AC</w:t>
            </w:r>
          </w:p>
        </w:tc>
      </w:tr>
    </w:tbl>
    <w:p w:rsidRPr="009B70E7" w:rsidR="00D76363" w:rsidP="00D76363" w:rsidRDefault="00D76363" w14:paraId="06470B53" w14:textId="77777777">
      <w:pPr>
        <w:pStyle w:val="ListParagraph"/>
        <w:keepNext/>
        <w:ind w:left="0"/>
      </w:pPr>
    </w:p>
    <w:p w:rsidRPr="00CE23CC" w:rsidR="00F049D6" w:rsidP="00CE23CC" w:rsidRDefault="00CE23CC" w14:paraId="6E8A2493" w14:textId="1E2A2AD2">
      <w:pPr>
        <w:pStyle w:val="ListParagraph"/>
        <w:spacing w:line="240" w:lineRule="auto"/>
        <w:ind w:left="-142" w:firstLine="142"/>
        <w:rPr>
          <w:b/>
        </w:rPr>
      </w:pPr>
      <w:r>
        <w:rPr>
          <w:b/>
          <w:bCs/>
        </w:rPr>
        <w:t>Svarīgākie aspekti</w:t>
      </w:r>
    </w:p>
    <w:p w:rsidRPr="009B70E7" w:rsidR="00F049D6" w:rsidP="00D76363" w:rsidRDefault="00F049D6" w14:paraId="44AA08CC" w14:textId="77777777">
      <w:pPr>
        <w:pStyle w:val="ListParagraph"/>
        <w:ind w:left="0"/>
      </w:pPr>
    </w:p>
    <w:p w:rsidRPr="00CE23CC" w:rsidR="00A30B84" w:rsidP="00CE23CC" w:rsidRDefault="00CE23CC" w14:paraId="4A205B71" w14:textId="77777777">
      <w:pPr>
        <w:pStyle w:val="ListParagraph"/>
        <w:numPr>
          <w:ilvl w:val="0"/>
          <w:numId w:val="3"/>
        </w:numPr>
        <w:ind w:left="357" w:hanging="357"/>
      </w:pPr>
      <w:r>
        <w:t xml:space="preserve">Eiropai ir vajadzīgs efektīvs enerģētikas plāns, kurā būtu paredzēti dažādi scenāriji energoresursu trūkuma gadījumā. Tas būtu kopīgi jāplāno ES un dalībvalstīm: kāds risinājums katram scenārijam? Kā efektīvi izmantot esošo </w:t>
      </w:r>
      <w:proofErr w:type="spellStart"/>
      <w:r>
        <w:t>energoinfrastruktūru</w:t>
      </w:r>
      <w:proofErr w:type="spellEnd"/>
      <w:r>
        <w:t xml:space="preserve"> un kā to turpmāk attīstīt?</w:t>
      </w:r>
    </w:p>
    <w:p w:rsidRPr="003527B4" w:rsidR="00D76363" w:rsidP="00D76363" w:rsidRDefault="00CE23CC" w14:paraId="5660D604" w14:textId="77777777">
      <w:pPr>
        <w:pStyle w:val="ListParagraph"/>
        <w:numPr>
          <w:ilvl w:val="0"/>
          <w:numId w:val="3"/>
        </w:numPr>
        <w:ind w:left="357" w:hanging="357"/>
        <w:rPr>
          <w:bCs/>
        </w:rPr>
      </w:pPr>
      <w:r>
        <w:t>Trešo valstu piegādātā enerģija ekonomiski un politiski ietekmē Eiropas Savienību. Tagad ir skaidrs, ka ir jāapsver pārmērīga atkarība no enerģijas, ko piegādā valstis, kurām nav kopīgu vērtību ar ES. Ideālais risinājums būtu palielināt nefosilās elektroenerģijas ražošanu un izmantošanu tādā apjomā, kas atbilst elektroenerģijas pieprasījumam.</w:t>
      </w:r>
    </w:p>
    <w:p w:rsidR="00D76363" w:rsidP="00D76363" w:rsidRDefault="00CE23CC" w14:paraId="5BFF3ABB" w14:textId="77777777">
      <w:pPr>
        <w:pStyle w:val="ListParagraph"/>
        <w:numPr>
          <w:ilvl w:val="0"/>
          <w:numId w:val="3"/>
        </w:numPr>
        <w:ind w:left="357" w:hanging="357"/>
        <w:rPr>
          <w:bCs/>
        </w:rPr>
      </w:pPr>
      <w:r>
        <w:t>EESK uzskata, ka ir būtiski pastāvīgi un konsekventi virzīties uz ilgtspējīgu energosistēmu: energoapgādes drošību, saprātīgām izmaksām un cenu, kā arī vides ilgtspēju.</w:t>
      </w:r>
    </w:p>
    <w:p w:rsidR="00E24CDF" w:rsidP="00D76363" w:rsidRDefault="00CE23CC" w14:paraId="697D0B9F" w14:textId="77777777">
      <w:pPr>
        <w:pStyle w:val="ListParagraph"/>
        <w:numPr>
          <w:ilvl w:val="0"/>
          <w:numId w:val="3"/>
        </w:numPr>
        <w:ind w:left="357" w:hanging="357"/>
        <w:rPr>
          <w:bCs/>
        </w:rPr>
      </w:pPr>
      <w:r>
        <w:t>Tiešais atbalsts kā ārkārtas pasākums neapšaubāmi ir visreālākais risinājums. Visiem atbalsta pasākumiem, kuru mērķis ir mazināt krīzi, vajadzētu būt pagaidu pasākumiem un mērķtiecīgi vērstiem uz tiem, kas cieš visvairāk ― iedzīvotājiem, mazajiem uzņēmumiem, energoietilpīgām nozarēm. Patērētājiem būs jāsniedz ieguldījums centienos samazināt gāzes patēriņu.</w:t>
      </w:r>
    </w:p>
    <w:p w:rsidRPr="00F049D6" w:rsidR="00E24CDF" w:rsidP="00D76363" w:rsidRDefault="00CE23CC" w14:paraId="7D33BDFB" w14:textId="77777777">
      <w:pPr>
        <w:pStyle w:val="ListParagraph"/>
        <w:numPr>
          <w:ilvl w:val="0"/>
          <w:numId w:val="3"/>
        </w:numPr>
        <w:ind w:left="357" w:hanging="357"/>
        <w:rPr>
          <w:bCs/>
        </w:rPr>
      </w:pPr>
      <w:r>
        <w:t>Šajā situācijā dalībvalstīs būtu jāīsteno tikai pagaidu pasākumi, nepieļaujot ilglaicīgus traucējumus ES tirgos. Enerģijas avotu CO2 emisiju samazināšanai arī turpmāk jābūt prioritāram mērķim.</w:t>
      </w:r>
    </w:p>
    <w:p w:rsidRPr="009B70E7" w:rsidR="00D76363" w:rsidP="00D76363" w:rsidRDefault="00D76363" w14:paraId="450C439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CE23CC" w:rsidTr="00B40158" w14:paraId="50862FD0" w14:textId="77777777">
        <w:tc>
          <w:tcPr>
            <w:tcW w:w="1418" w:type="dxa"/>
          </w:tcPr>
          <w:p w:rsidRPr="009B70E7" w:rsidR="00CE23CC" w:rsidP="00CE23CC" w:rsidRDefault="00CE23CC" w14:paraId="028ABA93" w14:textId="77777777">
            <w:pPr>
              <w:pStyle w:val="ListParagraph"/>
              <w:ind w:left="0"/>
              <w:rPr>
                <w:i/>
              </w:rPr>
            </w:pPr>
            <w:r>
              <w:rPr>
                <w:b/>
                <w:i/>
              </w:rPr>
              <w:t>Kontaktpersona:</w:t>
            </w:r>
          </w:p>
        </w:tc>
        <w:tc>
          <w:tcPr>
            <w:tcW w:w="5670" w:type="dxa"/>
          </w:tcPr>
          <w:p w:rsidRPr="009B70E7" w:rsidR="00CE23CC" w:rsidP="00CE23CC" w:rsidRDefault="00CE23CC" w14:paraId="1F245965" w14:textId="77777777">
            <w:pPr>
              <w:pStyle w:val="ListParagraph"/>
              <w:ind w:left="0"/>
              <w:rPr>
                <w:i/>
              </w:rPr>
            </w:pPr>
            <w:proofErr w:type="spellStart"/>
            <w:r>
              <w:rPr>
                <w:i/>
              </w:rPr>
              <w:t>Francesco</w:t>
            </w:r>
            <w:proofErr w:type="spellEnd"/>
            <w:r>
              <w:rPr>
                <w:i/>
              </w:rPr>
              <w:t xml:space="preserve"> </w:t>
            </w:r>
            <w:proofErr w:type="spellStart"/>
            <w:r>
              <w:rPr>
                <w:i/>
              </w:rPr>
              <w:t>Napolitano</w:t>
            </w:r>
            <w:proofErr w:type="spellEnd"/>
          </w:p>
        </w:tc>
      </w:tr>
      <w:tr w:rsidRPr="009B70E7" w:rsidR="00CE23CC" w:rsidTr="00B40158" w14:paraId="5DE31472" w14:textId="77777777">
        <w:tc>
          <w:tcPr>
            <w:tcW w:w="1418" w:type="dxa"/>
          </w:tcPr>
          <w:p w:rsidRPr="009B70E7" w:rsidR="00CE23CC" w:rsidP="00CE23CC" w:rsidRDefault="00CE23CC" w14:paraId="46E53147" w14:textId="77777777">
            <w:pPr>
              <w:pStyle w:val="ListParagraph"/>
              <w:ind w:left="601"/>
              <w:rPr>
                <w:i/>
              </w:rPr>
            </w:pPr>
            <w:r>
              <w:rPr>
                <w:i/>
              </w:rPr>
              <w:t>Tālr.:</w:t>
            </w:r>
          </w:p>
        </w:tc>
        <w:tc>
          <w:tcPr>
            <w:tcW w:w="5670" w:type="dxa"/>
          </w:tcPr>
          <w:p w:rsidRPr="009B70E7" w:rsidR="00CE23CC" w:rsidP="00CE23CC" w:rsidRDefault="00CE23CC" w14:paraId="61A04E27" w14:textId="77777777">
            <w:pPr>
              <w:pStyle w:val="ListParagraph"/>
              <w:ind w:left="0"/>
              <w:rPr>
                <w:i/>
              </w:rPr>
            </w:pPr>
            <w:r>
              <w:rPr>
                <w:i/>
              </w:rPr>
              <w:t>00 32 2 546 89 21</w:t>
            </w:r>
          </w:p>
        </w:tc>
      </w:tr>
      <w:tr w:rsidRPr="009B70E7" w:rsidR="00CE23CC" w:rsidTr="00B40158" w14:paraId="5EFFF55F" w14:textId="77777777">
        <w:tc>
          <w:tcPr>
            <w:tcW w:w="1418" w:type="dxa"/>
          </w:tcPr>
          <w:p w:rsidRPr="009B70E7" w:rsidR="00CE23CC" w:rsidP="00CE23CC" w:rsidRDefault="00CE23CC" w14:paraId="6B9430EE" w14:textId="77777777">
            <w:pPr>
              <w:pStyle w:val="ListParagraph"/>
              <w:ind w:left="601"/>
              <w:rPr>
                <w:i/>
              </w:rPr>
            </w:pPr>
            <w:r>
              <w:rPr>
                <w:i/>
              </w:rPr>
              <w:t>E-pasts:</w:t>
            </w:r>
          </w:p>
        </w:tc>
        <w:tc>
          <w:tcPr>
            <w:tcW w:w="5670" w:type="dxa"/>
          </w:tcPr>
          <w:p w:rsidRPr="009B70E7" w:rsidR="00CE23CC" w:rsidP="00CE23CC" w:rsidRDefault="0039128C" w14:paraId="2F25FA4C" w14:textId="77777777">
            <w:pPr>
              <w:pStyle w:val="ListParagraph"/>
              <w:ind w:left="0"/>
              <w:rPr>
                <w:i/>
              </w:rPr>
            </w:pPr>
            <w:hyperlink w:history="1" r:id="rId28">
              <w:r w:rsidR="00B80426">
                <w:rPr>
                  <w:rStyle w:val="Hyperlink"/>
                  <w:i/>
                </w:rPr>
                <w:t>Francesco.Napolitano@eesc.europa.eu</w:t>
              </w:r>
            </w:hyperlink>
          </w:p>
        </w:tc>
      </w:tr>
    </w:tbl>
    <w:p w:rsidRPr="00A10A98" w:rsidR="007327CD" w:rsidP="0018231C" w:rsidRDefault="007327CD" w14:paraId="1C752D75" w14:textId="77777777">
      <w:pPr>
        <w:jc w:val="left"/>
        <w:rPr>
          <w:sz w:val="28"/>
        </w:rPr>
      </w:pPr>
    </w:p>
    <w:p w:rsidR="00910972" w:rsidRDefault="00910972" w14:paraId="565DA337" w14:textId="0CAB6DF2">
      <w:pPr>
        <w:spacing w:after="160" w:line="259" w:lineRule="auto"/>
        <w:jc w:val="left"/>
        <w:rPr>
          <w:sz w:val="28"/>
        </w:rPr>
      </w:pPr>
      <w:r>
        <w:br w:type="page"/>
      </w:r>
    </w:p>
    <w:p w:rsidRPr="009B70E7" w:rsidR="00E02E1A" w:rsidP="00E02E1A" w:rsidRDefault="00CE23CC" w14:paraId="614B5A48" w14:textId="77777777">
      <w:pPr>
        <w:pStyle w:val="ListParagraph"/>
        <w:keepNext/>
        <w:numPr>
          <w:ilvl w:val="0"/>
          <w:numId w:val="2"/>
        </w:numPr>
        <w:ind w:left="567" w:hanging="567"/>
        <w:rPr>
          <w:b/>
          <w:i/>
          <w:sz w:val="28"/>
          <w:szCs w:val="28"/>
        </w:rPr>
      </w:pPr>
      <w:r>
        <w:rPr>
          <w:b/>
          <w:i/>
          <w:sz w:val="28"/>
        </w:rPr>
        <w:lastRenderedPageBreak/>
        <w:t>Ukrainas autovadītāja apliecību atzīšana</w:t>
      </w:r>
    </w:p>
    <w:p w:rsidRPr="009B70E7" w:rsidR="00E02E1A" w:rsidP="00E02E1A" w:rsidRDefault="00E02E1A" w14:paraId="22D36C2D"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2249"/>
        <w:gridCol w:w="5439"/>
      </w:tblGrid>
      <w:tr w:rsidRPr="009B70E7" w:rsidR="00E02E1A" w:rsidTr="007B4C38" w14:paraId="79CECBDD" w14:textId="77777777">
        <w:tc>
          <w:tcPr>
            <w:tcW w:w="7088" w:type="dxa"/>
            <w:gridSpan w:val="2"/>
          </w:tcPr>
          <w:tbl>
            <w:tblPr>
              <w:tblStyle w:val="TableGrid"/>
              <w:tblW w:w="7524"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5398"/>
            </w:tblGrid>
            <w:tr w:rsidRPr="009B70E7" w:rsidR="00394949" w:rsidTr="00E65D01" w14:paraId="67D0221A" w14:textId="77777777">
              <w:tc>
                <w:tcPr>
                  <w:tcW w:w="2126" w:type="dxa"/>
                </w:tcPr>
                <w:p w:rsidRPr="00B40158" w:rsidR="00394949" w:rsidP="00270A70" w:rsidRDefault="00CE23CC" w14:paraId="23E9C308" w14:textId="77777777">
                  <w:pPr>
                    <w:pStyle w:val="ListParagraph"/>
                    <w:ind w:left="-24" w:hanging="85"/>
                    <w:jc w:val="left"/>
                    <w:rPr>
                      <w:b/>
                    </w:rPr>
                  </w:pPr>
                  <w:r>
                    <w:rPr>
                      <w:b/>
                    </w:rPr>
                    <w:t>C kategorijas atzinums</w:t>
                  </w:r>
                </w:p>
              </w:tc>
              <w:tc>
                <w:tcPr>
                  <w:tcW w:w="5398" w:type="dxa"/>
                </w:tcPr>
                <w:p w:rsidRPr="009B70E7" w:rsidR="00394949" w:rsidP="00394949" w:rsidRDefault="00394949" w14:paraId="44E6DD99" w14:textId="77777777">
                  <w:pPr>
                    <w:pStyle w:val="ListParagraph"/>
                    <w:ind w:left="-108"/>
                  </w:pPr>
                </w:p>
              </w:tc>
            </w:tr>
          </w:tbl>
          <w:p w:rsidRPr="009B70E7" w:rsidR="00E02E1A" w:rsidP="007B4C38" w:rsidRDefault="00E02E1A" w14:paraId="36B93263" w14:textId="77777777">
            <w:pPr>
              <w:pStyle w:val="ListParagraph"/>
              <w:keepNext/>
              <w:ind w:left="0"/>
            </w:pPr>
          </w:p>
        </w:tc>
      </w:tr>
      <w:tr w:rsidRPr="009B70E7" w:rsidR="00E02E1A" w:rsidTr="007B4C38" w14:paraId="18B826E9" w14:textId="77777777">
        <w:tc>
          <w:tcPr>
            <w:tcW w:w="1701" w:type="dxa"/>
            <w:vMerge w:val="restart"/>
          </w:tcPr>
          <w:p w:rsidRPr="009B70E7" w:rsidR="00E02E1A" w:rsidP="003165A9" w:rsidRDefault="00E02E1A" w14:paraId="0D6FDD91" w14:textId="77777777">
            <w:pPr>
              <w:pStyle w:val="ListParagraph"/>
              <w:keepNext/>
              <w:ind w:left="84"/>
              <w:rPr>
                <w:b/>
              </w:rPr>
            </w:pPr>
            <w:r>
              <w:rPr>
                <w:b/>
              </w:rPr>
              <w:t xml:space="preserve">Atsauce: </w:t>
            </w:r>
          </w:p>
        </w:tc>
        <w:tc>
          <w:tcPr>
            <w:tcW w:w="5387" w:type="dxa"/>
          </w:tcPr>
          <w:p w:rsidRPr="009B70E7" w:rsidR="00E02E1A" w:rsidP="007B4C38" w:rsidRDefault="00E02E1A" w14:paraId="1793B5F5" w14:textId="77777777">
            <w:pPr>
              <w:pStyle w:val="ListParagraph"/>
              <w:keepNext/>
              <w:ind w:left="-56"/>
            </w:pPr>
            <w:r>
              <w:t xml:space="preserve">COM(2022) 313 </w:t>
            </w:r>
            <w:proofErr w:type="spellStart"/>
            <w:r>
              <w:t>final</w:t>
            </w:r>
            <w:proofErr w:type="spellEnd"/>
          </w:p>
        </w:tc>
      </w:tr>
      <w:tr w:rsidRPr="009B70E7" w:rsidR="00E02E1A" w:rsidTr="007B4C38" w14:paraId="04F010A3" w14:textId="77777777">
        <w:tc>
          <w:tcPr>
            <w:tcW w:w="1701" w:type="dxa"/>
            <w:vMerge/>
          </w:tcPr>
          <w:p w:rsidRPr="009B70E7" w:rsidR="00E02E1A" w:rsidP="007B4C38" w:rsidRDefault="00E02E1A" w14:paraId="6BB9873E" w14:textId="77777777">
            <w:pPr>
              <w:pStyle w:val="ListParagraph"/>
              <w:keepNext/>
              <w:ind w:left="0"/>
              <w:rPr>
                <w:b/>
              </w:rPr>
            </w:pPr>
          </w:p>
        </w:tc>
        <w:tc>
          <w:tcPr>
            <w:tcW w:w="5387" w:type="dxa"/>
          </w:tcPr>
          <w:p w:rsidRPr="009B70E7" w:rsidR="00E02E1A" w:rsidP="007B4C38" w:rsidRDefault="00A30B84" w14:paraId="4786441E" w14:textId="77777777">
            <w:pPr>
              <w:pStyle w:val="ListParagraph"/>
              <w:keepNext/>
              <w:ind w:left="-56"/>
            </w:pPr>
            <w:r>
              <w:t>EESC-2022-03334-00-00-AC</w:t>
            </w:r>
          </w:p>
        </w:tc>
      </w:tr>
    </w:tbl>
    <w:p w:rsidR="00E02E1A" w:rsidP="00E02E1A" w:rsidRDefault="00E02E1A" w14:paraId="08BAF99C" w14:textId="77777777">
      <w:pPr>
        <w:pStyle w:val="ListParagraph"/>
        <w:ind w:left="0"/>
      </w:pPr>
    </w:p>
    <w:p w:rsidR="003165A9" w:rsidP="002C4B6E" w:rsidRDefault="003165A9" w14:paraId="08069896" w14:textId="1CDF9A93">
      <w:pPr>
        <w:pStyle w:val="ListParagraph"/>
        <w:spacing w:line="240" w:lineRule="auto"/>
        <w:ind w:left="-142" w:firstLine="142"/>
        <w:rPr>
          <w:b/>
        </w:rPr>
      </w:pPr>
      <w:r>
        <w:rPr>
          <w:b/>
          <w:bCs/>
        </w:rPr>
        <w:t>Svarīgākie aspekti</w:t>
      </w:r>
    </w:p>
    <w:p w:rsidR="003165A9" w:rsidP="00326919" w:rsidRDefault="003165A9" w14:paraId="00186DD7" w14:textId="77777777">
      <w:pPr>
        <w:pStyle w:val="ListParagraph"/>
        <w:keepNext/>
        <w:keepLines/>
        <w:ind w:left="0"/>
      </w:pPr>
    </w:p>
    <w:p w:rsidRPr="0018231C" w:rsidR="003165A9" w:rsidP="00326919" w:rsidRDefault="00E65D01" w14:paraId="443A7F30" w14:textId="77777777">
      <w:pPr>
        <w:pStyle w:val="ListParagraph"/>
        <w:keepNext/>
        <w:keepLines/>
        <w:ind w:left="0"/>
      </w:pPr>
      <w:r>
        <w:t>Tā kā priekšlikuma saturs ir pilnībā pieņemams un attiecībā uz to nav nepieciešami nekādi Komitejas komentāri, Komiteja ir nolēmusi sniegt pozitīvu atzinumu par ierosināto dokumentu.</w:t>
      </w:r>
    </w:p>
    <w:p w:rsidRPr="009B70E7" w:rsidR="00E02E1A" w:rsidP="00E02E1A" w:rsidRDefault="00E02E1A" w14:paraId="132E231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056079" w:rsidTr="00DC17CF" w14:paraId="3D653507" w14:textId="77777777">
        <w:tc>
          <w:tcPr>
            <w:tcW w:w="1418" w:type="dxa"/>
          </w:tcPr>
          <w:p w:rsidRPr="009B70E7" w:rsidR="00056079" w:rsidP="00DC17CF" w:rsidRDefault="00056079" w14:paraId="6C05EC5E" w14:textId="77777777">
            <w:pPr>
              <w:pStyle w:val="ListParagraph"/>
              <w:ind w:left="0"/>
              <w:rPr>
                <w:i/>
              </w:rPr>
            </w:pPr>
            <w:r>
              <w:rPr>
                <w:b/>
                <w:i/>
              </w:rPr>
              <w:t>Kontaktpersona:</w:t>
            </w:r>
          </w:p>
        </w:tc>
        <w:tc>
          <w:tcPr>
            <w:tcW w:w="5670" w:type="dxa"/>
          </w:tcPr>
          <w:p w:rsidRPr="009B70E7" w:rsidR="00056079" w:rsidP="00DC17CF" w:rsidRDefault="00E65D01" w14:paraId="3A49D460" w14:textId="77777777">
            <w:pPr>
              <w:pStyle w:val="ListParagraph"/>
              <w:ind w:left="0"/>
              <w:rPr>
                <w:i/>
              </w:rPr>
            </w:pPr>
            <w:r>
              <w:rPr>
                <w:i/>
              </w:rPr>
              <w:t xml:space="preserve">Antonio </w:t>
            </w:r>
            <w:proofErr w:type="spellStart"/>
            <w:r>
              <w:rPr>
                <w:i/>
              </w:rPr>
              <w:t>Ribeiro</w:t>
            </w:r>
            <w:proofErr w:type="spellEnd"/>
            <w:r>
              <w:rPr>
                <w:i/>
              </w:rPr>
              <w:t xml:space="preserve"> </w:t>
            </w:r>
            <w:proofErr w:type="spellStart"/>
            <w:r>
              <w:rPr>
                <w:i/>
              </w:rPr>
              <w:t>Pereira</w:t>
            </w:r>
            <w:proofErr w:type="spellEnd"/>
          </w:p>
        </w:tc>
      </w:tr>
      <w:tr w:rsidRPr="009B70E7" w:rsidR="00056079" w:rsidTr="00DC17CF" w14:paraId="0C0A979F" w14:textId="77777777">
        <w:tc>
          <w:tcPr>
            <w:tcW w:w="1418" w:type="dxa"/>
          </w:tcPr>
          <w:p w:rsidRPr="009B70E7" w:rsidR="00056079" w:rsidP="00DC17CF" w:rsidRDefault="00056079" w14:paraId="6EB01253" w14:textId="77777777">
            <w:pPr>
              <w:pStyle w:val="ListParagraph"/>
              <w:ind w:left="601"/>
              <w:rPr>
                <w:i/>
              </w:rPr>
            </w:pPr>
            <w:r>
              <w:rPr>
                <w:i/>
              </w:rPr>
              <w:t>Tālr.:</w:t>
            </w:r>
          </w:p>
        </w:tc>
        <w:tc>
          <w:tcPr>
            <w:tcW w:w="5670" w:type="dxa"/>
          </w:tcPr>
          <w:p w:rsidRPr="009B70E7" w:rsidR="00056079" w:rsidP="00DC17CF" w:rsidRDefault="00056079" w14:paraId="73BBF09C" w14:textId="77777777">
            <w:pPr>
              <w:pStyle w:val="ListParagraph"/>
              <w:ind w:left="0"/>
              <w:rPr>
                <w:i/>
              </w:rPr>
            </w:pPr>
            <w:r>
              <w:rPr>
                <w:i/>
              </w:rPr>
              <w:t>00 32 2 546 93 63</w:t>
            </w:r>
          </w:p>
        </w:tc>
      </w:tr>
      <w:tr w:rsidRPr="009B70E7" w:rsidR="00056079" w:rsidTr="00DC17CF" w14:paraId="534BAC1D" w14:textId="77777777">
        <w:tc>
          <w:tcPr>
            <w:tcW w:w="1418" w:type="dxa"/>
          </w:tcPr>
          <w:p w:rsidRPr="009B70E7" w:rsidR="00056079" w:rsidP="00DC17CF" w:rsidRDefault="00056079" w14:paraId="0D67677C" w14:textId="77777777">
            <w:pPr>
              <w:pStyle w:val="ListParagraph"/>
              <w:ind w:left="601"/>
              <w:rPr>
                <w:i/>
              </w:rPr>
            </w:pPr>
            <w:r>
              <w:rPr>
                <w:i/>
              </w:rPr>
              <w:t>E-pasts:</w:t>
            </w:r>
          </w:p>
        </w:tc>
        <w:tc>
          <w:tcPr>
            <w:tcW w:w="5670" w:type="dxa"/>
          </w:tcPr>
          <w:p w:rsidRPr="009B70E7" w:rsidR="00056079" w:rsidP="00DC17CF" w:rsidRDefault="0039128C" w14:paraId="52F9C6C7" w14:textId="77777777">
            <w:pPr>
              <w:pStyle w:val="ListParagraph"/>
              <w:ind w:left="0"/>
              <w:rPr>
                <w:i/>
              </w:rPr>
            </w:pPr>
            <w:hyperlink w:history="1" r:id="rId29">
              <w:r w:rsidR="00B80426">
                <w:rPr>
                  <w:rStyle w:val="Hyperlink"/>
                  <w:i/>
                </w:rPr>
                <w:t>Antonio.RibeiroPereira@eesc.europa.eu</w:t>
              </w:r>
            </w:hyperlink>
          </w:p>
        </w:tc>
      </w:tr>
    </w:tbl>
    <w:p w:rsidR="00910972" w:rsidP="00910972" w:rsidRDefault="00910972" w14:paraId="47123D2A" w14:textId="77777777">
      <w:pPr>
        <w:pStyle w:val="ListParagraph"/>
        <w:keepNext/>
        <w:ind w:left="567"/>
        <w:rPr>
          <w:b/>
          <w:i/>
          <w:sz w:val="28"/>
          <w:szCs w:val="28"/>
        </w:rPr>
      </w:pPr>
    </w:p>
    <w:p w:rsidR="00910972" w:rsidRDefault="00910972" w14:paraId="0E683792" w14:textId="77777777">
      <w:pPr>
        <w:spacing w:after="160" w:line="259" w:lineRule="auto"/>
        <w:jc w:val="left"/>
        <w:rPr>
          <w:b/>
          <w:i/>
          <w:sz w:val="28"/>
          <w:szCs w:val="28"/>
        </w:rPr>
      </w:pPr>
      <w:r>
        <w:br w:type="page"/>
      </w:r>
    </w:p>
    <w:p w:rsidRPr="009B70E7" w:rsidR="00E65D01" w:rsidP="00E65D01" w:rsidRDefault="00015E18" w14:paraId="1916BCFD" w14:textId="21C1445C">
      <w:pPr>
        <w:pStyle w:val="ListParagraph"/>
        <w:keepNext/>
        <w:numPr>
          <w:ilvl w:val="0"/>
          <w:numId w:val="2"/>
        </w:numPr>
        <w:ind w:left="567" w:hanging="567"/>
        <w:rPr>
          <w:b/>
          <w:i/>
          <w:sz w:val="28"/>
          <w:szCs w:val="28"/>
        </w:rPr>
      </w:pPr>
      <w:r>
        <w:rPr>
          <w:b/>
          <w:i/>
          <w:sz w:val="28"/>
        </w:rPr>
        <w:lastRenderedPageBreak/>
        <w:t>Direktīva par energoefektivitāti</w:t>
      </w:r>
    </w:p>
    <w:p w:rsidRPr="009B70E7" w:rsidR="00E65D01" w:rsidP="00E65D01" w:rsidRDefault="00E65D01" w14:paraId="185CF155"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28" w:type="dxa"/>
        </w:tblCellMar>
        <w:tblLook w:val="04A0" w:firstRow="1" w:lastRow="0" w:firstColumn="1" w:lastColumn="0" w:noHBand="0" w:noVBand="1"/>
      </w:tblPr>
      <w:tblGrid>
        <w:gridCol w:w="2249"/>
        <w:gridCol w:w="5439"/>
      </w:tblGrid>
      <w:tr w:rsidRPr="009B70E7" w:rsidR="00E65D01" w:rsidTr="008B66DD" w14:paraId="258CD34A" w14:textId="77777777">
        <w:tc>
          <w:tcPr>
            <w:tcW w:w="7088" w:type="dxa"/>
            <w:gridSpan w:val="2"/>
          </w:tcPr>
          <w:tbl>
            <w:tblPr>
              <w:tblStyle w:val="TableGrid"/>
              <w:tblW w:w="7524"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5398"/>
            </w:tblGrid>
            <w:tr w:rsidRPr="009B70E7" w:rsidR="00E65D01" w:rsidTr="008B66DD" w14:paraId="4A8EDAA3" w14:textId="77777777">
              <w:tc>
                <w:tcPr>
                  <w:tcW w:w="2126" w:type="dxa"/>
                </w:tcPr>
                <w:p w:rsidRPr="00B40158" w:rsidR="00E65D01" w:rsidP="00270A70" w:rsidRDefault="00E65D01" w14:paraId="40A2FEEE" w14:textId="77777777">
                  <w:pPr>
                    <w:pStyle w:val="ListParagraph"/>
                    <w:ind w:left="-24" w:hanging="85"/>
                    <w:jc w:val="left"/>
                    <w:rPr>
                      <w:b/>
                    </w:rPr>
                  </w:pPr>
                  <w:r>
                    <w:rPr>
                      <w:b/>
                    </w:rPr>
                    <w:t>C kategorijas atzinums</w:t>
                  </w:r>
                </w:p>
              </w:tc>
              <w:tc>
                <w:tcPr>
                  <w:tcW w:w="5398" w:type="dxa"/>
                </w:tcPr>
                <w:p w:rsidR="00E65D01" w:rsidP="008B66DD" w:rsidRDefault="00E65D01" w14:paraId="481ABB04" w14:textId="77777777">
                  <w:pPr>
                    <w:pStyle w:val="ListParagraph"/>
                    <w:ind w:left="64" w:firstLine="142"/>
                  </w:pPr>
                </w:p>
                <w:p w:rsidRPr="009B70E7" w:rsidR="00E65D01" w:rsidP="008B66DD" w:rsidRDefault="00E65D01" w14:paraId="44855807" w14:textId="77777777">
                  <w:pPr>
                    <w:pStyle w:val="ListParagraph"/>
                    <w:ind w:left="-108"/>
                  </w:pPr>
                </w:p>
              </w:tc>
            </w:tr>
          </w:tbl>
          <w:p w:rsidRPr="009B70E7" w:rsidR="00E65D01" w:rsidP="008B66DD" w:rsidRDefault="00E65D01" w14:paraId="65666DBD" w14:textId="77777777">
            <w:pPr>
              <w:pStyle w:val="ListParagraph"/>
              <w:keepNext/>
              <w:ind w:left="0"/>
            </w:pPr>
          </w:p>
        </w:tc>
      </w:tr>
      <w:tr w:rsidRPr="009B70E7" w:rsidR="00E65D01" w:rsidTr="008B66DD" w14:paraId="3392BC69" w14:textId="77777777">
        <w:tc>
          <w:tcPr>
            <w:tcW w:w="1701" w:type="dxa"/>
            <w:vMerge w:val="restart"/>
          </w:tcPr>
          <w:p w:rsidRPr="009B70E7" w:rsidR="00E65D01" w:rsidP="008B66DD" w:rsidRDefault="00E65D01" w14:paraId="26927961" w14:textId="77777777">
            <w:pPr>
              <w:pStyle w:val="ListParagraph"/>
              <w:keepNext/>
              <w:ind w:left="84"/>
              <w:rPr>
                <w:b/>
              </w:rPr>
            </w:pPr>
            <w:r>
              <w:rPr>
                <w:b/>
              </w:rPr>
              <w:t xml:space="preserve">Atsauce: </w:t>
            </w:r>
          </w:p>
        </w:tc>
        <w:tc>
          <w:tcPr>
            <w:tcW w:w="5387" w:type="dxa"/>
          </w:tcPr>
          <w:p w:rsidRPr="009B70E7" w:rsidR="00E65D01" w:rsidP="008B66DD" w:rsidRDefault="00E65D01" w14:paraId="5C473A41" w14:textId="77777777">
            <w:pPr>
              <w:pStyle w:val="ListParagraph"/>
              <w:keepNext/>
              <w:ind w:left="-56"/>
            </w:pPr>
            <w:r>
              <w:t xml:space="preserve">COM(2021) 222 </w:t>
            </w:r>
            <w:proofErr w:type="spellStart"/>
            <w:r>
              <w:t>final</w:t>
            </w:r>
            <w:proofErr w:type="spellEnd"/>
          </w:p>
        </w:tc>
      </w:tr>
      <w:tr w:rsidRPr="009B70E7" w:rsidR="00E65D01" w:rsidTr="008B66DD" w14:paraId="49746E2A" w14:textId="77777777">
        <w:tc>
          <w:tcPr>
            <w:tcW w:w="1701" w:type="dxa"/>
            <w:vMerge/>
          </w:tcPr>
          <w:p w:rsidRPr="009B70E7" w:rsidR="00E65D01" w:rsidP="008B66DD" w:rsidRDefault="00E65D01" w14:paraId="1F52D818" w14:textId="77777777">
            <w:pPr>
              <w:pStyle w:val="ListParagraph"/>
              <w:keepNext/>
              <w:ind w:left="0"/>
              <w:rPr>
                <w:b/>
              </w:rPr>
            </w:pPr>
          </w:p>
        </w:tc>
        <w:tc>
          <w:tcPr>
            <w:tcW w:w="5387" w:type="dxa"/>
          </w:tcPr>
          <w:p w:rsidRPr="009B70E7" w:rsidR="00E65D01" w:rsidP="008B66DD" w:rsidRDefault="00E65D01" w14:paraId="4838E34A" w14:textId="77777777">
            <w:pPr>
              <w:pStyle w:val="ListParagraph"/>
              <w:keepNext/>
              <w:ind w:left="-56"/>
            </w:pPr>
            <w:r>
              <w:t>EESC-2022-03411-00-00-AC</w:t>
            </w:r>
          </w:p>
        </w:tc>
      </w:tr>
    </w:tbl>
    <w:p w:rsidR="00E65D01" w:rsidP="00E65D01" w:rsidRDefault="00E65D01" w14:paraId="12B32AC3" w14:textId="77777777">
      <w:pPr>
        <w:pStyle w:val="ListParagraph"/>
        <w:ind w:left="0"/>
      </w:pPr>
    </w:p>
    <w:p w:rsidR="00E65D01" w:rsidP="00E65D01" w:rsidRDefault="00E65D01" w14:paraId="7E7C24B9" w14:textId="5C9C3C91">
      <w:pPr>
        <w:pStyle w:val="ListParagraph"/>
        <w:spacing w:line="240" w:lineRule="auto"/>
        <w:ind w:left="-142" w:firstLine="142"/>
        <w:rPr>
          <w:b/>
        </w:rPr>
      </w:pPr>
      <w:r>
        <w:rPr>
          <w:b/>
          <w:bCs/>
        </w:rPr>
        <w:t>Svarīgākie aspekti</w:t>
      </w:r>
    </w:p>
    <w:p w:rsidR="00E65D01" w:rsidP="00E65D01" w:rsidRDefault="00E65D01" w14:paraId="7B99BBA6" w14:textId="77777777">
      <w:pPr>
        <w:pStyle w:val="ListParagraph"/>
        <w:keepNext/>
        <w:keepLines/>
        <w:ind w:left="0"/>
      </w:pPr>
    </w:p>
    <w:p w:rsidRPr="0018231C" w:rsidR="00E65D01" w:rsidP="00E65D01" w:rsidRDefault="00E65D01" w14:paraId="53C0C59E" w14:textId="77777777">
      <w:pPr>
        <w:pStyle w:val="ListParagraph"/>
        <w:keepNext/>
        <w:keepLines/>
        <w:ind w:left="0"/>
      </w:pPr>
      <w:r>
        <w:t>Tā kā priekšlikuma saturs ir pilnībā pieņemams un attiecībā uz to nav nepieciešami nekādi Komitejas komentāri, Komiteja ir nolēmusi sniegt pozitīvu atzinumu par ierosināto dokumentu.</w:t>
      </w:r>
    </w:p>
    <w:p w:rsidRPr="0018231C" w:rsidR="00E65D01" w:rsidP="00E65D01" w:rsidRDefault="00E65D01" w14:paraId="256A110C" w14:textId="77777777">
      <w:pPr>
        <w:pStyle w:val="ListParagraph"/>
        <w:ind w:left="0"/>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E65D01" w:rsidTr="008B66DD" w14:paraId="0DD84967" w14:textId="77777777">
        <w:tc>
          <w:tcPr>
            <w:tcW w:w="1418" w:type="dxa"/>
          </w:tcPr>
          <w:p w:rsidRPr="009B70E7" w:rsidR="00E65D01" w:rsidP="008B66DD" w:rsidRDefault="00E65D01" w14:paraId="711CBA3F" w14:textId="77777777">
            <w:pPr>
              <w:pStyle w:val="ListParagraph"/>
              <w:ind w:left="0"/>
              <w:rPr>
                <w:i/>
              </w:rPr>
            </w:pPr>
            <w:r>
              <w:rPr>
                <w:b/>
                <w:i/>
              </w:rPr>
              <w:t>Kontaktpersona:</w:t>
            </w:r>
          </w:p>
        </w:tc>
        <w:tc>
          <w:tcPr>
            <w:tcW w:w="5670" w:type="dxa"/>
          </w:tcPr>
          <w:p w:rsidRPr="009B70E7" w:rsidR="00E65D01" w:rsidP="008B66DD" w:rsidRDefault="00E65D01" w14:paraId="7621E843" w14:textId="77777777">
            <w:pPr>
              <w:pStyle w:val="ListParagraph"/>
              <w:ind w:left="0"/>
              <w:rPr>
                <w:i/>
              </w:rPr>
            </w:pPr>
            <w:proofErr w:type="spellStart"/>
            <w:r>
              <w:rPr>
                <w:i/>
              </w:rPr>
              <w:t>Giorgia</w:t>
            </w:r>
            <w:proofErr w:type="spellEnd"/>
            <w:r>
              <w:rPr>
                <w:i/>
              </w:rPr>
              <w:t xml:space="preserve"> </w:t>
            </w:r>
            <w:proofErr w:type="spellStart"/>
            <w:r>
              <w:rPr>
                <w:i/>
              </w:rPr>
              <w:t>Bordignon</w:t>
            </w:r>
            <w:proofErr w:type="spellEnd"/>
          </w:p>
        </w:tc>
      </w:tr>
      <w:tr w:rsidRPr="009B70E7" w:rsidR="00E65D01" w:rsidTr="008B66DD" w14:paraId="045CA179" w14:textId="77777777">
        <w:tc>
          <w:tcPr>
            <w:tcW w:w="1418" w:type="dxa"/>
          </w:tcPr>
          <w:p w:rsidRPr="009B70E7" w:rsidR="00E65D01" w:rsidP="008B66DD" w:rsidRDefault="00E65D01" w14:paraId="3D84C005" w14:textId="77777777">
            <w:pPr>
              <w:pStyle w:val="ListParagraph"/>
              <w:ind w:left="601"/>
              <w:rPr>
                <w:i/>
              </w:rPr>
            </w:pPr>
            <w:r>
              <w:rPr>
                <w:i/>
              </w:rPr>
              <w:t>Tālr.:</w:t>
            </w:r>
          </w:p>
        </w:tc>
        <w:tc>
          <w:tcPr>
            <w:tcW w:w="5670" w:type="dxa"/>
          </w:tcPr>
          <w:p w:rsidRPr="009B70E7" w:rsidR="00E65D01" w:rsidP="008B66DD" w:rsidRDefault="00E65D01" w14:paraId="28C76439" w14:textId="77777777">
            <w:pPr>
              <w:pStyle w:val="ListParagraph"/>
              <w:ind w:left="0"/>
              <w:rPr>
                <w:i/>
              </w:rPr>
            </w:pPr>
            <w:r>
              <w:rPr>
                <w:i/>
              </w:rPr>
              <w:t>00 32 2 546 85 35</w:t>
            </w:r>
          </w:p>
        </w:tc>
      </w:tr>
      <w:tr w:rsidRPr="009B70E7" w:rsidR="00E65D01" w:rsidTr="008B66DD" w14:paraId="0FBDB7F6" w14:textId="77777777">
        <w:tc>
          <w:tcPr>
            <w:tcW w:w="1418" w:type="dxa"/>
          </w:tcPr>
          <w:p w:rsidRPr="009B70E7" w:rsidR="00E65D01" w:rsidP="008B66DD" w:rsidRDefault="00E65D01" w14:paraId="70AB4C5C" w14:textId="77777777">
            <w:pPr>
              <w:pStyle w:val="ListParagraph"/>
              <w:ind w:left="601"/>
              <w:rPr>
                <w:i/>
              </w:rPr>
            </w:pPr>
            <w:r>
              <w:rPr>
                <w:i/>
              </w:rPr>
              <w:t>E-pasts:</w:t>
            </w:r>
          </w:p>
        </w:tc>
        <w:tc>
          <w:tcPr>
            <w:tcW w:w="5670" w:type="dxa"/>
          </w:tcPr>
          <w:p w:rsidRPr="009B70E7" w:rsidR="00E65D01" w:rsidP="008B66DD" w:rsidRDefault="0039128C" w14:paraId="769D6878" w14:textId="77777777">
            <w:pPr>
              <w:pStyle w:val="ListParagraph"/>
              <w:ind w:left="0"/>
              <w:rPr>
                <w:i/>
              </w:rPr>
            </w:pPr>
            <w:hyperlink w:history="1" r:id="rId30">
              <w:r w:rsidR="00B80426">
                <w:rPr>
                  <w:rStyle w:val="Hyperlink"/>
                  <w:i/>
                </w:rPr>
                <w:t>Giorgia.Bordignon@eesc.europa.eu</w:t>
              </w:r>
            </w:hyperlink>
          </w:p>
        </w:tc>
      </w:tr>
    </w:tbl>
    <w:p w:rsidR="002A2F38" w:rsidP="0018231C" w:rsidRDefault="002A2F38" w14:paraId="7C470F49" w14:textId="77777777">
      <w:pPr>
        <w:jc w:val="left"/>
        <w:rPr>
          <w:sz w:val="28"/>
        </w:rPr>
      </w:pPr>
    </w:p>
    <w:p w:rsidR="00015E18" w:rsidRDefault="00015E18" w14:paraId="4D226931" w14:textId="77777777">
      <w:pPr>
        <w:spacing w:after="160" w:line="259" w:lineRule="auto"/>
        <w:jc w:val="left"/>
        <w:rPr>
          <w:sz w:val="28"/>
        </w:rPr>
      </w:pPr>
      <w:r>
        <w:br w:type="page"/>
      </w:r>
    </w:p>
    <w:p w:rsidRPr="009B70E7" w:rsidR="004D7AC0" w:rsidRDefault="004D7AC0" w14:paraId="3F8FA026" w14:textId="77777777">
      <w:pPr>
        <w:pStyle w:val="Heading1"/>
        <w:rPr>
          <w:b/>
        </w:rPr>
      </w:pPr>
      <w:bookmarkStart w:name="_Toc75527083" w:id="12"/>
      <w:bookmarkStart w:name="_Toc110414906" w:id="13"/>
      <w:r>
        <w:rPr>
          <w:b/>
        </w:rPr>
        <w:lastRenderedPageBreak/>
        <w:t>VIENOTAIS TIRGUS, RAŽOŠANA UN PATĒRIŅŠ</w:t>
      </w:r>
      <w:bookmarkEnd w:id="12"/>
      <w:bookmarkEnd w:id="13"/>
    </w:p>
    <w:p w:rsidRPr="009B70E7" w:rsidR="004D7AC0" w:rsidRDefault="004D7AC0" w14:paraId="03FF9505" w14:textId="77777777"/>
    <w:p w:rsidRPr="007E7A4F" w:rsidR="004D7AC0" w:rsidP="007E7A4F" w:rsidRDefault="001A2273" w14:paraId="7F0491AB" w14:textId="35589013">
      <w:pPr>
        <w:pStyle w:val="ListParagraph"/>
        <w:numPr>
          <w:ilvl w:val="0"/>
          <w:numId w:val="2"/>
        </w:numPr>
        <w:ind w:left="567" w:hanging="567"/>
        <w:rPr>
          <w:b/>
          <w:i/>
          <w:sz w:val="28"/>
          <w:szCs w:val="28"/>
        </w:rPr>
      </w:pPr>
      <w:r>
        <w:rPr>
          <w:b/>
          <w:i/>
          <w:sz w:val="28"/>
        </w:rPr>
        <w:t>Patērētāji un zaļā pārkārtošanās</w:t>
      </w:r>
    </w:p>
    <w:p w:rsidRPr="009B70E7" w:rsidR="004D7AC0" w:rsidP="0018231C" w:rsidRDefault="004D7AC0" w14:paraId="6D553771"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753F2A" w:rsidTr="00342F72" w14:paraId="67E764D9" w14:textId="77777777">
        <w:tc>
          <w:tcPr>
            <w:tcW w:w="1701" w:type="dxa"/>
          </w:tcPr>
          <w:p w:rsidRPr="009B70E7" w:rsidR="00753F2A" w:rsidRDefault="00753F2A" w14:paraId="793CE0A9" w14:textId="77777777">
            <w:pPr>
              <w:pStyle w:val="ListParagraph"/>
              <w:ind w:left="0"/>
              <w:rPr>
                <w:b/>
              </w:rPr>
            </w:pPr>
            <w:r>
              <w:rPr>
                <w:b/>
              </w:rPr>
              <w:t>Ziņotājs:</w:t>
            </w:r>
          </w:p>
        </w:tc>
        <w:tc>
          <w:tcPr>
            <w:tcW w:w="6096" w:type="dxa"/>
          </w:tcPr>
          <w:p w:rsidRPr="007E7A4F" w:rsidR="00645723" w:rsidP="00A74B4C" w:rsidRDefault="000A007B" w14:paraId="2F83A1EA" w14:textId="77777777">
            <w:pPr>
              <w:pStyle w:val="ListParagraph"/>
              <w:ind w:left="-108"/>
            </w:pPr>
            <w:proofErr w:type="spellStart"/>
            <w:r>
              <w:t>Thierry</w:t>
            </w:r>
            <w:proofErr w:type="spellEnd"/>
            <w:r>
              <w:t xml:space="preserve"> LIBAERT (Pilsoniskās sabiedrības organizāciju grupa — FR)</w:t>
            </w:r>
          </w:p>
        </w:tc>
      </w:tr>
      <w:tr w:rsidRPr="007E7A4F" w:rsidR="00E65D01" w:rsidTr="00342F72" w14:paraId="66C242BA" w14:textId="77777777">
        <w:tc>
          <w:tcPr>
            <w:tcW w:w="1701" w:type="dxa"/>
          </w:tcPr>
          <w:p w:rsidRPr="009B70E7" w:rsidR="00E65D01" w:rsidRDefault="00E65D01" w14:paraId="3314C6AE" w14:textId="77777777">
            <w:pPr>
              <w:pStyle w:val="ListParagraph"/>
              <w:ind w:left="0"/>
              <w:rPr>
                <w:b/>
              </w:rPr>
            </w:pPr>
            <w:r>
              <w:rPr>
                <w:b/>
              </w:rPr>
              <w:t>Līdzziņotājs</w:t>
            </w:r>
          </w:p>
        </w:tc>
        <w:tc>
          <w:tcPr>
            <w:tcW w:w="6096" w:type="dxa"/>
          </w:tcPr>
          <w:p w:rsidRPr="00A74B4C" w:rsidR="00E65D01" w:rsidP="00A74B4C" w:rsidRDefault="00E65D01" w14:paraId="3F16BFA0" w14:textId="77777777">
            <w:pPr>
              <w:pStyle w:val="ListParagraph"/>
              <w:ind w:left="-108"/>
            </w:pPr>
            <w:proofErr w:type="spellStart"/>
            <w:r>
              <w:t>Gonçalo</w:t>
            </w:r>
            <w:proofErr w:type="spellEnd"/>
            <w:r>
              <w:t xml:space="preserve"> LOBO XAVIER (Darba devēju grupa – PT)</w:t>
            </w:r>
          </w:p>
        </w:tc>
      </w:tr>
      <w:tr w:rsidRPr="007E7A4F" w:rsidR="004C40E4" w:rsidTr="00342F72" w14:paraId="5D5E00A4" w14:textId="77777777">
        <w:tc>
          <w:tcPr>
            <w:tcW w:w="7797" w:type="dxa"/>
            <w:gridSpan w:val="2"/>
          </w:tcPr>
          <w:p w:rsidRPr="00E65D01" w:rsidR="004C40E4" w:rsidRDefault="004C40E4" w14:paraId="4586BF19" w14:textId="77777777">
            <w:pPr>
              <w:pStyle w:val="ListParagraph"/>
              <w:ind w:left="0"/>
              <w:rPr>
                <w:b/>
                <w:lang w:val="fr-BE"/>
              </w:rPr>
            </w:pPr>
          </w:p>
        </w:tc>
      </w:tr>
      <w:tr w:rsidRPr="009B70E7" w:rsidR="004D7AC0" w:rsidTr="00342F72" w14:paraId="5F7FEE9D" w14:textId="77777777">
        <w:tc>
          <w:tcPr>
            <w:tcW w:w="1701" w:type="dxa"/>
          </w:tcPr>
          <w:p w:rsidRPr="009B70E7" w:rsidR="004D7AC0" w:rsidRDefault="004D7AC0" w14:paraId="7A4B7641" w14:textId="77777777">
            <w:pPr>
              <w:pStyle w:val="ListParagraph"/>
              <w:ind w:left="0"/>
              <w:rPr>
                <w:b/>
              </w:rPr>
            </w:pPr>
            <w:r>
              <w:rPr>
                <w:b/>
              </w:rPr>
              <w:t xml:space="preserve">Atsauce: </w:t>
            </w:r>
          </w:p>
        </w:tc>
        <w:tc>
          <w:tcPr>
            <w:tcW w:w="6096" w:type="dxa"/>
          </w:tcPr>
          <w:p w:rsidRPr="009B70E7" w:rsidR="006A3A88" w:rsidP="000F53B7" w:rsidRDefault="000A007B" w14:paraId="3C04A448" w14:textId="77777777">
            <w:pPr>
              <w:tabs>
                <w:tab w:val="center" w:pos="284"/>
              </w:tabs>
              <w:ind w:left="266" w:hanging="374"/>
            </w:pPr>
            <w:r>
              <w:t xml:space="preserve">COM(2022) 143 </w:t>
            </w:r>
            <w:proofErr w:type="spellStart"/>
            <w:r>
              <w:t>final</w:t>
            </w:r>
            <w:proofErr w:type="spellEnd"/>
          </w:p>
          <w:p w:rsidRPr="009B70E7" w:rsidR="004D7AC0" w:rsidP="000F53B7" w:rsidRDefault="000A007B" w14:paraId="191F43FD" w14:textId="77777777">
            <w:pPr>
              <w:pStyle w:val="ListParagraph"/>
              <w:ind w:left="-108"/>
            </w:pPr>
            <w:r>
              <w:t>EESC-2022-01950-00-00-AC</w:t>
            </w:r>
          </w:p>
        </w:tc>
      </w:tr>
    </w:tbl>
    <w:p w:rsidRPr="009B70E7" w:rsidR="00BB1EE2" w:rsidRDefault="00BB1EE2" w14:paraId="49F1F598" w14:textId="77777777">
      <w:pPr>
        <w:pStyle w:val="ListParagraph"/>
        <w:ind w:left="0"/>
        <w:rPr>
          <w:b/>
        </w:rPr>
      </w:pPr>
    </w:p>
    <w:p w:rsidRPr="0018231C" w:rsidR="004D7AC0" w:rsidP="002C4B6E" w:rsidRDefault="00D20C54" w14:paraId="6267AC05" w14:textId="1849BC99">
      <w:pPr>
        <w:pStyle w:val="ListParagraph"/>
        <w:spacing w:line="240" w:lineRule="auto"/>
        <w:ind w:left="-142" w:firstLine="142"/>
        <w:rPr>
          <w:b/>
        </w:rPr>
      </w:pPr>
      <w:r>
        <w:rPr>
          <w:b/>
          <w:bCs/>
        </w:rPr>
        <w:t>Svarīgākie aspekti</w:t>
      </w:r>
    </w:p>
    <w:p w:rsidRPr="0018231C" w:rsidR="004D7AC0" w:rsidRDefault="004D7AC0" w14:paraId="3E3F39EC" w14:textId="77777777">
      <w:pPr>
        <w:pStyle w:val="ListParagraph"/>
        <w:ind w:left="0"/>
        <w:rPr>
          <w:lang w:val="fr-FR"/>
        </w:rPr>
      </w:pPr>
    </w:p>
    <w:p w:rsidR="007E7A4F" w:rsidRDefault="00D20C54" w14:paraId="1A9DE11D" w14:textId="77777777">
      <w:pPr>
        <w:pStyle w:val="ListParagraph"/>
        <w:ind w:left="0"/>
      </w:pPr>
      <w:r>
        <w:t>EESK:</w:t>
      </w:r>
    </w:p>
    <w:p w:rsidRPr="0018231C" w:rsidR="00331C12" w:rsidRDefault="00331C12" w14:paraId="35D1C8DD" w14:textId="77777777">
      <w:pPr>
        <w:pStyle w:val="ListParagraph"/>
        <w:ind w:left="0"/>
        <w:rPr>
          <w:lang w:val="fr-FR"/>
        </w:rPr>
      </w:pPr>
    </w:p>
    <w:p w:rsidRPr="007E7A4F" w:rsidR="00225C52" w:rsidP="00225C52" w:rsidRDefault="00D04678" w14:paraId="4C138A05" w14:textId="35C76187">
      <w:pPr>
        <w:numPr>
          <w:ilvl w:val="0"/>
          <w:numId w:val="3"/>
        </w:numPr>
        <w:overflowPunct w:val="0"/>
        <w:autoSpaceDE w:val="0"/>
        <w:autoSpaceDN w:val="0"/>
        <w:adjustRightInd w:val="0"/>
        <w:ind w:left="357" w:hanging="357"/>
        <w:textAlignment w:val="baseline"/>
        <w:rPr>
          <w:bCs/>
          <w:iCs/>
        </w:rPr>
      </w:pPr>
      <w:r>
        <w:t xml:space="preserve">uzsver, </w:t>
      </w:r>
      <w:r>
        <w:rPr>
          <w:b/>
        </w:rPr>
        <w:t>ka ir jādara viss iespējamais, lai patērētājiem sistemātiski būtu pieejama attiecīga informācija</w:t>
      </w:r>
      <w:r>
        <w:t>;</w:t>
      </w:r>
    </w:p>
    <w:p w:rsidRPr="000A007B" w:rsidR="00225C52" w:rsidP="00225C52" w:rsidRDefault="00D04678" w14:paraId="24A2C373" w14:textId="41211029">
      <w:pPr>
        <w:numPr>
          <w:ilvl w:val="0"/>
          <w:numId w:val="3"/>
        </w:numPr>
        <w:overflowPunct w:val="0"/>
        <w:autoSpaceDE w:val="0"/>
        <w:autoSpaceDN w:val="0"/>
        <w:adjustRightInd w:val="0"/>
        <w:ind w:left="357" w:hanging="357"/>
        <w:textAlignment w:val="baseline"/>
        <w:rPr>
          <w:bCs/>
          <w:iCs/>
        </w:rPr>
      </w:pPr>
      <w:r>
        <w:t xml:space="preserve">mudina EK </w:t>
      </w:r>
      <w:r>
        <w:rPr>
          <w:b/>
        </w:rPr>
        <w:t>piemērot tālejošu pieeju, atzīstot brūno un balto preču remontējamības indeksa principu</w:t>
      </w:r>
      <w:r>
        <w:t>;</w:t>
      </w:r>
    </w:p>
    <w:p w:rsidRPr="000A007B" w:rsidR="000A007B" w:rsidP="00225C52" w:rsidRDefault="00D04678" w14:paraId="1330E042" w14:textId="100E679E">
      <w:pPr>
        <w:numPr>
          <w:ilvl w:val="0"/>
          <w:numId w:val="3"/>
        </w:numPr>
        <w:overflowPunct w:val="0"/>
        <w:autoSpaceDE w:val="0"/>
        <w:autoSpaceDN w:val="0"/>
        <w:adjustRightInd w:val="0"/>
        <w:ind w:left="357" w:hanging="357"/>
        <w:textAlignment w:val="baseline"/>
        <w:rPr>
          <w:bCs/>
          <w:iCs/>
        </w:rPr>
      </w:pPr>
      <w:r>
        <w:t xml:space="preserve">uzskata, ka EK </w:t>
      </w:r>
      <w:r>
        <w:rPr>
          <w:b/>
        </w:rPr>
        <w:t>ir vairāk jāpievēršas principam, kas paredz vienkāršotu un saskaņotu preču ilgtspējas marķējumu</w:t>
      </w:r>
      <w:r>
        <w:t xml:space="preserve"> turpmākajos gados;</w:t>
      </w:r>
    </w:p>
    <w:p w:rsidRPr="000A007B" w:rsidR="000A007B" w:rsidP="00225C52" w:rsidRDefault="00D04678" w14:paraId="3D07993B" w14:textId="2FB4C5D0">
      <w:pPr>
        <w:numPr>
          <w:ilvl w:val="0"/>
          <w:numId w:val="3"/>
        </w:numPr>
        <w:overflowPunct w:val="0"/>
        <w:autoSpaceDE w:val="0"/>
        <w:autoSpaceDN w:val="0"/>
        <w:adjustRightInd w:val="0"/>
        <w:ind w:left="357" w:hanging="357"/>
        <w:textAlignment w:val="baseline"/>
        <w:rPr>
          <w:bCs/>
          <w:iCs/>
        </w:rPr>
      </w:pPr>
      <w:r>
        <w:t xml:space="preserve">uzskata, ka </w:t>
      </w:r>
      <w:r>
        <w:rPr>
          <w:b/>
        </w:rPr>
        <w:t>ir svarīgi veicināt jaunu remontētāju apmācību un pašreizējo darbinieku prasmju pilnveidi</w:t>
      </w:r>
      <w:r>
        <w:t>;</w:t>
      </w:r>
    </w:p>
    <w:p w:rsidRPr="000A007B" w:rsidR="000A007B" w:rsidP="00225C52" w:rsidRDefault="00D04678" w14:paraId="678E3DCE" w14:textId="27E40AC8">
      <w:pPr>
        <w:numPr>
          <w:ilvl w:val="0"/>
          <w:numId w:val="3"/>
        </w:numPr>
        <w:overflowPunct w:val="0"/>
        <w:autoSpaceDE w:val="0"/>
        <w:autoSpaceDN w:val="0"/>
        <w:adjustRightInd w:val="0"/>
        <w:ind w:left="357" w:hanging="357"/>
        <w:textAlignment w:val="baseline"/>
        <w:rPr>
          <w:bCs/>
          <w:iCs/>
        </w:rPr>
      </w:pPr>
      <w:r>
        <w:t xml:space="preserve">aicina Eiropu </w:t>
      </w:r>
      <w:r>
        <w:rPr>
          <w:b/>
        </w:rPr>
        <w:t>samazināt savu atkarību no izejvielām, lai stiprinātu tās spēju remontēt un nodrošināt rezerves daļas</w:t>
      </w:r>
      <w:r>
        <w:t>;</w:t>
      </w:r>
    </w:p>
    <w:p w:rsidRPr="000A007B" w:rsidR="000A007B" w:rsidP="00225C52" w:rsidRDefault="00D04678" w14:paraId="4D90AA30" w14:textId="65E73F4C">
      <w:pPr>
        <w:numPr>
          <w:ilvl w:val="0"/>
          <w:numId w:val="3"/>
        </w:numPr>
        <w:overflowPunct w:val="0"/>
        <w:autoSpaceDE w:val="0"/>
        <w:autoSpaceDN w:val="0"/>
        <w:adjustRightInd w:val="0"/>
        <w:ind w:left="357" w:hanging="357"/>
        <w:textAlignment w:val="baseline"/>
        <w:rPr>
          <w:bCs/>
          <w:iCs/>
        </w:rPr>
      </w:pPr>
      <w:r>
        <w:t xml:space="preserve">uzskata, ka </w:t>
      </w:r>
      <w:r>
        <w:rPr>
          <w:b/>
        </w:rPr>
        <w:t>patērētāji būtu efektīvāk jāaizsargā pret neskaidrībām, kas saistītas ar juridiskajām un komerciālajam garantijām, un būtu jāpopularizē tas, ka remontējamība ir prioritāra salīdzinājumā ar preces aizstāšanu ar jaunu</w:t>
      </w:r>
      <w:r>
        <w:t>, neierobežojot patērētāju iespējas brīvi izvēlēties, kā risināt savu problēmu;</w:t>
      </w:r>
    </w:p>
    <w:p w:rsidRPr="00650DB1" w:rsidR="000A007B" w:rsidP="00225C52" w:rsidRDefault="00D04678" w14:paraId="41DDE40E" w14:textId="69AC55BA">
      <w:pPr>
        <w:numPr>
          <w:ilvl w:val="0"/>
          <w:numId w:val="3"/>
        </w:numPr>
        <w:overflowPunct w:val="0"/>
        <w:autoSpaceDE w:val="0"/>
        <w:autoSpaceDN w:val="0"/>
        <w:adjustRightInd w:val="0"/>
        <w:ind w:left="357" w:hanging="357"/>
        <w:textAlignment w:val="baseline"/>
        <w:rPr>
          <w:bCs/>
          <w:iCs/>
        </w:rPr>
      </w:pPr>
      <w:r>
        <w:t>uzskata, ka</w:t>
      </w:r>
      <w:r>
        <w:rPr>
          <w:b/>
        </w:rPr>
        <w:t xml:space="preserve"> patērētāju rīcībspējas stiprināšana ir jāpapildina ar efektīvāku aizsardzību pret maldinošu reklāmu</w:t>
      </w:r>
      <w:r>
        <w:t>;</w:t>
      </w:r>
    </w:p>
    <w:p w:rsidRPr="00650DB1" w:rsidR="00650DB1" w:rsidP="00225C52" w:rsidRDefault="00650DB1" w14:paraId="1361AE6B" w14:textId="186485B1">
      <w:pPr>
        <w:numPr>
          <w:ilvl w:val="0"/>
          <w:numId w:val="3"/>
        </w:numPr>
        <w:overflowPunct w:val="0"/>
        <w:autoSpaceDE w:val="0"/>
        <w:autoSpaceDN w:val="0"/>
        <w:adjustRightInd w:val="0"/>
        <w:ind w:left="357" w:hanging="357"/>
        <w:textAlignment w:val="baseline"/>
        <w:rPr>
          <w:bCs/>
          <w:iCs/>
        </w:rPr>
      </w:pPr>
      <w:r>
        <w:t xml:space="preserve">uzskata, ka ir vajadzīgas arī </w:t>
      </w:r>
      <w:r>
        <w:rPr>
          <w:b/>
        </w:rPr>
        <w:t>lielākas pilnvaras pārbaudīt apgalvojumus vides jomā</w:t>
      </w:r>
      <w:r>
        <w:t>;</w:t>
      </w:r>
    </w:p>
    <w:p w:rsidRPr="00650DB1" w:rsidR="00650DB1" w:rsidP="00225C52" w:rsidRDefault="00650DB1" w14:paraId="63699F61" w14:textId="24067C04">
      <w:pPr>
        <w:numPr>
          <w:ilvl w:val="0"/>
          <w:numId w:val="3"/>
        </w:numPr>
        <w:overflowPunct w:val="0"/>
        <w:autoSpaceDE w:val="0"/>
        <w:autoSpaceDN w:val="0"/>
        <w:adjustRightInd w:val="0"/>
        <w:ind w:left="357" w:hanging="357"/>
        <w:textAlignment w:val="baseline"/>
        <w:rPr>
          <w:bCs/>
          <w:iCs/>
        </w:rPr>
      </w:pPr>
      <w:r>
        <w:t xml:space="preserve">uzskata, ka Eiropas Komisijai </w:t>
      </w:r>
      <w:r>
        <w:rPr>
          <w:b/>
        </w:rPr>
        <w:t>lielāka uzmanība jāpievērš ES ekomarķējumam</w:t>
      </w:r>
      <w:r>
        <w:t xml:space="preserve"> un nepieciešamajām ar marķējumu saistītajām sertifikācijas procedūrām;</w:t>
      </w:r>
    </w:p>
    <w:p w:rsidRPr="00650DB1" w:rsidR="00650DB1" w:rsidP="00225C52" w:rsidRDefault="00650DB1" w14:paraId="27D078B3" w14:textId="55240C64">
      <w:pPr>
        <w:numPr>
          <w:ilvl w:val="0"/>
          <w:numId w:val="3"/>
        </w:numPr>
        <w:overflowPunct w:val="0"/>
        <w:autoSpaceDE w:val="0"/>
        <w:autoSpaceDN w:val="0"/>
        <w:adjustRightInd w:val="0"/>
        <w:ind w:left="357" w:hanging="357"/>
        <w:textAlignment w:val="baseline"/>
        <w:rPr>
          <w:bCs/>
          <w:iCs/>
        </w:rPr>
      </w:pPr>
      <w:r>
        <w:t xml:space="preserve">aicina Eiropas Savienību </w:t>
      </w:r>
      <w:r>
        <w:rPr>
          <w:b/>
        </w:rPr>
        <w:t xml:space="preserve">pastiprināt trauksmes cēlēju aizsardzību attiecībā uz preču </w:t>
      </w:r>
      <w:proofErr w:type="spellStart"/>
      <w:r>
        <w:rPr>
          <w:b/>
        </w:rPr>
        <w:t>vidiskajiem</w:t>
      </w:r>
      <w:proofErr w:type="spellEnd"/>
      <w:r>
        <w:rPr>
          <w:b/>
        </w:rPr>
        <w:t xml:space="preserve"> aspektiem</w:t>
      </w:r>
      <w:r>
        <w:t>;</w:t>
      </w:r>
    </w:p>
    <w:p w:rsidRPr="007E7A4F" w:rsidR="00650DB1" w:rsidP="00225C52" w:rsidRDefault="00650DB1" w14:paraId="62FC44AC" w14:textId="585E3086">
      <w:pPr>
        <w:numPr>
          <w:ilvl w:val="0"/>
          <w:numId w:val="3"/>
        </w:numPr>
        <w:overflowPunct w:val="0"/>
        <w:autoSpaceDE w:val="0"/>
        <w:autoSpaceDN w:val="0"/>
        <w:adjustRightInd w:val="0"/>
        <w:ind w:left="357" w:hanging="357"/>
        <w:textAlignment w:val="baseline"/>
        <w:rPr>
          <w:bCs/>
          <w:iCs/>
        </w:rPr>
      </w:pPr>
      <w:r>
        <w:t xml:space="preserve">aicina Komisiju </w:t>
      </w:r>
      <w:r>
        <w:rPr>
          <w:b/>
        </w:rPr>
        <w:t>veicināt patērētāju lielāku izpratni par atbildīga patēriņa jautājumiem</w:t>
      </w:r>
      <w:r>
        <w:t>.</w:t>
      </w:r>
    </w:p>
    <w:p w:rsidRPr="007E7A4F" w:rsidR="003C4D5B" w:rsidP="000A007B" w:rsidRDefault="003C4D5B" w14:paraId="7882C726" w14:textId="77777777">
      <w:pPr>
        <w:overflowPunct w:val="0"/>
        <w:autoSpaceDE w:val="0"/>
        <w:autoSpaceDN w:val="0"/>
        <w:adjustRightInd w:val="0"/>
        <w:ind w:left="357"/>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225C52" w:rsidTr="008327B1" w14:paraId="776316B4" w14:textId="77777777">
        <w:tc>
          <w:tcPr>
            <w:tcW w:w="1418" w:type="dxa"/>
          </w:tcPr>
          <w:p w:rsidRPr="009B70E7" w:rsidR="00225C52" w:rsidP="008327B1" w:rsidRDefault="00225C52" w14:paraId="4C1EE362" w14:textId="77777777">
            <w:pPr>
              <w:pStyle w:val="ListParagraph"/>
              <w:ind w:left="0"/>
              <w:rPr>
                <w:i/>
              </w:rPr>
            </w:pPr>
            <w:r>
              <w:rPr>
                <w:b/>
                <w:i/>
              </w:rPr>
              <w:t>Kontaktpersona:</w:t>
            </w:r>
          </w:p>
        </w:tc>
        <w:tc>
          <w:tcPr>
            <w:tcW w:w="5670" w:type="dxa"/>
          </w:tcPr>
          <w:p w:rsidRPr="002F63EB" w:rsidR="00225C52" w:rsidP="008327B1" w:rsidRDefault="001A2273" w14:paraId="5805F3B4" w14:textId="77777777">
            <w:pPr>
              <w:pStyle w:val="ListParagraph"/>
              <w:ind w:left="0"/>
              <w:rPr>
                <w:i/>
              </w:rPr>
            </w:pPr>
            <w:proofErr w:type="spellStart"/>
            <w:r>
              <w:rPr>
                <w:i/>
              </w:rPr>
              <w:t>Marie-Laurence</w:t>
            </w:r>
            <w:proofErr w:type="spellEnd"/>
            <w:r>
              <w:rPr>
                <w:i/>
              </w:rPr>
              <w:t xml:space="preserve"> </w:t>
            </w:r>
            <w:proofErr w:type="spellStart"/>
            <w:r>
              <w:rPr>
                <w:i/>
              </w:rPr>
              <w:t>Drillon</w:t>
            </w:r>
            <w:proofErr w:type="spellEnd"/>
          </w:p>
        </w:tc>
      </w:tr>
      <w:tr w:rsidRPr="009B70E7" w:rsidR="00225C52" w:rsidTr="008327B1" w14:paraId="5F3BFD17" w14:textId="77777777">
        <w:tc>
          <w:tcPr>
            <w:tcW w:w="1418" w:type="dxa"/>
          </w:tcPr>
          <w:p w:rsidRPr="009B70E7" w:rsidR="00225C52" w:rsidP="008327B1" w:rsidRDefault="00225C52" w14:paraId="2F6B012F" w14:textId="77777777">
            <w:pPr>
              <w:pStyle w:val="ListParagraph"/>
              <w:ind w:left="601"/>
              <w:rPr>
                <w:i/>
              </w:rPr>
            </w:pPr>
            <w:r>
              <w:rPr>
                <w:i/>
              </w:rPr>
              <w:t>Tālr.:</w:t>
            </w:r>
          </w:p>
        </w:tc>
        <w:tc>
          <w:tcPr>
            <w:tcW w:w="5670" w:type="dxa"/>
          </w:tcPr>
          <w:p w:rsidRPr="002F63EB" w:rsidR="00225C52" w:rsidP="008327B1" w:rsidRDefault="001A2273" w14:paraId="3719436A" w14:textId="77777777">
            <w:pPr>
              <w:pStyle w:val="ListParagraph"/>
              <w:ind w:left="0"/>
              <w:rPr>
                <w:i/>
              </w:rPr>
            </w:pPr>
            <w:r>
              <w:rPr>
                <w:i/>
              </w:rPr>
              <w:t>00 32 2 546 83 20</w:t>
            </w:r>
          </w:p>
        </w:tc>
      </w:tr>
      <w:tr w:rsidRPr="007E7A4F" w:rsidR="00225C52" w:rsidTr="008327B1" w14:paraId="75C7F48B" w14:textId="77777777">
        <w:tc>
          <w:tcPr>
            <w:tcW w:w="1418" w:type="dxa"/>
          </w:tcPr>
          <w:p w:rsidRPr="009B70E7" w:rsidR="00225C52" w:rsidP="008327B1" w:rsidRDefault="00225C52" w14:paraId="1B69556B" w14:textId="77777777">
            <w:pPr>
              <w:pStyle w:val="ListParagraph"/>
              <w:ind w:left="601"/>
              <w:rPr>
                <w:i/>
              </w:rPr>
            </w:pPr>
            <w:r>
              <w:rPr>
                <w:i/>
              </w:rPr>
              <w:t>E-pasts:</w:t>
            </w:r>
          </w:p>
        </w:tc>
        <w:tc>
          <w:tcPr>
            <w:tcW w:w="5670" w:type="dxa"/>
          </w:tcPr>
          <w:p w:rsidRPr="00AA69BF" w:rsidR="00015E18" w:rsidP="008327B1" w:rsidRDefault="0039128C" w14:paraId="68B37053" w14:textId="65E3CE17">
            <w:pPr>
              <w:pStyle w:val="ListParagraph"/>
              <w:ind w:left="0"/>
            </w:pPr>
            <w:hyperlink w:history="1" r:id="rId31">
              <w:r w:rsidR="00B80426">
                <w:rPr>
                  <w:rStyle w:val="Hyperlink"/>
                </w:rPr>
                <w:t>Marie-Laurence.Drillon@eesc.europa.eu</w:t>
              </w:r>
            </w:hyperlink>
          </w:p>
          <w:p w:rsidRPr="007E7A4F" w:rsidR="002A2F38" w:rsidP="008327B1" w:rsidRDefault="002A2F38" w14:paraId="46E90DEC" w14:textId="77777777">
            <w:pPr>
              <w:pStyle w:val="ListParagraph"/>
              <w:ind w:left="0"/>
              <w:rPr>
                <w:i/>
              </w:rPr>
            </w:pPr>
          </w:p>
        </w:tc>
      </w:tr>
    </w:tbl>
    <w:p w:rsidR="00910972" w:rsidP="00910972" w:rsidRDefault="00910972" w14:paraId="256CC1D8" w14:textId="77777777">
      <w:pPr>
        <w:pStyle w:val="ListParagraph"/>
        <w:ind w:left="567"/>
        <w:rPr>
          <w:b/>
          <w:bCs/>
          <w:i/>
          <w:iCs/>
          <w:sz w:val="28"/>
          <w:szCs w:val="28"/>
          <w:lang w:val="en-US"/>
        </w:rPr>
      </w:pPr>
    </w:p>
    <w:p w:rsidR="00910972" w:rsidRDefault="00910972" w14:paraId="5A6F039F" w14:textId="77777777">
      <w:pPr>
        <w:spacing w:after="160" w:line="259" w:lineRule="auto"/>
        <w:jc w:val="left"/>
        <w:rPr>
          <w:b/>
          <w:bCs/>
          <w:i/>
          <w:iCs/>
          <w:sz w:val="28"/>
          <w:szCs w:val="28"/>
        </w:rPr>
      </w:pPr>
      <w:r>
        <w:br w:type="page"/>
      </w:r>
    </w:p>
    <w:p w:rsidRPr="007E7A4F" w:rsidR="00164813" w:rsidP="00164813" w:rsidRDefault="00015E18" w14:paraId="12FD6239" w14:textId="58554619">
      <w:pPr>
        <w:pStyle w:val="ListParagraph"/>
        <w:numPr>
          <w:ilvl w:val="0"/>
          <w:numId w:val="2"/>
        </w:numPr>
        <w:ind w:left="567" w:hanging="567"/>
        <w:rPr>
          <w:b/>
          <w:i/>
          <w:sz w:val="28"/>
          <w:szCs w:val="28"/>
        </w:rPr>
      </w:pPr>
      <w:r>
        <w:rPr>
          <w:b/>
          <w:i/>
          <w:sz w:val="28"/>
        </w:rPr>
        <w:lastRenderedPageBreak/>
        <w:t>Ilgtspējīga korporatīvā pārvaldība</w:t>
      </w:r>
    </w:p>
    <w:p w:rsidRPr="009B70E7" w:rsidR="00164813" w:rsidP="00164813" w:rsidRDefault="00164813" w14:paraId="1DADE393"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164813" w:rsidTr="00B83E7B" w14:paraId="1383CB57" w14:textId="77777777">
        <w:tc>
          <w:tcPr>
            <w:tcW w:w="1701" w:type="dxa"/>
          </w:tcPr>
          <w:p w:rsidRPr="009B70E7" w:rsidR="00164813" w:rsidP="00B83E7B" w:rsidRDefault="00164813" w14:paraId="33004117" w14:textId="77777777">
            <w:pPr>
              <w:pStyle w:val="ListParagraph"/>
              <w:ind w:left="0"/>
              <w:rPr>
                <w:b/>
              </w:rPr>
            </w:pPr>
            <w:r>
              <w:rPr>
                <w:b/>
              </w:rPr>
              <w:t>Ziņotāja:</w:t>
            </w:r>
          </w:p>
        </w:tc>
        <w:tc>
          <w:tcPr>
            <w:tcW w:w="6096" w:type="dxa"/>
          </w:tcPr>
          <w:p w:rsidRPr="007E7A4F" w:rsidR="00164813" w:rsidP="00B83E7B" w:rsidRDefault="00AA69BF" w14:paraId="2BCDDC29" w14:textId="7BDC3D18">
            <w:pPr>
              <w:pStyle w:val="ListParagraph"/>
              <w:ind w:left="-108"/>
            </w:pPr>
            <w:proofErr w:type="spellStart"/>
            <w:r>
              <w:t>Antje</w:t>
            </w:r>
            <w:proofErr w:type="spellEnd"/>
            <w:r>
              <w:t xml:space="preserve"> GERSTEIN (Darba devēju grupa – DE)</w:t>
            </w:r>
          </w:p>
        </w:tc>
      </w:tr>
      <w:tr w:rsidRPr="007E7A4F" w:rsidR="00164813" w:rsidTr="00B83E7B" w14:paraId="5DB9564B" w14:textId="77777777">
        <w:tc>
          <w:tcPr>
            <w:tcW w:w="7797" w:type="dxa"/>
            <w:gridSpan w:val="2"/>
          </w:tcPr>
          <w:p w:rsidRPr="007E7A4F" w:rsidR="00164813" w:rsidP="00B83E7B" w:rsidRDefault="00164813" w14:paraId="421C9628" w14:textId="77777777">
            <w:pPr>
              <w:pStyle w:val="ListParagraph"/>
              <w:ind w:left="0"/>
              <w:rPr>
                <w:lang w:val="fr-BE"/>
              </w:rPr>
            </w:pPr>
          </w:p>
        </w:tc>
      </w:tr>
      <w:tr w:rsidRPr="009B70E7" w:rsidR="00164813" w:rsidTr="00B83E7B" w14:paraId="132333E4" w14:textId="77777777">
        <w:tc>
          <w:tcPr>
            <w:tcW w:w="1701" w:type="dxa"/>
          </w:tcPr>
          <w:p w:rsidRPr="009B70E7" w:rsidR="00164813" w:rsidP="00B83E7B" w:rsidRDefault="00164813" w14:paraId="2A306C51" w14:textId="77777777">
            <w:pPr>
              <w:pStyle w:val="ListParagraph"/>
              <w:ind w:left="0"/>
              <w:rPr>
                <w:b/>
              </w:rPr>
            </w:pPr>
            <w:r>
              <w:rPr>
                <w:b/>
              </w:rPr>
              <w:t xml:space="preserve">Atsauce: </w:t>
            </w:r>
          </w:p>
        </w:tc>
        <w:tc>
          <w:tcPr>
            <w:tcW w:w="6096" w:type="dxa"/>
          </w:tcPr>
          <w:p w:rsidRPr="009B70E7" w:rsidR="00164813" w:rsidP="00B83E7B" w:rsidRDefault="00164813" w14:paraId="1EB81693" w14:textId="77777777">
            <w:pPr>
              <w:tabs>
                <w:tab w:val="center" w:pos="284"/>
              </w:tabs>
              <w:ind w:left="266" w:hanging="374"/>
            </w:pPr>
            <w:r>
              <w:t xml:space="preserve">COM(2022) 71 </w:t>
            </w:r>
            <w:proofErr w:type="spellStart"/>
            <w:r>
              <w:t>final</w:t>
            </w:r>
            <w:proofErr w:type="spellEnd"/>
          </w:p>
          <w:p w:rsidRPr="009B70E7" w:rsidR="00164813" w:rsidP="00B83E7B" w:rsidRDefault="00ED377B" w14:paraId="1746D341" w14:textId="77777777">
            <w:pPr>
              <w:pStyle w:val="ListParagraph"/>
              <w:ind w:left="-108"/>
            </w:pPr>
            <w:r>
              <w:t>EESC-2022-01327-00-00-AC</w:t>
            </w:r>
          </w:p>
        </w:tc>
      </w:tr>
    </w:tbl>
    <w:p w:rsidRPr="009B70E7" w:rsidR="00164813" w:rsidP="00164813" w:rsidRDefault="00164813" w14:paraId="488A6C0C" w14:textId="77777777">
      <w:pPr>
        <w:pStyle w:val="ListParagraph"/>
        <w:ind w:left="0"/>
        <w:rPr>
          <w:b/>
        </w:rPr>
      </w:pPr>
    </w:p>
    <w:p w:rsidRPr="0018231C" w:rsidR="00164813" w:rsidP="002C4B6E" w:rsidRDefault="00164813" w14:paraId="015FE75F" w14:textId="751DC40F">
      <w:pPr>
        <w:pStyle w:val="ListParagraph"/>
        <w:spacing w:line="240" w:lineRule="auto"/>
        <w:ind w:left="-142" w:firstLine="142"/>
        <w:rPr>
          <w:b/>
        </w:rPr>
      </w:pPr>
      <w:r>
        <w:rPr>
          <w:b/>
          <w:bCs/>
        </w:rPr>
        <w:t>Svarīgākie aspekti</w:t>
      </w:r>
    </w:p>
    <w:p w:rsidRPr="0018231C" w:rsidR="00164813" w:rsidP="00164813" w:rsidRDefault="00164813" w14:paraId="573BE746" w14:textId="77777777">
      <w:pPr>
        <w:pStyle w:val="ListParagraph"/>
        <w:ind w:left="0"/>
        <w:rPr>
          <w:lang w:val="fr-FR"/>
        </w:rPr>
      </w:pPr>
    </w:p>
    <w:p w:rsidR="00164813" w:rsidP="00164813" w:rsidRDefault="00164813" w14:paraId="30245860" w14:textId="77777777">
      <w:pPr>
        <w:pStyle w:val="ListParagraph"/>
        <w:ind w:left="0"/>
      </w:pPr>
      <w:r>
        <w:t>EESK:</w:t>
      </w:r>
    </w:p>
    <w:p w:rsidRPr="0018231C" w:rsidR="00164813" w:rsidP="00164813" w:rsidRDefault="00164813" w14:paraId="7D5F280C" w14:textId="77777777">
      <w:pPr>
        <w:pStyle w:val="ListParagraph"/>
        <w:ind w:left="0"/>
        <w:rPr>
          <w:lang w:val="fr-FR"/>
        </w:rPr>
      </w:pPr>
    </w:p>
    <w:p w:rsidRPr="00A3344B" w:rsidR="00BC3FCE" w:rsidP="00164813" w:rsidRDefault="007E7DE3" w14:paraId="2A8D241D" w14:textId="2BE7DD2B">
      <w:pPr>
        <w:numPr>
          <w:ilvl w:val="0"/>
          <w:numId w:val="3"/>
        </w:numPr>
        <w:overflowPunct w:val="0"/>
        <w:autoSpaceDE w:val="0"/>
        <w:autoSpaceDN w:val="0"/>
        <w:adjustRightInd w:val="0"/>
        <w:ind w:left="357" w:hanging="357"/>
        <w:textAlignment w:val="baseline"/>
      </w:pPr>
      <w:r>
        <w:t>atzinīgi vērtē priekšlikumu kā būtisku soli tāda konsekventa ES tiesiskā regulējuma izveidē par ilgtspējīgu korporatīvo pārvaldību un pienācīgu rūpību, kas veicina cilvēktiesību ievērošanu un paredz, ka tas ir uzņēmumu un to vadītāju pienākums, un kas tiecas panākt vienlīdzīgus konkurences apstākļus Eiropas Savienībā;</w:t>
      </w:r>
    </w:p>
    <w:p w:rsidRPr="00A3344B" w:rsidR="00A3344B" w:rsidP="00164813" w:rsidRDefault="007E7DE3" w14:paraId="03AF28C8" w14:textId="0FC700C2">
      <w:pPr>
        <w:numPr>
          <w:ilvl w:val="0"/>
          <w:numId w:val="3"/>
        </w:numPr>
        <w:overflowPunct w:val="0"/>
        <w:autoSpaceDE w:val="0"/>
        <w:autoSpaceDN w:val="0"/>
        <w:adjustRightInd w:val="0"/>
        <w:ind w:left="357" w:hanging="357"/>
        <w:textAlignment w:val="baseline"/>
      </w:pPr>
      <w:r>
        <w:t>uzsver, cik svarīgi ir ANO Vadošie principi uzņēmējdarbībai un cilvēktiesībām, un aicina nodrošināt politikas saskaņotību starp valstu politiku un Eiropas tiesību aktiem, kas attiecas uz līdzīgām jomām vai ietver arī pienācīgas pārbaudes noteikumus;</w:t>
      </w:r>
    </w:p>
    <w:p w:rsidRPr="00A3344B" w:rsidR="00A3344B" w:rsidP="00164813" w:rsidRDefault="007E7DE3" w14:paraId="71BC35A1" w14:textId="7731C2B8">
      <w:pPr>
        <w:numPr>
          <w:ilvl w:val="0"/>
          <w:numId w:val="3"/>
        </w:numPr>
        <w:overflowPunct w:val="0"/>
        <w:autoSpaceDE w:val="0"/>
        <w:autoSpaceDN w:val="0"/>
        <w:adjustRightInd w:val="0"/>
        <w:ind w:left="357" w:hanging="357"/>
        <w:textAlignment w:val="baseline"/>
      </w:pPr>
      <w:r>
        <w:t xml:space="preserve">uzsver, ka politikas veidotājiem ir jāņem vērā </w:t>
      </w:r>
      <w:proofErr w:type="spellStart"/>
      <w:r>
        <w:t>mikrouzņēmumu</w:t>
      </w:r>
      <w:proofErr w:type="spellEnd"/>
      <w:r>
        <w:t xml:space="preserve"> un mazo un vidējo uzņēmumu (MMVU) sarežģītā situācija un jānodrošina, lai Eiropas un valstu līmenī būtu gatavi atbalsta instrumenti, tiklīdz stāsies spēkā pienācīgas rūpības tiesību akti;</w:t>
      </w:r>
    </w:p>
    <w:p w:rsidRPr="00A3344B" w:rsidR="00A3344B" w:rsidP="00164813" w:rsidRDefault="007E7DE3" w14:paraId="5C624B6F" w14:textId="0BDA1CBC">
      <w:pPr>
        <w:numPr>
          <w:ilvl w:val="0"/>
          <w:numId w:val="3"/>
        </w:numPr>
        <w:overflowPunct w:val="0"/>
        <w:autoSpaceDE w:val="0"/>
        <w:autoSpaceDN w:val="0"/>
        <w:adjustRightInd w:val="0"/>
        <w:ind w:left="357" w:hanging="357"/>
        <w:textAlignment w:val="baseline"/>
      </w:pPr>
      <w:r>
        <w:t>uzsver, ka uzņēmumu pienācīgas rūpības īstenošana ir pastāvīgs process, kurā arodbiedrību un darba ņēmēju pārstāvju iesaistīšana ir panākumu faktors;</w:t>
      </w:r>
    </w:p>
    <w:p w:rsidRPr="007E7DE3" w:rsidR="00A3344B" w:rsidP="00164813" w:rsidRDefault="007E7DE3" w14:paraId="41F4DB88" w14:textId="02AB6495">
      <w:pPr>
        <w:numPr>
          <w:ilvl w:val="0"/>
          <w:numId w:val="3"/>
        </w:numPr>
        <w:overflowPunct w:val="0"/>
        <w:autoSpaceDE w:val="0"/>
        <w:autoSpaceDN w:val="0"/>
        <w:adjustRightInd w:val="0"/>
        <w:ind w:left="357" w:hanging="357"/>
        <w:textAlignment w:val="baseline"/>
      </w:pPr>
      <w:r>
        <w:t>satrauc, ka Komisijas priekšlikums ietver daudzus neskaidrus juridiskus jēdzienus, kurus var dažādi interpretēt, un tāpēc uzskata, ka ir nepieciešams labāk definēt terminus;</w:t>
      </w:r>
    </w:p>
    <w:p w:rsidRPr="007E7A4F" w:rsidR="007E7DE3" w:rsidP="00164813" w:rsidRDefault="007E7DE3" w14:paraId="043E47D4" w14:textId="30C15593">
      <w:pPr>
        <w:numPr>
          <w:ilvl w:val="0"/>
          <w:numId w:val="3"/>
        </w:numPr>
        <w:overflowPunct w:val="0"/>
        <w:autoSpaceDE w:val="0"/>
        <w:autoSpaceDN w:val="0"/>
        <w:adjustRightInd w:val="0"/>
        <w:ind w:left="357" w:hanging="357"/>
        <w:textAlignment w:val="baseline"/>
      </w:pPr>
      <w:r>
        <w:t>aicina atzīt, ka pienācīgas rūpības priekšnoteikums ir uz risku balstīta pieeja un ka prioritātes var nākties noteikt, pamatojoties uz riska novērtējumu.</w:t>
      </w:r>
    </w:p>
    <w:p w:rsidRPr="007E7A4F" w:rsidR="00164813" w:rsidP="00164813" w:rsidRDefault="00164813" w14:paraId="6996D40F"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A3344B" w:rsidTr="008B66DD" w14:paraId="0A1A7166" w14:textId="77777777">
        <w:tc>
          <w:tcPr>
            <w:tcW w:w="1418" w:type="dxa"/>
          </w:tcPr>
          <w:p w:rsidRPr="00164813" w:rsidR="00A3344B" w:rsidP="008B66DD" w:rsidRDefault="00A3344B" w14:paraId="5A52339E" w14:textId="77777777">
            <w:pPr>
              <w:contextualSpacing/>
              <w:rPr>
                <w:i/>
              </w:rPr>
            </w:pPr>
            <w:r>
              <w:rPr>
                <w:b/>
                <w:i/>
              </w:rPr>
              <w:t>Kontaktpersona:</w:t>
            </w:r>
          </w:p>
        </w:tc>
        <w:tc>
          <w:tcPr>
            <w:tcW w:w="5670" w:type="dxa"/>
          </w:tcPr>
          <w:p w:rsidRPr="00164813" w:rsidR="00A3344B" w:rsidP="008B66DD" w:rsidRDefault="00A3344B" w14:paraId="1E930B05" w14:textId="77777777">
            <w:pPr>
              <w:contextualSpacing/>
              <w:rPr>
                <w:i/>
              </w:rPr>
            </w:pPr>
            <w:proofErr w:type="spellStart"/>
            <w:r>
              <w:rPr>
                <w:i/>
              </w:rPr>
              <w:t>Claudia</w:t>
            </w:r>
            <w:proofErr w:type="spellEnd"/>
            <w:r>
              <w:rPr>
                <w:i/>
              </w:rPr>
              <w:t xml:space="preserve"> </w:t>
            </w:r>
            <w:proofErr w:type="spellStart"/>
            <w:r>
              <w:rPr>
                <w:i/>
              </w:rPr>
              <w:t>Drewes-Wran</w:t>
            </w:r>
            <w:proofErr w:type="spellEnd"/>
          </w:p>
        </w:tc>
      </w:tr>
      <w:tr w:rsidRPr="00164813" w:rsidR="00A3344B" w:rsidTr="008B66DD" w14:paraId="42394CA2" w14:textId="77777777">
        <w:tc>
          <w:tcPr>
            <w:tcW w:w="1418" w:type="dxa"/>
          </w:tcPr>
          <w:p w:rsidRPr="00164813" w:rsidR="00A3344B" w:rsidP="008B66DD" w:rsidRDefault="00A3344B" w14:paraId="337CFA79" w14:textId="77777777">
            <w:pPr>
              <w:ind w:left="601"/>
              <w:contextualSpacing/>
              <w:rPr>
                <w:i/>
              </w:rPr>
            </w:pPr>
            <w:r>
              <w:rPr>
                <w:i/>
              </w:rPr>
              <w:t>Tālr.:</w:t>
            </w:r>
          </w:p>
        </w:tc>
        <w:tc>
          <w:tcPr>
            <w:tcW w:w="5670" w:type="dxa"/>
          </w:tcPr>
          <w:p w:rsidRPr="00164813" w:rsidR="00A3344B" w:rsidP="008B66DD" w:rsidRDefault="00A3344B" w14:paraId="5CA1B212" w14:textId="77777777">
            <w:pPr>
              <w:contextualSpacing/>
              <w:rPr>
                <w:i/>
              </w:rPr>
            </w:pPr>
            <w:r>
              <w:rPr>
                <w:i/>
              </w:rPr>
              <w:t>00 32 2 546 80 67</w:t>
            </w:r>
          </w:p>
        </w:tc>
      </w:tr>
      <w:tr w:rsidRPr="00164813" w:rsidR="00A3344B" w:rsidTr="008B66DD" w14:paraId="7B24978D" w14:textId="77777777">
        <w:tc>
          <w:tcPr>
            <w:tcW w:w="1418" w:type="dxa"/>
          </w:tcPr>
          <w:p w:rsidRPr="00164813" w:rsidR="00A3344B" w:rsidP="008B66DD" w:rsidRDefault="00A3344B" w14:paraId="2B3DB280" w14:textId="77777777">
            <w:pPr>
              <w:ind w:left="601"/>
              <w:contextualSpacing/>
              <w:rPr>
                <w:i/>
              </w:rPr>
            </w:pPr>
            <w:r>
              <w:rPr>
                <w:i/>
              </w:rPr>
              <w:t>E-pasts:</w:t>
            </w:r>
          </w:p>
        </w:tc>
        <w:tc>
          <w:tcPr>
            <w:tcW w:w="5670" w:type="dxa"/>
          </w:tcPr>
          <w:p w:rsidR="00A3344B" w:rsidP="008B66DD" w:rsidRDefault="0039128C" w14:paraId="78F5B58F" w14:textId="77777777">
            <w:pPr>
              <w:contextualSpacing/>
            </w:pPr>
            <w:hyperlink w:history="1" r:id="rId32">
              <w:r w:rsidR="00B80426">
                <w:rPr>
                  <w:rStyle w:val="Hyperlink"/>
                </w:rPr>
                <w:t>Claudia.Drewes-Wran@eesc.europa.eu</w:t>
              </w:r>
            </w:hyperlink>
          </w:p>
          <w:p w:rsidRPr="00164813" w:rsidR="00A3344B" w:rsidP="008B66DD" w:rsidRDefault="00A3344B" w14:paraId="05431FB8" w14:textId="77777777">
            <w:pPr>
              <w:contextualSpacing/>
              <w:rPr>
                <w:i/>
              </w:rPr>
            </w:pPr>
          </w:p>
        </w:tc>
      </w:tr>
    </w:tbl>
    <w:p w:rsidR="00D35512" w:rsidRDefault="00D35512" w14:paraId="45D707E4" w14:textId="4B9E10FB">
      <w:pPr>
        <w:spacing w:after="160" w:line="259" w:lineRule="auto"/>
        <w:jc w:val="left"/>
        <w:rPr>
          <w:sz w:val="28"/>
        </w:rPr>
      </w:pPr>
    </w:p>
    <w:p w:rsidR="00D35512" w:rsidRDefault="00D35512" w14:paraId="09FE38A4" w14:textId="77777777">
      <w:pPr>
        <w:spacing w:after="160" w:line="259" w:lineRule="auto"/>
        <w:jc w:val="left"/>
        <w:rPr>
          <w:sz w:val="28"/>
        </w:rPr>
      </w:pPr>
      <w:r>
        <w:br w:type="page"/>
      </w:r>
    </w:p>
    <w:p w:rsidRPr="00164813" w:rsidR="00164813" w:rsidP="00BC3FCE" w:rsidRDefault="00A3344B" w14:paraId="65567F7B" w14:textId="77777777">
      <w:pPr>
        <w:pStyle w:val="ListParagraph"/>
        <w:numPr>
          <w:ilvl w:val="0"/>
          <w:numId w:val="2"/>
        </w:numPr>
        <w:ind w:left="567" w:hanging="567"/>
        <w:rPr>
          <w:b/>
          <w:i/>
          <w:sz w:val="28"/>
          <w:szCs w:val="28"/>
        </w:rPr>
      </w:pPr>
      <w:r>
        <w:rPr>
          <w:b/>
          <w:i/>
          <w:sz w:val="28"/>
        </w:rPr>
        <w:lastRenderedPageBreak/>
        <w:t>MVU, sociālās ekonomikas uzņēmumi, amatniecība un brīvās profesijas / pakete “Gatavi </w:t>
      </w:r>
      <w:proofErr w:type="spellStart"/>
      <w:r>
        <w:rPr>
          <w:b/>
          <w:i/>
          <w:sz w:val="28"/>
        </w:rPr>
        <w:t>mērķrādītājam</w:t>
      </w:r>
      <w:proofErr w:type="spellEnd"/>
      <w:r>
        <w:rPr>
          <w:b/>
          <w:i/>
          <w:sz w:val="28"/>
        </w:rPr>
        <w:t xml:space="preserve"> 55 %”</w:t>
      </w:r>
    </w:p>
    <w:p w:rsidRPr="00164813" w:rsidR="00164813" w:rsidP="00164813" w:rsidRDefault="00164813" w14:paraId="426580BA" w14:textId="77777777">
      <w:pPr>
        <w:contextualSpacing/>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164813" w:rsidR="00164813" w:rsidTr="00B83E7B" w14:paraId="6AF7AE99" w14:textId="77777777">
        <w:tc>
          <w:tcPr>
            <w:tcW w:w="1701" w:type="dxa"/>
          </w:tcPr>
          <w:p w:rsidRPr="00164813" w:rsidR="00164813" w:rsidP="00164813" w:rsidRDefault="00164813" w14:paraId="4B0840C1" w14:textId="77777777">
            <w:pPr>
              <w:contextualSpacing/>
              <w:rPr>
                <w:b/>
              </w:rPr>
            </w:pPr>
            <w:r>
              <w:rPr>
                <w:b/>
              </w:rPr>
              <w:t>Ziņotāja:</w:t>
            </w:r>
          </w:p>
        </w:tc>
        <w:tc>
          <w:tcPr>
            <w:tcW w:w="6096" w:type="dxa"/>
          </w:tcPr>
          <w:p w:rsidRPr="00164813" w:rsidR="00164813" w:rsidP="00164813" w:rsidRDefault="00A3344B" w14:paraId="16A8F625" w14:textId="77777777">
            <w:pPr>
              <w:ind w:left="-108"/>
              <w:contextualSpacing/>
            </w:pPr>
            <w:r>
              <w:t>Milena ANGELOVA (Darba devēju grupa – BG)</w:t>
            </w:r>
          </w:p>
        </w:tc>
      </w:tr>
      <w:tr w:rsidRPr="00164813" w:rsidR="00A3344B" w:rsidTr="00B83E7B" w14:paraId="43AB93C9" w14:textId="77777777">
        <w:tc>
          <w:tcPr>
            <w:tcW w:w="1701" w:type="dxa"/>
          </w:tcPr>
          <w:p w:rsidRPr="00164813" w:rsidR="00A3344B" w:rsidP="00164813" w:rsidRDefault="00A3344B" w14:paraId="3AF21686" w14:textId="77777777">
            <w:pPr>
              <w:contextualSpacing/>
              <w:rPr>
                <w:b/>
              </w:rPr>
            </w:pPr>
            <w:r>
              <w:rPr>
                <w:b/>
              </w:rPr>
              <w:t>Līdzziņotājs</w:t>
            </w:r>
          </w:p>
        </w:tc>
        <w:tc>
          <w:tcPr>
            <w:tcW w:w="6096" w:type="dxa"/>
          </w:tcPr>
          <w:p w:rsidRPr="00A3344B" w:rsidR="00A3344B" w:rsidP="00164813" w:rsidRDefault="00A3344B" w14:paraId="7456DEBB" w14:textId="77777777">
            <w:pPr>
              <w:ind w:left="-108"/>
              <w:contextualSpacing/>
            </w:pPr>
            <w:r>
              <w:t>Rudolf KOLBE (Pilsoniskās sabiedrības organizāciju grupa – AT)</w:t>
            </w:r>
          </w:p>
        </w:tc>
      </w:tr>
      <w:tr w:rsidRPr="00164813" w:rsidR="00164813" w:rsidTr="00B83E7B" w14:paraId="5372DCA1" w14:textId="77777777">
        <w:tc>
          <w:tcPr>
            <w:tcW w:w="7797" w:type="dxa"/>
            <w:gridSpan w:val="2"/>
          </w:tcPr>
          <w:p w:rsidRPr="00164813" w:rsidR="00164813" w:rsidP="00164813" w:rsidRDefault="00164813" w14:paraId="28515692" w14:textId="77777777">
            <w:pPr>
              <w:contextualSpacing/>
              <w:rPr>
                <w:lang w:val="fr-BE"/>
              </w:rPr>
            </w:pPr>
          </w:p>
        </w:tc>
      </w:tr>
      <w:tr w:rsidRPr="00164813" w:rsidR="00164813" w:rsidTr="00B83E7B" w14:paraId="6516DB5A" w14:textId="77777777">
        <w:tc>
          <w:tcPr>
            <w:tcW w:w="1701" w:type="dxa"/>
          </w:tcPr>
          <w:p w:rsidRPr="00164813" w:rsidR="00164813" w:rsidP="00164813" w:rsidRDefault="00164813" w14:paraId="7886F22A" w14:textId="77777777">
            <w:pPr>
              <w:contextualSpacing/>
              <w:rPr>
                <w:b/>
              </w:rPr>
            </w:pPr>
            <w:r>
              <w:rPr>
                <w:b/>
              </w:rPr>
              <w:t xml:space="preserve">Atsauce: </w:t>
            </w:r>
          </w:p>
        </w:tc>
        <w:tc>
          <w:tcPr>
            <w:tcW w:w="6096" w:type="dxa"/>
          </w:tcPr>
          <w:p w:rsidRPr="00164813" w:rsidR="00164813" w:rsidP="00164813" w:rsidRDefault="00A3344B" w14:paraId="6C0521C0" w14:textId="77777777">
            <w:pPr>
              <w:tabs>
                <w:tab w:val="center" w:pos="284"/>
              </w:tabs>
              <w:ind w:left="266" w:hanging="374"/>
            </w:pPr>
            <w:r>
              <w:t>Pašiniciatīvas atzinums</w:t>
            </w:r>
          </w:p>
          <w:p w:rsidRPr="00164813" w:rsidR="00164813" w:rsidP="00164813" w:rsidRDefault="00A3344B" w14:paraId="1BECC38E" w14:textId="77777777">
            <w:pPr>
              <w:ind w:left="-108"/>
              <w:contextualSpacing/>
            </w:pPr>
            <w:r>
              <w:t>EESC-2022-01049-00-00-AC</w:t>
            </w:r>
          </w:p>
        </w:tc>
      </w:tr>
    </w:tbl>
    <w:p w:rsidRPr="00164813" w:rsidR="00164813" w:rsidP="00164813" w:rsidRDefault="00164813" w14:paraId="38E9F173" w14:textId="77777777">
      <w:pPr>
        <w:contextualSpacing/>
        <w:rPr>
          <w:b/>
        </w:rPr>
      </w:pPr>
    </w:p>
    <w:p w:rsidRPr="00164813" w:rsidR="00164813" w:rsidP="002C4B6E" w:rsidRDefault="00164813" w14:paraId="01E095E2" w14:textId="28FC8A04">
      <w:pPr>
        <w:pStyle w:val="ListParagraph"/>
        <w:spacing w:line="240" w:lineRule="auto"/>
        <w:ind w:left="-142" w:firstLine="142"/>
        <w:rPr>
          <w:b/>
        </w:rPr>
      </w:pPr>
      <w:r>
        <w:rPr>
          <w:b/>
          <w:bCs/>
        </w:rPr>
        <w:t>Svarīgākie aspekti</w:t>
      </w:r>
    </w:p>
    <w:p w:rsidRPr="00164813" w:rsidR="00164813" w:rsidP="00164813" w:rsidRDefault="00164813" w14:paraId="1FE2AF0F" w14:textId="77777777">
      <w:pPr>
        <w:contextualSpacing/>
        <w:rPr>
          <w:lang w:val="fr-FR"/>
        </w:rPr>
      </w:pPr>
    </w:p>
    <w:p w:rsidRPr="00164813" w:rsidR="00164813" w:rsidP="00164813" w:rsidRDefault="00164813" w14:paraId="56628F84" w14:textId="77777777">
      <w:pPr>
        <w:contextualSpacing/>
      </w:pPr>
      <w:r>
        <w:t>EESK:</w:t>
      </w:r>
    </w:p>
    <w:p w:rsidRPr="00164813" w:rsidR="00164813" w:rsidP="00164813" w:rsidRDefault="00164813" w14:paraId="1E28AD39" w14:textId="77777777">
      <w:pPr>
        <w:contextualSpacing/>
        <w:rPr>
          <w:lang w:val="fr-FR"/>
        </w:rPr>
      </w:pPr>
    </w:p>
    <w:p w:rsidRPr="00164813" w:rsidR="00164813" w:rsidP="00164813" w:rsidRDefault="00A3344B" w14:paraId="198A1743" w14:textId="77777777">
      <w:pPr>
        <w:numPr>
          <w:ilvl w:val="0"/>
          <w:numId w:val="3"/>
        </w:numPr>
        <w:overflowPunct w:val="0"/>
        <w:autoSpaceDE w:val="0"/>
        <w:autoSpaceDN w:val="0"/>
        <w:adjustRightInd w:val="0"/>
        <w:ind w:left="357" w:hanging="357"/>
        <w:textAlignment w:val="baseline"/>
        <w:rPr>
          <w:bCs/>
          <w:iCs/>
        </w:rPr>
      </w:pPr>
      <w:r>
        <w:t xml:space="preserve">uzskata, ka ir steidzami jāatbalsta mazie un vidējie uzņēmumi (MMVU), lai tie pēc iespējas labāk </w:t>
      </w:r>
      <w:r>
        <w:rPr>
          <w:b/>
        </w:rPr>
        <w:t>izprastu zaļo pārkārtošanos un spētu to īstenot</w:t>
      </w:r>
      <w:r>
        <w:t>;</w:t>
      </w:r>
    </w:p>
    <w:p w:rsidRPr="00164813" w:rsidR="00164813" w:rsidP="00164813" w:rsidRDefault="00A3344B" w14:paraId="61AB179D" w14:textId="77777777">
      <w:pPr>
        <w:numPr>
          <w:ilvl w:val="0"/>
          <w:numId w:val="3"/>
        </w:numPr>
        <w:overflowPunct w:val="0"/>
        <w:autoSpaceDE w:val="0"/>
        <w:autoSpaceDN w:val="0"/>
        <w:adjustRightInd w:val="0"/>
        <w:ind w:left="357" w:hanging="357"/>
        <w:textAlignment w:val="baseline"/>
        <w:rPr>
          <w:bCs/>
          <w:iCs/>
        </w:rPr>
      </w:pPr>
      <w:r>
        <w:t xml:space="preserve">aicina izstrādāt visaptverošu programmu, kas ietvertu </w:t>
      </w:r>
      <w:r>
        <w:rPr>
          <w:b/>
        </w:rPr>
        <w:t xml:space="preserve">īpaši pielāgotus risinājumus un precīzi </w:t>
      </w:r>
      <w:proofErr w:type="spellStart"/>
      <w:r>
        <w:rPr>
          <w:b/>
        </w:rPr>
        <w:t>mērķorientētas</w:t>
      </w:r>
      <w:proofErr w:type="spellEnd"/>
      <w:r>
        <w:rPr>
          <w:b/>
        </w:rPr>
        <w:t xml:space="preserve"> </w:t>
      </w:r>
      <w:proofErr w:type="spellStart"/>
      <w:r>
        <w:rPr>
          <w:b/>
        </w:rPr>
        <w:t>rīcībpolitikas</w:t>
      </w:r>
      <w:proofErr w:type="spellEnd"/>
      <w:r>
        <w:t xml:space="preserve"> un pasākumus, kas būtu vērsti uz atbalstu </w:t>
      </w:r>
      <w:proofErr w:type="spellStart"/>
      <w:r>
        <w:t>mikrouzņēmumiem</w:t>
      </w:r>
      <w:proofErr w:type="spellEnd"/>
      <w:r>
        <w:t xml:space="preserve">, maziem un vidējiem uzņēmumiem visos jautājumos, ar ko tie saskaras savā </w:t>
      </w:r>
      <w:proofErr w:type="spellStart"/>
      <w:r>
        <w:t>darījumdarbībā</w:t>
      </w:r>
      <w:proofErr w:type="spellEnd"/>
      <w:r>
        <w:t>, pārejā uz videi nekaitīgu rīcību un tiesību aktu izpildē;</w:t>
      </w:r>
    </w:p>
    <w:p w:rsidR="00164813" w:rsidP="00164813" w:rsidRDefault="00A3344B" w14:paraId="7BB5DDAA" w14:textId="77777777">
      <w:pPr>
        <w:numPr>
          <w:ilvl w:val="0"/>
          <w:numId w:val="3"/>
        </w:numPr>
        <w:overflowPunct w:val="0"/>
        <w:autoSpaceDE w:val="0"/>
        <w:autoSpaceDN w:val="0"/>
        <w:adjustRightInd w:val="0"/>
        <w:ind w:left="357" w:hanging="357"/>
        <w:textAlignment w:val="baseline"/>
      </w:pPr>
      <w:r>
        <w:t xml:space="preserve">uzskata, ka tūlītējs un mērķtiecīgs īstermiņa atbalsts MMVU ir izšķiroši svarīgs, lai </w:t>
      </w:r>
      <w:r>
        <w:rPr>
          <w:b/>
        </w:rPr>
        <w:t>veicinātu to ekonomikas atveseļošanu</w:t>
      </w:r>
      <w:r>
        <w:t xml:space="preserve"> no pandēmijas un palīdzētu tiem </w:t>
      </w:r>
      <w:r>
        <w:rPr>
          <w:b/>
        </w:rPr>
        <w:t>pārvarēt sekas, ko radījis Krievijas iebrukums Ukrainā,</w:t>
      </w:r>
      <w:r>
        <w:t xml:space="preserve"> piemēram, augstās enerģijas cenas un materiālu un produktu piegādes trūkums;</w:t>
      </w:r>
    </w:p>
    <w:p w:rsidR="00BC3FCE" w:rsidP="00164813" w:rsidRDefault="00A3344B" w14:paraId="0B05B7B9" w14:textId="77777777">
      <w:pPr>
        <w:numPr>
          <w:ilvl w:val="0"/>
          <w:numId w:val="3"/>
        </w:numPr>
        <w:overflowPunct w:val="0"/>
        <w:autoSpaceDE w:val="0"/>
        <w:autoSpaceDN w:val="0"/>
        <w:adjustRightInd w:val="0"/>
        <w:ind w:left="357" w:hanging="357"/>
        <w:textAlignment w:val="baseline"/>
      </w:pPr>
      <w:r>
        <w:t xml:space="preserve">ierosina </w:t>
      </w:r>
      <w:r>
        <w:rPr>
          <w:b/>
        </w:rPr>
        <w:t>vairākos reģionos izveidot “</w:t>
      </w:r>
      <w:proofErr w:type="spellStart"/>
      <w:r>
        <w:rPr>
          <w:b/>
        </w:rPr>
        <w:t>apritīguma</w:t>
      </w:r>
      <w:proofErr w:type="spellEnd"/>
      <w:r>
        <w:rPr>
          <w:b/>
        </w:rPr>
        <w:t xml:space="preserve"> centrus”</w:t>
      </w:r>
      <w:r>
        <w:t>, lai uzlabotu MMVU resursu izmantošanas efektivitāti. Tā mērķim vajadzētu būt dažādu nozaru uzņēmumu sadarbības veicināšanai un jaunas prakses un procesu attīstības atvieglošanai, tostarp jaunu tehnoloģiju demonstrēšanai;</w:t>
      </w:r>
    </w:p>
    <w:p w:rsidR="00BC3FCE" w:rsidP="00164813" w:rsidRDefault="00361E48" w14:paraId="7565FC83" w14:textId="77777777">
      <w:pPr>
        <w:numPr>
          <w:ilvl w:val="0"/>
          <w:numId w:val="3"/>
        </w:numPr>
        <w:overflowPunct w:val="0"/>
        <w:autoSpaceDE w:val="0"/>
        <w:autoSpaceDN w:val="0"/>
        <w:adjustRightInd w:val="0"/>
        <w:ind w:left="357" w:hanging="357"/>
        <w:textAlignment w:val="baseline"/>
      </w:pPr>
      <w:r>
        <w:t xml:space="preserve">aicina ES un dalībvalstis </w:t>
      </w:r>
      <w:r>
        <w:rPr>
          <w:b/>
        </w:rPr>
        <w:t>paātrināt MMVU zaļos ieguldījumus</w:t>
      </w:r>
      <w:r>
        <w:t>, nodrošinot labvēlīgu, prognozējamu un stimulējošu normatīvo vidi;</w:t>
      </w:r>
    </w:p>
    <w:p w:rsidR="00BC3FCE" w:rsidP="00164813" w:rsidRDefault="00361E48" w14:paraId="6495124B" w14:textId="77777777">
      <w:pPr>
        <w:numPr>
          <w:ilvl w:val="0"/>
          <w:numId w:val="3"/>
        </w:numPr>
        <w:overflowPunct w:val="0"/>
        <w:autoSpaceDE w:val="0"/>
        <w:autoSpaceDN w:val="0"/>
        <w:adjustRightInd w:val="0"/>
        <w:ind w:left="357" w:hanging="357"/>
        <w:textAlignment w:val="baseline"/>
      </w:pPr>
      <w:r>
        <w:t xml:space="preserve">uzsver nepieciešamību nodrošināt </w:t>
      </w:r>
      <w:r>
        <w:rPr>
          <w:b/>
        </w:rPr>
        <w:t>ciešu sadarbību starp izglītības iestādēm un MMVU, veidojot apmācību tā</w:t>
      </w:r>
      <w:r>
        <w:t xml:space="preserve">, lai tā atbilstu prasmēm un iemaņām, kas vajadzīgas zaļajai pārkārtošanai, tostarp izmantojot gan darba ņēmēju, gan uzņēmēju kvalifikācijas celšanu un </w:t>
      </w:r>
      <w:proofErr w:type="spellStart"/>
      <w:r>
        <w:t>pārkvalifikāciju</w:t>
      </w:r>
      <w:proofErr w:type="spellEnd"/>
      <w:r>
        <w:t>;</w:t>
      </w:r>
    </w:p>
    <w:p w:rsidRPr="00164813" w:rsidR="00361E48" w:rsidP="00164813" w:rsidRDefault="00361E48" w14:paraId="45EBA5E1" w14:textId="77777777">
      <w:pPr>
        <w:numPr>
          <w:ilvl w:val="0"/>
          <w:numId w:val="3"/>
        </w:numPr>
        <w:overflowPunct w:val="0"/>
        <w:autoSpaceDE w:val="0"/>
        <w:autoSpaceDN w:val="0"/>
        <w:adjustRightInd w:val="0"/>
        <w:ind w:left="357" w:hanging="357"/>
        <w:textAlignment w:val="baseline"/>
      </w:pPr>
      <w:r>
        <w:t xml:space="preserve">mudina </w:t>
      </w:r>
      <w:r>
        <w:rPr>
          <w:b/>
        </w:rPr>
        <w:t>veicināt MMVU izstrādāto zaļo risinājumu tirdzniecību</w:t>
      </w:r>
      <w:r>
        <w:t xml:space="preserve">, tostarp </w:t>
      </w:r>
      <w:r>
        <w:rPr>
          <w:b/>
        </w:rPr>
        <w:t>publiskā iepirkuma</w:t>
      </w:r>
      <w:r>
        <w:t xml:space="preserve"> jomā.</w:t>
      </w:r>
    </w:p>
    <w:p w:rsidRPr="00164813" w:rsidR="00164813" w:rsidP="00164813" w:rsidRDefault="00164813" w14:paraId="7C479262"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164813" w:rsidTr="00B83E7B" w14:paraId="697B6325" w14:textId="77777777">
        <w:tc>
          <w:tcPr>
            <w:tcW w:w="1418" w:type="dxa"/>
          </w:tcPr>
          <w:p w:rsidRPr="00164813" w:rsidR="00164813" w:rsidP="00164813" w:rsidRDefault="00164813" w14:paraId="60C7BE26" w14:textId="77777777">
            <w:pPr>
              <w:contextualSpacing/>
              <w:rPr>
                <w:i/>
              </w:rPr>
            </w:pPr>
            <w:r>
              <w:rPr>
                <w:b/>
                <w:i/>
              </w:rPr>
              <w:t>Kontaktpersona:</w:t>
            </w:r>
          </w:p>
        </w:tc>
        <w:tc>
          <w:tcPr>
            <w:tcW w:w="5670" w:type="dxa"/>
          </w:tcPr>
          <w:p w:rsidRPr="00164813" w:rsidR="00164813" w:rsidP="00164813" w:rsidRDefault="00361E48" w14:paraId="69D69E14" w14:textId="77777777">
            <w:pPr>
              <w:contextualSpacing/>
              <w:rPr>
                <w:i/>
              </w:rPr>
            </w:pPr>
            <w:proofErr w:type="spellStart"/>
            <w:r>
              <w:rPr>
                <w:i/>
                <w:iCs/>
              </w:rPr>
              <w:t>Dalila</w:t>
            </w:r>
            <w:proofErr w:type="spellEnd"/>
            <w:r>
              <w:rPr>
                <w:i/>
                <w:iCs/>
              </w:rPr>
              <w:t xml:space="preserve"> Bernard</w:t>
            </w:r>
          </w:p>
        </w:tc>
      </w:tr>
      <w:tr w:rsidRPr="00164813" w:rsidR="00164813" w:rsidTr="00B83E7B" w14:paraId="288640A9" w14:textId="77777777">
        <w:tc>
          <w:tcPr>
            <w:tcW w:w="1418" w:type="dxa"/>
          </w:tcPr>
          <w:p w:rsidRPr="00164813" w:rsidR="00164813" w:rsidP="00164813" w:rsidRDefault="00164813" w14:paraId="3D976246" w14:textId="77777777">
            <w:pPr>
              <w:ind w:left="601"/>
              <w:contextualSpacing/>
              <w:rPr>
                <w:i/>
              </w:rPr>
            </w:pPr>
            <w:r>
              <w:rPr>
                <w:i/>
              </w:rPr>
              <w:t>Tālr.:</w:t>
            </w:r>
          </w:p>
        </w:tc>
        <w:tc>
          <w:tcPr>
            <w:tcW w:w="5670" w:type="dxa"/>
          </w:tcPr>
          <w:p w:rsidRPr="00164813" w:rsidR="00164813" w:rsidP="00164813" w:rsidRDefault="00E11C18" w14:paraId="73A1FD7B" w14:textId="77777777">
            <w:pPr>
              <w:contextualSpacing/>
              <w:rPr>
                <w:i/>
              </w:rPr>
            </w:pPr>
            <w:r>
              <w:rPr>
                <w:i/>
              </w:rPr>
              <w:t>00 32 2 546 84 38</w:t>
            </w:r>
          </w:p>
        </w:tc>
      </w:tr>
      <w:tr w:rsidRPr="00164813" w:rsidR="00164813" w:rsidTr="00B83E7B" w14:paraId="75C5E7D5" w14:textId="77777777">
        <w:tc>
          <w:tcPr>
            <w:tcW w:w="1418" w:type="dxa"/>
          </w:tcPr>
          <w:p w:rsidRPr="00164813" w:rsidR="00164813" w:rsidP="00164813" w:rsidRDefault="00164813" w14:paraId="416B594E" w14:textId="77777777">
            <w:pPr>
              <w:ind w:left="601"/>
              <w:contextualSpacing/>
              <w:rPr>
                <w:i/>
              </w:rPr>
            </w:pPr>
            <w:r>
              <w:rPr>
                <w:i/>
              </w:rPr>
              <w:t>E-pasts:</w:t>
            </w:r>
          </w:p>
        </w:tc>
        <w:tc>
          <w:tcPr>
            <w:tcW w:w="5670" w:type="dxa"/>
          </w:tcPr>
          <w:p w:rsidRPr="00164813" w:rsidR="00032038" w:rsidP="00910972" w:rsidRDefault="0039128C" w14:paraId="196C9612" w14:textId="519B2DB4">
            <w:pPr>
              <w:contextualSpacing/>
              <w:rPr>
                <w:i/>
              </w:rPr>
            </w:pPr>
            <w:hyperlink w:history="1" r:id="rId33">
              <w:r w:rsidR="00B80426">
                <w:rPr>
                  <w:rStyle w:val="Hyperlink"/>
                </w:rPr>
                <w:t xml:space="preserve"> Dalila.Bernard@eesc.europa.eu</w:t>
              </w:r>
            </w:hyperlink>
          </w:p>
        </w:tc>
      </w:tr>
    </w:tbl>
    <w:p w:rsidR="00D35512" w:rsidRDefault="00D35512" w14:paraId="445BD888" w14:textId="085727DD">
      <w:pPr>
        <w:spacing w:after="160" w:line="259" w:lineRule="auto"/>
        <w:jc w:val="left"/>
        <w:rPr>
          <w:sz w:val="28"/>
        </w:rPr>
      </w:pPr>
    </w:p>
    <w:p w:rsidR="00D35512" w:rsidRDefault="00D35512" w14:paraId="12A10D9F" w14:textId="77777777">
      <w:pPr>
        <w:spacing w:after="160" w:line="259" w:lineRule="auto"/>
        <w:jc w:val="left"/>
        <w:rPr>
          <w:sz w:val="28"/>
        </w:rPr>
      </w:pPr>
      <w:r>
        <w:br w:type="page"/>
      </w:r>
    </w:p>
    <w:p w:rsidRPr="00032038" w:rsidR="00032038" w:rsidP="00032038" w:rsidRDefault="00361E48" w14:paraId="128EA084" w14:textId="77777777">
      <w:pPr>
        <w:numPr>
          <w:ilvl w:val="0"/>
          <w:numId w:val="2"/>
        </w:numPr>
        <w:ind w:left="567" w:hanging="567"/>
        <w:contextualSpacing/>
        <w:rPr>
          <w:b/>
          <w:i/>
          <w:sz w:val="28"/>
          <w:szCs w:val="28"/>
        </w:rPr>
      </w:pPr>
      <w:r>
        <w:rPr>
          <w:b/>
          <w:i/>
          <w:sz w:val="28"/>
        </w:rPr>
        <w:lastRenderedPageBreak/>
        <w:t>Eiropas integrācijas trūkuma radītās izmaksas – vienotā tirgus priekšrocības</w:t>
      </w:r>
    </w:p>
    <w:p w:rsidRPr="00032038" w:rsidR="00032038" w:rsidP="00032038" w:rsidRDefault="00032038" w14:paraId="04B0A9E5" w14:textId="77777777">
      <w:pPr>
        <w:contextualSpacing/>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79"/>
      </w:tblGrid>
      <w:tr w:rsidRPr="00032038" w:rsidR="00032038" w:rsidTr="00A5507B" w14:paraId="2740ABE2" w14:textId="77777777">
        <w:tc>
          <w:tcPr>
            <w:tcW w:w="1701" w:type="dxa"/>
          </w:tcPr>
          <w:p w:rsidRPr="00032038" w:rsidR="00032038" w:rsidP="00B83E7B" w:rsidRDefault="00032038" w14:paraId="087263AD" w14:textId="77777777">
            <w:pPr>
              <w:contextualSpacing/>
              <w:rPr>
                <w:b/>
              </w:rPr>
            </w:pPr>
            <w:r>
              <w:rPr>
                <w:b/>
              </w:rPr>
              <w:t>Ziņotājs:</w:t>
            </w:r>
          </w:p>
        </w:tc>
        <w:tc>
          <w:tcPr>
            <w:tcW w:w="6379" w:type="dxa"/>
          </w:tcPr>
          <w:p w:rsidRPr="00032038" w:rsidR="00032038" w:rsidP="00B83E7B" w:rsidRDefault="00361E48" w14:paraId="2766A124" w14:textId="77777777">
            <w:pPr>
              <w:ind w:left="-108"/>
              <w:contextualSpacing/>
            </w:pPr>
            <w:r>
              <w:t>Philip VON BROCKDORFF (Darba ņēmēju grupa – MT)</w:t>
            </w:r>
          </w:p>
        </w:tc>
      </w:tr>
      <w:tr w:rsidRPr="00032038" w:rsidR="00361E48" w:rsidTr="00A5507B" w14:paraId="522673DF" w14:textId="77777777">
        <w:tc>
          <w:tcPr>
            <w:tcW w:w="1701" w:type="dxa"/>
          </w:tcPr>
          <w:p w:rsidRPr="00032038" w:rsidR="00361E48" w:rsidP="00B83E7B" w:rsidRDefault="00361E48" w14:paraId="770ED3B7" w14:textId="77777777">
            <w:pPr>
              <w:contextualSpacing/>
              <w:rPr>
                <w:b/>
              </w:rPr>
            </w:pPr>
            <w:r>
              <w:rPr>
                <w:b/>
              </w:rPr>
              <w:t>Līdzziņotāja</w:t>
            </w:r>
          </w:p>
        </w:tc>
        <w:tc>
          <w:tcPr>
            <w:tcW w:w="6379" w:type="dxa"/>
          </w:tcPr>
          <w:p w:rsidRPr="0022407C" w:rsidR="00361E48" w:rsidP="00B83E7B" w:rsidRDefault="00361E48" w14:paraId="0EDD12C9" w14:textId="77777777">
            <w:pPr>
              <w:ind w:left="-108"/>
              <w:contextualSpacing/>
            </w:pPr>
            <w:proofErr w:type="spellStart"/>
            <w:r>
              <w:t>Emilie</w:t>
            </w:r>
            <w:proofErr w:type="spellEnd"/>
            <w:r>
              <w:t xml:space="preserve"> PROUZET (Darba devēju grupa – FR)</w:t>
            </w:r>
          </w:p>
        </w:tc>
      </w:tr>
      <w:tr w:rsidRPr="00032038" w:rsidR="00032038" w:rsidTr="00A5507B" w14:paraId="0BCEFD7B" w14:textId="77777777">
        <w:tc>
          <w:tcPr>
            <w:tcW w:w="8080" w:type="dxa"/>
            <w:gridSpan w:val="2"/>
          </w:tcPr>
          <w:p w:rsidRPr="00032038" w:rsidR="00032038" w:rsidP="00B83E7B" w:rsidRDefault="00032038" w14:paraId="28381D76" w14:textId="77777777">
            <w:pPr>
              <w:contextualSpacing/>
              <w:rPr>
                <w:lang w:val="fr-BE"/>
              </w:rPr>
            </w:pPr>
          </w:p>
        </w:tc>
      </w:tr>
      <w:tr w:rsidRPr="00032038" w:rsidR="00032038" w:rsidTr="00A5507B" w14:paraId="1FFE70FE" w14:textId="77777777">
        <w:tc>
          <w:tcPr>
            <w:tcW w:w="1701" w:type="dxa"/>
          </w:tcPr>
          <w:p w:rsidRPr="00032038" w:rsidR="00032038" w:rsidP="00B83E7B" w:rsidRDefault="00032038" w14:paraId="1EDF0159" w14:textId="77777777">
            <w:pPr>
              <w:contextualSpacing/>
              <w:rPr>
                <w:b/>
              </w:rPr>
            </w:pPr>
            <w:r>
              <w:rPr>
                <w:b/>
              </w:rPr>
              <w:t xml:space="preserve">Atsauce: </w:t>
            </w:r>
          </w:p>
        </w:tc>
        <w:tc>
          <w:tcPr>
            <w:tcW w:w="6379" w:type="dxa"/>
          </w:tcPr>
          <w:p w:rsidRPr="00032038" w:rsidR="00032038" w:rsidP="00A5507B" w:rsidRDefault="00361E48" w14:paraId="6C436681" w14:textId="77777777">
            <w:pPr>
              <w:tabs>
                <w:tab w:val="center" w:pos="284"/>
              </w:tabs>
              <w:ind w:left="266" w:right="-534" w:hanging="374"/>
            </w:pPr>
            <w:r>
              <w:t>Izpētes atzinums pēc Padomes prezidentvalsts Čehijas pieprasījuma</w:t>
            </w:r>
          </w:p>
          <w:p w:rsidRPr="00032038" w:rsidR="00032038" w:rsidP="00B83E7B" w:rsidRDefault="00032038" w14:paraId="70C06563" w14:textId="77777777">
            <w:pPr>
              <w:ind w:left="-108"/>
              <w:contextualSpacing/>
            </w:pPr>
            <w:r>
              <w:t>EESC-2022-01691-00-00-AC</w:t>
            </w:r>
          </w:p>
        </w:tc>
      </w:tr>
    </w:tbl>
    <w:p w:rsidRPr="00032038" w:rsidR="00032038" w:rsidP="00032038" w:rsidRDefault="00032038" w14:paraId="7F4174A5" w14:textId="77777777">
      <w:pPr>
        <w:contextualSpacing/>
        <w:rPr>
          <w:b/>
        </w:rPr>
      </w:pPr>
    </w:p>
    <w:p w:rsidRPr="00032038" w:rsidR="00032038" w:rsidP="002C4B6E" w:rsidRDefault="00032038" w14:paraId="0D24DCE0" w14:textId="19BB44B8">
      <w:pPr>
        <w:pStyle w:val="ListParagraph"/>
        <w:spacing w:line="240" w:lineRule="auto"/>
        <w:ind w:left="-142" w:firstLine="142"/>
        <w:rPr>
          <w:b/>
        </w:rPr>
      </w:pPr>
      <w:r>
        <w:rPr>
          <w:b/>
          <w:bCs/>
        </w:rPr>
        <w:t>Svarīgākie aspekti</w:t>
      </w:r>
    </w:p>
    <w:p w:rsidRPr="00032038" w:rsidR="00032038" w:rsidP="00032038" w:rsidRDefault="00032038" w14:paraId="5A3A2576" w14:textId="77777777">
      <w:pPr>
        <w:contextualSpacing/>
        <w:rPr>
          <w:lang w:val="fr-FR"/>
        </w:rPr>
      </w:pPr>
    </w:p>
    <w:p w:rsidR="00032038" w:rsidP="00032038" w:rsidRDefault="00032038" w14:paraId="03BC0087" w14:textId="77777777">
      <w:pPr>
        <w:contextualSpacing/>
      </w:pPr>
      <w:r>
        <w:t>EESK:</w:t>
      </w:r>
    </w:p>
    <w:p w:rsidRPr="00032038" w:rsidR="00E54548" w:rsidP="00032038" w:rsidRDefault="00E54548" w14:paraId="5E6CFAA8" w14:textId="77777777">
      <w:pPr>
        <w:contextualSpacing/>
        <w:rPr>
          <w:lang w:val="fr-FR"/>
        </w:rPr>
      </w:pPr>
    </w:p>
    <w:p w:rsidRPr="00032038" w:rsidR="00032038" w:rsidP="00032038" w:rsidRDefault="00361E48" w14:paraId="15D8E10A" w14:textId="77777777">
      <w:pPr>
        <w:numPr>
          <w:ilvl w:val="0"/>
          <w:numId w:val="3"/>
        </w:numPr>
        <w:overflowPunct w:val="0"/>
        <w:autoSpaceDE w:val="0"/>
        <w:autoSpaceDN w:val="0"/>
        <w:adjustRightInd w:val="0"/>
        <w:ind w:left="357" w:hanging="357"/>
        <w:textAlignment w:val="baseline"/>
        <w:rPr>
          <w:bCs/>
          <w:iCs/>
        </w:rPr>
      </w:pPr>
      <w:r>
        <w:t>uzskata, ka vienotā tirgus pamatuzdevums ir uzlabot labklājību, izmantojot sociālo un ekonomisko konverģenci nolūkā samazināt nevienlīdzību un nodrošināt, ka sociālās nelīdzsvarotības palielināšanās nekļūst par nopietnu šķērsli Eiropas integrācijai;</w:t>
      </w:r>
    </w:p>
    <w:p w:rsidRPr="00032038" w:rsidR="00032038" w:rsidP="00032038" w:rsidRDefault="00361E48" w14:paraId="3C3E0696" w14:textId="77777777">
      <w:pPr>
        <w:numPr>
          <w:ilvl w:val="0"/>
          <w:numId w:val="3"/>
        </w:numPr>
        <w:overflowPunct w:val="0"/>
        <w:autoSpaceDE w:val="0"/>
        <w:autoSpaceDN w:val="0"/>
        <w:adjustRightInd w:val="0"/>
        <w:ind w:left="357" w:hanging="357"/>
        <w:textAlignment w:val="baseline"/>
        <w:rPr>
          <w:bCs/>
          <w:iCs/>
        </w:rPr>
      </w:pPr>
      <w:r>
        <w:t>uzskata, ka valstu tiesību akti, kas potenciāli apgrūtina iekšējā tirgus darbību, jāpaziņo Eiropas Komisijai, jākomentē un jānovērtē;</w:t>
      </w:r>
    </w:p>
    <w:p w:rsidR="00032038" w:rsidP="00032038" w:rsidRDefault="00361E48" w14:paraId="328F8D0C" w14:textId="77777777">
      <w:pPr>
        <w:numPr>
          <w:ilvl w:val="0"/>
          <w:numId w:val="3"/>
        </w:numPr>
        <w:overflowPunct w:val="0"/>
        <w:autoSpaceDE w:val="0"/>
        <w:autoSpaceDN w:val="0"/>
        <w:adjustRightInd w:val="0"/>
        <w:ind w:left="357" w:hanging="357"/>
        <w:textAlignment w:val="baseline"/>
      </w:pPr>
      <w:r>
        <w:t>aicina efektīvi ieviest un piemērot tās direktīvas, par kurām jau panākta vienošanās un noticis balsojums, piemēram, labāka regulējuma paketi;</w:t>
      </w:r>
    </w:p>
    <w:p w:rsidRPr="00361E48" w:rsidR="00622822" w:rsidP="00032038" w:rsidRDefault="00361E48" w14:paraId="4822D60F" w14:textId="77777777">
      <w:pPr>
        <w:numPr>
          <w:ilvl w:val="0"/>
          <w:numId w:val="3"/>
        </w:numPr>
        <w:overflowPunct w:val="0"/>
        <w:autoSpaceDE w:val="0"/>
        <w:autoSpaceDN w:val="0"/>
        <w:adjustRightInd w:val="0"/>
        <w:ind w:left="357" w:hanging="357"/>
        <w:textAlignment w:val="baseline"/>
      </w:pPr>
      <w:r>
        <w:t>uzskata, ka Digitālo pakalpojumu aktam (DPA) un Digitālo tirgu aktam (DTA) ir izšķiroša nozīme vienlīdzīgu konkurences apstākļu nodrošināšanai starp operatoriem digitālajos tirgos;</w:t>
      </w:r>
    </w:p>
    <w:p w:rsidR="00361E48" w:rsidP="00032038" w:rsidRDefault="00361E48" w14:paraId="7B7AC8F9" w14:textId="77777777">
      <w:pPr>
        <w:numPr>
          <w:ilvl w:val="0"/>
          <w:numId w:val="3"/>
        </w:numPr>
        <w:overflowPunct w:val="0"/>
        <w:autoSpaceDE w:val="0"/>
        <w:autoSpaceDN w:val="0"/>
        <w:adjustRightInd w:val="0"/>
        <w:ind w:left="357" w:hanging="357"/>
        <w:textAlignment w:val="baseline"/>
      </w:pPr>
      <w:r>
        <w:t>iesaka saskaņot pieeju dalībvalstu starpā Ukrainas krīzes iespaidoto produktu tirdzniecības jautājumā;</w:t>
      </w:r>
    </w:p>
    <w:p w:rsidR="00361E48" w:rsidP="00032038" w:rsidRDefault="00361E48" w14:paraId="307CFC42" w14:textId="77777777">
      <w:pPr>
        <w:numPr>
          <w:ilvl w:val="0"/>
          <w:numId w:val="3"/>
        </w:numPr>
        <w:overflowPunct w:val="0"/>
        <w:autoSpaceDE w:val="0"/>
        <w:autoSpaceDN w:val="0"/>
        <w:adjustRightInd w:val="0"/>
        <w:ind w:left="357" w:hanging="357"/>
        <w:textAlignment w:val="baseline"/>
      </w:pPr>
      <w:r>
        <w:t>norāda, ka Eiropas Savienībai vēl joprojām ir 27 kapitāla un finanšu tirgi, kas nedarbojas vienoti, tādējādi ierobežojot vienotā tirgus potenciālu;</w:t>
      </w:r>
    </w:p>
    <w:p w:rsidRPr="00032038" w:rsidR="00361E48" w:rsidP="00032038" w:rsidRDefault="00361E48" w14:paraId="45E636EF" w14:textId="77777777">
      <w:pPr>
        <w:numPr>
          <w:ilvl w:val="0"/>
          <w:numId w:val="3"/>
        </w:numPr>
        <w:overflowPunct w:val="0"/>
        <w:autoSpaceDE w:val="0"/>
        <w:autoSpaceDN w:val="0"/>
        <w:adjustRightInd w:val="0"/>
        <w:ind w:left="357" w:hanging="357"/>
        <w:textAlignment w:val="baseline"/>
      </w:pPr>
      <w:r>
        <w:t>uzskata, ka būtu jāpieņem “atvērtas stratēģiskās autonomijas” modelis, it īpaši svarīgākajās nozarēs.</w:t>
      </w:r>
    </w:p>
    <w:p w:rsidRPr="00032038" w:rsidR="00032038" w:rsidP="00032038" w:rsidRDefault="00032038" w14:paraId="2BD64930"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361E48" w:rsidTr="008B66DD" w14:paraId="0D55A858" w14:textId="77777777">
        <w:tc>
          <w:tcPr>
            <w:tcW w:w="1418" w:type="dxa"/>
          </w:tcPr>
          <w:p w:rsidRPr="00164813" w:rsidR="00361E48" w:rsidP="008B66DD" w:rsidRDefault="00361E48" w14:paraId="56C29286" w14:textId="77777777">
            <w:pPr>
              <w:contextualSpacing/>
              <w:rPr>
                <w:i/>
              </w:rPr>
            </w:pPr>
            <w:r>
              <w:rPr>
                <w:b/>
                <w:i/>
              </w:rPr>
              <w:t>Kontaktpersona:</w:t>
            </w:r>
          </w:p>
        </w:tc>
        <w:tc>
          <w:tcPr>
            <w:tcW w:w="5670" w:type="dxa"/>
          </w:tcPr>
          <w:p w:rsidRPr="00164813" w:rsidR="00361E48" w:rsidP="008B66DD" w:rsidRDefault="00361E48" w14:paraId="017C0197" w14:textId="77777777">
            <w:pPr>
              <w:contextualSpacing/>
              <w:rPr>
                <w:i/>
              </w:rPr>
            </w:pPr>
            <w:proofErr w:type="spellStart"/>
            <w:r>
              <w:rPr>
                <w:i/>
              </w:rPr>
              <w:t>Claudia</w:t>
            </w:r>
            <w:proofErr w:type="spellEnd"/>
            <w:r>
              <w:rPr>
                <w:i/>
              </w:rPr>
              <w:t xml:space="preserve"> </w:t>
            </w:r>
            <w:proofErr w:type="spellStart"/>
            <w:r>
              <w:rPr>
                <w:i/>
              </w:rPr>
              <w:t>Drewes-Wran</w:t>
            </w:r>
            <w:proofErr w:type="spellEnd"/>
          </w:p>
        </w:tc>
      </w:tr>
      <w:tr w:rsidRPr="00164813" w:rsidR="00361E48" w:rsidTr="008B66DD" w14:paraId="2666BE14" w14:textId="77777777">
        <w:tc>
          <w:tcPr>
            <w:tcW w:w="1418" w:type="dxa"/>
          </w:tcPr>
          <w:p w:rsidRPr="00164813" w:rsidR="00361E48" w:rsidP="008B66DD" w:rsidRDefault="00361E48" w14:paraId="2A27EB13" w14:textId="77777777">
            <w:pPr>
              <w:ind w:left="601"/>
              <w:contextualSpacing/>
              <w:rPr>
                <w:i/>
              </w:rPr>
            </w:pPr>
            <w:r>
              <w:rPr>
                <w:i/>
              </w:rPr>
              <w:t>Tālr.:</w:t>
            </w:r>
          </w:p>
        </w:tc>
        <w:tc>
          <w:tcPr>
            <w:tcW w:w="5670" w:type="dxa"/>
          </w:tcPr>
          <w:p w:rsidRPr="00164813" w:rsidR="00361E48" w:rsidP="008B66DD" w:rsidRDefault="00361E48" w14:paraId="5871F23C" w14:textId="77777777">
            <w:pPr>
              <w:contextualSpacing/>
              <w:rPr>
                <w:i/>
              </w:rPr>
            </w:pPr>
            <w:r>
              <w:rPr>
                <w:i/>
              </w:rPr>
              <w:t>00 32 2 546 80 67</w:t>
            </w:r>
          </w:p>
        </w:tc>
      </w:tr>
      <w:tr w:rsidRPr="00164813" w:rsidR="00361E48" w:rsidTr="008B66DD" w14:paraId="2382DBA5" w14:textId="77777777">
        <w:tc>
          <w:tcPr>
            <w:tcW w:w="1418" w:type="dxa"/>
          </w:tcPr>
          <w:p w:rsidRPr="00164813" w:rsidR="00361E48" w:rsidP="008B66DD" w:rsidRDefault="00361E48" w14:paraId="4E96D1FE" w14:textId="77777777">
            <w:pPr>
              <w:ind w:left="601"/>
              <w:contextualSpacing/>
              <w:rPr>
                <w:i/>
              </w:rPr>
            </w:pPr>
            <w:r>
              <w:rPr>
                <w:i/>
              </w:rPr>
              <w:t>E-pasts:</w:t>
            </w:r>
          </w:p>
        </w:tc>
        <w:tc>
          <w:tcPr>
            <w:tcW w:w="5670" w:type="dxa"/>
          </w:tcPr>
          <w:p w:rsidRPr="00164813" w:rsidR="00361E48" w:rsidP="00910972" w:rsidRDefault="0039128C" w14:paraId="07034536" w14:textId="0960E89F">
            <w:pPr>
              <w:contextualSpacing/>
              <w:rPr>
                <w:i/>
              </w:rPr>
            </w:pPr>
            <w:hyperlink w:history="1" r:id="rId34">
              <w:r w:rsidR="00B80426">
                <w:rPr>
                  <w:rStyle w:val="Hyperlink"/>
                </w:rPr>
                <w:t xml:space="preserve"> Claudia.Drewes-Wran@eesc.europa.eu</w:t>
              </w:r>
            </w:hyperlink>
          </w:p>
        </w:tc>
      </w:tr>
    </w:tbl>
    <w:p w:rsidR="000956DB" w:rsidRDefault="000956DB" w14:paraId="6E31172A" w14:textId="78CEDAC7">
      <w:pPr>
        <w:spacing w:after="160" w:line="259" w:lineRule="auto"/>
        <w:jc w:val="left"/>
        <w:rPr>
          <w:sz w:val="28"/>
        </w:rPr>
      </w:pPr>
    </w:p>
    <w:p w:rsidR="000956DB" w:rsidRDefault="000956DB" w14:paraId="32ABF98F" w14:textId="77777777">
      <w:pPr>
        <w:spacing w:after="160" w:line="259" w:lineRule="auto"/>
        <w:jc w:val="left"/>
        <w:rPr>
          <w:sz w:val="28"/>
        </w:rPr>
      </w:pPr>
      <w:r>
        <w:br w:type="page"/>
      </w:r>
    </w:p>
    <w:p w:rsidRPr="009B70E7" w:rsidR="002E01B5" w:rsidP="0018231C" w:rsidRDefault="004D7AC0" w14:paraId="6C52985F" w14:textId="77777777">
      <w:pPr>
        <w:pStyle w:val="Heading1"/>
        <w:keepNext/>
        <w:rPr>
          <w:b/>
        </w:rPr>
      </w:pPr>
      <w:bookmarkStart w:name="_Toc70322234" w:id="14"/>
      <w:bookmarkStart w:name="_Toc75527084" w:id="15"/>
      <w:bookmarkStart w:name="_Toc110414907" w:id="16"/>
      <w:r>
        <w:rPr>
          <w:b/>
        </w:rPr>
        <w:lastRenderedPageBreak/>
        <w:t>LAUKSAIMNIECĪBA, LAUKU ATTĪSTĪBA UN VIDE</w:t>
      </w:r>
      <w:bookmarkEnd w:id="14"/>
      <w:bookmarkEnd w:id="15"/>
      <w:bookmarkEnd w:id="16"/>
    </w:p>
    <w:p w:rsidRPr="009B70E7" w:rsidR="009173E7" w:rsidP="1EBA916B" w:rsidRDefault="009173E7" w14:paraId="37AC66EE" w14:textId="77777777">
      <w:pPr>
        <w:keepNext/>
      </w:pPr>
    </w:p>
    <w:p w:rsidRPr="009B70E7" w:rsidR="00AC7690" w:rsidP="0018231C" w:rsidRDefault="000956DB" w14:paraId="6BF57A05" w14:textId="6349D851">
      <w:pPr>
        <w:pStyle w:val="ListParagraph"/>
        <w:keepNext/>
        <w:numPr>
          <w:ilvl w:val="0"/>
          <w:numId w:val="2"/>
        </w:numPr>
        <w:ind w:left="567" w:hanging="567"/>
        <w:rPr>
          <w:b/>
          <w:i/>
          <w:sz w:val="28"/>
          <w:szCs w:val="28"/>
        </w:rPr>
      </w:pPr>
      <w:r>
        <w:rPr>
          <w:b/>
          <w:i/>
          <w:sz w:val="28"/>
        </w:rPr>
        <w:t>ES ģeogrāfiskās izcelsmes norāžu sistēmu pārskatīšana</w:t>
      </w:r>
    </w:p>
    <w:p w:rsidRPr="009B70E7" w:rsidR="004D7AC0" w:rsidP="0018231C" w:rsidRDefault="004D7AC0" w14:paraId="43570F8C"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4D7AC0" w:rsidTr="00662436" w14:paraId="32C9FAF0" w14:textId="77777777">
        <w:tc>
          <w:tcPr>
            <w:tcW w:w="1701" w:type="dxa"/>
          </w:tcPr>
          <w:p w:rsidRPr="009B70E7" w:rsidR="004D7AC0" w:rsidP="0018231C" w:rsidRDefault="004D7AC0" w14:paraId="7DFC3FE7" w14:textId="77777777">
            <w:pPr>
              <w:pStyle w:val="ListParagraph"/>
              <w:keepNext/>
              <w:ind w:left="0"/>
              <w:rPr>
                <w:b/>
              </w:rPr>
            </w:pPr>
            <w:r>
              <w:rPr>
                <w:b/>
              </w:rPr>
              <w:t>Ziņotājs:</w:t>
            </w:r>
          </w:p>
        </w:tc>
        <w:tc>
          <w:tcPr>
            <w:tcW w:w="5387" w:type="dxa"/>
          </w:tcPr>
          <w:p w:rsidRPr="009B70E7" w:rsidR="004D7AC0" w:rsidP="001C4EDC" w:rsidRDefault="00E54548" w14:paraId="512C7D26" w14:textId="77777777">
            <w:pPr>
              <w:pStyle w:val="ListParagraph"/>
              <w:keepNext/>
              <w:ind w:left="-106"/>
            </w:pPr>
            <w:proofErr w:type="spellStart"/>
            <w:r>
              <w:t>Decebal-Ștefăniță</w:t>
            </w:r>
            <w:proofErr w:type="spellEnd"/>
            <w:r>
              <w:t xml:space="preserve"> PADURE (Darba devēju grupa — RO)</w:t>
            </w:r>
          </w:p>
        </w:tc>
      </w:tr>
      <w:tr w:rsidRPr="009B70E7" w:rsidR="004D7AC0" w:rsidTr="00662436" w14:paraId="10493BDC" w14:textId="77777777">
        <w:tc>
          <w:tcPr>
            <w:tcW w:w="1701" w:type="dxa"/>
          </w:tcPr>
          <w:p w:rsidRPr="009B70E7" w:rsidR="004D7AC0" w:rsidP="0018231C" w:rsidRDefault="004D7AC0" w14:paraId="09ACA4C1" w14:textId="77777777">
            <w:pPr>
              <w:pStyle w:val="ListParagraph"/>
              <w:keepNext/>
              <w:ind w:left="0"/>
              <w:rPr>
                <w:b/>
              </w:rPr>
            </w:pPr>
          </w:p>
        </w:tc>
        <w:tc>
          <w:tcPr>
            <w:tcW w:w="5387" w:type="dxa"/>
          </w:tcPr>
          <w:p w:rsidRPr="009B70E7" w:rsidR="004D7AC0" w:rsidP="001C4EDC" w:rsidRDefault="004D7AC0" w14:paraId="3F39323E" w14:textId="77777777">
            <w:pPr>
              <w:pStyle w:val="ListParagraph"/>
              <w:keepNext/>
              <w:ind w:left="-106"/>
            </w:pPr>
          </w:p>
        </w:tc>
      </w:tr>
      <w:tr w:rsidRPr="009B70E7" w:rsidR="004D7AC0" w:rsidTr="00662436" w14:paraId="37A4E77C" w14:textId="77777777">
        <w:tc>
          <w:tcPr>
            <w:tcW w:w="1701" w:type="dxa"/>
          </w:tcPr>
          <w:p w:rsidRPr="007B231B" w:rsidR="004D7AC0" w:rsidP="0018231C" w:rsidRDefault="004D7AC0" w14:paraId="648A1766" w14:textId="77777777">
            <w:pPr>
              <w:pStyle w:val="ListParagraph"/>
              <w:keepNext/>
              <w:ind w:left="0"/>
              <w:rPr>
                <w:b/>
              </w:rPr>
            </w:pPr>
            <w:r>
              <w:rPr>
                <w:b/>
              </w:rPr>
              <w:t xml:space="preserve">Atsauce: </w:t>
            </w:r>
          </w:p>
        </w:tc>
        <w:tc>
          <w:tcPr>
            <w:tcW w:w="5387" w:type="dxa"/>
          </w:tcPr>
          <w:p w:rsidRPr="000956DB" w:rsidR="00814E33" w:rsidP="001C4EDC" w:rsidRDefault="001455A1" w14:paraId="20B091E7" w14:textId="7F25AFCE">
            <w:pPr>
              <w:pStyle w:val="ListParagraph"/>
              <w:keepNext/>
              <w:ind w:left="-106"/>
              <w:rPr>
                <w:iCs/>
                <w:color w:val="000000"/>
              </w:rPr>
            </w:pPr>
            <w:r>
              <w:rPr>
                <w:color w:val="000000"/>
              </w:rPr>
              <w:t xml:space="preserve">COM(2021) 134 </w:t>
            </w:r>
            <w:proofErr w:type="spellStart"/>
            <w:r>
              <w:rPr>
                <w:color w:val="000000"/>
              </w:rPr>
              <w:t>final</w:t>
            </w:r>
            <w:proofErr w:type="spellEnd"/>
          </w:p>
          <w:p w:rsidRPr="00E54548" w:rsidR="004D7AC0" w:rsidP="001C4EDC" w:rsidRDefault="004331B4" w14:paraId="30DA0956" w14:textId="77777777">
            <w:pPr>
              <w:pStyle w:val="ListParagraph"/>
              <w:keepNext/>
              <w:ind w:left="-106"/>
              <w:rPr>
                <w:highlight w:val="yellow"/>
              </w:rPr>
            </w:pPr>
            <w:r>
              <w:t>EESC-2021-06620-00-00-AC</w:t>
            </w:r>
          </w:p>
        </w:tc>
      </w:tr>
    </w:tbl>
    <w:p w:rsidRPr="002C4B6E" w:rsidR="004D7AC0" w:rsidP="002C4B6E" w:rsidRDefault="004D7AC0" w14:paraId="4C513F36" w14:textId="77777777">
      <w:pPr>
        <w:pStyle w:val="ListParagraph"/>
        <w:spacing w:line="240" w:lineRule="auto"/>
        <w:ind w:left="-142" w:firstLine="142"/>
        <w:rPr>
          <w:b/>
        </w:rPr>
      </w:pPr>
    </w:p>
    <w:p w:rsidR="004D7AC0" w:rsidP="002C4B6E" w:rsidRDefault="004D7AC0" w14:paraId="63F2D92D" w14:textId="09C76463">
      <w:pPr>
        <w:pStyle w:val="ListParagraph"/>
        <w:spacing w:line="240" w:lineRule="auto"/>
        <w:ind w:left="-142" w:firstLine="142"/>
        <w:rPr>
          <w:b/>
        </w:rPr>
      </w:pPr>
      <w:r>
        <w:rPr>
          <w:b/>
          <w:bCs/>
        </w:rPr>
        <w:t>Svarīgākie aspekti</w:t>
      </w:r>
    </w:p>
    <w:p w:rsidR="001513FD" w:rsidP="0018231C" w:rsidRDefault="001513FD" w14:paraId="76827606" w14:textId="77777777">
      <w:pPr>
        <w:pStyle w:val="ListParagraph"/>
        <w:keepNext/>
        <w:ind w:left="0"/>
      </w:pPr>
    </w:p>
    <w:p w:rsidR="00E54548" w:rsidP="0018231C" w:rsidRDefault="00E54548" w14:paraId="05F6CCDA" w14:textId="77777777">
      <w:pPr>
        <w:pStyle w:val="ListParagraph"/>
        <w:keepNext/>
        <w:ind w:left="0"/>
      </w:pPr>
      <w:r>
        <w:t>EESK:</w:t>
      </w:r>
    </w:p>
    <w:p w:rsidR="00E54548" w:rsidP="0018231C" w:rsidRDefault="00E54548" w14:paraId="681D86A8" w14:textId="77777777">
      <w:pPr>
        <w:pStyle w:val="ListParagraph"/>
        <w:keepNext/>
        <w:ind w:left="0"/>
      </w:pPr>
    </w:p>
    <w:p w:rsidR="00BE6D5A" w:rsidP="00BE6D5A" w:rsidRDefault="00E54548" w14:paraId="4FC3D577" w14:textId="77777777">
      <w:pPr>
        <w:numPr>
          <w:ilvl w:val="0"/>
          <w:numId w:val="3"/>
        </w:numPr>
        <w:ind w:left="357" w:hanging="357"/>
        <w:contextualSpacing/>
      </w:pPr>
      <w:r>
        <w:t>atzinīgi vērtē Komisijas iniciatīvu iesniegt priekšlikumu jaunai regulai, kas stiprinātu pašreizējo ģeogrāfiskās izcelsmes norāžu (ĢIN) sistēmu lauksaimniecības produktiem, stiprajiem alkoholiskajiem dzērieniem un vīniem. ĢIN sniedz būtisku ieguldījumu lauku reģionu attīstībā un to kopienu, ainavu un kultūras mantojuma saglabāšanā, un tam nepieciešama pēc iespējas labāka un efektīvāka sistēma. Ar konkrētiem reģioniem, to zinātību, vietējiem apstākļiem un kultūru saistītais darbs tika veikts jau labu laiku pirms tam, kad tam tika izveidots ES juridiskais pamats. Šo sistēmu ir svarīgi saglabāt un garantēt tai pēc iespējas augstāka līmeņa aizsardzību;</w:t>
      </w:r>
    </w:p>
    <w:p w:rsidR="008608BA" w:rsidP="008608BA" w:rsidRDefault="00E54548" w14:paraId="26E1086E" w14:textId="77777777">
      <w:pPr>
        <w:numPr>
          <w:ilvl w:val="0"/>
          <w:numId w:val="3"/>
        </w:numPr>
        <w:ind w:left="357" w:hanging="357"/>
        <w:contextualSpacing/>
      </w:pPr>
      <w:r>
        <w:t>uzskata, ka ĢIN ir ļoti īpaša sistēma, kas ir daudz plašāka par intelektuālā īpašuma tiesībām, un to nevajadzētu pārvaldīt kā preču zīmi. Tādēļ EESK aicina ES iestādes rūpīgi izvērtēt nepieciešamību AGRI ĢD veiktās ĢIN pārvaldības pienākumus deleģēt ārējai aģentūrai un šādas rīcības pievienoto vērtību. Tāpat būtu svarīgi novērtēt, vai izraudzītajai aģentūrai ir kompetence un vajadzīgās zināšanas deleģēto pienākumu prasmīgai pārvaldībai. AGRI ĢD arī turpmāk vajadzētu būt galvenajai struktūrai, kas atbild par ģeogrāfiskās izcelsmes norāžu pārvaldību;</w:t>
      </w:r>
    </w:p>
    <w:p w:rsidRPr="001513FD" w:rsidR="001513FD" w:rsidP="001513FD" w:rsidRDefault="00E54548" w14:paraId="220D2167" w14:textId="77777777">
      <w:pPr>
        <w:numPr>
          <w:ilvl w:val="0"/>
          <w:numId w:val="3"/>
        </w:numPr>
        <w:ind w:left="357" w:hanging="357"/>
        <w:contextualSpacing/>
      </w:pPr>
      <w:r>
        <w:t>uzskata, ka jebkāda kompetenču deleģēšana precīzi un detalizēti jāapraksta regulas pamattekstā un būtu jāattiecina tikai uz administratīviem pienākumiem. Jebkādiem lēmumiem par ĢIN pieteikumiem, grozījumiem, anulēšanu vai iebildumiem pret tām būtu jāpaliek vienīgi AGRI ĢD pārziņā;</w:t>
      </w:r>
    </w:p>
    <w:p w:rsidRPr="00CA685D" w:rsidR="00071F4C" w:rsidP="004331B4" w:rsidRDefault="00E54548" w14:paraId="6CC74428" w14:textId="77777777">
      <w:pPr>
        <w:numPr>
          <w:ilvl w:val="0"/>
          <w:numId w:val="3"/>
        </w:numPr>
        <w:ind w:left="357" w:hanging="357"/>
        <w:contextualSpacing/>
      </w:pPr>
      <w:r>
        <w:t>aicina likumdevējus regulā iekļaut pasākumus ĢIN sistēmas popularizēšanai ražotāju vidū, it īpaši reģionos, kas ir nepietiekami pārstāvēti ĢIN shēmā.</w:t>
      </w:r>
    </w:p>
    <w:p w:rsidRPr="009B70E7" w:rsidR="00CA685D" w:rsidP="00E54548" w:rsidRDefault="00CA685D" w14:paraId="338EA745" w14:textId="77777777">
      <w:pPr>
        <w:ind w:left="357"/>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4331B4" w:rsidTr="00BC41D9" w14:paraId="587E7E08" w14:textId="77777777">
        <w:tc>
          <w:tcPr>
            <w:tcW w:w="1418" w:type="dxa"/>
          </w:tcPr>
          <w:p w:rsidRPr="009B70E7" w:rsidR="004331B4" w:rsidP="00BC41D9" w:rsidRDefault="004331B4" w14:paraId="02B3DBE9" w14:textId="77777777">
            <w:pPr>
              <w:pStyle w:val="ListParagraph"/>
              <w:ind w:left="0"/>
              <w:rPr>
                <w:i/>
              </w:rPr>
            </w:pPr>
            <w:r>
              <w:rPr>
                <w:b/>
                <w:i/>
              </w:rPr>
              <w:t>Kontaktpersona:</w:t>
            </w:r>
          </w:p>
        </w:tc>
        <w:tc>
          <w:tcPr>
            <w:tcW w:w="5670" w:type="dxa"/>
          </w:tcPr>
          <w:p w:rsidRPr="009B70E7" w:rsidR="004331B4" w:rsidP="00BC41D9" w:rsidRDefault="00E54548" w14:paraId="490824F4" w14:textId="77777777">
            <w:pPr>
              <w:pStyle w:val="ListParagraph"/>
              <w:ind w:left="0"/>
              <w:rPr>
                <w:i/>
              </w:rPr>
            </w:pPr>
            <w:proofErr w:type="spellStart"/>
            <w:r>
              <w:rPr>
                <w:i/>
              </w:rPr>
              <w:t>Arturo</w:t>
            </w:r>
            <w:proofErr w:type="spellEnd"/>
            <w:r>
              <w:rPr>
                <w:i/>
              </w:rPr>
              <w:t xml:space="preserve"> </w:t>
            </w:r>
            <w:proofErr w:type="spellStart"/>
            <w:r>
              <w:rPr>
                <w:i/>
              </w:rPr>
              <w:t>Iñiguez</w:t>
            </w:r>
            <w:proofErr w:type="spellEnd"/>
          </w:p>
        </w:tc>
      </w:tr>
      <w:tr w:rsidRPr="009B70E7" w:rsidR="004331B4" w:rsidTr="00BC41D9" w14:paraId="117DE739" w14:textId="77777777">
        <w:tc>
          <w:tcPr>
            <w:tcW w:w="1418" w:type="dxa"/>
          </w:tcPr>
          <w:p w:rsidRPr="009B70E7" w:rsidR="004331B4" w:rsidP="00BC41D9" w:rsidRDefault="004331B4" w14:paraId="07B5DE23" w14:textId="77777777">
            <w:pPr>
              <w:pStyle w:val="ListParagraph"/>
              <w:ind w:left="601"/>
              <w:rPr>
                <w:i/>
              </w:rPr>
            </w:pPr>
            <w:r>
              <w:rPr>
                <w:i/>
              </w:rPr>
              <w:t>Tālr.:</w:t>
            </w:r>
          </w:p>
        </w:tc>
        <w:tc>
          <w:tcPr>
            <w:tcW w:w="5670" w:type="dxa"/>
          </w:tcPr>
          <w:p w:rsidRPr="009B70E7" w:rsidR="004331B4" w:rsidP="00BC41D9" w:rsidRDefault="00E54548" w14:paraId="6717A766" w14:textId="77777777">
            <w:pPr>
              <w:pStyle w:val="ListParagraph"/>
              <w:ind w:left="0"/>
              <w:rPr>
                <w:i/>
              </w:rPr>
            </w:pPr>
            <w:r>
              <w:rPr>
                <w:i/>
              </w:rPr>
              <w:t>00 32 2 546 87 68</w:t>
            </w:r>
          </w:p>
        </w:tc>
      </w:tr>
      <w:tr w:rsidRPr="009B70E7" w:rsidR="004331B4" w:rsidTr="00BC41D9" w14:paraId="6D5CE45F" w14:textId="77777777">
        <w:tc>
          <w:tcPr>
            <w:tcW w:w="1418" w:type="dxa"/>
          </w:tcPr>
          <w:p w:rsidRPr="009B70E7" w:rsidR="004331B4" w:rsidP="00BC41D9" w:rsidRDefault="004331B4" w14:paraId="261C3027" w14:textId="77777777">
            <w:pPr>
              <w:pStyle w:val="ListParagraph"/>
              <w:ind w:left="601"/>
              <w:rPr>
                <w:i/>
              </w:rPr>
            </w:pPr>
            <w:r>
              <w:rPr>
                <w:i/>
              </w:rPr>
              <w:t>E-pasts:</w:t>
            </w:r>
          </w:p>
        </w:tc>
        <w:tc>
          <w:tcPr>
            <w:tcW w:w="5670" w:type="dxa"/>
          </w:tcPr>
          <w:p w:rsidR="00CA685D" w:rsidP="00BC41D9" w:rsidRDefault="0039128C" w14:paraId="227015B9" w14:textId="77777777">
            <w:pPr>
              <w:pStyle w:val="ListParagraph"/>
              <w:ind w:left="0"/>
              <w:rPr>
                <w:i/>
              </w:rPr>
            </w:pPr>
            <w:hyperlink w:history="1" r:id="rId35">
              <w:r w:rsidR="00B80426">
                <w:rPr>
                  <w:rStyle w:val="Hyperlink"/>
                  <w:i/>
                </w:rPr>
                <w:t>Arturo.Iniguez@eesc.europa.eu</w:t>
              </w:r>
            </w:hyperlink>
          </w:p>
          <w:p w:rsidRPr="009B70E7" w:rsidR="00CA685D" w:rsidP="00BC41D9" w:rsidRDefault="00CA685D" w14:paraId="40FE0D9C" w14:textId="77777777">
            <w:pPr>
              <w:pStyle w:val="ListParagraph"/>
              <w:ind w:left="0"/>
              <w:rPr>
                <w:i/>
              </w:rPr>
            </w:pPr>
          </w:p>
        </w:tc>
      </w:tr>
    </w:tbl>
    <w:p w:rsidR="000956DB" w:rsidP="0018231C" w:rsidRDefault="000956DB" w14:paraId="1FB21463" w14:textId="56EA1091">
      <w:pPr>
        <w:spacing w:after="160" w:line="240" w:lineRule="auto"/>
        <w:jc w:val="left"/>
        <w:rPr>
          <w:sz w:val="28"/>
          <w:szCs w:val="28"/>
        </w:rPr>
      </w:pPr>
    </w:p>
    <w:p w:rsidR="000956DB" w:rsidRDefault="000956DB" w14:paraId="6C8A5ED1" w14:textId="77777777">
      <w:pPr>
        <w:spacing w:after="160" w:line="259" w:lineRule="auto"/>
        <w:jc w:val="left"/>
        <w:rPr>
          <w:sz w:val="28"/>
          <w:szCs w:val="28"/>
        </w:rPr>
      </w:pPr>
      <w:r>
        <w:br w:type="page"/>
      </w:r>
    </w:p>
    <w:p w:rsidRPr="007E7A4F" w:rsidR="00E54548" w:rsidP="00E54548" w:rsidRDefault="00E54548" w14:paraId="0DC4E7D2" w14:textId="77777777">
      <w:pPr>
        <w:pStyle w:val="ListParagraph"/>
        <w:numPr>
          <w:ilvl w:val="0"/>
          <w:numId w:val="2"/>
        </w:numPr>
        <w:ind w:left="567" w:hanging="567"/>
        <w:rPr>
          <w:b/>
          <w:i/>
          <w:sz w:val="28"/>
          <w:szCs w:val="28"/>
        </w:rPr>
      </w:pPr>
      <w:r>
        <w:rPr>
          <w:b/>
          <w:i/>
          <w:sz w:val="28"/>
        </w:rPr>
        <w:lastRenderedPageBreak/>
        <w:t xml:space="preserve">Ilgtspējīgu produktu iniciatīva, tostarp </w:t>
      </w:r>
      <w:proofErr w:type="spellStart"/>
      <w:r>
        <w:rPr>
          <w:b/>
          <w:i/>
          <w:sz w:val="28"/>
        </w:rPr>
        <w:t>Ekodizaina</w:t>
      </w:r>
      <w:proofErr w:type="spellEnd"/>
      <w:r>
        <w:rPr>
          <w:b/>
          <w:i/>
          <w:sz w:val="28"/>
        </w:rPr>
        <w:t xml:space="preserve"> direktīva</w:t>
      </w:r>
    </w:p>
    <w:p w:rsidRPr="009B70E7" w:rsidR="00E54548" w:rsidP="00E54548" w:rsidRDefault="00E54548" w14:paraId="55FE0C33"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E54548" w:rsidTr="008B66DD" w14:paraId="2870A0D7" w14:textId="77777777">
        <w:tc>
          <w:tcPr>
            <w:tcW w:w="1701" w:type="dxa"/>
          </w:tcPr>
          <w:p w:rsidRPr="009B70E7" w:rsidR="00E54548" w:rsidP="008B66DD" w:rsidRDefault="00E54548" w14:paraId="0E26E11D" w14:textId="77777777">
            <w:pPr>
              <w:pStyle w:val="ListParagraph"/>
              <w:ind w:left="0"/>
              <w:rPr>
                <w:b/>
              </w:rPr>
            </w:pPr>
            <w:r>
              <w:rPr>
                <w:b/>
              </w:rPr>
              <w:t>Ziņotājs:</w:t>
            </w:r>
          </w:p>
        </w:tc>
        <w:tc>
          <w:tcPr>
            <w:tcW w:w="6096" w:type="dxa"/>
          </w:tcPr>
          <w:p w:rsidRPr="007E7A4F" w:rsidR="00E54548" w:rsidP="008B66DD" w:rsidRDefault="00E54548" w14:paraId="0496CE2F" w14:textId="77777777">
            <w:pPr>
              <w:pStyle w:val="ListParagraph"/>
              <w:ind w:left="-108"/>
            </w:pPr>
            <w:r>
              <w:t xml:space="preserve"> Thomas </w:t>
            </w:r>
            <w:proofErr w:type="spellStart"/>
            <w:r>
              <w:t>Wagnsonner</w:t>
            </w:r>
            <w:proofErr w:type="spellEnd"/>
            <w:r>
              <w:t xml:space="preserve"> (Darba ņēmēju grupa – AT)</w:t>
            </w:r>
          </w:p>
        </w:tc>
      </w:tr>
      <w:tr w:rsidRPr="007E7A4F" w:rsidR="00E54548" w:rsidTr="008B66DD" w14:paraId="6F341EA6" w14:textId="77777777">
        <w:tc>
          <w:tcPr>
            <w:tcW w:w="7797" w:type="dxa"/>
            <w:gridSpan w:val="2"/>
          </w:tcPr>
          <w:p w:rsidRPr="007E7A4F" w:rsidR="00E54548" w:rsidP="008B66DD" w:rsidRDefault="00E54548" w14:paraId="03D721B0" w14:textId="77777777">
            <w:pPr>
              <w:pStyle w:val="ListParagraph"/>
              <w:ind w:left="0"/>
              <w:rPr>
                <w:lang w:val="fr-BE"/>
              </w:rPr>
            </w:pPr>
          </w:p>
        </w:tc>
      </w:tr>
      <w:tr w:rsidRPr="009B70E7" w:rsidR="00E54548" w:rsidTr="008B66DD" w14:paraId="7A103358" w14:textId="77777777">
        <w:tc>
          <w:tcPr>
            <w:tcW w:w="1701" w:type="dxa"/>
          </w:tcPr>
          <w:p w:rsidRPr="009B70E7" w:rsidR="00E54548" w:rsidP="008B66DD" w:rsidRDefault="00E54548" w14:paraId="3D88AB9C" w14:textId="77777777">
            <w:pPr>
              <w:pStyle w:val="ListParagraph"/>
              <w:ind w:left="0"/>
              <w:rPr>
                <w:b/>
              </w:rPr>
            </w:pPr>
            <w:r>
              <w:rPr>
                <w:b/>
              </w:rPr>
              <w:t xml:space="preserve">Atsauce: </w:t>
            </w:r>
          </w:p>
        </w:tc>
        <w:tc>
          <w:tcPr>
            <w:tcW w:w="6096" w:type="dxa"/>
          </w:tcPr>
          <w:p w:rsidRPr="009B70E7" w:rsidR="00E54548" w:rsidP="008B66DD" w:rsidRDefault="00E54548" w14:paraId="3F2C4954" w14:textId="67A9BD8A">
            <w:pPr>
              <w:tabs>
                <w:tab w:val="center" w:pos="284"/>
              </w:tabs>
              <w:ind w:left="266" w:hanging="374"/>
            </w:pPr>
            <w:r>
              <w:t xml:space="preserve">COM(2022) 140 – 142 </w:t>
            </w:r>
            <w:proofErr w:type="spellStart"/>
            <w:r>
              <w:t>final</w:t>
            </w:r>
            <w:proofErr w:type="spellEnd"/>
          </w:p>
          <w:p w:rsidRPr="009B70E7" w:rsidR="00E54548" w:rsidP="008B66DD" w:rsidRDefault="00E54548" w14:paraId="2105E433" w14:textId="77777777">
            <w:pPr>
              <w:pStyle w:val="ListParagraph"/>
              <w:ind w:left="-108"/>
            </w:pPr>
            <w:r>
              <w:t>EESC-2022-00598-00-00-AC</w:t>
            </w:r>
          </w:p>
        </w:tc>
      </w:tr>
    </w:tbl>
    <w:p w:rsidRPr="009B70E7" w:rsidR="00E54548" w:rsidP="00E54548" w:rsidRDefault="00E54548" w14:paraId="5A8EA75C" w14:textId="77777777">
      <w:pPr>
        <w:pStyle w:val="ListParagraph"/>
        <w:ind w:left="0"/>
        <w:rPr>
          <w:b/>
        </w:rPr>
      </w:pPr>
    </w:p>
    <w:p w:rsidRPr="0018231C" w:rsidR="00E54548" w:rsidP="00E54548" w:rsidRDefault="00E54548" w14:paraId="2DB75FF2" w14:textId="535F1F3A">
      <w:pPr>
        <w:pStyle w:val="ListParagraph"/>
        <w:spacing w:line="240" w:lineRule="auto"/>
        <w:ind w:left="-142" w:firstLine="142"/>
        <w:rPr>
          <w:b/>
        </w:rPr>
      </w:pPr>
      <w:r>
        <w:rPr>
          <w:b/>
          <w:bCs/>
        </w:rPr>
        <w:t>Svarīgākie aspekti</w:t>
      </w:r>
    </w:p>
    <w:p w:rsidRPr="0018231C" w:rsidR="00E54548" w:rsidP="00E54548" w:rsidRDefault="00E54548" w14:paraId="6EE8937D" w14:textId="77777777">
      <w:pPr>
        <w:pStyle w:val="ListParagraph"/>
        <w:ind w:left="0"/>
        <w:rPr>
          <w:lang w:val="fr-FR"/>
        </w:rPr>
      </w:pPr>
    </w:p>
    <w:p w:rsidR="00E54548" w:rsidP="00E54548" w:rsidRDefault="00E54548" w14:paraId="6B6F14AC" w14:textId="77777777">
      <w:pPr>
        <w:pStyle w:val="ListParagraph"/>
        <w:ind w:left="0"/>
      </w:pPr>
      <w:r>
        <w:t>EESK:</w:t>
      </w:r>
    </w:p>
    <w:p w:rsidRPr="0018231C" w:rsidR="00E54548" w:rsidP="00E54548" w:rsidRDefault="00E54548" w14:paraId="1F790AD7" w14:textId="77777777">
      <w:pPr>
        <w:pStyle w:val="ListParagraph"/>
        <w:ind w:left="0"/>
        <w:rPr>
          <w:lang w:val="fr-FR"/>
        </w:rPr>
      </w:pPr>
    </w:p>
    <w:p w:rsidRPr="00A74B4C" w:rsidR="00E54548" w:rsidP="00E54548" w:rsidRDefault="00C44A5C" w14:paraId="01A1936E" w14:textId="77777777">
      <w:pPr>
        <w:numPr>
          <w:ilvl w:val="0"/>
          <w:numId w:val="3"/>
        </w:numPr>
        <w:overflowPunct w:val="0"/>
        <w:autoSpaceDE w:val="0"/>
        <w:autoSpaceDN w:val="0"/>
        <w:adjustRightInd w:val="0"/>
        <w:ind w:left="357" w:hanging="357"/>
        <w:textAlignment w:val="baseline"/>
        <w:rPr>
          <w:bCs/>
          <w:iCs/>
        </w:rPr>
      </w:pPr>
      <w:r>
        <w:t xml:space="preserve">atzinīgi vērtē priekšlikumus, kas izvirzīti saistībā ar aprites ekonomikas rīcības plānu, un šajā atzinumā jo īpaši </w:t>
      </w:r>
      <w:r>
        <w:rPr>
          <w:b/>
        </w:rPr>
        <w:t>atbalsta virzību uz produktu ilgtspējas uzlabošanu</w:t>
      </w:r>
      <w:r>
        <w:t xml:space="preserve">. Vienlaikus Komiteja norāda uz to, ka lielā deleģēto tiesību aktu skaita dēļ priekšlikums jaunajai </w:t>
      </w:r>
      <w:proofErr w:type="spellStart"/>
      <w:r>
        <w:t>ekodizaina</w:t>
      </w:r>
      <w:proofErr w:type="spellEnd"/>
      <w:r>
        <w:t xml:space="preserve"> regulai joprojām ir diezgan neskaidrs;</w:t>
      </w:r>
    </w:p>
    <w:p w:rsidRPr="00A3344B" w:rsidR="00E54548" w:rsidP="00E54548" w:rsidRDefault="00C44A5C" w14:paraId="2EA194B7" w14:textId="77777777">
      <w:pPr>
        <w:numPr>
          <w:ilvl w:val="0"/>
          <w:numId w:val="3"/>
        </w:numPr>
        <w:overflowPunct w:val="0"/>
        <w:autoSpaceDE w:val="0"/>
        <w:autoSpaceDN w:val="0"/>
        <w:adjustRightInd w:val="0"/>
        <w:ind w:left="357" w:hanging="357"/>
        <w:textAlignment w:val="baseline"/>
      </w:pPr>
      <w:r>
        <w:t xml:space="preserve">ierosina </w:t>
      </w:r>
      <w:r>
        <w:rPr>
          <w:b/>
        </w:rPr>
        <w:t>ātrāku un vērienīgāku īstenošanu</w:t>
      </w:r>
      <w:r>
        <w:t>, bet norāda, ka šī virzība uz aprites ekonomiku var izdoties tikai tad, ja pienācīgi iesaistīsies un būs informēti visi ekonomikas dalībnieki — ražotāji, patērētāji, darba ņēmēji — un iestādes;</w:t>
      </w:r>
    </w:p>
    <w:p w:rsidRPr="00A3344B" w:rsidR="00E54548" w:rsidP="00E54548" w:rsidRDefault="00C44A5C" w14:paraId="07D2FB57" w14:textId="77777777">
      <w:pPr>
        <w:numPr>
          <w:ilvl w:val="0"/>
          <w:numId w:val="3"/>
        </w:numPr>
        <w:overflowPunct w:val="0"/>
        <w:autoSpaceDE w:val="0"/>
        <w:autoSpaceDN w:val="0"/>
        <w:adjustRightInd w:val="0"/>
        <w:ind w:left="357" w:hanging="357"/>
        <w:textAlignment w:val="baseline"/>
      </w:pPr>
      <w:r>
        <w:t xml:space="preserve">atzinīgi vērtē tādus jaunos regulas elementus kā piemērošanas </w:t>
      </w:r>
      <w:r>
        <w:rPr>
          <w:b/>
        </w:rPr>
        <w:t>jomas paplašināšana</w:t>
      </w:r>
      <w:r>
        <w:t xml:space="preserve">, jaunās </w:t>
      </w:r>
      <w:proofErr w:type="spellStart"/>
      <w:r>
        <w:t>ekodizaina</w:t>
      </w:r>
      <w:proofErr w:type="spellEnd"/>
      <w:r>
        <w:t xml:space="preserve"> prasības (ilgizturība, remontējamība, </w:t>
      </w:r>
      <w:proofErr w:type="spellStart"/>
      <w:r>
        <w:t>reciklēšana</w:t>
      </w:r>
      <w:proofErr w:type="spellEnd"/>
      <w:r>
        <w:t xml:space="preserve">, </w:t>
      </w:r>
      <w:proofErr w:type="spellStart"/>
      <w:r>
        <w:t>vidiskā</w:t>
      </w:r>
      <w:proofErr w:type="spellEnd"/>
      <w:r>
        <w:t xml:space="preserve"> integritāte, CO2 emisijas utt.), kā arī </w:t>
      </w:r>
      <w:r>
        <w:rPr>
          <w:b/>
        </w:rPr>
        <w:t>informācijas sniegšanas pienākumi, ko īsteno ar digitālo produkta pasi un marķējumiem</w:t>
      </w:r>
      <w:r>
        <w:t>, turklāt uzsver pareizas un mērķtiecīgas informācijas nozīmi jo īpaši patērētājiem;</w:t>
      </w:r>
    </w:p>
    <w:p w:rsidRPr="00A3344B" w:rsidR="00E54548" w:rsidP="00E54548" w:rsidRDefault="00C44A5C" w14:paraId="4400E2D4" w14:textId="77777777">
      <w:pPr>
        <w:numPr>
          <w:ilvl w:val="0"/>
          <w:numId w:val="3"/>
        </w:numPr>
        <w:overflowPunct w:val="0"/>
        <w:autoSpaceDE w:val="0"/>
        <w:autoSpaceDN w:val="0"/>
        <w:adjustRightInd w:val="0"/>
        <w:ind w:left="357" w:hanging="357"/>
        <w:textAlignment w:val="baseline"/>
      </w:pPr>
      <w:r>
        <w:rPr>
          <w:b/>
        </w:rPr>
        <w:t>atbalsta aizliegumu iznīcināt nepārdotās preces</w:t>
      </w:r>
      <w:r>
        <w:t>, tostarp jaunas, atpakaļ nodotas vai remontējamas preces. Komiteja arī atzinīgi vērtē to, ka saistībā ar aprites ekonomikas tiesību aktu kopumu regula tiecas novērst pašreizējās nepilnības, piemēram, “</w:t>
      </w:r>
      <w:proofErr w:type="spellStart"/>
      <w:r>
        <w:t>zaļmaldināšanu</w:t>
      </w:r>
      <w:proofErr w:type="spellEnd"/>
      <w:r>
        <w:t>” un novecošanos;</w:t>
      </w:r>
    </w:p>
    <w:p w:rsidRPr="00A3344B" w:rsidR="00E54548" w:rsidP="00E54548" w:rsidRDefault="00C44A5C" w14:paraId="710AB345" w14:textId="77777777">
      <w:pPr>
        <w:numPr>
          <w:ilvl w:val="0"/>
          <w:numId w:val="3"/>
        </w:numPr>
        <w:overflowPunct w:val="0"/>
        <w:autoSpaceDE w:val="0"/>
        <w:autoSpaceDN w:val="0"/>
        <w:adjustRightInd w:val="0"/>
        <w:ind w:left="357" w:hanging="357"/>
        <w:textAlignment w:val="baseline"/>
      </w:pPr>
      <w:r>
        <w:t xml:space="preserve">veicina </w:t>
      </w:r>
      <w:proofErr w:type="spellStart"/>
      <w:r>
        <w:rPr>
          <w:b/>
        </w:rPr>
        <w:t>Ekodizaina</w:t>
      </w:r>
      <w:proofErr w:type="spellEnd"/>
      <w:r>
        <w:rPr>
          <w:b/>
        </w:rPr>
        <w:t xml:space="preserve"> forumu</w:t>
      </w:r>
      <w:r>
        <w:t>, kas ir ieviešanas atbalsta struktūra ar daudziem uzdevumiem. Saistībā ar to būtu jārada iespēja visām ieinteresētajām personām, pilsoniskās sabiedrības pārstāvjiem un sociālajiem partneriem ar idejām un ierosinājumiem piedalīties procesa pilnveidošanā;</w:t>
      </w:r>
    </w:p>
    <w:p w:rsidR="00E54548" w:rsidP="00E54548" w:rsidRDefault="00C44A5C" w14:paraId="428C54E7" w14:textId="77777777">
      <w:pPr>
        <w:numPr>
          <w:ilvl w:val="0"/>
          <w:numId w:val="3"/>
        </w:numPr>
        <w:overflowPunct w:val="0"/>
        <w:autoSpaceDE w:val="0"/>
        <w:autoSpaceDN w:val="0"/>
        <w:adjustRightInd w:val="0"/>
        <w:ind w:left="357" w:hanging="357"/>
        <w:textAlignment w:val="baseline"/>
      </w:pPr>
      <w:r>
        <w:t xml:space="preserve">apzinās </w:t>
      </w:r>
      <w:r>
        <w:rPr>
          <w:b/>
        </w:rPr>
        <w:t>problēmas, ar kurām saskaras ražotāji</w:t>
      </w:r>
      <w:r>
        <w:t xml:space="preserve"> un uzņēmumi, it īpaši MVU, un norāda, ka ir jānovērš nevajadzīgs administratīvais slogs. Komiteja arī saskata iespēju ar ilgtspējīgiem produktu standartiem panākt jaunu Eiropas ražošanas līmeni “Ražots Eiropā”.</w:t>
      </w:r>
    </w:p>
    <w:p w:rsidRPr="00C44A5C" w:rsidR="00C44A5C" w:rsidP="00E54548" w:rsidRDefault="00C44A5C" w14:paraId="1CA1FF0E" w14:textId="77777777">
      <w:pPr>
        <w:numPr>
          <w:ilvl w:val="0"/>
          <w:numId w:val="3"/>
        </w:numPr>
        <w:overflowPunct w:val="0"/>
        <w:autoSpaceDE w:val="0"/>
        <w:autoSpaceDN w:val="0"/>
        <w:adjustRightInd w:val="0"/>
        <w:ind w:left="357" w:hanging="357"/>
        <w:textAlignment w:val="baseline"/>
      </w:pPr>
      <w:r>
        <w:t xml:space="preserve">uzsver atbilstības deklarācijas un pašregulācijas instrumenti rada plašas iespējas </w:t>
      </w:r>
      <w:proofErr w:type="spellStart"/>
      <w:r>
        <w:rPr>
          <w:b/>
        </w:rPr>
        <w:t>darījumdarbībai</w:t>
      </w:r>
      <w:proofErr w:type="spellEnd"/>
      <w:r>
        <w:t>.</w:t>
      </w:r>
    </w:p>
    <w:p w:rsidRPr="007E7A4F" w:rsidR="00C44A5C" w:rsidP="00E54548" w:rsidRDefault="00C44A5C" w14:paraId="0DC28D76" w14:textId="77777777">
      <w:pPr>
        <w:numPr>
          <w:ilvl w:val="0"/>
          <w:numId w:val="3"/>
        </w:numPr>
        <w:overflowPunct w:val="0"/>
        <w:autoSpaceDE w:val="0"/>
        <w:autoSpaceDN w:val="0"/>
        <w:adjustRightInd w:val="0"/>
        <w:ind w:left="357" w:hanging="357"/>
        <w:textAlignment w:val="baseline"/>
      </w:pPr>
      <w:r>
        <w:t xml:space="preserve">norāda uz to, ka diemžēl </w:t>
      </w:r>
      <w:r>
        <w:rPr>
          <w:b/>
        </w:rPr>
        <w:t>regulā nav ietverta sociālā dimensija</w:t>
      </w:r>
      <w:r>
        <w:t>. Norāde uz Komisijas priekšlikumu direktīvai par uzņēmumu pienācīgu rūpību attiecībā uz ilgtspēju nešķiet pietiekama.</w:t>
      </w:r>
    </w:p>
    <w:p w:rsidRPr="007E7A4F" w:rsidR="00E54548" w:rsidP="00E54548" w:rsidRDefault="00E54548" w14:paraId="7BB9A561"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E54548" w:rsidTr="008B66DD" w14:paraId="25A3FF7E" w14:textId="77777777">
        <w:tc>
          <w:tcPr>
            <w:tcW w:w="1418" w:type="dxa"/>
          </w:tcPr>
          <w:p w:rsidRPr="00164813" w:rsidR="00E54548" w:rsidP="008B66DD" w:rsidRDefault="00E54548" w14:paraId="1C0A7F50" w14:textId="77777777">
            <w:pPr>
              <w:contextualSpacing/>
              <w:rPr>
                <w:i/>
              </w:rPr>
            </w:pPr>
            <w:r>
              <w:rPr>
                <w:b/>
                <w:i/>
              </w:rPr>
              <w:t>Kontaktpersona:</w:t>
            </w:r>
          </w:p>
        </w:tc>
        <w:tc>
          <w:tcPr>
            <w:tcW w:w="5670" w:type="dxa"/>
          </w:tcPr>
          <w:p w:rsidRPr="00164813" w:rsidR="00E54548" w:rsidP="008B66DD" w:rsidRDefault="00E54548" w14:paraId="59C2EA51" w14:textId="77777777">
            <w:pPr>
              <w:contextualSpacing/>
              <w:rPr>
                <w:i/>
              </w:rPr>
            </w:pPr>
            <w:proofErr w:type="spellStart"/>
            <w:r>
              <w:rPr>
                <w:i/>
              </w:rPr>
              <w:t>Caroline</w:t>
            </w:r>
            <w:proofErr w:type="spellEnd"/>
            <w:r>
              <w:rPr>
                <w:i/>
              </w:rPr>
              <w:t xml:space="preserve"> </w:t>
            </w:r>
            <w:proofErr w:type="spellStart"/>
            <w:r>
              <w:rPr>
                <w:i/>
              </w:rPr>
              <w:t>Verhelst</w:t>
            </w:r>
            <w:proofErr w:type="spellEnd"/>
          </w:p>
        </w:tc>
      </w:tr>
      <w:tr w:rsidRPr="00164813" w:rsidR="00E54548" w:rsidTr="008B66DD" w14:paraId="50BF4889" w14:textId="77777777">
        <w:tc>
          <w:tcPr>
            <w:tcW w:w="1418" w:type="dxa"/>
          </w:tcPr>
          <w:p w:rsidRPr="00164813" w:rsidR="00E54548" w:rsidP="008B66DD" w:rsidRDefault="00E54548" w14:paraId="1F8D44FD" w14:textId="77777777">
            <w:pPr>
              <w:ind w:left="601"/>
              <w:contextualSpacing/>
              <w:rPr>
                <w:i/>
              </w:rPr>
            </w:pPr>
            <w:r>
              <w:rPr>
                <w:i/>
              </w:rPr>
              <w:t>Tālr.:</w:t>
            </w:r>
          </w:p>
        </w:tc>
        <w:tc>
          <w:tcPr>
            <w:tcW w:w="5670" w:type="dxa"/>
          </w:tcPr>
          <w:p w:rsidRPr="00164813" w:rsidR="00E54548" w:rsidP="008B66DD" w:rsidRDefault="00E54548" w14:paraId="099C6AF1" w14:textId="77777777">
            <w:pPr>
              <w:contextualSpacing/>
              <w:rPr>
                <w:i/>
              </w:rPr>
            </w:pPr>
            <w:r>
              <w:rPr>
                <w:i/>
              </w:rPr>
              <w:t>00 32 2 546 94 97</w:t>
            </w:r>
          </w:p>
        </w:tc>
      </w:tr>
      <w:tr w:rsidRPr="00164813" w:rsidR="00E54548" w:rsidTr="008B66DD" w14:paraId="735920C0" w14:textId="77777777">
        <w:tc>
          <w:tcPr>
            <w:tcW w:w="1418" w:type="dxa"/>
          </w:tcPr>
          <w:p w:rsidRPr="00164813" w:rsidR="00E54548" w:rsidP="008B66DD" w:rsidRDefault="00E54548" w14:paraId="554E9752" w14:textId="77777777">
            <w:pPr>
              <w:ind w:left="601"/>
              <w:contextualSpacing/>
              <w:rPr>
                <w:i/>
              </w:rPr>
            </w:pPr>
            <w:r>
              <w:rPr>
                <w:i/>
              </w:rPr>
              <w:t>E-pasts:</w:t>
            </w:r>
          </w:p>
        </w:tc>
        <w:tc>
          <w:tcPr>
            <w:tcW w:w="5670" w:type="dxa"/>
          </w:tcPr>
          <w:p w:rsidRPr="00164813" w:rsidR="00E54548" w:rsidP="00910972" w:rsidRDefault="0039128C" w14:paraId="57D07659" w14:textId="10CBCC61">
            <w:pPr>
              <w:contextualSpacing/>
              <w:rPr>
                <w:i/>
              </w:rPr>
            </w:pPr>
            <w:hyperlink w:history="1" r:id="rId36">
              <w:r w:rsidR="00B80426">
                <w:rPr>
                  <w:rStyle w:val="Hyperlink"/>
                </w:rPr>
                <w:t xml:space="preserve"> Caroline.Verhelst@eesc.europa.eu</w:t>
              </w:r>
            </w:hyperlink>
          </w:p>
        </w:tc>
      </w:tr>
    </w:tbl>
    <w:p w:rsidR="00F2127E" w:rsidP="0018231C" w:rsidRDefault="00F2127E" w14:paraId="3D4A5F95" w14:textId="178D72DA">
      <w:pPr>
        <w:spacing w:after="160" w:line="240" w:lineRule="auto"/>
        <w:jc w:val="left"/>
        <w:rPr>
          <w:sz w:val="28"/>
          <w:szCs w:val="16"/>
        </w:rPr>
      </w:pPr>
    </w:p>
    <w:p w:rsidR="00F2127E" w:rsidRDefault="00F2127E" w14:paraId="287BC97F" w14:textId="77777777">
      <w:pPr>
        <w:spacing w:after="160" w:line="259" w:lineRule="auto"/>
        <w:jc w:val="left"/>
        <w:rPr>
          <w:sz w:val="28"/>
          <w:szCs w:val="16"/>
        </w:rPr>
      </w:pPr>
      <w:r>
        <w:br w:type="page"/>
      </w:r>
    </w:p>
    <w:p w:rsidRPr="007E7A4F" w:rsidR="008B66DD" w:rsidP="008B66DD" w:rsidRDefault="008B66DD" w14:paraId="6941BE74" w14:textId="77777777">
      <w:pPr>
        <w:pStyle w:val="ListParagraph"/>
        <w:keepNext/>
        <w:keepLines/>
        <w:numPr>
          <w:ilvl w:val="0"/>
          <w:numId w:val="2"/>
        </w:numPr>
        <w:ind w:left="567" w:hanging="567"/>
        <w:rPr>
          <w:b/>
          <w:i/>
          <w:sz w:val="28"/>
          <w:szCs w:val="28"/>
        </w:rPr>
      </w:pPr>
      <w:r>
        <w:rPr>
          <w:b/>
          <w:i/>
          <w:sz w:val="28"/>
        </w:rPr>
        <w:lastRenderedPageBreak/>
        <w:t>Rūpniecisko emisiju direktīvas (RED) un E-PRTR regulas pārskatīšana</w:t>
      </w:r>
    </w:p>
    <w:p w:rsidRPr="009B70E7" w:rsidR="008B66DD" w:rsidP="008B66DD" w:rsidRDefault="008B66DD" w14:paraId="1A34547D"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8B66DD" w:rsidTr="008B66DD" w14:paraId="0140FF97" w14:textId="77777777">
        <w:tc>
          <w:tcPr>
            <w:tcW w:w="1701" w:type="dxa"/>
          </w:tcPr>
          <w:p w:rsidRPr="009B70E7" w:rsidR="008B66DD" w:rsidP="008B66DD" w:rsidRDefault="008B66DD" w14:paraId="649A0BE9" w14:textId="77777777">
            <w:pPr>
              <w:pStyle w:val="ListParagraph"/>
              <w:ind w:left="0"/>
              <w:rPr>
                <w:b/>
              </w:rPr>
            </w:pPr>
            <w:r>
              <w:rPr>
                <w:b/>
              </w:rPr>
              <w:t>Ziņotājs:</w:t>
            </w:r>
          </w:p>
        </w:tc>
        <w:tc>
          <w:tcPr>
            <w:tcW w:w="6096" w:type="dxa"/>
          </w:tcPr>
          <w:p w:rsidRPr="007E7A4F" w:rsidR="008B66DD" w:rsidP="008B66DD" w:rsidRDefault="008B66DD" w14:paraId="04C7D4F2" w14:textId="77777777">
            <w:pPr>
              <w:pStyle w:val="ListParagraph"/>
              <w:ind w:left="-108"/>
            </w:pPr>
            <w:proofErr w:type="spellStart"/>
            <w:r>
              <w:t>Stoyan</w:t>
            </w:r>
            <w:proofErr w:type="spellEnd"/>
            <w:r>
              <w:t xml:space="preserve"> TCHOUKANOV (Pilsoniskās sabiedrības organizāciju grupa — BG)</w:t>
            </w:r>
          </w:p>
        </w:tc>
      </w:tr>
      <w:tr w:rsidRPr="007E7A4F" w:rsidR="008B66DD" w:rsidTr="008B66DD" w14:paraId="6E75EC44" w14:textId="77777777">
        <w:tc>
          <w:tcPr>
            <w:tcW w:w="7797" w:type="dxa"/>
            <w:gridSpan w:val="2"/>
          </w:tcPr>
          <w:p w:rsidRPr="007E7A4F" w:rsidR="008B66DD" w:rsidP="008B66DD" w:rsidRDefault="008B66DD" w14:paraId="3599F5C2" w14:textId="77777777">
            <w:pPr>
              <w:pStyle w:val="ListParagraph"/>
              <w:ind w:left="0"/>
              <w:rPr>
                <w:lang w:val="fr-BE"/>
              </w:rPr>
            </w:pPr>
          </w:p>
        </w:tc>
      </w:tr>
      <w:tr w:rsidRPr="009B70E7" w:rsidR="008B66DD" w:rsidTr="008B66DD" w14:paraId="35CD3693" w14:textId="77777777">
        <w:tc>
          <w:tcPr>
            <w:tcW w:w="1701" w:type="dxa"/>
          </w:tcPr>
          <w:p w:rsidRPr="009B70E7" w:rsidR="008B66DD" w:rsidP="008B66DD" w:rsidRDefault="008B66DD" w14:paraId="3CF5DB5F" w14:textId="77777777">
            <w:pPr>
              <w:pStyle w:val="ListParagraph"/>
              <w:ind w:left="0"/>
              <w:rPr>
                <w:b/>
              </w:rPr>
            </w:pPr>
            <w:r>
              <w:rPr>
                <w:b/>
              </w:rPr>
              <w:t xml:space="preserve">Atsauce: </w:t>
            </w:r>
          </w:p>
        </w:tc>
        <w:tc>
          <w:tcPr>
            <w:tcW w:w="6096" w:type="dxa"/>
          </w:tcPr>
          <w:p w:rsidRPr="009B70E7" w:rsidR="008B66DD" w:rsidP="008B66DD" w:rsidRDefault="008B66DD" w14:paraId="3EEDB04A" w14:textId="0C268394">
            <w:pPr>
              <w:tabs>
                <w:tab w:val="center" w:pos="284"/>
              </w:tabs>
              <w:ind w:left="266" w:hanging="374"/>
            </w:pPr>
            <w:r>
              <w:t xml:space="preserve">COM(2022) 156 – 157 </w:t>
            </w:r>
            <w:proofErr w:type="spellStart"/>
            <w:r>
              <w:t>final</w:t>
            </w:r>
            <w:proofErr w:type="spellEnd"/>
          </w:p>
          <w:p w:rsidRPr="009B70E7" w:rsidR="008B66DD" w:rsidP="008B66DD" w:rsidRDefault="008B66DD" w14:paraId="3F90EC7C" w14:textId="77777777">
            <w:pPr>
              <w:pStyle w:val="ListParagraph"/>
              <w:ind w:left="-108"/>
            </w:pPr>
            <w:r>
              <w:t>EESC-2022-02403-00-00-AC</w:t>
            </w:r>
          </w:p>
        </w:tc>
      </w:tr>
    </w:tbl>
    <w:p w:rsidRPr="009B70E7" w:rsidR="008B66DD" w:rsidP="008B66DD" w:rsidRDefault="008B66DD" w14:paraId="1CB383F7" w14:textId="77777777">
      <w:pPr>
        <w:pStyle w:val="ListParagraph"/>
        <w:ind w:left="0"/>
        <w:rPr>
          <w:b/>
        </w:rPr>
      </w:pPr>
    </w:p>
    <w:p w:rsidRPr="0018231C" w:rsidR="008B66DD" w:rsidP="008B66DD" w:rsidRDefault="008B66DD" w14:paraId="2DDA570D" w14:textId="6E2E4A4A">
      <w:pPr>
        <w:pStyle w:val="ListParagraph"/>
        <w:spacing w:line="240" w:lineRule="auto"/>
        <w:ind w:left="-142" w:firstLine="142"/>
        <w:rPr>
          <w:b/>
        </w:rPr>
      </w:pPr>
      <w:r>
        <w:rPr>
          <w:b/>
          <w:bCs/>
        </w:rPr>
        <w:t>Svarīgākie aspekti</w:t>
      </w:r>
    </w:p>
    <w:p w:rsidRPr="0018231C" w:rsidR="008B66DD" w:rsidP="008B66DD" w:rsidRDefault="008B66DD" w14:paraId="2C4A49AB" w14:textId="77777777">
      <w:pPr>
        <w:pStyle w:val="ListParagraph"/>
        <w:ind w:left="0"/>
        <w:rPr>
          <w:lang w:val="fr-FR"/>
        </w:rPr>
      </w:pPr>
    </w:p>
    <w:p w:rsidR="008B66DD" w:rsidP="008B66DD" w:rsidRDefault="008B66DD" w14:paraId="38F8E496" w14:textId="77777777">
      <w:pPr>
        <w:pStyle w:val="ListParagraph"/>
        <w:ind w:left="0"/>
      </w:pPr>
      <w:r>
        <w:t>EESK:</w:t>
      </w:r>
    </w:p>
    <w:p w:rsidRPr="0018231C" w:rsidR="008B66DD" w:rsidP="008B66DD" w:rsidRDefault="008B66DD" w14:paraId="3F662290" w14:textId="77777777">
      <w:pPr>
        <w:pStyle w:val="ListParagraph"/>
        <w:ind w:left="0"/>
        <w:rPr>
          <w:lang w:val="fr-FR"/>
        </w:rPr>
      </w:pPr>
    </w:p>
    <w:p w:rsidRPr="008B66DD" w:rsidR="008B66DD" w:rsidP="008B66DD" w:rsidRDefault="008B66DD" w14:paraId="4C48C082" w14:textId="77777777">
      <w:pPr>
        <w:numPr>
          <w:ilvl w:val="0"/>
          <w:numId w:val="3"/>
        </w:numPr>
        <w:overflowPunct w:val="0"/>
        <w:autoSpaceDE w:val="0"/>
        <w:autoSpaceDN w:val="0"/>
        <w:adjustRightInd w:val="0"/>
        <w:ind w:left="357" w:hanging="357"/>
        <w:textAlignment w:val="baseline"/>
        <w:rPr>
          <w:bCs/>
          <w:iCs/>
        </w:rPr>
      </w:pPr>
      <w:r>
        <w:t xml:space="preserve">piekrīt, ka </w:t>
      </w:r>
      <w:r>
        <w:rPr>
          <w:b/>
          <w:bCs/>
        </w:rPr>
        <w:t>Rūpniecisko emisiju direktīva (RED)</w:t>
      </w:r>
      <w:r>
        <w:t xml:space="preserve"> ir konsekventa politikas pieeja </w:t>
      </w:r>
      <w:r>
        <w:rPr>
          <w:b/>
          <w:bCs/>
        </w:rPr>
        <w:t>ekosistēmu un cilvēku veselības aizsardzībai</w:t>
      </w:r>
      <w:r>
        <w:t>, jo tā integrētā veidā pa nozarēm aptver visu attiecīgo potenciālo piesārņojumu, ko rada agrorūpnieciskās iekārtas;</w:t>
      </w:r>
    </w:p>
    <w:p w:rsidRPr="00A74B4C" w:rsidR="008B66DD" w:rsidP="008B66DD" w:rsidRDefault="008B66DD" w14:paraId="1E0E1F09" w14:textId="77777777">
      <w:pPr>
        <w:numPr>
          <w:ilvl w:val="0"/>
          <w:numId w:val="3"/>
        </w:numPr>
        <w:overflowPunct w:val="0"/>
        <w:autoSpaceDE w:val="0"/>
        <w:autoSpaceDN w:val="0"/>
        <w:adjustRightInd w:val="0"/>
        <w:ind w:left="357" w:hanging="357"/>
        <w:textAlignment w:val="baseline"/>
        <w:rPr>
          <w:bCs/>
          <w:iCs/>
        </w:rPr>
      </w:pPr>
      <w:r>
        <w:t xml:space="preserve">uzsver, ka RED pārskatīšanas mērķis ir stimulēt pamatīgu rūpniecības pārveidi, lai </w:t>
      </w:r>
      <w:r>
        <w:rPr>
          <w:b/>
          <w:bCs/>
        </w:rPr>
        <w:t>veidotu tīru vidi, kas uzlabos sabiedrības veselību un saskaņā ar Eiropas zaļo kursu atbalstīs virzību uz nulles piesārņojuma mērķi</w:t>
      </w:r>
      <w:r>
        <w:t>;</w:t>
      </w:r>
    </w:p>
    <w:p w:rsidR="008B66DD" w:rsidP="008B66DD" w:rsidRDefault="008B66DD" w14:paraId="1EC94DA6" w14:textId="77777777">
      <w:pPr>
        <w:numPr>
          <w:ilvl w:val="0"/>
          <w:numId w:val="3"/>
        </w:numPr>
        <w:overflowPunct w:val="0"/>
        <w:autoSpaceDE w:val="0"/>
        <w:autoSpaceDN w:val="0"/>
        <w:adjustRightInd w:val="0"/>
        <w:ind w:left="357" w:hanging="357"/>
        <w:textAlignment w:val="baseline"/>
      </w:pPr>
      <w:r>
        <w:t>norāda, ka Rūpniecisko emisiju direktīva nav konsekventi integrēta visās dalībvalstīs un tas apdraud tās mērķus;</w:t>
      </w:r>
    </w:p>
    <w:p w:rsidR="008B66DD" w:rsidP="008B66DD" w:rsidRDefault="008B66DD" w14:paraId="2BB4A7AE" w14:textId="77777777">
      <w:pPr>
        <w:numPr>
          <w:ilvl w:val="0"/>
          <w:numId w:val="3"/>
        </w:numPr>
        <w:overflowPunct w:val="0"/>
        <w:autoSpaceDE w:val="0"/>
        <w:autoSpaceDN w:val="0"/>
        <w:adjustRightInd w:val="0"/>
        <w:ind w:left="357" w:hanging="357"/>
        <w:textAlignment w:val="baseline"/>
      </w:pPr>
      <w:r>
        <w:t xml:space="preserve">piekrīt Eiropas Revīzijas palātai, ka </w:t>
      </w:r>
      <w:r>
        <w:rPr>
          <w:b/>
        </w:rPr>
        <w:t>principam “piesārņotājs maksā”</w:t>
      </w:r>
      <w:r>
        <w:t xml:space="preserve"> ir jāpiešķir konkrēts saturs. Papildus ekonomiskajām izmaksām naudas izteiksmē attiecībā pret sabiedrības ieguvumiem – </w:t>
      </w:r>
      <w:proofErr w:type="spellStart"/>
      <w:r>
        <w:t>pārredzamības</w:t>
      </w:r>
      <w:proofErr w:type="spellEnd"/>
      <w:r>
        <w:t xml:space="preserve"> un pilnīguma labad – būtu jāanalizē arī sabiedrībai radušos izmaksu attiecība pret sabiedrības un vides ieguvumu rādītājiem;</w:t>
      </w:r>
    </w:p>
    <w:p w:rsidR="008B66DD" w:rsidP="008B66DD" w:rsidRDefault="008B66DD" w14:paraId="4C9197E6" w14:textId="77777777">
      <w:pPr>
        <w:numPr>
          <w:ilvl w:val="0"/>
          <w:numId w:val="3"/>
        </w:numPr>
        <w:overflowPunct w:val="0"/>
        <w:autoSpaceDE w:val="0"/>
        <w:autoSpaceDN w:val="0"/>
        <w:adjustRightInd w:val="0"/>
        <w:ind w:left="357" w:hanging="357"/>
        <w:textAlignment w:val="baseline"/>
      </w:pPr>
      <w:r>
        <w:t xml:space="preserve">uzsver </w:t>
      </w:r>
      <w:r>
        <w:rPr>
          <w:b/>
          <w:bCs/>
        </w:rPr>
        <w:t>Eiropas zaļajā kursā</w:t>
      </w:r>
      <w:r>
        <w:t xml:space="preserve"> izklāstītās ieceres veikt jaunus pasākumus nolūkā novērst piesārņojumu no lielām agrorūpnieciskajām iekārtām, </w:t>
      </w:r>
      <w:r>
        <w:rPr>
          <w:b/>
          <w:bCs/>
        </w:rPr>
        <w:t>atjauninot ES noteikumus par rūpnieciskajām emisijām, kas iekļauti ES galvenajā instrumentā, ar ko reglamentē rūpniecisko iekārtu piesārņotāju emisijas, un veicināt vairāku ilgtspējīgas attīstības mērķu sasniegšanu</w:t>
      </w:r>
      <w:r>
        <w:t>;</w:t>
      </w:r>
    </w:p>
    <w:p w:rsidR="008B66DD" w:rsidP="008B66DD" w:rsidRDefault="00C25DB3" w14:paraId="087D3CA8" w14:textId="77777777">
      <w:pPr>
        <w:numPr>
          <w:ilvl w:val="0"/>
          <w:numId w:val="3"/>
        </w:numPr>
        <w:overflowPunct w:val="0"/>
        <w:autoSpaceDE w:val="0"/>
        <w:autoSpaceDN w:val="0"/>
        <w:adjustRightInd w:val="0"/>
        <w:ind w:left="357" w:hanging="357"/>
        <w:textAlignment w:val="baseline"/>
      </w:pPr>
      <w:r>
        <w:t xml:space="preserve">ierosina precizēt RED ietekmi uz dažādām nozarēm, jo jāņem vērā atšķirīgie faktiskie apstākļi, t. i., </w:t>
      </w:r>
      <w:r>
        <w:rPr>
          <w:b/>
          <w:bCs/>
        </w:rPr>
        <w:t>RED īstenošanas ietekme dažādās lauksaimniecības nozarēs</w:t>
      </w:r>
      <w:r>
        <w:t>;</w:t>
      </w:r>
    </w:p>
    <w:p w:rsidRPr="007E7A4F" w:rsidR="008B66DD" w:rsidP="008B66DD" w:rsidRDefault="008B66DD" w14:paraId="478CB44D" w14:textId="77777777">
      <w:pPr>
        <w:numPr>
          <w:ilvl w:val="0"/>
          <w:numId w:val="3"/>
        </w:numPr>
        <w:overflowPunct w:val="0"/>
        <w:autoSpaceDE w:val="0"/>
        <w:autoSpaceDN w:val="0"/>
        <w:adjustRightInd w:val="0"/>
        <w:ind w:left="357" w:hanging="357"/>
        <w:textAlignment w:val="baseline"/>
      </w:pPr>
      <w:r>
        <w:t xml:space="preserve">atzinīgi vērtē to, ka ir izveidots Rūpniecisko emisiju portāls, kas </w:t>
      </w:r>
      <w:r>
        <w:rPr>
          <w:b/>
          <w:bCs/>
        </w:rPr>
        <w:t>nodrošinās ES iedzīvotājiem vides datus, paverot viņiem iespēju piedalīties ar vidi saistītu lēmumu pieņemšanā</w:t>
      </w:r>
      <w:r>
        <w:t xml:space="preserve"> par ES lielākajām (agro-)rūpnieciskajām darbībām.</w:t>
      </w:r>
    </w:p>
    <w:p w:rsidRPr="007E7A4F" w:rsidR="008B66DD" w:rsidP="008B66DD" w:rsidRDefault="008B66DD" w14:paraId="7BEDBB72"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8B66DD" w:rsidTr="008B66DD" w14:paraId="562FD113" w14:textId="77777777">
        <w:tc>
          <w:tcPr>
            <w:tcW w:w="1418" w:type="dxa"/>
          </w:tcPr>
          <w:p w:rsidRPr="00164813" w:rsidR="008B66DD" w:rsidP="008B66DD" w:rsidRDefault="008B66DD" w14:paraId="6A3CFD92" w14:textId="77777777">
            <w:pPr>
              <w:contextualSpacing/>
              <w:rPr>
                <w:i/>
              </w:rPr>
            </w:pPr>
            <w:r>
              <w:rPr>
                <w:b/>
                <w:i/>
              </w:rPr>
              <w:t>Kontaktpersona:</w:t>
            </w:r>
          </w:p>
        </w:tc>
        <w:tc>
          <w:tcPr>
            <w:tcW w:w="5670" w:type="dxa"/>
          </w:tcPr>
          <w:p w:rsidRPr="00164813" w:rsidR="008B66DD" w:rsidP="008B66DD" w:rsidRDefault="008B66DD" w14:paraId="40D8BF4D" w14:textId="77777777">
            <w:pPr>
              <w:contextualSpacing/>
              <w:rPr>
                <w:i/>
              </w:rPr>
            </w:pPr>
            <w:proofErr w:type="spellStart"/>
            <w:r>
              <w:rPr>
                <w:i/>
              </w:rPr>
              <w:t>Caroline</w:t>
            </w:r>
            <w:proofErr w:type="spellEnd"/>
            <w:r>
              <w:rPr>
                <w:i/>
              </w:rPr>
              <w:t xml:space="preserve"> </w:t>
            </w:r>
            <w:proofErr w:type="spellStart"/>
            <w:r>
              <w:rPr>
                <w:i/>
              </w:rPr>
              <w:t>Verhelst</w:t>
            </w:r>
            <w:proofErr w:type="spellEnd"/>
          </w:p>
        </w:tc>
      </w:tr>
      <w:tr w:rsidRPr="00164813" w:rsidR="008B66DD" w:rsidTr="008B66DD" w14:paraId="39B58971" w14:textId="77777777">
        <w:tc>
          <w:tcPr>
            <w:tcW w:w="1418" w:type="dxa"/>
          </w:tcPr>
          <w:p w:rsidRPr="00164813" w:rsidR="008B66DD" w:rsidP="008B66DD" w:rsidRDefault="008B66DD" w14:paraId="0374B985" w14:textId="77777777">
            <w:pPr>
              <w:ind w:left="601"/>
              <w:contextualSpacing/>
              <w:rPr>
                <w:i/>
              </w:rPr>
            </w:pPr>
            <w:r>
              <w:rPr>
                <w:i/>
              </w:rPr>
              <w:t>Tālr.:</w:t>
            </w:r>
          </w:p>
        </w:tc>
        <w:tc>
          <w:tcPr>
            <w:tcW w:w="5670" w:type="dxa"/>
          </w:tcPr>
          <w:p w:rsidRPr="00164813" w:rsidR="008B66DD" w:rsidP="008B66DD" w:rsidRDefault="008B66DD" w14:paraId="2FFDE135" w14:textId="77777777">
            <w:pPr>
              <w:contextualSpacing/>
              <w:rPr>
                <w:i/>
              </w:rPr>
            </w:pPr>
            <w:r>
              <w:rPr>
                <w:i/>
              </w:rPr>
              <w:t>00 32 2 546 94 97</w:t>
            </w:r>
          </w:p>
        </w:tc>
      </w:tr>
      <w:tr w:rsidRPr="00164813" w:rsidR="008B66DD" w:rsidTr="008B66DD" w14:paraId="0D993716" w14:textId="77777777">
        <w:tc>
          <w:tcPr>
            <w:tcW w:w="1418" w:type="dxa"/>
          </w:tcPr>
          <w:p w:rsidRPr="00164813" w:rsidR="008B66DD" w:rsidP="008B66DD" w:rsidRDefault="008B66DD" w14:paraId="04669011" w14:textId="77777777">
            <w:pPr>
              <w:ind w:left="601"/>
              <w:contextualSpacing/>
              <w:rPr>
                <w:i/>
              </w:rPr>
            </w:pPr>
            <w:r>
              <w:rPr>
                <w:i/>
              </w:rPr>
              <w:t>E-pasts:</w:t>
            </w:r>
          </w:p>
        </w:tc>
        <w:tc>
          <w:tcPr>
            <w:tcW w:w="5670" w:type="dxa"/>
          </w:tcPr>
          <w:p w:rsidRPr="00164813" w:rsidR="008B66DD" w:rsidP="00910972" w:rsidRDefault="0039128C" w14:paraId="503147B8" w14:textId="7DD9F44B">
            <w:pPr>
              <w:contextualSpacing/>
              <w:rPr>
                <w:i/>
              </w:rPr>
            </w:pPr>
            <w:hyperlink w:history="1" r:id="rId37">
              <w:r w:rsidR="00B80426">
                <w:rPr>
                  <w:rStyle w:val="Hyperlink"/>
                </w:rPr>
                <w:t xml:space="preserve"> Caroline.Verhelst@eesc.europa.eu</w:t>
              </w:r>
            </w:hyperlink>
          </w:p>
        </w:tc>
      </w:tr>
    </w:tbl>
    <w:p w:rsidRPr="00A10A98" w:rsidR="00931584" w:rsidP="002A2F38" w:rsidRDefault="002A2F38" w14:paraId="49E30748" w14:textId="77777777">
      <w:pPr>
        <w:spacing w:after="160" w:line="259" w:lineRule="auto"/>
        <w:jc w:val="left"/>
        <w:rPr>
          <w:sz w:val="28"/>
          <w:szCs w:val="16"/>
        </w:rPr>
      </w:pPr>
      <w:r>
        <w:br w:type="page"/>
      </w:r>
    </w:p>
    <w:p w:rsidRPr="003E692C" w:rsidR="0005170F" w:rsidP="003E692C" w:rsidRDefault="00931584" w14:paraId="259B2927" w14:textId="77777777">
      <w:pPr>
        <w:pStyle w:val="Heading1"/>
        <w:keepNext/>
        <w:rPr>
          <w:b/>
        </w:rPr>
      </w:pPr>
      <w:bookmarkStart w:name="_Toc90469310" w:id="17"/>
      <w:bookmarkStart w:name="_Toc110414908" w:id="18"/>
      <w:r>
        <w:rPr>
          <w:b/>
        </w:rPr>
        <w:lastRenderedPageBreak/>
        <w:t>ĀRĒJĀS ATTIECĪBAS</w:t>
      </w:r>
      <w:bookmarkEnd w:id="17"/>
      <w:bookmarkEnd w:id="18"/>
    </w:p>
    <w:p w:rsidRPr="00CB3335" w:rsidR="00CB3335" w:rsidP="00CB3335" w:rsidRDefault="00CB3335" w14:paraId="4C868865" w14:textId="77777777"/>
    <w:p w:rsidR="0005170F" w:rsidP="00F856AC" w:rsidRDefault="00F856AC" w14:paraId="602B729E" w14:textId="77777777">
      <w:pPr>
        <w:pStyle w:val="ListParagraph"/>
        <w:keepNext/>
        <w:keepLines/>
        <w:numPr>
          <w:ilvl w:val="0"/>
          <w:numId w:val="2"/>
        </w:numPr>
        <w:ind w:left="567" w:hanging="567"/>
        <w:rPr>
          <w:b/>
          <w:i/>
          <w:sz w:val="28"/>
          <w:szCs w:val="28"/>
        </w:rPr>
      </w:pPr>
      <w:r>
        <w:rPr>
          <w:b/>
          <w:i/>
          <w:sz w:val="28"/>
        </w:rPr>
        <w:t>Jaunā ES un ASV Tirdzniecības un tehnoloģiju padome darbībā</w:t>
      </w:r>
    </w:p>
    <w:p w:rsidRPr="00F856AC" w:rsidR="00F856AC" w:rsidP="00F856AC" w:rsidRDefault="00F856AC" w14:paraId="7DD8EEC3" w14:textId="77777777">
      <w:pPr>
        <w:keepNext/>
        <w:keepLines/>
        <w:rPr>
          <w:b/>
          <w:i/>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05170F" w:rsidTr="00BC41D9" w14:paraId="0C5522F9" w14:textId="77777777">
        <w:tc>
          <w:tcPr>
            <w:tcW w:w="1701" w:type="dxa"/>
          </w:tcPr>
          <w:p w:rsidRPr="009B70E7" w:rsidR="0005170F" w:rsidP="00BC41D9" w:rsidRDefault="0005170F" w14:paraId="064CA71B" w14:textId="77777777">
            <w:pPr>
              <w:pStyle w:val="ListParagraph"/>
              <w:keepNext/>
              <w:ind w:left="0"/>
              <w:rPr>
                <w:b/>
              </w:rPr>
            </w:pPr>
            <w:r>
              <w:rPr>
                <w:b/>
              </w:rPr>
              <w:t>Ziņotājs:</w:t>
            </w:r>
          </w:p>
        </w:tc>
        <w:tc>
          <w:tcPr>
            <w:tcW w:w="5387" w:type="dxa"/>
          </w:tcPr>
          <w:p w:rsidRPr="009B70E7" w:rsidR="0005170F" w:rsidP="00BC41D9" w:rsidRDefault="00F856AC" w14:paraId="45B35874" w14:textId="77777777">
            <w:pPr>
              <w:pStyle w:val="ListParagraph"/>
              <w:keepNext/>
              <w:ind w:left="-106"/>
            </w:pPr>
            <w:proofErr w:type="spellStart"/>
            <w:r>
              <w:t>Timo</w:t>
            </w:r>
            <w:proofErr w:type="spellEnd"/>
            <w:r>
              <w:t xml:space="preserve"> VUORI (Darba devēju grupa – FI)</w:t>
            </w:r>
          </w:p>
        </w:tc>
      </w:tr>
      <w:tr w:rsidRPr="009B70E7" w:rsidR="0005170F" w:rsidTr="00BC41D9" w14:paraId="53A93979" w14:textId="77777777">
        <w:tc>
          <w:tcPr>
            <w:tcW w:w="1701" w:type="dxa"/>
          </w:tcPr>
          <w:p w:rsidRPr="009B70E7" w:rsidR="0005170F" w:rsidP="00BC41D9" w:rsidRDefault="0005170F" w14:paraId="392B7337" w14:textId="77777777">
            <w:pPr>
              <w:pStyle w:val="ListParagraph"/>
              <w:keepNext/>
              <w:ind w:left="0"/>
              <w:rPr>
                <w:b/>
              </w:rPr>
            </w:pPr>
            <w:r>
              <w:rPr>
                <w:b/>
              </w:rPr>
              <w:t>Līdzziņotāja:</w:t>
            </w:r>
          </w:p>
        </w:tc>
        <w:tc>
          <w:tcPr>
            <w:tcW w:w="5387" w:type="dxa"/>
          </w:tcPr>
          <w:p w:rsidRPr="009B70E7" w:rsidR="0005170F" w:rsidP="00BC41D9" w:rsidRDefault="00F856AC" w14:paraId="52EFC6C4" w14:textId="0996E1F8">
            <w:pPr>
              <w:pStyle w:val="ListParagraph"/>
              <w:keepNext/>
              <w:ind w:left="-106"/>
            </w:pPr>
            <w:proofErr w:type="spellStart"/>
            <w:r>
              <w:t>Tanja</w:t>
            </w:r>
            <w:proofErr w:type="spellEnd"/>
            <w:r>
              <w:t xml:space="preserve"> BUZEK (Darba ņēmēju grupa – DE)</w:t>
            </w:r>
          </w:p>
        </w:tc>
      </w:tr>
      <w:tr w:rsidRPr="009B70E7" w:rsidR="0005170F" w:rsidTr="00BC41D9" w14:paraId="3756149D" w14:textId="77777777">
        <w:tc>
          <w:tcPr>
            <w:tcW w:w="7088" w:type="dxa"/>
            <w:gridSpan w:val="2"/>
          </w:tcPr>
          <w:p w:rsidRPr="007B231B" w:rsidR="0005170F" w:rsidP="00BC41D9" w:rsidRDefault="0005170F" w14:paraId="1E0EC2DB" w14:textId="77777777">
            <w:pPr>
              <w:pStyle w:val="ListParagraph"/>
              <w:keepNext/>
              <w:ind w:left="0"/>
            </w:pPr>
          </w:p>
        </w:tc>
      </w:tr>
      <w:tr w:rsidRPr="009B70E7" w:rsidR="0005170F" w:rsidTr="00BC41D9" w14:paraId="19BB4E31" w14:textId="77777777">
        <w:tc>
          <w:tcPr>
            <w:tcW w:w="1701" w:type="dxa"/>
          </w:tcPr>
          <w:p w:rsidRPr="007B231B" w:rsidR="0005170F" w:rsidP="00BC41D9" w:rsidRDefault="0005170F" w14:paraId="7C61A8B1" w14:textId="77777777">
            <w:pPr>
              <w:pStyle w:val="ListParagraph"/>
              <w:keepNext/>
              <w:ind w:left="0"/>
              <w:rPr>
                <w:b/>
              </w:rPr>
            </w:pPr>
            <w:r>
              <w:rPr>
                <w:b/>
              </w:rPr>
              <w:t xml:space="preserve">Atsauce: </w:t>
            </w:r>
          </w:p>
        </w:tc>
        <w:tc>
          <w:tcPr>
            <w:tcW w:w="5387" w:type="dxa"/>
          </w:tcPr>
          <w:p w:rsidRPr="00163106" w:rsidR="0005170F" w:rsidP="00BC41D9" w:rsidRDefault="00F856AC" w14:paraId="49919073" w14:textId="77777777">
            <w:pPr>
              <w:pStyle w:val="ListParagraph"/>
              <w:keepNext/>
              <w:ind w:left="-106"/>
              <w:rPr>
                <w:iCs/>
                <w:color w:val="000000"/>
              </w:rPr>
            </w:pPr>
            <w:r>
              <w:rPr>
                <w:color w:val="000000"/>
              </w:rPr>
              <w:t>Pašiniciatīvas atzinums</w:t>
            </w:r>
          </w:p>
          <w:p w:rsidRPr="007B231B" w:rsidR="0005170F" w:rsidP="00BC41D9" w:rsidRDefault="009D1CA2" w14:paraId="705F793F" w14:textId="77777777">
            <w:pPr>
              <w:pStyle w:val="ListParagraph"/>
              <w:keepNext/>
              <w:ind w:left="-106"/>
            </w:pPr>
            <w:r>
              <w:t>EESC-2022-00726-00-00-AC</w:t>
            </w:r>
          </w:p>
        </w:tc>
      </w:tr>
    </w:tbl>
    <w:p w:rsidRPr="009B70E7" w:rsidR="0005170F" w:rsidP="0005170F" w:rsidRDefault="0005170F" w14:paraId="41B35B48" w14:textId="77777777">
      <w:pPr>
        <w:pStyle w:val="ListParagraph"/>
        <w:keepNext/>
        <w:ind w:left="567"/>
      </w:pPr>
    </w:p>
    <w:p w:rsidRPr="00F856AC" w:rsidR="00BC29C8" w:rsidP="00F856AC" w:rsidRDefault="00F856AC" w14:paraId="18C1BCD0" w14:textId="43F4EE79">
      <w:pPr>
        <w:pStyle w:val="ListParagraph"/>
        <w:spacing w:line="240" w:lineRule="auto"/>
        <w:ind w:left="-142" w:firstLine="142"/>
        <w:rPr>
          <w:b/>
        </w:rPr>
      </w:pPr>
      <w:r>
        <w:rPr>
          <w:b/>
          <w:bCs/>
        </w:rPr>
        <w:t>Svarīgākie aspekti</w:t>
      </w:r>
    </w:p>
    <w:p w:rsidR="00BC29C8" w:rsidP="0005170F" w:rsidRDefault="00BC29C8" w14:paraId="5B75415E" w14:textId="77777777">
      <w:pPr>
        <w:pStyle w:val="ListParagraph"/>
        <w:ind w:left="0"/>
      </w:pPr>
    </w:p>
    <w:p w:rsidRPr="004646AF" w:rsidR="0005170F" w:rsidP="0005170F" w:rsidRDefault="00F856AC" w14:paraId="3C5989C4" w14:textId="77777777">
      <w:pPr>
        <w:numPr>
          <w:ilvl w:val="0"/>
          <w:numId w:val="3"/>
        </w:numPr>
        <w:ind w:left="357" w:hanging="357"/>
        <w:contextualSpacing/>
      </w:pPr>
      <w:r>
        <w:t>Jaunā ES un ASV Tirdzniecības un tehnoloģiju padome var kļūt par programmas centrālo elementu un ar uzticamiem sadarbības kanāliem stimulēt mūsu transatlantisko partnerību. Tirdzniecības un tehnoloģiju padome var pildīt svarīgu uzdevumu un kalpot par forumu to šķēršļu apspriešanai, kas pastāv mūsu divpusējās ES un ASV tirdzniecības un ieguldījumu attiecībās, kā arī par stratēģisku platformu vērtību aizsardzībai un globālu tirdzniecības traucējumu novēršanai.</w:t>
      </w:r>
    </w:p>
    <w:p w:rsidRPr="0005170F" w:rsidR="009D1CA2" w:rsidP="009D1CA2" w:rsidRDefault="00F856AC" w14:paraId="5206FD24" w14:textId="77777777">
      <w:pPr>
        <w:numPr>
          <w:ilvl w:val="0"/>
          <w:numId w:val="3"/>
        </w:numPr>
        <w:ind w:left="357" w:hanging="357"/>
        <w:contextualSpacing/>
      </w:pPr>
      <w:r>
        <w:t>Nemierīgos ģeopolitiskajos apstākļos ir liela atbildība virzīt uz priekšu modernu sadarbības sistēmu tirdzniecības un tehnoloģiju jomā, kas atbalstītu atvērtu un ilgtspējīgu ekonomiku, brīvu un godīgu tirdzniecību un atbilstu demokrātiskām vērtībām, pienācīgas kvalitātes nodarbinātības un cilvēktiesību kritērijiem.</w:t>
      </w:r>
    </w:p>
    <w:p w:rsidRPr="0005170F" w:rsidR="009D1CA2" w:rsidP="009D1CA2" w:rsidRDefault="00F856AC" w14:paraId="712A3F38" w14:textId="77777777">
      <w:pPr>
        <w:numPr>
          <w:ilvl w:val="0"/>
          <w:numId w:val="3"/>
        </w:numPr>
        <w:ind w:left="357" w:hanging="357"/>
        <w:contextualSpacing/>
      </w:pPr>
      <w:r>
        <w:t xml:space="preserve">Tirdzniecība un tehnoloģijas nav tikai regulējuma jautājums – tie ir būtiski instrumenti, kas kalpo universālo vērtību veicināšanai visā pasaulē. Tirdzniecības un tehnoloģiju padome sniedz unikālu iespēju stratēģiskai sadarbībai tirdzniecības un tehnoloģiju jomā, kas pārsniedz pašreizējos </w:t>
      </w:r>
      <w:proofErr w:type="spellStart"/>
      <w:r>
        <w:rPr>
          <w:i/>
          <w:iCs/>
        </w:rPr>
        <w:t>ad</w:t>
      </w:r>
      <w:proofErr w:type="spellEnd"/>
      <w:r>
        <w:rPr>
          <w:i/>
          <w:iCs/>
        </w:rPr>
        <w:t xml:space="preserve"> </w:t>
      </w:r>
      <w:proofErr w:type="spellStart"/>
      <w:r>
        <w:rPr>
          <w:i/>
          <w:iCs/>
        </w:rPr>
        <w:t>hoc</w:t>
      </w:r>
      <w:proofErr w:type="spellEnd"/>
      <w:r>
        <w:rPr>
          <w:i/>
          <w:iCs/>
        </w:rPr>
        <w:t xml:space="preserve"> </w:t>
      </w:r>
      <w:r>
        <w:t>sadarbības mehānismus.</w:t>
      </w:r>
    </w:p>
    <w:p w:rsidRPr="00D630B8" w:rsidR="0005170F" w:rsidP="0005170F" w:rsidRDefault="00F856AC" w14:paraId="7CC82BD2" w14:textId="77777777">
      <w:pPr>
        <w:numPr>
          <w:ilvl w:val="0"/>
          <w:numId w:val="3"/>
        </w:numPr>
        <w:ind w:left="357" w:hanging="357"/>
        <w:contextualSpacing/>
      </w:pPr>
      <w:r>
        <w:t xml:space="preserve">Transatlantiskajiem partneriem ir strauji jāatrod veidi, kā stiprināt mūsu atvērto demokrātisko sabiedrību </w:t>
      </w:r>
      <w:proofErr w:type="spellStart"/>
      <w:r>
        <w:t>izturētspēju</w:t>
      </w:r>
      <w:proofErr w:type="spellEnd"/>
      <w:r>
        <w:t xml:space="preserve">. Viens no uzdevumiem šajā saistībā ir nodrošināt mūsu globālās vērtības un piegādes ķēdes, kā arī energoapgādes drošību ar mērķi steidzami aizstāt Krievijas enerģijas un izejvielu piegādi. ES un ASV ir aktīvāk jāstiprina </w:t>
      </w:r>
      <w:proofErr w:type="spellStart"/>
      <w:r>
        <w:t>multilaterālisms</w:t>
      </w:r>
      <w:proofErr w:type="spellEnd"/>
      <w:r>
        <w:t xml:space="preserve"> un jārisina problēmas, kas saistītas ar klimata pārmaiņām tā, lai netiktu apdraudēta brīva un godīga tirdzniecība, un jānovērš autoritāru valstu izraisīti tirgus traucējumi.</w:t>
      </w:r>
    </w:p>
    <w:p w:rsidR="0005170F" w:rsidP="0005170F" w:rsidRDefault="00F856AC" w14:paraId="26460775" w14:textId="77777777">
      <w:pPr>
        <w:numPr>
          <w:ilvl w:val="0"/>
          <w:numId w:val="3"/>
        </w:numPr>
        <w:ind w:left="357" w:hanging="357"/>
        <w:contextualSpacing/>
      </w:pPr>
      <w:r>
        <w:t>Tirdzniecības un tehnoloģiju padomes ietvaros ES un ASV ir jātiecas uz stratēģiskāku un horizontālu pieeju un sadarbību, neradot nevajadzīgas barjeras. EESK atzinīgi vērtē paziņojumu par trīspusēju tirdzniecības un darba dialogu, bet steidzina Komisiju vērsties pret darba demokrātijas līdzsvara trūkumu, kura cēlonis ir tas, ka nav ratificētas sešas SDO pamatkonvencijas. Visām desmit darba grupām būtu jāmeklē holistiska un efektīvi koordinēta pieeja sadarbībai.</w:t>
      </w:r>
    </w:p>
    <w:p w:rsidRPr="009B70E7" w:rsidR="0005170F" w:rsidP="00F856AC" w:rsidRDefault="00F856AC" w14:paraId="6798EA32" w14:textId="77777777">
      <w:pPr>
        <w:numPr>
          <w:ilvl w:val="0"/>
          <w:numId w:val="3"/>
        </w:numPr>
        <w:ind w:left="357" w:hanging="357"/>
        <w:contextualSpacing/>
      </w:pPr>
      <w:proofErr w:type="spellStart"/>
      <w:r>
        <w:t>Pārredzamība</w:t>
      </w:r>
      <w:proofErr w:type="spellEnd"/>
      <w:r>
        <w:t xml:space="preserve"> un ieinteresēto personu spēcīga iesaiste abos Atlantijas okeāna krastos ir vienīgais veids, kā ES un ASV Tirdzniecības un tehnoloģiju padome var sasniegt savus mērķus. EESK aktīvi iesaistīsies ES un ASV Tirdzniecības un tehnoloģiju padomes struktūru darbā un vēlas kļūt par galveno pilsoniskās sabiedrības pārstāvi šīs padomes ministriju līmeņa sanāksmēs.</w:t>
      </w:r>
    </w:p>
    <w:p w:rsidRPr="009B70E7" w:rsidR="0005170F" w:rsidP="0005170F" w:rsidRDefault="0005170F" w14:paraId="705D601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F856AC" w:rsidTr="00BC41D9" w14:paraId="3C4C05EA" w14:textId="77777777">
        <w:tc>
          <w:tcPr>
            <w:tcW w:w="1418" w:type="dxa"/>
          </w:tcPr>
          <w:p w:rsidRPr="009B70E7" w:rsidR="00F856AC" w:rsidP="00F856AC" w:rsidRDefault="00F856AC" w14:paraId="493B7F8F" w14:textId="77777777">
            <w:pPr>
              <w:pStyle w:val="ListParagraph"/>
              <w:ind w:left="0"/>
              <w:rPr>
                <w:i/>
              </w:rPr>
            </w:pPr>
            <w:r>
              <w:rPr>
                <w:b/>
                <w:i/>
              </w:rPr>
              <w:t>Kontaktpersona:</w:t>
            </w:r>
          </w:p>
        </w:tc>
        <w:tc>
          <w:tcPr>
            <w:tcW w:w="5670" w:type="dxa"/>
          </w:tcPr>
          <w:p w:rsidRPr="009B70E7" w:rsidR="00F856AC" w:rsidP="00F856AC" w:rsidRDefault="00F856AC" w14:paraId="0A9975E2" w14:textId="77777777">
            <w:pPr>
              <w:pStyle w:val="ListParagraph"/>
              <w:ind w:left="0"/>
              <w:rPr>
                <w:i/>
              </w:rPr>
            </w:pPr>
            <w:r>
              <w:rPr>
                <w:i/>
              </w:rPr>
              <w:t xml:space="preserve">Gunilla </w:t>
            </w:r>
            <w:proofErr w:type="spellStart"/>
            <w:r>
              <w:rPr>
                <w:i/>
              </w:rPr>
              <w:t>Fevre-Burdy</w:t>
            </w:r>
            <w:proofErr w:type="spellEnd"/>
          </w:p>
        </w:tc>
      </w:tr>
      <w:tr w:rsidRPr="009B70E7" w:rsidR="00F856AC" w:rsidTr="00BC41D9" w14:paraId="04C8463A" w14:textId="77777777">
        <w:tc>
          <w:tcPr>
            <w:tcW w:w="1418" w:type="dxa"/>
          </w:tcPr>
          <w:p w:rsidRPr="009B70E7" w:rsidR="00F856AC" w:rsidP="00F856AC" w:rsidRDefault="00F856AC" w14:paraId="4B8BBF4B" w14:textId="77777777">
            <w:pPr>
              <w:pStyle w:val="ListParagraph"/>
              <w:ind w:left="601"/>
              <w:rPr>
                <w:i/>
              </w:rPr>
            </w:pPr>
            <w:r>
              <w:rPr>
                <w:i/>
              </w:rPr>
              <w:t>Tālr.:</w:t>
            </w:r>
          </w:p>
        </w:tc>
        <w:tc>
          <w:tcPr>
            <w:tcW w:w="5670" w:type="dxa"/>
          </w:tcPr>
          <w:p w:rsidRPr="009B70E7" w:rsidR="00F856AC" w:rsidP="00F856AC" w:rsidRDefault="00F856AC" w14:paraId="4B367F8E" w14:textId="77777777">
            <w:pPr>
              <w:pStyle w:val="ListParagraph"/>
              <w:ind w:left="0"/>
              <w:rPr>
                <w:i/>
              </w:rPr>
            </w:pPr>
            <w:r>
              <w:rPr>
                <w:i/>
              </w:rPr>
              <w:t>00 32 2 546 91 08</w:t>
            </w:r>
          </w:p>
        </w:tc>
      </w:tr>
      <w:tr w:rsidRPr="009B70E7" w:rsidR="00F856AC" w:rsidTr="00BC41D9" w14:paraId="348A3E99" w14:textId="77777777">
        <w:tc>
          <w:tcPr>
            <w:tcW w:w="1418" w:type="dxa"/>
          </w:tcPr>
          <w:p w:rsidRPr="009B70E7" w:rsidR="00F856AC" w:rsidP="00F856AC" w:rsidRDefault="00F856AC" w14:paraId="123AD82B" w14:textId="77777777">
            <w:pPr>
              <w:pStyle w:val="ListParagraph"/>
              <w:ind w:left="601"/>
              <w:rPr>
                <w:i/>
              </w:rPr>
            </w:pPr>
            <w:r>
              <w:rPr>
                <w:i/>
              </w:rPr>
              <w:t>E-pasts:</w:t>
            </w:r>
          </w:p>
        </w:tc>
        <w:tc>
          <w:tcPr>
            <w:tcW w:w="5670" w:type="dxa"/>
          </w:tcPr>
          <w:p w:rsidRPr="009B70E7" w:rsidR="00F856AC" w:rsidP="00F856AC" w:rsidRDefault="0039128C" w14:paraId="7683ACD4" w14:textId="77777777">
            <w:pPr>
              <w:pStyle w:val="ListParagraph"/>
              <w:ind w:left="0"/>
              <w:rPr>
                <w:i/>
              </w:rPr>
            </w:pPr>
            <w:hyperlink w:history="1" r:id="rId38">
              <w:r w:rsidR="00B80426">
                <w:rPr>
                  <w:rStyle w:val="Hyperlink"/>
                  <w:i/>
                </w:rPr>
                <w:t>Gunilla.Sandberg@eesc.europa.eu</w:t>
              </w:r>
            </w:hyperlink>
          </w:p>
        </w:tc>
      </w:tr>
    </w:tbl>
    <w:p w:rsidR="00910972" w:rsidP="00A10A98" w:rsidRDefault="00910972" w14:paraId="3690378B" w14:textId="48CD998B">
      <w:pPr>
        <w:spacing w:line="240" w:lineRule="auto"/>
        <w:jc w:val="left"/>
        <w:rPr>
          <w:szCs w:val="28"/>
        </w:rPr>
      </w:pPr>
    </w:p>
    <w:p w:rsidR="00910972" w:rsidRDefault="00910972" w14:paraId="12885432" w14:textId="77777777">
      <w:pPr>
        <w:spacing w:after="160" w:line="259" w:lineRule="auto"/>
        <w:jc w:val="left"/>
        <w:rPr>
          <w:szCs w:val="28"/>
        </w:rPr>
      </w:pPr>
      <w:r>
        <w:br w:type="page"/>
      </w:r>
    </w:p>
    <w:p w:rsidR="00D55B4C" w:rsidP="00D55B4C" w:rsidRDefault="00D55B4C" w14:paraId="55AF9FAB" w14:textId="77777777">
      <w:pPr>
        <w:pStyle w:val="ListParagraph"/>
        <w:keepNext/>
        <w:keepLines/>
        <w:numPr>
          <w:ilvl w:val="0"/>
          <w:numId w:val="2"/>
        </w:numPr>
        <w:ind w:left="567" w:hanging="567"/>
        <w:rPr>
          <w:b/>
          <w:i/>
          <w:sz w:val="28"/>
          <w:szCs w:val="28"/>
        </w:rPr>
      </w:pPr>
      <w:r>
        <w:rPr>
          <w:b/>
          <w:i/>
          <w:sz w:val="28"/>
        </w:rPr>
        <w:lastRenderedPageBreak/>
        <w:t xml:space="preserve">Jaunatnes politika </w:t>
      </w:r>
      <w:proofErr w:type="spellStart"/>
      <w:r>
        <w:rPr>
          <w:b/>
          <w:i/>
          <w:sz w:val="28"/>
        </w:rPr>
        <w:t>Rietumbalkānos</w:t>
      </w:r>
      <w:proofErr w:type="spellEnd"/>
    </w:p>
    <w:p w:rsidRPr="00F856AC" w:rsidR="00D55B4C" w:rsidP="00D55B4C" w:rsidRDefault="00D55B4C" w14:paraId="4D8D4A99" w14:textId="77777777">
      <w:pPr>
        <w:keepNext/>
        <w:keepLines/>
        <w:rPr>
          <w:b/>
          <w:i/>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D55B4C" w:rsidTr="00D13F40" w14:paraId="5092A14F" w14:textId="77777777">
        <w:tc>
          <w:tcPr>
            <w:tcW w:w="1701" w:type="dxa"/>
          </w:tcPr>
          <w:p w:rsidRPr="009B70E7" w:rsidR="00D55B4C" w:rsidP="00D13F40" w:rsidRDefault="00D55B4C" w14:paraId="4073A381" w14:textId="77777777">
            <w:pPr>
              <w:pStyle w:val="ListParagraph"/>
              <w:keepNext/>
              <w:ind w:left="0"/>
              <w:rPr>
                <w:b/>
              </w:rPr>
            </w:pPr>
            <w:r>
              <w:rPr>
                <w:b/>
              </w:rPr>
              <w:t>Ziņotājs:</w:t>
            </w:r>
          </w:p>
        </w:tc>
        <w:tc>
          <w:tcPr>
            <w:tcW w:w="5387" w:type="dxa"/>
          </w:tcPr>
          <w:p w:rsidRPr="009B70E7" w:rsidR="00D55B4C" w:rsidP="00D13F40" w:rsidRDefault="00D55B4C" w14:paraId="2F545020" w14:textId="77777777">
            <w:pPr>
              <w:pStyle w:val="ListParagraph"/>
              <w:keepNext/>
              <w:ind w:left="-106"/>
            </w:pPr>
            <w:proofErr w:type="spellStart"/>
            <w:r>
              <w:t>Ionuţ</w:t>
            </w:r>
            <w:proofErr w:type="spellEnd"/>
            <w:r>
              <w:t xml:space="preserve"> SIBIAN (Pilsoniskās sabiedrības organizāciju grupa – RO)</w:t>
            </w:r>
          </w:p>
        </w:tc>
      </w:tr>
      <w:tr w:rsidRPr="009B70E7" w:rsidR="00D55B4C" w:rsidTr="00D13F40" w14:paraId="34B47862" w14:textId="77777777">
        <w:tc>
          <w:tcPr>
            <w:tcW w:w="1701" w:type="dxa"/>
          </w:tcPr>
          <w:p w:rsidRPr="009B70E7" w:rsidR="00D55B4C" w:rsidP="00D13F40" w:rsidRDefault="00D55B4C" w14:paraId="24432AB1" w14:textId="77777777">
            <w:pPr>
              <w:pStyle w:val="ListParagraph"/>
              <w:keepNext/>
              <w:ind w:left="0"/>
              <w:rPr>
                <w:b/>
              </w:rPr>
            </w:pPr>
            <w:r>
              <w:rPr>
                <w:b/>
              </w:rPr>
              <w:t>Līdzziņotājs:</w:t>
            </w:r>
          </w:p>
        </w:tc>
        <w:tc>
          <w:tcPr>
            <w:tcW w:w="5387" w:type="dxa"/>
          </w:tcPr>
          <w:p w:rsidRPr="009B70E7" w:rsidR="00D55B4C" w:rsidP="00D13F40" w:rsidRDefault="00D55B4C" w14:paraId="3FC99DB8" w14:textId="77777777">
            <w:pPr>
              <w:pStyle w:val="ListParagraph"/>
              <w:keepNext/>
              <w:ind w:left="-106"/>
            </w:pPr>
            <w:r>
              <w:t>Andrej ZORKO (Darba ņēmēju grupa – SI)</w:t>
            </w:r>
          </w:p>
        </w:tc>
      </w:tr>
      <w:tr w:rsidRPr="009B70E7" w:rsidR="00D55B4C" w:rsidTr="00D13F40" w14:paraId="2CDF0A57" w14:textId="77777777">
        <w:tc>
          <w:tcPr>
            <w:tcW w:w="7088" w:type="dxa"/>
            <w:gridSpan w:val="2"/>
          </w:tcPr>
          <w:p w:rsidRPr="007B231B" w:rsidR="00D55B4C" w:rsidP="00D13F40" w:rsidRDefault="00D55B4C" w14:paraId="0A7B0798" w14:textId="77777777">
            <w:pPr>
              <w:pStyle w:val="ListParagraph"/>
              <w:keepNext/>
              <w:ind w:left="0"/>
            </w:pPr>
          </w:p>
        </w:tc>
      </w:tr>
      <w:tr w:rsidRPr="009B70E7" w:rsidR="00D55B4C" w:rsidTr="00D13F40" w14:paraId="57E6BBE5" w14:textId="77777777">
        <w:tc>
          <w:tcPr>
            <w:tcW w:w="1701" w:type="dxa"/>
          </w:tcPr>
          <w:p w:rsidRPr="007B231B" w:rsidR="00D55B4C" w:rsidP="00D13F40" w:rsidRDefault="00D55B4C" w14:paraId="039C8752" w14:textId="77777777">
            <w:pPr>
              <w:pStyle w:val="ListParagraph"/>
              <w:keepNext/>
              <w:ind w:left="0"/>
              <w:rPr>
                <w:b/>
              </w:rPr>
            </w:pPr>
            <w:r>
              <w:rPr>
                <w:b/>
              </w:rPr>
              <w:t xml:space="preserve">Atsauce: </w:t>
            </w:r>
          </w:p>
        </w:tc>
        <w:tc>
          <w:tcPr>
            <w:tcW w:w="5387" w:type="dxa"/>
          </w:tcPr>
          <w:p w:rsidRPr="00163106" w:rsidR="00D55B4C" w:rsidP="00D13F40" w:rsidRDefault="00D55B4C" w14:paraId="270014DB" w14:textId="77777777">
            <w:pPr>
              <w:pStyle w:val="ListParagraph"/>
              <w:keepNext/>
              <w:ind w:left="-106"/>
              <w:rPr>
                <w:iCs/>
                <w:color w:val="000000"/>
              </w:rPr>
            </w:pPr>
            <w:r>
              <w:rPr>
                <w:color w:val="000000"/>
              </w:rPr>
              <w:t>Pašiniciatīvas atzinums</w:t>
            </w:r>
          </w:p>
          <w:p w:rsidRPr="007B231B" w:rsidR="00D55B4C" w:rsidP="00D13F40" w:rsidRDefault="00D55B4C" w14:paraId="492CD4A6" w14:textId="77777777">
            <w:pPr>
              <w:pStyle w:val="ListParagraph"/>
              <w:keepNext/>
              <w:ind w:left="-106"/>
            </w:pPr>
            <w:r>
              <w:t>EESC-2022-00778-00-00-AC</w:t>
            </w:r>
          </w:p>
        </w:tc>
      </w:tr>
    </w:tbl>
    <w:p w:rsidRPr="009B70E7" w:rsidR="00D55B4C" w:rsidP="00D55B4C" w:rsidRDefault="00D55B4C" w14:paraId="49C326FE" w14:textId="77777777">
      <w:pPr>
        <w:pStyle w:val="ListParagraph"/>
        <w:keepNext/>
        <w:ind w:left="567"/>
      </w:pPr>
    </w:p>
    <w:p w:rsidRPr="00F856AC" w:rsidR="00D55B4C" w:rsidP="00D55B4C" w:rsidRDefault="00D55B4C" w14:paraId="5EBBC034" w14:textId="3622AA3C">
      <w:pPr>
        <w:pStyle w:val="ListParagraph"/>
        <w:spacing w:line="240" w:lineRule="auto"/>
        <w:ind w:left="-142" w:firstLine="142"/>
        <w:rPr>
          <w:b/>
        </w:rPr>
      </w:pPr>
      <w:r>
        <w:rPr>
          <w:b/>
          <w:bCs/>
        </w:rPr>
        <w:t>Svarīgākie aspekti</w:t>
      </w:r>
    </w:p>
    <w:p w:rsidR="00D55B4C" w:rsidP="00D55B4C" w:rsidRDefault="00D55B4C" w14:paraId="63C9743D" w14:textId="77777777">
      <w:pPr>
        <w:pStyle w:val="ListParagraph"/>
        <w:ind w:left="0"/>
      </w:pPr>
    </w:p>
    <w:p w:rsidR="00DD23A2" w:rsidP="00D55B4C" w:rsidRDefault="00DD23A2" w14:paraId="427D30D6" w14:textId="77777777">
      <w:pPr>
        <w:pStyle w:val="ListParagraph"/>
        <w:ind w:left="0"/>
        <w:rPr>
          <w:bCs/>
          <w:iCs/>
        </w:rPr>
      </w:pPr>
      <w:r>
        <w:t>EESK:</w:t>
      </w:r>
    </w:p>
    <w:p w:rsidR="00DD23A2" w:rsidP="00D55B4C" w:rsidRDefault="00DD23A2" w14:paraId="57C75210" w14:textId="77777777">
      <w:pPr>
        <w:pStyle w:val="ListParagraph"/>
        <w:ind w:left="0"/>
      </w:pPr>
    </w:p>
    <w:p w:rsidRPr="004646AF" w:rsidR="00D55B4C" w:rsidP="00D55B4C" w:rsidRDefault="00DD23A2" w14:paraId="14A4253A" w14:textId="77777777">
      <w:pPr>
        <w:numPr>
          <w:ilvl w:val="0"/>
          <w:numId w:val="3"/>
        </w:numPr>
        <w:ind w:left="357" w:hanging="357"/>
        <w:contextualSpacing/>
      </w:pPr>
      <w:r>
        <w:t xml:space="preserve">aicina </w:t>
      </w:r>
      <w:proofErr w:type="spellStart"/>
      <w:r>
        <w:t>Rietumbalkānu</w:t>
      </w:r>
      <w:proofErr w:type="spellEnd"/>
      <w:r>
        <w:t xml:space="preserve"> partnervalstu valdības </w:t>
      </w:r>
      <w:r>
        <w:rPr>
          <w:b/>
        </w:rPr>
        <w:t>ievērot ES jaunatnes politikas pamatdokumentus</w:t>
      </w:r>
      <w:r>
        <w:t xml:space="preserve"> un </w:t>
      </w:r>
      <w:r>
        <w:rPr>
          <w:b/>
        </w:rPr>
        <w:t>turpināt ieguldījumus uz pierādījumiem balstītā jaunatnes politikā</w:t>
      </w:r>
      <w:r>
        <w:t xml:space="preserve">, kas risina jaunatnes attīstības problēmas. Pietiekami un pārredzami </w:t>
      </w:r>
      <w:r>
        <w:rPr>
          <w:b/>
        </w:rPr>
        <w:t>budžeta piešķīrumi jaunatnes politikas attīstībai</w:t>
      </w:r>
      <w:r>
        <w:t xml:space="preserve"> ir priekšnoteikums, lai veicinātu pozitīvas pārmaiņas un uzlabotu jauniešu situāciju;</w:t>
      </w:r>
    </w:p>
    <w:p w:rsidRPr="0005170F" w:rsidR="00D55B4C" w:rsidP="00D55B4C" w:rsidRDefault="00DD23A2" w14:paraId="7834EDBF" w14:textId="77777777">
      <w:pPr>
        <w:numPr>
          <w:ilvl w:val="0"/>
          <w:numId w:val="3"/>
        </w:numPr>
        <w:ind w:left="357" w:hanging="357"/>
        <w:contextualSpacing/>
      </w:pPr>
      <w:r>
        <w:t xml:space="preserve">uzskata, ka ir svarīgi iesaistīt sociālos partnerus un PSO, lai īstenotu </w:t>
      </w:r>
      <w:r>
        <w:rPr>
          <w:b/>
        </w:rPr>
        <w:t>plašāku reformu ar mērķi uzlabot jauniešu sociālās tiesības un izredzes</w:t>
      </w:r>
      <w:r>
        <w:t xml:space="preserve">. Komiteja arī aicina </w:t>
      </w:r>
      <w:proofErr w:type="spellStart"/>
      <w:r>
        <w:t>Rietumbalkānu</w:t>
      </w:r>
      <w:proofErr w:type="spellEnd"/>
      <w:r>
        <w:t xml:space="preserve"> </w:t>
      </w:r>
      <w:r>
        <w:rPr>
          <w:b/>
        </w:rPr>
        <w:t>sociālos partnerus</w:t>
      </w:r>
      <w:r>
        <w:t xml:space="preserve"> valstu un nozaru līmenī </w:t>
      </w:r>
      <w:r>
        <w:rPr>
          <w:b/>
        </w:rPr>
        <w:t>aktīvi iesaistīt jaunus cilvēkus</w:t>
      </w:r>
      <w:r>
        <w:t xml:space="preserve"> visās savās darbībās, tostarp darba koplīguma slēgšanas sarunās;</w:t>
      </w:r>
    </w:p>
    <w:p w:rsidRPr="00D630B8" w:rsidR="00D55B4C" w:rsidP="00D55B4C" w:rsidRDefault="00DD23A2" w14:paraId="2191A3C3" w14:textId="77777777">
      <w:pPr>
        <w:numPr>
          <w:ilvl w:val="0"/>
          <w:numId w:val="3"/>
        </w:numPr>
        <w:ind w:left="357" w:hanging="357"/>
        <w:contextualSpacing/>
      </w:pPr>
      <w:r>
        <w:t xml:space="preserve">aicina īstenot </w:t>
      </w:r>
      <w:r>
        <w:rPr>
          <w:b/>
        </w:rPr>
        <w:t xml:space="preserve">garantiju jauniešiem </w:t>
      </w:r>
      <w:proofErr w:type="spellStart"/>
      <w:r>
        <w:rPr>
          <w:b/>
        </w:rPr>
        <w:t>Rietumbalkānos</w:t>
      </w:r>
      <w:proofErr w:type="spellEnd"/>
      <w:r>
        <w:t xml:space="preserve">, ņemot vērā Padomes ieteikumus par pastiprinātu garantiju jauniešiem, </w:t>
      </w:r>
      <w:r>
        <w:rPr>
          <w:b/>
        </w:rPr>
        <w:t>partnerībā starp</w:t>
      </w:r>
      <w:r>
        <w:t xml:space="preserve"> </w:t>
      </w:r>
      <w:r>
        <w:rPr>
          <w:b/>
        </w:rPr>
        <w:t>garantijas jauniešiem sniedzējiem un attiecīgajām ieinteresētajām personām,</w:t>
      </w:r>
      <w:r>
        <w:t xml:space="preserve"> un aicina </w:t>
      </w:r>
      <w:r>
        <w:rPr>
          <w:b/>
        </w:rPr>
        <w:t>palielināt valsts nodarbinātības dienestu spējas</w:t>
      </w:r>
      <w:r>
        <w:t>;</w:t>
      </w:r>
    </w:p>
    <w:p w:rsidRPr="00DD23A2" w:rsidR="00D55B4C" w:rsidP="00D55B4C" w:rsidRDefault="00DD23A2" w14:paraId="6B442E8D" w14:textId="77777777">
      <w:pPr>
        <w:numPr>
          <w:ilvl w:val="0"/>
          <w:numId w:val="3"/>
        </w:numPr>
        <w:ind w:left="357" w:hanging="357"/>
        <w:contextualSpacing/>
      </w:pPr>
      <w:r>
        <w:t xml:space="preserve">aicina </w:t>
      </w:r>
      <w:r>
        <w:rPr>
          <w:b/>
        </w:rPr>
        <w:t>stiprināt ES programmas un reģionālās struktūras</w:t>
      </w:r>
      <w:r>
        <w:t xml:space="preserve">, lai </w:t>
      </w:r>
      <w:proofErr w:type="spellStart"/>
      <w:r>
        <w:t>Rietumbalkānos</w:t>
      </w:r>
      <w:proofErr w:type="spellEnd"/>
      <w:r>
        <w:t xml:space="preserve"> iesaistītu vairāk jauniešu, sniedzot viņiem izglītības, mobilitātes, brīvprātīgā darba un nodarbinātības iespējas. ES būtu jāatbalsta </w:t>
      </w:r>
      <w:proofErr w:type="spellStart"/>
      <w:r>
        <w:t>Rietumbalkāni</w:t>
      </w:r>
      <w:proofErr w:type="spellEnd"/>
      <w:r>
        <w:t xml:space="preserve">, </w:t>
      </w:r>
      <w:r>
        <w:rPr>
          <w:b/>
        </w:rPr>
        <w:t>nosakot galvenās jomas un iespējas, kas varētu veicināt pārmaiņas</w:t>
      </w:r>
      <w:r>
        <w:t xml:space="preserve"> visa </w:t>
      </w:r>
      <w:proofErr w:type="spellStart"/>
      <w:r>
        <w:t>Rietumbalkānu</w:t>
      </w:r>
      <w:proofErr w:type="spellEnd"/>
      <w:r>
        <w:t xml:space="preserve"> reģiona iedzīvotājiem, jo īpaši jauniešiem, kā arī turpināt izskatīt veidus, kā </w:t>
      </w:r>
      <w:r>
        <w:rPr>
          <w:b/>
        </w:rPr>
        <w:t xml:space="preserve">atbalstīt attiecīgās jaunatnes struktūras </w:t>
      </w:r>
      <w:proofErr w:type="spellStart"/>
      <w:r>
        <w:rPr>
          <w:b/>
        </w:rPr>
        <w:t>Rietumbalkānos</w:t>
      </w:r>
      <w:proofErr w:type="spellEnd"/>
      <w:r>
        <w:t>, ļaujot veidot</w:t>
      </w:r>
      <w:r>
        <w:rPr>
          <w:b/>
        </w:rPr>
        <w:t xml:space="preserve"> reģionālo dialogu par jaunatnes politiku</w:t>
      </w:r>
      <w:r>
        <w:t>;</w:t>
      </w:r>
    </w:p>
    <w:p w:rsidR="00DD23A2" w:rsidP="00D55B4C" w:rsidRDefault="00DD23A2" w14:paraId="31BAD8B3" w14:textId="77777777">
      <w:pPr>
        <w:numPr>
          <w:ilvl w:val="0"/>
          <w:numId w:val="3"/>
        </w:numPr>
        <w:ind w:left="357" w:hanging="357"/>
        <w:contextualSpacing/>
      </w:pPr>
      <w:r>
        <w:t xml:space="preserve">aicina ES turpināt atbalstīt </w:t>
      </w:r>
      <w:proofErr w:type="spellStart"/>
      <w:r>
        <w:t>Rietumbalkānu</w:t>
      </w:r>
      <w:proofErr w:type="spellEnd"/>
      <w:r>
        <w:t xml:space="preserve"> valstis </w:t>
      </w:r>
      <w:r>
        <w:rPr>
          <w:b/>
        </w:rPr>
        <w:t>jauniešu līdzdalības uzlabošanā</w:t>
      </w:r>
      <w:r>
        <w:t xml:space="preserve">, ņemot vērā izglītības vai apmācības mobilitātes pozitīvo saistību ar </w:t>
      </w:r>
      <w:r>
        <w:rPr>
          <w:b/>
        </w:rPr>
        <w:t>jauniešu pilsonisko un politisko iesaistīšanos</w:t>
      </w:r>
      <w:r>
        <w:t>;</w:t>
      </w:r>
    </w:p>
    <w:p w:rsidR="00DD23A2" w:rsidP="00D55B4C" w:rsidRDefault="00DD23A2" w14:paraId="68182012" w14:textId="77777777">
      <w:pPr>
        <w:numPr>
          <w:ilvl w:val="0"/>
          <w:numId w:val="3"/>
        </w:numPr>
        <w:ind w:left="357" w:hanging="357"/>
        <w:contextualSpacing/>
      </w:pPr>
      <w:r>
        <w:t xml:space="preserve">atkārtoti uzsver, ka jauniešiem ir liela nozīme </w:t>
      </w:r>
      <w:proofErr w:type="spellStart"/>
      <w:r>
        <w:t>Rietumbalkānu</w:t>
      </w:r>
      <w:proofErr w:type="spellEnd"/>
      <w:r>
        <w:t xml:space="preserve"> nākotnē un ka tādēļ ir svarīgi veikt </w:t>
      </w:r>
      <w:r>
        <w:rPr>
          <w:b/>
        </w:rPr>
        <w:t>konkrētus pasākumus, lai šo reģionu padarītu par vietu, kurā jauniešiem ir nākotnes izredzes un iespējas, ļaujot viņiem palikt savā valstī un attīstīties</w:t>
      </w:r>
      <w:r>
        <w:t>.</w:t>
      </w:r>
    </w:p>
    <w:p w:rsidRPr="009B70E7" w:rsidR="00D55B4C" w:rsidP="00D55B4C" w:rsidRDefault="00D55B4C" w14:paraId="0093329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D55B4C" w:rsidTr="00D13F40" w14:paraId="0569EDD4" w14:textId="77777777">
        <w:tc>
          <w:tcPr>
            <w:tcW w:w="1418" w:type="dxa"/>
          </w:tcPr>
          <w:p w:rsidRPr="009B70E7" w:rsidR="00D55B4C" w:rsidP="00D13F40" w:rsidRDefault="00D55B4C" w14:paraId="2A08EC2E" w14:textId="77777777">
            <w:pPr>
              <w:pStyle w:val="ListParagraph"/>
              <w:ind w:left="0"/>
              <w:rPr>
                <w:i/>
              </w:rPr>
            </w:pPr>
            <w:r>
              <w:rPr>
                <w:b/>
                <w:i/>
              </w:rPr>
              <w:t>Kontaktpersona:</w:t>
            </w:r>
          </w:p>
        </w:tc>
        <w:tc>
          <w:tcPr>
            <w:tcW w:w="5670" w:type="dxa"/>
          </w:tcPr>
          <w:p w:rsidRPr="009B70E7" w:rsidR="00D55B4C" w:rsidP="00D13F40" w:rsidRDefault="00DD23A2" w14:paraId="335956F6" w14:textId="77777777">
            <w:pPr>
              <w:pStyle w:val="ListParagraph"/>
              <w:ind w:left="0"/>
              <w:rPr>
                <w:i/>
              </w:rPr>
            </w:pPr>
            <w:proofErr w:type="spellStart"/>
            <w:r>
              <w:rPr>
                <w:i/>
              </w:rPr>
              <w:t>David</w:t>
            </w:r>
            <w:proofErr w:type="spellEnd"/>
            <w:r>
              <w:rPr>
                <w:i/>
              </w:rPr>
              <w:t xml:space="preserve"> </w:t>
            </w:r>
            <w:proofErr w:type="spellStart"/>
            <w:r>
              <w:rPr>
                <w:i/>
              </w:rPr>
              <w:t>Hoić</w:t>
            </w:r>
            <w:proofErr w:type="spellEnd"/>
          </w:p>
        </w:tc>
      </w:tr>
      <w:tr w:rsidRPr="009B70E7" w:rsidR="00D55B4C" w:rsidTr="00D13F40" w14:paraId="4AA291B3" w14:textId="77777777">
        <w:tc>
          <w:tcPr>
            <w:tcW w:w="1418" w:type="dxa"/>
          </w:tcPr>
          <w:p w:rsidRPr="009B70E7" w:rsidR="00D55B4C" w:rsidP="00D13F40" w:rsidRDefault="00D55B4C" w14:paraId="4BD5A0AA" w14:textId="77777777">
            <w:pPr>
              <w:pStyle w:val="ListParagraph"/>
              <w:ind w:left="601"/>
              <w:rPr>
                <w:i/>
              </w:rPr>
            </w:pPr>
            <w:r>
              <w:rPr>
                <w:i/>
              </w:rPr>
              <w:t>Tālr.:</w:t>
            </w:r>
          </w:p>
        </w:tc>
        <w:tc>
          <w:tcPr>
            <w:tcW w:w="5670" w:type="dxa"/>
          </w:tcPr>
          <w:p w:rsidRPr="009B70E7" w:rsidR="00D55B4C" w:rsidP="00D13F40" w:rsidRDefault="00DD23A2" w14:paraId="5D817641" w14:textId="77777777">
            <w:pPr>
              <w:pStyle w:val="ListParagraph"/>
              <w:ind w:left="0"/>
              <w:rPr>
                <w:i/>
              </w:rPr>
            </w:pPr>
            <w:r>
              <w:rPr>
                <w:i/>
              </w:rPr>
              <w:t>00 32 2 546 90 69</w:t>
            </w:r>
          </w:p>
        </w:tc>
      </w:tr>
      <w:tr w:rsidRPr="009B70E7" w:rsidR="00D55B4C" w:rsidTr="00D13F40" w14:paraId="511A434F" w14:textId="77777777">
        <w:tc>
          <w:tcPr>
            <w:tcW w:w="1418" w:type="dxa"/>
          </w:tcPr>
          <w:p w:rsidRPr="009B70E7" w:rsidR="00D55B4C" w:rsidP="00D13F40" w:rsidRDefault="00D55B4C" w14:paraId="59BC640E" w14:textId="77777777">
            <w:pPr>
              <w:pStyle w:val="ListParagraph"/>
              <w:ind w:left="601"/>
              <w:rPr>
                <w:i/>
              </w:rPr>
            </w:pPr>
            <w:r>
              <w:rPr>
                <w:i/>
              </w:rPr>
              <w:t>E-pasts:</w:t>
            </w:r>
          </w:p>
        </w:tc>
        <w:tc>
          <w:tcPr>
            <w:tcW w:w="5670" w:type="dxa"/>
          </w:tcPr>
          <w:p w:rsidRPr="009B70E7" w:rsidR="00D55B4C" w:rsidP="00D13F40" w:rsidRDefault="0039128C" w14:paraId="2B5759BC" w14:textId="77777777">
            <w:pPr>
              <w:pStyle w:val="ListParagraph"/>
              <w:ind w:left="0"/>
              <w:rPr>
                <w:i/>
              </w:rPr>
            </w:pPr>
            <w:hyperlink w:history="1" r:id="rId39">
              <w:r w:rsidR="00B80426">
                <w:rPr>
                  <w:rStyle w:val="Hyperlink"/>
                  <w:i/>
                </w:rPr>
                <w:t>David.Hoic@eesc.europa.eu</w:t>
              </w:r>
            </w:hyperlink>
          </w:p>
        </w:tc>
      </w:tr>
    </w:tbl>
    <w:p w:rsidR="00910972" w:rsidP="00A10A98" w:rsidRDefault="00910972" w14:paraId="77950882" w14:textId="4A0E5534">
      <w:pPr>
        <w:spacing w:line="240" w:lineRule="auto"/>
        <w:jc w:val="left"/>
        <w:rPr>
          <w:szCs w:val="28"/>
        </w:rPr>
      </w:pPr>
    </w:p>
    <w:p w:rsidR="00910972" w:rsidRDefault="00910972" w14:paraId="22E7970A" w14:textId="77777777">
      <w:pPr>
        <w:spacing w:after="160" w:line="259" w:lineRule="auto"/>
        <w:jc w:val="left"/>
        <w:rPr>
          <w:szCs w:val="28"/>
        </w:rPr>
      </w:pPr>
      <w:r>
        <w:br w:type="page"/>
      </w:r>
    </w:p>
    <w:p w:rsidRPr="009B70E7" w:rsidR="00370CCB" w:rsidP="00370CCB" w:rsidRDefault="00D35C97" w14:paraId="2BF1BAE1" w14:textId="7425C1EF">
      <w:pPr>
        <w:pStyle w:val="ListParagraph"/>
        <w:keepNext/>
        <w:numPr>
          <w:ilvl w:val="0"/>
          <w:numId w:val="2"/>
        </w:numPr>
        <w:ind w:left="567" w:hanging="567"/>
        <w:rPr>
          <w:b/>
          <w:i/>
          <w:sz w:val="28"/>
          <w:szCs w:val="28"/>
        </w:rPr>
      </w:pPr>
      <w:r>
        <w:rPr>
          <w:b/>
          <w:i/>
          <w:sz w:val="28"/>
        </w:rPr>
        <w:lastRenderedPageBreak/>
        <w:t xml:space="preserve">Analīze par organizētas pilsoniskās sabiedrības lomu jaunajā Eiropas Savienības un Āfrikas, Karību jūras reģiona un Klusā okeāna valstu organizācijas nolīgumā, tostarp par ekonomisko partnerattiecību nolīgumu situāciju šajā kontekstā </w:t>
      </w:r>
    </w:p>
    <w:p w:rsidRPr="009B70E7" w:rsidR="00370CCB" w:rsidP="00370CCB" w:rsidRDefault="00370CCB" w14:paraId="739B23CD"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370CCB" w:rsidTr="00BC41D9" w14:paraId="18E45DF9" w14:textId="77777777">
        <w:tc>
          <w:tcPr>
            <w:tcW w:w="1701" w:type="dxa"/>
          </w:tcPr>
          <w:p w:rsidRPr="009B70E7" w:rsidR="00370CCB" w:rsidP="00BC41D9" w:rsidRDefault="00370CCB" w14:paraId="21B9560D" w14:textId="77777777">
            <w:pPr>
              <w:pStyle w:val="ListParagraph"/>
              <w:keepNext/>
              <w:ind w:left="0"/>
              <w:rPr>
                <w:b/>
              </w:rPr>
            </w:pPr>
            <w:r>
              <w:rPr>
                <w:b/>
              </w:rPr>
              <w:t>Ziņotājs:</w:t>
            </w:r>
          </w:p>
        </w:tc>
        <w:tc>
          <w:tcPr>
            <w:tcW w:w="5387" w:type="dxa"/>
          </w:tcPr>
          <w:p w:rsidRPr="009B70E7" w:rsidR="00370CCB" w:rsidP="00BC41D9" w:rsidRDefault="00D35C97" w14:paraId="5E26FDD3" w14:textId="77777777">
            <w:pPr>
              <w:pStyle w:val="ListParagraph"/>
              <w:keepNext/>
              <w:ind w:left="-106"/>
            </w:pPr>
            <w:r>
              <w:t>Carlos Manuel TRINDADE (Darba ņēmēju grupa – PT)</w:t>
            </w:r>
          </w:p>
        </w:tc>
      </w:tr>
      <w:tr w:rsidRPr="009B70E7" w:rsidR="00370CCB" w:rsidTr="00BC41D9" w14:paraId="66A4D987" w14:textId="77777777">
        <w:tc>
          <w:tcPr>
            <w:tcW w:w="1701" w:type="dxa"/>
          </w:tcPr>
          <w:p w:rsidRPr="009B70E7" w:rsidR="00370CCB" w:rsidP="00BC41D9" w:rsidRDefault="00370CCB" w14:paraId="0BF5D687" w14:textId="77777777">
            <w:pPr>
              <w:pStyle w:val="ListParagraph"/>
              <w:keepNext/>
              <w:ind w:left="0"/>
              <w:rPr>
                <w:b/>
              </w:rPr>
            </w:pPr>
          </w:p>
        </w:tc>
        <w:tc>
          <w:tcPr>
            <w:tcW w:w="5387" w:type="dxa"/>
          </w:tcPr>
          <w:p w:rsidRPr="009B70E7" w:rsidR="00370CCB" w:rsidP="00BC41D9" w:rsidRDefault="00370CCB" w14:paraId="7133ADF1" w14:textId="77777777">
            <w:pPr>
              <w:pStyle w:val="ListParagraph"/>
              <w:keepNext/>
              <w:ind w:left="-106"/>
            </w:pPr>
          </w:p>
        </w:tc>
      </w:tr>
      <w:tr w:rsidRPr="009B70E7" w:rsidR="00370CCB" w:rsidTr="00BC41D9" w14:paraId="072D9F90" w14:textId="77777777">
        <w:tc>
          <w:tcPr>
            <w:tcW w:w="1701" w:type="dxa"/>
          </w:tcPr>
          <w:p w:rsidRPr="007B231B" w:rsidR="00370CCB" w:rsidP="00BC41D9" w:rsidRDefault="00370CCB" w14:paraId="5D3A0E4C" w14:textId="77777777">
            <w:pPr>
              <w:pStyle w:val="ListParagraph"/>
              <w:keepNext/>
              <w:ind w:left="0"/>
              <w:rPr>
                <w:b/>
              </w:rPr>
            </w:pPr>
            <w:r>
              <w:rPr>
                <w:b/>
              </w:rPr>
              <w:t xml:space="preserve">Atsauce: </w:t>
            </w:r>
          </w:p>
        </w:tc>
        <w:tc>
          <w:tcPr>
            <w:tcW w:w="5387" w:type="dxa"/>
          </w:tcPr>
          <w:p w:rsidRPr="00163106" w:rsidR="00370CCB" w:rsidP="00BC41D9" w:rsidRDefault="00D35C97" w14:paraId="174355ED" w14:textId="77777777">
            <w:pPr>
              <w:pStyle w:val="ListParagraph"/>
              <w:keepNext/>
              <w:ind w:left="-106"/>
              <w:rPr>
                <w:iCs/>
                <w:color w:val="000000"/>
              </w:rPr>
            </w:pPr>
            <w:r>
              <w:rPr>
                <w:color w:val="000000"/>
              </w:rPr>
              <w:t>Pašiniciatīvas atzinums</w:t>
            </w:r>
          </w:p>
          <w:p w:rsidRPr="007B231B" w:rsidR="00370CCB" w:rsidP="00BC41D9" w:rsidRDefault="00BC29C8" w14:paraId="0D44102F" w14:textId="77777777">
            <w:pPr>
              <w:pStyle w:val="ListParagraph"/>
              <w:keepNext/>
              <w:ind w:left="-106"/>
            </w:pPr>
            <w:r>
              <w:t>EESC-2022-00344-00-00-AC</w:t>
            </w:r>
          </w:p>
        </w:tc>
      </w:tr>
    </w:tbl>
    <w:p w:rsidRPr="009B70E7" w:rsidR="00370CCB" w:rsidP="00370CCB" w:rsidRDefault="00370CCB" w14:paraId="7C4F0B89" w14:textId="77777777">
      <w:pPr>
        <w:pStyle w:val="ListParagraph"/>
        <w:keepNext/>
        <w:ind w:left="567"/>
      </w:pPr>
    </w:p>
    <w:p w:rsidR="00370CCB" w:rsidP="001F1862" w:rsidRDefault="00370CCB" w14:paraId="7F7A77C2" w14:textId="453CEF85">
      <w:pPr>
        <w:pStyle w:val="ListParagraph"/>
        <w:keepNext/>
        <w:ind w:left="0"/>
        <w:rPr>
          <w:b/>
        </w:rPr>
      </w:pPr>
      <w:r>
        <w:rPr>
          <w:b/>
          <w:bCs/>
        </w:rPr>
        <w:t>Svarīgākie aspekti</w:t>
      </w:r>
    </w:p>
    <w:p w:rsidR="00D35C97" w:rsidP="001F1862" w:rsidRDefault="00D35C97" w14:paraId="18514A63" w14:textId="77777777">
      <w:pPr>
        <w:pStyle w:val="ListParagraph"/>
        <w:keepNext/>
        <w:ind w:left="0"/>
        <w:rPr>
          <w:b/>
        </w:rPr>
      </w:pPr>
    </w:p>
    <w:p w:rsidRPr="009B70E7" w:rsidR="00D35C97" w:rsidP="001F1862" w:rsidRDefault="00D35C97" w14:paraId="019F63A7" w14:textId="77777777">
      <w:pPr>
        <w:pStyle w:val="ListParagraph"/>
        <w:keepNext/>
        <w:ind w:left="0"/>
        <w:rPr>
          <w:b/>
        </w:rPr>
      </w:pPr>
      <w:r>
        <w:t>EESK:</w:t>
      </w:r>
    </w:p>
    <w:p w:rsidR="00370CCB" w:rsidP="00370CCB" w:rsidRDefault="00370CCB" w14:paraId="5ABEAD2C" w14:textId="77777777">
      <w:pPr>
        <w:pStyle w:val="ListParagraph"/>
        <w:ind w:left="0"/>
      </w:pPr>
    </w:p>
    <w:p w:rsidRPr="004646AF" w:rsidR="00370CCB" w:rsidP="00370CCB" w:rsidRDefault="00D35C97" w14:paraId="600650F8" w14:textId="77777777">
      <w:pPr>
        <w:numPr>
          <w:ilvl w:val="0"/>
          <w:numId w:val="3"/>
        </w:numPr>
        <w:ind w:left="357" w:hanging="357"/>
        <w:contextualSpacing/>
      </w:pPr>
      <w:r>
        <w:t xml:space="preserve">kopumā atbalsta </w:t>
      </w:r>
      <w:r>
        <w:rPr>
          <w:b/>
        </w:rPr>
        <w:t>jauno nolīgumu</w:t>
      </w:r>
      <w:r>
        <w:t xml:space="preserve"> un cer, ka puses to varēs drīzumā parakstīt; Komiteja atzinīgi vērtē lielo darbu un svarīgās saistības, ko puses ir uzņēmušās, kā atsauces sistēmu izmantojot </w:t>
      </w:r>
      <w:r>
        <w:rPr>
          <w:b/>
        </w:rPr>
        <w:t>Apvienoto Nāciju Organizācijas ilgtspējīgas attīstības mērķus</w:t>
      </w:r>
      <w:r>
        <w:t xml:space="preserve"> </w:t>
      </w:r>
      <w:r>
        <w:rPr>
          <w:b/>
        </w:rPr>
        <w:t>(IAM)</w:t>
      </w:r>
      <w:r>
        <w:t>;</w:t>
      </w:r>
    </w:p>
    <w:p w:rsidRPr="00D630B8" w:rsidR="00D423EB" w:rsidP="00A74B4C" w:rsidRDefault="00D35C97" w14:paraId="6D5D132E" w14:textId="77777777">
      <w:pPr>
        <w:numPr>
          <w:ilvl w:val="0"/>
          <w:numId w:val="3"/>
        </w:numPr>
        <w:ind w:left="357" w:hanging="357"/>
        <w:contextualSpacing/>
      </w:pPr>
      <w:r>
        <w:t xml:space="preserve">uzsver, ka pilsoniskās sabiedrības organizāciju / sociālo partneru rīcībā ir tiesiski regulēti institucionālie mehānismi, ar kuriem tiek veiktas formālās darbības, kurās ar mērķi dot savu ieguldījumu </w:t>
      </w:r>
      <w:r>
        <w:rPr>
          <w:b/>
        </w:rPr>
        <w:t>publiskajās un demokrātiskajās debatēs</w:t>
      </w:r>
      <w:r>
        <w:t xml:space="preserve"> piedalās </w:t>
      </w:r>
      <w:r>
        <w:rPr>
          <w:b/>
        </w:rPr>
        <w:t>pilsoniskās sabiedrības organizācijas, kas iesaistītas pilsoniskajā dialogā, un sociālie partneri, kas vada pilsonisko dialogu</w:t>
      </w:r>
      <w:r>
        <w:t>, neatkarīgi no to nosaukuma (ekonomikas, sociālās un kultūras komitejas, konsultatīvās padomes, forumi, platformas, pilsoniskās sabiedrības organizāciju tīkli, pastāvīgās konferences vai citas struktūras);</w:t>
      </w:r>
    </w:p>
    <w:p w:rsidRPr="00D630B8" w:rsidR="00370CCB" w:rsidP="00370CCB" w:rsidRDefault="00D35C97" w14:paraId="26B5CACB" w14:textId="77777777">
      <w:pPr>
        <w:numPr>
          <w:ilvl w:val="0"/>
          <w:numId w:val="3"/>
        </w:numPr>
        <w:ind w:left="357" w:hanging="357"/>
        <w:contextualSpacing/>
      </w:pPr>
      <w:r>
        <w:t xml:space="preserve">iesaka Komisijai par mērķi izvirzīt </w:t>
      </w:r>
      <w:r>
        <w:rPr>
          <w:b/>
        </w:rPr>
        <w:t>četru institucionālu mehānismu</w:t>
      </w:r>
      <w:r>
        <w:t xml:space="preserve"> izveidi, proti: pirmo mehānismu – starp Eiropas Savienību un ĀKK valstu organizāciju, otro – ar Āfriku, trešo – ar Karību jūras valstīm un ceturto mehānismu – ar Klusā okeāna valstīm;</w:t>
      </w:r>
    </w:p>
    <w:p w:rsidRPr="00D630B8" w:rsidR="00370CCB" w:rsidP="00370CCB" w:rsidRDefault="00D35C97" w14:paraId="2731839F" w14:textId="77777777">
      <w:pPr>
        <w:numPr>
          <w:ilvl w:val="0"/>
          <w:numId w:val="3"/>
        </w:numPr>
        <w:ind w:left="357" w:hanging="357"/>
        <w:contextualSpacing/>
      </w:pPr>
      <w:r>
        <w:t xml:space="preserve">iesaka Komisijai arī </w:t>
      </w:r>
      <w:r>
        <w:rPr>
          <w:b/>
        </w:rPr>
        <w:t>ekonomisko partnerattiecību nolīgumu ietvaros izveidot padomdevējas komitejas</w:t>
      </w:r>
      <w:r>
        <w:t>;</w:t>
      </w:r>
    </w:p>
    <w:p w:rsidR="00370CCB" w:rsidP="00D423EB" w:rsidRDefault="00D35C97" w14:paraId="3193353E" w14:textId="77777777">
      <w:pPr>
        <w:numPr>
          <w:ilvl w:val="0"/>
          <w:numId w:val="3"/>
        </w:numPr>
        <w:ind w:left="357" w:hanging="357"/>
        <w:contextualSpacing/>
      </w:pPr>
      <w:r>
        <w:t xml:space="preserve">ļoti iesaka Komisijai paredzēt finanšu instrumentus, ar kuriem atbalstīt </w:t>
      </w:r>
      <w:r>
        <w:rPr>
          <w:b/>
        </w:rPr>
        <w:t>programmas un pētījumu un prognozēšanas projektus par pilsoniskās sabiedrības organizāciju un sociālo partneru</w:t>
      </w:r>
      <w:r>
        <w:t xml:space="preserve"> reālajiem apstākļiem </w:t>
      </w:r>
      <w:r>
        <w:rPr>
          <w:b/>
        </w:rPr>
        <w:t>ĀKK valstīs</w:t>
      </w:r>
      <w:r>
        <w:t>, ņemot vērā to vajadzības tādās jomās kā spēja īstenot pilnvaras, organizāciju tehniskā stabilitāte un paredzēto institucionālo mehānismu īstenošana;</w:t>
      </w:r>
    </w:p>
    <w:p w:rsidRPr="009B70E7" w:rsidR="00BC29C8" w:rsidP="00D423EB" w:rsidRDefault="00D35C97" w14:paraId="776E5420" w14:textId="77777777">
      <w:pPr>
        <w:numPr>
          <w:ilvl w:val="0"/>
          <w:numId w:val="3"/>
        </w:numPr>
        <w:ind w:left="357" w:hanging="357"/>
        <w:contextualSpacing/>
      </w:pPr>
      <w:r>
        <w:t xml:space="preserve">aktīvi mudina Komisiju atbalstīt </w:t>
      </w:r>
      <w:r>
        <w:rPr>
          <w:b/>
        </w:rPr>
        <w:t>ĀKK un ES koordinācijas komitejas darbu</w:t>
      </w:r>
      <w:r>
        <w:t>, kas ir vienīgais institucionālais mehānisms, kas pašlaik eksistē jaunā ES un</w:t>
      </w:r>
      <w:r>
        <w:noBreakHyphen/>
        <w:t xml:space="preserve"> ĀKK valstu organizācijas nolīguma ietvaros un kuram šajā procesā būs lielāka loma konkrēti strukturētā dialogā, kura mērķis ir: (i) sniegt iestādēm </w:t>
      </w:r>
      <w:r>
        <w:rPr>
          <w:b/>
        </w:rPr>
        <w:t>vajadzīgos ziņojumus, projektus un atzinumus</w:t>
      </w:r>
      <w:r>
        <w:t xml:space="preserve">, (ii) mudināt </w:t>
      </w:r>
      <w:r>
        <w:rPr>
          <w:b/>
        </w:rPr>
        <w:t>iesaistīties ĀKK valstu ieinteresētās personas</w:t>
      </w:r>
      <w:r>
        <w:t xml:space="preserve"> un (iii) palīdzēt </w:t>
      </w:r>
      <w:r>
        <w:rPr>
          <w:b/>
        </w:rPr>
        <w:t>izveidot paredzētos institucionālos mehānismus</w:t>
      </w:r>
      <w:r>
        <w:t>.</w:t>
      </w:r>
    </w:p>
    <w:p w:rsidR="00370CCB" w:rsidP="00370CCB" w:rsidRDefault="00370CCB" w14:paraId="5E9E5033" w14:textId="2B4C2D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725"/>
      </w:tblGrid>
      <w:tr w:rsidRPr="009B70E7" w:rsidR="00910972" w:rsidTr="00956ECB" w14:paraId="7BA9BA0D" w14:textId="77777777">
        <w:trPr>
          <w:trHeight w:val="186"/>
        </w:trPr>
        <w:tc>
          <w:tcPr>
            <w:tcW w:w="1431" w:type="dxa"/>
          </w:tcPr>
          <w:p w:rsidRPr="009B70E7" w:rsidR="00910972" w:rsidP="00956ECB" w:rsidRDefault="00910972" w14:paraId="52E9E39C" w14:textId="77777777">
            <w:pPr>
              <w:pStyle w:val="ListParagraph"/>
              <w:ind w:left="0"/>
              <w:rPr>
                <w:i/>
              </w:rPr>
            </w:pPr>
            <w:r>
              <w:rPr>
                <w:b/>
                <w:i/>
              </w:rPr>
              <w:t>Kontaktpersona:</w:t>
            </w:r>
          </w:p>
        </w:tc>
        <w:tc>
          <w:tcPr>
            <w:tcW w:w="5725" w:type="dxa"/>
          </w:tcPr>
          <w:p w:rsidRPr="009B70E7" w:rsidR="00910972" w:rsidP="00956ECB" w:rsidRDefault="00910972" w14:paraId="71CDB51B" w14:textId="77777777">
            <w:pPr>
              <w:pStyle w:val="ListParagraph"/>
              <w:ind w:left="0"/>
              <w:rPr>
                <w:i/>
              </w:rPr>
            </w:pPr>
            <w:proofErr w:type="spellStart"/>
            <w:r>
              <w:rPr>
                <w:i/>
              </w:rPr>
              <w:t>Cédric</w:t>
            </w:r>
            <w:proofErr w:type="spellEnd"/>
            <w:r>
              <w:rPr>
                <w:i/>
              </w:rPr>
              <w:t xml:space="preserve"> </w:t>
            </w:r>
            <w:proofErr w:type="spellStart"/>
            <w:r>
              <w:rPr>
                <w:i/>
              </w:rPr>
              <w:t>Cabanne</w:t>
            </w:r>
            <w:proofErr w:type="spellEnd"/>
          </w:p>
        </w:tc>
      </w:tr>
      <w:tr w:rsidRPr="009B70E7" w:rsidR="00910972" w:rsidTr="00956ECB" w14:paraId="20460503" w14:textId="77777777">
        <w:trPr>
          <w:trHeight w:val="193"/>
        </w:trPr>
        <w:tc>
          <w:tcPr>
            <w:tcW w:w="1431" w:type="dxa"/>
          </w:tcPr>
          <w:p w:rsidRPr="009B70E7" w:rsidR="00910972" w:rsidP="00956ECB" w:rsidRDefault="00910972" w14:paraId="39537EA2" w14:textId="77777777">
            <w:pPr>
              <w:pStyle w:val="ListParagraph"/>
              <w:ind w:left="601"/>
              <w:rPr>
                <w:i/>
              </w:rPr>
            </w:pPr>
            <w:r>
              <w:rPr>
                <w:i/>
              </w:rPr>
              <w:t>Tālr.:</w:t>
            </w:r>
          </w:p>
        </w:tc>
        <w:tc>
          <w:tcPr>
            <w:tcW w:w="5725" w:type="dxa"/>
          </w:tcPr>
          <w:p w:rsidRPr="009B70E7" w:rsidR="00910972" w:rsidP="00956ECB" w:rsidRDefault="00910972" w14:paraId="532DD4B5" w14:textId="77777777">
            <w:pPr>
              <w:pStyle w:val="ListParagraph"/>
              <w:ind w:left="0"/>
              <w:rPr>
                <w:i/>
              </w:rPr>
            </w:pPr>
            <w:r>
              <w:rPr>
                <w:i/>
              </w:rPr>
              <w:t>00 32 2 546 93 55</w:t>
            </w:r>
          </w:p>
        </w:tc>
      </w:tr>
      <w:tr w:rsidRPr="003E692C" w:rsidR="00910972" w:rsidTr="00956ECB" w14:paraId="1074F3A5" w14:textId="77777777">
        <w:trPr>
          <w:trHeight w:val="364"/>
        </w:trPr>
        <w:tc>
          <w:tcPr>
            <w:tcW w:w="1431" w:type="dxa"/>
          </w:tcPr>
          <w:p w:rsidRPr="009B70E7" w:rsidR="00910972" w:rsidP="00956ECB" w:rsidRDefault="00910972" w14:paraId="393B1517" w14:textId="77777777">
            <w:pPr>
              <w:pStyle w:val="ListParagraph"/>
              <w:ind w:left="601"/>
              <w:rPr>
                <w:i/>
              </w:rPr>
            </w:pPr>
            <w:r>
              <w:rPr>
                <w:i/>
              </w:rPr>
              <w:t>E-pasts:</w:t>
            </w:r>
          </w:p>
        </w:tc>
        <w:tc>
          <w:tcPr>
            <w:tcW w:w="5725" w:type="dxa"/>
          </w:tcPr>
          <w:p w:rsidRPr="003E692C" w:rsidR="00910972" w:rsidP="00956ECB" w:rsidRDefault="0039128C" w14:paraId="2AA4D465" w14:textId="77777777">
            <w:pPr>
              <w:pStyle w:val="ListParagraph"/>
              <w:ind w:left="0"/>
              <w:rPr>
                <w:i/>
                <w:color w:val="0000FF"/>
                <w:u w:val="single"/>
              </w:rPr>
            </w:pPr>
            <w:hyperlink w:history="1" r:id="rId40">
              <w:r w:rsidR="00B80426">
                <w:rPr>
                  <w:rStyle w:val="Hyperlink"/>
                  <w:i/>
                </w:rPr>
                <w:t>Cédric.Cabanne@eesc.europa.eu</w:t>
              </w:r>
            </w:hyperlink>
          </w:p>
        </w:tc>
      </w:tr>
    </w:tbl>
    <w:p w:rsidR="00910972" w:rsidP="00370CCB" w:rsidRDefault="00910972" w14:paraId="246A3448" w14:textId="1C4DE147"/>
    <w:p w:rsidR="00910972" w:rsidRDefault="00910972" w14:paraId="72C81FE1" w14:textId="77777777">
      <w:pPr>
        <w:spacing w:after="160" w:line="259" w:lineRule="auto"/>
        <w:jc w:val="left"/>
      </w:pPr>
      <w:r>
        <w:br w:type="page"/>
      </w:r>
    </w:p>
    <w:p w:rsidRPr="003E692C" w:rsidR="00745EAA" w:rsidP="003E692C" w:rsidRDefault="00745EAA" w14:paraId="43F93309" w14:textId="77777777">
      <w:pPr>
        <w:pStyle w:val="Heading1"/>
        <w:keepNext/>
        <w:rPr>
          <w:b/>
        </w:rPr>
      </w:pPr>
      <w:bookmarkStart w:name="_Toc110414909" w:id="19"/>
      <w:r>
        <w:rPr>
          <w:b/>
        </w:rPr>
        <w:lastRenderedPageBreak/>
        <w:t>RŪPNIECĪBAS PĀRMAIŅU KONSULTATĪVĀ KOMISIJA</w:t>
      </w:r>
      <w:bookmarkEnd w:id="19"/>
    </w:p>
    <w:p w:rsidRPr="00745EAA" w:rsidR="006E3F60" w:rsidP="00745EAA" w:rsidRDefault="006E3F60" w14:paraId="4A27BE14" w14:textId="59D4B4EC">
      <w:pPr>
        <w:keepNext/>
        <w:keepLines/>
        <w:contextualSpacing/>
        <w:rPr>
          <w:b/>
          <w:sz w:val="28"/>
          <w:szCs w:val="28"/>
        </w:rPr>
      </w:pPr>
    </w:p>
    <w:p w:rsidRPr="00092425" w:rsidR="006E3F60" w:rsidP="006C3FDB" w:rsidRDefault="00092425" w14:paraId="1EE44511" w14:textId="50290012">
      <w:pPr>
        <w:keepNext/>
        <w:keepLines/>
        <w:numPr>
          <w:ilvl w:val="0"/>
          <w:numId w:val="2"/>
        </w:numPr>
        <w:ind w:left="567" w:hanging="567"/>
        <w:contextualSpacing/>
      </w:pPr>
      <w:r>
        <w:rPr>
          <w:b/>
          <w:i/>
          <w:sz w:val="28"/>
        </w:rPr>
        <w:t>Tekstilrūpniecības stratēģija</w:t>
      </w:r>
    </w:p>
    <w:p w:rsidRPr="006E3F60" w:rsidR="00092425" w:rsidP="00910972" w:rsidRDefault="00092425" w14:paraId="4FF48D94" w14:textId="77777777">
      <w:pPr>
        <w:keepNext/>
        <w:keepLines/>
        <w:ind w:left="567"/>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6E3F60" w:rsidR="006E3F60" w:rsidTr="00C25DB3" w14:paraId="25907EC0" w14:textId="77777777">
        <w:tc>
          <w:tcPr>
            <w:tcW w:w="1701" w:type="dxa"/>
          </w:tcPr>
          <w:p w:rsidRPr="006E3F60" w:rsidR="006E3F60" w:rsidP="006E3F60" w:rsidRDefault="006E3F60" w14:paraId="363A590B" w14:textId="77777777">
            <w:pPr>
              <w:keepNext/>
              <w:contextualSpacing/>
              <w:rPr>
                <w:b/>
              </w:rPr>
            </w:pPr>
            <w:r>
              <w:rPr>
                <w:b/>
              </w:rPr>
              <w:t>Ziņotājs:</w:t>
            </w:r>
          </w:p>
        </w:tc>
        <w:tc>
          <w:tcPr>
            <w:tcW w:w="6946" w:type="dxa"/>
          </w:tcPr>
          <w:p w:rsidRPr="006E3F60" w:rsidR="006E3F60" w:rsidP="006E3F60" w:rsidRDefault="00C25DB3" w14:paraId="7776D9DA" w14:textId="77777777">
            <w:pPr>
              <w:keepNext/>
              <w:ind w:left="-106"/>
              <w:contextualSpacing/>
            </w:pPr>
            <w:r>
              <w:t>Florian MARIN, 86. panta 2. punkts (</w:t>
            </w:r>
            <w:proofErr w:type="spellStart"/>
            <w:r>
              <w:t>Dumitri</w:t>
            </w:r>
            <w:proofErr w:type="spellEnd"/>
            <w:r>
              <w:t xml:space="preserve"> FORNEA) (Darba ņēmēju grupa — RO)</w:t>
            </w:r>
          </w:p>
        </w:tc>
      </w:tr>
      <w:tr w:rsidRPr="006E3F60" w:rsidR="006E3F60" w:rsidTr="00C25DB3" w14:paraId="3818F306" w14:textId="77777777">
        <w:tc>
          <w:tcPr>
            <w:tcW w:w="1701" w:type="dxa"/>
          </w:tcPr>
          <w:p w:rsidRPr="006E3F60" w:rsidR="006E3F60" w:rsidP="006E3F60" w:rsidRDefault="006E3F60" w14:paraId="335B5DA6" w14:textId="77777777">
            <w:pPr>
              <w:keepNext/>
              <w:contextualSpacing/>
              <w:rPr>
                <w:b/>
              </w:rPr>
            </w:pPr>
            <w:r>
              <w:rPr>
                <w:b/>
              </w:rPr>
              <w:t>Līdzziņotājs:</w:t>
            </w:r>
          </w:p>
        </w:tc>
        <w:tc>
          <w:tcPr>
            <w:tcW w:w="6946" w:type="dxa"/>
          </w:tcPr>
          <w:p w:rsidRPr="006E3F60" w:rsidR="006E3F60" w:rsidP="006E3F60" w:rsidRDefault="00C25DB3" w14:paraId="5324713C" w14:textId="77777777">
            <w:pPr>
              <w:keepNext/>
              <w:ind w:left="-106"/>
              <w:contextualSpacing/>
            </w:pPr>
            <w:r>
              <w:t>Antonello PEZZINI (1. </w:t>
            </w:r>
            <w:proofErr w:type="spellStart"/>
            <w:r>
              <w:t>kat</w:t>
            </w:r>
            <w:proofErr w:type="spellEnd"/>
            <w:r>
              <w:t>. - IT)</w:t>
            </w:r>
          </w:p>
        </w:tc>
      </w:tr>
      <w:tr w:rsidRPr="006E3F60" w:rsidR="006E3F60" w:rsidTr="00C25DB3" w14:paraId="3B98D2DD" w14:textId="77777777">
        <w:tc>
          <w:tcPr>
            <w:tcW w:w="8647" w:type="dxa"/>
            <w:gridSpan w:val="2"/>
          </w:tcPr>
          <w:p w:rsidRPr="006E3F60" w:rsidR="006E3F60" w:rsidP="006E3F60" w:rsidRDefault="006E3F60" w14:paraId="302FFA0F" w14:textId="77777777">
            <w:pPr>
              <w:keepNext/>
              <w:contextualSpacing/>
            </w:pPr>
          </w:p>
        </w:tc>
      </w:tr>
      <w:tr w:rsidRPr="006E3F60" w:rsidR="006E3F60" w:rsidTr="00C25DB3" w14:paraId="5C47C9B0" w14:textId="77777777">
        <w:tc>
          <w:tcPr>
            <w:tcW w:w="1701" w:type="dxa"/>
          </w:tcPr>
          <w:p w:rsidRPr="006E3F60" w:rsidR="006E3F60" w:rsidP="006E3F60" w:rsidRDefault="006E3F60" w14:paraId="70DE31B6" w14:textId="77777777">
            <w:pPr>
              <w:keepNext/>
              <w:contextualSpacing/>
              <w:rPr>
                <w:b/>
              </w:rPr>
            </w:pPr>
            <w:r>
              <w:rPr>
                <w:b/>
              </w:rPr>
              <w:t xml:space="preserve">Atsauce: </w:t>
            </w:r>
          </w:p>
        </w:tc>
        <w:tc>
          <w:tcPr>
            <w:tcW w:w="6946" w:type="dxa"/>
          </w:tcPr>
          <w:p w:rsidRPr="006E3F60" w:rsidR="006E3F60" w:rsidP="006E3F60" w:rsidRDefault="00092425" w14:paraId="1726139F" w14:textId="4384C9D6">
            <w:pPr>
              <w:keepNext/>
              <w:ind w:left="-106"/>
              <w:contextualSpacing/>
              <w:rPr>
                <w:iCs/>
                <w:color w:val="000000"/>
              </w:rPr>
            </w:pPr>
            <w:r>
              <w:rPr>
                <w:color w:val="000000"/>
              </w:rPr>
              <w:t xml:space="preserve">COM(2022) 141 </w:t>
            </w:r>
            <w:proofErr w:type="spellStart"/>
            <w:r>
              <w:rPr>
                <w:color w:val="000000"/>
              </w:rPr>
              <w:t>final</w:t>
            </w:r>
            <w:proofErr w:type="spellEnd"/>
          </w:p>
          <w:p w:rsidRPr="006E3F60" w:rsidR="006E3F60" w:rsidP="006E3F60" w:rsidRDefault="00C25DB3" w14:paraId="2ACB8205" w14:textId="77777777">
            <w:pPr>
              <w:keepNext/>
              <w:ind w:left="-106"/>
              <w:contextualSpacing/>
            </w:pPr>
            <w:r>
              <w:t>EESC-2022-01663-00-00-AC</w:t>
            </w:r>
          </w:p>
        </w:tc>
      </w:tr>
    </w:tbl>
    <w:p w:rsidRPr="006E3F60" w:rsidR="006E3F60" w:rsidP="006E3F60" w:rsidRDefault="006E3F60" w14:paraId="491156E7" w14:textId="77777777">
      <w:pPr>
        <w:keepNext/>
        <w:ind w:left="567"/>
        <w:contextualSpacing/>
      </w:pPr>
    </w:p>
    <w:p w:rsidR="006E3F60" w:rsidP="002C4B6E" w:rsidRDefault="006E3F60" w14:paraId="393FC053" w14:textId="42EB6890">
      <w:pPr>
        <w:pStyle w:val="ListParagraph"/>
        <w:spacing w:line="240" w:lineRule="auto"/>
        <w:ind w:left="-142" w:firstLine="142"/>
        <w:rPr>
          <w:b/>
        </w:rPr>
      </w:pPr>
      <w:r>
        <w:rPr>
          <w:b/>
          <w:bCs/>
        </w:rPr>
        <w:t>Svarīgākie aspekti</w:t>
      </w:r>
    </w:p>
    <w:p w:rsidRPr="00C25DB3" w:rsidR="00C25DB3" w:rsidP="00C25DB3" w:rsidRDefault="00C25DB3" w14:paraId="5DC1F2E9" w14:textId="77777777">
      <w:pPr>
        <w:contextualSpacing/>
        <w:rPr>
          <w:b/>
        </w:rPr>
      </w:pPr>
    </w:p>
    <w:p w:rsidR="006E3F60" w:rsidP="00C25DB3" w:rsidRDefault="00C25DB3" w14:paraId="7490CEC6" w14:textId="77777777">
      <w:pPr>
        <w:contextualSpacing/>
        <w:rPr>
          <w:bCs/>
          <w:iCs/>
        </w:rPr>
      </w:pPr>
      <w:r>
        <w:t>EESK:</w:t>
      </w:r>
    </w:p>
    <w:p w:rsidRPr="006E3F60" w:rsidR="00C25DB3" w:rsidP="00C25DB3" w:rsidRDefault="00C25DB3" w14:paraId="725984FA" w14:textId="77777777">
      <w:pPr>
        <w:contextualSpacing/>
      </w:pPr>
    </w:p>
    <w:p w:rsidRPr="006E3F60" w:rsidR="006E3F60" w:rsidP="006E3F60" w:rsidRDefault="00C25DB3" w14:paraId="6F4F5F2E" w14:textId="77777777">
      <w:pPr>
        <w:numPr>
          <w:ilvl w:val="0"/>
          <w:numId w:val="3"/>
        </w:numPr>
        <w:ind w:left="357" w:hanging="357"/>
        <w:contextualSpacing/>
      </w:pPr>
      <w:r>
        <w:t>uzskata, ka tekstilrūpniecībai ir potenciāls dot ieguldījumu ES vides mērķu sasniegšanā, un tai ir jāuzņemas atbildība par savu ietekmi uz vidi;</w:t>
      </w:r>
    </w:p>
    <w:p w:rsidRPr="006E3F60" w:rsidR="00C25DB3" w:rsidP="00C25DB3" w:rsidRDefault="00C25DB3" w14:paraId="53036B5C" w14:textId="77777777">
      <w:pPr>
        <w:numPr>
          <w:ilvl w:val="0"/>
          <w:numId w:val="3"/>
        </w:numPr>
        <w:ind w:left="357" w:hanging="357"/>
        <w:contextualSpacing/>
      </w:pPr>
      <w:r>
        <w:t>uzsver, ka ir jāatrod līdzsvars starp tekstilizstrādājumu ražotāju izmaksām kalpošanas laika beigās un nozares konkurētspēju;</w:t>
      </w:r>
    </w:p>
    <w:p w:rsidRPr="006E3F60" w:rsidR="006E3F60" w:rsidP="006E3F60" w:rsidRDefault="00C25DB3" w14:paraId="453A87CE" w14:textId="77777777">
      <w:pPr>
        <w:numPr>
          <w:ilvl w:val="0"/>
          <w:numId w:val="3"/>
        </w:numPr>
        <w:ind w:left="357" w:hanging="357"/>
        <w:contextualSpacing/>
      </w:pPr>
      <w:r>
        <w:t xml:space="preserve">atbalsta plašās marķēšanas prasības attiecībā uz tekstilizstrādājumu </w:t>
      </w:r>
      <w:proofErr w:type="spellStart"/>
      <w:r>
        <w:t>reciklēšanas</w:t>
      </w:r>
      <w:proofErr w:type="spellEnd"/>
      <w:r>
        <w:t xml:space="preserve"> pakāpi un tekstilizstrādājumu “pēdu” kā stimulu, kas patērētājus varētu mudināt izvēlēties ilgtspējīgus izstrādājumus un kvalitāti, nevis kvantitāti, tomēr šajā saistībā ir jāveic padziļināts ietekmes novērtējums un ir jānotiek plaša mēroga informācijas kampaņai Eiropas līmenī;</w:t>
      </w:r>
    </w:p>
    <w:p w:rsidRPr="006E3F60" w:rsidR="006E3F60" w:rsidP="006E3F60" w:rsidRDefault="00C25DB3" w14:paraId="7178CC70" w14:textId="77777777">
      <w:pPr>
        <w:numPr>
          <w:ilvl w:val="0"/>
          <w:numId w:val="3"/>
        </w:numPr>
        <w:ind w:left="357" w:hanging="357"/>
        <w:contextualSpacing/>
      </w:pPr>
      <w:r>
        <w:t>negatīvi vērtē negodīgas konkurences praksi un prasa pastiprināt tirgus uzraudzību importētajiem produktiem, kā arī uzlabot koordināciju un sadarbību starp valstu tiesībaizsardzības iestādēm;</w:t>
      </w:r>
    </w:p>
    <w:p w:rsidRPr="00C25DB3" w:rsidR="006E3F60" w:rsidP="006E3F60" w:rsidRDefault="00C25DB3" w14:paraId="4247E663" w14:textId="77777777">
      <w:pPr>
        <w:numPr>
          <w:ilvl w:val="0"/>
          <w:numId w:val="3"/>
        </w:numPr>
        <w:ind w:left="357" w:hanging="357"/>
        <w:contextualSpacing/>
      </w:pPr>
      <w:r>
        <w:t>aicina panākt līdzsvaru starp tekstilrūpniecības piegādes ķēdes dalībniekiem un iesaka ieviest globālo ilgtspējas labāko praksi;</w:t>
      </w:r>
    </w:p>
    <w:p w:rsidRPr="00C25DB3" w:rsidR="00C25DB3" w:rsidP="006E3F60" w:rsidRDefault="00C25DB3" w14:paraId="5B5E4DFD" w14:textId="77777777">
      <w:pPr>
        <w:numPr>
          <w:ilvl w:val="0"/>
          <w:numId w:val="3"/>
        </w:numPr>
        <w:ind w:left="357" w:hanging="357"/>
        <w:contextualSpacing/>
      </w:pPr>
      <w:r>
        <w:t>uzskata, ka jāpastiprina esošie un turpmākie tirdzniecības nolīgumi un vispārējo preferenču shēmā jaunattīstības valstīm jāievieš panti par ilgtspējību un cilvēktiesību aizsardzību;</w:t>
      </w:r>
    </w:p>
    <w:p w:rsidRPr="00C25DB3" w:rsidR="00C25DB3" w:rsidP="006E3F60" w:rsidRDefault="00C25DB3" w14:paraId="4BE2BD93" w14:textId="77777777">
      <w:pPr>
        <w:numPr>
          <w:ilvl w:val="0"/>
          <w:numId w:val="3"/>
        </w:numPr>
        <w:ind w:left="357" w:hanging="357"/>
        <w:contextualSpacing/>
      </w:pPr>
      <w:r>
        <w:t>būtu vēlējusies lielāku uzsvaru uz sociālajiem aspektiem tekstilrūpniecības nozarē, īpaši uz darba ņēmēju tiesībām un koplīguma sarunām;</w:t>
      </w:r>
    </w:p>
    <w:p w:rsidRPr="00C25DB3" w:rsidR="00C25DB3" w:rsidP="006E3F60" w:rsidRDefault="00C25DB3" w14:paraId="548F8200" w14:textId="77777777">
      <w:pPr>
        <w:numPr>
          <w:ilvl w:val="0"/>
          <w:numId w:val="3"/>
        </w:numPr>
        <w:ind w:left="357" w:hanging="357"/>
        <w:contextualSpacing/>
      </w:pPr>
      <w:r>
        <w:t>uzsver, ka kontroles iestādēm ir jābūt pietiekamai kapacitātei nodrošināt efektīvu kontroli;</w:t>
      </w:r>
    </w:p>
    <w:p w:rsidRPr="00C25DB3" w:rsidR="00C25DB3" w:rsidP="006E3F60" w:rsidRDefault="00C25DB3" w14:paraId="207B0C6C" w14:textId="77777777">
      <w:pPr>
        <w:numPr>
          <w:ilvl w:val="0"/>
          <w:numId w:val="3"/>
        </w:numPr>
        <w:ind w:left="357" w:hanging="357"/>
        <w:contextualSpacing/>
      </w:pPr>
      <w:r>
        <w:t>atbalsta obligātu pienācīgas rūpības pienākumu visiem ES uzņēmumiem ar īpašu atbalstu noteikumu ievērošanai MVU;</w:t>
      </w:r>
    </w:p>
    <w:p w:rsidRPr="00C25DB3" w:rsidR="00C25DB3" w:rsidP="006E3F60" w:rsidRDefault="00C25DB3" w14:paraId="2B985D95" w14:textId="77777777">
      <w:pPr>
        <w:numPr>
          <w:ilvl w:val="0"/>
          <w:numId w:val="3"/>
        </w:numPr>
        <w:ind w:left="357" w:hanging="357"/>
        <w:contextualSpacing/>
      </w:pPr>
      <w:r>
        <w:t>aicina veikt stingrus pasākumus, kas aizliegtu ekonomiskās attiecības ar uzņēmumiem, kas izmanto bērnu darbu vai neievēro pienācīgus darba nosacījumus;</w:t>
      </w:r>
    </w:p>
    <w:p w:rsidR="00C25DB3" w:rsidP="006E3F60" w:rsidRDefault="00C25DB3" w14:paraId="0F4AE883" w14:textId="77777777">
      <w:pPr>
        <w:numPr>
          <w:ilvl w:val="0"/>
          <w:numId w:val="3"/>
        </w:numPr>
        <w:ind w:left="357" w:hanging="357"/>
        <w:contextualSpacing/>
      </w:pPr>
      <w:r>
        <w:t xml:space="preserve">uzskata, ka gaidāmajai paplašinātas ražotāja atbildības shēmai būtu jāveicina tekstilšķiedru </w:t>
      </w:r>
      <w:proofErr w:type="spellStart"/>
      <w:r>
        <w:t>reciklēšana</w:t>
      </w:r>
      <w:proofErr w:type="spellEnd"/>
      <w:r>
        <w:t>, nevis viltus aprites procesi;</w:t>
      </w:r>
    </w:p>
    <w:p w:rsidRPr="00C25DB3" w:rsidR="006E3F60" w:rsidP="006E3F60" w:rsidRDefault="00C25DB3" w14:paraId="47C692BA" w14:textId="77777777">
      <w:pPr>
        <w:numPr>
          <w:ilvl w:val="0"/>
          <w:numId w:val="3"/>
        </w:numPr>
        <w:ind w:left="357" w:hanging="357"/>
        <w:contextualSpacing/>
      </w:pPr>
      <w:r>
        <w:t xml:space="preserve">aicina īstenot valstu mēroga kampaņas, kurās tiktu atbalstītas darba iespējas tekstilrūpniecības nozarē, kā arī finansēt programmas darbaspēka kvalifikācijas celšanai un </w:t>
      </w:r>
      <w:proofErr w:type="spellStart"/>
      <w:r>
        <w:t>pārkvalifikācijai</w:t>
      </w:r>
      <w:proofErr w:type="spellEnd"/>
      <w:r>
        <w:t>;</w:t>
      </w:r>
    </w:p>
    <w:p w:rsidRPr="00C25DB3" w:rsidR="00C25DB3" w:rsidP="006E3F60" w:rsidRDefault="00C25DB3" w14:paraId="27F7B8B2" w14:textId="77777777">
      <w:pPr>
        <w:numPr>
          <w:ilvl w:val="0"/>
          <w:numId w:val="3"/>
        </w:numPr>
        <w:ind w:left="357" w:hanging="357"/>
        <w:contextualSpacing/>
      </w:pPr>
      <w:r>
        <w:t>aicina izstrādāt konkrētai nozarei paredzētus īpašus un saskaņotus sociālos un vides noteikumus attiecībā uz publisko iepirkumu Eiropas Savienībā.</w:t>
      </w:r>
    </w:p>
    <w:p w:rsidRPr="006E3F60" w:rsidR="00C25DB3" w:rsidP="006E3F60" w:rsidRDefault="00C25DB3" w14:paraId="6575574F" w14:textId="77777777"/>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6E3F60" w:rsidR="006E3F60" w:rsidTr="00B83E7B" w14:paraId="3701C8A8" w14:textId="77777777">
        <w:tc>
          <w:tcPr>
            <w:tcW w:w="1418" w:type="dxa"/>
          </w:tcPr>
          <w:p w:rsidRPr="006E3F60" w:rsidR="006E3F60" w:rsidP="006E3F60" w:rsidRDefault="006E3F60" w14:paraId="61A358F3" w14:textId="77777777">
            <w:pPr>
              <w:contextualSpacing/>
              <w:rPr>
                <w:i/>
              </w:rPr>
            </w:pPr>
            <w:r>
              <w:rPr>
                <w:b/>
                <w:i/>
              </w:rPr>
              <w:t>Kontaktpersona:</w:t>
            </w:r>
          </w:p>
        </w:tc>
        <w:tc>
          <w:tcPr>
            <w:tcW w:w="5670" w:type="dxa"/>
          </w:tcPr>
          <w:p w:rsidRPr="006E3F60" w:rsidR="006E3F60" w:rsidP="006E3F60" w:rsidRDefault="00F512BB" w14:paraId="529847A8" w14:textId="77777777">
            <w:pPr>
              <w:contextualSpacing/>
              <w:rPr>
                <w:i/>
              </w:rPr>
            </w:pPr>
            <w:proofErr w:type="spellStart"/>
            <w:r>
              <w:rPr>
                <w:i/>
              </w:rPr>
              <w:t>Gerald</w:t>
            </w:r>
            <w:proofErr w:type="spellEnd"/>
            <w:r>
              <w:rPr>
                <w:i/>
              </w:rPr>
              <w:t xml:space="preserve"> </w:t>
            </w:r>
            <w:proofErr w:type="spellStart"/>
            <w:r>
              <w:rPr>
                <w:i/>
              </w:rPr>
              <w:t>Klec</w:t>
            </w:r>
            <w:proofErr w:type="spellEnd"/>
          </w:p>
        </w:tc>
      </w:tr>
      <w:tr w:rsidRPr="006E3F60" w:rsidR="006E3F60" w:rsidTr="00B83E7B" w14:paraId="2E4F0404" w14:textId="77777777">
        <w:tc>
          <w:tcPr>
            <w:tcW w:w="1418" w:type="dxa"/>
          </w:tcPr>
          <w:p w:rsidRPr="006E3F60" w:rsidR="006E3F60" w:rsidP="006E3F60" w:rsidRDefault="006E3F60" w14:paraId="5A7B9997" w14:textId="77777777">
            <w:pPr>
              <w:ind w:left="601"/>
              <w:contextualSpacing/>
              <w:rPr>
                <w:i/>
              </w:rPr>
            </w:pPr>
            <w:r>
              <w:rPr>
                <w:i/>
              </w:rPr>
              <w:t>Tālr.:</w:t>
            </w:r>
          </w:p>
        </w:tc>
        <w:tc>
          <w:tcPr>
            <w:tcW w:w="5670" w:type="dxa"/>
          </w:tcPr>
          <w:p w:rsidRPr="006E3F60" w:rsidR="006E3F60" w:rsidP="006E3F60" w:rsidRDefault="00F512BB" w14:paraId="52C01769" w14:textId="77777777">
            <w:pPr>
              <w:contextualSpacing/>
              <w:rPr>
                <w:i/>
              </w:rPr>
            </w:pPr>
            <w:r>
              <w:rPr>
                <w:i/>
              </w:rPr>
              <w:t>00 32 2 546 99 09</w:t>
            </w:r>
          </w:p>
        </w:tc>
      </w:tr>
      <w:tr w:rsidRPr="006E3F60" w:rsidR="006E3F60" w:rsidTr="00B83E7B" w14:paraId="1F686407" w14:textId="77777777">
        <w:tc>
          <w:tcPr>
            <w:tcW w:w="1418" w:type="dxa"/>
          </w:tcPr>
          <w:p w:rsidRPr="006E3F60" w:rsidR="006E3F60" w:rsidP="006E3F60" w:rsidRDefault="006E3F60" w14:paraId="2859E45F" w14:textId="77777777">
            <w:pPr>
              <w:ind w:left="601"/>
              <w:contextualSpacing/>
              <w:rPr>
                <w:i/>
              </w:rPr>
            </w:pPr>
            <w:r>
              <w:rPr>
                <w:i/>
              </w:rPr>
              <w:t>E-pasts:</w:t>
            </w:r>
          </w:p>
        </w:tc>
        <w:tc>
          <w:tcPr>
            <w:tcW w:w="5670" w:type="dxa"/>
          </w:tcPr>
          <w:p w:rsidRPr="006E3F60" w:rsidR="006E3F60" w:rsidP="006E3F60" w:rsidRDefault="0039128C" w14:paraId="1B9ADEF7" w14:textId="77777777">
            <w:pPr>
              <w:contextualSpacing/>
              <w:rPr>
                <w:i/>
              </w:rPr>
            </w:pPr>
            <w:hyperlink w:history="1" r:id="rId41">
              <w:r w:rsidR="00B80426">
                <w:rPr>
                  <w:rStyle w:val="Hyperlink"/>
                  <w:i/>
                </w:rPr>
                <w:t>Gerald.Klec@eesc.europa.eu</w:t>
              </w:r>
            </w:hyperlink>
          </w:p>
        </w:tc>
      </w:tr>
    </w:tbl>
    <w:p w:rsidR="00910972" w:rsidRDefault="00910972" w14:paraId="0E93BDF6" w14:textId="77777777">
      <w:pPr>
        <w:spacing w:after="160" w:line="259" w:lineRule="auto"/>
        <w:jc w:val="left"/>
        <w:rPr>
          <w:kern w:val="28"/>
        </w:rPr>
      </w:pPr>
      <w:r>
        <w:br w:type="page"/>
      </w:r>
    </w:p>
    <w:p w:rsidRPr="006E3F60" w:rsidR="00DB2B61" w:rsidP="00DB2B61" w:rsidRDefault="00DB2B61" w14:paraId="76D7F816" w14:textId="77777777">
      <w:pPr>
        <w:keepNext/>
        <w:keepLines/>
        <w:numPr>
          <w:ilvl w:val="0"/>
          <w:numId w:val="2"/>
        </w:numPr>
        <w:ind w:left="567" w:hanging="567"/>
        <w:contextualSpacing/>
        <w:rPr>
          <w:b/>
          <w:i/>
          <w:sz w:val="28"/>
          <w:szCs w:val="28"/>
        </w:rPr>
      </w:pPr>
      <w:r>
        <w:rPr>
          <w:b/>
          <w:i/>
          <w:sz w:val="28"/>
        </w:rPr>
        <w:lastRenderedPageBreak/>
        <w:t>Ceļvedis drošības un aizsardzības tehnoloģiju jomā</w:t>
      </w:r>
    </w:p>
    <w:p w:rsidRPr="006E3F60" w:rsidR="00DB2B61" w:rsidP="00DB2B61" w:rsidRDefault="00DB2B61" w14:paraId="56555F8C" w14:textId="77777777">
      <w:pPr>
        <w:keepNext/>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6E3F60" w:rsidR="00DB2B61" w:rsidTr="00DB2B61" w14:paraId="4B203DE5" w14:textId="77777777">
        <w:tc>
          <w:tcPr>
            <w:tcW w:w="1701" w:type="dxa"/>
          </w:tcPr>
          <w:p w:rsidRPr="006E3F60" w:rsidR="00DB2B61" w:rsidP="00DB2B61" w:rsidRDefault="00DB2B61" w14:paraId="243F6BEE" w14:textId="77777777">
            <w:pPr>
              <w:keepNext/>
              <w:contextualSpacing/>
              <w:rPr>
                <w:b/>
              </w:rPr>
            </w:pPr>
            <w:r>
              <w:rPr>
                <w:b/>
              </w:rPr>
              <w:t>Ziņotājs:</w:t>
            </w:r>
          </w:p>
        </w:tc>
        <w:tc>
          <w:tcPr>
            <w:tcW w:w="6946" w:type="dxa"/>
          </w:tcPr>
          <w:p w:rsidRPr="006E3F60" w:rsidR="00DB2B61" w:rsidP="00DB2B61" w:rsidRDefault="00092425" w14:paraId="301C5CC8" w14:textId="7F1362E4">
            <w:pPr>
              <w:keepNext/>
              <w:ind w:left="-106"/>
              <w:contextualSpacing/>
            </w:pPr>
            <w:proofErr w:type="spellStart"/>
            <w:r>
              <w:t>Maurizio</w:t>
            </w:r>
            <w:proofErr w:type="spellEnd"/>
            <w:r>
              <w:t xml:space="preserve"> MENSI (Pilsoniskās sabiedrības organizāciju grupa — IT)</w:t>
            </w:r>
          </w:p>
        </w:tc>
      </w:tr>
      <w:tr w:rsidRPr="006E3F60" w:rsidR="00DB2B61" w:rsidTr="00DB2B61" w14:paraId="5AEC2A75" w14:textId="77777777">
        <w:tc>
          <w:tcPr>
            <w:tcW w:w="1701" w:type="dxa"/>
          </w:tcPr>
          <w:p w:rsidRPr="006E3F60" w:rsidR="00DB2B61" w:rsidP="00DB2B61" w:rsidRDefault="00DB2B61" w14:paraId="2EF360D8" w14:textId="77777777">
            <w:pPr>
              <w:keepNext/>
              <w:contextualSpacing/>
              <w:rPr>
                <w:b/>
              </w:rPr>
            </w:pPr>
            <w:r>
              <w:rPr>
                <w:b/>
              </w:rPr>
              <w:t>Līdzziņotājs:</w:t>
            </w:r>
          </w:p>
        </w:tc>
        <w:tc>
          <w:tcPr>
            <w:tcW w:w="6946" w:type="dxa"/>
          </w:tcPr>
          <w:p w:rsidRPr="006E3F60" w:rsidR="00DB2B61" w:rsidP="00DB2B61" w:rsidRDefault="00DB2B61" w14:paraId="49D71277" w14:textId="77777777">
            <w:pPr>
              <w:keepNext/>
              <w:ind w:left="-106"/>
              <w:contextualSpacing/>
            </w:pPr>
            <w:proofErr w:type="spellStart"/>
            <w:r>
              <w:t>Jan</w:t>
            </w:r>
            <w:proofErr w:type="spellEnd"/>
            <w:r>
              <w:t xml:space="preserve"> PIE (1. </w:t>
            </w:r>
            <w:proofErr w:type="spellStart"/>
            <w:r>
              <w:t>kat</w:t>
            </w:r>
            <w:proofErr w:type="spellEnd"/>
            <w:r>
              <w:t>.-SE)</w:t>
            </w:r>
          </w:p>
        </w:tc>
      </w:tr>
      <w:tr w:rsidRPr="006E3F60" w:rsidR="00DB2B61" w:rsidTr="00DB2B61" w14:paraId="0E3AFD55" w14:textId="77777777">
        <w:tc>
          <w:tcPr>
            <w:tcW w:w="8647" w:type="dxa"/>
            <w:gridSpan w:val="2"/>
          </w:tcPr>
          <w:p w:rsidRPr="006E3F60" w:rsidR="00DB2B61" w:rsidP="00DB2B61" w:rsidRDefault="00DB2B61" w14:paraId="3125B26E" w14:textId="77777777">
            <w:pPr>
              <w:keepNext/>
              <w:contextualSpacing/>
            </w:pPr>
          </w:p>
        </w:tc>
      </w:tr>
      <w:tr w:rsidRPr="006E3F60" w:rsidR="00DB2B61" w:rsidTr="00DB2B61" w14:paraId="38CEDCE3" w14:textId="77777777">
        <w:tc>
          <w:tcPr>
            <w:tcW w:w="1701" w:type="dxa"/>
          </w:tcPr>
          <w:p w:rsidRPr="006E3F60" w:rsidR="00DB2B61" w:rsidP="00DB2B61" w:rsidRDefault="00DB2B61" w14:paraId="0815516A" w14:textId="77777777">
            <w:pPr>
              <w:keepNext/>
              <w:contextualSpacing/>
              <w:rPr>
                <w:b/>
              </w:rPr>
            </w:pPr>
            <w:r>
              <w:rPr>
                <w:b/>
              </w:rPr>
              <w:t xml:space="preserve">Atsauce: </w:t>
            </w:r>
          </w:p>
        </w:tc>
        <w:tc>
          <w:tcPr>
            <w:tcW w:w="6946" w:type="dxa"/>
          </w:tcPr>
          <w:p w:rsidRPr="006E3F60" w:rsidR="00DB2B61" w:rsidP="00DB2B61" w:rsidRDefault="00092425" w14:paraId="34E11771" w14:textId="5B709DB2">
            <w:pPr>
              <w:keepNext/>
              <w:ind w:left="-106"/>
              <w:contextualSpacing/>
              <w:rPr>
                <w:iCs/>
                <w:color w:val="000000"/>
              </w:rPr>
            </w:pPr>
            <w:r>
              <w:rPr>
                <w:color w:val="000000"/>
              </w:rPr>
              <w:t xml:space="preserve">COM(2022) 61 </w:t>
            </w:r>
            <w:proofErr w:type="spellStart"/>
            <w:r>
              <w:rPr>
                <w:color w:val="000000"/>
              </w:rPr>
              <w:t>final</w:t>
            </w:r>
            <w:proofErr w:type="spellEnd"/>
          </w:p>
          <w:p w:rsidRPr="006E3F60" w:rsidR="00DB2B61" w:rsidP="00DB2B61" w:rsidRDefault="00DB2B61" w14:paraId="3A4D0BEA" w14:textId="77777777">
            <w:pPr>
              <w:keepNext/>
              <w:ind w:left="-106"/>
              <w:contextualSpacing/>
            </w:pPr>
            <w:r>
              <w:t>EESC-2022-007258-00-00-AC</w:t>
            </w:r>
          </w:p>
        </w:tc>
      </w:tr>
    </w:tbl>
    <w:p w:rsidRPr="006E3F60" w:rsidR="00DB2B61" w:rsidP="00DB2B61" w:rsidRDefault="00DB2B61" w14:paraId="72FCB1E0" w14:textId="77777777">
      <w:pPr>
        <w:keepNext/>
        <w:ind w:left="567"/>
        <w:contextualSpacing/>
      </w:pPr>
    </w:p>
    <w:p w:rsidR="00DB2B61" w:rsidP="00DB2B61" w:rsidRDefault="00DB2B61" w14:paraId="6340CE2B" w14:textId="710D5151">
      <w:pPr>
        <w:pStyle w:val="ListParagraph"/>
        <w:spacing w:line="240" w:lineRule="auto"/>
        <w:ind w:left="-142" w:firstLine="142"/>
        <w:rPr>
          <w:b/>
        </w:rPr>
      </w:pPr>
      <w:r>
        <w:rPr>
          <w:b/>
          <w:bCs/>
        </w:rPr>
        <w:t>Svarīgākie aspekti</w:t>
      </w:r>
    </w:p>
    <w:p w:rsidRPr="00C25DB3" w:rsidR="00DB2B61" w:rsidP="00DB2B61" w:rsidRDefault="00DB2B61" w14:paraId="483221C2" w14:textId="77777777">
      <w:pPr>
        <w:contextualSpacing/>
        <w:rPr>
          <w:b/>
        </w:rPr>
      </w:pPr>
    </w:p>
    <w:p w:rsidR="00DB2B61" w:rsidP="00DB2B61" w:rsidRDefault="00DB2B61" w14:paraId="4645FD06" w14:textId="77777777">
      <w:pPr>
        <w:contextualSpacing/>
        <w:rPr>
          <w:bCs/>
          <w:iCs/>
        </w:rPr>
      </w:pPr>
      <w:r>
        <w:t>EESK:</w:t>
      </w:r>
    </w:p>
    <w:p w:rsidRPr="006E3F60" w:rsidR="00DB2B61" w:rsidP="00DB2B61" w:rsidRDefault="00DB2B61" w14:paraId="06089817" w14:textId="77777777">
      <w:pPr>
        <w:contextualSpacing/>
      </w:pPr>
    </w:p>
    <w:p w:rsidRPr="006E3F60" w:rsidR="00DB2B61" w:rsidP="00DB2B61" w:rsidRDefault="00DB2B61" w14:paraId="12BF53B8" w14:textId="77777777">
      <w:pPr>
        <w:numPr>
          <w:ilvl w:val="0"/>
          <w:numId w:val="3"/>
        </w:numPr>
        <w:ind w:left="357" w:hanging="357"/>
        <w:contextualSpacing/>
      </w:pPr>
      <w:r>
        <w:t>pilnībā atbalsta ceļvedī attiecībā uz drošībai un aizsardzībai kritiski svarīgām tehnoloģijām – kas, ņemot vērā Krievijas agresiju pret Ukrainu, nāk klajā īstajā brīdī – izvirzītos mērķus, proti, veicināt pētniecību, tehnoloģiju izstrādi un inovācijas, kā arī samazināt ES stratēģisko atkarību no kritiski svarīgām tehnoloģijām un vērtību ķēdēm drošības un aizsardzības jomā;</w:t>
      </w:r>
    </w:p>
    <w:p w:rsidRPr="006E3F60" w:rsidR="00DB2B61" w:rsidP="00DB2B61" w:rsidRDefault="00DB2B61" w14:paraId="50FB7782" w14:textId="77777777">
      <w:pPr>
        <w:numPr>
          <w:ilvl w:val="0"/>
          <w:numId w:val="3"/>
        </w:numPr>
        <w:ind w:left="357" w:hanging="357"/>
        <w:contextualSpacing/>
      </w:pPr>
      <w:r>
        <w:t>atzinīgi vērtē ieceri izstrādāt visaptverošu pieeju, kas aptvertu gan civilo, gan militāro jomu un darbotos ES un valstu līmenī. Šie centieni būtu jāveic ar lielu ātrumu, jo iebrukums Ukrainā ir trauksmes signāls rīkoties daudz ātrāk nekā parasti;</w:t>
      </w:r>
    </w:p>
    <w:p w:rsidRPr="006E3F60" w:rsidR="00DB2B61" w:rsidP="00DB2B61" w:rsidRDefault="00DB2B61" w14:paraId="5A24A2DF" w14:textId="77777777">
      <w:pPr>
        <w:numPr>
          <w:ilvl w:val="0"/>
          <w:numId w:val="3"/>
        </w:numPr>
        <w:ind w:left="357" w:hanging="357"/>
        <w:contextualSpacing/>
      </w:pPr>
      <w:r>
        <w:t>aicina dalībvalstis nodrošināt, ka to tūlītējā reakcija uz Krievijas agresiju pret Ukrainu atbilst ceļveža saturam un mērķiem. Īstermiņa ieguldījumi valsts aizsardzībā ir jākoordinē Eiropas līmenī, lai novērstu plašāku sadrumstalotību un pārklāšanos;</w:t>
      </w:r>
    </w:p>
    <w:p w:rsidRPr="00C25DB3" w:rsidR="00DB2B61" w:rsidP="00DB2B61" w:rsidRDefault="00DB2B61" w14:paraId="4A892D63" w14:textId="77777777">
      <w:pPr>
        <w:numPr>
          <w:ilvl w:val="0"/>
          <w:numId w:val="3"/>
        </w:numPr>
        <w:ind w:left="357" w:hanging="357"/>
        <w:contextualSpacing/>
      </w:pPr>
      <w:r>
        <w:t>iesaka nodrošināt Kritisko tehnoloģiju observatorijai (KTO) skaidru pārvaldību, ievērojamus resursus un spēcīgu institucionālo pozīciju;</w:t>
      </w:r>
    </w:p>
    <w:p w:rsidRPr="00C25DB3" w:rsidR="00DB2B61" w:rsidP="00DB2B61" w:rsidRDefault="00DB2B61" w14:paraId="0B9F09C8" w14:textId="77777777">
      <w:pPr>
        <w:numPr>
          <w:ilvl w:val="0"/>
          <w:numId w:val="3"/>
        </w:numPr>
        <w:ind w:left="357" w:hanging="357"/>
        <w:contextualSpacing/>
      </w:pPr>
      <w:r>
        <w:t>atzinīgi vērtē ierosināto ciešo koordināciju ar dalībvalstīm un aicina izveidot papildu forumu informācijas apmaiņai ar nozari;</w:t>
      </w:r>
    </w:p>
    <w:p w:rsidRPr="00DB2B61" w:rsidR="00DB2B61" w:rsidP="00DB2B61" w:rsidRDefault="00DB2B61" w14:paraId="6F46F6D3" w14:textId="77777777">
      <w:pPr>
        <w:numPr>
          <w:ilvl w:val="0"/>
          <w:numId w:val="3"/>
        </w:numPr>
        <w:ind w:left="357" w:hanging="357"/>
        <w:contextualSpacing/>
      </w:pPr>
      <w:r>
        <w:t xml:space="preserve">uzskata, ka ir jānodrošina KTO rezultātu iekļaušana ceļvežos un to izteikšana </w:t>
      </w:r>
      <w:proofErr w:type="spellStart"/>
      <w:r>
        <w:t>pamatiniciatīvās</w:t>
      </w:r>
      <w:proofErr w:type="spellEnd"/>
      <w:r>
        <w:t>. Pāreju starp dažādiem tehnoloģiju un rūpnieciskā cikla posmiem var sekmīgi pārvaldīt tikai tad, ja līdzatbildība par kādu iniciatīvu un ar to saistītajiem pienākumiem ir skaidra. Saskaņotība un sinerģija ir vajadzīga ne tikai horizontāli starp pētniecības, tehnoloģiju izstrādes un inovācijas programmām civilajā un aizsardzības jomā, bet arī vertikāli starp pētniecības, tehnoloģiju izstrādes un inovācijas, kā arī ieviešanas programmām;</w:t>
      </w:r>
    </w:p>
    <w:p w:rsidRPr="00DB2B61" w:rsidR="00DB2B61" w:rsidP="00DB2B61" w:rsidRDefault="00DB2B61" w14:paraId="1077ED33" w14:textId="77777777">
      <w:pPr>
        <w:numPr>
          <w:ilvl w:val="0"/>
          <w:numId w:val="3"/>
        </w:numPr>
        <w:ind w:left="357" w:hanging="357"/>
        <w:contextualSpacing/>
      </w:pPr>
      <w:r>
        <w:t>uzskata, ka pašu saņēmēju interesēs ir svarīgi vienkāršot un racionalizēt pētniecības, tehnoloģiju izstrādes un inovācijas atbalstam paredzētās ES programmas un instrumentus;</w:t>
      </w:r>
    </w:p>
    <w:p w:rsidRPr="00C25DB3" w:rsidR="00DB2B61" w:rsidP="00DB2B61" w:rsidRDefault="00DB2B61" w14:paraId="63D36A68" w14:textId="77777777">
      <w:pPr>
        <w:numPr>
          <w:ilvl w:val="0"/>
          <w:numId w:val="3"/>
        </w:numPr>
        <w:ind w:left="357" w:hanging="357"/>
        <w:contextualSpacing/>
      </w:pPr>
      <w:r>
        <w:t xml:space="preserve">ierosina tiešsaistē izveidot vienotu kontaktpunktu MVU un </w:t>
      </w:r>
      <w:proofErr w:type="spellStart"/>
      <w:r>
        <w:t>jaunuzņēmumiem</w:t>
      </w:r>
      <w:proofErr w:type="spellEnd"/>
      <w:r>
        <w:t> —“ ES MVU stūrīti” tiešsaistē, kas dotu iespēju ievadīt iepriekš definētus datus un pretī saņemt īpaši pielāgotu informāciju par vislabāk piemēroto(-</w:t>
      </w:r>
      <w:proofErr w:type="spellStart"/>
      <w:r>
        <w:t>ajām</w:t>
      </w:r>
      <w:proofErr w:type="spellEnd"/>
      <w:r>
        <w:t>) ES programmu(-</w:t>
      </w:r>
      <w:proofErr w:type="spellStart"/>
      <w:r>
        <w:t>ām</w:t>
      </w:r>
      <w:proofErr w:type="spellEnd"/>
      <w:r>
        <w:t>), kas var sniegt atbalstu.</w:t>
      </w:r>
    </w:p>
    <w:p w:rsidRPr="006E3F60" w:rsidR="00DB2B61" w:rsidP="00DB2B61" w:rsidRDefault="00DB2B61" w14:paraId="40A6106B" w14:textId="77777777"/>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6E3F60" w:rsidR="00DB2B61" w:rsidTr="00DB2B61" w14:paraId="23C0EF0B" w14:textId="77777777">
        <w:tc>
          <w:tcPr>
            <w:tcW w:w="1418" w:type="dxa"/>
          </w:tcPr>
          <w:p w:rsidRPr="006E3F60" w:rsidR="00DB2B61" w:rsidP="00DB2B61" w:rsidRDefault="00DB2B61" w14:paraId="3DD09D48" w14:textId="77777777">
            <w:pPr>
              <w:contextualSpacing/>
              <w:rPr>
                <w:i/>
              </w:rPr>
            </w:pPr>
            <w:r>
              <w:rPr>
                <w:b/>
                <w:i/>
              </w:rPr>
              <w:t>Kontaktpersona:</w:t>
            </w:r>
          </w:p>
        </w:tc>
        <w:tc>
          <w:tcPr>
            <w:tcW w:w="5670" w:type="dxa"/>
          </w:tcPr>
          <w:p w:rsidRPr="006E3F60" w:rsidR="00DB2B61" w:rsidP="00DB2B61" w:rsidRDefault="00CD1982" w14:paraId="072EA6C8" w14:textId="77777777">
            <w:pPr>
              <w:contextualSpacing/>
              <w:rPr>
                <w:i/>
              </w:rPr>
            </w:pPr>
            <w:proofErr w:type="spellStart"/>
            <w:r>
              <w:rPr>
                <w:i/>
              </w:rPr>
              <w:t>Gaëlle</w:t>
            </w:r>
            <w:proofErr w:type="spellEnd"/>
            <w:r>
              <w:rPr>
                <w:i/>
              </w:rPr>
              <w:t xml:space="preserve"> </w:t>
            </w:r>
            <w:proofErr w:type="spellStart"/>
            <w:r>
              <w:rPr>
                <w:i/>
              </w:rPr>
              <w:t>Michelier</w:t>
            </w:r>
            <w:proofErr w:type="spellEnd"/>
          </w:p>
        </w:tc>
      </w:tr>
      <w:tr w:rsidRPr="006E3F60" w:rsidR="00DB2B61" w:rsidTr="00DB2B61" w14:paraId="26445042" w14:textId="77777777">
        <w:tc>
          <w:tcPr>
            <w:tcW w:w="1418" w:type="dxa"/>
          </w:tcPr>
          <w:p w:rsidRPr="006E3F60" w:rsidR="00DB2B61" w:rsidP="00DB2B61" w:rsidRDefault="00DB2B61" w14:paraId="3B9F4F2A" w14:textId="77777777">
            <w:pPr>
              <w:ind w:left="601"/>
              <w:contextualSpacing/>
              <w:rPr>
                <w:i/>
              </w:rPr>
            </w:pPr>
            <w:r>
              <w:rPr>
                <w:i/>
              </w:rPr>
              <w:t>Tālr.:</w:t>
            </w:r>
          </w:p>
        </w:tc>
        <w:tc>
          <w:tcPr>
            <w:tcW w:w="5670" w:type="dxa"/>
          </w:tcPr>
          <w:p w:rsidRPr="006E3F60" w:rsidR="00DB2B61" w:rsidP="00DB2B61" w:rsidRDefault="00DB2B61" w14:paraId="69ACD3C0" w14:textId="77777777">
            <w:pPr>
              <w:contextualSpacing/>
              <w:rPr>
                <w:i/>
              </w:rPr>
            </w:pPr>
            <w:r>
              <w:rPr>
                <w:i/>
              </w:rPr>
              <w:t>00 32 2 546 96 05</w:t>
            </w:r>
          </w:p>
        </w:tc>
      </w:tr>
      <w:tr w:rsidRPr="006E3F60" w:rsidR="00DB2B61" w:rsidTr="00DB2B61" w14:paraId="5891FEB4" w14:textId="77777777">
        <w:tc>
          <w:tcPr>
            <w:tcW w:w="1418" w:type="dxa"/>
          </w:tcPr>
          <w:p w:rsidRPr="006E3F60" w:rsidR="00DB2B61" w:rsidP="00DB2B61" w:rsidRDefault="00DB2B61" w14:paraId="25C7AFD9" w14:textId="77777777">
            <w:pPr>
              <w:ind w:left="601"/>
              <w:contextualSpacing/>
              <w:rPr>
                <w:i/>
              </w:rPr>
            </w:pPr>
            <w:r>
              <w:rPr>
                <w:i/>
              </w:rPr>
              <w:t>E-pasts:</w:t>
            </w:r>
          </w:p>
        </w:tc>
        <w:tc>
          <w:tcPr>
            <w:tcW w:w="5670" w:type="dxa"/>
          </w:tcPr>
          <w:p w:rsidRPr="006E3F60" w:rsidR="00DB2B61" w:rsidP="00DB2B61" w:rsidRDefault="0039128C" w14:paraId="78B1D053" w14:textId="77777777">
            <w:pPr>
              <w:contextualSpacing/>
              <w:rPr>
                <w:i/>
              </w:rPr>
            </w:pPr>
            <w:hyperlink w:history="1" r:id="rId42">
              <w:r w:rsidR="00B80426">
                <w:rPr>
                  <w:rStyle w:val="Hyperlink"/>
                  <w:i/>
                </w:rPr>
                <w:t>Gaelle.Michelier@eesc.europa.eu</w:t>
              </w:r>
            </w:hyperlink>
          </w:p>
        </w:tc>
      </w:tr>
    </w:tbl>
    <w:p w:rsidR="00910972" w:rsidRDefault="00910972" w14:paraId="68E54163" w14:textId="77777777">
      <w:pPr>
        <w:overflowPunct w:val="0"/>
        <w:autoSpaceDE w:val="0"/>
        <w:autoSpaceDN w:val="0"/>
        <w:adjustRightInd w:val="0"/>
        <w:jc w:val="center"/>
        <w:textAlignment w:val="baseline"/>
      </w:pPr>
      <w:r>
        <w:t>_____________</w:t>
      </w:r>
    </w:p>
    <w:p w:rsidRPr="005B3012" w:rsidR="005B3012" w:rsidP="005B3012" w:rsidRDefault="005B3012" w14:paraId="73E537A6" w14:textId="0E4F0144"/>
    <w:sectPr w:rsidRPr="005B3012" w:rsidR="005B3012" w:rsidSect="00910972">
      <w:headerReference w:type="even" r:id="rId43"/>
      <w:headerReference w:type="default" r:id="rId44"/>
      <w:footerReference w:type="even" r:id="rId45"/>
      <w:footerReference w:type="default" r:id="rId46"/>
      <w:headerReference w:type="first" r:id="rId47"/>
      <w:footerReference w:type="first" r:id="rId48"/>
      <w:pgSz w:w="11907" w:h="16839"/>
      <w:pgMar w:top="1191" w:right="1418" w:bottom="1077" w:left="1276"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64118" w16cid:durableId="267FAA6F"/>
  <w16cid:commentId w16cid:paraId="215C170E" w16cid:durableId="267FAA70"/>
  <w16cid:commentId w16cid:paraId="64ED25B0" w16cid:durableId="267FAA71"/>
  <w16cid:commentId w16cid:paraId="78CBB437" w16cid:durableId="267FAA72"/>
  <w16cid:commentId w16cid:paraId="39CD95AC" w16cid:durableId="267FAA73"/>
  <w16cid:commentId w16cid:paraId="1EF3AC59" w16cid:durableId="267FAA74"/>
  <w16cid:commentId w16cid:paraId="0527830A" w16cid:durableId="267FAA75"/>
  <w16cid:commentId w16cid:paraId="57DACCA8" w16cid:durableId="267FAA76"/>
  <w16cid:commentId w16cid:paraId="7FEA2171" w16cid:durableId="267FAA77"/>
  <w16cid:commentId w16cid:paraId="5411F924" w16cid:durableId="267FAA78"/>
  <w16cid:commentId w16cid:paraId="508FB51E" w16cid:durableId="267FAA79"/>
  <w16cid:commentId w16cid:paraId="34240DFA" w16cid:durableId="267FAA7A"/>
  <w16cid:commentId w16cid:paraId="6638EDA2" w16cid:durableId="267FAA7B"/>
  <w16cid:commentId w16cid:paraId="31015A6F" w16cid:durableId="267FAA7C"/>
  <w16cid:commentId w16cid:paraId="3E0FC3AA" w16cid:durableId="267FAA7D"/>
  <w16cid:commentId w16cid:paraId="38E2BDD5" w16cid:durableId="267FAA7E"/>
  <w16cid:commentId w16cid:paraId="0749A011" w16cid:durableId="267FAA7F"/>
  <w16cid:commentId w16cid:paraId="1BF73476" w16cid:durableId="267FAA80"/>
  <w16cid:commentId w16cid:paraId="75A44810" w16cid:durableId="267FAA81"/>
  <w16cid:commentId w16cid:paraId="3A6D8CAB" w16cid:durableId="267FAA82"/>
  <w16cid:commentId w16cid:paraId="5FA44054" w16cid:durableId="267FAA83"/>
  <w16cid:commentId w16cid:paraId="5FBD6FDA" w16cid:durableId="267FAA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707EF" w14:textId="77777777" w:rsidR="006C3FDB" w:rsidRDefault="006C3FDB" w:rsidP="003B0516">
      <w:pPr>
        <w:spacing w:line="240" w:lineRule="auto"/>
      </w:pPr>
      <w:r>
        <w:separator/>
      </w:r>
    </w:p>
  </w:endnote>
  <w:endnote w:type="continuationSeparator" w:id="0">
    <w:p w14:paraId="7657AFA9" w14:textId="77777777" w:rsidR="006C3FDB" w:rsidRDefault="006C3FDB"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A99BB" w14:textId="77777777" w:rsidR="00910972" w:rsidRPr="00910972" w:rsidRDefault="00910972" w:rsidP="0091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9D38" w14:textId="082B1BB7" w:rsidR="006C3FDB" w:rsidRPr="00910972" w:rsidRDefault="00910972" w:rsidP="00910972">
    <w:pPr>
      <w:pStyle w:val="Footer"/>
    </w:pPr>
    <w:r>
      <w:t xml:space="preserve">EESC-2022-03184-00-00-TCD-TRA (EN) </w:t>
    </w:r>
    <w:r>
      <w:fldChar w:fldCharType="begin"/>
    </w:r>
    <w:r>
      <w:instrText xml:space="preserve"> PAGE  \* Arabic  \* MERGEFORMAT </w:instrText>
    </w:r>
    <w:r>
      <w:fldChar w:fldCharType="separate"/>
    </w:r>
    <w:r w:rsidR="00500765">
      <w:rPr>
        <w:noProof/>
      </w:rPr>
      <w:t>1</w:t>
    </w:r>
    <w:r>
      <w:fldChar w:fldCharType="end"/>
    </w:r>
    <w:r>
      <w:t>/</w:t>
    </w:r>
    <w:r w:rsidR="0039128C">
      <w:fldChar w:fldCharType="begin"/>
    </w:r>
    <w:r w:rsidR="0039128C">
      <w:instrText xml:space="preserve"> NUMPAGES </w:instrText>
    </w:r>
    <w:r w:rsidR="0039128C">
      <w:fldChar w:fldCharType="separate"/>
    </w:r>
    <w:r w:rsidR="00500765">
      <w:rPr>
        <w:noProof/>
      </w:rPr>
      <w:t>26</w:t>
    </w:r>
    <w:r w:rsidR="0039128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D0A1" w14:textId="77777777" w:rsidR="00910972" w:rsidRPr="00910972" w:rsidRDefault="00910972" w:rsidP="009109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C15F" w14:textId="77777777" w:rsidR="006C3FDB" w:rsidRPr="00910972" w:rsidRDefault="006C3FDB" w:rsidP="009109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4860" w14:textId="6A7A83F7" w:rsidR="006C3FDB" w:rsidRPr="00910972" w:rsidRDefault="00910972" w:rsidP="00910972">
    <w:pPr>
      <w:pStyle w:val="Footer"/>
    </w:pPr>
    <w:r>
      <w:t xml:space="preserve">EESC-2022-03184-00-00-TCD-TRA (EN) </w:t>
    </w:r>
    <w:r>
      <w:fldChar w:fldCharType="begin"/>
    </w:r>
    <w:r>
      <w:instrText xml:space="preserve"> PAGE  \* Arabic  \* MERGEFORMAT </w:instrText>
    </w:r>
    <w:r>
      <w:fldChar w:fldCharType="separate"/>
    </w:r>
    <w:r w:rsidR="00500765">
      <w:rPr>
        <w:noProof/>
      </w:rPr>
      <w:t>2</w:t>
    </w:r>
    <w:r>
      <w:fldChar w:fldCharType="end"/>
    </w:r>
    <w:r>
      <w:t>/</w:t>
    </w:r>
    <w:r w:rsidR="0039128C">
      <w:fldChar w:fldCharType="begin"/>
    </w:r>
    <w:r w:rsidR="0039128C">
      <w:instrText xml:space="preserve"> NUMPAGES </w:instrText>
    </w:r>
    <w:r w:rsidR="0039128C">
      <w:fldChar w:fldCharType="separate"/>
    </w:r>
    <w:r w:rsidR="00500765">
      <w:rPr>
        <w:noProof/>
      </w:rPr>
      <w:t>26</w:t>
    </w:r>
    <w:r w:rsidR="0039128C">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E62D" w14:textId="77777777" w:rsidR="006C3FDB" w:rsidRPr="00910972" w:rsidRDefault="006C3FDB" w:rsidP="0091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60787" w14:textId="77777777" w:rsidR="006C3FDB" w:rsidRDefault="006C3FDB" w:rsidP="003B0516">
      <w:pPr>
        <w:spacing w:line="240" w:lineRule="auto"/>
      </w:pPr>
      <w:r>
        <w:separator/>
      </w:r>
    </w:p>
  </w:footnote>
  <w:footnote w:type="continuationSeparator" w:id="0">
    <w:p w14:paraId="7CEDF243" w14:textId="77777777" w:rsidR="006C3FDB" w:rsidRDefault="006C3FDB"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653A" w14:textId="77777777" w:rsidR="00910972" w:rsidRPr="00910972" w:rsidRDefault="00910972" w:rsidP="0091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8E1A2" w14:textId="548A34A6" w:rsidR="00910972" w:rsidRPr="00910972" w:rsidRDefault="00910972" w:rsidP="00910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C636A" w14:textId="77777777" w:rsidR="00910972" w:rsidRPr="00910972" w:rsidRDefault="00910972" w:rsidP="009109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9DF2" w14:textId="77777777" w:rsidR="006C3FDB" w:rsidRPr="00910972" w:rsidRDefault="006C3FDB" w:rsidP="009109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4FBA" w14:textId="0C1C1FB3" w:rsidR="006C3FDB" w:rsidRPr="00910972" w:rsidRDefault="006C3FDB" w:rsidP="009109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5E7F" w14:textId="77777777" w:rsidR="006C3FDB" w:rsidRPr="00910972" w:rsidRDefault="006C3FDB" w:rsidP="00910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C7ACE32"/>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2" w15:restartNumberingAfterBreak="0">
    <w:nsid w:val="0E185D1A"/>
    <w:multiLevelType w:val="hybridMultilevel"/>
    <w:tmpl w:val="F45E57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7D4193E"/>
    <w:multiLevelType w:val="hybridMultilevel"/>
    <w:tmpl w:val="0534E460"/>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D0190"/>
    <w:multiLevelType w:val="hybridMultilevel"/>
    <w:tmpl w:val="540225C6"/>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5" w15:restartNumberingAfterBreak="0">
    <w:nsid w:val="35CE609E"/>
    <w:multiLevelType w:val="hybridMultilevel"/>
    <w:tmpl w:val="A9E2E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3583FAE"/>
    <w:multiLevelType w:val="hybridMultilevel"/>
    <w:tmpl w:val="49B05486"/>
    <w:lvl w:ilvl="0" w:tplc="080C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45935A71"/>
    <w:multiLevelType w:val="hybridMultilevel"/>
    <w:tmpl w:val="C9DC9BDC"/>
    <w:lvl w:ilvl="0" w:tplc="0F104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9" w15:restartNumberingAfterBreak="0">
    <w:nsid w:val="61D026E9"/>
    <w:multiLevelType w:val="hybridMultilevel"/>
    <w:tmpl w:val="C2A4AF8C"/>
    <w:lvl w:ilvl="0" w:tplc="08090005">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F42C0"/>
    <w:multiLevelType w:val="hybridMultilevel"/>
    <w:tmpl w:val="207A706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15:restartNumberingAfterBreak="0">
    <w:nsid w:val="767D7BDC"/>
    <w:multiLevelType w:val="hybridMultilevel"/>
    <w:tmpl w:val="948AFA3C"/>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27257"/>
    <w:multiLevelType w:val="hybridMultilevel"/>
    <w:tmpl w:val="4F50226C"/>
    <w:lvl w:ilvl="0" w:tplc="5F48E7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12"/>
  </w:num>
  <w:num w:numId="4">
    <w:abstractNumId w:val="1"/>
  </w:num>
  <w:num w:numId="5">
    <w:abstractNumId w:val="8"/>
  </w:num>
  <w:num w:numId="6">
    <w:abstractNumId w:val="5"/>
  </w:num>
  <w:num w:numId="7">
    <w:abstractNumId w:val="2"/>
  </w:num>
  <w:num w:numId="8">
    <w:abstractNumId w:val="4"/>
  </w:num>
  <w:num w:numId="9">
    <w:abstractNumId w:val="3"/>
  </w:num>
  <w:num w:numId="10">
    <w:abstractNumId w:val="13"/>
  </w:num>
  <w:num w:numId="11">
    <w:abstractNumId w:val="6"/>
  </w:num>
  <w:num w:numId="12">
    <w:abstractNumId w:val="10"/>
  </w:num>
  <w:num w:numId="13">
    <w:abstractNumId w:val="0"/>
  </w:num>
  <w:num w:numId="14">
    <w:abstractNumId w:val="0"/>
  </w:num>
  <w:num w:numId="15">
    <w:abstractNumId w:val="9"/>
  </w:num>
  <w:num w:numId="16">
    <w:abstractNumId w:val="7"/>
  </w:num>
  <w:num w:numId="17">
    <w:abstractNumId w:val="0"/>
  </w:num>
  <w:num w:numId="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BE" w:vendorID="64" w:dllVersion="6" w:nlCheck="1" w:checkStyle="0"/>
  <w:activeWritingStyle w:appName="MSWord" w:lang="en-GB" w:vendorID="64" w:dllVersion="6" w:nlCheck="1" w:checkStyle="0"/>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nl-BE" w:vendorID="64" w:dllVersion="131078"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14C93"/>
    <w:rsid w:val="00015E18"/>
    <w:rsid w:val="000232FA"/>
    <w:rsid w:val="0002450A"/>
    <w:rsid w:val="00027072"/>
    <w:rsid w:val="00032038"/>
    <w:rsid w:val="0003271A"/>
    <w:rsid w:val="00032BAA"/>
    <w:rsid w:val="00034E35"/>
    <w:rsid w:val="000402AE"/>
    <w:rsid w:val="00041C4A"/>
    <w:rsid w:val="0004205F"/>
    <w:rsid w:val="000421E0"/>
    <w:rsid w:val="000433B6"/>
    <w:rsid w:val="0005170F"/>
    <w:rsid w:val="00055D63"/>
    <w:rsid w:val="00056079"/>
    <w:rsid w:val="00056B3E"/>
    <w:rsid w:val="0005760F"/>
    <w:rsid w:val="00063DFF"/>
    <w:rsid w:val="00064EDE"/>
    <w:rsid w:val="00070FEE"/>
    <w:rsid w:val="0007146F"/>
    <w:rsid w:val="00071F4C"/>
    <w:rsid w:val="000764E8"/>
    <w:rsid w:val="00076BA9"/>
    <w:rsid w:val="00083845"/>
    <w:rsid w:val="000911BF"/>
    <w:rsid w:val="00092425"/>
    <w:rsid w:val="000951A1"/>
    <w:rsid w:val="000956DB"/>
    <w:rsid w:val="00096786"/>
    <w:rsid w:val="000A007B"/>
    <w:rsid w:val="000A03BD"/>
    <w:rsid w:val="000A1218"/>
    <w:rsid w:val="000A74DC"/>
    <w:rsid w:val="000A7BA8"/>
    <w:rsid w:val="000B19C4"/>
    <w:rsid w:val="000C3942"/>
    <w:rsid w:val="000C43E2"/>
    <w:rsid w:val="000C6D0B"/>
    <w:rsid w:val="000D2F8F"/>
    <w:rsid w:val="000D65AC"/>
    <w:rsid w:val="000E5FFD"/>
    <w:rsid w:val="000E6108"/>
    <w:rsid w:val="000F53B7"/>
    <w:rsid w:val="000F679A"/>
    <w:rsid w:val="001000A8"/>
    <w:rsid w:val="001167A1"/>
    <w:rsid w:val="00116A1C"/>
    <w:rsid w:val="001179DB"/>
    <w:rsid w:val="00117AA8"/>
    <w:rsid w:val="00124D7C"/>
    <w:rsid w:val="00126CBC"/>
    <w:rsid w:val="001271C3"/>
    <w:rsid w:val="001400C7"/>
    <w:rsid w:val="001445A7"/>
    <w:rsid w:val="001455A1"/>
    <w:rsid w:val="00150AD8"/>
    <w:rsid w:val="001513FD"/>
    <w:rsid w:val="00163106"/>
    <w:rsid w:val="00164813"/>
    <w:rsid w:val="001744F9"/>
    <w:rsid w:val="00174763"/>
    <w:rsid w:val="0018231C"/>
    <w:rsid w:val="00182F92"/>
    <w:rsid w:val="00191597"/>
    <w:rsid w:val="001951FD"/>
    <w:rsid w:val="001A0AD4"/>
    <w:rsid w:val="001A2273"/>
    <w:rsid w:val="001B10DA"/>
    <w:rsid w:val="001B6460"/>
    <w:rsid w:val="001C4EDC"/>
    <w:rsid w:val="001C5D5C"/>
    <w:rsid w:val="001D1F54"/>
    <w:rsid w:val="001D2636"/>
    <w:rsid w:val="001D6FFF"/>
    <w:rsid w:val="001D770D"/>
    <w:rsid w:val="001E0F0C"/>
    <w:rsid w:val="001E2286"/>
    <w:rsid w:val="001E6413"/>
    <w:rsid w:val="001F1433"/>
    <w:rsid w:val="001F1862"/>
    <w:rsid w:val="001F22AC"/>
    <w:rsid w:val="001F56CE"/>
    <w:rsid w:val="001F6FD5"/>
    <w:rsid w:val="00200222"/>
    <w:rsid w:val="0020062C"/>
    <w:rsid w:val="002037FC"/>
    <w:rsid w:val="002043D7"/>
    <w:rsid w:val="002043F8"/>
    <w:rsid w:val="00215520"/>
    <w:rsid w:val="0021590B"/>
    <w:rsid w:val="00215FAB"/>
    <w:rsid w:val="00224583"/>
    <w:rsid w:val="00225BCA"/>
    <w:rsid w:val="00225C52"/>
    <w:rsid w:val="00226DC1"/>
    <w:rsid w:val="00227E12"/>
    <w:rsid w:val="00232374"/>
    <w:rsid w:val="002328D2"/>
    <w:rsid w:val="00234AEB"/>
    <w:rsid w:val="00237481"/>
    <w:rsid w:val="00242666"/>
    <w:rsid w:val="00242D73"/>
    <w:rsid w:val="00247E02"/>
    <w:rsid w:val="00255669"/>
    <w:rsid w:val="00256F0A"/>
    <w:rsid w:val="00261FDB"/>
    <w:rsid w:val="00270828"/>
    <w:rsid w:val="00270A70"/>
    <w:rsid w:val="002737D4"/>
    <w:rsid w:val="00276CC9"/>
    <w:rsid w:val="002776B9"/>
    <w:rsid w:val="00291154"/>
    <w:rsid w:val="00292D44"/>
    <w:rsid w:val="00293E9C"/>
    <w:rsid w:val="002A2F38"/>
    <w:rsid w:val="002A417C"/>
    <w:rsid w:val="002A6192"/>
    <w:rsid w:val="002A696A"/>
    <w:rsid w:val="002B09A7"/>
    <w:rsid w:val="002B1961"/>
    <w:rsid w:val="002B2BA3"/>
    <w:rsid w:val="002B5031"/>
    <w:rsid w:val="002B75A5"/>
    <w:rsid w:val="002B7981"/>
    <w:rsid w:val="002C0E2F"/>
    <w:rsid w:val="002C1BC2"/>
    <w:rsid w:val="002C2466"/>
    <w:rsid w:val="002C24B9"/>
    <w:rsid w:val="002C2B80"/>
    <w:rsid w:val="002C4B6E"/>
    <w:rsid w:val="002C5F52"/>
    <w:rsid w:val="002D4C38"/>
    <w:rsid w:val="002E01B5"/>
    <w:rsid w:val="002E44D6"/>
    <w:rsid w:val="002E459D"/>
    <w:rsid w:val="002E5473"/>
    <w:rsid w:val="002F32E6"/>
    <w:rsid w:val="002F63EB"/>
    <w:rsid w:val="00305834"/>
    <w:rsid w:val="00311562"/>
    <w:rsid w:val="003123CB"/>
    <w:rsid w:val="003153FF"/>
    <w:rsid w:val="003165A9"/>
    <w:rsid w:val="0032266E"/>
    <w:rsid w:val="003227CC"/>
    <w:rsid w:val="00323A05"/>
    <w:rsid w:val="00326919"/>
    <w:rsid w:val="00331ACB"/>
    <w:rsid w:val="00331C12"/>
    <w:rsid w:val="00333F1A"/>
    <w:rsid w:val="00340F46"/>
    <w:rsid w:val="00342F72"/>
    <w:rsid w:val="00350A12"/>
    <w:rsid w:val="00350F5C"/>
    <w:rsid w:val="003527B4"/>
    <w:rsid w:val="00361E48"/>
    <w:rsid w:val="0036641A"/>
    <w:rsid w:val="00370CCB"/>
    <w:rsid w:val="00376574"/>
    <w:rsid w:val="00394949"/>
    <w:rsid w:val="00396061"/>
    <w:rsid w:val="003965BB"/>
    <w:rsid w:val="003A0DB7"/>
    <w:rsid w:val="003A25E1"/>
    <w:rsid w:val="003B0516"/>
    <w:rsid w:val="003B1998"/>
    <w:rsid w:val="003B3C5F"/>
    <w:rsid w:val="003B3D68"/>
    <w:rsid w:val="003B6760"/>
    <w:rsid w:val="003C07C5"/>
    <w:rsid w:val="003C2647"/>
    <w:rsid w:val="003C4D5B"/>
    <w:rsid w:val="003D33F7"/>
    <w:rsid w:val="003D4F68"/>
    <w:rsid w:val="003D57BD"/>
    <w:rsid w:val="003D76E2"/>
    <w:rsid w:val="003E2757"/>
    <w:rsid w:val="003E5137"/>
    <w:rsid w:val="003E692C"/>
    <w:rsid w:val="003F0159"/>
    <w:rsid w:val="003F2D36"/>
    <w:rsid w:val="003F510A"/>
    <w:rsid w:val="003F6382"/>
    <w:rsid w:val="0040019C"/>
    <w:rsid w:val="00400A1F"/>
    <w:rsid w:val="00403406"/>
    <w:rsid w:val="004047B1"/>
    <w:rsid w:val="00405FD9"/>
    <w:rsid w:val="00407760"/>
    <w:rsid w:val="00426ECD"/>
    <w:rsid w:val="004331B4"/>
    <w:rsid w:val="00441E45"/>
    <w:rsid w:val="004511AE"/>
    <w:rsid w:val="00456E3C"/>
    <w:rsid w:val="00462B31"/>
    <w:rsid w:val="00463300"/>
    <w:rsid w:val="004646AF"/>
    <w:rsid w:val="0046631E"/>
    <w:rsid w:val="00470719"/>
    <w:rsid w:val="00472A79"/>
    <w:rsid w:val="00472E72"/>
    <w:rsid w:val="004755C3"/>
    <w:rsid w:val="0048695C"/>
    <w:rsid w:val="004904F9"/>
    <w:rsid w:val="0049347F"/>
    <w:rsid w:val="004A46D9"/>
    <w:rsid w:val="004A5CD7"/>
    <w:rsid w:val="004B344F"/>
    <w:rsid w:val="004B7248"/>
    <w:rsid w:val="004B72DD"/>
    <w:rsid w:val="004C1E12"/>
    <w:rsid w:val="004C2872"/>
    <w:rsid w:val="004C40E4"/>
    <w:rsid w:val="004D2E64"/>
    <w:rsid w:val="004D65FF"/>
    <w:rsid w:val="004D7AC0"/>
    <w:rsid w:val="004F2430"/>
    <w:rsid w:val="004F68A8"/>
    <w:rsid w:val="00500765"/>
    <w:rsid w:val="00502B04"/>
    <w:rsid w:val="00502C82"/>
    <w:rsid w:val="005030F7"/>
    <w:rsid w:val="00530644"/>
    <w:rsid w:val="00533BF2"/>
    <w:rsid w:val="0053502B"/>
    <w:rsid w:val="0054010D"/>
    <w:rsid w:val="00542C6F"/>
    <w:rsid w:val="00546842"/>
    <w:rsid w:val="005475DA"/>
    <w:rsid w:val="00550800"/>
    <w:rsid w:val="00554499"/>
    <w:rsid w:val="00555A39"/>
    <w:rsid w:val="00560174"/>
    <w:rsid w:val="00564924"/>
    <w:rsid w:val="00565C6E"/>
    <w:rsid w:val="00571FEB"/>
    <w:rsid w:val="00577672"/>
    <w:rsid w:val="00582A42"/>
    <w:rsid w:val="00584D91"/>
    <w:rsid w:val="0058593B"/>
    <w:rsid w:val="00586B4B"/>
    <w:rsid w:val="00590BDD"/>
    <w:rsid w:val="00594140"/>
    <w:rsid w:val="0059551E"/>
    <w:rsid w:val="005A3E6D"/>
    <w:rsid w:val="005A755F"/>
    <w:rsid w:val="005B0E27"/>
    <w:rsid w:val="005B3012"/>
    <w:rsid w:val="005C0363"/>
    <w:rsid w:val="005C7C47"/>
    <w:rsid w:val="005D621C"/>
    <w:rsid w:val="005D6E4D"/>
    <w:rsid w:val="005D7939"/>
    <w:rsid w:val="005E23CD"/>
    <w:rsid w:val="005E2C02"/>
    <w:rsid w:val="005E56F3"/>
    <w:rsid w:val="005E682E"/>
    <w:rsid w:val="005F4857"/>
    <w:rsid w:val="005F4FFC"/>
    <w:rsid w:val="005F78D7"/>
    <w:rsid w:val="005F7E48"/>
    <w:rsid w:val="00600A25"/>
    <w:rsid w:val="006025C9"/>
    <w:rsid w:val="006119BD"/>
    <w:rsid w:val="00613467"/>
    <w:rsid w:val="0061692F"/>
    <w:rsid w:val="0062138E"/>
    <w:rsid w:val="00622822"/>
    <w:rsid w:val="00624785"/>
    <w:rsid w:val="00627B8F"/>
    <w:rsid w:val="00630047"/>
    <w:rsid w:val="00630928"/>
    <w:rsid w:val="00631509"/>
    <w:rsid w:val="00632139"/>
    <w:rsid w:val="006324DA"/>
    <w:rsid w:val="006334BE"/>
    <w:rsid w:val="00640656"/>
    <w:rsid w:val="00641262"/>
    <w:rsid w:val="00645723"/>
    <w:rsid w:val="00650DB1"/>
    <w:rsid w:val="006568C8"/>
    <w:rsid w:val="006604D8"/>
    <w:rsid w:val="00662436"/>
    <w:rsid w:val="006669FA"/>
    <w:rsid w:val="00666A72"/>
    <w:rsid w:val="00670347"/>
    <w:rsid w:val="00675177"/>
    <w:rsid w:val="00681B23"/>
    <w:rsid w:val="0068241A"/>
    <w:rsid w:val="006849A6"/>
    <w:rsid w:val="00691356"/>
    <w:rsid w:val="006967AE"/>
    <w:rsid w:val="006A3A88"/>
    <w:rsid w:val="006A42C1"/>
    <w:rsid w:val="006A5AA8"/>
    <w:rsid w:val="006B106B"/>
    <w:rsid w:val="006B265F"/>
    <w:rsid w:val="006C3FDB"/>
    <w:rsid w:val="006C4311"/>
    <w:rsid w:val="006C4ED2"/>
    <w:rsid w:val="006D32E3"/>
    <w:rsid w:val="006D4847"/>
    <w:rsid w:val="006D6086"/>
    <w:rsid w:val="006E0E88"/>
    <w:rsid w:val="006E3078"/>
    <w:rsid w:val="006E3F60"/>
    <w:rsid w:val="006E6434"/>
    <w:rsid w:val="006F3409"/>
    <w:rsid w:val="00700030"/>
    <w:rsid w:val="007037CE"/>
    <w:rsid w:val="00704C1E"/>
    <w:rsid w:val="00705674"/>
    <w:rsid w:val="007105B2"/>
    <w:rsid w:val="007150C5"/>
    <w:rsid w:val="00715A60"/>
    <w:rsid w:val="00720D22"/>
    <w:rsid w:val="00721342"/>
    <w:rsid w:val="00721386"/>
    <w:rsid w:val="00727B0D"/>
    <w:rsid w:val="007327CD"/>
    <w:rsid w:val="00732CC4"/>
    <w:rsid w:val="00733A55"/>
    <w:rsid w:val="00735256"/>
    <w:rsid w:val="0074379C"/>
    <w:rsid w:val="00745EAA"/>
    <w:rsid w:val="00746B35"/>
    <w:rsid w:val="0075250B"/>
    <w:rsid w:val="00753F2A"/>
    <w:rsid w:val="00760B02"/>
    <w:rsid w:val="00760C0A"/>
    <w:rsid w:val="0076429F"/>
    <w:rsid w:val="00765C4F"/>
    <w:rsid w:val="00771110"/>
    <w:rsid w:val="00775FDA"/>
    <w:rsid w:val="0077736D"/>
    <w:rsid w:val="00781B32"/>
    <w:rsid w:val="007830DD"/>
    <w:rsid w:val="00785F4A"/>
    <w:rsid w:val="007A0970"/>
    <w:rsid w:val="007A1548"/>
    <w:rsid w:val="007B21C5"/>
    <w:rsid w:val="007B231B"/>
    <w:rsid w:val="007B4C38"/>
    <w:rsid w:val="007B7C40"/>
    <w:rsid w:val="007C11A7"/>
    <w:rsid w:val="007C58EF"/>
    <w:rsid w:val="007C7CE2"/>
    <w:rsid w:val="007D42D1"/>
    <w:rsid w:val="007D5174"/>
    <w:rsid w:val="007E0CE8"/>
    <w:rsid w:val="007E3FFA"/>
    <w:rsid w:val="007E70D2"/>
    <w:rsid w:val="007E7A4F"/>
    <w:rsid w:val="007E7DE3"/>
    <w:rsid w:val="007F0BB7"/>
    <w:rsid w:val="007F2119"/>
    <w:rsid w:val="007F7DBA"/>
    <w:rsid w:val="00804736"/>
    <w:rsid w:val="0080501D"/>
    <w:rsid w:val="00812594"/>
    <w:rsid w:val="00813A00"/>
    <w:rsid w:val="00814E33"/>
    <w:rsid w:val="008159E1"/>
    <w:rsid w:val="008172B0"/>
    <w:rsid w:val="00822ED8"/>
    <w:rsid w:val="00824647"/>
    <w:rsid w:val="00824DCF"/>
    <w:rsid w:val="0082509A"/>
    <w:rsid w:val="00827B0E"/>
    <w:rsid w:val="008327B1"/>
    <w:rsid w:val="00833E27"/>
    <w:rsid w:val="00841374"/>
    <w:rsid w:val="00842465"/>
    <w:rsid w:val="00842BDD"/>
    <w:rsid w:val="00842C71"/>
    <w:rsid w:val="00844B87"/>
    <w:rsid w:val="0085096C"/>
    <w:rsid w:val="00855196"/>
    <w:rsid w:val="00855772"/>
    <w:rsid w:val="0086045C"/>
    <w:rsid w:val="008608BA"/>
    <w:rsid w:val="00861942"/>
    <w:rsid w:val="00861D96"/>
    <w:rsid w:val="00862DC9"/>
    <w:rsid w:val="0086458A"/>
    <w:rsid w:val="008737C0"/>
    <w:rsid w:val="008745F7"/>
    <w:rsid w:val="00881E9B"/>
    <w:rsid w:val="0088219D"/>
    <w:rsid w:val="0088465F"/>
    <w:rsid w:val="00884879"/>
    <w:rsid w:val="008854AE"/>
    <w:rsid w:val="00886448"/>
    <w:rsid w:val="008946BF"/>
    <w:rsid w:val="008A4C14"/>
    <w:rsid w:val="008B2544"/>
    <w:rsid w:val="008B26C6"/>
    <w:rsid w:val="008B2708"/>
    <w:rsid w:val="008B66DD"/>
    <w:rsid w:val="008B72DD"/>
    <w:rsid w:val="008C18DE"/>
    <w:rsid w:val="008D2131"/>
    <w:rsid w:val="008D5213"/>
    <w:rsid w:val="008E0C2F"/>
    <w:rsid w:val="008E5076"/>
    <w:rsid w:val="008F1627"/>
    <w:rsid w:val="00900BFC"/>
    <w:rsid w:val="009049FC"/>
    <w:rsid w:val="00910972"/>
    <w:rsid w:val="009109F5"/>
    <w:rsid w:val="00912E0E"/>
    <w:rsid w:val="00912F6B"/>
    <w:rsid w:val="00914265"/>
    <w:rsid w:val="009173E7"/>
    <w:rsid w:val="009177FF"/>
    <w:rsid w:val="00931584"/>
    <w:rsid w:val="00934472"/>
    <w:rsid w:val="00942238"/>
    <w:rsid w:val="0094733C"/>
    <w:rsid w:val="00947E08"/>
    <w:rsid w:val="0095386D"/>
    <w:rsid w:val="0095396D"/>
    <w:rsid w:val="0096099A"/>
    <w:rsid w:val="00961956"/>
    <w:rsid w:val="00961F3C"/>
    <w:rsid w:val="0096721E"/>
    <w:rsid w:val="00970971"/>
    <w:rsid w:val="00971495"/>
    <w:rsid w:val="0097659B"/>
    <w:rsid w:val="00986C7F"/>
    <w:rsid w:val="00987507"/>
    <w:rsid w:val="009954A1"/>
    <w:rsid w:val="009B0E36"/>
    <w:rsid w:val="009B2ADD"/>
    <w:rsid w:val="009B37E5"/>
    <w:rsid w:val="009B70E7"/>
    <w:rsid w:val="009B72AB"/>
    <w:rsid w:val="009C513E"/>
    <w:rsid w:val="009C574C"/>
    <w:rsid w:val="009C75E4"/>
    <w:rsid w:val="009D07F4"/>
    <w:rsid w:val="009D1CA2"/>
    <w:rsid w:val="009D2CD0"/>
    <w:rsid w:val="009D388E"/>
    <w:rsid w:val="009D5CC6"/>
    <w:rsid w:val="009E4E92"/>
    <w:rsid w:val="009E6BA2"/>
    <w:rsid w:val="009E70A3"/>
    <w:rsid w:val="009E7942"/>
    <w:rsid w:val="009F3BC5"/>
    <w:rsid w:val="009F5F78"/>
    <w:rsid w:val="009F706B"/>
    <w:rsid w:val="00A0410F"/>
    <w:rsid w:val="00A048E9"/>
    <w:rsid w:val="00A049D5"/>
    <w:rsid w:val="00A06E9E"/>
    <w:rsid w:val="00A10A98"/>
    <w:rsid w:val="00A11E69"/>
    <w:rsid w:val="00A20E9D"/>
    <w:rsid w:val="00A30792"/>
    <w:rsid w:val="00A30B84"/>
    <w:rsid w:val="00A3344B"/>
    <w:rsid w:val="00A37880"/>
    <w:rsid w:val="00A45EC3"/>
    <w:rsid w:val="00A46122"/>
    <w:rsid w:val="00A51F03"/>
    <w:rsid w:val="00A522D4"/>
    <w:rsid w:val="00A5507B"/>
    <w:rsid w:val="00A62F57"/>
    <w:rsid w:val="00A63413"/>
    <w:rsid w:val="00A6556C"/>
    <w:rsid w:val="00A659B5"/>
    <w:rsid w:val="00A661BB"/>
    <w:rsid w:val="00A720CF"/>
    <w:rsid w:val="00A74B4C"/>
    <w:rsid w:val="00A763E7"/>
    <w:rsid w:val="00A827D2"/>
    <w:rsid w:val="00A86E2C"/>
    <w:rsid w:val="00A9462E"/>
    <w:rsid w:val="00A94E45"/>
    <w:rsid w:val="00AA05F8"/>
    <w:rsid w:val="00AA5C61"/>
    <w:rsid w:val="00AA69BF"/>
    <w:rsid w:val="00AB3045"/>
    <w:rsid w:val="00AB4D68"/>
    <w:rsid w:val="00AB72EB"/>
    <w:rsid w:val="00AC567A"/>
    <w:rsid w:val="00AC7690"/>
    <w:rsid w:val="00AD1524"/>
    <w:rsid w:val="00AD3DB1"/>
    <w:rsid w:val="00AD6708"/>
    <w:rsid w:val="00AE0A52"/>
    <w:rsid w:val="00AE2E3C"/>
    <w:rsid w:val="00AF2C37"/>
    <w:rsid w:val="00AF45AD"/>
    <w:rsid w:val="00AF4F10"/>
    <w:rsid w:val="00B0753C"/>
    <w:rsid w:val="00B11964"/>
    <w:rsid w:val="00B13B9C"/>
    <w:rsid w:val="00B24B60"/>
    <w:rsid w:val="00B24C28"/>
    <w:rsid w:val="00B30118"/>
    <w:rsid w:val="00B34E93"/>
    <w:rsid w:val="00B35908"/>
    <w:rsid w:val="00B40093"/>
    <w:rsid w:val="00B40158"/>
    <w:rsid w:val="00B41E79"/>
    <w:rsid w:val="00B42F7B"/>
    <w:rsid w:val="00B4330A"/>
    <w:rsid w:val="00B44BB9"/>
    <w:rsid w:val="00B44E37"/>
    <w:rsid w:val="00B4522B"/>
    <w:rsid w:val="00B51AF6"/>
    <w:rsid w:val="00B51B20"/>
    <w:rsid w:val="00B51EBC"/>
    <w:rsid w:val="00B5317E"/>
    <w:rsid w:val="00B53791"/>
    <w:rsid w:val="00B539C0"/>
    <w:rsid w:val="00B53E01"/>
    <w:rsid w:val="00B54D49"/>
    <w:rsid w:val="00B56041"/>
    <w:rsid w:val="00B61819"/>
    <w:rsid w:val="00B62D22"/>
    <w:rsid w:val="00B656FE"/>
    <w:rsid w:val="00B7530C"/>
    <w:rsid w:val="00B76922"/>
    <w:rsid w:val="00B80426"/>
    <w:rsid w:val="00B8245F"/>
    <w:rsid w:val="00B83E7B"/>
    <w:rsid w:val="00B85573"/>
    <w:rsid w:val="00B876EC"/>
    <w:rsid w:val="00B92B86"/>
    <w:rsid w:val="00B97AA6"/>
    <w:rsid w:val="00BA051D"/>
    <w:rsid w:val="00BA579D"/>
    <w:rsid w:val="00BB054C"/>
    <w:rsid w:val="00BB1EE2"/>
    <w:rsid w:val="00BB37C1"/>
    <w:rsid w:val="00BB3A55"/>
    <w:rsid w:val="00BB739D"/>
    <w:rsid w:val="00BC1767"/>
    <w:rsid w:val="00BC29C8"/>
    <w:rsid w:val="00BC3670"/>
    <w:rsid w:val="00BC375B"/>
    <w:rsid w:val="00BC3FCE"/>
    <w:rsid w:val="00BC41D9"/>
    <w:rsid w:val="00BD4DBF"/>
    <w:rsid w:val="00BD6E79"/>
    <w:rsid w:val="00BD7550"/>
    <w:rsid w:val="00BD7A8C"/>
    <w:rsid w:val="00BE12B3"/>
    <w:rsid w:val="00BE5754"/>
    <w:rsid w:val="00BE6D5A"/>
    <w:rsid w:val="00BF27C9"/>
    <w:rsid w:val="00BF5C7D"/>
    <w:rsid w:val="00BF6653"/>
    <w:rsid w:val="00C00B1F"/>
    <w:rsid w:val="00C0119D"/>
    <w:rsid w:val="00C10C77"/>
    <w:rsid w:val="00C23683"/>
    <w:rsid w:val="00C259DF"/>
    <w:rsid w:val="00C25DB3"/>
    <w:rsid w:val="00C331A1"/>
    <w:rsid w:val="00C34B35"/>
    <w:rsid w:val="00C445FE"/>
    <w:rsid w:val="00C44A5C"/>
    <w:rsid w:val="00C46E4F"/>
    <w:rsid w:val="00C554BB"/>
    <w:rsid w:val="00C600B5"/>
    <w:rsid w:val="00C60AE2"/>
    <w:rsid w:val="00C61E75"/>
    <w:rsid w:val="00C677AD"/>
    <w:rsid w:val="00C752C7"/>
    <w:rsid w:val="00C7574C"/>
    <w:rsid w:val="00C76C46"/>
    <w:rsid w:val="00C76D56"/>
    <w:rsid w:val="00C834A5"/>
    <w:rsid w:val="00C8431E"/>
    <w:rsid w:val="00C86F74"/>
    <w:rsid w:val="00C92102"/>
    <w:rsid w:val="00C95751"/>
    <w:rsid w:val="00C9679B"/>
    <w:rsid w:val="00C96BF2"/>
    <w:rsid w:val="00C97966"/>
    <w:rsid w:val="00CA3848"/>
    <w:rsid w:val="00CA685D"/>
    <w:rsid w:val="00CB0AEA"/>
    <w:rsid w:val="00CB0CBA"/>
    <w:rsid w:val="00CB1D03"/>
    <w:rsid w:val="00CB2A8A"/>
    <w:rsid w:val="00CB3335"/>
    <w:rsid w:val="00CB3574"/>
    <w:rsid w:val="00CB4448"/>
    <w:rsid w:val="00CB6509"/>
    <w:rsid w:val="00CC25F9"/>
    <w:rsid w:val="00CD1982"/>
    <w:rsid w:val="00CD7E1B"/>
    <w:rsid w:val="00CD7F66"/>
    <w:rsid w:val="00CE23CC"/>
    <w:rsid w:val="00CE48CB"/>
    <w:rsid w:val="00CF2F88"/>
    <w:rsid w:val="00CF3D01"/>
    <w:rsid w:val="00CF5AC7"/>
    <w:rsid w:val="00CF7F58"/>
    <w:rsid w:val="00D0023B"/>
    <w:rsid w:val="00D007F3"/>
    <w:rsid w:val="00D00BF8"/>
    <w:rsid w:val="00D014A8"/>
    <w:rsid w:val="00D04678"/>
    <w:rsid w:val="00D13F40"/>
    <w:rsid w:val="00D205F2"/>
    <w:rsid w:val="00D20C54"/>
    <w:rsid w:val="00D243A3"/>
    <w:rsid w:val="00D24601"/>
    <w:rsid w:val="00D327F0"/>
    <w:rsid w:val="00D35512"/>
    <w:rsid w:val="00D35C97"/>
    <w:rsid w:val="00D41F72"/>
    <w:rsid w:val="00D423EB"/>
    <w:rsid w:val="00D442EE"/>
    <w:rsid w:val="00D47085"/>
    <w:rsid w:val="00D534BA"/>
    <w:rsid w:val="00D55B4C"/>
    <w:rsid w:val="00D61B08"/>
    <w:rsid w:val="00D630B8"/>
    <w:rsid w:val="00D761CD"/>
    <w:rsid w:val="00D76363"/>
    <w:rsid w:val="00D80558"/>
    <w:rsid w:val="00D84FBD"/>
    <w:rsid w:val="00D85D67"/>
    <w:rsid w:val="00D86432"/>
    <w:rsid w:val="00D92EBC"/>
    <w:rsid w:val="00D944B2"/>
    <w:rsid w:val="00DA2D88"/>
    <w:rsid w:val="00DA608B"/>
    <w:rsid w:val="00DB2B61"/>
    <w:rsid w:val="00DB34D6"/>
    <w:rsid w:val="00DB6D98"/>
    <w:rsid w:val="00DC057E"/>
    <w:rsid w:val="00DC097D"/>
    <w:rsid w:val="00DC17CF"/>
    <w:rsid w:val="00DC53E9"/>
    <w:rsid w:val="00DD23A2"/>
    <w:rsid w:val="00DD289C"/>
    <w:rsid w:val="00DD53BD"/>
    <w:rsid w:val="00DE010C"/>
    <w:rsid w:val="00DE308B"/>
    <w:rsid w:val="00DE3CA7"/>
    <w:rsid w:val="00DF2640"/>
    <w:rsid w:val="00DF2B94"/>
    <w:rsid w:val="00DF349B"/>
    <w:rsid w:val="00DF3AB5"/>
    <w:rsid w:val="00DF590D"/>
    <w:rsid w:val="00E02E1A"/>
    <w:rsid w:val="00E060CF"/>
    <w:rsid w:val="00E0620E"/>
    <w:rsid w:val="00E06456"/>
    <w:rsid w:val="00E074E2"/>
    <w:rsid w:val="00E11C18"/>
    <w:rsid w:val="00E20579"/>
    <w:rsid w:val="00E207F0"/>
    <w:rsid w:val="00E20FC5"/>
    <w:rsid w:val="00E211D9"/>
    <w:rsid w:val="00E227B2"/>
    <w:rsid w:val="00E24CDF"/>
    <w:rsid w:val="00E26F29"/>
    <w:rsid w:val="00E33923"/>
    <w:rsid w:val="00E33D03"/>
    <w:rsid w:val="00E36EA1"/>
    <w:rsid w:val="00E4196E"/>
    <w:rsid w:val="00E461E1"/>
    <w:rsid w:val="00E54548"/>
    <w:rsid w:val="00E61540"/>
    <w:rsid w:val="00E64300"/>
    <w:rsid w:val="00E65D01"/>
    <w:rsid w:val="00E72E7D"/>
    <w:rsid w:val="00E81FDD"/>
    <w:rsid w:val="00E86232"/>
    <w:rsid w:val="00E9792C"/>
    <w:rsid w:val="00EA2799"/>
    <w:rsid w:val="00EA403A"/>
    <w:rsid w:val="00EA76FF"/>
    <w:rsid w:val="00EB051C"/>
    <w:rsid w:val="00EC533C"/>
    <w:rsid w:val="00EC6B43"/>
    <w:rsid w:val="00EC78C3"/>
    <w:rsid w:val="00EC79EC"/>
    <w:rsid w:val="00ED0BA8"/>
    <w:rsid w:val="00ED2A6A"/>
    <w:rsid w:val="00ED377B"/>
    <w:rsid w:val="00ED441B"/>
    <w:rsid w:val="00ED7BC2"/>
    <w:rsid w:val="00EF0853"/>
    <w:rsid w:val="00EF6631"/>
    <w:rsid w:val="00EF688F"/>
    <w:rsid w:val="00F00603"/>
    <w:rsid w:val="00F01CF2"/>
    <w:rsid w:val="00F03950"/>
    <w:rsid w:val="00F049D6"/>
    <w:rsid w:val="00F13607"/>
    <w:rsid w:val="00F173C9"/>
    <w:rsid w:val="00F2127E"/>
    <w:rsid w:val="00F25F17"/>
    <w:rsid w:val="00F324AC"/>
    <w:rsid w:val="00F32577"/>
    <w:rsid w:val="00F349C7"/>
    <w:rsid w:val="00F37E4A"/>
    <w:rsid w:val="00F423CE"/>
    <w:rsid w:val="00F443A0"/>
    <w:rsid w:val="00F471FB"/>
    <w:rsid w:val="00F47818"/>
    <w:rsid w:val="00F508B3"/>
    <w:rsid w:val="00F512BB"/>
    <w:rsid w:val="00F545CF"/>
    <w:rsid w:val="00F6297B"/>
    <w:rsid w:val="00F63F2A"/>
    <w:rsid w:val="00F646EF"/>
    <w:rsid w:val="00F71666"/>
    <w:rsid w:val="00F804C6"/>
    <w:rsid w:val="00F80F3B"/>
    <w:rsid w:val="00F841DB"/>
    <w:rsid w:val="00F856AC"/>
    <w:rsid w:val="00F86531"/>
    <w:rsid w:val="00F86EB5"/>
    <w:rsid w:val="00F86F23"/>
    <w:rsid w:val="00F916E1"/>
    <w:rsid w:val="00F941D5"/>
    <w:rsid w:val="00F946E1"/>
    <w:rsid w:val="00F94A84"/>
    <w:rsid w:val="00F95D18"/>
    <w:rsid w:val="00FA0704"/>
    <w:rsid w:val="00FB044B"/>
    <w:rsid w:val="00FB24BA"/>
    <w:rsid w:val="00FB55E3"/>
    <w:rsid w:val="00FD3685"/>
    <w:rsid w:val="00FD3A69"/>
    <w:rsid w:val="00FE044C"/>
    <w:rsid w:val="00FE68B2"/>
    <w:rsid w:val="00FE7250"/>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05F"/>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uiPriority w:val="99"/>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iPriority w:val="99"/>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F349C7"/>
    <w:pPr>
      <w:tabs>
        <w:tab w:val="left" w:pos="440"/>
        <w:tab w:val="right" w:leader="dot" w:pos="9063"/>
      </w:tabs>
      <w:spacing w:before="240"/>
      <w:ind w:left="426" w:hanging="426"/>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lv-LV"/>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Margherita.Logrillo@eesc.europa.eu" TargetMode="External"/><Relationship Id="rId39" Type="http://schemas.openxmlformats.org/officeDocument/2006/relationships/hyperlink" Target="mailto:David.Hoic@eesc.europa.eu" TargetMode="External"/><Relationship Id="rId21" Type="http://schemas.openxmlformats.org/officeDocument/2006/relationships/hyperlink" Target="mailto:Juri.Soosar@eesc.europa.eu" TargetMode="External"/><Relationship Id="rId34" Type="http://schemas.openxmlformats.org/officeDocument/2006/relationships/hyperlink" Target="mailto:%20Claudia.Drewes-Wran@eesc.europa.eu" TargetMode="External"/><Relationship Id="rId42" Type="http://schemas.openxmlformats.org/officeDocument/2006/relationships/hyperlink" Target="mailto:Gaelle.Michelier@eesc.europa.eu" TargetMode="External"/><Relationship Id="rId47" Type="http://schemas.openxmlformats.org/officeDocument/2006/relationships/header" Target="header6.xml"/><Relationship Id="rId50" Type="http://schemas.openxmlformats.org/officeDocument/2006/relationships/theme" Target="theme/theme1.xml"/><Relationship Id="rId55" Type="http://schemas.microsoft.com/office/2016/09/relationships/commentsIds" Target="commentsIds.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Antonio.RibeiroPereira@eesc.europa.eu" TargetMode="External"/><Relationship Id="rId11" Type="http://schemas.openxmlformats.org/officeDocument/2006/relationships/image" Target="media/image1.jpeg"/><Relationship Id="rId24" Type="http://schemas.openxmlformats.org/officeDocument/2006/relationships/hyperlink" Target="mailto:Valeria.Atzori@eesc.europa.eu" TargetMode="External"/><Relationship Id="rId32" Type="http://schemas.openxmlformats.org/officeDocument/2006/relationships/hyperlink" Target="mailto:Claudia.Drewes-Wran@eesc.europa.eu" TargetMode="External"/><Relationship Id="rId37" Type="http://schemas.openxmlformats.org/officeDocument/2006/relationships/hyperlink" Target="mailto:%20Caroline.Verhelst@eesc.europa.eu" TargetMode="External"/><Relationship Id="rId40" Type="http://schemas.openxmlformats.org/officeDocument/2006/relationships/hyperlink" Target="mailto:C&#233;dric.Cabanne@eesc.europa.eu" TargetMode="External"/><Relationship Id="rId45" Type="http://schemas.openxmlformats.org/officeDocument/2006/relationships/footer" Target="footer4.xml"/><Relationship Id="rId58"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ergio.LorencioMatallana@eesc.europa.eu" TargetMode="External"/><Relationship Id="rId28" Type="http://schemas.openxmlformats.org/officeDocument/2006/relationships/hyperlink" Target="mailto:Francesco.Napolitano@eesc.europa.eu" TargetMode="External"/><Relationship Id="rId36" Type="http://schemas.openxmlformats.org/officeDocument/2006/relationships/hyperlink" Target="mailto:%20Caroline.Verhelst@eesc.europa.eu" TargetMode="External"/><Relationship Id="rId49" Type="http://schemas.openxmlformats.org/officeDocument/2006/relationships/fontTable" Target="fontTable.xml"/><Relationship Id="rId57"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ie-Laurence.Drillon@eesc.europa.eu" TargetMode="External"/><Relationship Id="rId44" Type="http://schemas.openxmlformats.org/officeDocument/2006/relationships/header" Target="header5.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uri.Soosar@eesc.europa.eu" TargetMode="External"/><Relationship Id="rId27" Type="http://schemas.openxmlformats.org/officeDocument/2006/relationships/hyperlink" Target="mailto:Maja.Radmani@eesc.europa.eu" TargetMode="External"/><Relationship Id="rId30" Type="http://schemas.openxmlformats.org/officeDocument/2006/relationships/hyperlink" Target="mailto:Giorgia.Bordignon@eesc.europa.eu" TargetMode="External"/><Relationship Id="rId35" Type="http://schemas.openxmlformats.org/officeDocument/2006/relationships/hyperlink" Target="mailto:Arturo.Iniguez@eesc.europa.eu"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customXml" Target="../customXml/item1.xml"/><Relationship Id="rId8" Type="http://schemas.openxmlformats.org/officeDocument/2006/relationships/webSettings" Target="webSettings.xml"/><Relationship Id="rId12" Type="http://schemas.openxmlformats.org/officeDocument/2006/relationships/hyperlink" Target="https://www.eesc.europa.eu/l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Margherita.Logrillo@eesc.europa.eu" TargetMode="External"/><Relationship Id="rId33" Type="http://schemas.openxmlformats.org/officeDocument/2006/relationships/hyperlink" Target="mailto:%20Dalila.Bernard@eesc.europa.eu" TargetMode="External"/><Relationship Id="rId38" Type="http://schemas.openxmlformats.org/officeDocument/2006/relationships/hyperlink" Target="mailto:Gunilla.Sandberg@eesc.europa.eu" TargetMode="External"/><Relationship Id="rId46" Type="http://schemas.openxmlformats.org/officeDocument/2006/relationships/footer" Target="footer5.xml"/><Relationship Id="rId59" Type="http://schemas.openxmlformats.org/officeDocument/2006/relationships/customXml" Target="../customXml/item4.xml"/><Relationship Id="rId20" Type="http://schemas.openxmlformats.org/officeDocument/2006/relationships/hyperlink" Target="mailto:Domenico.Cosmai@eesc.europa.eu" TargetMode="External"/><Relationship Id="rId41" Type="http://schemas.openxmlformats.org/officeDocument/2006/relationships/hyperlink" Target="mailto:Gerald.Klec@eesc.europa.eu" TargetMode="Externa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4" ma:contentTypeDescription="Defines the documents for Document Manager V2" ma:contentTypeScope="" ma:versionID="dc0fa69cc2a991f528bd5b7c516a5e87">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2d1ef0291ab947b1497483d599cc4d6"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P6FJPSUHKDC2-1050578159-3527</_dlc_DocId>
    <_dlc_DocIdUrl xmlns="1299d781-265f-4ceb-999e-e1eca3df2c90">
      <Url>http://dm2016/eesc/2022/_layouts/15/DocIdRedir.aspx?ID=P6FJPSUHKDC2-1050578159-3527</Url>
      <Description>P6FJPSUHKDC2-1050578159-3527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2022-08-03T12:00:00+00:00</ProductionDate>
    <DocumentNumber xmlns="4e5ad790-8ffd-4f61-866f-51e1599a4efe">3184</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2022-09-21T12:00:00+00:00</MeetingDate>
    <TaxCatchAll xmlns="1299d781-265f-4ceb-999e-e1eca3df2c90">
      <Value>55</Value>
      <Value>54</Value>
      <Value>51</Value>
      <Value>46</Value>
      <Value>45</Value>
      <Value>44</Value>
      <Value>43</Value>
      <Value>42</Value>
      <Value>41</Value>
      <Value>38</Value>
      <Value>37</Value>
      <Value>36</Value>
      <Value>34</Value>
      <Value>33</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9012</FicheNumber>
    <OriginalSender xmlns="1299d781-265f-4ceb-999e-e1eca3df2c90">
      <UserInfo>
        <DisplayName>Calenko Ludmila</DisplayName>
        <AccountId>1734</AccountId>
        <AccountType/>
      </UserInfo>
    </OriginalSender>
    <DocumentPart xmlns="1299d781-265f-4ceb-999e-e1eca3df2c90">0</DocumentPart>
    <AdoptionDate xmlns="1299d781-265f-4ceb-999e-e1eca3df2c90" xsi:nil="true"/>
    <RequestingService xmlns="1299d781-265f-4ceb-999e-e1eca3df2c90">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02B8CEA0-167F-463D-9AA0-B17D76830EC1}"/>
</file>

<file path=customXml/itemProps2.xml><?xml version="1.0" encoding="utf-8"?>
<ds:datastoreItem xmlns:ds="http://schemas.openxmlformats.org/officeDocument/2006/customXml" ds:itemID="{C7773A9A-B761-4A97-821F-371423EE02B3}"/>
</file>

<file path=customXml/itemProps3.xml><?xml version="1.0" encoding="utf-8"?>
<ds:datastoreItem xmlns:ds="http://schemas.openxmlformats.org/officeDocument/2006/customXml" ds:itemID="{FB517F69-835A-43A2-9D9D-47D7F5F563A9}"/>
</file>

<file path=customXml/itemProps4.xml><?xml version="1.0" encoding="utf-8"?>
<ds:datastoreItem xmlns:ds="http://schemas.openxmlformats.org/officeDocument/2006/customXml" ds:itemID="{6C03B92E-F1F0-4194-B814-54458B88AB51}"/>
</file>

<file path=docProps/app.xml><?xml version="1.0" encoding="utf-8"?>
<Properties xmlns="http://schemas.openxmlformats.org/officeDocument/2006/extended-properties" xmlns:vt="http://schemas.openxmlformats.org/officeDocument/2006/docPropsVTypes">
  <Template>Normal.dotm</Template>
  <TotalTime>5</TotalTime>
  <Pages>26</Pages>
  <Words>7675</Words>
  <Characters>43751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Summary of opinions adopted - 562nd plenary session February  2022</vt:lpstr>
    </vt:vector>
  </TitlesOfParts>
  <Company>CESE-CdR</Company>
  <LinksUpToDate>false</LinksUpToDate>
  <CharactersWithSpaces>51324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Jūlija plenārsesijā pieņemto atzinumu kopsavilkums</dc:title>
  <dc:subject>TCD</dc:subject>
  <dc:creator>Nieddu Emma</dc:creator>
  <cp:keywords>EESC-2022-03184-00-00-TCD-TRA-EN</cp:keywords>
  <dc:description>Rapporteur:  - Original language: EN - Date of document: 03/08/2022 - Date of meeting: 30/21/2022 14:30 - External documents:  - Administrator: Mme DAMYANOVA-KERESTELIEVA Ani Alexieva</dc:description>
  <cp:lastModifiedBy>Calenko Ludmila</cp:lastModifiedBy>
  <cp:revision>17</cp:revision>
  <cp:lastPrinted>2022-05-02T09:48:00Z</cp:lastPrinted>
  <dcterms:created xsi:type="dcterms:W3CDTF">2022-07-19T15:37:00Z</dcterms:created>
  <dcterms:modified xsi:type="dcterms:W3CDTF">2022-08-03T08:34:00Z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19/07/2022, 29/03/2022, 04/03/2022, 15/12/2021, 13/09/2021, 03/09/2021, 28/06/2021</vt:lpwstr>
  </property>
  <property fmtid="{D5CDD505-2E9C-101B-9397-08002B2CF9AE}" pid="4" name="Pref_Time">
    <vt:lpwstr>15:30:24, 14:21:50, 16:54:06, 17:56:36, 14:13:00, 10:08:10, 08:41:48</vt:lpwstr>
  </property>
  <property fmtid="{D5CDD505-2E9C-101B-9397-08002B2CF9AE}" pid="5" name="Pref_User">
    <vt:lpwstr>enied, jhvi, enied, hnic, amett, enied, enied</vt:lpwstr>
  </property>
  <property fmtid="{D5CDD505-2E9C-101B-9397-08002B2CF9AE}" pid="6" name="Pref_FileName">
    <vt:lpwstr>EESC-2022-03184-00-00-TCD-ORI.docx, EESC-2022-01223-00-00-TCD-ORI.docx, EESC-2022-00391-00-00-TCD-ORI.docx, EESC-2021-05445-00-00-TCD-ORI.docx, EESC-2021-03366-00-01-TCD-ORI.docx, EESC-2021-03366-00-00-TCD-ORI.docx, Synthese des avis Template.docx</vt:lpwstr>
  </property>
  <property fmtid="{D5CDD505-2E9C-101B-9397-08002B2CF9AE}" pid="7" name="ContentTypeId">
    <vt:lpwstr>0x010100EA97B91038054C99906057A708A1480A00626EADD26EE0CA468385E76F4CAC56BA</vt:lpwstr>
  </property>
  <property fmtid="{D5CDD505-2E9C-101B-9397-08002B2CF9AE}" pid="8" name="_dlc_DocIdItemGuid">
    <vt:lpwstr>cfe93aee-a18d-4b5d-8d0f-eddfa88e1ff5</vt:lpwstr>
  </property>
  <property fmtid="{D5CDD505-2E9C-101B-9397-08002B2CF9AE}" pid="9" name="AvailableTranslations">
    <vt:lpwstr>36;#HU|6b229040-c589-4408-b4c1-4285663d20a8;#54;#ET|ff6c3f4c-b02c-4c3c-ab07-2c37995a7a0a;#44;#LT|a7ff5ce7-6123-4f68-865a-a57c31810414;#55;#HR|2f555653-ed1a-4fe6-8362-9082d95989e5;#41;#CS|72f9705b-0217-4fd3-bea2-cbc7ed80e26e;#29;#SV|c2ed69e7-a339-43d7-8f22-d93680a92aa0;#34;#SK|46d9fce0-ef79-4f71-b89b-cd6aa82426b8;#38;#FI|87606a43-d45f-42d6-b8c9-e1a3457db5b7;#42;#SL|98a412ae-eb01-49e9-ae3d-585a81724cfc;#31;#ES|e7a6b05b-ae16-40c8-add9-68b64b03aeba;#22;#DE|f6b31e5a-26fa-4935-b661-318e46daf27e;#33;#IT|0774613c-01ed-4e5d-a25d-11d2388de825;#30;#PL|1e03da61-4678-4e07-b136-b5024ca9197b;#43;#NL|55c6556c-b4f4-441d-9acf-c498d4f838bd;#11;#FR|d2afafd3-4c81-4f60-8f52-ee33f2f54ff3;#45;#RO|feb747a2-64cd-4299-af12-4833ddc30497;#26;#LV|46f7e311-5d9f-4663-b433-18aeccb7ace7;#37;#PT|50ccc04a-eadd-42ae-a0cb-acaf45f812ba;#46;#EL|6d4f4d51-af9b-4650-94b4-4276bee85c91</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3184</vt:i4>
  </property>
  <property fmtid="{D5CDD505-2E9C-101B-9397-08002B2CF9AE}" pid="14" name="DocumentYear">
    <vt:i4>2022</vt:i4>
  </property>
  <property fmtid="{D5CDD505-2E9C-101B-9397-08002B2CF9AE}" pid="15" name="DocumentVersion">
    <vt:i4>0</vt:i4>
  </property>
  <property fmtid="{D5CDD505-2E9C-101B-9397-08002B2CF9AE}" pid="16" name="FicheNumber">
    <vt:i4>9012</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25;#TCD|cd9d6eb6-3f4f-424a-b2d1-57c9d450eaaf</vt:lpwstr>
  </property>
  <property fmtid="{D5CDD505-2E9C-101B-9397-08002B2CF9AE}" pid="23" name="RequestingService">
    <vt:lpwstr>Greffe</vt:lpwstr>
  </property>
  <property fmtid="{D5CDD505-2E9C-101B-9397-08002B2CF9AE}" pid="24" name="Confidentiality">
    <vt:lpwstr>9;#Unrestricted|826e22d7-d029-4ec0-a450-0c28ff673572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2022-09-21T12:00:00Z</vt:filetime>
  </property>
  <property fmtid="{D5CDD505-2E9C-101B-9397-08002B2CF9AE}" pid="30" name="AvailableTranslations_0">
    <vt:lpwstr>HU|6b229040-c589-4408-b4c1-4285663d20a8;HR|2f555653-ed1a-4fe6-8362-9082d95989e5;CS|72f9705b-0217-4fd3-bea2-cbc7ed80e26e;SV|c2ed69e7-a339-43d7-8f22-d93680a92aa0;SK|46d9fce0-ef79-4f71-b89b-cd6aa82426b8;FI|87606a43-d45f-42d6-b8c9-e1a3457db5b7;SL|98a412ae-eb01-49e9-ae3d-585a81724cfc;ES|e7a6b05b-ae16-40c8-add9-68b64b03aeba;DE|f6b31e5a-26fa-4935-b661-318e46daf27e;IT|0774613c-01ed-4e5d-a25d-11d2388de825;FR|d2afafd3-4c81-4f60-8f52-ee33f2f54ff3;RO|feb747a2-64cd-4299-af12-4833ddc30497;PT|50ccc04a-eadd-42ae-a0cb-acaf45f812ba;EL|6d4f4d51-af9b-4650-94b4-4276bee85c91</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34;#SK|46d9fce0-ef79-4f71-b89b-cd6aa82426b8;#33;#IT|0774613c-01ed-4e5d-a25d-11d2388de825;#31;#ES|e7a6b05b-ae16-40c8-add9-68b64b03aeba;#29;#SV|c2ed69e7-a339-43d7-8f22-d93680a92aa0;#45;#RO|feb747a2-64cd-4299-af12-4833ddc30497;#25;#TCD|cd9d6eb6-3f4f-424a-b2d1-57c9d450eaaf;#38;#FI|87606a43-d45f-42d6-b8c9-e1a3457db5b7;#22;#DE|f6b31e5a-26fa-4935-b661-318e46daf27e;#55;#HR|2f555653-ed1a-4fe6-8362-9082d95989e5;#51;#SPL-CES|32d8cb1f-c9ec-4365-95c7-8385a18618ac;#46;#EL|6d4f4d51-af9b-4650-94b4-4276bee85c91;#11;#FR|d2afafd3-4c81-4f60-8f52-ee33f2f54ff3;#9;#Unrestricted|826e22d7-d029-4ec0-a450-0c28ff673572;#41;#CS|72f9705b-0217-4fd3-bea2-cbc7ed80e26e;#7;#TRA|150d2a88-1431-44e6-a8ca-0bb753ab8672;#6;#Final|ea5e6674-7b27-4bac-b091-73adbb394efe;#42;#SL|98a412ae-eb01-49e9-ae3d-585a81724cfc;#4;#EN|f2175f21-25d7-44a3-96da-d6a61b075e1b;#1;#EESC|422833ec-8d7e-4e65-8e4e-8bed07ffb729;#37;#PT|50ccc04a-eadd-42ae-a0cb-acaf45f812b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26;#LV|46f7e311-5d9f-4663-b433-18aeccb7ace7</vt:lpwstr>
  </property>
</Properties>
</file>