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1EF3" w:rsidR="004D7AC0" w:rsidP="00116A1C" w:rsidRDefault="00462EFB" w14:paraId="785AE44C" w14:textId="73343A2B">
      <w:pPr>
        <w:jc w:val="center"/>
      </w:pPr>
      <w:r w:rsidRPr="00FF1EF3">
        <w:rPr>
          <w:noProof/>
          <w:lang w:val="en-US"/>
        </w:rPr>
        <w:drawing>
          <wp:inline distT="0" distB="0" distL="0" distR="0" wp14:anchorId="0E8E6E7A" wp14:editId="780BEAC9">
            <wp:extent cx="1792605" cy="1239520"/>
            <wp:effectExtent l="0" t="0" r="0" b="0"/>
            <wp:docPr id="2" name="Picture 2" title="EESCLogo_IT"/>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FF1EF3" w:rsidR="00721342">
        <w:rPr>
          <w:noProof/>
          <w:sz w:val="20"/>
          <w:lang w:val="en-US"/>
        </w:rPr>
        <mc:AlternateContent>
          <mc:Choice Requires="wps">
            <w:drawing>
              <wp:anchor distT="0" distB="0" distL="114300" distR="114300" simplePos="0" relativeHeight="251659264" behindDoc="1" locked="0" layoutInCell="0" allowOverlap="1" wp14:editId="35A88BEB"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D3253" w:rsidP="004D7AC0" w:rsidRDefault="003D3253" w14:paraId="2AA40ECF" w14:textId="77777777">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D3253" w:rsidP="004D7AC0" w:rsidRDefault="003D3253" w14:paraId="2AA40ECF" w14:textId="77777777">
                      <w:pPr>
                        <w:jc w:val="center"/>
                        <w:rPr>
                          <w:rFonts w:ascii="Arial" w:hAnsi="Arial" w:cs="Arial"/>
                          <w:b/>
                          <w:bCs/>
                          <w:sz w:val="48"/>
                        </w:rPr>
                      </w:pPr>
                      <w:r>
                        <w:rPr>
                          <w:rFonts w:ascii="Arial" w:hAnsi="Arial"/>
                          <w:b/>
                          <w:sz w:val="48"/>
                        </w:rPr>
                        <w:t>IT</w:t>
                      </w:r>
                    </w:p>
                  </w:txbxContent>
                </v:textbox>
                <w10:wrap anchorx="page" anchory="page"/>
              </v:shape>
            </w:pict>
          </mc:Fallback>
        </mc:AlternateContent>
      </w:r>
    </w:p>
    <w:p w:rsidRPr="00FF1EF3" w:rsidR="004D7AC0" w:rsidP="00116A1C" w:rsidRDefault="004D7AC0" w14:paraId="51F52D79" w14:textId="77777777"/>
    <w:p w:rsidRPr="00FF1EF3" w:rsidR="004D7AC0" w:rsidP="00116A1C" w:rsidRDefault="00014C93" w14:paraId="45DE4A28" w14:textId="0EE2E322">
      <w:pPr>
        <w:jc w:val="right"/>
      </w:pPr>
      <w:bookmarkStart w:name="_GoBack" w:id="0"/>
      <w:bookmarkEnd w:id="0"/>
      <w:r w:rsidRPr="00FF1EF3">
        <w:t>Bruxelles, 27 luglio 2022</w:t>
      </w:r>
    </w:p>
    <w:p w:rsidRPr="00FF1EF3" w:rsidR="004D7AC0" w:rsidRDefault="004D7AC0" w14:paraId="7BCFBA24" w14:textId="77777777"/>
    <w:p w:rsidRPr="00FF1EF3" w:rsidR="004D7AC0" w:rsidRDefault="004D7AC0" w14:paraId="6B250092" w14:textId="77777777"/>
    <w:p w:rsidRPr="00FF1EF3" w:rsidR="004D7AC0" w:rsidRDefault="004D7AC0" w14:paraId="0593C6DF" w14:textId="77777777"/>
    <w:tbl>
      <w:tblPr>
        <w:tblW w:w="9782" w:type="dxa"/>
        <w:tblInd w:w="-284" w:type="dxa"/>
        <w:tblLook w:val="04A0" w:firstRow="1" w:lastRow="0" w:firstColumn="1" w:lastColumn="0" w:noHBand="0" w:noVBand="1"/>
      </w:tblPr>
      <w:tblGrid>
        <w:gridCol w:w="9782"/>
      </w:tblGrid>
      <w:tr w:rsidRPr="00FF1EF3" w:rsidR="004D7AC0" w:rsidTr="003D3253" w14:paraId="6D7B3453" w14:textId="77777777">
        <w:tc>
          <w:tcPr>
            <w:tcW w:w="9782" w:type="dxa"/>
            <w:tcBorders>
              <w:bottom w:val="double" w:color="auto" w:sz="4" w:space="0"/>
            </w:tcBorders>
          </w:tcPr>
          <w:p w:rsidRPr="00FF1EF3" w:rsidR="004D7AC0" w:rsidRDefault="00DA2D88" w14:paraId="114106CC" w14:textId="4965EE13">
            <w:pPr>
              <w:snapToGrid w:val="0"/>
              <w:jc w:val="center"/>
              <w:rPr>
                <w:rFonts w:eastAsia="MS Mincho"/>
                <w:b/>
                <w:sz w:val="32"/>
                <w:szCs w:val="32"/>
              </w:rPr>
            </w:pPr>
            <w:r w:rsidRPr="00FF1EF3">
              <w:rPr>
                <w:b/>
                <w:sz w:val="32"/>
              </w:rPr>
              <w:t>571ª SESSIONE PLENARIA</w:t>
            </w:r>
            <w:r w:rsidRPr="00FF1EF3">
              <w:rPr>
                <w:b/>
                <w:sz w:val="32"/>
              </w:rPr>
              <w:br/>
            </w:r>
            <w:r w:rsidRPr="00FF1EF3">
              <w:rPr>
                <w:b/>
                <w:sz w:val="32"/>
              </w:rPr>
              <w:br/>
              <w:t>13 e 14 luglio 2022</w:t>
            </w:r>
            <w:r w:rsidRPr="00FF1EF3">
              <w:rPr>
                <w:b/>
                <w:sz w:val="32"/>
              </w:rPr>
              <w:br/>
            </w:r>
            <w:r w:rsidRPr="00FF1EF3">
              <w:rPr>
                <w:b/>
                <w:sz w:val="32"/>
              </w:rPr>
              <w:br/>
            </w:r>
            <w:r w:rsidRPr="00FF1EF3" w:rsidR="004439C8">
              <w:rPr>
                <w:b/>
                <w:sz w:val="32"/>
              </w:rPr>
              <w:t xml:space="preserve">SINTESI DEI PARERI E DELLE RISOLUZIONI ADOTTATI E DELLE RELAZIONI INFORMATIVE E DI VALUTAZIONE TRASMESSE ALLE ALTRE ISTITUZIONI </w:t>
            </w:r>
          </w:p>
          <w:p w:rsidRPr="00FF1EF3" w:rsidR="004D7AC0" w:rsidRDefault="004D7AC0" w14:paraId="06AE72EA" w14:textId="77777777">
            <w:pPr>
              <w:snapToGrid w:val="0"/>
            </w:pPr>
          </w:p>
        </w:tc>
      </w:tr>
      <w:tr w:rsidRPr="00FF1EF3" w:rsidR="004D7AC0" w:rsidTr="003D3253" w14:paraId="45EAB22F" w14:textId="77777777">
        <w:tc>
          <w:tcPr>
            <w:tcW w:w="9782" w:type="dxa"/>
            <w:tcBorders>
              <w:top w:val="double" w:color="auto" w:sz="4" w:space="0"/>
              <w:left w:val="double" w:color="auto" w:sz="4" w:space="0"/>
              <w:bottom w:val="double" w:color="auto" w:sz="4" w:space="0"/>
              <w:right w:val="double" w:color="auto" w:sz="4" w:space="0"/>
            </w:tcBorders>
          </w:tcPr>
          <w:p w:rsidRPr="00FF1EF3" w:rsidR="0054765A" w:rsidRDefault="0054765A" w14:paraId="0B7BD6FC" w14:textId="77777777">
            <w:pPr>
              <w:snapToGrid w:val="0"/>
              <w:jc w:val="center"/>
            </w:pPr>
          </w:p>
          <w:p w:rsidRPr="00FF1EF3" w:rsidR="004D7AC0" w:rsidRDefault="004D7AC0" w14:paraId="2A9352A2" w14:textId="3EB0460B">
            <w:pPr>
              <w:snapToGrid w:val="0"/>
              <w:jc w:val="center"/>
            </w:pPr>
            <w:r w:rsidRPr="00FF1EF3">
              <w:t>Il presente documento è accessibile nelle lingue ufficiali sul sito Internet del CESE al seguente indirizzo:</w:t>
            </w:r>
            <w:r w:rsidRPr="00FF1EF3">
              <w:br/>
            </w:r>
            <w:r w:rsidRPr="00FF1EF3">
              <w:br/>
            </w:r>
            <w:hyperlink w:history="1" r:id="rId12">
              <w:r w:rsidRPr="00FF1EF3">
                <w:rPr>
                  <w:rStyle w:val="Hyperlink"/>
                </w:rPr>
                <w:t>https://www.eesc.europa.eu/it/our-work/opinions-information-reports/plenary-session-summaries</w:t>
              </w:r>
            </w:hyperlink>
          </w:p>
          <w:p w:rsidRPr="00FF1EF3" w:rsidR="004D7AC0" w:rsidRDefault="004D7AC0" w14:paraId="70D5DBB4" w14:textId="77777777">
            <w:pPr>
              <w:snapToGrid w:val="0"/>
              <w:jc w:val="center"/>
            </w:pPr>
          </w:p>
          <w:p w:rsidRPr="00FF1EF3" w:rsidR="004D7AC0" w:rsidRDefault="004D7AC0" w14:paraId="575A73D6" w14:textId="77777777">
            <w:pPr>
              <w:snapToGrid w:val="0"/>
              <w:jc w:val="center"/>
              <w:rPr>
                <w:rFonts w:eastAsia="SimSun"/>
              </w:rPr>
            </w:pPr>
          </w:p>
          <w:p w:rsidRPr="00FF1EF3" w:rsidR="004D7AC0" w:rsidRDefault="004D7AC0" w14:paraId="441AC4DD" w14:textId="77777777">
            <w:pPr>
              <w:snapToGrid w:val="0"/>
              <w:jc w:val="center"/>
            </w:pPr>
            <w:r w:rsidRPr="00FF1EF3">
              <w:t>I pareri menzionati possono essere consultati online tramite il motore di ricerca del CESE:</w:t>
            </w:r>
            <w:r w:rsidRPr="00FF1EF3">
              <w:br/>
            </w:r>
            <w:r w:rsidRPr="00FF1EF3">
              <w:br/>
            </w:r>
            <w:hyperlink w:history="1" r:id="rId13">
              <w:r w:rsidRPr="00FF1EF3">
                <w:rPr>
                  <w:rStyle w:val="Hyperlink"/>
                </w:rPr>
                <w:t>https://dmsearch.eesc.europa.eu/search/opinion</w:t>
              </w:r>
            </w:hyperlink>
          </w:p>
          <w:p w:rsidRPr="00FF1EF3" w:rsidR="004D7AC0" w:rsidRDefault="004D7AC0" w14:paraId="51FF303F" w14:textId="77777777">
            <w:pPr>
              <w:snapToGrid w:val="0"/>
              <w:jc w:val="center"/>
            </w:pPr>
          </w:p>
        </w:tc>
      </w:tr>
    </w:tbl>
    <w:p w:rsidRPr="00FF1EF3" w:rsidR="004D7AC0" w:rsidRDefault="004D7AC0" w14:paraId="57C291FC" w14:textId="77777777"/>
    <w:p w:rsidRPr="00FF1EF3" w:rsidR="004D7AC0" w:rsidRDefault="004D7AC0" w14:paraId="5E675360" w14:textId="77777777"/>
    <w:p w:rsidRPr="00FF1EF3" w:rsidR="007B7C40" w:rsidRDefault="007B7C40" w14:paraId="3CF67A1E" w14:textId="77777777">
      <w:pPr>
        <w:sectPr w:rsidRPr="00FF1EF3" w:rsidR="007B7C40" w:rsidSect="00910972">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FF1EF3" w:rsidR="004D7AC0"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Pr="00FF1EF3" w:rsidR="001E6413" w:rsidRDefault="001E6413" w14:paraId="5FAD9FDD" w14:textId="77777777">
          <w:pPr>
            <w:pStyle w:val="TOCHeading"/>
          </w:pPr>
          <w:r w:rsidRPr="00FF1EF3">
            <w:t>Indice</w:t>
          </w:r>
        </w:p>
        <w:p w:rsidR="004D482F" w:rsidRDefault="001E6413" w14:paraId="74C1B0FC" w14:textId="3BBB0CD1">
          <w:pPr>
            <w:pStyle w:val="TOC1"/>
            <w:rPr>
              <w:rFonts w:asciiTheme="minorHAnsi" w:hAnsiTheme="minorHAnsi" w:eastAsiaTheme="minorEastAsia" w:cstheme="minorBidi"/>
              <w:noProof/>
              <w:lang w:val="en-US"/>
            </w:rPr>
          </w:pPr>
          <w:r w:rsidRPr="00FF1EF3">
            <w:fldChar w:fldCharType="begin"/>
          </w:r>
          <w:r w:rsidRPr="00FF1EF3">
            <w:instrText xml:space="preserve"> TOC \o "1-3" \h \z \u </w:instrText>
          </w:r>
          <w:r w:rsidRPr="00FF1EF3">
            <w:fldChar w:fldCharType="separate"/>
          </w:r>
          <w:hyperlink w:history="1" w:anchor="_Toc110414436">
            <w:r w:rsidRPr="001B3DBD" w:rsidR="004D482F">
              <w:rPr>
                <w:rStyle w:val="Hyperlink"/>
                <w:noProof/>
                <w14:scene3d>
                  <w14:camera w14:prst="orthographicFront"/>
                  <w14:lightRig w14:rig="threePt" w14:dir="t">
                    <w14:rot w14:lat="0" w14:lon="0" w14:rev="0"/>
                  </w14:lightRig>
                </w14:scene3d>
              </w:rPr>
              <w:t>1.</w:t>
            </w:r>
            <w:r w:rsidR="004D482F">
              <w:rPr>
                <w:rFonts w:asciiTheme="minorHAnsi" w:hAnsiTheme="minorHAnsi" w:eastAsiaTheme="minorEastAsia" w:cstheme="minorBidi"/>
                <w:noProof/>
                <w:lang w:val="en-US"/>
              </w:rPr>
              <w:tab/>
            </w:r>
            <w:r w:rsidRPr="001B3DBD" w:rsidR="004D482F">
              <w:rPr>
                <w:rStyle w:val="Hyperlink"/>
                <w:b/>
                <w:noProof/>
              </w:rPr>
              <w:t>RISOLUZIONE SUL CONTRIBUTO DEL COMITATO ECONOMICO E SOCIALE EUROPEO AL PROGRAMMA DI LAVORO DELLA COMMISSIONE EUROPEA PER IL 2023</w:t>
            </w:r>
            <w:r w:rsidR="004D482F">
              <w:rPr>
                <w:noProof/>
                <w:webHidden/>
              </w:rPr>
              <w:tab/>
            </w:r>
            <w:r w:rsidR="004D482F">
              <w:rPr>
                <w:noProof/>
                <w:webHidden/>
              </w:rPr>
              <w:fldChar w:fldCharType="begin"/>
            </w:r>
            <w:r w:rsidR="004D482F">
              <w:rPr>
                <w:noProof/>
                <w:webHidden/>
              </w:rPr>
              <w:instrText xml:space="preserve"> PAGEREF _Toc110414436 \h </w:instrText>
            </w:r>
            <w:r w:rsidR="004D482F">
              <w:rPr>
                <w:noProof/>
                <w:webHidden/>
              </w:rPr>
            </w:r>
            <w:r w:rsidR="004D482F">
              <w:rPr>
                <w:noProof/>
                <w:webHidden/>
              </w:rPr>
              <w:fldChar w:fldCharType="separate"/>
            </w:r>
            <w:r w:rsidR="004D482F">
              <w:rPr>
                <w:noProof/>
                <w:webHidden/>
              </w:rPr>
              <w:t>3</w:t>
            </w:r>
            <w:r w:rsidR="004D482F">
              <w:rPr>
                <w:noProof/>
                <w:webHidden/>
              </w:rPr>
              <w:fldChar w:fldCharType="end"/>
            </w:r>
          </w:hyperlink>
        </w:p>
        <w:p w:rsidR="004D482F" w:rsidRDefault="004D482F" w14:paraId="45AFB9F8" w14:textId="3B7D451B">
          <w:pPr>
            <w:pStyle w:val="TOC1"/>
            <w:rPr>
              <w:rFonts w:asciiTheme="minorHAnsi" w:hAnsiTheme="minorHAnsi" w:eastAsiaTheme="minorEastAsia" w:cstheme="minorBidi"/>
              <w:noProof/>
              <w:lang w:val="en-US"/>
            </w:rPr>
          </w:pPr>
          <w:hyperlink w:history="1" w:anchor="_Toc110414437">
            <w:r w:rsidRPr="001B3DBD">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1B3DBD">
              <w:rPr>
                <w:rStyle w:val="Hyperlink"/>
                <w:b/>
                <w:noProof/>
              </w:rPr>
              <w:t>UNIONE ECONOMICA E MONETARIA, COESIONE ECONOMICA E SOCIALE</w:t>
            </w:r>
            <w:r>
              <w:rPr>
                <w:noProof/>
                <w:webHidden/>
              </w:rPr>
              <w:tab/>
            </w:r>
            <w:r>
              <w:rPr>
                <w:noProof/>
                <w:webHidden/>
              </w:rPr>
              <w:fldChar w:fldCharType="begin"/>
            </w:r>
            <w:r>
              <w:rPr>
                <w:noProof/>
                <w:webHidden/>
              </w:rPr>
              <w:instrText xml:space="preserve"> PAGEREF _Toc110414437 \h </w:instrText>
            </w:r>
            <w:r>
              <w:rPr>
                <w:noProof/>
                <w:webHidden/>
              </w:rPr>
            </w:r>
            <w:r>
              <w:rPr>
                <w:noProof/>
                <w:webHidden/>
              </w:rPr>
              <w:fldChar w:fldCharType="separate"/>
            </w:r>
            <w:r>
              <w:rPr>
                <w:noProof/>
                <w:webHidden/>
              </w:rPr>
              <w:t>5</w:t>
            </w:r>
            <w:r>
              <w:rPr>
                <w:noProof/>
                <w:webHidden/>
              </w:rPr>
              <w:fldChar w:fldCharType="end"/>
            </w:r>
          </w:hyperlink>
        </w:p>
        <w:p w:rsidR="004D482F" w:rsidRDefault="004D482F" w14:paraId="017E33D7" w14:textId="1AECDA03">
          <w:pPr>
            <w:pStyle w:val="TOC1"/>
            <w:rPr>
              <w:rFonts w:asciiTheme="minorHAnsi" w:hAnsiTheme="minorHAnsi" w:eastAsiaTheme="minorEastAsia" w:cstheme="minorBidi"/>
              <w:noProof/>
              <w:lang w:val="en-US"/>
            </w:rPr>
          </w:pPr>
          <w:hyperlink w:history="1" w:anchor="_Toc110414438">
            <w:r w:rsidRPr="001B3DBD">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1B3DBD">
              <w:rPr>
                <w:rStyle w:val="Hyperlink"/>
                <w:b/>
                <w:noProof/>
              </w:rPr>
              <w:t>OCCUPAZIONE, AFFARI SOCIALI E CITTADINANZA</w:t>
            </w:r>
            <w:r>
              <w:rPr>
                <w:noProof/>
                <w:webHidden/>
              </w:rPr>
              <w:tab/>
            </w:r>
            <w:r>
              <w:rPr>
                <w:noProof/>
                <w:webHidden/>
              </w:rPr>
              <w:fldChar w:fldCharType="begin"/>
            </w:r>
            <w:r>
              <w:rPr>
                <w:noProof/>
                <w:webHidden/>
              </w:rPr>
              <w:instrText xml:space="preserve"> PAGEREF _Toc110414438 \h </w:instrText>
            </w:r>
            <w:r>
              <w:rPr>
                <w:noProof/>
                <w:webHidden/>
              </w:rPr>
            </w:r>
            <w:r>
              <w:rPr>
                <w:noProof/>
                <w:webHidden/>
              </w:rPr>
              <w:fldChar w:fldCharType="separate"/>
            </w:r>
            <w:r>
              <w:rPr>
                <w:noProof/>
                <w:webHidden/>
              </w:rPr>
              <w:t>8</w:t>
            </w:r>
            <w:r>
              <w:rPr>
                <w:noProof/>
                <w:webHidden/>
              </w:rPr>
              <w:fldChar w:fldCharType="end"/>
            </w:r>
          </w:hyperlink>
        </w:p>
        <w:p w:rsidR="004D482F" w:rsidRDefault="004D482F" w14:paraId="6197834A" w14:textId="08E3EAF2">
          <w:pPr>
            <w:pStyle w:val="TOC1"/>
            <w:rPr>
              <w:rFonts w:asciiTheme="minorHAnsi" w:hAnsiTheme="minorHAnsi" w:eastAsiaTheme="minorEastAsia" w:cstheme="minorBidi"/>
              <w:noProof/>
              <w:lang w:val="en-US"/>
            </w:rPr>
          </w:pPr>
          <w:hyperlink w:history="1" w:anchor="_Toc110414439">
            <w:r w:rsidRPr="001B3DBD">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1B3DBD">
              <w:rPr>
                <w:rStyle w:val="Hyperlink"/>
                <w:b/>
                <w:noProof/>
              </w:rPr>
              <w:t>TRASPORTI, ENERGIA, INFRASTRUTTURE E SOCIETÀ DELL'INFORMAZIONE</w:t>
            </w:r>
            <w:r>
              <w:rPr>
                <w:noProof/>
                <w:webHidden/>
              </w:rPr>
              <w:tab/>
            </w:r>
            <w:r>
              <w:rPr>
                <w:noProof/>
                <w:webHidden/>
              </w:rPr>
              <w:fldChar w:fldCharType="begin"/>
            </w:r>
            <w:r>
              <w:rPr>
                <w:noProof/>
                <w:webHidden/>
              </w:rPr>
              <w:instrText xml:space="preserve"> PAGEREF _Toc110414439 \h </w:instrText>
            </w:r>
            <w:r>
              <w:rPr>
                <w:noProof/>
                <w:webHidden/>
              </w:rPr>
            </w:r>
            <w:r>
              <w:rPr>
                <w:noProof/>
                <w:webHidden/>
              </w:rPr>
              <w:fldChar w:fldCharType="separate"/>
            </w:r>
            <w:r>
              <w:rPr>
                <w:noProof/>
                <w:webHidden/>
              </w:rPr>
              <w:t>12</w:t>
            </w:r>
            <w:r>
              <w:rPr>
                <w:noProof/>
                <w:webHidden/>
              </w:rPr>
              <w:fldChar w:fldCharType="end"/>
            </w:r>
          </w:hyperlink>
        </w:p>
        <w:p w:rsidR="004D482F" w:rsidRDefault="004D482F" w14:paraId="0C9492F7" w14:textId="17F34418">
          <w:pPr>
            <w:pStyle w:val="TOC1"/>
            <w:rPr>
              <w:rFonts w:asciiTheme="minorHAnsi" w:hAnsiTheme="minorHAnsi" w:eastAsiaTheme="minorEastAsia" w:cstheme="minorBidi"/>
              <w:noProof/>
              <w:lang w:val="en-US"/>
            </w:rPr>
          </w:pPr>
          <w:hyperlink w:history="1" w:anchor="_Toc110414440">
            <w:r w:rsidRPr="001B3DBD">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1B3DBD">
              <w:rPr>
                <w:rStyle w:val="Hyperlink"/>
                <w:b/>
                <w:noProof/>
              </w:rPr>
              <w:t>MERCATO UNICO, PRODUZIONE E CONSUMO</w:t>
            </w:r>
            <w:r>
              <w:rPr>
                <w:noProof/>
                <w:webHidden/>
              </w:rPr>
              <w:tab/>
            </w:r>
            <w:r>
              <w:rPr>
                <w:noProof/>
                <w:webHidden/>
              </w:rPr>
              <w:fldChar w:fldCharType="begin"/>
            </w:r>
            <w:r>
              <w:rPr>
                <w:noProof/>
                <w:webHidden/>
              </w:rPr>
              <w:instrText xml:space="preserve"> PAGEREF _Toc110414440 \h </w:instrText>
            </w:r>
            <w:r>
              <w:rPr>
                <w:noProof/>
                <w:webHidden/>
              </w:rPr>
            </w:r>
            <w:r>
              <w:rPr>
                <w:noProof/>
                <w:webHidden/>
              </w:rPr>
              <w:fldChar w:fldCharType="separate"/>
            </w:r>
            <w:r>
              <w:rPr>
                <w:noProof/>
                <w:webHidden/>
              </w:rPr>
              <w:t>16</w:t>
            </w:r>
            <w:r>
              <w:rPr>
                <w:noProof/>
                <w:webHidden/>
              </w:rPr>
              <w:fldChar w:fldCharType="end"/>
            </w:r>
          </w:hyperlink>
        </w:p>
        <w:p w:rsidR="004D482F" w:rsidRDefault="004D482F" w14:paraId="3AD6CDF2" w14:textId="004B1B05">
          <w:pPr>
            <w:pStyle w:val="TOC1"/>
            <w:rPr>
              <w:rFonts w:asciiTheme="minorHAnsi" w:hAnsiTheme="minorHAnsi" w:eastAsiaTheme="minorEastAsia" w:cstheme="minorBidi"/>
              <w:noProof/>
              <w:lang w:val="en-US"/>
            </w:rPr>
          </w:pPr>
          <w:hyperlink w:history="1" w:anchor="_Toc110414441">
            <w:r w:rsidRPr="001B3DBD">
              <w:rPr>
                <w:rStyle w:val="Hyperlink"/>
                <w:noProof/>
                <w14:scene3d>
                  <w14:camera w14:prst="orthographicFront"/>
                  <w14:lightRig w14:rig="threePt" w14:dir="t">
                    <w14:rot w14:lat="0" w14:lon="0" w14:rev="0"/>
                  </w14:lightRig>
                </w14:scene3d>
              </w:rPr>
              <w:t>6.</w:t>
            </w:r>
            <w:r>
              <w:rPr>
                <w:rFonts w:asciiTheme="minorHAnsi" w:hAnsiTheme="minorHAnsi" w:eastAsiaTheme="minorEastAsia" w:cstheme="minorBidi"/>
                <w:noProof/>
                <w:lang w:val="en-US"/>
              </w:rPr>
              <w:tab/>
            </w:r>
            <w:r w:rsidRPr="001B3DBD">
              <w:rPr>
                <w:rStyle w:val="Hyperlink"/>
                <w:b/>
                <w:noProof/>
              </w:rPr>
              <w:t>AGRICOLTURA, SVILUPPO RURALE, AMBIENTE</w:t>
            </w:r>
            <w:r>
              <w:rPr>
                <w:noProof/>
                <w:webHidden/>
              </w:rPr>
              <w:tab/>
            </w:r>
            <w:r>
              <w:rPr>
                <w:noProof/>
                <w:webHidden/>
              </w:rPr>
              <w:fldChar w:fldCharType="begin"/>
            </w:r>
            <w:r>
              <w:rPr>
                <w:noProof/>
                <w:webHidden/>
              </w:rPr>
              <w:instrText xml:space="preserve"> PAGEREF _Toc110414441 \h </w:instrText>
            </w:r>
            <w:r>
              <w:rPr>
                <w:noProof/>
                <w:webHidden/>
              </w:rPr>
            </w:r>
            <w:r>
              <w:rPr>
                <w:noProof/>
                <w:webHidden/>
              </w:rPr>
              <w:fldChar w:fldCharType="separate"/>
            </w:r>
            <w:r>
              <w:rPr>
                <w:noProof/>
                <w:webHidden/>
              </w:rPr>
              <w:t>20</w:t>
            </w:r>
            <w:r>
              <w:rPr>
                <w:noProof/>
                <w:webHidden/>
              </w:rPr>
              <w:fldChar w:fldCharType="end"/>
            </w:r>
          </w:hyperlink>
        </w:p>
        <w:p w:rsidR="004D482F" w:rsidRDefault="004D482F" w14:paraId="5DA789F0" w14:textId="3F30BD39">
          <w:pPr>
            <w:pStyle w:val="TOC1"/>
            <w:rPr>
              <w:rFonts w:asciiTheme="minorHAnsi" w:hAnsiTheme="minorHAnsi" w:eastAsiaTheme="minorEastAsia" w:cstheme="minorBidi"/>
              <w:noProof/>
              <w:lang w:val="en-US"/>
            </w:rPr>
          </w:pPr>
          <w:hyperlink w:history="1" w:anchor="_Toc110414442">
            <w:r w:rsidRPr="001B3DBD">
              <w:rPr>
                <w:rStyle w:val="Hyperlink"/>
                <w:noProof/>
                <w14:scene3d>
                  <w14:camera w14:prst="orthographicFront"/>
                  <w14:lightRig w14:rig="threePt" w14:dir="t">
                    <w14:rot w14:lat="0" w14:lon="0" w14:rev="0"/>
                  </w14:lightRig>
                </w14:scene3d>
              </w:rPr>
              <w:t>7.</w:t>
            </w:r>
            <w:r>
              <w:rPr>
                <w:rFonts w:asciiTheme="minorHAnsi" w:hAnsiTheme="minorHAnsi" w:eastAsiaTheme="minorEastAsia" w:cstheme="minorBidi"/>
                <w:noProof/>
                <w:lang w:val="en-US"/>
              </w:rPr>
              <w:tab/>
            </w:r>
            <w:r w:rsidRPr="001B3DBD">
              <w:rPr>
                <w:rStyle w:val="Hyperlink"/>
                <w:b/>
                <w:noProof/>
              </w:rPr>
              <w:t>RELAZIONI ESTERNE</w:t>
            </w:r>
            <w:r>
              <w:rPr>
                <w:noProof/>
                <w:webHidden/>
              </w:rPr>
              <w:tab/>
            </w:r>
            <w:r>
              <w:rPr>
                <w:noProof/>
                <w:webHidden/>
              </w:rPr>
              <w:fldChar w:fldCharType="begin"/>
            </w:r>
            <w:r>
              <w:rPr>
                <w:noProof/>
                <w:webHidden/>
              </w:rPr>
              <w:instrText xml:space="preserve"> PAGEREF _Toc110414442 \h </w:instrText>
            </w:r>
            <w:r>
              <w:rPr>
                <w:noProof/>
                <w:webHidden/>
              </w:rPr>
            </w:r>
            <w:r>
              <w:rPr>
                <w:noProof/>
                <w:webHidden/>
              </w:rPr>
              <w:fldChar w:fldCharType="separate"/>
            </w:r>
            <w:r>
              <w:rPr>
                <w:noProof/>
                <w:webHidden/>
              </w:rPr>
              <w:t>23</w:t>
            </w:r>
            <w:r>
              <w:rPr>
                <w:noProof/>
                <w:webHidden/>
              </w:rPr>
              <w:fldChar w:fldCharType="end"/>
            </w:r>
          </w:hyperlink>
        </w:p>
        <w:p w:rsidR="004D482F" w:rsidRDefault="004D482F" w14:paraId="7F63B1E5" w14:textId="3BDCD667">
          <w:pPr>
            <w:pStyle w:val="TOC1"/>
            <w:rPr>
              <w:rFonts w:asciiTheme="minorHAnsi" w:hAnsiTheme="minorHAnsi" w:eastAsiaTheme="minorEastAsia" w:cstheme="minorBidi"/>
              <w:noProof/>
              <w:lang w:val="en-US"/>
            </w:rPr>
          </w:pPr>
          <w:hyperlink w:history="1" w:anchor="_Toc110414443">
            <w:r w:rsidRPr="001B3DBD">
              <w:rPr>
                <w:rStyle w:val="Hyperlink"/>
                <w:noProof/>
                <w14:scene3d>
                  <w14:camera w14:prst="orthographicFront"/>
                  <w14:lightRig w14:rig="threePt" w14:dir="t">
                    <w14:rot w14:lat="0" w14:lon="0" w14:rev="0"/>
                  </w14:lightRig>
                </w14:scene3d>
              </w:rPr>
              <w:t>8.</w:t>
            </w:r>
            <w:r>
              <w:rPr>
                <w:rFonts w:asciiTheme="minorHAnsi" w:hAnsiTheme="minorHAnsi" w:eastAsiaTheme="minorEastAsia" w:cstheme="minorBidi"/>
                <w:noProof/>
                <w:lang w:val="en-US"/>
              </w:rPr>
              <w:tab/>
            </w:r>
            <w:r w:rsidRPr="001B3DBD">
              <w:rPr>
                <w:rStyle w:val="Hyperlink"/>
                <w:b/>
                <w:noProof/>
              </w:rPr>
              <w:t>COMMISSIONE CONSULTIVA PER LE TRASFORMAZIONI INDUSTRIALI</w:t>
            </w:r>
            <w:r>
              <w:rPr>
                <w:noProof/>
                <w:webHidden/>
              </w:rPr>
              <w:tab/>
            </w:r>
            <w:r>
              <w:rPr>
                <w:noProof/>
                <w:webHidden/>
              </w:rPr>
              <w:fldChar w:fldCharType="begin"/>
            </w:r>
            <w:r>
              <w:rPr>
                <w:noProof/>
                <w:webHidden/>
              </w:rPr>
              <w:instrText xml:space="preserve"> PAGEREF _Toc110414443 \h </w:instrText>
            </w:r>
            <w:r>
              <w:rPr>
                <w:noProof/>
                <w:webHidden/>
              </w:rPr>
            </w:r>
            <w:r>
              <w:rPr>
                <w:noProof/>
                <w:webHidden/>
              </w:rPr>
              <w:fldChar w:fldCharType="separate"/>
            </w:r>
            <w:r>
              <w:rPr>
                <w:noProof/>
                <w:webHidden/>
              </w:rPr>
              <w:t>26</w:t>
            </w:r>
            <w:r>
              <w:rPr>
                <w:noProof/>
                <w:webHidden/>
              </w:rPr>
              <w:fldChar w:fldCharType="end"/>
            </w:r>
          </w:hyperlink>
        </w:p>
        <w:p w:rsidRPr="00FF1EF3" w:rsidR="001E6413" w:rsidRDefault="001E6413" w14:paraId="684BFB9B" w14:textId="41A8689A">
          <w:r w:rsidRPr="00FF1EF3">
            <w:rPr>
              <w:b/>
            </w:rPr>
            <w:fldChar w:fldCharType="end"/>
          </w:r>
        </w:p>
      </w:sdtContent>
    </w:sdt>
    <w:p w:rsidRPr="00FF1EF3" w:rsidR="004D7AC0" w:rsidRDefault="004D7AC0" w14:paraId="4600634B" w14:textId="77777777"/>
    <w:p w:rsidRPr="00FF1EF3" w:rsidR="00D13F40" w:rsidP="00910972" w:rsidRDefault="004D7AC0" w14:paraId="17EE0300" w14:textId="1CE4BAAA">
      <w:pPr>
        <w:pStyle w:val="Heading1"/>
        <w:ind w:left="567" w:hanging="567"/>
        <w:rPr>
          <w:b/>
          <w:bCs/>
          <w:iCs/>
        </w:rPr>
      </w:pPr>
      <w:r w:rsidRPr="00FF1EF3">
        <w:br w:type="page"/>
      </w:r>
      <w:bookmarkStart w:name="_Toc110414436" w:id="1"/>
      <w:r w:rsidRPr="00FF1EF3">
        <w:rPr>
          <w:b/>
        </w:rPr>
        <w:t xml:space="preserve">RISOLUZIONE SUL CONTRIBUTO DEL COMITATO ECONOMICO </w:t>
      </w:r>
      <w:r w:rsidRPr="00FF1EF3" w:rsidR="00FF1EF3">
        <w:rPr>
          <w:b/>
        </w:rPr>
        <w:t>E</w:t>
      </w:r>
      <w:r w:rsidRPr="00FF1EF3">
        <w:rPr>
          <w:b/>
        </w:rPr>
        <w:t xml:space="preserve"> SOCIALE EUROPEO AL PROGRAMMA DI LAVORO DELLA COMMISSIONE EUROPEA PER IL 2023</w:t>
      </w:r>
      <w:bookmarkEnd w:id="1"/>
    </w:p>
    <w:p w:rsidRPr="00FF1EF3" w:rsidR="00D13F40" w:rsidP="00D13F40" w:rsidRDefault="00D13F40" w14:paraId="20F5C6CE" w14:textId="77777777">
      <w:pPr>
        <w:rPr>
          <w:b/>
        </w:rPr>
      </w:pPr>
    </w:p>
    <w:p w:rsidRPr="00FF1EF3" w:rsidR="00D13F40" w:rsidP="002C1BC2" w:rsidRDefault="0059551E" w14:paraId="0FD8A255" w14:textId="0FCD5100">
      <w:pPr>
        <w:keepNext/>
        <w:keepLines/>
        <w:numPr>
          <w:ilvl w:val="0"/>
          <w:numId w:val="5"/>
        </w:numPr>
        <w:overflowPunct w:val="0"/>
        <w:autoSpaceDE w:val="0"/>
        <w:autoSpaceDN w:val="0"/>
        <w:adjustRightInd w:val="0"/>
        <w:ind w:left="567" w:hanging="567"/>
        <w:textAlignment w:val="baseline"/>
        <w:rPr>
          <w:b/>
          <w:i/>
          <w:sz w:val="28"/>
          <w:szCs w:val="28"/>
        </w:rPr>
      </w:pPr>
      <w:r w:rsidRPr="00FF1EF3">
        <w:rPr>
          <w:b/>
          <w:i/>
          <w:sz w:val="28"/>
        </w:rPr>
        <w:t>Contributo al programma di lavoro della Commissione europea per il 2023</w:t>
      </w:r>
    </w:p>
    <w:p w:rsidRPr="00FF1EF3" w:rsidR="00D13F40" w:rsidP="00D13F40" w:rsidRDefault="00D13F40" w14:paraId="04D85406" w14:textId="77777777">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FF1EF3" w:rsidR="00D13F40" w:rsidTr="00D13F40" w14:paraId="1EF331B0" w14:textId="77777777">
        <w:tc>
          <w:tcPr>
            <w:tcW w:w="1701" w:type="dxa"/>
          </w:tcPr>
          <w:p w:rsidRPr="00FF1EF3" w:rsidR="00D13F40" w:rsidP="00D13F40" w:rsidRDefault="00D13F40" w14:paraId="7A1C260B" w14:textId="77777777">
            <w:pPr>
              <w:contextualSpacing/>
              <w:rPr>
                <w:b/>
              </w:rPr>
            </w:pPr>
            <w:r w:rsidRPr="00FF1EF3">
              <w:rPr>
                <w:b/>
              </w:rPr>
              <w:t>Relatori</w:t>
            </w:r>
          </w:p>
        </w:tc>
        <w:tc>
          <w:tcPr>
            <w:tcW w:w="6096" w:type="dxa"/>
          </w:tcPr>
          <w:p w:rsidRPr="00FF1EF3" w:rsidR="00D13F40" w:rsidP="00D13F40" w:rsidRDefault="00D13F40" w14:paraId="24EC7938" w14:textId="77777777">
            <w:pPr>
              <w:ind w:left="-108"/>
              <w:contextualSpacing/>
            </w:pPr>
            <w:r w:rsidRPr="00FF1EF3">
              <w:t>Mariya MINCHEVA (Datori di lavoro - BG)</w:t>
            </w:r>
          </w:p>
        </w:tc>
      </w:tr>
      <w:tr w:rsidRPr="00FF1EF3" w:rsidR="00D13F40" w:rsidTr="00D13F40" w14:paraId="12B0AF8A" w14:textId="77777777">
        <w:tc>
          <w:tcPr>
            <w:tcW w:w="1701" w:type="dxa"/>
          </w:tcPr>
          <w:p w:rsidRPr="00FF1EF3" w:rsidR="00D13F40" w:rsidP="00D13F40" w:rsidRDefault="00D13F40" w14:paraId="72C5E654" w14:textId="77777777">
            <w:pPr>
              <w:contextualSpacing/>
              <w:rPr>
                <w:b/>
              </w:rPr>
            </w:pPr>
          </w:p>
        </w:tc>
        <w:tc>
          <w:tcPr>
            <w:tcW w:w="6096" w:type="dxa"/>
          </w:tcPr>
          <w:p w:rsidRPr="00FF1EF3" w:rsidR="00D13F40" w:rsidP="00D13F40" w:rsidRDefault="00D13F40" w14:paraId="2D2229F7" w14:textId="77777777">
            <w:pPr>
              <w:ind w:left="-108"/>
              <w:contextualSpacing/>
            </w:pPr>
            <w:r w:rsidRPr="00FF1EF3">
              <w:t>Stefano PALMIERI (Lavoratori - IT)</w:t>
            </w:r>
          </w:p>
        </w:tc>
      </w:tr>
      <w:tr w:rsidRPr="00FF1EF3" w:rsidR="00D13F40" w:rsidTr="00D13F40" w14:paraId="3C4184F3" w14:textId="77777777">
        <w:tc>
          <w:tcPr>
            <w:tcW w:w="1701" w:type="dxa"/>
          </w:tcPr>
          <w:p w:rsidRPr="00FF1EF3" w:rsidR="00D13F40" w:rsidP="00D13F40" w:rsidRDefault="00D13F40" w14:paraId="1F4B0D90" w14:textId="77777777">
            <w:pPr>
              <w:contextualSpacing/>
              <w:rPr>
                <w:b/>
              </w:rPr>
            </w:pPr>
          </w:p>
        </w:tc>
        <w:tc>
          <w:tcPr>
            <w:tcW w:w="6096" w:type="dxa"/>
          </w:tcPr>
          <w:p w:rsidRPr="00FF1EF3" w:rsidR="00D13F40" w:rsidP="00D13F40" w:rsidRDefault="00D13F40" w14:paraId="1D540B48" w14:textId="77777777">
            <w:pPr>
              <w:ind w:left="-108"/>
              <w:contextualSpacing/>
            </w:pPr>
            <w:r w:rsidRPr="00FF1EF3">
              <w:t>Kinga JOÓ (Organizzazioni della società civile - HU)</w:t>
            </w:r>
          </w:p>
        </w:tc>
      </w:tr>
      <w:tr w:rsidRPr="00FF1EF3" w:rsidR="00D13F40" w:rsidTr="00D13F40" w14:paraId="75A8EBEE" w14:textId="77777777">
        <w:tc>
          <w:tcPr>
            <w:tcW w:w="7797" w:type="dxa"/>
            <w:gridSpan w:val="2"/>
          </w:tcPr>
          <w:p w:rsidRPr="00FF1EF3" w:rsidR="00D13F40" w:rsidP="00D13F40" w:rsidRDefault="00D13F40" w14:paraId="3896362B" w14:textId="77777777">
            <w:pPr>
              <w:contextualSpacing/>
              <w:rPr>
                <w:lang w:val="fr-BE"/>
              </w:rPr>
            </w:pPr>
          </w:p>
        </w:tc>
      </w:tr>
      <w:tr w:rsidRPr="00FF1EF3" w:rsidR="00D13F40" w:rsidTr="00D13F40" w14:paraId="67EE6EF8" w14:textId="77777777">
        <w:tc>
          <w:tcPr>
            <w:tcW w:w="1701" w:type="dxa"/>
          </w:tcPr>
          <w:p w:rsidRPr="00FF1EF3" w:rsidR="00D13F40" w:rsidP="00D13F40" w:rsidRDefault="00D13F40" w14:paraId="6C700145" w14:textId="77777777">
            <w:pPr>
              <w:contextualSpacing/>
              <w:rPr>
                <w:b/>
              </w:rPr>
            </w:pPr>
            <w:r w:rsidRPr="00FF1EF3">
              <w:rPr>
                <w:b/>
              </w:rPr>
              <w:t xml:space="preserve">Riferimento </w:t>
            </w:r>
          </w:p>
        </w:tc>
        <w:tc>
          <w:tcPr>
            <w:tcW w:w="6096" w:type="dxa"/>
          </w:tcPr>
          <w:p w:rsidRPr="00FF1EF3" w:rsidR="00D13F40" w:rsidP="00910972" w:rsidRDefault="00F6297B" w14:paraId="79F9318A" w14:textId="403B185E">
            <w:pPr>
              <w:tabs>
                <w:tab w:val="center" w:pos="284"/>
              </w:tabs>
              <w:ind w:left="266" w:hanging="374"/>
            </w:pPr>
            <w:r w:rsidRPr="00FF1EF3">
              <w:t>EESC-2022-02408-00-00-RES-TRA</w:t>
            </w:r>
          </w:p>
        </w:tc>
      </w:tr>
    </w:tbl>
    <w:p w:rsidRPr="00FF1EF3" w:rsidR="00D13F40" w:rsidP="00D13F40" w:rsidRDefault="00D13F40" w14:paraId="41241967" w14:textId="77777777">
      <w:pPr>
        <w:contextualSpacing/>
        <w:rPr>
          <w:b/>
        </w:rPr>
      </w:pPr>
    </w:p>
    <w:p w:rsidRPr="00FF1EF3" w:rsidR="00D13F40" w:rsidP="00D13F40" w:rsidRDefault="00D13F40" w14:paraId="20EF612E" w14:textId="2C581C0B">
      <w:pPr>
        <w:pStyle w:val="ListParagraph"/>
        <w:spacing w:line="240" w:lineRule="auto"/>
        <w:ind w:left="-142" w:firstLine="142"/>
        <w:rPr>
          <w:b/>
        </w:rPr>
      </w:pPr>
      <w:r w:rsidRPr="00FF1EF3">
        <w:rPr>
          <w:b/>
        </w:rPr>
        <w:t>Punti principali</w:t>
      </w:r>
    </w:p>
    <w:p w:rsidRPr="00FF1EF3" w:rsidR="00D13F40" w:rsidP="00D13F40" w:rsidRDefault="00D13F40" w14:paraId="1A6FF69B" w14:textId="77777777">
      <w:pPr>
        <w:contextualSpacing/>
        <w:rPr>
          <w:lang w:val="fr-FR"/>
        </w:rPr>
      </w:pPr>
    </w:p>
    <w:p w:rsidRPr="00FF1EF3" w:rsidR="00D13F40" w:rsidP="00D13F40" w:rsidRDefault="00D13F40" w14:paraId="54546A6E" w14:textId="77777777">
      <w:pPr>
        <w:numPr>
          <w:ilvl w:val="0"/>
          <w:numId w:val="3"/>
        </w:numPr>
        <w:overflowPunct w:val="0"/>
        <w:autoSpaceDE w:val="0"/>
        <w:autoSpaceDN w:val="0"/>
        <w:adjustRightInd w:val="0"/>
        <w:ind w:left="357" w:hanging="357"/>
        <w:textAlignment w:val="baseline"/>
        <w:rPr>
          <w:bCs/>
          <w:iCs/>
        </w:rPr>
      </w:pPr>
      <w:r w:rsidRPr="00FF1EF3">
        <w:t>Il CESE raccomanda vivamente che le attività di previsione strategica pongano molto più fortemente l'accento sugli sviluppi a livello geopolitico. Gli shock che si sono succeduti mostrano l'importanza di creare un'economia europea più resiliente e di attenuare gli effetti secondari delle diverse crisi (inflazione, aumento dei prezzi dell'energia e delle materie prime e carenze di approvvigionamento, perturbazioni delle catene di approvvigionamento). Al fine di stimolare la ripresa dalle crisi, la Commissione e gli Stati membri dovrebbero individuare e promuovere politiche e iniziative che determinino contemporaneamente vantaggi economici, sociali e ambientali, vale a dire atte a rafforzare il contesto imprenditoriale, migliorare le condizioni di vita e di lavoro e facilitare la transizione verso un'economia circolare e climaticamente neutra.</w:t>
      </w:r>
    </w:p>
    <w:p w:rsidRPr="00FF1EF3" w:rsidR="00D13F40" w:rsidP="00D13F40" w:rsidRDefault="00D13F40" w14:paraId="4583DACC" w14:textId="77777777">
      <w:pPr>
        <w:numPr>
          <w:ilvl w:val="0"/>
          <w:numId w:val="3"/>
        </w:numPr>
        <w:overflowPunct w:val="0"/>
        <w:autoSpaceDE w:val="0"/>
        <w:autoSpaceDN w:val="0"/>
        <w:adjustRightInd w:val="0"/>
        <w:ind w:left="357" w:hanging="357"/>
        <w:textAlignment w:val="baseline"/>
        <w:rPr>
          <w:bCs/>
          <w:iCs/>
        </w:rPr>
      </w:pPr>
      <w:r w:rsidRPr="00FF1EF3">
        <w:t>La ripresa e la resilienza dell'UE in relazione alle crisi dipendono intrinsecamente dalla crescita sostenibile, dalla convergenza sociale e dallo sviluppo positivo dell'occupazione e delle condizioni di impiego, in linea con il Green Deal europeo, il pilastro europeo dei diritti sociali e il relativo piano d'azione, nonché conformemente agli obiettivi di sviluppo sostenibile (OSS). A tal fine, il CESE chiede un quadro di governance economica riveduto e riequilibrato, nonché orientato alla prosperità. L'approfondimento dell'Unione economica e monetaria va di pari passo con il rafforzamento della governance economica, compresi il completamento dell'unione bancaria e dei mercati dei capitali e il potenziamento del ruolo del semestre europeo nell'incrementare crescita, coesione, inclusività, competitività e convergenza.</w:t>
      </w:r>
    </w:p>
    <w:p w:rsidRPr="00FF1EF3" w:rsidR="00D13F40" w:rsidP="00D13F40" w:rsidRDefault="00D13F40" w14:paraId="6E6D9FF8" w14:textId="77777777">
      <w:pPr>
        <w:numPr>
          <w:ilvl w:val="0"/>
          <w:numId w:val="3"/>
        </w:numPr>
        <w:overflowPunct w:val="0"/>
        <w:autoSpaceDE w:val="0"/>
        <w:autoSpaceDN w:val="0"/>
        <w:adjustRightInd w:val="0"/>
        <w:ind w:left="357" w:hanging="357"/>
        <w:textAlignment w:val="baseline"/>
      </w:pPr>
      <w:r w:rsidRPr="00FF1EF3">
        <w:t>Le società europee erano state già colpite gravemente dalla pandemia e l'attuale crisi ucraina costituisce un altro enorme shock, maggiormente avvertito dalle fasce più vulnerabili delle nostre società. La solidarietà e la convergenza sociale devono inoltre costituire le linee guida delle prossime politiche dell'UE: la risposta alla guerra in Ucraina esigerà sacrifici da parte di tutti, e dobbiamo fare in modo che tali oneri vengano ripartiti in maniera equa. Gli Stati membri dell'UE devono disporre di un adeguato margine di bilancio per contrastare gli impatti economici e sociali negativi. Alla luce di tali considerazioni, il CESE ribadisce il suo monito a non disattivare prematuramente la clausola di salvaguardia generale. La Commissione europea potrebbe portare avanti le discussioni con gli Stati membri sui possibili strumenti da utilizzare nel lungo periodo, ossia i regimi di riassicurazione contro la disoccupazione, al fine di affrontare una serie di problemi sistemici che sono stati solo aggravati dalla crisi attuale. Gli effetti e un eventuale prosecuzione dell'impiego del meccanismo SURE (strumento europeo di sostegno temporaneo per attenuare i rischi di disoccupazione nello stato di emergenza) dovrebbero essere valutati e discussi anche con le parti sociali.</w:t>
      </w:r>
    </w:p>
    <w:p w:rsidRPr="00FF1EF3" w:rsidR="00D13F40" w:rsidP="003D3253" w:rsidRDefault="00D13F40" w14:paraId="7E9EE174" w14:textId="77777777">
      <w:pPr>
        <w:keepNext/>
        <w:keepLines/>
        <w:numPr>
          <w:ilvl w:val="0"/>
          <w:numId w:val="3"/>
        </w:numPr>
        <w:overflowPunct w:val="0"/>
        <w:autoSpaceDE w:val="0"/>
        <w:autoSpaceDN w:val="0"/>
        <w:adjustRightInd w:val="0"/>
        <w:ind w:left="357" w:hanging="357"/>
        <w:textAlignment w:val="baseline"/>
      </w:pPr>
      <w:r w:rsidRPr="00FF1EF3">
        <w:t>La politica energetica dell'UE deve essere realistica e deve contribuire alla realizzazione dell'Unione dell'energia e al conseguimento degli obiettivi climatici, senza creare oneri aggiuntivi per i consumatori vulnerabili e i lavoratori, e senza compromettere la competitività delle imprese europee. L'UE deve adoperarsi al fine di raggiungere gli ambiziosi obiettivi in materia di clima, garantendo nel contempo la stabilità e la sicurezza dell'approvvigionamento energetico a un costo che sia accessibile per le imprese e i cittadini. Per garantire il successo di tale processo, occorre mobilitare sufficienti investimenti pubblici e privati.</w:t>
      </w:r>
    </w:p>
    <w:p w:rsidRPr="00FF1EF3" w:rsidR="00D13F40" w:rsidP="00D13F40" w:rsidRDefault="00D13F40" w14:paraId="303C22CA" w14:textId="77777777">
      <w:pPr>
        <w:numPr>
          <w:ilvl w:val="0"/>
          <w:numId w:val="3"/>
        </w:numPr>
        <w:overflowPunct w:val="0"/>
        <w:autoSpaceDE w:val="0"/>
        <w:autoSpaceDN w:val="0"/>
        <w:adjustRightInd w:val="0"/>
        <w:ind w:left="357" w:hanging="357"/>
        <w:textAlignment w:val="baseline"/>
      </w:pPr>
      <w:r w:rsidRPr="00FF1EF3">
        <w:t>È fondamentale non perdere di vista esigenze di lungo termine dell'UE quali il conseguimento della neutralità climatica entro il 2050 e la lotta alla povertà e all'esclusione sociale, al fine di garantire un futuro di successo per i cittadini. L'UE deve inoltre rafforzare le capacità del proprio settore sanitario in termini di miglioramento della ricerca e delle metodologie per gestire la crescente domanda di assistenza e le eventuali future pandemie. L'approccio basato sullo sviluppo sostenibile dovrebbe essere adottato come obiettivo globale e integrale di tutte le politiche, di tutti i programmi e di tutte le misure. Il CESE ha appoggiato l'attuazione del Green Deal europeo, sottolineando la necessità di metterlo in atto in maniera socialmente equa, secondo le condizioni richieste per garantire all'Europa la sicurezza alimentare nonché la sicurezza dell'approvvigionamento energetico a prezzi accessibili. È fondamentale fornire un sostegno ai cittadini e ai gruppi interessati nella loro mobilitazione affinché partecipino attivamente alla transizione verso una società a basse emissioni di carbonio.</w:t>
      </w:r>
    </w:p>
    <w:p w:rsidRPr="00FF1EF3" w:rsidR="00D13F40" w:rsidP="00D13F40" w:rsidRDefault="00D13F40" w14:paraId="0E0F7EC5" w14:textId="77777777">
      <w:pPr>
        <w:numPr>
          <w:ilvl w:val="0"/>
          <w:numId w:val="3"/>
        </w:numPr>
        <w:overflowPunct w:val="0"/>
        <w:autoSpaceDE w:val="0"/>
        <w:autoSpaceDN w:val="0"/>
        <w:adjustRightInd w:val="0"/>
        <w:ind w:left="357" w:hanging="357"/>
        <w:textAlignment w:val="baseline"/>
      </w:pPr>
      <w:r w:rsidRPr="00FF1EF3">
        <w:t>Sono necessarie misure per migliorare il dialogo civile con e tra i portatori di interessi e i gruppi nella società, conferendo loro la titolarità e dando loro la possibilità di partecipare realmente alle politiche che li riguardano direttamente, promuovendo il ruolo dei cittadini nella creazione del futuro d'Europa. È necessario integrare le procedure di consultazione online con un dialogo strutturato con le organizzazioni della società civile in tutte le fasi del processo di elaborazione delle politiche, comprese le fasi di attuazione e di valutazione. È essenziale concentrare l'attenzione sul seguito da dare alle proposte della Conferenza sul futuro dell'Europa al fine di rispondere alle richieste dei cittadini. Il CESE è pronto a svolgere il suo ruolo e a garantire che venga dato un seguito adeguato ai risultati della Conferenza e, qualora venga organizzata una Convenzione, il CESE dovrà ricoprirvi un ruolo di primo piano.</w:t>
      </w:r>
    </w:p>
    <w:p w:rsidRPr="00FF1EF3" w:rsidR="00D13F40" w:rsidP="00D13F40" w:rsidRDefault="00D13F40" w14:paraId="037F07D0" w14:textId="77777777">
      <w:pPr>
        <w:overflowPunct w:val="0"/>
        <w:autoSpaceDE w:val="0"/>
        <w:autoSpaceDN w:val="0"/>
        <w:adjustRightInd w:val="0"/>
        <w:ind w:left="357"/>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D13F40" w:rsidTr="00D13F40" w14:paraId="5ADA768A" w14:textId="77777777">
        <w:tc>
          <w:tcPr>
            <w:tcW w:w="1418" w:type="dxa"/>
          </w:tcPr>
          <w:p w:rsidRPr="00FF1EF3" w:rsidR="00D13F40" w:rsidP="00D13F40" w:rsidRDefault="00D13F40" w14:paraId="3B5B6B8A" w14:textId="77777777">
            <w:pPr>
              <w:contextualSpacing/>
              <w:rPr>
                <w:i/>
              </w:rPr>
            </w:pPr>
            <w:r w:rsidRPr="00FF1EF3">
              <w:rPr>
                <w:b/>
                <w:i/>
              </w:rPr>
              <w:t>Contatto</w:t>
            </w:r>
          </w:p>
        </w:tc>
        <w:tc>
          <w:tcPr>
            <w:tcW w:w="5670" w:type="dxa"/>
          </w:tcPr>
          <w:p w:rsidRPr="00FF1EF3" w:rsidR="00D13F40" w:rsidP="00D13F40" w:rsidRDefault="00D13F40" w14:paraId="3D3950B8" w14:textId="77777777">
            <w:pPr>
              <w:contextualSpacing/>
              <w:rPr>
                <w:i/>
              </w:rPr>
            </w:pPr>
            <w:r w:rsidRPr="00FF1EF3">
              <w:rPr>
                <w:i/>
              </w:rPr>
              <w:t>Domenico COSMAI</w:t>
            </w:r>
          </w:p>
        </w:tc>
      </w:tr>
      <w:tr w:rsidRPr="00FF1EF3" w:rsidR="00D13F40" w:rsidTr="00D13F40" w14:paraId="37A5B264" w14:textId="77777777">
        <w:tc>
          <w:tcPr>
            <w:tcW w:w="1418" w:type="dxa"/>
          </w:tcPr>
          <w:p w:rsidRPr="00FF1EF3" w:rsidR="00D13F40" w:rsidP="00D13F40" w:rsidRDefault="00D13F40" w14:paraId="0A0261DB" w14:textId="77777777">
            <w:pPr>
              <w:ind w:left="601"/>
              <w:contextualSpacing/>
              <w:rPr>
                <w:i/>
              </w:rPr>
            </w:pPr>
            <w:r w:rsidRPr="00FF1EF3">
              <w:rPr>
                <w:i/>
              </w:rPr>
              <w:t>Tel.</w:t>
            </w:r>
          </w:p>
        </w:tc>
        <w:tc>
          <w:tcPr>
            <w:tcW w:w="5670" w:type="dxa"/>
          </w:tcPr>
          <w:p w:rsidRPr="00FF1EF3" w:rsidR="00D13F40" w:rsidP="00D13F40" w:rsidRDefault="00D13F40" w14:paraId="1870BA3F" w14:textId="77777777">
            <w:pPr>
              <w:contextualSpacing/>
              <w:rPr>
                <w:i/>
              </w:rPr>
            </w:pPr>
            <w:r w:rsidRPr="00FF1EF3">
              <w:rPr>
                <w:i/>
              </w:rPr>
              <w:t>00 32 2 546 90 41</w:t>
            </w:r>
          </w:p>
        </w:tc>
      </w:tr>
      <w:tr w:rsidRPr="00FF1EF3" w:rsidR="00D13F40" w:rsidTr="00D13F40" w14:paraId="0DD10512" w14:textId="77777777">
        <w:tc>
          <w:tcPr>
            <w:tcW w:w="1418" w:type="dxa"/>
          </w:tcPr>
          <w:p w:rsidRPr="00FF1EF3" w:rsidR="00D13F40" w:rsidP="00D13F40" w:rsidRDefault="00FF1EF3" w14:paraId="6AB9864F" w14:textId="467ABAE4">
            <w:pPr>
              <w:ind w:left="601"/>
              <w:contextualSpacing/>
              <w:rPr>
                <w:i/>
              </w:rPr>
            </w:pPr>
            <w:r w:rsidRPr="00FF1EF3">
              <w:rPr>
                <w:i/>
              </w:rPr>
              <w:t>E</w:t>
            </w:r>
            <w:r w:rsidRPr="00FF1EF3" w:rsidR="00D13F40">
              <w:rPr>
                <w:i/>
              </w:rPr>
              <w:t>-mail</w:t>
            </w:r>
          </w:p>
        </w:tc>
        <w:tc>
          <w:tcPr>
            <w:tcW w:w="5670" w:type="dxa"/>
          </w:tcPr>
          <w:p w:rsidRPr="00FF1EF3" w:rsidR="00D13F40" w:rsidP="00910972" w:rsidRDefault="004F624E" w14:paraId="5EBCD8AB" w14:textId="6E96CD92">
            <w:pPr>
              <w:contextualSpacing/>
              <w:rPr>
                <w:i/>
              </w:rPr>
            </w:pPr>
            <w:hyperlink w:history="1" r:id="rId20">
              <w:r w:rsidRPr="00FF1EF3" w:rsidR="00462EFB">
                <w:rPr>
                  <w:rStyle w:val="Hyperlink"/>
                </w:rPr>
                <w:t>Domenico.Cosmai@eesc.europa.eu</w:t>
              </w:r>
            </w:hyperlink>
          </w:p>
        </w:tc>
      </w:tr>
    </w:tbl>
    <w:p w:rsidRPr="00FF1EF3" w:rsidR="00D35512" w:rsidRDefault="00D35512" w14:paraId="26BC3B10" w14:textId="44A04F65">
      <w:pPr>
        <w:jc w:val="left"/>
      </w:pPr>
    </w:p>
    <w:p w:rsidRPr="00FF1EF3" w:rsidR="00D35512" w:rsidRDefault="00D35512" w14:paraId="5512BC58" w14:textId="77777777">
      <w:pPr>
        <w:spacing w:after="160" w:line="259" w:lineRule="auto"/>
        <w:jc w:val="left"/>
      </w:pPr>
      <w:r w:rsidRPr="00FF1EF3">
        <w:br w:type="page"/>
      </w:r>
    </w:p>
    <w:p w:rsidRPr="00FF1EF3" w:rsidR="004D7AC0" w:rsidRDefault="004D7AC0" w14:paraId="68489C47" w14:textId="77777777">
      <w:pPr>
        <w:jc w:val="left"/>
      </w:pPr>
    </w:p>
    <w:p w:rsidRPr="00FF1EF3" w:rsidR="004D7AC0" w:rsidP="00D13F40" w:rsidRDefault="004D7AC0" w14:paraId="1E329F25" w14:textId="1EBCFE19">
      <w:pPr>
        <w:pStyle w:val="Heading1"/>
        <w:rPr>
          <w:b/>
        </w:rPr>
      </w:pPr>
      <w:bookmarkStart w:name="_Toc110414437" w:id="2"/>
      <w:r w:rsidRPr="00FF1EF3">
        <w:rPr>
          <w:b/>
        </w:rPr>
        <w:t xml:space="preserve">UNIONE ECONOMICA </w:t>
      </w:r>
      <w:r w:rsidRPr="00FF1EF3" w:rsidR="00FF1EF3">
        <w:rPr>
          <w:b/>
        </w:rPr>
        <w:t>E</w:t>
      </w:r>
      <w:r w:rsidRPr="00FF1EF3">
        <w:rPr>
          <w:b/>
        </w:rPr>
        <w:t xml:space="preserve"> MONETARIA, COESIONE ECONOMICA </w:t>
      </w:r>
      <w:r w:rsidRPr="00FF1EF3" w:rsidR="00FF1EF3">
        <w:rPr>
          <w:b/>
        </w:rPr>
        <w:t>E</w:t>
      </w:r>
      <w:r w:rsidRPr="00FF1EF3">
        <w:rPr>
          <w:b/>
        </w:rPr>
        <w:t xml:space="preserve"> SOCIALE</w:t>
      </w:r>
      <w:bookmarkEnd w:id="2"/>
    </w:p>
    <w:p w:rsidRPr="00FF1EF3" w:rsidR="00662436" w:rsidP="0018231C" w:rsidRDefault="00662436" w14:paraId="1710091D" w14:textId="77777777">
      <w:pPr>
        <w:spacing w:line="240" w:lineRule="auto"/>
      </w:pPr>
    </w:p>
    <w:p w:rsidRPr="00FF1EF3" w:rsidR="00640656" w:rsidP="00640656" w:rsidRDefault="000A03BD" w14:paraId="5D3A59A0" w14:textId="77777777">
      <w:pPr>
        <w:keepNext/>
        <w:keepLines/>
        <w:numPr>
          <w:ilvl w:val="0"/>
          <w:numId w:val="5"/>
        </w:numPr>
        <w:overflowPunct w:val="0"/>
        <w:autoSpaceDE w:val="0"/>
        <w:autoSpaceDN w:val="0"/>
        <w:adjustRightInd w:val="0"/>
        <w:ind w:left="567" w:hanging="567"/>
        <w:textAlignment w:val="baseline"/>
        <w:rPr>
          <w:b/>
          <w:i/>
          <w:spacing w:val="-2"/>
          <w:sz w:val="28"/>
          <w:szCs w:val="28"/>
        </w:rPr>
      </w:pPr>
      <w:r w:rsidRPr="00FF1EF3">
        <w:rPr>
          <w:b/>
          <w:i/>
          <w:sz w:val="28"/>
        </w:rPr>
        <w:t>Tassazione dei telelavoratori transfrontalieri e dei loro datori di lavoro</w:t>
      </w:r>
    </w:p>
    <w:p w:rsidRPr="00FF1EF3" w:rsidR="00640656" w:rsidP="00640656" w:rsidRDefault="00640656" w14:paraId="228D42E4"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FF1EF3" w:rsidR="00640656" w:rsidTr="00B83E7B" w14:paraId="17A96696" w14:textId="77777777">
        <w:tc>
          <w:tcPr>
            <w:tcW w:w="1701" w:type="dxa"/>
          </w:tcPr>
          <w:p w:rsidRPr="00FF1EF3" w:rsidR="00640656" w:rsidP="002C4B6E" w:rsidRDefault="00FF1EF3" w14:paraId="204BF0A8" w14:textId="6524167D">
            <w:pPr>
              <w:pStyle w:val="ListParagraph"/>
              <w:spacing w:line="240" w:lineRule="auto"/>
              <w:ind w:left="-142" w:firstLine="142"/>
              <w:rPr>
                <w:b/>
              </w:rPr>
            </w:pPr>
            <w:r w:rsidRPr="00FF1EF3">
              <w:rPr>
                <w:b/>
              </w:rPr>
              <w:t>Relatore</w:t>
            </w:r>
          </w:p>
        </w:tc>
        <w:tc>
          <w:tcPr>
            <w:tcW w:w="6521" w:type="dxa"/>
          </w:tcPr>
          <w:p w:rsidRPr="00FF1EF3" w:rsidR="00640656" w:rsidP="00B83E7B" w:rsidRDefault="000A03BD" w14:paraId="1C5C2FFB" w14:textId="77777777">
            <w:pPr>
              <w:pStyle w:val="ListParagraph"/>
              <w:ind w:left="-60" w:right="-55"/>
            </w:pPr>
            <w:r w:rsidRPr="00FF1EF3">
              <w:t>Krister ANDERSSON (Datori di lavoro - SE)</w:t>
            </w:r>
          </w:p>
        </w:tc>
      </w:tr>
      <w:tr w:rsidRPr="00FF1EF3" w:rsidR="00640656" w:rsidTr="00B83E7B" w14:paraId="6D38B34C" w14:textId="77777777">
        <w:tc>
          <w:tcPr>
            <w:tcW w:w="8222" w:type="dxa"/>
            <w:gridSpan w:val="2"/>
          </w:tcPr>
          <w:p w:rsidRPr="00FF1EF3" w:rsidR="00640656" w:rsidP="00B83E7B" w:rsidRDefault="00640656" w14:paraId="58D13705" w14:textId="77777777">
            <w:pPr>
              <w:pStyle w:val="ListParagraph"/>
              <w:ind w:left="0"/>
            </w:pPr>
          </w:p>
        </w:tc>
      </w:tr>
      <w:tr w:rsidRPr="00FF1EF3" w:rsidR="00640656" w:rsidTr="00B83E7B" w14:paraId="3D93C3AA" w14:textId="77777777">
        <w:tc>
          <w:tcPr>
            <w:tcW w:w="1701" w:type="dxa"/>
          </w:tcPr>
          <w:p w:rsidRPr="00FF1EF3" w:rsidR="00640656" w:rsidP="00804736" w:rsidRDefault="00640656" w14:paraId="33436DCF" w14:textId="77777777">
            <w:pPr>
              <w:pStyle w:val="ListParagraph"/>
              <w:spacing w:line="240" w:lineRule="auto"/>
              <w:ind w:left="-142" w:firstLine="142"/>
              <w:rPr>
                <w:b/>
              </w:rPr>
            </w:pPr>
            <w:r w:rsidRPr="00FF1EF3">
              <w:rPr>
                <w:b/>
              </w:rPr>
              <w:t xml:space="preserve">Riferimento </w:t>
            </w:r>
          </w:p>
        </w:tc>
        <w:tc>
          <w:tcPr>
            <w:tcW w:w="6521" w:type="dxa"/>
          </w:tcPr>
          <w:p w:rsidRPr="00FF1EF3" w:rsidR="00640656" w:rsidP="00B83E7B" w:rsidRDefault="000A03BD" w14:paraId="3CD87A23" w14:textId="77777777">
            <w:pPr>
              <w:pStyle w:val="ListParagraph"/>
              <w:ind w:left="-61"/>
              <w:rPr>
                <w:bCs/>
              </w:rPr>
            </w:pPr>
            <w:r w:rsidRPr="00FF1EF3">
              <w:t>Parere d'iniziativa</w:t>
            </w:r>
          </w:p>
          <w:p w:rsidRPr="00FF1EF3" w:rsidR="00640656" w:rsidP="00B83E7B" w:rsidRDefault="00640656" w14:paraId="57D265AF" w14:textId="77777777">
            <w:pPr>
              <w:pStyle w:val="ListParagraph"/>
              <w:ind w:left="-61"/>
            </w:pPr>
            <w:r w:rsidRPr="00FF1EF3">
              <w:t>EESC-2022-00408-00-00-AC</w:t>
            </w:r>
          </w:p>
        </w:tc>
      </w:tr>
    </w:tbl>
    <w:p w:rsidRPr="00FF1EF3" w:rsidR="00FF1EF3" w:rsidP="00640656" w:rsidRDefault="00FF1EF3" w14:paraId="0F34B134" w14:textId="77777777">
      <w:pPr>
        <w:pStyle w:val="ListParagraph"/>
        <w:spacing w:line="240" w:lineRule="auto"/>
        <w:ind w:left="0"/>
        <w:rPr>
          <w:lang w:val="pt-PT"/>
        </w:rPr>
      </w:pPr>
    </w:p>
    <w:p w:rsidRPr="00FF1EF3" w:rsidR="00640656" w:rsidP="00700030" w:rsidRDefault="00FF1EF3" w14:paraId="1531E332" w14:textId="39C38A6F">
      <w:pPr>
        <w:pStyle w:val="ListParagraph"/>
        <w:spacing w:line="240" w:lineRule="auto"/>
        <w:ind w:left="-142" w:firstLine="142"/>
        <w:rPr>
          <w:b/>
        </w:rPr>
      </w:pPr>
      <w:r w:rsidRPr="00FF1EF3">
        <w:rPr>
          <w:b/>
        </w:rPr>
        <w:t>P</w:t>
      </w:r>
      <w:r w:rsidRPr="00FF1EF3" w:rsidR="00631509">
        <w:rPr>
          <w:b/>
        </w:rPr>
        <w:t>unti principali</w:t>
      </w:r>
    </w:p>
    <w:p w:rsidRPr="00FF1EF3" w:rsidR="00640656" w:rsidP="00804736" w:rsidRDefault="00640656" w14:paraId="35E5BFA5" w14:textId="77777777">
      <w:pPr>
        <w:pStyle w:val="ListParagraph"/>
        <w:spacing w:line="240" w:lineRule="auto"/>
        <w:ind w:left="-142" w:firstLine="142"/>
        <w:rPr>
          <w:b/>
        </w:rPr>
      </w:pPr>
    </w:p>
    <w:p w:rsidRPr="00FF1EF3" w:rsidR="00640656" w:rsidP="00640656" w:rsidRDefault="00640656" w14:paraId="49F5E58C" w14:textId="77777777">
      <w:pPr>
        <w:pStyle w:val="ListParagraph"/>
        <w:spacing w:line="240" w:lineRule="auto"/>
        <w:ind w:left="0"/>
      </w:pPr>
      <w:r w:rsidRPr="00FF1EF3">
        <w:t>Il CESE:</w:t>
      </w:r>
    </w:p>
    <w:p w:rsidRPr="00FF1EF3" w:rsidR="00640656" w:rsidP="00640656" w:rsidRDefault="00640656" w14:paraId="79740612" w14:textId="77777777">
      <w:pPr>
        <w:pStyle w:val="ListParagraph"/>
        <w:spacing w:line="276" w:lineRule="auto"/>
        <w:ind w:left="0"/>
      </w:pPr>
    </w:p>
    <w:p w:rsidRPr="00FF1EF3" w:rsidR="00640656" w:rsidP="00640656" w:rsidRDefault="000A03BD" w14:paraId="7319D50D" w14:textId="77777777">
      <w:pPr>
        <w:pStyle w:val="ListParagraph"/>
        <w:numPr>
          <w:ilvl w:val="0"/>
          <w:numId w:val="3"/>
        </w:numPr>
        <w:spacing w:line="276" w:lineRule="auto"/>
        <w:ind w:left="357" w:hanging="357"/>
      </w:pPr>
      <w:r w:rsidRPr="00FF1EF3">
        <w:t>è consapevole che l'aumento del telelavoro transfrontaliero comporta sfide particolari per i sistemi fiscali internazionali attualmente esistenti. Tale considerazione vale in particolare per la tassazione delle retribuzioni dei lavoratori e degli utili delle imprese;</w:t>
      </w:r>
    </w:p>
    <w:p w:rsidRPr="00FF1EF3" w:rsidR="00640656" w:rsidP="00640656" w:rsidRDefault="000A03BD" w14:paraId="410F3EF2" w14:textId="77777777">
      <w:pPr>
        <w:pStyle w:val="ListParagraph"/>
        <w:numPr>
          <w:ilvl w:val="0"/>
          <w:numId w:val="3"/>
        </w:numPr>
        <w:spacing w:line="276" w:lineRule="auto"/>
        <w:ind w:left="357" w:hanging="357"/>
      </w:pPr>
      <w:r w:rsidRPr="00FF1EF3">
        <w:t>concorda con la Commissione europea sul fatto che un telelavoratore transfrontaliero potrebbe trovarsi esposto a una doppia imposizione sul proprio reddito, con conseguenti controversie – lunghe e costose – tra il lavoratore dipendente e le autorità fiscali degli Stati membri;</w:t>
      </w:r>
    </w:p>
    <w:p w:rsidRPr="00FF1EF3" w:rsidR="00640656" w:rsidP="00640656" w:rsidRDefault="000A03BD" w14:paraId="00EEA10F" w14:textId="77777777">
      <w:pPr>
        <w:pStyle w:val="ListParagraph"/>
        <w:numPr>
          <w:ilvl w:val="0"/>
          <w:numId w:val="3"/>
        </w:numPr>
        <w:spacing w:line="276" w:lineRule="auto"/>
        <w:ind w:left="357" w:hanging="357"/>
      </w:pPr>
      <w:r w:rsidRPr="00FF1EF3">
        <w:t>rammenta che, per quel che riguarda la tassazione degli utili delle imprese, i telelavoratori internazionali possono correre il rischio di creare involontariamente una stabile organizzazione della loro impresa in un paese diverso da quello in cui tale impresa ha sede. Se venisse creata una stabile organizzazione in un altro paese, l'impresa sarebbe costretta a suddividere con precisione le sue entrate in funzione della loro origine geografica e sarebbe quindi soggetta a obblighi di dichiarazione e di pagamento delle imposte in paesi diversi;</w:t>
      </w:r>
    </w:p>
    <w:p w:rsidRPr="00FF1EF3" w:rsidR="00640656" w:rsidP="00640656" w:rsidRDefault="000A03BD" w14:paraId="5DA57970" w14:textId="77777777">
      <w:pPr>
        <w:pStyle w:val="ListParagraph"/>
        <w:numPr>
          <w:ilvl w:val="0"/>
          <w:numId w:val="3"/>
        </w:numPr>
        <w:spacing w:line="276" w:lineRule="auto"/>
        <w:ind w:left="357" w:hanging="357"/>
      </w:pPr>
      <w:r w:rsidRPr="00FF1EF3">
        <w:t>sottolinea quanto sia importante che i sistemi fiscali siano ulteriormente messi al passo coi tempi al fine di venire incontro alle necessità degli ambienti di lavoro odierni. Il quadro di riferimento internazionale in materia di imposta sulle società è stato recentemente oggetto di profondi cambiamenti tramite l'accordo relativo al quadro inclusivo sulla BEPS che è stato elaborato dall'OCSE/G20 e che si compone di due pilastri;</w:t>
      </w:r>
    </w:p>
    <w:p w:rsidRPr="00FF1EF3" w:rsidR="000A03BD" w:rsidP="00640656" w:rsidRDefault="000A03BD" w14:paraId="3030B859" w14:textId="77777777">
      <w:pPr>
        <w:pStyle w:val="ListParagraph"/>
        <w:numPr>
          <w:ilvl w:val="0"/>
          <w:numId w:val="3"/>
        </w:numPr>
        <w:spacing w:line="276" w:lineRule="auto"/>
        <w:ind w:left="357" w:hanging="357"/>
      </w:pPr>
      <w:r w:rsidRPr="00FF1EF3">
        <w:t>sottolinea che le norme da seguire dovrebbero essere semplici sia per i lavoratori che per i datori di lavoro. Una possibilità sarebbe che gli Stati membri decidano di comune accordo di tassare il lavoratore soltanto se il numero di giorni di lavoro sul proprio territorio sia più di 96 in un anno civile. Osserva che, nell'ambito dei lavori sul quadro inclusivo condotti dall'OCSE in materia fiscale, si è fatto ricorso a una convezione multilaterale (il cosiddetto "strumento multilaterale" o MLI) per facilitare un'attuazione tempestiva delle nuove norme fiscali;</w:t>
      </w:r>
    </w:p>
    <w:p w:rsidRPr="00FF1EF3" w:rsidR="000A03BD" w:rsidP="00640656" w:rsidRDefault="000A03BD" w14:paraId="581CFA88" w14:textId="77777777">
      <w:pPr>
        <w:pStyle w:val="ListParagraph"/>
        <w:numPr>
          <w:ilvl w:val="0"/>
          <w:numId w:val="3"/>
        </w:numPr>
        <w:spacing w:line="276" w:lineRule="auto"/>
        <w:ind w:left="357" w:hanging="357"/>
      </w:pPr>
      <w:r w:rsidRPr="00FF1EF3">
        <w:t>incoraggia la Commissione europea a valutare se uno sportello unico, come quello esistente nel settore dell'IVA, sia una possibilità da prendere in considerazione. Con questa soluzione il datore di lavoro sarebbe tenuto a comunicare, in rapporto ai propri telelavoratori transfrontalieri, per quanti giorni tali lavoratori hanno telelavorato presso il loro domicilio nel loro paese di residenza e per quanti giorni hanno lavorato nel paese in cui il loro datore di lavoro ha sede.</w:t>
      </w:r>
    </w:p>
    <w:p w:rsidRPr="00FF1EF3" w:rsidR="00577672" w:rsidP="00577672" w:rsidRDefault="00577672" w14:paraId="6AC42931"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640656" w:rsidTr="00B83E7B" w14:paraId="437B7156" w14:textId="77777777">
        <w:tc>
          <w:tcPr>
            <w:tcW w:w="1418" w:type="dxa"/>
          </w:tcPr>
          <w:p w:rsidRPr="00FF1EF3" w:rsidR="00640656" w:rsidP="00B83E7B" w:rsidRDefault="00640656" w14:paraId="026D2B53" w14:textId="77777777">
            <w:pPr>
              <w:pStyle w:val="ListParagraph"/>
              <w:spacing w:line="276" w:lineRule="auto"/>
              <w:ind w:left="0"/>
              <w:rPr>
                <w:i/>
              </w:rPr>
            </w:pPr>
            <w:r w:rsidRPr="00FF1EF3">
              <w:rPr>
                <w:b/>
                <w:i/>
              </w:rPr>
              <w:t>Contatto</w:t>
            </w:r>
          </w:p>
        </w:tc>
        <w:tc>
          <w:tcPr>
            <w:tcW w:w="5670" w:type="dxa"/>
          </w:tcPr>
          <w:p w:rsidRPr="00FF1EF3" w:rsidR="00640656" w:rsidP="00B83E7B" w:rsidRDefault="000A03BD" w14:paraId="3123BFA2" w14:textId="77777777">
            <w:pPr>
              <w:pStyle w:val="ListParagraph"/>
              <w:spacing w:line="276" w:lineRule="auto"/>
              <w:ind w:left="0"/>
              <w:rPr>
                <w:i/>
              </w:rPr>
            </w:pPr>
            <w:r w:rsidRPr="00FF1EF3">
              <w:rPr>
                <w:i/>
              </w:rPr>
              <w:t>Jüri SOOSAAR</w:t>
            </w:r>
          </w:p>
        </w:tc>
      </w:tr>
      <w:tr w:rsidRPr="00FF1EF3" w:rsidR="00640656" w:rsidTr="00B83E7B" w14:paraId="13C450E4" w14:textId="77777777">
        <w:tc>
          <w:tcPr>
            <w:tcW w:w="1418" w:type="dxa"/>
          </w:tcPr>
          <w:p w:rsidRPr="00FF1EF3" w:rsidR="00640656" w:rsidP="00B83E7B" w:rsidRDefault="00640656" w14:paraId="71B7C5A8" w14:textId="77777777">
            <w:pPr>
              <w:pStyle w:val="ListParagraph"/>
              <w:spacing w:line="276" w:lineRule="auto"/>
              <w:ind w:left="601"/>
              <w:rPr>
                <w:i/>
              </w:rPr>
            </w:pPr>
            <w:r w:rsidRPr="00FF1EF3">
              <w:rPr>
                <w:i/>
              </w:rPr>
              <w:t>Tel.</w:t>
            </w:r>
          </w:p>
        </w:tc>
        <w:tc>
          <w:tcPr>
            <w:tcW w:w="5670" w:type="dxa"/>
          </w:tcPr>
          <w:p w:rsidRPr="00FF1EF3" w:rsidR="00640656" w:rsidP="00B83E7B" w:rsidRDefault="00577672" w14:paraId="3226C0EF" w14:textId="77777777">
            <w:pPr>
              <w:pStyle w:val="ListParagraph"/>
              <w:spacing w:line="276" w:lineRule="auto"/>
              <w:ind w:left="0"/>
              <w:rPr>
                <w:i/>
              </w:rPr>
            </w:pPr>
            <w:r w:rsidRPr="00FF1EF3">
              <w:rPr>
                <w:i/>
              </w:rPr>
              <w:t>00 32 2 546 97 95</w:t>
            </w:r>
          </w:p>
        </w:tc>
      </w:tr>
      <w:tr w:rsidRPr="00FF1EF3" w:rsidR="00640656" w:rsidTr="00B83E7B" w14:paraId="1FEA5B3F" w14:textId="77777777">
        <w:tc>
          <w:tcPr>
            <w:tcW w:w="1418" w:type="dxa"/>
          </w:tcPr>
          <w:p w:rsidRPr="00FF1EF3" w:rsidR="00640656" w:rsidP="00B83E7B" w:rsidRDefault="00FF1EF3" w14:paraId="6D5FF9EA" w14:textId="4CE74653">
            <w:pPr>
              <w:pStyle w:val="ListParagraph"/>
              <w:spacing w:line="276" w:lineRule="auto"/>
              <w:ind w:left="601"/>
              <w:rPr>
                <w:i/>
              </w:rPr>
            </w:pPr>
            <w:r w:rsidRPr="00FF1EF3">
              <w:rPr>
                <w:i/>
              </w:rPr>
              <w:t>E</w:t>
            </w:r>
            <w:r w:rsidRPr="00FF1EF3" w:rsidR="00640656">
              <w:rPr>
                <w:i/>
              </w:rPr>
              <w:t>-mail</w:t>
            </w:r>
          </w:p>
        </w:tc>
        <w:tc>
          <w:tcPr>
            <w:tcW w:w="5670" w:type="dxa"/>
          </w:tcPr>
          <w:p w:rsidRPr="00FF1EF3" w:rsidR="00640656" w:rsidP="00B83E7B" w:rsidRDefault="004F624E" w14:paraId="160383F7" w14:textId="77777777">
            <w:pPr>
              <w:pStyle w:val="ListParagraph"/>
              <w:spacing w:line="276" w:lineRule="auto"/>
              <w:ind w:left="0"/>
              <w:rPr>
                <w:i/>
              </w:rPr>
            </w:pPr>
            <w:hyperlink w:history="1" r:id="rId21">
              <w:r w:rsidRPr="00FF1EF3" w:rsidR="00462EFB">
                <w:rPr>
                  <w:rStyle w:val="Hyperlink"/>
                  <w:i/>
                </w:rPr>
                <w:t>Juri.Soosar@eesc.europa.eu</w:t>
              </w:r>
            </w:hyperlink>
          </w:p>
        </w:tc>
      </w:tr>
    </w:tbl>
    <w:p w:rsidRPr="00FF1EF3" w:rsidR="00D35512" w:rsidP="0018231C" w:rsidRDefault="00D35512" w14:paraId="7CBB426B" w14:textId="59BE7BEE">
      <w:pPr>
        <w:spacing w:line="240" w:lineRule="auto"/>
      </w:pPr>
    </w:p>
    <w:p w:rsidRPr="00FF1EF3" w:rsidR="00D35512" w:rsidRDefault="00D35512" w14:paraId="7BA530D3" w14:textId="77777777">
      <w:pPr>
        <w:spacing w:after="160" w:line="259" w:lineRule="auto"/>
        <w:jc w:val="left"/>
      </w:pPr>
      <w:r w:rsidRPr="00FF1EF3">
        <w:br w:type="page"/>
      </w:r>
    </w:p>
    <w:p w:rsidRPr="00FF1EF3" w:rsidR="004D7AC0" w:rsidP="008B2544" w:rsidRDefault="00BD6E79" w14:paraId="3267ADFE" w14:textId="77777777">
      <w:pPr>
        <w:keepNext/>
        <w:keepLines/>
        <w:numPr>
          <w:ilvl w:val="0"/>
          <w:numId w:val="5"/>
        </w:numPr>
        <w:overflowPunct w:val="0"/>
        <w:autoSpaceDE w:val="0"/>
        <w:autoSpaceDN w:val="0"/>
        <w:adjustRightInd w:val="0"/>
        <w:ind w:left="567" w:hanging="567"/>
        <w:textAlignment w:val="baseline"/>
        <w:rPr>
          <w:b/>
          <w:i/>
          <w:spacing w:val="-2"/>
          <w:sz w:val="28"/>
          <w:szCs w:val="28"/>
        </w:rPr>
      </w:pPr>
      <w:r w:rsidRPr="00FF1EF3">
        <w:rPr>
          <w:b/>
          <w:i/>
          <w:sz w:val="28"/>
        </w:rPr>
        <w:t>Tassazione del digitale</w:t>
      </w:r>
    </w:p>
    <w:p w:rsidRPr="00FF1EF3" w:rsidR="006E6434" w:rsidP="008B2544" w:rsidRDefault="006E6434" w14:paraId="4E8ABD0B"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FF1EF3" w:rsidR="00705674" w:rsidTr="004A46D9" w14:paraId="691352BE" w14:textId="77777777">
        <w:tc>
          <w:tcPr>
            <w:tcW w:w="1701" w:type="dxa"/>
          </w:tcPr>
          <w:p w:rsidRPr="00FF1EF3" w:rsidR="00705674" w:rsidP="002C4B6E" w:rsidRDefault="00FF1EF3" w14:paraId="3B832BAF" w14:textId="6066B1D7">
            <w:pPr>
              <w:pStyle w:val="ListParagraph"/>
              <w:spacing w:line="240" w:lineRule="auto"/>
              <w:ind w:left="-142" w:firstLine="142"/>
              <w:rPr>
                <w:b/>
              </w:rPr>
            </w:pPr>
            <w:r w:rsidRPr="00FF1EF3">
              <w:rPr>
                <w:b/>
              </w:rPr>
              <w:t>Relatore</w:t>
            </w:r>
          </w:p>
        </w:tc>
        <w:tc>
          <w:tcPr>
            <w:tcW w:w="6521" w:type="dxa"/>
          </w:tcPr>
          <w:p w:rsidRPr="00FF1EF3" w:rsidR="00705674" w:rsidP="00ED2A6A" w:rsidRDefault="00174763" w14:paraId="322FA680" w14:textId="77777777">
            <w:pPr>
              <w:pStyle w:val="ListParagraph"/>
              <w:ind w:left="-60" w:right="-55"/>
            </w:pPr>
            <w:r w:rsidRPr="00FF1EF3">
              <w:t xml:space="preserve"> Benjamin RIZZO (Organizzazioni della società civile - MT)</w:t>
            </w:r>
          </w:p>
        </w:tc>
      </w:tr>
      <w:tr w:rsidRPr="00FF1EF3" w:rsidR="00705674" w:rsidTr="004A46D9" w14:paraId="1E67D992" w14:textId="77777777">
        <w:tc>
          <w:tcPr>
            <w:tcW w:w="1701" w:type="dxa"/>
          </w:tcPr>
          <w:p w:rsidRPr="00FF1EF3" w:rsidR="00705674" w:rsidRDefault="00FF1EF3" w14:paraId="255A1F7D" w14:textId="544CDA6E">
            <w:pPr>
              <w:pStyle w:val="ListParagraph"/>
              <w:ind w:left="0"/>
              <w:rPr>
                <w:b/>
              </w:rPr>
            </w:pPr>
            <w:r w:rsidRPr="00FF1EF3">
              <w:rPr>
                <w:b/>
              </w:rPr>
              <w:t>Correlatore</w:t>
            </w:r>
          </w:p>
        </w:tc>
        <w:tc>
          <w:tcPr>
            <w:tcW w:w="6521" w:type="dxa"/>
          </w:tcPr>
          <w:p w:rsidRPr="00FF1EF3" w:rsidR="00705674" w:rsidP="0068241A" w:rsidRDefault="00174763" w14:paraId="0D76B76F" w14:textId="77777777">
            <w:pPr>
              <w:pStyle w:val="ListParagraph"/>
              <w:tabs>
                <w:tab w:val="left" w:pos="838"/>
              </w:tabs>
              <w:ind w:left="-61"/>
            </w:pPr>
            <w:r w:rsidRPr="00FF1EF3">
              <w:t xml:space="preserve"> Petru Sorin DANDEA (Lavoratori - RO)</w:t>
            </w:r>
          </w:p>
        </w:tc>
      </w:tr>
      <w:tr w:rsidRPr="00FF1EF3" w:rsidR="00986C7F" w:rsidTr="004A46D9" w14:paraId="0AA03C0B" w14:textId="77777777">
        <w:tc>
          <w:tcPr>
            <w:tcW w:w="8222" w:type="dxa"/>
            <w:gridSpan w:val="2"/>
          </w:tcPr>
          <w:p w:rsidRPr="00FF1EF3" w:rsidR="00986C7F" w:rsidRDefault="00986C7F" w14:paraId="11126B04" w14:textId="77777777">
            <w:pPr>
              <w:pStyle w:val="ListParagraph"/>
              <w:ind w:left="0"/>
            </w:pPr>
          </w:p>
        </w:tc>
      </w:tr>
      <w:tr w:rsidRPr="00FF1EF3" w:rsidR="004D7AC0" w:rsidTr="004A46D9" w14:paraId="1499CE6A" w14:textId="77777777">
        <w:tc>
          <w:tcPr>
            <w:tcW w:w="1701" w:type="dxa"/>
          </w:tcPr>
          <w:p w:rsidRPr="00FF1EF3" w:rsidR="004D7AC0" w:rsidRDefault="004D7AC0" w14:paraId="402C1F54" w14:textId="77777777">
            <w:pPr>
              <w:pStyle w:val="ListParagraph"/>
              <w:ind w:left="0"/>
              <w:rPr>
                <w:b/>
              </w:rPr>
            </w:pPr>
            <w:r w:rsidRPr="00FF1EF3">
              <w:rPr>
                <w:b/>
              </w:rPr>
              <w:t xml:space="preserve">Riferimento </w:t>
            </w:r>
          </w:p>
        </w:tc>
        <w:tc>
          <w:tcPr>
            <w:tcW w:w="6521" w:type="dxa"/>
          </w:tcPr>
          <w:p w:rsidRPr="00FF1EF3" w:rsidR="00DC097D" w:rsidP="0068241A" w:rsidRDefault="0004205F" w14:paraId="77BAAF3B" w14:textId="77777777">
            <w:pPr>
              <w:pStyle w:val="ListParagraph"/>
              <w:ind w:left="-61"/>
              <w:rPr>
                <w:bCs/>
              </w:rPr>
            </w:pPr>
            <w:r w:rsidRPr="00FF1EF3">
              <w:t>Parere esplorativo richiesto dalla presidenza ceca del Consiglio</w:t>
            </w:r>
          </w:p>
          <w:p w:rsidRPr="00FF1EF3" w:rsidR="004D7AC0" w:rsidP="0068241A" w:rsidRDefault="000C6D0B" w14:paraId="4FE162D8" w14:textId="77777777">
            <w:pPr>
              <w:pStyle w:val="ListParagraph"/>
              <w:ind w:left="-61"/>
            </w:pPr>
            <w:r w:rsidRPr="00FF1EF3">
              <w:t>EESC-2022-02060-00-00-AC</w:t>
            </w:r>
          </w:p>
        </w:tc>
      </w:tr>
    </w:tbl>
    <w:p w:rsidRPr="00FF1EF3" w:rsidR="00631509" w:rsidP="003D4F68" w:rsidRDefault="00631509" w14:paraId="6B907918" w14:textId="77777777">
      <w:pPr>
        <w:pStyle w:val="ListParagraph"/>
        <w:spacing w:line="240" w:lineRule="auto"/>
        <w:ind w:left="0" w:firstLine="142"/>
        <w:rPr>
          <w:lang w:val="pt-PT"/>
        </w:rPr>
      </w:pPr>
    </w:p>
    <w:p w:rsidRPr="00FF1EF3" w:rsidR="004D7AC0" w:rsidP="00631509" w:rsidRDefault="004D7AC0" w14:paraId="20827D97" w14:textId="06BC8467">
      <w:pPr>
        <w:pStyle w:val="ListParagraph"/>
        <w:spacing w:line="240" w:lineRule="auto"/>
        <w:ind w:left="0"/>
        <w:rPr>
          <w:b/>
        </w:rPr>
      </w:pPr>
      <w:r w:rsidRPr="00FF1EF3">
        <w:rPr>
          <w:b/>
        </w:rPr>
        <w:t>Punti principali</w:t>
      </w:r>
    </w:p>
    <w:p w:rsidRPr="00FF1EF3" w:rsidR="004D7AC0" w:rsidP="0018231C" w:rsidRDefault="004D7AC0" w14:paraId="4918C4AD" w14:textId="77777777">
      <w:pPr>
        <w:pStyle w:val="ListParagraph"/>
        <w:spacing w:line="240" w:lineRule="auto"/>
        <w:ind w:left="0"/>
      </w:pPr>
    </w:p>
    <w:p w:rsidRPr="00FF1EF3" w:rsidR="004D7AC0" w:rsidP="0018231C" w:rsidRDefault="004D7AC0" w14:paraId="563DEAE0" w14:textId="6ACB49CD">
      <w:pPr>
        <w:pStyle w:val="ListParagraph"/>
        <w:spacing w:line="240" w:lineRule="auto"/>
        <w:ind w:left="0"/>
      </w:pPr>
      <w:r w:rsidRPr="00FF1EF3">
        <w:t>Il CESE:</w:t>
      </w:r>
    </w:p>
    <w:p w:rsidRPr="00FF1EF3" w:rsidR="004D7AC0" w:rsidP="0018231C" w:rsidRDefault="004D7AC0" w14:paraId="20687EE6" w14:textId="77777777">
      <w:pPr>
        <w:pStyle w:val="ListParagraph"/>
        <w:spacing w:line="276" w:lineRule="auto"/>
        <w:ind w:left="0"/>
      </w:pPr>
    </w:p>
    <w:p w:rsidRPr="00FF1EF3" w:rsidR="004D7AC0" w:rsidP="0018231C" w:rsidRDefault="0004205F" w14:paraId="63D90A21" w14:textId="6F64497F">
      <w:pPr>
        <w:pStyle w:val="ListParagraph"/>
        <w:numPr>
          <w:ilvl w:val="0"/>
          <w:numId w:val="3"/>
        </w:numPr>
        <w:spacing w:line="276" w:lineRule="auto"/>
        <w:ind w:left="357" w:hanging="357"/>
      </w:pPr>
      <w:r w:rsidRPr="00FF1EF3">
        <w:t xml:space="preserve">suggerisce che, quando sarà stato raggiunto un accordo internazionale sul primo pilastro del quadro inclusivo dell'OCSE/G20 </w:t>
      </w:r>
      <w:r w:rsidRPr="00FF1EF3" w:rsidR="00FF1EF3">
        <w:t>in merito alla</w:t>
      </w:r>
      <w:r w:rsidRPr="00FF1EF3">
        <w:t xml:space="preserve"> ridistribuzione dei diritti impositivi, le norme in materia siano rapidamente introdotte nell'UE in coordinamento con altri importanti partner commerciali e con un'iniziativa presa contemporaneamente ad essi;</w:t>
      </w:r>
    </w:p>
    <w:p w:rsidRPr="00FF1EF3" w:rsidR="004D7AC0" w:rsidP="0018231C" w:rsidRDefault="0004205F" w14:paraId="18668642" w14:textId="77777777">
      <w:pPr>
        <w:pStyle w:val="ListParagraph"/>
        <w:numPr>
          <w:ilvl w:val="0"/>
          <w:numId w:val="3"/>
        </w:numPr>
        <w:spacing w:line="276" w:lineRule="auto"/>
        <w:ind w:left="357" w:hanging="357"/>
      </w:pPr>
      <w:r w:rsidRPr="00FF1EF3">
        <w:t>ritiene che l'UE possa svolgere un ruolo di primo piano anche in relazione alla tassazione dell'economia digitale. Tale ruolo dovrebbe tuttavia essere svolto nel quadro di un accordo internazionale raggiunto dall'OCSE/G20, come è già avvenuto con il secondo pilastro per quel che riguarda il meccanismo di lotta all'erosione della base imponibile;</w:t>
      </w:r>
    </w:p>
    <w:p w:rsidRPr="00FF1EF3" w:rsidR="007F2119" w:rsidP="0018231C" w:rsidRDefault="0004205F" w14:paraId="30394587" w14:textId="77777777">
      <w:pPr>
        <w:pStyle w:val="ListParagraph"/>
        <w:numPr>
          <w:ilvl w:val="0"/>
          <w:numId w:val="3"/>
        </w:numPr>
        <w:spacing w:line="276" w:lineRule="auto"/>
        <w:ind w:left="357" w:hanging="357"/>
      </w:pPr>
      <w:r w:rsidRPr="00FF1EF3">
        <w:t>sottolinea che entrambi i pilastri devono essere introdotti nell'UE non appena possibile, arrivando a un elevato livello di coerenza con l'accordo internazionale che sarà oggetto di negoziato in seno all'OCSE/G20. Il primo e il secondo pilastro dovrebbero essere considerati come un pacchetto di misure globali e reciprocamente integrate;</w:t>
      </w:r>
    </w:p>
    <w:p w:rsidRPr="00FF1EF3" w:rsidR="004D7AC0" w:rsidP="0018231C" w:rsidRDefault="0004205F" w14:paraId="202D24AF" w14:textId="77777777">
      <w:pPr>
        <w:pStyle w:val="ListParagraph"/>
        <w:numPr>
          <w:ilvl w:val="0"/>
          <w:numId w:val="3"/>
        </w:numPr>
        <w:spacing w:line="276" w:lineRule="auto"/>
        <w:ind w:left="357" w:hanging="357"/>
      </w:pPr>
      <w:r w:rsidRPr="00FF1EF3">
        <w:t>osserva che un'iniziativa legislativa europea sulla tassazione dell'economia digitale potrebbe apportare notevoli vantaggi al mercato interno, creando sicuramente un quadro più efficiente rispetto a iniziative nazionali distinte;</w:t>
      </w:r>
    </w:p>
    <w:p w:rsidRPr="00FF1EF3" w:rsidR="003E692C" w:rsidP="003E692C" w:rsidRDefault="0004205F" w14:paraId="02A3942D" w14:textId="141920AE">
      <w:pPr>
        <w:pStyle w:val="ListParagraph"/>
        <w:numPr>
          <w:ilvl w:val="0"/>
          <w:numId w:val="3"/>
        </w:numPr>
        <w:spacing w:line="276" w:lineRule="auto"/>
        <w:ind w:left="357" w:hanging="357"/>
      </w:pPr>
      <w:r w:rsidRPr="00FF1EF3">
        <w:t>invita a trovare un accordo internazionale sul primo pilastro che eviti, nella misura del possibile, norme eccessivamente complesse e miri a garantire la trasparenza, la prevedibilità e la semplificazione amministrativa, assicurando costi di conformità contenuti. Un sistema eccessivamente complicato potrebbe di fatto creare opportunità per aggirare le norme appena concordate, riducendone l'efficacia;</w:t>
      </w:r>
    </w:p>
    <w:p w:rsidRPr="00FF1EF3" w:rsidR="00DC097D" w:rsidP="001A0AD4" w:rsidRDefault="0004205F" w14:paraId="58783A9E" w14:textId="77777777">
      <w:pPr>
        <w:pStyle w:val="ListParagraph"/>
        <w:numPr>
          <w:ilvl w:val="0"/>
          <w:numId w:val="3"/>
        </w:numPr>
        <w:spacing w:line="276" w:lineRule="auto"/>
        <w:ind w:left="357" w:hanging="357"/>
      </w:pPr>
      <w:r w:rsidRPr="00FF1EF3">
        <w:t>sottolinea che una normativa fiscale internazionale opportunamente concepita per le imprese digitali è determinante per la prevenzione delle pratiche di evasione ed elusione fiscali, nonché per la definizione di un sistema fiscale equo, stabile e progressivo.</w:t>
      </w:r>
    </w:p>
    <w:p w:rsidRPr="00FF1EF3" w:rsidR="003E692C" w:rsidP="003E692C" w:rsidRDefault="003E692C" w14:paraId="176DA90D" w14:textId="77777777">
      <w:pPr>
        <w:pStyle w:val="ListParagraph"/>
        <w:spacing w:line="276" w:lineRule="auto"/>
        <w:ind w:left="357"/>
      </w:pPr>
    </w:p>
    <w:p w:rsidRPr="00FF1EF3" w:rsidR="00AA05F8" w:rsidP="0004205F" w:rsidRDefault="00AA05F8" w14:paraId="64FB268C" w14:textId="77777777">
      <w:pPr>
        <w:pStyle w:val="ListParagraph"/>
        <w:spacing w:line="276" w:lineRule="auto"/>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04205F" w:rsidTr="008B66DD" w14:paraId="42ABA59B" w14:textId="77777777">
        <w:tc>
          <w:tcPr>
            <w:tcW w:w="1418" w:type="dxa"/>
          </w:tcPr>
          <w:p w:rsidRPr="00FF1EF3" w:rsidR="0004205F" w:rsidP="008B66DD" w:rsidRDefault="0004205F" w14:paraId="1202A600" w14:textId="77777777">
            <w:pPr>
              <w:pStyle w:val="ListParagraph"/>
              <w:spacing w:line="276" w:lineRule="auto"/>
              <w:ind w:left="0"/>
              <w:rPr>
                <w:i/>
              </w:rPr>
            </w:pPr>
            <w:r w:rsidRPr="00FF1EF3">
              <w:rPr>
                <w:b/>
                <w:i/>
              </w:rPr>
              <w:t>Contatto</w:t>
            </w:r>
          </w:p>
        </w:tc>
        <w:tc>
          <w:tcPr>
            <w:tcW w:w="5670" w:type="dxa"/>
          </w:tcPr>
          <w:p w:rsidRPr="00FF1EF3" w:rsidR="0004205F" w:rsidP="008B66DD" w:rsidRDefault="0004205F" w14:paraId="0AA6F903" w14:textId="77777777">
            <w:pPr>
              <w:pStyle w:val="ListParagraph"/>
              <w:spacing w:line="276" w:lineRule="auto"/>
              <w:ind w:left="0"/>
              <w:rPr>
                <w:i/>
              </w:rPr>
            </w:pPr>
            <w:r w:rsidRPr="00FF1EF3">
              <w:rPr>
                <w:i/>
              </w:rPr>
              <w:t>Jüri SOOSAAR</w:t>
            </w:r>
          </w:p>
        </w:tc>
      </w:tr>
      <w:tr w:rsidRPr="00FF1EF3" w:rsidR="0004205F" w:rsidTr="008B66DD" w14:paraId="7385889A" w14:textId="77777777">
        <w:tc>
          <w:tcPr>
            <w:tcW w:w="1418" w:type="dxa"/>
          </w:tcPr>
          <w:p w:rsidRPr="00FF1EF3" w:rsidR="0004205F" w:rsidP="008B66DD" w:rsidRDefault="0004205F" w14:paraId="4DFD0A04" w14:textId="77777777">
            <w:pPr>
              <w:pStyle w:val="ListParagraph"/>
              <w:spacing w:line="276" w:lineRule="auto"/>
              <w:ind w:left="601"/>
              <w:rPr>
                <w:i/>
              </w:rPr>
            </w:pPr>
            <w:r w:rsidRPr="00FF1EF3">
              <w:rPr>
                <w:i/>
              </w:rPr>
              <w:t>Tel.</w:t>
            </w:r>
          </w:p>
        </w:tc>
        <w:tc>
          <w:tcPr>
            <w:tcW w:w="5670" w:type="dxa"/>
          </w:tcPr>
          <w:p w:rsidRPr="00FF1EF3" w:rsidR="0004205F" w:rsidP="008B66DD" w:rsidRDefault="0004205F" w14:paraId="7F762C11" w14:textId="77777777">
            <w:pPr>
              <w:pStyle w:val="ListParagraph"/>
              <w:spacing w:line="276" w:lineRule="auto"/>
              <w:ind w:left="0"/>
              <w:rPr>
                <w:i/>
              </w:rPr>
            </w:pPr>
            <w:r w:rsidRPr="00FF1EF3">
              <w:rPr>
                <w:i/>
              </w:rPr>
              <w:t>00 32 2 546 97 95</w:t>
            </w:r>
          </w:p>
        </w:tc>
      </w:tr>
      <w:tr w:rsidRPr="00FF1EF3" w:rsidR="0004205F" w:rsidTr="008B66DD" w14:paraId="44BC51C1" w14:textId="77777777">
        <w:tc>
          <w:tcPr>
            <w:tcW w:w="1418" w:type="dxa"/>
          </w:tcPr>
          <w:p w:rsidRPr="00FF1EF3" w:rsidR="0004205F" w:rsidP="008B66DD" w:rsidRDefault="00FF1EF3" w14:paraId="64D662AC" w14:textId="5F85D710">
            <w:pPr>
              <w:pStyle w:val="ListParagraph"/>
              <w:spacing w:line="276" w:lineRule="auto"/>
              <w:ind w:left="601"/>
              <w:rPr>
                <w:i/>
              </w:rPr>
            </w:pPr>
            <w:r w:rsidRPr="00FF1EF3">
              <w:rPr>
                <w:i/>
              </w:rPr>
              <w:t>E</w:t>
            </w:r>
            <w:r w:rsidRPr="00FF1EF3" w:rsidR="0004205F">
              <w:rPr>
                <w:i/>
              </w:rPr>
              <w:t>-mail</w:t>
            </w:r>
          </w:p>
        </w:tc>
        <w:tc>
          <w:tcPr>
            <w:tcW w:w="5670" w:type="dxa"/>
          </w:tcPr>
          <w:p w:rsidRPr="00FF1EF3" w:rsidR="0004205F" w:rsidP="008B66DD" w:rsidRDefault="004F624E" w14:paraId="0F943B87" w14:textId="77777777">
            <w:pPr>
              <w:pStyle w:val="ListParagraph"/>
              <w:spacing w:line="276" w:lineRule="auto"/>
              <w:ind w:left="0"/>
              <w:rPr>
                <w:i/>
              </w:rPr>
            </w:pPr>
            <w:hyperlink w:history="1" r:id="rId22">
              <w:r w:rsidRPr="00FF1EF3" w:rsidR="00462EFB">
                <w:rPr>
                  <w:rStyle w:val="Hyperlink"/>
                  <w:i/>
                </w:rPr>
                <w:t>Juri.Soosar@eesc.europa.eu</w:t>
              </w:r>
            </w:hyperlink>
          </w:p>
        </w:tc>
      </w:tr>
    </w:tbl>
    <w:p w:rsidRPr="00FF1EF3" w:rsidR="00D35512" w:rsidRDefault="00D35512" w14:paraId="07993D4C" w14:textId="52CB357C">
      <w:pPr>
        <w:spacing w:after="160" w:line="259" w:lineRule="auto"/>
        <w:jc w:val="left"/>
      </w:pPr>
    </w:p>
    <w:p w:rsidRPr="00FF1EF3" w:rsidR="00D35512" w:rsidRDefault="00D35512" w14:paraId="58CFB761" w14:textId="77777777">
      <w:pPr>
        <w:spacing w:after="160" w:line="259" w:lineRule="auto"/>
        <w:jc w:val="left"/>
      </w:pPr>
      <w:r w:rsidRPr="00FF1EF3">
        <w:br w:type="page"/>
      </w:r>
    </w:p>
    <w:p w:rsidRPr="00FF1EF3" w:rsidR="00DC17CF" w:rsidP="00DC17CF" w:rsidRDefault="0004205F" w14:paraId="1CD13A78" w14:textId="77777777">
      <w:pPr>
        <w:keepNext/>
        <w:numPr>
          <w:ilvl w:val="0"/>
          <w:numId w:val="2"/>
        </w:numPr>
        <w:ind w:left="567" w:hanging="567"/>
        <w:contextualSpacing/>
        <w:rPr>
          <w:b/>
          <w:i/>
          <w:sz w:val="28"/>
          <w:szCs w:val="28"/>
        </w:rPr>
      </w:pPr>
      <w:r w:rsidRPr="00FF1EF3">
        <w:rPr>
          <w:b/>
          <w:i/>
          <w:sz w:val="28"/>
        </w:rPr>
        <w:t>Revisione delle norme sui depositari centrali di titoli</w:t>
      </w:r>
    </w:p>
    <w:p w:rsidRPr="00FF1EF3" w:rsidR="0004205F" w:rsidP="00B44BB9" w:rsidRDefault="0004205F" w14:paraId="21BCC75E" w14:textId="77777777">
      <w:pPr>
        <w:keepNext/>
        <w:ind w:left="567"/>
        <w:contextualSpacing/>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766"/>
        <w:gridCol w:w="755"/>
      </w:tblGrid>
      <w:tr w:rsidRPr="00FF1EF3" w:rsidR="0004205F" w:rsidTr="008B66DD" w14:paraId="049361FD" w14:textId="77777777">
        <w:tc>
          <w:tcPr>
            <w:tcW w:w="1701" w:type="dxa"/>
          </w:tcPr>
          <w:p w:rsidRPr="00FF1EF3" w:rsidR="0004205F" w:rsidP="0004205F" w:rsidRDefault="00FF1EF3" w14:paraId="62391659" w14:textId="62A4C5FA">
            <w:pPr>
              <w:pStyle w:val="ListParagraph"/>
              <w:spacing w:line="240" w:lineRule="auto"/>
              <w:ind w:left="-142" w:firstLine="142"/>
              <w:rPr>
                <w:b/>
              </w:rPr>
            </w:pPr>
            <w:r w:rsidRPr="00FF1EF3">
              <w:rPr>
                <w:b/>
              </w:rPr>
              <w:t>Relatore</w:t>
            </w:r>
          </w:p>
        </w:tc>
        <w:tc>
          <w:tcPr>
            <w:tcW w:w="6521" w:type="dxa"/>
            <w:gridSpan w:val="2"/>
          </w:tcPr>
          <w:p w:rsidRPr="00FF1EF3" w:rsidR="0004205F" w:rsidP="0004205F" w:rsidRDefault="0004205F" w14:paraId="431B2CD3" w14:textId="77777777">
            <w:pPr>
              <w:pStyle w:val="ListParagraph"/>
              <w:ind w:left="-60" w:right="-55"/>
            </w:pPr>
            <w:r w:rsidRPr="00FF1EF3">
              <w:t>Kęstutis KUPŠYS (Organizzazioni della società civile - LT)</w:t>
            </w:r>
          </w:p>
        </w:tc>
      </w:tr>
      <w:tr w:rsidRPr="00FF1EF3" w:rsidR="0004205F" w:rsidTr="008B66DD" w14:paraId="6A254F6C" w14:textId="77777777">
        <w:tc>
          <w:tcPr>
            <w:tcW w:w="1701" w:type="dxa"/>
          </w:tcPr>
          <w:p w:rsidRPr="00FF1EF3" w:rsidR="0004205F" w:rsidP="0004205F" w:rsidRDefault="00FF1EF3" w14:paraId="2522D764" w14:textId="782C0830">
            <w:pPr>
              <w:pStyle w:val="ListParagraph"/>
              <w:ind w:left="0"/>
              <w:rPr>
                <w:b/>
              </w:rPr>
            </w:pPr>
            <w:r w:rsidRPr="00FF1EF3">
              <w:rPr>
                <w:b/>
              </w:rPr>
              <w:t>Correlatore</w:t>
            </w:r>
          </w:p>
        </w:tc>
        <w:tc>
          <w:tcPr>
            <w:tcW w:w="6521" w:type="dxa"/>
            <w:gridSpan w:val="2"/>
          </w:tcPr>
          <w:p w:rsidRPr="00FF1EF3" w:rsidR="0004205F" w:rsidP="0004205F" w:rsidRDefault="0004205F" w14:paraId="44ADDECF" w14:textId="77777777">
            <w:pPr>
              <w:pStyle w:val="ListParagraph"/>
              <w:tabs>
                <w:tab w:val="left" w:pos="838"/>
              </w:tabs>
              <w:ind w:left="-61"/>
            </w:pPr>
            <w:r w:rsidRPr="00FF1EF3">
              <w:t>Christophe LEFÈVRE (Lavoratori - FR)</w:t>
            </w:r>
          </w:p>
          <w:p w:rsidRPr="00FF1EF3" w:rsidR="0004205F" w:rsidP="0004205F" w:rsidRDefault="0004205F" w14:paraId="5D498FFA" w14:textId="77777777">
            <w:pPr>
              <w:pStyle w:val="ListParagraph"/>
              <w:tabs>
                <w:tab w:val="left" w:pos="838"/>
              </w:tabs>
              <w:ind w:left="-61"/>
            </w:pPr>
          </w:p>
        </w:tc>
      </w:tr>
      <w:tr w:rsidRPr="00FF1EF3" w:rsidR="0004205F" w:rsidTr="00326919" w14:paraId="793D9F9A" w14:textId="77777777">
        <w:tblPrEx>
          <w:tblCellMar>
            <w:left w:w="108" w:type="dxa"/>
            <w:right w:w="108" w:type="dxa"/>
          </w:tblCellMar>
        </w:tblPrEx>
        <w:trPr>
          <w:gridAfter w:val="1"/>
          <w:wAfter w:w="755" w:type="dxa"/>
          <w:trHeight w:val="636"/>
        </w:trPr>
        <w:tc>
          <w:tcPr>
            <w:tcW w:w="1701" w:type="dxa"/>
          </w:tcPr>
          <w:p w:rsidRPr="00FF1EF3" w:rsidR="0004205F" w:rsidP="0004205F" w:rsidRDefault="0004205F" w14:paraId="3464C7C3" w14:textId="77777777">
            <w:pPr>
              <w:pStyle w:val="ListParagraph"/>
              <w:ind w:left="0" w:hanging="108"/>
              <w:rPr>
                <w:b/>
              </w:rPr>
            </w:pPr>
            <w:r w:rsidRPr="00FF1EF3">
              <w:rPr>
                <w:b/>
              </w:rPr>
              <w:t xml:space="preserve">Riferimenti </w:t>
            </w:r>
          </w:p>
        </w:tc>
        <w:tc>
          <w:tcPr>
            <w:tcW w:w="5766" w:type="dxa"/>
          </w:tcPr>
          <w:p w:rsidRPr="00FF1EF3" w:rsidR="0004205F" w:rsidP="0004205F" w:rsidRDefault="0004205F" w14:paraId="19506267" w14:textId="77777777">
            <w:pPr>
              <w:pStyle w:val="ListParagraph"/>
              <w:ind w:left="-108"/>
            </w:pPr>
            <w:r w:rsidRPr="00FF1EF3">
              <w:t>COM(2022) 120 final</w:t>
            </w:r>
          </w:p>
          <w:p w:rsidRPr="00FF1EF3" w:rsidR="0004205F" w:rsidP="0004205F" w:rsidRDefault="00765C4F" w14:paraId="3BDBC5BC" w14:textId="77777777">
            <w:pPr>
              <w:pStyle w:val="ListParagraph"/>
              <w:ind w:left="-108"/>
            </w:pPr>
            <w:r w:rsidRPr="00FF1EF3">
              <w:t>EESC-2022-01786-00-00-AC</w:t>
            </w:r>
          </w:p>
        </w:tc>
      </w:tr>
    </w:tbl>
    <w:p w:rsidRPr="00FF1EF3" w:rsidR="00DC17CF" w:rsidP="00DC17CF" w:rsidRDefault="00DC17CF" w14:paraId="4C20BCC6" w14:textId="77777777">
      <w:pPr>
        <w:contextualSpacing/>
      </w:pPr>
    </w:p>
    <w:p w:rsidRPr="00FF1EF3" w:rsidR="00DC17CF" w:rsidP="00DC17CF" w:rsidRDefault="00DC17CF" w14:paraId="1EF6CC14" w14:textId="77777777">
      <w:pPr>
        <w:pStyle w:val="ListParagraph"/>
        <w:spacing w:line="240" w:lineRule="auto"/>
        <w:ind w:left="-142" w:firstLine="142"/>
        <w:rPr>
          <w:b/>
        </w:rPr>
      </w:pPr>
      <w:r w:rsidRPr="00FF1EF3">
        <w:rPr>
          <w:b/>
        </w:rPr>
        <w:t>Punti principali</w:t>
      </w:r>
    </w:p>
    <w:p w:rsidRPr="00FF1EF3" w:rsidR="00DC17CF" w:rsidP="00DC17CF" w:rsidRDefault="00DC17CF" w14:paraId="7CFFCE10" w14:textId="77777777">
      <w:pPr>
        <w:contextualSpacing/>
      </w:pPr>
    </w:p>
    <w:p w:rsidRPr="00FF1EF3" w:rsidR="00DC17CF" w:rsidP="00326919" w:rsidRDefault="00DC17CF" w14:paraId="7C9141DB" w14:textId="77777777">
      <w:pPr>
        <w:pStyle w:val="ListParagraph"/>
        <w:spacing w:line="240" w:lineRule="auto"/>
        <w:ind w:left="0"/>
      </w:pPr>
      <w:r w:rsidRPr="00FF1EF3">
        <w:t>Il CESE:</w:t>
      </w:r>
    </w:p>
    <w:p w:rsidRPr="00FF1EF3" w:rsidR="00DC17CF" w:rsidP="00DC17CF" w:rsidRDefault="00DC17CF" w14:paraId="6B986D1C" w14:textId="77777777">
      <w:pPr>
        <w:contextualSpacing/>
        <w:rPr>
          <w:lang w:val="fr-FR"/>
        </w:rPr>
      </w:pPr>
    </w:p>
    <w:p w:rsidRPr="00FF1EF3" w:rsidR="00502B04" w:rsidP="00502B04" w:rsidRDefault="00F71666" w14:paraId="519EC36E" w14:textId="21CC0365">
      <w:pPr>
        <w:numPr>
          <w:ilvl w:val="0"/>
          <w:numId w:val="3"/>
        </w:numPr>
        <w:ind w:left="357" w:hanging="357"/>
        <w:contextualSpacing/>
      </w:pPr>
      <w:r w:rsidRPr="00FF1EF3">
        <w:t>ritiene che le soluzioni proposte dalla Commissione ai cinque problemi principali individuati durante il processo di riesame del regolamento sui depositari centrali di titoli (</w:t>
      </w:r>
      <w:r w:rsidRPr="00FF1EF3">
        <w:rPr>
          <w:i/>
          <w:iCs/>
        </w:rPr>
        <w:t>Central Securities Depositories Regulation</w:t>
      </w:r>
      <w:r w:rsidRPr="00FF1EF3">
        <w:t xml:space="preserve"> - CSDR) siano, in generale, sufficienti ed efficaci;</w:t>
      </w:r>
    </w:p>
    <w:p w:rsidRPr="00FF1EF3" w:rsidR="00DC17CF" w:rsidP="00DC17CF" w:rsidRDefault="00F71666" w14:paraId="1B2322B6" w14:textId="1DBA4E52">
      <w:pPr>
        <w:numPr>
          <w:ilvl w:val="0"/>
          <w:numId w:val="3"/>
        </w:numPr>
        <w:ind w:left="357" w:hanging="357"/>
        <w:contextualSpacing/>
      </w:pPr>
      <w:r w:rsidRPr="00FF1EF3">
        <w:t>accoglie con favore le iniziative della Commissione volte a sostituire i requisiti esistenti relativi ai passaporti con una notifica, nonché la proposta relativa ai collegi di vigilanza;</w:t>
      </w:r>
    </w:p>
    <w:p w:rsidRPr="00FF1EF3" w:rsidR="00DC17CF" w:rsidP="00DC17CF" w:rsidRDefault="00F71666" w14:paraId="2DF768E0" w14:textId="47D817FB">
      <w:pPr>
        <w:numPr>
          <w:ilvl w:val="0"/>
          <w:numId w:val="3"/>
        </w:numPr>
        <w:ind w:left="357" w:hanging="357"/>
        <w:contextualSpacing/>
      </w:pPr>
      <w:r w:rsidRPr="00FF1EF3">
        <w:t>ritiene che soluzioni basate sul regolamento in moneta di banca centrale offrano delle opportunità per quanto riguarda la prestazione di servizi accessori di tipo bancario. Un maggiore utilizzo dell'attuale piattaforma per il regolamento - denominata Target2-Securities (T2S) - ridurrebbe i rischi;</w:t>
      </w:r>
    </w:p>
    <w:p w:rsidRPr="00FF1EF3" w:rsidR="00A86E2C" w:rsidP="0004205F" w:rsidRDefault="00F71666" w14:paraId="077F1B2A" w14:textId="6B62A243">
      <w:pPr>
        <w:numPr>
          <w:ilvl w:val="0"/>
          <w:numId w:val="3"/>
        </w:numPr>
        <w:ind w:left="357" w:hanging="357"/>
        <w:contextualSpacing/>
      </w:pPr>
      <w:r w:rsidRPr="00FF1EF3">
        <w:t>raccomanda di integrare la proposta della Commissione con disposizioni sul riconoscimento del ruolo centrale di T2S per l'infrastruttura europea del regolamento titoli;</w:t>
      </w:r>
    </w:p>
    <w:p w:rsidRPr="00FF1EF3" w:rsidR="00F71666" w:rsidP="0004205F" w:rsidRDefault="00F71666" w14:paraId="41F7CB84" w14:textId="2FB4B7ED">
      <w:pPr>
        <w:numPr>
          <w:ilvl w:val="0"/>
          <w:numId w:val="3"/>
        </w:numPr>
        <w:ind w:left="357" w:hanging="357"/>
        <w:contextualSpacing/>
      </w:pPr>
      <w:r w:rsidRPr="00FF1EF3">
        <w:t>osserva che l'approccio "in due fasi" per quanto riguarda gli acquisti forzosi obbligatori non dovrebbe essere preso in considerazione fino a quando non saranno esaminate in dettaglio le ragioni alla base dei mancati regolamenti e non verrà fatta chiarezza sull'efficacia di altre misure;</w:t>
      </w:r>
    </w:p>
    <w:p w:rsidRPr="00FF1EF3" w:rsidR="00F71666" w:rsidP="0004205F" w:rsidRDefault="00F71666" w14:paraId="4300CB13" w14:textId="3735AC49">
      <w:pPr>
        <w:numPr>
          <w:ilvl w:val="0"/>
          <w:numId w:val="3"/>
        </w:numPr>
        <w:ind w:left="357" w:hanging="357"/>
        <w:contextualSpacing/>
      </w:pPr>
      <w:r w:rsidRPr="00FF1EF3">
        <w:t>raccomanda azioni volte ad accorciare le "catene di comando" nelle operazioni di regolamento titoli e suggerisce di prendere in considerazione il ricorso su larga scala alla tecnica di</w:t>
      </w:r>
      <w:r w:rsidRPr="00FF1EF3">
        <w:rPr>
          <w:i/>
          <w:iCs/>
        </w:rPr>
        <w:t xml:space="preserve"> pre-matching</w:t>
      </w:r>
      <w:r w:rsidRPr="00FF1EF3">
        <w:t xml:space="preserve"> (ossia, un confronto preliminare) al fine di ridurre i mancati regolamenti;</w:t>
      </w:r>
    </w:p>
    <w:p w:rsidRPr="00FF1EF3" w:rsidR="00F71666" w:rsidP="0004205F" w:rsidRDefault="00F71666" w14:paraId="211F343A" w14:textId="458017F2">
      <w:pPr>
        <w:numPr>
          <w:ilvl w:val="0"/>
          <w:numId w:val="3"/>
        </w:numPr>
        <w:ind w:left="357" w:hanging="357"/>
        <w:contextualSpacing/>
      </w:pPr>
      <w:r w:rsidRPr="00FF1EF3">
        <w:t>avverte che l'introduzione di un regime pilota DLT (</w:t>
      </w:r>
      <w:r w:rsidRPr="00FF1EF3">
        <w:rPr>
          <w:i/>
          <w:iCs/>
        </w:rPr>
        <w:t>Distributed Ledger Technology</w:t>
      </w:r>
      <w:r w:rsidRPr="00FF1EF3">
        <w:t xml:space="preserve"> = tecnologia di registro distribuito) non deve costituire un precedente per rendere meno rigorose le norme esistenti in materia di comportamento del mercato e protezione degli investitori. Per ridurre il rischio di controparte, i depositari centrali di titoli (CSD) dovrebbero svolgere un ruolo centrale nella gestione delle reti DLT;</w:t>
      </w:r>
    </w:p>
    <w:p w:rsidRPr="00FF1EF3" w:rsidR="00F71666" w:rsidP="0004205F" w:rsidRDefault="00F71666" w14:paraId="5E238A5C" w14:textId="128D34F4">
      <w:pPr>
        <w:numPr>
          <w:ilvl w:val="0"/>
          <w:numId w:val="3"/>
        </w:numPr>
        <w:ind w:left="357" w:hanging="357"/>
        <w:contextualSpacing/>
      </w:pPr>
      <w:r w:rsidRPr="00FF1EF3">
        <w:t>propone che i CSD, gli emittenti e i loro clienti abbiano l'obbligo di istituire un meccanismo per lo scambio e la condivisione dei dati pertinenti per l'applicazione di sanzioni europee.</w:t>
      </w:r>
    </w:p>
    <w:p w:rsidRPr="00FF1EF3" w:rsidR="00DC17CF" w:rsidP="00DC17CF" w:rsidRDefault="00DC17CF" w14:paraId="3241E02B" w14:textId="77777777"/>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DC17CF" w:rsidTr="00DC17CF" w14:paraId="477A3227" w14:textId="77777777">
        <w:tc>
          <w:tcPr>
            <w:tcW w:w="1418" w:type="dxa"/>
          </w:tcPr>
          <w:p w:rsidRPr="00FF1EF3" w:rsidR="00DC17CF" w:rsidP="00DC17CF" w:rsidRDefault="00DC17CF" w14:paraId="24419728" w14:textId="77777777">
            <w:pPr>
              <w:contextualSpacing/>
              <w:rPr>
                <w:i/>
              </w:rPr>
            </w:pPr>
            <w:r w:rsidRPr="00FF1EF3">
              <w:rPr>
                <w:b/>
                <w:i/>
              </w:rPr>
              <w:t>Contatto</w:t>
            </w:r>
          </w:p>
        </w:tc>
        <w:tc>
          <w:tcPr>
            <w:tcW w:w="5670" w:type="dxa"/>
          </w:tcPr>
          <w:p w:rsidRPr="00FF1EF3" w:rsidR="00DC17CF" w:rsidP="00DC17CF" w:rsidRDefault="0004205F" w14:paraId="0350A297" w14:textId="77777777">
            <w:pPr>
              <w:contextualSpacing/>
              <w:rPr>
                <w:i/>
              </w:rPr>
            </w:pPr>
            <w:r w:rsidRPr="00FF1EF3">
              <w:rPr>
                <w:i/>
              </w:rPr>
              <w:t>Sergio Lorencio MATALLANA</w:t>
            </w:r>
          </w:p>
        </w:tc>
      </w:tr>
      <w:tr w:rsidRPr="00FF1EF3" w:rsidR="00DC17CF" w:rsidTr="00DC17CF" w14:paraId="0777FDE7" w14:textId="77777777">
        <w:tc>
          <w:tcPr>
            <w:tcW w:w="1418" w:type="dxa"/>
          </w:tcPr>
          <w:p w:rsidRPr="00FF1EF3" w:rsidR="00DC17CF" w:rsidP="00DC17CF" w:rsidRDefault="00DC17CF" w14:paraId="35E2DDF5" w14:textId="77777777">
            <w:pPr>
              <w:ind w:left="601"/>
              <w:contextualSpacing/>
              <w:rPr>
                <w:i/>
              </w:rPr>
            </w:pPr>
            <w:r w:rsidRPr="00FF1EF3">
              <w:rPr>
                <w:i/>
              </w:rPr>
              <w:t>Tel.</w:t>
            </w:r>
          </w:p>
        </w:tc>
        <w:tc>
          <w:tcPr>
            <w:tcW w:w="5670" w:type="dxa"/>
          </w:tcPr>
          <w:p w:rsidRPr="00FF1EF3" w:rsidR="00DC17CF" w:rsidP="00DC17CF" w:rsidRDefault="00A86E2C" w14:paraId="5B69DE0A" w14:textId="77777777">
            <w:pPr>
              <w:contextualSpacing/>
              <w:rPr>
                <w:i/>
              </w:rPr>
            </w:pPr>
            <w:r w:rsidRPr="00FF1EF3">
              <w:rPr>
                <w:i/>
              </w:rPr>
              <w:t>00 32 2 546 92 40</w:t>
            </w:r>
          </w:p>
        </w:tc>
      </w:tr>
      <w:tr w:rsidRPr="00FF1EF3" w:rsidR="0004205F" w:rsidTr="008B66DD" w14:paraId="32942CB5" w14:textId="77777777">
        <w:tc>
          <w:tcPr>
            <w:tcW w:w="1418" w:type="dxa"/>
          </w:tcPr>
          <w:p w:rsidRPr="00FF1EF3" w:rsidR="0004205F" w:rsidP="0004205F" w:rsidRDefault="00FF1EF3" w14:paraId="21543959" w14:textId="5DE939C9">
            <w:pPr>
              <w:ind w:left="601"/>
              <w:contextualSpacing/>
              <w:rPr>
                <w:i/>
              </w:rPr>
            </w:pPr>
            <w:r w:rsidRPr="00FF1EF3">
              <w:rPr>
                <w:i/>
              </w:rPr>
              <w:t>E</w:t>
            </w:r>
            <w:r w:rsidRPr="00FF1EF3" w:rsidR="0004205F">
              <w:rPr>
                <w:i/>
              </w:rPr>
              <w:t>-mail</w:t>
            </w:r>
          </w:p>
        </w:tc>
        <w:tc>
          <w:tcPr>
            <w:tcW w:w="5670" w:type="dxa"/>
          </w:tcPr>
          <w:p w:rsidRPr="00FF1EF3" w:rsidR="0004205F" w:rsidP="0004205F" w:rsidRDefault="004F624E" w14:paraId="3728C82D" w14:textId="77777777">
            <w:pPr>
              <w:spacing w:after="160" w:line="259" w:lineRule="auto"/>
              <w:jc w:val="left"/>
            </w:pPr>
            <w:hyperlink w:history="1" r:id="rId23">
              <w:r w:rsidRPr="00FF1EF3" w:rsidR="00462EFB">
                <w:rPr>
                  <w:rStyle w:val="Hyperlink"/>
                  <w:i/>
                </w:rPr>
                <w:t>Sergio.LorencioMatallana@eesc.europa.eu</w:t>
              </w:r>
            </w:hyperlink>
            <w:r w:rsidRPr="00FF1EF3" w:rsidR="00462EFB">
              <w:rPr>
                <w:i/>
              </w:rPr>
              <w:t xml:space="preserve"> </w:t>
            </w:r>
          </w:p>
        </w:tc>
      </w:tr>
    </w:tbl>
    <w:p w:rsidRPr="00FF1EF3" w:rsidR="00B44BB9" w:rsidRDefault="00B44BB9" w14:paraId="7983E4BB" w14:textId="77777777">
      <w:pPr>
        <w:spacing w:after="160" w:line="259" w:lineRule="auto"/>
        <w:jc w:val="left"/>
      </w:pPr>
    </w:p>
    <w:p w:rsidRPr="00FF1EF3" w:rsidR="00B44BB9" w:rsidRDefault="00B44BB9" w14:paraId="53EAD6FD" w14:textId="77777777">
      <w:pPr>
        <w:spacing w:after="160" w:line="259" w:lineRule="auto"/>
        <w:jc w:val="left"/>
      </w:pPr>
      <w:r w:rsidRPr="00FF1EF3">
        <w:br w:type="page"/>
      </w:r>
    </w:p>
    <w:p w:rsidRPr="00FF1EF3" w:rsidR="004D7AC0" w:rsidRDefault="004D7AC0" w14:paraId="73D829D0" w14:textId="5DE66773">
      <w:pPr>
        <w:pStyle w:val="Heading1"/>
        <w:rPr>
          <w:b/>
        </w:rPr>
      </w:pPr>
      <w:bookmarkStart w:name="_Toc75527081" w:id="3"/>
      <w:bookmarkStart w:name="_Toc110414438" w:id="4"/>
      <w:r w:rsidRPr="00FF1EF3">
        <w:rPr>
          <w:b/>
        </w:rPr>
        <w:t xml:space="preserve">OCCUPAZIONE, AFFARI SOCIALI </w:t>
      </w:r>
      <w:r w:rsidRPr="00FF1EF3" w:rsidR="00FF1EF3">
        <w:rPr>
          <w:b/>
        </w:rPr>
        <w:t>E</w:t>
      </w:r>
      <w:r w:rsidRPr="00FF1EF3">
        <w:rPr>
          <w:b/>
        </w:rPr>
        <w:t xml:space="preserve"> CITTADINANZA</w:t>
      </w:r>
      <w:bookmarkEnd w:id="3"/>
      <w:bookmarkEnd w:id="4"/>
    </w:p>
    <w:p w:rsidRPr="00FF1EF3" w:rsidR="00775FDA" w:rsidP="0018231C" w:rsidRDefault="00775FDA" w14:paraId="46C917A8" w14:textId="77777777">
      <w:pPr>
        <w:spacing w:line="259" w:lineRule="auto"/>
        <w:jc w:val="left"/>
        <w:rPr>
          <w:b/>
        </w:rPr>
      </w:pPr>
    </w:p>
    <w:p w:rsidRPr="00FF1EF3" w:rsidR="00DA608B" w:rsidRDefault="00DA2D88" w14:paraId="2B9D750E" w14:textId="7E36CE8F">
      <w:pPr>
        <w:pStyle w:val="ListParagraph"/>
        <w:numPr>
          <w:ilvl w:val="0"/>
          <w:numId w:val="2"/>
        </w:numPr>
        <w:ind w:left="567" w:hanging="567"/>
        <w:rPr>
          <w:i/>
          <w:sz w:val="28"/>
          <w:szCs w:val="28"/>
        </w:rPr>
      </w:pPr>
      <w:r w:rsidRPr="00FF1EF3">
        <w:rPr>
          <w:b/>
          <w:i/>
          <w:sz w:val="28"/>
        </w:rPr>
        <w:t>COVID-19 – Sostenere la preparazione e la risposta dell'UE: prospettive future</w:t>
      </w:r>
    </w:p>
    <w:p w:rsidRPr="00FF1EF3" w:rsidR="00DA608B" w:rsidP="0018231C" w:rsidRDefault="00DA608B" w14:paraId="52A05893"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5232"/>
      </w:tblGrid>
      <w:tr w:rsidRPr="00FF1EF3" w:rsidR="00DA608B" w:rsidTr="00910972" w14:paraId="5CC43C80" w14:textId="77777777">
        <w:trPr>
          <w:trHeight w:val="309"/>
        </w:trPr>
        <w:tc>
          <w:tcPr>
            <w:tcW w:w="2235" w:type="dxa"/>
          </w:tcPr>
          <w:p w:rsidRPr="00FF1EF3" w:rsidR="00DA608B" w:rsidP="00150AD8" w:rsidRDefault="00FF1EF3" w14:paraId="27FDCFCA" w14:textId="4FE14E72">
            <w:pPr>
              <w:pStyle w:val="ListParagraph"/>
              <w:ind w:left="0" w:right="-978" w:hanging="108"/>
              <w:rPr>
                <w:b/>
              </w:rPr>
            </w:pPr>
            <w:r w:rsidRPr="00FF1EF3">
              <w:rPr>
                <w:b/>
              </w:rPr>
              <w:t>Relatrice</w:t>
            </w:r>
            <w:r w:rsidRPr="00FF1EF3" w:rsidR="00DA608B">
              <w:rPr>
                <w:b/>
              </w:rPr>
              <w:t xml:space="preserve"> generale</w:t>
            </w:r>
          </w:p>
          <w:p w:rsidRPr="00FF1EF3" w:rsidR="000C43E2" w:rsidP="00150AD8" w:rsidRDefault="000C43E2" w14:paraId="6C72EBF9" w14:textId="676EFD71">
            <w:pPr>
              <w:pStyle w:val="ListParagraph"/>
              <w:ind w:left="0" w:right="-978" w:hanging="108"/>
              <w:rPr>
                <w:b/>
              </w:rPr>
            </w:pPr>
          </w:p>
        </w:tc>
        <w:tc>
          <w:tcPr>
            <w:tcW w:w="5232" w:type="dxa"/>
          </w:tcPr>
          <w:p w:rsidRPr="00FF1EF3" w:rsidR="00DA608B" w:rsidRDefault="00DA2D88" w14:paraId="0FD390DE" w14:textId="77777777">
            <w:pPr>
              <w:pStyle w:val="ListParagraph"/>
              <w:ind w:left="-105"/>
            </w:pPr>
            <w:r w:rsidRPr="00FF1EF3">
              <w:t>Sára FELSZEGHI (Lavoratori - HU)</w:t>
            </w:r>
          </w:p>
          <w:p w:rsidRPr="00FF1EF3" w:rsidR="00DA608B" w:rsidRDefault="00DA608B" w14:paraId="42694D38" w14:textId="77777777">
            <w:pPr>
              <w:pStyle w:val="ListParagraph"/>
              <w:ind w:left="0"/>
            </w:pPr>
          </w:p>
        </w:tc>
      </w:tr>
      <w:tr w:rsidRPr="00FF1EF3" w:rsidR="00DA608B" w:rsidTr="00910972" w14:paraId="0AB50045" w14:textId="77777777">
        <w:trPr>
          <w:trHeight w:val="636"/>
        </w:trPr>
        <w:tc>
          <w:tcPr>
            <w:tcW w:w="2235" w:type="dxa"/>
          </w:tcPr>
          <w:p w:rsidRPr="00FF1EF3" w:rsidR="00DA608B" w:rsidP="00150AD8" w:rsidRDefault="00DA608B" w14:paraId="6F51EE90" w14:textId="77777777">
            <w:pPr>
              <w:pStyle w:val="ListParagraph"/>
              <w:ind w:left="0" w:hanging="108"/>
              <w:rPr>
                <w:b/>
              </w:rPr>
            </w:pPr>
            <w:r w:rsidRPr="00FF1EF3">
              <w:rPr>
                <w:b/>
              </w:rPr>
              <w:t xml:space="preserve">Riferimenti </w:t>
            </w:r>
          </w:p>
        </w:tc>
        <w:tc>
          <w:tcPr>
            <w:tcW w:w="5232" w:type="dxa"/>
          </w:tcPr>
          <w:p w:rsidRPr="00FF1EF3" w:rsidR="00DA608B" w:rsidRDefault="00765C4F" w14:paraId="3539F204" w14:textId="77777777">
            <w:pPr>
              <w:pStyle w:val="ListParagraph"/>
              <w:ind w:left="-108"/>
            </w:pPr>
            <w:r w:rsidRPr="00FF1EF3">
              <w:t>COM(2022) 190 final</w:t>
            </w:r>
          </w:p>
          <w:p w:rsidRPr="00FF1EF3" w:rsidR="00DA608B" w:rsidRDefault="00DA2D88" w14:paraId="0B0645EB" w14:textId="77777777">
            <w:pPr>
              <w:pStyle w:val="ListParagraph"/>
              <w:ind w:left="-108"/>
            </w:pPr>
            <w:r w:rsidRPr="00FF1EF3">
              <w:t>EESC-2022-02844-00-00-AC</w:t>
            </w:r>
          </w:p>
        </w:tc>
      </w:tr>
    </w:tbl>
    <w:p w:rsidRPr="00FF1EF3" w:rsidR="00DA608B" w:rsidRDefault="00DA608B" w14:paraId="5CD81DDF" w14:textId="77777777">
      <w:pPr>
        <w:pStyle w:val="ListParagraph"/>
        <w:ind w:left="0"/>
        <w:rPr>
          <w:b/>
        </w:rPr>
      </w:pPr>
    </w:p>
    <w:p w:rsidRPr="00FF1EF3" w:rsidR="00C76C46" w:rsidP="002C4B6E" w:rsidRDefault="00DA608B" w14:paraId="69FEE6CD" w14:textId="2D579889">
      <w:pPr>
        <w:pStyle w:val="ListParagraph"/>
        <w:spacing w:line="240" w:lineRule="auto"/>
        <w:ind w:left="-142" w:firstLine="142"/>
        <w:rPr>
          <w:b/>
        </w:rPr>
      </w:pPr>
      <w:r w:rsidRPr="00FF1EF3">
        <w:rPr>
          <w:b/>
        </w:rPr>
        <w:t>Punti principali</w:t>
      </w:r>
    </w:p>
    <w:p w:rsidRPr="00FF1EF3" w:rsidR="00C76C46" w:rsidP="00C76C46" w:rsidRDefault="00C76C46" w14:paraId="72E92ACD" w14:textId="77777777">
      <w:pPr>
        <w:pStyle w:val="ListParagraph"/>
        <w:ind w:left="0"/>
        <w:rPr>
          <w:b/>
        </w:rPr>
      </w:pPr>
    </w:p>
    <w:p w:rsidRPr="00FF1EF3" w:rsidR="00813A00" w:rsidP="00150AD8" w:rsidRDefault="001B6460" w14:paraId="761BDCA0" w14:textId="77777777">
      <w:pPr>
        <w:pStyle w:val="ListParagraph"/>
        <w:spacing w:line="240" w:lineRule="auto"/>
        <w:ind w:left="0"/>
      </w:pPr>
      <w:r w:rsidRPr="00FF1EF3">
        <w:t>Il CESE:</w:t>
      </w:r>
    </w:p>
    <w:p w:rsidRPr="00FF1EF3" w:rsidR="00276CC9" w:rsidP="00C76C46" w:rsidRDefault="00276CC9" w14:paraId="25EBE488" w14:textId="77777777">
      <w:pPr>
        <w:pStyle w:val="ListParagraph"/>
        <w:ind w:left="0"/>
      </w:pPr>
    </w:p>
    <w:p w:rsidRPr="00FF1EF3" w:rsidR="00813A00" w:rsidP="0018231C" w:rsidRDefault="00DA2D88" w14:paraId="65AAF95D" w14:textId="77777777">
      <w:pPr>
        <w:pStyle w:val="ListParagraph"/>
        <w:numPr>
          <w:ilvl w:val="0"/>
          <w:numId w:val="3"/>
        </w:numPr>
        <w:ind w:left="357" w:hanging="357"/>
      </w:pPr>
      <w:r w:rsidRPr="00FF1EF3">
        <w:t>ritiene che l'UE debba sviluppare una capacità di risposta immediata per essere in grado di predisporre una reazione rapida alle emergenze sanitarie. Questa strategia dovrebbe comprendere tutti gli elementi di prevenzione (vaccinazione, misure epidemiologiche preventive, istruzione, comunicazione ecc.), cura (medicinali, assistenza ai pazienti, riabilitazione medica, assistenza ecc.), riabilitazione (sul luogo di lavoro, a scuola) e assistenza a lungo termine (con particolare attenzione a coloro che soffrono di "COVID-19 lunga");</w:t>
      </w:r>
    </w:p>
    <w:p w:rsidRPr="00FF1EF3" w:rsidR="00C76C46" w:rsidP="0018231C" w:rsidRDefault="00DA2D88" w14:paraId="6B2D5B52" w14:textId="77777777">
      <w:pPr>
        <w:pStyle w:val="ListParagraph"/>
        <w:numPr>
          <w:ilvl w:val="0"/>
          <w:numId w:val="3"/>
        </w:numPr>
        <w:ind w:left="357" w:hanging="357"/>
      </w:pPr>
      <w:r w:rsidRPr="00FF1EF3">
        <w:t>ritiene che la vaccinazione sia uno dei pilastri della prevenzione e che la strategia vaccinale dell'UE debba essere aggiornata e adattata agli sviluppi in corso;</w:t>
      </w:r>
    </w:p>
    <w:p w:rsidRPr="00FF1EF3" w:rsidR="00C76C46" w:rsidP="0018231C" w:rsidRDefault="00DA2D88" w14:paraId="46154044" w14:textId="77777777">
      <w:pPr>
        <w:pStyle w:val="ListParagraph"/>
        <w:numPr>
          <w:ilvl w:val="0"/>
          <w:numId w:val="3"/>
        </w:numPr>
        <w:ind w:left="357" w:hanging="357"/>
      </w:pPr>
      <w:r w:rsidRPr="00FF1EF3">
        <w:t>reputa essenziale garantire l'affidabilità e la rappresentatività epidemiologica dei test per l'individuazione della COVID-19, per fornire utili orientamenti che consentano di reagire rapidamente. I test antigenici rapidi dovrebbero soddisfare i criteri di prestazione indicati nell'apposito elenco dell'UE;</w:t>
      </w:r>
    </w:p>
    <w:p w:rsidRPr="00FF1EF3" w:rsidR="00C76C46" w:rsidP="0018231C" w:rsidRDefault="00DA2D88" w14:paraId="384F44B3" w14:textId="77777777">
      <w:pPr>
        <w:pStyle w:val="ListParagraph"/>
        <w:numPr>
          <w:ilvl w:val="0"/>
          <w:numId w:val="3"/>
        </w:numPr>
        <w:ind w:left="357" w:hanging="357"/>
      </w:pPr>
      <w:r w:rsidRPr="00FF1EF3">
        <w:t>sottolinea l'importanza della ventilazione quale misura di prevenzione e raccomanda di continuare a indossare la mascherina nei luoghi affollati o con scarsa ventilazione, nei trasporti pubblici ecc., nonché di continuare a mantenere la distanza adeguata ("distanziamento sociale") e a disinfettarsi le mani;</w:t>
      </w:r>
    </w:p>
    <w:p w:rsidRPr="00FF1EF3" w:rsidR="00C76C46" w:rsidP="0018231C" w:rsidRDefault="00DA2D88" w14:paraId="540B5241" w14:textId="77777777">
      <w:pPr>
        <w:pStyle w:val="ListParagraph"/>
        <w:numPr>
          <w:ilvl w:val="0"/>
          <w:numId w:val="3"/>
        </w:numPr>
        <w:ind w:left="357" w:hanging="357"/>
      </w:pPr>
      <w:r w:rsidRPr="00FF1EF3">
        <w:t>ritiene che la sorveglianza epidemiologica debba essere riorientata sugli obiettivi di fornire stime affidabili dell'intensità dell'infezione nella comunità, dell'impatto delle forme gravi della malattia e dell'efficacia dei vaccini. Gli Stati membri dovrebbero sviluppare strategie per ripristinare i sistemi di sorveglianza con organismi di controllo (</w:t>
      </w:r>
      <w:r w:rsidRPr="00FF1EF3">
        <w:rPr>
          <w:i/>
          <w:iCs/>
        </w:rPr>
        <w:t>sentinel surveillance</w:t>
      </w:r>
      <w:r w:rsidRPr="00FF1EF3">
        <w:t>) basati sull'assistenza primaria e secondaria per le infezioni respiratorie acute, integrate dal rafforzamento di altri sistemi di monitoraggio, ad esempio il monitoraggio delle acque reflue. L'UE e gli Stati membri dovrebbero sviluppare congiuntamente un sistema unico di segnalazione;</w:t>
      </w:r>
    </w:p>
    <w:p w:rsidRPr="00FF1EF3" w:rsidR="001B6460" w:rsidP="0018231C" w:rsidRDefault="00DA2D88" w14:paraId="515F6F8A" w14:textId="77777777">
      <w:pPr>
        <w:pStyle w:val="ListParagraph"/>
        <w:numPr>
          <w:ilvl w:val="0"/>
          <w:numId w:val="3"/>
        </w:numPr>
        <w:ind w:left="357" w:hanging="357"/>
      </w:pPr>
      <w:r w:rsidRPr="00FF1EF3">
        <w:t>raccomanda di organizzare campagne di sensibilizzazione per facilitare la comprensione da parte dei cittadini delle misure adottate e della loro importanza. L'UE e l'OMS potrebbero mettere a disposizione del materiale per queste attività;</w:t>
      </w:r>
    </w:p>
    <w:p w:rsidRPr="00FF1EF3" w:rsidR="00DA2D88" w:rsidP="00DA2D88" w:rsidRDefault="00DA2D88" w14:paraId="19EC7866" w14:textId="700DB502">
      <w:pPr>
        <w:pStyle w:val="ListParagraph"/>
        <w:numPr>
          <w:ilvl w:val="0"/>
          <w:numId w:val="3"/>
        </w:numPr>
        <w:ind w:left="357" w:hanging="357"/>
      </w:pPr>
      <w:r w:rsidRPr="00FF1EF3">
        <w:t>raccomanda agli Stati membri di istituire un sistema di monitoraggio e valutazione che, oltre a individuare le notizie false, "contrassegni" quelle verificate da esperti, che dovrebbero essere disponibili nella lingua materna dei cittadini dei vari paesi dell'UE;</w:t>
      </w:r>
    </w:p>
    <w:p w:rsidRPr="00FF1EF3" w:rsidR="00DA2D88" w:rsidP="0018231C" w:rsidRDefault="00DA2D88" w14:paraId="1FD3A8FD" w14:textId="77777777">
      <w:pPr>
        <w:pStyle w:val="ListParagraph"/>
        <w:numPr>
          <w:ilvl w:val="0"/>
          <w:numId w:val="3"/>
        </w:numPr>
        <w:ind w:left="357" w:hanging="357"/>
      </w:pPr>
      <w:r w:rsidRPr="00FF1EF3">
        <w:t>raccomanda di elaborare una documentazione tecnica (linee guida o protocollo) che copra tutti i compiti di cura e di cui sia disponibile online una versione costantemente aggiornata, in tutte le lingue ufficiali dell'UE. La riabilitazione dovrebbe svolgere un ruolo di primo piano nel protocollo/nelle linee guida ed essere garantita dai servizi sanitari competenti, a scuola (dal servizio sanitario scolastico) o sul luogo di lavoro (dal servizio sanitario aziendale).</w:t>
      </w:r>
    </w:p>
    <w:p w:rsidRPr="00FF1EF3" w:rsidR="00DA608B" w:rsidRDefault="00DA608B" w14:paraId="1606B3C6"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AA5C61" w:rsidTr="00670347" w14:paraId="6358F577" w14:textId="77777777">
        <w:tc>
          <w:tcPr>
            <w:tcW w:w="1418" w:type="dxa"/>
          </w:tcPr>
          <w:p w:rsidRPr="00FF1EF3" w:rsidR="00AA5C61" w:rsidP="00B34E93" w:rsidRDefault="00AA5C61" w14:paraId="1A2B7FCF" w14:textId="77777777">
            <w:pPr>
              <w:pStyle w:val="ListParagraph"/>
              <w:keepNext/>
              <w:keepLines/>
              <w:ind w:left="0"/>
              <w:rPr>
                <w:i/>
              </w:rPr>
            </w:pPr>
            <w:r w:rsidRPr="00FF1EF3">
              <w:rPr>
                <w:b/>
                <w:i/>
              </w:rPr>
              <w:t>Contatto</w:t>
            </w:r>
          </w:p>
        </w:tc>
        <w:tc>
          <w:tcPr>
            <w:tcW w:w="5670" w:type="dxa"/>
          </w:tcPr>
          <w:p w:rsidRPr="00FF1EF3" w:rsidR="00AA5C61" w:rsidP="00B34E93" w:rsidRDefault="00DA2D88" w14:paraId="11D2E99D" w14:textId="77777777">
            <w:pPr>
              <w:pStyle w:val="ListParagraph"/>
              <w:keepNext/>
              <w:keepLines/>
              <w:ind w:left="0"/>
              <w:rPr>
                <w:i/>
              </w:rPr>
            </w:pPr>
            <w:r w:rsidRPr="00FF1EF3">
              <w:rPr>
                <w:i/>
              </w:rPr>
              <w:t>Valeria ATZORI</w:t>
            </w:r>
          </w:p>
        </w:tc>
      </w:tr>
      <w:tr w:rsidRPr="00FF1EF3" w:rsidR="00AA5C61" w:rsidTr="00670347" w14:paraId="58D8BC91" w14:textId="77777777">
        <w:tc>
          <w:tcPr>
            <w:tcW w:w="1418" w:type="dxa"/>
          </w:tcPr>
          <w:p w:rsidRPr="00FF1EF3" w:rsidR="00AA5C61" w:rsidP="00B34E93" w:rsidRDefault="00AA5C61" w14:paraId="66CDB05E" w14:textId="77777777">
            <w:pPr>
              <w:pStyle w:val="ListParagraph"/>
              <w:keepNext/>
              <w:keepLines/>
              <w:ind w:left="601"/>
              <w:rPr>
                <w:i/>
              </w:rPr>
            </w:pPr>
            <w:r w:rsidRPr="00FF1EF3">
              <w:rPr>
                <w:i/>
              </w:rPr>
              <w:t>Tel.</w:t>
            </w:r>
          </w:p>
        </w:tc>
        <w:tc>
          <w:tcPr>
            <w:tcW w:w="5670" w:type="dxa"/>
          </w:tcPr>
          <w:p w:rsidRPr="00FF1EF3" w:rsidR="00AA5C61" w:rsidP="00B34E93" w:rsidRDefault="00DA2D88" w14:paraId="7BF3F3B1" w14:textId="77777777">
            <w:pPr>
              <w:pStyle w:val="ListParagraph"/>
              <w:keepNext/>
              <w:keepLines/>
              <w:ind w:left="0"/>
              <w:rPr>
                <w:i/>
              </w:rPr>
            </w:pPr>
            <w:r w:rsidRPr="00FF1EF3">
              <w:rPr>
                <w:i/>
              </w:rPr>
              <w:t>00 32 2 546 87 74</w:t>
            </w:r>
          </w:p>
        </w:tc>
      </w:tr>
      <w:tr w:rsidRPr="00FF1EF3" w:rsidR="00AA5C61" w:rsidTr="00670347" w14:paraId="6530A32F" w14:textId="77777777">
        <w:tc>
          <w:tcPr>
            <w:tcW w:w="1418" w:type="dxa"/>
          </w:tcPr>
          <w:p w:rsidRPr="00FF1EF3" w:rsidR="00AA5C61" w:rsidP="00670347" w:rsidRDefault="00FF1EF3" w14:paraId="0DC6FCD7" w14:textId="2DE72C90">
            <w:pPr>
              <w:pStyle w:val="ListParagraph"/>
              <w:ind w:left="601"/>
              <w:rPr>
                <w:i/>
              </w:rPr>
            </w:pPr>
            <w:r w:rsidRPr="00FF1EF3">
              <w:rPr>
                <w:i/>
              </w:rPr>
              <w:t>E</w:t>
            </w:r>
            <w:r w:rsidRPr="00FF1EF3" w:rsidR="00AA5C61">
              <w:rPr>
                <w:i/>
              </w:rPr>
              <w:t>-mail</w:t>
            </w:r>
          </w:p>
        </w:tc>
        <w:tc>
          <w:tcPr>
            <w:tcW w:w="5670" w:type="dxa"/>
          </w:tcPr>
          <w:p w:rsidRPr="00FF1EF3" w:rsidR="00AA5C61" w:rsidP="00670347" w:rsidRDefault="004F624E" w14:paraId="25DE88BE" w14:textId="77777777">
            <w:pPr>
              <w:pStyle w:val="ListParagraph"/>
              <w:ind w:left="0"/>
              <w:rPr>
                <w:i/>
              </w:rPr>
            </w:pPr>
            <w:hyperlink w:history="1" r:id="rId24">
              <w:r w:rsidRPr="00FF1EF3" w:rsidR="00462EFB">
                <w:rPr>
                  <w:rStyle w:val="Hyperlink"/>
                  <w:i/>
                </w:rPr>
                <w:t>Valeria.Atzori@eesc.europa.eu</w:t>
              </w:r>
            </w:hyperlink>
          </w:p>
        </w:tc>
      </w:tr>
    </w:tbl>
    <w:p w:rsidRPr="00FF1EF3" w:rsidR="00910972" w:rsidP="0018231C" w:rsidRDefault="00910972" w14:paraId="15F12AD4" w14:textId="483B1106">
      <w:pPr>
        <w:jc w:val="left"/>
        <w:rPr>
          <w:sz w:val="28"/>
        </w:rPr>
      </w:pPr>
    </w:p>
    <w:p w:rsidRPr="00FF1EF3" w:rsidR="00910972" w:rsidRDefault="00910972" w14:paraId="1D08F02B" w14:textId="77777777">
      <w:pPr>
        <w:spacing w:after="160" w:line="259" w:lineRule="auto"/>
        <w:jc w:val="left"/>
        <w:rPr>
          <w:sz w:val="28"/>
        </w:rPr>
      </w:pPr>
      <w:r w:rsidRPr="00FF1EF3">
        <w:br w:type="page"/>
      </w:r>
    </w:p>
    <w:p w:rsidRPr="00FF1EF3" w:rsidR="00775FDA" w:rsidP="0018231C" w:rsidRDefault="00B44BB9" w14:paraId="6004B7F1" w14:textId="77777777">
      <w:pPr>
        <w:pStyle w:val="ListParagraph"/>
        <w:keepNext/>
        <w:numPr>
          <w:ilvl w:val="0"/>
          <w:numId w:val="2"/>
        </w:numPr>
        <w:ind w:left="567" w:hanging="567"/>
        <w:rPr>
          <w:b/>
          <w:i/>
          <w:sz w:val="28"/>
          <w:szCs w:val="28"/>
        </w:rPr>
      </w:pPr>
      <w:r w:rsidRPr="00FF1EF3">
        <w:rPr>
          <w:b/>
          <w:i/>
          <w:sz w:val="28"/>
        </w:rPr>
        <w:t>Lotta alla violenza contro le donne</w:t>
      </w:r>
    </w:p>
    <w:p w:rsidRPr="00FF1EF3" w:rsidR="00775FDA" w:rsidP="0018231C" w:rsidRDefault="00775FDA" w14:paraId="301189D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gridCol w:w="425"/>
      </w:tblGrid>
      <w:tr w:rsidRPr="00FF1EF3" w:rsidR="00B44BB9" w:rsidTr="00174763" w14:paraId="5CC040D5" w14:textId="77777777">
        <w:trPr>
          <w:gridAfter w:val="1"/>
          <w:wAfter w:w="425" w:type="dxa"/>
          <w:cantSplit/>
          <w:trHeight w:val="284" w:hRule="exact"/>
        </w:trPr>
        <w:tc>
          <w:tcPr>
            <w:tcW w:w="1701" w:type="dxa"/>
          </w:tcPr>
          <w:p w:rsidRPr="00FF1EF3" w:rsidR="00B44BB9" w:rsidP="00B44BB9" w:rsidRDefault="00FF1EF3" w14:paraId="2BE1EF86" w14:textId="6E7D622F">
            <w:pPr>
              <w:pStyle w:val="ListParagraph"/>
              <w:keepNext/>
              <w:ind w:left="0"/>
              <w:rPr>
                <w:b/>
              </w:rPr>
            </w:pPr>
            <w:r w:rsidRPr="00FF1EF3">
              <w:rPr>
                <w:b/>
              </w:rPr>
              <w:t>Relatore</w:t>
            </w:r>
          </w:p>
          <w:p w:rsidRPr="00FF1EF3" w:rsidR="00B44BB9" w:rsidP="00B44BB9" w:rsidRDefault="00B44BB9" w14:paraId="15AEA92C" w14:textId="77777777">
            <w:pPr>
              <w:pStyle w:val="ListParagraph"/>
              <w:keepNext/>
              <w:ind w:left="0"/>
              <w:rPr>
                <w:b/>
              </w:rPr>
            </w:pPr>
          </w:p>
        </w:tc>
        <w:tc>
          <w:tcPr>
            <w:tcW w:w="6096" w:type="dxa"/>
          </w:tcPr>
          <w:p w:rsidRPr="00FF1EF3" w:rsidR="00B44BB9" w:rsidP="00D35512" w:rsidRDefault="00B44BB9" w14:paraId="689CA704" w14:textId="77777777">
            <w:pPr>
              <w:pStyle w:val="ListParagraph"/>
              <w:keepNext/>
              <w:ind w:left="0" w:firstLine="90"/>
            </w:pPr>
            <w:r w:rsidRPr="00FF1EF3">
              <w:t>José Antonio MORENO DÍAZ (Lavoratori - ES)</w:t>
            </w:r>
          </w:p>
        </w:tc>
      </w:tr>
      <w:tr w:rsidRPr="00FF1EF3" w:rsidR="00B44BB9" w:rsidTr="00174763" w14:paraId="0BE10C0A" w14:textId="77777777">
        <w:trPr>
          <w:gridAfter w:val="1"/>
          <w:wAfter w:w="425" w:type="dxa"/>
          <w:cantSplit/>
          <w:trHeight w:val="567" w:hRule="exact"/>
        </w:trPr>
        <w:tc>
          <w:tcPr>
            <w:tcW w:w="1701" w:type="dxa"/>
          </w:tcPr>
          <w:p w:rsidRPr="00FF1EF3" w:rsidR="00B44BB9" w:rsidP="00B44BB9" w:rsidRDefault="00FF1EF3" w14:paraId="5684194C" w14:textId="0F8F591A">
            <w:pPr>
              <w:pStyle w:val="ListParagraph"/>
              <w:keepNext/>
              <w:ind w:left="0"/>
              <w:rPr>
                <w:b/>
              </w:rPr>
            </w:pPr>
            <w:r w:rsidRPr="00FF1EF3">
              <w:rPr>
                <w:b/>
              </w:rPr>
              <w:t>Correlatrice</w:t>
            </w:r>
          </w:p>
          <w:p w:rsidRPr="00FF1EF3" w:rsidR="00B44BB9" w:rsidP="00B44BB9" w:rsidRDefault="00B44BB9" w14:paraId="24CB645C" w14:textId="77777777">
            <w:pPr>
              <w:pStyle w:val="ListParagraph"/>
              <w:keepNext/>
              <w:ind w:left="0"/>
              <w:rPr>
                <w:b/>
              </w:rPr>
            </w:pPr>
          </w:p>
        </w:tc>
        <w:tc>
          <w:tcPr>
            <w:tcW w:w="6096" w:type="dxa"/>
          </w:tcPr>
          <w:p w:rsidRPr="00FF1EF3" w:rsidR="00B44BB9" w:rsidP="003D3253" w:rsidRDefault="00B44BB9" w14:paraId="29D5D88B" w14:textId="799BB3FB">
            <w:pPr>
              <w:pStyle w:val="ListParagraph"/>
              <w:keepNext/>
              <w:ind w:left="87"/>
            </w:pPr>
            <w:r w:rsidRPr="00FF1EF3">
              <w:t>Ody NEISINGH (Organizzazioni della società civile - NL)</w:t>
            </w:r>
          </w:p>
        </w:tc>
      </w:tr>
      <w:tr w:rsidRPr="00FF1EF3" w:rsidR="00B44BB9" w:rsidTr="00B83E7B" w14:paraId="58C9EA77" w14:textId="77777777">
        <w:tc>
          <w:tcPr>
            <w:tcW w:w="1701" w:type="dxa"/>
          </w:tcPr>
          <w:p w:rsidRPr="00FF1EF3" w:rsidR="00B44BB9" w:rsidP="00B44BB9" w:rsidRDefault="00B44BB9" w14:paraId="5397904E" w14:textId="77777777">
            <w:pPr>
              <w:pStyle w:val="ListParagraph"/>
              <w:keepNext/>
              <w:ind w:left="0"/>
              <w:rPr>
                <w:b/>
              </w:rPr>
            </w:pPr>
            <w:r w:rsidRPr="00FF1EF3">
              <w:rPr>
                <w:b/>
              </w:rPr>
              <w:t xml:space="preserve">Riferimenti </w:t>
            </w:r>
          </w:p>
        </w:tc>
        <w:tc>
          <w:tcPr>
            <w:tcW w:w="6521" w:type="dxa"/>
            <w:gridSpan w:val="2"/>
          </w:tcPr>
          <w:p w:rsidRPr="00FF1EF3" w:rsidR="00B44BB9" w:rsidP="00D35512" w:rsidRDefault="00E65D01" w14:paraId="7887F4C5" w14:textId="77777777">
            <w:pPr>
              <w:pStyle w:val="ListParagraph"/>
              <w:ind w:left="-52" w:firstLine="142"/>
              <w:rPr>
                <w:bCs/>
              </w:rPr>
            </w:pPr>
            <w:r w:rsidRPr="00FF1EF3">
              <w:t>COM(2022) 105 final</w:t>
            </w:r>
          </w:p>
          <w:p w:rsidRPr="00FF1EF3" w:rsidR="00B44BB9" w:rsidP="008745F7" w:rsidRDefault="00B44BB9" w14:paraId="12C6341D" w14:textId="77777777">
            <w:pPr>
              <w:pStyle w:val="ListParagraph"/>
              <w:ind w:left="0" w:firstLine="90"/>
            </w:pPr>
            <w:r w:rsidRPr="00FF1EF3">
              <w:t>EESC-2022-01395-00-00-AC</w:t>
            </w:r>
          </w:p>
        </w:tc>
      </w:tr>
    </w:tbl>
    <w:p w:rsidRPr="00FF1EF3" w:rsidR="00631509" w:rsidP="00631509" w:rsidRDefault="00631509" w14:paraId="5534BE55" w14:textId="77777777">
      <w:pPr>
        <w:pStyle w:val="ListParagraph"/>
        <w:spacing w:line="240" w:lineRule="auto"/>
        <w:ind w:left="-142" w:firstLine="284"/>
        <w:rPr>
          <w:b/>
        </w:rPr>
      </w:pPr>
    </w:p>
    <w:p w:rsidRPr="00FF1EF3" w:rsidR="00775FDA" w:rsidP="00631509" w:rsidRDefault="00C76C46" w14:paraId="63769A52" w14:textId="5936BE53">
      <w:pPr>
        <w:pStyle w:val="ListParagraph"/>
        <w:spacing w:line="240" w:lineRule="auto"/>
        <w:ind w:left="-142" w:firstLine="142"/>
        <w:rPr>
          <w:b/>
        </w:rPr>
      </w:pPr>
      <w:r w:rsidRPr="00FF1EF3">
        <w:rPr>
          <w:b/>
        </w:rPr>
        <w:t>Punti principali</w:t>
      </w:r>
    </w:p>
    <w:p w:rsidRPr="00FF1EF3" w:rsidR="005475DA" w:rsidRDefault="005475DA" w14:paraId="580B14A7" w14:textId="77777777">
      <w:pPr>
        <w:pStyle w:val="ListParagraph"/>
        <w:ind w:left="0"/>
      </w:pPr>
    </w:p>
    <w:p w:rsidRPr="00FF1EF3" w:rsidR="00775FDA" w:rsidP="00326919" w:rsidRDefault="008946BF" w14:paraId="3C2434D8" w14:textId="77777777">
      <w:pPr>
        <w:pStyle w:val="ListParagraph"/>
        <w:spacing w:line="240" w:lineRule="auto"/>
        <w:ind w:left="0"/>
      </w:pPr>
      <w:r w:rsidRPr="00FF1EF3">
        <w:t>Il CESE:</w:t>
      </w:r>
    </w:p>
    <w:p w:rsidRPr="00FF1EF3" w:rsidR="00775FDA" w:rsidP="0018231C" w:rsidRDefault="00775FDA" w14:paraId="540C04B4" w14:textId="77777777">
      <w:pPr>
        <w:pStyle w:val="ListParagraph"/>
        <w:ind w:left="0"/>
      </w:pPr>
    </w:p>
    <w:p w:rsidRPr="00FF1EF3" w:rsidR="00775FDA" w:rsidP="0018231C" w:rsidRDefault="00B44BB9" w14:paraId="6C1D5D1B" w14:textId="77777777">
      <w:pPr>
        <w:pStyle w:val="ListParagraph"/>
        <w:numPr>
          <w:ilvl w:val="0"/>
          <w:numId w:val="3"/>
        </w:numPr>
        <w:ind w:left="357" w:hanging="357"/>
      </w:pPr>
      <w:r w:rsidRPr="00FF1EF3">
        <w:t>esprime soddisfazione per l'innovazione normativa rappresentata dalla direttiva sulla lotta alla violenza contro le donne, che segue un approccio intersettoriale e risponde a una forte richiesta della società;</w:t>
      </w:r>
    </w:p>
    <w:p w:rsidRPr="00FF1EF3" w:rsidR="00775FDA" w:rsidP="0018231C" w:rsidRDefault="00B44BB9" w14:paraId="3D89CE58" w14:textId="77777777">
      <w:pPr>
        <w:pStyle w:val="ListParagraph"/>
        <w:numPr>
          <w:ilvl w:val="0"/>
          <w:numId w:val="3"/>
        </w:numPr>
        <w:ind w:left="357" w:hanging="357"/>
      </w:pPr>
      <w:r w:rsidRPr="00FF1EF3">
        <w:t xml:space="preserve">è necessario che le politiche volte a contrastare le forme di violenza subite dalle donne non siano neutrali, ma che si sviluppino a partire da una </w:t>
      </w:r>
      <w:r w:rsidRPr="00FF1EF3">
        <w:rPr>
          <w:b/>
        </w:rPr>
        <w:t>chiara e inequivocabile prospettiva di genere</w:t>
      </w:r>
      <w:r w:rsidRPr="00FF1EF3">
        <w:t>, espressa in modo da agevolare la comprensione della loro necessità ed efficacia;</w:t>
      </w:r>
    </w:p>
    <w:p w:rsidRPr="00FF1EF3" w:rsidR="00B92B86" w:rsidP="0018231C" w:rsidRDefault="00B7530C" w14:paraId="6ABDD16B" w14:textId="77777777">
      <w:pPr>
        <w:pStyle w:val="ListParagraph"/>
        <w:numPr>
          <w:ilvl w:val="0"/>
          <w:numId w:val="3"/>
        </w:numPr>
        <w:ind w:left="357" w:hanging="357"/>
      </w:pPr>
      <w:r w:rsidRPr="00FF1EF3">
        <w:t xml:space="preserve">ritiene che </w:t>
      </w:r>
      <w:r w:rsidRPr="00FF1EF3">
        <w:rPr>
          <w:b/>
        </w:rPr>
        <w:t>tale direttiva debba contemplare ogni forma di violenza contro le donne</w:t>
      </w:r>
      <w:r w:rsidRPr="00FF1EF3">
        <w:t>, tra cui la violenza istituzionale, lo sfruttamento sessuale e riproduttivo, le molestie sul lavoro, la violenza di genere in ambito familiare, la sottomissione chimica, le molestie di strada, le molestie sessuali basate sul sesso e/o sul genere o la sterilizzazione forzata delle donne con disabilità;</w:t>
      </w:r>
    </w:p>
    <w:p w:rsidRPr="00FF1EF3" w:rsidR="00B61819" w:rsidP="00B61819" w:rsidRDefault="00B7530C" w14:paraId="0F17F2B4" w14:textId="77777777">
      <w:pPr>
        <w:pStyle w:val="ListParagraph"/>
        <w:numPr>
          <w:ilvl w:val="0"/>
          <w:numId w:val="3"/>
        </w:numPr>
        <w:ind w:left="357" w:hanging="357"/>
      </w:pPr>
      <w:r w:rsidRPr="00FF1EF3">
        <w:t xml:space="preserve">sottolinea che è opportuno includere la violenza contro le donne </w:t>
      </w:r>
      <w:r w:rsidRPr="00FF1EF3">
        <w:rPr>
          <w:b/>
        </w:rPr>
        <w:t>tra i reati con una dimensione transnazionale di cui all'articolo 83, paragrafo 1</w:t>
      </w:r>
      <w:r w:rsidRPr="00FF1EF3">
        <w:t>, TFUE;</w:t>
      </w:r>
    </w:p>
    <w:p w:rsidRPr="00FF1EF3" w:rsidR="00B61819" w:rsidP="0018231C" w:rsidRDefault="00B7530C" w14:paraId="24C6AE65" w14:textId="77777777">
      <w:pPr>
        <w:pStyle w:val="ListParagraph"/>
        <w:numPr>
          <w:ilvl w:val="0"/>
          <w:numId w:val="3"/>
        </w:numPr>
        <w:ind w:left="357" w:hanging="357"/>
      </w:pPr>
      <w:r w:rsidRPr="00FF1EF3">
        <w:t xml:space="preserve">ritiene che nel quadro del </w:t>
      </w:r>
      <w:r w:rsidRPr="00FF1EF3">
        <w:rPr>
          <w:b/>
        </w:rPr>
        <w:t>dialogo sociale e della contrattazione collettiva</w:t>
      </w:r>
      <w:r w:rsidRPr="00FF1EF3">
        <w:t xml:space="preserve"> andrebbero inserite misure specifiche per garantire il mantenimento del posto di lavoro delle vittime di violenza contro le donne e l'inserimento lavorativo delle vittime prive di un impiego;</w:t>
      </w:r>
    </w:p>
    <w:p w:rsidRPr="00FF1EF3" w:rsidR="00B61819" w:rsidP="0018231C" w:rsidRDefault="00B7530C" w14:paraId="751D2BB6" w14:textId="77777777">
      <w:pPr>
        <w:pStyle w:val="ListParagraph"/>
        <w:numPr>
          <w:ilvl w:val="0"/>
          <w:numId w:val="3"/>
        </w:numPr>
        <w:ind w:left="357" w:hanging="357"/>
      </w:pPr>
      <w:r w:rsidRPr="00FF1EF3">
        <w:t xml:space="preserve">rileva che al contempo, particolare attenzione dovrebbe essere riservata </w:t>
      </w:r>
      <w:r w:rsidRPr="00FF1EF3">
        <w:rPr>
          <w:b/>
        </w:rPr>
        <w:t>alle donne con disabilità, alle donne e ragazze appartenenti a minoranze etniche e/o culturali, come, per esempio, il popolo Rom, alle donne migranti,</w:t>
      </w:r>
      <w:r w:rsidRPr="00FF1EF3">
        <w:t xml:space="preserve"> in particolare quelle in una situazione amministrativa irregolare, e alle donne e alle ragazze che fuggono da situazioni di guerra;</w:t>
      </w:r>
    </w:p>
    <w:p w:rsidRPr="00FF1EF3" w:rsidR="00C92102" w:rsidP="00B7530C" w:rsidRDefault="00B7530C" w14:paraId="7B22C8D8" w14:textId="77777777">
      <w:pPr>
        <w:pStyle w:val="ListParagraph"/>
        <w:numPr>
          <w:ilvl w:val="0"/>
          <w:numId w:val="3"/>
        </w:numPr>
        <w:ind w:left="357" w:hanging="357"/>
      </w:pPr>
      <w:r w:rsidRPr="00FF1EF3">
        <w:t xml:space="preserve">chiede alla Commissione europea di inserire i </w:t>
      </w:r>
      <w:r w:rsidRPr="00FF1EF3">
        <w:rPr>
          <w:b/>
        </w:rPr>
        <w:t>servizi sanitari</w:t>
      </w:r>
      <w:r w:rsidRPr="00FF1EF3">
        <w:t xml:space="preserve">, compresi quelli relativi alla salute sessuale e riproduttiva, nell'elenco dei servizi di assistenza essenziali per le vittime, e di esortare tutti gli Stati membri dell'UE a eliminare in maniera urgente tutti gli ostacoli che rendono difficoltoso l'accesso </w:t>
      </w:r>
      <w:r w:rsidRPr="00FF1EF3">
        <w:rPr>
          <w:b/>
        </w:rPr>
        <w:t>alla contraccezione di emergenza e ai servizi di interruzione volontaria di gravidanza a seguito di violenza</w:t>
      </w:r>
      <w:r w:rsidRPr="00FF1EF3">
        <w:t>.</w:t>
      </w:r>
    </w:p>
    <w:p w:rsidRPr="00FF1EF3" w:rsidR="00775FDA" w:rsidRDefault="00775FDA" w14:paraId="007FFDAF"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B44BB9" w:rsidTr="008B66DD" w14:paraId="502899FB" w14:textId="77777777">
        <w:tc>
          <w:tcPr>
            <w:tcW w:w="1418" w:type="dxa"/>
          </w:tcPr>
          <w:p w:rsidRPr="00FF1EF3" w:rsidR="00B44BB9" w:rsidP="008B66DD" w:rsidRDefault="00B44BB9" w14:paraId="4933D5C0" w14:textId="77777777">
            <w:pPr>
              <w:pStyle w:val="ListParagraph"/>
              <w:ind w:left="0"/>
              <w:rPr>
                <w:i/>
              </w:rPr>
            </w:pPr>
            <w:r w:rsidRPr="00FF1EF3">
              <w:rPr>
                <w:b/>
                <w:i/>
              </w:rPr>
              <w:t>Contatto</w:t>
            </w:r>
          </w:p>
        </w:tc>
        <w:tc>
          <w:tcPr>
            <w:tcW w:w="5670" w:type="dxa"/>
          </w:tcPr>
          <w:p w:rsidRPr="00FF1EF3" w:rsidR="00B44BB9" w:rsidP="008B66DD" w:rsidRDefault="00B44BB9" w14:paraId="649C02E9" w14:textId="77777777">
            <w:pPr>
              <w:pStyle w:val="ListParagraph"/>
              <w:ind w:left="0"/>
              <w:rPr>
                <w:i/>
              </w:rPr>
            </w:pPr>
            <w:r w:rsidRPr="00FF1EF3">
              <w:rPr>
                <w:i/>
              </w:rPr>
              <w:t>Margherita LOGRILLO</w:t>
            </w:r>
          </w:p>
        </w:tc>
      </w:tr>
      <w:tr w:rsidRPr="00FF1EF3" w:rsidR="00B44BB9" w:rsidTr="008B66DD" w14:paraId="54638E70" w14:textId="77777777">
        <w:tc>
          <w:tcPr>
            <w:tcW w:w="1418" w:type="dxa"/>
          </w:tcPr>
          <w:p w:rsidRPr="00FF1EF3" w:rsidR="00B44BB9" w:rsidP="008B66DD" w:rsidRDefault="00B44BB9" w14:paraId="40A81D42" w14:textId="77777777">
            <w:pPr>
              <w:pStyle w:val="ListParagraph"/>
              <w:ind w:left="601"/>
              <w:rPr>
                <w:i/>
              </w:rPr>
            </w:pPr>
            <w:r w:rsidRPr="00FF1EF3">
              <w:rPr>
                <w:i/>
              </w:rPr>
              <w:t>Tel.</w:t>
            </w:r>
          </w:p>
        </w:tc>
        <w:tc>
          <w:tcPr>
            <w:tcW w:w="5670" w:type="dxa"/>
          </w:tcPr>
          <w:p w:rsidRPr="00FF1EF3" w:rsidR="00B44BB9" w:rsidP="008B66DD" w:rsidRDefault="00B44BB9" w14:paraId="0C77361C" w14:textId="77777777">
            <w:pPr>
              <w:pStyle w:val="ListParagraph"/>
              <w:ind w:left="0"/>
              <w:rPr>
                <w:i/>
              </w:rPr>
            </w:pPr>
            <w:r w:rsidRPr="00FF1EF3">
              <w:rPr>
                <w:i/>
              </w:rPr>
              <w:t>00 32 2 546 90 99</w:t>
            </w:r>
          </w:p>
        </w:tc>
      </w:tr>
      <w:tr w:rsidRPr="00FF1EF3" w:rsidR="00B44BB9" w:rsidTr="008B66DD" w14:paraId="5FB79B0A" w14:textId="77777777">
        <w:tc>
          <w:tcPr>
            <w:tcW w:w="1418" w:type="dxa"/>
          </w:tcPr>
          <w:p w:rsidRPr="00FF1EF3" w:rsidR="00B44BB9" w:rsidP="008B66DD" w:rsidRDefault="00FF1EF3" w14:paraId="0A5C365B" w14:textId="514A858D">
            <w:pPr>
              <w:pStyle w:val="ListParagraph"/>
              <w:ind w:left="601"/>
              <w:rPr>
                <w:i/>
              </w:rPr>
            </w:pPr>
            <w:r w:rsidRPr="00FF1EF3">
              <w:rPr>
                <w:i/>
              </w:rPr>
              <w:t>E</w:t>
            </w:r>
            <w:r w:rsidRPr="00FF1EF3" w:rsidR="00B44BB9">
              <w:rPr>
                <w:i/>
              </w:rPr>
              <w:t>-mail</w:t>
            </w:r>
          </w:p>
        </w:tc>
        <w:tc>
          <w:tcPr>
            <w:tcW w:w="5670" w:type="dxa"/>
          </w:tcPr>
          <w:p w:rsidRPr="00FF1EF3" w:rsidR="00B44BB9" w:rsidP="008B66DD" w:rsidRDefault="004F624E" w14:paraId="0E9E0878" w14:textId="77777777">
            <w:pPr>
              <w:pStyle w:val="ListParagraph"/>
              <w:ind w:left="0"/>
              <w:rPr>
                <w:i/>
              </w:rPr>
            </w:pPr>
            <w:hyperlink w:history="1" r:id="rId25">
              <w:r w:rsidRPr="00FF1EF3" w:rsidR="00462EFB">
                <w:rPr>
                  <w:rStyle w:val="Hyperlink"/>
                  <w:i/>
                </w:rPr>
                <w:t>Margherita.Logrillo@eesc.europa.eu</w:t>
              </w:r>
            </w:hyperlink>
          </w:p>
        </w:tc>
      </w:tr>
    </w:tbl>
    <w:p w:rsidRPr="00FF1EF3" w:rsidR="002C0E2F" w:rsidRDefault="002C0E2F" w14:paraId="21C3B85C" w14:textId="77777777">
      <w:pPr>
        <w:spacing w:after="160" w:line="259" w:lineRule="auto"/>
        <w:jc w:val="left"/>
      </w:pPr>
    </w:p>
    <w:p w:rsidRPr="00FF1EF3" w:rsidR="002C0E2F" w:rsidRDefault="002C0E2F" w14:paraId="6C846036" w14:textId="77777777">
      <w:pPr>
        <w:spacing w:after="160" w:line="259" w:lineRule="auto"/>
        <w:jc w:val="left"/>
      </w:pPr>
      <w:r w:rsidRPr="00FF1EF3">
        <w:br w:type="page"/>
      </w:r>
    </w:p>
    <w:p w:rsidRPr="00FF1EF3" w:rsidR="00841374" w:rsidRDefault="00A06E9E" w14:paraId="2D6BD9B3" w14:textId="77777777">
      <w:pPr>
        <w:pStyle w:val="ListParagraph"/>
        <w:numPr>
          <w:ilvl w:val="0"/>
          <w:numId w:val="4"/>
        </w:numPr>
        <w:overflowPunct w:val="0"/>
        <w:autoSpaceDE w:val="0"/>
        <w:autoSpaceDN w:val="0"/>
        <w:adjustRightInd w:val="0"/>
        <w:ind w:left="567" w:hanging="567"/>
        <w:textAlignment w:val="baseline"/>
        <w:rPr>
          <w:b/>
          <w:i/>
          <w:sz w:val="28"/>
          <w:szCs w:val="28"/>
        </w:rPr>
      </w:pPr>
      <w:r w:rsidRPr="00FF1EF3">
        <w:rPr>
          <w:b/>
          <w:i/>
          <w:sz w:val="28"/>
        </w:rPr>
        <w:t>Parità di genere</w:t>
      </w:r>
    </w:p>
    <w:p w:rsidRPr="00FF1EF3" w:rsidR="00841374" w:rsidP="0018231C" w:rsidRDefault="00841374" w14:paraId="1D8B790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5529"/>
        <w:gridCol w:w="797"/>
      </w:tblGrid>
      <w:tr w:rsidRPr="00FF1EF3" w:rsidR="008946BF" w:rsidTr="00DF349B" w14:paraId="6EA9204F" w14:textId="77777777">
        <w:trPr>
          <w:gridAfter w:val="1"/>
          <w:wAfter w:w="797" w:type="dxa"/>
        </w:trPr>
        <w:tc>
          <w:tcPr>
            <w:tcW w:w="1657" w:type="dxa"/>
          </w:tcPr>
          <w:p w:rsidRPr="00FF1EF3" w:rsidR="008946BF" w:rsidP="006D6086" w:rsidRDefault="00FF1EF3" w14:paraId="0AAEC296" w14:textId="6B8FAA12">
            <w:pPr>
              <w:pStyle w:val="ListParagraph"/>
              <w:keepNext/>
              <w:ind w:left="0" w:hanging="107"/>
              <w:rPr>
                <w:b/>
              </w:rPr>
            </w:pPr>
            <w:r w:rsidRPr="00FF1EF3">
              <w:rPr>
                <w:b/>
              </w:rPr>
              <w:t>Relatrice</w:t>
            </w:r>
          </w:p>
          <w:p w:rsidRPr="00FF1EF3" w:rsidR="008946BF" w:rsidP="001513FD" w:rsidRDefault="008946BF" w14:paraId="6D6B9B14" w14:textId="77777777">
            <w:pPr>
              <w:pStyle w:val="ListParagraph"/>
              <w:ind w:left="0"/>
              <w:rPr>
                <w:b/>
                <w:sz w:val="20"/>
                <w:szCs w:val="20"/>
              </w:rPr>
            </w:pPr>
          </w:p>
        </w:tc>
        <w:tc>
          <w:tcPr>
            <w:tcW w:w="5573" w:type="dxa"/>
            <w:gridSpan w:val="2"/>
          </w:tcPr>
          <w:p w:rsidRPr="00FF1EF3" w:rsidR="008946BF" w:rsidP="00DF349B" w:rsidRDefault="00A06E9E" w14:paraId="54293D02" w14:textId="77777777">
            <w:pPr>
              <w:pStyle w:val="ListParagraph"/>
              <w:ind w:left="-108" w:right="-195"/>
            </w:pPr>
            <w:r w:rsidRPr="00FF1EF3">
              <w:t>Milena ANGELOVA (Datori di lavoro - BG)</w:t>
            </w:r>
          </w:p>
          <w:p w:rsidRPr="00FF1EF3" w:rsidR="008946BF" w:rsidP="001513FD" w:rsidRDefault="008946BF" w14:paraId="4D16618C" w14:textId="77777777">
            <w:pPr>
              <w:pStyle w:val="ListParagraph"/>
              <w:ind w:left="-108"/>
            </w:pPr>
          </w:p>
        </w:tc>
      </w:tr>
      <w:tr w:rsidRPr="00FF1EF3" w:rsidR="00841374" w:rsidTr="00DF349B" w14:paraId="51253DAE" w14:textId="77777777">
        <w:tblPrEx>
          <w:tblCellMar>
            <w:left w:w="57" w:type="dxa"/>
            <w:right w:w="57" w:type="dxa"/>
          </w:tblCellMar>
        </w:tblPrEx>
        <w:tc>
          <w:tcPr>
            <w:tcW w:w="1701" w:type="dxa"/>
            <w:gridSpan w:val="2"/>
          </w:tcPr>
          <w:p w:rsidRPr="00FF1EF3" w:rsidR="00841374" w:rsidP="006D6086" w:rsidRDefault="00841374" w14:paraId="6949587A" w14:textId="77777777">
            <w:pPr>
              <w:pStyle w:val="ListParagraph"/>
              <w:ind w:left="0" w:hanging="60"/>
              <w:rPr>
                <w:b/>
              </w:rPr>
            </w:pPr>
            <w:r w:rsidRPr="00FF1EF3">
              <w:rPr>
                <w:b/>
              </w:rPr>
              <w:t xml:space="preserve">Riferimento </w:t>
            </w:r>
          </w:p>
        </w:tc>
        <w:tc>
          <w:tcPr>
            <w:tcW w:w="6326" w:type="dxa"/>
            <w:gridSpan w:val="2"/>
          </w:tcPr>
          <w:p w:rsidRPr="00FF1EF3" w:rsidR="00841374" w:rsidP="00407760" w:rsidRDefault="00A06E9E" w14:paraId="3DD4422C" w14:textId="77777777">
            <w:pPr>
              <w:pStyle w:val="ListParagraph"/>
              <w:ind w:left="-56"/>
            </w:pPr>
            <w:r w:rsidRPr="00FF1EF3">
              <w:t>Parere esplorativo richiesto dalla presidenza ceca del Consiglio</w:t>
            </w:r>
          </w:p>
          <w:p w:rsidRPr="00FF1EF3" w:rsidR="00841374" w:rsidP="00407760" w:rsidRDefault="002E5473" w14:paraId="12FB6382" w14:textId="77777777">
            <w:pPr>
              <w:pStyle w:val="ListParagraph"/>
              <w:ind w:left="-56"/>
            </w:pPr>
            <w:r w:rsidRPr="00FF1EF3">
              <w:t>EESC-2022-01932-00-00-AC</w:t>
            </w:r>
          </w:p>
        </w:tc>
      </w:tr>
    </w:tbl>
    <w:p w:rsidRPr="00FF1EF3" w:rsidR="00841374" w:rsidRDefault="00841374" w14:paraId="1CBC12AE" w14:textId="77777777">
      <w:pPr>
        <w:pStyle w:val="ListParagraph"/>
        <w:ind w:left="0"/>
        <w:rPr>
          <w:b/>
        </w:rPr>
      </w:pPr>
    </w:p>
    <w:p w:rsidRPr="00FF1EF3" w:rsidR="00841374" w:rsidP="002C4B6E" w:rsidRDefault="00841374" w14:paraId="76256836" w14:textId="77777777">
      <w:pPr>
        <w:pStyle w:val="ListParagraph"/>
        <w:spacing w:line="240" w:lineRule="auto"/>
        <w:ind w:left="-142" w:firstLine="142"/>
        <w:rPr>
          <w:b/>
        </w:rPr>
      </w:pPr>
      <w:r w:rsidRPr="00FF1EF3">
        <w:rPr>
          <w:b/>
        </w:rPr>
        <w:t>Punti principali</w:t>
      </w:r>
    </w:p>
    <w:p w:rsidRPr="00FF1EF3" w:rsidR="00841374" w:rsidRDefault="00841374" w14:paraId="141BD901" w14:textId="77777777">
      <w:pPr>
        <w:pStyle w:val="ListParagraph"/>
        <w:ind w:left="0"/>
      </w:pPr>
    </w:p>
    <w:p w:rsidRPr="00FF1EF3" w:rsidR="001D770D" w:rsidP="00326919" w:rsidRDefault="001D770D" w14:paraId="0B60B8BC" w14:textId="77777777">
      <w:pPr>
        <w:pStyle w:val="ListParagraph"/>
        <w:spacing w:line="240" w:lineRule="auto"/>
        <w:ind w:left="0"/>
      </w:pPr>
      <w:r w:rsidRPr="00FF1EF3">
        <w:t>Il CESE:</w:t>
      </w:r>
    </w:p>
    <w:p w:rsidRPr="00FF1EF3" w:rsidR="001D770D" w:rsidRDefault="001D770D" w14:paraId="189BAEB6" w14:textId="77777777">
      <w:pPr>
        <w:pStyle w:val="ListParagraph"/>
        <w:ind w:left="0"/>
      </w:pPr>
    </w:p>
    <w:p w:rsidRPr="00FF1EF3" w:rsidR="00841374" w:rsidP="0018231C" w:rsidRDefault="008159E1" w14:paraId="278A2840" w14:textId="77777777">
      <w:pPr>
        <w:pStyle w:val="ListParagraph"/>
        <w:numPr>
          <w:ilvl w:val="0"/>
          <w:numId w:val="3"/>
        </w:numPr>
        <w:ind w:left="357" w:hanging="357"/>
      </w:pPr>
      <w:r w:rsidRPr="00FF1EF3">
        <w:t xml:space="preserve">sottolinea che la chiave di successo per rafforzare la parità di genere in maniera duratura consiste nel promuovere una </w:t>
      </w:r>
      <w:r w:rsidRPr="00FF1EF3">
        <w:rPr>
          <w:b/>
        </w:rPr>
        <w:t>cultura permanente della parità di genere</w:t>
      </w:r>
      <w:r w:rsidRPr="00FF1EF3">
        <w:t xml:space="preserve"> che accompagni l'intero ciclo di vita e offra misure adattate in funzione delle caratteristiche ed esigenze specifiche di ogni fase della vita;</w:t>
      </w:r>
    </w:p>
    <w:p w:rsidRPr="00FF1EF3" w:rsidR="00841374" w:rsidP="0018231C" w:rsidRDefault="008159E1" w14:paraId="7A36F890" w14:textId="77777777">
      <w:pPr>
        <w:pStyle w:val="ListParagraph"/>
        <w:numPr>
          <w:ilvl w:val="0"/>
          <w:numId w:val="3"/>
        </w:numPr>
        <w:ind w:left="357" w:hanging="357"/>
      </w:pPr>
      <w:r w:rsidRPr="00FF1EF3">
        <w:t xml:space="preserve">invita gli Stati membri, mediante le loro politiche dell'istruzione, a favorire </w:t>
      </w:r>
      <w:r w:rsidRPr="00FF1EF3">
        <w:rPr>
          <w:b/>
        </w:rPr>
        <w:t>un insegnamento neutrale rispetto al genere</w:t>
      </w:r>
      <w:r w:rsidRPr="00FF1EF3">
        <w:t xml:space="preserve"> in termini di conoscenze e competenze sociali, nonché contesti di apprendimento liberi da stereotipi di genere;</w:t>
      </w:r>
    </w:p>
    <w:p w:rsidRPr="00FF1EF3" w:rsidR="00B51B20" w:rsidP="0018231C" w:rsidRDefault="008159E1" w14:paraId="29EA99EF" w14:textId="77777777">
      <w:pPr>
        <w:pStyle w:val="ListParagraph"/>
        <w:numPr>
          <w:ilvl w:val="0"/>
          <w:numId w:val="3"/>
        </w:numPr>
        <w:ind w:left="357" w:hanging="357"/>
      </w:pPr>
      <w:r w:rsidRPr="00FF1EF3">
        <w:t xml:space="preserve">raccomanda agli Stati membri, con il sostegno della Commissione e del Comitato stesso, e in collaborazione con le parti sociali e le organizzazioni pertinenti della società civile, di lanciare </w:t>
      </w:r>
      <w:r w:rsidRPr="00FF1EF3">
        <w:rPr>
          <w:b/>
        </w:rPr>
        <w:t>una campagna di informazione e sensibilizzazione ad ampio raggio volta a promuovere la cultura permanente della parità di genere</w:t>
      </w:r>
      <w:r w:rsidRPr="00FF1EF3">
        <w:t>;</w:t>
      </w:r>
    </w:p>
    <w:p w:rsidRPr="00FF1EF3" w:rsidR="00D85D67" w:rsidP="00D85D67" w:rsidRDefault="008159E1" w14:paraId="282035C6" w14:textId="77777777">
      <w:pPr>
        <w:pStyle w:val="ListParagraph"/>
        <w:numPr>
          <w:ilvl w:val="0"/>
          <w:numId w:val="3"/>
        </w:numPr>
        <w:ind w:left="357" w:hanging="357"/>
      </w:pPr>
      <w:r w:rsidRPr="00FF1EF3">
        <w:t xml:space="preserve">è dell'avviso che sia fondamentale eliminare qualsiasi ostacolo alla partecipazione delle donne ai mercati del lavoro in generale. Oltre agli inquadramenti legislativi, le modalità pratiche dovrebbero essere stabilite ricorrendo alle opportunità offerte dalla </w:t>
      </w:r>
      <w:r w:rsidRPr="00FF1EF3">
        <w:rPr>
          <w:b/>
        </w:rPr>
        <w:t>contrattazione collettiva tra le parti sociali</w:t>
      </w:r>
      <w:r w:rsidRPr="00FF1EF3">
        <w:t>;</w:t>
      </w:r>
    </w:p>
    <w:p w:rsidRPr="00FF1EF3" w:rsidR="001D770D" w:rsidP="00D85D67" w:rsidRDefault="008159E1" w14:paraId="76BBBF7F" w14:textId="77777777">
      <w:pPr>
        <w:pStyle w:val="ListParagraph"/>
        <w:numPr>
          <w:ilvl w:val="0"/>
          <w:numId w:val="3"/>
        </w:numPr>
        <w:ind w:left="357" w:hanging="357"/>
      </w:pPr>
      <w:r w:rsidRPr="00FF1EF3">
        <w:t xml:space="preserve">ritiene fondamentale promuovere la leadership al femminile nelle aziende e negli organi pubblici, e invita gli Stati membri, le organizzazioni aziendali e le parti sociali ad avviare </w:t>
      </w:r>
      <w:r w:rsidRPr="00FF1EF3">
        <w:rPr>
          <w:b/>
        </w:rPr>
        <w:t>programmi di formazione e tutoraggio rivolti alle donne che occupano posizioni dirigenziali</w:t>
      </w:r>
      <w:r w:rsidRPr="00FF1EF3">
        <w:t>;</w:t>
      </w:r>
    </w:p>
    <w:p w:rsidRPr="00FF1EF3" w:rsidR="00B40093" w:rsidP="00D85D67" w:rsidRDefault="008159E1" w14:paraId="1BAE71C9" w14:textId="77777777">
      <w:pPr>
        <w:pStyle w:val="ListParagraph"/>
        <w:numPr>
          <w:ilvl w:val="0"/>
          <w:numId w:val="3"/>
        </w:numPr>
        <w:ind w:left="357" w:hanging="357"/>
      </w:pPr>
      <w:r w:rsidRPr="00FF1EF3">
        <w:t xml:space="preserve">ritiene altresì necessario rimuovere qualsiasi ostacolo all'imprenditoria femminile. Dal momento che garantire un </w:t>
      </w:r>
      <w:r w:rsidRPr="00FF1EF3">
        <w:rPr>
          <w:b/>
        </w:rPr>
        <w:t>accesso ai finanziamenti</w:t>
      </w:r>
      <w:r w:rsidRPr="00FF1EF3">
        <w:t xml:space="preserve"> costituisce un requisito essenziale per l'imprenditorialità, occorre assicurare la parità di accesso delle donne a finanziamenti pubblici e fondi privati;</w:t>
      </w:r>
    </w:p>
    <w:p w:rsidRPr="00FF1EF3" w:rsidR="00B40093" w:rsidP="00D85D67" w:rsidRDefault="008159E1" w14:paraId="0E4FEF3C" w14:textId="77777777">
      <w:pPr>
        <w:pStyle w:val="ListParagraph"/>
        <w:numPr>
          <w:ilvl w:val="0"/>
          <w:numId w:val="3"/>
        </w:numPr>
        <w:ind w:left="357" w:hanging="357"/>
      </w:pPr>
      <w:r w:rsidRPr="00FF1EF3">
        <w:t xml:space="preserve">invita a rivolgere la dovuta attenzione alla parità di genere nell'affrontare la questione dei </w:t>
      </w:r>
      <w:r w:rsidRPr="00FF1EF3">
        <w:rPr>
          <w:b/>
        </w:rPr>
        <w:t>rifugiati ucraini</w:t>
      </w:r>
      <w:r w:rsidRPr="00FF1EF3">
        <w:t>. Ciò vale per il sostegno da fornire ai minori in modo da garantire loro l'accesso ai servizi sanitari e all'istruzione, l'integrazione delle donne nei mercati del lavoro tramite posti di lavoro di qualità, e l'accesso ai servizi sanitari per la salute sessuale e riproduttiva.</w:t>
      </w:r>
    </w:p>
    <w:p w:rsidRPr="00FF1EF3" w:rsidR="00841374" w:rsidRDefault="00841374" w14:paraId="3B0FA7A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841374" w:rsidTr="00841374" w14:paraId="50A403EE" w14:textId="77777777">
        <w:tc>
          <w:tcPr>
            <w:tcW w:w="1418" w:type="dxa"/>
          </w:tcPr>
          <w:p w:rsidRPr="00FF1EF3" w:rsidR="00841374" w:rsidRDefault="00841374" w14:paraId="629E9BA9" w14:textId="77777777">
            <w:pPr>
              <w:pStyle w:val="ListParagraph"/>
              <w:ind w:left="0"/>
              <w:rPr>
                <w:i/>
              </w:rPr>
            </w:pPr>
            <w:r w:rsidRPr="00FF1EF3">
              <w:rPr>
                <w:b/>
                <w:i/>
              </w:rPr>
              <w:t>Contatto</w:t>
            </w:r>
          </w:p>
        </w:tc>
        <w:tc>
          <w:tcPr>
            <w:tcW w:w="5670" w:type="dxa"/>
          </w:tcPr>
          <w:p w:rsidRPr="00FF1EF3" w:rsidR="00841374" w:rsidRDefault="00A06E9E" w14:paraId="79C689DE" w14:textId="77777777">
            <w:pPr>
              <w:pStyle w:val="ListParagraph"/>
              <w:ind w:left="0"/>
              <w:rPr>
                <w:i/>
              </w:rPr>
            </w:pPr>
            <w:r w:rsidRPr="00FF1EF3">
              <w:rPr>
                <w:i/>
              </w:rPr>
              <w:t>Margherita LOGRILLO</w:t>
            </w:r>
          </w:p>
        </w:tc>
      </w:tr>
      <w:tr w:rsidRPr="00FF1EF3" w:rsidR="00841374" w:rsidTr="00841374" w14:paraId="6334FCD6" w14:textId="77777777">
        <w:tc>
          <w:tcPr>
            <w:tcW w:w="1418" w:type="dxa"/>
          </w:tcPr>
          <w:p w:rsidRPr="00FF1EF3" w:rsidR="00841374" w:rsidRDefault="00841374" w14:paraId="3F37AC16" w14:textId="77777777">
            <w:pPr>
              <w:pStyle w:val="ListParagraph"/>
              <w:ind w:left="601"/>
              <w:rPr>
                <w:i/>
              </w:rPr>
            </w:pPr>
            <w:r w:rsidRPr="00FF1EF3">
              <w:rPr>
                <w:i/>
              </w:rPr>
              <w:t>Tel.</w:t>
            </w:r>
          </w:p>
        </w:tc>
        <w:tc>
          <w:tcPr>
            <w:tcW w:w="5670" w:type="dxa"/>
          </w:tcPr>
          <w:p w:rsidRPr="00FF1EF3" w:rsidR="00841374" w:rsidRDefault="00A06E9E" w14:paraId="55D18DAD" w14:textId="77777777">
            <w:pPr>
              <w:pStyle w:val="ListParagraph"/>
              <w:ind w:left="0"/>
              <w:rPr>
                <w:i/>
              </w:rPr>
            </w:pPr>
            <w:r w:rsidRPr="00FF1EF3">
              <w:rPr>
                <w:i/>
              </w:rPr>
              <w:t>00 32 2 546 90 99</w:t>
            </w:r>
          </w:p>
        </w:tc>
      </w:tr>
      <w:tr w:rsidRPr="00FF1EF3" w:rsidR="00841374" w:rsidTr="00841374" w14:paraId="2EB3D256" w14:textId="77777777">
        <w:tc>
          <w:tcPr>
            <w:tcW w:w="1418" w:type="dxa"/>
          </w:tcPr>
          <w:p w:rsidRPr="00FF1EF3" w:rsidR="00841374" w:rsidRDefault="00FF1EF3" w14:paraId="02D49987" w14:textId="118537EA">
            <w:pPr>
              <w:pStyle w:val="ListParagraph"/>
              <w:ind w:left="601"/>
              <w:rPr>
                <w:i/>
              </w:rPr>
            </w:pPr>
            <w:r w:rsidRPr="00FF1EF3">
              <w:rPr>
                <w:i/>
              </w:rPr>
              <w:t>E</w:t>
            </w:r>
            <w:r w:rsidRPr="00FF1EF3" w:rsidR="00841374">
              <w:rPr>
                <w:i/>
              </w:rPr>
              <w:t>-mail</w:t>
            </w:r>
          </w:p>
        </w:tc>
        <w:tc>
          <w:tcPr>
            <w:tcW w:w="5670" w:type="dxa"/>
          </w:tcPr>
          <w:p w:rsidRPr="00FF1EF3" w:rsidR="00841374" w:rsidRDefault="004F624E" w14:paraId="31128638" w14:textId="77777777">
            <w:pPr>
              <w:pStyle w:val="ListParagraph"/>
              <w:ind w:left="0"/>
              <w:rPr>
                <w:i/>
              </w:rPr>
            </w:pPr>
            <w:hyperlink w:history="1" r:id="rId26">
              <w:r w:rsidRPr="00FF1EF3" w:rsidR="00462EFB">
                <w:rPr>
                  <w:rStyle w:val="Hyperlink"/>
                  <w:i/>
                </w:rPr>
                <w:t>Margherita.Logrillo@eesc.europa.eu</w:t>
              </w:r>
            </w:hyperlink>
          </w:p>
        </w:tc>
      </w:tr>
    </w:tbl>
    <w:p w:rsidRPr="00FF1EF3" w:rsidR="00400A1F" w:rsidRDefault="00502B04" w14:paraId="3060FA04" w14:textId="77777777">
      <w:pPr>
        <w:spacing w:after="160" w:line="259" w:lineRule="auto"/>
        <w:jc w:val="left"/>
        <w:rPr>
          <w:sz w:val="28"/>
        </w:rPr>
      </w:pPr>
      <w:r w:rsidRPr="00FF1EF3">
        <w:br w:type="page"/>
      </w:r>
    </w:p>
    <w:p w:rsidRPr="00FF1EF3" w:rsidR="004D7AC0" w:rsidRDefault="004D7AC0" w14:paraId="13643C27" w14:textId="65495AB7">
      <w:pPr>
        <w:pStyle w:val="Heading1"/>
        <w:rPr>
          <w:b/>
        </w:rPr>
      </w:pPr>
      <w:bookmarkStart w:name="_Toc24617160" w:id="5"/>
      <w:bookmarkStart w:name="_Toc75527082" w:id="6"/>
      <w:bookmarkStart w:name="_Toc108435210" w:id="7"/>
      <w:bookmarkStart w:name="_Toc110414439" w:id="8"/>
      <w:r w:rsidRPr="00FF1EF3">
        <w:rPr>
          <w:b/>
        </w:rPr>
        <w:t xml:space="preserve">TRASPORTI, ENERGIA, INFRASTRUTTURE </w:t>
      </w:r>
      <w:r w:rsidRPr="00FF1EF3" w:rsidR="00FF1EF3">
        <w:rPr>
          <w:b/>
        </w:rPr>
        <w:t>E</w:t>
      </w:r>
      <w:r w:rsidRPr="00FF1EF3">
        <w:rPr>
          <w:b/>
        </w:rPr>
        <w:t xml:space="preserve"> SOCIETÀ DELL'INFORMAZIONE</w:t>
      </w:r>
      <w:bookmarkEnd w:id="5"/>
      <w:bookmarkEnd w:id="6"/>
      <w:bookmarkEnd w:id="7"/>
      <w:bookmarkEnd w:id="8"/>
    </w:p>
    <w:p w:rsidRPr="00FF1EF3" w:rsidR="00961956" w:rsidRDefault="00961956" w14:paraId="07646FB3" w14:textId="77777777">
      <w:pPr>
        <w:pStyle w:val="ListParagraph"/>
        <w:ind w:left="0"/>
        <w:rPr>
          <w:lang w:val="en-US"/>
        </w:rPr>
      </w:pPr>
    </w:p>
    <w:p w:rsidRPr="00FF1EF3" w:rsidR="00961956" w:rsidP="0018231C" w:rsidRDefault="002C0E2F" w14:paraId="331DDD1A" w14:textId="2BA933B6">
      <w:pPr>
        <w:pStyle w:val="ListParagraph"/>
        <w:keepNext/>
        <w:numPr>
          <w:ilvl w:val="0"/>
          <w:numId w:val="2"/>
        </w:numPr>
        <w:ind w:left="567" w:hanging="567"/>
        <w:rPr>
          <w:b/>
          <w:i/>
          <w:sz w:val="28"/>
          <w:szCs w:val="28"/>
        </w:rPr>
      </w:pPr>
      <w:r w:rsidRPr="00FF1EF3">
        <w:rPr>
          <w:b/>
          <w:i/>
          <w:sz w:val="28"/>
        </w:rPr>
        <w:t>Identità digitale, sovranità dei dati e percorso verso una transizione digitale giusta per i cittadini che vivono nella società dell'informazione</w:t>
      </w:r>
    </w:p>
    <w:p w:rsidRPr="00FF1EF3" w:rsidR="00961956" w:rsidP="0018231C" w:rsidRDefault="00961956" w14:paraId="1BB7F554"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FF1EF3" w:rsidR="00961956" w:rsidTr="0018231C" w14:paraId="24FE29BA" w14:textId="77777777">
        <w:tc>
          <w:tcPr>
            <w:tcW w:w="1701" w:type="dxa"/>
          </w:tcPr>
          <w:p w:rsidRPr="00FF1EF3" w:rsidR="00961956" w:rsidP="0018231C" w:rsidRDefault="00FF1EF3" w14:paraId="7B4B6AE8" w14:textId="01BF9BAC">
            <w:pPr>
              <w:pStyle w:val="ListParagraph"/>
              <w:keepNext/>
              <w:ind w:left="0"/>
              <w:rPr>
                <w:b/>
              </w:rPr>
            </w:pPr>
            <w:r w:rsidRPr="00FF1EF3">
              <w:rPr>
                <w:b/>
              </w:rPr>
              <w:t>Relatore</w:t>
            </w:r>
          </w:p>
        </w:tc>
        <w:tc>
          <w:tcPr>
            <w:tcW w:w="5387" w:type="dxa"/>
          </w:tcPr>
          <w:p w:rsidRPr="00FF1EF3" w:rsidR="00961956" w:rsidP="00C834A5" w:rsidRDefault="002C0E2F" w14:paraId="17514CDB" w14:textId="77777777">
            <w:pPr>
              <w:pStyle w:val="ListParagraph"/>
              <w:keepNext/>
              <w:ind w:left="-56"/>
            </w:pPr>
            <w:r w:rsidRPr="00FF1EF3">
              <w:t>Dumitru FORNEA (Lavoratori - RO)</w:t>
            </w:r>
          </w:p>
        </w:tc>
      </w:tr>
      <w:tr w:rsidRPr="00FF1EF3" w:rsidR="004C40E4" w:rsidTr="0018231C" w14:paraId="4A5F1D42" w14:textId="77777777">
        <w:tc>
          <w:tcPr>
            <w:tcW w:w="7088" w:type="dxa"/>
            <w:gridSpan w:val="2"/>
          </w:tcPr>
          <w:p w:rsidRPr="00FF1EF3" w:rsidR="004C40E4" w:rsidP="0018231C" w:rsidRDefault="004C40E4" w14:paraId="459398F1" w14:textId="77777777">
            <w:pPr>
              <w:pStyle w:val="ListParagraph"/>
              <w:keepNext/>
              <w:ind w:left="0"/>
              <w:rPr>
                <w:lang w:val="en-US"/>
              </w:rPr>
            </w:pPr>
          </w:p>
        </w:tc>
      </w:tr>
      <w:tr w:rsidRPr="00FF1EF3" w:rsidR="00961956" w:rsidTr="0018231C" w14:paraId="4857777C" w14:textId="77777777">
        <w:tc>
          <w:tcPr>
            <w:tcW w:w="1701" w:type="dxa"/>
            <w:vMerge w:val="restart"/>
          </w:tcPr>
          <w:p w:rsidRPr="00FF1EF3" w:rsidR="00961956" w:rsidP="0018231C" w:rsidRDefault="00961956" w14:paraId="3DF2404C" w14:textId="77777777">
            <w:pPr>
              <w:pStyle w:val="ListParagraph"/>
              <w:keepNext/>
              <w:ind w:left="0"/>
              <w:rPr>
                <w:b/>
              </w:rPr>
            </w:pPr>
            <w:r w:rsidRPr="00FF1EF3">
              <w:rPr>
                <w:b/>
              </w:rPr>
              <w:t xml:space="preserve">Riferimento </w:t>
            </w:r>
          </w:p>
        </w:tc>
        <w:tc>
          <w:tcPr>
            <w:tcW w:w="5387" w:type="dxa"/>
          </w:tcPr>
          <w:p w:rsidRPr="00FF1EF3" w:rsidR="00961956" w:rsidP="00407760" w:rsidRDefault="002C0E2F" w14:paraId="11997CDA" w14:textId="77777777">
            <w:pPr>
              <w:pStyle w:val="ListParagraph"/>
              <w:keepNext/>
              <w:ind w:left="-56"/>
            </w:pPr>
            <w:r w:rsidRPr="00FF1EF3">
              <w:t>Parere d'iniziativa</w:t>
            </w:r>
          </w:p>
        </w:tc>
      </w:tr>
      <w:tr w:rsidRPr="00FF1EF3" w:rsidR="00961956" w:rsidTr="0018231C" w14:paraId="3AF643A2" w14:textId="77777777">
        <w:tc>
          <w:tcPr>
            <w:tcW w:w="1701" w:type="dxa"/>
            <w:vMerge/>
          </w:tcPr>
          <w:p w:rsidRPr="00FF1EF3" w:rsidR="00961956" w:rsidP="0018231C" w:rsidRDefault="00961956" w14:paraId="5E8FA40A" w14:textId="77777777">
            <w:pPr>
              <w:pStyle w:val="ListParagraph"/>
              <w:keepNext/>
              <w:ind w:left="0"/>
              <w:rPr>
                <w:b/>
              </w:rPr>
            </w:pPr>
          </w:p>
        </w:tc>
        <w:tc>
          <w:tcPr>
            <w:tcW w:w="5387" w:type="dxa"/>
          </w:tcPr>
          <w:p w:rsidRPr="00FF1EF3" w:rsidR="00961956" w:rsidP="00407760" w:rsidRDefault="00E65D01" w14:paraId="47950539" w14:textId="77777777">
            <w:pPr>
              <w:pStyle w:val="ListParagraph"/>
              <w:keepNext/>
              <w:ind w:left="-56"/>
            </w:pPr>
            <w:r w:rsidRPr="00FF1EF3">
              <w:t>EESC-2022-01011-00-00-AC</w:t>
            </w:r>
          </w:p>
        </w:tc>
      </w:tr>
    </w:tbl>
    <w:p w:rsidRPr="00FF1EF3" w:rsidR="00961956" w:rsidP="0018231C" w:rsidRDefault="00961956" w14:paraId="148D7539" w14:textId="77777777">
      <w:pPr>
        <w:pStyle w:val="ListParagraph"/>
        <w:keepNext/>
        <w:ind w:left="0"/>
      </w:pPr>
    </w:p>
    <w:p w:rsidRPr="00FF1EF3" w:rsidR="00961956" w:rsidP="002C4B6E" w:rsidRDefault="00961956" w14:paraId="11D6B73E" w14:textId="5C69D606">
      <w:pPr>
        <w:pStyle w:val="ListParagraph"/>
        <w:spacing w:line="240" w:lineRule="auto"/>
        <w:ind w:left="-142" w:firstLine="142"/>
        <w:rPr>
          <w:b/>
        </w:rPr>
      </w:pPr>
      <w:r w:rsidRPr="00FF1EF3">
        <w:rPr>
          <w:b/>
        </w:rPr>
        <w:t>Punti principali</w:t>
      </w:r>
    </w:p>
    <w:p w:rsidRPr="00FF1EF3" w:rsidR="00961956" w:rsidRDefault="00961956" w14:paraId="75408D74" w14:textId="77777777">
      <w:pPr>
        <w:pStyle w:val="ListParagraph"/>
        <w:ind w:left="0"/>
      </w:pPr>
    </w:p>
    <w:p w:rsidRPr="00FF1EF3" w:rsidR="00824DCF" w:rsidP="00326919" w:rsidRDefault="00824DCF" w14:paraId="487F835E" w14:textId="77777777">
      <w:pPr>
        <w:pStyle w:val="ListParagraph"/>
        <w:keepNext/>
        <w:keepLines/>
        <w:ind w:left="0"/>
      </w:pPr>
      <w:r w:rsidRPr="00FF1EF3">
        <w:t>Il CESE:</w:t>
      </w:r>
    </w:p>
    <w:p w:rsidRPr="00FF1EF3" w:rsidR="00824DCF" w:rsidRDefault="00824DCF" w14:paraId="5EDF7A19" w14:textId="77777777">
      <w:pPr>
        <w:pStyle w:val="ListParagraph"/>
        <w:ind w:left="0"/>
      </w:pPr>
    </w:p>
    <w:p w:rsidRPr="00FF1EF3" w:rsidR="00961956" w:rsidP="003D3253" w:rsidRDefault="005A755F" w14:paraId="3E5BFFD4" w14:textId="77777777">
      <w:pPr>
        <w:pStyle w:val="ListParagraph"/>
        <w:numPr>
          <w:ilvl w:val="0"/>
          <w:numId w:val="3"/>
        </w:numPr>
        <w:ind w:left="357" w:hanging="357"/>
      </w:pPr>
      <w:r w:rsidRPr="00FF1EF3">
        <w:t xml:space="preserve">ritiene che la governance della rivoluzione digitale </w:t>
      </w:r>
      <w:r w:rsidRPr="00FF1EF3">
        <w:rPr>
          <w:b/>
        </w:rPr>
        <w:t>non debba peggiorare la vita dei cittadini divenendo obbligatoria</w:t>
      </w:r>
      <w:r w:rsidRPr="00FF1EF3">
        <w:t>,</w:t>
      </w:r>
      <w:r w:rsidRPr="00FF1EF3">
        <w:rPr>
          <w:b/>
        </w:rPr>
        <w:t xml:space="preserve"> tanto più perché i cittadini possono sentirsi fortemente spinti a integrarsi nel mondo digitale, un mondo che non è soggetto a una governance democratica;</w:t>
      </w:r>
    </w:p>
    <w:p w:rsidRPr="00FF1EF3" w:rsidR="002C24B9" w:rsidP="003D3253" w:rsidRDefault="005A755F" w14:paraId="6A722D52" w14:textId="77777777">
      <w:pPr>
        <w:pStyle w:val="ListParagraph"/>
        <w:numPr>
          <w:ilvl w:val="0"/>
          <w:numId w:val="3"/>
        </w:numPr>
        <w:ind w:left="357" w:hanging="357"/>
      </w:pPr>
      <w:r w:rsidRPr="00FF1EF3">
        <w:t xml:space="preserve">ritiene che l'identità digitale, i sistemi di pagamento digitale e le piattaforme di realtà virtuale e aumentata dovrebbero restare strumenti </w:t>
      </w:r>
      <w:r w:rsidRPr="00FF1EF3">
        <w:rPr>
          <w:b/>
        </w:rPr>
        <w:t>volti unicamente a integrare l'esistenza fisica</w:t>
      </w:r>
      <w:r w:rsidRPr="00FF1EF3">
        <w:t>, e non dovrebbero sostituire completamente e abusivamente altri schemi di vita;</w:t>
      </w:r>
    </w:p>
    <w:p w:rsidRPr="00FF1EF3" w:rsidR="00394949" w:rsidP="003D3253" w:rsidRDefault="005A755F" w14:paraId="3941A3AB" w14:textId="3447753E">
      <w:pPr>
        <w:pStyle w:val="ListParagraph"/>
        <w:numPr>
          <w:ilvl w:val="0"/>
          <w:numId w:val="3"/>
        </w:numPr>
        <w:ind w:left="357" w:hanging="357"/>
      </w:pPr>
      <w:r w:rsidRPr="00FF1EF3">
        <w:t>reputa che qualunque iniziativa volta a integrare i cittadini nel sistema di identità digitale europea</w:t>
      </w:r>
      <w:r w:rsidRPr="00FF1EF3">
        <w:rPr>
          <w:b/>
        </w:rPr>
        <w:t xml:space="preserve"> dovrebbe essere fondata su studi d'impatto e su indagini sociologiche approfondite</w:t>
      </w:r>
      <w:r w:rsidRPr="00FF1EF3">
        <w:t xml:space="preserve">, e che la decisione finale dovrebbe essere </w:t>
      </w:r>
      <w:r w:rsidRPr="00FF1EF3">
        <w:rPr>
          <w:b/>
        </w:rPr>
        <w:t>presa unicamente con il consenso informato e liberamente espresso dai cittadini</w:t>
      </w:r>
      <w:r w:rsidRPr="00FF1EF3">
        <w:t>;</w:t>
      </w:r>
    </w:p>
    <w:p w:rsidRPr="00FF1EF3" w:rsidR="003D3253" w:rsidP="003D3253" w:rsidRDefault="003D3253" w14:paraId="3469AC2F" w14:textId="4EEAED21">
      <w:pPr>
        <w:pStyle w:val="ListParagraph"/>
        <w:numPr>
          <w:ilvl w:val="0"/>
          <w:numId w:val="3"/>
        </w:numPr>
        <w:ind w:left="357" w:hanging="357"/>
      </w:pPr>
      <w:bookmarkStart w:name="_Toc108435087" w:id="9"/>
      <w:bookmarkStart w:name="_Toc108435211" w:id="10"/>
      <w:bookmarkStart w:name="_Toc108437611" w:id="11"/>
      <w:r w:rsidRPr="00FF1EF3">
        <w:t>ritiene che l'UE debba continuare a vigilare sull'impatto della digitalizzazione sui cittadini, sui lavoratori e sulle imprese. Una società digitale democratica, giusta e accettata da tutti i cittadini dell'Unione deve tenere conto dell'enorme e ininterrotto fabbisogno di energia per mantenere l'infrastruttura tecnologica globale necessaria per sostenere l'accesso sicuro e continuo a un sistema digitale;</w:t>
      </w:r>
      <w:bookmarkEnd w:id="9"/>
      <w:bookmarkEnd w:id="10"/>
      <w:bookmarkEnd w:id="11"/>
    </w:p>
    <w:p w:rsidRPr="00FF1EF3" w:rsidR="003D3253" w:rsidP="003D3253" w:rsidRDefault="003D3253" w14:paraId="2597DD69" w14:textId="3E6E0830">
      <w:pPr>
        <w:pStyle w:val="ListParagraph"/>
        <w:numPr>
          <w:ilvl w:val="0"/>
          <w:numId w:val="3"/>
        </w:numPr>
        <w:ind w:left="357" w:hanging="357"/>
      </w:pPr>
      <w:r w:rsidRPr="00FF1EF3">
        <w:t>sottolinea l'impatto della digitalizzazione e dell'automazione sulla qualità della vita e sulle condizioni di lavoro dei cittadini. È evidente che i mezzi digitali hanno un impatto sulle relazioni umane, sulla solitudine, sulla salute mentale, sull'intelligenza cognitiva ed emotiva e sull'alienazione sociale;</w:t>
      </w:r>
    </w:p>
    <w:p w:rsidRPr="00FF1EF3" w:rsidR="003D3253" w:rsidP="003D3253" w:rsidRDefault="003D3253" w14:paraId="1E3CE558" w14:textId="3B077552">
      <w:pPr>
        <w:pStyle w:val="ListParagraph"/>
        <w:numPr>
          <w:ilvl w:val="0"/>
          <w:numId w:val="3"/>
        </w:numPr>
        <w:ind w:left="357" w:hanging="357"/>
      </w:pPr>
      <w:r w:rsidRPr="00FF1EF3">
        <w:t>sottolinea l'importanza delle misure politiche, economiche e sociali necessarie per adattare la società ai radicali cambiamenti quantitativi sul mercato del lavoro;</w:t>
      </w:r>
    </w:p>
    <w:p w:rsidRPr="00FF1EF3" w:rsidR="00394949" w:rsidP="003D3253" w:rsidRDefault="003D3253" w14:paraId="31E62463" w14:textId="30039E84">
      <w:pPr>
        <w:pStyle w:val="ListParagraph"/>
        <w:numPr>
          <w:ilvl w:val="0"/>
          <w:numId w:val="3"/>
        </w:numPr>
        <w:ind w:left="357" w:hanging="357"/>
      </w:pPr>
      <w:r w:rsidRPr="00FF1EF3">
        <w:t>evidenzia l'importanza della sicurezza informatica.</w:t>
      </w:r>
    </w:p>
    <w:p w:rsidRPr="00FF1EF3" w:rsidR="003D3253" w:rsidP="003D3253" w:rsidRDefault="003D3253" w14:paraId="15E4EDB8" w14:textId="77777777">
      <w:pPr>
        <w:pStyle w:val="ListParagraph"/>
        <w:ind w:left="357"/>
      </w:pPr>
    </w:p>
    <w:p w:rsidRPr="00FF1EF3" w:rsidR="00961956" w:rsidRDefault="00961956" w14:paraId="650EBC4F"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961956" w:rsidTr="00771110" w14:paraId="196AAA5A" w14:textId="77777777">
        <w:tc>
          <w:tcPr>
            <w:tcW w:w="1418" w:type="dxa"/>
          </w:tcPr>
          <w:p w:rsidRPr="00FF1EF3" w:rsidR="00961956" w:rsidRDefault="00961956" w14:paraId="015B1472" w14:textId="77777777">
            <w:pPr>
              <w:pStyle w:val="ListParagraph"/>
              <w:ind w:left="0"/>
              <w:rPr>
                <w:i/>
              </w:rPr>
            </w:pPr>
            <w:r w:rsidRPr="00FF1EF3">
              <w:rPr>
                <w:b/>
                <w:i/>
              </w:rPr>
              <w:t>Contatto</w:t>
            </w:r>
          </w:p>
        </w:tc>
        <w:tc>
          <w:tcPr>
            <w:tcW w:w="5670" w:type="dxa"/>
          </w:tcPr>
          <w:p w:rsidRPr="00FF1EF3" w:rsidR="00961956" w:rsidRDefault="005A755F" w14:paraId="1E2C028D" w14:textId="77777777">
            <w:pPr>
              <w:pStyle w:val="ListParagraph"/>
              <w:ind w:left="0"/>
              <w:rPr>
                <w:i/>
              </w:rPr>
            </w:pPr>
            <w:r w:rsidRPr="00FF1EF3">
              <w:rPr>
                <w:i/>
              </w:rPr>
              <w:t>Maja RADMAN</w:t>
            </w:r>
          </w:p>
        </w:tc>
      </w:tr>
      <w:tr w:rsidRPr="00FF1EF3" w:rsidR="00961956" w:rsidTr="00771110" w14:paraId="767EF621" w14:textId="77777777">
        <w:tc>
          <w:tcPr>
            <w:tcW w:w="1418" w:type="dxa"/>
          </w:tcPr>
          <w:p w:rsidRPr="00FF1EF3" w:rsidR="00961956" w:rsidRDefault="00961956" w14:paraId="2C15F67B" w14:textId="77777777">
            <w:pPr>
              <w:pStyle w:val="ListParagraph"/>
              <w:ind w:left="601"/>
              <w:rPr>
                <w:i/>
              </w:rPr>
            </w:pPr>
            <w:r w:rsidRPr="00FF1EF3">
              <w:rPr>
                <w:i/>
              </w:rPr>
              <w:t>Tel.</w:t>
            </w:r>
          </w:p>
        </w:tc>
        <w:tc>
          <w:tcPr>
            <w:tcW w:w="5670" w:type="dxa"/>
          </w:tcPr>
          <w:p w:rsidRPr="00FF1EF3" w:rsidR="00961956" w:rsidRDefault="002C24B9" w14:paraId="619D9C38" w14:textId="77777777">
            <w:pPr>
              <w:pStyle w:val="ListParagraph"/>
              <w:ind w:left="0"/>
              <w:rPr>
                <w:i/>
              </w:rPr>
            </w:pPr>
            <w:r w:rsidRPr="00FF1EF3">
              <w:rPr>
                <w:i/>
              </w:rPr>
              <w:t>00 32 2 546 90 51</w:t>
            </w:r>
          </w:p>
        </w:tc>
      </w:tr>
      <w:tr w:rsidRPr="00FF1EF3" w:rsidR="00961956" w:rsidTr="00771110" w14:paraId="0B88B3E2" w14:textId="77777777">
        <w:tc>
          <w:tcPr>
            <w:tcW w:w="1418" w:type="dxa"/>
          </w:tcPr>
          <w:p w:rsidRPr="00FF1EF3" w:rsidR="00961956" w:rsidRDefault="00FF1EF3" w14:paraId="7FB55A27" w14:textId="491CC82D">
            <w:pPr>
              <w:pStyle w:val="ListParagraph"/>
              <w:ind w:left="601"/>
              <w:rPr>
                <w:i/>
              </w:rPr>
            </w:pPr>
            <w:r w:rsidRPr="00FF1EF3">
              <w:rPr>
                <w:i/>
              </w:rPr>
              <w:t>E</w:t>
            </w:r>
            <w:r w:rsidRPr="00FF1EF3" w:rsidR="00961956">
              <w:rPr>
                <w:i/>
              </w:rPr>
              <w:t>-mail</w:t>
            </w:r>
          </w:p>
        </w:tc>
        <w:tc>
          <w:tcPr>
            <w:tcW w:w="5670" w:type="dxa"/>
          </w:tcPr>
          <w:p w:rsidRPr="00FF1EF3" w:rsidR="00F80F3B" w:rsidRDefault="004F624E" w14:paraId="6B508845" w14:textId="77777777">
            <w:pPr>
              <w:pStyle w:val="ListParagraph"/>
              <w:ind w:left="0"/>
              <w:rPr>
                <w:i/>
              </w:rPr>
            </w:pPr>
            <w:hyperlink w:history="1" r:id="rId27">
              <w:r w:rsidRPr="00FF1EF3" w:rsidR="00462EFB">
                <w:rPr>
                  <w:rStyle w:val="Hyperlink"/>
                  <w:i/>
                </w:rPr>
                <w:t>Maja.Radmani@eesc.europa.eu</w:t>
              </w:r>
            </w:hyperlink>
          </w:p>
        </w:tc>
      </w:tr>
    </w:tbl>
    <w:p w:rsidRPr="00FF1EF3" w:rsidR="00910972" w:rsidP="0018231C" w:rsidRDefault="00910972" w14:paraId="6D17AB89" w14:textId="7DC2E94D">
      <w:pPr>
        <w:jc w:val="left"/>
        <w:rPr>
          <w:sz w:val="28"/>
        </w:rPr>
      </w:pPr>
    </w:p>
    <w:p w:rsidRPr="00FF1EF3" w:rsidR="00910972" w:rsidRDefault="00910972" w14:paraId="397D2CDA" w14:textId="77777777">
      <w:pPr>
        <w:spacing w:after="160" w:line="259" w:lineRule="auto"/>
        <w:jc w:val="left"/>
        <w:rPr>
          <w:sz w:val="28"/>
        </w:rPr>
      </w:pPr>
      <w:r w:rsidRPr="00FF1EF3">
        <w:br w:type="page"/>
      </w:r>
    </w:p>
    <w:p w:rsidRPr="00FF1EF3" w:rsidR="00D76363" w:rsidP="00D76363" w:rsidRDefault="00CE23CC" w14:paraId="401CAB05" w14:textId="77777777">
      <w:pPr>
        <w:pStyle w:val="ListParagraph"/>
        <w:keepNext/>
        <w:numPr>
          <w:ilvl w:val="0"/>
          <w:numId w:val="2"/>
        </w:numPr>
        <w:ind w:left="567" w:hanging="567"/>
        <w:rPr>
          <w:b/>
          <w:i/>
          <w:sz w:val="28"/>
          <w:szCs w:val="28"/>
        </w:rPr>
      </w:pPr>
      <w:r w:rsidRPr="00FF1EF3">
        <w:rPr>
          <w:b/>
          <w:i/>
          <w:sz w:val="28"/>
        </w:rPr>
        <w:t>Sicurezza dell'approvvigionamento e prezzi dell'energia accessibili</w:t>
      </w:r>
    </w:p>
    <w:p w:rsidRPr="00FF1EF3" w:rsidR="00D76363" w:rsidP="00D76363" w:rsidRDefault="00D76363" w14:paraId="26D9A939"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Pr="00FF1EF3" w:rsidR="00D76363" w:rsidTr="00F049D6" w14:paraId="1BC08D1D" w14:textId="77777777">
        <w:tc>
          <w:tcPr>
            <w:tcW w:w="1701" w:type="dxa"/>
          </w:tcPr>
          <w:p w:rsidRPr="00FF1EF3" w:rsidR="00D76363" w:rsidP="001513FD" w:rsidRDefault="00FF1EF3" w14:paraId="073DB159" w14:textId="27DBA15E">
            <w:pPr>
              <w:pStyle w:val="ListParagraph"/>
              <w:keepNext/>
              <w:ind w:left="0"/>
              <w:rPr>
                <w:b/>
              </w:rPr>
            </w:pPr>
            <w:r w:rsidRPr="00FF1EF3">
              <w:rPr>
                <w:b/>
              </w:rPr>
              <w:t>Relatrice</w:t>
            </w:r>
          </w:p>
        </w:tc>
        <w:tc>
          <w:tcPr>
            <w:tcW w:w="5812" w:type="dxa"/>
          </w:tcPr>
          <w:p w:rsidRPr="00FF1EF3" w:rsidR="00D76363" w:rsidP="00F049D6" w:rsidRDefault="00CE23CC" w14:paraId="64C95B4D" w14:textId="77777777">
            <w:pPr>
              <w:pStyle w:val="ListParagraph"/>
              <w:keepNext/>
              <w:ind w:left="-56" w:right="-453"/>
            </w:pPr>
            <w:r w:rsidRPr="00FF1EF3">
              <w:t>Alena MASTANTUONO (Datori di lavoro - CZ)</w:t>
            </w:r>
          </w:p>
        </w:tc>
      </w:tr>
      <w:tr w:rsidRPr="00FF1EF3" w:rsidR="00D76363" w:rsidTr="00F049D6" w14:paraId="206D71D0" w14:textId="77777777">
        <w:tc>
          <w:tcPr>
            <w:tcW w:w="7513" w:type="dxa"/>
            <w:gridSpan w:val="2"/>
          </w:tcPr>
          <w:p w:rsidRPr="00FF1EF3" w:rsidR="00D76363" w:rsidP="001513FD" w:rsidRDefault="00D76363" w14:paraId="44F259D7" w14:textId="77777777">
            <w:pPr>
              <w:pStyle w:val="ListParagraph"/>
              <w:keepNext/>
              <w:ind w:left="0"/>
            </w:pPr>
          </w:p>
        </w:tc>
      </w:tr>
      <w:tr w:rsidRPr="00FF1EF3" w:rsidR="00D76363" w:rsidTr="00F049D6" w14:paraId="006CBBBB" w14:textId="77777777">
        <w:tc>
          <w:tcPr>
            <w:tcW w:w="1701" w:type="dxa"/>
            <w:vMerge w:val="restart"/>
          </w:tcPr>
          <w:p w:rsidRPr="00FF1EF3" w:rsidR="00D76363" w:rsidP="001513FD" w:rsidRDefault="00D76363" w14:paraId="21B3F0D6" w14:textId="77777777">
            <w:pPr>
              <w:pStyle w:val="ListParagraph"/>
              <w:keepNext/>
              <w:ind w:left="0"/>
              <w:rPr>
                <w:b/>
              </w:rPr>
            </w:pPr>
            <w:r w:rsidRPr="00FF1EF3">
              <w:rPr>
                <w:b/>
              </w:rPr>
              <w:t xml:space="preserve">Riferimenti </w:t>
            </w:r>
          </w:p>
        </w:tc>
        <w:tc>
          <w:tcPr>
            <w:tcW w:w="5812" w:type="dxa"/>
          </w:tcPr>
          <w:p w:rsidRPr="00FF1EF3" w:rsidR="00D76363" w:rsidP="001513FD" w:rsidRDefault="003D3253" w14:paraId="0F2B0508" w14:textId="0F50A230">
            <w:pPr>
              <w:pStyle w:val="ListParagraph"/>
              <w:keepNext/>
              <w:ind w:left="-56"/>
            </w:pPr>
            <w:r w:rsidRPr="00FF1EF3">
              <w:t>COM</w:t>
            </w:r>
            <w:r w:rsidRPr="00FF1EF3" w:rsidR="00D76363">
              <w:t>(2022) 138 final</w:t>
            </w:r>
          </w:p>
        </w:tc>
      </w:tr>
      <w:tr w:rsidRPr="00FF1EF3" w:rsidR="00D76363" w:rsidTr="00F049D6" w14:paraId="44A197BD" w14:textId="77777777">
        <w:tc>
          <w:tcPr>
            <w:tcW w:w="1701" w:type="dxa"/>
            <w:vMerge/>
          </w:tcPr>
          <w:p w:rsidRPr="00FF1EF3" w:rsidR="00D76363" w:rsidP="001513FD" w:rsidRDefault="00D76363" w14:paraId="666AB4C5" w14:textId="77777777">
            <w:pPr>
              <w:pStyle w:val="ListParagraph"/>
              <w:keepNext/>
              <w:ind w:left="0"/>
              <w:rPr>
                <w:b/>
              </w:rPr>
            </w:pPr>
          </w:p>
        </w:tc>
        <w:tc>
          <w:tcPr>
            <w:tcW w:w="5812" w:type="dxa"/>
          </w:tcPr>
          <w:p w:rsidRPr="00FF1EF3" w:rsidR="00D76363" w:rsidP="001513FD" w:rsidRDefault="00E65D01" w14:paraId="26A5E07B" w14:textId="77777777">
            <w:pPr>
              <w:pStyle w:val="ListParagraph"/>
              <w:keepNext/>
              <w:ind w:left="-56"/>
            </w:pPr>
            <w:r w:rsidRPr="00FF1EF3">
              <w:t>EESC-2022-02693-00-00-AC</w:t>
            </w:r>
          </w:p>
        </w:tc>
      </w:tr>
    </w:tbl>
    <w:p w:rsidRPr="00FF1EF3" w:rsidR="00D76363" w:rsidP="00D76363" w:rsidRDefault="00D76363" w14:paraId="06470B53" w14:textId="77777777">
      <w:pPr>
        <w:pStyle w:val="ListParagraph"/>
        <w:keepNext/>
        <w:ind w:left="0"/>
      </w:pPr>
    </w:p>
    <w:p w:rsidRPr="00FF1EF3" w:rsidR="00F049D6" w:rsidP="00CE23CC" w:rsidRDefault="00CE23CC" w14:paraId="6E8A2493" w14:textId="1E2A2AD2">
      <w:pPr>
        <w:pStyle w:val="ListParagraph"/>
        <w:spacing w:line="240" w:lineRule="auto"/>
        <w:ind w:left="-142" w:firstLine="142"/>
        <w:rPr>
          <w:b/>
        </w:rPr>
      </w:pPr>
      <w:r w:rsidRPr="00FF1EF3">
        <w:rPr>
          <w:b/>
        </w:rPr>
        <w:t>Punti principali</w:t>
      </w:r>
    </w:p>
    <w:p w:rsidRPr="00FF1EF3" w:rsidR="00F049D6" w:rsidP="00D76363" w:rsidRDefault="00F049D6" w14:paraId="44AA08CC" w14:textId="77777777">
      <w:pPr>
        <w:pStyle w:val="ListParagraph"/>
        <w:ind w:left="0"/>
      </w:pPr>
    </w:p>
    <w:p w:rsidRPr="00FF1EF3" w:rsidR="00A30B84" w:rsidP="00CE23CC" w:rsidRDefault="00CE23CC" w14:paraId="4A205B71" w14:textId="77777777">
      <w:pPr>
        <w:pStyle w:val="ListParagraph"/>
        <w:numPr>
          <w:ilvl w:val="0"/>
          <w:numId w:val="3"/>
        </w:numPr>
        <w:ind w:left="357" w:hanging="357"/>
      </w:pPr>
      <w:r w:rsidRPr="00FF1EF3">
        <w:t>L'Europa ha bisogno di un piano energetico efficiente, che tenga conto di scenari diversi in caso di penuria energetica e sia elaborato congiuntamente dall'UE e dagli Stati membri. Ma quali dovrebbero essere le risposte per ciascuno di tali scenari? Come utilizzare in modo efficiente le infrastrutture energetiche esistenti e come svilupparle ulteriormente?</w:t>
      </w:r>
    </w:p>
    <w:p w:rsidRPr="00FF1EF3" w:rsidR="00D76363" w:rsidP="00D76363" w:rsidRDefault="00CE23CC" w14:paraId="5660D604" w14:textId="77777777">
      <w:pPr>
        <w:pStyle w:val="ListParagraph"/>
        <w:numPr>
          <w:ilvl w:val="0"/>
          <w:numId w:val="3"/>
        </w:numPr>
        <w:ind w:left="357" w:hanging="357"/>
        <w:rPr>
          <w:bCs/>
        </w:rPr>
      </w:pPr>
      <w:r w:rsidRPr="00FF1EF3">
        <w:t>L'importazione di energia da paesi terzi ha un peso economico e politico, che si ripercuote anche sull'Unione europea nel suo insieme. È ormai chiaro che occorre riflettere seriamente sull'eccessiva dipendenza dalle importazioni di energia da paesi che non condividono i valori dell'UE. La soluzione ideale consisterebbe nell'aumentare la produzione e l'impiego di fonti energetiche non fossili in Europa, in modo da soddisfare la nostra domanda di energia elettrica.</w:t>
      </w:r>
    </w:p>
    <w:p w:rsidRPr="00FF1EF3" w:rsidR="00D76363" w:rsidP="00D76363" w:rsidRDefault="00CE23CC" w14:paraId="5BFF3ABB" w14:textId="77777777">
      <w:pPr>
        <w:pStyle w:val="ListParagraph"/>
        <w:numPr>
          <w:ilvl w:val="0"/>
          <w:numId w:val="3"/>
        </w:numPr>
        <w:ind w:left="357" w:hanging="357"/>
        <w:rPr>
          <w:bCs/>
        </w:rPr>
      </w:pPr>
      <w:r w:rsidRPr="00FF1EF3">
        <w:t>Il CESE ritiene di vitale importanza perseguire in maniera coerente e costante lo sviluppo di un sistema energetico sostenibile, basato cioè sulla sicurezza dell'approvvigionamento, l'accessibilità dei costi e dei prezzi e la sostenibilità ambientale.</w:t>
      </w:r>
    </w:p>
    <w:p w:rsidRPr="00FF1EF3" w:rsidR="00E24CDF" w:rsidP="00D76363" w:rsidRDefault="00CE23CC" w14:paraId="697D0B9F" w14:textId="77777777">
      <w:pPr>
        <w:pStyle w:val="ListParagraph"/>
        <w:numPr>
          <w:ilvl w:val="0"/>
          <w:numId w:val="3"/>
        </w:numPr>
        <w:ind w:left="357" w:hanging="357"/>
        <w:rPr>
          <w:bCs/>
        </w:rPr>
      </w:pPr>
      <w:r w:rsidRPr="00FF1EF3">
        <w:t>Come misura di emergenza, il sostegno diretto ai consumatori costituisce l'opzione più realistica. Qualsiasi misura di sostegno volta ad alleviare la crisi dovrebbe essere temporanea e mirata, commisurata ai bisogni di chi ne soffre di più le conseguenze - si tratti di cittadini, di piccole imprese o di industrie ad alta intensità energetica. I consumatori dovranno fare la loro parte per ridurre il consumo di gas.</w:t>
      </w:r>
    </w:p>
    <w:p w:rsidRPr="00FF1EF3" w:rsidR="00E24CDF" w:rsidP="00D76363" w:rsidRDefault="00CE23CC" w14:paraId="7D33BDFB" w14:textId="51DE6F40">
      <w:pPr>
        <w:pStyle w:val="ListParagraph"/>
        <w:numPr>
          <w:ilvl w:val="0"/>
          <w:numId w:val="3"/>
        </w:numPr>
        <w:ind w:left="357" w:hanging="357"/>
        <w:rPr>
          <w:bCs/>
        </w:rPr>
      </w:pPr>
      <w:r w:rsidRPr="00FF1EF3">
        <w:t xml:space="preserve">Negli Stati membri la situazione dovrebbe richiedere solo misure temporanee, onde evitare di produrre distorsioni troppo durature dei mercati dell'UE. La riduzione delle emissioni di </w:t>
      </w:r>
      <w:r w:rsidRPr="00FF1EF3" w:rsidR="00FF1EF3">
        <w:t>CO</w:t>
      </w:r>
      <w:r w:rsidRPr="00FF1EF3" w:rsidR="00FF1EF3">
        <w:rPr>
          <w:vertAlign w:val="subscript"/>
        </w:rPr>
        <w:t>2</w:t>
      </w:r>
      <w:r w:rsidRPr="00FF1EF3">
        <w:t xml:space="preserve"> delle fonti di energia deve rimanere un obiettivo prioritario.</w:t>
      </w:r>
    </w:p>
    <w:p w:rsidRPr="00FF1EF3" w:rsidR="00D76363" w:rsidP="00D76363" w:rsidRDefault="00D76363" w14:paraId="450C439D"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CE23CC" w:rsidTr="00B40158" w14:paraId="50862FD0" w14:textId="77777777">
        <w:tc>
          <w:tcPr>
            <w:tcW w:w="1418" w:type="dxa"/>
          </w:tcPr>
          <w:p w:rsidRPr="00FF1EF3" w:rsidR="00CE23CC" w:rsidP="00CE23CC" w:rsidRDefault="00CE23CC" w14:paraId="028ABA93" w14:textId="77777777">
            <w:pPr>
              <w:pStyle w:val="ListParagraph"/>
              <w:ind w:left="0"/>
              <w:rPr>
                <w:i/>
              </w:rPr>
            </w:pPr>
            <w:r w:rsidRPr="00FF1EF3">
              <w:rPr>
                <w:b/>
                <w:i/>
              </w:rPr>
              <w:t>Contatto</w:t>
            </w:r>
          </w:p>
        </w:tc>
        <w:tc>
          <w:tcPr>
            <w:tcW w:w="5670" w:type="dxa"/>
          </w:tcPr>
          <w:p w:rsidRPr="00FF1EF3" w:rsidR="00CE23CC" w:rsidP="00CE23CC" w:rsidRDefault="00CE23CC" w14:paraId="1F245965" w14:textId="77777777">
            <w:pPr>
              <w:pStyle w:val="ListParagraph"/>
              <w:ind w:left="0"/>
              <w:rPr>
                <w:i/>
              </w:rPr>
            </w:pPr>
            <w:r w:rsidRPr="00FF1EF3">
              <w:rPr>
                <w:i/>
              </w:rPr>
              <w:t>Francesco NAPOLITANO</w:t>
            </w:r>
          </w:p>
        </w:tc>
      </w:tr>
      <w:tr w:rsidRPr="00FF1EF3" w:rsidR="00CE23CC" w:rsidTr="00B40158" w14:paraId="5DE31472" w14:textId="77777777">
        <w:tc>
          <w:tcPr>
            <w:tcW w:w="1418" w:type="dxa"/>
          </w:tcPr>
          <w:p w:rsidRPr="00FF1EF3" w:rsidR="00CE23CC" w:rsidP="00CE23CC" w:rsidRDefault="00CE23CC" w14:paraId="46E53147" w14:textId="77777777">
            <w:pPr>
              <w:pStyle w:val="ListParagraph"/>
              <w:ind w:left="601"/>
              <w:rPr>
                <w:i/>
              </w:rPr>
            </w:pPr>
            <w:r w:rsidRPr="00FF1EF3">
              <w:rPr>
                <w:i/>
              </w:rPr>
              <w:t>Tel.</w:t>
            </w:r>
          </w:p>
        </w:tc>
        <w:tc>
          <w:tcPr>
            <w:tcW w:w="5670" w:type="dxa"/>
          </w:tcPr>
          <w:p w:rsidRPr="00FF1EF3" w:rsidR="00CE23CC" w:rsidP="00CE23CC" w:rsidRDefault="00CE23CC" w14:paraId="61A04E27" w14:textId="77777777">
            <w:pPr>
              <w:pStyle w:val="ListParagraph"/>
              <w:ind w:left="0"/>
              <w:rPr>
                <w:i/>
              </w:rPr>
            </w:pPr>
            <w:r w:rsidRPr="00FF1EF3">
              <w:rPr>
                <w:i/>
              </w:rPr>
              <w:t>00 32 2 546 89 21</w:t>
            </w:r>
          </w:p>
        </w:tc>
      </w:tr>
      <w:tr w:rsidRPr="00FF1EF3" w:rsidR="00CE23CC" w:rsidTr="00B40158" w14:paraId="5EFFF55F" w14:textId="77777777">
        <w:tc>
          <w:tcPr>
            <w:tcW w:w="1418" w:type="dxa"/>
          </w:tcPr>
          <w:p w:rsidRPr="00FF1EF3" w:rsidR="00CE23CC" w:rsidP="00CE23CC" w:rsidRDefault="00FF1EF3" w14:paraId="6B9430EE" w14:textId="223C6C5B">
            <w:pPr>
              <w:pStyle w:val="ListParagraph"/>
              <w:ind w:left="601"/>
              <w:rPr>
                <w:i/>
              </w:rPr>
            </w:pPr>
            <w:r w:rsidRPr="00FF1EF3">
              <w:rPr>
                <w:i/>
              </w:rPr>
              <w:t>E</w:t>
            </w:r>
            <w:r w:rsidRPr="00FF1EF3" w:rsidR="00CE23CC">
              <w:rPr>
                <w:i/>
              </w:rPr>
              <w:t>-mail</w:t>
            </w:r>
          </w:p>
        </w:tc>
        <w:tc>
          <w:tcPr>
            <w:tcW w:w="5670" w:type="dxa"/>
          </w:tcPr>
          <w:p w:rsidRPr="00FF1EF3" w:rsidR="00CE23CC" w:rsidP="00CE23CC" w:rsidRDefault="004F624E" w14:paraId="2F25FA4C" w14:textId="77777777">
            <w:pPr>
              <w:pStyle w:val="ListParagraph"/>
              <w:ind w:left="0"/>
              <w:rPr>
                <w:i/>
              </w:rPr>
            </w:pPr>
            <w:hyperlink w:history="1" r:id="rId28">
              <w:r w:rsidRPr="00FF1EF3" w:rsidR="00462EFB">
                <w:rPr>
                  <w:rStyle w:val="Hyperlink"/>
                  <w:i/>
                </w:rPr>
                <w:t>Francesco.Napolitano@eesc.europa.eu</w:t>
              </w:r>
            </w:hyperlink>
          </w:p>
        </w:tc>
      </w:tr>
    </w:tbl>
    <w:p w:rsidRPr="00FF1EF3" w:rsidR="007327CD" w:rsidP="0018231C" w:rsidRDefault="007327CD" w14:paraId="1C752D75" w14:textId="77777777">
      <w:pPr>
        <w:jc w:val="left"/>
        <w:rPr>
          <w:sz w:val="28"/>
        </w:rPr>
      </w:pPr>
    </w:p>
    <w:p w:rsidRPr="00FF1EF3" w:rsidR="00910972" w:rsidRDefault="00910972" w14:paraId="565DA337" w14:textId="0CAB6DF2">
      <w:pPr>
        <w:spacing w:after="160" w:line="259" w:lineRule="auto"/>
        <w:jc w:val="left"/>
        <w:rPr>
          <w:sz w:val="28"/>
        </w:rPr>
      </w:pPr>
      <w:r w:rsidRPr="00FF1EF3">
        <w:br w:type="page"/>
      </w:r>
    </w:p>
    <w:p w:rsidRPr="00FF1EF3" w:rsidR="00E02E1A" w:rsidP="00E02E1A" w:rsidRDefault="00CE23CC" w14:paraId="614B5A48" w14:textId="77777777">
      <w:pPr>
        <w:pStyle w:val="ListParagraph"/>
        <w:keepNext/>
        <w:numPr>
          <w:ilvl w:val="0"/>
          <w:numId w:val="2"/>
        </w:numPr>
        <w:ind w:left="567" w:hanging="567"/>
        <w:rPr>
          <w:b/>
          <w:i/>
          <w:sz w:val="28"/>
          <w:szCs w:val="28"/>
        </w:rPr>
      </w:pPr>
      <w:r w:rsidRPr="00FF1EF3">
        <w:rPr>
          <w:b/>
          <w:i/>
          <w:sz w:val="28"/>
        </w:rPr>
        <w:t>Riconoscimento delle patenti di guida ucraine</w:t>
      </w:r>
    </w:p>
    <w:p w:rsidRPr="00FF1EF3" w:rsidR="00E02E1A" w:rsidP="00E02E1A" w:rsidRDefault="00E02E1A" w14:paraId="22D36C2D"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2403"/>
        <w:gridCol w:w="5387"/>
      </w:tblGrid>
      <w:tr w:rsidRPr="00FF1EF3" w:rsidR="00E02E1A" w:rsidTr="007B4C38" w14:paraId="79CECBDD" w14:textId="77777777">
        <w:tc>
          <w:tcPr>
            <w:tcW w:w="7088" w:type="dxa"/>
            <w:gridSpan w:val="2"/>
          </w:tcPr>
          <w:tbl>
            <w:tblPr>
              <w:tblStyle w:val="TableGrid"/>
              <w:tblW w:w="7524" w:type="dxa"/>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6"/>
              <w:gridCol w:w="5398"/>
            </w:tblGrid>
            <w:tr w:rsidRPr="00FF1EF3" w:rsidR="00394949" w:rsidTr="00E65D01" w14:paraId="67D0221A" w14:textId="77777777">
              <w:tc>
                <w:tcPr>
                  <w:tcW w:w="2126" w:type="dxa"/>
                </w:tcPr>
                <w:p w:rsidRPr="00FF1EF3" w:rsidR="00394949" w:rsidP="00E65D01" w:rsidRDefault="00CE23CC" w14:paraId="23E9C308" w14:textId="77777777">
                  <w:pPr>
                    <w:pStyle w:val="ListParagraph"/>
                    <w:ind w:left="-24" w:hanging="85"/>
                    <w:rPr>
                      <w:b/>
                    </w:rPr>
                  </w:pPr>
                  <w:r w:rsidRPr="00FF1EF3">
                    <w:rPr>
                      <w:b/>
                    </w:rPr>
                    <w:t>Parere di categoria C</w:t>
                  </w:r>
                </w:p>
              </w:tc>
              <w:tc>
                <w:tcPr>
                  <w:tcW w:w="5398" w:type="dxa"/>
                </w:tcPr>
                <w:p w:rsidRPr="00FF1EF3" w:rsidR="00394949" w:rsidP="00E65D01" w:rsidRDefault="00394949" w14:paraId="59EBC4B9" w14:textId="77777777">
                  <w:pPr>
                    <w:pStyle w:val="ListParagraph"/>
                    <w:ind w:left="64" w:firstLine="142"/>
                  </w:pPr>
                </w:p>
                <w:p w:rsidRPr="00FF1EF3" w:rsidR="00394949" w:rsidP="00394949" w:rsidRDefault="00394949" w14:paraId="44E6DD99" w14:textId="77777777">
                  <w:pPr>
                    <w:pStyle w:val="ListParagraph"/>
                    <w:ind w:left="-108"/>
                  </w:pPr>
                </w:p>
              </w:tc>
            </w:tr>
          </w:tbl>
          <w:p w:rsidRPr="00FF1EF3" w:rsidR="00E02E1A" w:rsidP="007B4C38" w:rsidRDefault="00E02E1A" w14:paraId="36B93263" w14:textId="77777777">
            <w:pPr>
              <w:pStyle w:val="ListParagraph"/>
              <w:keepNext/>
              <w:ind w:left="0"/>
            </w:pPr>
          </w:p>
        </w:tc>
      </w:tr>
      <w:tr w:rsidRPr="00FF1EF3" w:rsidR="00E02E1A" w:rsidTr="007B4C38" w14:paraId="18B826E9" w14:textId="77777777">
        <w:tc>
          <w:tcPr>
            <w:tcW w:w="1701" w:type="dxa"/>
            <w:vMerge w:val="restart"/>
          </w:tcPr>
          <w:p w:rsidRPr="00FF1EF3" w:rsidR="00E02E1A" w:rsidP="003165A9" w:rsidRDefault="00E02E1A" w14:paraId="0D6FDD91" w14:textId="77777777">
            <w:pPr>
              <w:pStyle w:val="ListParagraph"/>
              <w:keepNext/>
              <w:ind w:left="84"/>
              <w:rPr>
                <w:b/>
              </w:rPr>
            </w:pPr>
            <w:r w:rsidRPr="00FF1EF3">
              <w:rPr>
                <w:b/>
              </w:rPr>
              <w:t xml:space="preserve">Riferimenti </w:t>
            </w:r>
          </w:p>
        </w:tc>
        <w:tc>
          <w:tcPr>
            <w:tcW w:w="5387" w:type="dxa"/>
          </w:tcPr>
          <w:p w:rsidRPr="00FF1EF3" w:rsidR="00E02E1A" w:rsidP="007B4C38" w:rsidRDefault="00E02E1A" w14:paraId="1793B5F5" w14:textId="77777777">
            <w:pPr>
              <w:pStyle w:val="ListParagraph"/>
              <w:keepNext/>
              <w:ind w:left="-56"/>
            </w:pPr>
            <w:r w:rsidRPr="00FF1EF3">
              <w:t>COM(2022) 313 final</w:t>
            </w:r>
          </w:p>
        </w:tc>
      </w:tr>
      <w:tr w:rsidRPr="00FF1EF3" w:rsidR="00E02E1A" w:rsidTr="007B4C38" w14:paraId="04F010A3" w14:textId="77777777">
        <w:tc>
          <w:tcPr>
            <w:tcW w:w="1701" w:type="dxa"/>
            <w:vMerge/>
          </w:tcPr>
          <w:p w:rsidRPr="00FF1EF3" w:rsidR="00E02E1A" w:rsidP="007B4C38" w:rsidRDefault="00E02E1A" w14:paraId="6BB9873E" w14:textId="77777777">
            <w:pPr>
              <w:pStyle w:val="ListParagraph"/>
              <w:keepNext/>
              <w:ind w:left="0"/>
              <w:rPr>
                <w:b/>
              </w:rPr>
            </w:pPr>
          </w:p>
        </w:tc>
        <w:tc>
          <w:tcPr>
            <w:tcW w:w="5387" w:type="dxa"/>
          </w:tcPr>
          <w:p w:rsidRPr="00FF1EF3" w:rsidR="00E02E1A" w:rsidP="007B4C38" w:rsidRDefault="00A30B84" w14:paraId="4786441E" w14:textId="77777777">
            <w:pPr>
              <w:pStyle w:val="ListParagraph"/>
              <w:keepNext/>
              <w:ind w:left="-56"/>
            </w:pPr>
            <w:r w:rsidRPr="00FF1EF3">
              <w:t>EESC-2022-03334-00-00-AC</w:t>
            </w:r>
          </w:p>
        </w:tc>
      </w:tr>
    </w:tbl>
    <w:p w:rsidRPr="00FF1EF3" w:rsidR="00E02E1A" w:rsidP="00E02E1A" w:rsidRDefault="00E02E1A" w14:paraId="08BAF99C" w14:textId="77777777">
      <w:pPr>
        <w:pStyle w:val="ListParagraph"/>
        <w:ind w:left="0"/>
      </w:pPr>
    </w:p>
    <w:p w:rsidRPr="00FF1EF3" w:rsidR="003165A9" w:rsidP="002C4B6E" w:rsidRDefault="003165A9" w14:paraId="08069896" w14:textId="1CDF9A93">
      <w:pPr>
        <w:pStyle w:val="ListParagraph"/>
        <w:spacing w:line="240" w:lineRule="auto"/>
        <w:ind w:left="-142" w:firstLine="142"/>
        <w:rPr>
          <w:b/>
        </w:rPr>
      </w:pPr>
      <w:r w:rsidRPr="00FF1EF3">
        <w:rPr>
          <w:b/>
        </w:rPr>
        <w:t>Punti principali</w:t>
      </w:r>
    </w:p>
    <w:p w:rsidRPr="00FF1EF3" w:rsidR="003165A9" w:rsidP="00326919" w:rsidRDefault="003165A9" w14:paraId="00186DD7" w14:textId="77777777">
      <w:pPr>
        <w:pStyle w:val="ListParagraph"/>
        <w:keepNext/>
        <w:keepLines/>
        <w:ind w:left="0"/>
      </w:pPr>
    </w:p>
    <w:p w:rsidRPr="00FF1EF3" w:rsidR="003165A9" w:rsidP="00326919" w:rsidRDefault="00E65D01" w14:paraId="443A7F30" w14:textId="77777777">
      <w:pPr>
        <w:pStyle w:val="ListParagraph"/>
        <w:keepNext/>
        <w:keepLines/>
        <w:ind w:left="0"/>
      </w:pPr>
      <w:r w:rsidRPr="00FF1EF3">
        <w:t>Avendo concluso che il contenuto della proposta è soddisfacente e non richiede alcun commento da parte sua, il Comitato ha deciso di esprimere parere favorevole al testo proposto.</w:t>
      </w:r>
    </w:p>
    <w:p w:rsidRPr="00FF1EF3" w:rsidR="00E02E1A" w:rsidP="00E02E1A" w:rsidRDefault="00E02E1A" w14:paraId="132E231E"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056079" w:rsidTr="00DC17CF" w14:paraId="3D653507" w14:textId="77777777">
        <w:tc>
          <w:tcPr>
            <w:tcW w:w="1418" w:type="dxa"/>
          </w:tcPr>
          <w:p w:rsidRPr="00FF1EF3" w:rsidR="00056079" w:rsidP="00DC17CF" w:rsidRDefault="00056079" w14:paraId="6C05EC5E" w14:textId="77777777">
            <w:pPr>
              <w:pStyle w:val="ListParagraph"/>
              <w:ind w:left="0"/>
              <w:rPr>
                <w:i/>
              </w:rPr>
            </w:pPr>
            <w:r w:rsidRPr="00FF1EF3">
              <w:rPr>
                <w:b/>
                <w:i/>
              </w:rPr>
              <w:t>Contatto</w:t>
            </w:r>
          </w:p>
        </w:tc>
        <w:tc>
          <w:tcPr>
            <w:tcW w:w="5670" w:type="dxa"/>
          </w:tcPr>
          <w:p w:rsidRPr="00FF1EF3" w:rsidR="00056079" w:rsidP="00DC17CF" w:rsidRDefault="00E65D01" w14:paraId="3A49D460" w14:textId="77777777">
            <w:pPr>
              <w:pStyle w:val="ListParagraph"/>
              <w:ind w:left="0"/>
              <w:rPr>
                <w:i/>
              </w:rPr>
            </w:pPr>
            <w:r w:rsidRPr="00FF1EF3">
              <w:rPr>
                <w:i/>
              </w:rPr>
              <w:t>Antonio RIBEIRO PEREIRA</w:t>
            </w:r>
          </w:p>
        </w:tc>
      </w:tr>
      <w:tr w:rsidRPr="00FF1EF3" w:rsidR="00056079" w:rsidTr="00DC17CF" w14:paraId="0C0A979F" w14:textId="77777777">
        <w:tc>
          <w:tcPr>
            <w:tcW w:w="1418" w:type="dxa"/>
          </w:tcPr>
          <w:p w:rsidRPr="00FF1EF3" w:rsidR="00056079" w:rsidP="00DC17CF" w:rsidRDefault="00056079" w14:paraId="6EB01253" w14:textId="77777777">
            <w:pPr>
              <w:pStyle w:val="ListParagraph"/>
              <w:ind w:left="601"/>
              <w:rPr>
                <w:i/>
              </w:rPr>
            </w:pPr>
            <w:r w:rsidRPr="00FF1EF3">
              <w:rPr>
                <w:i/>
              </w:rPr>
              <w:t>Tel.</w:t>
            </w:r>
          </w:p>
        </w:tc>
        <w:tc>
          <w:tcPr>
            <w:tcW w:w="5670" w:type="dxa"/>
          </w:tcPr>
          <w:p w:rsidRPr="00FF1EF3" w:rsidR="00056079" w:rsidP="00DC17CF" w:rsidRDefault="00056079" w14:paraId="73BBF09C" w14:textId="77777777">
            <w:pPr>
              <w:pStyle w:val="ListParagraph"/>
              <w:ind w:left="0"/>
              <w:rPr>
                <w:i/>
              </w:rPr>
            </w:pPr>
            <w:r w:rsidRPr="00FF1EF3">
              <w:rPr>
                <w:i/>
              </w:rPr>
              <w:t>00 32 2 546 93 63</w:t>
            </w:r>
          </w:p>
        </w:tc>
      </w:tr>
      <w:tr w:rsidRPr="00FF1EF3" w:rsidR="00056079" w:rsidTr="00DC17CF" w14:paraId="534BAC1D" w14:textId="77777777">
        <w:tc>
          <w:tcPr>
            <w:tcW w:w="1418" w:type="dxa"/>
          </w:tcPr>
          <w:p w:rsidRPr="00FF1EF3" w:rsidR="00056079" w:rsidP="00DC17CF" w:rsidRDefault="00FF1EF3" w14:paraId="0D67677C" w14:textId="1123085A">
            <w:pPr>
              <w:pStyle w:val="ListParagraph"/>
              <w:ind w:left="601"/>
              <w:rPr>
                <w:i/>
              </w:rPr>
            </w:pPr>
            <w:r w:rsidRPr="00FF1EF3">
              <w:rPr>
                <w:i/>
              </w:rPr>
              <w:t>E</w:t>
            </w:r>
            <w:r w:rsidRPr="00FF1EF3" w:rsidR="00056079">
              <w:rPr>
                <w:i/>
              </w:rPr>
              <w:t>-mail</w:t>
            </w:r>
          </w:p>
        </w:tc>
        <w:tc>
          <w:tcPr>
            <w:tcW w:w="5670" w:type="dxa"/>
          </w:tcPr>
          <w:p w:rsidRPr="00FF1EF3" w:rsidR="00056079" w:rsidP="00DC17CF" w:rsidRDefault="004F624E" w14:paraId="52F9C6C7" w14:textId="77777777">
            <w:pPr>
              <w:pStyle w:val="ListParagraph"/>
              <w:ind w:left="0"/>
              <w:rPr>
                <w:i/>
              </w:rPr>
            </w:pPr>
            <w:hyperlink w:history="1" r:id="rId29">
              <w:r w:rsidRPr="00FF1EF3" w:rsidR="00462EFB">
                <w:rPr>
                  <w:rStyle w:val="Hyperlink"/>
                  <w:i/>
                </w:rPr>
                <w:t>Antonio.RibeiroPereira@eesc.europa.eu</w:t>
              </w:r>
            </w:hyperlink>
          </w:p>
        </w:tc>
      </w:tr>
    </w:tbl>
    <w:p w:rsidRPr="00FF1EF3" w:rsidR="00910972" w:rsidP="00910972" w:rsidRDefault="00910972" w14:paraId="47123D2A" w14:textId="77777777">
      <w:pPr>
        <w:pStyle w:val="ListParagraph"/>
        <w:keepNext/>
        <w:ind w:left="567"/>
        <w:rPr>
          <w:b/>
          <w:i/>
          <w:sz w:val="28"/>
          <w:szCs w:val="28"/>
        </w:rPr>
      </w:pPr>
    </w:p>
    <w:p w:rsidRPr="00FF1EF3" w:rsidR="00910972" w:rsidRDefault="00910972" w14:paraId="0E683792" w14:textId="77777777">
      <w:pPr>
        <w:spacing w:after="160" w:line="259" w:lineRule="auto"/>
        <w:jc w:val="left"/>
        <w:rPr>
          <w:b/>
          <w:i/>
          <w:sz w:val="28"/>
          <w:szCs w:val="28"/>
        </w:rPr>
      </w:pPr>
      <w:r w:rsidRPr="00FF1EF3">
        <w:br w:type="page"/>
      </w:r>
    </w:p>
    <w:p w:rsidRPr="00FF1EF3" w:rsidR="00E65D01" w:rsidP="00E65D01" w:rsidRDefault="00FF1EF3" w14:paraId="1916BCFD" w14:textId="69CFEE24">
      <w:pPr>
        <w:pStyle w:val="ListParagraph"/>
        <w:keepNext/>
        <w:numPr>
          <w:ilvl w:val="0"/>
          <w:numId w:val="2"/>
        </w:numPr>
        <w:ind w:left="567" w:hanging="567"/>
        <w:rPr>
          <w:b/>
          <w:i/>
          <w:sz w:val="28"/>
          <w:szCs w:val="28"/>
        </w:rPr>
      </w:pPr>
      <w:r w:rsidRPr="00FF1EF3">
        <w:rPr>
          <w:b/>
          <w:i/>
          <w:sz w:val="28"/>
        </w:rPr>
        <w:t>Direttiva</w:t>
      </w:r>
      <w:r w:rsidRPr="00FF1EF3" w:rsidR="00015E18">
        <w:rPr>
          <w:b/>
          <w:i/>
          <w:sz w:val="28"/>
        </w:rPr>
        <w:t xml:space="preserve"> sull'efficienza energetica</w:t>
      </w:r>
    </w:p>
    <w:p w:rsidRPr="00FF1EF3" w:rsidR="00E65D01" w:rsidP="00E65D01" w:rsidRDefault="00E65D01" w14:paraId="185CF155"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2403"/>
        <w:gridCol w:w="5387"/>
      </w:tblGrid>
      <w:tr w:rsidRPr="00FF1EF3" w:rsidR="00E65D01" w:rsidTr="008B66DD" w14:paraId="258CD34A" w14:textId="77777777">
        <w:tc>
          <w:tcPr>
            <w:tcW w:w="7088" w:type="dxa"/>
            <w:gridSpan w:val="2"/>
          </w:tcPr>
          <w:tbl>
            <w:tblPr>
              <w:tblStyle w:val="TableGrid"/>
              <w:tblW w:w="7524" w:type="dxa"/>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6"/>
              <w:gridCol w:w="5398"/>
            </w:tblGrid>
            <w:tr w:rsidRPr="00FF1EF3" w:rsidR="00E65D01" w:rsidTr="008B66DD" w14:paraId="4A8EDAA3" w14:textId="77777777">
              <w:tc>
                <w:tcPr>
                  <w:tcW w:w="2126" w:type="dxa"/>
                </w:tcPr>
                <w:p w:rsidRPr="00FF1EF3" w:rsidR="00E65D01" w:rsidP="008B66DD" w:rsidRDefault="00E65D01" w14:paraId="40A2FEEE" w14:textId="77777777">
                  <w:pPr>
                    <w:pStyle w:val="ListParagraph"/>
                    <w:ind w:left="-24" w:hanging="85"/>
                    <w:rPr>
                      <w:b/>
                    </w:rPr>
                  </w:pPr>
                  <w:r w:rsidRPr="00FF1EF3">
                    <w:rPr>
                      <w:b/>
                    </w:rPr>
                    <w:t>Parere di categoria C</w:t>
                  </w:r>
                </w:p>
              </w:tc>
              <w:tc>
                <w:tcPr>
                  <w:tcW w:w="5398" w:type="dxa"/>
                </w:tcPr>
                <w:p w:rsidRPr="00FF1EF3" w:rsidR="00E65D01" w:rsidP="008B66DD" w:rsidRDefault="00E65D01" w14:paraId="481ABB04" w14:textId="77777777">
                  <w:pPr>
                    <w:pStyle w:val="ListParagraph"/>
                    <w:ind w:left="64" w:firstLine="142"/>
                  </w:pPr>
                </w:p>
                <w:p w:rsidRPr="00FF1EF3" w:rsidR="00E65D01" w:rsidP="008B66DD" w:rsidRDefault="00E65D01" w14:paraId="44855807" w14:textId="77777777">
                  <w:pPr>
                    <w:pStyle w:val="ListParagraph"/>
                    <w:ind w:left="-108"/>
                  </w:pPr>
                </w:p>
              </w:tc>
            </w:tr>
          </w:tbl>
          <w:p w:rsidRPr="00FF1EF3" w:rsidR="00E65D01" w:rsidP="008B66DD" w:rsidRDefault="00E65D01" w14:paraId="65666DBD" w14:textId="77777777">
            <w:pPr>
              <w:pStyle w:val="ListParagraph"/>
              <w:keepNext/>
              <w:ind w:left="0"/>
            </w:pPr>
          </w:p>
        </w:tc>
      </w:tr>
      <w:tr w:rsidRPr="00FF1EF3" w:rsidR="00E65D01" w:rsidTr="008B66DD" w14:paraId="3392BC69" w14:textId="77777777">
        <w:tc>
          <w:tcPr>
            <w:tcW w:w="1701" w:type="dxa"/>
            <w:vMerge w:val="restart"/>
          </w:tcPr>
          <w:p w:rsidRPr="00FF1EF3" w:rsidR="00E65D01" w:rsidP="008B66DD" w:rsidRDefault="00E65D01" w14:paraId="26927961" w14:textId="77777777">
            <w:pPr>
              <w:pStyle w:val="ListParagraph"/>
              <w:keepNext/>
              <w:ind w:left="84"/>
              <w:rPr>
                <w:b/>
              </w:rPr>
            </w:pPr>
            <w:r w:rsidRPr="00FF1EF3">
              <w:rPr>
                <w:b/>
              </w:rPr>
              <w:t xml:space="preserve">Riferimenti </w:t>
            </w:r>
          </w:p>
        </w:tc>
        <w:tc>
          <w:tcPr>
            <w:tcW w:w="5387" w:type="dxa"/>
          </w:tcPr>
          <w:p w:rsidRPr="00FF1EF3" w:rsidR="00E65D01" w:rsidP="008B66DD" w:rsidRDefault="00E65D01" w14:paraId="5C473A41" w14:textId="77777777">
            <w:pPr>
              <w:pStyle w:val="ListParagraph"/>
              <w:keepNext/>
              <w:ind w:left="-56"/>
            </w:pPr>
            <w:r w:rsidRPr="00FF1EF3">
              <w:t>COM(2021) 222 final</w:t>
            </w:r>
          </w:p>
        </w:tc>
      </w:tr>
      <w:tr w:rsidRPr="00FF1EF3" w:rsidR="00E65D01" w:rsidTr="008B66DD" w14:paraId="49746E2A" w14:textId="77777777">
        <w:tc>
          <w:tcPr>
            <w:tcW w:w="1701" w:type="dxa"/>
            <w:vMerge/>
          </w:tcPr>
          <w:p w:rsidRPr="00FF1EF3" w:rsidR="00E65D01" w:rsidP="008B66DD" w:rsidRDefault="00E65D01" w14:paraId="1F52D818" w14:textId="77777777">
            <w:pPr>
              <w:pStyle w:val="ListParagraph"/>
              <w:keepNext/>
              <w:ind w:left="0"/>
              <w:rPr>
                <w:b/>
              </w:rPr>
            </w:pPr>
          </w:p>
        </w:tc>
        <w:tc>
          <w:tcPr>
            <w:tcW w:w="5387" w:type="dxa"/>
          </w:tcPr>
          <w:p w:rsidRPr="00FF1EF3" w:rsidR="00E65D01" w:rsidP="008B66DD" w:rsidRDefault="00E65D01" w14:paraId="4838E34A" w14:textId="77777777">
            <w:pPr>
              <w:pStyle w:val="ListParagraph"/>
              <w:keepNext/>
              <w:ind w:left="-56"/>
            </w:pPr>
            <w:r w:rsidRPr="00FF1EF3">
              <w:t>EESC-2022-03411-00-00-AC</w:t>
            </w:r>
          </w:p>
        </w:tc>
      </w:tr>
    </w:tbl>
    <w:p w:rsidRPr="00FF1EF3" w:rsidR="00E65D01" w:rsidP="00E65D01" w:rsidRDefault="00E65D01" w14:paraId="12B32AC3" w14:textId="77777777">
      <w:pPr>
        <w:pStyle w:val="ListParagraph"/>
        <w:ind w:left="0"/>
      </w:pPr>
    </w:p>
    <w:p w:rsidRPr="00FF1EF3" w:rsidR="00E65D01" w:rsidP="00E65D01" w:rsidRDefault="00E65D01" w14:paraId="7E7C24B9" w14:textId="5C9C3C91">
      <w:pPr>
        <w:pStyle w:val="ListParagraph"/>
        <w:spacing w:line="240" w:lineRule="auto"/>
        <w:ind w:left="-142" w:firstLine="142"/>
        <w:rPr>
          <w:b/>
        </w:rPr>
      </w:pPr>
      <w:r w:rsidRPr="00FF1EF3">
        <w:rPr>
          <w:b/>
        </w:rPr>
        <w:t>Punti principali</w:t>
      </w:r>
    </w:p>
    <w:p w:rsidRPr="00FF1EF3" w:rsidR="00E65D01" w:rsidP="00E65D01" w:rsidRDefault="00E65D01" w14:paraId="7B99BBA6" w14:textId="77777777">
      <w:pPr>
        <w:pStyle w:val="ListParagraph"/>
        <w:keepNext/>
        <w:keepLines/>
        <w:ind w:left="0"/>
      </w:pPr>
    </w:p>
    <w:p w:rsidRPr="00FF1EF3" w:rsidR="00E65D01" w:rsidP="00E65D01" w:rsidRDefault="00E65D01" w14:paraId="53C0C59E" w14:textId="77777777">
      <w:pPr>
        <w:pStyle w:val="ListParagraph"/>
        <w:keepNext/>
        <w:keepLines/>
        <w:ind w:left="0"/>
      </w:pPr>
      <w:r w:rsidRPr="00FF1EF3">
        <w:t>Avendo concluso che il contenuto della proposta è soddisfacente e non richiede alcun commento da parte sua, il Comitato ha deciso di esprimere parere favorevole al testo proposto.</w:t>
      </w:r>
    </w:p>
    <w:p w:rsidRPr="00FF1EF3" w:rsidR="00E65D01" w:rsidP="00E65D01" w:rsidRDefault="00E65D01" w14:paraId="256A110C" w14:textId="77777777">
      <w:pPr>
        <w:pStyle w:val="ListParagraph"/>
        <w:ind w:left="0"/>
        <w:rPr>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E65D01" w:rsidTr="008B66DD" w14:paraId="0DD84967" w14:textId="77777777">
        <w:tc>
          <w:tcPr>
            <w:tcW w:w="1418" w:type="dxa"/>
          </w:tcPr>
          <w:p w:rsidRPr="00FF1EF3" w:rsidR="00E65D01" w:rsidP="008B66DD" w:rsidRDefault="00E65D01" w14:paraId="711CBA3F" w14:textId="77777777">
            <w:pPr>
              <w:pStyle w:val="ListParagraph"/>
              <w:ind w:left="0"/>
              <w:rPr>
                <w:i/>
              </w:rPr>
            </w:pPr>
            <w:r w:rsidRPr="00FF1EF3">
              <w:rPr>
                <w:b/>
                <w:i/>
              </w:rPr>
              <w:t>Contatto</w:t>
            </w:r>
          </w:p>
        </w:tc>
        <w:tc>
          <w:tcPr>
            <w:tcW w:w="5670" w:type="dxa"/>
          </w:tcPr>
          <w:p w:rsidRPr="00FF1EF3" w:rsidR="00E65D01" w:rsidP="008B66DD" w:rsidRDefault="00E65D01" w14:paraId="7621E843" w14:textId="77777777">
            <w:pPr>
              <w:pStyle w:val="ListParagraph"/>
              <w:ind w:left="0"/>
              <w:rPr>
                <w:i/>
              </w:rPr>
            </w:pPr>
            <w:r w:rsidRPr="00FF1EF3">
              <w:rPr>
                <w:i/>
              </w:rPr>
              <w:t>Giorgia BORDIGNON</w:t>
            </w:r>
          </w:p>
        </w:tc>
      </w:tr>
      <w:tr w:rsidRPr="00FF1EF3" w:rsidR="00E65D01" w:rsidTr="008B66DD" w14:paraId="045CA179" w14:textId="77777777">
        <w:tc>
          <w:tcPr>
            <w:tcW w:w="1418" w:type="dxa"/>
          </w:tcPr>
          <w:p w:rsidRPr="00FF1EF3" w:rsidR="00E65D01" w:rsidP="008B66DD" w:rsidRDefault="00E65D01" w14:paraId="3D84C005" w14:textId="77777777">
            <w:pPr>
              <w:pStyle w:val="ListParagraph"/>
              <w:ind w:left="601"/>
              <w:rPr>
                <w:i/>
              </w:rPr>
            </w:pPr>
            <w:r w:rsidRPr="00FF1EF3">
              <w:rPr>
                <w:i/>
              </w:rPr>
              <w:t>Tel.</w:t>
            </w:r>
          </w:p>
        </w:tc>
        <w:tc>
          <w:tcPr>
            <w:tcW w:w="5670" w:type="dxa"/>
          </w:tcPr>
          <w:p w:rsidRPr="00FF1EF3" w:rsidR="00E65D01" w:rsidP="008B66DD" w:rsidRDefault="00E65D01" w14:paraId="28C76439" w14:textId="77777777">
            <w:pPr>
              <w:pStyle w:val="ListParagraph"/>
              <w:ind w:left="0"/>
              <w:rPr>
                <w:i/>
              </w:rPr>
            </w:pPr>
            <w:r w:rsidRPr="00FF1EF3">
              <w:rPr>
                <w:i/>
              </w:rPr>
              <w:t>00 32 2 546 85 35</w:t>
            </w:r>
          </w:p>
        </w:tc>
      </w:tr>
      <w:tr w:rsidRPr="00FF1EF3" w:rsidR="00E65D01" w:rsidTr="008B66DD" w14:paraId="0FBDB7F6" w14:textId="77777777">
        <w:tc>
          <w:tcPr>
            <w:tcW w:w="1418" w:type="dxa"/>
          </w:tcPr>
          <w:p w:rsidRPr="00FF1EF3" w:rsidR="00E65D01" w:rsidP="008B66DD" w:rsidRDefault="00FF1EF3" w14:paraId="70AB4C5C" w14:textId="636D8785">
            <w:pPr>
              <w:pStyle w:val="ListParagraph"/>
              <w:ind w:left="601"/>
              <w:rPr>
                <w:i/>
              </w:rPr>
            </w:pPr>
            <w:r w:rsidRPr="00FF1EF3">
              <w:rPr>
                <w:i/>
              </w:rPr>
              <w:t>E</w:t>
            </w:r>
            <w:r w:rsidRPr="00FF1EF3" w:rsidR="00E65D01">
              <w:rPr>
                <w:i/>
              </w:rPr>
              <w:t>-mail</w:t>
            </w:r>
          </w:p>
        </w:tc>
        <w:tc>
          <w:tcPr>
            <w:tcW w:w="5670" w:type="dxa"/>
          </w:tcPr>
          <w:p w:rsidRPr="00FF1EF3" w:rsidR="00E65D01" w:rsidP="008B66DD" w:rsidRDefault="004F624E" w14:paraId="769D6878" w14:textId="77777777">
            <w:pPr>
              <w:pStyle w:val="ListParagraph"/>
              <w:ind w:left="0"/>
              <w:rPr>
                <w:i/>
              </w:rPr>
            </w:pPr>
            <w:hyperlink w:history="1" r:id="rId30">
              <w:r w:rsidRPr="00FF1EF3" w:rsidR="00462EFB">
                <w:rPr>
                  <w:rStyle w:val="Hyperlink"/>
                  <w:i/>
                </w:rPr>
                <w:t>Giorgia.Bordignon@eesc.europa.eu</w:t>
              </w:r>
            </w:hyperlink>
          </w:p>
        </w:tc>
      </w:tr>
    </w:tbl>
    <w:p w:rsidRPr="00FF1EF3" w:rsidR="002A2F38" w:rsidP="0018231C" w:rsidRDefault="002A2F38" w14:paraId="7C470F49" w14:textId="77777777">
      <w:pPr>
        <w:jc w:val="left"/>
        <w:rPr>
          <w:sz w:val="28"/>
        </w:rPr>
      </w:pPr>
    </w:p>
    <w:p w:rsidRPr="00FF1EF3" w:rsidR="00015E18" w:rsidRDefault="00015E18" w14:paraId="4D226931" w14:textId="77777777">
      <w:pPr>
        <w:spacing w:after="160" w:line="259" w:lineRule="auto"/>
        <w:jc w:val="left"/>
        <w:rPr>
          <w:sz w:val="28"/>
        </w:rPr>
      </w:pPr>
      <w:r w:rsidRPr="00FF1EF3">
        <w:br w:type="page"/>
      </w:r>
    </w:p>
    <w:p w:rsidRPr="00FF1EF3" w:rsidR="004D7AC0" w:rsidRDefault="004D7AC0" w14:paraId="3F8FA026" w14:textId="777D3BDC">
      <w:pPr>
        <w:pStyle w:val="Heading1"/>
        <w:rPr>
          <w:b/>
        </w:rPr>
      </w:pPr>
      <w:bookmarkStart w:name="_Toc75527083" w:id="12"/>
      <w:bookmarkStart w:name="_Toc110414440" w:id="13"/>
      <w:r w:rsidRPr="00FF1EF3">
        <w:rPr>
          <w:b/>
        </w:rPr>
        <w:t xml:space="preserve">MERCATO UNICO, PRODUZIONE </w:t>
      </w:r>
      <w:r w:rsidRPr="00FF1EF3" w:rsidR="00FF1EF3">
        <w:rPr>
          <w:b/>
        </w:rPr>
        <w:t>E</w:t>
      </w:r>
      <w:r w:rsidRPr="00FF1EF3">
        <w:rPr>
          <w:b/>
        </w:rPr>
        <w:t xml:space="preserve"> CONSUMO</w:t>
      </w:r>
      <w:bookmarkEnd w:id="12"/>
      <w:bookmarkEnd w:id="13"/>
    </w:p>
    <w:p w:rsidRPr="00FF1EF3" w:rsidR="004D7AC0" w:rsidRDefault="004D7AC0" w14:paraId="03FF9505" w14:textId="77777777"/>
    <w:p w:rsidRPr="00FF1EF3" w:rsidR="004D7AC0" w:rsidP="007E7A4F" w:rsidRDefault="001A2273" w14:paraId="7F0491AB" w14:textId="35589013">
      <w:pPr>
        <w:pStyle w:val="ListParagraph"/>
        <w:numPr>
          <w:ilvl w:val="0"/>
          <w:numId w:val="2"/>
        </w:numPr>
        <w:ind w:left="567" w:hanging="567"/>
        <w:rPr>
          <w:b/>
          <w:i/>
          <w:sz w:val="28"/>
          <w:szCs w:val="28"/>
        </w:rPr>
      </w:pPr>
      <w:r w:rsidRPr="00FF1EF3">
        <w:rPr>
          <w:b/>
          <w:i/>
          <w:sz w:val="28"/>
        </w:rPr>
        <w:t>Consumatori e transizione verde</w:t>
      </w:r>
    </w:p>
    <w:p w:rsidRPr="00FF1EF3" w:rsidR="004D7AC0" w:rsidP="0018231C" w:rsidRDefault="004D7AC0" w14:paraId="6D553771"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FF1EF3" w:rsidR="00753F2A" w:rsidTr="00342F72" w14:paraId="67E764D9" w14:textId="77777777">
        <w:tc>
          <w:tcPr>
            <w:tcW w:w="1701" w:type="dxa"/>
          </w:tcPr>
          <w:p w:rsidRPr="00FF1EF3" w:rsidR="00753F2A" w:rsidRDefault="00FF1EF3" w14:paraId="793CE0A9" w14:textId="2209FD38">
            <w:pPr>
              <w:pStyle w:val="ListParagraph"/>
              <w:ind w:left="0"/>
              <w:rPr>
                <w:b/>
              </w:rPr>
            </w:pPr>
            <w:r w:rsidRPr="00FF1EF3">
              <w:rPr>
                <w:b/>
              </w:rPr>
              <w:t>Relatore</w:t>
            </w:r>
          </w:p>
        </w:tc>
        <w:tc>
          <w:tcPr>
            <w:tcW w:w="6096" w:type="dxa"/>
          </w:tcPr>
          <w:p w:rsidRPr="00FF1EF3" w:rsidR="00645723" w:rsidP="00A74B4C" w:rsidRDefault="000A007B" w14:paraId="2F83A1EA" w14:textId="77777777">
            <w:pPr>
              <w:pStyle w:val="ListParagraph"/>
              <w:ind w:left="-108"/>
            </w:pPr>
            <w:r w:rsidRPr="00FF1EF3">
              <w:t>Thierry LIBAERT (Organizzazioni della società civile - FR)</w:t>
            </w:r>
          </w:p>
        </w:tc>
      </w:tr>
      <w:tr w:rsidRPr="00FF1EF3" w:rsidR="00E65D01" w:rsidTr="00342F72" w14:paraId="66C242BA" w14:textId="77777777">
        <w:tc>
          <w:tcPr>
            <w:tcW w:w="1701" w:type="dxa"/>
          </w:tcPr>
          <w:p w:rsidRPr="00FF1EF3" w:rsidR="00E65D01" w:rsidRDefault="00FF1EF3" w14:paraId="3314C6AE" w14:textId="043EA9DB">
            <w:pPr>
              <w:pStyle w:val="ListParagraph"/>
              <w:ind w:left="0"/>
              <w:rPr>
                <w:b/>
              </w:rPr>
            </w:pPr>
            <w:r w:rsidRPr="00FF1EF3">
              <w:rPr>
                <w:b/>
              </w:rPr>
              <w:t>Correlatore</w:t>
            </w:r>
          </w:p>
        </w:tc>
        <w:tc>
          <w:tcPr>
            <w:tcW w:w="6096" w:type="dxa"/>
          </w:tcPr>
          <w:p w:rsidRPr="00FF1EF3" w:rsidR="00E65D01" w:rsidP="00A74B4C" w:rsidRDefault="00E65D01" w14:paraId="3F16BFA0" w14:textId="77777777">
            <w:pPr>
              <w:pStyle w:val="ListParagraph"/>
              <w:ind w:left="-108"/>
            </w:pPr>
            <w:r w:rsidRPr="00FF1EF3">
              <w:t>Gonçalo LOBO XAVIER (Datori di lavoro - PT)</w:t>
            </w:r>
          </w:p>
        </w:tc>
      </w:tr>
      <w:tr w:rsidRPr="00FF1EF3" w:rsidR="004C40E4" w:rsidTr="00342F72" w14:paraId="5D5E00A4" w14:textId="77777777">
        <w:tc>
          <w:tcPr>
            <w:tcW w:w="7797" w:type="dxa"/>
            <w:gridSpan w:val="2"/>
          </w:tcPr>
          <w:p w:rsidRPr="00FF1EF3" w:rsidR="004C40E4" w:rsidRDefault="004C40E4" w14:paraId="4586BF19" w14:textId="77777777">
            <w:pPr>
              <w:pStyle w:val="ListParagraph"/>
              <w:ind w:left="0"/>
              <w:rPr>
                <w:b/>
                <w:lang w:val="fr-BE"/>
              </w:rPr>
            </w:pPr>
          </w:p>
        </w:tc>
      </w:tr>
      <w:tr w:rsidRPr="00FF1EF3" w:rsidR="004D7AC0" w:rsidTr="00342F72" w14:paraId="5F7FEE9D" w14:textId="77777777">
        <w:tc>
          <w:tcPr>
            <w:tcW w:w="1701" w:type="dxa"/>
          </w:tcPr>
          <w:p w:rsidRPr="00FF1EF3" w:rsidR="004D7AC0" w:rsidRDefault="004D7AC0" w14:paraId="7A4B7641" w14:textId="77777777">
            <w:pPr>
              <w:pStyle w:val="ListParagraph"/>
              <w:ind w:left="0"/>
              <w:rPr>
                <w:b/>
              </w:rPr>
            </w:pPr>
            <w:r w:rsidRPr="00FF1EF3">
              <w:rPr>
                <w:b/>
              </w:rPr>
              <w:t xml:space="preserve">Riferimenti </w:t>
            </w:r>
          </w:p>
        </w:tc>
        <w:tc>
          <w:tcPr>
            <w:tcW w:w="6096" w:type="dxa"/>
          </w:tcPr>
          <w:p w:rsidRPr="00FF1EF3" w:rsidR="006A3A88" w:rsidP="000F53B7" w:rsidRDefault="000A007B" w14:paraId="3C04A448" w14:textId="77777777">
            <w:pPr>
              <w:tabs>
                <w:tab w:val="center" w:pos="284"/>
              </w:tabs>
              <w:ind w:left="266" w:hanging="374"/>
            </w:pPr>
            <w:r w:rsidRPr="00FF1EF3">
              <w:t>COM(2022) 143 final</w:t>
            </w:r>
          </w:p>
          <w:p w:rsidRPr="00FF1EF3" w:rsidR="004D7AC0" w:rsidP="000F53B7" w:rsidRDefault="000A007B" w14:paraId="191F43FD" w14:textId="77777777">
            <w:pPr>
              <w:pStyle w:val="ListParagraph"/>
              <w:ind w:left="-108"/>
            </w:pPr>
            <w:r w:rsidRPr="00FF1EF3">
              <w:t>EESC-2022-01950-00-00-AC</w:t>
            </w:r>
          </w:p>
        </w:tc>
      </w:tr>
    </w:tbl>
    <w:p w:rsidRPr="00FF1EF3" w:rsidR="00BB1EE2" w:rsidRDefault="00BB1EE2" w14:paraId="49F1F598" w14:textId="77777777">
      <w:pPr>
        <w:pStyle w:val="ListParagraph"/>
        <w:ind w:left="0"/>
        <w:rPr>
          <w:b/>
        </w:rPr>
      </w:pPr>
    </w:p>
    <w:p w:rsidRPr="00FF1EF3" w:rsidR="004D7AC0" w:rsidP="002C4B6E" w:rsidRDefault="00D20C54" w14:paraId="6267AC05" w14:textId="1849BC99">
      <w:pPr>
        <w:pStyle w:val="ListParagraph"/>
        <w:spacing w:line="240" w:lineRule="auto"/>
        <w:ind w:left="-142" w:firstLine="142"/>
        <w:rPr>
          <w:b/>
        </w:rPr>
      </w:pPr>
      <w:r w:rsidRPr="00FF1EF3">
        <w:rPr>
          <w:b/>
        </w:rPr>
        <w:t>Punti principali</w:t>
      </w:r>
    </w:p>
    <w:p w:rsidRPr="00FF1EF3" w:rsidR="004D7AC0" w:rsidRDefault="004D7AC0" w14:paraId="3E3F39EC" w14:textId="77777777">
      <w:pPr>
        <w:pStyle w:val="ListParagraph"/>
        <w:ind w:left="0"/>
        <w:rPr>
          <w:lang w:val="fr-FR"/>
        </w:rPr>
      </w:pPr>
    </w:p>
    <w:p w:rsidRPr="00FF1EF3" w:rsidR="007E7A4F" w:rsidRDefault="00D20C54" w14:paraId="1A9DE11D" w14:textId="77777777">
      <w:pPr>
        <w:pStyle w:val="ListParagraph"/>
        <w:ind w:left="0"/>
      </w:pPr>
      <w:r w:rsidRPr="00FF1EF3">
        <w:t>Il CESE:</w:t>
      </w:r>
    </w:p>
    <w:p w:rsidRPr="00FF1EF3" w:rsidR="00331C12" w:rsidRDefault="00331C12" w14:paraId="35D1C8DD" w14:textId="77777777">
      <w:pPr>
        <w:pStyle w:val="ListParagraph"/>
        <w:ind w:left="0"/>
        <w:rPr>
          <w:lang w:val="fr-FR"/>
        </w:rPr>
      </w:pPr>
    </w:p>
    <w:p w:rsidRPr="00FF1EF3" w:rsidR="00225C52" w:rsidP="00225C52" w:rsidRDefault="00D04678" w14:paraId="4C138A05" w14:textId="35C76187">
      <w:pPr>
        <w:numPr>
          <w:ilvl w:val="0"/>
          <w:numId w:val="3"/>
        </w:numPr>
        <w:overflowPunct w:val="0"/>
        <w:autoSpaceDE w:val="0"/>
        <w:autoSpaceDN w:val="0"/>
        <w:adjustRightInd w:val="0"/>
        <w:ind w:left="357" w:hanging="357"/>
        <w:textAlignment w:val="baseline"/>
        <w:rPr>
          <w:bCs/>
          <w:iCs/>
        </w:rPr>
      </w:pPr>
      <w:r w:rsidRPr="00FF1EF3">
        <w:t xml:space="preserve">sottolinea la </w:t>
      </w:r>
      <w:r w:rsidRPr="00FF1EF3">
        <w:rPr>
          <w:b/>
        </w:rPr>
        <w:t>necessità di compiere ogni sforzo per garantire che le informazioni siano messe sistematicamente a disposizione dei consumatori</w:t>
      </w:r>
      <w:r w:rsidRPr="00FF1EF3">
        <w:t>;</w:t>
      </w:r>
    </w:p>
    <w:p w:rsidRPr="00FF1EF3" w:rsidR="00225C52" w:rsidP="00225C52" w:rsidRDefault="00D04678" w14:paraId="24A2C373" w14:textId="41211029">
      <w:pPr>
        <w:numPr>
          <w:ilvl w:val="0"/>
          <w:numId w:val="3"/>
        </w:numPr>
        <w:overflowPunct w:val="0"/>
        <w:autoSpaceDE w:val="0"/>
        <w:autoSpaceDN w:val="0"/>
        <w:adjustRightInd w:val="0"/>
        <w:ind w:left="357" w:hanging="357"/>
        <w:textAlignment w:val="baseline"/>
        <w:rPr>
          <w:bCs/>
          <w:iCs/>
        </w:rPr>
      </w:pPr>
      <w:r w:rsidRPr="00FF1EF3">
        <w:t xml:space="preserve">chiede con insistenza alla CE di </w:t>
      </w:r>
      <w:r w:rsidRPr="00FF1EF3">
        <w:rPr>
          <w:b/>
        </w:rPr>
        <w:t>dare prova di ambizione sostenendo il principio di un indice di riparabilità dei prodotti "bruni" e "bianchi"</w:t>
      </w:r>
      <w:r w:rsidRPr="00FF1EF3">
        <w:t>;</w:t>
      </w:r>
    </w:p>
    <w:p w:rsidRPr="00FF1EF3" w:rsidR="000A007B" w:rsidP="00225C52" w:rsidRDefault="00D04678" w14:paraId="1330E042" w14:textId="100E679E">
      <w:pPr>
        <w:numPr>
          <w:ilvl w:val="0"/>
          <w:numId w:val="3"/>
        </w:numPr>
        <w:overflowPunct w:val="0"/>
        <w:autoSpaceDE w:val="0"/>
        <w:autoSpaceDN w:val="0"/>
        <w:adjustRightInd w:val="0"/>
        <w:ind w:left="357" w:hanging="357"/>
        <w:textAlignment w:val="baseline"/>
        <w:rPr>
          <w:bCs/>
          <w:iCs/>
        </w:rPr>
      </w:pPr>
      <w:r w:rsidRPr="00FF1EF3">
        <w:t xml:space="preserve">ritiene che la CE </w:t>
      </w:r>
      <w:r w:rsidRPr="00FF1EF3">
        <w:rPr>
          <w:b/>
        </w:rPr>
        <w:t>dovrebbe fare dei progressi per quanto riguarda il principio di un'indicazione semplice e concertata della durabilità dei prodotti</w:t>
      </w:r>
      <w:r w:rsidRPr="00FF1EF3">
        <w:t xml:space="preserve"> nei prossimi anni;</w:t>
      </w:r>
    </w:p>
    <w:p w:rsidRPr="00FF1EF3" w:rsidR="000A007B" w:rsidP="00225C52" w:rsidRDefault="00D04678" w14:paraId="3D07993B" w14:textId="2FB4C5D0">
      <w:pPr>
        <w:numPr>
          <w:ilvl w:val="0"/>
          <w:numId w:val="3"/>
        </w:numPr>
        <w:overflowPunct w:val="0"/>
        <w:autoSpaceDE w:val="0"/>
        <w:autoSpaceDN w:val="0"/>
        <w:adjustRightInd w:val="0"/>
        <w:ind w:left="357" w:hanging="357"/>
        <w:textAlignment w:val="baseline"/>
        <w:rPr>
          <w:bCs/>
          <w:iCs/>
        </w:rPr>
      </w:pPr>
      <w:r w:rsidRPr="00FF1EF3">
        <w:t xml:space="preserve">è del parere che </w:t>
      </w:r>
      <w:r w:rsidRPr="00FF1EF3">
        <w:rPr>
          <w:b/>
        </w:rPr>
        <w:t>sia importante incoraggiare la formazione di nuovi riparatori e il miglioramento delle competenze degli attori attuali</w:t>
      </w:r>
      <w:r w:rsidRPr="00FF1EF3">
        <w:t>;</w:t>
      </w:r>
    </w:p>
    <w:p w:rsidRPr="00FF1EF3" w:rsidR="000A007B" w:rsidP="00225C52" w:rsidRDefault="00D04678" w14:paraId="678E3DCE" w14:textId="27E40AC8">
      <w:pPr>
        <w:numPr>
          <w:ilvl w:val="0"/>
          <w:numId w:val="3"/>
        </w:numPr>
        <w:overflowPunct w:val="0"/>
        <w:autoSpaceDE w:val="0"/>
        <w:autoSpaceDN w:val="0"/>
        <w:adjustRightInd w:val="0"/>
        <w:ind w:left="357" w:hanging="357"/>
        <w:textAlignment w:val="baseline"/>
        <w:rPr>
          <w:bCs/>
          <w:iCs/>
        </w:rPr>
      </w:pPr>
      <w:r w:rsidRPr="00FF1EF3">
        <w:t xml:space="preserve">invita inoltre l'Europa a </w:t>
      </w:r>
      <w:r w:rsidRPr="00FF1EF3">
        <w:rPr>
          <w:b/>
        </w:rPr>
        <w:t>ridurre la sua dipendenza dalle materie prime, al fine di rafforzare la propria capacità di riparazione e dotarsi di pezzi di ricambio</w:t>
      </w:r>
      <w:r w:rsidRPr="00FF1EF3">
        <w:t>;</w:t>
      </w:r>
    </w:p>
    <w:p w:rsidRPr="00FF1EF3" w:rsidR="000A007B" w:rsidP="00225C52" w:rsidRDefault="00D04678" w14:paraId="4D90AA30" w14:textId="65E73F4C">
      <w:pPr>
        <w:numPr>
          <w:ilvl w:val="0"/>
          <w:numId w:val="3"/>
        </w:numPr>
        <w:overflowPunct w:val="0"/>
        <w:autoSpaceDE w:val="0"/>
        <w:autoSpaceDN w:val="0"/>
        <w:adjustRightInd w:val="0"/>
        <w:ind w:left="357" w:hanging="357"/>
        <w:textAlignment w:val="baseline"/>
        <w:rPr>
          <w:bCs/>
          <w:iCs/>
        </w:rPr>
      </w:pPr>
      <w:r w:rsidRPr="00FF1EF3">
        <w:t xml:space="preserve">ritiene che sia necessario </w:t>
      </w:r>
      <w:r w:rsidRPr="00FF1EF3">
        <w:rPr>
          <w:b/>
        </w:rPr>
        <w:t>tutelare meglio i consumatori da ogni confusione tra garanzie legali e garanzie commerciali</w:t>
      </w:r>
      <w:r w:rsidRPr="00FF1EF3">
        <w:t xml:space="preserve"> e che dovrebbe essere promosso </w:t>
      </w:r>
      <w:r w:rsidRPr="00FF1EF3">
        <w:rPr>
          <w:b/>
        </w:rPr>
        <w:t>il primato della riparazione rispetto alla sostituzione con un prodotto nuovo</w:t>
      </w:r>
      <w:r w:rsidRPr="00FF1EF3">
        <w:t>, senza tuttavia limitare la libertà dei consumatori di scegliere il rimedio più opportuno;</w:t>
      </w:r>
    </w:p>
    <w:p w:rsidRPr="00FF1EF3" w:rsidR="000A007B" w:rsidP="00225C52" w:rsidRDefault="00D04678" w14:paraId="41DDE40E" w14:textId="69AC55BA">
      <w:pPr>
        <w:numPr>
          <w:ilvl w:val="0"/>
          <w:numId w:val="3"/>
        </w:numPr>
        <w:overflowPunct w:val="0"/>
        <w:autoSpaceDE w:val="0"/>
        <w:autoSpaceDN w:val="0"/>
        <w:adjustRightInd w:val="0"/>
        <w:ind w:left="357" w:hanging="357"/>
        <w:textAlignment w:val="baseline"/>
        <w:rPr>
          <w:bCs/>
          <w:iCs/>
        </w:rPr>
      </w:pPr>
      <w:r w:rsidRPr="00FF1EF3">
        <w:t xml:space="preserve">ritiene che </w:t>
      </w:r>
      <w:r w:rsidRPr="00FF1EF3">
        <w:rPr>
          <w:b/>
        </w:rPr>
        <w:t>il rafforzamento delle capacità di azione dei consumatori debba essere accompagnato da una migliore protezione dalle pubblicità ingannevoli</w:t>
      </w:r>
      <w:r w:rsidRPr="00FF1EF3">
        <w:t>;</w:t>
      </w:r>
    </w:p>
    <w:p w:rsidRPr="00FF1EF3" w:rsidR="00650DB1" w:rsidP="00225C52" w:rsidRDefault="00650DB1" w14:paraId="1361AE6B" w14:textId="186485B1">
      <w:pPr>
        <w:numPr>
          <w:ilvl w:val="0"/>
          <w:numId w:val="3"/>
        </w:numPr>
        <w:overflowPunct w:val="0"/>
        <w:autoSpaceDE w:val="0"/>
        <w:autoSpaceDN w:val="0"/>
        <w:adjustRightInd w:val="0"/>
        <w:ind w:left="357" w:hanging="357"/>
        <w:textAlignment w:val="baseline"/>
        <w:rPr>
          <w:bCs/>
          <w:iCs/>
        </w:rPr>
      </w:pPr>
      <w:r w:rsidRPr="00FF1EF3">
        <w:t xml:space="preserve">giudica necessaria </w:t>
      </w:r>
      <w:r w:rsidRPr="00FF1EF3">
        <w:rPr>
          <w:b/>
        </w:rPr>
        <w:t>una maggiore capacità di controllo delle dichiarazioni ambientali</w:t>
      </w:r>
      <w:r w:rsidRPr="00FF1EF3">
        <w:t>;</w:t>
      </w:r>
    </w:p>
    <w:p w:rsidRPr="00FF1EF3" w:rsidR="00650DB1" w:rsidP="00225C52" w:rsidRDefault="00650DB1" w14:paraId="63699F61" w14:textId="24067C04">
      <w:pPr>
        <w:numPr>
          <w:ilvl w:val="0"/>
          <w:numId w:val="3"/>
        </w:numPr>
        <w:overflowPunct w:val="0"/>
        <w:autoSpaceDE w:val="0"/>
        <w:autoSpaceDN w:val="0"/>
        <w:adjustRightInd w:val="0"/>
        <w:ind w:left="357" w:hanging="357"/>
        <w:textAlignment w:val="baseline"/>
        <w:rPr>
          <w:bCs/>
          <w:iCs/>
        </w:rPr>
      </w:pPr>
      <w:r w:rsidRPr="00FF1EF3">
        <w:t xml:space="preserve">è convinto che la Commissione europea dovrebbe porre maggiormente </w:t>
      </w:r>
      <w:r w:rsidRPr="00FF1EF3">
        <w:rPr>
          <w:b/>
        </w:rPr>
        <w:t>l'accento sul marchio europeo di qualità ecologica</w:t>
      </w:r>
      <w:r w:rsidRPr="00FF1EF3">
        <w:t xml:space="preserve"> e sulla necessità di procedure di certificazione per l'etichettatura;</w:t>
      </w:r>
    </w:p>
    <w:p w:rsidRPr="00FF1EF3" w:rsidR="00650DB1" w:rsidP="00225C52" w:rsidRDefault="00650DB1" w14:paraId="27D078B3" w14:textId="55240C64">
      <w:pPr>
        <w:numPr>
          <w:ilvl w:val="0"/>
          <w:numId w:val="3"/>
        </w:numPr>
        <w:overflowPunct w:val="0"/>
        <w:autoSpaceDE w:val="0"/>
        <w:autoSpaceDN w:val="0"/>
        <w:adjustRightInd w:val="0"/>
        <w:ind w:left="357" w:hanging="357"/>
        <w:textAlignment w:val="baseline"/>
        <w:rPr>
          <w:bCs/>
          <w:iCs/>
        </w:rPr>
      </w:pPr>
      <w:r w:rsidRPr="00FF1EF3">
        <w:t xml:space="preserve">invita l'UE a </w:t>
      </w:r>
      <w:r w:rsidRPr="00FF1EF3">
        <w:rPr>
          <w:b/>
        </w:rPr>
        <w:t>rafforzare la protezione degli informatori che segnalano delle violazioni relative alle caratteristiche ambientali dei prodotti</w:t>
      </w:r>
      <w:r w:rsidRPr="00FF1EF3">
        <w:t>; e</w:t>
      </w:r>
    </w:p>
    <w:p w:rsidRPr="00FF1EF3" w:rsidR="00650DB1" w:rsidP="00225C52" w:rsidRDefault="00650DB1" w14:paraId="62FC44AC" w14:textId="444516D0">
      <w:pPr>
        <w:numPr>
          <w:ilvl w:val="0"/>
          <w:numId w:val="3"/>
        </w:numPr>
        <w:overflowPunct w:val="0"/>
        <w:autoSpaceDE w:val="0"/>
        <w:autoSpaceDN w:val="0"/>
        <w:adjustRightInd w:val="0"/>
        <w:ind w:left="357" w:hanging="357"/>
        <w:textAlignment w:val="baseline"/>
        <w:rPr>
          <w:bCs/>
          <w:iCs/>
        </w:rPr>
      </w:pPr>
      <w:r w:rsidRPr="00FF1EF3">
        <w:t xml:space="preserve">invita la Commissione a </w:t>
      </w:r>
      <w:r w:rsidRPr="00FF1EF3">
        <w:rPr>
          <w:b/>
        </w:rPr>
        <w:t xml:space="preserve">promuovere una forte azione di sensibilizzazione dei consumatori </w:t>
      </w:r>
      <w:r w:rsidRPr="00FF1EF3" w:rsidR="00FF1EF3">
        <w:rPr>
          <w:b/>
        </w:rPr>
        <w:t>in merito al</w:t>
      </w:r>
      <w:r w:rsidRPr="00FF1EF3">
        <w:rPr>
          <w:b/>
        </w:rPr>
        <w:t>le tematiche del consumo responsabile</w:t>
      </w:r>
      <w:r w:rsidRPr="00FF1EF3">
        <w:t>.</w:t>
      </w:r>
    </w:p>
    <w:p w:rsidRPr="00FF1EF3" w:rsidR="003C4D5B" w:rsidP="000A007B" w:rsidRDefault="003C4D5B" w14:paraId="7882C726" w14:textId="77777777">
      <w:pPr>
        <w:overflowPunct w:val="0"/>
        <w:autoSpaceDE w:val="0"/>
        <w:autoSpaceDN w:val="0"/>
        <w:adjustRightInd w:val="0"/>
        <w:ind w:left="357"/>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225C52" w:rsidTr="008327B1" w14:paraId="776316B4" w14:textId="77777777">
        <w:tc>
          <w:tcPr>
            <w:tcW w:w="1418" w:type="dxa"/>
          </w:tcPr>
          <w:p w:rsidRPr="00FF1EF3" w:rsidR="00225C52" w:rsidP="008327B1" w:rsidRDefault="00225C52" w14:paraId="4C1EE362" w14:textId="77777777">
            <w:pPr>
              <w:pStyle w:val="ListParagraph"/>
              <w:ind w:left="0"/>
              <w:rPr>
                <w:i/>
              </w:rPr>
            </w:pPr>
            <w:r w:rsidRPr="00FF1EF3">
              <w:rPr>
                <w:b/>
                <w:i/>
              </w:rPr>
              <w:t>Contatto</w:t>
            </w:r>
          </w:p>
        </w:tc>
        <w:tc>
          <w:tcPr>
            <w:tcW w:w="5670" w:type="dxa"/>
          </w:tcPr>
          <w:p w:rsidRPr="00FF1EF3" w:rsidR="00225C52" w:rsidP="008327B1" w:rsidRDefault="001A2273" w14:paraId="5805F3B4" w14:textId="77777777">
            <w:pPr>
              <w:pStyle w:val="ListParagraph"/>
              <w:ind w:left="0"/>
              <w:rPr>
                <w:i/>
              </w:rPr>
            </w:pPr>
            <w:r w:rsidRPr="00FF1EF3">
              <w:rPr>
                <w:i/>
              </w:rPr>
              <w:t>Marie-Laurence DRILLON</w:t>
            </w:r>
          </w:p>
        </w:tc>
      </w:tr>
      <w:tr w:rsidRPr="00FF1EF3" w:rsidR="00225C52" w:rsidTr="008327B1" w14:paraId="5F3BFD17" w14:textId="77777777">
        <w:tc>
          <w:tcPr>
            <w:tcW w:w="1418" w:type="dxa"/>
          </w:tcPr>
          <w:p w:rsidRPr="00FF1EF3" w:rsidR="00225C52" w:rsidP="008327B1" w:rsidRDefault="00225C52" w14:paraId="2F6B012F" w14:textId="77777777">
            <w:pPr>
              <w:pStyle w:val="ListParagraph"/>
              <w:ind w:left="601"/>
              <w:rPr>
                <w:i/>
              </w:rPr>
            </w:pPr>
            <w:r w:rsidRPr="00FF1EF3">
              <w:rPr>
                <w:i/>
              </w:rPr>
              <w:t>Tel.</w:t>
            </w:r>
          </w:p>
        </w:tc>
        <w:tc>
          <w:tcPr>
            <w:tcW w:w="5670" w:type="dxa"/>
          </w:tcPr>
          <w:p w:rsidRPr="00FF1EF3" w:rsidR="00225C52" w:rsidP="008327B1" w:rsidRDefault="001A2273" w14:paraId="3719436A" w14:textId="77777777">
            <w:pPr>
              <w:pStyle w:val="ListParagraph"/>
              <w:ind w:left="0"/>
              <w:rPr>
                <w:i/>
              </w:rPr>
            </w:pPr>
            <w:r w:rsidRPr="00FF1EF3">
              <w:rPr>
                <w:i/>
              </w:rPr>
              <w:t>00 32 2 546 83 20</w:t>
            </w:r>
          </w:p>
        </w:tc>
      </w:tr>
      <w:tr w:rsidRPr="00FF1EF3" w:rsidR="00225C52" w:rsidTr="008327B1" w14:paraId="75C7F48B" w14:textId="77777777">
        <w:tc>
          <w:tcPr>
            <w:tcW w:w="1418" w:type="dxa"/>
          </w:tcPr>
          <w:p w:rsidRPr="00FF1EF3" w:rsidR="00225C52" w:rsidP="008327B1" w:rsidRDefault="00FF1EF3" w14:paraId="1B69556B" w14:textId="719DD9C0">
            <w:pPr>
              <w:pStyle w:val="ListParagraph"/>
              <w:ind w:left="601"/>
              <w:rPr>
                <w:i/>
              </w:rPr>
            </w:pPr>
            <w:r w:rsidRPr="00FF1EF3">
              <w:rPr>
                <w:i/>
              </w:rPr>
              <w:t>E</w:t>
            </w:r>
            <w:r w:rsidRPr="00FF1EF3" w:rsidR="00225C52">
              <w:rPr>
                <w:i/>
              </w:rPr>
              <w:t>-mail</w:t>
            </w:r>
          </w:p>
        </w:tc>
        <w:tc>
          <w:tcPr>
            <w:tcW w:w="5670" w:type="dxa"/>
          </w:tcPr>
          <w:p w:rsidRPr="00FF1EF3" w:rsidR="00015E18" w:rsidP="008327B1" w:rsidRDefault="004F624E" w14:paraId="68B37053" w14:textId="65E3CE17">
            <w:pPr>
              <w:pStyle w:val="ListParagraph"/>
              <w:ind w:left="0"/>
            </w:pPr>
            <w:hyperlink w:history="1" r:id="rId31">
              <w:r w:rsidRPr="00FF1EF3" w:rsidR="00462EFB">
                <w:rPr>
                  <w:rStyle w:val="Hyperlink"/>
                </w:rPr>
                <w:t>Marie-Laurence.Drillon@eesc.europa.eu</w:t>
              </w:r>
            </w:hyperlink>
          </w:p>
          <w:p w:rsidRPr="00FF1EF3" w:rsidR="002A2F38" w:rsidP="008327B1" w:rsidRDefault="002A2F38" w14:paraId="46E90DEC" w14:textId="77777777">
            <w:pPr>
              <w:pStyle w:val="ListParagraph"/>
              <w:ind w:left="0"/>
              <w:rPr>
                <w:i/>
              </w:rPr>
            </w:pPr>
          </w:p>
        </w:tc>
      </w:tr>
    </w:tbl>
    <w:p w:rsidRPr="00FF1EF3" w:rsidR="00910972" w:rsidP="00910972" w:rsidRDefault="00910972" w14:paraId="256CC1D8" w14:textId="77777777">
      <w:pPr>
        <w:pStyle w:val="ListParagraph"/>
        <w:ind w:left="567"/>
        <w:rPr>
          <w:b/>
          <w:bCs/>
          <w:i/>
          <w:iCs/>
          <w:sz w:val="28"/>
          <w:szCs w:val="28"/>
          <w:lang w:val="en-US"/>
        </w:rPr>
      </w:pPr>
    </w:p>
    <w:p w:rsidRPr="00FF1EF3" w:rsidR="00910972" w:rsidRDefault="00910972" w14:paraId="5A6F039F" w14:textId="77777777">
      <w:pPr>
        <w:spacing w:after="160" w:line="259" w:lineRule="auto"/>
        <w:jc w:val="left"/>
        <w:rPr>
          <w:b/>
          <w:bCs/>
          <w:i/>
          <w:iCs/>
          <w:sz w:val="28"/>
          <w:szCs w:val="28"/>
        </w:rPr>
      </w:pPr>
      <w:r w:rsidRPr="00FF1EF3">
        <w:br w:type="page"/>
      </w:r>
    </w:p>
    <w:p w:rsidRPr="00FF1EF3" w:rsidR="00164813" w:rsidP="00164813" w:rsidRDefault="00FF1EF3" w14:paraId="12FD6239" w14:textId="4FF55BE8">
      <w:pPr>
        <w:pStyle w:val="ListParagraph"/>
        <w:numPr>
          <w:ilvl w:val="0"/>
          <w:numId w:val="2"/>
        </w:numPr>
        <w:ind w:left="567" w:hanging="567"/>
        <w:rPr>
          <w:b/>
          <w:i/>
          <w:sz w:val="28"/>
          <w:szCs w:val="28"/>
        </w:rPr>
      </w:pPr>
      <w:r w:rsidRPr="00FF1EF3">
        <w:rPr>
          <w:b/>
          <w:i/>
          <w:sz w:val="28"/>
        </w:rPr>
        <w:t>Governo</w:t>
      </w:r>
      <w:r w:rsidRPr="00FF1EF3" w:rsidR="00015E18">
        <w:rPr>
          <w:b/>
          <w:i/>
          <w:sz w:val="28"/>
        </w:rPr>
        <w:t xml:space="preserve"> societario sostenibile</w:t>
      </w:r>
    </w:p>
    <w:p w:rsidRPr="00FF1EF3" w:rsidR="00164813" w:rsidP="00164813" w:rsidRDefault="00164813" w14:paraId="1DADE393"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FF1EF3" w:rsidR="00164813" w:rsidTr="00B83E7B" w14:paraId="1383CB57" w14:textId="77777777">
        <w:tc>
          <w:tcPr>
            <w:tcW w:w="1701" w:type="dxa"/>
          </w:tcPr>
          <w:p w:rsidRPr="00FF1EF3" w:rsidR="00164813" w:rsidP="00B83E7B" w:rsidRDefault="00FF1EF3" w14:paraId="33004117" w14:textId="40D13B35">
            <w:pPr>
              <w:pStyle w:val="ListParagraph"/>
              <w:ind w:left="0"/>
              <w:rPr>
                <w:b/>
              </w:rPr>
            </w:pPr>
            <w:r w:rsidRPr="00FF1EF3">
              <w:rPr>
                <w:b/>
              </w:rPr>
              <w:t>Relatrice</w:t>
            </w:r>
          </w:p>
        </w:tc>
        <w:tc>
          <w:tcPr>
            <w:tcW w:w="6096" w:type="dxa"/>
          </w:tcPr>
          <w:p w:rsidRPr="00FF1EF3" w:rsidR="00164813" w:rsidP="00B83E7B" w:rsidRDefault="00AA69BF" w14:paraId="2BCDDC29" w14:textId="7BDC3D18">
            <w:pPr>
              <w:pStyle w:val="ListParagraph"/>
              <w:ind w:left="-108"/>
            </w:pPr>
            <w:r w:rsidRPr="00FF1EF3">
              <w:t>Antje GERSTEIN (Datori di lavoro - DE)</w:t>
            </w:r>
          </w:p>
        </w:tc>
      </w:tr>
      <w:tr w:rsidRPr="00FF1EF3" w:rsidR="00164813" w:rsidTr="00B83E7B" w14:paraId="5DB9564B" w14:textId="77777777">
        <w:tc>
          <w:tcPr>
            <w:tcW w:w="7797" w:type="dxa"/>
            <w:gridSpan w:val="2"/>
          </w:tcPr>
          <w:p w:rsidRPr="00FF1EF3" w:rsidR="00164813" w:rsidP="00B83E7B" w:rsidRDefault="00164813" w14:paraId="421C9628" w14:textId="77777777">
            <w:pPr>
              <w:pStyle w:val="ListParagraph"/>
              <w:ind w:left="0"/>
              <w:rPr>
                <w:lang w:val="fr-BE"/>
              </w:rPr>
            </w:pPr>
          </w:p>
        </w:tc>
      </w:tr>
      <w:tr w:rsidRPr="00FF1EF3" w:rsidR="00164813" w:rsidTr="00B83E7B" w14:paraId="132333E4" w14:textId="77777777">
        <w:tc>
          <w:tcPr>
            <w:tcW w:w="1701" w:type="dxa"/>
          </w:tcPr>
          <w:p w:rsidRPr="00FF1EF3" w:rsidR="00164813" w:rsidP="00B83E7B" w:rsidRDefault="00164813" w14:paraId="2A306C51" w14:textId="77777777">
            <w:pPr>
              <w:pStyle w:val="ListParagraph"/>
              <w:ind w:left="0"/>
              <w:rPr>
                <w:b/>
              </w:rPr>
            </w:pPr>
            <w:r w:rsidRPr="00FF1EF3">
              <w:rPr>
                <w:b/>
              </w:rPr>
              <w:t xml:space="preserve">Riferimenti </w:t>
            </w:r>
          </w:p>
        </w:tc>
        <w:tc>
          <w:tcPr>
            <w:tcW w:w="6096" w:type="dxa"/>
          </w:tcPr>
          <w:p w:rsidRPr="00FF1EF3" w:rsidR="00164813" w:rsidP="00B83E7B" w:rsidRDefault="00164813" w14:paraId="1EB81693" w14:textId="77777777">
            <w:pPr>
              <w:tabs>
                <w:tab w:val="center" w:pos="284"/>
              </w:tabs>
              <w:ind w:left="266" w:hanging="374"/>
            </w:pPr>
            <w:r w:rsidRPr="00FF1EF3">
              <w:t>COM(2022) 71 final</w:t>
            </w:r>
          </w:p>
          <w:p w:rsidRPr="00FF1EF3" w:rsidR="00164813" w:rsidP="00B83E7B" w:rsidRDefault="00ED377B" w14:paraId="1746D341" w14:textId="77777777">
            <w:pPr>
              <w:pStyle w:val="ListParagraph"/>
              <w:ind w:left="-108"/>
            </w:pPr>
            <w:r w:rsidRPr="00FF1EF3">
              <w:t>EESC-2022-01327-00-00-AC</w:t>
            </w:r>
          </w:p>
        </w:tc>
      </w:tr>
    </w:tbl>
    <w:p w:rsidRPr="00FF1EF3" w:rsidR="00164813" w:rsidP="00164813" w:rsidRDefault="00164813" w14:paraId="488A6C0C" w14:textId="77777777">
      <w:pPr>
        <w:pStyle w:val="ListParagraph"/>
        <w:ind w:left="0"/>
        <w:rPr>
          <w:b/>
        </w:rPr>
      </w:pPr>
    </w:p>
    <w:p w:rsidRPr="00FF1EF3" w:rsidR="00164813" w:rsidP="002C4B6E" w:rsidRDefault="00164813" w14:paraId="015FE75F" w14:textId="751DC40F">
      <w:pPr>
        <w:pStyle w:val="ListParagraph"/>
        <w:spacing w:line="240" w:lineRule="auto"/>
        <w:ind w:left="-142" w:firstLine="142"/>
        <w:rPr>
          <w:b/>
        </w:rPr>
      </w:pPr>
      <w:r w:rsidRPr="00FF1EF3">
        <w:rPr>
          <w:b/>
        </w:rPr>
        <w:t>Punti principali</w:t>
      </w:r>
    </w:p>
    <w:p w:rsidRPr="00FF1EF3" w:rsidR="00164813" w:rsidP="00164813" w:rsidRDefault="00164813" w14:paraId="573BE746" w14:textId="77777777">
      <w:pPr>
        <w:pStyle w:val="ListParagraph"/>
        <w:ind w:left="0"/>
        <w:rPr>
          <w:lang w:val="fr-FR"/>
        </w:rPr>
      </w:pPr>
    </w:p>
    <w:p w:rsidRPr="00FF1EF3" w:rsidR="00164813" w:rsidP="00164813" w:rsidRDefault="00164813" w14:paraId="30245860" w14:textId="77777777">
      <w:pPr>
        <w:pStyle w:val="ListParagraph"/>
        <w:ind w:left="0"/>
      </w:pPr>
      <w:r w:rsidRPr="00FF1EF3">
        <w:t>Il CESE:</w:t>
      </w:r>
    </w:p>
    <w:p w:rsidRPr="00FF1EF3" w:rsidR="00164813" w:rsidP="00164813" w:rsidRDefault="00164813" w14:paraId="7D5F280C" w14:textId="77777777">
      <w:pPr>
        <w:pStyle w:val="ListParagraph"/>
        <w:ind w:left="0"/>
        <w:rPr>
          <w:lang w:val="fr-FR"/>
        </w:rPr>
      </w:pPr>
    </w:p>
    <w:p w:rsidRPr="00FF1EF3" w:rsidR="00BC3FCE" w:rsidP="00164813" w:rsidRDefault="007E7DE3" w14:paraId="2A8D241D" w14:textId="2BE7DD2B">
      <w:pPr>
        <w:numPr>
          <w:ilvl w:val="0"/>
          <w:numId w:val="3"/>
        </w:numPr>
        <w:overflowPunct w:val="0"/>
        <w:autoSpaceDE w:val="0"/>
        <w:autoSpaceDN w:val="0"/>
        <w:adjustRightInd w:val="0"/>
        <w:ind w:left="357" w:hanging="357"/>
        <w:textAlignment w:val="baseline"/>
      </w:pPr>
      <w:r w:rsidRPr="00FF1EF3">
        <w:t>accoglie con favore la proposta quale passo importante verso l'istituzione di un quadro legislativo coerente dell'UE in materia di governo societario sostenibile e dovere di diligenza, che promuova il rispetto dei diritti umani come dovere per le imprese e gli amministratori e si adoperi per conseguire la parità di condizioni all'interno dell'Unione;</w:t>
      </w:r>
    </w:p>
    <w:p w:rsidRPr="00FF1EF3" w:rsidR="00A3344B" w:rsidP="00164813" w:rsidRDefault="007E7DE3" w14:paraId="03AF28C8" w14:textId="0FC700C2">
      <w:pPr>
        <w:numPr>
          <w:ilvl w:val="0"/>
          <w:numId w:val="3"/>
        </w:numPr>
        <w:overflowPunct w:val="0"/>
        <w:autoSpaceDE w:val="0"/>
        <w:autoSpaceDN w:val="0"/>
        <w:adjustRightInd w:val="0"/>
        <w:ind w:left="357" w:hanging="357"/>
        <w:textAlignment w:val="baseline"/>
      </w:pPr>
      <w:r w:rsidRPr="00FF1EF3">
        <w:t>sottolinea la grande importanza dei principi guida delle Nazioni Unite su imprese e diritti umani e chiede una coerenza strategica tra le politiche nazionali e la legislazione europea che riguarda ambiti simili o prevede anch'essa norme in materia di dovere di diligenza;</w:t>
      </w:r>
    </w:p>
    <w:p w:rsidRPr="00FF1EF3" w:rsidR="00A3344B" w:rsidP="00164813" w:rsidRDefault="007E7DE3" w14:paraId="71BC35A1" w14:textId="7731C2B8">
      <w:pPr>
        <w:numPr>
          <w:ilvl w:val="0"/>
          <w:numId w:val="3"/>
        </w:numPr>
        <w:overflowPunct w:val="0"/>
        <w:autoSpaceDE w:val="0"/>
        <w:autoSpaceDN w:val="0"/>
        <w:adjustRightInd w:val="0"/>
        <w:ind w:left="357" w:hanging="357"/>
        <w:textAlignment w:val="baseline"/>
      </w:pPr>
      <w:r w:rsidRPr="00FF1EF3">
        <w:t>osserva che i responsabili politici devono tenere presente la difficile posizione delle MPMI e garantire la disponibilità di strumenti di sostegno, a livello europeo e nazionale, una volta entrata in vigore la legislazione sul dovere di diligenza;</w:t>
      </w:r>
    </w:p>
    <w:p w:rsidRPr="00FF1EF3" w:rsidR="00A3344B" w:rsidP="00164813" w:rsidRDefault="007E7DE3" w14:paraId="5C624B6F" w14:textId="0BDA1CBC">
      <w:pPr>
        <w:numPr>
          <w:ilvl w:val="0"/>
          <w:numId w:val="3"/>
        </w:numPr>
        <w:overflowPunct w:val="0"/>
        <w:autoSpaceDE w:val="0"/>
        <w:autoSpaceDN w:val="0"/>
        <w:adjustRightInd w:val="0"/>
        <w:ind w:left="357" w:hanging="357"/>
        <w:textAlignment w:val="baseline"/>
      </w:pPr>
      <w:r w:rsidRPr="00FF1EF3">
        <w:t>fa presente che l'esercizio del dovere di diligenza da parte delle imprese è un processo continuo, in cui il coinvolgimento dei sindacati e dei rappresentanti dei lavoratori costituisce un fattore di successo;</w:t>
      </w:r>
    </w:p>
    <w:p w:rsidRPr="00FF1EF3" w:rsidR="00A3344B" w:rsidP="00164813" w:rsidRDefault="007E7DE3" w14:paraId="41F4DB88" w14:textId="02AB6495">
      <w:pPr>
        <w:numPr>
          <w:ilvl w:val="0"/>
          <w:numId w:val="3"/>
        </w:numPr>
        <w:overflowPunct w:val="0"/>
        <w:autoSpaceDE w:val="0"/>
        <w:autoSpaceDN w:val="0"/>
        <w:adjustRightInd w:val="0"/>
        <w:ind w:left="357" w:hanging="357"/>
        <w:textAlignment w:val="baseline"/>
      </w:pPr>
      <w:r w:rsidRPr="00FF1EF3">
        <w:t>esprime preoccupazione per il fatto che la proposta della Commissione contiene numerosi concetti giuridici poco chiari e suscettibili di interpretazione, e ritiene pertanto necessario fornirne una migliore definizione;</w:t>
      </w:r>
    </w:p>
    <w:p w:rsidRPr="00FF1EF3" w:rsidR="007E7DE3" w:rsidP="00164813" w:rsidRDefault="007E7DE3" w14:paraId="043E47D4" w14:textId="30C15593">
      <w:pPr>
        <w:numPr>
          <w:ilvl w:val="0"/>
          <w:numId w:val="3"/>
        </w:numPr>
        <w:overflowPunct w:val="0"/>
        <w:autoSpaceDE w:val="0"/>
        <w:autoSpaceDN w:val="0"/>
        <w:adjustRightInd w:val="0"/>
        <w:ind w:left="357" w:hanging="357"/>
        <w:textAlignment w:val="baseline"/>
      </w:pPr>
      <w:r w:rsidRPr="00FF1EF3">
        <w:t>invita a riconoscere che il dovere di diligenza richiede un approccio basato sul rischio e può comportare una definizione di priorità sulla base della valutazione del rischio.</w:t>
      </w:r>
    </w:p>
    <w:p w:rsidRPr="00FF1EF3" w:rsidR="00164813" w:rsidP="00164813" w:rsidRDefault="00164813" w14:paraId="6996D40F"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A3344B" w:rsidTr="008B66DD" w14:paraId="0A1A7166" w14:textId="77777777">
        <w:tc>
          <w:tcPr>
            <w:tcW w:w="1418" w:type="dxa"/>
          </w:tcPr>
          <w:p w:rsidRPr="00FF1EF3" w:rsidR="00A3344B" w:rsidP="008B66DD" w:rsidRDefault="00A3344B" w14:paraId="5A52339E" w14:textId="77777777">
            <w:pPr>
              <w:contextualSpacing/>
              <w:rPr>
                <w:i/>
              </w:rPr>
            </w:pPr>
            <w:r w:rsidRPr="00FF1EF3">
              <w:rPr>
                <w:b/>
                <w:i/>
              </w:rPr>
              <w:t>Contatto</w:t>
            </w:r>
          </w:p>
        </w:tc>
        <w:tc>
          <w:tcPr>
            <w:tcW w:w="5670" w:type="dxa"/>
          </w:tcPr>
          <w:p w:rsidRPr="00FF1EF3" w:rsidR="00A3344B" w:rsidP="008B66DD" w:rsidRDefault="00A3344B" w14:paraId="1E930B05" w14:textId="77777777">
            <w:pPr>
              <w:contextualSpacing/>
              <w:rPr>
                <w:i/>
              </w:rPr>
            </w:pPr>
            <w:r w:rsidRPr="00FF1EF3">
              <w:rPr>
                <w:i/>
              </w:rPr>
              <w:t>Claudia DREWES-WRAN</w:t>
            </w:r>
          </w:p>
        </w:tc>
      </w:tr>
      <w:tr w:rsidRPr="00FF1EF3" w:rsidR="00A3344B" w:rsidTr="008B66DD" w14:paraId="42394CA2" w14:textId="77777777">
        <w:tc>
          <w:tcPr>
            <w:tcW w:w="1418" w:type="dxa"/>
          </w:tcPr>
          <w:p w:rsidRPr="00FF1EF3" w:rsidR="00A3344B" w:rsidP="008B66DD" w:rsidRDefault="00A3344B" w14:paraId="337CFA79" w14:textId="77777777">
            <w:pPr>
              <w:ind w:left="601"/>
              <w:contextualSpacing/>
              <w:rPr>
                <w:i/>
              </w:rPr>
            </w:pPr>
            <w:r w:rsidRPr="00FF1EF3">
              <w:rPr>
                <w:i/>
              </w:rPr>
              <w:t>Tel.</w:t>
            </w:r>
          </w:p>
        </w:tc>
        <w:tc>
          <w:tcPr>
            <w:tcW w:w="5670" w:type="dxa"/>
          </w:tcPr>
          <w:p w:rsidRPr="00FF1EF3" w:rsidR="00A3344B" w:rsidP="008B66DD" w:rsidRDefault="00A3344B" w14:paraId="5CA1B212" w14:textId="77777777">
            <w:pPr>
              <w:contextualSpacing/>
              <w:rPr>
                <w:i/>
              </w:rPr>
            </w:pPr>
            <w:r w:rsidRPr="00FF1EF3">
              <w:rPr>
                <w:i/>
              </w:rPr>
              <w:t>00 32 2 546 80 67</w:t>
            </w:r>
          </w:p>
        </w:tc>
      </w:tr>
      <w:tr w:rsidRPr="00FF1EF3" w:rsidR="00A3344B" w:rsidTr="008B66DD" w14:paraId="7B24978D" w14:textId="77777777">
        <w:tc>
          <w:tcPr>
            <w:tcW w:w="1418" w:type="dxa"/>
          </w:tcPr>
          <w:p w:rsidRPr="00FF1EF3" w:rsidR="00A3344B" w:rsidP="008B66DD" w:rsidRDefault="00FF1EF3" w14:paraId="2B3DB280" w14:textId="79FC6E35">
            <w:pPr>
              <w:ind w:left="601"/>
              <w:contextualSpacing/>
              <w:rPr>
                <w:i/>
              </w:rPr>
            </w:pPr>
            <w:r w:rsidRPr="00FF1EF3">
              <w:rPr>
                <w:i/>
              </w:rPr>
              <w:t>E</w:t>
            </w:r>
            <w:r w:rsidRPr="00FF1EF3" w:rsidR="00A3344B">
              <w:rPr>
                <w:i/>
              </w:rPr>
              <w:t>-mail</w:t>
            </w:r>
          </w:p>
        </w:tc>
        <w:tc>
          <w:tcPr>
            <w:tcW w:w="5670" w:type="dxa"/>
          </w:tcPr>
          <w:p w:rsidRPr="00FF1EF3" w:rsidR="00A3344B" w:rsidP="008B66DD" w:rsidRDefault="004F624E" w14:paraId="78F5B58F" w14:textId="77777777">
            <w:pPr>
              <w:contextualSpacing/>
            </w:pPr>
            <w:hyperlink w:history="1" r:id="rId32">
              <w:r w:rsidRPr="00FF1EF3" w:rsidR="00462EFB">
                <w:rPr>
                  <w:rStyle w:val="Hyperlink"/>
                </w:rPr>
                <w:t>Claudia.Drewes-Wran@eesc.europa.eu</w:t>
              </w:r>
            </w:hyperlink>
          </w:p>
          <w:p w:rsidRPr="00FF1EF3" w:rsidR="00A3344B" w:rsidP="008B66DD" w:rsidRDefault="00A3344B" w14:paraId="05431FB8" w14:textId="77777777">
            <w:pPr>
              <w:contextualSpacing/>
              <w:rPr>
                <w:i/>
              </w:rPr>
            </w:pPr>
          </w:p>
        </w:tc>
      </w:tr>
    </w:tbl>
    <w:p w:rsidRPr="00FF1EF3" w:rsidR="00D35512" w:rsidRDefault="00D35512" w14:paraId="45D707E4" w14:textId="4B9E10FB">
      <w:pPr>
        <w:spacing w:after="160" w:line="259" w:lineRule="auto"/>
        <w:jc w:val="left"/>
        <w:rPr>
          <w:sz w:val="28"/>
        </w:rPr>
      </w:pPr>
    </w:p>
    <w:p w:rsidRPr="00FF1EF3" w:rsidR="00D35512" w:rsidRDefault="00D35512" w14:paraId="09FE38A4" w14:textId="77777777">
      <w:pPr>
        <w:spacing w:after="160" w:line="259" w:lineRule="auto"/>
        <w:jc w:val="left"/>
        <w:rPr>
          <w:sz w:val="28"/>
        </w:rPr>
      </w:pPr>
      <w:r w:rsidRPr="00FF1EF3">
        <w:br w:type="page"/>
      </w:r>
    </w:p>
    <w:p w:rsidRPr="00FF1EF3" w:rsidR="00164813" w:rsidP="00BC3FCE" w:rsidRDefault="00A3344B" w14:paraId="65567F7B" w14:textId="77777777">
      <w:pPr>
        <w:pStyle w:val="ListParagraph"/>
        <w:numPr>
          <w:ilvl w:val="0"/>
          <w:numId w:val="2"/>
        </w:numPr>
        <w:ind w:left="567" w:hanging="567"/>
        <w:rPr>
          <w:b/>
          <w:i/>
          <w:sz w:val="28"/>
          <w:szCs w:val="28"/>
        </w:rPr>
      </w:pPr>
      <w:r w:rsidRPr="00FF1EF3">
        <w:rPr>
          <w:b/>
          <w:i/>
          <w:sz w:val="28"/>
        </w:rPr>
        <w:t>PMI, imprese dell'economia sociale, artigianato e libere professioni / pacchetto "Pronti per il 55 %"</w:t>
      </w:r>
    </w:p>
    <w:p w:rsidRPr="00FF1EF3" w:rsidR="00164813" w:rsidP="00164813" w:rsidRDefault="00164813" w14:paraId="426580BA" w14:textId="77777777">
      <w:pPr>
        <w:contextualSpacing/>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FF1EF3" w:rsidR="00164813" w:rsidTr="00B83E7B" w14:paraId="6AF7AE99" w14:textId="77777777">
        <w:tc>
          <w:tcPr>
            <w:tcW w:w="1701" w:type="dxa"/>
          </w:tcPr>
          <w:p w:rsidRPr="00FF1EF3" w:rsidR="00164813" w:rsidP="00164813" w:rsidRDefault="00FF1EF3" w14:paraId="4B0840C1" w14:textId="21CEF662">
            <w:pPr>
              <w:contextualSpacing/>
              <w:rPr>
                <w:b/>
              </w:rPr>
            </w:pPr>
            <w:r w:rsidRPr="00FF1EF3">
              <w:rPr>
                <w:b/>
              </w:rPr>
              <w:t>Relatrice</w:t>
            </w:r>
          </w:p>
        </w:tc>
        <w:tc>
          <w:tcPr>
            <w:tcW w:w="6096" w:type="dxa"/>
          </w:tcPr>
          <w:p w:rsidRPr="00FF1EF3" w:rsidR="00164813" w:rsidP="00164813" w:rsidRDefault="00A3344B" w14:paraId="16A8F625" w14:textId="77777777">
            <w:pPr>
              <w:ind w:left="-108"/>
              <w:contextualSpacing/>
            </w:pPr>
            <w:r w:rsidRPr="00FF1EF3">
              <w:t>Milena ANGELOVA (Datori di lavoro - BG)</w:t>
            </w:r>
          </w:p>
        </w:tc>
      </w:tr>
      <w:tr w:rsidRPr="00FF1EF3" w:rsidR="00A3344B" w:rsidTr="00B83E7B" w14:paraId="43AB93C9" w14:textId="77777777">
        <w:tc>
          <w:tcPr>
            <w:tcW w:w="1701" w:type="dxa"/>
          </w:tcPr>
          <w:p w:rsidRPr="00FF1EF3" w:rsidR="00A3344B" w:rsidP="00164813" w:rsidRDefault="00FF1EF3" w14:paraId="3AF21686" w14:textId="2C96B3D3">
            <w:pPr>
              <w:contextualSpacing/>
              <w:rPr>
                <w:b/>
              </w:rPr>
            </w:pPr>
            <w:r w:rsidRPr="00FF1EF3">
              <w:rPr>
                <w:b/>
              </w:rPr>
              <w:t>Correlatore</w:t>
            </w:r>
          </w:p>
        </w:tc>
        <w:tc>
          <w:tcPr>
            <w:tcW w:w="6096" w:type="dxa"/>
          </w:tcPr>
          <w:p w:rsidRPr="00FF1EF3" w:rsidR="00A3344B" w:rsidP="003D3253" w:rsidRDefault="00A3344B" w14:paraId="7456DEBB" w14:textId="07C3DF58">
            <w:pPr>
              <w:ind w:left="-108"/>
              <w:contextualSpacing/>
            </w:pPr>
            <w:r w:rsidRPr="00FF1EF3">
              <w:t xml:space="preserve">Rudolf KOLBE (gruppo Organizzazioni della società civile </w:t>
            </w:r>
            <w:r w:rsidRPr="00FF1EF3" w:rsidR="003D3253">
              <w:t>-</w:t>
            </w:r>
            <w:r w:rsidRPr="00FF1EF3">
              <w:t xml:space="preserve"> AT)</w:t>
            </w:r>
          </w:p>
        </w:tc>
      </w:tr>
      <w:tr w:rsidRPr="00FF1EF3" w:rsidR="00164813" w:rsidTr="00B83E7B" w14:paraId="5372DCA1" w14:textId="77777777">
        <w:tc>
          <w:tcPr>
            <w:tcW w:w="7797" w:type="dxa"/>
            <w:gridSpan w:val="2"/>
          </w:tcPr>
          <w:p w:rsidRPr="00FF1EF3" w:rsidR="00164813" w:rsidP="00164813" w:rsidRDefault="00164813" w14:paraId="28515692" w14:textId="77777777">
            <w:pPr>
              <w:contextualSpacing/>
              <w:rPr>
                <w:lang w:val="fr-BE"/>
              </w:rPr>
            </w:pPr>
          </w:p>
        </w:tc>
      </w:tr>
      <w:tr w:rsidRPr="00FF1EF3" w:rsidR="00164813" w:rsidTr="00B83E7B" w14:paraId="6516DB5A" w14:textId="77777777">
        <w:tc>
          <w:tcPr>
            <w:tcW w:w="1701" w:type="dxa"/>
          </w:tcPr>
          <w:p w:rsidRPr="00FF1EF3" w:rsidR="00164813" w:rsidP="00164813" w:rsidRDefault="00164813" w14:paraId="7886F22A" w14:textId="77777777">
            <w:pPr>
              <w:contextualSpacing/>
              <w:rPr>
                <w:b/>
              </w:rPr>
            </w:pPr>
            <w:r w:rsidRPr="00FF1EF3">
              <w:rPr>
                <w:b/>
              </w:rPr>
              <w:t xml:space="preserve">Riferimento </w:t>
            </w:r>
          </w:p>
        </w:tc>
        <w:tc>
          <w:tcPr>
            <w:tcW w:w="6096" w:type="dxa"/>
          </w:tcPr>
          <w:p w:rsidRPr="00FF1EF3" w:rsidR="00164813" w:rsidP="00164813" w:rsidRDefault="00A3344B" w14:paraId="6C0521C0" w14:textId="77777777">
            <w:pPr>
              <w:tabs>
                <w:tab w:val="center" w:pos="284"/>
              </w:tabs>
              <w:ind w:left="266" w:hanging="374"/>
            </w:pPr>
            <w:r w:rsidRPr="00FF1EF3">
              <w:t>Parere d'iniziativa</w:t>
            </w:r>
          </w:p>
          <w:p w:rsidRPr="00FF1EF3" w:rsidR="00164813" w:rsidP="00164813" w:rsidRDefault="00A3344B" w14:paraId="1BECC38E" w14:textId="77777777">
            <w:pPr>
              <w:ind w:left="-108"/>
              <w:contextualSpacing/>
            </w:pPr>
            <w:r w:rsidRPr="00FF1EF3">
              <w:t>EESC-2022-01049-00-00-AC</w:t>
            </w:r>
          </w:p>
        </w:tc>
      </w:tr>
    </w:tbl>
    <w:p w:rsidRPr="00FF1EF3" w:rsidR="00164813" w:rsidP="00164813" w:rsidRDefault="00164813" w14:paraId="38E9F173" w14:textId="77777777">
      <w:pPr>
        <w:contextualSpacing/>
        <w:rPr>
          <w:b/>
        </w:rPr>
      </w:pPr>
    </w:p>
    <w:p w:rsidRPr="00FF1EF3" w:rsidR="00164813" w:rsidP="002C4B6E" w:rsidRDefault="00164813" w14:paraId="01E095E2" w14:textId="28FC8A04">
      <w:pPr>
        <w:pStyle w:val="ListParagraph"/>
        <w:spacing w:line="240" w:lineRule="auto"/>
        <w:ind w:left="-142" w:firstLine="142"/>
        <w:rPr>
          <w:b/>
        </w:rPr>
      </w:pPr>
      <w:r w:rsidRPr="00FF1EF3">
        <w:rPr>
          <w:b/>
        </w:rPr>
        <w:t>Punti principali</w:t>
      </w:r>
    </w:p>
    <w:p w:rsidRPr="00FF1EF3" w:rsidR="00164813" w:rsidP="00164813" w:rsidRDefault="00164813" w14:paraId="1FE2AF0F" w14:textId="77777777">
      <w:pPr>
        <w:contextualSpacing/>
        <w:rPr>
          <w:lang w:val="fr-FR"/>
        </w:rPr>
      </w:pPr>
    </w:p>
    <w:p w:rsidRPr="00FF1EF3" w:rsidR="00164813" w:rsidP="00164813" w:rsidRDefault="00164813" w14:paraId="56628F84" w14:textId="77777777">
      <w:pPr>
        <w:contextualSpacing/>
      </w:pPr>
      <w:r w:rsidRPr="00FF1EF3">
        <w:t>Il CESE:</w:t>
      </w:r>
    </w:p>
    <w:p w:rsidRPr="00FF1EF3" w:rsidR="00164813" w:rsidP="00164813" w:rsidRDefault="00164813" w14:paraId="1E28AD39" w14:textId="77777777">
      <w:pPr>
        <w:contextualSpacing/>
        <w:rPr>
          <w:lang w:val="fr-FR"/>
        </w:rPr>
      </w:pPr>
    </w:p>
    <w:p w:rsidRPr="00FF1EF3" w:rsidR="00164813" w:rsidP="00164813" w:rsidRDefault="00A3344B" w14:paraId="198A1743" w14:textId="77777777">
      <w:pPr>
        <w:numPr>
          <w:ilvl w:val="0"/>
          <w:numId w:val="3"/>
        </w:numPr>
        <w:overflowPunct w:val="0"/>
        <w:autoSpaceDE w:val="0"/>
        <w:autoSpaceDN w:val="0"/>
        <w:adjustRightInd w:val="0"/>
        <w:ind w:left="357" w:hanging="357"/>
        <w:textAlignment w:val="baseline"/>
        <w:rPr>
          <w:bCs/>
          <w:iCs/>
        </w:rPr>
      </w:pPr>
      <w:r w:rsidRPr="00FF1EF3">
        <w:t xml:space="preserve">ritiene che vi sia l'urgente necessità di sostenere le micro, piccole e medie imprese (MPMI) nella </w:t>
      </w:r>
      <w:r w:rsidRPr="00FF1EF3">
        <w:rPr>
          <w:b/>
        </w:rPr>
        <w:t>comprensione e nella gestione</w:t>
      </w:r>
      <w:r w:rsidRPr="00FF1EF3">
        <w:t xml:space="preserve"> ottimale </w:t>
      </w:r>
      <w:r w:rsidRPr="00FF1EF3">
        <w:rPr>
          <w:b/>
        </w:rPr>
        <w:t>della transizione verde</w:t>
      </w:r>
      <w:r w:rsidRPr="00FF1EF3">
        <w:t>;</w:t>
      </w:r>
    </w:p>
    <w:p w:rsidRPr="00FF1EF3" w:rsidR="00164813" w:rsidP="00164813" w:rsidRDefault="00A3344B" w14:paraId="61AB179D" w14:textId="77777777">
      <w:pPr>
        <w:numPr>
          <w:ilvl w:val="0"/>
          <w:numId w:val="3"/>
        </w:numPr>
        <w:overflowPunct w:val="0"/>
        <w:autoSpaceDE w:val="0"/>
        <w:autoSpaceDN w:val="0"/>
        <w:adjustRightInd w:val="0"/>
        <w:ind w:left="357" w:hanging="357"/>
        <w:textAlignment w:val="baseline"/>
        <w:rPr>
          <w:bCs/>
          <w:iCs/>
        </w:rPr>
      </w:pPr>
      <w:r w:rsidRPr="00FF1EF3">
        <w:t xml:space="preserve">chiede un programma completo composto di </w:t>
      </w:r>
      <w:r w:rsidRPr="00FF1EF3">
        <w:rPr>
          <w:b/>
        </w:rPr>
        <w:t>soluzioni altamente personalizzate e di politiche</w:t>
      </w:r>
      <w:r w:rsidRPr="00FF1EF3">
        <w:t xml:space="preserve"> e misure </w:t>
      </w:r>
      <w:r w:rsidRPr="00FF1EF3">
        <w:rPr>
          <w:b/>
        </w:rPr>
        <w:t>ben mirate</w:t>
      </w:r>
      <w:r w:rsidRPr="00FF1EF3">
        <w:t>, volto a sostenere le MPMI in tutte le questioni che esse devono affrontare nelle loro operazioni e attività aziendali per diventare ecologiche e conformarsi alla legislazione;</w:t>
      </w:r>
    </w:p>
    <w:p w:rsidRPr="00FF1EF3" w:rsidR="00164813" w:rsidP="00164813" w:rsidRDefault="00A3344B" w14:paraId="7BB5DDAA" w14:textId="77777777">
      <w:pPr>
        <w:numPr>
          <w:ilvl w:val="0"/>
          <w:numId w:val="3"/>
        </w:numPr>
        <w:overflowPunct w:val="0"/>
        <w:autoSpaceDE w:val="0"/>
        <w:autoSpaceDN w:val="0"/>
        <w:adjustRightInd w:val="0"/>
        <w:ind w:left="357" w:hanging="357"/>
        <w:textAlignment w:val="baseline"/>
      </w:pPr>
      <w:r w:rsidRPr="00FF1EF3">
        <w:t xml:space="preserve">ritiene che un sostegno immediato e mirato a breve termine per le MPMI sia fondamentale per </w:t>
      </w:r>
      <w:r w:rsidRPr="00FF1EF3">
        <w:rPr>
          <w:b/>
        </w:rPr>
        <w:t>stimolare la loro ripresa economica</w:t>
      </w:r>
      <w:r w:rsidRPr="00FF1EF3">
        <w:t xml:space="preserve"> dalla pandemia e aiutarle a </w:t>
      </w:r>
      <w:r w:rsidRPr="00FF1EF3">
        <w:rPr>
          <w:b/>
        </w:rPr>
        <w:t>gestire le conseguenze dell'invasione russa dell'Ucraina</w:t>
      </w:r>
      <w:r w:rsidRPr="00FF1EF3">
        <w:t>, quali i prezzi elevati dell'energia e la mancanza di approvvigionamento di materiali e prodotti;</w:t>
      </w:r>
    </w:p>
    <w:p w:rsidRPr="00FF1EF3" w:rsidR="00BC3FCE" w:rsidP="00164813" w:rsidRDefault="00A3344B" w14:paraId="0B05B7B9" w14:textId="77777777">
      <w:pPr>
        <w:numPr>
          <w:ilvl w:val="0"/>
          <w:numId w:val="3"/>
        </w:numPr>
        <w:overflowPunct w:val="0"/>
        <w:autoSpaceDE w:val="0"/>
        <w:autoSpaceDN w:val="0"/>
        <w:adjustRightInd w:val="0"/>
        <w:ind w:left="357" w:hanging="357"/>
        <w:textAlignment w:val="baseline"/>
      </w:pPr>
      <w:r w:rsidRPr="00FF1EF3">
        <w:t xml:space="preserve">propone di </w:t>
      </w:r>
      <w:r w:rsidRPr="00FF1EF3">
        <w:rPr>
          <w:b/>
        </w:rPr>
        <w:t>creare dei "poli della circolarità" in diverse regioni</w:t>
      </w:r>
      <w:r w:rsidRPr="00FF1EF3">
        <w:t xml:space="preserve"> al fine di migliorare l'efficienza delle risorse delle MPMI. L'obiettivo sarebbe quello di rafforzare la cooperazione tra le imprese dei vari settori e facilitare lo sviluppo di nuove pratiche e processi, compresa la dimostrazione di nuove tecnologie;</w:t>
      </w:r>
    </w:p>
    <w:p w:rsidRPr="00FF1EF3" w:rsidR="00BC3FCE" w:rsidP="00164813" w:rsidRDefault="00361E48" w14:paraId="7565FC83" w14:textId="77777777">
      <w:pPr>
        <w:numPr>
          <w:ilvl w:val="0"/>
          <w:numId w:val="3"/>
        </w:numPr>
        <w:overflowPunct w:val="0"/>
        <w:autoSpaceDE w:val="0"/>
        <w:autoSpaceDN w:val="0"/>
        <w:adjustRightInd w:val="0"/>
        <w:ind w:left="357" w:hanging="357"/>
        <w:textAlignment w:val="baseline"/>
      </w:pPr>
      <w:r w:rsidRPr="00FF1EF3">
        <w:t xml:space="preserve">invita l'UE e gli Stati membri ad </w:t>
      </w:r>
      <w:r w:rsidRPr="00FF1EF3">
        <w:rPr>
          <w:b/>
        </w:rPr>
        <w:t>accelerare gli investimenti verdi delle MPMI</w:t>
      </w:r>
      <w:r w:rsidRPr="00FF1EF3">
        <w:t xml:space="preserve"> garantendo un contesto normativo favorevole, prevedibile e incoraggiante;</w:t>
      </w:r>
    </w:p>
    <w:p w:rsidRPr="00FF1EF3" w:rsidR="00BC3FCE" w:rsidP="00164813" w:rsidRDefault="00361E48" w14:paraId="6495124B" w14:textId="77777777">
      <w:pPr>
        <w:numPr>
          <w:ilvl w:val="0"/>
          <w:numId w:val="3"/>
        </w:numPr>
        <w:overflowPunct w:val="0"/>
        <w:autoSpaceDE w:val="0"/>
        <w:autoSpaceDN w:val="0"/>
        <w:adjustRightInd w:val="0"/>
        <w:ind w:left="357" w:hanging="357"/>
        <w:textAlignment w:val="baseline"/>
      </w:pPr>
      <w:r w:rsidRPr="00FF1EF3">
        <w:t xml:space="preserve">sottolinea la necessità di una </w:t>
      </w:r>
      <w:r w:rsidRPr="00FF1EF3">
        <w:rPr>
          <w:b/>
        </w:rPr>
        <w:t>stretta collaborazione tra gli erogatori di istruzione e le MPMI nel definire la formazione</w:t>
      </w:r>
      <w:r w:rsidRPr="00FF1EF3">
        <w:t xml:space="preserve"> in modo che risponda alle competenze e alle abilità necessarie per la transizione verde, anche mediante l'aggiornamento e la riqualificazione sia dei lavoratori che degli imprenditori;</w:t>
      </w:r>
    </w:p>
    <w:p w:rsidRPr="00FF1EF3" w:rsidR="00361E48" w:rsidP="00164813" w:rsidRDefault="00361E48" w14:paraId="45EBA5E1" w14:textId="77777777">
      <w:pPr>
        <w:numPr>
          <w:ilvl w:val="0"/>
          <w:numId w:val="3"/>
        </w:numPr>
        <w:overflowPunct w:val="0"/>
        <w:autoSpaceDE w:val="0"/>
        <w:autoSpaceDN w:val="0"/>
        <w:adjustRightInd w:val="0"/>
        <w:ind w:left="357" w:hanging="357"/>
        <w:textAlignment w:val="baseline"/>
      </w:pPr>
      <w:r w:rsidRPr="00FF1EF3">
        <w:t xml:space="preserve">esorta a </w:t>
      </w:r>
      <w:r w:rsidRPr="00FF1EF3">
        <w:rPr>
          <w:b/>
        </w:rPr>
        <w:t>promuovere lo scambio di soluzioni verdi prodotte dalle MPMI</w:t>
      </w:r>
      <w:r w:rsidRPr="00FF1EF3">
        <w:t xml:space="preserve">, anche nel contesto degli </w:t>
      </w:r>
      <w:r w:rsidRPr="00FF1EF3">
        <w:rPr>
          <w:b/>
        </w:rPr>
        <w:t>appalti pubblici</w:t>
      </w:r>
      <w:r w:rsidRPr="00FF1EF3">
        <w:t>.</w:t>
      </w:r>
    </w:p>
    <w:p w:rsidRPr="00FF1EF3" w:rsidR="00164813" w:rsidP="00164813" w:rsidRDefault="00164813" w14:paraId="7C479262"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164813" w:rsidTr="00B83E7B" w14:paraId="697B6325" w14:textId="77777777">
        <w:tc>
          <w:tcPr>
            <w:tcW w:w="1418" w:type="dxa"/>
          </w:tcPr>
          <w:p w:rsidRPr="00FF1EF3" w:rsidR="00164813" w:rsidP="00164813" w:rsidRDefault="00164813" w14:paraId="60C7BE26" w14:textId="77777777">
            <w:pPr>
              <w:contextualSpacing/>
              <w:rPr>
                <w:i/>
              </w:rPr>
            </w:pPr>
            <w:r w:rsidRPr="00FF1EF3">
              <w:rPr>
                <w:b/>
                <w:i/>
              </w:rPr>
              <w:t>Contatto</w:t>
            </w:r>
          </w:p>
        </w:tc>
        <w:tc>
          <w:tcPr>
            <w:tcW w:w="5670" w:type="dxa"/>
          </w:tcPr>
          <w:p w:rsidRPr="00FF1EF3" w:rsidR="00164813" w:rsidP="00164813" w:rsidRDefault="00361E48" w14:paraId="69D69E14" w14:textId="77777777">
            <w:pPr>
              <w:contextualSpacing/>
              <w:rPr>
                <w:i/>
              </w:rPr>
            </w:pPr>
            <w:r w:rsidRPr="00FF1EF3">
              <w:rPr>
                <w:i/>
              </w:rPr>
              <w:t>Dalila BERNARD</w:t>
            </w:r>
          </w:p>
        </w:tc>
      </w:tr>
      <w:tr w:rsidRPr="00FF1EF3" w:rsidR="00164813" w:rsidTr="00B83E7B" w14:paraId="288640A9" w14:textId="77777777">
        <w:tc>
          <w:tcPr>
            <w:tcW w:w="1418" w:type="dxa"/>
          </w:tcPr>
          <w:p w:rsidRPr="00FF1EF3" w:rsidR="00164813" w:rsidP="00164813" w:rsidRDefault="00164813" w14:paraId="3D976246" w14:textId="77777777">
            <w:pPr>
              <w:ind w:left="601"/>
              <w:contextualSpacing/>
              <w:rPr>
                <w:i/>
              </w:rPr>
            </w:pPr>
            <w:r w:rsidRPr="00FF1EF3">
              <w:rPr>
                <w:i/>
              </w:rPr>
              <w:t>Tel.</w:t>
            </w:r>
          </w:p>
        </w:tc>
        <w:tc>
          <w:tcPr>
            <w:tcW w:w="5670" w:type="dxa"/>
          </w:tcPr>
          <w:p w:rsidRPr="00FF1EF3" w:rsidR="00164813" w:rsidP="00164813" w:rsidRDefault="00E11C18" w14:paraId="73A1FD7B" w14:textId="77777777">
            <w:pPr>
              <w:contextualSpacing/>
              <w:rPr>
                <w:i/>
              </w:rPr>
            </w:pPr>
            <w:r w:rsidRPr="00FF1EF3">
              <w:rPr>
                <w:i/>
              </w:rPr>
              <w:t>00 32 2 546 84 38</w:t>
            </w:r>
          </w:p>
        </w:tc>
      </w:tr>
      <w:tr w:rsidRPr="00FF1EF3" w:rsidR="00164813" w:rsidTr="00B83E7B" w14:paraId="75C5E7D5" w14:textId="77777777">
        <w:tc>
          <w:tcPr>
            <w:tcW w:w="1418" w:type="dxa"/>
          </w:tcPr>
          <w:p w:rsidRPr="00FF1EF3" w:rsidR="00164813" w:rsidP="00164813" w:rsidRDefault="00FF1EF3" w14:paraId="416B594E" w14:textId="39B610E3">
            <w:pPr>
              <w:ind w:left="601"/>
              <w:contextualSpacing/>
              <w:rPr>
                <w:i/>
              </w:rPr>
            </w:pPr>
            <w:r w:rsidRPr="00FF1EF3">
              <w:rPr>
                <w:i/>
              </w:rPr>
              <w:t>E</w:t>
            </w:r>
            <w:r w:rsidRPr="00FF1EF3" w:rsidR="00164813">
              <w:rPr>
                <w:i/>
              </w:rPr>
              <w:t>-mail</w:t>
            </w:r>
          </w:p>
        </w:tc>
        <w:tc>
          <w:tcPr>
            <w:tcW w:w="5670" w:type="dxa"/>
          </w:tcPr>
          <w:p w:rsidRPr="00FF1EF3" w:rsidR="00032038" w:rsidP="00910972" w:rsidRDefault="004F624E" w14:paraId="196C9612" w14:textId="21F7D545">
            <w:pPr>
              <w:contextualSpacing/>
              <w:rPr>
                <w:i/>
              </w:rPr>
            </w:pPr>
            <w:hyperlink w:history="1" r:id="rId33">
              <w:r w:rsidRPr="00FF1EF3" w:rsidR="003D3253">
                <w:rPr>
                  <w:rStyle w:val="Hyperlink"/>
                </w:rPr>
                <w:t>Dalila.Bernard@eesc.europa.eu</w:t>
              </w:r>
            </w:hyperlink>
          </w:p>
        </w:tc>
      </w:tr>
    </w:tbl>
    <w:p w:rsidRPr="00FF1EF3" w:rsidR="00D35512" w:rsidRDefault="00D35512" w14:paraId="445BD888" w14:textId="085727DD">
      <w:pPr>
        <w:spacing w:after="160" w:line="259" w:lineRule="auto"/>
        <w:jc w:val="left"/>
        <w:rPr>
          <w:sz w:val="28"/>
        </w:rPr>
      </w:pPr>
    </w:p>
    <w:p w:rsidRPr="00FF1EF3" w:rsidR="00D35512" w:rsidRDefault="00D35512" w14:paraId="12A10D9F" w14:textId="77777777">
      <w:pPr>
        <w:spacing w:after="160" w:line="259" w:lineRule="auto"/>
        <w:jc w:val="left"/>
        <w:rPr>
          <w:sz w:val="28"/>
        </w:rPr>
      </w:pPr>
      <w:r w:rsidRPr="00FF1EF3">
        <w:br w:type="page"/>
      </w:r>
    </w:p>
    <w:p w:rsidRPr="00FF1EF3" w:rsidR="00032038" w:rsidP="00032038" w:rsidRDefault="00361E48" w14:paraId="128EA084" w14:textId="77777777">
      <w:pPr>
        <w:numPr>
          <w:ilvl w:val="0"/>
          <w:numId w:val="2"/>
        </w:numPr>
        <w:ind w:left="567" w:hanging="567"/>
        <w:contextualSpacing/>
        <w:rPr>
          <w:b/>
          <w:i/>
          <w:sz w:val="28"/>
          <w:szCs w:val="28"/>
        </w:rPr>
      </w:pPr>
      <w:r w:rsidRPr="00FF1EF3">
        <w:rPr>
          <w:b/>
          <w:i/>
          <w:sz w:val="28"/>
        </w:rPr>
        <w:t>Il costo della non Europa - i benefici del mercato unico</w:t>
      </w:r>
    </w:p>
    <w:p w:rsidRPr="00FF1EF3" w:rsidR="00032038" w:rsidP="00032038" w:rsidRDefault="00032038" w14:paraId="04B0A9E5" w14:textId="77777777">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FF1EF3" w:rsidR="00032038" w:rsidTr="00A5507B" w14:paraId="2740ABE2" w14:textId="77777777">
        <w:tc>
          <w:tcPr>
            <w:tcW w:w="1701" w:type="dxa"/>
          </w:tcPr>
          <w:p w:rsidRPr="00FF1EF3" w:rsidR="00032038" w:rsidP="00B83E7B" w:rsidRDefault="00FF1EF3" w14:paraId="087263AD" w14:textId="7EF45A22">
            <w:pPr>
              <w:contextualSpacing/>
              <w:rPr>
                <w:b/>
              </w:rPr>
            </w:pPr>
            <w:r w:rsidRPr="00FF1EF3">
              <w:rPr>
                <w:b/>
              </w:rPr>
              <w:t>Relatore</w:t>
            </w:r>
          </w:p>
        </w:tc>
        <w:tc>
          <w:tcPr>
            <w:tcW w:w="6379" w:type="dxa"/>
          </w:tcPr>
          <w:p w:rsidRPr="00FF1EF3" w:rsidR="00032038" w:rsidP="00B83E7B" w:rsidRDefault="00361E48" w14:paraId="2766A124" w14:textId="77777777">
            <w:pPr>
              <w:ind w:left="-108"/>
              <w:contextualSpacing/>
            </w:pPr>
            <w:r w:rsidRPr="00FF1EF3">
              <w:t>Philip VON BROCKDORFF (Lavoratori - MT)</w:t>
            </w:r>
          </w:p>
        </w:tc>
      </w:tr>
      <w:tr w:rsidRPr="00FF1EF3" w:rsidR="00361E48" w:rsidTr="00A5507B" w14:paraId="522673DF" w14:textId="77777777">
        <w:tc>
          <w:tcPr>
            <w:tcW w:w="1701" w:type="dxa"/>
          </w:tcPr>
          <w:p w:rsidRPr="00FF1EF3" w:rsidR="00361E48" w:rsidP="00B83E7B" w:rsidRDefault="00FF1EF3" w14:paraId="770ED3B7" w14:textId="30DDDCC9">
            <w:pPr>
              <w:contextualSpacing/>
              <w:rPr>
                <w:b/>
              </w:rPr>
            </w:pPr>
            <w:r w:rsidRPr="00FF1EF3">
              <w:rPr>
                <w:b/>
              </w:rPr>
              <w:t>Correlatrice</w:t>
            </w:r>
          </w:p>
        </w:tc>
        <w:tc>
          <w:tcPr>
            <w:tcW w:w="6379" w:type="dxa"/>
          </w:tcPr>
          <w:p w:rsidRPr="00FF1EF3" w:rsidR="00361E48" w:rsidP="00B83E7B" w:rsidRDefault="00361E48" w14:paraId="0EDD12C9" w14:textId="77777777">
            <w:pPr>
              <w:ind w:left="-108"/>
              <w:contextualSpacing/>
            </w:pPr>
            <w:r w:rsidRPr="00FF1EF3">
              <w:t>Emilie PROUZET (Datori di lavoro - FR)</w:t>
            </w:r>
          </w:p>
        </w:tc>
      </w:tr>
      <w:tr w:rsidRPr="00FF1EF3" w:rsidR="00032038" w:rsidTr="00A5507B" w14:paraId="0BCEFD7B" w14:textId="77777777">
        <w:tc>
          <w:tcPr>
            <w:tcW w:w="8080" w:type="dxa"/>
            <w:gridSpan w:val="2"/>
          </w:tcPr>
          <w:p w:rsidRPr="00FF1EF3" w:rsidR="00032038" w:rsidP="00B83E7B" w:rsidRDefault="00032038" w14:paraId="28381D76" w14:textId="77777777">
            <w:pPr>
              <w:contextualSpacing/>
              <w:rPr>
                <w:lang w:val="fr-BE"/>
              </w:rPr>
            </w:pPr>
          </w:p>
        </w:tc>
      </w:tr>
      <w:tr w:rsidRPr="00FF1EF3" w:rsidR="00032038" w:rsidTr="00A5507B" w14:paraId="1FFE70FE" w14:textId="77777777">
        <w:tc>
          <w:tcPr>
            <w:tcW w:w="1701" w:type="dxa"/>
          </w:tcPr>
          <w:p w:rsidRPr="00FF1EF3" w:rsidR="00032038" w:rsidP="00B83E7B" w:rsidRDefault="00032038" w14:paraId="1EDF0159" w14:textId="77777777">
            <w:pPr>
              <w:contextualSpacing/>
              <w:rPr>
                <w:b/>
              </w:rPr>
            </w:pPr>
            <w:r w:rsidRPr="00FF1EF3">
              <w:rPr>
                <w:b/>
              </w:rPr>
              <w:t xml:space="preserve">Riferimento </w:t>
            </w:r>
          </w:p>
        </w:tc>
        <w:tc>
          <w:tcPr>
            <w:tcW w:w="6379" w:type="dxa"/>
          </w:tcPr>
          <w:p w:rsidRPr="00FF1EF3" w:rsidR="00032038" w:rsidP="00A5507B" w:rsidRDefault="00361E48" w14:paraId="6C436681" w14:textId="77777777">
            <w:pPr>
              <w:tabs>
                <w:tab w:val="center" w:pos="284"/>
              </w:tabs>
              <w:ind w:left="266" w:right="-534" w:hanging="374"/>
            </w:pPr>
            <w:r w:rsidRPr="00FF1EF3">
              <w:t>Parere esplorativo richiesto dalla presidenza ceca del Consiglio</w:t>
            </w:r>
          </w:p>
          <w:p w:rsidRPr="00FF1EF3" w:rsidR="00032038" w:rsidP="00B83E7B" w:rsidRDefault="00032038" w14:paraId="70C06563" w14:textId="77777777">
            <w:pPr>
              <w:ind w:left="-108"/>
              <w:contextualSpacing/>
            </w:pPr>
            <w:r w:rsidRPr="00FF1EF3">
              <w:t>EESC-2022-01691-00-00-AC</w:t>
            </w:r>
          </w:p>
        </w:tc>
      </w:tr>
    </w:tbl>
    <w:p w:rsidRPr="00FF1EF3" w:rsidR="00032038" w:rsidP="00032038" w:rsidRDefault="00032038" w14:paraId="7F4174A5" w14:textId="77777777">
      <w:pPr>
        <w:contextualSpacing/>
        <w:rPr>
          <w:b/>
        </w:rPr>
      </w:pPr>
    </w:p>
    <w:p w:rsidRPr="00FF1EF3" w:rsidR="00032038" w:rsidP="002C4B6E" w:rsidRDefault="00032038" w14:paraId="0D24DCE0" w14:textId="19BB44B8">
      <w:pPr>
        <w:pStyle w:val="ListParagraph"/>
        <w:spacing w:line="240" w:lineRule="auto"/>
        <w:ind w:left="-142" w:firstLine="142"/>
        <w:rPr>
          <w:b/>
        </w:rPr>
      </w:pPr>
      <w:r w:rsidRPr="00FF1EF3">
        <w:rPr>
          <w:b/>
        </w:rPr>
        <w:t>Punti principali</w:t>
      </w:r>
    </w:p>
    <w:p w:rsidRPr="00FF1EF3" w:rsidR="00032038" w:rsidP="00032038" w:rsidRDefault="00032038" w14:paraId="5A3A2576" w14:textId="77777777">
      <w:pPr>
        <w:contextualSpacing/>
        <w:rPr>
          <w:lang w:val="fr-FR"/>
        </w:rPr>
      </w:pPr>
    </w:p>
    <w:p w:rsidRPr="00FF1EF3" w:rsidR="00032038" w:rsidP="00032038" w:rsidRDefault="00032038" w14:paraId="03BC0087" w14:textId="77777777">
      <w:pPr>
        <w:contextualSpacing/>
      </w:pPr>
      <w:r w:rsidRPr="00FF1EF3">
        <w:t>Il CESE:</w:t>
      </w:r>
    </w:p>
    <w:p w:rsidRPr="00FF1EF3" w:rsidR="00E54548" w:rsidP="00032038" w:rsidRDefault="00E54548" w14:paraId="5E6CFAA8" w14:textId="77777777">
      <w:pPr>
        <w:contextualSpacing/>
        <w:rPr>
          <w:lang w:val="fr-FR"/>
        </w:rPr>
      </w:pPr>
    </w:p>
    <w:p w:rsidRPr="00FF1EF3" w:rsidR="00032038" w:rsidP="00032038" w:rsidRDefault="00361E48" w14:paraId="15D8E10A" w14:textId="77777777">
      <w:pPr>
        <w:numPr>
          <w:ilvl w:val="0"/>
          <w:numId w:val="3"/>
        </w:numPr>
        <w:overflowPunct w:val="0"/>
        <w:autoSpaceDE w:val="0"/>
        <w:autoSpaceDN w:val="0"/>
        <w:adjustRightInd w:val="0"/>
        <w:ind w:left="357" w:hanging="357"/>
        <w:textAlignment w:val="baseline"/>
        <w:rPr>
          <w:bCs/>
          <w:iCs/>
        </w:rPr>
      </w:pPr>
      <w:r w:rsidRPr="00FF1EF3">
        <w:t>ritiene che il mercato unico implichi un aumento del benessere tramite una convergenza sociale ed economica volta a ridurre le disuguaglianze e ad evitare che l'aggravarsi degli squilibri sociali finisca per ostacolare seriamente l'integrazione europea;</w:t>
      </w:r>
    </w:p>
    <w:p w:rsidRPr="00FF1EF3" w:rsidR="00032038" w:rsidP="00032038" w:rsidRDefault="00361E48" w14:paraId="3C3E0696" w14:textId="77777777">
      <w:pPr>
        <w:numPr>
          <w:ilvl w:val="0"/>
          <w:numId w:val="3"/>
        </w:numPr>
        <w:overflowPunct w:val="0"/>
        <w:autoSpaceDE w:val="0"/>
        <w:autoSpaceDN w:val="0"/>
        <w:adjustRightInd w:val="0"/>
        <w:ind w:left="357" w:hanging="357"/>
        <w:textAlignment w:val="baseline"/>
        <w:rPr>
          <w:bCs/>
          <w:iCs/>
        </w:rPr>
      </w:pPr>
      <w:r w:rsidRPr="00FF1EF3">
        <w:t>reputa che i testi giuridici nazionali potenzialmente d'ostacolo al mercato interno debbano essere notificati alla Commissione europea e debbano essere commentati e valutati;</w:t>
      </w:r>
    </w:p>
    <w:p w:rsidRPr="00FF1EF3" w:rsidR="00032038" w:rsidP="00032038" w:rsidRDefault="00361E48" w14:paraId="328F8D0C" w14:textId="77777777">
      <w:pPr>
        <w:numPr>
          <w:ilvl w:val="0"/>
          <w:numId w:val="3"/>
        </w:numPr>
        <w:overflowPunct w:val="0"/>
        <w:autoSpaceDE w:val="0"/>
        <w:autoSpaceDN w:val="0"/>
        <w:adjustRightInd w:val="0"/>
        <w:ind w:left="357" w:hanging="357"/>
        <w:textAlignment w:val="baseline"/>
      </w:pPr>
      <w:r w:rsidRPr="00FF1EF3">
        <w:t>chiede un'effettiva attuazione e applicazione delle direttive già negoziate e votate, come il pacchetto "Legiferare meglio";</w:t>
      </w:r>
    </w:p>
    <w:p w:rsidRPr="00FF1EF3" w:rsidR="00622822" w:rsidP="00032038" w:rsidRDefault="00361E48" w14:paraId="4822D60F" w14:textId="77777777">
      <w:pPr>
        <w:numPr>
          <w:ilvl w:val="0"/>
          <w:numId w:val="3"/>
        </w:numPr>
        <w:overflowPunct w:val="0"/>
        <w:autoSpaceDE w:val="0"/>
        <w:autoSpaceDN w:val="0"/>
        <w:adjustRightInd w:val="0"/>
        <w:ind w:left="357" w:hanging="357"/>
        <w:textAlignment w:val="baseline"/>
      </w:pPr>
      <w:r w:rsidRPr="00FF1EF3">
        <w:t>ritiene che la legge sui servizi digitali (</w:t>
      </w:r>
      <w:r w:rsidRPr="00FF1EF3">
        <w:rPr>
          <w:i/>
          <w:iCs/>
        </w:rPr>
        <w:t>Digital Services Act)</w:t>
      </w:r>
      <w:r w:rsidRPr="00FF1EF3">
        <w:t xml:space="preserve"> e la legge sui mercati digitali (</w:t>
      </w:r>
      <w:r w:rsidRPr="00FF1EF3">
        <w:rPr>
          <w:i/>
          <w:iCs/>
        </w:rPr>
        <w:t>Digital Markets Act</w:t>
      </w:r>
      <w:r w:rsidRPr="00FF1EF3">
        <w:t>) rappresentino un passo avanti fondamentale per raggiungere la parità di condizioni tra gli operatori nei mercati digitali;</w:t>
      </w:r>
    </w:p>
    <w:p w:rsidRPr="00FF1EF3" w:rsidR="00361E48" w:rsidP="00032038" w:rsidRDefault="00361E48" w14:paraId="7B7AC8F9" w14:textId="77777777">
      <w:pPr>
        <w:numPr>
          <w:ilvl w:val="0"/>
          <w:numId w:val="3"/>
        </w:numPr>
        <w:overflowPunct w:val="0"/>
        <w:autoSpaceDE w:val="0"/>
        <w:autoSpaceDN w:val="0"/>
        <w:adjustRightInd w:val="0"/>
        <w:ind w:left="357" w:hanging="357"/>
        <w:textAlignment w:val="baseline"/>
      </w:pPr>
      <w:r w:rsidRPr="00FF1EF3">
        <w:t>raccomanda un approccio coordinato tra gli Stati membri per la commercializzazione dei prodotti che subiscono le ripercussioni della crisi in Ucraina;</w:t>
      </w:r>
    </w:p>
    <w:p w:rsidRPr="00FF1EF3" w:rsidR="00361E48" w:rsidP="00032038" w:rsidRDefault="00361E48" w14:paraId="307CFC42" w14:textId="77777777">
      <w:pPr>
        <w:numPr>
          <w:ilvl w:val="0"/>
          <w:numId w:val="3"/>
        </w:numPr>
        <w:overflowPunct w:val="0"/>
        <w:autoSpaceDE w:val="0"/>
        <w:autoSpaceDN w:val="0"/>
        <w:adjustRightInd w:val="0"/>
        <w:ind w:left="357" w:hanging="357"/>
        <w:textAlignment w:val="baseline"/>
      </w:pPr>
      <w:r w:rsidRPr="00FF1EF3">
        <w:t>osserva che nell'UE vi sono ancora 27 mercati finanziari e dei capitali che non funzionano in modo unitario, limitando quindi il potenziale del mercato unico;</w:t>
      </w:r>
    </w:p>
    <w:p w:rsidRPr="00FF1EF3" w:rsidR="00361E48" w:rsidP="00032038" w:rsidRDefault="00361E48" w14:paraId="45E636EF" w14:textId="77777777">
      <w:pPr>
        <w:numPr>
          <w:ilvl w:val="0"/>
          <w:numId w:val="3"/>
        </w:numPr>
        <w:overflowPunct w:val="0"/>
        <w:autoSpaceDE w:val="0"/>
        <w:autoSpaceDN w:val="0"/>
        <w:adjustRightInd w:val="0"/>
        <w:ind w:left="357" w:hanging="357"/>
        <w:textAlignment w:val="baseline"/>
      </w:pPr>
      <w:r w:rsidRPr="00FF1EF3">
        <w:t>è dell'avviso che si debba adottare una "autonomia strategica aperta", soprattutto nei settori chiave.</w:t>
      </w:r>
    </w:p>
    <w:p w:rsidRPr="00FF1EF3" w:rsidR="00032038" w:rsidP="00032038" w:rsidRDefault="00032038" w14:paraId="2BD64930"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361E48" w:rsidTr="008B66DD" w14:paraId="0D55A858" w14:textId="77777777">
        <w:tc>
          <w:tcPr>
            <w:tcW w:w="1418" w:type="dxa"/>
          </w:tcPr>
          <w:p w:rsidRPr="00FF1EF3" w:rsidR="00361E48" w:rsidP="008B66DD" w:rsidRDefault="00361E48" w14:paraId="56C29286" w14:textId="77777777">
            <w:pPr>
              <w:contextualSpacing/>
              <w:rPr>
                <w:i/>
              </w:rPr>
            </w:pPr>
            <w:r w:rsidRPr="00FF1EF3">
              <w:rPr>
                <w:b/>
                <w:i/>
              </w:rPr>
              <w:t>Contatto</w:t>
            </w:r>
          </w:p>
        </w:tc>
        <w:tc>
          <w:tcPr>
            <w:tcW w:w="5670" w:type="dxa"/>
          </w:tcPr>
          <w:p w:rsidRPr="00FF1EF3" w:rsidR="00361E48" w:rsidP="008B66DD" w:rsidRDefault="00361E48" w14:paraId="017C0197" w14:textId="77777777">
            <w:pPr>
              <w:contextualSpacing/>
              <w:rPr>
                <w:i/>
              </w:rPr>
            </w:pPr>
            <w:r w:rsidRPr="00FF1EF3">
              <w:rPr>
                <w:i/>
              </w:rPr>
              <w:t>Claudia DREWES-WRAN</w:t>
            </w:r>
          </w:p>
        </w:tc>
      </w:tr>
      <w:tr w:rsidRPr="00FF1EF3" w:rsidR="00361E48" w:rsidTr="008B66DD" w14:paraId="2666BE14" w14:textId="77777777">
        <w:tc>
          <w:tcPr>
            <w:tcW w:w="1418" w:type="dxa"/>
          </w:tcPr>
          <w:p w:rsidRPr="00FF1EF3" w:rsidR="00361E48" w:rsidP="008B66DD" w:rsidRDefault="00361E48" w14:paraId="2A27EB13" w14:textId="77777777">
            <w:pPr>
              <w:ind w:left="601"/>
              <w:contextualSpacing/>
              <w:rPr>
                <w:i/>
              </w:rPr>
            </w:pPr>
            <w:r w:rsidRPr="00FF1EF3">
              <w:rPr>
                <w:i/>
              </w:rPr>
              <w:t>Tel.</w:t>
            </w:r>
          </w:p>
        </w:tc>
        <w:tc>
          <w:tcPr>
            <w:tcW w:w="5670" w:type="dxa"/>
          </w:tcPr>
          <w:p w:rsidRPr="00FF1EF3" w:rsidR="00361E48" w:rsidP="008B66DD" w:rsidRDefault="00361E48" w14:paraId="5871F23C" w14:textId="77777777">
            <w:pPr>
              <w:contextualSpacing/>
              <w:rPr>
                <w:i/>
              </w:rPr>
            </w:pPr>
            <w:r w:rsidRPr="00FF1EF3">
              <w:rPr>
                <w:i/>
              </w:rPr>
              <w:t>00 32 2 546 80 67</w:t>
            </w:r>
          </w:p>
        </w:tc>
      </w:tr>
      <w:tr w:rsidRPr="00FF1EF3" w:rsidR="00361E48" w:rsidTr="008B66DD" w14:paraId="2382DBA5" w14:textId="77777777">
        <w:tc>
          <w:tcPr>
            <w:tcW w:w="1418" w:type="dxa"/>
          </w:tcPr>
          <w:p w:rsidRPr="00FF1EF3" w:rsidR="00361E48" w:rsidP="008B66DD" w:rsidRDefault="00FF1EF3" w14:paraId="4E96D1FE" w14:textId="3E023AD9">
            <w:pPr>
              <w:ind w:left="601"/>
              <w:contextualSpacing/>
              <w:rPr>
                <w:i/>
              </w:rPr>
            </w:pPr>
            <w:r w:rsidRPr="00FF1EF3">
              <w:rPr>
                <w:i/>
              </w:rPr>
              <w:t>E</w:t>
            </w:r>
            <w:r w:rsidRPr="00FF1EF3" w:rsidR="00361E48">
              <w:rPr>
                <w:i/>
              </w:rPr>
              <w:t>-mail</w:t>
            </w:r>
          </w:p>
        </w:tc>
        <w:tc>
          <w:tcPr>
            <w:tcW w:w="5670" w:type="dxa"/>
          </w:tcPr>
          <w:p w:rsidRPr="00FF1EF3" w:rsidR="00361E48" w:rsidP="00910972" w:rsidRDefault="004F624E" w14:paraId="07034536" w14:textId="6750A02A">
            <w:pPr>
              <w:contextualSpacing/>
              <w:rPr>
                <w:i/>
              </w:rPr>
            </w:pPr>
            <w:hyperlink w:history="1" r:id="rId34">
              <w:r w:rsidRPr="00FF1EF3" w:rsidR="003D3253">
                <w:rPr>
                  <w:rStyle w:val="Hyperlink"/>
                </w:rPr>
                <w:t>Claudia.Drewes-Wran@eesc.europa.eu</w:t>
              </w:r>
            </w:hyperlink>
          </w:p>
        </w:tc>
      </w:tr>
    </w:tbl>
    <w:p w:rsidRPr="00FF1EF3" w:rsidR="000956DB" w:rsidRDefault="000956DB" w14:paraId="6E31172A" w14:textId="78CEDAC7">
      <w:pPr>
        <w:spacing w:after="160" w:line="259" w:lineRule="auto"/>
        <w:jc w:val="left"/>
        <w:rPr>
          <w:sz w:val="28"/>
        </w:rPr>
      </w:pPr>
    </w:p>
    <w:p w:rsidRPr="00FF1EF3" w:rsidR="000956DB" w:rsidRDefault="000956DB" w14:paraId="32ABF98F" w14:textId="77777777">
      <w:pPr>
        <w:spacing w:after="160" w:line="259" w:lineRule="auto"/>
        <w:jc w:val="left"/>
        <w:rPr>
          <w:sz w:val="28"/>
        </w:rPr>
      </w:pPr>
      <w:r w:rsidRPr="00FF1EF3">
        <w:br w:type="page"/>
      </w:r>
    </w:p>
    <w:p w:rsidRPr="00FF1EF3" w:rsidR="002E01B5" w:rsidP="0018231C" w:rsidRDefault="004D7AC0" w14:paraId="6C52985F" w14:textId="77777777">
      <w:pPr>
        <w:pStyle w:val="Heading1"/>
        <w:keepNext/>
        <w:rPr>
          <w:b/>
        </w:rPr>
      </w:pPr>
      <w:bookmarkStart w:name="_Toc70322234" w:id="14"/>
      <w:bookmarkStart w:name="_Toc75527084" w:id="15"/>
      <w:bookmarkStart w:name="_Toc110414441" w:id="16"/>
      <w:r w:rsidRPr="00FF1EF3">
        <w:rPr>
          <w:b/>
        </w:rPr>
        <w:t>AGRICOLTURA, SVILUPPO RURALE, AMBIENTE</w:t>
      </w:r>
      <w:bookmarkEnd w:id="14"/>
      <w:bookmarkEnd w:id="15"/>
      <w:bookmarkEnd w:id="16"/>
    </w:p>
    <w:p w:rsidRPr="00FF1EF3" w:rsidR="009173E7" w:rsidP="1EBA916B" w:rsidRDefault="009173E7" w14:paraId="37AC66EE" w14:textId="77777777">
      <w:pPr>
        <w:keepNext/>
      </w:pPr>
    </w:p>
    <w:p w:rsidRPr="00FF1EF3" w:rsidR="00AC7690" w:rsidP="0018231C" w:rsidRDefault="000956DB" w14:paraId="6BF57A05" w14:textId="6349D851">
      <w:pPr>
        <w:pStyle w:val="ListParagraph"/>
        <w:keepNext/>
        <w:numPr>
          <w:ilvl w:val="0"/>
          <w:numId w:val="2"/>
        </w:numPr>
        <w:ind w:left="567" w:hanging="567"/>
        <w:rPr>
          <w:b/>
          <w:i/>
          <w:sz w:val="28"/>
          <w:szCs w:val="28"/>
        </w:rPr>
      </w:pPr>
      <w:r w:rsidRPr="00FF1EF3">
        <w:rPr>
          <w:b/>
          <w:i/>
          <w:sz w:val="28"/>
        </w:rPr>
        <w:t>Revisione dei sistemi di indicazione geografica (IG) dell'UE</w:t>
      </w:r>
    </w:p>
    <w:p w:rsidRPr="00FF1EF3" w:rsidR="004D7AC0" w:rsidP="0018231C" w:rsidRDefault="004D7AC0" w14:paraId="43570F8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FF1EF3" w:rsidR="004D7AC0" w:rsidTr="00662436" w14:paraId="32C9FAF0" w14:textId="77777777">
        <w:tc>
          <w:tcPr>
            <w:tcW w:w="1701" w:type="dxa"/>
          </w:tcPr>
          <w:p w:rsidRPr="00FF1EF3" w:rsidR="004D7AC0" w:rsidP="0018231C" w:rsidRDefault="00FF1EF3" w14:paraId="7DFC3FE7" w14:textId="454AB12B">
            <w:pPr>
              <w:pStyle w:val="ListParagraph"/>
              <w:keepNext/>
              <w:ind w:left="0"/>
              <w:rPr>
                <w:b/>
              </w:rPr>
            </w:pPr>
            <w:r w:rsidRPr="00FF1EF3">
              <w:rPr>
                <w:b/>
              </w:rPr>
              <w:t>Relatore</w:t>
            </w:r>
          </w:p>
        </w:tc>
        <w:tc>
          <w:tcPr>
            <w:tcW w:w="5387" w:type="dxa"/>
          </w:tcPr>
          <w:p w:rsidRPr="00FF1EF3" w:rsidR="004D7AC0" w:rsidP="001C4EDC" w:rsidRDefault="00E54548" w14:paraId="512C7D26" w14:textId="77777777">
            <w:pPr>
              <w:pStyle w:val="ListParagraph"/>
              <w:keepNext/>
              <w:ind w:left="-106"/>
            </w:pPr>
            <w:r w:rsidRPr="00FF1EF3">
              <w:t>Decebal-Ștefăniță PADURE (Datori di lavoro - RO)</w:t>
            </w:r>
          </w:p>
        </w:tc>
      </w:tr>
      <w:tr w:rsidRPr="00FF1EF3" w:rsidR="004D7AC0" w:rsidTr="00662436" w14:paraId="10493BDC" w14:textId="77777777">
        <w:tc>
          <w:tcPr>
            <w:tcW w:w="1701" w:type="dxa"/>
          </w:tcPr>
          <w:p w:rsidRPr="00FF1EF3" w:rsidR="004D7AC0" w:rsidP="0018231C" w:rsidRDefault="004D7AC0" w14:paraId="09ACA4C1" w14:textId="77777777">
            <w:pPr>
              <w:pStyle w:val="ListParagraph"/>
              <w:keepNext/>
              <w:ind w:left="0"/>
              <w:rPr>
                <w:b/>
              </w:rPr>
            </w:pPr>
          </w:p>
        </w:tc>
        <w:tc>
          <w:tcPr>
            <w:tcW w:w="5387" w:type="dxa"/>
          </w:tcPr>
          <w:p w:rsidRPr="00FF1EF3" w:rsidR="004D7AC0" w:rsidP="001C4EDC" w:rsidRDefault="004D7AC0" w14:paraId="3F39323E" w14:textId="77777777">
            <w:pPr>
              <w:pStyle w:val="ListParagraph"/>
              <w:keepNext/>
              <w:ind w:left="-106"/>
            </w:pPr>
          </w:p>
        </w:tc>
      </w:tr>
      <w:tr w:rsidRPr="00FF1EF3" w:rsidR="004D7AC0" w:rsidTr="00662436" w14:paraId="37A4E77C" w14:textId="77777777">
        <w:tc>
          <w:tcPr>
            <w:tcW w:w="1701" w:type="dxa"/>
          </w:tcPr>
          <w:p w:rsidRPr="00FF1EF3" w:rsidR="004D7AC0" w:rsidP="0018231C" w:rsidRDefault="004D7AC0" w14:paraId="648A1766" w14:textId="77777777">
            <w:pPr>
              <w:pStyle w:val="ListParagraph"/>
              <w:keepNext/>
              <w:ind w:left="0"/>
              <w:rPr>
                <w:b/>
              </w:rPr>
            </w:pPr>
            <w:r w:rsidRPr="00FF1EF3">
              <w:rPr>
                <w:b/>
              </w:rPr>
              <w:t xml:space="preserve">Riferimenti </w:t>
            </w:r>
          </w:p>
        </w:tc>
        <w:tc>
          <w:tcPr>
            <w:tcW w:w="5387" w:type="dxa"/>
          </w:tcPr>
          <w:p w:rsidRPr="00FF1EF3" w:rsidR="00814E33" w:rsidP="001C4EDC" w:rsidRDefault="001455A1" w14:paraId="20B091E7" w14:textId="7F25AFCE">
            <w:pPr>
              <w:pStyle w:val="ListParagraph"/>
              <w:keepNext/>
              <w:ind w:left="-106"/>
              <w:rPr>
                <w:iCs/>
                <w:color w:val="000000"/>
              </w:rPr>
            </w:pPr>
            <w:r w:rsidRPr="00FF1EF3">
              <w:rPr>
                <w:color w:val="000000"/>
              </w:rPr>
              <w:t>COM(2021) 134 final</w:t>
            </w:r>
          </w:p>
          <w:p w:rsidRPr="00FF1EF3" w:rsidR="004D7AC0" w:rsidP="001C4EDC" w:rsidRDefault="004331B4" w14:paraId="30DA0956" w14:textId="77777777">
            <w:pPr>
              <w:pStyle w:val="ListParagraph"/>
              <w:keepNext/>
              <w:ind w:left="-106"/>
            </w:pPr>
            <w:r w:rsidRPr="00FF1EF3">
              <w:t>EESC-2021-06620-00-00-AC</w:t>
            </w:r>
          </w:p>
        </w:tc>
      </w:tr>
    </w:tbl>
    <w:p w:rsidRPr="00FF1EF3" w:rsidR="004D7AC0" w:rsidP="002C4B6E" w:rsidRDefault="004D7AC0" w14:paraId="4C513F36" w14:textId="77777777">
      <w:pPr>
        <w:pStyle w:val="ListParagraph"/>
        <w:spacing w:line="240" w:lineRule="auto"/>
        <w:ind w:left="-142" w:firstLine="142"/>
        <w:rPr>
          <w:b/>
        </w:rPr>
      </w:pPr>
    </w:p>
    <w:p w:rsidRPr="00FF1EF3" w:rsidR="004D7AC0" w:rsidP="002C4B6E" w:rsidRDefault="004D7AC0" w14:paraId="63F2D92D" w14:textId="09C76463">
      <w:pPr>
        <w:pStyle w:val="ListParagraph"/>
        <w:spacing w:line="240" w:lineRule="auto"/>
        <w:ind w:left="-142" w:firstLine="142"/>
        <w:rPr>
          <w:b/>
        </w:rPr>
      </w:pPr>
      <w:r w:rsidRPr="00FF1EF3">
        <w:rPr>
          <w:b/>
        </w:rPr>
        <w:t>Punti principali</w:t>
      </w:r>
    </w:p>
    <w:p w:rsidRPr="00FF1EF3" w:rsidR="001513FD" w:rsidP="0018231C" w:rsidRDefault="001513FD" w14:paraId="76827606" w14:textId="77777777">
      <w:pPr>
        <w:pStyle w:val="ListParagraph"/>
        <w:keepNext/>
        <w:ind w:left="0"/>
      </w:pPr>
    </w:p>
    <w:p w:rsidRPr="00FF1EF3" w:rsidR="00E54548" w:rsidP="0018231C" w:rsidRDefault="00E54548" w14:paraId="05F6CCDA" w14:textId="77777777">
      <w:pPr>
        <w:pStyle w:val="ListParagraph"/>
        <w:keepNext/>
        <w:ind w:left="0"/>
      </w:pPr>
      <w:r w:rsidRPr="00FF1EF3">
        <w:t>Il CESE:</w:t>
      </w:r>
    </w:p>
    <w:p w:rsidRPr="00FF1EF3" w:rsidR="00E54548" w:rsidP="0018231C" w:rsidRDefault="00E54548" w14:paraId="681D86A8" w14:textId="77777777">
      <w:pPr>
        <w:pStyle w:val="ListParagraph"/>
        <w:keepNext/>
        <w:ind w:left="0"/>
      </w:pPr>
    </w:p>
    <w:p w:rsidRPr="00FF1EF3" w:rsidR="00BE6D5A" w:rsidP="00BE6D5A" w:rsidRDefault="00E54548" w14:paraId="4FC3D577" w14:textId="77777777">
      <w:pPr>
        <w:numPr>
          <w:ilvl w:val="0"/>
          <w:numId w:val="3"/>
        </w:numPr>
        <w:ind w:left="357" w:hanging="357"/>
        <w:contextualSpacing/>
      </w:pPr>
      <w:r w:rsidRPr="00FF1EF3">
        <w:t>accoglie con favore l'iniziativa della Commissione di presentare una proposta di nuovo regolamento che rafforzi l'attuale sistema delle indicazioni geografiche (IG) di prodotti agricoli, bevande spiritose e vini. Il contributo delle IG allo sviluppo delle zone rurali e alla conservazione delle loro comunità, del loro paesaggio e del loro patrimonio culturale è essenziale e merita il sistema migliore e più efficiente possibile. Questo lavoro legato a zone geografiche specifiche, al loro know-how, al loro suolo e alla cultura veniva fatto ben prima che si provvedesse a dotarlo di una base giuridica dell'UE. È essenziale preservare questo sistema e proteggerlo il più possibile;</w:t>
      </w:r>
    </w:p>
    <w:p w:rsidRPr="00FF1EF3" w:rsidR="008608BA" w:rsidP="008608BA" w:rsidRDefault="00E54548" w14:paraId="26E1086E" w14:textId="77777777">
      <w:pPr>
        <w:numPr>
          <w:ilvl w:val="0"/>
          <w:numId w:val="3"/>
        </w:numPr>
        <w:ind w:left="357" w:hanging="357"/>
        <w:contextualSpacing/>
      </w:pPr>
      <w:r w:rsidRPr="00FF1EF3">
        <w:t>ritiene che le IG costituiscano un sistema molto particolare, che va ben oltre un diritto di proprietà intellettuale e che non dovrebbe essere gestito come un marchio. Per questo motivo, il CESE invita le istituzioni dell'UE a valutare attentamente la necessità e il valore aggiunto di trasferire la delega dei compiti di gestione delle IG dalla DG AGRI a un'agenzia esterna. Sarebbe inoltre importante valutare se l'agenzia designata possieda le competenze e le conoscenze necessarie per gestire in modo efficiente i compiti che le verrebbero delegati. La DG AGRI dovrebbe rimanere il principale soggetto responsabile della gestione delle IG;</w:t>
      </w:r>
    </w:p>
    <w:p w:rsidRPr="00FF1EF3" w:rsidR="001513FD" w:rsidP="001513FD" w:rsidRDefault="00E54548" w14:paraId="220D2167" w14:textId="77777777">
      <w:pPr>
        <w:numPr>
          <w:ilvl w:val="0"/>
          <w:numId w:val="3"/>
        </w:numPr>
        <w:ind w:left="357" w:hanging="357"/>
        <w:contextualSpacing/>
      </w:pPr>
      <w:r w:rsidRPr="00FF1EF3">
        <w:t>ritiene che qualsiasi delega di competenze debba essere rigorosamente dettagliata nel corpo del regolamento e limitata ai compiti amministrativi. Qualsiasi decisione relativa alla domanda, a modifiche, all'annullamento o all'opposizione riguardo a una IG dovrebbe rimanere di stretta competenza della DG AGRI;</w:t>
      </w:r>
    </w:p>
    <w:p w:rsidRPr="00FF1EF3" w:rsidR="00071F4C" w:rsidP="004331B4" w:rsidRDefault="00E54548" w14:paraId="6CC74428" w14:textId="77777777">
      <w:pPr>
        <w:numPr>
          <w:ilvl w:val="0"/>
          <w:numId w:val="3"/>
        </w:numPr>
        <w:ind w:left="357" w:hanging="357"/>
        <w:contextualSpacing/>
      </w:pPr>
      <w:r w:rsidRPr="00FF1EF3">
        <w:t>invita i colegislatori a includere nel regolamento misure volte a promuovere il sistema delle IG tra i produttori, in particolare nelle regioni sottorappresentate nel sistema delle IG.</w:t>
      </w:r>
    </w:p>
    <w:p w:rsidRPr="00FF1EF3" w:rsidR="00CA685D" w:rsidP="00E54548" w:rsidRDefault="00CA685D" w14:paraId="338EA745" w14:textId="77777777">
      <w:pPr>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4331B4" w:rsidTr="00BC41D9" w14:paraId="587E7E08" w14:textId="77777777">
        <w:tc>
          <w:tcPr>
            <w:tcW w:w="1418" w:type="dxa"/>
          </w:tcPr>
          <w:p w:rsidRPr="00FF1EF3" w:rsidR="004331B4" w:rsidP="00BC41D9" w:rsidRDefault="004331B4" w14:paraId="02B3DBE9" w14:textId="77777777">
            <w:pPr>
              <w:pStyle w:val="ListParagraph"/>
              <w:ind w:left="0"/>
              <w:rPr>
                <w:i/>
              </w:rPr>
            </w:pPr>
            <w:r w:rsidRPr="00FF1EF3">
              <w:rPr>
                <w:b/>
                <w:i/>
              </w:rPr>
              <w:t>Contatto</w:t>
            </w:r>
          </w:p>
        </w:tc>
        <w:tc>
          <w:tcPr>
            <w:tcW w:w="5670" w:type="dxa"/>
          </w:tcPr>
          <w:p w:rsidRPr="00FF1EF3" w:rsidR="004331B4" w:rsidP="00BC41D9" w:rsidRDefault="00E54548" w14:paraId="490824F4" w14:textId="77777777">
            <w:pPr>
              <w:pStyle w:val="ListParagraph"/>
              <w:ind w:left="0"/>
              <w:rPr>
                <w:i/>
              </w:rPr>
            </w:pPr>
            <w:r w:rsidRPr="00FF1EF3">
              <w:rPr>
                <w:i/>
              </w:rPr>
              <w:t>Arturo ÍÑIGUEZ</w:t>
            </w:r>
          </w:p>
        </w:tc>
      </w:tr>
      <w:tr w:rsidRPr="00FF1EF3" w:rsidR="004331B4" w:rsidTr="00BC41D9" w14:paraId="117DE739" w14:textId="77777777">
        <w:tc>
          <w:tcPr>
            <w:tcW w:w="1418" w:type="dxa"/>
          </w:tcPr>
          <w:p w:rsidRPr="00FF1EF3" w:rsidR="004331B4" w:rsidP="00BC41D9" w:rsidRDefault="004331B4" w14:paraId="07B5DE23" w14:textId="77777777">
            <w:pPr>
              <w:pStyle w:val="ListParagraph"/>
              <w:ind w:left="601"/>
              <w:rPr>
                <w:i/>
              </w:rPr>
            </w:pPr>
            <w:r w:rsidRPr="00FF1EF3">
              <w:rPr>
                <w:i/>
              </w:rPr>
              <w:t>Tel.</w:t>
            </w:r>
          </w:p>
        </w:tc>
        <w:tc>
          <w:tcPr>
            <w:tcW w:w="5670" w:type="dxa"/>
          </w:tcPr>
          <w:p w:rsidRPr="00FF1EF3" w:rsidR="004331B4" w:rsidP="00BC41D9" w:rsidRDefault="00E54548" w14:paraId="6717A766" w14:textId="77777777">
            <w:pPr>
              <w:pStyle w:val="ListParagraph"/>
              <w:ind w:left="0"/>
              <w:rPr>
                <w:i/>
              </w:rPr>
            </w:pPr>
            <w:r w:rsidRPr="00FF1EF3">
              <w:rPr>
                <w:i/>
              </w:rPr>
              <w:t>00 32 2 546 87 68</w:t>
            </w:r>
          </w:p>
        </w:tc>
      </w:tr>
      <w:tr w:rsidRPr="00FF1EF3" w:rsidR="004331B4" w:rsidTr="00BC41D9" w14:paraId="6D5CE45F" w14:textId="77777777">
        <w:tc>
          <w:tcPr>
            <w:tcW w:w="1418" w:type="dxa"/>
          </w:tcPr>
          <w:p w:rsidRPr="00FF1EF3" w:rsidR="004331B4" w:rsidP="00BC41D9" w:rsidRDefault="00FF1EF3" w14:paraId="261C3027" w14:textId="778F73AD">
            <w:pPr>
              <w:pStyle w:val="ListParagraph"/>
              <w:ind w:left="601"/>
              <w:rPr>
                <w:i/>
              </w:rPr>
            </w:pPr>
            <w:r w:rsidRPr="00FF1EF3">
              <w:rPr>
                <w:i/>
              </w:rPr>
              <w:t>E</w:t>
            </w:r>
            <w:r w:rsidRPr="00FF1EF3" w:rsidR="004331B4">
              <w:rPr>
                <w:i/>
              </w:rPr>
              <w:t>-mail</w:t>
            </w:r>
          </w:p>
        </w:tc>
        <w:tc>
          <w:tcPr>
            <w:tcW w:w="5670" w:type="dxa"/>
          </w:tcPr>
          <w:p w:rsidRPr="00FF1EF3" w:rsidR="00CA685D" w:rsidP="00BC41D9" w:rsidRDefault="004F624E" w14:paraId="227015B9" w14:textId="77777777">
            <w:pPr>
              <w:pStyle w:val="ListParagraph"/>
              <w:ind w:left="0"/>
              <w:rPr>
                <w:i/>
              </w:rPr>
            </w:pPr>
            <w:hyperlink w:history="1" r:id="rId35">
              <w:r w:rsidRPr="00FF1EF3" w:rsidR="00462EFB">
                <w:rPr>
                  <w:rStyle w:val="Hyperlink"/>
                  <w:i/>
                </w:rPr>
                <w:t>Arturo.Iniguez@eesc.europa.eu</w:t>
              </w:r>
            </w:hyperlink>
          </w:p>
          <w:p w:rsidRPr="00FF1EF3" w:rsidR="00CA685D" w:rsidP="00BC41D9" w:rsidRDefault="00CA685D" w14:paraId="40FE0D9C" w14:textId="77777777">
            <w:pPr>
              <w:pStyle w:val="ListParagraph"/>
              <w:ind w:left="0"/>
              <w:rPr>
                <w:i/>
              </w:rPr>
            </w:pPr>
          </w:p>
        </w:tc>
      </w:tr>
    </w:tbl>
    <w:p w:rsidRPr="00FF1EF3" w:rsidR="000956DB" w:rsidP="0018231C" w:rsidRDefault="000956DB" w14:paraId="1FB21463" w14:textId="56EA1091">
      <w:pPr>
        <w:spacing w:after="160" w:line="240" w:lineRule="auto"/>
        <w:jc w:val="left"/>
        <w:rPr>
          <w:sz w:val="28"/>
          <w:szCs w:val="28"/>
        </w:rPr>
      </w:pPr>
    </w:p>
    <w:p w:rsidRPr="00FF1EF3" w:rsidR="000956DB" w:rsidRDefault="000956DB" w14:paraId="6C8A5ED1" w14:textId="77777777">
      <w:pPr>
        <w:spacing w:after="160" w:line="259" w:lineRule="auto"/>
        <w:jc w:val="left"/>
        <w:rPr>
          <w:sz w:val="28"/>
          <w:szCs w:val="28"/>
        </w:rPr>
      </w:pPr>
      <w:r w:rsidRPr="00FF1EF3">
        <w:br w:type="page"/>
      </w:r>
    </w:p>
    <w:p w:rsidRPr="00FF1EF3" w:rsidR="00E54548" w:rsidP="00E54548" w:rsidRDefault="00E54548" w14:paraId="0DC4E7D2" w14:textId="77777777">
      <w:pPr>
        <w:pStyle w:val="ListParagraph"/>
        <w:numPr>
          <w:ilvl w:val="0"/>
          <w:numId w:val="2"/>
        </w:numPr>
        <w:ind w:left="567" w:hanging="567"/>
        <w:rPr>
          <w:b/>
          <w:i/>
          <w:sz w:val="28"/>
          <w:szCs w:val="28"/>
        </w:rPr>
      </w:pPr>
      <w:r w:rsidRPr="00FF1EF3">
        <w:rPr>
          <w:b/>
          <w:i/>
          <w:sz w:val="28"/>
        </w:rPr>
        <w:t>Iniziativa sui prodotti sostenibili, compresa la direttiva sulla progettazione ecocompatibile</w:t>
      </w:r>
    </w:p>
    <w:p w:rsidRPr="00FF1EF3" w:rsidR="00E54548" w:rsidP="00E54548" w:rsidRDefault="00E54548" w14:paraId="55FE0C33"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FF1EF3" w:rsidR="00E54548" w:rsidTr="008B66DD" w14:paraId="2870A0D7" w14:textId="77777777">
        <w:tc>
          <w:tcPr>
            <w:tcW w:w="1701" w:type="dxa"/>
          </w:tcPr>
          <w:p w:rsidRPr="00FF1EF3" w:rsidR="00E54548" w:rsidP="008B66DD" w:rsidRDefault="00FF1EF3" w14:paraId="0E26E11D" w14:textId="747A8E6B">
            <w:pPr>
              <w:pStyle w:val="ListParagraph"/>
              <w:ind w:left="0"/>
              <w:rPr>
                <w:b/>
              </w:rPr>
            </w:pPr>
            <w:r w:rsidRPr="00FF1EF3">
              <w:rPr>
                <w:b/>
              </w:rPr>
              <w:t>Relatore</w:t>
            </w:r>
          </w:p>
        </w:tc>
        <w:tc>
          <w:tcPr>
            <w:tcW w:w="6096" w:type="dxa"/>
          </w:tcPr>
          <w:p w:rsidRPr="00FF1EF3" w:rsidR="00E54548" w:rsidP="003D3253" w:rsidRDefault="00E54548" w14:paraId="0496CE2F" w14:textId="7D614C0B">
            <w:pPr>
              <w:pStyle w:val="ListParagraph"/>
              <w:ind w:left="-108"/>
            </w:pPr>
            <w:r w:rsidRPr="00FF1EF3">
              <w:t xml:space="preserve"> Thomas WAGNSONNER (Lavoratori </w:t>
            </w:r>
            <w:r w:rsidRPr="00FF1EF3" w:rsidR="003D3253">
              <w:t>-</w:t>
            </w:r>
            <w:r w:rsidRPr="00FF1EF3">
              <w:t xml:space="preserve"> AT)</w:t>
            </w:r>
          </w:p>
        </w:tc>
      </w:tr>
      <w:tr w:rsidRPr="00FF1EF3" w:rsidR="00E54548" w:rsidTr="008B66DD" w14:paraId="6F341EA6" w14:textId="77777777">
        <w:tc>
          <w:tcPr>
            <w:tcW w:w="7797" w:type="dxa"/>
            <w:gridSpan w:val="2"/>
          </w:tcPr>
          <w:p w:rsidRPr="00FF1EF3" w:rsidR="00E54548" w:rsidP="008B66DD" w:rsidRDefault="00E54548" w14:paraId="03D721B0" w14:textId="77777777">
            <w:pPr>
              <w:pStyle w:val="ListParagraph"/>
              <w:ind w:left="0"/>
              <w:rPr>
                <w:lang w:val="fr-BE"/>
              </w:rPr>
            </w:pPr>
          </w:p>
        </w:tc>
      </w:tr>
      <w:tr w:rsidRPr="00FF1EF3" w:rsidR="00E54548" w:rsidTr="008B66DD" w14:paraId="7A103358" w14:textId="77777777">
        <w:tc>
          <w:tcPr>
            <w:tcW w:w="1701" w:type="dxa"/>
          </w:tcPr>
          <w:p w:rsidRPr="00FF1EF3" w:rsidR="00E54548" w:rsidP="008B66DD" w:rsidRDefault="00E54548" w14:paraId="3D88AB9C" w14:textId="77777777">
            <w:pPr>
              <w:pStyle w:val="ListParagraph"/>
              <w:ind w:left="0"/>
              <w:rPr>
                <w:b/>
              </w:rPr>
            </w:pPr>
            <w:r w:rsidRPr="00FF1EF3">
              <w:rPr>
                <w:b/>
              </w:rPr>
              <w:t xml:space="preserve">Riferimenti </w:t>
            </w:r>
          </w:p>
        </w:tc>
        <w:tc>
          <w:tcPr>
            <w:tcW w:w="6096" w:type="dxa"/>
          </w:tcPr>
          <w:p w:rsidRPr="00FF1EF3" w:rsidR="00E54548" w:rsidP="008B66DD" w:rsidRDefault="00E54548" w14:paraId="3F2C4954" w14:textId="143C0E82">
            <w:pPr>
              <w:tabs>
                <w:tab w:val="center" w:pos="284"/>
              </w:tabs>
              <w:ind w:left="266" w:hanging="374"/>
            </w:pPr>
            <w:r w:rsidRPr="00FF1EF3">
              <w:t xml:space="preserve">COM(2022) 140 </w:t>
            </w:r>
            <w:r w:rsidRPr="00FF1EF3" w:rsidR="003D3253">
              <w:t>-</w:t>
            </w:r>
            <w:r w:rsidRPr="00FF1EF3">
              <w:t xml:space="preserve"> 142 final</w:t>
            </w:r>
          </w:p>
          <w:p w:rsidRPr="00FF1EF3" w:rsidR="00E54548" w:rsidP="008B66DD" w:rsidRDefault="00E54548" w14:paraId="2105E433" w14:textId="77777777">
            <w:pPr>
              <w:pStyle w:val="ListParagraph"/>
              <w:ind w:left="-108"/>
            </w:pPr>
            <w:r w:rsidRPr="00FF1EF3">
              <w:t>EESC-2022-00598-00-00-AC</w:t>
            </w:r>
          </w:p>
        </w:tc>
      </w:tr>
    </w:tbl>
    <w:p w:rsidRPr="00FF1EF3" w:rsidR="00E54548" w:rsidP="00E54548" w:rsidRDefault="00E54548" w14:paraId="5A8EA75C" w14:textId="77777777">
      <w:pPr>
        <w:pStyle w:val="ListParagraph"/>
        <w:ind w:left="0"/>
        <w:rPr>
          <w:b/>
        </w:rPr>
      </w:pPr>
    </w:p>
    <w:p w:rsidRPr="00FF1EF3" w:rsidR="00E54548" w:rsidP="00E54548" w:rsidRDefault="00E54548" w14:paraId="2DB75FF2" w14:textId="535F1F3A">
      <w:pPr>
        <w:pStyle w:val="ListParagraph"/>
        <w:spacing w:line="240" w:lineRule="auto"/>
        <w:ind w:left="-142" w:firstLine="142"/>
        <w:rPr>
          <w:b/>
        </w:rPr>
      </w:pPr>
      <w:r w:rsidRPr="00FF1EF3">
        <w:rPr>
          <w:b/>
        </w:rPr>
        <w:t>Punti principali</w:t>
      </w:r>
    </w:p>
    <w:p w:rsidRPr="00FF1EF3" w:rsidR="00E54548" w:rsidP="00E54548" w:rsidRDefault="00E54548" w14:paraId="6EE8937D" w14:textId="77777777">
      <w:pPr>
        <w:pStyle w:val="ListParagraph"/>
        <w:ind w:left="0"/>
        <w:rPr>
          <w:lang w:val="fr-FR"/>
        </w:rPr>
      </w:pPr>
    </w:p>
    <w:p w:rsidRPr="00FF1EF3" w:rsidR="00E54548" w:rsidP="00E54548" w:rsidRDefault="00E54548" w14:paraId="6B6F14AC" w14:textId="77777777">
      <w:pPr>
        <w:pStyle w:val="ListParagraph"/>
        <w:ind w:left="0"/>
      </w:pPr>
      <w:r w:rsidRPr="00FF1EF3">
        <w:t>Il CESE:</w:t>
      </w:r>
    </w:p>
    <w:p w:rsidRPr="00FF1EF3" w:rsidR="00E54548" w:rsidP="00E54548" w:rsidRDefault="00E54548" w14:paraId="1F790AD7" w14:textId="77777777">
      <w:pPr>
        <w:pStyle w:val="ListParagraph"/>
        <w:ind w:left="0"/>
        <w:rPr>
          <w:lang w:val="fr-FR"/>
        </w:rPr>
      </w:pPr>
    </w:p>
    <w:p w:rsidRPr="00FF1EF3" w:rsidR="00E54548" w:rsidP="00E54548" w:rsidRDefault="00C44A5C" w14:paraId="01A1936E" w14:textId="77777777">
      <w:pPr>
        <w:numPr>
          <w:ilvl w:val="0"/>
          <w:numId w:val="3"/>
        </w:numPr>
        <w:overflowPunct w:val="0"/>
        <w:autoSpaceDE w:val="0"/>
        <w:autoSpaceDN w:val="0"/>
        <w:adjustRightInd w:val="0"/>
        <w:ind w:left="357" w:hanging="357"/>
        <w:textAlignment w:val="baseline"/>
        <w:rPr>
          <w:bCs/>
          <w:iCs/>
        </w:rPr>
      </w:pPr>
      <w:r w:rsidRPr="00FF1EF3">
        <w:t xml:space="preserve">accoglie con favore le proposte armonizzate del piano d'azione per l'economia circolare e con il presente parere, in particolare, </w:t>
      </w:r>
      <w:r w:rsidRPr="00FF1EF3">
        <w:rPr>
          <w:b/>
        </w:rPr>
        <w:t>sostiene il percorso intrapreso per rendere i prodotti più sostenibili</w:t>
      </w:r>
      <w:r w:rsidRPr="00FF1EF3">
        <w:t>; nel contempo, sottolinea che la proposta riguardante il nuovo regolamento sulla progettazione ecocompatibile è ancora largamente indefinita a causa dell'elevato numero di atti delegati;</w:t>
      </w:r>
    </w:p>
    <w:p w:rsidRPr="00FF1EF3" w:rsidR="00E54548" w:rsidP="00E54548" w:rsidRDefault="00C44A5C" w14:paraId="2EA194B7" w14:textId="77777777">
      <w:pPr>
        <w:numPr>
          <w:ilvl w:val="0"/>
          <w:numId w:val="3"/>
        </w:numPr>
        <w:overflowPunct w:val="0"/>
        <w:autoSpaceDE w:val="0"/>
        <w:autoSpaceDN w:val="0"/>
        <w:adjustRightInd w:val="0"/>
        <w:ind w:left="357" w:hanging="357"/>
        <w:textAlignment w:val="baseline"/>
      </w:pPr>
      <w:r w:rsidRPr="00FF1EF3">
        <w:t xml:space="preserve">propone </w:t>
      </w:r>
      <w:r w:rsidRPr="00FF1EF3">
        <w:rPr>
          <w:b/>
        </w:rPr>
        <w:t>un'attuazione più rapida e ambiziosa</w:t>
      </w:r>
      <w:r w:rsidRPr="00FF1EF3">
        <w:t>, tuttavia sottolinea in particolare che il percorso di economia circolare può essere coronato dal successo soltanto se tutti gli operatori economici – produttori, consumatori, lavoratori – e le autorità sono adeguatamente coinvolti e informati;</w:t>
      </w:r>
    </w:p>
    <w:p w:rsidRPr="00FF1EF3" w:rsidR="00E54548" w:rsidP="00E54548" w:rsidRDefault="00C44A5C" w14:paraId="07D2FB57" w14:textId="55C5AE30">
      <w:pPr>
        <w:numPr>
          <w:ilvl w:val="0"/>
          <w:numId w:val="3"/>
        </w:numPr>
        <w:overflowPunct w:val="0"/>
        <w:autoSpaceDE w:val="0"/>
        <w:autoSpaceDN w:val="0"/>
        <w:adjustRightInd w:val="0"/>
        <w:ind w:left="357" w:hanging="357"/>
        <w:textAlignment w:val="baseline"/>
      </w:pPr>
      <w:r w:rsidRPr="00FF1EF3">
        <w:t xml:space="preserve">accoglie con favore i nuovi elementi del regolamento quali </w:t>
      </w:r>
      <w:r w:rsidRPr="00FF1EF3">
        <w:rPr>
          <w:b/>
        </w:rPr>
        <w:t>l'estensione dell'ambito di applicazione</w:t>
      </w:r>
      <w:r w:rsidRPr="00FF1EF3">
        <w:t xml:space="preserve">, i nuovi requisiti di progettazione ecocompatibile (durabilità, riparabilità, riciclaggio, impatto ambientale, emissioni di </w:t>
      </w:r>
      <w:r w:rsidRPr="00FF1EF3" w:rsidR="00FF1EF3">
        <w:t>CO</w:t>
      </w:r>
      <w:r w:rsidRPr="00FF1EF3" w:rsidR="00FF1EF3">
        <w:rPr>
          <w:vertAlign w:val="subscript"/>
        </w:rPr>
        <w:t>2</w:t>
      </w:r>
      <w:r w:rsidRPr="00FF1EF3">
        <w:t xml:space="preserve">, ecc.) nonché gli </w:t>
      </w:r>
      <w:r w:rsidRPr="00FF1EF3">
        <w:rPr>
          <w:b/>
        </w:rPr>
        <w:t>obblighi di informazione mediante il passaporto digitale dei prodotti e le etichette</w:t>
      </w:r>
      <w:r w:rsidRPr="00FF1EF3">
        <w:t>, sottolineando l'importanza di un'informazione corretta e adeguata, soprattutto per i consumatori;</w:t>
      </w:r>
    </w:p>
    <w:p w:rsidRPr="00FF1EF3" w:rsidR="00E54548" w:rsidP="00E54548" w:rsidRDefault="00C44A5C" w14:paraId="4400E2D4" w14:textId="77777777">
      <w:pPr>
        <w:numPr>
          <w:ilvl w:val="0"/>
          <w:numId w:val="3"/>
        </w:numPr>
        <w:overflowPunct w:val="0"/>
        <w:autoSpaceDE w:val="0"/>
        <w:autoSpaceDN w:val="0"/>
        <w:adjustRightInd w:val="0"/>
        <w:ind w:left="357" w:hanging="357"/>
        <w:textAlignment w:val="baseline"/>
      </w:pPr>
      <w:r w:rsidRPr="00FF1EF3">
        <w:rPr>
          <w:b/>
        </w:rPr>
        <w:t>sostiene il divieto di distruggere le merci invendute</w:t>
      </w:r>
      <w:r w:rsidRPr="00FF1EF3">
        <w:t>, intese come merci nuove, restituite o riparabili; si compiace inoltre del fatto che il regolamento, unitamente al pacchetto sull'economia circolare, affronti problemi quali il greenwashing o l'obsolescenza;</w:t>
      </w:r>
    </w:p>
    <w:p w:rsidRPr="00FF1EF3" w:rsidR="00E54548" w:rsidP="00E54548" w:rsidRDefault="00C44A5C" w14:paraId="710AB345" w14:textId="77777777">
      <w:pPr>
        <w:numPr>
          <w:ilvl w:val="0"/>
          <w:numId w:val="3"/>
        </w:numPr>
        <w:overflowPunct w:val="0"/>
        <w:autoSpaceDE w:val="0"/>
        <w:autoSpaceDN w:val="0"/>
        <w:adjustRightInd w:val="0"/>
        <w:ind w:left="357" w:hanging="357"/>
        <w:textAlignment w:val="baseline"/>
      </w:pPr>
      <w:r w:rsidRPr="00FF1EF3">
        <w:t xml:space="preserve">promuove il </w:t>
      </w:r>
      <w:r w:rsidRPr="00FF1EF3">
        <w:rPr>
          <w:b/>
        </w:rPr>
        <w:t>forum</w:t>
      </w:r>
      <w:r w:rsidRPr="00FF1EF3">
        <w:t xml:space="preserve"> </w:t>
      </w:r>
      <w:r w:rsidRPr="00FF1EF3">
        <w:rPr>
          <w:b/>
        </w:rPr>
        <w:t>sulla progettazione ecocompatibile</w:t>
      </w:r>
      <w:r w:rsidRPr="00FF1EF3">
        <w:t>, un organismo di supporto dotato di numerose competenze per l'attuazione. Tutti i portatori di interessi e i rappresentanti della società civile, comprese le parti sociali, dovrebbero avere l'opportunità di contribuire con idee e suggerimenti per migliorare il processo;</w:t>
      </w:r>
    </w:p>
    <w:p w:rsidRPr="00FF1EF3" w:rsidR="00E54548" w:rsidP="00E54548" w:rsidRDefault="00C44A5C" w14:paraId="428C54E7" w14:textId="77777777">
      <w:pPr>
        <w:numPr>
          <w:ilvl w:val="0"/>
          <w:numId w:val="3"/>
        </w:numPr>
        <w:overflowPunct w:val="0"/>
        <w:autoSpaceDE w:val="0"/>
        <w:autoSpaceDN w:val="0"/>
        <w:adjustRightInd w:val="0"/>
        <w:ind w:left="357" w:hanging="357"/>
        <w:textAlignment w:val="baseline"/>
      </w:pPr>
      <w:r w:rsidRPr="00FF1EF3">
        <w:t xml:space="preserve">prende atto delle </w:t>
      </w:r>
      <w:r w:rsidRPr="00FF1EF3">
        <w:rPr>
          <w:b/>
        </w:rPr>
        <w:t>sfide cui devono far fronte i produttori e le imprese</w:t>
      </w:r>
      <w:r w:rsidRPr="00FF1EF3">
        <w:t>, in particolare le PMI, e quindi dell'esigenza di evitare in ogni caso inutili oneri amministrativi; ravvisa inoltre l'opportunità di stabilire un nuovo standard "Made in Europe" con norme per i prodotti sostenibili;</w:t>
      </w:r>
    </w:p>
    <w:p w:rsidRPr="00FF1EF3" w:rsidR="00C44A5C" w:rsidP="00E54548" w:rsidRDefault="00C44A5C" w14:paraId="1CA1FF0E" w14:textId="77777777">
      <w:pPr>
        <w:numPr>
          <w:ilvl w:val="0"/>
          <w:numId w:val="3"/>
        </w:numPr>
        <w:overflowPunct w:val="0"/>
        <w:autoSpaceDE w:val="0"/>
        <w:autoSpaceDN w:val="0"/>
        <w:adjustRightInd w:val="0"/>
        <w:ind w:left="357" w:hanging="357"/>
        <w:textAlignment w:val="baseline"/>
      </w:pPr>
      <w:r w:rsidRPr="00FF1EF3">
        <w:t xml:space="preserve">sottolinea che gli strumenti riguardanti la dichiarazione di conformità e l'autoregolamentazione offrono spazio alle iniziative </w:t>
      </w:r>
      <w:r w:rsidRPr="00FF1EF3">
        <w:rPr>
          <w:b/>
        </w:rPr>
        <w:t>imprenditoriali;</w:t>
      </w:r>
    </w:p>
    <w:p w:rsidRPr="00FF1EF3" w:rsidR="00C44A5C" w:rsidP="00E54548" w:rsidRDefault="00C44A5C" w14:paraId="0DC28D76" w14:textId="77777777">
      <w:pPr>
        <w:numPr>
          <w:ilvl w:val="0"/>
          <w:numId w:val="3"/>
        </w:numPr>
        <w:overflowPunct w:val="0"/>
        <w:autoSpaceDE w:val="0"/>
        <w:autoSpaceDN w:val="0"/>
        <w:adjustRightInd w:val="0"/>
        <w:ind w:left="357" w:hanging="357"/>
        <w:textAlignment w:val="baseline"/>
      </w:pPr>
      <w:r w:rsidRPr="00FF1EF3">
        <w:t xml:space="preserve">prende atto con rammarico che il </w:t>
      </w:r>
      <w:r w:rsidRPr="00FF1EF3">
        <w:rPr>
          <w:b/>
        </w:rPr>
        <w:t>regolamento non copre la dimensione sociale</w:t>
      </w:r>
      <w:r w:rsidRPr="00FF1EF3">
        <w:t>. Un riferimento alla proposta della Commissione riguardante la direttiva sul dovere di diligenza delle imprese non sembra sufficiente.</w:t>
      </w:r>
    </w:p>
    <w:p w:rsidRPr="00FF1EF3" w:rsidR="00E54548" w:rsidP="00E54548" w:rsidRDefault="00E54548" w14:paraId="7BB9A561"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E54548" w:rsidTr="008B66DD" w14:paraId="25A3FF7E" w14:textId="77777777">
        <w:tc>
          <w:tcPr>
            <w:tcW w:w="1418" w:type="dxa"/>
          </w:tcPr>
          <w:p w:rsidRPr="00FF1EF3" w:rsidR="00E54548" w:rsidP="008B66DD" w:rsidRDefault="00E54548" w14:paraId="1C0A7F50" w14:textId="77777777">
            <w:pPr>
              <w:contextualSpacing/>
              <w:rPr>
                <w:i/>
              </w:rPr>
            </w:pPr>
            <w:r w:rsidRPr="00FF1EF3">
              <w:rPr>
                <w:b/>
                <w:i/>
              </w:rPr>
              <w:t>Contatto</w:t>
            </w:r>
          </w:p>
        </w:tc>
        <w:tc>
          <w:tcPr>
            <w:tcW w:w="5670" w:type="dxa"/>
          </w:tcPr>
          <w:p w:rsidRPr="00FF1EF3" w:rsidR="00E54548" w:rsidP="008B66DD" w:rsidRDefault="00E54548" w14:paraId="59C2EA51" w14:textId="77777777">
            <w:pPr>
              <w:contextualSpacing/>
              <w:rPr>
                <w:i/>
              </w:rPr>
            </w:pPr>
            <w:r w:rsidRPr="00FF1EF3">
              <w:rPr>
                <w:i/>
              </w:rPr>
              <w:t>Caroline VERHELST</w:t>
            </w:r>
          </w:p>
        </w:tc>
      </w:tr>
      <w:tr w:rsidRPr="00FF1EF3" w:rsidR="00E54548" w:rsidTr="008B66DD" w14:paraId="50BF4889" w14:textId="77777777">
        <w:tc>
          <w:tcPr>
            <w:tcW w:w="1418" w:type="dxa"/>
          </w:tcPr>
          <w:p w:rsidRPr="00FF1EF3" w:rsidR="00E54548" w:rsidP="008B66DD" w:rsidRDefault="00E54548" w14:paraId="1F8D44FD" w14:textId="77777777">
            <w:pPr>
              <w:ind w:left="601"/>
              <w:contextualSpacing/>
              <w:rPr>
                <w:i/>
              </w:rPr>
            </w:pPr>
            <w:r w:rsidRPr="00FF1EF3">
              <w:rPr>
                <w:i/>
              </w:rPr>
              <w:t>Tel.</w:t>
            </w:r>
          </w:p>
        </w:tc>
        <w:tc>
          <w:tcPr>
            <w:tcW w:w="5670" w:type="dxa"/>
          </w:tcPr>
          <w:p w:rsidRPr="00FF1EF3" w:rsidR="00E54548" w:rsidP="008B66DD" w:rsidRDefault="00E54548" w14:paraId="099C6AF1" w14:textId="77777777">
            <w:pPr>
              <w:contextualSpacing/>
              <w:rPr>
                <w:i/>
              </w:rPr>
            </w:pPr>
            <w:r w:rsidRPr="00FF1EF3">
              <w:rPr>
                <w:i/>
              </w:rPr>
              <w:t>00 32 2 546 94 97</w:t>
            </w:r>
          </w:p>
        </w:tc>
      </w:tr>
      <w:tr w:rsidRPr="00FF1EF3" w:rsidR="00E54548" w:rsidTr="008B66DD" w14:paraId="735920C0" w14:textId="77777777">
        <w:tc>
          <w:tcPr>
            <w:tcW w:w="1418" w:type="dxa"/>
          </w:tcPr>
          <w:p w:rsidRPr="00FF1EF3" w:rsidR="00E54548" w:rsidP="008B66DD" w:rsidRDefault="00FF1EF3" w14:paraId="554E9752" w14:textId="1785058B">
            <w:pPr>
              <w:ind w:left="601"/>
              <w:contextualSpacing/>
              <w:rPr>
                <w:i/>
              </w:rPr>
            </w:pPr>
            <w:r w:rsidRPr="00FF1EF3">
              <w:rPr>
                <w:i/>
              </w:rPr>
              <w:t>E</w:t>
            </w:r>
            <w:r w:rsidRPr="00FF1EF3" w:rsidR="00E54548">
              <w:rPr>
                <w:i/>
              </w:rPr>
              <w:t>-mail</w:t>
            </w:r>
          </w:p>
        </w:tc>
        <w:tc>
          <w:tcPr>
            <w:tcW w:w="5670" w:type="dxa"/>
          </w:tcPr>
          <w:p w:rsidRPr="00FF1EF3" w:rsidR="00E54548" w:rsidP="00910972" w:rsidRDefault="004F624E" w14:paraId="57D07659" w14:textId="65FC08AB">
            <w:pPr>
              <w:contextualSpacing/>
              <w:rPr>
                <w:i/>
              </w:rPr>
            </w:pPr>
            <w:hyperlink w:history="1" r:id="rId36">
              <w:r w:rsidRPr="00FF1EF3" w:rsidR="003D3253">
                <w:rPr>
                  <w:rStyle w:val="Hyperlink"/>
                </w:rPr>
                <w:t>Caroline.Verhelst@eesc.europa.eu</w:t>
              </w:r>
            </w:hyperlink>
          </w:p>
        </w:tc>
      </w:tr>
    </w:tbl>
    <w:p w:rsidRPr="00FF1EF3" w:rsidR="00F2127E" w:rsidP="0018231C" w:rsidRDefault="00F2127E" w14:paraId="3D4A5F95" w14:textId="178D72DA">
      <w:pPr>
        <w:spacing w:after="160" w:line="240" w:lineRule="auto"/>
        <w:jc w:val="left"/>
        <w:rPr>
          <w:sz w:val="28"/>
          <w:szCs w:val="16"/>
        </w:rPr>
      </w:pPr>
    </w:p>
    <w:p w:rsidRPr="00FF1EF3" w:rsidR="00F2127E" w:rsidRDefault="00F2127E" w14:paraId="287BC97F" w14:textId="77777777">
      <w:pPr>
        <w:spacing w:after="160" w:line="259" w:lineRule="auto"/>
        <w:jc w:val="left"/>
        <w:rPr>
          <w:sz w:val="28"/>
          <w:szCs w:val="16"/>
        </w:rPr>
      </w:pPr>
      <w:r w:rsidRPr="00FF1EF3">
        <w:br w:type="page"/>
      </w:r>
    </w:p>
    <w:p w:rsidRPr="00FF1EF3" w:rsidR="008B66DD" w:rsidP="008B66DD" w:rsidRDefault="008B66DD" w14:paraId="6941BE74" w14:textId="77C37463">
      <w:pPr>
        <w:pStyle w:val="ListParagraph"/>
        <w:keepNext/>
        <w:keepLines/>
        <w:numPr>
          <w:ilvl w:val="0"/>
          <w:numId w:val="2"/>
        </w:numPr>
        <w:ind w:left="567" w:hanging="567"/>
        <w:rPr>
          <w:b/>
          <w:i/>
          <w:sz w:val="28"/>
          <w:szCs w:val="28"/>
        </w:rPr>
      </w:pPr>
      <w:r w:rsidRPr="00FF1EF3">
        <w:rPr>
          <w:b/>
          <w:i/>
          <w:sz w:val="28"/>
        </w:rPr>
        <w:t>Revisione della direttiva sulle emissioni industriali (IED) e del regolamento sull'</w:t>
      </w:r>
      <w:r w:rsidRPr="00FF1EF3" w:rsidR="00FF1EF3">
        <w:rPr>
          <w:b/>
          <w:i/>
          <w:sz w:val="28"/>
        </w:rPr>
        <w:t>E</w:t>
      </w:r>
      <w:r w:rsidRPr="00FF1EF3">
        <w:rPr>
          <w:b/>
          <w:i/>
          <w:sz w:val="28"/>
        </w:rPr>
        <w:t>-PRTR</w:t>
      </w:r>
    </w:p>
    <w:p w:rsidRPr="00FF1EF3" w:rsidR="008B66DD" w:rsidP="008B66DD" w:rsidRDefault="008B66DD" w14:paraId="1A34547D"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FF1EF3" w:rsidR="008B66DD" w:rsidTr="008B66DD" w14:paraId="0140FF97" w14:textId="77777777">
        <w:tc>
          <w:tcPr>
            <w:tcW w:w="1701" w:type="dxa"/>
          </w:tcPr>
          <w:p w:rsidRPr="00FF1EF3" w:rsidR="008B66DD" w:rsidP="008B66DD" w:rsidRDefault="00FF1EF3" w14:paraId="649A0BE9" w14:textId="08F8E1C0">
            <w:pPr>
              <w:pStyle w:val="ListParagraph"/>
              <w:ind w:left="0"/>
              <w:rPr>
                <w:b/>
              </w:rPr>
            </w:pPr>
            <w:r w:rsidRPr="00FF1EF3">
              <w:rPr>
                <w:b/>
              </w:rPr>
              <w:t>Relatore</w:t>
            </w:r>
          </w:p>
        </w:tc>
        <w:tc>
          <w:tcPr>
            <w:tcW w:w="6096" w:type="dxa"/>
          </w:tcPr>
          <w:p w:rsidRPr="00FF1EF3" w:rsidR="008B66DD" w:rsidP="008B66DD" w:rsidRDefault="008B66DD" w14:paraId="04C7D4F2" w14:textId="77777777">
            <w:pPr>
              <w:pStyle w:val="ListParagraph"/>
              <w:ind w:left="-108"/>
            </w:pPr>
            <w:r w:rsidRPr="00FF1EF3">
              <w:t>Stoyan TCHOUKANOV (Organizzazioni della società civile - BG)</w:t>
            </w:r>
          </w:p>
        </w:tc>
      </w:tr>
      <w:tr w:rsidRPr="00FF1EF3" w:rsidR="008B66DD" w:rsidTr="008B66DD" w14:paraId="6E75EC44" w14:textId="77777777">
        <w:tc>
          <w:tcPr>
            <w:tcW w:w="7797" w:type="dxa"/>
            <w:gridSpan w:val="2"/>
          </w:tcPr>
          <w:p w:rsidRPr="00FF1EF3" w:rsidR="008B66DD" w:rsidP="008B66DD" w:rsidRDefault="008B66DD" w14:paraId="3599F5C2" w14:textId="77777777">
            <w:pPr>
              <w:pStyle w:val="ListParagraph"/>
              <w:ind w:left="0"/>
              <w:rPr>
                <w:lang w:val="fr-BE"/>
              </w:rPr>
            </w:pPr>
          </w:p>
        </w:tc>
      </w:tr>
      <w:tr w:rsidRPr="00FF1EF3" w:rsidR="008B66DD" w:rsidTr="008B66DD" w14:paraId="35CD3693" w14:textId="77777777">
        <w:tc>
          <w:tcPr>
            <w:tcW w:w="1701" w:type="dxa"/>
          </w:tcPr>
          <w:p w:rsidRPr="00FF1EF3" w:rsidR="008B66DD" w:rsidP="008B66DD" w:rsidRDefault="008B66DD" w14:paraId="3CF5DB5F" w14:textId="77777777">
            <w:pPr>
              <w:pStyle w:val="ListParagraph"/>
              <w:ind w:left="0"/>
              <w:rPr>
                <w:b/>
              </w:rPr>
            </w:pPr>
            <w:r w:rsidRPr="00FF1EF3">
              <w:rPr>
                <w:b/>
              </w:rPr>
              <w:t xml:space="preserve">Riferimenti </w:t>
            </w:r>
          </w:p>
        </w:tc>
        <w:tc>
          <w:tcPr>
            <w:tcW w:w="6096" w:type="dxa"/>
          </w:tcPr>
          <w:p w:rsidRPr="00FF1EF3" w:rsidR="008B66DD" w:rsidP="008B66DD" w:rsidRDefault="008B66DD" w14:paraId="3EEDB04A" w14:textId="3022EB0E">
            <w:pPr>
              <w:tabs>
                <w:tab w:val="center" w:pos="284"/>
              </w:tabs>
              <w:ind w:left="266" w:hanging="374"/>
            </w:pPr>
            <w:r w:rsidRPr="00FF1EF3">
              <w:t xml:space="preserve">COM(2022) 156 </w:t>
            </w:r>
            <w:r w:rsidRPr="00FF1EF3" w:rsidR="003D3253">
              <w:t>-</w:t>
            </w:r>
            <w:r w:rsidRPr="00FF1EF3">
              <w:t xml:space="preserve"> 157 final</w:t>
            </w:r>
          </w:p>
          <w:p w:rsidRPr="00FF1EF3" w:rsidR="008B66DD" w:rsidP="008B66DD" w:rsidRDefault="008B66DD" w14:paraId="3F90EC7C" w14:textId="77777777">
            <w:pPr>
              <w:pStyle w:val="ListParagraph"/>
              <w:ind w:left="-108"/>
            </w:pPr>
            <w:r w:rsidRPr="00FF1EF3">
              <w:t>EESC-2022-02403-00-00-AC</w:t>
            </w:r>
          </w:p>
        </w:tc>
      </w:tr>
    </w:tbl>
    <w:p w:rsidRPr="00FF1EF3" w:rsidR="008B66DD" w:rsidP="008B66DD" w:rsidRDefault="008B66DD" w14:paraId="1CB383F7" w14:textId="77777777">
      <w:pPr>
        <w:pStyle w:val="ListParagraph"/>
        <w:ind w:left="0"/>
        <w:rPr>
          <w:b/>
        </w:rPr>
      </w:pPr>
    </w:p>
    <w:p w:rsidRPr="00FF1EF3" w:rsidR="008B66DD" w:rsidP="008B66DD" w:rsidRDefault="008B66DD" w14:paraId="2DDA570D" w14:textId="6E2E4A4A">
      <w:pPr>
        <w:pStyle w:val="ListParagraph"/>
        <w:spacing w:line="240" w:lineRule="auto"/>
        <w:ind w:left="-142" w:firstLine="142"/>
        <w:rPr>
          <w:b/>
        </w:rPr>
      </w:pPr>
      <w:r w:rsidRPr="00FF1EF3">
        <w:rPr>
          <w:b/>
        </w:rPr>
        <w:t>Punti principali</w:t>
      </w:r>
    </w:p>
    <w:p w:rsidRPr="00FF1EF3" w:rsidR="008B66DD" w:rsidP="008B66DD" w:rsidRDefault="008B66DD" w14:paraId="2C4A49AB" w14:textId="77777777">
      <w:pPr>
        <w:pStyle w:val="ListParagraph"/>
        <w:ind w:left="0"/>
        <w:rPr>
          <w:lang w:val="fr-FR"/>
        </w:rPr>
      </w:pPr>
    </w:p>
    <w:p w:rsidRPr="00FF1EF3" w:rsidR="008B66DD" w:rsidP="008B66DD" w:rsidRDefault="008B66DD" w14:paraId="38F8E496" w14:textId="77777777">
      <w:pPr>
        <w:pStyle w:val="ListParagraph"/>
        <w:ind w:left="0"/>
      </w:pPr>
      <w:r w:rsidRPr="00FF1EF3">
        <w:t>Il CESE:</w:t>
      </w:r>
    </w:p>
    <w:p w:rsidRPr="00FF1EF3" w:rsidR="008B66DD" w:rsidP="008B66DD" w:rsidRDefault="008B66DD" w14:paraId="3F662290" w14:textId="77777777">
      <w:pPr>
        <w:pStyle w:val="ListParagraph"/>
        <w:ind w:left="0"/>
        <w:rPr>
          <w:lang w:val="fr-FR"/>
        </w:rPr>
      </w:pPr>
    </w:p>
    <w:p w:rsidRPr="00FF1EF3" w:rsidR="008B66DD" w:rsidP="008B66DD" w:rsidRDefault="008B66DD" w14:paraId="4C48C082" w14:textId="77777777">
      <w:pPr>
        <w:numPr>
          <w:ilvl w:val="0"/>
          <w:numId w:val="3"/>
        </w:numPr>
        <w:overflowPunct w:val="0"/>
        <w:autoSpaceDE w:val="0"/>
        <w:autoSpaceDN w:val="0"/>
        <w:adjustRightInd w:val="0"/>
        <w:ind w:left="357" w:hanging="357"/>
        <w:textAlignment w:val="baseline"/>
        <w:rPr>
          <w:bCs/>
          <w:iCs/>
        </w:rPr>
      </w:pPr>
      <w:r w:rsidRPr="00FF1EF3">
        <w:t xml:space="preserve">concorda nel ritenere che la </w:t>
      </w:r>
      <w:r w:rsidRPr="00FF1EF3">
        <w:rPr>
          <w:b/>
        </w:rPr>
        <w:t>direttiva sulle emissioni industriali (IED)</w:t>
      </w:r>
      <w:r w:rsidRPr="00FF1EF3">
        <w:t xml:space="preserve"> adotti un approccio politico coerente </w:t>
      </w:r>
      <w:r w:rsidRPr="00FF1EF3">
        <w:rPr>
          <w:b/>
        </w:rPr>
        <w:t>per proteggere gli ecosistemi e la salute umana</w:t>
      </w:r>
      <w:r w:rsidRPr="00FF1EF3">
        <w:t>, in quanto copre, in maniera ben integrata e settore per settore, tutti i potenziali inquinanti derivanti dagli impianti agroindustriali;</w:t>
      </w:r>
    </w:p>
    <w:p w:rsidRPr="00FF1EF3" w:rsidR="008B66DD" w:rsidP="008B66DD" w:rsidRDefault="008B66DD" w14:paraId="1E0E1F09" w14:textId="77777777">
      <w:pPr>
        <w:numPr>
          <w:ilvl w:val="0"/>
          <w:numId w:val="3"/>
        </w:numPr>
        <w:overflowPunct w:val="0"/>
        <w:autoSpaceDE w:val="0"/>
        <w:autoSpaceDN w:val="0"/>
        <w:adjustRightInd w:val="0"/>
        <w:ind w:left="357" w:hanging="357"/>
        <w:textAlignment w:val="baseline"/>
        <w:rPr>
          <w:bCs/>
          <w:iCs/>
        </w:rPr>
      </w:pPr>
      <w:r w:rsidRPr="00FF1EF3">
        <w:t xml:space="preserve">sottolinea che la revisione della direttiva IED mira a stimolare una profonda trasformazione industriale al fine di </w:t>
      </w:r>
      <w:r w:rsidRPr="00FF1EF3">
        <w:rPr>
          <w:b/>
        </w:rPr>
        <w:t>conseguire un ambiente pulito che migliori la salute pubblica e sostenga l'obiettivo "inquinamento zero" di cui al Green Deal europeo</w:t>
      </w:r>
      <w:r w:rsidRPr="00FF1EF3">
        <w:t>;</w:t>
      </w:r>
    </w:p>
    <w:p w:rsidRPr="00FF1EF3" w:rsidR="008B66DD" w:rsidP="008B66DD" w:rsidRDefault="008B66DD" w14:paraId="1EC94DA6" w14:textId="77777777">
      <w:pPr>
        <w:numPr>
          <w:ilvl w:val="0"/>
          <w:numId w:val="3"/>
        </w:numPr>
        <w:overflowPunct w:val="0"/>
        <w:autoSpaceDE w:val="0"/>
        <w:autoSpaceDN w:val="0"/>
        <w:adjustRightInd w:val="0"/>
        <w:ind w:left="357" w:hanging="357"/>
        <w:textAlignment w:val="baseline"/>
      </w:pPr>
      <w:r w:rsidRPr="00FF1EF3">
        <w:t>osserva che la direttiva IED non è stata integrata in modo coerente in tutti gli Stati membri, e che ciò compromette il conseguimento degli obiettivi da essa perseguiti;</w:t>
      </w:r>
    </w:p>
    <w:p w:rsidRPr="00FF1EF3" w:rsidR="008B66DD" w:rsidP="008B66DD" w:rsidRDefault="008B66DD" w14:paraId="2BB4A7AE" w14:textId="77777777">
      <w:pPr>
        <w:numPr>
          <w:ilvl w:val="0"/>
          <w:numId w:val="3"/>
        </w:numPr>
        <w:overflowPunct w:val="0"/>
        <w:autoSpaceDE w:val="0"/>
        <w:autoSpaceDN w:val="0"/>
        <w:adjustRightInd w:val="0"/>
        <w:ind w:left="357" w:hanging="357"/>
        <w:textAlignment w:val="baseline"/>
      </w:pPr>
      <w:r w:rsidRPr="00FF1EF3">
        <w:t xml:space="preserve">concorda con la Corte dei conti europea nel ritenere che al </w:t>
      </w:r>
      <w:r w:rsidRPr="00FF1EF3">
        <w:rPr>
          <w:b/>
        </w:rPr>
        <w:t>principio "chi inquina paga"</w:t>
      </w:r>
      <w:r w:rsidRPr="00FF1EF3">
        <w:t xml:space="preserve"> dovrebbe essere attribuito un significato inequivoco. Oltre al rapporto tra costi economici monetizzati e benefici sociali, per ragioni di trasparenza e completezza è altresì opportuno analizzare gli indicatori dei benefici sociali e ambientali;</w:t>
      </w:r>
    </w:p>
    <w:p w:rsidRPr="00FF1EF3" w:rsidR="008B66DD" w:rsidP="008B66DD" w:rsidRDefault="008B66DD" w14:paraId="4C9197E6" w14:textId="77777777">
      <w:pPr>
        <w:numPr>
          <w:ilvl w:val="0"/>
          <w:numId w:val="3"/>
        </w:numPr>
        <w:overflowPunct w:val="0"/>
        <w:autoSpaceDE w:val="0"/>
        <w:autoSpaceDN w:val="0"/>
        <w:adjustRightInd w:val="0"/>
        <w:ind w:left="357" w:hanging="357"/>
        <w:textAlignment w:val="baseline"/>
      </w:pPr>
      <w:r w:rsidRPr="00FF1EF3">
        <w:t xml:space="preserve">sottolinea le ambizioni, enunciate nel </w:t>
      </w:r>
      <w:r w:rsidRPr="00FF1EF3">
        <w:rPr>
          <w:b/>
        </w:rPr>
        <w:t>Green Deal europeo</w:t>
      </w:r>
      <w:r w:rsidRPr="00FF1EF3">
        <w:t xml:space="preserve">, di adottare nuove misure per affrontare l'inquinamento causato dai grandi impianti agroindustriali - </w:t>
      </w:r>
      <w:r w:rsidRPr="00FF1EF3">
        <w:rPr>
          <w:b/>
        </w:rPr>
        <w:t>aggiornando le norme del principale atto giuridico dell'UE in materia di emissioni inquinanti degli impianti industriali - come anche di contribuire a diversi obiettivi di sviluppo sostenibile</w:t>
      </w:r>
      <w:r w:rsidRPr="00FF1EF3">
        <w:t>;</w:t>
      </w:r>
    </w:p>
    <w:p w:rsidRPr="00FF1EF3" w:rsidR="008B66DD" w:rsidP="008B66DD" w:rsidRDefault="00C25DB3" w14:paraId="087D3CA8" w14:textId="77777777">
      <w:pPr>
        <w:numPr>
          <w:ilvl w:val="0"/>
          <w:numId w:val="3"/>
        </w:numPr>
        <w:overflowPunct w:val="0"/>
        <w:autoSpaceDE w:val="0"/>
        <w:autoSpaceDN w:val="0"/>
        <w:adjustRightInd w:val="0"/>
        <w:ind w:left="357" w:hanging="357"/>
        <w:textAlignment w:val="baseline"/>
      </w:pPr>
      <w:r w:rsidRPr="00FF1EF3">
        <w:t>suggerisce di fornire maggiori chiarimenti riguardo all'impatto della direttiva IED sui vari settori: è infatti necessario tenere conto delle diverse realtà, e in particolare dell'</w:t>
      </w:r>
      <w:r w:rsidRPr="00FF1EF3">
        <w:rPr>
          <w:b/>
        </w:rPr>
        <w:t>attuazione della direttiva nei differenti tipi di imprese agricole</w:t>
      </w:r>
      <w:r w:rsidRPr="00FF1EF3">
        <w:t>;</w:t>
      </w:r>
    </w:p>
    <w:p w:rsidRPr="00FF1EF3" w:rsidR="008B66DD" w:rsidP="008B66DD" w:rsidRDefault="008B66DD" w14:paraId="478CB44D" w14:textId="77777777">
      <w:pPr>
        <w:numPr>
          <w:ilvl w:val="0"/>
          <w:numId w:val="3"/>
        </w:numPr>
        <w:overflowPunct w:val="0"/>
        <w:autoSpaceDE w:val="0"/>
        <w:autoSpaceDN w:val="0"/>
        <w:adjustRightInd w:val="0"/>
        <w:ind w:left="357" w:hanging="357"/>
        <w:textAlignment w:val="baseline"/>
      </w:pPr>
      <w:r w:rsidRPr="00FF1EF3">
        <w:t xml:space="preserve">accoglie con favore la creazione di un "portale sulle emissioni industriali" volto a </w:t>
      </w:r>
      <w:r w:rsidRPr="00FF1EF3">
        <w:rPr>
          <w:b/>
        </w:rPr>
        <w:t>rendere disponibili per i cittadini dell'Unione dati ambientali che consentano loro di partecipare con cognizione di causa ai processi decisionali in materia ambientale</w:t>
      </w:r>
      <w:r w:rsidRPr="00FF1EF3">
        <w:t xml:space="preserve"> relativi alle principali attività (agro)industriali dell'UE.</w:t>
      </w:r>
    </w:p>
    <w:p w:rsidRPr="00FF1EF3" w:rsidR="008B66DD" w:rsidP="008B66DD" w:rsidRDefault="008B66DD" w14:paraId="7BEDBB72"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8B66DD" w:rsidTr="008B66DD" w14:paraId="562FD113" w14:textId="77777777">
        <w:tc>
          <w:tcPr>
            <w:tcW w:w="1418" w:type="dxa"/>
          </w:tcPr>
          <w:p w:rsidRPr="00FF1EF3" w:rsidR="008B66DD" w:rsidP="008B66DD" w:rsidRDefault="008B66DD" w14:paraId="6A3CFD92" w14:textId="77777777">
            <w:pPr>
              <w:contextualSpacing/>
              <w:rPr>
                <w:i/>
              </w:rPr>
            </w:pPr>
            <w:r w:rsidRPr="00FF1EF3">
              <w:rPr>
                <w:b/>
                <w:i/>
              </w:rPr>
              <w:t>Contatto</w:t>
            </w:r>
          </w:p>
        </w:tc>
        <w:tc>
          <w:tcPr>
            <w:tcW w:w="5670" w:type="dxa"/>
          </w:tcPr>
          <w:p w:rsidRPr="00FF1EF3" w:rsidR="008B66DD" w:rsidP="008B66DD" w:rsidRDefault="008B66DD" w14:paraId="40D8BF4D" w14:textId="77777777">
            <w:pPr>
              <w:contextualSpacing/>
              <w:rPr>
                <w:i/>
              </w:rPr>
            </w:pPr>
            <w:r w:rsidRPr="00FF1EF3">
              <w:rPr>
                <w:i/>
              </w:rPr>
              <w:t>Caroline VERHELST</w:t>
            </w:r>
          </w:p>
        </w:tc>
      </w:tr>
      <w:tr w:rsidRPr="00FF1EF3" w:rsidR="008B66DD" w:rsidTr="008B66DD" w14:paraId="39B58971" w14:textId="77777777">
        <w:tc>
          <w:tcPr>
            <w:tcW w:w="1418" w:type="dxa"/>
          </w:tcPr>
          <w:p w:rsidRPr="00FF1EF3" w:rsidR="008B66DD" w:rsidP="008B66DD" w:rsidRDefault="008B66DD" w14:paraId="0374B985" w14:textId="77777777">
            <w:pPr>
              <w:ind w:left="601"/>
              <w:contextualSpacing/>
              <w:rPr>
                <w:i/>
              </w:rPr>
            </w:pPr>
            <w:r w:rsidRPr="00FF1EF3">
              <w:rPr>
                <w:i/>
              </w:rPr>
              <w:t>Tel.</w:t>
            </w:r>
          </w:p>
        </w:tc>
        <w:tc>
          <w:tcPr>
            <w:tcW w:w="5670" w:type="dxa"/>
          </w:tcPr>
          <w:p w:rsidRPr="00FF1EF3" w:rsidR="008B66DD" w:rsidP="008B66DD" w:rsidRDefault="008B66DD" w14:paraId="2FFDE135" w14:textId="77777777">
            <w:pPr>
              <w:contextualSpacing/>
              <w:rPr>
                <w:i/>
              </w:rPr>
            </w:pPr>
            <w:r w:rsidRPr="00FF1EF3">
              <w:rPr>
                <w:i/>
              </w:rPr>
              <w:t>00 32 2 546 94 97</w:t>
            </w:r>
          </w:p>
        </w:tc>
      </w:tr>
      <w:tr w:rsidRPr="00FF1EF3" w:rsidR="008B66DD" w:rsidTr="008B66DD" w14:paraId="0D993716" w14:textId="77777777">
        <w:tc>
          <w:tcPr>
            <w:tcW w:w="1418" w:type="dxa"/>
          </w:tcPr>
          <w:p w:rsidRPr="00FF1EF3" w:rsidR="008B66DD" w:rsidP="008B66DD" w:rsidRDefault="00FF1EF3" w14:paraId="04669011" w14:textId="74410065">
            <w:pPr>
              <w:ind w:left="601"/>
              <w:contextualSpacing/>
              <w:rPr>
                <w:i/>
              </w:rPr>
            </w:pPr>
            <w:r w:rsidRPr="00FF1EF3">
              <w:rPr>
                <w:i/>
              </w:rPr>
              <w:t>E</w:t>
            </w:r>
            <w:r w:rsidRPr="00FF1EF3" w:rsidR="008B66DD">
              <w:rPr>
                <w:i/>
              </w:rPr>
              <w:t>-mail</w:t>
            </w:r>
          </w:p>
        </w:tc>
        <w:tc>
          <w:tcPr>
            <w:tcW w:w="5670" w:type="dxa"/>
          </w:tcPr>
          <w:p w:rsidRPr="00FF1EF3" w:rsidR="008B66DD" w:rsidP="00910972" w:rsidRDefault="004F624E" w14:paraId="503147B8" w14:textId="3BCF4B1C">
            <w:pPr>
              <w:contextualSpacing/>
              <w:rPr>
                <w:i/>
              </w:rPr>
            </w:pPr>
            <w:hyperlink w:history="1" r:id="rId37">
              <w:r w:rsidRPr="00FF1EF3" w:rsidR="003D3253">
                <w:rPr>
                  <w:rStyle w:val="Hyperlink"/>
                </w:rPr>
                <w:t>Caroline.Verhelst@eesc.europa.eu</w:t>
              </w:r>
            </w:hyperlink>
          </w:p>
        </w:tc>
      </w:tr>
    </w:tbl>
    <w:p w:rsidRPr="00FF1EF3" w:rsidR="00931584" w:rsidP="002A2F38" w:rsidRDefault="002A2F38" w14:paraId="49E30748" w14:textId="77777777">
      <w:pPr>
        <w:spacing w:after="160" w:line="259" w:lineRule="auto"/>
        <w:jc w:val="left"/>
        <w:rPr>
          <w:sz w:val="28"/>
          <w:szCs w:val="16"/>
        </w:rPr>
      </w:pPr>
      <w:r w:rsidRPr="00FF1EF3">
        <w:br w:type="page"/>
      </w:r>
    </w:p>
    <w:p w:rsidRPr="00FF1EF3" w:rsidR="0005170F" w:rsidP="003E692C" w:rsidRDefault="00931584" w14:paraId="259B2927" w14:textId="77777777">
      <w:pPr>
        <w:pStyle w:val="Heading1"/>
        <w:keepNext/>
        <w:rPr>
          <w:b/>
        </w:rPr>
      </w:pPr>
      <w:bookmarkStart w:name="_Toc90469310" w:id="17"/>
      <w:bookmarkStart w:name="_Toc110414442" w:id="18"/>
      <w:r w:rsidRPr="00FF1EF3">
        <w:rPr>
          <w:b/>
        </w:rPr>
        <w:t>RELAZIONI ESTERNE</w:t>
      </w:r>
      <w:bookmarkEnd w:id="17"/>
      <w:bookmarkEnd w:id="18"/>
    </w:p>
    <w:p w:rsidRPr="00FF1EF3" w:rsidR="00CB3335" w:rsidP="00CB3335" w:rsidRDefault="00CB3335" w14:paraId="4C868865" w14:textId="77777777">
      <w:pPr>
        <w:rPr>
          <w:sz w:val="16"/>
          <w:szCs w:val="16"/>
        </w:rPr>
      </w:pPr>
    </w:p>
    <w:p w:rsidRPr="00FF1EF3" w:rsidR="0005170F" w:rsidP="00F856AC" w:rsidRDefault="00F856AC" w14:paraId="602B729E" w14:textId="77777777">
      <w:pPr>
        <w:pStyle w:val="ListParagraph"/>
        <w:keepNext/>
        <w:keepLines/>
        <w:numPr>
          <w:ilvl w:val="0"/>
          <w:numId w:val="2"/>
        </w:numPr>
        <w:ind w:left="567" w:hanging="567"/>
        <w:rPr>
          <w:b/>
          <w:i/>
          <w:sz w:val="28"/>
          <w:szCs w:val="28"/>
        </w:rPr>
      </w:pPr>
      <w:r w:rsidRPr="00FF1EF3">
        <w:rPr>
          <w:b/>
          <w:i/>
          <w:sz w:val="28"/>
        </w:rPr>
        <w:t>Il nuovo Consiglio UE-USA per il commercio e la tecnologia in azione</w:t>
      </w:r>
    </w:p>
    <w:p w:rsidRPr="00FF1EF3" w:rsidR="00F856AC" w:rsidP="00F856AC" w:rsidRDefault="00F856AC" w14:paraId="7DD8EEC3" w14:textId="77777777">
      <w:pPr>
        <w:keepNext/>
        <w:keepLines/>
        <w:rPr>
          <w:b/>
          <w:i/>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FF1EF3" w:rsidR="0005170F" w:rsidTr="00BC41D9" w14:paraId="0C5522F9" w14:textId="77777777">
        <w:tc>
          <w:tcPr>
            <w:tcW w:w="1701" w:type="dxa"/>
          </w:tcPr>
          <w:p w:rsidRPr="00FF1EF3" w:rsidR="0005170F" w:rsidP="00BC41D9" w:rsidRDefault="00FF1EF3" w14:paraId="064CA71B" w14:textId="329BD5E3">
            <w:pPr>
              <w:pStyle w:val="ListParagraph"/>
              <w:keepNext/>
              <w:ind w:left="0"/>
              <w:rPr>
                <w:b/>
              </w:rPr>
            </w:pPr>
            <w:r w:rsidRPr="00FF1EF3">
              <w:rPr>
                <w:b/>
              </w:rPr>
              <w:t>Relatore</w:t>
            </w:r>
          </w:p>
        </w:tc>
        <w:tc>
          <w:tcPr>
            <w:tcW w:w="5387" w:type="dxa"/>
          </w:tcPr>
          <w:p w:rsidRPr="00FF1EF3" w:rsidR="0005170F" w:rsidP="00BC41D9" w:rsidRDefault="00F856AC" w14:paraId="45B35874" w14:textId="77777777">
            <w:pPr>
              <w:pStyle w:val="ListParagraph"/>
              <w:keepNext/>
              <w:ind w:left="-106"/>
            </w:pPr>
            <w:r w:rsidRPr="00FF1EF3">
              <w:t>Timo VUORI (Datori di lavoro - FI)</w:t>
            </w:r>
          </w:p>
        </w:tc>
      </w:tr>
      <w:tr w:rsidRPr="00FF1EF3" w:rsidR="0005170F" w:rsidTr="00BC41D9" w14:paraId="53A93979" w14:textId="77777777">
        <w:tc>
          <w:tcPr>
            <w:tcW w:w="1701" w:type="dxa"/>
          </w:tcPr>
          <w:p w:rsidRPr="00FF1EF3" w:rsidR="0005170F" w:rsidP="00BC41D9" w:rsidRDefault="00FF1EF3" w14:paraId="392B7337" w14:textId="01106350">
            <w:pPr>
              <w:pStyle w:val="ListParagraph"/>
              <w:keepNext/>
              <w:ind w:left="0"/>
              <w:rPr>
                <w:b/>
              </w:rPr>
            </w:pPr>
            <w:r w:rsidRPr="00FF1EF3">
              <w:rPr>
                <w:b/>
              </w:rPr>
              <w:t>Correlatrice</w:t>
            </w:r>
          </w:p>
        </w:tc>
        <w:tc>
          <w:tcPr>
            <w:tcW w:w="5387" w:type="dxa"/>
          </w:tcPr>
          <w:p w:rsidRPr="00FF1EF3" w:rsidR="0005170F" w:rsidP="00BC41D9" w:rsidRDefault="00F856AC" w14:paraId="52EFC6C4" w14:textId="0996E1F8">
            <w:pPr>
              <w:pStyle w:val="ListParagraph"/>
              <w:keepNext/>
              <w:ind w:left="-106"/>
            </w:pPr>
            <w:r w:rsidRPr="00FF1EF3">
              <w:t>Tanja BUZEK (Lavoratori - DE)</w:t>
            </w:r>
          </w:p>
        </w:tc>
      </w:tr>
      <w:tr w:rsidRPr="00FF1EF3" w:rsidR="0005170F" w:rsidTr="00BC41D9" w14:paraId="3756149D" w14:textId="77777777">
        <w:tc>
          <w:tcPr>
            <w:tcW w:w="7088" w:type="dxa"/>
            <w:gridSpan w:val="2"/>
          </w:tcPr>
          <w:p w:rsidRPr="00FF1EF3" w:rsidR="0005170F" w:rsidP="00BC41D9" w:rsidRDefault="0005170F" w14:paraId="1E0EC2DB" w14:textId="77777777">
            <w:pPr>
              <w:pStyle w:val="ListParagraph"/>
              <w:keepNext/>
              <w:ind w:left="0"/>
            </w:pPr>
          </w:p>
        </w:tc>
      </w:tr>
      <w:tr w:rsidRPr="00FF1EF3" w:rsidR="0005170F" w:rsidTr="00BC41D9" w14:paraId="19BB4E31" w14:textId="77777777">
        <w:tc>
          <w:tcPr>
            <w:tcW w:w="1701" w:type="dxa"/>
          </w:tcPr>
          <w:p w:rsidRPr="00FF1EF3" w:rsidR="0005170F" w:rsidP="00BC41D9" w:rsidRDefault="0005170F" w14:paraId="7C61A8B1" w14:textId="77777777">
            <w:pPr>
              <w:pStyle w:val="ListParagraph"/>
              <w:keepNext/>
              <w:ind w:left="0"/>
              <w:rPr>
                <w:b/>
              </w:rPr>
            </w:pPr>
            <w:r w:rsidRPr="00FF1EF3">
              <w:rPr>
                <w:b/>
              </w:rPr>
              <w:t xml:space="preserve">Riferimento </w:t>
            </w:r>
          </w:p>
        </w:tc>
        <w:tc>
          <w:tcPr>
            <w:tcW w:w="5387" w:type="dxa"/>
          </w:tcPr>
          <w:p w:rsidRPr="00FF1EF3" w:rsidR="0005170F" w:rsidP="00BC41D9" w:rsidRDefault="00F856AC" w14:paraId="49919073" w14:textId="77777777">
            <w:pPr>
              <w:pStyle w:val="ListParagraph"/>
              <w:keepNext/>
              <w:ind w:left="-106"/>
              <w:rPr>
                <w:iCs/>
                <w:color w:val="000000"/>
              </w:rPr>
            </w:pPr>
            <w:r w:rsidRPr="00FF1EF3">
              <w:rPr>
                <w:color w:val="000000"/>
              </w:rPr>
              <w:t>Parere d'iniziativa</w:t>
            </w:r>
          </w:p>
          <w:p w:rsidRPr="00FF1EF3" w:rsidR="0005170F" w:rsidP="00BC41D9" w:rsidRDefault="009D1CA2" w14:paraId="705F793F" w14:textId="77777777">
            <w:pPr>
              <w:pStyle w:val="ListParagraph"/>
              <w:keepNext/>
              <w:ind w:left="-106"/>
            </w:pPr>
            <w:r w:rsidRPr="00FF1EF3">
              <w:t>EESC-2022-00726-00-00-AC</w:t>
            </w:r>
          </w:p>
        </w:tc>
      </w:tr>
    </w:tbl>
    <w:p w:rsidRPr="00FF1EF3" w:rsidR="00BC29C8" w:rsidP="003D3253" w:rsidRDefault="00F856AC" w14:paraId="18C1BCD0" w14:textId="43F4EE79">
      <w:pPr>
        <w:pStyle w:val="ListParagraph"/>
        <w:spacing w:before="120" w:line="240" w:lineRule="auto"/>
        <w:ind w:left="-142" w:firstLine="142"/>
        <w:rPr>
          <w:b/>
        </w:rPr>
      </w:pPr>
      <w:r w:rsidRPr="00FF1EF3">
        <w:rPr>
          <w:b/>
        </w:rPr>
        <w:t>Punti principali</w:t>
      </w:r>
    </w:p>
    <w:p w:rsidRPr="00FF1EF3" w:rsidR="00BC29C8" w:rsidP="0005170F" w:rsidRDefault="00BC29C8" w14:paraId="5B75415E" w14:textId="77777777">
      <w:pPr>
        <w:pStyle w:val="ListParagraph"/>
        <w:ind w:left="0"/>
      </w:pPr>
    </w:p>
    <w:p w:rsidRPr="00FF1EF3" w:rsidR="0005170F" w:rsidP="0005170F" w:rsidRDefault="00F856AC" w14:paraId="3C5989C4" w14:textId="77777777">
      <w:pPr>
        <w:numPr>
          <w:ilvl w:val="0"/>
          <w:numId w:val="3"/>
        </w:numPr>
        <w:ind w:left="357" w:hanging="357"/>
        <w:contextualSpacing/>
      </w:pPr>
      <w:r w:rsidRPr="00FF1EF3">
        <w:t>Il nuovo Consiglio UE-USA per il commercio e la tecnologia (</w:t>
      </w:r>
      <w:r w:rsidRPr="00FF1EF3">
        <w:rPr>
          <w:i/>
          <w:iCs/>
        </w:rPr>
        <w:t>Trade and Technology Council</w:t>
      </w:r>
      <w:r w:rsidRPr="00FF1EF3">
        <w:t xml:space="preserve"> - TTC) può costituire la colonna portante di un'agenda volta a rilanciare il nostro partenariato transatlantico con canali di cooperazione affidabili. Il TTC può essere un'importante sede di discussione in cui affrontare gli ostacoli sul cammino delle relazioni bilaterali UE-USA in materia di scambi commerciali e di investimenti, oltre che una piattaforma strategica per tutelare i nostri valori e reagire alle perturbazioni del commercio a livello mondiale.</w:t>
      </w:r>
    </w:p>
    <w:p w:rsidRPr="00FF1EF3" w:rsidR="009D1CA2" w:rsidP="009D1CA2" w:rsidRDefault="00F856AC" w14:paraId="5206FD24" w14:textId="77777777">
      <w:pPr>
        <w:numPr>
          <w:ilvl w:val="0"/>
          <w:numId w:val="3"/>
        </w:numPr>
        <w:ind w:left="357" w:hanging="357"/>
        <w:contextualSpacing/>
      </w:pPr>
      <w:r w:rsidRPr="00FF1EF3">
        <w:t>In un periodo di turbolenze geopolitiche, su tutti gli attori incombe la grande responsabilità di promuovere un quadro di cooperazione moderno per il commercio e la tecnologia, che favorisca un'economia aperta e sostenibile, nonché un commercio libero ed equo, e rispetti i valori democratici, il lavoro dignitoso e i diritti umani.</w:t>
      </w:r>
    </w:p>
    <w:p w:rsidRPr="00FF1EF3" w:rsidR="009D1CA2" w:rsidP="009D1CA2" w:rsidRDefault="00F856AC" w14:paraId="712A3F38" w14:textId="77777777">
      <w:pPr>
        <w:numPr>
          <w:ilvl w:val="0"/>
          <w:numId w:val="3"/>
        </w:numPr>
        <w:ind w:left="357" w:hanging="357"/>
        <w:contextualSpacing/>
      </w:pPr>
      <w:r w:rsidRPr="00FF1EF3">
        <w:t>Nei settori del commercio e della tecnologia non si tratta solo di questioni di regolamentazione: tali settori sono strumenti essenziali per proteggere e promuovere questi valori universali in tutto il mondo. Il TTC offre un'opportunità unica per una cooperazione strategica sul commercio e la tecnologia che superi gli attuali accordi di cooperazione ad hoc.</w:t>
      </w:r>
    </w:p>
    <w:p w:rsidRPr="00FF1EF3" w:rsidR="0005170F" w:rsidP="0005170F" w:rsidRDefault="00F856AC" w14:paraId="7CC82BD2" w14:textId="77777777">
      <w:pPr>
        <w:numPr>
          <w:ilvl w:val="0"/>
          <w:numId w:val="3"/>
        </w:numPr>
        <w:ind w:left="357" w:hanging="357"/>
        <w:contextualSpacing/>
      </w:pPr>
      <w:r w:rsidRPr="00FF1EF3">
        <w:t>I partner transatlantici devono individuare rapidamente le modalità per rafforzare la resilienza delle nostre società democratiche aperte, in particolare garantendo le nostre catene di valore e di approvvigionamento globali e la nostra sicurezza energetica, e ancor di più tenendo presente, oggi, l'urgente necessità di sostituire le forniture di energia e di materie prime dalla Russia. L'UE e gli Stati Uniti devono adoperarsi maggiormente per rafforzare il multilateralismo e affrontare le sfide connesse ai cambiamenti climatici, garantire che il commercio libero ed equo non sia compromesso e impedire le perturbazioni del mercato provocate da Stati autoritari.</w:t>
      </w:r>
    </w:p>
    <w:p w:rsidRPr="00FF1EF3" w:rsidR="0005170F" w:rsidP="0005170F" w:rsidRDefault="00F856AC" w14:paraId="26460775" w14:textId="77777777">
      <w:pPr>
        <w:numPr>
          <w:ilvl w:val="0"/>
          <w:numId w:val="3"/>
        </w:numPr>
        <w:ind w:left="357" w:hanging="357"/>
        <w:contextualSpacing/>
      </w:pPr>
      <w:r w:rsidRPr="00FF1EF3">
        <w:t>Nell'ambito del nuovo Consiglio UE-USA per il commercio e la tecnologia, l'UE e gli Stati Uniti devono impegnarsi ad adottare un approccio più strategico e orizzontale, e i dieci gruppi di lavoro istituiti nell'ambito del TTC dovrebbero cercare di adottare un approccio globale ed efficacemente coordinato alla cooperazione, che non crei compartimentazioni inutili. Il CESE accoglie con favore l'annuncio dell'instaurazione di un dialogo tripartito sul commercio e il lavoro, ma esorta la Commissione europea ad affrontare il problema dello squilibrio concernente la democrazia nei rapporti di lavoro, dovuto alla mancata ratifica di sei convenzioni fondamentali dell'OIL.</w:t>
      </w:r>
    </w:p>
    <w:p w:rsidRPr="00FF1EF3" w:rsidR="0005170F" w:rsidP="00F856AC" w:rsidRDefault="00F856AC" w14:paraId="6798EA32" w14:textId="77777777">
      <w:pPr>
        <w:numPr>
          <w:ilvl w:val="0"/>
          <w:numId w:val="3"/>
        </w:numPr>
        <w:ind w:left="357" w:hanging="357"/>
        <w:contextualSpacing/>
      </w:pPr>
      <w:r w:rsidRPr="00FF1EF3">
        <w:t>La trasparenza e il forte impegno delle parti interessate su entrambe le sponde dell'Atlantico sono l'unica via da seguire se si vuole che il TTC raggiunga i suoi obiettivi. Il CESE si impegnerà attivamente in seno alle strutture del TTC e si adopererà per partecipare, in quanto portatore di interessi della società civile senza pari con altri soggetti, alle riunioni di livello ministeriale del TTC.</w:t>
      </w:r>
    </w:p>
    <w:p w:rsidRPr="00FF1EF3" w:rsidR="0005170F" w:rsidP="0005170F" w:rsidRDefault="0005170F" w14:paraId="705D6012"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F856AC" w:rsidTr="00BC41D9" w14:paraId="3C4C05EA" w14:textId="77777777">
        <w:tc>
          <w:tcPr>
            <w:tcW w:w="1418" w:type="dxa"/>
          </w:tcPr>
          <w:p w:rsidRPr="00FF1EF3" w:rsidR="00F856AC" w:rsidP="00F856AC" w:rsidRDefault="00F856AC" w14:paraId="493B7F8F" w14:textId="77777777">
            <w:pPr>
              <w:pStyle w:val="ListParagraph"/>
              <w:ind w:left="0"/>
              <w:rPr>
                <w:i/>
              </w:rPr>
            </w:pPr>
            <w:r w:rsidRPr="00FF1EF3">
              <w:rPr>
                <w:b/>
                <w:i/>
              </w:rPr>
              <w:t>Contatto</w:t>
            </w:r>
          </w:p>
        </w:tc>
        <w:tc>
          <w:tcPr>
            <w:tcW w:w="5670" w:type="dxa"/>
          </w:tcPr>
          <w:p w:rsidRPr="00FF1EF3" w:rsidR="00F856AC" w:rsidP="00F856AC" w:rsidRDefault="00F856AC" w14:paraId="0A9975E2" w14:textId="77777777">
            <w:pPr>
              <w:pStyle w:val="ListParagraph"/>
              <w:ind w:left="0"/>
              <w:rPr>
                <w:i/>
              </w:rPr>
            </w:pPr>
            <w:r w:rsidRPr="00FF1EF3">
              <w:rPr>
                <w:i/>
              </w:rPr>
              <w:t>Gunilla FEVRE-BURDY</w:t>
            </w:r>
          </w:p>
        </w:tc>
      </w:tr>
      <w:tr w:rsidRPr="00FF1EF3" w:rsidR="00F856AC" w:rsidTr="00BC41D9" w14:paraId="04C8463A" w14:textId="77777777">
        <w:tc>
          <w:tcPr>
            <w:tcW w:w="1418" w:type="dxa"/>
          </w:tcPr>
          <w:p w:rsidRPr="00FF1EF3" w:rsidR="00F856AC" w:rsidP="00F856AC" w:rsidRDefault="00F856AC" w14:paraId="4B8BBF4B" w14:textId="77777777">
            <w:pPr>
              <w:pStyle w:val="ListParagraph"/>
              <w:ind w:left="601"/>
              <w:rPr>
                <w:i/>
              </w:rPr>
            </w:pPr>
            <w:r w:rsidRPr="00FF1EF3">
              <w:rPr>
                <w:i/>
              </w:rPr>
              <w:t>Tel.</w:t>
            </w:r>
          </w:p>
        </w:tc>
        <w:tc>
          <w:tcPr>
            <w:tcW w:w="5670" w:type="dxa"/>
          </w:tcPr>
          <w:p w:rsidRPr="00FF1EF3" w:rsidR="00F856AC" w:rsidP="00F856AC" w:rsidRDefault="00F856AC" w14:paraId="4B367F8E" w14:textId="77777777">
            <w:pPr>
              <w:pStyle w:val="ListParagraph"/>
              <w:ind w:left="0"/>
              <w:rPr>
                <w:i/>
              </w:rPr>
            </w:pPr>
            <w:r w:rsidRPr="00FF1EF3">
              <w:rPr>
                <w:i/>
              </w:rPr>
              <w:t>00 32 2 546 91 08</w:t>
            </w:r>
          </w:p>
        </w:tc>
      </w:tr>
      <w:tr w:rsidRPr="00FF1EF3" w:rsidR="00F856AC" w:rsidTr="00BC41D9" w14:paraId="348A3E99" w14:textId="77777777">
        <w:tc>
          <w:tcPr>
            <w:tcW w:w="1418" w:type="dxa"/>
          </w:tcPr>
          <w:p w:rsidRPr="00FF1EF3" w:rsidR="00F856AC" w:rsidP="00F856AC" w:rsidRDefault="00FF1EF3" w14:paraId="123AD82B" w14:textId="4166A6D9">
            <w:pPr>
              <w:pStyle w:val="ListParagraph"/>
              <w:ind w:left="601"/>
              <w:rPr>
                <w:i/>
              </w:rPr>
            </w:pPr>
            <w:r w:rsidRPr="00FF1EF3">
              <w:rPr>
                <w:i/>
              </w:rPr>
              <w:t>E</w:t>
            </w:r>
            <w:r w:rsidRPr="00FF1EF3" w:rsidR="00F856AC">
              <w:rPr>
                <w:i/>
              </w:rPr>
              <w:t>-mail</w:t>
            </w:r>
          </w:p>
        </w:tc>
        <w:tc>
          <w:tcPr>
            <w:tcW w:w="5670" w:type="dxa"/>
          </w:tcPr>
          <w:p w:rsidRPr="00FF1EF3" w:rsidR="00F856AC" w:rsidP="00F856AC" w:rsidRDefault="004F624E" w14:paraId="7683ACD4" w14:textId="77777777">
            <w:pPr>
              <w:pStyle w:val="ListParagraph"/>
              <w:ind w:left="0"/>
              <w:rPr>
                <w:i/>
              </w:rPr>
            </w:pPr>
            <w:hyperlink w:history="1" r:id="rId38">
              <w:r w:rsidRPr="00FF1EF3" w:rsidR="00462EFB">
                <w:rPr>
                  <w:rStyle w:val="Hyperlink"/>
                  <w:i/>
                </w:rPr>
                <w:t>Gunilla.Sandberg@eesc.europa.eu</w:t>
              </w:r>
            </w:hyperlink>
          </w:p>
        </w:tc>
      </w:tr>
    </w:tbl>
    <w:p w:rsidRPr="00FF1EF3" w:rsidR="00910972" w:rsidRDefault="00910972" w14:paraId="12885432" w14:textId="77777777">
      <w:pPr>
        <w:spacing w:after="160" w:line="259" w:lineRule="auto"/>
        <w:jc w:val="left"/>
        <w:rPr>
          <w:szCs w:val="28"/>
        </w:rPr>
      </w:pPr>
      <w:r w:rsidRPr="00FF1EF3">
        <w:br w:type="page"/>
      </w:r>
    </w:p>
    <w:p w:rsidRPr="00FF1EF3" w:rsidR="00D55B4C" w:rsidP="00D55B4C" w:rsidRDefault="00D55B4C" w14:paraId="55AF9FAB" w14:textId="77777777">
      <w:pPr>
        <w:pStyle w:val="ListParagraph"/>
        <w:keepNext/>
        <w:keepLines/>
        <w:numPr>
          <w:ilvl w:val="0"/>
          <w:numId w:val="2"/>
        </w:numPr>
        <w:ind w:left="567" w:hanging="567"/>
        <w:rPr>
          <w:b/>
          <w:i/>
          <w:sz w:val="28"/>
          <w:szCs w:val="28"/>
        </w:rPr>
      </w:pPr>
      <w:r w:rsidRPr="00FF1EF3">
        <w:rPr>
          <w:b/>
          <w:i/>
          <w:sz w:val="28"/>
        </w:rPr>
        <w:t>La politica per la gioventù nei Balcani occidentali</w:t>
      </w:r>
    </w:p>
    <w:p w:rsidRPr="00FF1EF3" w:rsidR="00D55B4C" w:rsidP="00D55B4C" w:rsidRDefault="00D55B4C" w14:paraId="4D8D4A99" w14:textId="77777777">
      <w:pPr>
        <w:keepNext/>
        <w:keepLines/>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FF1EF3" w:rsidR="00D55B4C" w:rsidTr="00D13F40" w14:paraId="5092A14F" w14:textId="77777777">
        <w:tc>
          <w:tcPr>
            <w:tcW w:w="1701" w:type="dxa"/>
          </w:tcPr>
          <w:p w:rsidRPr="00FF1EF3" w:rsidR="00D55B4C" w:rsidP="00D13F40" w:rsidRDefault="00FF1EF3" w14:paraId="4073A381" w14:textId="437BACEF">
            <w:pPr>
              <w:pStyle w:val="ListParagraph"/>
              <w:keepNext/>
              <w:ind w:left="0"/>
              <w:rPr>
                <w:b/>
              </w:rPr>
            </w:pPr>
            <w:r w:rsidRPr="00FF1EF3">
              <w:rPr>
                <w:b/>
              </w:rPr>
              <w:t>Relatore</w:t>
            </w:r>
          </w:p>
        </w:tc>
        <w:tc>
          <w:tcPr>
            <w:tcW w:w="5387" w:type="dxa"/>
          </w:tcPr>
          <w:p w:rsidRPr="00FF1EF3" w:rsidR="00D55B4C" w:rsidP="00D13F40" w:rsidRDefault="00D55B4C" w14:paraId="2F545020" w14:textId="77777777">
            <w:pPr>
              <w:pStyle w:val="ListParagraph"/>
              <w:keepNext/>
              <w:ind w:left="-106"/>
            </w:pPr>
            <w:r w:rsidRPr="00FF1EF3">
              <w:t>Ionuţ SIBIAN (Organizzazioni della società civile - RO)</w:t>
            </w:r>
          </w:p>
        </w:tc>
      </w:tr>
      <w:tr w:rsidRPr="00FF1EF3" w:rsidR="00D55B4C" w:rsidTr="00D13F40" w14:paraId="34B47862" w14:textId="77777777">
        <w:tc>
          <w:tcPr>
            <w:tcW w:w="1701" w:type="dxa"/>
          </w:tcPr>
          <w:p w:rsidRPr="00FF1EF3" w:rsidR="00D55B4C" w:rsidP="00D13F40" w:rsidRDefault="00FF1EF3" w14:paraId="24432AB1" w14:textId="793E3D47">
            <w:pPr>
              <w:pStyle w:val="ListParagraph"/>
              <w:keepNext/>
              <w:ind w:left="0"/>
              <w:rPr>
                <w:b/>
              </w:rPr>
            </w:pPr>
            <w:r w:rsidRPr="00FF1EF3">
              <w:rPr>
                <w:b/>
              </w:rPr>
              <w:t>Correlatore</w:t>
            </w:r>
          </w:p>
        </w:tc>
        <w:tc>
          <w:tcPr>
            <w:tcW w:w="5387" w:type="dxa"/>
          </w:tcPr>
          <w:p w:rsidRPr="00FF1EF3" w:rsidR="00D55B4C" w:rsidP="00D13F40" w:rsidRDefault="00D55B4C" w14:paraId="3FC99DB8" w14:textId="77777777">
            <w:pPr>
              <w:pStyle w:val="ListParagraph"/>
              <w:keepNext/>
              <w:ind w:left="-106"/>
            </w:pPr>
            <w:r w:rsidRPr="00FF1EF3">
              <w:t>Andrej ZORKO (Lavoratori - SI)</w:t>
            </w:r>
          </w:p>
        </w:tc>
      </w:tr>
      <w:tr w:rsidRPr="00FF1EF3" w:rsidR="00D55B4C" w:rsidTr="00D13F40" w14:paraId="2CDF0A57" w14:textId="77777777">
        <w:tc>
          <w:tcPr>
            <w:tcW w:w="7088" w:type="dxa"/>
            <w:gridSpan w:val="2"/>
          </w:tcPr>
          <w:p w:rsidRPr="00FF1EF3" w:rsidR="00D55B4C" w:rsidP="00D13F40" w:rsidRDefault="00D55B4C" w14:paraId="0A7B0798" w14:textId="77777777">
            <w:pPr>
              <w:pStyle w:val="ListParagraph"/>
              <w:keepNext/>
              <w:ind w:left="0"/>
            </w:pPr>
          </w:p>
        </w:tc>
      </w:tr>
      <w:tr w:rsidRPr="00FF1EF3" w:rsidR="00D55B4C" w:rsidTr="00D13F40" w14:paraId="57E6BBE5" w14:textId="77777777">
        <w:tc>
          <w:tcPr>
            <w:tcW w:w="1701" w:type="dxa"/>
          </w:tcPr>
          <w:p w:rsidRPr="00FF1EF3" w:rsidR="00D55B4C" w:rsidP="00D13F40" w:rsidRDefault="00D55B4C" w14:paraId="039C8752" w14:textId="77777777">
            <w:pPr>
              <w:pStyle w:val="ListParagraph"/>
              <w:keepNext/>
              <w:ind w:left="0"/>
              <w:rPr>
                <w:b/>
              </w:rPr>
            </w:pPr>
            <w:r w:rsidRPr="00FF1EF3">
              <w:rPr>
                <w:b/>
              </w:rPr>
              <w:t xml:space="preserve">Riferimento </w:t>
            </w:r>
          </w:p>
        </w:tc>
        <w:tc>
          <w:tcPr>
            <w:tcW w:w="5387" w:type="dxa"/>
          </w:tcPr>
          <w:p w:rsidRPr="00FF1EF3" w:rsidR="00D55B4C" w:rsidP="00D13F40" w:rsidRDefault="00D55B4C" w14:paraId="270014DB" w14:textId="77777777">
            <w:pPr>
              <w:pStyle w:val="ListParagraph"/>
              <w:keepNext/>
              <w:ind w:left="-106"/>
              <w:rPr>
                <w:iCs/>
                <w:color w:val="000000"/>
              </w:rPr>
            </w:pPr>
            <w:r w:rsidRPr="00FF1EF3">
              <w:rPr>
                <w:color w:val="000000"/>
              </w:rPr>
              <w:t>Parere d'iniziativa</w:t>
            </w:r>
          </w:p>
          <w:p w:rsidRPr="00FF1EF3" w:rsidR="00D55B4C" w:rsidP="00D13F40" w:rsidRDefault="00D55B4C" w14:paraId="492CD4A6" w14:textId="77777777">
            <w:pPr>
              <w:pStyle w:val="ListParagraph"/>
              <w:keepNext/>
              <w:ind w:left="-106"/>
            </w:pPr>
            <w:r w:rsidRPr="00FF1EF3">
              <w:t>EESC-2022-00778-00-00-AC</w:t>
            </w:r>
          </w:p>
        </w:tc>
      </w:tr>
    </w:tbl>
    <w:p w:rsidRPr="00FF1EF3" w:rsidR="00D55B4C" w:rsidP="00D55B4C" w:rsidRDefault="00D55B4C" w14:paraId="49C326FE" w14:textId="77777777">
      <w:pPr>
        <w:pStyle w:val="ListParagraph"/>
        <w:keepNext/>
        <w:ind w:left="567"/>
      </w:pPr>
    </w:p>
    <w:p w:rsidRPr="00FF1EF3" w:rsidR="00D55B4C" w:rsidP="00D55B4C" w:rsidRDefault="00D55B4C" w14:paraId="5EBBC034" w14:textId="3622AA3C">
      <w:pPr>
        <w:pStyle w:val="ListParagraph"/>
        <w:spacing w:line="240" w:lineRule="auto"/>
        <w:ind w:left="-142" w:firstLine="142"/>
        <w:rPr>
          <w:b/>
        </w:rPr>
      </w:pPr>
      <w:r w:rsidRPr="00FF1EF3">
        <w:rPr>
          <w:b/>
        </w:rPr>
        <w:t>Punti principali</w:t>
      </w:r>
    </w:p>
    <w:p w:rsidRPr="00FF1EF3" w:rsidR="00D55B4C" w:rsidP="00D55B4C" w:rsidRDefault="00D55B4C" w14:paraId="63C9743D" w14:textId="77777777">
      <w:pPr>
        <w:pStyle w:val="ListParagraph"/>
        <w:ind w:left="0"/>
      </w:pPr>
    </w:p>
    <w:p w:rsidRPr="00FF1EF3" w:rsidR="00DD23A2" w:rsidP="00D55B4C" w:rsidRDefault="00DD23A2" w14:paraId="427D30D6" w14:textId="77777777">
      <w:pPr>
        <w:pStyle w:val="ListParagraph"/>
        <w:ind w:left="0"/>
        <w:rPr>
          <w:bCs/>
          <w:iCs/>
        </w:rPr>
      </w:pPr>
      <w:r w:rsidRPr="00FF1EF3">
        <w:t>Il CESE:</w:t>
      </w:r>
    </w:p>
    <w:p w:rsidRPr="00FF1EF3" w:rsidR="00DD23A2" w:rsidP="00D55B4C" w:rsidRDefault="00DD23A2" w14:paraId="57C75210" w14:textId="77777777">
      <w:pPr>
        <w:pStyle w:val="ListParagraph"/>
        <w:ind w:left="0"/>
      </w:pPr>
    </w:p>
    <w:p w:rsidRPr="00FF1EF3" w:rsidR="00D55B4C" w:rsidP="00D55B4C" w:rsidRDefault="00DD23A2" w14:paraId="14A4253A" w14:textId="77777777">
      <w:pPr>
        <w:numPr>
          <w:ilvl w:val="0"/>
          <w:numId w:val="3"/>
        </w:numPr>
        <w:ind w:left="357" w:hanging="357"/>
        <w:contextualSpacing/>
      </w:pPr>
      <w:r w:rsidRPr="00FF1EF3">
        <w:t xml:space="preserve">invita i governi dei partner dei Balcani occidentali a </w:t>
      </w:r>
      <w:r w:rsidRPr="00FF1EF3">
        <w:rPr>
          <w:b/>
        </w:rPr>
        <w:t>seguire i documenti chiave dell'UE in materia di politiche giovanili</w:t>
      </w:r>
      <w:r w:rsidRPr="00FF1EF3">
        <w:t xml:space="preserve"> e a </w:t>
      </w:r>
      <w:r w:rsidRPr="00FF1EF3">
        <w:rPr>
          <w:b/>
        </w:rPr>
        <w:t>investire ulteriormente in politiche per i giovani basate su dati concreti</w:t>
      </w:r>
      <w:r w:rsidRPr="00FF1EF3">
        <w:t xml:space="preserve"> per affrontare le sfide dello sviluppo giovanile. </w:t>
      </w:r>
      <w:r w:rsidRPr="00FF1EF3">
        <w:rPr>
          <w:b/>
        </w:rPr>
        <w:t>Dotazioni di bilancio sufficienti e trasparenti per lo sviluppo delle politiche giovanili</w:t>
      </w:r>
      <w:r w:rsidRPr="00FF1EF3">
        <w:t xml:space="preserve"> sono un requisito imprescindibile per facilitare cambiamenti positivi e migliorare la situazione dei giovani;</w:t>
      </w:r>
    </w:p>
    <w:p w:rsidRPr="00FF1EF3" w:rsidR="00D55B4C" w:rsidP="00D55B4C" w:rsidRDefault="00DD23A2" w14:paraId="7834EDBF" w14:textId="77777777">
      <w:pPr>
        <w:numPr>
          <w:ilvl w:val="0"/>
          <w:numId w:val="3"/>
        </w:numPr>
        <w:ind w:left="357" w:hanging="357"/>
        <w:contextualSpacing/>
      </w:pPr>
      <w:r w:rsidRPr="00FF1EF3">
        <w:t xml:space="preserve">ritiene che sia fondamentale coinvolgere le parti sociali e le organizzazioni della società civile al fine di realizzare una </w:t>
      </w:r>
      <w:r w:rsidRPr="00FF1EF3">
        <w:rPr>
          <w:b/>
        </w:rPr>
        <w:t>riforma più ampia volta a migliorare i diritti sociali e le prospettive dei giovani</w:t>
      </w:r>
      <w:r w:rsidRPr="00FF1EF3">
        <w:t xml:space="preserve">. Invita inoltre le </w:t>
      </w:r>
      <w:r w:rsidRPr="00FF1EF3">
        <w:rPr>
          <w:b/>
        </w:rPr>
        <w:t>parti sociali</w:t>
      </w:r>
      <w:r w:rsidRPr="00FF1EF3">
        <w:t xml:space="preserve"> dei Balcani occidentali, a livello nazionale e settoriale, </w:t>
      </w:r>
      <w:r w:rsidRPr="00FF1EF3">
        <w:rPr>
          <w:b/>
        </w:rPr>
        <w:t>a</w:t>
      </w:r>
      <w:r w:rsidRPr="00FF1EF3">
        <w:t xml:space="preserve"> </w:t>
      </w:r>
      <w:r w:rsidRPr="00FF1EF3">
        <w:rPr>
          <w:b/>
        </w:rPr>
        <w:t>coinvolgere attivamente i giovani</w:t>
      </w:r>
      <w:r w:rsidRPr="00FF1EF3">
        <w:t xml:space="preserve"> in tutte le loro attività, compresa la contrattazione collettiva;</w:t>
      </w:r>
    </w:p>
    <w:p w:rsidRPr="00FF1EF3" w:rsidR="00D55B4C" w:rsidP="00D55B4C" w:rsidRDefault="00DD23A2" w14:paraId="2191A3C3" w14:textId="77777777">
      <w:pPr>
        <w:numPr>
          <w:ilvl w:val="0"/>
          <w:numId w:val="3"/>
        </w:numPr>
        <w:ind w:left="357" w:hanging="357"/>
        <w:contextualSpacing/>
      </w:pPr>
      <w:r w:rsidRPr="00FF1EF3">
        <w:t xml:space="preserve">chiede di attuare la </w:t>
      </w:r>
      <w:r w:rsidRPr="00FF1EF3">
        <w:rPr>
          <w:b/>
        </w:rPr>
        <w:t>Garanzia per i giovani nei Balcani occidentali</w:t>
      </w:r>
      <w:r w:rsidRPr="00FF1EF3">
        <w:t xml:space="preserve"> seguendo le raccomandazioni del Consiglio su una garanzia per i giovani rafforzata, in </w:t>
      </w:r>
      <w:r w:rsidRPr="00FF1EF3">
        <w:rPr>
          <w:b/>
        </w:rPr>
        <w:t>partenariato tra i prestatori della Garanzia per i giovani e i soggetti interessati</w:t>
      </w:r>
      <w:r w:rsidRPr="00FF1EF3">
        <w:t xml:space="preserve">, e di </w:t>
      </w:r>
      <w:r w:rsidRPr="00FF1EF3">
        <w:rPr>
          <w:b/>
        </w:rPr>
        <w:t>aumentare le capacità dei servizi pubblici per l'impiego</w:t>
      </w:r>
      <w:r w:rsidRPr="00FF1EF3">
        <w:t>;</w:t>
      </w:r>
    </w:p>
    <w:p w:rsidRPr="00FF1EF3" w:rsidR="00D55B4C" w:rsidP="00D55B4C" w:rsidRDefault="00DD23A2" w14:paraId="6B442E8D" w14:textId="77777777">
      <w:pPr>
        <w:numPr>
          <w:ilvl w:val="0"/>
          <w:numId w:val="3"/>
        </w:numPr>
        <w:ind w:left="357" w:hanging="357"/>
        <w:contextualSpacing/>
      </w:pPr>
      <w:r w:rsidRPr="00FF1EF3">
        <w:t xml:space="preserve">invita a </w:t>
      </w:r>
      <w:r w:rsidRPr="00FF1EF3">
        <w:rPr>
          <w:b/>
        </w:rPr>
        <w:t>rafforzare i programmi e le strutture regionali dell'UE</w:t>
      </w:r>
      <w:r w:rsidRPr="00FF1EF3">
        <w:t xml:space="preserve">, con l'obiettivo di raggiungere un maggior numero di giovani nei Balcani occidentali offrendo loro opportunità di istruzione, mobilità, volontariato e occupazione. L'UE dovrebbe aiutare i Balcani occidentali a </w:t>
      </w:r>
      <w:r w:rsidRPr="00FF1EF3">
        <w:rPr>
          <w:b/>
        </w:rPr>
        <w:t>individuare i settori e le direttrici principali idonei a favorire cambiamenti</w:t>
      </w:r>
      <w:r w:rsidRPr="00FF1EF3">
        <w:t xml:space="preserve"> per i cittadini di tale regione, e in particolare per i giovani, nonché esaminare ulteriormente i modi per </w:t>
      </w:r>
      <w:r w:rsidRPr="00FF1EF3">
        <w:rPr>
          <w:b/>
        </w:rPr>
        <w:t>sostenere le strutture giovanili pertinenti nei Balcani occidentali</w:t>
      </w:r>
      <w:r w:rsidRPr="00FF1EF3">
        <w:t xml:space="preserve">, consentendo un </w:t>
      </w:r>
      <w:r w:rsidRPr="00FF1EF3">
        <w:rPr>
          <w:b/>
        </w:rPr>
        <w:t>dialogo regionale sulle politiche giovanili</w:t>
      </w:r>
      <w:r w:rsidRPr="00FF1EF3">
        <w:t>;</w:t>
      </w:r>
    </w:p>
    <w:p w:rsidRPr="00FF1EF3" w:rsidR="00DD23A2" w:rsidP="00D55B4C" w:rsidRDefault="00DD23A2" w14:paraId="31BAD8B3" w14:textId="77777777">
      <w:pPr>
        <w:numPr>
          <w:ilvl w:val="0"/>
          <w:numId w:val="3"/>
        </w:numPr>
        <w:ind w:left="357" w:hanging="357"/>
        <w:contextualSpacing/>
      </w:pPr>
      <w:r w:rsidRPr="00FF1EF3">
        <w:t xml:space="preserve">invita l'UE a sostenere ulteriormente i Balcani occidentali nel </w:t>
      </w:r>
      <w:r w:rsidRPr="00FF1EF3">
        <w:rPr>
          <w:b/>
        </w:rPr>
        <w:t>migliorare la partecipazione dei giovani</w:t>
      </w:r>
      <w:r w:rsidRPr="00FF1EF3">
        <w:t>, tenendo conto della correlazione positiva tra la mobilità in materia di istruzione o formazione e l'</w:t>
      </w:r>
      <w:r w:rsidRPr="00FF1EF3">
        <w:rPr>
          <w:b/>
        </w:rPr>
        <w:t>impegno civico e politico dei giovani</w:t>
      </w:r>
      <w:r w:rsidRPr="00FF1EF3">
        <w:t>;</w:t>
      </w:r>
    </w:p>
    <w:p w:rsidRPr="00FF1EF3" w:rsidR="00DD23A2" w:rsidP="00D55B4C" w:rsidRDefault="00DD23A2" w14:paraId="68182012" w14:textId="77777777">
      <w:pPr>
        <w:numPr>
          <w:ilvl w:val="0"/>
          <w:numId w:val="3"/>
        </w:numPr>
        <w:ind w:left="357" w:hanging="357"/>
        <w:contextualSpacing/>
      </w:pPr>
      <w:r w:rsidRPr="00FF1EF3">
        <w:t xml:space="preserve">ribadisce l'importanza dei giovani per il futuro dei Balcani occidentali e quindi l'importanza di adottare </w:t>
      </w:r>
      <w:r w:rsidRPr="00FF1EF3">
        <w:rPr>
          <w:b/>
        </w:rPr>
        <w:t>misure concrete per trasformare la regione in un luogo che offra prospettive e opportunità future per i giovani, permettendo loro di rimanere e prosperare</w:t>
      </w:r>
      <w:r w:rsidRPr="00FF1EF3">
        <w:t>.</w:t>
      </w:r>
    </w:p>
    <w:p w:rsidRPr="00FF1EF3" w:rsidR="00D55B4C" w:rsidP="00D55B4C" w:rsidRDefault="00D55B4C" w14:paraId="0093329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D55B4C" w:rsidTr="00D13F40" w14:paraId="0569EDD4" w14:textId="77777777">
        <w:tc>
          <w:tcPr>
            <w:tcW w:w="1418" w:type="dxa"/>
          </w:tcPr>
          <w:p w:rsidRPr="00FF1EF3" w:rsidR="00D55B4C" w:rsidP="00D13F40" w:rsidRDefault="00D55B4C" w14:paraId="2A08EC2E" w14:textId="77777777">
            <w:pPr>
              <w:pStyle w:val="ListParagraph"/>
              <w:ind w:left="0"/>
              <w:rPr>
                <w:i/>
              </w:rPr>
            </w:pPr>
            <w:r w:rsidRPr="00FF1EF3">
              <w:rPr>
                <w:b/>
                <w:i/>
              </w:rPr>
              <w:t>Contatto</w:t>
            </w:r>
          </w:p>
        </w:tc>
        <w:tc>
          <w:tcPr>
            <w:tcW w:w="5670" w:type="dxa"/>
          </w:tcPr>
          <w:p w:rsidRPr="00FF1EF3" w:rsidR="00D55B4C" w:rsidP="00D13F40" w:rsidRDefault="00DD23A2" w14:paraId="335956F6" w14:textId="77777777">
            <w:pPr>
              <w:pStyle w:val="ListParagraph"/>
              <w:ind w:left="0"/>
              <w:rPr>
                <w:i/>
              </w:rPr>
            </w:pPr>
            <w:r w:rsidRPr="00FF1EF3">
              <w:rPr>
                <w:i/>
              </w:rPr>
              <w:t>David HOIĆ</w:t>
            </w:r>
          </w:p>
        </w:tc>
      </w:tr>
      <w:tr w:rsidRPr="00FF1EF3" w:rsidR="00D55B4C" w:rsidTr="00D13F40" w14:paraId="4AA291B3" w14:textId="77777777">
        <w:tc>
          <w:tcPr>
            <w:tcW w:w="1418" w:type="dxa"/>
          </w:tcPr>
          <w:p w:rsidRPr="00FF1EF3" w:rsidR="00D55B4C" w:rsidP="00D13F40" w:rsidRDefault="00D55B4C" w14:paraId="4BD5A0AA" w14:textId="77777777">
            <w:pPr>
              <w:pStyle w:val="ListParagraph"/>
              <w:ind w:left="601"/>
              <w:rPr>
                <w:i/>
              </w:rPr>
            </w:pPr>
            <w:r w:rsidRPr="00FF1EF3">
              <w:rPr>
                <w:i/>
              </w:rPr>
              <w:t>Tel.</w:t>
            </w:r>
          </w:p>
        </w:tc>
        <w:tc>
          <w:tcPr>
            <w:tcW w:w="5670" w:type="dxa"/>
          </w:tcPr>
          <w:p w:rsidRPr="00FF1EF3" w:rsidR="00D55B4C" w:rsidP="00D13F40" w:rsidRDefault="00DD23A2" w14:paraId="5D817641" w14:textId="77777777">
            <w:pPr>
              <w:pStyle w:val="ListParagraph"/>
              <w:ind w:left="0"/>
              <w:rPr>
                <w:i/>
              </w:rPr>
            </w:pPr>
            <w:r w:rsidRPr="00FF1EF3">
              <w:rPr>
                <w:i/>
              </w:rPr>
              <w:t>00 32 2 546 90 69</w:t>
            </w:r>
          </w:p>
        </w:tc>
      </w:tr>
      <w:tr w:rsidRPr="00FF1EF3" w:rsidR="00D55B4C" w:rsidTr="00D13F40" w14:paraId="511A434F" w14:textId="77777777">
        <w:tc>
          <w:tcPr>
            <w:tcW w:w="1418" w:type="dxa"/>
          </w:tcPr>
          <w:p w:rsidRPr="00FF1EF3" w:rsidR="00D55B4C" w:rsidP="00D13F40" w:rsidRDefault="00FF1EF3" w14:paraId="59BC640E" w14:textId="0622B553">
            <w:pPr>
              <w:pStyle w:val="ListParagraph"/>
              <w:ind w:left="601"/>
              <w:rPr>
                <w:i/>
              </w:rPr>
            </w:pPr>
            <w:r w:rsidRPr="00FF1EF3">
              <w:rPr>
                <w:i/>
              </w:rPr>
              <w:t>E</w:t>
            </w:r>
            <w:r w:rsidRPr="00FF1EF3" w:rsidR="00D55B4C">
              <w:rPr>
                <w:i/>
              </w:rPr>
              <w:t>-mail</w:t>
            </w:r>
          </w:p>
        </w:tc>
        <w:tc>
          <w:tcPr>
            <w:tcW w:w="5670" w:type="dxa"/>
          </w:tcPr>
          <w:p w:rsidRPr="00FF1EF3" w:rsidR="00D55B4C" w:rsidP="00D13F40" w:rsidRDefault="004F624E" w14:paraId="2B5759BC" w14:textId="77777777">
            <w:pPr>
              <w:pStyle w:val="ListParagraph"/>
              <w:ind w:left="0"/>
              <w:rPr>
                <w:i/>
              </w:rPr>
            </w:pPr>
            <w:hyperlink w:history="1" r:id="rId39">
              <w:r w:rsidRPr="00FF1EF3" w:rsidR="00462EFB">
                <w:rPr>
                  <w:rStyle w:val="Hyperlink"/>
                  <w:i/>
                </w:rPr>
                <w:t>David.Hoic@eesc.europa.eu</w:t>
              </w:r>
            </w:hyperlink>
          </w:p>
        </w:tc>
      </w:tr>
    </w:tbl>
    <w:p w:rsidRPr="00FF1EF3" w:rsidR="00910972" w:rsidP="00A10A98" w:rsidRDefault="00910972" w14:paraId="77950882" w14:textId="4A0E5534">
      <w:pPr>
        <w:spacing w:line="240" w:lineRule="auto"/>
        <w:jc w:val="left"/>
        <w:rPr>
          <w:szCs w:val="28"/>
        </w:rPr>
      </w:pPr>
    </w:p>
    <w:p w:rsidRPr="00FF1EF3" w:rsidR="00910972" w:rsidRDefault="00910972" w14:paraId="22E7970A" w14:textId="77777777">
      <w:pPr>
        <w:spacing w:after="160" w:line="259" w:lineRule="auto"/>
        <w:jc w:val="left"/>
        <w:rPr>
          <w:szCs w:val="28"/>
        </w:rPr>
      </w:pPr>
      <w:r w:rsidRPr="00FF1EF3">
        <w:br w:type="page"/>
      </w:r>
    </w:p>
    <w:p w:rsidRPr="00FF1EF3" w:rsidR="00370CCB" w:rsidP="00370CCB" w:rsidRDefault="00D35C97" w14:paraId="2BF1BAE1" w14:textId="7425C1EF">
      <w:pPr>
        <w:pStyle w:val="ListParagraph"/>
        <w:keepNext/>
        <w:numPr>
          <w:ilvl w:val="0"/>
          <w:numId w:val="2"/>
        </w:numPr>
        <w:ind w:left="567" w:hanging="567"/>
        <w:rPr>
          <w:b/>
          <w:i/>
          <w:sz w:val="28"/>
          <w:szCs w:val="28"/>
        </w:rPr>
      </w:pPr>
      <w:r w:rsidRPr="00FF1EF3">
        <w:rPr>
          <w:b/>
          <w:i/>
          <w:sz w:val="28"/>
        </w:rPr>
        <w:t xml:space="preserve">Analisi del ruolo della società civile organizzata nel quadro del nuovo accordo UE-Organizzazione degli Stati dell'Africa, dei Caraibi e del Pacifico (OACPS), inclusa la situazione degli APE in tale ambito </w:t>
      </w:r>
    </w:p>
    <w:p w:rsidRPr="00FF1EF3" w:rsidR="00370CCB" w:rsidP="00370CCB" w:rsidRDefault="00370CCB" w14:paraId="739B23CD"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FF1EF3" w:rsidR="00370CCB" w:rsidTr="00BC41D9" w14:paraId="18E45DF9" w14:textId="77777777">
        <w:tc>
          <w:tcPr>
            <w:tcW w:w="1701" w:type="dxa"/>
          </w:tcPr>
          <w:p w:rsidRPr="00FF1EF3" w:rsidR="00370CCB" w:rsidP="00BC41D9" w:rsidRDefault="00FF1EF3" w14:paraId="21B9560D" w14:textId="1913700E">
            <w:pPr>
              <w:pStyle w:val="ListParagraph"/>
              <w:keepNext/>
              <w:ind w:left="0"/>
              <w:rPr>
                <w:b/>
              </w:rPr>
            </w:pPr>
            <w:r w:rsidRPr="00FF1EF3">
              <w:rPr>
                <w:b/>
              </w:rPr>
              <w:t>Relatore</w:t>
            </w:r>
          </w:p>
        </w:tc>
        <w:tc>
          <w:tcPr>
            <w:tcW w:w="5387" w:type="dxa"/>
          </w:tcPr>
          <w:p w:rsidRPr="00FF1EF3" w:rsidR="00370CCB" w:rsidP="00FF1EF3" w:rsidRDefault="00D35C97" w14:paraId="5E26FDD3" w14:textId="419B075F">
            <w:pPr>
              <w:pStyle w:val="ListParagraph"/>
              <w:keepNext/>
              <w:ind w:left="-106"/>
            </w:pPr>
            <w:r w:rsidRPr="00FF1EF3">
              <w:t>Carlos Manuel TRINDADE (Lavoratori</w:t>
            </w:r>
            <w:r w:rsidRPr="00FF1EF3" w:rsidR="00FF1EF3">
              <w:t xml:space="preserve"> -</w:t>
            </w:r>
            <w:r w:rsidRPr="00FF1EF3">
              <w:t xml:space="preserve"> PT)</w:t>
            </w:r>
          </w:p>
        </w:tc>
      </w:tr>
      <w:tr w:rsidRPr="00FF1EF3" w:rsidR="00370CCB" w:rsidTr="00BC41D9" w14:paraId="66A4D987" w14:textId="77777777">
        <w:tc>
          <w:tcPr>
            <w:tcW w:w="1701" w:type="dxa"/>
          </w:tcPr>
          <w:p w:rsidRPr="00FF1EF3" w:rsidR="00370CCB" w:rsidP="00BC41D9" w:rsidRDefault="00370CCB" w14:paraId="0BF5D687" w14:textId="77777777">
            <w:pPr>
              <w:pStyle w:val="ListParagraph"/>
              <w:keepNext/>
              <w:ind w:left="0"/>
              <w:rPr>
                <w:b/>
              </w:rPr>
            </w:pPr>
          </w:p>
        </w:tc>
        <w:tc>
          <w:tcPr>
            <w:tcW w:w="5387" w:type="dxa"/>
          </w:tcPr>
          <w:p w:rsidRPr="00FF1EF3" w:rsidR="00370CCB" w:rsidP="00BC41D9" w:rsidRDefault="00370CCB" w14:paraId="7133ADF1" w14:textId="77777777">
            <w:pPr>
              <w:pStyle w:val="ListParagraph"/>
              <w:keepNext/>
              <w:ind w:left="-106"/>
            </w:pPr>
          </w:p>
        </w:tc>
      </w:tr>
      <w:tr w:rsidRPr="00FF1EF3" w:rsidR="00370CCB" w:rsidTr="00BC41D9" w14:paraId="072D9F90" w14:textId="77777777">
        <w:tc>
          <w:tcPr>
            <w:tcW w:w="1701" w:type="dxa"/>
          </w:tcPr>
          <w:p w:rsidRPr="00FF1EF3" w:rsidR="00370CCB" w:rsidP="00BC41D9" w:rsidRDefault="00370CCB" w14:paraId="5D3A0E4C" w14:textId="77777777">
            <w:pPr>
              <w:pStyle w:val="ListParagraph"/>
              <w:keepNext/>
              <w:ind w:left="0"/>
              <w:rPr>
                <w:b/>
              </w:rPr>
            </w:pPr>
            <w:r w:rsidRPr="00FF1EF3">
              <w:rPr>
                <w:b/>
              </w:rPr>
              <w:t xml:space="preserve">Riferimento </w:t>
            </w:r>
          </w:p>
        </w:tc>
        <w:tc>
          <w:tcPr>
            <w:tcW w:w="5387" w:type="dxa"/>
          </w:tcPr>
          <w:p w:rsidRPr="00FF1EF3" w:rsidR="00370CCB" w:rsidP="00BC41D9" w:rsidRDefault="00D35C97" w14:paraId="174355ED" w14:textId="77777777">
            <w:pPr>
              <w:pStyle w:val="ListParagraph"/>
              <w:keepNext/>
              <w:ind w:left="-106"/>
              <w:rPr>
                <w:iCs/>
                <w:color w:val="000000"/>
              </w:rPr>
            </w:pPr>
            <w:r w:rsidRPr="00FF1EF3">
              <w:rPr>
                <w:color w:val="000000"/>
              </w:rPr>
              <w:t>Parere d'iniziativa</w:t>
            </w:r>
          </w:p>
          <w:p w:rsidRPr="00FF1EF3" w:rsidR="00370CCB" w:rsidP="00BC41D9" w:rsidRDefault="00BC29C8" w14:paraId="0D44102F" w14:textId="77777777">
            <w:pPr>
              <w:pStyle w:val="ListParagraph"/>
              <w:keepNext/>
              <w:ind w:left="-106"/>
            </w:pPr>
            <w:r w:rsidRPr="00FF1EF3">
              <w:t>EESC-2022-00344-00-00-AC</w:t>
            </w:r>
          </w:p>
        </w:tc>
      </w:tr>
    </w:tbl>
    <w:p w:rsidRPr="00FF1EF3" w:rsidR="00370CCB" w:rsidP="00370CCB" w:rsidRDefault="00370CCB" w14:paraId="7C4F0B89" w14:textId="77777777">
      <w:pPr>
        <w:pStyle w:val="ListParagraph"/>
        <w:keepNext/>
        <w:ind w:left="567"/>
      </w:pPr>
    </w:p>
    <w:p w:rsidRPr="00FF1EF3" w:rsidR="00370CCB" w:rsidP="001F1862" w:rsidRDefault="00370CCB" w14:paraId="7F7A77C2" w14:textId="453CEF85">
      <w:pPr>
        <w:pStyle w:val="ListParagraph"/>
        <w:keepNext/>
        <w:ind w:left="0"/>
        <w:rPr>
          <w:b/>
        </w:rPr>
      </w:pPr>
      <w:r w:rsidRPr="00FF1EF3">
        <w:rPr>
          <w:b/>
        </w:rPr>
        <w:t>Punti principali</w:t>
      </w:r>
    </w:p>
    <w:p w:rsidRPr="00FF1EF3" w:rsidR="00D35C97" w:rsidP="001F1862" w:rsidRDefault="00D35C97" w14:paraId="18514A63" w14:textId="77777777">
      <w:pPr>
        <w:pStyle w:val="ListParagraph"/>
        <w:keepNext/>
        <w:ind w:left="0"/>
        <w:rPr>
          <w:b/>
        </w:rPr>
      </w:pPr>
    </w:p>
    <w:p w:rsidRPr="00FF1EF3" w:rsidR="00D35C97" w:rsidP="001F1862" w:rsidRDefault="00D35C97" w14:paraId="019F63A7" w14:textId="77777777">
      <w:pPr>
        <w:pStyle w:val="ListParagraph"/>
        <w:keepNext/>
        <w:ind w:left="0"/>
        <w:rPr>
          <w:b/>
        </w:rPr>
      </w:pPr>
      <w:r w:rsidRPr="00FF1EF3">
        <w:t>Il CESE:</w:t>
      </w:r>
    </w:p>
    <w:p w:rsidRPr="00FF1EF3" w:rsidR="00370CCB" w:rsidP="00370CCB" w:rsidRDefault="00370CCB" w14:paraId="5ABEAD2C" w14:textId="77777777">
      <w:pPr>
        <w:pStyle w:val="ListParagraph"/>
        <w:ind w:left="0"/>
      </w:pPr>
    </w:p>
    <w:p w:rsidRPr="00FF1EF3" w:rsidR="00370CCB" w:rsidP="00370CCB" w:rsidRDefault="00D35C97" w14:paraId="600650F8" w14:textId="77777777">
      <w:pPr>
        <w:numPr>
          <w:ilvl w:val="0"/>
          <w:numId w:val="3"/>
        </w:numPr>
        <w:ind w:left="357" w:hanging="357"/>
        <w:contextualSpacing/>
      </w:pPr>
      <w:r w:rsidRPr="00FF1EF3">
        <w:t xml:space="preserve">sostiene il </w:t>
      </w:r>
      <w:r w:rsidRPr="00FF1EF3">
        <w:rPr>
          <w:b/>
        </w:rPr>
        <w:t>nuovo accordo</w:t>
      </w:r>
      <w:r w:rsidRPr="00FF1EF3">
        <w:t xml:space="preserve"> nel suo complesso e auspica che possa essere firmato rapidamente dalle parti, con le quali si congratula per i grandi sforzi profusi e per gli importanti impegni assunti, che hanno come quadro di riferimento </w:t>
      </w:r>
      <w:r w:rsidRPr="00FF1EF3">
        <w:rPr>
          <w:b/>
        </w:rPr>
        <w:t>gli obiettivi di sviluppo sostenibile (OSS) delle Nazioni Unite</w:t>
      </w:r>
      <w:r w:rsidRPr="00FF1EF3">
        <w:t>;</w:t>
      </w:r>
    </w:p>
    <w:p w:rsidRPr="00FF1EF3" w:rsidR="00D423EB" w:rsidP="00A74B4C" w:rsidRDefault="00D35C97" w14:paraId="6D5D132E" w14:textId="77777777">
      <w:pPr>
        <w:numPr>
          <w:ilvl w:val="0"/>
          <w:numId w:val="3"/>
        </w:numPr>
        <w:ind w:left="357" w:hanging="357"/>
        <w:contextualSpacing/>
      </w:pPr>
      <w:r w:rsidRPr="00FF1EF3">
        <w:t xml:space="preserve">sottolinea ce le organizzazioni della società civile/le parti sociali dispongono di meccanismi istituzionali, con regolamentazione giuridica e attività formale, qualunque sia la loro denominazione (comitati economici, sociali e culturali, consigli consultivi, forum, piattaforme, reti di organizzazioni della società civile, conferenze permanenti o altre configurazioni), nel cui quadro </w:t>
      </w:r>
      <w:r w:rsidRPr="00FF1EF3">
        <w:rPr>
          <w:b/>
        </w:rPr>
        <w:t>le organizzazioni della società civile, praticando il dialogo civico, e le parti sociali</w:t>
      </w:r>
      <w:r w:rsidRPr="00FF1EF3">
        <w:t xml:space="preserve">, realizzando il dialogo sociale, possano, tramite la loro partecipazione, apportare un contributo al </w:t>
      </w:r>
      <w:r w:rsidRPr="00FF1EF3">
        <w:rPr>
          <w:b/>
        </w:rPr>
        <w:t>dibattito pubblico e democratico</w:t>
      </w:r>
      <w:r w:rsidRPr="00FF1EF3">
        <w:t>;</w:t>
      </w:r>
    </w:p>
    <w:p w:rsidRPr="00FF1EF3" w:rsidR="00370CCB" w:rsidP="00370CCB" w:rsidRDefault="00D35C97" w14:paraId="26B5CACB" w14:textId="77777777">
      <w:pPr>
        <w:numPr>
          <w:ilvl w:val="0"/>
          <w:numId w:val="3"/>
        </w:numPr>
        <w:ind w:left="357" w:hanging="357"/>
        <w:contextualSpacing/>
      </w:pPr>
      <w:r w:rsidRPr="00FF1EF3">
        <w:t xml:space="preserve">propone alla Commissione di definire come obiettivo la creazione di </w:t>
      </w:r>
      <w:r w:rsidRPr="00FF1EF3">
        <w:rPr>
          <w:b/>
        </w:rPr>
        <w:t>quattro meccanismi istituzionali</w:t>
      </w:r>
      <w:r w:rsidRPr="00FF1EF3">
        <w:t>, vale a dire: i) tra l'UE e l'OSACP; ii) tra l'UE e l'Africa; iii) tra l'UE e i Caraibi; iv) tra l'UE e il Pacifico;</w:t>
      </w:r>
    </w:p>
    <w:p w:rsidRPr="00FF1EF3" w:rsidR="00370CCB" w:rsidP="00370CCB" w:rsidRDefault="00D35C97" w14:paraId="2731839F" w14:textId="77777777">
      <w:pPr>
        <w:numPr>
          <w:ilvl w:val="0"/>
          <w:numId w:val="3"/>
        </w:numPr>
        <w:ind w:left="357" w:hanging="357"/>
        <w:contextualSpacing/>
      </w:pPr>
      <w:r w:rsidRPr="00FF1EF3">
        <w:t xml:space="preserve">propone inoltre alla Commissione di istituire </w:t>
      </w:r>
      <w:r w:rsidRPr="00FF1EF3">
        <w:rPr>
          <w:b/>
        </w:rPr>
        <w:t>comitati consultivi nell'ambito degli APE</w:t>
      </w:r>
      <w:r w:rsidRPr="00FF1EF3">
        <w:t>;</w:t>
      </w:r>
    </w:p>
    <w:p w:rsidRPr="00FF1EF3" w:rsidR="00370CCB" w:rsidP="00D423EB" w:rsidRDefault="00D35C97" w14:paraId="3193353E" w14:textId="77777777">
      <w:pPr>
        <w:numPr>
          <w:ilvl w:val="0"/>
          <w:numId w:val="3"/>
        </w:numPr>
        <w:ind w:left="357" w:hanging="357"/>
        <w:contextualSpacing/>
      </w:pPr>
      <w:r w:rsidRPr="00FF1EF3">
        <w:t xml:space="preserve">propone con decisione che la Commissione disponga di strumenti finanziari per sostenere </w:t>
      </w:r>
      <w:r w:rsidRPr="00FF1EF3">
        <w:rPr>
          <w:b/>
        </w:rPr>
        <w:t>programmi e progetti di studio, anche di tipo prospettico, sulla realtà delle organizzazioni della società civile e delle parti sociali nei paesi ACP</w:t>
      </w:r>
      <w:r w:rsidRPr="00FF1EF3">
        <w:t>, tenendo conto delle loro esigenze in termini di sviluppo della capacità di leadership, rafforzamento tecnico delle organizzazioni e attuazione dei meccanismi istituzionali previsti;</w:t>
      </w:r>
    </w:p>
    <w:p w:rsidRPr="00FF1EF3" w:rsidR="00BC29C8" w:rsidP="00D423EB" w:rsidRDefault="00D35C97" w14:paraId="776E5420" w14:textId="77777777">
      <w:pPr>
        <w:numPr>
          <w:ilvl w:val="0"/>
          <w:numId w:val="3"/>
        </w:numPr>
        <w:ind w:left="357" w:hanging="357"/>
        <w:contextualSpacing/>
      </w:pPr>
      <w:r w:rsidRPr="00FF1EF3">
        <w:t xml:space="preserve">esorta con forza la Commissione ad appoggiare le attività del proprio </w:t>
      </w:r>
      <w:r w:rsidRPr="00FF1EF3">
        <w:rPr>
          <w:b/>
        </w:rPr>
        <w:t>comitato di monitoraggio ACP-UE</w:t>
      </w:r>
      <w:r w:rsidRPr="00FF1EF3">
        <w:t xml:space="preserve">, che è l'unico meccanismo istituzionale attualmente esistente nel quadro del nuovo accordo tra l'UE e l'OSACP e che svolgerà un ruolo più incisivo in questo processo, in particolare attraverso un dialogo strutturato, al fine di: i) fornire alle istituzioni </w:t>
      </w:r>
      <w:r w:rsidRPr="00FF1EF3">
        <w:rPr>
          <w:b/>
        </w:rPr>
        <w:t>relazioni, progetti e pareri pertinenti</w:t>
      </w:r>
      <w:r w:rsidRPr="00FF1EF3">
        <w:t xml:space="preserve">; ii) mobilitare il </w:t>
      </w:r>
      <w:r w:rsidRPr="00FF1EF3">
        <w:rPr>
          <w:b/>
        </w:rPr>
        <w:t>coinvolgimento delle parti interessate dei paesi ACP</w:t>
      </w:r>
      <w:r w:rsidRPr="00FF1EF3">
        <w:t>; iii) contribuire all'</w:t>
      </w:r>
      <w:r w:rsidRPr="00FF1EF3">
        <w:rPr>
          <w:b/>
        </w:rPr>
        <w:t>istituzione dei meccanismi istituzionali previsti</w:t>
      </w:r>
      <w:r w:rsidRPr="00FF1EF3">
        <w:t>.</w:t>
      </w:r>
    </w:p>
    <w:p w:rsidRPr="00FF1EF3" w:rsidR="00370CCB" w:rsidP="00370CCB" w:rsidRDefault="00370CCB" w14:paraId="5E9E5033" w14:textId="2B4C2D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31"/>
        <w:gridCol w:w="5725"/>
      </w:tblGrid>
      <w:tr w:rsidRPr="00FF1EF3" w:rsidR="00910972" w:rsidTr="003D3253" w14:paraId="7BA9BA0D" w14:textId="77777777">
        <w:trPr>
          <w:trHeight w:val="186"/>
        </w:trPr>
        <w:tc>
          <w:tcPr>
            <w:tcW w:w="1431" w:type="dxa"/>
          </w:tcPr>
          <w:p w:rsidRPr="00FF1EF3" w:rsidR="00910972" w:rsidP="003D3253" w:rsidRDefault="00910972" w14:paraId="52E9E39C" w14:textId="77777777">
            <w:pPr>
              <w:pStyle w:val="ListParagraph"/>
              <w:ind w:left="0"/>
              <w:rPr>
                <w:i/>
              </w:rPr>
            </w:pPr>
            <w:r w:rsidRPr="00FF1EF3">
              <w:rPr>
                <w:b/>
                <w:i/>
              </w:rPr>
              <w:t>Contatto</w:t>
            </w:r>
          </w:p>
        </w:tc>
        <w:tc>
          <w:tcPr>
            <w:tcW w:w="5725" w:type="dxa"/>
          </w:tcPr>
          <w:p w:rsidRPr="00FF1EF3" w:rsidR="00910972" w:rsidP="003D3253" w:rsidRDefault="00910972" w14:paraId="71CDB51B" w14:textId="77777777">
            <w:pPr>
              <w:pStyle w:val="ListParagraph"/>
              <w:ind w:left="0"/>
              <w:rPr>
                <w:i/>
              </w:rPr>
            </w:pPr>
            <w:r w:rsidRPr="00FF1EF3">
              <w:rPr>
                <w:i/>
              </w:rPr>
              <w:t>Cédric CABANNE</w:t>
            </w:r>
          </w:p>
        </w:tc>
      </w:tr>
      <w:tr w:rsidRPr="00FF1EF3" w:rsidR="00910972" w:rsidTr="003D3253" w14:paraId="20460503" w14:textId="77777777">
        <w:trPr>
          <w:trHeight w:val="193"/>
        </w:trPr>
        <w:tc>
          <w:tcPr>
            <w:tcW w:w="1431" w:type="dxa"/>
          </w:tcPr>
          <w:p w:rsidRPr="00FF1EF3" w:rsidR="00910972" w:rsidP="003D3253" w:rsidRDefault="00910972" w14:paraId="39537EA2" w14:textId="77777777">
            <w:pPr>
              <w:pStyle w:val="ListParagraph"/>
              <w:ind w:left="601"/>
              <w:rPr>
                <w:i/>
              </w:rPr>
            </w:pPr>
            <w:r w:rsidRPr="00FF1EF3">
              <w:rPr>
                <w:i/>
              </w:rPr>
              <w:t>Tel.</w:t>
            </w:r>
          </w:p>
        </w:tc>
        <w:tc>
          <w:tcPr>
            <w:tcW w:w="5725" w:type="dxa"/>
          </w:tcPr>
          <w:p w:rsidRPr="00FF1EF3" w:rsidR="00910972" w:rsidP="003D3253" w:rsidRDefault="00910972" w14:paraId="532DD4B5" w14:textId="77777777">
            <w:pPr>
              <w:pStyle w:val="ListParagraph"/>
              <w:ind w:left="0"/>
              <w:rPr>
                <w:i/>
              </w:rPr>
            </w:pPr>
            <w:r w:rsidRPr="00FF1EF3">
              <w:rPr>
                <w:i/>
              </w:rPr>
              <w:t>00 32 2 546 93 55</w:t>
            </w:r>
          </w:p>
        </w:tc>
      </w:tr>
      <w:tr w:rsidRPr="00FF1EF3" w:rsidR="00910972" w:rsidTr="003D3253" w14:paraId="1074F3A5" w14:textId="77777777">
        <w:trPr>
          <w:trHeight w:val="364"/>
        </w:trPr>
        <w:tc>
          <w:tcPr>
            <w:tcW w:w="1431" w:type="dxa"/>
          </w:tcPr>
          <w:p w:rsidRPr="00FF1EF3" w:rsidR="00910972" w:rsidP="003D3253" w:rsidRDefault="00FF1EF3" w14:paraId="393B1517" w14:textId="0F129BAB">
            <w:pPr>
              <w:pStyle w:val="ListParagraph"/>
              <w:ind w:left="601"/>
              <w:rPr>
                <w:i/>
              </w:rPr>
            </w:pPr>
            <w:r w:rsidRPr="00FF1EF3">
              <w:rPr>
                <w:i/>
              </w:rPr>
              <w:t>E</w:t>
            </w:r>
            <w:r w:rsidRPr="00FF1EF3" w:rsidR="00910972">
              <w:rPr>
                <w:i/>
              </w:rPr>
              <w:t>-mail</w:t>
            </w:r>
          </w:p>
        </w:tc>
        <w:tc>
          <w:tcPr>
            <w:tcW w:w="5725" w:type="dxa"/>
          </w:tcPr>
          <w:p w:rsidRPr="00FF1EF3" w:rsidR="00910972" w:rsidP="003D3253" w:rsidRDefault="004F624E" w14:paraId="2AA4D465" w14:textId="77777777">
            <w:pPr>
              <w:pStyle w:val="ListParagraph"/>
              <w:ind w:left="0"/>
              <w:rPr>
                <w:i/>
                <w:color w:val="0000FF"/>
                <w:u w:val="single"/>
              </w:rPr>
            </w:pPr>
            <w:hyperlink w:history="1" r:id="rId40">
              <w:r w:rsidRPr="00FF1EF3" w:rsidR="00462EFB">
                <w:rPr>
                  <w:rStyle w:val="Hyperlink"/>
                  <w:i/>
                </w:rPr>
                <w:t>Cédric.Cabanne@eesc.europa.eu</w:t>
              </w:r>
            </w:hyperlink>
          </w:p>
        </w:tc>
      </w:tr>
    </w:tbl>
    <w:p w:rsidRPr="00FF1EF3" w:rsidR="00910972" w:rsidP="00370CCB" w:rsidRDefault="00910972" w14:paraId="246A3448" w14:textId="1C4DE147"/>
    <w:p w:rsidRPr="00FF1EF3" w:rsidR="00910972" w:rsidRDefault="00910972" w14:paraId="72C81FE1" w14:textId="77777777">
      <w:pPr>
        <w:spacing w:after="160" w:line="259" w:lineRule="auto"/>
        <w:jc w:val="left"/>
      </w:pPr>
      <w:r w:rsidRPr="00FF1EF3">
        <w:br w:type="page"/>
      </w:r>
    </w:p>
    <w:p w:rsidRPr="00FF1EF3" w:rsidR="00745EAA" w:rsidP="003E692C" w:rsidRDefault="00745EAA" w14:paraId="43F93309" w14:textId="77777777">
      <w:pPr>
        <w:pStyle w:val="Heading1"/>
        <w:keepNext/>
        <w:rPr>
          <w:b/>
        </w:rPr>
      </w:pPr>
      <w:bookmarkStart w:name="_Toc110414443" w:id="19"/>
      <w:r w:rsidRPr="00FF1EF3">
        <w:rPr>
          <w:b/>
        </w:rPr>
        <w:t>COMMISSIONE CONSULTIVA PER LE TRASFORMAZIONI INDUSTRIALI</w:t>
      </w:r>
      <w:bookmarkEnd w:id="19"/>
    </w:p>
    <w:p w:rsidRPr="00FF1EF3" w:rsidR="006E3F60" w:rsidP="00745EAA" w:rsidRDefault="006E3F60" w14:paraId="4A27BE14" w14:textId="59D4B4EC">
      <w:pPr>
        <w:keepNext/>
        <w:keepLines/>
        <w:contextualSpacing/>
        <w:rPr>
          <w:b/>
          <w:sz w:val="28"/>
          <w:szCs w:val="28"/>
        </w:rPr>
      </w:pPr>
    </w:p>
    <w:p w:rsidRPr="00FF1EF3" w:rsidR="006E3F60" w:rsidP="006C3FDB" w:rsidRDefault="00FF1EF3" w14:paraId="1EE44511" w14:textId="0BC51F4A">
      <w:pPr>
        <w:keepNext/>
        <w:keepLines/>
        <w:numPr>
          <w:ilvl w:val="0"/>
          <w:numId w:val="2"/>
        </w:numPr>
        <w:ind w:left="567" w:hanging="567"/>
        <w:contextualSpacing/>
      </w:pPr>
      <w:r w:rsidRPr="00FF1EF3">
        <w:rPr>
          <w:b/>
          <w:i/>
          <w:sz w:val="28"/>
        </w:rPr>
        <w:t>Strategia</w:t>
      </w:r>
      <w:r w:rsidRPr="00FF1EF3" w:rsidR="00092425">
        <w:rPr>
          <w:b/>
          <w:i/>
          <w:sz w:val="28"/>
        </w:rPr>
        <w:t xml:space="preserve"> per il settore tessile</w:t>
      </w:r>
    </w:p>
    <w:p w:rsidRPr="00FF1EF3" w:rsidR="00092425" w:rsidP="00910972" w:rsidRDefault="00092425" w14:paraId="4FF48D94"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FF1EF3" w:rsidR="006E3F60" w:rsidTr="00C25DB3" w14:paraId="25907EC0" w14:textId="77777777">
        <w:tc>
          <w:tcPr>
            <w:tcW w:w="1701" w:type="dxa"/>
          </w:tcPr>
          <w:p w:rsidRPr="00FF1EF3" w:rsidR="006E3F60" w:rsidP="006E3F60" w:rsidRDefault="00FF1EF3" w14:paraId="363A590B" w14:textId="61B73DF3">
            <w:pPr>
              <w:keepNext/>
              <w:contextualSpacing/>
              <w:rPr>
                <w:b/>
              </w:rPr>
            </w:pPr>
            <w:r w:rsidRPr="00FF1EF3">
              <w:rPr>
                <w:b/>
              </w:rPr>
              <w:t>Relatore</w:t>
            </w:r>
          </w:p>
        </w:tc>
        <w:tc>
          <w:tcPr>
            <w:tcW w:w="6946" w:type="dxa"/>
          </w:tcPr>
          <w:p w:rsidRPr="00FF1EF3" w:rsidR="006E3F60" w:rsidP="006E3F60" w:rsidRDefault="00C25DB3" w14:paraId="7776D9DA" w14:textId="77777777">
            <w:pPr>
              <w:keepNext/>
              <w:ind w:left="-106"/>
              <w:contextualSpacing/>
            </w:pPr>
            <w:r w:rsidRPr="00FF1EF3">
              <w:t>Florian MARIN (Lavoratori - RO)</w:t>
            </w:r>
          </w:p>
        </w:tc>
      </w:tr>
      <w:tr w:rsidRPr="00FF1EF3" w:rsidR="006E3F60" w:rsidTr="00C25DB3" w14:paraId="3818F306" w14:textId="77777777">
        <w:tc>
          <w:tcPr>
            <w:tcW w:w="1701" w:type="dxa"/>
          </w:tcPr>
          <w:p w:rsidRPr="00FF1EF3" w:rsidR="006E3F60" w:rsidP="006E3F60" w:rsidRDefault="00FF1EF3" w14:paraId="335B5DA6" w14:textId="6DC2B45E">
            <w:pPr>
              <w:keepNext/>
              <w:contextualSpacing/>
              <w:rPr>
                <w:b/>
              </w:rPr>
            </w:pPr>
            <w:r w:rsidRPr="00FF1EF3">
              <w:rPr>
                <w:b/>
              </w:rPr>
              <w:t>Correlatore</w:t>
            </w:r>
          </w:p>
        </w:tc>
        <w:tc>
          <w:tcPr>
            <w:tcW w:w="6946" w:type="dxa"/>
          </w:tcPr>
          <w:p w:rsidRPr="00FF1EF3" w:rsidR="006E3F60" w:rsidP="006E3F60" w:rsidRDefault="00C25DB3" w14:paraId="5324713C" w14:textId="77777777">
            <w:pPr>
              <w:keepNext/>
              <w:ind w:left="-106"/>
              <w:contextualSpacing/>
            </w:pPr>
            <w:r w:rsidRPr="00FF1EF3">
              <w:t>Antonello PEZZINI (Cat. 1 - IT)</w:t>
            </w:r>
          </w:p>
        </w:tc>
      </w:tr>
      <w:tr w:rsidRPr="00FF1EF3" w:rsidR="006E3F60" w:rsidTr="00C25DB3" w14:paraId="3B98D2DD" w14:textId="77777777">
        <w:tc>
          <w:tcPr>
            <w:tcW w:w="8647" w:type="dxa"/>
            <w:gridSpan w:val="2"/>
          </w:tcPr>
          <w:p w:rsidRPr="00FF1EF3" w:rsidR="006E3F60" w:rsidP="006E3F60" w:rsidRDefault="006E3F60" w14:paraId="302FFA0F" w14:textId="77777777">
            <w:pPr>
              <w:keepNext/>
              <w:contextualSpacing/>
            </w:pPr>
          </w:p>
        </w:tc>
      </w:tr>
      <w:tr w:rsidRPr="00FF1EF3" w:rsidR="006E3F60" w:rsidTr="00C25DB3" w14:paraId="5C47C9B0" w14:textId="77777777">
        <w:tc>
          <w:tcPr>
            <w:tcW w:w="1701" w:type="dxa"/>
          </w:tcPr>
          <w:p w:rsidRPr="00FF1EF3" w:rsidR="006E3F60" w:rsidP="006E3F60" w:rsidRDefault="006E3F60" w14:paraId="70DE31B6" w14:textId="77777777">
            <w:pPr>
              <w:keepNext/>
              <w:contextualSpacing/>
              <w:rPr>
                <w:b/>
              </w:rPr>
            </w:pPr>
            <w:r w:rsidRPr="00FF1EF3">
              <w:rPr>
                <w:b/>
              </w:rPr>
              <w:t xml:space="preserve">Riferimenti </w:t>
            </w:r>
          </w:p>
        </w:tc>
        <w:tc>
          <w:tcPr>
            <w:tcW w:w="6946" w:type="dxa"/>
          </w:tcPr>
          <w:p w:rsidRPr="00FF1EF3" w:rsidR="006E3F60" w:rsidP="006E3F60" w:rsidRDefault="00092425" w14:paraId="1726139F" w14:textId="4384C9D6">
            <w:pPr>
              <w:keepNext/>
              <w:ind w:left="-106"/>
              <w:contextualSpacing/>
              <w:rPr>
                <w:iCs/>
                <w:color w:val="000000"/>
              </w:rPr>
            </w:pPr>
            <w:r w:rsidRPr="00FF1EF3">
              <w:rPr>
                <w:color w:val="000000"/>
              </w:rPr>
              <w:t>COM(2022) 141 final</w:t>
            </w:r>
          </w:p>
          <w:p w:rsidRPr="00FF1EF3" w:rsidR="006E3F60" w:rsidP="006E3F60" w:rsidRDefault="00C25DB3" w14:paraId="2ACB8205" w14:textId="77777777">
            <w:pPr>
              <w:keepNext/>
              <w:ind w:left="-106"/>
              <w:contextualSpacing/>
            </w:pPr>
            <w:r w:rsidRPr="00FF1EF3">
              <w:t>EESC-2022-01663-00-00-AC</w:t>
            </w:r>
          </w:p>
        </w:tc>
      </w:tr>
    </w:tbl>
    <w:p w:rsidRPr="00FF1EF3" w:rsidR="006E3F60" w:rsidP="006E3F60" w:rsidRDefault="006E3F60" w14:paraId="491156E7" w14:textId="77777777">
      <w:pPr>
        <w:keepNext/>
        <w:ind w:left="567"/>
        <w:contextualSpacing/>
      </w:pPr>
    </w:p>
    <w:p w:rsidRPr="00FF1EF3" w:rsidR="006E3F60" w:rsidP="002C4B6E" w:rsidRDefault="006E3F60" w14:paraId="393FC053" w14:textId="42EB6890">
      <w:pPr>
        <w:pStyle w:val="ListParagraph"/>
        <w:spacing w:line="240" w:lineRule="auto"/>
        <w:ind w:left="-142" w:firstLine="142"/>
        <w:rPr>
          <w:b/>
        </w:rPr>
      </w:pPr>
      <w:r w:rsidRPr="00FF1EF3">
        <w:rPr>
          <w:b/>
        </w:rPr>
        <w:t>Punti principali</w:t>
      </w:r>
    </w:p>
    <w:p w:rsidRPr="00FF1EF3" w:rsidR="00C25DB3" w:rsidP="00C25DB3" w:rsidRDefault="00C25DB3" w14:paraId="5DC1F2E9" w14:textId="77777777">
      <w:pPr>
        <w:contextualSpacing/>
        <w:rPr>
          <w:b/>
        </w:rPr>
      </w:pPr>
    </w:p>
    <w:p w:rsidRPr="00FF1EF3" w:rsidR="006E3F60" w:rsidP="00C25DB3" w:rsidRDefault="00C25DB3" w14:paraId="7490CEC6" w14:textId="77777777">
      <w:pPr>
        <w:contextualSpacing/>
        <w:rPr>
          <w:bCs/>
          <w:iCs/>
        </w:rPr>
      </w:pPr>
      <w:r w:rsidRPr="00FF1EF3">
        <w:t>Il CESE:</w:t>
      </w:r>
    </w:p>
    <w:p w:rsidRPr="00FF1EF3" w:rsidR="00C25DB3" w:rsidP="00C25DB3" w:rsidRDefault="00C25DB3" w14:paraId="725984FA" w14:textId="77777777">
      <w:pPr>
        <w:contextualSpacing/>
      </w:pPr>
    </w:p>
    <w:p w:rsidRPr="00FF1EF3" w:rsidR="006E3F60" w:rsidP="006E3F60" w:rsidRDefault="00C25DB3" w14:paraId="6F4F5F2E" w14:textId="77777777">
      <w:pPr>
        <w:numPr>
          <w:ilvl w:val="0"/>
          <w:numId w:val="3"/>
        </w:numPr>
        <w:ind w:left="357" w:hanging="357"/>
        <w:contextualSpacing/>
      </w:pPr>
      <w:r w:rsidRPr="00FF1EF3">
        <w:t>ritiene che l'industria tessile possa contribuire a realizzare gli obiettivi ambientali dell'Unione europea e debba rispondere del proprio impatto ambientale;</w:t>
      </w:r>
    </w:p>
    <w:p w:rsidRPr="00FF1EF3" w:rsidR="00C25DB3" w:rsidP="00C25DB3" w:rsidRDefault="00C25DB3" w14:paraId="53036B5C" w14:textId="77777777">
      <w:pPr>
        <w:numPr>
          <w:ilvl w:val="0"/>
          <w:numId w:val="3"/>
        </w:numPr>
        <w:ind w:left="357" w:hanging="357"/>
        <w:contextualSpacing/>
      </w:pPr>
      <w:r w:rsidRPr="00FF1EF3">
        <w:t>sottolinea che occorre trovare il giusto equilibrio tra i costi della fine del ciclo di vita che i fabbricanti di prodotti tessili devono sostenere, da un lato, e la competitività del settore, dall'altro;</w:t>
      </w:r>
    </w:p>
    <w:p w:rsidRPr="00FF1EF3" w:rsidR="006E3F60" w:rsidP="006E3F60" w:rsidRDefault="00C25DB3" w14:paraId="453A87CE" w14:textId="77777777">
      <w:pPr>
        <w:numPr>
          <w:ilvl w:val="0"/>
          <w:numId w:val="3"/>
        </w:numPr>
        <w:ind w:left="357" w:hanging="357"/>
        <w:contextualSpacing/>
      </w:pPr>
      <w:r w:rsidRPr="00FF1EF3">
        <w:t>è favorevole all'introduzione di ampi requisiti di etichettatura concernenti il grado di riciclaggio e l'impronta dei prodotti tessili quale possibile incentivo per i consumatori a scegliere prodotti sostenibili e ad anteporre la qualità alla quantità, ma sottolinea che ciò richiede una valutazione d'impatto approfondita e una vasta campagna di informazione a livello europeo;</w:t>
      </w:r>
    </w:p>
    <w:p w:rsidRPr="00FF1EF3" w:rsidR="006E3F60" w:rsidP="006E3F60" w:rsidRDefault="00C25DB3" w14:paraId="7178CC70" w14:textId="77777777">
      <w:pPr>
        <w:numPr>
          <w:ilvl w:val="0"/>
          <w:numId w:val="3"/>
        </w:numPr>
        <w:ind w:left="357" w:hanging="357"/>
        <w:contextualSpacing/>
      </w:pPr>
      <w:r w:rsidRPr="00FF1EF3">
        <w:t>deplora le pratiche di concorrenza sleale e chiede di intensificare la vigilanza del mercato sui prodotti importati, come pure un coordinamento e una collaborazione migliori tra le autorità di contrasto nazionali;</w:t>
      </w:r>
    </w:p>
    <w:p w:rsidRPr="00FF1EF3" w:rsidR="006E3F60" w:rsidP="006E3F60" w:rsidRDefault="00C25DB3" w14:paraId="4247E663" w14:textId="77777777">
      <w:pPr>
        <w:numPr>
          <w:ilvl w:val="0"/>
          <w:numId w:val="3"/>
        </w:numPr>
        <w:ind w:left="357" w:hanging="357"/>
        <w:contextualSpacing/>
      </w:pPr>
      <w:r w:rsidRPr="00FF1EF3">
        <w:t>chiede misure volte a garantire un equilibrio tra gli attori delle catene di approvvigionamento del tessile e raccomanda l'adozione di buone pratiche in materia di sostenibilità a livello globale;</w:t>
      </w:r>
    </w:p>
    <w:p w:rsidRPr="00FF1EF3" w:rsidR="00C25DB3" w:rsidP="006E3F60" w:rsidRDefault="00C25DB3" w14:paraId="5B5E4DFD" w14:textId="77777777">
      <w:pPr>
        <w:numPr>
          <w:ilvl w:val="0"/>
          <w:numId w:val="3"/>
        </w:numPr>
        <w:ind w:left="357" w:hanging="357"/>
        <w:contextualSpacing/>
      </w:pPr>
      <w:r w:rsidRPr="00FF1EF3">
        <w:t>ritiene necessario rafforzare gli accordi commerciali presenti e futuri, e inserirvi dei paragrafi sulla sostenibilità e la protezione dei diritti umani nel quadro del sistema di preferenze generalizzate per i paesi in via di sviluppo;</w:t>
      </w:r>
    </w:p>
    <w:p w:rsidRPr="00FF1EF3" w:rsidR="00C25DB3" w:rsidP="006E3F60" w:rsidRDefault="00C25DB3" w14:paraId="4BE2BD93" w14:textId="77777777">
      <w:pPr>
        <w:numPr>
          <w:ilvl w:val="0"/>
          <w:numId w:val="3"/>
        </w:numPr>
        <w:ind w:left="357" w:hanging="357"/>
        <w:contextualSpacing/>
      </w:pPr>
      <w:r w:rsidRPr="00FF1EF3">
        <w:t>si sarebbe aspettato che la strategia insistesse maggiormente sugli aspetti sociali nel settore tessile, in particolare sui diritti dei lavoratori e la contrattazione collettiva;</w:t>
      </w:r>
    </w:p>
    <w:p w:rsidRPr="00FF1EF3" w:rsidR="00C25DB3" w:rsidP="006E3F60" w:rsidRDefault="00C25DB3" w14:paraId="548F8200" w14:textId="77777777">
      <w:pPr>
        <w:numPr>
          <w:ilvl w:val="0"/>
          <w:numId w:val="3"/>
        </w:numPr>
        <w:ind w:left="357" w:hanging="357"/>
        <w:contextualSpacing/>
      </w:pPr>
      <w:r w:rsidRPr="00FF1EF3">
        <w:t>sottolinea che le istituzioni incaricate dei controlli devono disporre di capacità sufficienti per garantire controlli efficaci;</w:t>
      </w:r>
    </w:p>
    <w:p w:rsidRPr="00FF1EF3" w:rsidR="00C25DB3" w:rsidP="006E3F60" w:rsidRDefault="00C25DB3" w14:paraId="207B0C6C" w14:textId="77777777">
      <w:pPr>
        <w:numPr>
          <w:ilvl w:val="0"/>
          <w:numId w:val="3"/>
        </w:numPr>
        <w:ind w:left="357" w:hanging="357"/>
        <w:contextualSpacing/>
      </w:pPr>
      <w:r w:rsidRPr="00FF1EF3">
        <w:t>è favorevole a introdurre l'obbligo di dovere di diligenza per tutte le imprese dell'UE, con un sostegno ad hoc per assicurare la conformità delle PMI a tale obbligo;</w:t>
      </w:r>
    </w:p>
    <w:p w:rsidRPr="00FF1EF3" w:rsidR="00C25DB3" w:rsidP="006E3F60" w:rsidRDefault="00C25DB3" w14:paraId="2B985D95" w14:textId="77777777">
      <w:pPr>
        <w:numPr>
          <w:ilvl w:val="0"/>
          <w:numId w:val="3"/>
        </w:numPr>
        <w:ind w:left="357" w:hanging="357"/>
        <w:contextualSpacing/>
      </w:pPr>
      <w:r w:rsidRPr="00FF1EF3">
        <w:t>chiede di adottare misure rigorose che vietino di intrattenere relazioni economiche con entità che ricorrono al lavoro minorile o non rispettano condizioni di lavoro dignitose;</w:t>
      </w:r>
    </w:p>
    <w:p w:rsidRPr="00FF1EF3" w:rsidR="00C25DB3" w:rsidP="006E3F60" w:rsidRDefault="00C25DB3" w14:paraId="0F4AE883" w14:textId="77777777">
      <w:pPr>
        <w:numPr>
          <w:ilvl w:val="0"/>
          <w:numId w:val="3"/>
        </w:numPr>
        <w:ind w:left="357" w:hanging="357"/>
        <w:contextualSpacing/>
      </w:pPr>
      <w:r w:rsidRPr="00FF1EF3">
        <w:t>ritiene che il futuro regime di responsabilità estesa del produttore (</w:t>
      </w:r>
      <w:r w:rsidRPr="00FF1EF3">
        <w:rPr>
          <w:i/>
          <w:iCs/>
        </w:rPr>
        <w:t>Extended Producer Responsibility</w:t>
      </w:r>
      <w:r w:rsidRPr="00FF1EF3">
        <w:t xml:space="preserve"> - EPR) dovrebbe incoraggiare il riciclaggio </w:t>
      </w:r>
      <w:r w:rsidRPr="00FF1EF3">
        <w:rPr>
          <w:i/>
          <w:iCs/>
        </w:rPr>
        <w:t>fibre-to-fibre</w:t>
      </w:r>
      <w:r w:rsidRPr="00FF1EF3">
        <w:t xml:space="preserve"> (a ciclo chiuso) anziché processi di circolarità fittizia;</w:t>
      </w:r>
    </w:p>
    <w:p w:rsidRPr="00FF1EF3" w:rsidR="006E3F60" w:rsidP="006E3F60" w:rsidRDefault="00C25DB3" w14:paraId="47C692BA" w14:textId="77777777">
      <w:pPr>
        <w:numPr>
          <w:ilvl w:val="0"/>
          <w:numId w:val="3"/>
        </w:numPr>
        <w:ind w:left="357" w:hanging="357"/>
        <w:contextualSpacing/>
      </w:pPr>
      <w:r w:rsidRPr="00FF1EF3">
        <w:t>chiede l'organizzazione di campagne nazionali volte a promuovere opportunità occupazionali nel settore tessile, nonché il varo di programmi di finanziamento per l'aggiornamento delle competenze e la riqualificazione professionale della forza lavoro;</w:t>
      </w:r>
    </w:p>
    <w:p w:rsidRPr="00FF1EF3" w:rsidR="00C25DB3" w:rsidP="006E3F60" w:rsidRDefault="00C25DB3" w14:paraId="27F7B8B2" w14:textId="77777777">
      <w:pPr>
        <w:numPr>
          <w:ilvl w:val="0"/>
          <w:numId w:val="3"/>
        </w:numPr>
        <w:ind w:left="357" w:hanging="357"/>
        <w:contextualSpacing/>
      </w:pPr>
      <w:r w:rsidRPr="00FF1EF3">
        <w:t>chiede infine l'elaborazione di norme sociali e ambientali specifiche per settore e armonizzate per gli appalti pubblici nell'UE.</w:t>
      </w:r>
    </w:p>
    <w:p w:rsidRPr="00FF1EF3" w:rsidR="00C25DB3" w:rsidP="006E3F60" w:rsidRDefault="00C25DB3" w14:paraId="6575574F"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6E3F60" w:rsidTr="00B83E7B" w14:paraId="3701C8A8" w14:textId="77777777">
        <w:tc>
          <w:tcPr>
            <w:tcW w:w="1418" w:type="dxa"/>
          </w:tcPr>
          <w:p w:rsidRPr="00FF1EF3" w:rsidR="006E3F60" w:rsidP="006E3F60" w:rsidRDefault="006E3F60" w14:paraId="61A358F3" w14:textId="77777777">
            <w:pPr>
              <w:contextualSpacing/>
              <w:rPr>
                <w:i/>
              </w:rPr>
            </w:pPr>
            <w:r w:rsidRPr="00FF1EF3">
              <w:rPr>
                <w:b/>
                <w:i/>
              </w:rPr>
              <w:t>Contatto</w:t>
            </w:r>
          </w:p>
        </w:tc>
        <w:tc>
          <w:tcPr>
            <w:tcW w:w="5670" w:type="dxa"/>
          </w:tcPr>
          <w:p w:rsidRPr="00FF1EF3" w:rsidR="006E3F60" w:rsidP="006E3F60" w:rsidRDefault="00F512BB" w14:paraId="529847A8" w14:textId="77777777">
            <w:pPr>
              <w:contextualSpacing/>
              <w:rPr>
                <w:i/>
              </w:rPr>
            </w:pPr>
            <w:r w:rsidRPr="00FF1EF3">
              <w:rPr>
                <w:i/>
              </w:rPr>
              <w:t>Gerald KLEC</w:t>
            </w:r>
          </w:p>
        </w:tc>
      </w:tr>
      <w:tr w:rsidRPr="00FF1EF3" w:rsidR="006E3F60" w:rsidTr="00B83E7B" w14:paraId="2E4F0404" w14:textId="77777777">
        <w:tc>
          <w:tcPr>
            <w:tcW w:w="1418" w:type="dxa"/>
          </w:tcPr>
          <w:p w:rsidRPr="00FF1EF3" w:rsidR="006E3F60" w:rsidP="006E3F60" w:rsidRDefault="006E3F60" w14:paraId="5A7B9997" w14:textId="77777777">
            <w:pPr>
              <w:ind w:left="601"/>
              <w:contextualSpacing/>
              <w:rPr>
                <w:i/>
              </w:rPr>
            </w:pPr>
            <w:r w:rsidRPr="00FF1EF3">
              <w:rPr>
                <w:i/>
              </w:rPr>
              <w:t>Tel.</w:t>
            </w:r>
          </w:p>
        </w:tc>
        <w:tc>
          <w:tcPr>
            <w:tcW w:w="5670" w:type="dxa"/>
          </w:tcPr>
          <w:p w:rsidRPr="00FF1EF3" w:rsidR="006E3F60" w:rsidP="006E3F60" w:rsidRDefault="00F512BB" w14:paraId="52C01769" w14:textId="77777777">
            <w:pPr>
              <w:contextualSpacing/>
              <w:rPr>
                <w:i/>
              </w:rPr>
            </w:pPr>
            <w:r w:rsidRPr="00FF1EF3">
              <w:rPr>
                <w:i/>
              </w:rPr>
              <w:t>00 32 2 546 99 09</w:t>
            </w:r>
          </w:p>
        </w:tc>
      </w:tr>
      <w:tr w:rsidRPr="00FF1EF3" w:rsidR="006E3F60" w:rsidTr="00B83E7B" w14:paraId="1F686407" w14:textId="77777777">
        <w:tc>
          <w:tcPr>
            <w:tcW w:w="1418" w:type="dxa"/>
          </w:tcPr>
          <w:p w:rsidRPr="00FF1EF3" w:rsidR="006E3F60" w:rsidP="006E3F60" w:rsidRDefault="00FF1EF3" w14:paraId="2859E45F" w14:textId="7F88771C">
            <w:pPr>
              <w:ind w:left="601"/>
              <w:contextualSpacing/>
              <w:rPr>
                <w:i/>
              </w:rPr>
            </w:pPr>
            <w:r w:rsidRPr="00FF1EF3">
              <w:rPr>
                <w:i/>
              </w:rPr>
              <w:t>E</w:t>
            </w:r>
            <w:r w:rsidRPr="00FF1EF3" w:rsidR="006E3F60">
              <w:rPr>
                <w:i/>
              </w:rPr>
              <w:t>-mail</w:t>
            </w:r>
          </w:p>
        </w:tc>
        <w:tc>
          <w:tcPr>
            <w:tcW w:w="5670" w:type="dxa"/>
          </w:tcPr>
          <w:p w:rsidRPr="00FF1EF3" w:rsidR="006E3F60" w:rsidP="006E3F60" w:rsidRDefault="004F624E" w14:paraId="1B9ADEF7" w14:textId="77777777">
            <w:pPr>
              <w:contextualSpacing/>
              <w:rPr>
                <w:i/>
              </w:rPr>
            </w:pPr>
            <w:hyperlink w:history="1" r:id="rId41">
              <w:r w:rsidRPr="00FF1EF3" w:rsidR="00462EFB">
                <w:rPr>
                  <w:rStyle w:val="Hyperlink"/>
                  <w:i/>
                </w:rPr>
                <w:t>Gerald.Klec@eesc.europa.eu</w:t>
              </w:r>
            </w:hyperlink>
          </w:p>
        </w:tc>
      </w:tr>
    </w:tbl>
    <w:p w:rsidRPr="00FF1EF3" w:rsidR="00910972" w:rsidP="006E3F60" w:rsidRDefault="00910972" w14:paraId="02D22029" w14:textId="7EA4AD27">
      <w:pPr>
        <w:pStyle w:val="Heading1"/>
        <w:numPr>
          <w:ilvl w:val="0"/>
          <w:numId w:val="0"/>
        </w:numPr>
      </w:pPr>
    </w:p>
    <w:p w:rsidRPr="00FF1EF3" w:rsidR="00910972" w:rsidRDefault="00910972" w14:paraId="0E93BDF6" w14:textId="21D92277">
      <w:pPr>
        <w:spacing w:after="160" w:line="259" w:lineRule="auto"/>
        <w:jc w:val="left"/>
        <w:rPr>
          <w:kern w:val="28"/>
        </w:rPr>
      </w:pPr>
    </w:p>
    <w:p w:rsidRPr="00FF1EF3" w:rsidR="00DB2B61" w:rsidP="00DB2B61" w:rsidRDefault="00DB2B61" w14:paraId="76D7F816" w14:textId="77777777">
      <w:pPr>
        <w:keepNext/>
        <w:keepLines/>
        <w:numPr>
          <w:ilvl w:val="0"/>
          <w:numId w:val="2"/>
        </w:numPr>
        <w:ind w:left="567" w:hanging="567"/>
        <w:contextualSpacing/>
        <w:rPr>
          <w:b/>
          <w:i/>
          <w:sz w:val="28"/>
          <w:szCs w:val="28"/>
        </w:rPr>
      </w:pPr>
      <w:r w:rsidRPr="00FF1EF3">
        <w:rPr>
          <w:b/>
          <w:i/>
          <w:sz w:val="28"/>
        </w:rPr>
        <w:t>Tabella di marcia relativa alle tecnologie per la sicurezza e la difesa</w:t>
      </w:r>
    </w:p>
    <w:p w:rsidRPr="00FF1EF3" w:rsidR="00DB2B61" w:rsidP="00DB2B61" w:rsidRDefault="00DB2B61" w14:paraId="56555F8C" w14:textId="77777777">
      <w:pPr>
        <w:keepNext/>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FF1EF3" w:rsidR="00DB2B61" w:rsidTr="00DB2B61" w14:paraId="4B203DE5" w14:textId="77777777">
        <w:tc>
          <w:tcPr>
            <w:tcW w:w="1701" w:type="dxa"/>
          </w:tcPr>
          <w:p w:rsidRPr="00FF1EF3" w:rsidR="00DB2B61" w:rsidP="00DB2B61" w:rsidRDefault="00FF1EF3" w14:paraId="243F6BEE" w14:textId="643B2189">
            <w:pPr>
              <w:keepNext/>
              <w:contextualSpacing/>
              <w:rPr>
                <w:b/>
              </w:rPr>
            </w:pPr>
            <w:r w:rsidRPr="00FF1EF3">
              <w:rPr>
                <w:b/>
              </w:rPr>
              <w:t>Relatore</w:t>
            </w:r>
          </w:p>
        </w:tc>
        <w:tc>
          <w:tcPr>
            <w:tcW w:w="6946" w:type="dxa"/>
          </w:tcPr>
          <w:p w:rsidRPr="00FF1EF3" w:rsidR="00DB2B61" w:rsidP="00DB2B61" w:rsidRDefault="00092425" w14:paraId="301C5CC8" w14:textId="7F1362E4">
            <w:pPr>
              <w:keepNext/>
              <w:ind w:left="-106"/>
              <w:contextualSpacing/>
            </w:pPr>
            <w:r w:rsidRPr="00FF1EF3">
              <w:t>Maurizio MENSI (Organizzazioni della società civile - IT)</w:t>
            </w:r>
          </w:p>
        </w:tc>
      </w:tr>
      <w:tr w:rsidRPr="00FF1EF3" w:rsidR="00DB2B61" w:rsidTr="00DB2B61" w14:paraId="5AEC2A75" w14:textId="77777777">
        <w:tc>
          <w:tcPr>
            <w:tcW w:w="1701" w:type="dxa"/>
          </w:tcPr>
          <w:p w:rsidRPr="00FF1EF3" w:rsidR="00DB2B61" w:rsidP="00DB2B61" w:rsidRDefault="00FF1EF3" w14:paraId="2EF360D8" w14:textId="534A632C">
            <w:pPr>
              <w:keepNext/>
              <w:contextualSpacing/>
              <w:rPr>
                <w:b/>
              </w:rPr>
            </w:pPr>
            <w:r w:rsidRPr="00FF1EF3">
              <w:rPr>
                <w:b/>
              </w:rPr>
              <w:t>Correlatore</w:t>
            </w:r>
          </w:p>
        </w:tc>
        <w:tc>
          <w:tcPr>
            <w:tcW w:w="6946" w:type="dxa"/>
          </w:tcPr>
          <w:p w:rsidRPr="00FF1EF3" w:rsidR="00DB2B61" w:rsidP="00DB2B61" w:rsidRDefault="00DB2B61" w14:paraId="49D71277" w14:textId="1D6D3EB6">
            <w:pPr>
              <w:keepNext/>
              <w:ind w:left="-106"/>
              <w:contextualSpacing/>
            </w:pPr>
            <w:r w:rsidRPr="00FF1EF3">
              <w:t>Jan PIE (Cat.</w:t>
            </w:r>
            <w:r w:rsidRPr="00FF1EF3" w:rsidR="00FF1EF3">
              <w:t xml:space="preserve"> </w:t>
            </w:r>
            <w:r w:rsidRPr="00FF1EF3">
              <w:t>1 - SE)</w:t>
            </w:r>
          </w:p>
        </w:tc>
      </w:tr>
      <w:tr w:rsidRPr="00FF1EF3" w:rsidR="00DB2B61" w:rsidTr="00DB2B61" w14:paraId="0E3AFD55" w14:textId="77777777">
        <w:tc>
          <w:tcPr>
            <w:tcW w:w="8647" w:type="dxa"/>
            <w:gridSpan w:val="2"/>
          </w:tcPr>
          <w:p w:rsidRPr="00FF1EF3" w:rsidR="00DB2B61" w:rsidP="00DB2B61" w:rsidRDefault="00DB2B61" w14:paraId="3125B26E" w14:textId="77777777">
            <w:pPr>
              <w:keepNext/>
              <w:contextualSpacing/>
            </w:pPr>
          </w:p>
        </w:tc>
      </w:tr>
      <w:tr w:rsidRPr="00FF1EF3" w:rsidR="00DB2B61" w:rsidTr="00DB2B61" w14:paraId="38CEDCE3" w14:textId="77777777">
        <w:tc>
          <w:tcPr>
            <w:tcW w:w="1701" w:type="dxa"/>
          </w:tcPr>
          <w:p w:rsidRPr="00FF1EF3" w:rsidR="00DB2B61" w:rsidP="00DB2B61" w:rsidRDefault="00DB2B61" w14:paraId="0815516A" w14:textId="77777777">
            <w:pPr>
              <w:keepNext/>
              <w:contextualSpacing/>
              <w:rPr>
                <w:b/>
              </w:rPr>
            </w:pPr>
            <w:r w:rsidRPr="00FF1EF3">
              <w:rPr>
                <w:b/>
              </w:rPr>
              <w:t xml:space="preserve">Riferimenti </w:t>
            </w:r>
          </w:p>
        </w:tc>
        <w:tc>
          <w:tcPr>
            <w:tcW w:w="6946" w:type="dxa"/>
          </w:tcPr>
          <w:p w:rsidRPr="00FF1EF3" w:rsidR="00DB2B61" w:rsidP="00DB2B61" w:rsidRDefault="00092425" w14:paraId="34E11771" w14:textId="5B709DB2">
            <w:pPr>
              <w:keepNext/>
              <w:ind w:left="-106"/>
              <w:contextualSpacing/>
              <w:rPr>
                <w:iCs/>
                <w:color w:val="000000"/>
              </w:rPr>
            </w:pPr>
            <w:r w:rsidRPr="00FF1EF3">
              <w:rPr>
                <w:color w:val="000000"/>
              </w:rPr>
              <w:t>COM(2022) 61 final</w:t>
            </w:r>
          </w:p>
          <w:p w:rsidRPr="00FF1EF3" w:rsidR="00DB2B61" w:rsidP="00DB2B61" w:rsidRDefault="00DB2B61" w14:paraId="3A4D0BEA" w14:textId="77777777">
            <w:pPr>
              <w:keepNext/>
              <w:ind w:left="-106"/>
              <w:contextualSpacing/>
            </w:pPr>
            <w:r w:rsidRPr="00FF1EF3">
              <w:t>EESC-2022-007258-00-00-AC</w:t>
            </w:r>
          </w:p>
        </w:tc>
      </w:tr>
    </w:tbl>
    <w:p w:rsidRPr="00FF1EF3" w:rsidR="00DB2B61" w:rsidP="00DB2B61" w:rsidRDefault="00DB2B61" w14:paraId="72FCB1E0" w14:textId="77777777">
      <w:pPr>
        <w:keepNext/>
        <w:ind w:left="567"/>
        <w:contextualSpacing/>
      </w:pPr>
    </w:p>
    <w:p w:rsidRPr="00FF1EF3" w:rsidR="00DB2B61" w:rsidP="00DB2B61" w:rsidRDefault="00DB2B61" w14:paraId="6340CE2B" w14:textId="710D5151">
      <w:pPr>
        <w:pStyle w:val="ListParagraph"/>
        <w:spacing w:line="240" w:lineRule="auto"/>
        <w:ind w:left="-142" w:firstLine="142"/>
        <w:rPr>
          <w:b/>
        </w:rPr>
      </w:pPr>
      <w:r w:rsidRPr="00FF1EF3">
        <w:rPr>
          <w:b/>
        </w:rPr>
        <w:t>Punti principali</w:t>
      </w:r>
    </w:p>
    <w:p w:rsidRPr="00FF1EF3" w:rsidR="00DB2B61" w:rsidP="00DB2B61" w:rsidRDefault="00DB2B61" w14:paraId="483221C2" w14:textId="77777777">
      <w:pPr>
        <w:contextualSpacing/>
        <w:rPr>
          <w:b/>
        </w:rPr>
      </w:pPr>
    </w:p>
    <w:p w:rsidRPr="00FF1EF3" w:rsidR="00DB2B61" w:rsidP="00DB2B61" w:rsidRDefault="00DB2B61" w14:paraId="4645FD06" w14:textId="77777777">
      <w:pPr>
        <w:contextualSpacing/>
        <w:rPr>
          <w:bCs/>
          <w:iCs/>
        </w:rPr>
      </w:pPr>
      <w:r w:rsidRPr="00FF1EF3">
        <w:t>Il CESE:</w:t>
      </w:r>
    </w:p>
    <w:p w:rsidRPr="00FF1EF3" w:rsidR="00DB2B61" w:rsidP="00DB2B61" w:rsidRDefault="00DB2B61" w14:paraId="06089817" w14:textId="77777777">
      <w:pPr>
        <w:contextualSpacing/>
      </w:pPr>
    </w:p>
    <w:p w:rsidRPr="00FF1EF3" w:rsidR="00DB2B61" w:rsidP="00DB2B61" w:rsidRDefault="00DB2B61" w14:paraId="12BF53B8" w14:textId="77777777">
      <w:pPr>
        <w:numPr>
          <w:ilvl w:val="0"/>
          <w:numId w:val="3"/>
        </w:numPr>
        <w:ind w:left="357" w:hanging="357"/>
        <w:contextualSpacing/>
      </w:pPr>
      <w:r w:rsidRPr="00FF1EF3">
        <w:t>accoglie con favore la tabella di marcia relativa alle tecnologie critiche per la sicurezza e la difesa – che giunge in un momento particolarmente opportuno, stante l'aggressione russa contro l'Ucraina – e ne appoggia pienamente gli obiettivi, vale a dire rafforzare la ricerca, lo sviluppo tecnologico e l'innovazione e ridurre le dipendenze strategiche dell'UE nelle tecnologie critiche e nelle catene del valore per la sicurezza e la difesa;</w:t>
      </w:r>
    </w:p>
    <w:p w:rsidRPr="00FF1EF3" w:rsidR="00DB2B61" w:rsidP="00DB2B61" w:rsidRDefault="00DB2B61" w14:paraId="50FB7782" w14:textId="77777777">
      <w:pPr>
        <w:numPr>
          <w:ilvl w:val="0"/>
          <w:numId w:val="3"/>
        </w:numPr>
        <w:ind w:left="357" w:hanging="357"/>
        <w:contextualSpacing/>
      </w:pPr>
      <w:r w:rsidRPr="00FF1EF3">
        <w:t>esprime apprezzamento per l'ambizione di sviluppare un approccio onnicomprensivo che travalichi la linea di demarcazione tra ambiti civile e militare e combini i livelli unionale e nazionale. Questo passo dovrebbe essere compiuto molto rapidamente, poiché l'invasione dell'Ucraina è un campanello d'allarme che deve indurre ad agire in tempi assai più brevi di quelli consueti;</w:t>
      </w:r>
    </w:p>
    <w:p w:rsidRPr="00FF1EF3" w:rsidR="00DB2B61" w:rsidP="00DB2B61" w:rsidRDefault="00DB2B61" w14:paraId="5A24A2DF" w14:textId="77777777">
      <w:pPr>
        <w:numPr>
          <w:ilvl w:val="0"/>
          <w:numId w:val="3"/>
        </w:numPr>
        <w:ind w:left="357" w:hanging="357"/>
        <w:contextualSpacing/>
      </w:pPr>
      <w:r w:rsidRPr="00FF1EF3">
        <w:t>esorta gli Stati membri a far sì che le loro risposte immediate all'aggressione russa contro l'Ucraina siano in linea con il contenuto e gli obiettivi della tabella di marcia in esame. Gli investimenti nazionali a breve termine nel settore della difesa devono essere coordinati a livello europeo onde evitare di accrescere la frammentazione delle capacità e la duplicazione delle iniziative;</w:t>
      </w:r>
    </w:p>
    <w:p w:rsidRPr="00FF1EF3" w:rsidR="00DB2B61" w:rsidP="00DB2B61" w:rsidRDefault="00DB2B61" w14:paraId="4A892D63" w14:textId="77777777">
      <w:pPr>
        <w:numPr>
          <w:ilvl w:val="0"/>
          <w:numId w:val="3"/>
        </w:numPr>
        <w:ind w:left="357" w:hanging="357"/>
        <w:contextualSpacing/>
      </w:pPr>
      <w:r w:rsidRPr="00FF1EF3">
        <w:t>raccomanda che l'osservatorio dell'UE sulle tecnologie critiche sia dotato di una governance chiara, di risorse adeguate e di un forte status istituzionale;</w:t>
      </w:r>
    </w:p>
    <w:p w:rsidRPr="00FF1EF3" w:rsidR="00DB2B61" w:rsidP="00DB2B61" w:rsidRDefault="00DB2B61" w14:paraId="0B9F09C8" w14:textId="77777777">
      <w:pPr>
        <w:numPr>
          <w:ilvl w:val="0"/>
          <w:numId w:val="3"/>
        </w:numPr>
        <w:ind w:left="357" w:hanging="357"/>
        <w:contextualSpacing/>
      </w:pPr>
      <w:r w:rsidRPr="00FF1EF3">
        <w:t>accoglie con favore la proposta di uno stretto coordinamento con gli Stati membri e chiede l'istituzione di un forum supplementare in cui ci si confronti con le imprese dei settori pertinenti;</w:t>
      </w:r>
    </w:p>
    <w:p w:rsidRPr="00FF1EF3" w:rsidR="00DB2B61" w:rsidP="00DB2B61" w:rsidRDefault="00DB2B61" w14:paraId="6F46F6D3" w14:textId="77777777">
      <w:pPr>
        <w:numPr>
          <w:ilvl w:val="0"/>
          <w:numId w:val="3"/>
        </w:numPr>
        <w:ind w:left="357" w:hanging="357"/>
        <w:contextualSpacing/>
      </w:pPr>
      <w:r w:rsidRPr="00FF1EF3">
        <w:t>ritiene che occorra fare in modo che i risultati prodotti dal suddetto osservatorio trovino riscontro nelle tabelle di marcia e si traducano in iniziative faro. La transizione tra le diverse fasi del ciclo tecnologico e industriale può essere gestita con successo soltanto se sono chiare la titolarità di un'iniziativa e le relative responsabilità. Coerenza e sinergie sono necessarie non solo a livello orizzontale, tra i programmi di RST&amp;I in ambito civile e quelli nel settore della difesa, ma anche verticalmente, tra i programmi di RST&amp;I e quelli di diffusione;</w:t>
      </w:r>
    </w:p>
    <w:p w:rsidRPr="00FF1EF3" w:rsidR="00DB2B61" w:rsidP="00DB2B61" w:rsidRDefault="00DB2B61" w14:paraId="1077ED33" w14:textId="77777777">
      <w:pPr>
        <w:numPr>
          <w:ilvl w:val="0"/>
          <w:numId w:val="3"/>
        </w:numPr>
        <w:ind w:left="357" w:hanging="357"/>
        <w:contextualSpacing/>
      </w:pPr>
      <w:r w:rsidRPr="00FF1EF3">
        <w:t>ritiene fondamentale semplificare e razionalizzare i programmi e gli strumenti dell'UE a sostegno della RST&amp;I, rendendoli così più utili e vantaggiosi per i loro beneficiari;</w:t>
      </w:r>
    </w:p>
    <w:p w:rsidRPr="00FF1EF3" w:rsidR="00DB2B61" w:rsidP="00DB2B61" w:rsidRDefault="00DB2B61" w14:paraId="63D36A68" w14:textId="77777777">
      <w:pPr>
        <w:numPr>
          <w:ilvl w:val="0"/>
          <w:numId w:val="3"/>
        </w:numPr>
        <w:ind w:left="357" w:hanging="357"/>
        <w:contextualSpacing/>
      </w:pPr>
      <w:r w:rsidRPr="00FF1EF3">
        <w:t>propone di istituire uno sportello unico online per le piccole e medie imprese (PMI) e le start-up, un "angolo (online) delle PMI europee", che offra loro la possibilità di inserire dati predefiniti e di ricevere in cambio informazioni su misura sul programma o i programmi dell'UE più adatti a fornire il sostegno di cui esse hanno bisogno.</w:t>
      </w:r>
    </w:p>
    <w:p w:rsidRPr="00FF1EF3" w:rsidR="00DB2B61" w:rsidP="00DB2B61" w:rsidRDefault="00DB2B61" w14:paraId="40A6106B"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F1EF3" w:rsidR="00DB2B61" w:rsidTr="00DB2B61" w14:paraId="23C0EF0B" w14:textId="77777777">
        <w:tc>
          <w:tcPr>
            <w:tcW w:w="1418" w:type="dxa"/>
          </w:tcPr>
          <w:p w:rsidRPr="00FF1EF3" w:rsidR="00DB2B61" w:rsidP="00DB2B61" w:rsidRDefault="00DB2B61" w14:paraId="3DD09D48" w14:textId="77777777">
            <w:pPr>
              <w:contextualSpacing/>
              <w:rPr>
                <w:i/>
              </w:rPr>
            </w:pPr>
            <w:r w:rsidRPr="00FF1EF3">
              <w:rPr>
                <w:b/>
                <w:i/>
              </w:rPr>
              <w:t>Contatto</w:t>
            </w:r>
          </w:p>
        </w:tc>
        <w:tc>
          <w:tcPr>
            <w:tcW w:w="5670" w:type="dxa"/>
          </w:tcPr>
          <w:p w:rsidRPr="00FF1EF3" w:rsidR="00DB2B61" w:rsidP="00DB2B61" w:rsidRDefault="00CD1982" w14:paraId="072EA6C8" w14:textId="77777777">
            <w:pPr>
              <w:contextualSpacing/>
              <w:rPr>
                <w:i/>
              </w:rPr>
            </w:pPr>
            <w:r w:rsidRPr="00FF1EF3">
              <w:rPr>
                <w:i/>
              </w:rPr>
              <w:t>Gaëlle MICHELIER</w:t>
            </w:r>
          </w:p>
        </w:tc>
      </w:tr>
      <w:tr w:rsidRPr="00FF1EF3" w:rsidR="00DB2B61" w:rsidTr="00DB2B61" w14:paraId="26445042" w14:textId="77777777">
        <w:tc>
          <w:tcPr>
            <w:tcW w:w="1418" w:type="dxa"/>
          </w:tcPr>
          <w:p w:rsidRPr="00FF1EF3" w:rsidR="00DB2B61" w:rsidP="00DB2B61" w:rsidRDefault="00DB2B61" w14:paraId="3B9F4F2A" w14:textId="77777777">
            <w:pPr>
              <w:ind w:left="601"/>
              <w:contextualSpacing/>
              <w:rPr>
                <w:i/>
              </w:rPr>
            </w:pPr>
            <w:r w:rsidRPr="00FF1EF3">
              <w:rPr>
                <w:i/>
              </w:rPr>
              <w:t>Tel.</w:t>
            </w:r>
          </w:p>
        </w:tc>
        <w:tc>
          <w:tcPr>
            <w:tcW w:w="5670" w:type="dxa"/>
          </w:tcPr>
          <w:p w:rsidRPr="00FF1EF3" w:rsidR="00DB2B61" w:rsidP="00DB2B61" w:rsidRDefault="00DB2B61" w14:paraId="69ACD3C0" w14:textId="77777777">
            <w:pPr>
              <w:contextualSpacing/>
              <w:rPr>
                <w:i/>
              </w:rPr>
            </w:pPr>
            <w:r w:rsidRPr="00FF1EF3">
              <w:rPr>
                <w:i/>
              </w:rPr>
              <w:t>00 32 2 546 96 05</w:t>
            </w:r>
          </w:p>
        </w:tc>
      </w:tr>
      <w:tr w:rsidRPr="00FF1EF3" w:rsidR="00DB2B61" w:rsidTr="00DB2B61" w14:paraId="5891FEB4" w14:textId="77777777">
        <w:tc>
          <w:tcPr>
            <w:tcW w:w="1418" w:type="dxa"/>
          </w:tcPr>
          <w:p w:rsidRPr="00FF1EF3" w:rsidR="00DB2B61" w:rsidP="00DB2B61" w:rsidRDefault="00FF1EF3" w14:paraId="25C7AFD9" w14:textId="69C57C3C">
            <w:pPr>
              <w:ind w:left="601"/>
              <w:contextualSpacing/>
              <w:rPr>
                <w:i/>
              </w:rPr>
            </w:pPr>
            <w:r w:rsidRPr="00FF1EF3">
              <w:rPr>
                <w:i/>
              </w:rPr>
              <w:t>E</w:t>
            </w:r>
            <w:r w:rsidRPr="00FF1EF3" w:rsidR="00DB2B61">
              <w:rPr>
                <w:i/>
              </w:rPr>
              <w:t>-mail</w:t>
            </w:r>
          </w:p>
        </w:tc>
        <w:tc>
          <w:tcPr>
            <w:tcW w:w="5670" w:type="dxa"/>
          </w:tcPr>
          <w:p w:rsidRPr="00FF1EF3" w:rsidR="00DB2B61" w:rsidP="00DB2B61" w:rsidRDefault="004F624E" w14:paraId="78B1D053" w14:textId="77777777">
            <w:pPr>
              <w:contextualSpacing/>
              <w:rPr>
                <w:i/>
              </w:rPr>
            </w:pPr>
            <w:hyperlink w:history="1" r:id="rId42">
              <w:r w:rsidRPr="00FF1EF3" w:rsidR="00462EFB">
                <w:rPr>
                  <w:rStyle w:val="Hyperlink"/>
                  <w:i/>
                </w:rPr>
                <w:t>Gaelle.Michelier@eesc.europa.eu</w:t>
              </w:r>
            </w:hyperlink>
          </w:p>
        </w:tc>
      </w:tr>
    </w:tbl>
    <w:p w:rsidRPr="00FF1EF3" w:rsidR="00910972" w:rsidRDefault="00910972" w14:paraId="68E54163" w14:textId="77777777">
      <w:pPr>
        <w:overflowPunct w:val="0"/>
        <w:autoSpaceDE w:val="0"/>
        <w:autoSpaceDN w:val="0"/>
        <w:adjustRightInd w:val="0"/>
        <w:jc w:val="center"/>
        <w:textAlignment w:val="baseline"/>
      </w:pPr>
      <w:r w:rsidRPr="00FF1EF3">
        <w:t>_____________</w:t>
      </w:r>
    </w:p>
    <w:p w:rsidRPr="00FF1EF3" w:rsidR="005B3012" w:rsidP="005B3012" w:rsidRDefault="005B3012" w14:paraId="73E537A6" w14:textId="0E4F0144"/>
    <w:sectPr w:rsidRPr="00FF1EF3" w:rsidR="005B3012" w:rsidSect="00910972">
      <w:headerReference w:type="even" r:id="rId43"/>
      <w:headerReference w:type="default" r:id="rId44"/>
      <w:footerReference w:type="even" r:id="rId45"/>
      <w:footerReference w:type="default" r:id="rId46"/>
      <w:headerReference w:type="first" r:id="rId47"/>
      <w:footerReference w:type="first" r:id="rId48"/>
      <w:pgSz w:w="11907" w:h="16839"/>
      <w:pgMar w:top="1191" w:right="1418" w:bottom="1077" w:left="1276"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E64118" w16cid:durableId="267FAA6F"/>
  <w16cid:commentId w16cid:paraId="215C170E" w16cid:durableId="267FAA70"/>
  <w16cid:commentId w16cid:paraId="64ED25B0" w16cid:durableId="267FAA71"/>
  <w16cid:commentId w16cid:paraId="78CBB437" w16cid:durableId="267FAA72"/>
  <w16cid:commentId w16cid:paraId="39CD95AC" w16cid:durableId="267FAA73"/>
  <w16cid:commentId w16cid:paraId="1EF3AC59" w16cid:durableId="267FAA74"/>
  <w16cid:commentId w16cid:paraId="0527830A" w16cid:durableId="267FAA75"/>
  <w16cid:commentId w16cid:paraId="57DACCA8" w16cid:durableId="267FAA76"/>
  <w16cid:commentId w16cid:paraId="7FEA2171" w16cid:durableId="267FAA77"/>
  <w16cid:commentId w16cid:paraId="5411F924" w16cid:durableId="267FAA78"/>
  <w16cid:commentId w16cid:paraId="508FB51E" w16cid:durableId="267FAA79"/>
  <w16cid:commentId w16cid:paraId="34240DFA" w16cid:durableId="267FAA7A"/>
  <w16cid:commentId w16cid:paraId="6638EDA2" w16cid:durableId="267FAA7B"/>
  <w16cid:commentId w16cid:paraId="31015A6F" w16cid:durableId="267FAA7C"/>
  <w16cid:commentId w16cid:paraId="3E0FC3AA" w16cid:durableId="267FAA7D"/>
  <w16cid:commentId w16cid:paraId="38E2BDD5" w16cid:durableId="267FAA7E"/>
  <w16cid:commentId w16cid:paraId="0749A011" w16cid:durableId="267FAA7F"/>
  <w16cid:commentId w16cid:paraId="1BF73476" w16cid:durableId="267FAA80"/>
  <w16cid:commentId w16cid:paraId="75A44810" w16cid:durableId="267FAA81"/>
  <w16cid:commentId w16cid:paraId="3A6D8CAB" w16cid:durableId="267FAA82"/>
  <w16cid:commentId w16cid:paraId="5FA44054" w16cid:durableId="267FAA83"/>
  <w16cid:commentId w16cid:paraId="5FBD6FDA" w16cid:durableId="267FAA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07EF" w14:textId="77777777" w:rsidR="003D3253" w:rsidRDefault="003D3253" w:rsidP="003B0516">
      <w:pPr>
        <w:spacing w:line="240" w:lineRule="auto"/>
      </w:pPr>
      <w:r>
        <w:separator/>
      </w:r>
    </w:p>
  </w:endnote>
  <w:endnote w:type="continuationSeparator" w:id="0">
    <w:p w14:paraId="7657AFA9" w14:textId="77777777" w:rsidR="003D3253" w:rsidRDefault="003D3253"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99BB" w14:textId="77777777" w:rsidR="003D3253" w:rsidRPr="00910972" w:rsidRDefault="003D3253" w:rsidP="00910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9D38" w14:textId="31C073CA" w:rsidR="003D3253" w:rsidRPr="00910972" w:rsidRDefault="003D3253" w:rsidP="00910972">
    <w:pPr>
      <w:pStyle w:val="Footer"/>
    </w:pPr>
    <w:r>
      <w:t xml:space="preserve">EESC-2022-03184-00-00-TCD-TRA (EN) </w:t>
    </w:r>
    <w:r>
      <w:fldChar w:fldCharType="begin"/>
    </w:r>
    <w:r>
      <w:instrText xml:space="preserve"> PAGE  \* Arabic  \* MERGEFORMAT </w:instrText>
    </w:r>
    <w:r>
      <w:fldChar w:fldCharType="separate"/>
    </w:r>
    <w:r w:rsidR="004D482F">
      <w:rPr>
        <w:noProof/>
      </w:rPr>
      <w:t>1</w:t>
    </w:r>
    <w:r>
      <w:fldChar w:fldCharType="end"/>
    </w:r>
    <w:r>
      <w:t>/</w:t>
    </w:r>
    <w:r w:rsidR="004F624E">
      <w:fldChar w:fldCharType="begin"/>
    </w:r>
    <w:r w:rsidR="004F624E">
      <w:instrText xml:space="preserve"> NUMPAGES </w:instrText>
    </w:r>
    <w:r w:rsidR="004F624E">
      <w:fldChar w:fldCharType="separate"/>
    </w:r>
    <w:r w:rsidR="004D482F">
      <w:rPr>
        <w:noProof/>
      </w:rPr>
      <w:t>28</w:t>
    </w:r>
    <w:r w:rsidR="004F624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D0A1" w14:textId="77777777" w:rsidR="003D3253" w:rsidRPr="00910972" w:rsidRDefault="003D3253" w:rsidP="009109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C15F" w14:textId="77777777" w:rsidR="003D3253" w:rsidRPr="00910972" w:rsidRDefault="003D3253" w:rsidP="009109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4860" w14:textId="49E74DF5" w:rsidR="003D3253" w:rsidRPr="00910972" w:rsidRDefault="003D3253" w:rsidP="00910972">
    <w:pPr>
      <w:pStyle w:val="Footer"/>
    </w:pPr>
    <w:r>
      <w:t xml:space="preserve">EESC-2022-03184-00-00-TCD-TRA (EN) </w:t>
    </w:r>
    <w:r>
      <w:fldChar w:fldCharType="begin"/>
    </w:r>
    <w:r>
      <w:instrText xml:space="preserve"> PAGE  \* Arabic  \* MERGEFORMAT </w:instrText>
    </w:r>
    <w:r>
      <w:fldChar w:fldCharType="separate"/>
    </w:r>
    <w:r w:rsidR="00FF468D">
      <w:rPr>
        <w:noProof/>
      </w:rPr>
      <w:t>2</w:t>
    </w:r>
    <w:r>
      <w:fldChar w:fldCharType="end"/>
    </w:r>
    <w:r>
      <w:t>/</w:t>
    </w:r>
    <w:r w:rsidR="004F624E">
      <w:fldChar w:fldCharType="begin"/>
    </w:r>
    <w:r w:rsidR="004F624E">
      <w:instrText xml:space="preserve"> NUMPAGES </w:instrText>
    </w:r>
    <w:r w:rsidR="004F624E">
      <w:fldChar w:fldCharType="separate"/>
    </w:r>
    <w:r w:rsidR="00FF468D">
      <w:rPr>
        <w:noProof/>
      </w:rPr>
      <w:t>28</w:t>
    </w:r>
    <w:r w:rsidR="004F624E">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E62D" w14:textId="77777777" w:rsidR="003D3253" w:rsidRPr="00910972" w:rsidRDefault="003D3253" w:rsidP="00910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60787" w14:textId="77777777" w:rsidR="003D3253" w:rsidRDefault="003D3253" w:rsidP="003B0516">
      <w:pPr>
        <w:spacing w:line="240" w:lineRule="auto"/>
      </w:pPr>
      <w:r>
        <w:separator/>
      </w:r>
    </w:p>
  </w:footnote>
  <w:footnote w:type="continuationSeparator" w:id="0">
    <w:p w14:paraId="7CEDF243" w14:textId="77777777" w:rsidR="003D3253" w:rsidRDefault="003D3253"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653A" w14:textId="77777777" w:rsidR="003D3253" w:rsidRPr="00910972" w:rsidRDefault="003D3253" w:rsidP="00910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8E1A2" w14:textId="548A34A6" w:rsidR="003D3253" w:rsidRPr="00910972" w:rsidRDefault="003D3253" w:rsidP="00910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C636A" w14:textId="77777777" w:rsidR="003D3253" w:rsidRPr="00910972" w:rsidRDefault="003D3253" w:rsidP="009109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9DF2" w14:textId="77777777" w:rsidR="003D3253" w:rsidRPr="00910972" w:rsidRDefault="003D3253" w:rsidP="009109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4FBA" w14:textId="0C1C1FB3" w:rsidR="003D3253" w:rsidRPr="00910972" w:rsidRDefault="003D3253" w:rsidP="009109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5E7F" w14:textId="77777777" w:rsidR="003D3253" w:rsidRPr="00910972" w:rsidRDefault="003D3253" w:rsidP="00910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9"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767D7BDC"/>
    <w:multiLevelType w:val="hybridMultilevel"/>
    <w:tmpl w:val="948AFA3C"/>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2"/>
  </w:num>
  <w:num w:numId="4">
    <w:abstractNumId w:val="1"/>
  </w:num>
  <w:num w:numId="5">
    <w:abstractNumId w:val="8"/>
  </w:num>
  <w:num w:numId="6">
    <w:abstractNumId w:val="5"/>
  </w:num>
  <w:num w:numId="7">
    <w:abstractNumId w:val="2"/>
  </w:num>
  <w:num w:numId="8">
    <w:abstractNumId w:val="4"/>
  </w:num>
  <w:num w:numId="9">
    <w:abstractNumId w:val="3"/>
  </w:num>
  <w:num w:numId="10">
    <w:abstractNumId w:val="13"/>
  </w:num>
  <w:num w:numId="11">
    <w:abstractNumId w:val="6"/>
  </w:num>
  <w:num w:numId="12">
    <w:abstractNumId w:val="10"/>
  </w:num>
  <w:num w:numId="13">
    <w:abstractNumId w:val="0"/>
  </w:num>
  <w:num w:numId="14">
    <w:abstractNumId w:val="0"/>
  </w:num>
  <w:num w:numId="15">
    <w:abstractNumId w:val="9"/>
  </w:num>
  <w:num w:numId="16">
    <w:abstractNumId w:val="7"/>
  </w:num>
  <w:num w:numId="17">
    <w:abstractNumId w:val="0"/>
  </w:num>
  <w:num w:numId="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6" w:nlCheck="1" w:checkStyle="0"/>
  <w:activeWritingStyle w:appName="MSWord" w:lang="en-GB" w:vendorID="64" w:dllVersion="6" w:nlCheck="1" w:checkStyle="0"/>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15E18"/>
    <w:rsid w:val="000232FA"/>
    <w:rsid w:val="0002450A"/>
    <w:rsid w:val="00027072"/>
    <w:rsid w:val="00032038"/>
    <w:rsid w:val="0003271A"/>
    <w:rsid w:val="00032BAA"/>
    <w:rsid w:val="00034E35"/>
    <w:rsid w:val="000402AE"/>
    <w:rsid w:val="00041C4A"/>
    <w:rsid w:val="0004205F"/>
    <w:rsid w:val="000421E0"/>
    <w:rsid w:val="0005170F"/>
    <w:rsid w:val="00055D63"/>
    <w:rsid w:val="00056079"/>
    <w:rsid w:val="00056B3E"/>
    <w:rsid w:val="0005760F"/>
    <w:rsid w:val="00063DFF"/>
    <w:rsid w:val="00064EDE"/>
    <w:rsid w:val="00070FEE"/>
    <w:rsid w:val="0007146F"/>
    <w:rsid w:val="00071F4C"/>
    <w:rsid w:val="000764E8"/>
    <w:rsid w:val="00076BA9"/>
    <w:rsid w:val="00083845"/>
    <w:rsid w:val="000911BF"/>
    <w:rsid w:val="00092425"/>
    <w:rsid w:val="000951A1"/>
    <w:rsid w:val="000956DB"/>
    <w:rsid w:val="00096786"/>
    <w:rsid w:val="000A007B"/>
    <w:rsid w:val="000A03BD"/>
    <w:rsid w:val="000A1218"/>
    <w:rsid w:val="000A74DC"/>
    <w:rsid w:val="000A7BA8"/>
    <w:rsid w:val="000B19C4"/>
    <w:rsid w:val="000C3942"/>
    <w:rsid w:val="000C43E2"/>
    <w:rsid w:val="000C6D0B"/>
    <w:rsid w:val="000D2F8F"/>
    <w:rsid w:val="000D65AC"/>
    <w:rsid w:val="000E5FFD"/>
    <w:rsid w:val="000E6108"/>
    <w:rsid w:val="000F53B7"/>
    <w:rsid w:val="000F679A"/>
    <w:rsid w:val="001000A8"/>
    <w:rsid w:val="001167A1"/>
    <w:rsid w:val="00116A1C"/>
    <w:rsid w:val="001179DB"/>
    <w:rsid w:val="00117AA8"/>
    <w:rsid w:val="00124D7C"/>
    <w:rsid w:val="00126CBC"/>
    <w:rsid w:val="001271C3"/>
    <w:rsid w:val="001400C7"/>
    <w:rsid w:val="001445A7"/>
    <w:rsid w:val="001455A1"/>
    <w:rsid w:val="00150AD8"/>
    <w:rsid w:val="001513FD"/>
    <w:rsid w:val="00163106"/>
    <w:rsid w:val="00164813"/>
    <w:rsid w:val="001744F9"/>
    <w:rsid w:val="00174763"/>
    <w:rsid w:val="0018231C"/>
    <w:rsid w:val="00182F92"/>
    <w:rsid w:val="00191597"/>
    <w:rsid w:val="001951FD"/>
    <w:rsid w:val="001A0AD4"/>
    <w:rsid w:val="001A2273"/>
    <w:rsid w:val="001B10DA"/>
    <w:rsid w:val="001B6460"/>
    <w:rsid w:val="001C4EDC"/>
    <w:rsid w:val="001C5D5C"/>
    <w:rsid w:val="001D1F54"/>
    <w:rsid w:val="001D2636"/>
    <w:rsid w:val="001D6FFF"/>
    <w:rsid w:val="001D770D"/>
    <w:rsid w:val="001E0F0C"/>
    <w:rsid w:val="001E2286"/>
    <w:rsid w:val="001E6413"/>
    <w:rsid w:val="001F1433"/>
    <w:rsid w:val="001F1862"/>
    <w:rsid w:val="001F22AC"/>
    <w:rsid w:val="001F56CE"/>
    <w:rsid w:val="001F6FD5"/>
    <w:rsid w:val="00200222"/>
    <w:rsid w:val="0020062C"/>
    <w:rsid w:val="002037FC"/>
    <w:rsid w:val="002043D7"/>
    <w:rsid w:val="002043F8"/>
    <w:rsid w:val="00215520"/>
    <w:rsid w:val="0021590B"/>
    <w:rsid w:val="00215FAB"/>
    <w:rsid w:val="00224583"/>
    <w:rsid w:val="00225BCA"/>
    <w:rsid w:val="00225C52"/>
    <w:rsid w:val="00226DC1"/>
    <w:rsid w:val="00227E12"/>
    <w:rsid w:val="00232374"/>
    <w:rsid w:val="002328D2"/>
    <w:rsid w:val="00237481"/>
    <w:rsid w:val="00242666"/>
    <w:rsid w:val="00247E02"/>
    <w:rsid w:val="00255669"/>
    <w:rsid w:val="00256F0A"/>
    <w:rsid w:val="00261FDB"/>
    <w:rsid w:val="00270828"/>
    <w:rsid w:val="002737D4"/>
    <w:rsid w:val="00276CC9"/>
    <w:rsid w:val="002776B9"/>
    <w:rsid w:val="00291154"/>
    <w:rsid w:val="00292D44"/>
    <w:rsid w:val="00293E9C"/>
    <w:rsid w:val="002A2F38"/>
    <w:rsid w:val="002A417C"/>
    <w:rsid w:val="002A6192"/>
    <w:rsid w:val="002A696A"/>
    <w:rsid w:val="002B09A7"/>
    <w:rsid w:val="002B1961"/>
    <w:rsid w:val="002B2BA3"/>
    <w:rsid w:val="002B5031"/>
    <w:rsid w:val="002B75A5"/>
    <w:rsid w:val="002B7981"/>
    <w:rsid w:val="002C0E2F"/>
    <w:rsid w:val="002C1BC2"/>
    <w:rsid w:val="002C2466"/>
    <w:rsid w:val="002C24B9"/>
    <w:rsid w:val="002C2B80"/>
    <w:rsid w:val="002C4B6E"/>
    <w:rsid w:val="002C5F52"/>
    <w:rsid w:val="002D4C38"/>
    <w:rsid w:val="002E01B5"/>
    <w:rsid w:val="002E44D6"/>
    <w:rsid w:val="002E459D"/>
    <w:rsid w:val="002E5473"/>
    <w:rsid w:val="002F32E6"/>
    <w:rsid w:val="002F63EB"/>
    <w:rsid w:val="00305834"/>
    <w:rsid w:val="00311562"/>
    <w:rsid w:val="003123CB"/>
    <w:rsid w:val="003165A9"/>
    <w:rsid w:val="0032266E"/>
    <w:rsid w:val="003227CC"/>
    <w:rsid w:val="00323A05"/>
    <w:rsid w:val="00326919"/>
    <w:rsid w:val="00331ACB"/>
    <w:rsid w:val="00331C12"/>
    <w:rsid w:val="00333F1A"/>
    <w:rsid w:val="00340F46"/>
    <w:rsid w:val="00342F72"/>
    <w:rsid w:val="00350A12"/>
    <w:rsid w:val="00350F5C"/>
    <w:rsid w:val="003527B4"/>
    <w:rsid w:val="00361E48"/>
    <w:rsid w:val="0036641A"/>
    <w:rsid w:val="00370CCB"/>
    <w:rsid w:val="00376574"/>
    <w:rsid w:val="00394949"/>
    <w:rsid w:val="00396061"/>
    <w:rsid w:val="003965BB"/>
    <w:rsid w:val="003A0DB7"/>
    <w:rsid w:val="003B0516"/>
    <w:rsid w:val="003B3C5F"/>
    <w:rsid w:val="003B3D68"/>
    <w:rsid w:val="003B6760"/>
    <w:rsid w:val="003C07C5"/>
    <w:rsid w:val="003C2647"/>
    <w:rsid w:val="003C4D5B"/>
    <w:rsid w:val="003D3253"/>
    <w:rsid w:val="003D33F7"/>
    <w:rsid w:val="003D4F68"/>
    <w:rsid w:val="003D57BD"/>
    <w:rsid w:val="003D76E2"/>
    <w:rsid w:val="003E2757"/>
    <w:rsid w:val="003E5137"/>
    <w:rsid w:val="003E692C"/>
    <w:rsid w:val="003F0159"/>
    <w:rsid w:val="003F2D36"/>
    <w:rsid w:val="003F510A"/>
    <w:rsid w:val="003F6382"/>
    <w:rsid w:val="0040019C"/>
    <w:rsid w:val="00400A1F"/>
    <w:rsid w:val="00403406"/>
    <w:rsid w:val="004047B1"/>
    <w:rsid w:val="00405FD9"/>
    <w:rsid w:val="00407760"/>
    <w:rsid w:val="00426ECD"/>
    <w:rsid w:val="004331B4"/>
    <w:rsid w:val="00441E45"/>
    <w:rsid w:val="004439C8"/>
    <w:rsid w:val="004511AE"/>
    <w:rsid w:val="00456E3C"/>
    <w:rsid w:val="00462B31"/>
    <w:rsid w:val="00462EFB"/>
    <w:rsid w:val="00463300"/>
    <w:rsid w:val="004646AF"/>
    <w:rsid w:val="0046631E"/>
    <w:rsid w:val="00470719"/>
    <w:rsid w:val="00472A79"/>
    <w:rsid w:val="00472E72"/>
    <w:rsid w:val="004755C3"/>
    <w:rsid w:val="0048695C"/>
    <w:rsid w:val="004904F9"/>
    <w:rsid w:val="0049347F"/>
    <w:rsid w:val="004A46D9"/>
    <w:rsid w:val="004A5CD7"/>
    <w:rsid w:val="004B344F"/>
    <w:rsid w:val="004B7248"/>
    <w:rsid w:val="004B72DD"/>
    <w:rsid w:val="004C1E12"/>
    <w:rsid w:val="004C2872"/>
    <w:rsid w:val="004C40E4"/>
    <w:rsid w:val="004D2E64"/>
    <w:rsid w:val="004D482F"/>
    <w:rsid w:val="004D65FF"/>
    <w:rsid w:val="004D7AC0"/>
    <w:rsid w:val="004F2430"/>
    <w:rsid w:val="004F624E"/>
    <w:rsid w:val="004F68A8"/>
    <w:rsid w:val="00502B04"/>
    <w:rsid w:val="00502C82"/>
    <w:rsid w:val="005030F7"/>
    <w:rsid w:val="00530644"/>
    <w:rsid w:val="00533BF2"/>
    <w:rsid w:val="0053502B"/>
    <w:rsid w:val="0054010D"/>
    <w:rsid w:val="00542C6F"/>
    <w:rsid w:val="00546842"/>
    <w:rsid w:val="005475DA"/>
    <w:rsid w:val="0054765A"/>
    <w:rsid w:val="00550800"/>
    <w:rsid w:val="00554499"/>
    <w:rsid w:val="00555A39"/>
    <w:rsid w:val="00560174"/>
    <w:rsid w:val="00564924"/>
    <w:rsid w:val="00565C6E"/>
    <w:rsid w:val="00571FEB"/>
    <w:rsid w:val="00577672"/>
    <w:rsid w:val="00582A42"/>
    <w:rsid w:val="00584D91"/>
    <w:rsid w:val="0058593B"/>
    <w:rsid w:val="00586B4B"/>
    <w:rsid w:val="00590BDD"/>
    <w:rsid w:val="00594140"/>
    <w:rsid w:val="0059551E"/>
    <w:rsid w:val="005A3E6D"/>
    <w:rsid w:val="005A755F"/>
    <w:rsid w:val="005B0E27"/>
    <w:rsid w:val="005B3012"/>
    <w:rsid w:val="005C0363"/>
    <w:rsid w:val="005C7C47"/>
    <w:rsid w:val="005D621C"/>
    <w:rsid w:val="005D6E4D"/>
    <w:rsid w:val="005D7939"/>
    <w:rsid w:val="005E23CD"/>
    <w:rsid w:val="005E2C02"/>
    <w:rsid w:val="005E56F3"/>
    <w:rsid w:val="005E682E"/>
    <w:rsid w:val="005F4FFC"/>
    <w:rsid w:val="005F78D7"/>
    <w:rsid w:val="005F7E48"/>
    <w:rsid w:val="00600A25"/>
    <w:rsid w:val="006025C9"/>
    <w:rsid w:val="006119BD"/>
    <w:rsid w:val="00613467"/>
    <w:rsid w:val="0061692F"/>
    <w:rsid w:val="0062138E"/>
    <w:rsid w:val="00622822"/>
    <w:rsid w:val="00624785"/>
    <w:rsid w:val="00627B8F"/>
    <w:rsid w:val="00630047"/>
    <w:rsid w:val="00630928"/>
    <w:rsid w:val="00631509"/>
    <w:rsid w:val="00632139"/>
    <w:rsid w:val="006324DA"/>
    <w:rsid w:val="006334BE"/>
    <w:rsid w:val="00640656"/>
    <w:rsid w:val="00641262"/>
    <w:rsid w:val="00645723"/>
    <w:rsid w:val="00650DB1"/>
    <w:rsid w:val="006568C8"/>
    <w:rsid w:val="006604D8"/>
    <w:rsid w:val="00662436"/>
    <w:rsid w:val="006669FA"/>
    <w:rsid w:val="00666A72"/>
    <w:rsid w:val="00670347"/>
    <w:rsid w:val="00675177"/>
    <w:rsid w:val="00681B23"/>
    <w:rsid w:val="0068241A"/>
    <w:rsid w:val="006849A6"/>
    <w:rsid w:val="00691356"/>
    <w:rsid w:val="006967AE"/>
    <w:rsid w:val="006A3A88"/>
    <w:rsid w:val="006A42C1"/>
    <w:rsid w:val="006A5AA8"/>
    <w:rsid w:val="006B106B"/>
    <w:rsid w:val="006B265F"/>
    <w:rsid w:val="006C3FDB"/>
    <w:rsid w:val="006C4311"/>
    <w:rsid w:val="006C4ED2"/>
    <w:rsid w:val="006D32E3"/>
    <w:rsid w:val="006D4847"/>
    <w:rsid w:val="006D6086"/>
    <w:rsid w:val="006E0E88"/>
    <w:rsid w:val="006E3078"/>
    <w:rsid w:val="006E3F60"/>
    <w:rsid w:val="006E6434"/>
    <w:rsid w:val="006F3409"/>
    <w:rsid w:val="00700030"/>
    <w:rsid w:val="007037CE"/>
    <w:rsid w:val="00704C1E"/>
    <w:rsid w:val="00705674"/>
    <w:rsid w:val="007105B2"/>
    <w:rsid w:val="007150C5"/>
    <w:rsid w:val="00715A60"/>
    <w:rsid w:val="00720D22"/>
    <w:rsid w:val="00721342"/>
    <w:rsid w:val="00721386"/>
    <w:rsid w:val="00727B0D"/>
    <w:rsid w:val="007327CD"/>
    <w:rsid w:val="00732CC4"/>
    <w:rsid w:val="00733A55"/>
    <w:rsid w:val="00735256"/>
    <w:rsid w:val="0074379C"/>
    <w:rsid w:val="00745EAA"/>
    <w:rsid w:val="00746B35"/>
    <w:rsid w:val="0075250B"/>
    <w:rsid w:val="00753F2A"/>
    <w:rsid w:val="00760B02"/>
    <w:rsid w:val="00760C0A"/>
    <w:rsid w:val="0076429F"/>
    <w:rsid w:val="00765C4F"/>
    <w:rsid w:val="00771110"/>
    <w:rsid w:val="00775FDA"/>
    <w:rsid w:val="0077736D"/>
    <w:rsid w:val="00781B32"/>
    <w:rsid w:val="007830DD"/>
    <w:rsid w:val="00785F4A"/>
    <w:rsid w:val="007A0970"/>
    <w:rsid w:val="007A1548"/>
    <w:rsid w:val="007B21C5"/>
    <w:rsid w:val="007B231B"/>
    <w:rsid w:val="007B4C38"/>
    <w:rsid w:val="007B7C40"/>
    <w:rsid w:val="007C11A7"/>
    <w:rsid w:val="007C58EF"/>
    <w:rsid w:val="007C7CE2"/>
    <w:rsid w:val="007D42D1"/>
    <w:rsid w:val="007D5174"/>
    <w:rsid w:val="007E0CE8"/>
    <w:rsid w:val="007E3FFA"/>
    <w:rsid w:val="007E70D2"/>
    <w:rsid w:val="007E7A4F"/>
    <w:rsid w:val="007E7DE3"/>
    <w:rsid w:val="007F0BB7"/>
    <w:rsid w:val="007F2119"/>
    <w:rsid w:val="007F7DBA"/>
    <w:rsid w:val="00804736"/>
    <w:rsid w:val="0080501D"/>
    <w:rsid w:val="00812594"/>
    <w:rsid w:val="00813A00"/>
    <w:rsid w:val="00814E33"/>
    <w:rsid w:val="008159E1"/>
    <w:rsid w:val="008172B0"/>
    <w:rsid w:val="00822ED8"/>
    <w:rsid w:val="00824647"/>
    <w:rsid w:val="00824DCF"/>
    <w:rsid w:val="0082509A"/>
    <w:rsid w:val="00827B0E"/>
    <w:rsid w:val="008327B1"/>
    <w:rsid w:val="00833E27"/>
    <w:rsid w:val="00841374"/>
    <w:rsid w:val="00842465"/>
    <w:rsid w:val="00842BDD"/>
    <w:rsid w:val="00842C71"/>
    <w:rsid w:val="00844B87"/>
    <w:rsid w:val="0085096C"/>
    <w:rsid w:val="00855196"/>
    <w:rsid w:val="00855772"/>
    <w:rsid w:val="0086045C"/>
    <w:rsid w:val="008608BA"/>
    <w:rsid w:val="00861942"/>
    <w:rsid w:val="00861D96"/>
    <w:rsid w:val="00862DC9"/>
    <w:rsid w:val="0086458A"/>
    <w:rsid w:val="008737C0"/>
    <w:rsid w:val="008745F7"/>
    <w:rsid w:val="00881E9B"/>
    <w:rsid w:val="0088219D"/>
    <w:rsid w:val="0088465F"/>
    <w:rsid w:val="00884879"/>
    <w:rsid w:val="008854AE"/>
    <w:rsid w:val="00886448"/>
    <w:rsid w:val="008946BF"/>
    <w:rsid w:val="008A4C14"/>
    <w:rsid w:val="008B2544"/>
    <w:rsid w:val="008B26C6"/>
    <w:rsid w:val="008B2708"/>
    <w:rsid w:val="008B66DD"/>
    <w:rsid w:val="008B72DD"/>
    <w:rsid w:val="008C18DE"/>
    <w:rsid w:val="008D2131"/>
    <w:rsid w:val="008D5213"/>
    <w:rsid w:val="008E0C2F"/>
    <w:rsid w:val="008E5076"/>
    <w:rsid w:val="008F1627"/>
    <w:rsid w:val="00900BFC"/>
    <w:rsid w:val="009049FC"/>
    <w:rsid w:val="00910972"/>
    <w:rsid w:val="009109F5"/>
    <w:rsid w:val="00912E0E"/>
    <w:rsid w:val="00912F6B"/>
    <w:rsid w:val="00914265"/>
    <w:rsid w:val="009173E7"/>
    <w:rsid w:val="009177FF"/>
    <w:rsid w:val="00931584"/>
    <w:rsid w:val="00934472"/>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B0E36"/>
    <w:rsid w:val="009B2ADD"/>
    <w:rsid w:val="009B37E5"/>
    <w:rsid w:val="009B70E7"/>
    <w:rsid w:val="009B72AB"/>
    <w:rsid w:val="009C513E"/>
    <w:rsid w:val="009C574C"/>
    <w:rsid w:val="009C75E4"/>
    <w:rsid w:val="009D07F4"/>
    <w:rsid w:val="009D1CA2"/>
    <w:rsid w:val="009D2CD0"/>
    <w:rsid w:val="009D388E"/>
    <w:rsid w:val="009D5CC6"/>
    <w:rsid w:val="009E4E92"/>
    <w:rsid w:val="009E6BA2"/>
    <w:rsid w:val="009E70A3"/>
    <w:rsid w:val="009E7942"/>
    <w:rsid w:val="009F3BC5"/>
    <w:rsid w:val="009F5F78"/>
    <w:rsid w:val="009F706B"/>
    <w:rsid w:val="00A0410F"/>
    <w:rsid w:val="00A048E9"/>
    <w:rsid w:val="00A049D5"/>
    <w:rsid w:val="00A06D45"/>
    <w:rsid w:val="00A06E9E"/>
    <w:rsid w:val="00A10A98"/>
    <w:rsid w:val="00A20E9D"/>
    <w:rsid w:val="00A30792"/>
    <w:rsid w:val="00A30B84"/>
    <w:rsid w:val="00A3344B"/>
    <w:rsid w:val="00A37880"/>
    <w:rsid w:val="00A45EC3"/>
    <w:rsid w:val="00A46122"/>
    <w:rsid w:val="00A51F03"/>
    <w:rsid w:val="00A522D4"/>
    <w:rsid w:val="00A5507B"/>
    <w:rsid w:val="00A62F57"/>
    <w:rsid w:val="00A63413"/>
    <w:rsid w:val="00A6556C"/>
    <w:rsid w:val="00A659B5"/>
    <w:rsid w:val="00A661BB"/>
    <w:rsid w:val="00A720CF"/>
    <w:rsid w:val="00A74B4C"/>
    <w:rsid w:val="00A763E7"/>
    <w:rsid w:val="00A827D2"/>
    <w:rsid w:val="00A86E2C"/>
    <w:rsid w:val="00A9462E"/>
    <w:rsid w:val="00A94E45"/>
    <w:rsid w:val="00AA05F8"/>
    <w:rsid w:val="00AA5C61"/>
    <w:rsid w:val="00AA69BF"/>
    <w:rsid w:val="00AB3045"/>
    <w:rsid w:val="00AB4D68"/>
    <w:rsid w:val="00AB72EB"/>
    <w:rsid w:val="00AC567A"/>
    <w:rsid w:val="00AC7690"/>
    <w:rsid w:val="00AD1524"/>
    <w:rsid w:val="00AD3DB1"/>
    <w:rsid w:val="00AD6708"/>
    <w:rsid w:val="00AE0A52"/>
    <w:rsid w:val="00AE2E3C"/>
    <w:rsid w:val="00AF2C37"/>
    <w:rsid w:val="00AF45AD"/>
    <w:rsid w:val="00AF4F10"/>
    <w:rsid w:val="00B0753C"/>
    <w:rsid w:val="00B11964"/>
    <w:rsid w:val="00B13B9C"/>
    <w:rsid w:val="00B24B60"/>
    <w:rsid w:val="00B24C28"/>
    <w:rsid w:val="00B30118"/>
    <w:rsid w:val="00B34E93"/>
    <w:rsid w:val="00B35908"/>
    <w:rsid w:val="00B40093"/>
    <w:rsid w:val="00B40158"/>
    <w:rsid w:val="00B41E79"/>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56FE"/>
    <w:rsid w:val="00B7530C"/>
    <w:rsid w:val="00B76922"/>
    <w:rsid w:val="00B83E7B"/>
    <w:rsid w:val="00B85573"/>
    <w:rsid w:val="00B876EC"/>
    <w:rsid w:val="00B92B86"/>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D4DBF"/>
    <w:rsid w:val="00BD6E79"/>
    <w:rsid w:val="00BD7550"/>
    <w:rsid w:val="00BD7A8C"/>
    <w:rsid w:val="00BE12B3"/>
    <w:rsid w:val="00BE5754"/>
    <w:rsid w:val="00BE6D5A"/>
    <w:rsid w:val="00BF27C9"/>
    <w:rsid w:val="00BF5C7D"/>
    <w:rsid w:val="00BF6653"/>
    <w:rsid w:val="00C00B1F"/>
    <w:rsid w:val="00C0119D"/>
    <w:rsid w:val="00C10C77"/>
    <w:rsid w:val="00C23683"/>
    <w:rsid w:val="00C259DF"/>
    <w:rsid w:val="00C25DB3"/>
    <w:rsid w:val="00C331A1"/>
    <w:rsid w:val="00C34B35"/>
    <w:rsid w:val="00C445FE"/>
    <w:rsid w:val="00C44A5C"/>
    <w:rsid w:val="00C46E4F"/>
    <w:rsid w:val="00C554BB"/>
    <w:rsid w:val="00C600B5"/>
    <w:rsid w:val="00C60AE2"/>
    <w:rsid w:val="00C61E75"/>
    <w:rsid w:val="00C677AD"/>
    <w:rsid w:val="00C752C7"/>
    <w:rsid w:val="00C7574C"/>
    <w:rsid w:val="00C76C46"/>
    <w:rsid w:val="00C76D56"/>
    <w:rsid w:val="00C834A5"/>
    <w:rsid w:val="00C8431E"/>
    <w:rsid w:val="00C86F74"/>
    <w:rsid w:val="00C92102"/>
    <w:rsid w:val="00C95751"/>
    <w:rsid w:val="00C9679B"/>
    <w:rsid w:val="00C96BF2"/>
    <w:rsid w:val="00C97966"/>
    <w:rsid w:val="00CA3848"/>
    <w:rsid w:val="00CA685D"/>
    <w:rsid w:val="00CB0AEA"/>
    <w:rsid w:val="00CB0CBA"/>
    <w:rsid w:val="00CB1D03"/>
    <w:rsid w:val="00CB2A8A"/>
    <w:rsid w:val="00CB3335"/>
    <w:rsid w:val="00CB3574"/>
    <w:rsid w:val="00CB4448"/>
    <w:rsid w:val="00CB6509"/>
    <w:rsid w:val="00CC25F9"/>
    <w:rsid w:val="00CD1982"/>
    <w:rsid w:val="00CD7E1B"/>
    <w:rsid w:val="00CD7F66"/>
    <w:rsid w:val="00CE23CC"/>
    <w:rsid w:val="00CE48CB"/>
    <w:rsid w:val="00CF2F88"/>
    <w:rsid w:val="00CF3D01"/>
    <w:rsid w:val="00CF5AC7"/>
    <w:rsid w:val="00CF7F58"/>
    <w:rsid w:val="00D0023B"/>
    <w:rsid w:val="00D007F3"/>
    <w:rsid w:val="00D00BF8"/>
    <w:rsid w:val="00D014A8"/>
    <w:rsid w:val="00D04678"/>
    <w:rsid w:val="00D13F40"/>
    <w:rsid w:val="00D205F2"/>
    <w:rsid w:val="00D20C54"/>
    <w:rsid w:val="00D243A3"/>
    <w:rsid w:val="00D24601"/>
    <w:rsid w:val="00D327F0"/>
    <w:rsid w:val="00D35512"/>
    <w:rsid w:val="00D35C97"/>
    <w:rsid w:val="00D41F72"/>
    <w:rsid w:val="00D423EB"/>
    <w:rsid w:val="00D442EE"/>
    <w:rsid w:val="00D47085"/>
    <w:rsid w:val="00D534BA"/>
    <w:rsid w:val="00D55B4C"/>
    <w:rsid w:val="00D61B08"/>
    <w:rsid w:val="00D630B8"/>
    <w:rsid w:val="00D761CD"/>
    <w:rsid w:val="00D76363"/>
    <w:rsid w:val="00D80558"/>
    <w:rsid w:val="00D84FBD"/>
    <w:rsid w:val="00D85D67"/>
    <w:rsid w:val="00D86432"/>
    <w:rsid w:val="00D92EBC"/>
    <w:rsid w:val="00D944B2"/>
    <w:rsid w:val="00DA2D88"/>
    <w:rsid w:val="00DA608B"/>
    <w:rsid w:val="00DB2B61"/>
    <w:rsid w:val="00DB34D6"/>
    <w:rsid w:val="00DB6D98"/>
    <w:rsid w:val="00DC057E"/>
    <w:rsid w:val="00DC097D"/>
    <w:rsid w:val="00DC17CF"/>
    <w:rsid w:val="00DC53E9"/>
    <w:rsid w:val="00DD23A2"/>
    <w:rsid w:val="00DD289C"/>
    <w:rsid w:val="00DD53BD"/>
    <w:rsid w:val="00DE010C"/>
    <w:rsid w:val="00DE308B"/>
    <w:rsid w:val="00DE3CA7"/>
    <w:rsid w:val="00DF2640"/>
    <w:rsid w:val="00DF2B94"/>
    <w:rsid w:val="00DF2D5D"/>
    <w:rsid w:val="00DF349B"/>
    <w:rsid w:val="00DF3AB5"/>
    <w:rsid w:val="00DF590D"/>
    <w:rsid w:val="00E02E1A"/>
    <w:rsid w:val="00E060CF"/>
    <w:rsid w:val="00E0620E"/>
    <w:rsid w:val="00E06456"/>
    <w:rsid w:val="00E074E2"/>
    <w:rsid w:val="00E11C18"/>
    <w:rsid w:val="00E20579"/>
    <w:rsid w:val="00E207F0"/>
    <w:rsid w:val="00E20FC5"/>
    <w:rsid w:val="00E211D9"/>
    <w:rsid w:val="00E227B2"/>
    <w:rsid w:val="00E24CDF"/>
    <w:rsid w:val="00E26F29"/>
    <w:rsid w:val="00E33923"/>
    <w:rsid w:val="00E33D03"/>
    <w:rsid w:val="00E36EA1"/>
    <w:rsid w:val="00E4196E"/>
    <w:rsid w:val="00E461E1"/>
    <w:rsid w:val="00E54548"/>
    <w:rsid w:val="00E61540"/>
    <w:rsid w:val="00E64300"/>
    <w:rsid w:val="00E65D01"/>
    <w:rsid w:val="00E72E7D"/>
    <w:rsid w:val="00E81FDD"/>
    <w:rsid w:val="00E86232"/>
    <w:rsid w:val="00E9792C"/>
    <w:rsid w:val="00EA2799"/>
    <w:rsid w:val="00EA403A"/>
    <w:rsid w:val="00EA76FF"/>
    <w:rsid w:val="00EB051C"/>
    <w:rsid w:val="00EC533C"/>
    <w:rsid w:val="00EC6B43"/>
    <w:rsid w:val="00EC78C3"/>
    <w:rsid w:val="00EC79EC"/>
    <w:rsid w:val="00ED0BA8"/>
    <w:rsid w:val="00ED2A6A"/>
    <w:rsid w:val="00ED377B"/>
    <w:rsid w:val="00ED441B"/>
    <w:rsid w:val="00ED7BC2"/>
    <w:rsid w:val="00EF0853"/>
    <w:rsid w:val="00EF6631"/>
    <w:rsid w:val="00EF688F"/>
    <w:rsid w:val="00F00603"/>
    <w:rsid w:val="00F01CF2"/>
    <w:rsid w:val="00F03950"/>
    <w:rsid w:val="00F049D6"/>
    <w:rsid w:val="00F13607"/>
    <w:rsid w:val="00F173C9"/>
    <w:rsid w:val="00F2127E"/>
    <w:rsid w:val="00F25F17"/>
    <w:rsid w:val="00F324AC"/>
    <w:rsid w:val="00F32577"/>
    <w:rsid w:val="00F349C7"/>
    <w:rsid w:val="00F37E4A"/>
    <w:rsid w:val="00F423CE"/>
    <w:rsid w:val="00F443A0"/>
    <w:rsid w:val="00F471FB"/>
    <w:rsid w:val="00F47818"/>
    <w:rsid w:val="00F508B3"/>
    <w:rsid w:val="00F512BB"/>
    <w:rsid w:val="00F545CF"/>
    <w:rsid w:val="00F6297B"/>
    <w:rsid w:val="00F63F2A"/>
    <w:rsid w:val="00F646EF"/>
    <w:rsid w:val="00F71666"/>
    <w:rsid w:val="00F804C6"/>
    <w:rsid w:val="00F80F3B"/>
    <w:rsid w:val="00F841DB"/>
    <w:rsid w:val="00F856AC"/>
    <w:rsid w:val="00F86531"/>
    <w:rsid w:val="00F86EB5"/>
    <w:rsid w:val="00F86F23"/>
    <w:rsid w:val="00F916E1"/>
    <w:rsid w:val="00F941D5"/>
    <w:rsid w:val="00F946E1"/>
    <w:rsid w:val="00F94A84"/>
    <w:rsid w:val="00F95D18"/>
    <w:rsid w:val="00FA0704"/>
    <w:rsid w:val="00FB044B"/>
    <w:rsid w:val="00FB24BA"/>
    <w:rsid w:val="00FB55E3"/>
    <w:rsid w:val="00FD3685"/>
    <w:rsid w:val="00FD3A69"/>
    <w:rsid w:val="00FE044C"/>
    <w:rsid w:val="00FE68B2"/>
    <w:rsid w:val="00FE7250"/>
    <w:rsid w:val="00FF1EF3"/>
    <w:rsid w:val="00FF2BA0"/>
    <w:rsid w:val="00FF468D"/>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05F"/>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iPriority w:val="99"/>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F349C7"/>
    <w:pPr>
      <w:tabs>
        <w:tab w:val="left" w:pos="440"/>
        <w:tab w:val="right" w:leader="dot" w:pos="9063"/>
      </w:tabs>
      <w:spacing w:before="240"/>
      <w:ind w:left="426" w:hanging="426"/>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it-IT"/>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Margherita.Logrillo@eesc.europa.eu" TargetMode="External"/><Relationship Id="rId39" Type="http://schemas.openxmlformats.org/officeDocument/2006/relationships/hyperlink" Target="mailto:David.Hoic@eesc.europa.eu" TargetMode="External"/><Relationship Id="rId21" Type="http://schemas.openxmlformats.org/officeDocument/2006/relationships/hyperlink" Target="mailto:Juri.Soosar@eesc.europa.eu" TargetMode="External"/><Relationship Id="rId34" Type="http://schemas.openxmlformats.org/officeDocument/2006/relationships/hyperlink" Target="mailto:Claudia.Drewes-Wran@eesc.europa.eu" TargetMode="External"/><Relationship Id="rId42" Type="http://schemas.openxmlformats.org/officeDocument/2006/relationships/hyperlink" Target="mailto:Gaelle.Michelier@eesc.europa.eu" TargetMode="External"/><Relationship Id="rId47" Type="http://schemas.openxmlformats.org/officeDocument/2006/relationships/header" Target="header6.xml"/><Relationship Id="rId50" Type="http://schemas.openxmlformats.org/officeDocument/2006/relationships/theme" Target="theme/theme1.xml"/><Relationship Id="rId55" Type="http://schemas.microsoft.com/office/2016/09/relationships/commentsIds" Target="commentsIds.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Antonio.RibeiroPereira@eesc.europa.eu" TargetMode="External"/><Relationship Id="rId11" Type="http://schemas.openxmlformats.org/officeDocument/2006/relationships/image" Target="media/image1.jpeg"/><Relationship Id="rId24" Type="http://schemas.openxmlformats.org/officeDocument/2006/relationships/hyperlink" Target="mailto:Valeria.Atzori@eesc.europa.eu" TargetMode="External"/><Relationship Id="rId32" Type="http://schemas.openxmlformats.org/officeDocument/2006/relationships/hyperlink" Target="mailto:Claudia.Drewes-Wran@eesc.europa.eu" TargetMode="External"/><Relationship Id="rId37" Type="http://schemas.openxmlformats.org/officeDocument/2006/relationships/hyperlink" Target="mailto:Caroline.Verhelst@eesc.europa.eu" TargetMode="External"/><Relationship Id="rId40" Type="http://schemas.openxmlformats.org/officeDocument/2006/relationships/hyperlink" Target="mailto:C&#233;dric.Cabanne@eesc.europa.eu" TargetMode="External"/><Relationship Id="rId45" Type="http://schemas.openxmlformats.org/officeDocument/2006/relationships/footer" Target="footer4.xml"/><Relationship Id="rId58"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Sergio.LorencioMatallana@eesc.europa.eu" TargetMode="External"/><Relationship Id="rId28" Type="http://schemas.openxmlformats.org/officeDocument/2006/relationships/hyperlink" Target="mailto:Francesco.Napolitano@eesc.europa.eu" TargetMode="External"/><Relationship Id="rId36" Type="http://schemas.openxmlformats.org/officeDocument/2006/relationships/hyperlink" Target="mailto:Caroline.Verhelst@eesc.europa.eu" TargetMode="External"/><Relationship Id="rId49" Type="http://schemas.openxmlformats.org/officeDocument/2006/relationships/fontTable" Target="fontTable.xml"/><Relationship Id="rId57"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Marie-Laurence.Drillon@eesc.europa.eu" TargetMode="External"/><Relationship Id="rId44"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Juri.Soosar@eesc.europa.eu" TargetMode="External"/><Relationship Id="rId27" Type="http://schemas.openxmlformats.org/officeDocument/2006/relationships/hyperlink" Target="mailto:Maja.Radmani@eesc.europa.eu" TargetMode="External"/><Relationship Id="rId30" Type="http://schemas.openxmlformats.org/officeDocument/2006/relationships/hyperlink" Target="mailto:Giorgia.Bordignon@eesc.europa.eu" TargetMode="External"/><Relationship Id="rId35" Type="http://schemas.openxmlformats.org/officeDocument/2006/relationships/hyperlink" Target="mailto:Arturo.Iniguez@eesc.europa.eu" TargetMode="External"/><Relationship Id="rId43" Type="http://schemas.openxmlformats.org/officeDocument/2006/relationships/header" Target="header4.xml"/><Relationship Id="rId48" Type="http://schemas.openxmlformats.org/officeDocument/2006/relationships/footer" Target="footer6.xml"/><Relationship Id="rId56" Type="http://schemas.openxmlformats.org/officeDocument/2006/relationships/customXml" Target="../customXml/item1.xml"/><Relationship Id="rId8" Type="http://schemas.openxmlformats.org/officeDocument/2006/relationships/webSettings" Target="webSettings.xml"/><Relationship Id="rId12" Type="http://schemas.openxmlformats.org/officeDocument/2006/relationships/hyperlink" Target="https://www.eesc.europa.eu/it/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Margherita.Logrillo@eesc.europa.eu" TargetMode="External"/><Relationship Id="rId33" Type="http://schemas.openxmlformats.org/officeDocument/2006/relationships/hyperlink" Target="mailto:Dalila.Bernard@eesc.europa.eu" TargetMode="External"/><Relationship Id="rId38" Type="http://schemas.openxmlformats.org/officeDocument/2006/relationships/hyperlink" Target="mailto:Gunilla.Sandberg@eesc.europa.eu" TargetMode="External"/><Relationship Id="rId46" Type="http://schemas.openxmlformats.org/officeDocument/2006/relationships/footer" Target="footer5.xml"/><Relationship Id="rId59" Type="http://schemas.openxmlformats.org/officeDocument/2006/relationships/customXml" Target="../customXml/item4.xml"/><Relationship Id="rId20" Type="http://schemas.openxmlformats.org/officeDocument/2006/relationships/hyperlink" Target="mailto:Domenico.Cosmai@eesc.europa.eu" TargetMode="External"/><Relationship Id="rId41" Type="http://schemas.openxmlformats.org/officeDocument/2006/relationships/hyperlink" Target="mailto:Gerald.Klec@eesc.europa.eu" TargetMode="Externa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4" ma:contentTypeDescription="Defines the documents for Document Manager V2" ma:contentTypeScope="" ma:versionID="dc0fa69cc2a991f528bd5b7c516a5e87">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2d1ef0291ab947b1497483d599cc4d6"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P6FJPSUHKDC2-1050578159-3513</_dlc_DocId>
    <_dlc_DocIdUrl xmlns="1299d781-265f-4ceb-999e-e1eca3df2c90">
      <Url>http://dm2016/eesc/2022/_layouts/15/DocIdRedir.aspx?ID=P6FJPSUHKDC2-1050578159-3513</Url>
      <Description>P6FJPSUHKDC2-1050578159-3513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2022-08-03T12:00:00+00:00</ProductionDate>
    <DocumentNumber xmlns="4e5ad790-8ffd-4f61-866f-51e1599a4efe">3184</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2022-09-21T12:00:00+00:00</MeetingDate>
    <TaxCatchAll xmlns="1299d781-265f-4ceb-999e-e1eca3df2c90">
      <Value>55</Value>
      <Value>54</Value>
      <Value>51</Value>
      <Value>46</Value>
      <Value>45</Value>
      <Value>44</Value>
      <Value>43</Value>
      <Value>42</Value>
      <Value>41</Value>
      <Value>38</Value>
      <Value>37</Value>
      <Value>36</Value>
      <Value>34</Value>
      <Value>33</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9012</FicheNumber>
    <OriginalSender xmlns="1299d781-265f-4ceb-999e-e1eca3df2c90">
      <UserInfo>
        <DisplayName>Bertocchi Massimo</DisplayName>
        <AccountId>1664</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6474B48-7100-44E3-9E1F-FC1DA5AE47FD}"/>
</file>

<file path=customXml/itemProps2.xml><?xml version="1.0" encoding="utf-8"?>
<ds:datastoreItem xmlns:ds="http://schemas.openxmlformats.org/officeDocument/2006/customXml" ds:itemID="{F5C75CD6-B96B-46ED-9E4D-65106AEBD39A}"/>
</file>

<file path=customXml/itemProps3.xml><?xml version="1.0" encoding="utf-8"?>
<ds:datastoreItem xmlns:ds="http://schemas.openxmlformats.org/officeDocument/2006/customXml" ds:itemID="{EF682A37-57F9-42AF-99A5-C45D84A94DC6}"/>
</file>

<file path=customXml/itemProps4.xml><?xml version="1.0" encoding="utf-8"?>
<ds:datastoreItem xmlns:ds="http://schemas.openxmlformats.org/officeDocument/2006/customXml" ds:itemID="{2A6E68C9-4A56-49D0-85DB-0B17F367B907}"/>
</file>

<file path=docProps/app.xml><?xml version="1.0" encoding="utf-8"?>
<Properties xmlns="http://schemas.openxmlformats.org/officeDocument/2006/extended-properties" xmlns:vt="http://schemas.openxmlformats.org/officeDocument/2006/docPropsVTypes">
  <Template>Normal.dotm</Template>
  <TotalTime>14</TotalTime>
  <Pages>28</Pages>
  <Words>8894</Words>
  <Characters>50701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59477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adottati nel corso della sessione plenaria di luglio</dc:title>
  <dc:subject>TCD</dc:subject>
  <dc:creator>Nieddu Emma</dc:creator>
  <cp:keywords>EESC-2022-03184-00-00-TCD-TRA-EN</cp:keywords>
  <dc:description>Rapporteur:  - Original language: EN - Date of document: 03/08/2022 - Date of meeting: 30/21/2022 14:30 - External documents:  - Administrator: Mme DAMYANOVA-KERESTELIEVA Ani Alexieva</dc:description>
  <cp:lastModifiedBy>Bertocchi Massimo</cp:lastModifiedBy>
  <cp:revision>8</cp:revision>
  <cp:lastPrinted>2022-05-02T09:48:00Z</cp:lastPrinted>
  <dcterms:created xsi:type="dcterms:W3CDTF">2022-07-27T08:29:00Z</dcterms:created>
  <dcterms:modified xsi:type="dcterms:W3CDTF">2022-08-03T08:21:00Z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19/07/2022, 29/03/2022, 04/03/2022, 15/12/2021, 13/09/2021, 03/09/2021, 28/06/2021</vt:lpwstr>
  </property>
  <property fmtid="{D5CDD505-2E9C-101B-9397-08002B2CF9AE}" pid="4" name="Pref_Time">
    <vt:lpwstr>15:30:24, 14:21:50, 16:54:06, 17:56:36, 14:13:00, 10:08:10, 08:41:48</vt:lpwstr>
  </property>
  <property fmtid="{D5CDD505-2E9C-101B-9397-08002B2CF9AE}" pid="5" name="Pref_User">
    <vt:lpwstr>enied, jhvi, enied, hnic, amett, enied, enied</vt:lpwstr>
  </property>
  <property fmtid="{D5CDD505-2E9C-101B-9397-08002B2CF9AE}" pid="6" name="Pref_FileName">
    <vt:lpwstr>EESC-2022-03184-00-00-TCD-ORI.docx, EESC-2022-01223-00-00-TCD-ORI.docx,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0x010100EA97B91038054C99906057A708A1480A00626EADD26EE0CA468385E76F4CAC56BA</vt:lpwstr>
  </property>
  <property fmtid="{D5CDD505-2E9C-101B-9397-08002B2CF9AE}" pid="8" name="_dlc_DocIdItemGuid">
    <vt:lpwstr>3334c253-6c76-468e-a781-b8e8d7eb5d09</vt:lpwstr>
  </property>
  <property fmtid="{D5CDD505-2E9C-101B-9397-08002B2CF9AE}" pid="9" name="AvailableTranslations">
    <vt:lpwstr>36;#HU|6b229040-c589-4408-b4c1-4285663d20a8;#54;#ET|ff6c3f4c-b02c-4c3c-ab07-2c37995a7a0a;#44;#LT|a7ff5ce7-6123-4f68-865a-a57c31810414;#55;#HR|2f555653-ed1a-4fe6-8362-9082d95989e5;#41;#CS|72f9705b-0217-4fd3-bea2-cbc7ed80e26e;#29;#SV|c2ed69e7-a339-43d7-8f22-d93680a92aa0;#34;#SK|46d9fce0-ef79-4f71-b89b-cd6aa82426b8;#38;#FI|87606a43-d45f-42d6-b8c9-e1a3457db5b7;#42;#SL|98a412ae-eb01-49e9-ae3d-585a81724cfc;#31;#ES|e7a6b05b-ae16-40c8-add9-68b64b03aeba;#22;#DE|f6b31e5a-26fa-4935-b661-318e46daf27e;#33;#IT|0774613c-01ed-4e5d-a25d-11d2388de825;#30;#PL|1e03da61-4678-4e07-b136-b5024ca9197b;#43;#NL|55c6556c-b4f4-441d-9acf-c498d4f838bd;#11;#FR|d2afafd3-4c81-4f60-8f52-ee33f2f54ff3;#45;#RO|feb747a2-64cd-4299-af12-4833ddc30497;#26;#LV|46f7e311-5d9f-4663-b433-18aeccb7ace7;#37;#PT|50ccc04a-eadd-42ae-a0cb-acaf45f812ba;#46;#EL|6d4f4d51-af9b-4650-94b4-4276bee85c91</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3184</vt:i4>
  </property>
  <property fmtid="{D5CDD505-2E9C-101B-9397-08002B2CF9AE}" pid="14" name="DocumentYear">
    <vt:i4>2022</vt:i4>
  </property>
  <property fmtid="{D5CDD505-2E9C-101B-9397-08002B2CF9AE}" pid="15" name="DocumentVersion">
    <vt:i4>0</vt:i4>
  </property>
  <property fmtid="{D5CDD505-2E9C-101B-9397-08002B2CF9AE}" pid="16" name="FicheNumber">
    <vt:i4>9012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2022-09-21T12:00:00Z</vt:filetime>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9;#Unrestricted|826e22d7-d029-4ec0-a450-0c28ff673572;#25;#TCD|cd9d6eb6-3f4f-424a-b2d1-57c9d450eaaf;#7;#TRA|150d2a88-1431-44e6-a8ca-0bb753ab8672;#6;#Final|ea5e6674-7b27-4bac-b091-73adbb394efe;#4;#EN|f2175f21-25d7-44a3-96da-d6a61b075e1b;#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33;#IT|0774613c-01ed-4e5d-a25d-11d2388de825</vt:lpwstr>
  </property>
  <property fmtid="{D5CDD505-2E9C-101B-9397-08002B2CF9AE}" pid="37" name="_docset_NoMedatataSyncRequired">
    <vt:lpwstr>False</vt:lpwstr>
  </property>
</Properties>
</file>