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6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9B70E7" w:rsidR="004D7AC0" w:rsidP="00116A1C" w:rsidRDefault="00FA343E" w14:paraId="785AE44C" w14:textId="0C98074A">
      <w:pPr>
        <w:jc w:val="center"/>
      </w:pPr>
      <w:r>
        <w:rPr>
          <w:noProof/>
          <w:lang w:val="en-GB" w:eastAsia="en-GB"/>
        </w:rPr>
        <w:drawing>
          <wp:inline distT="0" distB="0" distL="0" distR="0" wp14:anchorId="1CD0E64E" wp14:editId="5249B966">
            <wp:extent cx="1792605" cy="1239520"/>
            <wp:effectExtent l="0" t="0" r="0" b="0"/>
            <wp:docPr id="2" name="Picture 2" title="EESCLogo_HU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2605" cy="1239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21342">
        <w:rPr>
          <w:noProof/>
          <w:sz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editId="3F5C5B6E" wp14:anchorId="60050413">
                <wp:simplePos x="0" y="0"/>
                <wp:positionH relativeFrom="page">
                  <wp:posOffset>6769100</wp:posOffset>
                </wp:positionH>
                <wp:positionV relativeFrom="page">
                  <wp:posOffset>10081260</wp:posOffset>
                </wp:positionV>
                <wp:extent cx="647700" cy="396240"/>
                <wp:effectExtent l="0" t="3810" r="3175" b="0"/>
                <wp:wrapNone/>
                <wp:docPr id="2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" cy="396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260E65" w:rsidR="003A7A14" w:rsidP="004D7AC0" w:rsidRDefault="003A7A14" w14:paraId="2AA40ECF" w14:textId="7777777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48"/>
                              </w:rPr>
                              <w:t>HU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60050413">
                <v:stroke joinstyle="miter"/>
                <v:path gradientshapeok="t" o:connecttype="rect"/>
              </v:shapetype>
              <v:shape id="Text Box 17" style="position:absolute;left:0;text-align:left;margin-left:533pt;margin-top:793.8pt;width:51pt;height:31.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o:allowincell="f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">
                <v:textbox>
                  <w:txbxContent>
                    <w:p w:rsidRPr="00260E65" w:rsidR="003A7A14" w:rsidP="004D7AC0" w:rsidRDefault="003A7A14" w14:paraId="2AA40ECF" w14:textId="7777777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Arial" w:hAnsi="Arial"/>
                          <w:b/>
                          <w:sz w:val="48"/>
                        </w:rPr>
                        <w:t>HU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Pr="009B70E7" w:rsidR="004D7AC0" w:rsidP="00116A1C" w:rsidRDefault="004D7AC0" w14:paraId="51F52D79" w14:textId="77777777"/>
    <w:p w:rsidRPr="009B70E7" w:rsidR="004D7AC0" w:rsidP="00116A1C" w:rsidRDefault="00014C93" w14:paraId="45DE4A28" w14:textId="0EE2E322">
      <w:pPr>
        <w:jc w:val="right"/>
      </w:pPr>
      <w:r>
        <w:t>Brüsszel, 2022. július 27.</w:t>
      </w:r>
    </w:p>
    <w:p w:rsidRPr="009B70E7" w:rsidR="004D7AC0" w:rsidRDefault="004D7AC0" w14:paraId="7BCFBA24" w14:textId="77777777">
      <w:bookmarkStart w:name="_GoBack" w:id="0"/>
      <w:bookmarkEnd w:id="0"/>
    </w:p>
    <w:p w:rsidRPr="009B70E7" w:rsidR="004D7AC0" w:rsidRDefault="004D7AC0" w14:paraId="6B250092" w14:textId="77777777"/>
    <w:p w:rsidRPr="009B70E7" w:rsidR="004D7AC0" w:rsidRDefault="004D7AC0" w14:paraId="0593C6DF" w14:textId="77777777"/>
    <w:tbl>
      <w:tblPr>
        <w:tblW w:w="0" w:type="auto"/>
        <w:tblLook w:val="04A0" w:firstRow="1" w:lastRow="0" w:firstColumn="1" w:lastColumn="0" w:noHBand="0" w:noVBand="1"/>
      </w:tblPr>
      <w:tblGrid>
        <w:gridCol w:w="9289"/>
      </w:tblGrid>
      <w:tr w:rsidRPr="009B70E7" w:rsidR="004D7AC0" w:rsidTr="00662436" w14:paraId="6D7B3453" w14:textId="77777777">
        <w:tc>
          <w:tcPr>
            <w:tcW w:w="9289" w:type="dxa"/>
            <w:tcBorders>
              <w:bottom w:val="double" w:color="auto" w:sz="4" w:space="0"/>
            </w:tcBorders>
          </w:tcPr>
          <w:p w:rsidRPr="009B70E7" w:rsidR="004D7AC0" w:rsidRDefault="00DA2D88" w14:paraId="114106CC" w14:textId="7056469C">
            <w:pPr>
              <w:snapToGrid w:val="0"/>
              <w:jc w:val="center"/>
              <w:rPr>
                <w:rFonts w:eastAsia="MS Mincho"/>
                <w:b/>
                <w:sz w:val="32"/>
                <w:szCs w:val="32"/>
              </w:rPr>
            </w:pPr>
            <w:r>
              <w:rPr>
                <w:b/>
                <w:sz w:val="32"/>
              </w:rPr>
              <w:t>571. PLENÁRIS ÜLÉSSZAK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 xml:space="preserve">2022. július 13–14. </w:t>
            </w:r>
            <w:r>
              <w:rPr>
                <w:b/>
                <w:sz w:val="32"/>
              </w:rPr>
              <w:br/>
            </w:r>
            <w:r>
              <w:rPr>
                <w:b/>
                <w:sz w:val="32"/>
              </w:rPr>
              <w:br/>
              <w:t xml:space="preserve">AZ ELFOGADOTT VÉLEMÉNYEK </w:t>
            </w:r>
            <w:proofErr w:type="gramStart"/>
            <w:r>
              <w:rPr>
                <w:b/>
                <w:sz w:val="32"/>
              </w:rPr>
              <w:t>ÉS</w:t>
            </w:r>
            <w:proofErr w:type="gramEnd"/>
            <w:r>
              <w:rPr>
                <w:b/>
                <w:sz w:val="32"/>
              </w:rPr>
              <w:t xml:space="preserve"> ÁLLÁSFOGLALÁSOK, VALAMINT A TÁJÉKOZTATÓ/ÉRTÉKELŐ JELENTÉSEK ÖSSZEFOGLALÁSA </w:t>
            </w:r>
          </w:p>
          <w:p w:rsidRPr="009B70E7" w:rsidR="004D7AC0" w:rsidRDefault="004D7AC0" w14:paraId="06AE72EA" w14:textId="77777777">
            <w:pPr>
              <w:snapToGrid w:val="0"/>
            </w:pPr>
          </w:p>
        </w:tc>
      </w:tr>
      <w:tr w:rsidRPr="009B70E7" w:rsidR="004D7AC0" w:rsidTr="00662436" w14:paraId="45EAB22F" w14:textId="77777777">
        <w:tc>
          <w:tcPr>
            <w:tcW w:w="9289" w:type="dxa"/>
            <w:tcBorders>
              <w:top w:val="doub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</w:tcPr>
          <w:p w:rsidRPr="009B70E7" w:rsidR="004D7AC0" w:rsidRDefault="004D7AC0" w14:paraId="2A9352A2" w14:textId="77777777">
            <w:pPr>
              <w:snapToGrid w:val="0"/>
              <w:jc w:val="center"/>
            </w:pPr>
            <w:r>
              <w:t>Ez a dokumentum a hivatalos nyelveken az EGSZB honlapjáról érhető el, a következő címen:</w:t>
            </w:r>
            <w:r>
              <w:br/>
            </w:r>
            <w:r>
              <w:br/>
            </w:r>
            <w:hyperlink w:history="1" r:id="rId12">
              <w:r>
                <w:rPr>
                  <w:rStyle w:val="Hyperlink"/>
                  <w:highlight w:val="yellow"/>
                </w:rPr>
                <w:t>https://www.eesc.europa.eu/hu/our-work/opinions-information-reports/plenary-session-summaries</w:t>
              </w:r>
            </w:hyperlink>
          </w:p>
          <w:p w:rsidRPr="009B70E7" w:rsidR="004D7AC0" w:rsidRDefault="004D7AC0" w14:paraId="70D5DBB4" w14:textId="77777777">
            <w:pPr>
              <w:snapToGrid w:val="0"/>
              <w:jc w:val="center"/>
            </w:pPr>
          </w:p>
          <w:p w:rsidRPr="009B70E7" w:rsidR="004D7AC0" w:rsidRDefault="004D7AC0" w14:paraId="575A73D6" w14:textId="77777777">
            <w:pPr>
              <w:snapToGrid w:val="0"/>
              <w:jc w:val="center"/>
              <w:rPr>
                <w:rFonts w:eastAsia="SimSun"/>
              </w:rPr>
            </w:pPr>
          </w:p>
          <w:p w:rsidRPr="009B70E7" w:rsidR="004D7AC0" w:rsidRDefault="004D7AC0" w14:paraId="441AC4DD" w14:textId="77777777">
            <w:pPr>
              <w:snapToGrid w:val="0"/>
              <w:jc w:val="center"/>
            </w:pPr>
            <w:r>
              <w:t>A felsorolt vélemények online az EGSZB keresőrendszerén keresztül érhetők el:</w:t>
            </w:r>
            <w:r>
              <w:br/>
            </w:r>
            <w:r>
              <w:br/>
            </w:r>
            <w:hyperlink w:history="1" r:id="rId13">
              <w:r>
                <w:rPr>
                  <w:rStyle w:val="Hyperlink"/>
                </w:rPr>
                <w:t>https://dmsearch.eesc.europa.eu/search/opinion</w:t>
              </w:r>
            </w:hyperlink>
          </w:p>
          <w:p w:rsidRPr="009B70E7" w:rsidR="004D7AC0" w:rsidRDefault="004D7AC0" w14:paraId="51FF303F" w14:textId="77777777">
            <w:pPr>
              <w:snapToGrid w:val="0"/>
              <w:jc w:val="center"/>
            </w:pPr>
          </w:p>
        </w:tc>
      </w:tr>
    </w:tbl>
    <w:p w:rsidRPr="009B70E7" w:rsidR="004D7AC0" w:rsidRDefault="004D7AC0" w14:paraId="57C291FC" w14:textId="77777777"/>
    <w:p w:rsidRPr="009B70E7" w:rsidR="004D7AC0" w:rsidRDefault="004D7AC0" w14:paraId="5E675360" w14:textId="77777777"/>
    <w:p w:rsidR="007B7C40" w:rsidRDefault="007B7C40" w14:paraId="3CF67A1E" w14:textId="77777777">
      <w:pPr>
        <w:sectPr w:rsidR="007B7C40" w:rsidSect="00910972">
          <w:headerReference w:type="even" r:id="rId14"/>
          <w:headerReference w:type="default" r:id="rId15"/>
          <w:footerReference w:type="even" r:id="rId16"/>
          <w:footerReference w:type="default" r:id="rId17"/>
          <w:headerReference w:type="first" r:id="rId18"/>
          <w:footerReference w:type="first" r:id="rId19"/>
          <w:pgSz w:w="11907" w:h="16839"/>
          <w:pgMar w:top="1417" w:right="1417" w:bottom="1417" w:left="1417" w:header="709" w:footer="709" w:gutter="0"/>
          <w:pgNumType w:start="1"/>
          <w:cols w:space="708"/>
          <w:docGrid w:linePitch="360"/>
        </w:sectPr>
      </w:pPr>
    </w:p>
    <w:p w:rsidRPr="009B70E7" w:rsidR="004D7AC0" w:rsidRDefault="004D7AC0" w14:paraId="56B7AE7C" w14:textId="77777777">
      <w:pPr>
        <w:rPr>
          <w:b/>
        </w:rPr>
      </w:pPr>
    </w:p>
    <w:sdt>
      <w:sdtPr>
        <w:rPr>
          <w:rFonts w:ascii="Times New Roman" w:hAnsi="Times New Roman" w:eastAsia="Times New Roman" w:cs="Times New Roman"/>
          <w:color w:val="auto"/>
          <w:sz w:val="22"/>
          <w:szCs w:val="22"/>
        </w:rPr>
        <w:id w:val="-1759744941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1E6413" w:rsidRDefault="001E6413" w14:paraId="5FAD9FDD" w14:textId="77777777">
          <w:pPr>
            <w:pStyle w:val="TOCHeading"/>
          </w:pPr>
          <w:r>
            <w:t>Tartalomjegyzék</w:t>
          </w:r>
        </w:p>
        <w:p w:rsidR="008A7E03" w:rsidRDefault="001E6413" w14:paraId="27CB248A" w14:textId="283FD549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history="1" w:anchor="_Toc109810929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1.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ÁLLÁSFOGLALÁS: AZ EURÓPAI GAZDASÁGI ÉS SZOCIÁLIS BIZOTTSÁG HOZZÁJÁRULÁSA AZ EURÓPAI BIZOTTSÁG 2023. ÉVI MUNKAPROGRAMJÁHOZ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_Toc109810929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3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8A7E03" w:rsidRDefault="00544E97" w14:paraId="37459AB3" w14:textId="08A1B357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hyperlink w:history="1" w:anchor="_Toc109810930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2.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GAZDASÁGI ÉS MONETÁRIS UNIÓ, GAZDASÁGI ÉS TÁRSADALMI KOHÉZIÓ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_Toc109810930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5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8A7E03" w:rsidRDefault="00544E97" w14:paraId="044C9355" w14:textId="43FB41CC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hyperlink w:history="1" w:anchor="_Toc109810931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3.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FOGLALKOZTATÁS- ÉS SZOCIÁLPOLITIKA, UNIÓS POLGÁRSÁG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_Toc109810931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8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8A7E03" w:rsidRDefault="00544E97" w14:paraId="08BCD03D" w14:textId="278BCB48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hyperlink w:history="1" w:anchor="_Toc109810932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4.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KÖZLEKEDÉS, ENERGIA, INFRASTRUKTÚRA ÉS INFORMÁCIÓS TÁRSADALOM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_Toc109810932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12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8A7E03" w:rsidRDefault="00544E97" w14:paraId="4E8D7C04" w14:textId="2843542F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hyperlink w:history="1" w:anchor="_Toc109810933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5.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EGYSÉGES PIAC, TERMELÉS ÉS FOGYASZTÁS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_Toc109810933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16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8A7E03" w:rsidRDefault="00544E97" w14:paraId="24DB86B6" w14:textId="33A09824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hyperlink w:history="1" w:anchor="_Toc109810934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6.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MEZŐGAZDASÁG, VIDÉKFEJLESZTÉS ÉS KÖRNYEZETVÉDELEM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_Toc109810934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20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8A7E03" w:rsidRDefault="00544E97" w14:paraId="14CBC51E" w14:textId="1B3800C6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hyperlink w:history="1" w:anchor="_Toc109810935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7.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KÜLKAPCSOLATOK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_Toc109810935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24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8A7E03" w:rsidRDefault="00544E97" w14:paraId="6855D0EF" w14:textId="315E234F">
          <w:pPr>
            <w:pStyle w:val="TOC1"/>
            <w:rPr>
              <w:rFonts w:asciiTheme="minorHAnsi" w:hAnsiTheme="minorHAnsi" w:eastAsiaTheme="minorEastAsia" w:cstheme="minorBidi"/>
              <w:noProof/>
              <w:lang w:val="en-GB" w:eastAsia="en-GB"/>
            </w:rPr>
          </w:pPr>
          <w:hyperlink w:history="1" w:anchor="_Toc109810936">
            <w:r w:rsidRPr="0090776F" w:rsidR="008A7E03">
              <w:rPr>
                <w:rStyle w:val="Hyperlink"/>
                <w:noProof/>
                <w14:scene3d>
                  <w14:camera w14:prst="orthographicFront"/>
                  <w14:lightRig w14:rig="threePt" w14:dir="t">
                    <w14:rot w14:lat="0" w14:lon="0" w14:rev="0"/>
                  </w14:lightRig>
                </w14:scene3d>
              </w:rPr>
              <w:t>8.</w:t>
            </w:r>
            <w:r w:rsidR="008A7E03">
              <w:rPr>
                <w:rFonts w:asciiTheme="minorHAnsi" w:hAnsiTheme="minorHAnsi" w:eastAsiaTheme="minorEastAsia" w:cstheme="minorBidi"/>
                <w:noProof/>
                <w:lang w:val="en-GB" w:eastAsia="en-GB"/>
              </w:rPr>
              <w:tab/>
            </w:r>
            <w:r w:rsidRPr="0090776F" w:rsidR="008A7E03">
              <w:rPr>
                <w:rStyle w:val="Hyperlink"/>
                <w:b/>
                <w:noProof/>
              </w:rPr>
              <w:t>IPARI SZERKEZETVÁLTÁS KONZULTATÍV BIZOTTSÁGA</w:t>
            </w:r>
            <w:r w:rsidR="008A7E03">
              <w:rPr>
                <w:noProof/>
                <w:webHidden/>
              </w:rPr>
              <w:tab/>
            </w:r>
            <w:r w:rsidR="008A7E03">
              <w:rPr>
                <w:noProof/>
                <w:webHidden/>
              </w:rPr>
              <w:fldChar w:fldCharType="begin"/>
            </w:r>
            <w:r w:rsidR="008A7E03">
              <w:rPr>
                <w:noProof/>
                <w:webHidden/>
              </w:rPr>
              <w:instrText xml:space="preserve"> PAGEREF _Toc109810936 \h </w:instrText>
            </w:r>
            <w:r w:rsidR="008A7E03">
              <w:rPr>
                <w:noProof/>
                <w:webHidden/>
              </w:rPr>
            </w:r>
            <w:r w:rsidR="008A7E03">
              <w:rPr>
                <w:noProof/>
                <w:webHidden/>
              </w:rPr>
              <w:fldChar w:fldCharType="separate"/>
            </w:r>
            <w:r w:rsidR="008A7E03">
              <w:rPr>
                <w:noProof/>
                <w:webHidden/>
              </w:rPr>
              <w:t>30</w:t>
            </w:r>
            <w:r w:rsidR="008A7E03">
              <w:rPr>
                <w:noProof/>
                <w:webHidden/>
              </w:rPr>
              <w:fldChar w:fldCharType="end"/>
            </w:r>
          </w:hyperlink>
        </w:p>
        <w:p w:rsidR="001E6413" w:rsidRDefault="001E6413" w14:paraId="684BFB9B" w14:textId="4BFF9A31">
          <w:r>
            <w:rPr>
              <w:b/>
            </w:rPr>
            <w:fldChar w:fldCharType="end"/>
          </w:r>
        </w:p>
      </w:sdtContent>
    </w:sdt>
    <w:p w:rsidRPr="009B70E7" w:rsidR="004D7AC0" w:rsidRDefault="004D7AC0" w14:paraId="4600634B" w14:textId="77777777"/>
    <w:p w:rsidRPr="00D13F40" w:rsidR="00D13F40" w:rsidP="00910972" w:rsidRDefault="004D7AC0" w14:paraId="17EE0300" w14:textId="77777777">
      <w:pPr>
        <w:pStyle w:val="Heading1"/>
        <w:ind w:left="567" w:hanging="567"/>
        <w:rPr>
          <w:b/>
          <w:bCs/>
          <w:iCs/>
        </w:rPr>
      </w:pPr>
      <w:r>
        <w:br w:type="page"/>
      </w:r>
      <w:bookmarkStart w:name="_Toc109810929" w:id="1"/>
      <w:r>
        <w:rPr>
          <w:b/>
        </w:rPr>
        <w:lastRenderedPageBreak/>
        <w:t xml:space="preserve">ÁLLÁSFOGLALÁS: AZ EURÓPAI GAZDASÁGI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SZOCIÁLIS BIZOTTSÁG HOZZÁJÁRULÁSA AZ EURÓPAI BIZOTTSÁG 2023. ÉVI MUNKAPROGRAMJÁHOZ</w:t>
      </w:r>
      <w:bookmarkEnd w:id="1"/>
    </w:p>
    <w:p w:rsidRPr="00EC533C" w:rsidR="00D13F40" w:rsidP="00D13F40" w:rsidRDefault="00D13F40" w14:paraId="20F5C6CE" w14:textId="77777777">
      <w:pPr>
        <w:rPr>
          <w:b/>
        </w:rPr>
      </w:pPr>
    </w:p>
    <w:p w:rsidRPr="0059551E" w:rsidR="00D13F40" w:rsidP="002C1BC2" w:rsidRDefault="0059551E" w14:paraId="0FD8A255" w14:textId="0FCD5100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</w:rPr>
        <w:t>Az EGSZB hozzájárulása az Európai Bizottság 2023. évi munkaprogramjához</w:t>
      </w:r>
    </w:p>
    <w:p w:rsidRPr="00032038" w:rsidR="00D13F40" w:rsidP="00D13F40" w:rsidRDefault="00D13F40" w14:paraId="04D85406" w14:textId="77777777">
      <w:pPr>
        <w:contextualSpacing/>
      </w:pPr>
    </w:p>
    <w:tbl>
      <w:tblPr>
        <w:tblStyle w:val="TableGrid7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032038" w:rsidR="00D13F40" w:rsidTr="00D13F40" w14:paraId="1EF331B0" w14:textId="77777777">
        <w:tc>
          <w:tcPr>
            <w:tcW w:w="1701" w:type="dxa"/>
          </w:tcPr>
          <w:p w:rsidRPr="00032038" w:rsidR="00D13F40" w:rsidP="00D13F40" w:rsidRDefault="00D13F40" w14:paraId="7A1C260B" w14:textId="77777777">
            <w:pPr>
              <w:contextualSpacing/>
              <w:rPr>
                <w:b/>
              </w:rPr>
            </w:pPr>
            <w:r>
              <w:rPr>
                <w:b/>
              </w:rPr>
              <w:t>Előadók:</w:t>
            </w:r>
          </w:p>
        </w:tc>
        <w:tc>
          <w:tcPr>
            <w:tcW w:w="6096" w:type="dxa"/>
          </w:tcPr>
          <w:p w:rsidRPr="00032038" w:rsidR="00D13F40" w:rsidP="00D13F40" w:rsidRDefault="00D13F40" w14:paraId="24EC7938" w14:textId="77777777">
            <w:pPr>
              <w:ind w:left="-108"/>
              <w:contextualSpacing/>
            </w:pPr>
            <w:r>
              <w:t>Mariya MINCHEVA (Munkáltatók/BG)</w:t>
            </w:r>
          </w:p>
        </w:tc>
      </w:tr>
      <w:tr w:rsidRPr="00032038" w:rsidR="00D13F40" w:rsidTr="00D13F40" w14:paraId="12B0AF8A" w14:textId="77777777">
        <w:tc>
          <w:tcPr>
            <w:tcW w:w="1701" w:type="dxa"/>
          </w:tcPr>
          <w:p w:rsidRPr="00032038" w:rsidR="00D13F40" w:rsidP="00D13F40" w:rsidRDefault="00D13F40" w14:paraId="72C5E654" w14:textId="77777777">
            <w:pPr>
              <w:contextualSpacing/>
              <w:rPr>
                <w:b/>
              </w:rPr>
            </w:pPr>
          </w:p>
        </w:tc>
        <w:tc>
          <w:tcPr>
            <w:tcW w:w="6096" w:type="dxa"/>
          </w:tcPr>
          <w:p w:rsidRPr="0022407C" w:rsidR="00D13F40" w:rsidP="00D13F40" w:rsidRDefault="00D13F40" w14:paraId="2D2229F7" w14:textId="77777777">
            <w:pPr>
              <w:ind w:left="-108"/>
              <w:contextualSpacing/>
            </w:pPr>
            <w:proofErr w:type="spellStart"/>
            <w:r>
              <w:t>Stefano</w:t>
            </w:r>
            <w:proofErr w:type="spellEnd"/>
            <w:r>
              <w:t xml:space="preserve"> PALMIERI (Munkavállalók/IT)</w:t>
            </w:r>
          </w:p>
        </w:tc>
      </w:tr>
      <w:tr w:rsidRPr="00032038" w:rsidR="00D13F40" w:rsidTr="00D13F40" w14:paraId="3C4184F3" w14:textId="77777777">
        <w:tc>
          <w:tcPr>
            <w:tcW w:w="1701" w:type="dxa"/>
          </w:tcPr>
          <w:p w:rsidRPr="00032038" w:rsidR="00D13F40" w:rsidP="00D13F40" w:rsidRDefault="00D13F40" w14:paraId="1F4B0D90" w14:textId="77777777">
            <w:pPr>
              <w:contextualSpacing/>
              <w:rPr>
                <w:b/>
              </w:rPr>
            </w:pPr>
          </w:p>
        </w:tc>
        <w:tc>
          <w:tcPr>
            <w:tcW w:w="6096" w:type="dxa"/>
          </w:tcPr>
          <w:p w:rsidR="00D13F40" w:rsidP="00D13F40" w:rsidRDefault="00D13F40" w14:paraId="1D540B48" w14:textId="77777777">
            <w:pPr>
              <w:ind w:left="-108"/>
              <w:contextualSpacing/>
            </w:pPr>
            <w:r>
              <w:t>JOÓ Kinga (Civil társadalmi szervezetek/</w:t>
            </w:r>
            <w:proofErr w:type="gramStart"/>
            <w:r>
              <w:t>HU</w:t>
            </w:r>
            <w:proofErr w:type="gramEnd"/>
            <w:r>
              <w:t>)</w:t>
            </w:r>
          </w:p>
        </w:tc>
      </w:tr>
      <w:tr w:rsidRPr="00032038" w:rsidR="00D13F40" w:rsidTr="00D13F40" w14:paraId="75A8EBEE" w14:textId="77777777">
        <w:tc>
          <w:tcPr>
            <w:tcW w:w="7797" w:type="dxa"/>
            <w:gridSpan w:val="2"/>
          </w:tcPr>
          <w:p w:rsidRPr="00DC52F2" w:rsidR="00D13F40" w:rsidP="00D13F40" w:rsidRDefault="00D13F40" w14:paraId="3896362B" w14:textId="77777777">
            <w:pPr>
              <w:contextualSpacing/>
            </w:pPr>
          </w:p>
        </w:tc>
      </w:tr>
      <w:tr w:rsidRPr="00032038" w:rsidR="00D13F40" w:rsidTr="00D13F40" w14:paraId="67EE6EF8" w14:textId="77777777">
        <w:tc>
          <w:tcPr>
            <w:tcW w:w="1701" w:type="dxa"/>
          </w:tcPr>
          <w:p w:rsidRPr="00032038" w:rsidR="00D13F40" w:rsidP="00D13F40" w:rsidRDefault="00D13F40" w14:paraId="6C700145" w14:textId="77777777">
            <w:pPr>
              <w:contextualSpacing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096" w:type="dxa"/>
          </w:tcPr>
          <w:p w:rsidRPr="00032038" w:rsidR="00D13F40" w:rsidP="00910972" w:rsidRDefault="00F6297B" w14:paraId="79F9318A" w14:textId="403B185E">
            <w:pPr>
              <w:tabs>
                <w:tab w:val="center" w:pos="284"/>
              </w:tabs>
              <w:ind w:left="266" w:hanging="374"/>
            </w:pPr>
            <w:r>
              <w:t>EESC-2022-02408-00-00-RES-TRA</w:t>
            </w:r>
          </w:p>
        </w:tc>
      </w:tr>
    </w:tbl>
    <w:p w:rsidRPr="00032038" w:rsidR="00D13F40" w:rsidP="00D13F40" w:rsidRDefault="00D13F40" w14:paraId="41241967" w14:textId="77777777">
      <w:pPr>
        <w:contextualSpacing/>
        <w:rPr>
          <w:b/>
        </w:rPr>
      </w:pPr>
    </w:p>
    <w:p w:rsidRPr="0086045C" w:rsidR="00D13F40" w:rsidP="00D13F40" w:rsidRDefault="00D13F40" w14:paraId="20EF612E" w14:textId="2C581C0B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032038" w:rsidR="00D13F40" w:rsidP="00D13F40" w:rsidRDefault="00D13F40" w14:paraId="1A6FF69B" w14:textId="77777777">
      <w:pPr>
        <w:contextualSpacing/>
        <w:rPr>
          <w:lang w:val="fr-FR"/>
        </w:rPr>
      </w:pPr>
    </w:p>
    <w:p w:rsidRPr="00032038" w:rsidR="00D13F40" w:rsidP="00D13F40" w:rsidRDefault="00D13F40" w14:paraId="54546A6E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Az EGSZB azt kéri, hogy a stratégiai </w:t>
      </w:r>
      <w:proofErr w:type="spellStart"/>
      <w:r>
        <w:t>előrejelzési</w:t>
      </w:r>
      <w:proofErr w:type="spellEnd"/>
      <w:r>
        <w:t xml:space="preserve"> tevékenységek során sokkal hangsúlyosabban vegyék figyelembe a geopolitikai fejleményeket. Az egymást követő sokkhatások rámutatnak arra, hogy mennyire fontos egy </w:t>
      </w:r>
      <w:proofErr w:type="spellStart"/>
      <w:r>
        <w:t>reziliensebb</w:t>
      </w:r>
      <w:proofErr w:type="spellEnd"/>
      <w:r>
        <w:t xml:space="preserve"> európai gazdaság kiépítése és a különböző válságok másodlagos hatásainak (infláció, energia- és nyersanyagár-emelkedés és ellátási hiányok, az ellátási lánc zavarai) tompítása. A válság utáni helyreállítás előmozdítása érdekében az Európai Bizottságnak és a tagállamoknak olyan szakpolitikákat és kezdeményezéseket kell kijelölniük – illetve törekedniük kell ezek megvalósítására –, amelyek egyszerre teremtenek gazdasági, társadalmi és környezeti előnyöket, azaz erősítik az üzleti környezetet, javítják a munka- és életkörülményeket, és elősegítik a klímasemleges és körforgásos gazdaságra való átállást.</w:t>
      </w:r>
    </w:p>
    <w:p w:rsidRPr="00032038" w:rsidR="00D13F40" w:rsidP="00D13F40" w:rsidRDefault="00D13F40" w14:paraId="4583DACC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Az EU helyreállítása és válságokkal szembeni </w:t>
      </w:r>
      <w:proofErr w:type="spellStart"/>
      <w:r>
        <w:t>rezilienciája</w:t>
      </w:r>
      <w:proofErr w:type="spellEnd"/>
      <w:r>
        <w:t xml:space="preserve"> alapvetően a fenntartható növekedéstől, a társadalmi konvergenciától, valamint a foglalkoztatás és a foglalkoztatási feltételek kedvező alakulásától függ, az európai zöld megállapodással, a szociális jogok európai pillérével és az arra vonatkozó cselekvési tervvel, valamint a fenntartható fejlődési célokkal összhangban. Ennek fényében az EGSZB egy felülvizsgált és kiegyensúlyozott, jólétorientált gazdaságirányítási keretet szorgalmaz. A gazdasági és monetáris unió elmélyítése együtt jár a gazdasági kormányzás megerősítésével, beleértve a bank- és tőkepiaci unió kiteljesítését, valamint az európai szemeszter szerepének megerősítését a növekedés, a kohézió, az </w:t>
      </w:r>
      <w:proofErr w:type="spellStart"/>
      <w:r>
        <w:t>inkluzivitás</w:t>
      </w:r>
      <w:proofErr w:type="spellEnd"/>
      <w:r>
        <w:t>, a versenyképesség és a konvergencia fokozásában.</w:t>
      </w:r>
    </w:p>
    <w:p w:rsidR="00D13F40" w:rsidP="00D13F40" w:rsidRDefault="00D13F40" w14:paraId="6E6D9FF8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Az európai társadalmakat már eddig is súlyosan érintette a világjárvány, az ukrán válság pedig egy újabb hatalmas sokkhatás, amelyet leginkább társadalmaink legkiszolgáltatottabb helyzetben lévő tagjai éreznek meg. Az elkövetkező uniós politikákban a szolidaritást és a társadalmi konvergenciát is irányadó elvnek kell tekinteni: az ukrajnai háborúra adott válaszlépéseknek mindenki megfizeti az árát, és gondoskodnunk kell arról, hogy ezek a terhek igazságosan legyenek elosztva. Az uniós tagállamoknak megfelelő költségvetési mozgástérrel kell rendelkezniük a negatív gazdasági és társadalmi hatások ellensúlyozására. Az EGSZB ennek kapcsán megismétli, hogy óva int az általános mentesítési rendelkezés idő előtti deaktiválásától. Az Európai Bizottság további megbeszéléseket folytathatna a tagállamokkal a lehetséges hosszú távú eszközökről, pl. egy munkanélküliségi viszontbiztosítási rendszerről, a rendszerszintű problémák kezelése érdekében, amelyeket a jelenlegi válság csak súlyosbított. A SURE-mechanizmus hatásait és lehetséges további felhasználási lehetőségeit is meg kellene vizsgálni, és megvitatni a szociális partnerekkel.</w:t>
      </w:r>
    </w:p>
    <w:p w:rsidRPr="0086045C" w:rsidR="00D13F40" w:rsidP="00D13F40" w:rsidRDefault="00D13F40" w14:paraId="7E9EE174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Az uniós energiapolitikának reálisnak kell lennie, úgy kell segítenie az energetikai unió felépülését és az éghajlat-politikai célok elérését, hogy az ne rójon </w:t>
      </w:r>
      <w:proofErr w:type="spellStart"/>
      <w:r>
        <w:t>többletterhet</w:t>
      </w:r>
      <w:proofErr w:type="spellEnd"/>
      <w:r>
        <w:t xml:space="preserve"> a kiszolgáltatott helyzetben lévő fogyasztókra és munkavállalókra, és ne ássa alá az európai vállalkozások versenyképességét. </w:t>
      </w:r>
      <w:r>
        <w:lastRenderedPageBreak/>
        <w:t>Az EU-nak úgy kell törekednie az ambiciózus éghajlat-politikai célkitűzések megvalósítására, hogy közben a vállalkozások és a polgárok számára megfizethető áron biztosítja az energiaellátás stabilitását és biztonságát. A folyamat sikerének biztosítása érdekében elegendő magán- és közberuházást kell mozgósítani.</w:t>
      </w:r>
    </w:p>
    <w:p w:rsidRPr="00361E48" w:rsidR="00D13F40" w:rsidP="00D13F40" w:rsidRDefault="00D13F40" w14:paraId="303C22CA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Nagyon fontos, hogy a polgárok sikeres jövőjének biztosítása érdekében ne tévesszük szem elől az EU olyan hosszú távú szükségleteit, mint a 2050-ig megvalósítandó klímasemlegesség, illetve a szegénység és a társadalmi kirekesztés elleni küzdelem. Emellett az EU-nak meg kell erősítenie egészségügyi ágazatának kapacitását, méghozzá abból a szempontból, hogy az ellátás iránti növekvő igények, valamint az esetleges jövőbeli világjárványok kezelése érdekében javuljon a kutatás és jobb módszerek álljanak rendelkezésre. Minden politika, program és intézkedés </w:t>
      </w:r>
      <w:proofErr w:type="gramStart"/>
      <w:r>
        <w:t>átfogó</w:t>
      </w:r>
      <w:proofErr w:type="gramEnd"/>
      <w:r>
        <w:t xml:space="preserve"> és szerves céljaként kell alkalmazni a fenntartható fejlődés megközelítését. Az EGSZB támogatta az európai zöld megállapodás végrehajtását, és rámutatott arra, hogy annak társadalmilag méltányos módon, az európai élelmezésbiztonság, valamint a megfizethető energiaellátás biztonságának garantálása mellett kell végbe mennie. Életbevágó, hogy a polgárokat és érdekelt csoportokat támogassák az arra irányuló fellépésükben, hogy tevőlegesen részt vegyenek az alacsony szén-dioxid-kibocsátású társadalomra való átállásban.</w:t>
      </w:r>
    </w:p>
    <w:p w:rsidR="00D13F40" w:rsidP="00D13F40" w:rsidRDefault="00D13F40" w14:paraId="0E0F7EC5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Intézkedéseket kell hozni az érdekelt felekkel és társadalmi csoportokkal folytatott és az azok közötti civil párbeszéd javítása érdekében, hogy a polgárok magukénak érezzék az őket közvetlenül érintő szakpolitikákat, és valóban részt vegyenek azokban, előmozdítva a polgárok szerepét Európa jövőjének építésében. Az online eljárásokat ki kell egészíteni a civil társadalmi szervezetekkel folytatott strukturált párbeszéddel a politikai döntéshozatal minden szakaszában, beleértve a végrehajtási és értékelési szakaszt is. Az emberek igényeinek kielégítése érdekében fontos az Európa jövőjéről szóló konferencia javaslatainak nyomon követése. Az EGSZB készen áll arra, hogy szerepét betöltve biztosítsa a konferencia eredményeinek megfelelő nyomon követését, ha pedig konventet szerveznek, az EGSZB-</w:t>
      </w:r>
      <w:proofErr w:type="spellStart"/>
      <w:r>
        <w:t>nek</w:t>
      </w:r>
      <w:proofErr w:type="spellEnd"/>
      <w:r>
        <w:t xml:space="preserve"> kiemelt szerepet kell játszania.</w:t>
      </w:r>
    </w:p>
    <w:p w:rsidRPr="00032038" w:rsidR="00D13F40" w:rsidP="00D13F40" w:rsidRDefault="00D13F40" w14:paraId="037F07D0" w14:textId="77777777">
      <w:pPr>
        <w:overflowPunct w:val="0"/>
        <w:autoSpaceDE w:val="0"/>
        <w:autoSpaceDN w:val="0"/>
        <w:adjustRightInd w:val="0"/>
        <w:ind w:left="357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64813" w:rsidR="00D13F40" w:rsidTr="00D13F40" w14:paraId="5ADA768A" w14:textId="77777777">
        <w:tc>
          <w:tcPr>
            <w:tcW w:w="1418" w:type="dxa"/>
          </w:tcPr>
          <w:p w:rsidRPr="00164813" w:rsidR="00D13F40" w:rsidP="00D13F40" w:rsidRDefault="00D13F40" w14:paraId="3B5B6B8A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164813" w:rsidR="00D13F40" w:rsidP="00D13F40" w:rsidRDefault="00D13F40" w14:paraId="3D3950B8" w14:textId="77777777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Domenico</w:t>
            </w:r>
            <w:proofErr w:type="spellEnd"/>
            <w:r>
              <w:rPr>
                <w:i/>
              </w:rPr>
              <w:t xml:space="preserve"> Cosmai</w:t>
            </w:r>
          </w:p>
        </w:tc>
      </w:tr>
      <w:tr w:rsidRPr="00164813" w:rsidR="00D13F40" w:rsidTr="00D13F40" w14:paraId="37A5B264" w14:textId="77777777">
        <w:tc>
          <w:tcPr>
            <w:tcW w:w="1418" w:type="dxa"/>
          </w:tcPr>
          <w:p w:rsidRPr="00164813" w:rsidR="00D13F40" w:rsidP="00D13F40" w:rsidRDefault="00D13F40" w14:paraId="0A0261DB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164813" w:rsidR="00D13F40" w:rsidP="00D13F40" w:rsidRDefault="00D13F40" w14:paraId="1870BA3F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00 32 2 546 90 41</w:t>
            </w:r>
          </w:p>
        </w:tc>
      </w:tr>
      <w:tr w:rsidRPr="00164813" w:rsidR="00D13F40" w:rsidTr="00D13F40" w14:paraId="0DD10512" w14:textId="77777777">
        <w:tc>
          <w:tcPr>
            <w:tcW w:w="1418" w:type="dxa"/>
          </w:tcPr>
          <w:p w:rsidRPr="00164813" w:rsidR="00D13F40" w:rsidP="008A7E03" w:rsidRDefault="00D13F40" w14:paraId="6AB9864F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64813" w:rsidR="00D13F40" w:rsidP="00910972" w:rsidRDefault="00544E97" w14:paraId="5EBCD8AB" w14:textId="6E96CD92">
            <w:pPr>
              <w:contextualSpacing/>
              <w:rPr>
                <w:i/>
              </w:rPr>
            </w:pPr>
            <w:hyperlink w:history="1" r:id="rId20">
              <w:r w:rsidR="00FA343E">
                <w:rPr>
                  <w:rStyle w:val="Hyperlink"/>
                </w:rPr>
                <w:t>Domenico.Cosmai@eesc.europa.eu</w:t>
              </w:r>
            </w:hyperlink>
          </w:p>
        </w:tc>
      </w:tr>
    </w:tbl>
    <w:p w:rsidR="00D35512" w:rsidRDefault="00D35512" w14:paraId="26BC3B10" w14:textId="44A04F65">
      <w:pPr>
        <w:jc w:val="left"/>
      </w:pPr>
    </w:p>
    <w:p w:rsidR="00D35512" w:rsidRDefault="00D35512" w14:paraId="5512BC58" w14:textId="77777777">
      <w:pPr>
        <w:spacing w:after="160" w:line="259" w:lineRule="auto"/>
        <w:jc w:val="left"/>
      </w:pPr>
      <w:r>
        <w:br w:type="page"/>
      </w:r>
    </w:p>
    <w:p w:rsidRPr="009B70E7" w:rsidR="004D7AC0" w:rsidRDefault="004D7AC0" w14:paraId="68489C47" w14:textId="77777777">
      <w:pPr>
        <w:jc w:val="left"/>
      </w:pPr>
    </w:p>
    <w:p w:rsidRPr="00D13F40" w:rsidR="004D7AC0" w:rsidP="00D13F40" w:rsidRDefault="004D7AC0" w14:paraId="1E329F25" w14:textId="77777777">
      <w:pPr>
        <w:pStyle w:val="Heading1"/>
        <w:rPr>
          <w:b/>
        </w:rPr>
      </w:pPr>
      <w:bookmarkStart w:name="_Toc109810930" w:id="2"/>
      <w:r>
        <w:rPr>
          <w:b/>
        </w:rPr>
        <w:t xml:space="preserve">GAZDASÁGI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MONETÁRIS UNIÓ, GAZDASÁGI ÉS TÁRSADALMI KOHÉZIÓ</w:t>
      </w:r>
      <w:bookmarkEnd w:id="2"/>
    </w:p>
    <w:p w:rsidR="00662436" w:rsidP="0018231C" w:rsidRDefault="00662436" w14:paraId="1710091D" w14:textId="77777777">
      <w:pPr>
        <w:spacing w:line="240" w:lineRule="auto"/>
      </w:pPr>
    </w:p>
    <w:p w:rsidRPr="009B70E7" w:rsidR="00640656" w:rsidP="00640656" w:rsidRDefault="000A03BD" w14:paraId="5D3A59A0" w14:textId="77777777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>
        <w:rPr>
          <w:b/>
          <w:i/>
          <w:sz w:val="28"/>
        </w:rPr>
        <w:t>A határon átnyúló tevékenységet végző távmunkások és munkáltatóik adóztatása</w:t>
      </w:r>
    </w:p>
    <w:p w:rsidRPr="0018231C" w:rsidR="00640656" w:rsidP="00640656" w:rsidRDefault="00640656" w14:paraId="228D42E4" w14:textId="7777777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spacing w:val="-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521"/>
      </w:tblGrid>
      <w:tr w:rsidRPr="00627B8F" w:rsidR="00640656" w:rsidTr="00B83E7B" w14:paraId="17A96696" w14:textId="77777777">
        <w:tc>
          <w:tcPr>
            <w:tcW w:w="1701" w:type="dxa"/>
          </w:tcPr>
          <w:p w:rsidRPr="009B70E7" w:rsidR="00640656" w:rsidP="002C4B6E" w:rsidRDefault="00640656" w14:paraId="204BF0A8" w14:textId="77777777">
            <w:pPr>
              <w:pStyle w:val="ListParagraph"/>
              <w:spacing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521" w:type="dxa"/>
          </w:tcPr>
          <w:p w:rsidRPr="00627B8F" w:rsidR="00640656" w:rsidP="00B83E7B" w:rsidRDefault="000A03BD" w14:paraId="1C5C2FFB" w14:textId="77777777">
            <w:pPr>
              <w:pStyle w:val="ListParagraph"/>
              <w:ind w:left="-60" w:right="-55"/>
            </w:pPr>
            <w:proofErr w:type="spellStart"/>
            <w:r>
              <w:t>Krister</w:t>
            </w:r>
            <w:proofErr w:type="spellEnd"/>
            <w:r>
              <w:t xml:space="preserve"> ANDERSSON (Munkáltatók/SE)</w:t>
            </w:r>
          </w:p>
        </w:tc>
      </w:tr>
      <w:tr w:rsidRPr="009B70E7" w:rsidR="00640656" w:rsidTr="00B83E7B" w14:paraId="6D38B34C" w14:textId="77777777">
        <w:tc>
          <w:tcPr>
            <w:tcW w:w="8222" w:type="dxa"/>
            <w:gridSpan w:val="2"/>
          </w:tcPr>
          <w:p w:rsidRPr="009B70E7" w:rsidR="00640656" w:rsidP="00B83E7B" w:rsidRDefault="00640656" w14:paraId="58D13705" w14:textId="77777777">
            <w:pPr>
              <w:pStyle w:val="ListParagraph"/>
              <w:ind w:left="0"/>
            </w:pPr>
          </w:p>
        </w:tc>
      </w:tr>
      <w:tr w:rsidRPr="00627B8F" w:rsidR="00640656" w:rsidTr="00B83E7B" w14:paraId="3D93C3AA" w14:textId="77777777">
        <w:tc>
          <w:tcPr>
            <w:tcW w:w="1701" w:type="dxa"/>
          </w:tcPr>
          <w:p w:rsidRPr="009B70E7" w:rsidR="00640656" w:rsidP="00804736" w:rsidRDefault="00640656" w14:paraId="33436DCF" w14:textId="77777777">
            <w:pPr>
              <w:pStyle w:val="ListParagraph"/>
              <w:spacing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521" w:type="dxa"/>
          </w:tcPr>
          <w:p w:rsidRPr="00627B8F" w:rsidR="00640656" w:rsidP="00B83E7B" w:rsidRDefault="000A03BD" w14:paraId="3CD87A23" w14:textId="77777777">
            <w:pPr>
              <w:pStyle w:val="ListParagraph"/>
              <w:ind w:left="-61"/>
              <w:rPr>
                <w:bCs/>
              </w:rPr>
            </w:pPr>
            <w:r>
              <w:t>saját kezdeményezésű vélemény</w:t>
            </w:r>
          </w:p>
          <w:p w:rsidRPr="00627B8F" w:rsidR="00640656" w:rsidP="00B83E7B" w:rsidRDefault="00640656" w14:paraId="57D265AF" w14:textId="77777777">
            <w:pPr>
              <w:pStyle w:val="ListParagraph"/>
              <w:ind w:left="-61"/>
            </w:pPr>
            <w:r>
              <w:t>EESC-2022-00408-00-00-AC</w:t>
            </w:r>
          </w:p>
        </w:tc>
      </w:tr>
    </w:tbl>
    <w:p w:rsidRPr="00627B8F" w:rsidR="00640656" w:rsidP="00640656" w:rsidRDefault="00640656" w14:paraId="68C62979" w14:textId="77777777">
      <w:pPr>
        <w:pStyle w:val="ListParagraph"/>
        <w:spacing w:line="240" w:lineRule="auto"/>
        <w:ind w:left="0"/>
        <w:rPr>
          <w:lang w:val="pt-PT"/>
        </w:rPr>
      </w:pPr>
    </w:p>
    <w:p w:rsidRPr="009B70E7" w:rsidR="00640656" w:rsidP="00700030" w:rsidRDefault="00631509" w14:paraId="1531E332" w14:textId="77777777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 xml:space="preserve"> Főbb pontok</w:t>
      </w:r>
    </w:p>
    <w:p w:rsidRPr="00804736" w:rsidR="00640656" w:rsidP="00804736" w:rsidRDefault="00640656" w14:paraId="35E5BFA5" w14:textId="77777777">
      <w:pPr>
        <w:pStyle w:val="ListParagraph"/>
        <w:spacing w:line="240" w:lineRule="auto"/>
        <w:ind w:left="-142" w:firstLine="142"/>
        <w:rPr>
          <w:b/>
        </w:rPr>
      </w:pPr>
    </w:p>
    <w:p w:rsidRPr="009B70E7" w:rsidR="00640656" w:rsidP="00640656" w:rsidRDefault="00640656" w14:paraId="49F5E58C" w14:textId="77777777">
      <w:pPr>
        <w:pStyle w:val="ListParagraph"/>
        <w:spacing w:line="240" w:lineRule="auto"/>
        <w:ind w:left="0"/>
      </w:pPr>
      <w:r>
        <w:t>Az EGSZB:</w:t>
      </w:r>
    </w:p>
    <w:p w:rsidRPr="009B70E7" w:rsidR="00640656" w:rsidP="00640656" w:rsidRDefault="00640656" w14:paraId="79740612" w14:textId="77777777">
      <w:pPr>
        <w:pStyle w:val="ListParagraph"/>
        <w:spacing w:line="276" w:lineRule="auto"/>
        <w:ind w:left="0"/>
      </w:pPr>
    </w:p>
    <w:p w:rsidRPr="009B70E7" w:rsidR="00640656" w:rsidP="00640656" w:rsidRDefault="000A03BD" w14:paraId="7319D50D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>elismeri azokat a sajátos kihívásokat, amelyeket a határokon átnyúló távmunka elterjedése jelent a mai nemzetközi adórendszerek számára. Ez különösen a bérek és a vállalati nyereség adóztatását érinti,</w:t>
      </w:r>
    </w:p>
    <w:p w:rsidR="00640656" w:rsidP="00640656" w:rsidRDefault="000A03BD" w14:paraId="410F3EF2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 xml:space="preserve">egyetért az Európai Bizottsággal (EB) abban, hogy a határon átnyúló tevékenységet végző távmunkások jövedelmük kettős adóztatásával </w:t>
      </w:r>
      <w:proofErr w:type="spellStart"/>
      <w:r>
        <w:t>szembesülhetnek</w:t>
      </w:r>
      <w:proofErr w:type="spellEnd"/>
      <w:r>
        <w:t>, ami hosszadalmas és költséges jogvitákhoz vezethet a munkavállaló és a tagállamok adóhatóságai között,</w:t>
      </w:r>
    </w:p>
    <w:p w:rsidRPr="009B70E7" w:rsidR="00640656" w:rsidP="00640656" w:rsidRDefault="000A03BD" w14:paraId="00EEA10F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>emlékeztet arra, hogy a vállalati nyereség adózása szempontjából a nemzetközi tevékenységet végző távmunkásoknál fennáll annak a veszélye, hogy a vállalat véletlenül állandó telephelyet hoz létre a saját országától eltérő országban. Ha egy másik országban hoz létre állandó telephelyet, a vállalat kénytelen pontosan megosztani a társasági jövedelmét a két helyszín között, és így különböző bejelentési kötelezettségek és adókötelezettségek vonatkoznak rá,</w:t>
      </w:r>
    </w:p>
    <w:p w:rsidR="00640656" w:rsidP="00640656" w:rsidRDefault="000A03BD" w14:paraId="5DA57970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>hangsúlyozza, mennyire fontos az adórendszerek további korszerűsítése, hogy megfeleljenek a mai munkakörnyezet igényeinek. A nemzetközi társaságiadó-keretet nemrégiben dolgozták át az OECD/G20 inkluzív adóügyi keretre vonatkozó intézkedéscsomagról szóló megállapodással, amely két pillérből áll,</w:t>
      </w:r>
    </w:p>
    <w:p w:rsidR="000A03BD" w:rsidP="00640656" w:rsidRDefault="000A03BD" w14:paraId="3030B859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 xml:space="preserve">hangsúlyozza, hogy a szabályoknak mind a munkavállalók, mind a munkáltatók számára egyszerűnek kell lenniük. Az egyik lehetőség az lenne a tagállamok számára, ha megállapodnának abban, hogy a munkavállalót csak akkor adóztatják meg, ha az országban töltött munkanapok száma naptári évenként meghaladja a 96 napot. Az EGSZB </w:t>
      </w:r>
      <w:proofErr w:type="spellStart"/>
      <w:r>
        <w:t>megjegyzi</w:t>
      </w:r>
      <w:proofErr w:type="spellEnd"/>
      <w:r>
        <w:t>, hogy az OECD/IF adóügyi munkája során egy többoldalú eszközt (MLI) használtak az új adószabályok időben történő végrehajtásának megkönnyítésére,</w:t>
      </w:r>
    </w:p>
    <w:p w:rsidR="000A03BD" w:rsidP="00640656" w:rsidRDefault="000A03BD" w14:paraId="581CFA88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 xml:space="preserve">arra bátorítja az Európai Bizottságot, hogy vizsgálja meg, hogy lenne-e lehetőség egy egyablakos ügyintézés bevezetésére, mint amilyen a </w:t>
      </w:r>
      <w:proofErr w:type="spellStart"/>
      <w:r>
        <w:t>héa</w:t>
      </w:r>
      <w:proofErr w:type="spellEnd"/>
      <w:r>
        <w:t xml:space="preserve"> területén működik. Ez a rendszer a munkáltatót kötelezné arra, hogy a határon átnyúló tevékenységet végző távmunkások esetében jelentse a távmunkások által a lakóhelyük szerinti országban és a munkáltató székhelye szerinti országban ledolgozott napok számát.</w:t>
      </w:r>
    </w:p>
    <w:p w:rsidRPr="009B70E7" w:rsidR="00577672" w:rsidP="00577672" w:rsidRDefault="00577672" w14:paraId="6AC42931" w14:textId="77777777">
      <w:pPr>
        <w:spacing w:line="276" w:lineRule="auto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640656" w:rsidTr="00B83E7B" w14:paraId="437B7156" w14:textId="77777777">
        <w:tc>
          <w:tcPr>
            <w:tcW w:w="1418" w:type="dxa"/>
          </w:tcPr>
          <w:p w:rsidRPr="009B70E7" w:rsidR="00640656" w:rsidP="00B83E7B" w:rsidRDefault="00640656" w14:paraId="026D2B53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640656" w:rsidP="00B83E7B" w:rsidRDefault="000A03BD" w14:paraId="3123BFA2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proofErr w:type="spellStart"/>
            <w:r>
              <w:rPr>
                <w:i/>
              </w:rPr>
              <w:t>Jüri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Soosaar</w:t>
            </w:r>
            <w:proofErr w:type="spellEnd"/>
          </w:p>
        </w:tc>
      </w:tr>
      <w:tr w:rsidRPr="009B70E7" w:rsidR="00640656" w:rsidTr="00B83E7B" w14:paraId="13C450E4" w14:textId="77777777">
        <w:tc>
          <w:tcPr>
            <w:tcW w:w="1418" w:type="dxa"/>
          </w:tcPr>
          <w:p w:rsidRPr="009B70E7" w:rsidR="00640656" w:rsidP="00B83E7B" w:rsidRDefault="00640656" w14:paraId="71B7C5A8" w14:textId="77777777">
            <w:pPr>
              <w:pStyle w:val="ListParagraph"/>
              <w:spacing w:line="276" w:lineRule="auto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640656" w:rsidP="00B83E7B" w:rsidRDefault="00577672" w14:paraId="3226C0EF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>00 32 2 546 97 95</w:t>
            </w:r>
          </w:p>
        </w:tc>
      </w:tr>
      <w:tr w:rsidRPr="009B70E7" w:rsidR="00640656" w:rsidTr="00B83E7B" w14:paraId="1FEA5B3F" w14:textId="77777777">
        <w:tc>
          <w:tcPr>
            <w:tcW w:w="1418" w:type="dxa"/>
          </w:tcPr>
          <w:p w:rsidRPr="009B70E7" w:rsidR="00640656" w:rsidP="008A7E03" w:rsidRDefault="00640656" w14:paraId="6D5FF9EA" w14:textId="77777777">
            <w:pPr>
              <w:pStyle w:val="ListParagraph"/>
              <w:spacing w:line="276" w:lineRule="auto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640656" w:rsidP="00B83E7B" w:rsidRDefault="00544E97" w14:paraId="160383F7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hyperlink w:history="1" r:id="rId21">
              <w:r w:rsidR="00FA343E">
                <w:rPr>
                  <w:rStyle w:val="Hyperlink"/>
                  <w:i/>
                </w:rPr>
                <w:t>Juri.Soosar@eesc.europa.eu</w:t>
              </w:r>
            </w:hyperlink>
          </w:p>
        </w:tc>
      </w:tr>
    </w:tbl>
    <w:p w:rsidR="00D35512" w:rsidP="0018231C" w:rsidRDefault="00D35512" w14:paraId="7CBB426B" w14:textId="59BE7BEE">
      <w:pPr>
        <w:spacing w:line="240" w:lineRule="auto"/>
      </w:pPr>
    </w:p>
    <w:p w:rsidR="00D35512" w:rsidRDefault="00D35512" w14:paraId="7BA530D3" w14:textId="77777777">
      <w:pPr>
        <w:spacing w:after="160" w:line="259" w:lineRule="auto"/>
        <w:jc w:val="left"/>
      </w:pPr>
      <w:r>
        <w:br w:type="page"/>
      </w:r>
    </w:p>
    <w:p w:rsidRPr="009B70E7" w:rsidR="004D7AC0" w:rsidP="008B2544" w:rsidRDefault="00BD6E79" w14:paraId="3267ADFE" w14:textId="77777777">
      <w:pPr>
        <w:keepNext/>
        <w:keepLines/>
        <w:numPr>
          <w:ilvl w:val="0"/>
          <w:numId w:val="5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pacing w:val="-2"/>
          <w:sz w:val="28"/>
          <w:szCs w:val="28"/>
        </w:rPr>
      </w:pPr>
      <w:r>
        <w:rPr>
          <w:b/>
          <w:i/>
          <w:sz w:val="28"/>
        </w:rPr>
        <w:lastRenderedPageBreak/>
        <w:t>A digitális gazdaság adóztatása</w:t>
      </w:r>
    </w:p>
    <w:p w:rsidRPr="0018231C" w:rsidR="006E6434" w:rsidP="008B2544" w:rsidRDefault="006E6434" w14:paraId="4E8ABD0B" w14:textId="77777777">
      <w:pPr>
        <w:keepNext/>
        <w:keepLines/>
        <w:overflowPunct w:val="0"/>
        <w:autoSpaceDE w:val="0"/>
        <w:autoSpaceDN w:val="0"/>
        <w:adjustRightInd w:val="0"/>
        <w:textAlignment w:val="baseline"/>
        <w:rPr>
          <w:spacing w:val="-2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521"/>
      </w:tblGrid>
      <w:tr w:rsidRPr="00627B8F" w:rsidR="00705674" w:rsidTr="004A46D9" w14:paraId="691352BE" w14:textId="77777777">
        <w:tc>
          <w:tcPr>
            <w:tcW w:w="1701" w:type="dxa"/>
          </w:tcPr>
          <w:p w:rsidRPr="009B70E7" w:rsidR="00705674" w:rsidP="002C4B6E" w:rsidRDefault="00705674" w14:paraId="3B832BAF" w14:textId="77777777">
            <w:pPr>
              <w:pStyle w:val="ListParagraph"/>
              <w:spacing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521" w:type="dxa"/>
          </w:tcPr>
          <w:p w:rsidRPr="00627B8F" w:rsidR="00705674" w:rsidP="00ED2A6A" w:rsidRDefault="00174763" w14:paraId="322FA680" w14:textId="77777777">
            <w:pPr>
              <w:pStyle w:val="ListParagraph"/>
              <w:ind w:left="-60" w:right="-55"/>
            </w:pPr>
            <w:r>
              <w:t xml:space="preserve"> Benjamin RIZZO (Civil társadalmi szervezetek/MT)</w:t>
            </w:r>
          </w:p>
        </w:tc>
      </w:tr>
      <w:tr w:rsidRPr="009B70E7" w:rsidR="00705674" w:rsidTr="004A46D9" w14:paraId="1E67D992" w14:textId="77777777">
        <w:tc>
          <w:tcPr>
            <w:tcW w:w="1701" w:type="dxa"/>
          </w:tcPr>
          <w:p w:rsidRPr="009B70E7" w:rsidR="00705674" w:rsidRDefault="00705674" w14:paraId="255A1F7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6521" w:type="dxa"/>
          </w:tcPr>
          <w:p w:rsidRPr="009B70E7" w:rsidR="00705674" w:rsidP="0068241A" w:rsidRDefault="00174763" w14:paraId="0D76B76F" w14:textId="77777777">
            <w:pPr>
              <w:pStyle w:val="ListParagraph"/>
              <w:tabs>
                <w:tab w:val="left" w:pos="838"/>
              </w:tabs>
              <w:ind w:left="-61"/>
            </w:pPr>
            <w:r>
              <w:t xml:space="preserve"> Petru Sorin DANDEA (Munkavállalók/RO)</w:t>
            </w:r>
          </w:p>
        </w:tc>
      </w:tr>
      <w:tr w:rsidRPr="009B70E7" w:rsidR="00986C7F" w:rsidTr="004A46D9" w14:paraId="0AA03C0B" w14:textId="77777777">
        <w:tc>
          <w:tcPr>
            <w:tcW w:w="8222" w:type="dxa"/>
            <w:gridSpan w:val="2"/>
          </w:tcPr>
          <w:p w:rsidRPr="009B70E7" w:rsidR="00986C7F" w:rsidRDefault="00986C7F" w14:paraId="11126B04" w14:textId="77777777">
            <w:pPr>
              <w:pStyle w:val="ListParagraph"/>
              <w:ind w:left="0"/>
            </w:pPr>
          </w:p>
        </w:tc>
      </w:tr>
      <w:tr w:rsidRPr="00627B8F" w:rsidR="004D7AC0" w:rsidTr="004A46D9" w14:paraId="1499CE6A" w14:textId="77777777">
        <w:tc>
          <w:tcPr>
            <w:tcW w:w="1701" w:type="dxa"/>
          </w:tcPr>
          <w:p w:rsidRPr="009B70E7" w:rsidR="004D7AC0" w:rsidRDefault="004D7AC0" w14:paraId="402C1F5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521" w:type="dxa"/>
          </w:tcPr>
          <w:p w:rsidRPr="00627B8F" w:rsidR="00DC097D" w:rsidP="0068241A" w:rsidRDefault="0004205F" w14:paraId="77BAAF3B" w14:textId="77777777">
            <w:pPr>
              <w:pStyle w:val="ListParagraph"/>
              <w:ind w:left="-61"/>
              <w:rPr>
                <w:bCs/>
              </w:rPr>
            </w:pPr>
            <w:r>
              <w:t>feltáró vélemény a Tanács cseh elnökségének felkérésére</w:t>
            </w:r>
          </w:p>
          <w:p w:rsidRPr="00627B8F" w:rsidR="004D7AC0" w:rsidP="0068241A" w:rsidRDefault="000C6D0B" w14:paraId="4FE162D8" w14:textId="77777777">
            <w:pPr>
              <w:pStyle w:val="ListParagraph"/>
              <w:ind w:left="-61"/>
            </w:pPr>
            <w:r>
              <w:t>EESC-2022-02060-00-00-AC</w:t>
            </w:r>
          </w:p>
        </w:tc>
      </w:tr>
    </w:tbl>
    <w:p w:rsidR="00631509" w:rsidP="003D4F68" w:rsidRDefault="00631509" w14:paraId="6B907918" w14:textId="77777777">
      <w:pPr>
        <w:pStyle w:val="ListParagraph"/>
        <w:spacing w:line="240" w:lineRule="auto"/>
        <w:ind w:left="0" w:firstLine="142"/>
        <w:rPr>
          <w:lang w:val="pt-PT"/>
        </w:rPr>
      </w:pPr>
    </w:p>
    <w:p w:rsidRPr="009B70E7" w:rsidR="004D7AC0" w:rsidP="00631509" w:rsidRDefault="004D7AC0" w14:paraId="20827D97" w14:textId="06BC8467">
      <w:pPr>
        <w:pStyle w:val="ListParagraph"/>
        <w:spacing w:line="240" w:lineRule="auto"/>
        <w:ind w:left="0"/>
        <w:rPr>
          <w:b/>
        </w:rPr>
      </w:pPr>
      <w:r>
        <w:rPr>
          <w:b/>
        </w:rPr>
        <w:t>Főbb pontok</w:t>
      </w:r>
    </w:p>
    <w:p w:rsidRPr="009B70E7" w:rsidR="004D7AC0" w:rsidP="0018231C" w:rsidRDefault="004D7AC0" w14:paraId="4918C4AD" w14:textId="77777777">
      <w:pPr>
        <w:pStyle w:val="ListParagraph"/>
        <w:spacing w:line="240" w:lineRule="auto"/>
        <w:ind w:left="0"/>
      </w:pPr>
    </w:p>
    <w:p w:rsidRPr="009B70E7" w:rsidR="004D7AC0" w:rsidP="0018231C" w:rsidRDefault="004D7AC0" w14:paraId="563DEAE0" w14:textId="6ACB49CD">
      <w:pPr>
        <w:pStyle w:val="ListParagraph"/>
        <w:spacing w:line="240" w:lineRule="auto"/>
        <w:ind w:left="0"/>
      </w:pPr>
      <w:r>
        <w:t>Az EGSZB:</w:t>
      </w:r>
    </w:p>
    <w:p w:rsidRPr="009B70E7" w:rsidR="004D7AC0" w:rsidP="0018231C" w:rsidRDefault="004D7AC0" w14:paraId="20687EE6" w14:textId="77777777">
      <w:pPr>
        <w:pStyle w:val="ListParagraph"/>
        <w:spacing w:line="276" w:lineRule="auto"/>
        <w:ind w:left="0"/>
      </w:pPr>
    </w:p>
    <w:p w:rsidRPr="009B70E7" w:rsidR="004D7AC0" w:rsidP="0018231C" w:rsidRDefault="0004205F" w14:paraId="63D90A21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>azt javasolja, hogy amint nemzetközi megállapodás születik az OECD/G20-ak inkluzív keretének az adóztatási jogok újraelosztásával kapcsolatos 1. pilléréről, gyorsan hajtsák végre a vonatkozó szabályokat az EU-ban, más jelentős kereskedelmi partnerekkel összehangoltan, illetve azoknál is hasonló kezdeményezést indítva,</w:t>
      </w:r>
    </w:p>
    <w:p w:rsidR="004D7AC0" w:rsidP="0018231C" w:rsidRDefault="0004205F" w14:paraId="18668642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>úgy véli, hogy az EU vezető szerepet játszhat a digitális gazdaság adóztatásában. Ezt a szerepet azonban az OECD/G20-ak nemzetközi megállapodása keretében kell betölteni, ahogyan az a 2. pillér esetében is történt az adóalap-erózió elleni mechanizmus kapcsán,</w:t>
      </w:r>
    </w:p>
    <w:p w:rsidRPr="009B70E7" w:rsidR="007F2119" w:rsidP="0018231C" w:rsidRDefault="0004205F" w14:paraId="30394587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 xml:space="preserve">hangsúlyozza, hogy az EU-ban a lehető leghamarabb végre kell hajtani az 1. és a 2. pillért is, és </w:t>
      </w:r>
      <w:proofErr w:type="gramStart"/>
      <w:r>
        <w:t>ezáltal</w:t>
      </w:r>
      <w:proofErr w:type="gramEnd"/>
      <w:r>
        <w:t xml:space="preserve"> magas fokú összhangot kell elérni az OECD/G20-ak szintjén megtárgyalandó nemzetközi megállapodással. Az 1. és 2. pillért átfogó, egymással integrált szabályozási csomagoknak kell tekinteni,</w:t>
      </w:r>
    </w:p>
    <w:p w:rsidR="004D7AC0" w:rsidP="0018231C" w:rsidRDefault="0004205F" w14:paraId="202D24AF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proofErr w:type="spellStart"/>
      <w:r>
        <w:t>megjegyzi</w:t>
      </w:r>
      <w:proofErr w:type="spellEnd"/>
      <w:r>
        <w:t>, hogy a digitális gazdaság adóztatására irányuló európai jogalkotási kezdeményezés nagyban elősegítheti a belső piac működését, és a különálló nemzeti kezdeményezésekhez képest kétségtelenül hatékonyabb keretet eredményezhet,</w:t>
      </w:r>
    </w:p>
    <w:p w:rsidRPr="009B70E7" w:rsidR="003E692C" w:rsidP="003E692C" w:rsidRDefault="0004205F" w14:paraId="02A3942D" w14:textId="141920AE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>az 1. pillérről szóló olyan nemzetközi megállapodás megkötését kéri, amely lehetőség szerint tartózkodik a túlságosan összetett szabályoktól, célja pedig az átláthatóság, a kiszámíthatóság, az adminisztráció egyszerűsítése, valamint a megfelelési költségek alacsonyan tartása. Egy túlbonyolított rendszer ugyanis lehetőséget teremthet az újonnan elfogadott szabályok megkerülésére, csökkentve azok hatékonyságát,</w:t>
      </w:r>
    </w:p>
    <w:p w:rsidRPr="003E692C" w:rsidR="00DC097D" w:rsidP="001A0AD4" w:rsidRDefault="0004205F" w14:paraId="58783A9E" w14:textId="77777777">
      <w:pPr>
        <w:pStyle w:val="ListParagraph"/>
        <w:numPr>
          <w:ilvl w:val="0"/>
          <w:numId w:val="3"/>
        </w:numPr>
        <w:spacing w:line="276" w:lineRule="auto"/>
        <w:ind w:left="357" w:hanging="357"/>
      </w:pPr>
      <w:r>
        <w:t>hangsúlyozza, hogy a digitális vállalkozásokra vonatkozó, megfelelően kidolgozott nemzetközi adójogszabályoknak nagy szerepük van az adókijátszási és az adókikerülési gyakorlatok megakadályozásában, valamint egy méltányos, stabil és progresszív adózási rendszer kialakításában.</w:t>
      </w:r>
    </w:p>
    <w:p w:rsidR="003E692C" w:rsidP="003E692C" w:rsidRDefault="003E692C" w14:paraId="176DA90D" w14:textId="77777777">
      <w:pPr>
        <w:pStyle w:val="ListParagraph"/>
        <w:spacing w:line="276" w:lineRule="auto"/>
        <w:ind w:left="357"/>
      </w:pPr>
    </w:p>
    <w:p w:rsidRPr="009B70E7" w:rsidR="00AA05F8" w:rsidP="0004205F" w:rsidRDefault="00AA05F8" w14:paraId="64FB268C" w14:textId="77777777">
      <w:pPr>
        <w:pStyle w:val="ListParagraph"/>
        <w:spacing w:line="276" w:lineRule="auto"/>
        <w:ind w:left="357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04205F" w:rsidTr="008B66DD" w14:paraId="42ABA59B" w14:textId="77777777">
        <w:tc>
          <w:tcPr>
            <w:tcW w:w="1418" w:type="dxa"/>
          </w:tcPr>
          <w:p w:rsidRPr="009B70E7" w:rsidR="0004205F" w:rsidP="008B66DD" w:rsidRDefault="0004205F" w14:paraId="1202A600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04205F" w:rsidP="008B66DD" w:rsidRDefault="0004205F" w14:paraId="0AA6F903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proofErr w:type="spellStart"/>
            <w:r>
              <w:rPr>
                <w:i/>
              </w:rPr>
              <w:t>Jüri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Soosaar</w:t>
            </w:r>
            <w:proofErr w:type="spellEnd"/>
          </w:p>
        </w:tc>
      </w:tr>
      <w:tr w:rsidRPr="009B70E7" w:rsidR="0004205F" w:rsidTr="008B66DD" w14:paraId="7385889A" w14:textId="77777777">
        <w:tc>
          <w:tcPr>
            <w:tcW w:w="1418" w:type="dxa"/>
          </w:tcPr>
          <w:p w:rsidRPr="009B70E7" w:rsidR="0004205F" w:rsidP="008B66DD" w:rsidRDefault="0004205F" w14:paraId="4DFD0A04" w14:textId="77777777">
            <w:pPr>
              <w:pStyle w:val="ListParagraph"/>
              <w:spacing w:line="276" w:lineRule="auto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04205F" w:rsidP="008B66DD" w:rsidRDefault="0004205F" w14:paraId="7F762C11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r>
              <w:rPr>
                <w:i/>
              </w:rPr>
              <w:t>00 32 2 546 97 95</w:t>
            </w:r>
          </w:p>
        </w:tc>
      </w:tr>
      <w:tr w:rsidRPr="009B70E7" w:rsidR="0004205F" w:rsidTr="008B66DD" w14:paraId="44BC51C1" w14:textId="77777777">
        <w:tc>
          <w:tcPr>
            <w:tcW w:w="1418" w:type="dxa"/>
          </w:tcPr>
          <w:p w:rsidRPr="009B70E7" w:rsidR="0004205F" w:rsidP="008A7E03" w:rsidRDefault="0004205F" w14:paraId="64D662AC" w14:textId="77777777">
            <w:pPr>
              <w:pStyle w:val="ListParagraph"/>
              <w:spacing w:line="276" w:lineRule="auto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04205F" w:rsidP="008B66DD" w:rsidRDefault="00544E97" w14:paraId="0F943B87" w14:textId="77777777">
            <w:pPr>
              <w:pStyle w:val="ListParagraph"/>
              <w:spacing w:line="276" w:lineRule="auto"/>
              <w:ind w:left="0"/>
              <w:rPr>
                <w:i/>
              </w:rPr>
            </w:pPr>
            <w:hyperlink w:history="1" r:id="rId22">
              <w:r w:rsidR="00FA343E">
                <w:rPr>
                  <w:rStyle w:val="Hyperlink"/>
                  <w:i/>
                </w:rPr>
                <w:t>Juri.Soosar@eesc.europa.eu</w:t>
              </w:r>
            </w:hyperlink>
          </w:p>
        </w:tc>
      </w:tr>
    </w:tbl>
    <w:p w:rsidR="00D35512" w:rsidRDefault="00D35512" w14:paraId="07993D4C" w14:textId="52CB357C">
      <w:pPr>
        <w:spacing w:after="160" w:line="259" w:lineRule="auto"/>
        <w:jc w:val="left"/>
      </w:pPr>
    </w:p>
    <w:p w:rsidR="00D35512" w:rsidRDefault="00D35512" w14:paraId="58CFB761" w14:textId="77777777">
      <w:pPr>
        <w:spacing w:after="160" w:line="259" w:lineRule="auto"/>
        <w:jc w:val="left"/>
      </w:pPr>
      <w:r>
        <w:br w:type="page"/>
      </w:r>
    </w:p>
    <w:p w:rsidRPr="0004205F" w:rsidR="00DC17CF" w:rsidP="00DC17CF" w:rsidRDefault="0004205F" w14:paraId="1CD13A78" w14:textId="77777777">
      <w:pPr>
        <w:keepNext/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 központi értéktárakról szóló rendelet felülvizsgálata</w:t>
      </w:r>
    </w:p>
    <w:p w:rsidRPr="00A30B84" w:rsidR="0004205F" w:rsidP="00B44BB9" w:rsidRDefault="0004205F" w14:paraId="21BCC75E" w14:textId="77777777">
      <w:pPr>
        <w:keepNext/>
        <w:ind w:left="567"/>
        <w:contextualSpacing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5766"/>
        <w:gridCol w:w="755"/>
      </w:tblGrid>
      <w:tr w:rsidRPr="00627B8F" w:rsidR="0004205F" w:rsidTr="008B66DD" w14:paraId="049361FD" w14:textId="77777777">
        <w:tc>
          <w:tcPr>
            <w:tcW w:w="1701" w:type="dxa"/>
          </w:tcPr>
          <w:p w:rsidRPr="009B70E7" w:rsidR="0004205F" w:rsidP="0004205F" w:rsidRDefault="0004205F" w14:paraId="62391659" w14:textId="77777777">
            <w:pPr>
              <w:pStyle w:val="ListParagraph"/>
              <w:spacing w:line="240" w:lineRule="auto"/>
              <w:ind w:left="-142" w:firstLine="142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521" w:type="dxa"/>
            <w:gridSpan w:val="2"/>
          </w:tcPr>
          <w:p w:rsidRPr="00627B8F" w:rsidR="0004205F" w:rsidP="0004205F" w:rsidRDefault="0004205F" w14:paraId="431B2CD3" w14:textId="77777777">
            <w:pPr>
              <w:pStyle w:val="ListParagraph"/>
              <w:ind w:left="-60" w:right="-55"/>
            </w:pPr>
            <w:proofErr w:type="spellStart"/>
            <w:r>
              <w:t>Kęstutis</w:t>
            </w:r>
            <w:proofErr w:type="spellEnd"/>
            <w:r>
              <w:t xml:space="preserve"> KUPŠYS (Civil társadalmi szervezetek/LT)</w:t>
            </w:r>
          </w:p>
        </w:tc>
      </w:tr>
      <w:tr w:rsidRPr="009B70E7" w:rsidR="0004205F" w:rsidTr="008B66DD" w14:paraId="6A254F6C" w14:textId="77777777">
        <w:tc>
          <w:tcPr>
            <w:tcW w:w="1701" w:type="dxa"/>
          </w:tcPr>
          <w:p w:rsidRPr="009B70E7" w:rsidR="0004205F" w:rsidP="0004205F" w:rsidRDefault="0004205F" w14:paraId="2522D764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6521" w:type="dxa"/>
            <w:gridSpan w:val="2"/>
          </w:tcPr>
          <w:p w:rsidR="0004205F" w:rsidP="0004205F" w:rsidRDefault="0004205F" w14:paraId="44ADDECF" w14:textId="77777777">
            <w:pPr>
              <w:pStyle w:val="ListParagraph"/>
              <w:tabs>
                <w:tab w:val="left" w:pos="838"/>
              </w:tabs>
              <w:ind w:left="-61"/>
            </w:pPr>
            <w:proofErr w:type="spellStart"/>
            <w:r>
              <w:t>Christophe</w:t>
            </w:r>
            <w:proofErr w:type="spellEnd"/>
            <w:r>
              <w:t xml:space="preserve"> LEFÈVRE (Munkavállalók/FR)</w:t>
            </w:r>
          </w:p>
          <w:p w:rsidRPr="009B70E7" w:rsidR="0004205F" w:rsidP="0004205F" w:rsidRDefault="0004205F" w14:paraId="5D498FFA" w14:textId="77777777">
            <w:pPr>
              <w:pStyle w:val="ListParagraph"/>
              <w:tabs>
                <w:tab w:val="left" w:pos="838"/>
              </w:tabs>
              <w:ind w:left="-61"/>
            </w:pPr>
          </w:p>
        </w:tc>
      </w:tr>
      <w:tr w:rsidRPr="009B70E7" w:rsidR="0004205F" w:rsidTr="00326919" w14:paraId="793D9F9A" w14:textId="77777777">
        <w:tblPrEx>
          <w:tblCellMar>
            <w:left w:w="108" w:type="dxa"/>
            <w:right w:w="108" w:type="dxa"/>
          </w:tblCellMar>
        </w:tblPrEx>
        <w:trPr>
          <w:gridAfter w:val="1"/>
          <w:wAfter w:w="755" w:type="dxa"/>
          <w:trHeight w:val="636"/>
        </w:trPr>
        <w:tc>
          <w:tcPr>
            <w:tcW w:w="1701" w:type="dxa"/>
          </w:tcPr>
          <w:p w:rsidRPr="009B70E7" w:rsidR="0004205F" w:rsidP="0004205F" w:rsidRDefault="0004205F" w14:paraId="3464C7C3" w14:textId="77777777">
            <w:pPr>
              <w:pStyle w:val="ListParagraph"/>
              <w:ind w:left="0" w:hanging="108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766" w:type="dxa"/>
          </w:tcPr>
          <w:p w:rsidR="0004205F" w:rsidP="0004205F" w:rsidRDefault="0004205F" w14:paraId="19506267" w14:textId="77777777">
            <w:pPr>
              <w:pStyle w:val="ListParagraph"/>
              <w:ind w:left="-108"/>
            </w:pPr>
            <w:proofErr w:type="gramStart"/>
            <w:r>
              <w:t>COM(</w:t>
            </w:r>
            <w:proofErr w:type="gramEnd"/>
            <w:r>
              <w:t xml:space="preserve">2022) 120 </w:t>
            </w:r>
            <w:proofErr w:type="spellStart"/>
            <w:r>
              <w:t>final</w:t>
            </w:r>
            <w:proofErr w:type="spellEnd"/>
          </w:p>
          <w:p w:rsidRPr="009B70E7" w:rsidR="0004205F" w:rsidP="0004205F" w:rsidRDefault="00765C4F" w14:paraId="3BDBC5BC" w14:textId="77777777">
            <w:pPr>
              <w:pStyle w:val="ListParagraph"/>
              <w:ind w:left="-108"/>
            </w:pPr>
            <w:r>
              <w:t>EESC-2022-01786-00-00-AC</w:t>
            </w:r>
          </w:p>
        </w:tc>
      </w:tr>
    </w:tbl>
    <w:p w:rsidRPr="00A30B84" w:rsidR="00DC17CF" w:rsidP="00DC17CF" w:rsidRDefault="00DC17CF" w14:paraId="4C20BCC6" w14:textId="77777777">
      <w:pPr>
        <w:contextualSpacing/>
      </w:pPr>
    </w:p>
    <w:p w:rsidRPr="00A30B84" w:rsidR="00DC17CF" w:rsidP="00DC17CF" w:rsidRDefault="00DC17CF" w14:paraId="1EF6CC14" w14:textId="77777777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A30B84" w:rsidR="00DC17CF" w:rsidP="00DC17CF" w:rsidRDefault="00DC17CF" w14:paraId="7CFFCE10" w14:textId="77777777">
      <w:pPr>
        <w:contextualSpacing/>
      </w:pPr>
    </w:p>
    <w:p w:rsidRPr="00A30B84" w:rsidR="00DC17CF" w:rsidP="00326919" w:rsidRDefault="00DC17CF" w14:paraId="7C9141DB" w14:textId="77777777">
      <w:pPr>
        <w:pStyle w:val="ListParagraph"/>
        <w:spacing w:line="240" w:lineRule="auto"/>
        <w:ind w:left="0"/>
      </w:pPr>
      <w:r>
        <w:t>Az EGSZB:</w:t>
      </w:r>
    </w:p>
    <w:p w:rsidRPr="00A30B84" w:rsidR="00DC17CF" w:rsidP="00DC17CF" w:rsidRDefault="00DC17CF" w14:paraId="6B986D1C" w14:textId="77777777">
      <w:pPr>
        <w:contextualSpacing/>
        <w:rPr>
          <w:lang w:val="fr-FR"/>
        </w:rPr>
      </w:pPr>
    </w:p>
    <w:p w:rsidRPr="00A30B84" w:rsidR="00502B04" w:rsidP="00502B04" w:rsidRDefault="00F71666" w14:paraId="519EC36E" w14:textId="21CC0365">
      <w:pPr>
        <w:numPr>
          <w:ilvl w:val="0"/>
          <w:numId w:val="3"/>
        </w:numPr>
        <w:ind w:left="357" w:hanging="357"/>
        <w:contextualSpacing/>
      </w:pPr>
      <w:r>
        <w:t>úgy véli, hogy az Európai Bizottság által a központi értéktárakról szóló rendelet felülvizsgálata során azonosított öt fő kérdésre javasolt megoldások általában véve elégségesek és hatékonyak,</w:t>
      </w:r>
    </w:p>
    <w:p w:rsidRPr="001445A7" w:rsidR="00DC17CF" w:rsidP="00DC17CF" w:rsidRDefault="00F71666" w14:paraId="1B2322B6" w14:textId="1DBA4E52">
      <w:pPr>
        <w:numPr>
          <w:ilvl w:val="0"/>
          <w:numId w:val="3"/>
        </w:numPr>
        <w:ind w:left="357" w:hanging="357"/>
        <w:contextualSpacing/>
      </w:pPr>
      <w:r>
        <w:t>üdvözli az Európai Bizottság kezdeményezéseit a meglévő passzportálási követelmények értesítéssel történő felváltására, valamint a felügyeleti kollégiumokra vonatkozó javaslatot,</w:t>
      </w:r>
    </w:p>
    <w:p w:rsidR="00DC17CF" w:rsidP="00DC17CF" w:rsidRDefault="00F71666" w14:paraId="2DF768E0" w14:textId="47D817FB">
      <w:pPr>
        <w:numPr>
          <w:ilvl w:val="0"/>
          <w:numId w:val="3"/>
        </w:numPr>
        <w:ind w:left="357" w:hanging="357"/>
        <w:contextualSpacing/>
      </w:pPr>
      <w:r>
        <w:t>a banki jellegű kiegészítő szolgáltatások nyújtását illetően lehetőségeket lát a monetáris bázison keresztül történő elszámoláson alapuló megoldásokban. A TARGET2-Securities (T2S) értékpapír-elszámolási platform nagyobb mértékű használata csökkentené a kockázatokat,</w:t>
      </w:r>
    </w:p>
    <w:p w:rsidRPr="00F71666" w:rsidR="00A86E2C" w:rsidP="0004205F" w:rsidRDefault="00F71666" w14:paraId="077F1B2A" w14:textId="6B62A243">
      <w:pPr>
        <w:numPr>
          <w:ilvl w:val="0"/>
          <w:numId w:val="3"/>
        </w:numPr>
        <w:ind w:left="357" w:hanging="357"/>
        <w:contextualSpacing/>
      </w:pPr>
      <w:r>
        <w:t>azt ajánlja, hogy az Európai Bizottság meglévő javaslatát egészítsék ki a T2S európai értékpapír-elszámolási infrastruktúrában betöltött központi szerepét elismerő rendelkezésekkel,</w:t>
      </w:r>
    </w:p>
    <w:p w:rsidRPr="00F71666" w:rsidR="00F71666" w:rsidP="0004205F" w:rsidRDefault="00F71666" w14:paraId="41F7CB84" w14:textId="2FB4B7ED">
      <w:pPr>
        <w:numPr>
          <w:ilvl w:val="0"/>
          <w:numId w:val="3"/>
        </w:numPr>
        <w:ind w:left="357" w:hanging="357"/>
        <w:contextualSpacing/>
      </w:pPr>
      <w:proofErr w:type="spellStart"/>
      <w:r>
        <w:t>megjegyzi</w:t>
      </w:r>
      <w:proofErr w:type="spellEnd"/>
      <w:r>
        <w:t>, hogy a kötelező kényszerbeszerzések előírására vonatkozó „kétlépcsős” megközelítést mindaddig nem szabad fontolóra venni, amíg nem vizsgálják meg a meghiúsult kiegyenlítések okait, és nem tisztázzák az egyéb intézkedések hatékonyságát,</w:t>
      </w:r>
    </w:p>
    <w:p w:rsidRPr="00F71666" w:rsidR="00F71666" w:rsidP="0004205F" w:rsidRDefault="00F71666" w14:paraId="4300CB13" w14:textId="3735AC49">
      <w:pPr>
        <w:numPr>
          <w:ilvl w:val="0"/>
          <w:numId w:val="3"/>
        </w:numPr>
        <w:ind w:left="357" w:hanging="357"/>
        <w:contextualSpacing/>
      </w:pPr>
      <w:r>
        <w:t>intézkedéseket ajánl az értékpapír-kiegyenlítési „irányítási láncok” lerövidítésére, és javasolja az „előzetes megfeleltetés” módszer széles körű alkalmazásának megvizsgálását a meghiúsult kiegyenlítések csökkentése érdekében,</w:t>
      </w:r>
    </w:p>
    <w:p w:rsidRPr="00F71666" w:rsidR="00F71666" w:rsidP="0004205F" w:rsidRDefault="00F71666" w14:paraId="211F343A" w14:textId="458017F2">
      <w:pPr>
        <w:numPr>
          <w:ilvl w:val="0"/>
          <w:numId w:val="3"/>
        </w:numPr>
        <w:ind w:left="357" w:hanging="357"/>
        <w:contextualSpacing/>
      </w:pPr>
      <w:r>
        <w:t>figyelmeztet arra, hogy a megosztott könyvelési technológián (DLT) alapuló kísérleti rendszer létrehozása nem teremthet precedenst a piaci magatartás és a befektetővédelem meglévő normáinak csökkentésére. A partnerkockázat csökkentése érdekében a központi értéktáraknak kulcsszerepet kell játszaniuk a megosztott könyvelési technológiai hálózatok kezelésében,</w:t>
      </w:r>
    </w:p>
    <w:p w:rsidRPr="00B44BB9" w:rsidR="00F71666" w:rsidP="0004205F" w:rsidRDefault="00F71666" w14:paraId="5E238A5C" w14:textId="128D34F4">
      <w:pPr>
        <w:numPr>
          <w:ilvl w:val="0"/>
          <w:numId w:val="3"/>
        </w:numPr>
        <w:ind w:left="357" w:hanging="357"/>
        <w:contextualSpacing/>
      </w:pPr>
      <w:r>
        <w:t>javasolja, hogy a központi értéktárak, a kibocsátók és a résztvevők hozzanak létre egy mechanizmust az európai szankciók végrehajtása szempontjából releváns adatok cseréjére és megosztására.</w:t>
      </w:r>
    </w:p>
    <w:p w:rsidRPr="00A30B84" w:rsidR="00DC17CF" w:rsidP="00DC17CF" w:rsidRDefault="00DC17CF" w14:paraId="3241E02B" w14:textId="77777777"/>
    <w:tbl>
      <w:tblPr>
        <w:tblStyle w:val="TableGrid8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A30B84" w:rsidR="00DC17CF" w:rsidTr="00DC17CF" w14:paraId="477A3227" w14:textId="77777777">
        <w:tc>
          <w:tcPr>
            <w:tcW w:w="1418" w:type="dxa"/>
          </w:tcPr>
          <w:p w:rsidRPr="00A30B84" w:rsidR="00DC17CF" w:rsidP="00DC17CF" w:rsidRDefault="00DC17CF" w14:paraId="24419728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A30B84" w:rsidR="00DC17CF" w:rsidP="00DC17CF" w:rsidRDefault="0004205F" w14:paraId="0350A297" w14:textId="77777777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Sergio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Lorencio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Matallana</w:t>
            </w:r>
            <w:proofErr w:type="spellEnd"/>
          </w:p>
        </w:tc>
      </w:tr>
      <w:tr w:rsidRPr="00A30B84" w:rsidR="00DC17CF" w:rsidTr="00DC17CF" w14:paraId="0777FDE7" w14:textId="77777777">
        <w:tc>
          <w:tcPr>
            <w:tcW w:w="1418" w:type="dxa"/>
          </w:tcPr>
          <w:p w:rsidRPr="00A30B84" w:rsidR="00DC17CF" w:rsidP="00DC17CF" w:rsidRDefault="00DC17CF" w14:paraId="35E2DDF5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A30B84" w:rsidR="00DC17CF" w:rsidP="00DC17CF" w:rsidRDefault="00A86E2C" w14:paraId="5B69DE0A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00 32 2 546 92 40</w:t>
            </w:r>
          </w:p>
        </w:tc>
      </w:tr>
      <w:tr w:rsidRPr="00A30B84" w:rsidR="0004205F" w:rsidTr="008B66DD" w14:paraId="32942CB5" w14:textId="77777777">
        <w:tc>
          <w:tcPr>
            <w:tcW w:w="1418" w:type="dxa"/>
          </w:tcPr>
          <w:p w:rsidRPr="00A30B84" w:rsidR="0004205F" w:rsidP="008A7E03" w:rsidRDefault="0004205F" w14:paraId="21543959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A30B84" w:rsidR="0004205F" w:rsidP="0004205F" w:rsidRDefault="00544E97" w14:paraId="3728C82D" w14:textId="77777777">
            <w:pPr>
              <w:spacing w:after="160" w:line="259" w:lineRule="auto"/>
              <w:jc w:val="left"/>
            </w:pPr>
            <w:hyperlink w:history="1" r:id="rId23">
              <w:r w:rsidR="00FA343E">
                <w:rPr>
                  <w:rStyle w:val="Hyperlink"/>
                  <w:i/>
                </w:rPr>
                <w:t>Sergio.LorencioMatallana@eesc.europa.eu</w:t>
              </w:r>
            </w:hyperlink>
            <w:r w:rsidR="00FA343E">
              <w:rPr>
                <w:i/>
              </w:rPr>
              <w:t xml:space="preserve"> </w:t>
            </w:r>
          </w:p>
        </w:tc>
      </w:tr>
    </w:tbl>
    <w:p w:rsidR="00B44BB9" w:rsidRDefault="00B44BB9" w14:paraId="7983E4BB" w14:textId="77777777">
      <w:pPr>
        <w:spacing w:after="160" w:line="259" w:lineRule="auto"/>
        <w:jc w:val="left"/>
      </w:pPr>
    </w:p>
    <w:p w:rsidR="00B44BB9" w:rsidRDefault="00B44BB9" w14:paraId="53EAD6FD" w14:textId="77777777">
      <w:pPr>
        <w:spacing w:after="160" w:line="259" w:lineRule="auto"/>
        <w:jc w:val="left"/>
      </w:pPr>
      <w:r>
        <w:br w:type="page"/>
      </w:r>
    </w:p>
    <w:p w:rsidRPr="009B70E7" w:rsidR="004D7AC0" w:rsidRDefault="004D7AC0" w14:paraId="73D829D0" w14:textId="77777777">
      <w:pPr>
        <w:pStyle w:val="Heading1"/>
        <w:rPr>
          <w:b/>
        </w:rPr>
      </w:pPr>
      <w:bookmarkStart w:name="_Toc75527081" w:id="3"/>
      <w:bookmarkStart w:name="_Toc109810931" w:id="4"/>
      <w:r>
        <w:rPr>
          <w:b/>
        </w:rPr>
        <w:lastRenderedPageBreak/>
        <w:t xml:space="preserve">FOGLALKOZTATÁS-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SZOCIÁLPOLITIKA, UNIÓS POLGÁRSÁG</w:t>
      </w:r>
      <w:bookmarkEnd w:id="3"/>
      <w:bookmarkEnd w:id="4"/>
    </w:p>
    <w:p w:rsidRPr="00DA2D88" w:rsidR="00775FDA" w:rsidP="0018231C" w:rsidRDefault="00775FDA" w14:paraId="46C917A8" w14:textId="77777777">
      <w:pPr>
        <w:spacing w:line="259" w:lineRule="auto"/>
        <w:jc w:val="left"/>
        <w:rPr>
          <w:b/>
        </w:rPr>
      </w:pPr>
    </w:p>
    <w:p w:rsidRPr="00DA2D88" w:rsidR="00DA608B" w:rsidRDefault="00DA2D88" w14:paraId="2B9D750E" w14:textId="7E36CE8F">
      <w:pPr>
        <w:pStyle w:val="ListParagraph"/>
        <w:numPr>
          <w:ilvl w:val="0"/>
          <w:numId w:val="2"/>
        </w:numPr>
        <w:ind w:left="567" w:hanging="567"/>
        <w:rPr>
          <w:i/>
          <w:sz w:val="28"/>
          <w:szCs w:val="28"/>
        </w:rPr>
      </w:pPr>
      <w:r>
        <w:rPr>
          <w:b/>
          <w:i/>
          <w:sz w:val="28"/>
        </w:rPr>
        <w:t xml:space="preserve">Covid19 – Az uniós felkészültség és reagálás fenntartása: </w:t>
      </w:r>
      <w:proofErr w:type="spellStart"/>
      <w:r>
        <w:rPr>
          <w:b/>
          <w:i/>
          <w:sz w:val="28"/>
        </w:rPr>
        <w:t>előretekintés</w:t>
      </w:r>
      <w:proofErr w:type="spellEnd"/>
    </w:p>
    <w:p w:rsidRPr="009B70E7" w:rsidR="00DA608B" w:rsidP="0018231C" w:rsidRDefault="00DA608B" w14:paraId="52A05893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2235"/>
        <w:gridCol w:w="5232"/>
      </w:tblGrid>
      <w:tr w:rsidRPr="009B70E7" w:rsidR="00DA608B" w:rsidTr="00910972" w14:paraId="5CC43C80" w14:textId="77777777">
        <w:trPr>
          <w:trHeight w:val="309"/>
        </w:trPr>
        <w:tc>
          <w:tcPr>
            <w:tcW w:w="2235" w:type="dxa"/>
          </w:tcPr>
          <w:p w:rsidR="00DA608B" w:rsidP="00150AD8" w:rsidRDefault="00DA608B" w14:paraId="27FDCFCA" w14:textId="43B2C3C3">
            <w:pPr>
              <w:pStyle w:val="ListParagraph"/>
              <w:ind w:left="0" w:right="-978" w:hanging="108"/>
              <w:rPr>
                <w:b/>
              </w:rPr>
            </w:pPr>
            <w:r>
              <w:rPr>
                <w:b/>
              </w:rPr>
              <w:t>Főelőadó:</w:t>
            </w:r>
          </w:p>
          <w:p w:rsidRPr="009B70E7" w:rsidR="000C43E2" w:rsidP="00150AD8" w:rsidRDefault="000C43E2" w14:paraId="6C72EBF9" w14:textId="676EFD71">
            <w:pPr>
              <w:pStyle w:val="ListParagraph"/>
              <w:ind w:left="0" w:right="-978" w:hanging="108"/>
              <w:rPr>
                <w:b/>
              </w:rPr>
            </w:pPr>
          </w:p>
        </w:tc>
        <w:tc>
          <w:tcPr>
            <w:tcW w:w="5232" w:type="dxa"/>
          </w:tcPr>
          <w:p w:rsidRPr="009B70E7" w:rsidR="00DA608B" w:rsidRDefault="00DA2D88" w14:paraId="0FD390DE" w14:textId="77777777">
            <w:pPr>
              <w:pStyle w:val="ListParagraph"/>
              <w:ind w:left="-105"/>
            </w:pPr>
            <w:r>
              <w:t>FELSZEGHI Sára (Munkavállalók/</w:t>
            </w:r>
            <w:proofErr w:type="gramStart"/>
            <w:r>
              <w:t>HU</w:t>
            </w:r>
            <w:proofErr w:type="gramEnd"/>
            <w:r>
              <w:t>)</w:t>
            </w:r>
          </w:p>
          <w:p w:rsidRPr="009B70E7" w:rsidR="00DA608B" w:rsidRDefault="00DA608B" w14:paraId="42694D38" w14:textId="77777777">
            <w:pPr>
              <w:pStyle w:val="ListParagraph"/>
              <w:ind w:left="0"/>
            </w:pPr>
          </w:p>
        </w:tc>
      </w:tr>
      <w:tr w:rsidRPr="009B70E7" w:rsidR="00DA608B" w:rsidTr="00910972" w14:paraId="0AB50045" w14:textId="77777777">
        <w:trPr>
          <w:trHeight w:val="636"/>
        </w:trPr>
        <w:tc>
          <w:tcPr>
            <w:tcW w:w="2235" w:type="dxa"/>
          </w:tcPr>
          <w:p w:rsidRPr="00765C4F" w:rsidR="00DA608B" w:rsidP="00150AD8" w:rsidRDefault="00DA608B" w14:paraId="6F51EE90" w14:textId="77777777">
            <w:pPr>
              <w:pStyle w:val="ListParagraph"/>
              <w:ind w:left="0" w:hanging="108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232" w:type="dxa"/>
          </w:tcPr>
          <w:p w:rsidRPr="00765C4F" w:rsidR="00DA608B" w:rsidRDefault="00765C4F" w14:paraId="3539F204" w14:textId="77777777">
            <w:pPr>
              <w:pStyle w:val="ListParagraph"/>
              <w:ind w:left="-108"/>
            </w:pPr>
            <w:proofErr w:type="gramStart"/>
            <w:r>
              <w:t>COM(</w:t>
            </w:r>
            <w:proofErr w:type="gramEnd"/>
            <w:r>
              <w:t xml:space="preserve">2022) 190 </w:t>
            </w:r>
            <w:proofErr w:type="spellStart"/>
            <w:r>
              <w:t>final</w:t>
            </w:r>
            <w:proofErr w:type="spellEnd"/>
          </w:p>
          <w:p w:rsidRPr="00765C4F" w:rsidR="00DA608B" w:rsidRDefault="00DA2D88" w14:paraId="0B0645EB" w14:textId="77777777">
            <w:pPr>
              <w:pStyle w:val="ListParagraph"/>
              <w:ind w:left="-108"/>
            </w:pPr>
            <w:r>
              <w:t>EESC-2022-02844-00-00-AC</w:t>
            </w:r>
          </w:p>
        </w:tc>
      </w:tr>
    </w:tbl>
    <w:p w:rsidRPr="009B70E7" w:rsidR="00DA608B" w:rsidRDefault="00DA608B" w14:paraId="5CD81DDF" w14:textId="77777777">
      <w:pPr>
        <w:pStyle w:val="ListParagraph"/>
        <w:ind w:left="0"/>
        <w:rPr>
          <w:b/>
        </w:rPr>
      </w:pPr>
    </w:p>
    <w:p w:rsidR="00C76C46" w:rsidP="002C4B6E" w:rsidRDefault="00DA608B" w14:paraId="69FEE6CD" w14:textId="2D579889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C76C46" w:rsidP="00C76C46" w:rsidRDefault="00C76C46" w14:paraId="72E92ACD" w14:textId="77777777">
      <w:pPr>
        <w:pStyle w:val="ListParagraph"/>
        <w:ind w:left="0"/>
        <w:rPr>
          <w:b/>
        </w:rPr>
      </w:pPr>
    </w:p>
    <w:p w:rsidR="00813A00" w:rsidP="00150AD8" w:rsidRDefault="001B6460" w14:paraId="761BDCA0" w14:textId="77777777">
      <w:pPr>
        <w:pStyle w:val="ListParagraph"/>
        <w:spacing w:line="240" w:lineRule="auto"/>
        <w:ind w:left="0"/>
      </w:pPr>
      <w:r>
        <w:t>Az EGSZB:</w:t>
      </w:r>
    </w:p>
    <w:p w:rsidR="00276CC9" w:rsidP="00C76C46" w:rsidRDefault="00276CC9" w14:paraId="25EBE488" w14:textId="77777777">
      <w:pPr>
        <w:pStyle w:val="ListParagraph"/>
        <w:ind w:left="0"/>
      </w:pPr>
    </w:p>
    <w:p w:rsidR="00813A00" w:rsidP="0018231C" w:rsidRDefault="00DA2D88" w14:paraId="65AAF95D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úgy véli, hogy az EU-nak ki kell alakítania egy azonnali reagálási képességet, hogy gyorsan tudjon reagálni az egészségügyi szükséghelyzetekre. Ez a stratégia magába foglalná a prevenció (oltás, járványügyi intézkedések a megelőzésre, oktatás, kommunikáció stb.), a gyógyítás (gyógyszerek, betegellátás, orvosi rehabilitáció, gondozás stb.), a rehabilitáció (munkahelyi, iskolai) és a tartós ápolás-gondozás (kiemelve a hosszú </w:t>
      </w:r>
      <w:proofErr w:type="spellStart"/>
      <w:r>
        <w:t>Covidban</w:t>
      </w:r>
      <w:proofErr w:type="spellEnd"/>
      <w:r>
        <w:t xml:space="preserve"> szenvedőket) minden elemét,</w:t>
      </w:r>
    </w:p>
    <w:p w:rsidR="00C76C46" w:rsidP="0018231C" w:rsidRDefault="00DA2D88" w14:paraId="6B2D5B52" w14:textId="77777777">
      <w:pPr>
        <w:pStyle w:val="ListParagraph"/>
        <w:numPr>
          <w:ilvl w:val="0"/>
          <w:numId w:val="3"/>
        </w:numPr>
        <w:ind w:left="357" w:hanging="357"/>
      </w:pPr>
      <w:r>
        <w:t>úgy véli, hogy a védőoltás a prevenció egyik alappillére, és hogy az EU oltási stratégiáját naprakésszé kell tenni és hozzá kell igazítani az aktuális fejleményekhez,</w:t>
      </w:r>
    </w:p>
    <w:p w:rsidR="00C76C46" w:rsidP="0018231C" w:rsidRDefault="00DA2D88" w14:paraId="46154044" w14:textId="77777777">
      <w:pPr>
        <w:pStyle w:val="ListParagraph"/>
        <w:numPr>
          <w:ilvl w:val="0"/>
          <w:numId w:val="3"/>
        </w:numPr>
        <w:ind w:left="357" w:hanging="357"/>
      </w:pPr>
      <w:r>
        <w:t>alapvető fontosságúnak tartja annak biztosítását, hogy a Covid19-tesztek járványügyi szempontból megbízhatóak és reprezentatívak legyenek, és hasznos referenciapontokat biztosítsanak a gyors reagáláshoz. Az antigén gyorsteszteknek meg kell felelniük az e célra létrehozott uniós jegyzékben feltüntetett teljesítménykritériumoknak,</w:t>
      </w:r>
    </w:p>
    <w:p w:rsidR="00C76C46" w:rsidP="0018231C" w:rsidRDefault="00DA2D88" w14:paraId="384F44B3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kiemeli a </w:t>
      </w:r>
      <w:proofErr w:type="gramStart"/>
      <w:r>
        <w:t>szellőztetés</w:t>
      </w:r>
      <w:proofErr w:type="gramEnd"/>
      <w:r>
        <w:t xml:space="preserve"> mint a megelőzés eszköze jelentőségét, és javasolja a maszkviselés folytatását a zsúfolt, rosszul szellőztethető helyiségekben és a tömegközlekedésben, valamint a közösségi kontaktusok korlátozását és a kézfertőtlenítő szerek használatát,</w:t>
      </w:r>
    </w:p>
    <w:p w:rsidR="00C76C46" w:rsidP="0018231C" w:rsidRDefault="00DA2D88" w14:paraId="540B5241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úgy véli, hogy a járványügyi felügyeletet a közösségen belüli fertőzések intenzitására, a súlyos betegségek hatására és az oltóanyagok hatékonyságára vonatkozó megbízható becslésekre kell összpontosítani. A tagállamoknak stratégiákat kell kidolgozniuk az akut légzőszervi fertőzésekre vonatkozó elsődleges és másodlagos ellátáson alapuló </w:t>
      </w:r>
      <w:proofErr w:type="spellStart"/>
      <w:r>
        <w:t>sentinel</w:t>
      </w:r>
      <w:proofErr w:type="spellEnd"/>
      <w:r>
        <w:t xml:space="preserve"> </w:t>
      </w:r>
      <w:proofErr w:type="spellStart"/>
      <w:r>
        <w:t>surveillance</w:t>
      </w:r>
      <w:proofErr w:type="spellEnd"/>
      <w:r>
        <w:t xml:space="preserve"> rendszerek visszaállítására, kiegészítve más </w:t>
      </w:r>
      <w:proofErr w:type="spellStart"/>
      <w:r>
        <w:t>nyomonkövetési</w:t>
      </w:r>
      <w:proofErr w:type="spellEnd"/>
      <w:r>
        <w:t xml:space="preserve"> rendszerek, például szennyvízmegfigyelési rendszer megerősítésével. Az EU-nak és a tagállamoknak közösen kell kialakítaniuk egy egységes jelentéstételi rendszert,</w:t>
      </w:r>
    </w:p>
    <w:p w:rsidR="001B6460" w:rsidP="0018231C" w:rsidRDefault="00DA2D88" w14:paraId="515F6F8A" w14:textId="77777777">
      <w:pPr>
        <w:pStyle w:val="ListParagraph"/>
        <w:numPr>
          <w:ilvl w:val="0"/>
          <w:numId w:val="3"/>
        </w:numPr>
        <w:ind w:left="357" w:hanging="357"/>
      </w:pPr>
      <w:r>
        <w:t>javasolja, hogy szervezzenek figyelemfelkeltő tevékenységeket annak érdekében, hogy a polgárok jobban megértsék az elfogadott intézkedéseket és azok jelentőségét. Az EU és a WHO anyagokat biztosíthatna ezekhez a tevékenységekhez,</w:t>
      </w:r>
    </w:p>
    <w:p w:rsidRPr="00DA2D88" w:rsidR="00DA2D88" w:rsidP="00DA2D88" w:rsidRDefault="00DA2D88" w14:paraId="19EC7866" w14:textId="700DB502">
      <w:pPr>
        <w:pStyle w:val="ListParagraph"/>
        <w:numPr>
          <w:ilvl w:val="0"/>
          <w:numId w:val="3"/>
        </w:numPr>
        <w:ind w:left="357" w:hanging="357"/>
      </w:pPr>
      <w:r>
        <w:t xml:space="preserve">javasolja, hogy a tagállamok hozzanak létre egy </w:t>
      </w:r>
      <w:proofErr w:type="spellStart"/>
      <w:r>
        <w:t>nyomonkövetési</w:t>
      </w:r>
      <w:proofErr w:type="spellEnd"/>
      <w:r>
        <w:t xml:space="preserve"> és értékelési rendszert az álhírek kiszűrése és a szakmailag minősített információk feltüntetése érdekében, amelynek a polgárok anyanyelvén kell rendelkezésre állnia,</w:t>
      </w:r>
    </w:p>
    <w:p w:rsidRPr="009B70E7" w:rsidR="00DA2D88" w:rsidP="0018231C" w:rsidRDefault="00DA2D88" w14:paraId="1FD3A8FD" w14:textId="77777777">
      <w:pPr>
        <w:pStyle w:val="ListParagraph"/>
        <w:numPr>
          <w:ilvl w:val="0"/>
          <w:numId w:val="3"/>
        </w:numPr>
        <w:ind w:left="357" w:hanging="357"/>
      </w:pPr>
      <w:r>
        <w:t>javasolja, hogy készüljön egy olyan szakmai protokoll, mely magába foglalja a gyógyítás minden feladatát, és melynek állandóan frissített változata online formában is elérhető az EU valamennyi hivatalos nyelvén. A rehabilitációnak kiemelt szerepet kell kapnia a protokollban, és azt az illetékes egészségügyi szolgálatoknak kell kínálniuk, akár az iskolában, akár a munkahelyen.</w:t>
      </w:r>
    </w:p>
    <w:p w:rsidR="00DA608B" w:rsidRDefault="00DA608B" w14:paraId="1606B3C6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AA5C61" w:rsidTr="00670347" w14:paraId="6358F577" w14:textId="77777777">
        <w:tc>
          <w:tcPr>
            <w:tcW w:w="1418" w:type="dxa"/>
          </w:tcPr>
          <w:p w:rsidRPr="009B70E7" w:rsidR="00AA5C61" w:rsidP="00B34E93" w:rsidRDefault="00AA5C61" w14:paraId="1A2B7FCF" w14:textId="77777777">
            <w:pPr>
              <w:pStyle w:val="ListParagraph"/>
              <w:keepNext/>
              <w:keepLines/>
              <w:ind w:left="0"/>
              <w:rPr>
                <w:i/>
              </w:rPr>
            </w:pPr>
            <w:r>
              <w:rPr>
                <w:b/>
                <w:i/>
              </w:rPr>
              <w:lastRenderedPageBreak/>
              <w:t>Kapcsolat:</w:t>
            </w:r>
          </w:p>
        </w:tc>
        <w:tc>
          <w:tcPr>
            <w:tcW w:w="5670" w:type="dxa"/>
          </w:tcPr>
          <w:p w:rsidRPr="009B70E7" w:rsidR="00AA5C61" w:rsidP="00B34E93" w:rsidRDefault="00DA2D88" w14:paraId="11D2E99D" w14:textId="77777777">
            <w:pPr>
              <w:pStyle w:val="ListParagraph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 xml:space="preserve">Valeria </w:t>
            </w:r>
            <w:proofErr w:type="spellStart"/>
            <w:r>
              <w:rPr>
                <w:i/>
              </w:rPr>
              <w:t>Atzori</w:t>
            </w:r>
            <w:proofErr w:type="spellEnd"/>
          </w:p>
        </w:tc>
      </w:tr>
      <w:tr w:rsidRPr="009B70E7" w:rsidR="00AA5C61" w:rsidTr="00670347" w14:paraId="58D8BC91" w14:textId="77777777">
        <w:tc>
          <w:tcPr>
            <w:tcW w:w="1418" w:type="dxa"/>
          </w:tcPr>
          <w:p w:rsidRPr="009B70E7" w:rsidR="00AA5C61" w:rsidP="00B34E93" w:rsidRDefault="00AA5C61" w14:paraId="66CDB05E" w14:textId="77777777">
            <w:pPr>
              <w:pStyle w:val="ListParagraph"/>
              <w:keepNext/>
              <w:keepLines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AA5C61" w:rsidP="00B34E93" w:rsidRDefault="00DA2D88" w14:paraId="7BF3F3B1" w14:textId="77777777">
            <w:pPr>
              <w:pStyle w:val="ListParagraph"/>
              <w:keepNext/>
              <w:keepLines/>
              <w:ind w:left="0"/>
              <w:rPr>
                <w:i/>
              </w:rPr>
            </w:pPr>
            <w:r>
              <w:rPr>
                <w:i/>
              </w:rPr>
              <w:t>00 32 2 546 87 74</w:t>
            </w:r>
          </w:p>
        </w:tc>
      </w:tr>
      <w:tr w:rsidRPr="009B70E7" w:rsidR="00AA5C61" w:rsidTr="00670347" w14:paraId="6530A32F" w14:textId="77777777">
        <w:tc>
          <w:tcPr>
            <w:tcW w:w="1418" w:type="dxa"/>
          </w:tcPr>
          <w:p w:rsidRPr="009B70E7" w:rsidR="00AA5C61" w:rsidP="008A7E03" w:rsidRDefault="00AA5C61" w14:paraId="0DC6FCD7" w14:textId="77777777">
            <w:pPr>
              <w:pStyle w:val="ListParagraph"/>
              <w:ind w:left="284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AA5C61" w:rsidP="00670347" w:rsidRDefault="00544E97" w14:paraId="25DE88BE" w14:textId="77777777">
            <w:pPr>
              <w:pStyle w:val="ListParagraph"/>
              <w:ind w:left="0"/>
              <w:rPr>
                <w:i/>
              </w:rPr>
            </w:pPr>
            <w:hyperlink w:history="1" r:id="rId24">
              <w:r w:rsidR="00FA343E">
                <w:rPr>
                  <w:rStyle w:val="Hyperlink"/>
                  <w:i/>
                </w:rPr>
                <w:t>Valeria.Atzori@eesc.europa.eu</w:t>
              </w:r>
            </w:hyperlink>
          </w:p>
        </w:tc>
      </w:tr>
    </w:tbl>
    <w:p w:rsidR="00910972" w:rsidP="0018231C" w:rsidRDefault="00910972" w14:paraId="15F12AD4" w14:textId="483B1106">
      <w:pPr>
        <w:jc w:val="left"/>
        <w:rPr>
          <w:sz w:val="28"/>
        </w:rPr>
      </w:pPr>
    </w:p>
    <w:p w:rsidR="00910972" w:rsidRDefault="00910972" w14:paraId="1D08F02B" w14:textId="77777777">
      <w:pPr>
        <w:spacing w:after="160" w:line="259" w:lineRule="auto"/>
        <w:jc w:val="left"/>
        <w:rPr>
          <w:sz w:val="28"/>
        </w:rPr>
      </w:pPr>
      <w:r>
        <w:br w:type="page"/>
      </w:r>
    </w:p>
    <w:p w:rsidRPr="009B70E7" w:rsidR="00775FDA" w:rsidP="0018231C" w:rsidRDefault="00B44BB9" w14:paraId="6004B7F1" w14:textId="77777777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 nőkkel szembeni erőszak elleni küzdelem</w:t>
      </w:r>
    </w:p>
    <w:p w:rsidRPr="009B70E7" w:rsidR="00775FDA" w:rsidP="0018231C" w:rsidRDefault="00775FDA" w14:paraId="301189D8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701"/>
        <w:gridCol w:w="6096"/>
        <w:gridCol w:w="425"/>
      </w:tblGrid>
      <w:tr w:rsidRPr="009B70E7" w:rsidR="00B44BB9" w:rsidTr="00174763" w14:paraId="5CC040D5" w14:textId="77777777">
        <w:trPr>
          <w:gridAfter w:val="1"/>
          <w:wAfter w:w="425" w:type="dxa"/>
          <w:cantSplit/>
          <w:trHeight w:val="284" w:hRule="exact"/>
        </w:trPr>
        <w:tc>
          <w:tcPr>
            <w:tcW w:w="1701" w:type="dxa"/>
          </w:tcPr>
          <w:p w:rsidR="00B44BB9" w:rsidP="00B44BB9" w:rsidRDefault="00B44BB9" w14:paraId="2BE1EF86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  <w:p w:rsidRPr="009B70E7" w:rsidR="00B44BB9" w:rsidP="00B44BB9" w:rsidRDefault="00B44BB9" w14:paraId="15AEA92C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6096" w:type="dxa"/>
          </w:tcPr>
          <w:p w:rsidRPr="009B70E7" w:rsidR="00B44BB9" w:rsidP="00D35512" w:rsidRDefault="00B44BB9" w14:paraId="689CA704" w14:textId="77777777">
            <w:pPr>
              <w:pStyle w:val="ListParagraph"/>
              <w:keepNext/>
              <w:ind w:left="0" w:firstLine="90"/>
            </w:pPr>
            <w:r>
              <w:t>José Antonio MORENO DÍAZ (Munkavállalók/ES)</w:t>
            </w:r>
          </w:p>
        </w:tc>
      </w:tr>
      <w:tr w:rsidRPr="009B70E7" w:rsidR="00B44BB9" w:rsidTr="00174763" w14:paraId="0BE10C0A" w14:textId="77777777">
        <w:trPr>
          <w:gridAfter w:val="1"/>
          <w:wAfter w:w="425" w:type="dxa"/>
          <w:cantSplit/>
          <w:trHeight w:val="567" w:hRule="exact"/>
        </w:trPr>
        <w:tc>
          <w:tcPr>
            <w:tcW w:w="1701" w:type="dxa"/>
          </w:tcPr>
          <w:p w:rsidR="00B44BB9" w:rsidP="00B44BB9" w:rsidRDefault="00B44BB9" w14:paraId="5684194C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Társelőadó:</w:t>
            </w:r>
          </w:p>
          <w:p w:rsidRPr="009B70E7" w:rsidR="00B44BB9" w:rsidP="00B44BB9" w:rsidRDefault="00B44BB9" w14:paraId="24CB645C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6096" w:type="dxa"/>
          </w:tcPr>
          <w:p w:rsidRPr="009B70E7" w:rsidR="00B44BB9" w:rsidP="00910972" w:rsidRDefault="00B44BB9" w14:paraId="29D5D88B" w14:textId="799BB3FB">
            <w:pPr>
              <w:pStyle w:val="ListParagraph"/>
              <w:keepNext/>
              <w:ind w:left="145"/>
            </w:pPr>
            <w:proofErr w:type="spellStart"/>
            <w:r>
              <w:t>Ody</w:t>
            </w:r>
            <w:proofErr w:type="spellEnd"/>
            <w:r>
              <w:t xml:space="preserve"> NEISINGH (Civil társadalmi szervezetek/NL)</w:t>
            </w:r>
          </w:p>
        </w:tc>
      </w:tr>
      <w:tr w:rsidRPr="00627B8F" w:rsidR="00B44BB9" w:rsidTr="00B83E7B" w14:paraId="58C9EA77" w14:textId="77777777">
        <w:tc>
          <w:tcPr>
            <w:tcW w:w="1701" w:type="dxa"/>
          </w:tcPr>
          <w:p w:rsidRPr="009B70E7" w:rsidR="00B44BB9" w:rsidP="00B44BB9" w:rsidRDefault="00B44BB9" w14:paraId="5397904E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521" w:type="dxa"/>
            <w:gridSpan w:val="2"/>
          </w:tcPr>
          <w:p w:rsidRPr="00627B8F" w:rsidR="00B44BB9" w:rsidP="00D35512" w:rsidRDefault="00E65D01" w14:paraId="7887F4C5" w14:textId="77777777">
            <w:pPr>
              <w:pStyle w:val="ListParagraph"/>
              <w:ind w:left="-52" w:firstLine="142"/>
              <w:rPr>
                <w:bCs/>
              </w:rPr>
            </w:pPr>
            <w:proofErr w:type="gramStart"/>
            <w:r>
              <w:t>COM(</w:t>
            </w:r>
            <w:proofErr w:type="gramEnd"/>
            <w:r>
              <w:t xml:space="preserve">2022) 105 </w:t>
            </w:r>
            <w:proofErr w:type="spellStart"/>
            <w:r>
              <w:t>final</w:t>
            </w:r>
            <w:proofErr w:type="spellEnd"/>
          </w:p>
          <w:p w:rsidRPr="00627B8F" w:rsidR="00B44BB9" w:rsidP="008745F7" w:rsidRDefault="00B44BB9" w14:paraId="12C6341D" w14:textId="77777777">
            <w:pPr>
              <w:pStyle w:val="ListParagraph"/>
              <w:ind w:left="0" w:firstLine="90"/>
            </w:pPr>
            <w:r>
              <w:t>EESC-2022-01395-00-00-AC</w:t>
            </w:r>
          </w:p>
        </w:tc>
      </w:tr>
    </w:tbl>
    <w:p w:rsidR="00631509" w:rsidP="00631509" w:rsidRDefault="00631509" w14:paraId="5534BE55" w14:textId="77777777">
      <w:pPr>
        <w:pStyle w:val="ListParagraph"/>
        <w:spacing w:line="240" w:lineRule="auto"/>
        <w:ind w:left="-142" w:firstLine="284"/>
        <w:rPr>
          <w:b/>
        </w:rPr>
      </w:pPr>
    </w:p>
    <w:p w:rsidRPr="00C76C46" w:rsidR="00775FDA" w:rsidP="00631509" w:rsidRDefault="00C76C46" w14:paraId="63769A52" w14:textId="5936BE53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9B70E7" w:rsidR="005475DA" w:rsidRDefault="005475DA" w14:paraId="580B14A7" w14:textId="77777777">
      <w:pPr>
        <w:pStyle w:val="ListParagraph"/>
        <w:ind w:left="0"/>
      </w:pPr>
    </w:p>
    <w:p w:rsidRPr="009B70E7" w:rsidR="00775FDA" w:rsidP="00326919" w:rsidRDefault="008946BF" w14:paraId="3C2434D8" w14:textId="77777777">
      <w:pPr>
        <w:pStyle w:val="ListParagraph"/>
        <w:spacing w:line="240" w:lineRule="auto"/>
        <w:ind w:left="0"/>
      </w:pPr>
      <w:r>
        <w:t>Az EGSZB:</w:t>
      </w:r>
    </w:p>
    <w:p w:rsidRPr="009B70E7" w:rsidR="00775FDA" w:rsidP="0018231C" w:rsidRDefault="00775FDA" w14:paraId="540C04B4" w14:textId="77777777">
      <w:pPr>
        <w:pStyle w:val="ListParagraph"/>
        <w:ind w:left="0"/>
      </w:pPr>
    </w:p>
    <w:p w:rsidRPr="009B70E7" w:rsidR="00775FDA" w:rsidP="0018231C" w:rsidRDefault="00B44BB9" w14:paraId="6C1D5D1B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üdvözli azt a jogalkotási innovációt, amely szerint a nőkkel szembeni erőszak elleni küzdelemről szóló irányelv egy </w:t>
      </w:r>
      <w:proofErr w:type="spellStart"/>
      <w:r>
        <w:t>interszekcionális</w:t>
      </w:r>
      <w:proofErr w:type="spellEnd"/>
      <w:r>
        <w:t xml:space="preserve"> megközelítés jegyében jön létre. A társadalom részéről széles körű igény mutatkozott egy ilyen irányelvre,</w:t>
      </w:r>
    </w:p>
    <w:p w:rsidRPr="009B70E7" w:rsidR="00775FDA" w:rsidP="0018231C" w:rsidRDefault="00B44BB9" w14:paraId="3D89CE58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úgy véli, hogy az ilyen erőszak elleni küzdelemre irányuló politikák nem lehetnek semleges politikák, hanem azokat </w:t>
      </w:r>
      <w:r>
        <w:rPr>
          <w:b/>
        </w:rPr>
        <w:t>világos és egyértelmű nemi szempontok</w:t>
      </w:r>
      <w:r>
        <w:t xml:space="preserve"> alapján kell kidolgozni, amelyeket úgy kell kialakítani, hogy megkönnyítsék e politikák szükségességének megértését, és elősegítsék hatékonyságukat,</w:t>
      </w:r>
    </w:p>
    <w:p w:rsidR="00B92B86" w:rsidP="0018231C" w:rsidRDefault="00B7530C" w14:paraId="6ABDD16B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úgy véli, hogy </w:t>
      </w:r>
      <w:r>
        <w:rPr>
          <w:b/>
        </w:rPr>
        <w:t>az irányelvnek ki kell terjednie a nők elleni erőszak minden formájára</w:t>
      </w:r>
      <w:r>
        <w:t>, így többek között az intézményi erőszakra, a szexuális és reproduktív kizsákmányolásra, a munkahelyi zaklatásra, a nemi alapú családi erőszakra, a pszichoaktív anyagokkal történő befolyásolásra, az utcai zaklatásra, a nem és/vagy társadalmi nem alapján történő szexuális zaklatásra, a fogyatékossággal élő nők kényszersterilizálására,</w:t>
      </w:r>
    </w:p>
    <w:p w:rsidR="00B61819" w:rsidP="00B61819" w:rsidRDefault="00B7530C" w14:paraId="0F17F2B4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hangsúlyozza, hogy a nők elleni erőszakot az </w:t>
      </w:r>
      <w:r>
        <w:rPr>
          <w:b/>
        </w:rPr>
        <w:t>EUMSZ 83. cikkének (1) bekezdésében említett, uniós bűncselekmények</w:t>
      </w:r>
      <w:r>
        <w:t xml:space="preserve"> közé kellene sorolni,</w:t>
      </w:r>
    </w:p>
    <w:p w:rsidR="00B61819" w:rsidP="0018231C" w:rsidRDefault="00B7530C" w14:paraId="24C6AE65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véleménye szerint a </w:t>
      </w:r>
      <w:r>
        <w:rPr>
          <w:b/>
        </w:rPr>
        <w:t>szociális párbeszédnek és a kollektív tárgyalásoknak</w:t>
      </w:r>
      <w:r>
        <w:t xml:space="preserve"> konkrét intézkedéseket kellene tartalmazniuk arra vonatkozóan, hogy garantálva legyen, hogy a nőkkel szembeni erőszak áldozatainak megmarad a munkája, illetve hogy biztosított legyen azoknak az áldozatoknak a munkaerőpiaci integrációja is, akiknek nincs munkájuk,</w:t>
      </w:r>
    </w:p>
    <w:p w:rsidR="00B61819" w:rsidP="0018231C" w:rsidRDefault="00B7530C" w14:paraId="751D2BB6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hangsúlyozza, hogy mindemellett különös figyelmet kell fordítani a </w:t>
      </w:r>
      <w:r>
        <w:rPr>
          <w:b/>
        </w:rPr>
        <w:t>fogyatékossággal élő nőkre, az etnikai és/vagy kulturális kisebbségekhez tartozó nőkre és lányokra, például a romákra és a migráns nőkre</w:t>
      </w:r>
      <w:r>
        <w:t>, különösen a rendezetlen jogállású nőkre, valamint a háború elől menekülő lányokra és nőkre,</w:t>
      </w:r>
    </w:p>
    <w:p w:rsidRPr="009B70E7" w:rsidR="00C92102" w:rsidP="00B7530C" w:rsidRDefault="00B7530C" w14:paraId="7B22C8D8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arra kéri az Európai Bizottságot, hogy az </w:t>
      </w:r>
      <w:r>
        <w:rPr>
          <w:b/>
        </w:rPr>
        <w:t>egészségügyi szolgáltatásokat</w:t>
      </w:r>
      <w:r>
        <w:t xml:space="preserve">, köztük a szexuális és reproduktív egészségügyi szolgáltatásokat is vegye fel az áldozatoknak nyújtott alapvető segítő szakszolgálatok közé, és arra biztatja az összes uniós tagállamot, hogy sürgősen hárítsanak el minden akadályt a </w:t>
      </w:r>
      <w:r>
        <w:rPr>
          <w:b/>
        </w:rPr>
        <w:t>sürgősségi fogamzásgátláshoz és a nemi erőszak utáni önkéntes terhességmegszakítást nyújtó szolgáltatásokhoz</w:t>
      </w:r>
      <w:r>
        <w:t xml:space="preserve"> való hozzáférés elől.</w:t>
      </w:r>
    </w:p>
    <w:p w:rsidRPr="009B70E7" w:rsidR="00775FDA" w:rsidRDefault="00775FDA" w14:paraId="007FFDAF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B44BB9" w:rsidTr="008B66DD" w14:paraId="502899FB" w14:textId="77777777">
        <w:tc>
          <w:tcPr>
            <w:tcW w:w="1418" w:type="dxa"/>
          </w:tcPr>
          <w:p w:rsidRPr="009B70E7" w:rsidR="00B44BB9" w:rsidP="008B66DD" w:rsidRDefault="00B44BB9" w14:paraId="4933D5C0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B44BB9" w:rsidP="008B66DD" w:rsidRDefault="00B44BB9" w14:paraId="649C02E9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Margherita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Logrillo</w:t>
            </w:r>
            <w:proofErr w:type="spellEnd"/>
          </w:p>
        </w:tc>
      </w:tr>
      <w:tr w:rsidRPr="009B70E7" w:rsidR="00B44BB9" w:rsidTr="008B66DD" w14:paraId="54638E70" w14:textId="77777777">
        <w:tc>
          <w:tcPr>
            <w:tcW w:w="1418" w:type="dxa"/>
          </w:tcPr>
          <w:p w:rsidRPr="009B70E7" w:rsidR="00B44BB9" w:rsidP="008B66DD" w:rsidRDefault="00B44BB9" w14:paraId="40A81D4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B44BB9" w:rsidP="008B66DD" w:rsidRDefault="00B44BB9" w14:paraId="0C77361C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00 32 2 546 90 99</w:t>
            </w:r>
          </w:p>
        </w:tc>
      </w:tr>
      <w:tr w:rsidRPr="001D770D" w:rsidR="00B44BB9" w:rsidTr="008B66DD" w14:paraId="5FB79B0A" w14:textId="77777777">
        <w:tc>
          <w:tcPr>
            <w:tcW w:w="1418" w:type="dxa"/>
          </w:tcPr>
          <w:p w:rsidRPr="009B70E7" w:rsidR="00B44BB9" w:rsidP="008A7E03" w:rsidRDefault="00B44BB9" w14:paraId="0A5C365B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D770D" w:rsidR="00B44BB9" w:rsidP="008B66DD" w:rsidRDefault="00544E97" w14:paraId="0E9E0878" w14:textId="77777777">
            <w:pPr>
              <w:pStyle w:val="ListParagraph"/>
              <w:ind w:left="0"/>
              <w:rPr>
                <w:i/>
              </w:rPr>
            </w:pPr>
            <w:hyperlink w:history="1" r:id="rId25">
              <w:r w:rsidR="00FA343E">
                <w:rPr>
                  <w:rStyle w:val="Hyperlink"/>
                  <w:i/>
                </w:rPr>
                <w:t>Margherita.Logrillo@eesc.europa.eu</w:t>
              </w:r>
            </w:hyperlink>
          </w:p>
        </w:tc>
      </w:tr>
    </w:tbl>
    <w:p w:rsidR="002C0E2F" w:rsidRDefault="002C0E2F" w14:paraId="21C3B85C" w14:textId="77777777">
      <w:pPr>
        <w:spacing w:after="160" w:line="259" w:lineRule="auto"/>
        <w:jc w:val="left"/>
      </w:pPr>
    </w:p>
    <w:p w:rsidR="002C0E2F" w:rsidRDefault="002C0E2F" w14:paraId="6C846036" w14:textId="77777777">
      <w:pPr>
        <w:spacing w:after="160" w:line="259" w:lineRule="auto"/>
        <w:jc w:val="left"/>
      </w:pPr>
      <w:r>
        <w:br w:type="page"/>
      </w:r>
    </w:p>
    <w:p w:rsidRPr="009B70E7" w:rsidR="00841374" w:rsidRDefault="00A06E9E" w14:paraId="2D6BD9B3" w14:textId="77777777">
      <w:pPr>
        <w:pStyle w:val="ListParagraph"/>
        <w:numPr>
          <w:ilvl w:val="0"/>
          <w:numId w:val="4"/>
        </w:numPr>
        <w:overflowPunct w:val="0"/>
        <w:autoSpaceDE w:val="0"/>
        <w:autoSpaceDN w:val="0"/>
        <w:adjustRightInd w:val="0"/>
        <w:ind w:left="567" w:hanging="567"/>
        <w:textAlignment w:val="baseline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Nemek közötti egyenlőség</w:t>
      </w:r>
    </w:p>
    <w:p w:rsidRPr="009B70E7" w:rsidR="00841374" w:rsidP="0018231C" w:rsidRDefault="00841374" w14:paraId="1D8B7907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657"/>
        <w:gridCol w:w="44"/>
        <w:gridCol w:w="5529"/>
        <w:gridCol w:w="797"/>
      </w:tblGrid>
      <w:tr w:rsidRPr="009B70E7" w:rsidR="008946BF" w:rsidTr="00DF349B" w14:paraId="6EA9204F" w14:textId="77777777">
        <w:trPr>
          <w:gridAfter w:val="1"/>
          <w:wAfter w:w="797" w:type="dxa"/>
        </w:trPr>
        <w:tc>
          <w:tcPr>
            <w:tcW w:w="1657" w:type="dxa"/>
          </w:tcPr>
          <w:p w:rsidR="008946BF" w:rsidP="006D6086" w:rsidRDefault="008946BF" w14:paraId="0AAEC296" w14:textId="77777777">
            <w:pPr>
              <w:pStyle w:val="ListParagraph"/>
              <w:keepNext/>
              <w:ind w:left="0" w:hanging="107"/>
              <w:rPr>
                <w:b/>
              </w:rPr>
            </w:pPr>
            <w:r>
              <w:rPr>
                <w:b/>
              </w:rPr>
              <w:t>Előadó:</w:t>
            </w:r>
          </w:p>
          <w:p w:rsidRPr="00F63F2A" w:rsidR="008946BF" w:rsidP="001513FD" w:rsidRDefault="008946BF" w14:paraId="6D6B9B14" w14:textId="77777777">
            <w:pPr>
              <w:pStyle w:val="ListParagraph"/>
              <w:ind w:left="0"/>
              <w:rPr>
                <w:b/>
                <w:sz w:val="20"/>
                <w:szCs w:val="20"/>
              </w:rPr>
            </w:pPr>
          </w:p>
        </w:tc>
        <w:tc>
          <w:tcPr>
            <w:tcW w:w="5573" w:type="dxa"/>
            <w:gridSpan w:val="2"/>
          </w:tcPr>
          <w:p w:rsidR="008946BF" w:rsidP="00DF349B" w:rsidRDefault="00A06E9E" w14:paraId="54293D02" w14:textId="77777777">
            <w:pPr>
              <w:pStyle w:val="ListParagraph"/>
              <w:ind w:left="-108" w:right="-195"/>
            </w:pPr>
            <w:proofErr w:type="spellStart"/>
            <w:r>
              <w:t>Milena</w:t>
            </w:r>
            <w:proofErr w:type="spellEnd"/>
            <w:r>
              <w:t xml:space="preserve"> ANGELOVA (Munkáltatók/BG)</w:t>
            </w:r>
          </w:p>
          <w:p w:rsidRPr="009B70E7" w:rsidR="008946BF" w:rsidP="001513FD" w:rsidRDefault="008946BF" w14:paraId="4D16618C" w14:textId="77777777">
            <w:pPr>
              <w:pStyle w:val="ListParagraph"/>
              <w:ind w:left="-108"/>
            </w:pPr>
          </w:p>
        </w:tc>
      </w:tr>
      <w:tr w:rsidRPr="009B70E7" w:rsidR="00841374" w:rsidTr="00DF349B" w14:paraId="51253DAE" w14:textId="77777777">
        <w:tblPrEx>
          <w:tblCellMar>
            <w:left w:w="57" w:type="dxa"/>
            <w:right w:w="57" w:type="dxa"/>
          </w:tblCellMar>
        </w:tblPrEx>
        <w:tc>
          <w:tcPr>
            <w:tcW w:w="1701" w:type="dxa"/>
            <w:gridSpan w:val="2"/>
          </w:tcPr>
          <w:p w:rsidRPr="009B70E7" w:rsidR="00841374" w:rsidP="006D6086" w:rsidRDefault="00841374" w14:paraId="6949587A" w14:textId="77777777">
            <w:pPr>
              <w:pStyle w:val="ListParagraph"/>
              <w:ind w:left="0" w:hanging="6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326" w:type="dxa"/>
            <w:gridSpan w:val="2"/>
          </w:tcPr>
          <w:p w:rsidRPr="009B70E7" w:rsidR="00841374" w:rsidP="00407760" w:rsidRDefault="00A06E9E" w14:paraId="3DD4422C" w14:textId="77777777">
            <w:pPr>
              <w:pStyle w:val="ListParagraph"/>
              <w:ind w:left="-56"/>
            </w:pPr>
            <w:r>
              <w:t>feltáró vélemény a Tanács cseh elnökségének felkérésére</w:t>
            </w:r>
          </w:p>
          <w:p w:rsidRPr="009B70E7" w:rsidR="00841374" w:rsidP="00407760" w:rsidRDefault="002E5473" w14:paraId="12FB6382" w14:textId="77777777">
            <w:pPr>
              <w:pStyle w:val="ListParagraph"/>
              <w:ind w:left="-56"/>
            </w:pPr>
            <w:r>
              <w:t>EESC-2022-01932-00-00-AC</w:t>
            </w:r>
          </w:p>
        </w:tc>
      </w:tr>
    </w:tbl>
    <w:p w:rsidRPr="009B70E7" w:rsidR="00841374" w:rsidRDefault="00841374" w14:paraId="1CBC12AE" w14:textId="77777777">
      <w:pPr>
        <w:pStyle w:val="ListParagraph"/>
        <w:ind w:left="0"/>
        <w:rPr>
          <w:b/>
        </w:rPr>
      </w:pPr>
    </w:p>
    <w:p w:rsidRPr="00D85D67" w:rsidR="00841374" w:rsidP="002C4B6E" w:rsidRDefault="00841374" w14:paraId="76256836" w14:textId="77777777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841374" w:rsidRDefault="00841374" w14:paraId="141BD901" w14:textId="77777777">
      <w:pPr>
        <w:pStyle w:val="ListParagraph"/>
        <w:ind w:left="0"/>
      </w:pPr>
    </w:p>
    <w:p w:rsidR="001D770D" w:rsidP="00326919" w:rsidRDefault="001D770D" w14:paraId="0B60B8BC" w14:textId="77777777">
      <w:pPr>
        <w:pStyle w:val="ListParagraph"/>
        <w:spacing w:line="240" w:lineRule="auto"/>
        <w:ind w:left="0"/>
      </w:pPr>
      <w:r>
        <w:t>Az EGSZB:</w:t>
      </w:r>
    </w:p>
    <w:p w:rsidRPr="009B70E7" w:rsidR="001D770D" w:rsidRDefault="001D770D" w14:paraId="189BAEB6" w14:textId="77777777">
      <w:pPr>
        <w:pStyle w:val="ListParagraph"/>
        <w:ind w:left="0"/>
      </w:pPr>
    </w:p>
    <w:p w:rsidRPr="009B70E7" w:rsidR="00841374" w:rsidP="0018231C" w:rsidRDefault="008159E1" w14:paraId="278A2840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hangsúlyozza, hogy a nemek közötti egyenlőség fenntartható javításának sikeressége a </w:t>
      </w:r>
      <w:r>
        <w:rPr>
          <w:b/>
        </w:rPr>
        <w:t>nemek közötti egyenlőség egész életre kiterjedő kultúrájának</w:t>
      </w:r>
      <w:r>
        <w:t xml:space="preserve"> ápolásában áll, amely a teljes életciklust lefedi, és az egyes életszakaszok jellemzőihez és igényeihez igazított intézkedéseket biztosít,</w:t>
      </w:r>
    </w:p>
    <w:p w:rsidRPr="009B70E7" w:rsidR="00841374" w:rsidP="0018231C" w:rsidRDefault="008159E1" w14:paraId="7A36F890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kéri a tagállamokat, hogy oktatáspolitikájukon keresztül mozdítsák elő a </w:t>
      </w:r>
      <w:r>
        <w:rPr>
          <w:b/>
        </w:rPr>
        <w:t>nemi szempontból semleges oktatást</w:t>
      </w:r>
      <w:r>
        <w:t>, tekintettel mind az ismeretekre, mind a szociális készségekre, valamint a nemi sztereotípiáktól mentes tanulási környezetet,</w:t>
      </w:r>
    </w:p>
    <w:p w:rsidRPr="009B70E7" w:rsidR="00B51B20" w:rsidP="0018231C" w:rsidRDefault="008159E1" w14:paraId="29EA99EF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azt ajánlja, hogy a tagállamok az Európai Bizottság támogatásával, valamint a szociális partnerekkel és a megfelelő civil társadalmi szervezetekkel együtt indítsanak </w:t>
      </w:r>
      <w:r>
        <w:rPr>
          <w:b/>
        </w:rPr>
        <w:t>széles körű figyelemfelhívó és tájékoztató kampányt a nemek közötti egyenlőség egész életre kiterjedő kultúrájának népszerűsítésére</w:t>
      </w:r>
      <w:r>
        <w:t>,</w:t>
      </w:r>
    </w:p>
    <w:p w:rsidRPr="001D770D" w:rsidR="00D85D67" w:rsidP="00D85D67" w:rsidRDefault="008159E1" w14:paraId="282035C6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úgy véli, hogy alapvető a nők általános munkaerőpiaci részvétele előtt álló akadályok felszámolása. A jogszabályi keretek mellett a gyakorlati szabályokat </w:t>
      </w:r>
      <w:r>
        <w:rPr>
          <w:b/>
        </w:rPr>
        <w:t>a szociális partnerek közötti kollektív tárgyalások</w:t>
      </w:r>
      <w:r>
        <w:t xml:space="preserve"> kínálta lehetőségek felhasználásával kell meghatározni,</w:t>
      </w:r>
    </w:p>
    <w:p w:rsidR="001D770D" w:rsidP="00D85D67" w:rsidRDefault="008159E1" w14:paraId="76BBBF7F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alapvetően fontosnak tartja annak előmozdítását, hogy a nők vezetői pozíciókat </w:t>
      </w:r>
      <w:proofErr w:type="spellStart"/>
      <w:r>
        <w:t>töltsenek</w:t>
      </w:r>
      <w:proofErr w:type="spellEnd"/>
      <w:r>
        <w:t xml:space="preserve"> be a vállalkozásokban és az állami szervezetekben, és arra kéri a tagállamokat, az üzleti szervezeteket és a szociális partnereket, hogy indítsanak </w:t>
      </w:r>
      <w:r>
        <w:rPr>
          <w:b/>
        </w:rPr>
        <w:t>nőknek szóló képzési és mentorprogramokat</w:t>
      </w:r>
      <w:r>
        <w:t>,</w:t>
      </w:r>
    </w:p>
    <w:p w:rsidR="00B40093" w:rsidP="00D85D67" w:rsidRDefault="008159E1" w14:paraId="1BAE71C9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úgy véli, hogy a nők vállalkozása előtt álló akadályokat is fel kell számolni. A </w:t>
      </w:r>
      <w:r>
        <w:rPr>
          <w:b/>
        </w:rPr>
        <w:t>forráshoz jutás</w:t>
      </w:r>
      <w:r>
        <w:t xml:space="preserve"> a vállalkozás előfeltétele, ezért biztosítani kell a nők egyenlő hozzáférését mind a magánfinanszírozáshoz, mind az állami finanszírozáshoz,</w:t>
      </w:r>
    </w:p>
    <w:p w:rsidR="00B40093" w:rsidP="00D85D67" w:rsidRDefault="008159E1" w14:paraId="0E4FEF3C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kéri, hogy fordítsunk kellő figyelmet a nemek közötti egyenlőségre az </w:t>
      </w:r>
      <w:r>
        <w:rPr>
          <w:b/>
        </w:rPr>
        <w:t>ukrajnai menekültek</w:t>
      </w:r>
      <w:r>
        <w:t xml:space="preserve"> helyzetének kezelésekor. Ez vonatkozik a gyermekek gondozáshoz való hozzáférésére és az oktatásban való részvételükre, a nők színvonalas foglalkoztatáson keresztül történő munkaerőpiaci integrációjára, valamint a szexuális és reproduktív egészségügyi szolgáltatásokhoz való hozzáférésre.</w:t>
      </w:r>
    </w:p>
    <w:p w:rsidRPr="009B70E7" w:rsidR="00841374" w:rsidRDefault="00841374" w14:paraId="3B0FA7A1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841374" w:rsidTr="00841374" w14:paraId="50A403EE" w14:textId="77777777">
        <w:tc>
          <w:tcPr>
            <w:tcW w:w="1418" w:type="dxa"/>
          </w:tcPr>
          <w:p w:rsidRPr="009B70E7" w:rsidR="00841374" w:rsidRDefault="00841374" w14:paraId="629E9BA9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841374" w:rsidRDefault="00A06E9E" w14:paraId="79C689DE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Margherita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Logrillo</w:t>
            </w:r>
            <w:proofErr w:type="spellEnd"/>
          </w:p>
        </w:tc>
      </w:tr>
      <w:tr w:rsidRPr="009B70E7" w:rsidR="00841374" w:rsidTr="00841374" w14:paraId="6334FCD6" w14:textId="77777777">
        <w:tc>
          <w:tcPr>
            <w:tcW w:w="1418" w:type="dxa"/>
          </w:tcPr>
          <w:p w:rsidRPr="009B70E7" w:rsidR="00841374" w:rsidRDefault="00841374" w14:paraId="3F37AC16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841374" w:rsidRDefault="00A06E9E" w14:paraId="55D18DAD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00 32 2 546 90 99</w:t>
            </w:r>
          </w:p>
        </w:tc>
      </w:tr>
      <w:tr w:rsidRPr="001D770D" w:rsidR="00841374" w:rsidTr="00841374" w14:paraId="2EB3D256" w14:textId="77777777">
        <w:tc>
          <w:tcPr>
            <w:tcW w:w="1418" w:type="dxa"/>
          </w:tcPr>
          <w:p w:rsidRPr="009B70E7" w:rsidR="00841374" w:rsidP="003A7A14" w:rsidRDefault="00841374" w14:paraId="02D49987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D770D" w:rsidR="00841374" w:rsidRDefault="00544E97" w14:paraId="31128638" w14:textId="77777777">
            <w:pPr>
              <w:pStyle w:val="ListParagraph"/>
              <w:ind w:left="0"/>
              <w:rPr>
                <w:i/>
              </w:rPr>
            </w:pPr>
            <w:hyperlink w:history="1" r:id="rId26">
              <w:r w:rsidR="00FA343E">
                <w:rPr>
                  <w:rStyle w:val="Hyperlink"/>
                  <w:i/>
                </w:rPr>
                <w:t>Margherita.Logrillo@eesc.europa.eu</w:t>
              </w:r>
            </w:hyperlink>
          </w:p>
        </w:tc>
      </w:tr>
    </w:tbl>
    <w:p w:rsidRPr="00276CC9" w:rsidR="00400A1F" w:rsidRDefault="00502B04" w14:paraId="3060FA04" w14:textId="77777777">
      <w:pPr>
        <w:spacing w:after="160" w:line="259" w:lineRule="auto"/>
        <w:jc w:val="left"/>
        <w:rPr>
          <w:sz w:val="28"/>
        </w:rPr>
      </w:pPr>
      <w:r>
        <w:br w:type="page"/>
      </w:r>
    </w:p>
    <w:p w:rsidRPr="00AD3DB1" w:rsidR="004D7AC0" w:rsidRDefault="004D7AC0" w14:paraId="13643C27" w14:textId="77777777">
      <w:pPr>
        <w:pStyle w:val="Heading1"/>
        <w:rPr>
          <w:b/>
        </w:rPr>
      </w:pPr>
      <w:bookmarkStart w:name="_Toc24617160" w:id="5"/>
      <w:bookmarkStart w:name="_Toc75527082" w:id="6"/>
      <w:bookmarkStart w:name="_Toc108435210" w:id="7"/>
      <w:bookmarkStart w:name="_Toc109810932" w:id="8"/>
      <w:r>
        <w:rPr>
          <w:b/>
        </w:rPr>
        <w:lastRenderedPageBreak/>
        <w:t xml:space="preserve">KÖZLEKEDÉS, ENERGIA, INFRASTRUKTÚRA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INFORMÁCIÓS TÁRSADALOM</w:t>
      </w:r>
      <w:bookmarkEnd w:id="5"/>
      <w:bookmarkEnd w:id="6"/>
      <w:bookmarkEnd w:id="7"/>
      <w:bookmarkEnd w:id="8"/>
    </w:p>
    <w:p w:rsidRPr="00DC52F2" w:rsidR="00961956" w:rsidRDefault="00961956" w14:paraId="07646FB3" w14:textId="77777777">
      <w:pPr>
        <w:pStyle w:val="ListParagraph"/>
        <w:ind w:left="0"/>
      </w:pPr>
    </w:p>
    <w:p w:rsidRPr="00824DCF" w:rsidR="00961956" w:rsidP="0018231C" w:rsidRDefault="002C0E2F" w14:paraId="331DDD1A" w14:textId="2BA933B6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Digitális identitás, adatszuverenitás és az igazságos digitális átálláshoz vezető út az információs társadalomban élő polgárok számára</w:t>
      </w:r>
    </w:p>
    <w:p w:rsidRPr="00DC52F2" w:rsidR="00961956" w:rsidP="0018231C" w:rsidRDefault="00961956" w14:paraId="1BB7F554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387"/>
      </w:tblGrid>
      <w:tr w:rsidRPr="00824DCF" w:rsidR="00961956" w:rsidTr="0018231C" w14:paraId="24FE29BA" w14:textId="77777777">
        <w:tc>
          <w:tcPr>
            <w:tcW w:w="1701" w:type="dxa"/>
          </w:tcPr>
          <w:p w:rsidRPr="009B70E7" w:rsidR="00961956" w:rsidP="0018231C" w:rsidRDefault="00961956" w14:paraId="7B4B6AE8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5387" w:type="dxa"/>
          </w:tcPr>
          <w:p w:rsidRPr="00824DCF" w:rsidR="00961956" w:rsidP="00C834A5" w:rsidRDefault="002C0E2F" w14:paraId="17514CDB" w14:textId="77777777">
            <w:pPr>
              <w:pStyle w:val="ListParagraph"/>
              <w:keepNext/>
              <w:ind w:left="-56"/>
            </w:pPr>
            <w:proofErr w:type="spellStart"/>
            <w:r>
              <w:t>Dumitru</w:t>
            </w:r>
            <w:proofErr w:type="spellEnd"/>
            <w:r>
              <w:t xml:space="preserve"> FORNEA (Munkavállalók/RO)</w:t>
            </w:r>
          </w:p>
        </w:tc>
      </w:tr>
      <w:tr w:rsidRPr="00824DCF" w:rsidR="004C40E4" w:rsidTr="0018231C" w14:paraId="4A5F1D42" w14:textId="77777777">
        <w:tc>
          <w:tcPr>
            <w:tcW w:w="7088" w:type="dxa"/>
            <w:gridSpan w:val="2"/>
          </w:tcPr>
          <w:p w:rsidRPr="00824DCF" w:rsidR="004C40E4" w:rsidP="0018231C" w:rsidRDefault="004C40E4" w14:paraId="459398F1" w14:textId="77777777">
            <w:pPr>
              <w:pStyle w:val="ListParagraph"/>
              <w:keepNext/>
              <w:ind w:left="0"/>
              <w:rPr>
                <w:lang w:val="en-US"/>
              </w:rPr>
            </w:pPr>
          </w:p>
        </w:tc>
      </w:tr>
      <w:tr w:rsidRPr="009B70E7" w:rsidR="00961956" w:rsidTr="0018231C" w14:paraId="4857777C" w14:textId="77777777">
        <w:tc>
          <w:tcPr>
            <w:tcW w:w="1701" w:type="dxa"/>
            <w:vMerge w:val="restart"/>
          </w:tcPr>
          <w:p w:rsidRPr="009B70E7" w:rsidR="00961956" w:rsidP="0018231C" w:rsidRDefault="00961956" w14:paraId="3DF2404C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387" w:type="dxa"/>
          </w:tcPr>
          <w:p w:rsidRPr="009B70E7" w:rsidR="00961956" w:rsidP="00407760" w:rsidRDefault="002C0E2F" w14:paraId="11997CDA" w14:textId="77777777">
            <w:pPr>
              <w:pStyle w:val="ListParagraph"/>
              <w:keepNext/>
              <w:ind w:left="-56"/>
            </w:pPr>
            <w:r>
              <w:t>saját kezdeményezésű vélemény</w:t>
            </w:r>
          </w:p>
        </w:tc>
      </w:tr>
      <w:tr w:rsidRPr="009B70E7" w:rsidR="00961956" w:rsidTr="0018231C" w14:paraId="3AF643A2" w14:textId="77777777">
        <w:tc>
          <w:tcPr>
            <w:tcW w:w="1701" w:type="dxa"/>
            <w:vMerge/>
          </w:tcPr>
          <w:p w:rsidRPr="009B70E7" w:rsidR="00961956" w:rsidP="0018231C" w:rsidRDefault="00961956" w14:paraId="5E8FA40A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9B70E7" w:rsidR="00961956" w:rsidP="00407760" w:rsidRDefault="00E65D01" w14:paraId="47950539" w14:textId="77777777">
            <w:pPr>
              <w:pStyle w:val="ListParagraph"/>
              <w:keepNext/>
              <w:ind w:left="-56"/>
            </w:pPr>
            <w:r>
              <w:t>EESC-2022-01011-00-00-AC</w:t>
            </w:r>
          </w:p>
        </w:tc>
      </w:tr>
    </w:tbl>
    <w:p w:rsidRPr="009B70E7" w:rsidR="00961956" w:rsidP="0018231C" w:rsidRDefault="00961956" w14:paraId="148D7539" w14:textId="77777777">
      <w:pPr>
        <w:pStyle w:val="ListParagraph"/>
        <w:keepNext/>
        <w:ind w:left="0"/>
      </w:pPr>
    </w:p>
    <w:p w:rsidRPr="009B70E7" w:rsidR="00961956" w:rsidP="002C4B6E" w:rsidRDefault="00961956" w14:paraId="11D6B73E" w14:textId="5C69D606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961956" w:rsidRDefault="00961956" w14:paraId="75408D74" w14:textId="77777777">
      <w:pPr>
        <w:pStyle w:val="ListParagraph"/>
        <w:ind w:left="0"/>
      </w:pPr>
    </w:p>
    <w:p w:rsidR="00824DCF" w:rsidP="00326919" w:rsidRDefault="00824DCF" w14:paraId="487F835E" w14:textId="77777777">
      <w:pPr>
        <w:pStyle w:val="ListParagraph"/>
        <w:keepNext/>
        <w:keepLines/>
        <w:ind w:left="0"/>
      </w:pPr>
      <w:r>
        <w:t>Az EGSZB:</w:t>
      </w:r>
    </w:p>
    <w:p w:rsidRPr="009B70E7" w:rsidR="00824DCF" w:rsidRDefault="00824DCF" w14:paraId="5EDF7A19" w14:textId="77777777">
      <w:pPr>
        <w:pStyle w:val="ListParagraph"/>
        <w:ind w:left="0"/>
      </w:pPr>
    </w:p>
    <w:p w:rsidRPr="00F049D6" w:rsidR="00961956" w:rsidP="00C86F74" w:rsidRDefault="005A755F" w14:paraId="3E5BFFD4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úgy véli, hogy a digitális forradalom </w:t>
      </w:r>
      <w:r>
        <w:rPr>
          <w:b/>
        </w:rPr>
        <w:t>nem ronthatja az emberek életét azáltal, hogy a benne való részvétel kötelezővé válik</w:t>
      </w:r>
      <w:r>
        <w:t>.</w:t>
      </w:r>
      <w:r>
        <w:rPr>
          <w:b/>
        </w:rPr>
        <w:t xml:space="preserve"> Annál is inkább, mert a polgárok úgy érezhetik, hogy kénytelenek a digitális világ részévé válni, amely ugyanakkor nem egy demokratikusan vezérelt világ,</w:t>
      </w:r>
    </w:p>
    <w:p w:rsidRPr="00F049D6" w:rsidR="002C24B9" w:rsidP="0018231C" w:rsidRDefault="005A755F" w14:paraId="6A722D52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a digitális identitásnak, a digitális fizetési eszközöknek, valamint a virtuális és kiterjesztett valóságon alapuló platformoknak </w:t>
      </w:r>
      <w:r>
        <w:rPr>
          <w:b/>
        </w:rPr>
        <w:t>fizikai létezésünk kiegészítő</w:t>
      </w:r>
      <w:r>
        <w:t xml:space="preserve"> </w:t>
      </w:r>
      <w:r>
        <w:rPr>
          <w:b/>
        </w:rPr>
        <w:t>eszközeinek</w:t>
      </w:r>
      <w:r>
        <w:t xml:space="preserve"> kell maradniuk, és nem léphetnek teljes mértékben és erőszakosan más egzisztenciális minták helyébe,</w:t>
      </w:r>
    </w:p>
    <w:p w:rsidRPr="00F049D6" w:rsidR="00394949" w:rsidP="00394949" w:rsidRDefault="005A755F" w14:paraId="3941A3AB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minden olyan kezdeményezésnek, amelynek célja a polgárok integrálása az európai digitális személyazonosító rendszerbe, </w:t>
      </w:r>
      <w:r>
        <w:rPr>
          <w:b/>
        </w:rPr>
        <w:t xml:space="preserve">hatásvizsgálatokon és </w:t>
      </w:r>
      <w:proofErr w:type="gramStart"/>
      <w:r>
        <w:rPr>
          <w:b/>
        </w:rPr>
        <w:t>átfogó</w:t>
      </w:r>
      <w:proofErr w:type="gramEnd"/>
      <w:r>
        <w:rPr>
          <w:b/>
        </w:rPr>
        <w:t xml:space="preserve"> szociológiai felméréseken kell alapulnia</w:t>
      </w:r>
      <w:r>
        <w:t xml:space="preserve">. A végső döntést </w:t>
      </w:r>
      <w:r>
        <w:rPr>
          <w:b/>
        </w:rPr>
        <w:t>csak a polgárok tájékoztatáson alapuló, szabadon kifejezett jóváhagyásával szabad meghozni</w:t>
      </w:r>
      <w:r>
        <w:t>,</w:t>
      </w:r>
    </w:p>
    <w:p w:rsidRPr="00435099" w:rsidR="005A755F" w:rsidP="00D13F40" w:rsidRDefault="005A755F" w14:paraId="26309AC9" w14:textId="77777777">
      <w:pPr>
        <w:pStyle w:val="ListParagraph"/>
        <w:numPr>
          <w:ilvl w:val="0"/>
          <w:numId w:val="15"/>
        </w:numPr>
        <w:ind w:left="1134" w:hanging="567"/>
      </w:pPr>
      <w:bookmarkStart w:name="_Toc108435087" w:id="9"/>
      <w:bookmarkStart w:name="_Toc108435211" w:id="10"/>
      <w:bookmarkStart w:name="_Toc108437611" w:id="11"/>
      <w:r>
        <w:t xml:space="preserve">az EU-nak továbbra is éberen figyelnie kell a </w:t>
      </w:r>
      <w:proofErr w:type="spellStart"/>
      <w:r>
        <w:t>digitalizáció</w:t>
      </w:r>
      <w:proofErr w:type="spellEnd"/>
      <w:r>
        <w:t xml:space="preserve"> polgárokra, munkavállalókra és vállalkozásokra gyakorolt hatását. A mindenki által elfogadott, demokratikus és méltányos digitális társadalomnak figyelembe kell vennie a következőket: a globális technológiai infrastruktúra fenntartásához a hét minden napján, napi 24 órában szükséges rendkívül nagy mennyiségű energia, amellyel biztosítható a digitális rendszerhez való folyamatos és biztonságos hozzáférés,</w:t>
      </w:r>
      <w:bookmarkEnd w:id="9"/>
      <w:bookmarkEnd w:id="10"/>
      <w:bookmarkEnd w:id="11"/>
    </w:p>
    <w:p w:rsidRPr="00F516B9" w:rsidR="005A755F" w:rsidP="005A755F" w:rsidRDefault="005A755F" w14:paraId="31AEC552" w14:textId="77777777">
      <w:pPr>
        <w:pStyle w:val="ListParagraph"/>
        <w:numPr>
          <w:ilvl w:val="0"/>
          <w:numId w:val="12"/>
        </w:numPr>
        <w:ind w:left="1134" w:hanging="567"/>
      </w:pPr>
      <w:r>
        <w:t>az emberi interakciók digitalizálásának és automatizálásának hatása az életminőségre és a munkafeltételekre. Egyértelmű, hogy a digitális eszközök hatással vannak az emberi kapcsolatokra, az elmagányosodásra, a mentális egészségre, a kognitív és érzelmi intelligenciára, valamint a társadalmi elidegenedésre,</w:t>
      </w:r>
    </w:p>
    <w:p w:rsidR="005A755F" w:rsidP="005A755F" w:rsidRDefault="005A755F" w14:paraId="18D4AC64" w14:textId="77777777">
      <w:pPr>
        <w:pStyle w:val="ListParagraph"/>
        <w:numPr>
          <w:ilvl w:val="0"/>
          <w:numId w:val="12"/>
        </w:numPr>
        <w:ind w:left="1134" w:hanging="567"/>
      </w:pPr>
      <w:r>
        <w:t>azok a politikai, gazdasági és társadalmi intézkedések, amelyek szükségesek ahhoz, hogy a társadalom alkalmazkodni tudjon a munkaerőpiacon bekövetkező, drámai léptékű mennyiségi változásokhoz,</w:t>
      </w:r>
    </w:p>
    <w:p w:rsidRPr="005A755F" w:rsidR="00394949" w:rsidP="005A755F" w:rsidRDefault="005A755F" w14:paraId="31E62463" w14:textId="77777777">
      <w:pPr>
        <w:pStyle w:val="ListParagraph"/>
        <w:numPr>
          <w:ilvl w:val="0"/>
          <w:numId w:val="12"/>
        </w:numPr>
        <w:ind w:left="1134" w:hanging="567"/>
      </w:pPr>
      <w:proofErr w:type="spellStart"/>
      <w:r>
        <w:t>kiberbiztonság</w:t>
      </w:r>
      <w:proofErr w:type="spellEnd"/>
      <w:r>
        <w:t>.</w:t>
      </w:r>
    </w:p>
    <w:p w:rsidRPr="00F049D6" w:rsidR="00961956" w:rsidRDefault="00961956" w14:paraId="650EBC4F" w14:textId="77777777">
      <w:pPr>
        <w:rPr>
          <w:lang w:val="en-US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961956" w:rsidTr="00771110" w14:paraId="196AAA5A" w14:textId="77777777">
        <w:tc>
          <w:tcPr>
            <w:tcW w:w="1418" w:type="dxa"/>
          </w:tcPr>
          <w:p w:rsidRPr="009B70E7" w:rsidR="00961956" w:rsidRDefault="00961956" w14:paraId="015B147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961956" w:rsidRDefault="005A755F" w14:paraId="1E2C028D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Maja </w:t>
            </w:r>
            <w:proofErr w:type="spellStart"/>
            <w:r>
              <w:rPr>
                <w:i/>
              </w:rPr>
              <w:t>Radman</w:t>
            </w:r>
            <w:proofErr w:type="spellEnd"/>
          </w:p>
        </w:tc>
      </w:tr>
      <w:tr w:rsidRPr="009B70E7" w:rsidR="00961956" w:rsidTr="00771110" w14:paraId="767EF621" w14:textId="77777777">
        <w:tc>
          <w:tcPr>
            <w:tcW w:w="1418" w:type="dxa"/>
          </w:tcPr>
          <w:p w:rsidRPr="009B70E7" w:rsidR="00961956" w:rsidRDefault="00961956" w14:paraId="2C15F67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961956" w:rsidRDefault="002C24B9" w14:paraId="619D9C38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00 32 2 546 90 51</w:t>
            </w:r>
          </w:p>
        </w:tc>
      </w:tr>
      <w:tr w:rsidRPr="009B70E7" w:rsidR="00961956" w:rsidTr="00771110" w14:paraId="0B88B3E2" w14:textId="77777777">
        <w:tc>
          <w:tcPr>
            <w:tcW w:w="1418" w:type="dxa"/>
          </w:tcPr>
          <w:p w:rsidRPr="009B70E7" w:rsidR="00961956" w:rsidP="003A7A14" w:rsidRDefault="00961956" w14:paraId="7FB55A27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F80F3B" w:rsidRDefault="00544E97" w14:paraId="6B508845" w14:textId="77777777">
            <w:pPr>
              <w:pStyle w:val="ListParagraph"/>
              <w:ind w:left="0"/>
              <w:rPr>
                <w:i/>
              </w:rPr>
            </w:pPr>
            <w:hyperlink w:history="1" r:id="rId27">
              <w:r w:rsidR="00FA343E">
                <w:rPr>
                  <w:rStyle w:val="Hyperlink"/>
                  <w:i/>
                </w:rPr>
                <w:t>Maja.Radmani@eesc.europa.eu</w:t>
              </w:r>
            </w:hyperlink>
          </w:p>
        </w:tc>
      </w:tr>
    </w:tbl>
    <w:p w:rsidR="00910972" w:rsidP="0018231C" w:rsidRDefault="00910972" w14:paraId="6D17AB89" w14:textId="7DC2E94D">
      <w:pPr>
        <w:jc w:val="left"/>
        <w:rPr>
          <w:sz w:val="28"/>
        </w:rPr>
      </w:pPr>
    </w:p>
    <w:p w:rsidR="00910972" w:rsidRDefault="00910972" w14:paraId="397D2CDA" w14:textId="77777777">
      <w:pPr>
        <w:spacing w:after="160" w:line="259" w:lineRule="auto"/>
        <w:jc w:val="left"/>
        <w:rPr>
          <w:sz w:val="28"/>
        </w:rPr>
      </w:pPr>
      <w:r>
        <w:br w:type="page"/>
      </w:r>
    </w:p>
    <w:p w:rsidRPr="009B70E7" w:rsidR="00D76363" w:rsidP="00D76363" w:rsidRDefault="00CE23CC" w14:paraId="401CAB05" w14:textId="77777777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Ellátásbiztonság és megfizethető energia</w:t>
      </w:r>
    </w:p>
    <w:p w:rsidRPr="009B70E7" w:rsidR="00D76363" w:rsidP="00D76363" w:rsidRDefault="00D76363" w14:paraId="26D9A939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1701"/>
        <w:gridCol w:w="5812"/>
      </w:tblGrid>
      <w:tr w:rsidRPr="009B70E7" w:rsidR="00D76363" w:rsidTr="00F049D6" w14:paraId="1BC08D1D" w14:textId="77777777">
        <w:tc>
          <w:tcPr>
            <w:tcW w:w="1701" w:type="dxa"/>
          </w:tcPr>
          <w:p w:rsidRPr="009B70E7" w:rsidR="00D76363" w:rsidP="001513FD" w:rsidRDefault="00D76363" w14:paraId="073DB159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5812" w:type="dxa"/>
          </w:tcPr>
          <w:p w:rsidRPr="009B70E7" w:rsidR="00D76363" w:rsidP="00F049D6" w:rsidRDefault="00CE23CC" w14:paraId="64C95B4D" w14:textId="77777777">
            <w:pPr>
              <w:pStyle w:val="ListParagraph"/>
              <w:keepNext/>
              <w:ind w:left="-56" w:right="-453"/>
            </w:pPr>
            <w:proofErr w:type="spellStart"/>
            <w:r>
              <w:t>Alena</w:t>
            </w:r>
            <w:proofErr w:type="spellEnd"/>
            <w:r>
              <w:t xml:space="preserve"> MASTANTUONO (Munkáltatók/CZ)</w:t>
            </w:r>
          </w:p>
        </w:tc>
      </w:tr>
      <w:tr w:rsidRPr="009B70E7" w:rsidR="00D76363" w:rsidTr="00F049D6" w14:paraId="206D71D0" w14:textId="77777777">
        <w:tc>
          <w:tcPr>
            <w:tcW w:w="7513" w:type="dxa"/>
            <w:gridSpan w:val="2"/>
          </w:tcPr>
          <w:p w:rsidRPr="009B70E7" w:rsidR="00D76363" w:rsidP="001513FD" w:rsidRDefault="00D76363" w14:paraId="44F259D7" w14:textId="77777777">
            <w:pPr>
              <w:pStyle w:val="ListParagraph"/>
              <w:keepNext/>
              <w:ind w:left="0"/>
            </w:pPr>
          </w:p>
        </w:tc>
      </w:tr>
      <w:tr w:rsidRPr="009B70E7" w:rsidR="00D76363" w:rsidTr="00F049D6" w14:paraId="006CBBBB" w14:textId="77777777">
        <w:tc>
          <w:tcPr>
            <w:tcW w:w="1701" w:type="dxa"/>
            <w:vMerge w:val="restart"/>
          </w:tcPr>
          <w:p w:rsidRPr="009B70E7" w:rsidR="00D76363" w:rsidP="001513FD" w:rsidRDefault="00D76363" w14:paraId="21B3F0D6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812" w:type="dxa"/>
          </w:tcPr>
          <w:p w:rsidRPr="009B70E7" w:rsidR="00D76363" w:rsidP="001513FD" w:rsidRDefault="00D76363" w14:paraId="0F2B0508" w14:textId="77777777">
            <w:pPr>
              <w:pStyle w:val="ListParagraph"/>
              <w:keepNext/>
              <w:ind w:left="-56"/>
            </w:pPr>
            <w:r>
              <w:t xml:space="preserve">COM (2022) 138 </w:t>
            </w:r>
            <w:proofErr w:type="spellStart"/>
            <w:r>
              <w:t>final</w:t>
            </w:r>
            <w:proofErr w:type="spellEnd"/>
          </w:p>
        </w:tc>
      </w:tr>
      <w:tr w:rsidRPr="009B70E7" w:rsidR="00D76363" w:rsidTr="00F049D6" w14:paraId="44A197BD" w14:textId="77777777">
        <w:tc>
          <w:tcPr>
            <w:tcW w:w="1701" w:type="dxa"/>
            <w:vMerge/>
          </w:tcPr>
          <w:p w:rsidRPr="009B70E7" w:rsidR="00D76363" w:rsidP="001513FD" w:rsidRDefault="00D76363" w14:paraId="666AB4C5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812" w:type="dxa"/>
          </w:tcPr>
          <w:p w:rsidRPr="009B70E7" w:rsidR="00D76363" w:rsidP="001513FD" w:rsidRDefault="00E65D01" w14:paraId="26A5E07B" w14:textId="77777777">
            <w:pPr>
              <w:pStyle w:val="ListParagraph"/>
              <w:keepNext/>
              <w:ind w:left="-56"/>
            </w:pPr>
            <w:r>
              <w:t>EESC-2022-02693-00-00-AC</w:t>
            </w:r>
          </w:p>
        </w:tc>
      </w:tr>
    </w:tbl>
    <w:p w:rsidRPr="009B70E7" w:rsidR="00D76363" w:rsidP="00D76363" w:rsidRDefault="00D76363" w14:paraId="06470B53" w14:textId="77777777">
      <w:pPr>
        <w:pStyle w:val="ListParagraph"/>
        <w:keepNext/>
        <w:ind w:left="0"/>
      </w:pPr>
    </w:p>
    <w:p w:rsidRPr="00CE23CC" w:rsidR="00F049D6" w:rsidP="00CE23CC" w:rsidRDefault="00CE23CC" w14:paraId="6E8A2493" w14:textId="1E2A2AD2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9B70E7" w:rsidR="00F049D6" w:rsidP="00D76363" w:rsidRDefault="00F049D6" w14:paraId="44AA08CC" w14:textId="77777777">
      <w:pPr>
        <w:pStyle w:val="ListParagraph"/>
        <w:ind w:left="0"/>
      </w:pPr>
    </w:p>
    <w:p w:rsidRPr="00CE23CC" w:rsidR="00A30B84" w:rsidP="00CE23CC" w:rsidRDefault="00CE23CC" w14:paraId="4A205B71" w14:textId="77777777">
      <w:pPr>
        <w:pStyle w:val="ListParagraph"/>
        <w:numPr>
          <w:ilvl w:val="0"/>
          <w:numId w:val="3"/>
        </w:numPr>
        <w:ind w:left="357" w:hanging="357"/>
      </w:pPr>
      <w:r>
        <w:t xml:space="preserve">Európának hatékony energiatervre van szüksége, amely energiahiány esetére különböző forgatókönyveket tartalmaz. Ezt az EU-nak és a tagállamoknak közösen kell kidolgozniuk, beleértve azt is, hogy az egyes forgatókönyvek esetén milyen válaszlépéseket kell tenni, illetve hogy miként lehet hatékonyan felhasználni és hogyan kellene </w:t>
      </w:r>
      <w:proofErr w:type="spellStart"/>
      <w:r>
        <w:t>továbbfejleszteni</w:t>
      </w:r>
      <w:proofErr w:type="spellEnd"/>
      <w:r>
        <w:t xml:space="preserve"> a </w:t>
      </w:r>
      <w:proofErr w:type="gramStart"/>
      <w:r>
        <w:t>meglévő</w:t>
      </w:r>
      <w:proofErr w:type="gramEnd"/>
      <w:r>
        <w:t xml:space="preserve"> energia-infrastruktúrát.</w:t>
      </w:r>
    </w:p>
    <w:p w:rsidRPr="003527B4" w:rsidR="00D76363" w:rsidP="00D76363" w:rsidRDefault="00CE23CC" w14:paraId="5660D604" w14:textId="77777777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A harmadik országok által szolgáltatott energia gazdasági és politikai befolyása hatással van az EU-ra. Most már egyértelmű, hogy csökkenteni kell az olyan országok által szállított energiától való túlzott függőséget, amelyek nem osztják az uniós értékeket. Az ideális megoldás az lenne, ha növelnénk Európában a nem fosszilis villamos energia termelését és felhasználását, hogy az kielégítse a villamosenergia-igényt.</w:t>
      </w:r>
    </w:p>
    <w:p w:rsidR="00D76363" w:rsidP="00D76363" w:rsidRDefault="00CE23CC" w14:paraId="5BFF3ABB" w14:textId="77777777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Az EGSZB létfontosságúnak tartja a fenntartható energiarendszereknek – vagyis az ellátásbiztonságnak, az elfogadható költségeknek és áraknak, valamint a környezeti fenntarthatóságnak – a folyamatos és következetes szem előtt tartását.</w:t>
      </w:r>
    </w:p>
    <w:p w:rsidR="00E24CDF" w:rsidP="00D76363" w:rsidRDefault="00CE23CC" w14:paraId="697D0B9F" w14:textId="77777777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Sürgősségi intézkedésként a fogyasztóknak nyújtott közvetlen támogatás a legreálisabb lehetőség. A válság enyhítését célzó valamennyi támogatási intézkedésnek ideiglenesnek kell lennie, és a leghátrányosabban érintett csoportokra: a polgárokra, a kisvállalkozásokra és az energiaigényes iparágakra kell irányulnia. A fogyasztóknak ki kell majd venniük a részüket a gázfogyasztás csökkentését célzó erőfeszítésekből.</w:t>
      </w:r>
    </w:p>
    <w:p w:rsidRPr="00F049D6" w:rsidR="00E24CDF" w:rsidP="00D76363" w:rsidRDefault="00CE23CC" w14:paraId="7D33BDFB" w14:textId="77777777">
      <w:pPr>
        <w:pStyle w:val="ListParagraph"/>
        <w:numPr>
          <w:ilvl w:val="0"/>
          <w:numId w:val="3"/>
        </w:numPr>
        <w:ind w:left="357" w:hanging="357"/>
        <w:rPr>
          <w:bCs/>
        </w:rPr>
      </w:pPr>
      <w:r>
        <w:t>A helyzet megoldására csak átmeneti jellegű intézkedéseket kellene alkalmazni a tagállamokban, elkerülendő az uniós piacok túl hosszú ideig tartó torzítását. Az energiaforrások szén-dioxid-kibocsátásának csökkentését továbbra is kiemelt célkitűzésnek kell tekinteni.</w:t>
      </w:r>
    </w:p>
    <w:p w:rsidRPr="009B70E7" w:rsidR="00D76363" w:rsidP="00D76363" w:rsidRDefault="00D76363" w14:paraId="450C439D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CE23CC" w:rsidTr="00B40158" w14:paraId="50862FD0" w14:textId="77777777">
        <w:tc>
          <w:tcPr>
            <w:tcW w:w="1418" w:type="dxa"/>
          </w:tcPr>
          <w:p w:rsidRPr="009B70E7" w:rsidR="00CE23CC" w:rsidP="00CE23CC" w:rsidRDefault="00CE23CC" w14:paraId="028ABA93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CE23CC" w:rsidP="00CE23CC" w:rsidRDefault="00CE23CC" w14:paraId="1F245965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Francesco </w:t>
            </w:r>
            <w:proofErr w:type="spellStart"/>
            <w:r>
              <w:rPr>
                <w:i/>
              </w:rPr>
              <w:t>Napolitano</w:t>
            </w:r>
            <w:proofErr w:type="spellEnd"/>
          </w:p>
        </w:tc>
      </w:tr>
      <w:tr w:rsidRPr="009B70E7" w:rsidR="00CE23CC" w:rsidTr="00B40158" w14:paraId="5DE31472" w14:textId="77777777">
        <w:tc>
          <w:tcPr>
            <w:tcW w:w="1418" w:type="dxa"/>
          </w:tcPr>
          <w:p w:rsidRPr="009B70E7" w:rsidR="00CE23CC" w:rsidP="00CE23CC" w:rsidRDefault="00CE23CC" w14:paraId="46E53147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CE23CC" w:rsidP="00CE23CC" w:rsidRDefault="00CE23CC" w14:paraId="61A04E27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00 32 2 546 89 21</w:t>
            </w:r>
          </w:p>
        </w:tc>
      </w:tr>
      <w:tr w:rsidRPr="009B70E7" w:rsidR="00CE23CC" w:rsidTr="00B40158" w14:paraId="5EFFF55F" w14:textId="77777777">
        <w:tc>
          <w:tcPr>
            <w:tcW w:w="1418" w:type="dxa"/>
          </w:tcPr>
          <w:p w:rsidRPr="009B70E7" w:rsidR="00CE23CC" w:rsidP="003A7A14" w:rsidRDefault="00CE23CC" w14:paraId="6B9430EE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CE23CC" w:rsidP="00CE23CC" w:rsidRDefault="00544E97" w14:paraId="2F25FA4C" w14:textId="77777777">
            <w:pPr>
              <w:pStyle w:val="ListParagraph"/>
              <w:ind w:left="0"/>
              <w:rPr>
                <w:i/>
              </w:rPr>
            </w:pPr>
            <w:hyperlink w:history="1" r:id="rId28">
              <w:r w:rsidR="00FA343E">
                <w:rPr>
                  <w:rStyle w:val="Hyperlink"/>
                  <w:i/>
                </w:rPr>
                <w:t>Francesco.Napolitano@eesc.europa.eu</w:t>
              </w:r>
            </w:hyperlink>
          </w:p>
        </w:tc>
      </w:tr>
    </w:tbl>
    <w:p w:rsidRPr="00A10A98" w:rsidR="007327CD" w:rsidP="0018231C" w:rsidRDefault="007327CD" w14:paraId="1C752D75" w14:textId="77777777">
      <w:pPr>
        <w:jc w:val="left"/>
        <w:rPr>
          <w:sz w:val="28"/>
        </w:rPr>
      </w:pPr>
    </w:p>
    <w:p w:rsidR="00910972" w:rsidRDefault="00910972" w14:paraId="565DA337" w14:textId="0CAB6DF2">
      <w:pPr>
        <w:spacing w:after="160" w:line="259" w:lineRule="auto"/>
        <w:jc w:val="left"/>
        <w:rPr>
          <w:sz w:val="28"/>
        </w:rPr>
      </w:pPr>
      <w:r>
        <w:br w:type="page"/>
      </w:r>
    </w:p>
    <w:p w:rsidRPr="009B70E7" w:rsidR="00E02E1A" w:rsidP="00E02E1A" w:rsidRDefault="00CE23CC" w14:paraId="614B5A48" w14:textId="77777777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Az ukrán vezetői engedélyek elismerése</w:t>
      </w:r>
    </w:p>
    <w:p w:rsidRPr="009B70E7" w:rsidR="00E02E1A" w:rsidP="00E02E1A" w:rsidRDefault="00E02E1A" w14:paraId="22D36C2D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617"/>
        <w:gridCol w:w="5387"/>
      </w:tblGrid>
      <w:tr w:rsidRPr="009B70E7" w:rsidR="00E02E1A" w:rsidTr="007B4C38" w14:paraId="79CECBDD" w14:textId="77777777">
        <w:tc>
          <w:tcPr>
            <w:tcW w:w="7088" w:type="dxa"/>
            <w:gridSpan w:val="2"/>
          </w:tcPr>
          <w:tbl>
            <w:tblPr>
              <w:tblStyle w:val="TableGrid"/>
              <w:tblW w:w="7729" w:type="dxa"/>
              <w:tblInd w:w="7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331"/>
              <w:gridCol w:w="5398"/>
            </w:tblGrid>
            <w:tr w:rsidRPr="009B70E7" w:rsidR="00394949" w:rsidTr="003A7A14" w14:paraId="67D0221A" w14:textId="77777777">
              <w:tc>
                <w:tcPr>
                  <w:tcW w:w="2331" w:type="dxa"/>
                </w:tcPr>
                <w:p w:rsidRPr="00B40158" w:rsidR="00394949" w:rsidP="00E65D01" w:rsidRDefault="00CE23CC" w14:paraId="23E9C308" w14:textId="77777777">
                  <w:pPr>
                    <w:pStyle w:val="ListParagraph"/>
                    <w:ind w:left="-24" w:hanging="85"/>
                    <w:rPr>
                      <w:b/>
                    </w:rPr>
                  </w:pPr>
                  <w:r>
                    <w:rPr>
                      <w:b/>
                    </w:rPr>
                    <w:t>C kategóriás vélemény</w:t>
                  </w:r>
                </w:p>
              </w:tc>
              <w:tc>
                <w:tcPr>
                  <w:tcW w:w="5398" w:type="dxa"/>
                </w:tcPr>
                <w:p w:rsidR="00394949" w:rsidP="00E65D01" w:rsidRDefault="00394949" w14:paraId="59EBC4B9" w14:textId="77777777">
                  <w:pPr>
                    <w:pStyle w:val="ListParagraph"/>
                    <w:ind w:left="64" w:firstLine="142"/>
                  </w:pPr>
                </w:p>
                <w:p w:rsidRPr="009B70E7" w:rsidR="00394949" w:rsidP="00394949" w:rsidRDefault="00394949" w14:paraId="44E6DD99" w14:textId="77777777">
                  <w:pPr>
                    <w:pStyle w:val="ListParagraph"/>
                    <w:ind w:left="-108"/>
                  </w:pPr>
                </w:p>
              </w:tc>
            </w:tr>
          </w:tbl>
          <w:p w:rsidRPr="009B70E7" w:rsidR="00E02E1A" w:rsidP="007B4C38" w:rsidRDefault="00E02E1A" w14:paraId="36B93263" w14:textId="77777777">
            <w:pPr>
              <w:pStyle w:val="ListParagraph"/>
              <w:keepNext/>
              <w:ind w:left="0"/>
            </w:pPr>
          </w:p>
        </w:tc>
      </w:tr>
      <w:tr w:rsidRPr="009B70E7" w:rsidR="00E02E1A" w:rsidTr="007B4C38" w14:paraId="18B826E9" w14:textId="77777777">
        <w:tc>
          <w:tcPr>
            <w:tcW w:w="1701" w:type="dxa"/>
            <w:vMerge w:val="restart"/>
          </w:tcPr>
          <w:p w:rsidRPr="009B70E7" w:rsidR="00E02E1A" w:rsidP="003165A9" w:rsidRDefault="00E02E1A" w14:paraId="0D6FDD91" w14:textId="77777777">
            <w:pPr>
              <w:pStyle w:val="ListParagraph"/>
              <w:keepNext/>
              <w:ind w:left="84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387" w:type="dxa"/>
          </w:tcPr>
          <w:p w:rsidRPr="009B70E7" w:rsidR="00E02E1A" w:rsidP="007B4C38" w:rsidRDefault="00E02E1A" w14:paraId="1793B5F5" w14:textId="77777777">
            <w:pPr>
              <w:pStyle w:val="ListParagraph"/>
              <w:keepNext/>
              <w:ind w:left="-56"/>
            </w:pPr>
            <w:proofErr w:type="gramStart"/>
            <w:r>
              <w:t>COM(</w:t>
            </w:r>
            <w:proofErr w:type="gramEnd"/>
            <w:r>
              <w:t xml:space="preserve">2022) 313 </w:t>
            </w:r>
            <w:proofErr w:type="spellStart"/>
            <w:r>
              <w:t>final</w:t>
            </w:r>
            <w:proofErr w:type="spellEnd"/>
          </w:p>
        </w:tc>
      </w:tr>
      <w:tr w:rsidRPr="009B70E7" w:rsidR="00E02E1A" w:rsidTr="007B4C38" w14:paraId="04F010A3" w14:textId="77777777">
        <w:tc>
          <w:tcPr>
            <w:tcW w:w="1701" w:type="dxa"/>
            <w:vMerge/>
          </w:tcPr>
          <w:p w:rsidRPr="009B70E7" w:rsidR="00E02E1A" w:rsidP="007B4C38" w:rsidRDefault="00E02E1A" w14:paraId="6BB9873E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9B70E7" w:rsidR="00E02E1A" w:rsidP="007B4C38" w:rsidRDefault="00A30B84" w14:paraId="4786441E" w14:textId="77777777">
            <w:pPr>
              <w:pStyle w:val="ListParagraph"/>
              <w:keepNext/>
              <w:ind w:left="-56"/>
            </w:pPr>
            <w:r>
              <w:t>EESC-2022-03334-00-00-AC</w:t>
            </w:r>
          </w:p>
        </w:tc>
      </w:tr>
    </w:tbl>
    <w:p w:rsidR="00E02E1A" w:rsidP="00E02E1A" w:rsidRDefault="00E02E1A" w14:paraId="08BAF99C" w14:textId="77777777">
      <w:pPr>
        <w:pStyle w:val="ListParagraph"/>
        <w:ind w:left="0"/>
      </w:pPr>
    </w:p>
    <w:p w:rsidR="003165A9" w:rsidP="002C4B6E" w:rsidRDefault="003165A9" w14:paraId="08069896" w14:textId="1CDF9A93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3165A9" w:rsidP="00326919" w:rsidRDefault="003165A9" w14:paraId="00186DD7" w14:textId="77777777">
      <w:pPr>
        <w:pStyle w:val="ListParagraph"/>
        <w:keepNext/>
        <w:keepLines/>
        <w:ind w:left="0"/>
      </w:pPr>
    </w:p>
    <w:p w:rsidRPr="0018231C" w:rsidR="003165A9" w:rsidP="00326919" w:rsidRDefault="00E65D01" w14:paraId="443A7F30" w14:textId="77777777">
      <w:pPr>
        <w:pStyle w:val="ListParagraph"/>
        <w:keepNext/>
        <w:keepLines/>
        <w:ind w:left="0"/>
      </w:pPr>
      <w:r>
        <w:t>Mivel az EGSZB megfelelőnek tartja a javaslat tartalmát, és részéről további megjegyzést nem kíván hozzáfűzni, úgy határozott, hogy a javaslattal kapcsolatban támogató véleményt bocsát ki.</w:t>
      </w:r>
    </w:p>
    <w:p w:rsidRPr="009B70E7" w:rsidR="00E02E1A" w:rsidP="00E02E1A" w:rsidRDefault="00E02E1A" w14:paraId="132E231E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056079" w:rsidTr="00DC17CF" w14:paraId="3D653507" w14:textId="77777777">
        <w:tc>
          <w:tcPr>
            <w:tcW w:w="1418" w:type="dxa"/>
          </w:tcPr>
          <w:p w:rsidRPr="009B70E7" w:rsidR="00056079" w:rsidP="00DC17CF" w:rsidRDefault="00056079" w14:paraId="6C05EC5E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056079" w:rsidP="00DC17CF" w:rsidRDefault="00E65D01" w14:paraId="3A49D460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Antonio </w:t>
            </w:r>
            <w:proofErr w:type="spellStart"/>
            <w:r>
              <w:rPr>
                <w:i/>
              </w:rPr>
              <w:t>Ribeiro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Pereira</w:t>
            </w:r>
            <w:proofErr w:type="spellEnd"/>
          </w:p>
        </w:tc>
      </w:tr>
      <w:tr w:rsidRPr="009B70E7" w:rsidR="00056079" w:rsidTr="00DC17CF" w14:paraId="0C0A979F" w14:textId="77777777">
        <w:tc>
          <w:tcPr>
            <w:tcW w:w="1418" w:type="dxa"/>
          </w:tcPr>
          <w:p w:rsidRPr="009B70E7" w:rsidR="00056079" w:rsidP="00DC17CF" w:rsidRDefault="00056079" w14:paraId="6EB01253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056079" w:rsidP="00DC17CF" w:rsidRDefault="00056079" w14:paraId="73BBF09C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00 32 2 546 93 63</w:t>
            </w:r>
          </w:p>
        </w:tc>
      </w:tr>
      <w:tr w:rsidRPr="009B70E7" w:rsidR="00056079" w:rsidTr="00DC17CF" w14:paraId="534BAC1D" w14:textId="77777777">
        <w:tc>
          <w:tcPr>
            <w:tcW w:w="1418" w:type="dxa"/>
          </w:tcPr>
          <w:p w:rsidRPr="009B70E7" w:rsidR="00056079" w:rsidP="003A7A14" w:rsidRDefault="00056079" w14:paraId="0D67677C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056079" w:rsidP="00DC17CF" w:rsidRDefault="00544E97" w14:paraId="52F9C6C7" w14:textId="77777777">
            <w:pPr>
              <w:pStyle w:val="ListParagraph"/>
              <w:ind w:left="0"/>
              <w:rPr>
                <w:i/>
              </w:rPr>
            </w:pPr>
            <w:hyperlink w:history="1" r:id="rId29">
              <w:r w:rsidR="00FA343E">
                <w:rPr>
                  <w:rStyle w:val="Hyperlink"/>
                  <w:i/>
                </w:rPr>
                <w:t>Antonio.RibeiroPereira@eesc.europa.eu</w:t>
              </w:r>
            </w:hyperlink>
          </w:p>
        </w:tc>
      </w:tr>
    </w:tbl>
    <w:p w:rsidR="00910972" w:rsidP="00910972" w:rsidRDefault="00910972" w14:paraId="47123D2A" w14:textId="77777777">
      <w:pPr>
        <w:pStyle w:val="ListParagraph"/>
        <w:keepNext/>
        <w:ind w:left="567"/>
        <w:rPr>
          <w:b/>
          <w:i/>
          <w:sz w:val="28"/>
          <w:szCs w:val="28"/>
        </w:rPr>
      </w:pPr>
    </w:p>
    <w:p w:rsidR="00910972" w:rsidRDefault="00910972" w14:paraId="0E683792" w14:textId="77777777">
      <w:pPr>
        <w:spacing w:after="160" w:line="259" w:lineRule="auto"/>
        <w:jc w:val="left"/>
        <w:rPr>
          <w:b/>
          <w:i/>
          <w:sz w:val="28"/>
          <w:szCs w:val="28"/>
        </w:rPr>
      </w:pPr>
      <w:r>
        <w:br w:type="page"/>
      </w:r>
    </w:p>
    <w:p w:rsidRPr="009B70E7" w:rsidR="00E65D01" w:rsidP="00E65D01" w:rsidRDefault="00015E18" w14:paraId="1916BCFD" w14:textId="21C1445C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Irányelv az energiahatékonyságról</w:t>
      </w:r>
    </w:p>
    <w:p w:rsidRPr="009B70E7" w:rsidR="00E65D01" w:rsidP="00E65D01" w:rsidRDefault="00E65D01" w14:paraId="185CF155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917"/>
        <w:gridCol w:w="5392"/>
      </w:tblGrid>
      <w:tr w:rsidRPr="009B70E7" w:rsidR="00E65D01" w:rsidTr="003A7A14" w14:paraId="258CD34A" w14:textId="77777777">
        <w:tc>
          <w:tcPr>
            <w:tcW w:w="7576" w:type="dxa"/>
            <w:gridSpan w:val="2"/>
          </w:tcPr>
          <w:tbl>
            <w:tblPr>
              <w:tblStyle w:val="TableGrid"/>
              <w:tblW w:w="7871" w:type="dxa"/>
              <w:tblInd w:w="79" w:type="dxa"/>
              <w:tblBorders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insideH w:val="none" w:color="auto" w:sz="0" w:space="0"/>
                <w:insideV w:val="none" w:color="auto" w:sz="0" w:space="0"/>
              </w:tblBorders>
              <w:tblLook w:val="04A0" w:firstRow="1" w:lastRow="0" w:firstColumn="1" w:lastColumn="0" w:noHBand="0" w:noVBand="1"/>
            </w:tblPr>
            <w:tblGrid>
              <w:gridCol w:w="2473"/>
              <w:gridCol w:w="5398"/>
            </w:tblGrid>
            <w:tr w:rsidRPr="009B70E7" w:rsidR="00E65D01" w:rsidTr="003A7A14" w14:paraId="4A8EDAA3" w14:textId="77777777">
              <w:tc>
                <w:tcPr>
                  <w:tcW w:w="2473" w:type="dxa"/>
                </w:tcPr>
                <w:p w:rsidRPr="00B40158" w:rsidR="00E65D01" w:rsidP="008B66DD" w:rsidRDefault="00E65D01" w14:paraId="40A2FEEE" w14:textId="77777777">
                  <w:pPr>
                    <w:pStyle w:val="ListParagraph"/>
                    <w:ind w:left="-24" w:hanging="85"/>
                    <w:rPr>
                      <w:b/>
                    </w:rPr>
                  </w:pPr>
                  <w:r>
                    <w:rPr>
                      <w:b/>
                    </w:rPr>
                    <w:t>C kategóriás vélemény</w:t>
                  </w:r>
                </w:p>
              </w:tc>
              <w:tc>
                <w:tcPr>
                  <w:tcW w:w="5398" w:type="dxa"/>
                </w:tcPr>
                <w:p w:rsidR="00E65D01" w:rsidP="008B66DD" w:rsidRDefault="00E65D01" w14:paraId="481ABB04" w14:textId="77777777">
                  <w:pPr>
                    <w:pStyle w:val="ListParagraph"/>
                    <w:ind w:left="64" w:firstLine="142"/>
                  </w:pPr>
                </w:p>
                <w:p w:rsidRPr="009B70E7" w:rsidR="00E65D01" w:rsidP="008B66DD" w:rsidRDefault="00E65D01" w14:paraId="44855807" w14:textId="77777777">
                  <w:pPr>
                    <w:pStyle w:val="ListParagraph"/>
                    <w:ind w:left="-108"/>
                  </w:pPr>
                </w:p>
              </w:tc>
            </w:tr>
          </w:tbl>
          <w:p w:rsidRPr="009B70E7" w:rsidR="00E65D01" w:rsidP="008B66DD" w:rsidRDefault="00E65D01" w14:paraId="65666DBD" w14:textId="77777777">
            <w:pPr>
              <w:pStyle w:val="ListParagraph"/>
              <w:keepNext/>
              <w:ind w:left="0"/>
            </w:pPr>
          </w:p>
        </w:tc>
      </w:tr>
      <w:tr w:rsidRPr="009B70E7" w:rsidR="00E65D01" w:rsidTr="003A7A14" w14:paraId="3392BC69" w14:textId="77777777">
        <w:tc>
          <w:tcPr>
            <w:tcW w:w="2184" w:type="dxa"/>
            <w:vMerge w:val="restart"/>
          </w:tcPr>
          <w:p w:rsidRPr="009B70E7" w:rsidR="00E65D01" w:rsidP="008B66DD" w:rsidRDefault="00E65D01" w14:paraId="26927961" w14:textId="77777777">
            <w:pPr>
              <w:pStyle w:val="ListParagraph"/>
              <w:keepNext/>
              <w:ind w:left="84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387" w:type="dxa"/>
          </w:tcPr>
          <w:p w:rsidRPr="009B70E7" w:rsidR="00E65D01" w:rsidP="008B66DD" w:rsidRDefault="00E65D01" w14:paraId="5C473A41" w14:textId="77777777">
            <w:pPr>
              <w:pStyle w:val="ListParagraph"/>
              <w:keepNext/>
              <w:ind w:left="-56"/>
            </w:pPr>
            <w:proofErr w:type="gramStart"/>
            <w:r>
              <w:t>COM(</w:t>
            </w:r>
            <w:proofErr w:type="gramEnd"/>
            <w:r>
              <w:t xml:space="preserve">2021) 222 </w:t>
            </w:r>
            <w:proofErr w:type="spellStart"/>
            <w:r>
              <w:t>final</w:t>
            </w:r>
            <w:proofErr w:type="spellEnd"/>
          </w:p>
        </w:tc>
      </w:tr>
      <w:tr w:rsidRPr="009B70E7" w:rsidR="00E65D01" w:rsidTr="003A7A14" w14:paraId="49746E2A" w14:textId="77777777">
        <w:tc>
          <w:tcPr>
            <w:tcW w:w="2184" w:type="dxa"/>
            <w:vMerge/>
          </w:tcPr>
          <w:p w:rsidRPr="009B70E7" w:rsidR="00E65D01" w:rsidP="008B66DD" w:rsidRDefault="00E65D01" w14:paraId="1F52D818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9B70E7" w:rsidR="00E65D01" w:rsidP="008B66DD" w:rsidRDefault="00E65D01" w14:paraId="4838E34A" w14:textId="77777777">
            <w:pPr>
              <w:pStyle w:val="ListParagraph"/>
              <w:keepNext/>
              <w:ind w:left="-56"/>
            </w:pPr>
            <w:r>
              <w:t>EESC-2022-03411-00-00-AC</w:t>
            </w:r>
          </w:p>
        </w:tc>
      </w:tr>
    </w:tbl>
    <w:p w:rsidR="00E65D01" w:rsidP="00E65D01" w:rsidRDefault="00E65D01" w14:paraId="12B32AC3" w14:textId="77777777">
      <w:pPr>
        <w:pStyle w:val="ListParagraph"/>
        <w:ind w:left="0"/>
      </w:pPr>
    </w:p>
    <w:p w:rsidR="00E65D01" w:rsidP="00E65D01" w:rsidRDefault="00E65D01" w14:paraId="7E7C24B9" w14:textId="5C9C3C91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E65D01" w:rsidP="00E65D01" w:rsidRDefault="00E65D01" w14:paraId="7B99BBA6" w14:textId="77777777">
      <w:pPr>
        <w:pStyle w:val="ListParagraph"/>
        <w:keepNext/>
        <w:keepLines/>
        <w:ind w:left="0"/>
      </w:pPr>
    </w:p>
    <w:p w:rsidRPr="0018231C" w:rsidR="00E65D01" w:rsidP="00E65D01" w:rsidRDefault="00E65D01" w14:paraId="53C0C59E" w14:textId="77777777">
      <w:pPr>
        <w:pStyle w:val="ListParagraph"/>
        <w:keepNext/>
        <w:keepLines/>
        <w:ind w:left="0"/>
      </w:pPr>
      <w:r>
        <w:t>Mivel az EGSZB megfelelőnek tartja a javaslat tartalmát, és részéről további megjegyzést nem kíván hozzáfűzni, úgy határozott, hogy a javaslattal kapcsolatban támogató véleményt bocsát ki.</w:t>
      </w:r>
    </w:p>
    <w:p w:rsidRPr="0018231C" w:rsidR="00E65D01" w:rsidP="00E65D01" w:rsidRDefault="00E65D01" w14:paraId="256A110C" w14:textId="77777777">
      <w:pPr>
        <w:pStyle w:val="ListParagraph"/>
        <w:ind w:left="0"/>
        <w:rPr>
          <w:lang w:val="fr-FR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E65D01" w:rsidTr="008B66DD" w14:paraId="0DD84967" w14:textId="77777777">
        <w:tc>
          <w:tcPr>
            <w:tcW w:w="1418" w:type="dxa"/>
          </w:tcPr>
          <w:p w:rsidRPr="009B70E7" w:rsidR="00E65D01" w:rsidP="008B66DD" w:rsidRDefault="00E65D01" w14:paraId="711CBA3F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E65D01" w:rsidP="008B66DD" w:rsidRDefault="00E65D01" w14:paraId="7621E843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Giorgia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Bordignon</w:t>
            </w:r>
            <w:proofErr w:type="spellEnd"/>
          </w:p>
        </w:tc>
      </w:tr>
      <w:tr w:rsidRPr="009B70E7" w:rsidR="00E65D01" w:rsidTr="008B66DD" w14:paraId="045CA179" w14:textId="77777777">
        <w:tc>
          <w:tcPr>
            <w:tcW w:w="1418" w:type="dxa"/>
          </w:tcPr>
          <w:p w:rsidRPr="009B70E7" w:rsidR="00E65D01" w:rsidP="008B66DD" w:rsidRDefault="00E65D01" w14:paraId="3D84C005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E65D01" w:rsidP="008B66DD" w:rsidRDefault="00E65D01" w14:paraId="28C76439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00 32 2 546 85 35</w:t>
            </w:r>
          </w:p>
        </w:tc>
      </w:tr>
      <w:tr w:rsidRPr="009B70E7" w:rsidR="00E65D01" w:rsidTr="008B66DD" w14:paraId="0FBDB7F6" w14:textId="77777777">
        <w:tc>
          <w:tcPr>
            <w:tcW w:w="1418" w:type="dxa"/>
          </w:tcPr>
          <w:p w:rsidRPr="009B70E7" w:rsidR="00E65D01" w:rsidP="003A7A14" w:rsidRDefault="00E65D01" w14:paraId="70AB4C5C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E65D01" w:rsidP="008B66DD" w:rsidRDefault="00544E97" w14:paraId="769D6878" w14:textId="77777777">
            <w:pPr>
              <w:pStyle w:val="ListParagraph"/>
              <w:ind w:left="0"/>
              <w:rPr>
                <w:i/>
              </w:rPr>
            </w:pPr>
            <w:hyperlink w:history="1" r:id="rId30">
              <w:r w:rsidR="00FA343E">
                <w:rPr>
                  <w:rStyle w:val="Hyperlink"/>
                  <w:i/>
                </w:rPr>
                <w:t>Giorgia.Bordignon@eesc.europa.eu</w:t>
              </w:r>
            </w:hyperlink>
          </w:p>
        </w:tc>
      </w:tr>
    </w:tbl>
    <w:p w:rsidR="002A2F38" w:rsidP="0018231C" w:rsidRDefault="002A2F38" w14:paraId="7C470F49" w14:textId="77777777">
      <w:pPr>
        <w:jc w:val="left"/>
        <w:rPr>
          <w:sz w:val="28"/>
        </w:rPr>
      </w:pPr>
    </w:p>
    <w:p w:rsidR="00015E18" w:rsidRDefault="00015E18" w14:paraId="4D226931" w14:textId="77777777">
      <w:pPr>
        <w:spacing w:after="160" w:line="259" w:lineRule="auto"/>
        <w:jc w:val="left"/>
        <w:rPr>
          <w:sz w:val="28"/>
        </w:rPr>
      </w:pPr>
      <w:r>
        <w:br w:type="page"/>
      </w:r>
    </w:p>
    <w:p w:rsidRPr="009B70E7" w:rsidR="004D7AC0" w:rsidRDefault="004D7AC0" w14:paraId="3F8FA026" w14:textId="77777777">
      <w:pPr>
        <w:pStyle w:val="Heading1"/>
        <w:rPr>
          <w:b/>
        </w:rPr>
      </w:pPr>
      <w:bookmarkStart w:name="_Toc75527083" w:id="12"/>
      <w:bookmarkStart w:name="_Toc109810933" w:id="13"/>
      <w:r>
        <w:rPr>
          <w:b/>
        </w:rPr>
        <w:lastRenderedPageBreak/>
        <w:t xml:space="preserve">EGYSÉGES PIAC, TERMELÉS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FOGYASZTÁS</w:t>
      </w:r>
      <w:bookmarkEnd w:id="12"/>
      <w:bookmarkEnd w:id="13"/>
    </w:p>
    <w:p w:rsidRPr="009B70E7" w:rsidR="004D7AC0" w:rsidRDefault="004D7AC0" w14:paraId="03FF9505" w14:textId="77777777"/>
    <w:p w:rsidRPr="007E7A4F" w:rsidR="004D7AC0" w:rsidP="007E7A4F" w:rsidRDefault="001A2273" w14:paraId="7F0491AB" w14:textId="35589013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Fogyasztók és zöld átállás</w:t>
      </w:r>
    </w:p>
    <w:p w:rsidRPr="009B70E7" w:rsidR="004D7AC0" w:rsidP="0018231C" w:rsidRDefault="004D7AC0" w14:paraId="6D553771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753F2A" w:rsidTr="00342F72" w14:paraId="67E764D9" w14:textId="77777777">
        <w:tc>
          <w:tcPr>
            <w:tcW w:w="1701" w:type="dxa"/>
          </w:tcPr>
          <w:p w:rsidRPr="009B70E7" w:rsidR="00753F2A" w:rsidRDefault="00753F2A" w14:paraId="793CE0A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096" w:type="dxa"/>
          </w:tcPr>
          <w:p w:rsidRPr="007E7A4F" w:rsidR="00645723" w:rsidP="00A74B4C" w:rsidRDefault="000A007B" w14:paraId="2F83A1EA" w14:textId="77777777">
            <w:pPr>
              <w:pStyle w:val="ListParagraph"/>
              <w:ind w:left="-108"/>
            </w:pPr>
            <w:proofErr w:type="spellStart"/>
            <w:r>
              <w:t>Thierry</w:t>
            </w:r>
            <w:proofErr w:type="spellEnd"/>
            <w:r>
              <w:t xml:space="preserve"> LIBAERT (Civil társadalmi szervezetek/FR)</w:t>
            </w:r>
          </w:p>
        </w:tc>
      </w:tr>
      <w:tr w:rsidRPr="007E7A4F" w:rsidR="00E65D01" w:rsidTr="00342F72" w14:paraId="66C242BA" w14:textId="77777777">
        <w:tc>
          <w:tcPr>
            <w:tcW w:w="1701" w:type="dxa"/>
          </w:tcPr>
          <w:p w:rsidRPr="009B70E7" w:rsidR="00E65D01" w:rsidRDefault="00E65D01" w14:paraId="3314C6AE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6096" w:type="dxa"/>
          </w:tcPr>
          <w:p w:rsidRPr="00A74B4C" w:rsidR="00E65D01" w:rsidP="00A74B4C" w:rsidRDefault="00E65D01" w14:paraId="3F16BFA0" w14:textId="77777777">
            <w:pPr>
              <w:pStyle w:val="ListParagraph"/>
              <w:ind w:left="-108"/>
            </w:pPr>
            <w:proofErr w:type="spellStart"/>
            <w:r>
              <w:t>Gonçalo</w:t>
            </w:r>
            <w:proofErr w:type="spellEnd"/>
            <w:r>
              <w:t xml:space="preserve"> LOBO XAVIER (Munkáltatók/PT)</w:t>
            </w:r>
          </w:p>
        </w:tc>
      </w:tr>
      <w:tr w:rsidRPr="007E7A4F" w:rsidR="004C40E4" w:rsidTr="00342F72" w14:paraId="5D5E00A4" w14:textId="77777777">
        <w:tc>
          <w:tcPr>
            <w:tcW w:w="7797" w:type="dxa"/>
            <w:gridSpan w:val="2"/>
          </w:tcPr>
          <w:p w:rsidRPr="00E65D01" w:rsidR="004C40E4" w:rsidRDefault="004C40E4" w14:paraId="4586BF19" w14:textId="77777777">
            <w:pPr>
              <w:pStyle w:val="ListParagraph"/>
              <w:ind w:left="0"/>
              <w:rPr>
                <w:b/>
                <w:lang w:val="fr-BE"/>
              </w:rPr>
            </w:pPr>
          </w:p>
        </w:tc>
      </w:tr>
      <w:tr w:rsidRPr="009B70E7" w:rsidR="004D7AC0" w:rsidTr="00342F72" w14:paraId="5F7FEE9D" w14:textId="77777777">
        <w:tc>
          <w:tcPr>
            <w:tcW w:w="1701" w:type="dxa"/>
          </w:tcPr>
          <w:p w:rsidRPr="009B70E7" w:rsidR="004D7AC0" w:rsidRDefault="004D7AC0" w14:paraId="7A4B764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096" w:type="dxa"/>
          </w:tcPr>
          <w:p w:rsidRPr="009B70E7" w:rsidR="006A3A88" w:rsidP="000F53B7" w:rsidRDefault="000A007B" w14:paraId="3C04A448" w14:textId="77777777">
            <w:pPr>
              <w:tabs>
                <w:tab w:val="center" w:pos="284"/>
              </w:tabs>
              <w:ind w:left="266" w:hanging="374"/>
            </w:pPr>
            <w:proofErr w:type="gramStart"/>
            <w:r>
              <w:t>COM(</w:t>
            </w:r>
            <w:proofErr w:type="gramEnd"/>
            <w:r>
              <w:t xml:space="preserve">2022) 143 </w:t>
            </w:r>
            <w:proofErr w:type="spellStart"/>
            <w:r>
              <w:t>final</w:t>
            </w:r>
            <w:proofErr w:type="spellEnd"/>
          </w:p>
          <w:p w:rsidRPr="009B70E7" w:rsidR="004D7AC0" w:rsidP="000F53B7" w:rsidRDefault="000A007B" w14:paraId="191F43FD" w14:textId="77777777">
            <w:pPr>
              <w:pStyle w:val="ListParagraph"/>
              <w:ind w:left="-108"/>
            </w:pPr>
            <w:r>
              <w:t>EESC-2022-01950-00-00-AC</w:t>
            </w:r>
          </w:p>
        </w:tc>
      </w:tr>
    </w:tbl>
    <w:p w:rsidRPr="009B70E7" w:rsidR="00BB1EE2" w:rsidRDefault="00BB1EE2" w14:paraId="49F1F598" w14:textId="77777777">
      <w:pPr>
        <w:pStyle w:val="ListParagraph"/>
        <w:ind w:left="0"/>
        <w:rPr>
          <w:b/>
        </w:rPr>
      </w:pPr>
    </w:p>
    <w:p w:rsidRPr="0018231C" w:rsidR="004D7AC0" w:rsidP="002C4B6E" w:rsidRDefault="00D20C54" w14:paraId="6267AC05" w14:textId="1849BC99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18231C" w:rsidR="004D7AC0" w:rsidRDefault="004D7AC0" w14:paraId="3E3F39EC" w14:textId="77777777">
      <w:pPr>
        <w:pStyle w:val="ListParagraph"/>
        <w:ind w:left="0"/>
        <w:rPr>
          <w:lang w:val="fr-FR"/>
        </w:rPr>
      </w:pPr>
    </w:p>
    <w:p w:rsidR="007E7A4F" w:rsidRDefault="00D20C54" w14:paraId="1A9DE11D" w14:textId="77777777">
      <w:pPr>
        <w:pStyle w:val="ListParagraph"/>
        <w:ind w:left="0"/>
      </w:pPr>
      <w:r>
        <w:t>Az EGSZB:</w:t>
      </w:r>
    </w:p>
    <w:p w:rsidRPr="0018231C" w:rsidR="00331C12" w:rsidRDefault="00331C12" w14:paraId="35D1C8DD" w14:textId="77777777">
      <w:pPr>
        <w:pStyle w:val="ListParagraph"/>
        <w:ind w:left="0"/>
        <w:rPr>
          <w:lang w:val="fr-FR"/>
        </w:rPr>
      </w:pPr>
    </w:p>
    <w:p w:rsidRPr="007E7A4F" w:rsidR="00225C52" w:rsidP="00225C52" w:rsidRDefault="00D04678" w14:paraId="4C138A05" w14:textId="35C7618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hangsúlyozza, hogy </w:t>
      </w:r>
      <w:r>
        <w:rPr>
          <w:b/>
        </w:rPr>
        <w:t>az információkat rendszeresen a fogyasztók rendelkezésére kell bocsátani</w:t>
      </w:r>
      <w:r>
        <w:t>,</w:t>
      </w:r>
    </w:p>
    <w:p w:rsidRPr="000A007B" w:rsidR="00225C52" w:rsidP="00225C52" w:rsidRDefault="00D04678" w14:paraId="24A2C373" w14:textId="41211029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>sürgeti az Európai Bizottságot, hogy</w:t>
      </w:r>
      <w:r>
        <w:rPr>
          <w:b/>
        </w:rPr>
        <w:t xml:space="preserve"> tegyen tanúbizonyságot ambíciójáról azzal, hogy jogszabályban rögzíti a javíthatóság jelölésének elvét a szórakoztatóelektronikai termékek és az elektromos háztartási gépek esetében</w:t>
      </w:r>
      <w:r>
        <w:t>,</w:t>
      </w:r>
    </w:p>
    <w:p w:rsidRPr="000A007B" w:rsidR="000A007B" w:rsidP="00225C52" w:rsidRDefault="00D04678" w14:paraId="1330E042" w14:textId="100E679E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úgy véli, hogy az Európai Bizottságnak </w:t>
      </w:r>
      <w:r>
        <w:rPr>
          <w:b/>
        </w:rPr>
        <w:t>a termékek tartósságának egyszerű és összehangolt feltüntetésére irányuló elv érvényesítésében is előrelépést kell elérnie</w:t>
      </w:r>
      <w:r>
        <w:t xml:space="preserve"> az elkövetkező években,</w:t>
      </w:r>
    </w:p>
    <w:p w:rsidRPr="000A007B" w:rsidR="000A007B" w:rsidP="00225C52" w:rsidRDefault="00D04678" w14:paraId="3D07993B" w14:textId="2FB4C5D0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véleménye szerint </w:t>
      </w:r>
      <w:r>
        <w:rPr>
          <w:b/>
        </w:rPr>
        <w:t>támogatni kell az új szerelők képzését és a jelenleg aktívak képességeinek fejlesztését</w:t>
      </w:r>
      <w:r>
        <w:t>,</w:t>
      </w:r>
    </w:p>
    <w:p w:rsidRPr="000A007B" w:rsidR="000A007B" w:rsidP="00225C52" w:rsidRDefault="00D04678" w14:paraId="678E3DCE" w14:textId="27E40AC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>arra is kéri Európát, hogy</w:t>
      </w:r>
      <w:r>
        <w:rPr>
          <w:b/>
        </w:rPr>
        <w:t xml:space="preserve"> csökkentse a nyersanyagoktól való függőségét annak érdekében, hogy megerősítse javítási képességét és pótalkatrészekkel való ellátottságát</w:t>
      </w:r>
      <w:r>
        <w:t>,</w:t>
      </w:r>
    </w:p>
    <w:p w:rsidRPr="000A007B" w:rsidR="000A007B" w:rsidP="00225C52" w:rsidRDefault="00D04678" w14:paraId="4D90AA30" w14:textId="65E73F4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>úgy véli, hogy</w:t>
      </w:r>
      <w:r>
        <w:rPr>
          <w:b/>
        </w:rPr>
        <w:t xml:space="preserve"> a fogyasztót jobban meg kell védeni a kötelező, illetve a kereskedelmi jótállás fogalmának összekeverésétől</w:t>
      </w:r>
      <w:r>
        <w:t xml:space="preserve">, valamint </w:t>
      </w:r>
      <w:r>
        <w:rPr>
          <w:b/>
        </w:rPr>
        <w:t>elő kell segíteni a javítás elsőbbségét az új termékre cseréléssel szemben</w:t>
      </w:r>
      <w:r>
        <w:t xml:space="preserve"> </w:t>
      </w:r>
      <w:proofErr w:type="gramStart"/>
      <w:r>
        <w:t>anélkül</w:t>
      </w:r>
      <w:proofErr w:type="gramEnd"/>
      <w:r>
        <w:t xml:space="preserve"> azonban, hogy korlátoznák a fogyasztók szabad választását a jogorvoslati lehetőségek tekintetében,</w:t>
      </w:r>
    </w:p>
    <w:p w:rsidRPr="00650DB1" w:rsidR="000A007B" w:rsidP="00225C52" w:rsidRDefault="00D04678" w14:paraId="41DDE40E" w14:textId="69AC55BA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úgy gondolja, hogy </w:t>
      </w:r>
      <w:r>
        <w:rPr>
          <w:b/>
        </w:rPr>
        <w:t>a fogyasztói szerepvállaláson kívül a megtévesztő reklám elleni jobb védekezést is meg kell erősíteni</w:t>
      </w:r>
      <w:r>
        <w:t>,</w:t>
      </w:r>
    </w:p>
    <w:p w:rsidRPr="00650DB1" w:rsidR="00650DB1" w:rsidP="00225C52" w:rsidRDefault="00650DB1" w14:paraId="1361AE6B" w14:textId="186485B1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véleménye szerint szükség van </w:t>
      </w:r>
      <w:r>
        <w:rPr>
          <w:b/>
        </w:rPr>
        <w:t>a környezeti állítások ellenőrzésére szolgáló kapacitások megerősítésére</w:t>
      </w:r>
      <w:r>
        <w:t xml:space="preserve"> is,</w:t>
      </w:r>
    </w:p>
    <w:p w:rsidRPr="00650DB1" w:rsidR="00650DB1" w:rsidP="00225C52" w:rsidRDefault="00650DB1" w14:paraId="63699F61" w14:textId="24067C0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úgy véli, hogy az Európai Bizottságnak </w:t>
      </w:r>
      <w:r>
        <w:rPr>
          <w:b/>
        </w:rPr>
        <w:t xml:space="preserve">nagyobb hangsúlyt kellene fektetnie az uniós </w:t>
      </w:r>
      <w:proofErr w:type="spellStart"/>
      <w:r>
        <w:rPr>
          <w:b/>
        </w:rPr>
        <w:t>ökocímkére</w:t>
      </w:r>
      <w:proofErr w:type="spellEnd"/>
      <w:r>
        <w:t xml:space="preserve"> és a címkézés terén a tanúsítási eljárások szükségességére,</w:t>
      </w:r>
    </w:p>
    <w:p w:rsidRPr="00650DB1" w:rsidR="00650DB1" w:rsidP="00225C52" w:rsidRDefault="00650DB1" w14:paraId="27D078B3" w14:textId="55240C64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kéri az EU-t, hogy </w:t>
      </w:r>
      <w:r>
        <w:rPr>
          <w:b/>
        </w:rPr>
        <w:t>erősítse meg a termékek környezeti jellemzőivel kapcsolatban bejelentést tévő személyek védelmét, továbbá</w:t>
      </w:r>
    </w:p>
    <w:p w:rsidRPr="007E7A4F" w:rsidR="00650DB1" w:rsidP="00225C52" w:rsidRDefault="00650DB1" w14:paraId="62FC44AC" w14:textId="585E3086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arra kéri az Európai Bizottságot, hogy </w:t>
      </w:r>
      <w:r>
        <w:rPr>
          <w:b/>
        </w:rPr>
        <w:t>a felelős fogyasztás kérdéseivel kapcsolatban fokozza a fogyasztói tudatosságot</w:t>
      </w:r>
      <w:r>
        <w:t>.</w:t>
      </w:r>
    </w:p>
    <w:p w:rsidRPr="007E7A4F" w:rsidR="003C4D5B" w:rsidP="000A007B" w:rsidRDefault="003C4D5B" w14:paraId="7882C726" w14:textId="77777777">
      <w:pPr>
        <w:overflowPunct w:val="0"/>
        <w:autoSpaceDE w:val="0"/>
        <w:autoSpaceDN w:val="0"/>
        <w:adjustRightInd w:val="0"/>
        <w:ind w:left="357"/>
        <w:textAlignment w:val="baseline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225C52" w:rsidTr="008327B1" w14:paraId="776316B4" w14:textId="77777777">
        <w:tc>
          <w:tcPr>
            <w:tcW w:w="1418" w:type="dxa"/>
          </w:tcPr>
          <w:p w:rsidRPr="009B70E7" w:rsidR="00225C52" w:rsidP="008327B1" w:rsidRDefault="00225C52" w14:paraId="4C1EE362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2F63EB" w:rsidR="00225C52" w:rsidP="008327B1" w:rsidRDefault="001A2273" w14:paraId="5805F3B4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Marie-Laurence </w:t>
            </w:r>
            <w:proofErr w:type="spellStart"/>
            <w:r>
              <w:rPr>
                <w:i/>
              </w:rPr>
              <w:t>Drillon</w:t>
            </w:r>
            <w:proofErr w:type="spellEnd"/>
          </w:p>
        </w:tc>
      </w:tr>
      <w:tr w:rsidRPr="009B70E7" w:rsidR="00225C52" w:rsidTr="008327B1" w14:paraId="5F3BFD17" w14:textId="77777777">
        <w:tc>
          <w:tcPr>
            <w:tcW w:w="1418" w:type="dxa"/>
          </w:tcPr>
          <w:p w:rsidRPr="009B70E7" w:rsidR="00225C52" w:rsidP="008327B1" w:rsidRDefault="00225C52" w14:paraId="2F6B012F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2F63EB" w:rsidR="00225C52" w:rsidP="008327B1" w:rsidRDefault="001A2273" w14:paraId="3719436A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00 32 2 546 83 20</w:t>
            </w:r>
          </w:p>
        </w:tc>
      </w:tr>
      <w:tr w:rsidRPr="007E7A4F" w:rsidR="00225C52" w:rsidTr="008327B1" w14:paraId="75C7F48B" w14:textId="77777777">
        <w:tc>
          <w:tcPr>
            <w:tcW w:w="1418" w:type="dxa"/>
          </w:tcPr>
          <w:p w:rsidRPr="009B70E7" w:rsidR="00225C52" w:rsidP="003A7A14" w:rsidRDefault="00225C52" w14:paraId="1B69556B" w14:textId="77777777">
            <w:pPr>
              <w:pStyle w:val="ListParagraph"/>
              <w:ind w:left="284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AA69BF" w:rsidR="00015E18" w:rsidP="008327B1" w:rsidRDefault="00544E97" w14:paraId="68B37053" w14:textId="65E3CE17">
            <w:pPr>
              <w:pStyle w:val="ListParagraph"/>
              <w:ind w:left="0"/>
            </w:pPr>
            <w:hyperlink w:history="1" r:id="rId31">
              <w:r w:rsidR="00FA343E">
                <w:rPr>
                  <w:rStyle w:val="Hyperlink"/>
                </w:rPr>
                <w:t>Marie-Laurence.Drillon@eesc.europa.eu</w:t>
              </w:r>
            </w:hyperlink>
          </w:p>
          <w:p w:rsidRPr="007E7A4F" w:rsidR="002A2F38" w:rsidP="008327B1" w:rsidRDefault="002A2F38" w14:paraId="46E90DEC" w14:textId="77777777">
            <w:pPr>
              <w:pStyle w:val="ListParagraph"/>
              <w:ind w:left="0"/>
              <w:rPr>
                <w:i/>
              </w:rPr>
            </w:pPr>
          </w:p>
        </w:tc>
      </w:tr>
    </w:tbl>
    <w:p w:rsidR="00910972" w:rsidP="00910972" w:rsidRDefault="00910972" w14:paraId="256CC1D8" w14:textId="77777777">
      <w:pPr>
        <w:pStyle w:val="ListParagraph"/>
        <w:ind w:left="567"/>
        <w:rPr>
          <w:b/>
          <w:bCs/>
          <w:i/>
          <w:iCs/>
          <w:sz w:val="28"/>
          <w:szCs w:val="28"/>
          <w:lang w:val="en-US"/>
        </w:rPr>
      </w:pPr>
    </w:p>
    <w:p w:rsidR="00910972" w:rsidRDefault="00910972" w14:paraId="5A6F039F" w14:textId="77777777">
      <w:pPr>
        <w:spacing w:after="160" w:line="259" w:lineRule="auto"/>
        <w:jc w:val="left"/>
        <w:rPr>
          <w:b/>
          <w:bCs/>
          <w:i/>
          <w:iCs/>
          <w:sz w:val="28"/>
          <w:szCs w:val="28"/>
        </w:rPr>
      </w:pPr>
      <w:r>
        <w:br w:type="page"/>
      </w:r>
    </w:p>
    <w:p w:rsidRPr="007E7A4F" w:rsidR="00164813" w:rsidP="00164813" w:rsidRDefault="00015E18" w14:paraId="12FD6239" w14:textId="58554619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Fenntartható vállalatirányítás</w:t>
      </w:r>
    </w:p>
    <w:p w:rsidRPr="009B70E7" w:rsidR="00164813" w:rsidP="00164813" w:rsidRDefault="00164813" w14:paraId="1DADE393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164813" w:rsidTr="00B83E7B" w14:paraId="1383CB57" w14:textId="77777777">
        <w:tc>
          <w:tcPr>
            <w:tcW w:w="1701" w:type="dxa"/>
          </w:tcPr>
          <w:p w:rsidRPr="009B70E7" w:rsidR="00164813" w:rsidP="00B83E7B" w:rsidRDefault="00164813" w14:paraId="33004117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096" w:type="dxa"/>
          </w:tcPr>
          <w:p w:rsidRPr="007E7A4F" w:rsidR="00164813" w:rsidP="00B83E7B" w:rsidRDefault="00AA69BF" w14:paraId="2BCDDC29" w14:textId="7BDC3D18">
            <w:pPr>
              <w:pStyle w:val="ListParagraph"/>
              <w:ind w:left="-108"/>
            </w:pPr>
            <w:proofErr w:type="spellStart"/>
            <w:r>
              <w:t>Antje</w:t>
            </w:r>
            <w:proofErr w:type="spellEnd"/>
            <w:r>
              <w:t xml:space="preserve"> GERSTEIN (Munkáltatók/DE)</w:t>
            </w:r>
          </w:p>
        </w:tc>
      </w:tr>
      <w:tr w:rsidRPr="007E7A4F" w:rsidR="00164813" w:rsidTr="00B83E7B" w14:paraId="5DB9564B" w14:textId="77777777">
        <w:tc>
          <w:tcPr>
            <w:tcW w:w="7797" w:type="dxa"/>
            <w:gridSpan w:val="2"/>
          </w:tcPr>
          <w:p w:rsidRPr="007E7A4F" w:rsidR="00164813" w:rsidP="00B83E7B" w:rsidRDefault="00164813" w14:paraId="421C9628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164813" w:rsidTr="00B83E7B" w14:paraId="132333E4" w14:textId="77777777">
        <w:tc>
          <w:tcPr>
            <w:tcW w:w="1701" w:type="dxa"/>
          </w:tcPr>
          <w:p w:rsidRPr="009B70E7" w:rsidR="00164813" w:rsidP="00B83E7B" w:rsidRDefault="00164813" w14:paraId="2A306C51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096" w:type="dxa"/>
          </w:tcPr>
          <w:p w:rsidRPr="009B70E7" w:rsidR="00164813" w:rsidP="00B83E7B" w:rsidRDefault="00164813" w14:paraId="1EB81693" w14:textId="77777777">
            <w:pPr>
              <w:tabs>
                <w:tab w:val="center" w:pos="284"/>
              </w:tabs>
              <w:ind w:left="266" w:hanging="374"/>
            </w:pPr>
            <w:proofErr w:type="gramStart"/>
            <w:r>
              <w:t>COM(</w:t>
            </w:r>
            <w:proofErr w:type="gramEnd"/>
            <w:r>
              <w:t xml:space="preserve">2022) 71 </w:t>
            </w:r>
            <w:proofErr w:type="spellStart"/>
            <w:r>
              <w:t>final</w:t>
            </w:r>
            <w:proofErr w:type="spellEnd"/>
          </w:p>
          <w:p w:rsidRPr="009B70E7" w:rsidR="00164813" w:rsidP="00B83E7B" w:rsidRDefault="00ED377B" w14:paraId="1746D341" w14:textId="77777777">
            <w:pPr>
              <w:pStyle w:val="ListParagraph"/>
              <w:ind w:left="-108"/>
            </w:pPr>
            <w:r>
              <w:t>EESC-2022-01327-00-00-AC</w:t>
            </w:r>
          </w:p>
        </w:tc>
      </w:tr>
    </w:tbl>
    <w:p w:rsidRPr="009B70E7" w:rsidR="00164813" w:rsidP="00164813" w:rsidRDefault="00164813" w14:paraId="488A6C0C" w14:textId="77777777">
      <w:pPr>
        <w:pStyle w:val="ListParagraph"/>
        <w:ind w:left="0"/>
        <w:rPr>
          <w:b/>
        </w:rPr>
      </w:pPr>
    </w:p>
    <w:p w:rsidRPr="0018231C" w:rsidR="00164813" w:rsidP="002C4B6E" w:rsidRDefault="00164813" w14:paraId="015FE75F" w14:textId="751DC40F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18231C" w:rsidR="00164813" w:rsidP="00164813" w:rsidRDefault="00164813" w14:paraId="573BE746" w14:textId="77777777">
      <w:pPr>
        <w:pStyle w:val="ListParagraph"/>
        <w:ind w:left="0"/>
        <w:rPr>
          <w:lang w:val="fr-FR"/>
        </w:rPr>
      </w:pPr>
    </w:p>
    <w:p w:rsidR="00164813" w:rsidP="00164813" w:rsidRDefault="00164813" w14:paraId="30245860" w14:textId="77777777">
      <w:pPr>
        <w:pStyle w:val="ListParagraph"/>
        <w:ind w:left="0"/>
      </w:pPr>
      <w:r>
        <w:t>Az EGSZB:</w:t>
      </w:r>
    </w:p>
    <w:p w:rsidRPr="0018231C" w:rsidR="00164813" w:rsidP="00164813" w:rsidRDefault="00164813" w14:paraId="7D5F280C" w14:textId="77777777">
      <w:pPr>
        <w:pStyle w:val="ListParagraph"/>
        <w:ind w:left="0"/>
        <w:rPr>
          <w:lang w:val="fr-FR"/>
        </w:rPr>
      </w:pPr>
    </w:p>
    <w:p w:rsidRPr="00A3344B" w:rsidR="00BC3FCE" w:rsidP="00164813" w:rsidRDefault="007E7DE3" w14:paraId="2A8D241D" w14:textId="2BE7DD2B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üdvözli a javaslatot, és úgy véli, hogy az fontos lépés egy olyan, a fenntartható vállalatirányításra és a vállalati átvilágításra vonatkozó koherens uniós jogalkotási keret létrehozása felé, amely a vállalkozások és az igazgatók kötelességének </w:t>
      </w:r>
      <w:proofErr w:type="gramStart"/>
      <w:r>
        <w:t>tekinti</w:t>
      </w:r>
      <w:proofErr w:type="gramEnd"/>
      <w:r>
        <w:t xml:space="preserve"> és ezzel előmozdítja az emberi jogok tiszteletét, illetve egyenlő versenyfeltételek biztosítására törekszik az EU-ban,</w:t>
      </w:r>
    </w:p>
    <w:p w:rsidRPr="00A3344B" w:rsidR="00A3344B" w:rsidP="00164813" w:rsidRDefault="007E7DE3" w14:paraId="03AF28C8" w14:textId="0FC700C2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hangsúlyozza az üzleti vállalkozások emberi jogi felelősségére vonatkozó ENSZ-irányelvek fontosságát, és szakpolitikai koherenciát szorgalmaz a nemzeti politikák és az olyan európai jogszabályok között, amelyek hasonló területeket </w:t>
      </w:r>
      <w:proofErr w:type="gramStart"/>
      <w:r>
        <w:t>fednek</w:t>
      </w:r>
      <w:proofErr w:type="gramEnd"/>
      <w:r>
        <w:t xml:space="preserve"> le vagy szintén tartalmaznak átvilágításra vonatkozó szabályokat,</w:t>
      </w:r>
    </w:p>
    <w:p w:rsidRPr="00A3344B" w:rsidR="00A3344B" w:rsidP="00164813" w:rsidRDefault="007E7DE3" w14:paraId="71BC35A1" w14:textId="7731C2B8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felhívja a figyelmet arra, hogy a politikai döntéshozóknak szem előtt kell tartaniuk az </w:t>
      </w:r>
      <w:proofErr w:type="spellStart"/>
      <w:r>
        <w:t>mkkv</w:t>
      </w:r>
      <w:proofErr w:type="spellEnd"/>
      <w:r>
        <w:t>-k kihívásokkal teli helyzetét, és biztosítaniuk kell, hogy amint hatályba lépnek az átvilágítási kötelezettségre vonatkozó jogszabályok, európai és nemzeti szinten egyaránt rendelkezésre álljanak támogatási eszközök;</w:t>
      </w:r>
    </w:p>
    <w:p w:rsidRPr="00A3344B" w:rsidR="00A3344B" w:rsidP="00164813" w:rsidRDefault="007E7DE3" w14:paraId="5C624B6F" w14:textId="0BDA1CBC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hangsúlyozza, hogy a vállalati átvilágítás olyan folyamat, amelynek sikeréhez fontos, hogy bevonják a szakszervezeteket és a munkavállalók képviselőit,</w:t>
      </w:r>
    </w:p>
    <w:p w:rsidRPr="007E7DE3" w:rsidR="00A3344B" w:rsidP="00164813" w:rsidRDefault="007E7DE3" w14:paraId="41F4DB88" w14:textId="02AB6495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aggodalmát fejezi ki amiatt, hogy az Európai Bizottság javaslata számos nem egyértelmű jogi fogalmat tartalmaz, amelyek szabadon értelmezhetők. Ezért úgy véli, hogy pontosabban meg kell határozni ezeket a fogalmakat,</w:t>
      </w:r>
    </w:p>
    <w:p w:rsidRPr="007E7A4F" w:rsidR="007E7DE3" w:rsidP="00164813" w:rsidRDefault="007E7DE3" w14:paraId="043E47D4" w14:textId="30C15593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fel kell ismerni, hogy az átvilágítás kockázatalapú megközelítést igényel, és magában foglalhatja a kockázatértékelésen alapuló rangsorolást.</w:t>
      </w:r>
    </w:p>
    <w:p w:rsidRPr="007E7A4F" w:rsidR="00164813" w:rsidP="00164813" w:rsidRDefault="00164813" w14:paraId="6996D40F" w14:textId="77777777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64813" w:rsidR="00A3344B" w:rsidTr="008B66DD" w14:paraId="0A1A7166" w14:textId="77777777">
        <w:tc>
          <w:tcPr>
            <w:tcW w:w="1418" w:type="dxa"/>
          </w:tcPr>
          <w:p w:rsidRPr="00164813" w:rsidR="00A3344B" w:rsidP="008B66DD" w:rsidRDefault="00A3344B" w14:paraId="5A52339E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164813" w:rsidR="00A3344B" w:rsidP="008B66DD" w:rsidRDefault="00A3344B" w14:paraId="1E930B05" w14:textId="77777777">
            <w:pPr>
              <w:contextualSpacing/>
              <w:rPr>
                <w:i/>
              </w:rPr>
            </w:pPr>
            <w:r>
              <w:rPr>
                <w:i/>
              </w:rPr>
              <w:t xml:space="preserve">Claudia </w:t>
            </w:r>
            <w:proofErr w:type="spellStart"/>
            <w:r>
              <w:rPr>
                <w:i/>
              </w:rPr>
              <w:t>Drewes-Wran</w:t>
            </w:r>
            <w:proofErr w:type="spellEnd"/>
          </w:p>
        </w:tc>
      </w:tr>
      <w:tr w:rsidRPr="00164813" w:rsidR="00A3344B" w:rsidTr="008B66DD" w14:paraId="42394CA2" w14:textId="77777777">
        <w:tc>
          <w:tcPr>
            <w:tcW w:w="1418" w:type="dxa"/>
          </w:tcPr>
          <w:p w:rsidRPr="00164813" w:rsidR="00A3344B" w:rsidP="008B66DD" w:rsidRDefault="00A3344B" w14:paraId="337CFA79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164813" w:rsidR="00A3344B" w:rsidP="008B66DD" w:rsidRDefault="00A3344B" w14:paraId="5CA1B212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00 32 2 546 80 67</w:t>
            </w:r>
          </w:p>
        </w:tc>
      </w:tr>
      <w:tr w:rsidRPr="00164813" w:rsidR="00A3344B" w:rsidTr="008B66DD" w14:paraId="7B24978D" w14:textId="77777777">
        <w:tc>
          <w:tcPr>
            <w:tcW w:w="1418" w:type="dxa"/>
          </w:tcPr>
          <w:p w:rsidRPr="00164813" w:rsidR="00A3344B" w:rsidP="003A7A14" w:rsidRDefault="00A3344B" w14:paraId="2B3DB280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="00A3344B" w:rsidP="008B66DD" w:rsidRDefault="00544E97" w14:paraId="78F5B58F" w14:textId="77777777">
            <w:pPr>
              <w:contextualSpacing/>
            </w:pPr>
            <w:hyperlink w:history="1" r:id="rId32">
              <w:r w:rsidR="00FA343E">
                <w:rPr>
                  <w:rStyle w:val="Hyperlink"/>
                </w:rPr>
                <w:t>Claudia.Drewes-Wran@eesc.europa.eu</w:t>
              </w:r>
            </w:hyperlink>
          </w:p>
          <w:p w:rsidRPr="00164813" w:rsidR="00A3344B" w:rsidP="008B66DD" w:rsidRDefault="00A3344B" w14:paraId="05431FB8" w14:textId="77777777">
            <w:pPr>
              <w:contextualSpacing/>
              <w:rPr>
                <w:i/>
              </w:rPr>
            </w:pPr>
          </w:p>
        </w:tc>
      </w:tr>
    </w:tbl>
    <w:p w:rsidR="00D35512" w:rsidRDefault="00D35512" w14:paraId="45D707E4" w14:textId="4B9E10FB">
      <w:pPr>
        <w:spacing w:after="160" w:line="259" w:lineRule="auto"/>
        <w:jc w:val="left"/>
        <w:rPr>
          <w:sz w:val="28"/>
        </w:rPr>
      </w:pPr>
    </w:p>
    <w:p w:rsidR="00D35512" w:rsidRDefault="00D35512" w14:paraId="09FE38A4" w14:textId="77777777">
      <w:pPr>
        <w:spacing w:after="160" w:line="259" w:lineRule="auto"/>
        <w:jc w:val="left"/>
        <w:rPr>
          <w:sz w:val="28"/>
        </w:rPr>
      </w:pPr>
      <w:r>
        <w:br w:type="page"/>
      </w:r>
    </w:p>
    <w:p w:rsidRPr="00164813" w:rsidR="00164813" w:rsidP="00BC3FCE" w:rsidRDefault="00A3344B" w14:paraId="65567F7B" w14:textId="77777777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Kkv-k, szociális vállalkozások, kézművesek és szabadfoglalkozásúak: „Irány az 55%!”</w:t>
      </w:r>
    </w:p>
    <w:p w:rsidRPr="00164813" w:rsidR="00164813" w:rsidP="00164813" w:rsidRDefault="00164813" w14:paraId="426580BA" w14:textId="77777777">
      <w:pPr>
        <w:contextualSpacing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164813" w:rsidR="00164813" w:rsidTr="00B83E7B" w14:paraId="6AF7AE99" w14:textId="77777777">
        <w:tc>
          <w:tcPr>
            <w:tcW w:w="1701" w:type="dxa"/>
          </w:tcPr>
          <w:p w:rsidRPr="00164813" w:rsidR="00164813" w:rsidP="00164813" w:rsidRDefault="00164813" w14:paraId="4B0840C1" w14:textId="77777777">
            <w:pPr>
              <w:contextualSpacing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096" w:type="dxa"/>
          </w:tcPr>
          <w:p w:rsidRPr="00164813" w:rsidR="00164813" w:rsidP="00164813" w:rsidRDefault="00A3344B" w14:paraId="16A8F625" w14:textId="77777777">
            <w:pPr>
              <w:ind w:left="-108"/>
              <w:contextualSpacing/>
            </w:pPr>
            <w:proofErr w:type="spellStart"/>
            <w:r>
              <w:t>Milena</w:t>
            </w:r>
            <w:proofErr w:type="spellEnd"/>
            <w:r>
              <w:t xml:space="preserve"> ANGELOVA (Munkáltatók/BG)</w:t>
            </w:r>
          </w:p>
        </w:tc>
      </w:tr>
      <w:tr w:rsidRPr="00164813" w:rsidR="00A3344B" w:rsidTr="00B83E7B" w14:paraId="43AB93C9" w14:textId="77777777">
        <w:tc>
          <w:tcPr>
            <w:tcW w:w="1701" w:type="dxa"/>
          </w:tcPr>
          <w:p w:rsidRPr="00164813" w:rsidR="00A3344B" w:rsidP="00164813" w:rsidRDefault="00A3344B" w14:paraId="3AF21686" w14:textId="77777777">
            <w:pPr>
              <w:contextualSpacing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6096" w:type="dxa"/>
          </w:tcPr>
          <w:p w:rsidRPr="00A3344B" w:rsidR="00A3344B" w:rsidP="00164813" w:rsidRDefault="00A3344B" w14:paraId="7456DEBB" w14:textId="77777777">
            <w:pPr>
              <w:ind w:left="-108"/>
              <w:contextualSpacing/>
            </w:pPr>
            <w:r>
              <w:t>Rudolf KOLBE (Civil társadalmi szervezetek/AT)</w:t>
            </w:r>
          </w:p>
        </w:tc>
      </w:tr>
      <w:tr w:rsidRPr="00164813" w:rsidR="00164813" w:rsidTr="00B83E7B" w14:paraId="5372DCA1" w14:textId="77777777">
        <w:tc>
          <w:tcPr>
            <w:tcW w:w="7797" w:type="dxa"/>
            <w:gridSpan w:val="2"/>
          </w:tcPr>
          <w:p w:rsidRPr="00164813" w:rsidR="00164813" w:rsidP="00164813" w:rsidRDefault="00164813" w14:paraId="28515692" w14:textId="77777777">
            <w:pPr>
              <w:contextualSpacing/>
              <w:rPr>
                <w:lang w:val="fr-BE"/>
              </w:rPr>
            </w:pPr>
          </w:p>
        </w:tc>
      </w:tr>
      <w:tr w:rsidRPr="00164813" w:rsidR="00164813" w:rsidTr="00B83E7B" w14:paraId="6516DB5A" w14:textId="77777777">
        <w:tc>
          <w:tcPr>
            <w:tcW w:w="1701" w:type="dxa"/>
          </w:tcPr>
          <w:p w:rsidRPr="00164813" w:rsidR="00164813" w:rsidP="00164813" w:rsidRDefault="00164813" w14:paraId="7886F22A" w14:textId="77777777">
            <w:pPr>
              <w:contextualSpacing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096" w:type="dxa"/>
          </w:tcPr>
          <w:p w:rsidRPr="00164813" w:rsidR="00164813" w:rsidP="00164813" w:rsidRDefault="00A3344B" w14:paraId="6C0521C0" w14:textId="77777777">
            <w:pPr>
              <w:tabs>
                <w:tab w:val="center" w:pos="284"/>
              </w:tabs>
              <w:ind w:left="266" w:hanging="374"/>
            </w:pPr>
            <w:r>
              <w:t>saját kezdeményezésű vélemény</w:t>
            </w:r>
          </w:p>
          <w:p w:rsidRPr="00164813" w:rsidR="00164813" w:rsidP="00164813" w:rsidRDefault="00A3344B" w14:paraId="1BECC38E" w14:textId="77777777">
            <w:pPr>
              <w:ind w:left="-108"/>
              <w:contextualSpacing/>
            </w:pPr>
            <w:r>
              <w:t>EESC-2022-01049-00-00-AC</w:t>
            </w:r>
          </w:p>
        </w:tc>
      </w:tr>
    </w:tbl>
    <w:p w:rsidRPr="00164813" w:rsidR="00164813" w:rsidP="00164813" w:rsidRDefault="00164813" w14:paraId="38E9F173" w14:textId="77777777">
      <w:pPr>
        <w:contextualSpacing/>
        <w:rPr>
          <w:b/>
        </w:rPr>
      </w:pPr>
    </w:p>
    <w:p w:rsidRPr="00164813" w:rsidR="00164813" w:rsidP="002C4B6E" w:rsidRDefault="00164813" w14:paraId="01E095E2" w14:textId="28FC8A04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164813" w:rsidR="00164813" w:rsidP="00164813" w:rsidRDefault="00164813" w14:paraId="1FE2AF0F" w14:textId="77777777">
      <w:pPr>
        <w:contextualSpacing/>
        <w:rPr>
          <w:lang w:val="fr-FR"/>
        </w:rPr>
      </w:pPr>
    </w:p>
    <w:p w:rsidRPr="00164813" w:rsidR="00164813" w:rsidP="00164813" w:rsidRDefault="00164813" w14:paraId="56628F84" w14:textId="77777777">
      <w:pPr>
        <w:contextualSpacing/>
      </w:pPr>
      <w:r>
        <w:t>Az EGSZB:</w:t>
      </w:r>
    </w:p>
    <w:p w:rsidRPr="00164813" w:rsidR="00164813" w:rsidP="00164813" w:rsidRDefault="00164813" w14:paraId="1E28AD39" w14:textId="77777777">
      <w:pPr>
        <w:contextualSpacing/>
        <w:rPr>
          <w:lang w:val="fr-FR"/>
        </w:rPr>
      </w:pPr>
    </w:p>
    <w:p w:rsidRPr="00164813" w:rsidR="00164813" w:rsidP="00164813" w:rsidRDefault="00A3344B" w14:paraId="198A1743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>úgy véli, hogy a mikro-, kis- és középvállalkozások (</w:t>
      </w:r>
      <w:proofErr w:type="spellStart"/>
      <w:r>
        <w:t>mkkv</w:t>
      </w:r>
      <w:proofErr w:type="spellEnd"/>
      <w:r>
        <w:t xml:space="preserve">-k) sürgős támogatásra szorulnak </w:t>
      </w:r>
      <w:r>
        <w:rPr>
          <w:b/>
          <w:bCs/>
        </w:rPr>
        <w:t>a zöld átállás</w:t>
      </w:r>
      <w:r>
        <w:t xml:space="preserve"> lehető legjobb </w:t>
      </w:r>
      <w:r>
        <w:rPr>
          <w:b/>
          <w:bCs/>
        </w:rPr>
        <w:t>megértése és kezelése érdekében,</w:t>
      </w:r>
    </w:p>
    <w:p w:rsidRPr="00164813" w:rsidR="00164813" w:rsidP="00164813" w:rsidRDefault="00A3344B" w14:paraId="61AB179D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kéri egy olyan, </w:t>
      </w:r>
      <w:r>
        <w:rPr>
          <w:b/>
          <w:bCs/>
        </w:rPr>
        <w:t>nagymértékben testreszabott megoldásokból, valamint jól célzott szakpolitikákból és intézkedésekből</w:t>
      </w:r>
      <w:r>
        <w:t xml:space="preserve"> álló átfogó program kidolgozását, amelynek célja, hogy támogassa az </w:t>
      </w:r>
      <w:proofErr w:type="spellStart"/>
      <w:r>
        <w:t>mkkv-kat</w:t>
      </w:r>
      <w:proofErr w:type="spellEnd"/>
      <w:r>
        <w:t xml:space="preserve"> az üzleti műveleteik és tevékenységük kapcsán a zöldre váltás és a jogszabályoknak való megfelelés terén felmerülő valamennyi kérdésben,</w:t>
      </w:r>
    </w:p>
    <w:p w:rsidR="00164813" w:rsidP="00164813" w:rsidRDefault="00A3344B" w14:paraId="7BB5DDAA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úgy véli, hogy az </w:t>
      </w:r>
      <w:proofErr w:type="spellStart"/>
      <w:r>
        <w:t>mkkv</w:t>
      </w:r>
      <w:proofErr w:type="spellEnd"/>
      <w:r>
        <w:t xml:space="preserve">-k azonnali és célzott rövid távú támogatása kulcsfontosságú a világjárványt követő </w:t>
      </w:r>
      <w:r>
        <w:rPr>
          <w:b/>
        </w:rPr>
        <w:t>gazdasági talpra állásuk előmozdításához</w:t>
      </w:r>
      <w:r>
        <w:t xml:space="preserve"> és ahhoz, hogy </w:t>
      </w:r>
      <w:r>
        <w:rPr>
          <w:b/>
          <w:bCs/>
        </w:rPr>
        <w:t>segítséget kapjanak az ukrajnai orosz invázió következményeinek</w:t>
      </w:r>
      <w:r>
        <w:t xml:space="preserve"> – például a magas energiaáraknak, valamint a nyersanyag- és termékhiánynak – </w:t>
      </w:r>
      <w:r>
        <w:rPr>
          <w:b/>
          <w:bCs/>
        </w:rPr>
        <w:t>a kezeléséhez,</w:t>
      </w:r>
    </w:p>
    <w:p w:rsidR="00BC3FCE" w:rsidP="00164813" w:rsidRDefault="00A3344B" w14:paraId="0B05B7B9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javasolja, hogy az </w:t>
      </w:r>
      <w:proofErr w:type="spellStart"/>
      <w:r>
        <w:t>mkkv</w:t>
      </w:r>
      <w:proofErr w:type="spellEnd"/>
      <w:r>
        <w:t xml:space="preserve">-k erőforrás-hatékonyságának javítása érdekében </w:t>
      </w:r>
      <w:r>
        <w:rPr>
          <w:b/>
          <w:bCs/>
        </w:rPr>
        <w:t>hozzanak létre „körforgásos központokat” a különböző régiókban.</w:t>
      </w:r>
      <w:r>
        <w:t xml:space="preserve"> A cél az volna, hogy erősítsük az ágazatokon átnyúló együttműködést a vállalkozások között, és elősegítsük az új gyakorlatok és eljárások kifejlesztését, beleértve az új technológiák demonstrálását is,</w:t>
      </w:r>
    </w:p>
    <w:p w:rsidR="00BC3FCE" w:rsidP="00164813" w:rsidRDefault="00361E48" w14:paraId="7565FC83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arra kéri az EU-t és a tagállamokat, hogy </w:t>
      </w:r>
      <w:r>
        <w:rPr>
          <w:b/>
          <w:bCs/>
        </w:rPr>
        <w:t xml:space="preserve">gyorsítsák fel az </w:t>
      </w:r>
      <w:proofErr w:type="spellStart"/>
      <w:r>
        <w:rPr>
          <w:b/>
          <w:bCs/>
        </w:rPr>
        <w:t>mkkv</w:t>
      </w:r>
      <w:proofErr w:type="spellEnd"/>
      <w:r>
        <w:rPr>
          <w:b/>
          <w:bCs/>
        </w:rPr>
        <w:t>-k zöld beruházásait</w:t>
      </w:r>
      <w:r>
        <w:t xml:space="preserve"> azáltal, hogy támogató, kiszámítható és ösztönző szabályozási környezetet alakítanak ki,</w:t>
      </w:r>
    </w:p>
    <w:p w:rsidR="00BC3FCE" w:rsidP="00164813" w:rsidRDefault="00361E48" w14:paraId="6495124B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kiemeli, hogy </w:t>
      </w:r>
      <w:r>
        <w:rPr>
          <w:b/>
          <w:bCs/>
        </w:rPr>
        <w:t xml:space="preserve">szoros együttműködésre van szükség az oktatási szolgáltatók és az </w:t>
      </w:r>
      <w:proofErr w:type="spellStart"/>
      <w:r>
        <w:rPr>
          <w:b/>
          <w:bCs/>
        </w:rPr>
        <w:t>mkkv</w:t>
      </w:r>
      <w:proofErr w:type="spellEnd"/>
      <w:r>
        <w:rPr>
          <w:b/>
          <w:bCs/>
        </w:rPr>
        <w:t>-k között</w:t>
      </w:r>
      <w:r>
        <w:t xml:space="preserve"> a zöld átálláshoz szükséges kompetenciákat és készségeket – többek között az alkalmazottak és a vállalkozók továbbképzése és átképzése révén – biztosító képzés formálásában,</w:t>
      </w:r>
    </w:p>
    <w:p w:rsidRPr="00164813" w:rsidR="00361E48" w:rsidP="00164813" w:rsidRDefault="00361E48" w14:paraId="45EBA5E1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sürgeti </w:t>
      </w:r>
      <w:r>
        <w:rPr>
          <w:b/>
          <w:bCs/>
        </w:rPr>
        <w:t xml:space="preserve">az </w:t>
      </w:r>
      <w:proofErr w:type="spellStart"/>
      <w:r>
        <w:rPr>
          <w:b/>
          <w:bCs/>
        </w:rPr>
        <w:t>mkkv</w:t>
      </w:r>
      <w:proofErr w:type="spellEnd"/>
      <w:r>
        <w:rPr>
          <w:b/>
          <w:bCs/>
        </w:rPr>
        <w:t>-k által kidolgozott zöld megoldások kereskedelmének előmozdítását,</w:t>
      </w:r>
      <w:r>
        <w:t xml:space="preserve"> többek között </w:t>
      </w:r>
      <w:r>
        <w:rPr>
          <w:b/>
          <w:bCs/>
        </w:rPr>
        <w:t>a közbeszerzés keretében is.</w:t>
      </w:r>
    </w:p>
    <w:p w:rsidRPr="00164813" w:rsidR="00164813" w:rsidP="00164813" w:rsidRDefault="00164813" w14:paraId="7C479262" w14:textId="77777777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64813" w:rsidR="00164813" w:rsidTr="00B83E7B" w14:paraId="697B6325" w14:textId="77777777">
        <w:tc>
          <w:tcPr>
            <w:tcW w:w="1418" w:type="dxa"/>
          </w:tcPr>
          <w:p w:rsidRPr="00164813" w:rsidR="00164813" w:rsidP="00164813" w:rsidRDefault="00164813" w14:paraId="60C7BE26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164813" w:rsidR="00164813" w:rsidP="00164813" w:rsidRDefault="00361E48" w14:paraId="69D69E14" w14:textId="77777777">
            <w:pPr>
              <w:contextualSpacing/>
              <w:rPr>
                <w:i/>
              </w:rPr>
            </w:pPr>
            <w:r>
              <w:rPr>
                <w:i/>
              </w:rPr>
              <w:t>Dalila Bernard</w:t>
            </w:r>
          </w:p>
        </w:tc>
      </w:tr>
      <w:tr w:rsidRPr="00164813" w:rsidR="00164813" w:rsidTr="00B83E7B" w14:paraId="288640A9" w14:textId="77777777">
        <w:tc>
          <w:tcPr>
            <w:tcW w:w="1418" w:type="dxa"/>
          </w:tcPr>
          <w:p w:rsidRPr="00164813" w:rsidR="00164813" w:rsidP="00164813" w:rsidRDefault="00164813" w14:paraId="3D976246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164813" w:rsidR="00164813" w:rsidP="00164813" w:rsidRDefault="00E11C18" w14:paraId="73A1FD7B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00 32 2 546 84 38</w:t>
            </w:r>
          </w:p>
        </w:tc>
      </w:tr>
      <w:tr w:rsidRPr="00164813" w:rsidR="00164813" w:rsidTr="00B83E7B" w14:paraId="75C5E7D5" w14:textId="77777777">
        <w:tc>
          <w:tcPr>
            <w:tcW w:w="1418" w:type="dxa"/>
          </w:tcPr>
          <w:p w:rsidRPr="00164813" w:rsidR="00164813" w:rsidP="0095081D" w:rsidRDefault="00164813" w14:paraId="416B594E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64813" w:rsidR="00032038" w:rsidP="00910972" w:rsidRDefault="00544E97" w14:paraId="196C9612" w14:textId="1B69A5BC">
            <w:pPr>
              <w:contextualSpacing/>
              <w:rPr>
                <w:i/>
              </w:rPr>
            </w:pPr>
            <w:hyperlink w:history="1" r:id="rId33">
              <w:r w:rsidRPr="0078464B" w:rsidR="0095081D">
                <w:rPr>
                  <w:rStyle w:val="Hyperlink"/>
                </w:rPr>
                <w:t>Dalila.Bernard@eesc.europa.eu</w:t>
              </w:r>
            </w:hyperlink>
          </w:p>
        </w:tc>
      </w:tr>
    </w:tbl>
    <w:p w:rsidR="00D35512" w:rsidRDefault="00D35512" w14:paraId="445BD888" w14:textId="085727DD">
      <w:pPr>
        <w:spacing w:after="160" w:line="259" w:lineRule="auto"/>
        <w:jc w:val="left"/>
        <w:rPr>
          <w:sz w:val="28"/>
        </w:rPr>
      </w:pPr>
    </w:p>
    <w:p w:rsidR="00D35512" w:rsidRDefault="00D35512" w14:paraId="12A10D9F" w14:textId="77777777">
      <w:pPr>
        <w:spacing w:after="160" w:line="259" w:lineRule="auto"/>
        <w:jc w:val="left"/>
        <w:rPr>
          <w:sz w:val="28"/>
        </w:rPr>
      </w:pPr>
      <w:r>
        <w:br w:type="page"/>
      </w:r>
    </w:p>
    <w:p w:rsidRPr="00032038" w:rsidR="00032038" w:rsidP="00032038" w:rsidRDefault="00361E48" w14:paraId="128EA084" w14:textId="77777777">
      <w:pPr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Az európai cselekvés hiányából fakadó költségek – az egységes piac előnyei</w:t>
      </w:r>
    </w:p>
    <w:p w:rsidRPr="00032038" w:rsidR="00032038" w:rsidP="00032038" w:rsidRDefault="00032038" w14:paraId="04B0A9E5" w14:textId="77777777">
      <w:pPr>
        <w:contextualSpacing/>
      </w:pPr>
    </w:p>
    <w:tbl>
      <w:tblPr>
        <w:tblStyle w:val="TableGrid71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379"/>
      </w:tblGrid>
      <w:tr w:rsidRPr="00032038" w:rsidR="00032038" w:rsidTr="00A5507B" w14:paraId="2740ABE2" w14:textId="77777777">
        <w:tc>
          <w:tcPr>
            <w:tcW w:w="1701" w:type="dxa"/>
          </w:tcPr>
          <w:p w:rsidRPr="00032038" w:rsidR="00032038" w:rsidP="00B83E7B" w:rsidRDefault="00032038" w14:paraId="087263AD" w14:textId="77777777">
            <w:pPr>
              <w:contextualSpacing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379" w:type="dxa"/>
          </w:tcPr>
          <w:p w:rsidRPr="00032038" w:rsidR="00032038" w:rsidP="00B83E7B" w:rsidRDefault="00361E48" w14:paraId="2766A124" w14:textId="77777777">
            <w:pPr>
              <w:ind w:left="-108"/>
              <w:contextualSpacing/>
            </w:pPr>
            <w:r>
              <w:t>Philip VON BROCKDORFF (Munkavállalók/MT)</w:t>
            </w:r>
          </w:p>
        </w:tc>
      </w:tr>
      <w:tr w:rsidRPr="00032038" w:rsidR="00361E48" w:rsidTr="00A5507B" w14:paraId="522673DF" w14:textId="77777777">
        <w:tc>
          <w:tcPr>
            <w:tcW w:w="1701" w:type="dxa"/>
          </w:tcPr>
          <w:p w:rsidRPr="00032038" w:rsidR="00361E48" w:rsidP="00B83E7B" w:rsidRDefault="00361E48" w14:paraId="770ED3B7" w14:textId="77777777">
            <w:pPr>
              <w:contextualSpacing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6379" w:type="dxa"/>
          </w:tcPr>
          <w:p w:rsidRPr="0022407C" w:rsidR="00361E48" w:rsidP="00B83E7B" w:rsidRDefault="00361E48" w14:paraId="0EDD12C9" w14:textId="77777777">
            <w:pPr>
              <w:ind w:left="-108"/>
              <w:contextualSpacing/>
            </w:pPr>
            <w:proofErr w:type="spellStart"/>
            <w:r>
              <w:t>Emilie</w:t>
            </w:r>
            <w:proofErr w:type="spellEnd"/>
            <w:r>
              <w:t xml:space="preserve"> PROUZET (Munkáltatók/FR)</w:t>
            </w:r>
          </w:p>
        </w:tc>
      </w:tr>
      <w:tr w:rsidRPr="00032038" w:rsidR="00032038" w:rsidTr="00A5507B" w14:paraId="0BCEFD7B" w14:textId="77777777">
        <w:tc>
          <w:tcPr>
            <w:tcW w:w="8080" w:type="dxa"/>
            <w:gridSpan w:val="2"/>
          </w:tcPr>
          <w:p w:rsidRPr="00032038" w:rsidR="00032038" w:rsidP="00B83E7B" w:rsidRDefault="00032038" w14:paraId="28381D76" w14:textId="77777777">
            <w:pPr>
              <w:contextualSpacing/>
              <w:rPr>
                <w:lang w:val="fr-BE"/>
              </w:rPr>
            </w:pPr>
          </w:p>
        </w:tc>
      </w:tr>
      <w:tr w:rsidRPr="00032038" w:rsidR="00032038" w:rsidTr="00A5507B" w14:paraId="1FFE70FE" w14:textId="77777777">
        <w:tc>
          <w:tcPr>
            <w:tcW w:w="1701" w:type="dxa"/>
          </w:tcPr>
          <w:p w:rsidRPr="00032038" w:rsidR="00032038" w:rsidP="00B83E7B" w:rsidRDefault="00032038" w14:paraId="1EDF0159" w14:textId="77777777">
            <w:pPr>
              <w:contextualSpacing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379" w:type="dxa"/>
          </w:tcPr>
          <w:p w:rsidRPr="00032038" w:rsidR="00032038" w:rsidP="00A5507B" w:rsidRDefault="00361E48" w14:paraId="6C436681" w14:textId="77777777">
            <w:pPr>
              <w:tabs>
                <w:tab w:val="center" w:pos="284"/>
              </w:tabs>
              <w:ind w:left="266" w:right="-534" w:hanging="374"/>
            </w:pPr>
            <w:r>
              <w:t>feltáró vélemény a Tanács cseh elnökségének felkérésére</w:t>
            </w:r>
          </w:p>
          <w:p w:rsidRPr="00032038" w:rsidR="00032038" w:rsidP="00B83E7B" w:rsidRDefault="00032038" w14:paraId="70C06563" w14:textId="77777777">
            <w:pPr>
              <w:ind w:left="-108"/>
              <w:contextualSpacing/>
            </w:pPr>
            <w:r>
              <w:t>EESC-2022-01691-00-00-AC</w:t>
            </w:r>
          </w:p>
        </w:tc>
      </w:tr>
    </w:tbl>
    <w:p w:rsidRPr="00032038" w:rsidR="00032038" w:rsidP="00032038" w:rsidRDefault="00032038" w14:paraId="7F4174A5" w14:textId="77777777">
      <w:pPr>
        <w:contextualSpacing/>
        <w:rPr>
          <w:b/>
        </w:rPr>
      </w:pPr>
    </w:p>
    <w:p w:rsidRPr="00032038" w:rsidR="00032038" w:rsidP="002C4B6E" w:rsidRDefault="00032038" w14:paraId="0D24DCE0" w14:textId="19BB44B8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032038" w:rsidR="00032038" w:rsidP="00032038" w:rsidRDefault="00032038" w14:paraId="5A3A2576" w14:textId="77777777">
      <w:pPr>
        <w:contextualSpacing/>
        <w:rPr>
          <w:lang w:val="fr-FR"/>
        </w:rPr>
      </w:pPr>
    </w:p>
    <w:p w:rsidR="00032038" w:rsidP="00032038" w:rsidRDefault="00032038" w14:paraId="03BC0087" w14:textId="77777777">
      <w:pPr>
        <w:contextualSpacing/>
      </w:pPr>
      <w:r>
        <w:t>Az EGSZB:</w:t>
      </w:r>
    </w:p>
    <w:p w:rsidRPr="00032038" w:rsidR="00E54548" w:rsidP="00032038" w:rsidRDefault="00E54548" w14:paraId="5E6CFAA8" w14:textId="77777777">
      <w:pPr>
        <w:contextualSpacing/>
        <w:rPr>
          <w:lang w:val="fr-FR"/>
        </w:rPr>
      </w:pPr>
    </w:p>
    <w:p w:rsidRPr="00032038" w:rsidR="00032038" w:rsidP="00032038" w:rsidRDefault="00361E48" w14:paraId="15D8E10A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>úgy véli, hogy az egységes piac a jólét társadalmi és gazdasági konvergencia révén történő javításáról szól, amelynek célja az egyenlőtlenségek csökkentése és annak biztosítása, hogy a súlyosbodó társadalmi egyenlőtlenségek végül ne váljanak az európai integráció útjában álló komoly akadályokká,</w:t>
      </w:r>
    </w:p>
    <w:p w:rsidRPr="00032038" w:rsidR="00032038" w:rsidP="00032038" w:rsidRDefault="00361E48" w14:paraId="3C3E0696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>véleménye szerint a belső piacot potenciálisan akadályozó nemzeti jogszabályi szövegekről értesíteni kell az Európai Bizottságot, és véleményezni és értékelni kell azokat,</w:t>
      </w:r>
    </w:p>
    <w:p w:rsidR="00032038" w:rsidP="00032038" w:rsidRDefault="00361E48" w14:paraId="328F8D0C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kéri a már megtárgyalt és megszavazott irányelvek – például a minőségi jogalkotási csomag – hatékony végrehajtását és érvényesítését is,</w:t>
      </w:r>
    </w:p>
    <w:p w:rsidRPr="00361E48" w:rsidR="00622822" w:rsidP="00032038" w:rsidRDefault="00361E48" w14:paraId="4822D60F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úgy véli, hogy a digitális szolgáltatásokról szóló jogszabály és a digitális piacokról szóló jogszabály kulcsfontosságú lépést jelent a digitális piacok szolgáltatói közötti egyenlő versenyfeltételek megteremtésében,</w:t>
      </w:r>
    </w:p>
    <w:p w:rsidR="00361E48" w:rsidP="00032038" w:rsidRDefault="00361E48" w14:paraId="7B7AC8F9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összehangolt megközelítést javasol a tagállamok között az ukrajnai válság által érintett termékek forgalmazásával kapcsolatban,</w:t>
      </w:r>
    </w:p>
    <w:p w:rsidR="00361E48" w:rsidP="00032038" w:rsidRDefault="00361E48" w14:paraId="307CFC42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proofErr w:type="spellStart"/>
      <w:r>
        <w:t>megjegyzi</w:t>
      </w:r>
      <w:proofErr w:type="spellEnd"/>
      <w:r>
        <w:t>, hogy az EU-nak még mindig 27 tőke- és pénzügyi piaca van, amelyek nem működnek egyként, ez pedig korlátozza az egységes piac lehetőségeit,</w:t>
      </w:r>
    </w:p>
    <w:p w:rsidRPr="00032038" w:rsidR="00361E48" w:rsidP="00032038" w:rsidRDefault="00361E48" w14:paraId="45E636EF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azon a véleményen van, hogy „nyitott stratégiai autonómiát” kell alkalmazni, különösen a kulcsfontosságú ágazatokban.</w:t>
      </w:r>
    </w:p>
    <w:p w:rsidRPr="00032038" w:rsidR="00032038" w:rsidP="00032038" w:rsidRDefault="00032038" w14:paraId="2BD64930" w14:textId="77777777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64813" w:rsidR="00361E48" w:rsidTr="008B66DD" w14:paraId="0D55A858" w14:textId="77777777">
        <w:tc>
          <w:tcPr>
            <w:tcW w:w="1418" w:type="dxa"/>
          </w:tcPr>
          <w:p w:rsidRPr="00164813" w:rsidR="00361E48" w:rsidP="008B66DD" w:rsidRDefault="00361E48" w14:paraId="56C29286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164813" w:rsidR="00361E48" w:rsidP="008B66DD" w:rsidRDefault="00361E48" w14:paraId="017C0197" w14:textId="77777777">
            <w:pPr>
              <w:contextualSpacing/>
              <w:rPr>
                <w:i/>
              </w:rPr>
            </w:pPr>
            <w:r>
              <w:rPr>
                <w:i/>
              </w:rPr>
              <w:t xml:space="preserve">Claudia </w:t>
            </w:r>
            <w:proofErr w:type="spellStart"/>
            <w:r>
              <w:rPr>
                <w:i/>
              </w:rPr>
              <w:t>Drewes-Wran</w:t>
            </w:r>
            <w:proofErr w:type="spellEnd"/>
          </w:p>
        </w:tc>
      </w:tr>
      <w:tr w:rsidRPr="00164813" w:rsidR="00361E48" w:rsidTr="008B66DD" w14:paraId="2666BE14" w14:textId="77777777">
        <w:tc>
          <w:tcPr>
            <w:tcW w:w="1418" w:type="dxa"/>
          </w:tcPr>
          <w:p w:rsidRPr="00164813" w:rsidR="00361E48" w:rsidP="008B66DD" w:rsidRDefault="00361E48" w14:paraId="2A27EB13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164813" w:rsidR="00361E48" w:rsidP="008B66DD" w:rsidRDefault="00361E48" w14:paraId="5871F23C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00 32 2 546 80 67</w:t>
            </w:r>
          </w:p>
        </w:tc>
      </w:tr>
      <w:tr w:rsidRPr="00164813" w:rsidR="00361E48" w:rsidTr="008B66DD" w14:paraId="2382DBA5" w14:textId="77777777">
        <w:tc>
          <w:tcPr>
            <w:tcW w:w="1418" w:type="dxa"/>
          </w:tcPr>
          <w:p w:rsidRPr="00164813" w:rsidR="00361E48" w:rsidP="0095081D" w:rsidRDefault="00361E48" w14:paraId="4E96D1FE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64813" w:rsidR="00361E48" w:rsidP="00910972" w:rsidRDefault="00544E97" w14:paraId="07034536" w14:textId="0960E89F">
            <w:pPr>
              <w:contextualSpacing/>
              <w:rPr>
                <w:i/>
              </w:rPr>
            </w:pPr>
            <w:hyperlink w:history="1" r:id="rId34">
              <w:r w:rsidR="00FA343E">
                <w:rPr>
                  <w:rStyle w:val="Hyperlink"/>
                </w:rPr>
                <w:t xml:space="preserve"> Claudia.Drewes-Wran@eesc.europa.eu</w:t>
              </w:r>
            </w:hyperlink>
          </w:p>
        </w:tc>
      </w:tr>
    </w:tbl>
    <w:p w:rsidR="000956DB" w:rsidRDefault="000956DB" w14:paraId="6E31172A" w14:textId="78CEDAC7">
      <w:pPr>
        <w:spacing w:after="160" w:line="259" w:lineRule="auto"/>
        <w:jc w:val="left"/>
        <w:rPr>
          <w:sz w:val="28"/>
        </w:rPr>
      </w:pPr>
    </w:p>
    <w:p w:rsidR="000956DB" w:rsidRDefault="000956DB" w14:paraId="32ABF98F" w14:textId="77777777">
      <w:pPr>
        <w:spacing w:after="160" w:line="259" w:lineRule="auto"/>
        <w:jc w:val="left"/>
        <w:rPr>
          <w:sz w:val="28"/>
        </w:rPr>
      </w:pPr>
      <w:r>
        <w:br w:type="page"/>
      </w:r>
    </w:p>
    <w:p w:rsidRPr="009B70E7" w:rsidR="002E01B5" w:rsidP="0018231C" w:rsidRDefault="004D7AC0" w14:paraId="6C52985F" w14:textId="77777777">
      <w:pPr>
        <w:pStyle w:val="Heading1"/>
        <w:keepNext/>
        <w:rPr>
          <w:b/>
        </w:rPr>
      </w:pPr>
      <w:bookmarkStart w:name="_Toc70322234" w:id="14"/>
      <w:bookmarkStart w:name="_Toc75527084" w:id="15"/>
      <w:bookmarkStart w:name="_Toc109810934" w:id="16"/>
      <w:r>
        <w:rPr>
          <w:b/>
        </w:rPr>
        <w:lastRenderedPageBreak/>
        <w:t xml:space="preserve">MEZŐGAZDASÁG, VIDÉKFEJLESZTÉS </w:t>
      </w:r>
      <w:proofErr w:type="gramStart"/>
      <w:r>
        <w:rPr>
          <w:b/>
        </w:rPr>
        <w:t>ÉS</w:t>
      </w:r>
      <w:proofErr w:type="gramEnd"/>
      <w:r>
        <w:rPr>
          <w:b/>
        </w:rPr>
        <w:t xml:space="preserve"> KÖRNYEZETVÉDELEM</w:t>
      </w:r>
      <w:bookmarkEnd w:id="14"/>
      <w:bookmarkEnd w:id="15"/>
      <w:bookmarkEnd w:id="16"/>
    </w:p>
    <w:p w:rsidRPr="009B70E7" w:rsidR="009173E7" w:rsidP="1EBA916B" w:rsidRDefault="009173E7" w14:paraId="37AC66EE" w14:textId="77777777">
      <w:pPr>
        <w:keepNext/>
      </w:pPr>
    </w:p>
    <w:p w:rsidRPr="009B70E7" w:rsidR="00AC7690" w:rsidP="0018231C" w:rsidRDefault="000956DB" w14:paraId="6BF57A05" w14:textId="6349D851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Az uniós földrajzi jelzések rendszerének felülvizsgálata</w:t>
      </w:r>
    </w:p>
    <w:p w:rsidRPr="009B70E7" w:rsidR="004D7AC0" w:rsidP="0018231C" w:rsidRDefault="004D7AC0" w14:paraId="43570F8C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9B70E7" w:rsidR="004D7AC0" w:rsidTr="00662436" w14:paraId="32C9FAF0" w14:textId="77777777">
        <w:tc>
          <w:tcPr>
            <w:tcW w:w="1701" w:type="dxa"/>
          </w:tcPr>
          <w:p w:rsidRPr="009B70E7" w:rsidR="004D7AC0" w:rsidP="0018231C" w:rsidRDefault="004D7AC0" w14:paraId="7DFC3FE7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5387" w:type="dxa"/>
          </w:tcPr>
          <w:p w:rsidRPr="009B70E7" w:rsidR="004D7AC0" w:rsidP="001C4EDC" w:rsidRDefault="00E54548" w14:paraId="512C7D26" w14:textId="77777777">
            <w:pPr>
              <w:pStyle w:val="ListParagraph"/>
              <w:keepNext/>
              <w:ind w:left="-106"/>
            </w:pPr>
            <w:proofErr w:type="spellStart"/>
            <w:r>
              <w:t>Decebal-Ștefăniță</w:t>
            </w:r>
            <w:proofErr w:type="spellEnd"/>
            <w:r>
              <w:t xml:space="preserve"> PADURE (Munkáltatók/RO)</w:t>
            </w:r>
          </w:p>
        </w:tc>
      </w:tr>
      <w:tr w:rsidRPr="009B70E7" w:rsidR="004D7AC0" w:rsidTr="00662436" w14:paraId="10493BDC" w14:textId="77777777">
        <w:tc>
          <w:tcPr>
            <w:tcW w:w="1701" w:type="dxa"/>
          </w:tcPr>
          <w:p w:rsidRPr="009B70E7" w:rsidR="004D7AC0" w:rsidP="0018231C" w:rsidRDefault="004D7AC0" w14:paraId="09ACA4C1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9B70E7" w:rsidR="004D7AC0" w:rsidP="001C4EDC" w:rsidRDefault="004D7AC0" w14:paraId="3F39323E" w14:textId="77777777">
            <w:pPr>
              <w:pStyle w:val="ListParagraph"/>
              <w:keepNext/>
              <w:ind w:left="-106"/>
            </w:pPr>
          </w:p>
        </w:tc>
      </w:tr>
      <w:tr w:rsidRPr="009B70E7" w:rsidR="004D7AC0" w:rsidTr="00662436" w14:paraId="37A4E77C" w14:textId="77777777">
        <w:tc>
          <w:tcPr>
            <w:tcW w:w="1701" w:type="dxa"/>
          </w:tcPr>
          <w:p w:rsidRPr="007B231B" w:rsidR="004D7AC0" w:rsidP="0018231C" w:rsidRDefault="004D7AC0" w14:paraId="648A1766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387" w:type="dxa"/>
          </w:tcPr>
          <w:p w:rsidRPr="000956DB" w:rsidR="00814E33" w:rsidP="001C4EDC" w:rsidRDefault="001455A1" w14:paraId="20B091E7" w14:textId="7F25AFCE">
            <w:pPr>
              <w:pStyle w:val="ListParagraph"/>
              <w:keepNext/>
              <w:ind w:left="-106"/>
              <w:rPr>
                <w:iCs/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2021) 134 </w:t>
            </w:r>
            <w:proofErr w:type="spellStart"/>
            <w:r>
              <w:rPr>
                <w:color w:val="000000"/>
              </w:rPr>
              <w:t>final</w:t>
            </w:r>
            <w:proofErr w:type="spellEnd"/>
          </w:p>
          <w:p w:rsidRPr="00E54548" w:rsidR="004D7AC0" w:rsidP="001C4EDC" w:rsidRDefault="004331B4" w14:paraId="30DA0956" w14:textId="77777777">
            <w:pPr>
              <w:pStyle w:val="ListParagraph"/>
              <w:keepNext/>
              <w:ind w:left="-106"/>
              <w:rPr>
                <w:highlight w:val="yellow"/>
              </w:rPr>
            </w:pPr>
            <w:r>
              <w:t>EESC-2021-06620-00-00-AC</w:t>
            </w:r>
          </w:p>
        </w:tc>
      </w:tr>
    </w:tbl>
    <w:p w:rsidRPr="002C4B6E" w:rsidR="004D7AC0" w:rsidP="002C4B6E" w:rsidRDefault="004D7AC0" w14:paraId="4C513F36" w14:textId="77777777">
      <w:pPr>
        <w:pStyle w:val="ListParagraph"/>
        <w:spacing w:line="240" w:lineRule="auto"/>
        <w:ind w:left="-142" w:firstLine="142"/>
        <w:rPr>
          <w:b/>
        </w:rPr>
      </w:pPr>
    </w:p>
    <w:p w:rsidR="004D7AC0" w:rsidP="002C4B6E" w:rsidRDefault="004D7AC0" w14:paraId="63F2D92D" w14:textId="09C76463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1513FD" w:rsidP="0018231C" w:rsidRDefault="001513FD" w14:paraId="76827606" w14:textId="77777777">
      <w:pPr>
        <w:pStyle w:val="ListParagraph"/>
        <w:keepNext/>
        <w:ind w:left="0"/>
      </w:pPr>
    </w:p>
    <w:p w:rsidR="00E54548" w:rsidP="0018231C" w:rsidRDefault="00E54548" w14:paraId="05F6CCDA" w14:textId="77777777">
      <w:pPr>
        <w:pStyle w:val="ListParagraph"/>
        <w:keepNext/>
        <w:ind w:left="0"/>
      </w:pPr>
      <w:r>
        <w:t>Az EGSZB:</w:t>
      </w:r>
    </w:p>
    <w:p w:rsidR="00E54548" w:rsidP="0018231C" w:rsidRDefault="00E54548" w14:paraId="681D86A8" w14:textId="77777777">
      <w:pPr>
        <w:pStyle w:val="ListParagraph"/>
        <w:keepNext/>
        <w:ind w:left="0"/>
      </w:pPr>
    </w:p>
    <w:p w:rsidR="00BE6D5A" w:rsidP="00BE6D5A" w:rsidRDefault="00E54548" w14:paraId="4FC3D577" w14:textId="77777777">
      <w:pPr>
        <w:numPr>
          <w:ilvl w:val="0"/>
          <w:numId w:val="3"/>
        </w:numPr>
        <w:ind w:left="357" w:hanging="357"/>
        <w:contextualSpacing/>
      </w:pPr>
      <w:r>
        <w:t>üdvözli az Európai Bizottság kezdeményezését, amellyel olyan új rendeletre irányuló javaslatot terjeszt elő, amely megerősítené a mezőgazdasági termékek, szeszes italok és borok földrajzi árujelzőinek jelenlegi rendszerét. A földrajzi árujelzőknek a vidéki térségek fejlődéséhez, valamint közösségi, táji és kulturális örökségük megőrzéséhez való hozzájárulása alapvető fontosságú, így helyénvaló, hogy rendszerük a lehető legjobb és leghatékonyabb legyen. Ez a munka egyes régiókhoz kapcsolódik, amelyek szakértelme, sajátos jellemzői és kultúrája már jóval azelőtt is létezett, hogy uniós jogalapot határoztak volna meg hozzá. Alapvető fontosságú ennek a rendszernek a megőrzése és a minél magasabb szintű védelem biztosítása,</w:t>
      </w:r>
    </w:p>
    <w:p w:rsidR="008608BA" w:rsidP="008608BA" w:rsidRDefault="00E54548" w14:paraId="26E1086E" w14:textId="77777777">
      <w:pPr>
        <w:numPr>
          <w:ilvl w:val="0"/>
          <w:numId w:val="3"/>
        </w:numPr>
        <w:ind w:left="357" w:hanging="357"/>
        <w:contextualSpacing/>
      </w:pPr>
      <w:r>
        <w:t>úgy véli, hogy a földrajzi árujelzők igen sajátos rendszert alkotnak, amelyben a földrajzi árujelző sokkal többet jelent egy szellemitulajdon-jognál, így nem kezelhető védjegyként. Az EGSZB ezért arra kéri az uniós intézményeket, hogy gondosan mérjék fel annak szükségességét és hozzáadott értékét, hogy a földrajzi árujelzők kezelésével kapcsolatos feladatokat a Mezőgazdasági és Vidékfejlesztési Főigazgatóságról egy külső ügynökségre ruházzák át. Fontos lenne annak értékelése is, hogy a kijelölt ügynökség rendelkezik-e az átruházott feladatok szakszerű ellátásához szükséges szakértelemmel és tudással. Továbbra is a Mezőgazdasági és Vidékfejlesztési Főigazgatóságnak kell a földrajzi jelzések kezeléséért felelős legfőbb szereplőnek lennie,</w:t>
      </w:r>
    </w:p>
    <w:p w:rsidRPr="001513FD" w:rsidR="001513FD" w:rsidP="001513FD" w:rsidRDefault="00E54548" w14:paraId="220D2167" w14:textId="77777777">
      <w:pPr>
        <w:numPr>
          <w:ilvl w:val="0"/>
          <w:numId w:val="3"/>
        </w:numPr>
        <w:ind w:left="357" w:hanging="357"/>
        <w:contextualSpacing/>
      </w:pPr>
      <w:r>
        <w:t xml:space="preserve">úgy véli, hogy a hatáskörök átruházását a rendelet </w:t>
      </w:r>
      <w:proofErr w:type="spellStart"/>
      <w:r>
        <w:t>főszövegében</w:t>
      </w:r>
      <w:proofErr w:type="spellEnd"/>
      <w:r>
        <w:t xml:space="preserve"> részletesen szabályozni kell, és az adminisztratív feladatokra kell korlátozni. A földrajzi árujelzők alkalmazására, módosítására, törlésére vagy kifogásolására vonatkozó minden döntést szigorúan a Mezőgazdasági és Vidékfejlesztési Főigazgatóság hatáskörében kell tartani,</w:t>
      </w:r>
    </w:p>
    <w:p w:rsidRPr="00CA685D" w:rsidR="00071F4C" w:rsidP="004331B4" w:rsidRDefault="00E54548" w14:paraId="6CC74428" w14:textId="77777777">
      <w:pPr>
        <w:numPr>
          <w:ilvl w:val="0"/>
          <w:numId w:val="3"/>
        </w:numPr>
        <w:ind w:left="357" w:hanging="357"/>
        <w:contextualSpacing/>
      </w:pPr>
      <w:r>
        <w:t xml:space="preserve">arra kéri a társjogalkotókat, hogy a rendeletbe foglaljanak bele olyan intézkedéseket, amelyekkel népszerűsíteni lehet a földrajzi árujelzők rendszerét a termelők körében, különösen a földrajzi árujelzők rendszerében </w:t>
      </w:r>
      <w:proofErr w:type="spellStart"/>
      <w:r>
        <w:t>alulreprezentált</w:t>
      </w:r>
      <w:proofErr w:type="spellEnd"/>
      <w:r>
        <w:t xml:space="preserve"> régiókban.</w:t>
      </w:r>
    </w:p>
    <w:p w:rsidRPr="009B70E7" w:rsidR="00CA685D" w:rsidP="00E54548" w:rsidRDefault="00CA685D" w14:paraId="338EA745" w14:textId="77777777">
      <w:pPr>
        <w:ind w:left="357"/>
        <w:contextualSpacing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4331B4" w:rsidTr="00BC41D9" w14:paraId="587E7E08" w14:textId="77777777">
        <w:tc>
          <w:tcPr>
            <w:tcW w:w="1418" w:type="dxa"/>
          </w:tcPr>
          <w:p w:rsidRPr="009B70E7" w:rsidR="004331B4" w:rsidP="00BC41D9" w:rsidRDefault="004331B4" w14:paraId="02B3DBE9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4331B4" w:rsidP="00BC41D9" w:rsidRDefault="00E54548" w14:paraId="490824F4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Arturo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Iñiguez</w:t>
            </w:r>
            <w:proofErr w:type="spellEnd"/>
          </w:p>
        </w:tc>
      </w:tr>
      <w:tr w:rsidRPr="009B70E7" w:rsidR="004331B4" w:rsidTr="00BC41D9" w14:paraId="117DE739" w14:textId="77777777">
        <w:tc>
          <w:tcPr>
            <w:tcW w:w="1418" w:type="dxa"/>
          </w:tcPr>
          <w:p w:rsidRPr="009B70E7" w:rsidR="004331B4" w:rsidP="00BC41D9" w:rsidRDefault="004331B4" w14:paraId="07B5DE23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4331B4" w:rsidP="00BC41D9" w:rsidRDefault="00E54548" w14:paraId="6717A766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00 32 2 546 87 68</w:t>
            </w:r>
          </w:p>
        </w:tc>
      </w:tr>
      <w:tr w:rsidRPr="009B70E7" w:rsidR="004331B4" w:rsidTr="00BC41D9" w14:paraId="6D5CE45F" w14:textId="77777777">
        <w:tc>
          <w:tcPr>
            <w:tcW w:w="1418" w:type="dxa"/>
          </w:tcPr>
          <w:p w:rsidRPr="009B70E7" w:rsidR="004331B4" w:rsidP="0095081D" w:rsidRDefault="004331B4" w14:paraId="261C3027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="00CA685D" w:rsidP="00BC41D9" w:rsidRDefault="00544E97" w14:paraId="227015B9" w14:textId="77777777">
            <w:pPr>
              <w:pStyle w:val="ListParagraph"/>
              <w:ind w:left="0"/>
              <w:rPr>
                <w:i/>
              </w:rPr>
            </w:pPr>
            <w:hyperlink w:history="1" r:id="rId35">
              <w:r w:rsidR="00FA343E">
                <w:rPr>
                  <w:rStyle w:val="Hyperlink"/>
                  <w:i/>
                </w:rPr>
                <w:t>Arturo.Iniguez@eesc.europa.eu</w:t>
              </w:r>
            </w:hyperlink>
          </w:p>
          <w:p w:rsidRPr="009B70E7" w:rsidR="00CA685D" w:rsidP="00BC41D9" w:rsidRDefault="00CA685D" w14:paraId="40FE0D9C" w14:textId="77777777">
            <w:pPr>
              <w:pStyle w:val="ListParagraph"/>
              <w:ind w:left="0"/>
              <w:rPr>
                <w:i/>
              </w:rPr>
            </w:pPr>
          </w:p>
        </w:tc>
      </w:tr>
    </w:tbl>
    <w:p w:rsidR="000956DB" w:rsidP="0018231C" w:rsidRDefault="000956DB" w14:paraId="1FB21463" w14:textId="56EA1091">
      <w:pPr>
        <w:spacing w:after="160" w:line="240" w:lineRule="auto"/>
        <w:jc w:val="left"/>
        <w:rPr>
          <w:sz w:val="28"/>
          <w:szCs w:val="28"/>
        </w:rPr>
      </w:pPr>
    </w:p>
    <w:p w:rsidR="000956DB" w:rsidRDefault="000956DB" w14:paraId="6C8A5ED1" w14:textId="77777777">
      <w:pPr>
        <w:spacing w:after="160" w:line="259" w:lineRule="auto"/>
        <w:jc w:val="left"/>
        <w:rPr>
          <w:sz w:val="28"/>
          <w:szCs w:val="28"/>
        </w:rPr>
      </w:pPr>
      <w:r>
        <w:br w:type="page"/>
      </w:r>
    </w:p>
    <w:p w:rsidRPr="007E7A4F" w:rsidR="00E54548" w:rsidP="00E54548" w:rsidRDefault="00E54548" w14:paraId="0DC4E7D2" w14:textId="77777777">
      <w:pPr>
        <w:pStyle w:val="ListParagraph"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 fenntartható termékekre vonatkozó kezdeményezés, beleértve a környezetbarát tervezésről szóló irányelvet is</w:t>
      </w:r>
    </w:p>
    <w:p w:rsidRPr="009B70E7" w:rsidR="00E54548" w:rsidP="00E54548" w:rsidRDefault="00E54548" w14:paraId="55FE0C33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E54548" w:rsidTr="008B66DD" w14:paraId="2870A0D7" w14:textId="77777777">
        <w:tc>
          <w:tcPr>
            <w:tcW w:w="1701" w:type="dxa"/>
          </w:tcPr>
          <w:p w:rsidRPr="009B70E7" w:rsidR="00E54548" w:rsidP="008B66DD" w:rsidRDefault="00E54548" w14:paraId="0E26E11D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096" w:type="dxa"/>
          </w:tcPr>
          <w:p w:rsidRPr="007E7A4F" w:rsidR="00E54548" w:rsidP="008B66DD" w:rsidRDefault="00E54548" w14:paraId="0496CE2F" w14:textId="77777777">
            <w:pPr>
              <w:pStyle w:val="ListParagraph"/>
              <w:ind w:left="-108"/>
            </w:pPr>
            <w:r>
              <w:t xml:space="preserve"> Thomas WAGNSONNER (Munkavállalók/AT)</w:t>
            </w:r>
          </w:p>
        </w:tc>
      </w:tr>
      <w:tr w:rsidRPr="007E7A4F" w:rsidR="00E54548" w:rsidTr="008B66DD" w14:paraId="6F341EA6" w14:textId="77777777">
        <w:tc>
          <w:tcPr>
            <w:tcW w:w="7797" w:type="dxa"/>
            <w:gridSpan w:val="2"/>
          </w:tcPr>
          <w:p w:rsidRPr="007E7A4F" w:rsidR="00E54548" w:rsidP="008B66DD" w:rsidRDefault="00E54548" w14:paraId="03D721B0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E54548" w:rsidTr="008B66DD" w14:paraId="7A103358" w14:textId="77777777">
        <w:tc>
          <w:tcPr>
            <w:tcW w:w="1701" w:type="dxa"/>
          </w:tcPr>
          <w:p w:rsidRPr="009B70E7" w:rsidR="00E54548" w:rsidP="008B66DD" w:rsidRDefault="00E54548" w14:paraId="3D88AB9C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096" w:type="dxa"/>
          </w:tcPr>
          <w:p w:rsidRPr="009B70E7" w:rsidR="00E54548" w:rsidP="008B66DD" w:rsidRDefault="00E54548" w14:paraId="3F2C4954" w14:textId="67A9BD8A">
            <w:pPr>
              <w:tabs>
                <w:tab w:val="center" w:pos="284"/>
              </w:tabs>
              <w:ind w:left="266" w:hanging="374"/>
            </w:pPr>
            <w:proofErr w:type="gramStart"/>
            <w:r>
              <w:t>COM(</w:t>
            </w:r>
            <w:proofErr w:type="gramEnd"/>
            <w:r>
              <w:t xml:space="preserve">2022) 140 – 142 </w:t>
            </w:r>
            <w:proofErr w:type="spellStart"/>
            <w:r>
              <w:t>final</w:t>
            </w:r>
            <w:proofErr w:type="spellEnd"/>
          </w:p>
          <w:p w:rsidRPr="009B70E7" w:rsidR="00E54548" w:rsidP="008B66DD" w:rsidRDefault="00E54548" w14:paraId="2105E433" w14:textId="77777777">
            <w:pPr>
              <w:pStyle w:val="ListParagraph"/>
              <w:ind w:left="-108"/>
            </w:pPr>
            <w:r>
              <w:t>EESC-2022-00598-00-00-AC</w:t>
            </w:r>
          </w:p>
        </w:tc>
      </w:tr>
    </w:tbl>
    <w:p w:rsidRPr="009B70E7" w:rsidR="00E54548" w:rsidP="00E54548" w:rsidRDefault="00E54548" w14:paraId="5A8EA75C" w14:textId="77777777">
      <w:pPr>
        <w:pStyle w:val="ListParagraph"/>
        <w:ind w:left="0"/>
        <w:rPr>
          <w:b/>
        </w:rPr>
      </w:pPr>
    </w:p>
    <w:p w:rsidRPr="0018231C" w:rsidR="00E54548" w:rsidP="00E54548" w:rsidRDefault="00E54548" w14:paraId="2DB75FF2" w14:textId="535F1F3A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18231C" w:rsidR="00E54548" w:rsidP="00E54548" w:rsidRDefault="00E54548" w14:paraId="6EE8937D" w14:textId="77777777">
      <w:pPr>
        <w:pStyle w:val="ListParagraph"/>
        <w:ind w:left="0"/>
        <w:rPr>
          <w:lang w:val="fr-FR"/>
        </w:rPr>
      </w:pPr>
    </w:p>
    <w:p w:rsidR="00E54548" w:rsidP="00E54548" w:rsidRDefault="00E54548" w14:paraId="6B6F14AC" w14:textId="77777777">
      <w:pPr>
        <w:pStyle w:val="ListParagraph"/>
        <w:ind w:left="0"/>
      </w:pPr>
      <w:r>
        <w:t>Az EGSZB:</w:t>
      </w:r>
    </w:p>
    <w:p w:rsidRPr="0018231C" w:rsidR="00E54548" w:rsidP="00E54548" w:rsidRDefault="00E54548" w14:paraId="1F790AD7" w14:textId="77777777">
      <w:pPr>
        <w:pStyle w:val="ListParagraph"/>
        <w:ind w:left="0"/>
        <w:rPr>
          <w:lang w:val="fr-FR"/>
        </w:rPr>
      </w:pPr>
    </w:p>
    <w:p w:rsidRPr="00A74B4C" w:rsidR="00E54548" w:rsidP="00E54548" w:rsidRDefault="00C44A5C" w14:paraId="01A1936E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nagyra értékeli a körforgásos gazdaságra vonatkozó cselekvési tervben foglalt harmonizált javaslatokat, és a jelen véleményében különösen </w:t>
      </w:r>
      <w:r>
        <w:rPr>
          <w:b/>
        </w:rPr>
        <w:t>támogatja az utat, amely a termékek fenntarthatóbbá tételéhez vezet.</w:t>
      </w:r>
      <w:r>
        <w:t xml:space="preserve"> Ugyanakkor rámutat arra, hogy a környezettudatos tervezésről szóló új rendeletjavaslat a számos, felhatalmazáson alapuló jogi aktus miatt hosszabb szakaszokon továbbra is bizonytalan,</w:t>
      </w:r>
    </w:p>
    <w:p w:rsidRPr="00A3344B" w:rsidR="00E54548" w:rsidP="00E54548" w:rsidRDefault="00C44A5C" w14:paraId="2EA194B7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rPr>
          <w:b/>
          <w:bCs/>
        </w:rPr>
        <w:t>gyorsabb és ambiciózusabb végrehajtást</w:t>
      </w:r>
      <w:r>
        <w:t xml:space="preserve"> javasol, de külön felhívja a figyelmet arra, hogy ez a körforgásos gazdaságon alapuló út csak valamennyi gazdasági szereplő – termelők, fogyasztók, munkavállalók – és a hatóságok megfelelő bevonásával és tájékoztatásával lehet sikeres,</w:t>
      </w:r>
    </w:p>
    <w:p w:rsidRPr="00A3344B" w:rsidR="00E54548" w:rsidP="00E54548" w:rsidRDefault="00C44A5C" w14:paraId="07D2FB57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üdvözli a rendelet új elemeit, mint például </w:t>
      </w:r>
      <w:r>
        <w:rPr>
          <w:b/>
          <w:bCs/>
        </w:rPr>
        <w:t>a hatály kiterjesztését,</w:t>
      </w:r>
      <w:r>
        <w:t xml:space="preserve"> az új környezettudatos tervezési követelményeket (tartósság, javíthatóság, újrafeldolgozás, környezeti hatás, CO</w:t>
      </w:r>
      <w:r>
        <w:rPr>
          <w:vertAlign w:val="subscript"/>
        </w:rPr>
        <w:t>2</w:t>
      </w:r>
      <w:r>
        <w:t xml:space="preserve">‑kibocsátás stb.), illetve </w:t>
      </w:r>
      <w:r>
        <w:rPr>
          <w:b/>
          <w:bCs/>
        </w:rPr>
        <w:t>a digitális termékútlevél és a címkék segítségével megvalósuló tájékoztatási követelményeket,</w:t>
      </w:r>
      <w:r>
        <w:t xml:space="preserve"> melyeket illetően – különösen a fogyasztók tekintetében – hangsúlyozza a helyes és megfelelő tájékoztatás fontosságát,</w:t>
      </w:r>
    </w:p>
    <w:p w:rsidRPr="00A3344B" w:rsidR="00E54548" w:rsidP="00E54548" w:rsidRDefault="00C44A5C" w14:paraId="4400E2D4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támogatja az eladatlan – azaz: új, visszaküldött vagy javítható – </w:t>
      </w:r>
      <w:r>
        <w:rPr>
          <w:b/>
        </w:rPr>
        <w:t>áruk megsemmisítésének tilalmát</w:t>
      </w:r>
      <w:r>
        <w:t>. Üdvözli továbbá, hogy a rendelet a körforgásos csomaggal együttesen fellép az olyan, valós problémák ellen, mint például a „</w:t>
      </w:r>
      <w:proofErr w:type="spellStart"/>
      <w:r>
        <w:t>zöldrefestés</w:t>
      </w:r>
      <w:proofErr w:type="spellEnd"/>
      <w:r>
        <w:t>” vagy az elavulás,</w:t>
      </w:r>
    </w:p>
    <w:p w:rsidRPr="00A3344B" w:rsidR="00E54548" w:rsidP="00E54548" w:rsidRDefault="00C44A5C" w14:paraId="710AB345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pártolja </w:t>
      </w:r>
      <w:r>
        <w:rPr>
          <w:b/>
          <w:bCs/>
        </w:rPr>
        <w:t>a környezettudatos tervezéssel foglalkozó fórumot,</w:t>
      </w:r>
      <w:r>
        <w:t xml:space="preserve"> egy támogató szervet, amely számos feladatot lát el a végrehajtás során. Itt minden érdekelt félnek és a civil társadalom képviselőinek (a szociális partnereket is beleértve) lehetőséget kell adni arra, hogy a folyamat javítására vonatkozó ötletekkel és javaslatokkal álljanak elő,</w:t>
      </w:r>
    </w:p>
    <w:p w:rsidR="00E54548" w:rsidP="00E54548" w:rsidRDefault="00C44A5C" w14:paraId="428C54E7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tisztában van azzal, hogy ez </w:t>
      </w:r>
      <w:r>
        <w:rPr>
          <w:b/>
          <w:bCs/>
        </w:rPr>
        <w:t>kihívások elé állítja a gyártókat és a vállalatokat,</w:t>
      </w:r>
      <w:r>
        <w:t xml:space="preserve"> különösen a kkv-kat, és mindenképpen fontos, hogy kerüljük a szükségtelen adminisztratív terheket. A fenntartható termékszabványok révén alighanem egy új „Made in Europe” európai termékszint elérésére is van esély,</w:t>
      </w:r>
    </w:p>
    <w:p w:rsidRPr="00C44A5C" w:rsidR="00C44A5C" w:rsidP="00E54548" w:rsidRDefault="00C44A5C" w14:paraId="1CA1FF0E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kiemeli, hogy a megfelelőségi nyilatkozat és az önszabályozás eszközei teret engednek </w:t>
      </w:r>
      <w:r>
        <w:rPr>
          <w:b/>
          <w:bCs/>
        </w:rPr>
        <w:t>a vállalkozások fellépéseinek,</w:t>
      </w:r>
    </w:p>
    <w:p w:rsidRPr="007E7A4F" w:rsidR="00C44A5C" w:rsidP="00E54548" w:rsidRDefault="00C44A5C" w14:paraId="0DC28D76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sajnálattal állapítja meg, hogy </w:t>
      </w:r>
      <w:r>
        <w:rPr>
          <w:b/>
          <w:bCs/>
        </w:rPr>
        <w:t>a rendelet nem foglalkozik a társadalmi vetülettel.</w:t>
      </w:r>
      <w:r>
        <w:t xml:space="preserve"> A vállalati átvilágításról szóló irányelvre irányuló európai bizottsági javaslatra való hivatkozás nem tűnik elegendőnek.</w:t>
      </w:r>
    </w:p>
    <w:p w:rsidRPr="007E7A4F" w:rsidR="00E54548" w:rsidP="00E54548" w:rsidRDefault="00E54548" w14:paraId="7BB9A561" w14:textId="77777777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64813" w:rsidR="00E54548" w:rsidTr="008B66DD" w14:paraId="25A3FF7E" w14:textId="77777777">
        <w:tc>
          <w:tcPr>
            <w:tcW w:w="1418" w:type="dxa"/>
          </w:tcPr>
          <w:p w:rsidRPr="00164813" w:rsidR="00E54548" w:rsidP="008B66DD" w:rsidRDefault="00E54548" w14:paraId="1C0A7F50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164813" w:rsidR="00E54548" w:rsidP="008B66DD" w:rsidRDefault="00E54548" w14:paraId="59C2EA51" w14:textId="77777777">
            <w:pPr>
              <w:contextualSpacing/>
              <w:rPr>
                <w:i/>
              </w:rPr>
            </w:pPr>
            <w:r>
              <w:rPr>
                <w:i/>
              </w:rPr>
              <w:t xml:space="preserve">Caroline </w:t>
            </w:r>
            <w:proofErr w:type="spellStart"/>
            <w:r>
              <w:rPr>
                <w:i/>
              </w:rPr>
              <w:t>Verhelst</w:t>
            </w:r>
            <w:proofErr w:type="spellEnd"/>
          </w:p>
        </w:tc>
      </w:tr>
      <w:tr w:rsidRPr="00164813" w:rsidR="00E54548" w:rsidTr="008B66DD" w14:paraId="50BF4889" w14:textId="77777777">
        <w:tc>
          <w:tcPr>
            <w:tcW w:w="1418" w:type="dxa"/>
          </w:tcPr>
          <w:p w:rsidRPr="00164813" w:rsidR="00E54548" w:rsidP="008B66DD" w:rsidRDefault="00E54548" w14:paraId="1F8D44FD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164813" w:rsidR="00E54548" w:rsidP="008B66DD" w:rsidRDefault="00E54548" w14:paraId="099C6AF1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00 32 2 546 94 97</w:t>
            </w:r>
          </w:p>
        </w:tc>
      </w:tr>
      <w:tr w:rsidRPr="00164813" w:rsidR="00E54548" w:rsidTr="008B66DD" w14:paraId="735920C0" w14:textId="77777777">
        <w:tc>
          <w:tcPr>
            <w:tcW w:w="1418" w:type="dxa"/>
          </w:tcPr>
          <w:p w:rsidRPr="00164813" w:rsidR="00E54548" w:rsidP="0095081D" w:rsidRDefault="00E54548" w14:paraId="554E9752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64813" w:rsidR="00E54548" w:rsidP="00910972" w:rsidRDefault="00544E97" w14:paraId="57D07659" w14:textId="10CBCC61">
            <w:pPr>
              <w:contextualSpacing/>
              <w:rPr>
                <w:i/>
              </w:rPr>
            </w:pPr>
            <w:hyperlink w:history="1" r:id="rId36">
              <w:r w:rsidR="00FA343E">
                <w:rPr>
                  <w:rStyle w:val="Hyperlink"/>
                </w:rPr>
                <w:t xml:space="preserve"> Caroline.Verhelst@eesc.europa.eu</w:t>
              </w:r>
            </w:hyperlink>
          </w:p>
        </w:tc>
      </w:tr>
    </w:tbl>
    <w:p w:rsidR="00F2127E" w:rsidP="0018231C" w:rsidRDefault="00F2127E" w14:paraId="3D4A5F95" w14:textId="178D72DA">
      <w:pPr>
        <w:spacing w:after="160" w:line="240" w:lineRule="auto"/>
        <w:jc w:val="left"/>
        <w:rPr>
          <w:sz w:val="28"/>
          <w:szCs w:val="16"/>
        </w:rPr>
      </w:pPr>
    </w:p>
    <w:p w:rsidRPr="007E7A4F" w:rsidR="008B66DD" w:rsidP="008B66DD" w:rsidRDefault="008B66DD" w14:paraId="6941BE74" w14:textId="77777777">
      <w:pPr>
        <w:pStyle w:val="ListParagraph"/>
        <w:keepNext/>
        <w:keepLines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Az ipari kibocsátásokról szóló irányelv (IED) és az Európai PRTR-</w:t>
      </w:r>
      <w:proofErr w:type="spellStart"/>
      <w:r>
        <w:rPr>
          <w:b/>
          <w:i/>
          <w:sz w:val="28"/>
        </w:rPr>
        <w:t>ről</w:t>
      </w:r>
      <w:proofErr w:type="spellEnd"/>
      <w:r>
        <w:rPr>
          <w:b/>
          <w:i/>
          <w:sz w:val="28"/>
        </w:rPr>
        <w:t xml:space="preserve"> szóló rendelet felülvizsgálata</w:t>
      </w:r>
    </w:p>
    <w:p w:rsidRPr="009B70E7" w:rsidR="008B66DD" w:rsidP="008B66DD" w:rsidRDefault="008B66DD" w14:paraId="1A34547D" w14:textId="77777777">
      <w:pPr>
        <w:pStyle w:val="ListParagraph"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096"/>
      </w:tblGrid>
      <w:tr w:rsidRPr="007E7A4F" w:rsidR="008B66DD" w:rsidTr="008B66DD" w14:paraId="0140FF97" w14:textId="77777777">
        <w:tc>
          <w:tcPr>
            <w:tcW w:w="1701" w:type="dxa"/>
          </w:tcPr>
          <w:p w:rsidRPr="009B70E7" w:rsidR="008B66DD" w:rsidP="008B66DD" w:rsidRDefault="008B66DD" w14:paraId="649A0BE9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096" w:type="dxa"/>
          </w:tcPr>
          <w:p w:rsidRPr="007E7A4F" w:rsidR="008B66DD" w:rsidP="008B66DD" w:rsidRDefault="008B66DD" w14:paraId="04C7D4F2" w14:textId="77777777">
            <w:pPr>
              <w:pStyle w:val="ListParagraph"/>
              <w:ind w:left="-108"/>
            </w:pPr>
            <w:proofErr w:type="spellStart"/>
            <w:r>
              <w:t>Stoyan</w:t>
            </w:r>
            <w:proofErr w:type="spellEnd"/>
            <w:r>
              <w:t xml:space="preserve"> TCHOUKANOV (Civil társadalmi szervezetek/BG)</w:t>
            </w:r>
          </w:p>
        </w:tc>
      </w:tr>
      <w:tr w:rsidRPr="007E7A4F" w:rsidR="008B66DD" w:rsidTr="008B66DD" w14:paraId="6E75EC44" w14:textId="77777777">
        <w:tc>
          <w:tcPr>
            <w:tcW w:w="7797" w:type="dxa"/>
            <w:gridSpan w:val="2"/>
          </w:tcPr>
          <w:p w:rsidRPr="007E7A4F" w:rsidR="008B66DD" w:rsidP="008B66DD" w:rsidRDefault="008B66DD" w14:paraId="3599F5C2" w14:textId="77777777">
            <w:pPr>
              <w:pStyle w:val="ListParagraph"/>
              <w:ind w:left="0"/>
              <w:rPr>
                <w:lang w:val="fr-BE"/>
              </w:rPr>
            </w:pPr>
          </w:p>
        </w:tc>
      </w:tr>
      <w:tr w:rsidRPr="009B70E7" w:rsidR="008B66DD" w:rsidTr="008B66DD" w14:paraId="35CD3693" w14:textId="77777777">
        <w:tc>
          <w:tcPr>
            <w:tcW w:w="1701" w:type="dxa"/>
          </w:tcPr>
          <w:p w:rsidRPr="009B70E7" w:rsidR="008B66DD" w:rsidP="008B66DD" w:rsidRDefault="008B66DD" w14:paraId="3CF5DB5F" w14:textId="77777777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096" w:type="dxa"/>
          </w:tcPr>
          <w:p w:rsidRPr="009B70E7" w:rsidR="008B66DD" w:rsidP="008B66DD" w:rsidRDefault="008B66DD" w14:paraId="3EEDB04A" w14:textId="0C268394">
            <w:pPr>
              <w:tabs>
                <w:tab w:val="center" w:pos="284"/>
              </w:tabs>
              <w:ind w:left="266" w:hanging="374"/>
            </w:pPr>
            <w:proofErr w:type="gramStart"/>
            <w:r>
              <w:t>COM(</w:t>
            </w:r>
            <w:proofErr w:type="gramEnd"/>
            <w:r>
              <w:t xml:space="preserve">2022) 156 – 157 </w:t>
            </w:r>
            <w:proofErr w:type="spellStart"/>
            <w:r>
              <w:t>final</w:t>
            </w:r>
            <w:proofErr w:type="spellEnd"/>
          </w:p>
          <w:p w:rsidRPr="009B70E7" w:rsidR="008B66DD" w:rsidP="008B66DD" w:rsidRDefault="008B66DD" w14:paraId="3F90EC7C" w14:textId="77777777">
            <w:pPr>
              <w:pStyle w:val="ListParagraph"/>
              <w:ind w:left="-108"/>
            </w:pPr>
            <w:r>
              <w:t>EESC-2022-02403-00-00-AC</w:t>
            </w:r>
          </w:p>
        </w:tc>
      </w:tr>
    </w:tbl>
    <w:p w:rsidRPr="009B70E7" w:rsidR="008B66DD" w:rsidP="008B66DD" w:rsidRDefault="008B66DD" w14:paraId="1CB383F7" w14:textId="77777777">
      <w:pPr>
        <w:pStyle w:val="ListParagraph"/>
        <w:ind w:left="0"/>
        <w:rPr>
          <w:b/>
        </w:rPr>
      </w:pPr>
    </w:p>
    <w:p w:rsidRPr="0018231C" w:rsidR="008B66DD" w:rsidP="008B66DD" w:rsidRDefault="008B66DD" w14:paraId="2DDA570D" w14:textId="6E2E4A4A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18231C" w:rsidR="008B66DD" w:rsidP="008B66DD" w:rsidRDefault="008B66DD" w14:paraId="2C4A49AB" w14:textId="77777777">
      <w:pPr>
        <w:pStyle w:val="ListParagraph"/>
        <w:ind w:left="0"/>
        <w:rPr>
          <w:lang w:val="fr-FR"/>
        </w:rPr>
      </w:pPr>
    </w:p>
    <w:p w:rsidR="008B66DD" w:rsidP="008B66DD" w:rsidRDefault="008B66DD" w14:paraId="38F8E496" w14:textId="77777777">
      <w:pPr>
        <w:pStyle w:val="ListParagraph"/>
        <w:ind w:left="0"/>
      </w:pPr>
      <w:r>
        <w:t>Az EGSZB:</w:t>
      </w:r>
    </w:p>
    <w:p w:rsidRPr="0018231C" w:rsidR="008B66DD" w:rsidP="008B66DD" w:rsidRDefault="008B66DD" w14:paraId="3F662290" w14:textId="77777777">
      <w:pPr>
        <w:pStyle w:val="ListParagraph"/>
        <w:ind w:left="0"/>
        <w:rPr>
          <w:lang w:val="fr-FR"/>
        </w:rPr>
      </w:pPr>
    </w:p>
    <w:p w:rsidRPr="008B66DD" w:rsidR="008B66DD" w:rsidP="008B66DD" w:rsidRDefault="008B66DD" w14:paraId="4C48C082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egyetért azzal, hogy az </w:t>
      </w:r>
      <w:r>
        <w:rPr>
          <w:b/>
        </w:rPr>
        <w:t>ipari kibocsátásokról szóló irányelv</w:t>
      </w:r>
      <w:r>
        <w:t xml:space="preserve"> következetes politikai megközelítést jelent az </w:t>
      </w:r>
      <w:r>
        <w:rPr>
          <w:b/>
        </w:rPr>
        <w:t>ökoszisztémák és az emberi egészség védelmére</w:t>
      </w:r>
      <w:r>
        <w:t xml:space="preserve"> nézve, mivel az agráripari létesítményekből származó valamennyi releváns potenciális szennyezésre kiterjed, jól integrált módon, </w:t>
      </w:r>
      <w:proofErr w:type="spellStart"/>
      <w:r>
        <w:t>ágazatonként</w:t>
      </w:r>
      <w:proofErr w:type="spellEnd"/>
      <w:r>
        <w:t>,</w:t>
      </w:r>
    </w:p>
    <w:p w:rsidRPr="00A74B4C" w:rsidR="008B66DD" w:rsidP="008B66DD" w:rsidRDefault="008B66DD" w14:paraId="1E0E1F09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  <w:rPr>
          <w:bCs/>
          <w:iCs/>
        </w:rPr>
      </w:pPr>
      <w:r>
        <w:t xml:space="preserve">hangsúlyozza, hogy az ipari kibocsátásokról szóló irányelv felülvizsgálatának célja az ipar mélyreható átalakításának ösztönzése egy olyan </w:t>
      </w:r>
      <w:r>
        <w:rPr>
          <w:b/>
        </w:rPr>
        <w:t>tiszta környezet megvalósítása érdekében, amely javítja a közegészségügyet és támogatja az európai zöld megállapodás szerinti szennyezőanyag-mentességi célkitűzést,</w:t>
      </w:r>
    </w:p>
    <w:p w:rsidR="008B66DD" w:rsidP="008B66DD" w:rsidRDefault="008B66DD" w14:paraId="1EC94DA6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megállapítja, hogy az ipari kibocsátásokról szóló irányelvet nem minden tagállam ültette át következetesen, ami aláássa annak célkitűzéseit,</w:t>
      </w:r>
    </w:p>
    <w:p w:rsidR="008B66DD" w:rsidP="008B66DD" w:rsidRDefault="008B66DD" w14:paraId="2BB4A7AE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egyetért az Európai Számvevőszékkel abban, hogy </w:t>
      </w:r>
      <w:r>
        <w:rPr>
          <w:b/>
        </w:rPr>
        <w:t>„a szennyező fizet” elv</w:t>
      </w:r>
      <w:r>
        <w:t xml:space="preserve"> jelentését egyértelműen meg kell határozni. A társadalmi előnyök arányaival szemben pénzben kifejezett gazdasági költségek mellett az átláthatóság és a teljesség érdekében a társadalmi költségek és a társadalmi és környezeti előnyök mutatóinak a viszonyát is elemezni kell,</w:t>
      </w:r>
    </w:p>
    <w:p w:rsidR="008B66DD" w:rsidP="008B66DD" w:rsidRDefault="008B66DD" w14:paraId="4C9197E6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hangsúlyozza az </w:t>
      </w:r>
      <w:r>
        <w:rPr>
          <w:b/>
        </w:rPr>
        <w:t>európai zöld megállapodásban</w:t>
      </w:r>
      <w:r>
        <w:t xml:space="preserve"> meghatározott azon törekvéseket, hogy új intézkedéseket hozzanak a nagy agráripari létesítményekből származó szennyezés kezelésére azáltal, hogy </w:t>
      </w:r>
      <w:r>
        <w:rPr>
          <w:b/>
        </w:rPr>
        <w:t>aktualizálják az ipari létesítményekből származó szennyezőanyag-kibocsátást szabályozó fő uniós eszköz ipari kibocsátásokra vonatkozó uniós szabályait, valamint hogy hozzájáruljanak több fenntartható fejlődési cél eléréséhez</w:t>
      </w:r>
      <w:r>
        <w:t>,</w:t>
      </w:r>
    </w:p>
    <w:p w:rsidR="008B66DD" w:rsidP="008B66DD" w:rsidRDefault="00C25DB3" w14:paraId="087D3CA8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>javasolja, hogy az ipari kibocsátásokról szóló irányelv különböző iparágakra gyakorolt hatását pontosabban határozzák meg, mivel az</w:t>
      </w:r>
      <w:r>
        <w:rPr>
          <w:b/>
        </w:rPr>
        <w:t xml:space="preserve"> ipari kibocsátásokról szóló irányelv végrehajtása során a különböző mezőgazdasági ágazatokban</w:t>
      </w:r>
      <w:r>
        <w:t xml:space="preserve"> eltérő körülményeket kell figyelembe venni,</w:t>
      </w:r>
    </w:p>
    <w:p w:rsidRPr="007E7A4F" w:rsidR="008B66DD" w:rsidP="008B66DD" w:rsidRDefault="008B66DD" w14:paraId="478CB44D" w14:textId="77777777">
      <w:pPr>
        <w:numPr>
          <w:ilvl w:val="0"/>
          <w:numId w:val="3"/>
        </w:numPr>
        <w:overflowPunct w:val="0"/>
        <w:autoSpaceDE w:val="0"/>
        <w:autoSpaceDN w:val="0"/>
        <w:adjustRightInd w:val="0"/>
        <w:ind w:left="357" w:hanging="357"/>
        <w:textAlignment w:val="baseline"/>
      </w:pPr>
      <w:r>
        <w:t xml:space="preserve">üdvözli az ipari kibocsátások portáljának létrehozását, amelynek célja, hogy </w:t>
      </w:r>
      <w:r>
        <w:rPr>
          <w:b/>
        </w:rPr>
        <w:t>az uniós polgárok számára hozzáférést biztosítson olyan környezeti adatokhoz, amelyek lehetővé teszik számukra, hogy tájékozottan vegyenek részt</w:t>
      </w:r>
      <w:r>
        <w:t xml:space="preserve"> az EU fő (agrár</w:t>
      </w:r>
      <w:proofErr w:type="gramStart"/>
      <w:r>
        <w:t>)ipari</w:t>
      </w:r>
      <w:proofErr w:type="gramEnd"/>
      <w:r>
        <w:t xml:space="preserve"> tevékenységeire vonatkozó </w:t>
      </w:r>
      <w:r>
        <w:rPr>
          <w:b/>
        </w:rPr>
        <w:t>környezetvédelmi döntéshozatalban</w:t>
      </w:r>
      <w:r>
        <w:t>.</w:t>
      </w:r>
    </w:p>
    <w:p w:rsidRPr="007E7A4F" w:rsidR="008B66DD" w:rsidP="008B66DD" w:rsidRDefault="008B66DD" w14:paraId="7BEDBB72" w14:textId="77777777">
      <w:pPr>
        <w:widowControl w:val="0"/>
        <w:overflowPunct w:val="0"/>
        <w:autoSpaceDE w:val="0"/>
        <w:autoSpaceDN w:val="0"/>
        <w:adjustRightInd w:val="0"/>
        <w:textAlignment w:val="baseline"/>
      </w:pPr>
    </w:p>
    <w:tbl>
      <w:tblPr>
        <w:tblStyle w:val="TableGrid7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164813" w:rsidR="008B66DD" w:rsidTr="008B66DD" w14:paraId="562FD113" w14:textId="77777777">
        <w:tc>
          <w:tcPr>
            <w:tcW w:w="1418" w:type="dxa"/>
          </w:tcPr>
          <w:p w:rsidRPr="00164813" w:rsidR="008B66DD" w:rsidP="008B66DD" w:rsidRDefault="008B66DD" w14:paraId="6A3CFD92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164813" w:rsidR="008B66DD" w:rsidP="008B66DD" w:rsidRDefault="008B66DD" w14:paraId="40D8BF4D" w14:textId="77777777">
            <w:pPr>
              <w:contextualSpacing/>
              <w:rPr>
                <w:i/>
              </w:rPr>
            </w:pPr>
            <w:r>
              <w:rPr>
                <w:i/>
              </w:rPr>
              <w:t xml:space="preserve">Caroline </w:t>
            </w:r>
            <w:proofErr w:type="spellStart"/>
            <w:r>
              <w:rPr>
                <w:i/>
              </w:rPr>
              <w:t>Verhelst</w:t>
            </w:r>
            <w:proofErr w:type="spellEnd"/>
          </w:p>
        </w:tc>
      </w:tr>
      <w:tr w:rsidRPr="00164813" w:rsidR="008B66DD" w:rsidTr="008B66DD" w14:paraId="39B58971" w14:textId="77777777">
        <w:tc>
          <w:tcPr>
            <w:tcW w:w="1418" w:type="dxa"/>
          </w:tcPr>
          <w:p w:rsidRPr="00164813" w:rsidR="008B66DD" w:rsidP="008B66DD" w:rsidRDefault="008B66DD" w14:paraId="0374B985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164813" w:rsidR="008B66DD" w:rsidP="008B66DD" w:rsidRDefault="008B66DD" w14:paraId="2FFDE135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00 32 2 546 94 97</w:t>
            </w:r>
          </w:p>
        </w:tc>
      </w:tr>
      <w:tr w:rsidRPr="00164813" w:rsidR="008B66DD" w:rsidTr="008B66DD" w14:paraId="0D993716" w14:textId="77777777">
        <w:tc>
          <w:tcPr>
            <w:tcW w:w="1418" w:type="dxa"/>
          </w:tcPr>
          <w:p w:rsidRPr="00164813" w:rsidR="008B66DD" w:rsidP="0095081D" w:rsidRDefault="008B66DD" w14:paraId="04669011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164813" w:rsidR="008B66DD" w:rsidP="00910972" w:rsidRDefault="00544E97" w14:paraId="503147B8" w14:textId="7DD9F44B">
            <w:pPr>
              <w:contextualSpacing/>
              <w:rPr>
                <w:i/>
              </w:rPr>
            </w:pPr>
            <w:hyperlink w:history="1" r:id="rId37">
              <w:r w:rsidR="00FA343E">
                <w:rPr>
                  <w:rStyle w:val="Hyperlink"/>
                </w:rPr>
                <w:t xml:space="preserve"> Caroline.Verhelst@eesc.europa.eu</w:t>
              </w:r>
            </w:hyperlink>
          </w:p>
        </w:tc>
      </w:tr>
    </w:tbl>
    <w:p w:rsidRPr="00A10A98" w:rsidR="00931584" w:rsidP="002A2F38" w:rsidRDefault="002A2F38" w14:paraId="49E30748" w14:textId="77777777">
      <w:pPr>
        <w:spacing w:after="160" w:line="259" w:lineRule="auto"/>
        <w:jc w:val="left"/>
        <w:rPr>
          <w:sz w:val="28"/>
          <w:szCs w:val="16"/>
        </w:rPr>
      </w:pPr>
      <w:r>
        <w:br w:type="page"/>
      </w:r>
    </w:p>
    <w:p w:rsidRPr="003E692C" w:rsidR="0005170F" w:rsidP="003E692C" w:rsidRDefault="00931584" w14:paraId="259B2927" w14:textId="77777777">
      <w:pPr>
        <w:pStyle w:val="Heading1"/>
        <w:keepNext/>
        <w:rPr>
          <w:b/>
        </w:rPr>
      </w:pPr>
      <w:bookmarkStart w:name="_Toc90469310" w:id="17"/>
      <w:bookmarkStart w:name="_Toc109810935" w:id="18"/>
      <w:r>
        <w:rPr>
          <w:b/>
        </w:rPr>
        <w:lastRenderedPageBreak/>
        <w:t>KÜLKAPCSOLATOK</w:t>
      </w:r>
      <w:bookmarkEnd w:id="17"/>
      <w:bookmarkEnd w:id="18"/>
    </w:p>
    <w:p w:rsidRPr="00CB3335" w:rsidR="00CB3335" w:rsidP="00CB3335" w:rsidRDefault="00CB3335" w14:paraId="4C868865" w14:textId="77777777"/>
    <w:p w:rsidR="0005170F" w:rsidP="00F856AC" w:rsidRDefault="00F856AC" w14:paraId="602B729E" w14:textId="77777777">
      <w:pPr>
        <w:pStyle w:val="ListParagraph"/>
        <w:keepNext/>
        <w:keepLines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t>Akcióban az új EU–USA Kereskedelmi és Technológiai Tanács</w:t>
      </w:r>
    </w:p>
    <w:p w:rsidRPr="00F856AC" w:rsidR="00F856AC" w:rsidP="00F856AC" w:rsidRDefault="00F856AC" w14:paraId="7DD8EEC3" w14:textId="77777777">
      <w:pPr>
        <w:keepNext/>
        <w:keepLines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9B70E7" w:rsidR="0005170F" w:rsidTr="00BC41D9" w14:paraId="0C5522F9" w14:textId="77777777">
        <w:tc>
          <w:tcPr>
            <w:tcW w:w="1701" w:type="dxa"/>
          </w:tcPr>
          <w:p w:rsidRPr="009B70E7" w:rsidR="0005170F" w:rsidP="00BC41D9" w:rsidRDefault="0005170F" w14:paraId="064CA71B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5387" w:type="dxa"/>
          </w:tcPr>
          <w:p w:rsidRPr="009B70E7" w:rsidR="0005170F" w:rsidP="00BC41D9" w:rsidRDefault="00F856AC" w14:paraId="45B35874" w14:textId="77777777">
            <w:pPr>
              <w:pStyle w:val="ListParagraph"/>
              <w:keepNext/>
              <w:ind w:left="-106"/>
            </w:pPr>
            <w:proofErr w:type="spellStart"/>
            <w:r>
              <w:t>Timo</w:t>
            </w:r>
            <w:proofErr w:type="spellEnd"/>
            <w:r>
              <w:t xml:space="preserve"> VUORI (Munkáltatók/FI)</w:t>
            </w:r>
          </w:p>
        </w:tc>
      </w:tr>
      <w:tr w:rsidRPr="009B70E7" w:rsidR="0005170F" w:rsidTr="00BC41D9" w14:paraId="53A93979" w14:textId="77777777">
        <w:tc>
          <w:tcPr>
            <w:tcW w:w="1701" w:type="dxa"/>
          </w:tcPr>
          <w:p w:rsidRPr="009B70E7" w:rsidR="0005170F" w:rsidP="00BC41D9" w:rsidRDefault="0005170F" w14:paraId="392B7337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5387" w:type="dxa"/>
          </w:tcPr>
          <w:p w:rsidRPr="009B70E7" w:rsidR="0005170F" w:rsidP="00BC41D9" w:rsidRDefault="00F856AC" w14:paraId="52EFC6C4" w14:textId="0996E1F8">
            <w:pPr>
              <w:pStyle w:val="ListParagraph"/>
              <w:keepNext/>
              <w:ind w:left="-106"/>
            </w:pPr>
            <w:proofErr w:type="spellStart"/>
            <w:r>
              <w:t>Tanja</w:t>
            </w:r>
            <w:proofErr w:type="spellEnd"/>
            <w:r>
              <w:t xml:space="preserve"> BUZEK (Munkavállalók/DE)</w:t>
            </w:r>
          </w:p>
        </w:tc>
      </w:tr>
      <w:tr w:rsidRPr="009B70E7" w:rsidR="0005170F" w:rsidTr="00BC41D9" w14:paraId="3756149D" w14:textId="77777777">
        <w:tc>
          <w:tcPr>
            <w:tcW w:w="7088" w:type="dxa"/>
            <w:gridSpan w:val="2"/>
          </w:tcPr>
          <w:p w:rsidRPr="007B231B" w:rsidR="0005170F" w:rsidP="00BC41D9" w:rsidRDefault="0005170F" w14:paraId="1E0EC2DB" w14:textId="77777777">
            <w:pPr>
              <w:pStyle w:val="ListParagraph"/>
              <w:keepNext/>
              <w:ind w:left="0"/>
            </w:pPr>
          </w:p>
        </w:tc>
      </w:tr>
      <w:tr w:rsidRPr="009B70E7" w:rsidR="0005170F" w:rsidTr="00BC41D9" w14:paraId="19BB4E31" w14:textId="77777777">
        <w:tc>
          <w:tcPr>
            <w:tcW w:w="1701" w:type="dxa"/>
          </w:tcPr>
          <w:p w:rsidRPr="007B231B" w:rsidR="0005170F" w:rsidP="00BC41D9" w:rsidRDefault="0005170F" w14:paraId="7C61A8B1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387" w:type="dxa"/>
          </w:tcPr>
          <w:p w:rsidRPr="00163106" w:rsidR="0005170F" w:rsidP="00BC41D9" w:rsidRDefault="00F856AC" w14:paraId="49919073" w14:textId="77777777">
            <w:pPr>
              <w:pStyle w:val="ListParagraph"/>
              <w:keepNext/>
              <w:ind w:left="-106"/>
              <w:rPr>
                <w:iCs/>
                <w:color w:val="000000"/>
              </w:rPr>
            </w:pPr>
            <w:r>
              <w:rPr>
                <w:color w:val="000000"/>
              </w:rPr>
              <w:t>saját kezdeményezésű vélemény</w:t>
            </w:r>
          </w:p>
          <w:p w:rsidRPr="007B231B" w:rsidR="0005170F" w:rsidP="00BC41D9" w:rsidRDefault="009D1CA2" w14:paraId="705F793F" w14:textId="77777777">
            <w:pPr>
              <w:pStyle w:val="ListParagraph"/>
              <w:keepNext/>
              <w:ind w:left="-106"/>
            </w:pPr>
            <w:r>
              <w:t>EESC-2022-00726-00-00-AC</w:t>
            </w:r>
          </w:p>
        </w:tc>
      </w:tr>
    </w:tbl>
    <w:p w:rsidRPr="009B70E7" w:rsidR="0005170F" w:rsidP="0005170F" w:rsidRDefault="0005170F" w14:paraId="41B35B48" w14:textId="77777777">
      <w:pPr>
        <w:pStyle w:val="ListParagraph"/>
        <w:keepNext/>
        <w:ind w:left="567"/>
      </w:pPr>
    </w:p>
    <w:p w:rsidRPr="00F856AC" w:rsidR="00BC29C8" w:rsidP="00F856AC" w:rsidRDefault="00F856AC" w14:paraId="18C1BCD0" w14:textId="43F4EE79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BC29C8" w:rsidP="0005170F" w:rsidRDefault="00BC29C8" w14:paraId="5B75415E" w14:textId="77777777">
      <w:pPr>
        <w:pStyle w:val="ListParagraph"/>
        <w:ind w:left="0"/>
      </w:pPr>
    </w:p>
    <w:p w:rsidRPr="004646AF" w:rsidR="0005170F" w:rsidP="0005170F" w:rsidRDefault="00F856AC" w14:paraId="3C5989C4" w14:textId="77777777">
      <w:pPr>
        <w:numPr>
          <w:ilvl w:val="0"/>
          <w:numId w:val="3"/>
        </w:numPr>
        <w:ind w:left="357" w:hanging="357"/>
        <w:contextualSpacing/>
      </w:pPr>
      <w:r>
        <w:t xml:space="preserve">Az új EU–USA Kereskedelmi és Technológiai Tanács (TTC) központi szerepet tölthet be abban a menetrendben, amely transzatlanti partnerségünk megbízható együttműködési csatornákkal való </w:t>
      </w:r>
      <w:proofErr w:type="spellStart"/>
      <w:r>
        <w:t>újraindítására</w:t>
      </w:r>
      <w:proofErr w:type="spellEnd"/>
      <w:r>
        <w:t xml:space="preserve"> irányul. A TTC fontos fórum lehet az EU és az USA közötti kétoldalú kereskedelmi és beruházási kapcsolatainkban fennálló akadályok leküzdéséhez, valamint stratégiai platformként szolgálhat értékeink védelméhez és a globális kereskedelmi zavarok kezeléséhez.</w:t>
      </w:r>
    </w:p>
    <w:p w:rsidRPr="0005170F" w:rsidR="009D1CA2" w:rsidP="009D1CA2" w:rsidRDefault="00F856AC" w14:paraId="5206FD24" w14:textId="77777777">
      <w:pPr>
        <w:numPr>
          <w:ilvl w:val="0"/>
          <w:numId w:val="3"/>
        </w:numPr>
        <w:ind w:left="357" w:hanging="357"/>
        <w:contextualSpacing/>
      </w:pPr>
      <w:r>
        <w:t>Viharos geopolitikai időkben nagy a felelősségünk abban a tekintetben, hogy a kereskedelem és a technológia terén olyan korszerű együttműködési keretet mozdítsunk elő, amely támogatja a nyitott és fenntartható gazdaságot, a szabad és tisztességes kereskedelmet, valamint tiszteletben tartja a demokratikus értékeket, a tisztességes munkát és az emberi jogokat.</w:t>
      </w:r>
    </w:p>
    <w:p w:rsidRPr="0005170F" w:rsidR="009D1CA2" w:rsidP="009D1CA2" w:rsidRDefault="00F856AC" w14:paraId="712A3F38" w14:textId="77777777">
      <w:pPr>
        <w:numPr>
          <w:ilvl w:val="0"/>
          <w:numId w:val="3"/>
        </w:numPr>
        <w:ind w:left="357" w:hanging="357"/>
        <w:contextualSpacing/>
      </w:pPr>
      <w:r>
        <w:t>A kereskedelem és a technológia nem csupán szabályozási kérdésekről szól, hanem az egyetemes értékek világszerte történő védelmének és előmozdításának alapvető eszközeiről is. A TTC egyedülálló lehetőséget kínál a kereskedelem és a technológia terén folytatott olyan stratégiai együttműködésre, amely meghaladja a jelenlegi ad hoc együttműködési megállapodásokat.</w:t>
      </w:r>
    </w:p>
    <w:p w:rsidRPr="00D630B8" w:rsidR="0005170F" w:rsidP="0005170F" w:rsidRDefault="00F856AC" w14:paraId="7CC82BD2" w14:textId="77777777">
      <w:pPr>
        <w:numPr>
          <w:ilvl w:val="0"/>
          <w:numId w:val="3"/>
        </w:numPr>
        <w:ind w:left="357" w:hanging="357"/>
        <w:contextualSpacing/>
      </w:pPr>
      <w:r>
        <w:t xml:space="preserve">A transzatlanti partnereknek gyorsan meg kell találniuk a módját annak, hogy – többek között globális érték- és ellátási láncaink és energiabiztonságunk biztosítása révén – megerősítsék nyitott demokratikus társadalmaink </w:t>
      </w:r>
      <w:proofErr w:type="spellStart"/>
      <w:r>
        <w:t>rezilienciáját</w:t>
      </w:r>
      <w:proofErr w:type="spellEnd"/>
      <w:r>
        <w:t xml:space="preserve">, különös tekintettel az orosz energia- és nyersanyag-ellátás helyettesítésének sürgető szükségességére. Nagyobb erőfeszítéseket kell tenniük annak érdekében, hogy megerősítsék a </w:t>
      </w:r>
      <w:proofErr w:type="spellStart"/>
      <w:r>
        <w:t>multilateralizmust</w:t>
      </w:r>
      <w:proofErr w:type="spellEnd"/>
      <w:r>
        <w:t xml:space="preserve"> és kezeljék az éghajlatváltozással kapcsolatos kihívásokat, biztosítsák a szabad és tisztességes kereskedelem aláásásának megelőzését, és megakadályozzák az </w:t>
      </w:r>
      <w:proofErr w:type="spellStart"/>
      <w:r>
        <w:t>önkényuralmi</w:t>
      </w:r>
      <w:proofErr w:type="spellEnd"/>
      <w:r>
        <w:t xml:space="preserve"> államok által okozott piaci zavarokat.</w:t>
      </w:r>
    </w:p>
    <w:p w:rsidR="0005170F" w:rsidP="0005170F" w:rsidRDefault="00F856AC" w14:paraId="26460775" w14:textId="77777777">
      <w:pPr>
        <w:numPr>
          <w:ilvl w:val="0"/>
          <w:numId w:val="3"/>
        </w:numPr>
        <w:ind w:left="357" w:hanging="357"/>
        <w:contextualSpacing/>
      </w:pPr>
      <w:r>
        <w:t>A TTC keretében az EU-nak és az USA-nak stratégiaibb és horizontálisabb megközelítést, valamint olyan együttműködést kell megcéloznia, amely nem kreál szükségtelen silómentalitást. Az EGSZB üdvözli a háromoldalú kereskedelmi és munkaügyi párbeszéd bejelentését, de sürgeti az Európai Bizottságot, hogy foglalkozzon a munkaügyi demokrácia kiegyensúlyozatlanságával, mivel hat alapvető ILO-egyezményt nem erősítettek meg. A tíz munkacsoportnak az együttműködés holisztikus és hatékonyan koordinált megközelítésére kell törekednie.</w:t>
      </w:r>
    </w:p>
    <w:p w:rsidRPr="009B70E7" w:rsidR="0005170F" w:rsidP="00F856AC" w:rsidRDefault="00F856AC" w14:paraId="6798EA32" w14:textId="77777777">
      <w:pPr>
        <w:numPr>
          <w:ilvl w:val="0"/>
          <w:numId w:val="3"/>
        </w:numPr>
        <w:ind w:left="357" w:hanging="357"/>
        <w:contextualSpacing/>
      </w:pPr>
      <w:r>
        <w:t>Az átláthatóság és az érdekelt felek határozott szerepvállalása az Atlanti-óceán mindkét partján az egyetlen módja annak, hogy a TTC elérje céljait. Az EGSZB aktívan részt vesz a TTC struktúráiban, és arra törekszik, hogy – mint egyedülálló helyzetben lévő civil társadalmi szereplő – részt vegyen a TTC miniszteri találkozóin.</w:t>
      </w:r>
    </w:p>
    <w:p w:rsidRPr="009B70E7" w:rsidR="0005170F" w:rsidP="0005170F" w:rsidRDefault="0005170F" w14:paraId="705D6012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F856AC" w:rsidTr="00BC41D9" w14:paraId="3C4C05EA" w14:textId="77777777">
        <w:tc>
          <w:tcPr>
            <w:tcW w:w="1418" w:type="dxa"/>
          </w:tcPr>
          <w:p w:rsidRPr="009B70E7" w:rsidR="00F856AC" w:rsidP="00F856AC" w:rsidRDefault="00F856AC" w14:paraId="493B7F8F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F856AC" w:rsidP="00F856AC" w:rsidRDefault="00F856AC" w14:paraId="0A9975E2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Gunilla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Fevre-Burdy</w:t>
            </w:r>
            <w:proofErr w:type="spellEnd"/>
          </w:p>
        </w:tc>
      </w:tr>
      <w:tr w:rsidRPr="009B70E7" w:rsidR="00F856AC" w:rsidTr="00BC41D9" w14:paraId="04C8463A" w14:textId="77777777">
        <w:tc>
          <w:tcPr>
            <w:tcW w:w="1418" w:type="dxa"/>
          </w:tcPr>
          <w:p w:rsidRPr="009B70E7" w:rsidR="00F856AC" w:rsidP="00F856AC" w:rsidRDefault="00F856AC" w14:paraId="4B8BBF4B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F856AC" w:rsidP="00F856AC" w:rsidRDefault="00F856AC" w14:paraId="4B367F8E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00 32 2 546 91 08</w:t>
            </w:r>
          </w:p>
        </w:tc>
      </w:tr>
      <w:tr w:rsidRPr="009B70E7" w:rsidR="00F856AC" w:rsidTr="00BC41D9" w14:paraId="348A3E99" w14:textId="77777777">
        <w:tc>
          <w:tcPr>
            <w:tcW w:w="1418" w:type="dxa"/>
          </w:tcPr>
          <w:p w:rsidRPr="009B70E7" w:rsidR="00F856AC" w:rsidP="0095081D" w:rsidRDefault="00F856AC" w14:paraId="123AD82B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F856AC" w:rsidP="00F856AC" w:rsidRDefault="00544E97" w14:paraId="7683ACD4" w14:textId="77777777">
            <w:pPr>
              <w:pStyle w:val="ListParagraph"/>
              <w:ind w:left="0"/>
              <w:rPr>
                <w:i/>
              </w:rPr>
            </w:pPr>
            <w:hyperlink w:history="1" r:id="rId38">
              <w:r w:rsidR="00FA343E">
                <w:rPr>
                  <w:rStyle w:val="Hyperlink"/>
                  <w:i/>
                </w:rPr>
                <w:t>Gunilla.Sandberg@eesc.europa.eu</w:t>
              </w:r>
            </w:hyperlink>
          </w:p>
        </w:tc>
      </w:tr>
    </w:tbl>
    <w:p w:rsidR="00910972" w:rsidP="00A10A98" w:rsidRDefault="00910972" w14:paraId="3690378B" w14:textId="48CD998B">
      <w:pPr>
        <w:spacing w:line="240" w:lineRule="auto"/>
        <w:jc w:val="left"/>
        <w:rPr>
          <w:szCs w:val="28"/>
        </w:rPr>
      </w:pPr>
    </w:p>
    <w:p w:rsidR="00D55B4C" w:rsidP="00D55B4C" w:rsidRDefault="00D55B4C" w14:paraId="55AF9FAB" w14:textId="77777777">
      <w:pPr>
        <w:pStyle w:val="ListParagraph"/>
        <w:keepNext/>
        <w:keepLines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Ifjúságpolitika a Nyugat-Balkánon</w:t>
      </w:r>
    </w:p>
    <w:p w:rsidRPr="00F856AC" w:rsidR="00D55B4C" w:rsidP="00D55B4C" w:rsidRDefault="00D55B4C" w14:paraId="4D8D4A99" w14:textId="77777777">
      <w:pPr>
        <w:keepNext/>
        <w:keepLines/>
        <w:rPr>
          <w:b/>
          <w:i/>
          <w:sz w:val="28"/>
          <w:szCs w:val="28"/>
        </w:rPr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9B70E7" w:rsidR="00D55B4C" w:rsidTr="00D13F40" w14:paraId="5092A14F" w14:textId="77777777">
        <w:tc>
          <w:tcPr>
            <w:tcW w:w="1701" w:type="dxa"/>
          </w:tcPr>
          <w:p w:rsidRPr="009B70E7" w:rsidR="00D55B4C" w:rsidP="00D13F40" w:rsidRDefault="00D55B4C" w14:paraId="4073A381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5387" w:type="dxa"/>
          </w:tcPr>
          <w:p w:rsidRPr="009B70E7" w:rsidR="00D55B4C" w:rsidP="00D13F40" w:rsidRDefault="00D55B4C" w14:paraId="2F545020" w14:textId="77777777">
            <w:pPr>
              <w:pStyle w:val="ListParagraph"/>
              <w:keepNext/>
              <w:ind w:left="-106"/>
            </w:pPr>
            <w:proofErr w:type="spellStart"/>
            <w:r>
              <w:t>Ionuţ</w:t>
            </w:r>
            <w:proofErr w:type="spellEnd"/>
            <w:r>
              <w:t xml:space="preserve"> SIBIAN (Civil társadalmi szervezetek/RO)</w:t>
            </w:r>
          </w:p>
        </w:tc>
      </w:tr>
      <w:tr w:rsidRPr="009B70E7" w:rsidR="00D55B4C" w:rsidTr="00D13F40" w14:paraId="34B47862" w14:textId="77777777">
        <w:tc>
          <w:tcPr>
            <w:tcW w:w="1701" w:type="dxa"/>
          </w:tcPr>
          <w:p w:rsidRPr="009B70E7" w:rsidR="00D55B4C" w:rsidP="00D13F40" w:rsidRDefault="00D55B4C" w14:paraId="24432AB1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5387" w:type="dxa"/>
          </w:tcPr>
          <w:p w:rsidRPr="009B70E7" w:rsidR="00D55B4C" w:rsidP="00D13F40" w:rsidRDefault="00D55B4C" w14:paraId="3FC99DB8" w14:textId="77777777">
            <w:pPr>
              <w:pStyle w:val="ListParagraph"/>
              <w:keepNext/>
              <w:ind w:left="-106"/>
            </w:pPr>
            <w:r>
              <w:t>Andrej ZORKO (Munkavállalók/SI)</w:t>
            </w:r>
          </w:p>
        </w:tc>
      </w:tr>
      <w:tr w:rsidRPr="009B70E7" w:rsidR="00D55B4C" w:rsidTr="00D13F40" w14:paraId="2CDF0A57" w14:textId="77777777">
        <w:tc>
          <w:tcPr>
            <w:tcW w:w="7088" w:type="dxa"/>
            <w:gridSpan w:val="2"/>
          </w:tcPr>
          <w:p w:rsidRPr="007B231B" w:rsidR="00D55B4C" w:rsidP="00D13F40" w:rsidRDefault="00D55B4C" w14:paraId="0A7B0798" w14:textId="77777777">
            <w:pPr>
              <w:pStyle w:val="ListParagraph"/>
              <w:keepNext/>
              <w:ind w:left="0"/>
            </w:pPr>
          </w:p>
        </w:tc>
      </w:tr>
      <w:tr w:rsidRPr="009B70E7" w:rsidR="00D55B4C" w:rsidTr="00D13F40" w14:paraId="57E6BBE5" w14:textId="77777777">
        <w:tc>
          <w:tcPr>
            <w:tcW w:w="1701" w:type="dxa"/>
          </w:tcPr>
          <w:p w:rsidRPr="007B231B" w:rsidR="00D55B4C" w:rsidP="00D13F40" w:rsidRDefault="00D55B4C" w14:paraId="039C8752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387" w:type="dxa"/>
          </w:tcPr>
          <w:p w:rsidRPr="00163106" w:rsidR="00D55B4C" w:rsidP="00D13F40" w:rsidRDefault="00D55B4C" w14:paraId="270014DB" w14:textId="77777777">
            <w:pPr>
              <w:pStyle w:val="ListParagraph"/>
              <w:keepNext/>
              <w:ind w:left="-106"/>
              <w:rPr>
                <w:iCs/>
                <w:color w:val="000000"/>
              </w:rPr>
            </w:pPr>
            <w:r>
              <w:rPr>
                <w:color w:val="000000"/>
              </w:rPr>
              <w:t>saját kezdeményezésű vélemény</w:t>
            </w:r>
          </w:p>
          <w:p w:rsidRPr="007B231B" w:rsidR="00D55B4C" w:rsidP="00D13F40" w:rsidRDefault="00D55B4C" w14:paraId="492CD4A6" w14:textId="77777777">
            <w:pPr>
              <w:pStyle w:val="ListParagraph"/>
              <w:keepNext/>
              <w:ind w:left="-106"/>
            </w:pPr>
            <w:r>
              <w:t>EESC-2022-00778-00-00-AC</w:t>
            </w:r>
          </w:p>
        </w:tc>
      </w:tr>
    </w:tbl>
    <w:p w:rsidRPr="009B70E7" w:rsidR="00D55B4C" w:rsidP="00D55B4C" w:rsidRDefault="00D55B4C" w14:paraId="49C326FE" w14:textId="77777777">
      <w:pPr>
        <w:pStyle w:val="ListParagraph"/>
        <w:keepNext/>
        <w:ind w:left="567"/>
      </w:pPr>
    </w:p>
    <w:p w:rsidRPr="00F856AC" w:rsidR="00D55B4C" w:rsidP="00D55B4C" w:rsidRDefault="00D55B4C" w14:paraId="5EBBC034" w14:textId="3622AA3C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="00D55B4C" w:rsidP="00D55B4C" w:rsidRDefault="00D55B4C" w14:paraId="63C9743D" w14:textId="77777777">
      <w:pPr>
        <w:pStyle w:val="ListParagraph"/>
        <w:ind w:left="0"/>
      </w:pPr>
    </w:p>
    <w:p w:rsidR="00DD23A2" w:rsidP="00D55B4C" w:rsidRDefault="00DD23A2" w14:paraId="427D30D6" w14:textId="77777777">
      <w:pPr>
        <w:pStyle w:val="ListParagraph"/>
        <w:ind w:left="0"/>
        <w:rPr>
          <w:bCs/>
          <w:iCs/>
        </w:rPr>
      </w:pPr>
      <w:r>
        <w:t>Az EGSZB:</w:t>
      </w:r>
    </w:p>
    <w:p w:rsidR="00DD23A2" w:rsidP="00D55B4C" w:rsidRDefault="00DD23A2" w14:paraId="57C75210" w14:textId="77777777">
      <w:pPr>
        <w:pStyle w:val="ListParagraph"/>
        <w:ind w:left="0"/>
      </w:pPr>
    </w:p>
    <w:p w:rsidRPr="004646AF" w:rsidR="00D55B4C" w:rsidP="00D55B4C" w:rsidRDefault="00DD23A2" w14:paraId="14A4253A" w14:textId="77777777">
      <w:pPr>
        <w:numPr>
          <w:ilvl w:val="0"/>
          <w:numId w:val="3"/>
        </w:numPr>
        <w:ind w:left="357" w:hanging="357"/>
        <w:contextualSpacing/>
      </w:pPr>
      <w:r>
        <w:t xml:space="preserve">arra kéri a nyugat-balkáni partnerországok kormányait, hogy </w:t>
      </w:r>
      <w:r>
        <w:rPr>
          <w:b/>
        </w:rPr>
        <w:t>kövessék az EU legfontosabb ifjúságpolitikai dokumentumait</w:t>
      </w:r>
      <w:r>
        <w:t xml:space="preserve">, és </w:t>
      </w:r>
      <w:r>
        <w:rPr>
          <w:b/>
        </w:rPr>
        <w:t>továbbra is fektessenek be a kutatási eredményeken alapuló ifjúságpolitikai intézkedésekbe</w:t>
      </w:r>
      <w:r>
        <w:t xml:space="preserve">, amelyek kezelik a fiatalok fejlődésével kapcsolatos kihívásokat. Ahhoz, hogy pozitív változások induljanak el és javuljon a fiatalok helyzete, előfeltétel, hogy elegendő és átlátható </w:t>
      </w:r>
      <w:r>
        <w:rPr>
          <w:b/>
        </w:rPr>
        <w:t>költségvetési előirányzatokat különítsenek el az ifjúságpolitika fejlesztésére</w:t>
      </w:r>
      <w:r>
        <w:t>,</w:t>
      </w:r>
    </w:p>
    <w:p w:rsidRPr="0005170F" w:rsidR="00D55B4C" w:rsidP="00D55B4C" w:rsidRDefault="00DD23A2" w14:paraId="7834EDBF" w14:textId="77777777">
      <w:pPr>
        <w:numPr>
          <w:ilvl w:val="0"/>
          <w:numId w:val="3"/>
        </w:numPr>
        <w:ind w:left="357" w:hanging="357"/>
        <w:contextualSpacing/>
      </w:pPr>
      <w:r>
        <w:t xml:space="preserve">kulcsfontosságúnak tartja, hogy </w:t>
      </w:r>
      <w:r>
        <w:rPr>
          <w:b/>
        </w:rPr>
        <w:t>a szociális jogoknak és a fiatalok kilátásainak javítását célzó szélesebb körű reformok</w:t>
      </w:r>
      <w:r>
        <w:t xml:space="preserve"> megvalósítása érdekében bevonják a szociális partnereket és a civil társadalmi szervezeteket. Nemzeti és ágazati szinten arra kéri a Nyugat-Balkán </w:t>
      </w:r>
      <w:r>
        <w:rPr>
          <w:b/>
        </w:rPr>
        <w:t>szociális partnereit</w:t>
      </w:r>
      <w:r>
        <w:t xml:space="preserve">, hogy </w:t>
      </w:r>
      <w:r>
        <w:rPr>
          <w:b/>
        </w:rPr>
        <w:t>aktívan vonják be a fiatalokat</w:t>
      </w:r>
      <w:r>
        <w:t xml:space="preserve"> valamennyi tevékenységükbe, beleértve a kollektív tárgyalásokat is,</w:t>
      </w:r>
    </w:p>
    <w:p w:rsidRPr="00D630B8" w:rsidR="00D55B4C" w:rsidP="00D55B4C" w:rsidRDefault="00DD23A2" w14:paraId="2191A3C3" w14:textId="77777777">
      <w:pPr>
        <w:numPr>
          <w:ilvl w:val="0"/>
          <w:numId w:val="3"/>
        </w:numPr>
        <w:ind w:left="357" w:hanging="357"/>
        <w:contextualSpacing/>
      </w:pPr>
      <w:r>
        <w:t xml:space="preserve">kéri, hogy a megerősített ifjúsági garanciáról szóló tanácsi ajánlásoknak megfelelően valósítsák meg </w:t>
      </w:r>
      <w:r>
        <w:rPr>
          <w:b/>
        </w:rPr>
        <w:t>a Nyugat-Balkánon az ifjúsági garanciát</w:t>
      </w:r>
      <w:r>
        <w:t xml:space="preserve">, </w:t>
      </w:r>
      <w:r>
        <w:rPr>
          <w:b/>
        </w:rPr>
        <w:t>partnerségben az ifjúsági garancia nyújtói és az érintett érdekelt felek között</w:t>
      </w:r>
      <w:r>
        <w:t xml:space="preserve">, és szorgalmazza </w:t>
      </w:r>
      <w:r>
        <w:rPr>
          <w:b/>
        </w:rPr>
        <w:t>az állami foglalkoztatási szolgálatok kapacitásainak növelését</w:t>
      </w:r>
      <w:r>
        <w:t>,</w:t>
      </w:r>
    </w:p>
    <w:p w:rsidRPr="00DD23A2" w:rsidR="00D55B4C" w:rsidP="00D55B4C" w:rsidRDefault="00DD23A2" w14:paraId="6B442E8D" w14:textId="77777777">
      <w:pPr>
        <w:numPr>
          <w:ilvl w:val="0"/>
          <w:numId w:val="3"/>
        </w:numPr>
        <w:ind w:left="357" w:hanging="357"/>
        <w:contextualSpacing/>
      </w:pPr>
      <w:r>
        <w:t xml:space="preserve">szorgalmazza </w:t>
      </w:r>
      <w:r>
        <w:rPr>
          <w:b/>
        </w:rPr>
        <w:t>az uniós programok és regionális struktúrák megerősítését</w:t>
      </w:r>
      <w:r>
        <w:t xml:space="preserve"> azzal a céllal, hogy oktatási, mobilitási, önkéntességgel kapcsolatos és foglalkoztatási lehetőségek biztosításával több fiatalt érjenek el a Nyugat-Balkánon. Az EU-nak támogatnia kell a Nyugat-Balkánt </w:t>
      </w:r>
      <w:r>
        <w:rPr>
          <w:b/>
        </w:rPr>
        <w:t>azon kiemelt területek és irányvonalak meghatározásában, amelyek elősegíthetik a változásokat</w:t>
      </w:r>
      <w:r>
        <w:t xml:space="preserve"> valamennyi nyugat-balkáni ország polgárai, különösen a fiatalok számára, valamint alaposabban meg kell vizsgálnia, hogyan lehetne </w:t>
      </w:r>
      <w:r>
        <w:rPr>
          <w:b/>
        </w:rPr>
        <w:t>támogatni az érintett ifjúsági struktúrákat a Nyugat-Balkánon</w:t>
      </w:r>
      <w:r>
        <w:t xml:space="preserve">, lehetővé téve </w:t>
      </w:r>
      <w:r>
        <w:rPr>
          <w:b/>
        </w:rPr>
        <w:t>a regionális ifjúságpolitikai párbeszédet</w:t>
      </w:r>
      <w:r>
        <w:t>,</w:t>
      </w:r>
    </w:p>
    <w:p w:rsidR="00DD23A2" w:rsidP="00D55B4C" w:rsidRDefault="00DD23A2" w14:paraId="31BAD8B3" w14:textId="77777777">
      <w:pPr>
        <w:numPr>
          <w:ilvl w:val="0"/>
          <w:numId w:val="3"/>
        </w:numPr>
        <w:ind w:left="357" w:hanging="357"/>
        <w:contextualSpacing/>
      </w:pPr>
      <w:r>
        <w:t xml:space="preserve">arra kéri az EU-t, hogy továbbra is támogassa a Nyugat-Balkánt </w:t>
      </w:r>
      <w:r>
        <w:rPr>
          <w:b/>
        </w:rPr>
        <w:t>a fiatalok részvételének javításában</w:t>
      </w:r>
      <w:r>
        <w:t xml:space="preserve">, tekintettel arra, hogy az oktatási vagy képzési mobilitás és </w:t>
      </w:r>
      <w:r>
        <w:rPr>
          <w:b/>
        </w:rPr>
        <w:t>a fiatalok polgári és politikai szerepvállalása</w:t>
      </w:r>
      <w:r>
        <w:t xml:space="preserve"> között pozitív összefüggés figyelhető meg,</w:t>
      </w:r>
    </w:p>
    <w:p w:rsidR="00DD23A2" w:rsidP="00D55B4C" w:rsidRDefault="00DD23A2" w14:paraId="68182012" w14:textId="77777777">
      <w:pPr>
        <w:numPr>
          <w:ilvl w:val="0"/>
          <w:numId w:val="3"/>
        </w:numPr>
        <w:ind w:left="357" w:hanging="357"/>
        <w:contextualSpacing/>
      </w:pPr>
      <w:r>
        <w:t xml:space="preserve">ismételten hangsúlyozza, hogy a fiatalok fontos szerepet játszanak a Nyugat-Balkán jövőjében, ezért fontosak a </w:t>
      </w:r>
      <w:r>
        <w:rPr>
          <w:b/>
        </w:rPr>
        <w:t>konkrét intézkedések annak szolgálatában, hogy a régió olyan hely legyen, ahol kilátások és lehetőségek nyílnak, amelyeknek köszönhetően a fiatalok a térségben maradhatnak és boldogulhatnak</w:t>
      </w:r>
      <w:r>
        <w:t>.</w:t>
      </w:r>
    </w:p>
    <w:p w:rsidRPr="009B70E7" w:rsidR="00D55B4C" w:rsidP="00D55B4C" w:rsidRDefault="00D55B4C" w14:paraId="0093329A" w14:textId="77777777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9B70E7" w:rsidR="00D55B4C" w:rsidTr="00D13F40" w14:paraId="0569EDD4" w14:textId="77777777">
        <w:tc>
          <w:tcPr>
            <w:tcW w:w="1418" w:type="dxa"/>
          </w:tcPr>
          <w:p w:rsidRPr="009B70E7" w:rsidR="00D55B4C" w:rsidP="00D13F40" w:rsidRDefault="00D55B4C" w14:paraId="2A08EC2E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9B70E7" w:rsidR="00D55B4C" w:rsidP="00D13F40" w:rsidRDefault="00DD23A2" w14:paraId="335956F6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 xml:space="preserve">David </w:t>
            </w:r>
            <w:proofErr w:type="spellStart"/>
            <w:r>
              <w:rPr>
                <w:i/>
              </w:rPr>
              <w:t>Hoić</w:t>
            </w:r>
            <w:proofErr w:type="spellEnd"/>
          </w:p>
        </w:tc>
      </w:tr>
      <w:tr w:rsidRPr="009B70E7" w:rsidR="00D55B4C" w:rsidTr="00D13F40" w14:paraId="4AA291B3" w14:textId="77777777">
        <w:tc>
          <w:tcPr>
            <w:tcW w:w="1418" w:type="dxa"/>
          </w:tcPr>
          <w:p w:rsidRPr="009B70E7" w:rsidR="00D55B4C" w:rsidP="00D13F40" w:rsidRDefault="00D55B4C" w14:paraId="4BD5A0AA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9B70E7" w:rsidR="00D55B4C" w:rsidP="00D13F40" w:rsidRDefault="00DD23A2" w14:paraId="5D817641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00 32 2 546 90 69</w:t>
            </w:r>
          </w:p>
        </w:tc>
      </w:tr>
      <w:tr w:rsidRPr="009B70E7" w:rsidR="00D55B4C" w:rsidTr="00D13F40" w14:paraId="511A434F" w14:textId="77777777">
        <w:tc>
          <w:tcPr>
            <w:tcW w:w="1418" w:type="dxa"/>
          </w:tcPr>
          <w:p w:rsidRPr="009B70E7" w:rsidR="00D55B4C" w:rsidP="0095081D" w:rsidRDefault="00D55B4C" w14:paraId="59BC640E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9B70E7" w:rsidR="00D55B4C" w:rsidP="00D13F40" w:rsidRDefault="00544E97" w14:paraId="2B5759BC" w14:textId="77777777">
            <w:pPr>
              <w:pStyle w:val="ListParagraph"/>
              <w:ind w:left="0"/>
              <w:rPr>
                <w:i/>
              </w:rPr>
            </w:pPr>
            <w:hyperlink w:history="1" r:id="rId39">
              <w:r w:rsidR="00FA343E">
                <w:rPr>
                  <w:rStyle w:val="Hyperlink"/>
                  <w:i/>
                </w:rPr>
                <w:t>David.Hoic@eesc.europa.eu</w:t>
              </w:r>
            </w:hyperlink>
          </w:p>
        </w:tc>
      </w:tr>
    </w:tbl>
    <w:p w:rsidR="00910972" w:rsidP="00A10A98" w:rsidRDefault="00910972" w14:paraId="77950882" w14:textId="4A0E5534">
      <w:pPr>
        <w:spacing w:line="240" w:lineRule="auto"/>
        <w:jc w:val="left"/>
        <w:rPr>
          <w:szCs w:val="28"/>
        </w:rPr>
      </w:pPr>
    </w:p>
    <w:p w:rsidR="00910972" w:rsidRDefault="00910972" w14:paraId="22E7970A" w14:textId="77777777">
      <w:pPr>
        <w:spacing w:after="160" w:line="259" w:lineRule="auto"/>
        <w:jc w:val="left"/>
        <w:rPr>
          <w:szCs w:val="28"/>
        </w:rPr>
      </w:pPr>
      <w:r>
        <w:br w:type="page"/>
      </w:r>
    </w:p>
    <w:p w:rsidRPr="009B70E7" w:rsidR="00370CCB" w:rsidP="00370CCB" w:rsidRDefault="00D35C97" w14:paraId="2BF1BAE1" w14:textId="7425C1EF">
      <w:pPr>
        <w:pStyle w:val="ListParagraph"/>
        <w:keepNext/>
        <w:numPr>
          <w:ilvl w:val="0"/>
          <w:numId w:val="2"/>
        </w:numPr>
        <w:ind w:left="567" w:hanging="567"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 xml:space="preserve">A szervezett civil társadalom szerepe az Afrikai, Karibi és Csendes-óceáni Államok Szervezete (AKCSÁSZ) és az EU közötti új megállapodásban, beleértve a gazdasági partnerségi megállapodások helyét is ebben a keretben – elemzés </w:t>
      </w:r>
    </w:p>
    <w:p w:rsidRPr="009B70E7" w:rsidR="00370CCB" w:rsidP="00370CCB" w:rsidRDefault="00370CCB" w14:paraId="739B23CD" w14:textId="77777777">
      <w:pPr>
        <w:pStyle w:val="ListParagraph"/>
        <w:keepNext/>
        <w:ind w:left="0"/>
      </w:pPr>
    </w:p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5387"/>
      </w:tblGrid>
      <w:tr w:rsidRPr="009B70E7" w:rsidR="00370CCB" w:rsidTr="00BC41D9" w14:paraId="18E45DF9" w14:textId="77777777">
        <w:tc>
          <w:tcPr>
            <w:tcW w:w="1701" w:type="dxa"/>
          </w:tcPr>
          <w:p w:rsidRPr="009B70E7" w:rsidR="00370CCB" w:rsidP="00BC41D9" w:rsidRDefault="00370CCB" w14:paraId="21B9560D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5387" w:type="dxa"/>
          </w:tcPr>
          <w:p w:rsidRPr="009B70E7" w:rsidR="00370CCB" w:rsidP="00BC41D9" w:rsidRDefault="00D35C97" w14:paraId="5E26FDD3" w14:textId="77777777">
            <w:pPr>
              <w:pStyle w:val="ListParagraph"/>
              <w:keepNext/>
              <w:ind w:left="-106"/>
            </w:pPr>
            <w:r>
              <w:t>Carlos Manuel TRINDADE (Munkavállalók/PT)</w:t>
            </w:r>
          </w:p>
        </w:tc>
      </w:tr>
      <w:tr w:rsidRPr="009B70E7" w:rsidR="00370CCB" w:rsidTr="00BC41D9" w14:paraId="66A4D987" w14:textId="77777777">
        <w:tc>
          <w:tcPr>
            <w:tcW w:w="1701" w:type="dxa"/>
          </w:tcPr>
          <w:p w:rsidRPr="009B70E7" w:rsidR="00370CCB" w:rsidP="00BC41D9" w:rsidRDefault="00370CCB" w14:paraId="0BF5D687" w14:textId="77777777">
            <w:pPr>
              <w:pStyle w:val="ListParagraph"/>
              <w:keepNext/>
              <w:ind w:left="0"/>
              <w:rPr>
                <w:b/>
              </w:rPr>
            </w:pPr>
          </w:p>
        </w:tc>
        <w:tc>
          <w:tcPr>
            <w:tcW w:w="5387" w:type="dxa"/>
          </w:tcPr>
          <w:p w:rsidRPr="009B70E7" w:rsidR="00370CCB" w:rsidP="00BC41D9" w:rsidRDefault="00370CCB" w14:paraId="7133ADF1" w14:textId="77777777">
            <w:pPr>
              <w:pStyle w:val="ListParagraph"/>
              <w:keepNext/>
              <w:ind w:left="-106"/>
            </w:pPr>
          </w:p>
        </w:tc>
      </w:tr>
      <w:tr w:rsidRPr="009B70E7" w:rsidR="00370CCB" w:rsidTr="00BC41D9" w14:paraId="072D9F90" w14:textId="77777777">
        <w:tc>
          <w:tcPr>
            <w:tcW w:w="1701" w:type="dxa"/>
          </w:tcPr>
          <w:p w:rsidRPr="007B231B" w:rsidR="00370CCB" w:rsidP="00BC41D9" w:rsidRDefault="00370CCB" w14:paraId="5D3A0E4C" w14:textId="77777777">
            <w:pPr>
              <w:pStyle w:val="ListParagraph"/>
              <w:keepNext/>
              <w:ind w:left="0"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5387" w:type="dxa"/>
          </w:tcPr>
          <w:p w:rsidRPr="00163106" w:rsidR="00370CCB" w:rsidP="00BC41D9" w:rsidRDefault="00D35C97" w14:paraId="174355ED" w14:textId="77777777">
            <w:pPr>
              <w:pStyle w:val="ListParagraph"/>
              <w:keepNext/>
              <w:ind w:left="-106"/>
              <w:rPr>
                <w:iCs/>
                <w:color w:val="000000"/>
              </w:rPr>
            </w:pPr>
            <w:r>
              <w:rPr>
                <w:color w:val="000000"/>
              </w:rPr>
              <w:t>saját kezdeményezésű vélemény</w:t>
            </w:r>
          </w:p>
          <w:p w:rsidRPr="007B231B" w:rsidR="00370CCB" w:rsidP="00BC41D9" w:rsidRDefault="00BC29C8" w14:paraId="0D44102F" w14:textId="77777777">
            <w:pPr>
              <w:pStyle w:val="ListParagraph"/>
              <w:keepNext/>
              <w:ind w:left="-106"/>
            </w:pPr>
            <w:r>
              <w:t>EESC-2022-00344-00-00-AC</w:t>
            </w:r>
          </w:p>
        </w:tc>
      </w:tr>
    </w:tbl>
    <w:p w:rsidRPr="009B70E7" w:rsidR="00370CCB" w:rsidP="00370CCB" w:rsidRDefault="00370CCB" w14:paraId="7C4F0B89" w14:textId="77777777">
      <w:pPr>
        <w:pStyle w:val="ListParagraph"/>
        <w:keepNext/>
        <w:ind w:left="567"/>
      </w:pPr>
    </w:p>
    <w:p w:rsidR="00370CCB" w:rsidP="001F1862" w:rsidRDefault="00370CCB" w14:paraId="7F7A77C2" w14:textId="453CEF85">
      <w:pPr>
        <w:pStyle w:val="ListParagraph"/>
        <w:keepNext/>
        <w:ind w:left="0"/>
        <w:rPr>
          <w:b/>
        </w:rPr>
      </w:pPr>
      <w:r>
        <w:rPr>
          <w:b/>
        </w:rPr>
        <w:t>Főbb pontok</w:t>
      </w:r>
    </w:p>
    <w:p w:rsidR="00D35C97" w:rsidP="001F1862" w:rsidRDefault="00D35C97" w14:paraId="18514A63" w14:textId="77777777">
      <w:pPr>
        <w:pStyle w:val="ListParagraph"/>
        <w:keepNext/>
        <w:ind w:left="0"/>
        <w:rPr>
          <w:b/>
        </w:rPr>
      </w:pPr>
    </w:p>
    <w:p w:rsidRPr="009B70E7" w:rsidR="00D35C97" w:rsidP="001F1862" w:rsidRDefault="00D35C97" w14:paraId="019F63A7" w14:textId="77777777">
      <w:pPr>
        <w:pStyle w:val="ListParagraph"/>
        <w:keepNext/>
        <w:ind w:left="0"/>
        <w:rPr>
          <w:b/>
        </w:rPr>
      </w:pPr>
      <w:r>
        <w:t>Az EGSZB:</w:t>
      </w:r>
    </w:p>
    <w:p w:rsidR="00370CCB" w:rsidP="00370CCB" w:rsidRDefault="00370CCB" w14:paraId="5ABEAD2C" w14:textId="77777777">
      <w:pPr>
        <w:pStyle w:val="ListParagraph"/>
        <w:ind w:left="0"/>
      </w:pPr>
    </w:p>
    <w:p w:rsidRPr="004646AF" w:rsidR="00370CCB" w:rsidP="00370CCB" w:rsidRDefault="00D35C97" w14:paraId="600650F8" w14:textId="77777777">
      <w:pPr>
        <w:numPr>
          <w:ilvl w:val="0"/>
          <w:numId w:val="3"/>
        </w:numPr>
        <w:ind w:left="357" w:hanging="357"/>
        <w:contextualSpacing/>
      </w:pPr>
      <w:r>
        <w:t xml:space="preserve">nagy vonalakban támogatja ezt az </w:t>
      </w:r>
      <w:r>
        <w:rPr>
          <w:b/>
        </w:rPr>
        <w:t>új megállapodást</w:t>
      </w:r>
      <w:r>
        <w:t xml:space="preserve">, és reméli, hogy a felek azt mihamarabb aláírhatják. Üdvözli, hogy a felek jelentős erőfeszítéseket és fontos kötelezettségvállalásokat tettek, amelyekhez </w:t>
      </w:r>
      <w:r>
        <w:rPr>
          <w:b/>
        </w:rPr>
        <w:t>az ENSZ fenntartható fejlődési céljait használták referenciakeretként</w:t>
      </w:r>
      <w:r>
        <w:t>,</w:t>
      </w:r>
    </w:p>
    <w:p w:rsidRPr="00D630B8" w:rsidR="00D423EB" w:rsidP="00A74B4C" w:rsidRDefault="00D35C97" w14:paraId="6D5D132E" w14:textId="77777777">
      <w:pPr>
        <w:numPr>
          <w:ilvl w:val="0"/>
          <w:numId w:val="3"/>
        </w:numPr>
        <w:ind w:left="357" w:hanging="357"/>
        <w:contextualSpacing/>
      </w:pPr>
      <w:proofErr w:type="gramStart"/>
      <w:r>
        <w:t xml:space="preserve">rámutat, hogy a civil társadalmi szervezetek/szociális partnerek olyan, törvényileg szabályozott és formalizált módon működő intézményi mechanizmusokkal rendelkeznek, amelyeken keresztül – bárhogy is nevezzék őket: gazdasági, szociális és kulturális bizottságnak, tanácsadó testületnek, fórumnak, platformnak, civil társadalmi szervezeti hálózatnak, állandó konferenciának vagy bármi másnak – </w:t>
      </w:r>
      <w:r>
        <w:rPr>
          <w:b/>
        </w:rPr>
        <w:t>a civil párbeszédet folytató civil társadalmi szervezetek és a szociális párbeszédben részt vevő szociális partnerek</w:t>
      </w:r>
      <w:r>
        <w:t xml:space="preserve"> elkötelezettségükből kifolyólag hozzájárulhatnak a </w:t>
      </w:r>
      <w:r>
        <w:rPr>
          <w:b/>
        </w:rPr>
        <w:t>nyilvános és demokratikus színtéren folyó</w:t>
      </w:r>
      <w:proofErr w:type="gramEnd"/>
      <w:r>
        <w:rPr>
          <w:b/>
        </w:rPr>
        <w:t xml:space="preserve"> vitához</w:t>
      </w:r>
      <w:r>
        <w:t>,</w:t>
      </w:r>
    </w:p>
    <w:p w:rsidRPr="00D630B8" w:rsidR="00370CCB" w:rsidP="00370CCB" w:rsidRDefault="00D35C97" w14:paraId="26B5CACB" w14:textId="77777777">
      <w:pPr>
        <w:numPr>
          <w:ilvl w:val="0"/>
          <w:numId w:val="3"/>
        </w:numPr>
        <w:ind w:left="357" w:hanging="357"/>
        <w:contextualSpacing/>
      </w:pPr>
      <w:r>
        <w:t xml:space="preserve">azt javasolja, hogy az Európai Bizottság tűzze ki célul </w:t>
      </w:r>
      <w:r>
        <w:rPr>
          <w:b/>
        </w:rPr>
        <w:t>négy intézményi mechanizmus</w:t>
      </w:r>
      <w:r>
        <w:t xml:space="preserve"> létrehozását: egyet az Európai Unió és az AKCSÁSZ között, egy másodikat az EU és Afrika között, egy harmadikat az EU és a karibi térség, egy negyediket pedig az EU és a csendes-óceáni térség között,</w:t>
      </w:r>
    </w:p>
    <w:p w:rsidRPr="00D630B8" w:rsidR="00370CCB" w:rsidP="00370CCB" w:rsidRDefault="00D35C97" w14:paraId="2731839F" w14:textId="77777777">
      <w:pPr>
        <w:numPr>
          <w:ilvl w:val="0"/>
          <w:numId w:val="3"/>
        </w:numPr>
        <w:ind w:left="357" w:hanging="357"/>
        <w:contextualSpacing/>
      </w:pPr>
      <w:r>
        <w:t xml:space="preserve">azt javasolja továbbá az Európai Bizottságnak, hogy </w:t>
      </w:r>
      <w:r>
        <w:rPr>
          <w:b/>
        </w:rPr>
        <w:t>a GPM-</w:t>
      </w:r>
      <w:proofErr w:type="spellStart"/>
      <w:r>
        <w:rPr>
          <w:b/>
        </w:rPr>
        <w:t>ek</w:t>
      </w:r>
      <w:proofErr w:type="spellEnd"/>
      <w:r>
        <w:rPr>
          <w:b/>
        </w:rPr>
        <w:t xml:space="preserve"> keretében hozzanak létre tanácsadó bizottságokat</w:t>
      </w:r>
      <w:r>
        <w:t>,</w:t>
      </w:r>
    </w:p>
    <w:p w:rsidR="00370CCB" w:rsidP="00D423EB" w:rsidRDefault="00D35C97" w14:paraId="3193353E" w14:textId="77777777">
      <w:pPr>
        <w:numPr>
          <w:ilvl w:val="0"/>
          <w:numId w:val="3"/>
        </w:numPr>
        <w:ind w:left="357" w:hanging="357"/>
        <w:contextualSpacing/>
      </w:pPr>
      <w:r>
        <w:t xml:space="preserve">mindenképpen azt javasolja, hogy az Európai Bizottság biztosítson pénzügyi eszközöket </w:t>
      </w:r>
      <w:r>
        <w:rPr>
          <w:b/>
        </w:rPr>
        <w:t>az AKCS-államokban működő civil társadalmi szervezetek és szociális partnerek valós helyzetével foglalkozó elemző és előrejelző programok és projektek</w:t>
      </w:r>
      <w:r>
        <w:t xml:space="preserve"> támogatására, figyelembe véve ezen szervezetek nyomásgyakorlási képességük, technikai stabilitásuk és a tervezett intézményi mechanizmusok bevezetése terén felmerülő igényeit,</w:t>
      </w:r>
    </w:p>
    <w:p w:rsidRPr="009B70E7" w:rsidR="00BC29C8" w:rsidP="00D423EB" w:rsidRDefault="00D35C97" w14:paraId="776E5420" w14:textId="77777777">
      <w:pPr>
        <w:numPr>
          <w:ilvl w:val="0"/>
          <w:numId w:val="3"/>
        </w:numPr>
        <w:ind w:left="357" w:hanging="357"/>
        <w:contextualSpacing/>
      </w:pPr>
      <w:proofErr w:type="gramStart"/>
      <w:r>
        <w:t xml:space="preserve">erőteljesen sürgeti az Európai Bizottságot, hogy támogassa </w:t>
      </w:r>
      <w:r>
        <w:rPr>
          <w:b/>
        </w:rPr>
        <w:t>az EGSZB EU</w:t>
      </w:r>
      <w:r>
        <w:rPr>
          <w:b/>
        </w:rPr>
        <w:noBreakHyphen/>
        <w:t xml:space="preserve">AKCS </w:t>
      </w:r>
      <w:proofErr w:type="spellStart"/>
      <w:r>
        <w:rPr>
          <w:b/>
        </w:rPr>
        <w:t>nyomonkövetési</w:t>
      </w:r>
      <w:proofErr w:type="spellEnd"/>
      <w:r>
        <w:rPr>
          <w:b/>
        </w:rPr>
        <w:t xml:space="preserve"> bizottságának</w:t>
      </w:r>
      <w:r>
        <w:t xml:space="preserve"> munkáját, amely az egyetlen olyan intézményi mechanizmus, amely az új EU–AKCSÁSZ megállapodás keretében jelenleg létezik, és amely nagyobb szerepet fog játszani ebben a folyamatban, többek között strukturált párbeszéd keretében, hogy i. az intézmények rendelkezésére bocsássa a </w:t>
      </w:r>
      <w:r>
        <w:rPr>
          <w:b/>
        </w:rPr>
        <w:t>vonatkozó jelentéseket, tervezeteket és véleményeket</w:t>
      </w:r>
      <w:r>
        <w:t xml:space="preserve">, ii. </w:t>
      </w:r>
      <w:r>
        <w:rPr>
          <w:b/>
        </w:rPr>
        <w:t>mozgósítsa az AKCS-országok érdekelt feleit</w:t>
      </w:r>
      <w:r>
        <w:t xml:space="preserve">, és iii. hozzájáruljon </w:t>
      </w:r>
      <w:r>
        <w:rPr>
          <w:b/>
        </w:rPr>
        <w:t>a tervezett intézményi mechanizmusok bevezetéséhez</w:t>
      </w:r>
      <w:r>
        <w:t>.</w:t>
      </w:r>
      <w:proofErr w:type="gramEnd"/>
    </w:p>
    <w:p w:rsidR="00370CCB" w:rsidP="00370CCB" w:rsidRDefault="00370CCB" w14:paraId="5E9E5033" w14:textId="2B4C2D14"/>
    <w:tbl>
      <w:tblPr>
        <w:tblStyle w:val="TableGrid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31"/>
        <w:gridCol w:w="5725"/>
      </w:tblGrid>
      <w:tr w:rsidRPr="009B70E7" w:rsidR="00910972" w:rsidTr="003A7A14" w14:paraId="7BA9BA0D" w14:textId="77777777">
        <w:trPr>
          <w:trHeight w:val="186"/>
        </w:trPr>
        <w:tc>
          <w:tcPr>
            <w:tcW w:w="1431" w:type="dxa"/>
          </w:tcPr>
          <w:p w:rsidRPr="009B70E7" w:rsidR="00910972" w:rsidP="003A7A14" w:rsidRDefault="00910972" w14:paraId="52E9E39C" w14:textId="77777777">
            <w:pPr>
              <w:pStyle w:val="ListParagraph"/>
              <w:ind w:left="0"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725" w:type="dxa"/>
          </w:tcPr>
          <w:p w:rsidRPr="009B70E7" w:rsidR="00910972" w:rsidP="003A7A14" w:rsidRDefault="00910972" w14:paraId="71CDB51B" w14:textId="77777777">
            <w:pPr>
              <w:pStyle w:val="ListParagraph"/>
              <w:ind w:left="0"/>
              <w:rPr>
                <w:i/>
              </w:rPr>
            </w:pPr>
            <w:proofErr w:type="spellStart"/>
            <w:r>
              <w:rPr>
                <w:i/>
              </w:rPr>
              <w:t>Cédric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Cabanne</w:t>
            </w:r>
            <w:proofErr w:type="spellEnd"/>
          </w:p>
        </w:tc>
      </w:tr>
      <w:tr w:rsidRPr="009B70E7" w:rsidR="00910972" w:rsidTr="003A7A14" w14:paraId="20460503" w14:textId="77777777">
        <w:trPr>
          <w:trHeight w:val="193"/>
        </w:trPr>
        <w:tc>
          <w:tcPr>
            <w:tcW w:w="1431" w:type="dxa"/>
          </w:tcPr>
          <w:p w:rsidRPr="009B70E7" w:rsidR="00910972" w:rsidP="003A7A14" w:rsidRDefault="00910972" w14:paraId="39537EA2" w14:textId="77777777">
            <w:pPr>
              <w:pStyle w:val="ListParagraph"/>
              <w:ind w:left="601"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725" w:type="dxa"/>
          </w:tcPr>
          <w:p w:rsidRPr="009B70E7" w:rsidR="00910972" w:rsidP="003A7A14" w:rsidRDefault="00910972" w14:paraId="532DD4B5" w14:textId="77777777">
            <w:pPr>
              <w:pStyle w:val="ListParagraph"/>
              <w:ind w:left="0"/>
              <w:rPr>
                <w:i/>
              </w:rPr>
            </w:pPr>
            <w:r>
              <w:rPr>
                <w:i/>
              </w:rPr>
              <w:t>00 32 2 546 93 55</w:t>
            </w:r>
          </w:p>
        </w:tc>
      </w:tr>
      <w:tr w:rsidRPr="003E692C" w:rsidR="00910972" w:rsidTr="003A7A14" w14:paraId="1074F3A5" w14:textId="77777777">
        <w:trPr>
          <w:trHeight w:val="364"/>
        </w:trPr>
        <w:tc>
          <w:tcPr>
            <w:tcW w:w="1431" w:type="dxa"/>
          </w:tcPr>
          <w:p w:rsidRPr="009B70E7" w:rsidR="00910972" w:rsidP="0095081D" w:rsidRDefault="00910972" w14:paraId="393B1517" w14:textId="77777777">
            <w:pPr>
              <w:pStyle w:val="ListParagraph"/>
              <w:ind w:left="426"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725" w:type="dxa"/>
          </w:tcPr>
          <w:p w:rsidRPr="003E692C" w:rsidR="00910972" w:rsidP="003A7A14" w:rsidRDefault="00544E97" w14:paraId="2AA4D465" w14:textId="77777777">
            <w:pPr>
              <w:pStyle w:val="ListParagraph"/>
              <w:ind w:left="0"/>
              <w:rPr>
                <w:i/>
                <w:color w:val="0000FF"/>
                <w:u w:val="single"/>
              </w:rPr>
            </w:pPr>
            <w:hyperlink w:history="1" r:id="rId40">
              <w:r w:rsidR="00FA343E">
                <w:rPr>
                  <w:rStyle w:val="Hyperlink"/>
                  <w:i/>
                </w:rPr>
                <w:t>Cédric.Cabanne@eesc.europa.eu</w:t>
              </w:r>
            </w:hyperlink>
          </w:p>
        </w:tc>
      </w:tr>
    </w:tbl>
    <w:p w:rsidR="00910972" w:rsidP="00370CCB" w:rsidRDefault="00910972" w14:paraId="246A3448" w14:textId="1C4DE147"/>
    <w:p w:rsidRPr="003E692C" w:rsidR="00745EAA" w:rsidP="003E692C" w:rsidRDefault="00745EAA" w14:paraId="43F93309" w14:textId="77777777">
      <w:pPr>
        <w:pStyle w:val="Heading1"/>
        <w:keepNext/>
        <w:rPr>
          <w:b/>
        </w:rPr>
      </w:pPr>
      <w:bookmarkStart w:name="_Toc109810936" w:id="19"/>
      <w:r>
        <w:rPr>
          <w:b/>
        </w:rPr>
        <w:lastRenderedPageBreak/>
        <w:t>IPARI SZERKEZETVÁLTÁS KONZULTATÍV BIZOTTSÁGA</w:t>
      </w:r>
      <w:bookmarkEnd w:id="19"/>
    </w:p>
    <w:p w:rsidRPr="00745EAA" w:rsidR="006E3F60" w:rsidP="00745EAA" w:rsidRDefault="006E3F60" w14:paraId="4A27BE14" w14:textId="59D4B4EC">
      <w:pPr>
        <w:keepNext/>
        <w:keepLines/>
        <w:contextualSpacing/>
        <w:rPr>
          <w:b/>
          <w:sz w:val="28"/>
          <w:szCs w:val="28"/>
        </w:rPr>
      </w:pPr>
    </w:p>
    <w:p w:rsidRPr="00092425" w:rsidR="006E3F60" w:rsidP="006C3FDB" w:rsidRDefault="00092425" w14:paraId="1EE44511" w14:textId="50290012">
      <w:pPr>
        <w:keepNext/>
        <w:keepLines/>
        <w:numPr>
          <w:ilvl w:val="0"/>
          <w:numId w:val="2"/>
        </w:numPr>
        <w:ind w:left="567" w:hanging="567"/>
        <w:contextualSpacing/>
      </w:pPr>
      <w:r>
        <w:rPr>
          <w:b/>
          <w:i/>
          <w:sz w:val="28"/>
        </w:rPr>
        <w:t>Textilstratégia</w:t>
      </w:r>
    </w:p>
    <w:p w:rsidRPr="006E3F60" w:rsidR="00092425" w:rsidP="00910972" w:rsidRDefault="00092425" w14:paraId="4FF48D94" w14:textId="77777777">
      <w:pPr>
        <w:keepNext/>
        <w:keepLines/>
        <w:ind w:left="567"/>
        <w:contextualSpacing/>
      </w:pPr>
    </w:p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Pr="006E3F60" w:rsidR="006E3F60" w:rsidTr="00C25DB3" w14:paraId="25907EC0" w14:textId="77777777">
        <w:tc>
          <w:tcPr>
            <w:tcW w:w="1701" w:type="dxa"/>
          </w:tcPr>
          <w:p w:rsidRPr="006E3F60" w:rsidR="006E3F60" w:rsidP="006E3F60" w:rsidRDefault="006E3F60" w14:paraId="363A590B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946" w:type="dxa"/>
          </w:tcPr>
          <w:p w:rsidRPr="006E3F60" w:rsidR="006E3F60" w:rsidP="006E3F60" w:rsidRDefault="00C25DB3" w14:paraId="7776D9DA" w14:textId="77777777">
            <w:pPr>
              <w:keepNext/>
              <w:ind w:left="-106"/>
              <w:contextualSpacing/>
            </w:pPr>
            <w:proofErr w:type="spellStart"/>
            <w:r>
              <w:t>Florian</w:t>
            </w:r>
            <w:proofErr w:type="spellEnd"/>
            <w:r>
              <w:t xml:space="preserve"> MARIN – 86. cikk (2) bekezdés (</w:t>
            </w:r>
            <w:proofErr w:type="spellStart"/>
            <w:r>
              <w:t>Dumitru</w:t>
            </w:r>
            <w:proofErr w:type="spellEnd"/>
            <w:r>
              <w:t xml:space="preserve"> FORNEA helyett) (Munkavállalók/RO)</w:t>
            </w:r>
          </w:p>
        </w:tc>
      </w:tr>
      <w:tr w:rsidRPr="006E3F60" w:rsidR="006E3F60" w:rsidTr="00C25DB3" w14:paraId="3818F306" w14:textId="77777777">
        <w:tc>
          <w:tcPr>
            <w:tcW w:w="1701" w:type="dxa"/>
          </w:tcPr>
          <w:p w:rsidRPr="006E3F60" w:rsidR="006E3F60" w:rsidP="006E3F60" w:rsidRDefault="006E3F60" w14:paraId="335B5DA6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6946" w:type="dxa"/>
          </w:tcPr>
          <w:p w:rsidRPr="006E3F60" w:rsidR="006E3F60" w:rsidP="006E3F60" w:rsidRDefault="00C25DB3" w14:paraId="5324713C" w14:textId="77777777">
            <w:pPr>
              <w:keepNext/>
              <w:ind w:left="-106"/>
              <w:contextualSpacing/>
            </w:pPr>
            <w:proofErr w:type="spellStart"/>
            <w:r>
              <w:t>Antonello</w:t>
            </w:r>
            <w:proofErr w:type="spellEnd"/>
            <w:r>
              <w:t xml:space="preserve"> PEZZINI (IT/1. kat.)</w:t>
            </w:r>
          </w:p>
        </w:tc>
      </w:tr>
      <w:tr w:rsidRPr="006E3F60" w:rsidR="006E3F60" w:rsidTr="00C25DB3" w14:paraId="3B98D2DD" w14:textId="77777777">
        <w:tc>
          <w:tcPr>
            <w:tcW w:w="8647" w:type="dxa"/>
            <w:gridSpan w:val="2"/>
          </w:tcPr>
          <w:p w:rsidRPr="006E3F60" w:rsidR="006E3F60" w:rsidP="006E3F60" w:rsidRDefault="006E3F60" w14:paraId="302FFA0F" w14:textId="77777777">
            <w:pPr>
              <w:keepNext/>
              <w:contextualSpacing/>
            </w:pPr>
          </w:p>
        </w:tc>
      </w:tr>
      <w:tr w:rsidRPr="006E3F60" w:rsidR="006E3F60" w:rsidTr="00C25DB3" w14:paraId="5C47C9B0" w14:textId="77777777">
        <w:tc>
          <w:tcPr>
            <w:tcW w:w="1701" w:type="dxa"/>
          </w:tcPr>
          <w:p w:rsidRPr="006E3F60" w:rsidR="006E3F60" w:rsidP="006E3F60" w:rsidRDefault="006E3F60" w14:paraId="70DE31B6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946" w:type="dxa"/>
          </w:tcPr>
          <w:p w:rsidRPr="006E3F60" w:rsidR="006E3F60" w:rsidP="006E3F60" w:rsidRDefault="00092425" w14:paraId="1726139F" w14:textId="4384C9D6">
            <w:pPr>
              <w:keepNext/>
              <w:ind w:left="-106"/>
              <w:contextualSpacing/>
              <w:rPr>
                <w:iCs/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2022) 141 </w:t>
            </w:r>
            <w:proofErr w:type="spellStart"/>
            <w:r>
              <w:rPr>
                <w:color w:val="000000"/>
              </w:rPr>
              <w:t>final</w:t>
            </w:r>
            <w:proofErr w:type="spellEnd"/>
          </w:p>
          <w:p w:rsidRPr="006E3F60" w:rsidR="006E3F60" w:rsidP="006E3F60" w:rsidRDefault="00C25DB3" w14:paraId="2ACB8205" w14:textId="77777777">
            <w:pPr>
              <w:keepNext/>
              <w:ind w:left="-106"/>
              <w:contextualSpacing/>
            </w:pPr>
            <w:r>
              <w:t>EESC-2022-01663-00-00-AC</w:t>
            </w:r>
          </w:p>
        </w:tc>
      </w:tr>
    </w:tbl>
    <w:p w:rsidRPr="006E3F60" w:rsidR="006E3F60" w:rsidP="006E3F60" w:rsidRDefault="006E3F60" w14:paraId="491156E7" w14:textId="77777777">
      <w:pPr>
        <w:keepNext/>
        <w:ind w:left="567"/>
        <w:contextualSpacing/>
      </w:pPr>
    </w:p>
    <w:p w:rsidR="006E3F60" w:rsidP="002C4B6E" w:rsidRDefault="006E3F60" w14:paraId="393FC053" w14:textId="42EB6890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C25DB3" w:rsidR="00C25DB3" w:rsidP="00C25DB3" w:rsidRDefault="00C25DB3" w14:paraId="5DC1F2E9" w14:textId="77777777">
      <w:pPr>
        <w:contextualSpacing/>
        <w:rPr>
          <w:b/>
        </w:rPr>
      </w:pPr>
    </w:p>
    <w:p w:rsidR="006E3F60" w:rsidP="00C25DB3" w:rsidRDefault="00C25DB3" w14:paraId="7490CEC6" w14:textId="77777777">
      <w:pPr>
        <w:contextualSpacing/>
        <w:rPr>
          <w:bCs/>
          <w:iCs/>
        </w:rPr>
      </w:pPr>
      <w:r>
        <w:t>Az EGSZB:</w:t>
      </w:r>
    </w:p>
    <w:p w:rsidRPr="006E3F60" w:rsidR="00C25DB3" w:rsidP="00C25DB3" w:rsidRDefault="00C25DB3" w14:paraId="725984FA" w14:textId="77777777">
      <w:pPr>
        <w:contextualSpacing/>
      </w:pPr>
    </w:p>
    <w:p w:rsidRPr="006E3F60" w:rsidR="006E3F60" w:rsidP="006E3F60" w:rsidRDefault="00C25DB3" w14:paraId="6F4F5F2E" w14:textId="77777777">
      <w:pPr>
        <w:numPr>
          <w:ilvl w:val="0"/>
          <w:numId w:val="3"/>
        </w:numPr>
        <w:ind w:left="357" w:hanging="357"/>
        <w:contextualSpacing/>
      </w:pPr>
      <w:r>
        <w:t>úgy látja, hogy a textilipar hozzájárulhat az uniós környezetvédelmi célokhoz, és elszámoltathatónak kell lennie környezeti hatásáért,</w:t>
      </w:r>
    </w:p>
    <w:p w:rsidRPr="006E3F60" w:rsidR="00C25DB3" w:rsidP="00C25DB3" w:rsidRDefault="00C25DB3" w14:paraId="53036B5C" w14:textId="77777777">
      <w:pPr>
        <w:numPr>
          <w:ilvl w:val="0"/>
          <w:numId w:val="3"/>
        </w:numPr>
        <w:ind w:left="357" w:hanging="357"/>
        <w:contextualSpacing/>
      </w:pPr>
      <w:r>
        <w:t>hangsúlyozza, hogy meg kell teremteni a megfelelő egyensúlyt a textilgyártók életciklus végi költségei és az ipar versenyképessége között,</w:t>
      </w:r>
    </w:p>
    <w:p w:rsidRPr="006E3F60" w:rsidR="006E3F60" w:rsidP="006E3F60" w:rsidRDefault="00C25DB3" w14:paraId="453A87CE" w14:textId="77777777">
      <w:pPr>
        <w:numPr>
          <w:ilvl w:val="0"/>
          <w:numId w:val="3"/>
        </w:numPr>
        <w:ind w:left="357" w:hanging="357"/>
        <w:contextualSpacing/>
      </w:pPr>
      <w:r>
        <w:t>támogatja, hogy átfogó címkézési követelményeket vezessenek be a textiltermékek újrafeldolgozásának mértékére és környezeti lábnyomára vonatkozóan, ez ugyanis arra ösztönözheti a fogyasztókat, hogy a mennyiség helyett fenntartható termékeket és minőséget válasszanak. Mindehhez azonban alapos hatásvizsgálat és nagyszabású európai szintű tájékoztató kampány kell,</w:t>
      </w:r>
    </w:p>
    <w:p w:rsidRPr="006E3F60" w:rsidR="006E3F60" w:rsidP="006E3F60" w:rsidRDefault="00C25DB3" w14:paraId="7178CC70" w14:textId="77777777">
      <w:pPr>
        <w:numPr>
          <w:ilvl w:val="0"/>
          <w:numId w:val="3"/>
        </w:numPr>
        <w:ind w:left="357" w:hanging="357"/>
        <w:contextualSpacing/>
      </w:pPr>
      <w:r>
        <w:t>kritikával illeti a tisztességtelen versennyel kapcsolatos gyakorlatokat, és kéri az importált termékek fokozott piacfelügyeletét, valamint jobb koordinációt és együttműködést szorgalmaz a végrehajtó hatóságok között,</w:t>
      </w:r>
    </w:p>
    <w:p w:rsidRPr="00C25DB3" w:rsidR="006E3F60" w:rsidP="006E3F60" w:rsidRDefault="00C25DB3" w14:paraId="4247E663" w14:textId="77777777">
      <w:pPr>
        <w:numPr>
          <w:ilvl w:val="0"/>
          <w:numId w:val="3"/>
        </w:numPr>
        <w:ind w:left="357" w:hanging="357"/>
        <w:contextualSpacing/>
      </w:pPr>
      <w:r>
        <w:t>olyan intézkedéseket szorgalmaz, amelyek biztosítják az egyensúlyt a textilellátási láncok szereplői között. Emellett olyan gyakorlatok bevezetését is javasolja, amelyek a globális fenntarthatóság szempontjából már beváltak,</w:t>
      </w:r>
    </w:p>
    <w:p w:rsidRPr="00C25DB3" w:rsidR="00C25DB3" w:rsidP="006E3F60" w:rsidRDefault="00C25DB3" w14:paraId="5B5E4DFD" w14:textId="77777777">
      <w:pPr>
        <w:numPr>
          <w:ilvl w:val="0"/>
          <w:numId w:val="3"/>
        </w:numPr>
        <w:ind w:left="357" w:hanging="357"/>
        <w:contextualSpacing/>
      </w:pPr>
      <w:r>
        <w:t>úgy véli, hogy meg kell erősíteni a meglévő és jövőbeli kereskedelmi megállapodásokat, az általános preferenciarendszerben pedig – a fejlődő országokra vonatkozóan – rendelkezéseket kell bevezetni a fenntarthatóság és az emberi jogok védelmére,</w:t>
      </w:r>
    </w:p>
    <w:p w:rsidRPr="00C25DB3" w:rsidR="00C25DB3" w:rsidP="006E3F60" w:rsidRDefault="00C25DB3" w14:paraId="4BE2BD93" w14:textId="77777777">
      <w:pPr>
        <w:numPr>
          <w:ilvl w:val="0"/>
          <w:numId w:val="3"/>
        </w:numPr>
        <w:ind w:left="357" w:hanging="357"/>
        <w:contextualSpacing/>
      </w:pPr>
      <w:r>
        <w:t>arra számított, hogy nagyobb hangsúlyt kapnak az ágazat szociális szempontjai, különös tekintettel a munkavállalói jogokra és a kollektív tárgyalásokra,</w:t>
      </w:r>
    </w:p>
    <w:p w:rsidRPr="00C25DB3" w:rsidR="00C25DB3" w:rsidP="006E3F60" w:rsidRDefault="00C25DB3" w14:paraId="548F8200" w14:textId="77777777">
      <w:pPr>
        <w:numPr>
          <w:ilvl w:val="0"/>
          <w:numId w:val="3"/>
        </w:numPr>
        <w:ind w:left="357" w:hanging="357"/>
        <w:contextualSpacing/>
      </w:pPr>
      <w:r>
        <w:t>rámutat, hogy az ellenőrzéseket végző intézményeknek megfelelő kapacitásokra van szükségük a hatékony ellenőrzés biztosítása értekében,</w:t>
      </w:r>
    </w:p>
    <w:p w:rsidRPr="00C25DB3" w:rsidR="00C25DB3" w:rsidP="006E3F60" w:rsidRDefault="00C25DB3" w14:paraId="207B0C6C" w14:textId="77777777">
      <w:pPr>
        <w:numPr>
          <w:ilvl w:val="0"/>
          <w:numId w:val="3"/>
        </w:numPr>
        <w:ind w:left="357" w:hanging="357"/>
        <w:contextualSpacing/>
      </w:pPr>
      <w:r>
        <w:t xml:space="preserve">egyetért azzal, hogy el kell végezni minden uniós </w:t>
      </w:r>
      <w:proofErr w:type="gramStart"/>
      <w:r>
        <w:t>vállalat kötelező</w:t>
      </w:r>
      <w:proofErr w:type="gramEnd"/>
      <w:r>
        <w:t xml:space="preserve"> átvilágítását, és külön támogatást kell nyújtani a kkv-knak ahhoz, hogy megfeleljenek az előírásoknak,</w:t>
      </w:r>
    </w:p>
    <w:p w:rsidRPr="00C25DB3" w:rsidR="00C25DB3" w:rsidP="006E3F60" w:rsidRDefault="00C25DB3" w14:paraId="2B985D95" w14:textId="77777777">
      <w:pPr>
        <w:numPr>
          <w:ilvl w:val="0"/>
          <w:numId w:val="3"/>
        </w:numPr>
        <w:ind w:left="357" w:hanging="357"/>
        <w:contextualSpacing/>
      </w:pPr>
      <w:r>
        <w:t>szigorú intézkedéseket szorgalmaz, amelyek megtiltják a gazdasági kapcsolatokat a gyermekmunkát alkalmazó vagy a tisztességes munkakörülményeket nem biztosító cégekkel,</w:t>
      </w:r>
    </w:p>
    <w:p w:rsidR="00C25DB3" w:rsidP="006E3F60" w:rsidRDefault="00C25DB3" w14:paraId="0F4AE883" w14:textId="77777777">
      <w:pPr>
        <w:numPr>
          <w:ilvl w:val="0"/>
          <w:numId w:val="3"/>
        </w:numPr>
        <w:ind w:left="357" w:hanging="357"/>
        <w:contextualSpacing/>
      </w:pPr>
      <w:r>
        <w:t>úgy látja, hogy a kiterjesztett gyártói felelősség jövőbeli rendszerének a hamis körforgási folyamatok helyett a textilszálak visszanyerésére irányuló újrafeldolgozást (</w:t>
      </w:r>
      <w:proofErr w:type="spellStart"/>
      <w:r>
        <w:t>fibre-to-fibre</w:t>
      </w:r>
      <w:proofErr w:type="spellEnd"/>
      <w:r>
        <w:t xml:space="preserve"> </w:t>
      </w:r>
      <w:proofErr w:type="spellStart"/>
      <w:r>
        <w:t>textile</w:t>
      </w:r>
      <w:proofErr w:type="spellEnd"/>
      <w:r>
        <w:t xml:space="preserve"> </w:t>
      </w:r>
      <w:proofErr w:type="spellStart"/>
      <w:r>
        <w:t>recycling</w:t>
      </w:r>
      <w:proofErr w:type="spellEnd"/>
      <w:r>
        <w:t>) kell ösztönöznie,</w:t>
      </w:r>
    </w:p>
    <w:p w:rsidRPr="00C25DB3" w:rsidR="006E3F60" w:rsidP="006E3F60" w:rsidRDefault="00C25DB3" w14:paraId="47C692BA" w14:textId="77777777">
      <w:pPr>
        <w:numPr>
          <w:ilvl w:val="0"/>
          <w:numId w:val="3"/>
        </w:numPr>
        <w:ind w:left="357" w:hanging="357"/>
        <w:contextualSpacing/>
      </w:pPr>
      <w:r>
        <w:t>kéri, hogy folytassanak nemzeti kampányokat a textilipari munkalehetőségek népszerűsítésére, valamint indítsanak finanszírozási programokat a munkaerő továbbképzésére és átképzésére vonatkozóan,</w:t>
      </w:r>
    </w:p>
    <w:p w:rsidRPr="00C25DB3" w:rsidR="00C25DB3" w:rsidP="006E3F60" w:rsidRDefault="00C25DB3" w14:paraId="27F7B8B2" w14:textId="77777777">
      <w:pPr>
        <w:numPr>
          <w:ilvl w:val="0"/>
          <w:numId w:val="3"/>
        </w:numPr>
        <w:ind w:left="357" w:hanging="357"/>
        <w:contextualSpacing/>
      </w:pPr>
      <w:r>
        <w:lastRenderedPageBreak/>
        <w:t>harmonizált, ágazatspecifikus szociális és környezetvédelmi szabályokat szorgalmaz az uniós közbeszerzésekre vonatkozóan.</w:t>
      </w:r>
    </w:p>
    <w:p w:rsidRPr="006E3F60" w:rsidR="00C25DB3" w:rsidP="006E3F60" w:rsidRDefault="00C25DB3" w14:paraId="6575574F" w14:textId="77777777"/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6E3F60" w:rsidR="006E3F60" w:rsidTr="00B83E7B" w14:paraId="3701C8A8" w14:textId="77777777">
        <w:tc>
          <w:tcPr>
            <w:tcW w:w="1418" w:type="dxa"/>
          </w:tcPr>
          <w:p w:rsidRPr="006E3F60" w:rsidR="006E3F60" w:rsidP="006E3F60" w:rsidRDefault="006E3F60" w14:paraId="61A358F3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6E3F60" w:rsidR="006E3F60" w:rsidP="006E3F60" w:rsidRDefault="00F512BB" w14:paraId="529847A8" w14:textId="77777777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Gerald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Klec</w:t>
            </w:r>
            <w:proofErr w:type="spellEnd"/>
          </w:p>
        </w:tc>
      </w:tr>
      <w:tr w:rsidRPr="006E3F60" w:rsidR="006E3F60" w:rsidTr="00B83E7B" w14:paraId="2E4F0404" w14:textId="77777777">
        <w:tc>
          <w:tcPr>
            <w:tcW w:w="1418" w:type="dxa"/>
          </w:tcPr>
          <w:p w:rsidRPr="006E3F60" w:rsidR="006E3F60" w:rsidP="006E3F60" w:rsidRDefault="006E3F60" w14:paraId="5A7B9997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6E3F60" w:rsidR="006E3F60" w:rsidP="006E3F60" w:rsidRDefault="00F512BB" w14:paraId="52C01769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00 32 2 546 99 09</w:t>
            </w:r>
          </w:p>
        </w:tc>
      </w:tr>
      <w:tr w:rsidRPr="006E3F60" w:rsidR="006E3F60" w:rsidTr="00B83E7B" w14:paraId="1F686407" w14:textId="77777777">
        <w:tc>
          <w:tcPr>
            <w:tcW w:w="1418" w:type="dxa"/>
          </w:tcPr>
          <w:p w:rsidRPr="006E3F60" w:rsidR="006E3F60" w:rsidP="0095081D" w:rsidRDefault="006E3F60" w14:paraId="2859E45F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6E3F60" w:rsidR="006E3F60" w:rsidP="006E3F60" w:rsidRDefault="00544E97" w14:paraId="1B9ADEF7" w14:textId="77777777">
            <w:pPr>
              <w:contextualSpacing/>
              <w:rPr>
                <w:i/>
              </w:rPr>
            </w:pPr>
            <w:hyperlink w:history="1" r:id="rId41">
              <w:r w:rsidR="00FA343E">
                <w:rPr>
                  <w:rStyle w:val="Hyperlink"/>
                  <w:i/>
                </w:rPr>
                <w:t>Gerald.Klec@eesc.europa.eu</w:t>
              </w:r>
            </w:hyperlink>
          </w:p>
        </w:tc>
      </w:tr>
    </w:tbl>
    <w:p w:rsidR="00910972" w:rsidP="006E3F60" w:rsidRDefault="00910972" w14:paraId="02D22029" w14:textId="7EA4AD27">
      <w:pPr>
        <w:pStyle w:val="Heading1"/>
        <w:numPr>
          <w:ilvl w:val="0"/>
          <w:numId w:val="0"/>
        </w:numPr>
      </w:pPr>
    </w:p>
    <w:p w:rsidR="00910972" w:rsidRDefault="00910972" w14:paraId="0E93BDF6" w14:textId="77777777">
      <w:pPr>
        <w:spacing w:after="160" w:line="259" w:lineRule="auto"/>
        <w:jc w:val="left"/>
        <w:rPr>
          <w:kern w:val="28"/>
        </w:rPr>
      </w:pPr>
      <w:r>
        <w:br w:type="page"/>
      </w:r>
    </w:p>
    <w:p w:rsidRPr="006E3F60" w:rsidR="00DB2B61" w:rsidP="00DB2B61" w:rsidRDefault="00DB2B61" w14:paraId="76D7F816" w14:textId="77777777">
      <w:pPr>
        <w:keepNext/>
        <w:keepLines/>
        <w:numPr>
          <w:ilvl w:val="0"/>
          <w:numId w:val="2"/>
        </w:numPr>
        <w:ind w:left="567" w:hanging="567"/>
        <w:contextualSpacing/>
        <w:rPr>
          <w:b/>
          <w:i/>
          <w:sz w:val="28"/>
          <w:szCs w:val="28"/>
        </w:rPr>
      </w:pPr>
      <w:r>
        <w:rPr>
          <w:b/>
          <w:i/>
          <w:sz w:val="28"/>
        </w:rPr>
        <w:lastRenderedPageBreak/>
        <w:t>A biztonsági és védelmi technológiákra vonatkozó ütemterv</w:t>
      </w:r>
    </w:p>
    <w:p w:rsidRPr="006E3F60" w:rsidR="00DB2B61" w:rsidP="00DB2B61" w:rsidRDefault="00DB2B61" w14:paraId="56555F8C" w14:textId="77777777">
      <w:pPr>
        <w:keepNext/>
        <w:contextualSpacing/>
      </w:pPr>
    </w:p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701"/>
        <w:gridCol w:w="6946"/>
      </w:tblGrid>
      <w:tr w:rsidRPr="006E3F60" w:rsidR="00DB2B61" w:rsidTr="00DB2B61" w14:paraId="4B203DE5" w14:textId="77777777">
        <w:tc>
          <w:tcPr>
            <w:tcW w:w="1701" w:type="dxa"/>
          </w:tcPr>
          <w:p w:rsidRPr="006E3F60" w:rsidR="00DB2B61" w:rsidP="00DB2B61" w:rsidRDefault="00DB2B61" w14:paraId="243F6BEE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Előadó:</w:t>
            </w:r>
          </w:p>
        </w:tc>
        <w:tc>
          <w:tcPr>
            <w:tcW w:w="6946" w:type="dxa"/>
          </w:tcPr>
          <w:p w:rsidRPr="006E3F60" w:rsidR="00DB2B61" w:rsidP="00DB2B61" w:rsidRDefault="00092425" w14:paraId="301C5CC8" w14:textId="7F1362E4">
            <w:pPr>
              <w:keepNext/>
              <w:ind w:left="-106"/>
              <w:contextualSpacing/>
            </w:pPr>
            <w:proofErr w:type="spellStart"/>
            <w:r>
              <w:t>Maurizio</w:t>
            </w:r>
            <w:proofErr w:type="spellEnd"/>
            <w:r>
              <w:t xml:space="preserve"> MENSI (Civil társadalmi szervezetek/IT)</w:t>
            </w:r>
          </w:p>
        </w:tc>
      </w:tr>
      <w:tr w:rsidRPr="006E3F60" w:rsidR="00DB2B61" w:rsidTr="00DB2B61" w14:paraId="5AEC2A75" w14:textId="77777777">
        <w:tc>
          <w:tcPr>
            <w:tcW w:w="1701" w:type="dxa"/>
          </w:tcPr>
          <w:p w:rsidRPr="006E3F60" w:rsidR="00DB2B61" w:rsidP="00DB2B61" w:rsidRDefault="00DB2B61" w14:paraId="2EF360D8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>Társelőadó:</w:t>
            </w:r>
          </w:p>
        </w:tc>
        <w:tc>
          <w:tcPr>
            <w:tcW w:w="6946" w:type="dxa"/>
          </w:tcPr>
          <w:p w:rsidRPr="006E3F60" w:rsidR="00DB2B61" w:rsidP="00DB2B61" w:rsidRDefault="00DB2B61" w14:paraId="49D71277" w14:textId="77777777">
            <w:pPr>
              <w:keepNext/>
              <w:ind w:left="-106"/>
              <w:contextualSpacing/>
            </w:pPr>
            <w:r>
              <w:t>Jan PIE (SE/1. kat.)</w:t>
            </w:r>
          </w:p>
        </w:tc>
      </w:tr>
      <w:tr w:rsidRPr="006E3F60" w:rsidR="00DB2B61" w:rsidTr="00DB2B61" w14:paraId="0E3AFD55" w14:textId="77777777">
        <w:tc>
          <w:tcPr>
            <w:tcW w:w="8647" w:type="dxa"/>
            <w:gridSpan w:val="2"/>
          </w:tcPr>
          <w:p w:rsidRPr="006E3F60" w:rsidR="00DB2B61" w:rsidP="00DB2B61" w:rsidRDefault="00DB2B61" w14:paraId="3125B26E" w14:textId="77777777">
            <w:pPr>
              <w:keepNext/>
              <w:contextualSpacing/>
            </w:pPr>
          </w:p>
        </w:tc>
      </w:tr>
      <w:tr w:rsidRPr="006E3F60" w:rsidR="00DB2B61" w:rsidTr="00DB2B61" w14:paraId="38CEDCE3" w14:textId="77777777">
        <w:tc>
          <w:tcPr>
            <w:tcW w:w="1701" w:type="dxa"/>
          </w:tcPr>
          <w:p w:rsidRPr="006E3F60" w:rsidR="00DB2B61" w:rsidP="00DB2B61" w:rsidRDefault="00DB2B61" w14:paraId="0815516A" w14:textId="77777777">
            <w:pPr>
              <w:keepNext/>
              <w:contextualSpacing/>
              <w:rPr>
                <w:b/>
              </w:rPr>
            </w:pPr>
            <w:r>
              <w:rPr>
                <w:b/>
              </w:rPr>
              <w:t xml:space="preserve">Hivatkozások: </w:t>
            </w:r>
          </w:p>
        </w:tc>
        <w:tc>
          <w:tcPr>
            <w:tcW w:w="6946" w:type="dxa"/>
          </w:tcPr>
          <w:p w:rsidRPr="006E3F60" w:rsidR="00DB2B61" w:rsidP="00DB2B61" w:rsidRDefault="00092425" w14:paraId="34E11771" w14:textId="5B709DB2">
            <w:pPr>
              <w:keepNext/>
              <w:ind w:left="-106"/>
              <w:contextualSpacing/>
              <w:rPr>
                <w:iCs/>
                <w:color w:val="000000"/>
              </w:rPr>
            </w:pPr>
            <w:proofErr w:type="gramStart"/>
            <w:r>
              <w:rPr>
                <w:color w:val="000000"/>
              </w:rPr>
              <w:t>COM(</w:t>
            </w:r>
            <w:proofErr w:type="gramEnd"/>
            <w:r>
              <w:rPr>
                <w:color w:val="000000"/>
              </w:rPr>
              <w:t xml:space="preserve">2022) 61 </w:t>
            </w:r>
            <w:proofErr w:type="spellStart"/>
            <w:r>
              <w:rPr>
                <w:color w:val="000000"/>
              </w:rPr>
              <w:t>final</w:t>
            </w:r>
            <w:proofErr w:type="spellEnd"/>
          </w:p>
          <w:p w:rsidRPr="006E3F60" w:rsidR="00DB2B61" w:rsidP="00DB2B61" w:rsidRDefault="00DB2B61" w14:paraId="3A4D0BEA" w14:textId="77777777">
            <w:pPr>
              <w:keepNext/>
              <w:ind w:left="-106"/>
              <w:contextualSpacing/>
            </w:pPr>
            <w:r>
              <w:t>EESC-2022-007258-00-00-AC</w:t>
            </w:r>
          </w:p>
        </w:tc>
      </w:tr>
    </w:tbl>
    <w:p w:rsidRPr="006E3F60" w:rsidR="00DB2B61" w:rsidP="00DB2B61" w:rsidRDefault="00DB2B61" w14:paraId="72FCB1E0" w14:textId="77777777">
      <w:pPr>
        <w:keepNext/>
        <w:ind w:left="567"/>
        <w:contextualSpacing/>
      </w:pPr>
    </w:p>
    <w:p w:rsidR="00DB2B61" w:rsidP="00DB2B61" w:rsidRDefault="00DB2B61" w14:paraId="6340CE2B" w14:textId="710D5151">
      <w:pPr>
        <w:pStyle w:val="ListParagraph"/>
        <w:spacing w:line="240" w:lineRule="auto"/>
        <w:ind w:left="-142" w:firstLine="142"/>
        <w:rPr>
          <w:b/>
        </w:rPr>
      </w:pPr>
      <w:r>
        <w:rPr>
          <w:b/>
        </w:rPr>
        <w:t>Főbb pontok</w:t>
      </w:r>
    </w:p>
    <w:p w:rsidRPr="00C25DB3" w:rsidR="00DB2B61" w:rsidP="00DB2B61" w:rsidRDefault="00DB2B61" w14:paraId="483221C2" w14:textId="77777777">
      <w:pPr>
        <w:contextualSpacing/>
        <w:rPr>
          <w:b/>
        </w:rPr>
      </w:pPr>
    </w:p>
    <w:p w:rsidR="00DB2B61" w:rsidP="00DB2B61" w:rsidRDefault="00DB2B61" w14:paraId="4645FD06" w14:textId="77777777">
      <w:pPr>
        <w:contextualSpacing/>
        <w:rPr>
          <w:bCs/>
          <w:iCs/>
        </w:rPr>
      </w:pPr>
      <w:r>
        <w:t>Az EGSZB:</w:t>
      </w:r>
    </w:p>
    <w:p w:rsidRPr="006E3F60" w:rsidR="00DB2B61" w:rsidP="00DB2B61" w:rsidRDefault="00DB2B61" w14:paraId="06089817" w14:textId="77777777">
      <w:pPr>
        <w:contextualSpacing/>
      </w:pPr>
    </w:p>
    <w:p w:rsidRPr="006E3F60" w:rsidR="00DB2B61" w:rsidP="00DB2B61" w:rsidRDefault="00DB2B61" w14:paraId="12BF53B8" w14:textId="77777777">
      <w:pPr>
        <w:numPr>
          <w:ilvl w:val="0"/>
          <w:numId w:val="3"/>
        </w:numPr>
        <w:ind w:left="357" w:hanging="357"/>
        <w:contextualSpacing/>
      </w:pPr>
      <w:r>
        <w:t>teljes mértékben támogatja a biztonsági és védelmi szempontból kritikus technológiákra vonatkozó ütemterv célkitűzéseit, nevezetesen a kutatás, a technológiafejlesztés és az innováció fellendítését, valamint az EU stratégiai függőségének csökkentését a biztonsági és védelmi szempontból kritikus technológiák és értékláncok terén – annál is inkább, mivel az Ukrajna elleni orosz agresszió fényében kimondottan időszerű ez az ütemterv,</w:t>
      </w:r>
    </w:p>
    <w:p w:rsidRPr="006E3F60" w:rsidR="00DB2B61" w:rsidP="00DB2B61" w:rsidRDefault="00DB2B61" w14:paraId="50FB7782" w14:textId="77777777">
      <w:pPr>
        <w:numPr>
          <w:ilvl w:val="0"/>
          <w:numId w:val="3"/>
        </w:numPr>
        <w:ind w:left="357" w:hanging="357"/>
        <w:contextualSpacing/>
      </w:pPr>
      <w:r>
        <w:t>üdvözli, hogy olyan átfogó megközelítést kívánnak kidolgozni, amely átível a polgári és katonai terület közötti választóvonalon, valamint egyesíti az uniós és a nemzeti szintet. Mindezt mielőbb meg kell megvalósítani, hiszen az Ukrajna elleni invázió arra figyelmeztet, hogy a szokásosnál sokkal gyorsabban kell cselekedni,</w:t>
      </w:r>
    </w:p>
    <w:p w:rsidRPr="006E3F60" w:rsidR="00DB2B61" w:rsidP="00DB2B61" w:rsidRDefault="00DB2B61" w14:paraId="5A24A2DF" w14:textId="77777777">
      <w:pPr>
        <w:numPr>
          <w:ilvl w:val="0"/>
          <w:numId w:val="3"/>
        </w:numPr>
        <w:ind w:left="357" w:hanging="357"/>
        <w:contextualSpacing/>
      </w:pPr>
      <w:r>
        <w:t>azt kéri a tagállamoktól, hogy az Ukrajna elleni orosz agresszióra adott azonnali válaszaik legyenek összhangban az ütemterv tartalmával és célkitűzéseivel. A rövid távú nemzeti védelmi beruházásokat európai szinten kell koordinálni, hogy elkerülhető legyen a nagyobb mértékű széttagoltság és párhuzamosságok előfordulása,</w:t>
      </w:r>
    </w:p>
    <w:p w:rsidRPr="00C25DB3" w:rsidR="00DB2B61" w:rsidP="00DB2B61" w:rsidRDefault="00DB2B61" w14:paraId="4A892D63" w14:textId="77777777">
      <w:pPr>
        <w:numPr>
          <w:ilvl w:val="0"/>
          <w:numId w:val="3"/>
        </w:numPr>
        <w:ind w:left="357" w:hanging="357"/>
        <w:contextualSpacing/>
      </w:pPr>
      <w:r>
        <w:t>azt ajánlja, hogy a Kritikus Technológiák Megfigyelőközpontját lássák el egyértelmű irányítással, jelentős forrásokkal és erős intézményi háttérrel,</w:t>
      </w:r>
    </w:p>
    <w:p w:rsidRPr="00C25DB3" w:rsidR="00DB2B61" w:rsidP="00DB2B61" w:rsidRDefault="00DB2B61" w14:paraId="0B9F09C8" w14:textId="77777777">
      <w:pPr>
        <w:numPr>
          <w:ilvl w:val="0"/>
          <w:numId w:val="3"/>
        </w:numPr>
        <w:ind w:left="357" w:hanging="357"/>
        <w:contextualSpacing/>
      </w:pPr>
      <w:r>
        <w:t>üdvözli a tagállamokkal való szoros koordinációra irányuló javaslatot, és egy további fórum létrehozását kéri az iparral folytatott konzultációk számára,</w:t>
      </w:r>
    </w:p>
    <w:p w:rsidRPr="00DB2B61" w:rsidR="00DB2B61" w:rsidP="00DB2B61" w:rsidRDefault="00DB2B61" w14:paraId="6F46F6D3" w14:textId="77777777">
      <w:pPr>
        <w:numPr>
          <w:ilvl w:val="0"/>
          <w:numId w:val="3"/>
        </w:numPr>
        <w:ind w:left="357" w:hanging="357"/>
        <w:contextualSpacing/>
      </w:pPr>
      <w:r>
        <w:t xml:space="preserve">úgy véli, hogy biztosítani kell, hogy a Kritikus Technológiák Megfigyelőközpontja eredményeit átültessék ütemtervekbe és kiemelt kezdeményezésekbe. A technológiai és ipari </w:t>
      </w:r>
      <w:proofErr w:type="gramStart"/>
      <w:r>
        <w:t>ciklus különböző</w:t>
      </w:r>
      <w:proofErr w:type="gramEnd"/>
      <w:r>
        <w:t xml:space="preserve"> fázisai közötti átmenetet csak akkor lehet sikeresen kezelni, ha egyértelműek az egyes kezdeményezésekkel kapcsolatos felelősségek és a feladatkörök. Koherenciára és szinergiákra nemcsak horizontálisan, a polgári és a védelmi KTF+I programok között van szükség, hanem vertikálisan is, a KTF+I és a kiépítést támogató programok között,</w:t>
      </w:r>
    </w:p>
    <w:p w:rsidRPr="00DB2B61" w:rsidR="00DB2B61" w:rsidP="00DB2B61" w:rsidRDefault="00DB2B61" w14:paraId="1077ED33" w14:textId="77777777">
      <w:pPr>
        <w:numPr>
          <w:ilvl w:val="0"/>
          <w:numId w:val="3"/>
        </w:numPr>
        <w:ind w:left="357" w:hanging="357"/>
        <w:contextualSpacing/>
      </w:pPr>
      <w:r>
        <w:t xml:space="preserve">úgy véli, hogy alapvető fontosságú a KTF+I-t támogató uniós programok és eszközök egyszerűsítése és </w:t>
      </w:r>
      <w:proofErr w:type="spellStart"/>
      <w:r>
        <w:t>észszerűsítése</w:t>
      </w:r>
      <w:proofErr w:type="spellEnd"/>
      <w:r>
        <w:t>, ami a kedvezményezettek javát szolgálja,</w:t>
      </w:r>
    </w:p>
    <w:p w:rsidRPr="00C25DB3" w:rsidR="00DB2B61" w:rsidP="00DB2B61" w:rsidRDefault="00DB2B61" w14:paraId="63D36A68" w14:textId="77777777">
      <w:pPr>
        <w:numPr>
          <w:ilvl w:val="0"/>
          <w:numId w:val="3"/>
        </w:numPr>
        <w:ind w:left="357" w:hanging="357"/>
        <w:contextualSpacing/>
      </w:pPr>
      <w:r>
        <w:t xml:space="preserve">javasolja egy online egyablakos ügyintézési pont, egy online „uniós kkv-központ” létrehozását a kkv-k és induló innovatív vállalkozások számára, amely lehetőséget nyújt előre meghatározott adatok megadására, amiért cserébe személyre szabott tájékoztatást ad a legmegfelelőbb, támogatást biztosító uniós </w:t>
      </w:r>
      <w:proofErr w:type="gramStart"/>
      <w:r>
        <w:t>program(</w:t>
      </w:r>
      <w:proofErr w:type="gramEnd"/>
      <w:r>
        <w:t>ok)</w:t>
      </w:r>
      <w:proofErr w:type="spellStart"/>
      <w:r>
        <w:t>ról</w:t>
      </w:r>
      <w:proofErr w:type="spellEnd"/>
      <w:r>
        <w:t>.</w:t>
      </w:r>
    </w:p>
    <w:p w:rsidRPr="006E3F60" w:rsidR="00DB2B61" w:rsidP="00DB2B61" w:rsidRDefault="00DB2B61" w14:paraId="40A6106B" w14:textId="77777777"/>
    <w:tbl>
      <w:tblPr>
        <w:tblStyle w:val="TableGrid6"/>
        <w:tblW w:w="0" w:type="auto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1418"/>
        <w:gridCol w:w="5670"/>
      </w:tblGrid>
      <w:tr w:rsidRPr="006E3F60" w:rsidR="00DB2B61" w:rsidTr="00DB2B61" w14:paraId="23C0EF0B" w14:textId="77777777">
        <w:tc>
          <w:tcPr>
            <w:tcW w:w="1418" w:type="dxa"/>
          </w:tcPr>
          <w:p w:rsidRPr="006E3F60" w:rsidR="00DB2B61" w:rsidP="00DB2B61" w:rsidRDefault="00DB2B61" w14:paraId="3DD09D48" w14:textId="77777777">
            <w:pPr>
              <w:contextualSpacing/>
              <w:rPr>
                <w:i/>
              </w:rPr>
            </w:pPr>
            <w:r>
              <w:rPr>
                <w:b/>
                <w:i/>
              </w:rPr>
              <w:t>Kapcsolat:</w:t>
            </w:r>
          </w:p>
        </w:tc>
        <w:tc>
          <w:tcPr>
            <w:tcW w:w="5670" w:type="dxa"/>
          </w:tcPr>
          <w:p w:rsidRPr="006E3F60" w:rsidR="00DB2B61" w:rsidP="00DB2B61" w:rsidRDefault="00CD1982" w14:paraId="072EA6C8" w14:textId="77777777">
            <w:pPr>
              <w:contextualSpacing/>
              <w:rPr>
                <w:i/>
              </w:rPr>
            </w:pPr>
            <w:proofErr w:type="spellStart"/>
            <w:r>
              <w:rPr>
                <w:i/>
              </w:rPr>
              <w:t>Gaëlle</w:t>
            </w:r>
            <w:proofErr w:type="spellEnd"/>
            <w:r>
              <w:rPr>
                <w:i/>
              </w:rPr>
              <w:t xml:space="preserve"> </w:t>
            </w:r>
            <w:proofErr w:type="spellStart"/>
            <w:r>
              <w:rPr>
                <w:i/>
              </w:rPr>
              <w:t>Michelier</w:t>
            </w:r>
            <w:proofErr w:type="spellEnd"/>
          </w:p>
        </w:tc>
      </w:tr>
      <w:tr w:rsidRPr="006E3F60" w:rsidR="00DB2B61" w:rsidTr="00DB2B61" w14:paraId="26445042" w14:textId="77777777">
        <w:tc>
          <w:tcPr>
            <w:tcW w:w="1418" w:type="dxa"/>
          </w:tcPr>
          <w:p w:rsidRPr="006E3F60" w:rsidR="00DB2B61" w:rsidP="00DB2B61" w:rsidRDefault="00DB2B61" w14:paraId="3B9F4F2A" w14:textId="77777777">
            <w:pPr>
              <w:ind w:left="601"/>
              <w:contextualSpacing/>
              <w:rPr>
                <w:i/>
              </w:rPr>
            </w:pPr>
            <w:r>
              <w:rPr>
                <w:i/>
              </w:rPr>
              <w:t>Tel</w:t>
            </w:r>
            <w:proofErr w:type="gramStart"/>
            <w:r>
              <w:rPr>
                <w:i/>
              </w:rPr>
              <w:t>.:</w:t>
            </w:r>
            <w:proofErr w:type="gramEnd"/>
          </w:p>
        </w:tc>
        <w:tc>
          <w:tcPr>
            <w:tcW w:w="5670" w:type="dxa"/>
          </w:tcPr>
          <w:p w:rsidRPr="006E3F60" w:rsidR="00DB2B61" w:rsidP="00DB2B61" w:rsidRDefault="00DB2B61" w14:paraId="69ACD3C0" w14:textId="77777777">
            <w:pPr>
              <w:contextualSpacing/>
              <w:rPr>
                <w:i/>
              </w:rPr>
            </w:pPr>
            <w:r>
              <w:rPr>
                <w:i/>
              </w:rPr>
              <w:t>00 32 2 546 96 05</w:t>
            </w:r>
          </w:p>
        </w:tc>
      </w:tr>
      <w:tr w:rsidRPr="006E3F60" w:rsidR="00DB2B61" w:rsidTr="00DB2B61" w14:paraId="5891FEB4" w14:textId="77777777">
        <w:tc>
          <w:tcPr>
            <w:tcW w:w="1418" w:type="dxa"/>
          </w:tcPr>
          <w:p w:rsidRPr="006E3F60" w:rsidR="00DB2B61" w:rsidP="0095081D" w:rsidRDefault="00DB2B61" w14:paraId="25C7AFD9" w14:textId="77777777">
            <w:pPr>
              <w:ind w:left="426"/>
              <w:contextualSpacing/>
              <w:rPr>
                <w:i/>
              </w:rPr>
            </w:pPr>
            <w:r>
              <w:rPr>
                <w:i/>
              </w:rPr>
              <w:t>E-mail:</w:t>
            </w:r>
          </w:p>
        </w:tc>
        <w:tc>
          <w:tcPr>
            <w:tcW w:w="5670" w:type="dxa"/>
          </w:tcPr>
          <w:p w:rsidRPr="006E3F60" w:rsidR="00DB2B61" w:rsidP="00DB2B61" w:rsidRDefault="00544E97" w14:paraId="78B1D053" w14:textId="77777777">
            <w:pPr>
              <w:contextualSpacing/>
              <w:rPr>
                <w:i/>
              </w:rPr>
            </w:pPr>
            <w:hyperlink w:history="1" r:id="rId42">
              <w:r w:rsidR="00FA343E">
                <w:rPr>
                  <w:rStyle w:val="Hyperlink"/>
                  <w:i/>
                </w:rPr>
                <w:t>Gaelle.Michelier@eesc.europa.eu</w:t>
              </w:r>
            </w:hyperlink>
          </w:p>
        </w:tc>
      </w:tr>
    </w:tbl>
    <w:p w:rsidR="00910972" w:rsidRDefault="00910972" w14:paraId="68E54163" w14:textId="77777777">
      <w:pPr>
        <w:overflowPunct w:val="0"/>
        <w:autoSpaceDE w:val="0"/>
        <w:autoSpaceDN w:val="0"/>
        <w:adjustRightInd w:val="0"/>
        <w:jc w:val="center"/>
        <w:textAlignment w:val="baseline"/>
      </w:pPr>
      <w:r>
        <w:t>_____________</w:t>
      </w:r>
    </w:p>
    <w:p w:rsidRPr="005B3012" w:rsidR="005B3012" w:rsidP="005B3012" w:rsidRDefault="005B3012" w14:paraId="73E537A6" w14:textId="0E4F0144"/>
    <w:sectPr w:rsidRPr="005B3012" w:rsidR="005B3012" w:rsidSect="00910972">
      <w:headerReference w:type="even" r:id="rId43"/>
      <w:headerReference w:type="default" r:id="rId44"/>
      <w:footerReference w:type="even" r:id="rId45"/>
      <w:footerReference w:type="default" r:id="rId46"/>
      <w:headerReference w:type="first" r:id="rId47"/>
      <w:footerReference w:type="first" r:id="rId48"/>
      <w:pgSz w:w="11907" w:h="16839"/>
      <w:pgMar w:top="1191" w:right="1418" w:bottom="1077" w:left="1276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9E64118" w16cid:durableId="267FAA6F"/>
  <w16cid:commentId w16cid:paraId="215C170E" w16cid:durableId="267FAA70"/>
  <w16cid:commentId w16cid:paraId="64ED25B0" w16cid:durableId="267FAA71"/>
  <w16cid:commentId w16cid:paraId="78CBB437" w16cid:durableId="267FAA72"/>
  <w16cid:commentId w16cid:paraId="39CD95AC" w16cid:durableId="267FAA73"/>
  <w16cid:commentId w16cid:paraId="1EF3AC59" w16cid:durableId="267FAA74"/>
  <w16cid:commentId w16cid:paraId="0527830A" w16cid:durableId="267FAA75"/>
  <w16cid:commentId w16cid:paraId="57DACCA8" w16cid:durableId="267FAA76"/>
  <w16cid:commentId w16cid:paraId="7FEA2171" w16cid:durableId="267FAA77"/>
  <w16cid:commentId w16cid:paraId="5411F924" w16cid:durableId="267FAA78"/>
  <w16cid:commentId w16cid:paraId="508FB51E" w16cid:durableId="267FAA79"/>
  <w16cid:commentId w16cid:paraId="34240DFA" w16cid:durableId="267FAA7A"/>
  <w16cid:commentId w16cid:paraId="6638EDA2" w16cid:durableId="267FAA7B"/>
  <w16cid:commentId w16cid:paraId="31015A6F" w16cid:durableId="267FAA7C"/>
  <w16cid:commentId w16cid:paraId="3E0FC3AA" w16cid:durableId="267FAA7D"/>
  <w16cid:commentId w16cid:paraId="38E2BDD5" w16cid:durableId="267FAA7E"/>
  <w16cid:commentId w16cid:paraId="0749A011" w16cid:durableId="267FAA7F"/>
  <w16cid:commentId w16cid:paraId="1BF73476" w16cid:durableId="267FAA80"/>
  <w16cid:commentId w16cid:paraId="75A44810" w16cid:durableId="267FAA81"/>
  <w16cid:commentId w16cid:paraId="3A6D8CAB" w16cid:durableId="267FAA82"/>
  <w16cid:commentId w16cid:paraId="5FA44054" w16cid:durableId="267FAA83"/>
  <w16cid:commentId w16cid:paraId="5FBD6FDA" w16cid:durableId="267FAA84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E707EF" w14:textId="77777777" w:rsidR="003A7A14" w:rsidRDefault="003A7A14" w:rsidP="003B0516">
      <w:pPr>
        <w:spacing w:line="240" w:lineRule="auto"/>
      </w:pPr>
      <w:r>
        <w:separator/>
      </w:r>
    </w:p>
  </w:endnote>
  <w:endnote w:type="continuationSeparator" w:id="0">
    <w:p w14:paraId="7657AFA9" w14:textId="77777777" w:rsidR="003A7A14" w:rsidRDefault="003A7A14" w:rsidP="003B05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7A99BB" w14:textId="77777777" w:rsidR="003A7A14" w:rsidRPr="00910972" w:rsidRDefault="003A7A14" w:rsidP="0091097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F89D38" w14:textId="4203CA5F" w:rsidR="003A7A14" w:rsidRPr="00910972" w:rsidRDefault="003A7A14" w:rsidP="00910972">
    <w:pPr>
      <w:pStyle w:val="Footer"/>
    </w:pPr>
    <w:r>
      <w:t xml:space="preserve">EESC-2022-03184-00-00-TCD-TRA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8E6D48">
      <w:rPr>
        <w:noProof/>
      </w:rPr>
      <w:t>1</w:t>
    </w:r>
    <w:r>
      <w:fldChar w:fldCharType="end"/>
    </w:r>
    <w:r>
      <w:t>/</w:t>
    </w:r>
    <w:r w:rsidR="00544E97">
      <w:fldChar w:fldCharType="begin"/>
    </w:r>
    <w:r w:rsidR="00544E97">
      <w:instrText xml:space="preserve"> NUMPAGES </w:instrText>
    </w:r>
    <w:r w:rsidR="00544E97">
      <w:fldChar w:fldCharType="separate"/>
    </w:r>
    <w:r w:rsidR="008E6D48">
      <w:t>28</w:t>
    </w:r>
    <w:r w:rsidR="00544E97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77D0A1" w14:textId="77777777" w:rsidR="003A7A14" w:rsidRPr="00910972" w:rsidRDefault="003A7A14" w:rsidP="00910972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65C15F" w14:textId="77777777" w:rsidR="003A7A14" w:rsidRPr="00910972" w:rsidRDefault="003A7A14" w:rsidP="00910972">
    <w:pPr>
      <w:pStyle w:val="Footer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F04860" w14:textId="7F0E3AE9" w:rsidR="003A7A14" w:rsidRPr="00910972" w:rsidRDefault="003A7A14" w:rsidP="00910972">
    <w:pPr>
      <w:pStyle w:val="Footer"/>
    </w:pPr>
    <w:r>
      <w:t xml:space="preserve">EESC-2022-03184-00-00-TCD-TRA (EN) </w:t>
    </w:r>
    <w:r>
      <w:fldChar w:fldCharType="begin"/>
    </w:r>
    <w:r>
      <w:instrText xml:space="preserve"> PAGE  \* Arabic  \* MERGEFORMAT </w:instrText>
    </w:r>
    <w:r>
      <w:fldChar w:fldCharType="separate"/>
    </w:r>
    <w:r w:rsidR="00DC52F2">
      <w:rPr>
        <w:noProof/>
      </w:rPr>
      <w:t>21</w:t>
    </w:r>
    <w:r>
      <w:fldChar w:fldCharType="end"/>
    </w:r>
    <w:r>
      <w:t>/</w:t>
    </w:r>
    <w:r w:rsidR="00544E97">
      <w:fldChar w:fldCharType="begin"/>
    </w:r>
    <w:r w:rsidR="00544E97">
      <w:instrText xml:space="preserve"> NUMPAGES </w:instrText>
    </w:r>
    <w:r w:rsidR="00544E97">
      <w:fldChar w:fldCharType="separate"/>
    </w:r>
    <w:r w:rsidR="00DC52F2">
      <w:rPr>
        <w:noProof/>
      </w:rPr>
      <w:t>28</w:t>
    </w:r>
    <w:r w:rsidR="00544E97">
      <w:rPr>
        <w:noProof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9FE62D" w14:textId="77777777" w:rsidR="003A7A14" w:rsidRPr="00910972" w:rsidRDefault="003A7A14" w:rsidP="0091097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660787" w14:textId="77777777" w:rsidR="003A7A14" w:rsidRDefault="003A7A14" w:rsidP="003B0516">
      <w:pPr>
        <w:spacing w:line="240" w:lineRule="auto"/>
      </w:pPr>
      <w:r>
        <w:separator/>
      </w:r>
    </w:p>
  </w:footnote>
  <w:footnote w:type="continuationSeparator" w:id="0">
    <w:p w14:paraId="7CEDF243" w14:textId="77777777" w:rsidR="003A7A14" w:rsidRDefault="003A7A14" w:rsidP="003B051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39653A" w14:textId="77777777" w:rsidR="003A7A14" w:rsidRPr="00910972" w:rsidRDefault="003A7A14" w:rsidP="0091097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68E1A2" w14:textId="548A34A6" w:rsidR="003A7A14" w:rsidRPr="00910972" w:rsidRDefault="003A7A14" w:rsidP="0091097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C636A" w14:textId="77777777" w:rsidR="003A7A14" w:rsidRPr="00910972" w:rsidRDefault="003A7A14" w:rsidP="00910972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B69DF2" w14:textId="77777777" w:rsidR="003A7A14" w:rsidRPr="00910972" w:rsidRDefault="003A7A14" w:rsidP="00910972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094FBA" w14:textId="0C1C1FB3" w:rsidR="003A7A14" w:rsidRPr="00910972" w:rsidRDefault="003A7A14" w:rsidP="00910972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35E7F" w14:textId="77777777" w:rsidR="003A7A14" w:rsidRPr="00910972" w:rsidRDefault="003A7A14" w:rsidP="0091097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C7ACE32"/>
    <w:lvl w:ilvl="0">
      <w:start w:val="1"/>
      <w:numFmt w:val="decimal"/>
      <w:pStyle w:val="Heading1"/>
      <w:lvlText w:val="%1."/>
      <w:lvlJc w:val="left"/>
      <w:pPr>
        <w:ind w:left="0" w:firstLine="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Heading2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D95438D"/>
    <w:multiLevelType w:val="singleLevel"/>
    <w:tmpl w:val="08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0E185D1A"/>
    <w:multiLevelType w:val="hybridMultilevel"/>
    <w:tmpl w:val="F45E578C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D4193E"/>
    <w:multiLevelType w:val="hybridMultilevel"/>
    <w:tmpl w:val="0534E460"/>
    <w:lvl w:ilvl="0" w:tplc="08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D0190"/>
    <w:multiLevelType w:val="hybridMultilevel"/>
    <w:tmpl w:val="540225C6"/>
    <w:lvl w:ilvl="0" w:tplc="08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5CE609E"/>
    <w:multiLevelType w:val="hybridMultilevel"/>
    <w:tmpl w:val="A9E2E08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583FAE"/>
    <w:multiLevelType w:val="hybridMultilevel"/>
    <w:tmpl w:val="49B05486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5935A71"/>
    <w:multiLevelType w:val="hybridMultilevel"/>
    <w:tmpl w:val="C9DC9BDC"/>
    <w:lvl w:ilvl="0" w:tplc="0F1045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724ED4"/>
    <w:multiLevelType w:val="singleLevel"/>
    <w:tmpl w:val="080C000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1D026E9"/>
    <w:multiLevelType w:val="hybridMultilevel"/>
    <w:tmpl w:val="C2A4AF8C"/>
    <w:lvl w:ilvl="0" w:tplc="08090005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1F42C0"/>
    <w:multiLevelType w:val="hybridMultilevel"/>
    <w:tmpl w:val="207A7068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69E014D1"/>
    <w:multiLevelType w:val="hybridMultilevel"/>
    <w:tmpl w:val="C20011AA"/>
    <w:lvl w:ilvl="0" w:tplc="2AEC052C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2" w15:restartNumberingAfterBreak="0">
    <w:nsid w:val="767D7BDC"/>
    <w:multiLevelType w:val="hybridMultilevel"/>
    <w:tmpl w:val="948AFA3C"/>
    <w:lvl w:ilvl="0" w:tplc="89029AA0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27257"/>
    <w:multiLevelType w:val="hybridMultilevel"/>
    <w:tmpl w:val="4F50226C"/>
    <w:lvl w:ilvl="0" w:tplc="5F48E7FA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2"/>
  </w:num>
  <w:num w:numId="4">
    <w:abstractNumId w:val="1"/>
  </w:num>
  <w:num w:numId="5">
    <w:abstractNumId w:val="8"/>
  </w:num>
  <w:num w:numId="6">
    <w:abstractNumId w:val="5"/>
  </w:num>
  <w:num w:numId="7">
    <w:abstractNumId w:val="2"/>
  </w:num>
  <w:num w:numId="8">
    <w:abstractNumId w:val="4"/>
  </w:num>
  <w:num w:numId="9">
    <w:abstractNumId w:val="3"/>
  </w:num>
  <w:num w:numId="10">
    <w:abstractNumId w:val="13"/>
  </w:num>
  <w:num w:numId="11">
    <w:abstractNumId w:val="6"/>
  </w:num>
  <w:num w:numId="12">
    <w:abstractNumId w:val="10"/>
  </w:num>
  <w:num w:numId="13">
    <w:abstractNumId w:val="0"/>
  </w:num>
  <w:num w:numId="14">
    <w:abstractNumId w:val="0"/>
  </w:num>
  <w:num w:numId="15">
    <w:abstractNumId w:val="9"/>
  </w:num>
  <w:num w:numId="16">
    <w:abstractNumId w:val="7"/>
  </w:num>
  <w:num w:numId="17">
    <w:abstractNumId w:val="0"/>
  </w:num>
  <w:num w:numId="18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fr-BE" w:vendorID="64" w:dllVersion="6" w:nlCheck="1" w:checkStyle="0"/>
  <w:activeWritingStyle w:appName="MSWord" w:lang="en-GB" w:vendorID="64" w:dllVersion="6" w:nlCheck="1" w:checkStyle="0"/>
  <w:activeWritingStyle w:appName="MSWord" w:lang="fr-FR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0"/>
  <w:activeWritingStyle w:appName="MSWord" w:lang="pt-PT" w:vendorID="64" w:dllVersion="6" w:nlCheck="1" w:checkStyle="0"/>
  <w:activeWritingStyle w:appName="MSWord" w:lang="de-DE" w:vendorID="64" w:dllVersion="6" w:nlCheck="1" w:checkStyle="0"/>
  <w:activeWritingStyle w:appName="MSWord" w:lang="nl-BE" w:vendorID="64" w:dllVersion="6" w:nlCheck="1" w:checkStyle="0"/>
  <w:activeWritingStyle w:appName="MSWord" w:lang="it-IT" w:vendorID="64" w:dllVersion="6" w:nlCheck="1" w:checkStyle="0"/>
  <w:activeWritingStyle w:appName="MSWord" w:lang="es-ES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pt-PT" w:vendorID="64" w:dllVersion="4096" w:nlCheck="1" w:checkStyle="0"/>
  <w:activeWritingStyle w:appName="MSWord" w:lang="fr-FR" w:vendorID="64" w:dllVersion="4096" w:nlCheck="1" w:checkStyle="0"/>
  <w:activeWritingStyle w:appName="MSWord" w:lang="fr-BE" w:vendorID="64" w:dllVersion="4096" w:nlCheck="1" w:checkStyle="0"/>
  <w:activeWritingStyle w:appName="MSWord" w:lang="es-ES" w:vendorID="64" w:dllVersion="4096" w:nlCheck="1" w:checkStyle="0"/>
  <w:activeWritingStyle w:appName="MSWord" w:lang="it-IT" w:vendorID="64" w:dllVersion="4096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pt-PT" w:vendorID="64" w:dllVersion="131078" w:nlCheck="1" w:checkStyle="0"/>
  <w:activeWritingStyle w:appName="MSWord" w:lang="es-ES" w:vendorID="64" w:dllVersion="131078" w:nlCheck="1" w:checkStyle="0"/>
  <w:activeWritingStyle w:appName="MSWord" w:lang="fr-BE" w:vendorID="64" w:dllVersion="131078" w:nlCheck="1" w:checkStyle="0"/>
  <w:activeWritingStyle w:appName="MSWord" w:lang="fr-FR" w:vendorID="64" w:dllVersion="131078" w:nlCheck="1" w:checkStyle="0"/>
  <w:activeWritingStyle w:appName="MSWord" w:lang="it-IT" w:vendorID="64" w:dllVersion="131078" w:nlCheck="1" w:checkStyle="0"/>
  <w:activeWritingStyle w:appName="MSWord" w:lang="nl-BE" w:vendorID="64" w:dllVersion="131078" w:nlCheck="1" w:checkStyle="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AC0"/>
    <w:rsid w:val="00014C93"/>
    <w:rsid w:val="00015E18"/>
    <w:rsid w:val="000232FA"/>
    <w:rsid w:val="0002450A"/>
    <w:rsid w:val="00027072"/>
    <w:rsid w:val="00032038"/>
    <w:rsid w:val="0003271A"/>
    <w:rsid w:val="00032BAA"/>
    <w:rsid w:val="00034E35"/>
    <w:rsid w:val="000402AE"/>
    <w:rsid w:val="00041C4A"/>
    <w:rsid w:val="0004205F"/>
    <w:rsid w:val="000421E0"/>
    <w:rsid w:val="0005170F"/>
    <w:rsid w:val="00055D63"/>
    <w:rsid w:val="00056079"/>
    <w:rsid w:val="00056B3E"/>
    <w:rsid w:val="0005760F"/>
    <w:rsid w:val="00063DFF"/>
    <w:rsid w:val="00064EDE"/>
    <w:rsid w:val="00070FEE"/>
    <w:rsid w:val="0007146F"/>
    <w:rsid w:val="00071F4C"/>
    <w:rsid w:val="000764E8"/>
    <w:rsid w:val="00076BA9"/>
    <w:rsid w:val="00083845"/>
    <w:rsid w:val="000911BF"/>
    <w:rsid w:val="00092425"/>
    <w:rsid w:val="000951A1"/>
    <w:rsid w:val="000956DB"/>
    <w:rsid w:val="00096786"/>
    <w:rsid w:val="000A007B"/>
    <w:rsid w:val="000A03BD"/>
    <w:rsid w:val="000A1218"/>
    <w:rsid w:val="000A74DC"/>
    <w:rsid w:val="000A7BA8"/>
    <w:rsid w:val="000B19C4"/>
    <w:rsid w:val="000C3942"/>
    <w:rsid w:val="000C43E2"/>
    <w:rsid w:val="000C6D0B"/>
    <w:rsid w:val="000D2F8F"/>
    <w:rsid w:val="000D65AC"/>
    <w:rsid w:val="000E5FFD"/>
    <w:rsid w:val="000E6108"/>
    <w:rsid w:val="000F53B7"/>
    <w:rsid w:val="000F679A"/>
    <w:rsid w:val="001000A8"/>
    <w:rsid w:val="001167A1"/>
    <w:rsid w:val="00116A1C"/>
    <w:rsid w:val="001179DB"/>
    <w:rsid w:val="00117AA8"/>
    <w:rsid w:val="00124D7C"/>
    <w:rsid w:val="00126CBC"/>
    <w:rsid w:val="001271C3"/>
    <w:rsid w:val="001400C7"/>
    <w:rsid w:val="001445A7"/>
    <w:rsid w:val="001455A1"/>
    <w:rsid w:val="00150AD8"/>
    <w:rsid w:val="001513FD"/>
    <w:rsid w:val="00163106"/>
    <w:rsid w:val="00164813"/>
    <w:rsid w:val="001744F9"/>
    <w:rsid w:val="00174763"/>
    <w:rsid w:val="0018231C"/>
    <w:rsid w:val="00182F92"/>
    <w:rsid w:val="00191597"/>
    <w:rsid w:val="001951FD"/>
    <w:rsid w:val="001A0AD4"/>
    <w:rsid w:val="001A2273"/>
    <w:rsid w:val="001B10DA"/>
    <w:rsid w:val="001B6460"/>
    <w:rsid w:val="001C4EDC"/>
    <w:rsid w:val="001C5D5C"/>
    <w:rsid w:val="001D1F54"/>
    <w:rsid w:val="001D2636"/>
    <w:rsid w:val="001D6FFF"/>
    <w:rsid w:val="001D770D"/>
    <w:rsid w:val="001E0F0C"/>
    <w:rsid w:val="001E2286"/>
    <w:rsid w:val="001E6413"/>
    <w:rsid w:val="001F1433"/>
    <w:rsid w:val="001F1862"/>
    <w:rsid w:val="001F22AC"/>
    <w:rsid w:val="001F56CE"/>
    <w:rsid w:val="001F6FD5"/>
    <w:rsid w:val="00200222"/>
    <w:rsid w:val="0020062C"/>
    <w:rsid w:val="002037FC"/>
    <w:rsid w:val="002043D7"/>
    <w:rsid w:val="002043F8"/>
    <w:rsid w:val="00215520"/>
    <w:rsid w:val="0021590B"/>
    <w:rsid w:val="00215FAB"/>
    <w:rsid w:val="00224583"/>
    <w:rsid w:val="00225BCA"/>
    <w:rsid w:val="00225C52"/>
    <w:rsid w:val="00226DC1"/>
    <w:rsid w:val="00227E12"/>
    <w:rsid w:val="00232374"/>
    <w:rsid w:val="002328D2"/>
    <w:rsid w:val="00237481"/>
    <w:rsid w:val="00242666"/>
    <w:rsid w:val="00247E02"/>
    <w:rsid w:val="00255669"/>
    <w:rsid w:val="00256F0A"/>
    <w:rsid w:val="00261FDB"/>
    <w:rsid w:val="00270828"/>
    <w:rsid w:val="002737D4"/>
    <w:rsid w:val="00276CC9"/>
    <w:rsid w:val="002776B9"/>
    <w:rsid w:val="00291154"/>
    <w:rsid w:val="00292D44"/>
    <w:rsid w:val="00293E9C"/>
    <w:rsid w:val="002A2F38"/>
    <w:rsid w:val="002A417C"/>
    <w:rsid w:val="002A6192"/>
    <w:rsid w:val="002A696A"/>
    <w:rsid w:val="002B09A7"/>
    <w:rsid w:val="002B1961"/>
    <w:rsid w:val="002B2BA3"/>
    <w:rsid w:val="002B5031"/>
    <w:rsid w:val="002B75A5"/>
    <w:rsid w:val="002B7981"/>
    <w:rsid w:val="002C0E2F"/>
    <w:rsid w:val="002C1BC2"/>
    <w:rsid w:val="002C2466"/>
    <w:rsid w:val="002C24B9"/>
    <w:rsid w:val="002C2B80"/>
    <w:rsid w:val="002C4B6E"/>
    <w:rsid w:val="002C5F52"/>
    <w:rsid w:val="002D4C38"/>
    <w:rsid w:val="002E01B5"/>
    <w:rsid w:val="002E44D6"/>
    <w:rsid w:val="002E459D"/>
    <w:rsid w:val="002E5473"/>
    <w:rsid w:val="002F32E6"/>
    <w:rsid w:val="002F63EB"/>
    <w:rsid w:val="00305834"/>
    <w:rsid w:val="00311562"/>
    <w:rsid w:val="003123CB"/>
    <w:rsid w:val="003129D6"/>
    <w:rsid w:val="003165A9"/>
    <w:rsid w:val="0032266E"/>
    <w:rsid w:val="003227CC"/>
    <w:rsid w:val="00323A05"/>
    <w:rsid w:val="00326919"/>
    <w:rsid w:val="00331ACB"/>
    <w:rsid w:val="00331C12"/>
    <w:rsid w:val="00333F1A"/>
    <w:rsid w:val="00340F46"/>
    <w:rsid w:val="00342F72"/>
    <w:rsid w:val="00350A12"/>
    <w:rsid w:val="00350F5C"/>
    <w:rsid w:val="003527B4"/>
    <w:rsid w:val="00361E48"/>
    <w:rsid w:val="0036641A"/>
    <w:rsid w:val="00370CCB"/>
    <w:rsid w:val="00373966"/>
    <w:rsid w:val="00376574"/>
    <w:rsid w:val="00394949"/>
    <w:rsid w:val="00396061"/>
    <w:rsid w:val="003965BB"/>
    <w:rsid w:val="003A0DB7"/>
    <w:rsid w:val="003A7A14"/>
    <w:rsid w:val="003B0516"/>
    <w:rsid w:val="003B3C5F"/>
    <w:rsid w:val="003B3D68"/>
    <w:rsid w:val="003B6760"/>
    <w:rsid w:val="003C07C5"/>
    <w:rsid w:val="003C2647"/>
    <w:rsid w:val="003C4D5B"/>
    <w:rsid w:val="003D33F7"/>
    <w:rsid w:val="003D4F68"/>
    <w:rsid w:val="003D57BD"/>
    <w:rsid w:val="003D76E2"/>
    <w:rsid w:val="003E2757"/>
    <w:rsid w:val="003E5137"/>
    <w:rsid w:val="003E692C"/>
    <w:rsid w:val="003F0159"/>
    <w:rsid w:val="003F2D36"/>
    <w:rsid w:val="003F510A"/>
    <w:rsid w:val="003F6382"/>
    <w:rsid w:val="0040019C"/>
    <w:rsid w:val="00400A1F"/>
    <w:rsid w:val="00403406"/>
    <w:rsid w:val="004047B1"/>
    <w:rsid w:val="00405FD9"/>
    <w:rsid w:val="00407760"/>
    <w:rsid w:val="00426ECD"/>
    <w:rsid w:val="004331B4"/>
    <w:rsid w:val="00441E45"/>
    <w:rsid w:val="004511AE"/>
    <w:rsid w:val="00456E3C"/>
    <w:rsid w:val="00462B31"/>
    <w:rsid w:val="00463300"/>
    <w:rsid w:val="004646AF"/>
    <w:rsid w:val="0046631E"/>
    <w:rsid w:val="00470719"/>
    <w:rsid w:val="00472A79"/>
    <w:rsid w:val="00472E72"/>
    <w:rsid w:val="004755C3"/>
    <w:rsid w:val="0048695C"/>
    <w:rsid w:val="004904F9"/>
    <w:rsid w:val="0049347F"/>
    <w:rsid w:val="004A46D9"/>
    <w:rsid w:val="004A5CD7"/>
    <w:rsid w:val="004B344F"/>
    <w:rsid w:val="004B7248"/>
    <w:rsid w:val="004B72DD"/>
    <w:rsid w:val="004C1E12"/>
    <w:rsid w:val="004C2872"/>
    <w:rsid w:val="004C40E4"/>
    <w:rsid w:val="004D2E64"/>
    <w:rsid w:val="004D65FF"/>
    <w:rsid w:val="004D7AC0"/>
    <w:rsid w:val="004F2430"/>
    <w:rsid w:val="004F68A8"/>
    <w:rsid w:val="00502B04"/>
    <w:rsid w:val="00502C82"/>
    <w:rsid w:val="005030F7"/>
    <w:rsid w:val="00530644"/>
    <w:rsid w:val="00533BF2"/>
    <w:rsid w:val="0053502B"/>
    <w:rsid w:val="0054010D"/>
    <w:rsid w:val="00542C6F"/>
    <w:rsid w:val="00546842"/>
    <w:rsid w:val="005475DA"/>
    <w:rsid w:val="00550800"/>
    <w:rsid w:val="00554499"/>
    <w:rsid w:val="00555A39"/>
    <w:rsid w:val="00560174"/>
    <w:rsid w:val="00564924"/>
    <w:rsid w:val="00565C6E"/>
    <w:rsid w:val="00571FEB"/>
    <w:rsid w:val="00577672"/>
    <w:rsid w:val="00582A42"/>
    <w:rsid w:val="00584D91"/>
    <w:rsid w:val="0058593B"/>
    <w:rsid w:val="00586B4B"/>
    <w:rsid w:val="00590BDD"/>
    <w:rsid w:val="00594140"/>
    <w:rsid w:val="0059551E"/>
    <w:rsid w:val="005A3E6D"/>
    <w:rsid w:val="005A755F"/>
    <w:rsid w:val="005B0E27"/>
    <w:rsid w:val="005B3012"/>
    <w:rsid w:val="005C0363"/>
    <w:rsid w:val="005C7C47"/>
    <w:rsid w:val="005D621C"/>
    <w:rsid w:val="005D6E4D"/>
    <w:rsid w:val="005D7939"/>
    <w:rsid w:val="005E23CD"/>
    <w:rsid w:val="005E2C02"/>
    <w:rsid w:val="005E56F3"/>
    <w:rsid w:val="005E682E"/>
    <w:rsid w:val="005F4FFC"/>
    <w:rsid w:val="005F78D7"/>
    <w:rsid w:val="005F7E48"/>
    <w:rsid w:val="00600A25"/>
    <w:rsid w:val="006025C9"/>
    <w:rsid w:val="006119BD"/>
    <w:rsid w:val="00613467"/>
    <w:rsid w:val="0061692F"/>
    <w:rsid w:val="0062138E"/>
    <w:rsid w:val="00622822"/>
    <w:rsid w:val="00624785"/>
    <w:rsid w:val="00627B8F"/>
    <w:rsid w:val="00630047"/>
    <w:rsid w:val="00630928"/>
    <w:rsid w:val="00631509"/>
    <w:rsid w:val="00632139"/>
    <w:rsid w:val="006324DA"/>
    <w:rsid w:val="006334BE"/>
    <w:rsid w:val="00640656"/>
    <w:rsid w:val="00641262"/>
    <w:rsid w:val="00645723"/>
    <w:rsid w:val="00650DB1"/>
    <w:rsid w:val="006568C8"/>
    <w:rsid w:val="006604D8"/>
    <w:rsid w:val="00662436"/>
    <w:rsid w:val="006669FA"/>
    <w:rsid w:val="00666A72"/>
    <w:rsid w:val="00670347"/>
    <w:rsid w:val="00675177"/>
    <w:rsid w:val="00681B23"/>
    <w:rsid w:val="0068241A"/>
    <w:rsid w:val="006849A6"/>
    <w:rsid w:val="00691356"/>
    <w:rsid w:val="006967AE"/>
    <w:rsid w:val="006A3A88"/>
    <w:rsid w:val="006A42C1"/>
    <w:rsid w:val="006A5AA8"/>
    <w:rsid w:val="006B106B"/>
    <w:rsid w:val="006B265F"/>
    <w:rsid w:val="006C3FDB"/>
    <w:rsid w:val="006C4311"/>
    <w:rsid w:val="006C4ED2"/>
    <w:rsid w:val="006D32E3"/>
    <w:rsid w:val="006D4847"/>
    <w:rsid w:val="006D6086"/>
    <w:rsid w:val="006E0E88"/>
    <w:rsid w:val="006E3078"/>
    <w:rsid w:val="006E3F60"/>
    <w:rsid w:val="006E6434"/>
    <w:rsid w:val="006F3409"/>
    <w:rsid w:val="00700030"/>
    <w:rsid w:val="007037CE"/>
    <w:rsid w:val="00704C1E"/>
    <w:rsid w:val="00705674"/>
    <w:rsid w:val="007105B2"/>
    <w:rsid w:val="007150C5"/>
    <w:rsid w:val="00715A60"/>
    <w:rsid w:val="00720D22"/>
    <w:rsid w:val="00721342"/>
    <w:rsid w:val="00721386"/>
    <w:rsid w:val="00727B0D"/>
    <w:rsid w:val="007327CD"/>
    <w:rsid w:val="00732CC4"/>
    <w:rsid w:val="00733A55"/>
    <w:rsid w:val="00735256"/>
    <w:rsid w:val="0074379C"/>
    <w:rsid w:val="00745EAA"/>
    <w:rsid w:val="00746B35"/>
    <w:rsid w:val="0075250B"/>
    <w:rsid w:val="00753F2A"/>
    <w:rsid w:val="00760B02"/>
    <w:rsid w:val="00760C0A"/>
    <w:rsid w:val="0076429F"/>
    <w:rsid w:val="00765C4F"/>
    <w:rsid w:val="00771110"/>
    <w:rsid w:val="00775FDA"/>
    <w:rsid w:val="0077736D"/>
    <w:rsid w:val="00781B32"/>
    <w:rsid w:val="007830DD"/>
    <w:rsid w:val="00785F4A"/>
    <w:rsid w:val="007A0970"/>
    <w:rsid w:val="007A1548"/>
    <w:rsid w:val="007B21C5"/>
    <w:rsid w:val="007B231B"/>
    <w:rsid w:val="007B4C38"/>
    <w:rsid w:val="007B7C40"/>
    <w:rsid w:val="007C11A7"/>
    <w:rsid w:val="007C58EF"/>
    <w:rsid w:val="007C7CE2"/>
    <w:rsid w:val="007D42D1"/>
    <w:rsid w:val="007D5174"/>
    <w:rsid w:val="007E0CE8"/>
    <w:rsid w:val="007E3FFA"/>
    <w:rsid w:val="007E70D2"/>
    <w:rsid w:val="007E7A4F"/>
    <w:rsid w:val="007E7DE3"/>
    <w:rsid w:val="007F0BB7"/>
    <w:rsid w:val="007F2119"/>
    <w:rsid w:val="007F7DBA"/>
    <w:rsid w:val="00804736"/>
    <w:rsid w:val="0080501D"/>
    <w:rsid w:val="00812594"/>
    <w:rsid w:val="00813A00"/>
    <w:rsid w:val="00814E33"/>
    <w:rsid w:val="008159E1"/>
    <w:rsid w:val="008172B0"/>
    <w:rsid w:val="00822ED8"/>
    <w:rsid w:val="00824647"/>
    <w:rsid w:val="00824DCF"/>
    <w:rsid w:val="0082509A"/>
    <w:rsid w:val="00827B0E"/>
    <w:rsid w:val="008327B1"/>
    <w:rsid w:val="00833E27"/>
    <w:rsid w:val="00841374"/>
    <w:rsid w:val="00842465"/>
    <w:rsid w:val="00842BDD"/>
    <w:rsid w:val="00842C71"/>
    <w:rsid w:val="00844B87"/>
    <w:rsid w:val="0085096C"/>
    <w:rsid w:val="00855196"/>
    <w:rsid w:val="00855772"/>
    <w:rsid w:val="0086045C"/>
    <w:rsid w:val="008608BA"/>
    <w:rsid w:val="00861942"/>
    <w:rsid w:val="00861D96"/>
    <w:rsid w:val="00862DC9"/>
    <w:rsid w:val="0086458A"/>
    <w:rsid w:val="008737C0"/>
    <w:rsid w:val="008745F7"/>
    <w:rsid w:val="00881E9B"/>
    <w:rsid w:val="0088219D"/>
    <w:rsid w:val="0088465F"/>
    <w:rsid w:val="00884879"/>
    <w:rsid w:val="008854AE"/>
    <w:rsid w:val="00886448"/>
    <w:rsid w:val="008946BF"/>
    <w:rsid w:val="008A4C14"/>
    <w:rsid w:val="008A7E03"/>
    <w:rsid w:val="008B2544"/>
    <w:rsid w:val="008B26C6"/>
    <w:rsid w:val="008B2708"/>
    <w:rsid w:val="008B66DD"/>
    <w:rsid w:val="008B72DD"/>
    <w:rsid w:val="008C18DE"/>
    <w:rsid w:val="008D2131"/>
    <w:rsid w:val="008D5213"/>
    <w:rsid w:val="008E0C2F"/>
    <w:rsid w:val="008E5076"/>
    <w:rsid w:val="008E6D48"/>
    <w:rsid w:val="008F1627"/>
    <w:rsid w:val="00900BFC"/>
    <w:rsid w:val="009049FC"/>
    <w:rsid w:val="00910972"/>
    <w:rsid w:val="009109F5"/>
    <w:rsid w:val="00912E0E"/>
    <w:rsid w:val="00912F6B"/>
    <w:rsid w:val="00914265"/>
    <w:rsid w:val="009173E7"/>
    <w:rsid w:val="009177FF"/>
    <w:rsid w:val="00931584"/>
    <w:rsid w:val="00934472"/>
    <w:rsid w:val="00942238"/>
    <w:rsid w:val="0094733C"/>
    <w:rsid w:val="00947E08"/>
    <w:rsid w:val="0095081D"/>
    <w:rsid w:val="0095386D"/>
    <w:rsid w:val="0095396D"/>
    <w:rsid w:val="0096099A"/>
    <w:rsid w:val="00961956"/>
    <w:rsid w:val="00961F3C"/>
    <w:rsid w:val="0096721E"/>
    <w:rsid w:val="00970971"/>
    <w:rsid w:val="00971495"/>
    <w:rsid w:val="0097659B"/>
    <w:rsid w:val="00986C7F"/>
    <w:rsid w:val="00987507"/>
    <w:rsid w:val="009954A1"/>
    <w:rsid w:val="009A03B0"/>
    <w:rsid w:val="009B0E36"/>
    <w:rsid w:val="009B2ADD"/>
    <w:rsid w:val="009B37E5"/>
    <w:rsid w:val="009B70E7"/>
    <w:rsid w:val="009B72AB"/>
    <w:rsid w:val="009C513E"/>
    <w:rsid w:val="009C574C"/>
    <w:rsid w:val="009C75E4"/>
    <w:rsid w:val="009D07F4"/>
    <w:rsid w:val="009D1CA2"/>
    <w:rsid w:val="009D2CD0"/>
    <w:rsid w:val="009D388E"/>
    <w:rsid w:val="009D5CC6"/>
    <w:rsid w:val="009E4E92"/>
    <w:rsid w:val="009E6BA2"/>
    <w:rsid w:val="009E70A3"/>
    <w:rsid w:val="009E7942"/>
    <w:rsid w:val="009F3BC5"/>
    <w:rsid w:val="009F5F78"/>
    <w:rsid w:val="009F706B"/>
    <w:rsid w:val="00A0410F"/>
    <w:rsid w:val="00A048E9"/>
    <w:rsid w:val="00A049D5"/>
    <w:rsid w:val="00A06E9E"/>
    <w:rsid w:val="00A10A98"/>
    <w:rsid w:val="00A20E9D"/>
    <w:rsid w:val="00A30792"/>
    <w:rsid w:val="00A30B84"/>
    <w:rsid w:val="00A3344B"/>
    <w:rsid w:val="00A37880"/>
    <w:rsid w:val="00A45EC3"/>
    <w:rsid w:val="00A46122"/>
    <w:rsid w:val="00A51F03"/>
    <w:rsid w:val="00A522D4"/>
    <w:rsid w:val="00A5507B"/>
    <w:rsid w:val="00A62F57"/>
    <w:rsid w:val="00A63413"/>
    <w:rsid w:val="00A6556C"/>
    <w:rsid w:val="00A659B5"/>
    <w:rsid w:val="00A661BB"/>
    <w:rsid w:val="00A720CF"/>
    <w:rsid w:val="00A74B4C"/>
    <w:rsid w:val="00A763E7"/>
    <w:rsid w:val="00A827D2"/>
    <w:rsid w:val="00A86E2C"/>
    <w:rsid w:val="00A9462E"/>
    <w:rsid w:val="00A94E45"/>
    <w:rsid w:val="00AA05F8"/>
    <w:rsid w:val="00AA5C61"/>
    <w:rsid w:val="00AA69BF"/>
    <w:rsid w:val="00AB3045"/>
    <w:rsid w:val="00AB4D68"/>
    <w:rsid w:val="00AB72EB"/>
    <w:rsid w:val="00AC567A"/>
    <w:rsid w:val="00AC7690"/>
    <w:rsid w:val="00AD1524"/>
    <w:rsid w:val="00AD3DB1"/>
    <w:rsid w:val="00AD6708"/>
    <w:rsid w:val="00AE0A52"/>
    <w:rsid w:val="00AE2E3C"/>
    <w:rsid w:val="00AF2C37"/>
    <w:rsid w:val="00AF45AD"/>
    <w:rsid w:val="00AF4F10"/>
    <w:rsid w:val="00B0753C"/>
    <w:rsid w:val="00B11964"/>
    <w:rsid w:val="00B13B9C"/>
    <w:rsid w:val="00B24B60"/>
    <w:rsid w:val="00B24C28"/>
    <w:rsid w:val="00B30118"/>
    <w:rsid w:val="00B34E93"/>
    <w:rsid w:val="00B35908"/>
    <w:rsid w:val="00B40093"/>
    <w:rsid w:val="00B40158"/>
    <w:rsid w:val="00B41E79"/>
    <w:rsid w:val="00B42F7B"/>
    <w:rsid w:val="00B4330A"/>
    <w:rsid w:val="00B44BB9"/>
    <w:rsid w:val="00B44E37"/>
    <w:rsid w:val="00B4522B"/>
    <w:rsid w:val="00B51AF6"/>
    <w:rsid w:val="00B51B20"/>
    <w:rsid w:val="00B51EBC"/>
    <w:rsid w:val="00B5317E"/>
    <w:rsid w:val="00B53791"/>
    <w:rsid w:val="00B539C0"/>
    <w:rsid w:val="00B53E01"/>
    <w:rsid w:val="00B54D49"/>
    <w:rsid w:val="00B56041"/>
    <w:rsid w:val="00B61819"/>
    <w:rsid w:val="00B62D22"/>
    <w:rsid w:val="00B656FE"/>
    <w:rsid w:val="00B7530C"/>
    <w:rsid w:val="00B76922"/>
    <w:rsid w:val="00B83E7B"/>
    <w:rsid w:val="00B85573"/>
    <w:rsid w:val="00B876EC"/>
    <w:rsid w:val="00B92B86"/>
    <w:rsid w:val="00B97AA6"/>
    <w:rsid w:val="00BA051D"/>
    <w:rsid w:val="00BA579D"/>
    <w:rsid w:val="00BB054C"/>
    <w:rsid w:val="00BB1EE2"/>
    <w:rsid w:val="00BB37C1"/>
    <w:rsid w:val="00BB3A55"/>
    <w:rsid w:val="00BB739D"/>
    <w:rsid w:val="00BC1767"/>
    <w:rsid w:val="00BC29C8"/>
    <w:rsid w:val="00BC3670"/>
    <w:rsid w:val="00BC375B"/>
    <w:rsid w:val="00BC3FCE"/>
    <w:rsid w:val="00BC41D9"/>
    <w:rsid w:val="00BD4DBF"/>
    <w:rsid w:val="00BD6E79"/>
    <w:rsid w:val="00BD7550"/>
    <w:rsid w:val="00BD7A8C"/>
    <w:rsid w:val="00BE12B3"/>
    <w:rsid w:val="00BE5754"/>
    <w:rsid w:val="00BE6D5A"/>
    <w:rsid w:val="00BF27C9"/>
    <w:rsid w:val="00BF5C7D"/>
    <w:rsid w:val="00BF6653"/>
    <w:rsid w:val="00C00B1F"/>
    <w:rsid w:val="00C0119D"/>
    <w:rsid w:val="00C10C77"/>
    <w:rsid w:val="00C23683"/>
    <w:rsid w:val="00C259DF"/>
    <w:rsid w:val="00C25DB3"/>
    <w:rsid w:val="00C331A1"/>
    <w:rsid w:val="00C34B35"/>
    <w:rsid w:val="00C445FE"/>
    <w:rsid w:val="00C44A5C"/>
    <w:rsid w:val="00C46E4F"/>
    <w:rsid w:val="00C554BB"/>
    <w:rsid w:val="00C600B5"/>
    <w:rsid w:val="00C60AE2"/>
    <w:rsid w:val="00C61E75"/>
    <w:rsid w:val="00C677AD"/>
    <w:rsid w:val="00C752C7"/>
    <w:rsid w:val="00C7574C"/>
    <w:rsid w:val="00C76C46"/>
    <w:rsid w:val="00C76D56"/>
    <w:rsid w:val="00C834A5"/>
    <w:rsid w:val="00C8431E"/>
    <w:rsid w:val="00C86F74"/>
    <w:rsid w:val="00C92102"/>
    <w:rsid w:val="00C95751"/>
    <w:rsid w:val="00C9679B"/>
    <w:rsid w:val="00C96BF2"/>
    <w:rsid w:val="00C97966"/>
    <w:rsid w:val="00CA3848"/>
    <w:rsid w:val="00CA685D"/>
    <w:rsid w:val="00CB0AEA"/>
    <w:rsid w:val="00CB0CBA"/>
    <w:rsid w:val="00CB1D03"/>
    <w:rsid w:val="00CB2A8A"/>
    <w:rsid w:val="00CB3335"/>
    <w:rsid w:val="00CB3574"/>
    <w:rsid w:val="00CB4448"/>
    <w:rsid w:val="00CB6509"/>
    <w:rsid w:val="00CC25F9"/>
    <w:rsid w:val="00CD1982"/>
    <w:rsid w:val="00CD7E1B"/>
    <w:rsid w:val="00CD7F66"/>
    <w:rsid w:val="00CE23CC"/>
    <w:rsid w:val="00CE48CB"/>
    <w:rsid w:val="00CF2F88"/>
    <w:rsid w:val="00CF3D01"/>
    <w:rsid w:val="00CF5AC7"/>
    <w:rsid w:val="00CF7F58"/>
    <w:rsid w:val="00D0023B"/>
    <w:rsid w:val="00D007F3"/>
    <w:rsid w:val="00D00BF8"/>
    <w:rsid w:val="00D014A8"/>
    <w:rsid w:val="00D04678"/>
    <w:rsid w:val="00D13F40"/>
    <w:rsid w:val="00D205F2"/>
    <w:rsid w:val="00D20C54"/>
    <w:rsid w:val="00D243A3"/>
    <w:rsid w:val="00D24601"/>
    <w:rsid w:val="00D327F0"/>
    <w:rsid w:val="00D35512"/>
    <w:rsid w:val="00D35C97"/>
    <w:rsid w:val="00D41F72"/>
    <w:rsid w:val="00D423EB"/>
    <w:rsid w:val="00D442EE"/>
    <w:rsid w:val="00D47085"/>
    <w:rsid w:val="00D534BA"/>
    <w:rsid w:val="00D55B4C"/>
    <w:rsid w:val="00D61B08"/>
    <w:rsid w:val="00D630B8"/>
    <w:rsid w:val="00D761CD"/>
    <w:rsid w:val="00D76363"/>
    <w:rsid w:val="00D80558"/>
    <w:rsid w:val="00D84FBD"/>
    <w:rsid w:val="00D85D67"/>
    <w:rsid w:val="00D86432"/>
    <w:rsid w:val="00D92EBC"/>
    <w:rsid w:val="00D944B2"/>
    <w:rsid w:val="00DA2D88"/>
    <w:rsid w:val="00DA608B"/>
    <w:rsid w:val="00DB2B61"/>
    <w:rsid w:val="00DB34D6"/>
    <w:rsid w:val="00DB6D98"/>
    <w:rsid w:val="00DC057E"/>
    <w:rsid w:val="00DC097D"/>
    <w:rsid w:val="00DC17CF"/>
    <w:rsid w:val="00DC52F2"/>
    <w:rsid w:val="00DC53E9"/>
    <w:rsid w:val="00DD23A2"/>
    <w:rsid w:val="00DD289C"/>
    <w:rsid w:val="00DD53BD"/>
    <w:rsid w:val="00DE010C"/>
    <w:rsid w:val="00DE308B"/>
    <w:rsid w:val="00DE3CA7"/>
    <w:rsid w:val="00DF2640"/>
    <w:rsid w:val="00DF2B94"/>
    <w:rsid w:val="00DF349B"/>
    <w:rsid w:val="00DF3AB5"/>
    <w:rsid w:val="00DF590D"/>
    <w:rsid w:val="00E02E1A"/>
    <w:rsid w:val="00E060CF"/>
    <w:rsid w:val="00E0620E"/>
    <w:rsid w:val="00E06456"/>
    <w:rsid w:val="00E074E2"/>
    <w:rsid w:val="00E11C18"/>
    <w:rsid w:val="00E20579"/>
    <w:rsid w:val="00E207F0"/>
    <w:rsid w:val="00E20FC5"/>
    <w:rsid w:val="00E211D9"/>
    <w:rsid w:val="00E227B2"/>
    <w:rsid w:val="00E24CDF"/>
    <w:rsid w:val="00E26F29"/>
    <w:rsid w:val="00E33923"/>
    <w:rsid w:val="00E33D03"/>
    <w:rsid w:val="00E36EA1"/>
    <w:rsid w:val="00E4196E"/>
    <w:rsid w:val="00E461E1"/>
    <w:rsid w:val="00E54548"/>
    <w:rsid w:val="00E61540"/>
    <w:rsid w:val="00E64300"/>
    <w:rsid w:val="00E65D01"/>
    <w:rsid w:val="00E72E7D"/>
    <w:rsid w:val="00E81FDD"/>
    <w:rsid w:val="00E86232"/>
    <w:rsid w:val="00E9792C"/>
    <w:rsid w:val="00EA2799"/>
    <w:rsid w:val="00EA403A"/>
    <w:rsid w:val="00EA76FF"/>
    <w:rsid w:val="00EB051C"/>
    <w:rsid w:val="00EC533C"/>
    <w:rsid w:val="00EC6B43"/>
    <w:rsid w:val="00EC78C3"/>
    <w:rsid w:val="00EC79EC"/>
    <w:rsid w:val="00ED0BA8"/>
    <w:rsid w:val="00ED2A6A"/>
    <w:rsid w:val="00ED377B"/>
    <w:rsid w:val="00ED441B"/>
    <w:rsid w:val="00ED7BC2"/>
    <w:rsid w:val="00EF0853"/>
    <w:rsid w:val="00EF6631"/>
    <w:rsid w:val="00EF688F"/>
    <w:rsid w:val="00F00603"/>
    <w:rsid w:val="00F01CF2"/>
    <w:rsid w:val="00F03950"/>
    <w:rsid w:val="00F049D6"/>
    <w:rsid w:val="00F13607"/>
    <w:rsid w:val="00F173C9"/>
    <w:rsid w:val="00F2127E"/>
    <w:rsid w:val="00F25F17"/>
    <w:rsid w:val="00F324AC"/>
    <w:rsid w:val="00F32577"/>
    <w:rsid w:val="00F349C7"/>
    <w:rsid w:val="00F37E4A"/>
    <w:rsid w:val="00F423CE"/>
    <w:rsid w:val="00F443A0"/>
    <w:rsid w:val="00F471FB"/>
    <w:rsid w:val="00F47818"/>
    <w:rsid w:val="00F508B3"/>
    <w:rsid w:val="00F512BB"/>
    <w:rsid w:val="00F545CF"/>
    <w:rsid w:val="00F6297B"/>
    <w:rsid w:val="00F63F2A"/>
    <w:rsid w:val="00F646EF"/>
    <w:rsid w:val="00F71666"/>
    <w:rsid w:val="00F804C6"/>
    <w:rsid w:val="00F80F3B"/>
    <w:rsid w:val="00F841DB"/>
    <w:rsid w:val="00F856AC"/>
    <w:rsid w:val="00F86531"/>
    <w:rsid w:val="00F86EB5"/>
    <w:rsid w:val="00F86F23"/>
    <w:rsid w:val="00F916E1"/>
    <w:rsid w:val="00F941D5"/>
    <w:rsid w:val="00F946E1"/>
    <w:rsid w:val="00F94A84"/>
    <w:rsid w:val="00F95D18"/>
    <w:rsid w:val="00FA0704"/>
    <w:rsid w:val="00FA343E"/>
    <w:rsid w:val="00FB044B"/>
    <w:rsid w:val="00FB24BA"/>
    <w:rsid w:val="00FB55E3"/>
    <w:rsid w:val="00FD3685"/>
    <w:rsid w:val="00FD3A69"/>
    <w:rsid w:val="00FE044C"/>
    <w:rsid w:val="00FE68B2"/>
    <w:rsid w:val="00FE7250"/>
    <w:rsid w:val="00FF2BA0"/>
    <w:rsid w:val="1EBA9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4:docId w14:val="00C22DD5"/>
  <w15:chartTrackingRefBased/>
  <w15:docId w15:val="{2780E67D-1E37-4497-8D85-9F512E74B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205F"/>
    <w:pPr>
      <w:spacing w:after="0" w:line="288" w:lineRule="auto"/>
      <w:jc w:val="both"/>
    </w:pPr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4D7AC0"/>
    <w:pPr>
      <w:numPr>
        <w:numId w:val="1"/>
      </w:numPr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4D7AC0"/>
    <w:pPr>
      <w:numPr>
        <w:ilvl w:val="1"/>
        <w:numId w:val="1"/>
      </w:numPr>
      <w:outlineLvl w:val="1"/>
    </w:pPr>
  </w:style>
  <w:style w:type="paragraph" w:styleId="Heading3">
    <w:name w:val="heading 3"/>
    <w:basedOn w:val="Normal"/>
    <w:next w:val="Normal"/>
    <w:link w:val="Heading3Char"/>
    <w:qFormat/>
    <w:rsid w:val="004D7AC0"/>
    <w:pPr>
      <w:numPr>
        <w:ilvl w:val="2"/>
        <w:numId w:val="1"/>
      </w:numPr>
      <w:outlineLvl w:val="2"/>
    </w:pPr>
  </w:style>
  <w:style w:type="paragraph" w:styleId="Heading4">
    <w:name w:val="heading 4"/>
    <w:basedOn w:val="Normal"/>
    <w:next w:val="Normal"/>
    <w:link w:val="Heading4Char"/>
    <w:qFormat/>
    <w:rsid w:val="004D7AC0"/>
    <w:pPr>
      <w:numPr>
        <w:ilvl w:val="3"/>
        <w:numId w:val="1"/>
      </w:numPr>
      <w:outlineLvl w:val="3"/>
    </w:pPr>
  </w:style>
  <w:style w:type="paragraph" w:styleId="Heading5">
    <w:name w:val="heading 5"/>
    <w:basedOn w:val="Normal"/>
    <w:next w:val="Normal"/>
    <w:link w:val="Heading5Char"/>
    <w:qFormat/>
    <w:rsid w:val="004D7AC0"/>
    <w:pPr>
      <w:numPr>
        <w:ilvl w:val="4"/>
        <w:numId w:val="1"/>
      </w:numPr>
      <w:outlineLvl w:val="4"/>
    </w:pPr>
  </w:style>
  <w:style w:type="paragraph" w:styleId="Heading6">
    <w:name w:val="heading 6"/>
    <w:basedOn w:val="Normal"/>
    <w:next w:val="Normal"/>
    <w:link w:val="Heading6Char"/>
    <w:qFormat/>
    <w:rsid w:val="004D7AC0"/>
    <w:pPr>
      <w:numPr>
        <w:ilvl w:val="5"/>
        <w:numId w:val="1"/>
      </w:numPr>
      <w:outlineLvl w:val="5"/>
    </w:pPr>
  </w:style>
  <w:style w:type="paragraph" w:styleId="Heading7">
    <w:name w:val="heading 7"/>
    <w:basedOn w:val="Normal"/>
    <w:next w:val="Normal"/>
    <w:link w:val="Heading7Char"/>
    <w:qFormat/>
    <w:rsid w:val="004D7AC0"/>
    <w:pPr>
      <w:numPr>
        <w:ilvl w:val="6"/>
        <w:numId w:val="1"/>
      </w:numPr>
      <w:outlineLvl w:val="6"/>
    </w:pPr>
  </w:style>
  <w:style w:type="paragraph" w:styleId="Heading8">
    <w:name w:val="heading 8"/>
    <w:basedOn w:val="Normal"/>
    <w:next w:val="Normal"/>
    <w:link w:val="Heading8Char"/>
    <w:qFormat/>
    <w:rsid w:val="004D7AC0"/>
    <w:pPr>
      <w:numPr>
        <w:ilvl w:val="7"/>
        <w:numId w:val="1"/>
      </w:numPr>
      <w:outlineLvl w:val="7"/>
    </w:pPr>
  </w:style>
  <w:style w:type="paragraph" w:styleId="Heading9">
    <w:name w:val="heading 9"/>
    <w:basedOn w:val="Normal"/>
    <w:next w:val="Normal"/>
    <w:link w:val="Heading9Char"/>
    <w:qFormat/>
    <w:rsid w:val="004D7AC0"/>
    <w:pPr>
      <w:numPr>
        <w:ilvl w:val="8"/>
        <w:numId w:val="1"/>
      </w:num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D7AC0"/>
    <w:rPr>
      <w:rFonts w:ascii="Times New Roman" w:eastAsia="Times New Roman" w:hAnsi="Times New Roman" w:cs="Times New Roman"/>
      <w:kern w:val="28"/>
    </w:rPr>
  </w:style>
  <w:style w:type="character" w:customStyle="1" w:styleId="Heading2Char">
    <w:name w:val="Heading 2 Char"/>
    <w:basedOn w:val="DefaultParagraphFont"/>
    <w:link w:val="Heading2"/>
    <w:rsid w:val="004D7AC0"/>
    <w:rPr>
      <w:rFonts w:ascii="Times New Roman" w:eastAsia="Times New Roman" w:hAnsi="Times New Roman" w:cs="Times New Roman"/>
    </w:rPr>
  </w:style>
  <w:style w:type="character" w:customStyle="1" w:styleId="Heading3Char">
    <w:name w:val="Heading 3 Char"/>
    <w:basedOn w:val="DefaultParagraphFont"/>
    <w:link w:val="Heading3"/>
    <w:rsid w:val="004D7AC0"/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rsid w:val="004D7AC0"/>
    <w:rPr>
      <w:rFonts w:ascii="Times New Roman" w:eastAsia="Times New Roman" w:hAnsi="Times New Roman" w:cs="Times New Roman"/>
    </w:rPr>
  </w:style>
  <w:style w:type="character" w:customStyle="1" w:styleId="Heading5Char">
    <w:name w:val="Heading 5 Char"/>
    <w:basedOn w:val="DefaultParagraphFont"/>
    <w:link w:val="Heading5"/>
    <w:rsid w:val="004D7AC0"/>
    <w:rPr>
      <w:rFonts w:ascii="Times New Roman" w:eastAsia="Times New Roman" w:hAnsi="Times New Roman" w:cs="Times New Roman"/>
    </w:rPr>
  </w:style>
  <w:style w:type="character" w:customStyle="1" w:styleId="Heading6Char">
    <w:name w:val="Heading 6 Char"/>
    <w:basedOn w:val="DefaultParagraphFont"/>
    <w:link w:val="Heading6"/>
    <w:rsid w:val="004D7AC0"/>
    <w:rPr>
      <w:rFonts w:ascii="Times New Roman" w:eastAsia="Times New Roman" w:hAnsi="Times New Roman" w:cs="Times New Roman"/>
    </w:rPr>
  </w:style>
  <w:style w:type="character" w:customStyle="1" w:styleId="Heading7Char">
    <w:name w:val="Heading 7 Char"/>
    <w:basedOn w:val="DefaultParagraphFont"/>
    <w:link w:val="Heading7"/>
    <w:rsid w:val="004D7AC0"/>
    <w:rPr>
      <w:rFonts w:ascii="Times New Roman" w:eastAsia="Times New Roman" w:hAnsi="Times New Roman" w:cs="Times New Roman"/>
    </w:rPr>
  </w:style>
  <w:style w:type="character" w:customStyle="1" w:styleId="Heading8Char">
    <w:name w:val="Heading 8 Char"/>
    <w:basedOn w:val="DefaultParagraphFont"/>
    <w:link w:val="Heading8"/>
    <w:rsid w:val="004D7AC0"/>
    <w:rPr>
      <w:rFonts w:ascii="Times New Roman" w:eastAsia="Times New Roman" w:hAnsi="Times New Roman" w:cs="Times New Roman"/>
    </w:rPr>
  </w:style>
  <w:style w:type="character" w:customStyle="1" w:styleId="Heading9Char">
    <w:name w:val="Heading 9 Char"/>
    <w:basedOn w:val="DefaultParagraphFont"/>
    <w:link w:val="Heading9"/>
    <w:rsid w:val="004D7AC0"/>
    <w:rPr>
      <w:rFonts w:ascii="Times New Roman" w:eastAsia="Times New Roman" w:hAnsi="Times New Roman" w:cs="Times New Roman"/>
    </w:rPr>
  </w:style>
  <w:style w:type="paragraph" w:styleId="Footer">
    <w:name w:val="footer"/>
    <w:basedOn w:val="Normal"/>
    <w:link w:val="FooterChar"/>
    <w:qFormat/>
    <w:rsid w:val="004D7AC0"/>
  </w:style>
  <w:style w:type="character" w:customStyle="1" w:styleId="FooterChar">
    <w:name w:val="Footer Char"/>
    <w:basedOn w:val="DefaultParagraphFont"/>
    <w:link w:val="Footer"/>
    <w:rsid w:val="004D7AC0"/>
    <w:rPr>
      <w:rFonts w:ascii="Times New Roman" w:eastAsia="Times New Roman" w:hAnsi="Times New Roman" w:cs="Times New Roman"/>
    </w:rPr>
  </w:style>
  <w:style w:type="paragraph" w:styleId="FootnoteText">
    <w:name w:val="footnote text"/>
    <w:aliases w:val="Footnote text,Fussnote,stile 1,Fußnote,Podrozdział,Footnote Text Char Char,Footnote Text Char1 Char Char,Footnote Text Char Char Char Char,Footnote Text Char Char1,Char Char,Sprotna opomba - besedilo Znak1,Tekst przypis,o,ALTS FOOTNOTE,fn"/>
    <w:basedOn w:val="Normal"/>
    <w:link w:val="FootnoteTextChar"/>
    <w:uiPriority w:val="99"/>
    <w:qFormat/>
    <w:rsid w:val="004D7AC0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aliases w:val="Footnote text Char,Fussnote Char,stile 1 Char,Fußnote Char,Podrozdział Char,Footnote Text Char Char Char,Footnote Text Char1 Char Char Char,Footnote Text Char Char Char Char Char,Footnote Text Char Char1 Char,Char Char Char,o Char"/>
    <w:basedOn w:val="DefaultParagraphFont"/>
    <w:link w:val="FootnoteText"/>
    <w:uiPriority w:val="99"/>
    <w:qFormat/>
    <w:rsid w:val="004D7AC0"/>
    <w:rPr>
      <w:rFonts w:ascii="Times New Roman" w:eastAsia="Times New Roman" w:hAnsi="Times New Roman" w:cs="Times New Roman"/>
      <w:sz w:val="16"/>
    </w:rPr>
  </w:style>
  <w:style w:type="paragraph" w:styleId="Header">
    <w:name w:val="header"/>
    <w:basedOn w:val="Normal"/>
    <w:link w:val="HeaderChar"/>
    <w:qFormat/>
    <w:rsid w:val="004D7AC0"/>
  </w:style>
  <w:style w:type="character" w:customStyle="1" w:styleId="HeaderChar">
    <w:name w:val="Header Char"/>
    <w:basedOn w:val="DefaultParagraphFont"/>
    <w:link w:val="Header"/>
    <w:rsid w:val="004D7AC0"/>
    <w:rPr>
      <w:rFonts w:ascii="Times New Roman" w:eastAsia="Times New Roman" w:hAnsi="Times New Roman" w:cs="Times New Roman"/>
    </w:rPr>
  </w:style>
  <w:style w:type="paragraph" w:customStyle="1" w:styleId="quotes">
    <w:name w:val="quotes"/>
    <w:basedOn w:val="Normal"/>
    <w:next w:val="Normal"/>
    <w:rsid w:val="004D7AC0"/>
    <w:pPr>
      <w:ind w:left="720"/>
    </w:pPr>
    <w:rPr>
      <w:i/>
    </w:rPr>
  </w:style>
  <w:style w:type="character" w:styleId="FootnoteReference">
    <w:name w:val="footnote reference"/>
    <w:aliases w:val="SUPERS,(NECG) Footnote Reference,fr,EN Footnote Text,EN Footnote Reference,Footnote symbol,number,Footnote Reference Superscript,stylish,BVI fnr,-E Fußnotenzeichen,Source Reference,Footnote reference number,note TESI,Times 10 Point"/>
    <w:basedOn w:val="DefaultParagraphFont"/>
    <w:uiPriority w:val="99"/>
    <w:unhideWhenUsed/>
    <w:qFormat/>
    <w:rsid w:val="004D7AC0"/>
    <w:rPr>
      <w:sz w:val="24"/>
      <w:vertAlign w:val="superscript"/>
    </w:rPr>
  </w:style>
  <w:style w:type="character" w:styleId="Hyperlink">
    <w:name w:val="Hyperlink"/>
    <w:basedOn w:val="DefaultParagraphFont"/>
    <w:uiPriority w:val="99"/>
    <w:rsid w:val="004D7AC0"/>
    <w:rPr>
      <w:rFonts w:ascii="Times New Roman" w:hAnsi="Times New Roman"/>
      <w:color w:val="0000FF"/>
      <w:u w:val="single"/>
    </w:rPr>
  </w:style>
  <w:style w:type="paragraph" w:styleId="ListParagraph">
    <w:name w:val="List Paragraph"/>
    <w:aliases w:val="Resume Title,Listes,Citation List,Ha,List Paragraph1,Body,List Paragraph_Table bullets,Bullet List Paragraph,1st level - Bullet List Paragraph,Lettre d'introduction,Paragrafo elenco,Medium Grid 1 - Accent 21,AFW Body,Normal bullet 2,Nad"/>
    <w:basedOn w:val="Normal"/>
    <w:link w:val="ListParagraphChar"/>
    <w:uiPriority w:val="34"/>
    <w:qFormat/>
    <w:rsid w:val="004D7AC0"/>
    <w:pPr>
      <w:ind w:left="720"/>
      <w:contextualSpacing/>
    </w:pPr>
  </w:style>
  <w:style w:type="table" w:styleId="TableGrid">
    <w:name w:val="Table Grid"/>
    <w:basedOn w:val="TableNormal"/>
    <w:uiPriority w:val="39"/>
    <w:rsid w:val="004D7A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4D7AC0"/>
    <w:pPr>
      <w:keepNext/>
      <w:keepLines/>
      <w:numPr>
        <w:numId w:val="0"/>
      </w:numPr>
      <w:spacing w:before="240" w:line="259" w:lineRule="auto"/>
      <w:jc w:val="left"/>
      <w:outlineLvl w:val="9"/>
    </w:pPr>
    <w:rPr>
      <w:rFonts w:asciiTheme="majorHAnsi" w:eastAsiaTheme="majorEastAsia" w:hAnsiTheme="majorHAnsi" w:cstheme="majorBidi"/>
      <w:color w:val="2E74B5" w:themeColor="accent1" w:themeShade="BF"/>
      <w:kern w:val="0"/>
      <w:sz w:val="32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F349C7"/>
    <w:pPr>
      <w:tabs>
        <w:tab w:val="left" w:pos="440"/>
        <w:tab w:val="right" w:leader="dot" w:pos="9063"/>
      </w:tabs>
      <w:spacing w:before="240"/>
      <w:ind w:left="426" w:hanging="426"/>
      <w:outlineLvl w:val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67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7A1"/>
    <w:rPr>
      <w:rFonts w:ascii="Tahoma" w:eastAsia="Times New Roman" w:hAnsi="Tahoma" w:cs="Tahoma"/>
      <w:sz w:val="16"/>
      <w:szCs w:val="16"/>
      <w:lang w:val="hu-HU"/>
    </w:rPr>
  </w:style>
  <w:style w:type="character" w:styleId="CommentReference">
    <w:name w:val="annotation reference"/>
    <w:unhideWhenUsed/>
    <w:rsid w:val="001167A1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B5317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5317E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317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317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5317E"/>
    <w:pPr>
      <w:spacing w:after="0" w:line="240" w:lineRule="auto"/>
    </w:pPr>
    <w:rPr>
      <w:rFonts w:ascii="Times New Roman" w:eastAsia="Times New Roman" w:hAnsi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rsid w:val="002E01B5"/>
    <w:pPr>
      <w:spacing w:after="100" w:line="259" w:lineRule="auto"/>
      <w:ind w:left="220"/>
      <w:jc w:val="left"/>
    </w:pPr>
    <w:rPr>
      <w:rFonts w:asciiTheme="minorHAnsi" w:eastAsiaTheme="minorEastAsia" w:hAnsiTheme="minorHAnsi"/>
    </w:rPr>
  </w:style>
  <w:style w:type="paragraph" w:styleId="TOC3">
    <w:name w:val="toc 3"/>
    <w:basedOn w:val="Normal"/>
    <w:next w:val="Normal"/>
    <w:autoRedefine/>
    <w:uiPriority w:val="39"/>
    <w:unhideWhenUsed/>
    <w:rsid w:val="002E01B5"/>
    <w:pPr>
      <w:spacing w:after="100" w:line="259" w:lineRule="auto"/>
      <w:ind w:left="440"/>
      <w:jc w:val="left"/>
    </w:pPr>
    <w:rPr>
      <w:rFonts w:asciiTheme="minorHAnsi" w:eastAsiaTheme="minorEastAsia" w:hAnsiTheme="minorHAnsi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12F6B"/>
    <w:pPr>
      <w:spacing w:after="100"/>
      <w:ind w:left="1100"/>
    </w:pPr>
  </w:style>
  <w:style w:type="table" w:customStyle="1" w:styleId="TableGrid1">
    <w:name w:val="Table Grid1"/>
    <w:basedOn w:val="TableNormal"/>
    <w:next w:val="TableGrid"/>
    <w:uiPriority w:val="39"/>
    <w:rsid w:val="006C43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EF08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D534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next w:val="TableGrid"/>
    <w:uiPriority w:val="39"/>
    <w:rsid w:val="00781B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0967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1">
    <w:name w:val="Table Grid311"/>
    <w:basedOn w:val="TableNormal"/>
    <w:next w:val="TableGrid"/>
    <w:uiPriority w:val="39"/>
    <w:rsid w:val="00715A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D7E1B"/>
    <w:rPr>
      <w:color w:val="954F72" w:themeColor="followedHyperlink"/>
      <w:u w:val="single"/>
    </w:rPr>
  </w:style>
  <w:style w:type="table" w:customStyle="1" w:styleId="TableGrid21">
    <w:name w:val="Table Grid2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39"/>
    <w:rsid w:val="006E30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12E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1">
    <w:name w:val="Table Grid51"/>
    <w:basedOn w:val="TableNormal"/>
    <w:next w:val="TableGrid"/>
    <w:uiPriority w:val="39"/>
    <w:rsid w:val="00F324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aliases w:val="Resume Title Char,Listes Char,Citation List Char,Ha Char,List Paragraph1 Char,Body Char,List Paragraph_Table bullets Char,Bullet List Paragraph Char,1st level - Bullet List Paragraph Char,Lettre d'introduction Char,AFW Body Char"/>
    <w:link w:val="ListParagraph"/>
    <w:uiPriority w:val="34"/>
    <w:qFormat/>
    <w:locked/>
    <w:rsid w:val="00225C52"/>
    <w:rPr>
      <w:rFonts w:ascii="Times New Roman" w:eastAsia="Times New Roman" w:hAnsi="Times New Roman" w:cs="Times New Roman"/>
    </w:rPr>
  </w:style>
  <w:style w:type="table" w:customStyle="1" w:styleId="TableGrid6">
    <w:name w:val="Table Grid6"/>
    <w:basedOn w:val="TableNormal"/>
    <w:next w:val="TableGrid"/>
    <w:uiPriority w:val="39"/>
    <w:rsid w:val="006E3F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164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1">
    <w:name w:val="Table Grid71"/>
    <w:basedOn w:val="TableNormal"/>
    <w:next w:val="TableGrid"/>
    <w:uiPriority w:val="39"/>
    <w:rsid w:val="000320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A30B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9E70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20250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918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24879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271744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42685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754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529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4623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037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0979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5780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943653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387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41374249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638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869606">
                  <w:marLeft w:val="0"/>
                  <w:marRight w:val="0"/>
                  <w:marTop w:val="0"/>
                  <w:marBottom w:val="3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562796">
                  <w:marLeft w:val="0"/>
                  <w:marRight w:val="0"/>
                  <w:marTop w:val="0"/>
                  <w:marBottom w:val="0"/>
                  <w:divBdr>
                    <w:top w:val="single" w:sz="6" w:space="0" w:color="C6C6C6"/>
                    <w:left w:val="single" w:sz="6" w:space="0" w:color="C6C6C6"/>
                    <w:bottom w:val="single" w:sz="6" w:space="0" w:color="C6C6C6"/>
                    <w:right w:val="single" w:sz="6" w:space="0" w:color="C6C6C6"/>
                  </w:divBdr>
                  <w:divsChild>
                    <w:div w:id="2031295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601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1934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5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0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3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45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5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dmsearch.eesc.europa.eu/search/opinion" TargetMode="External"/><Relationship Id="rId18" Type="http://schemas.openxmlformats.org/officeDocument/2006/relationships/header" Target="header3.xml"/><Relationship Id="rId26" Type="http://schemas.openxmlformats.org/officeDocument/2006/relationships/hyperlink" Target="mailto:Margherita.Logrillo@eesc.europa.eu" TargetMode="External"/><Relationship Id="rId39" Type="http://schemas.openxmlformats.org/officeDocument/2006/relationships/hyperlink" Target="mailto:David.Hoic@eesc.europa.eu" TargetMode="External"/><Relationship Id="rId21" Type="http://schemas.openxmlformats.org/officeDocument/2006/relationships/hyperlink" Target="mailto:Juri.Soosar@eesc.europa.eu" TargetMode="External"/><Relationship Id="rId34" Type="http://schemas.openxmlformats.org/officeDocument/2006/relationships/hyperlink" Target="mailto:%20Claudia.Drewes-Wran@eesc.europa.eu" TargetMode="External"/><Relationship Id="rId42" Type="http://schemas.openxmlformats.org/officeDocument/2006/relationships/hyperlink" Target="mailto:Gaelle.Michelier@eesc.europa.eu" TargetMode="External"/><Relationship Id="rId47" Type="http://schemas.openxmlformats.org/officeDocument/2006/relationships/header" Target="header6.xml"/><Relationship Id="rId50" Type="http://schemas.openxmlformats.org/officeDocument/2006/relationships/theme" Target="theme/theme1.xml"/><Relationship Id="rId55" Type="http://schemas.microsoft.com/office/2016/09/relationships/commentsIds" Target="commentsIds.xml"/><Relationship Id="rId7" Type="http://schemas.openxmlformats.org/officeDocument/2006/relationships/settings" Target="settings.xml"/><Relationship Id="rId16" Type="http://schemas.openxmlformats.org/officeDocument/2006/relationships/footer" Target="footer1.xml"/><Relationship Id="rId29" Type="http://schemas.openxmlformats.org/officeDocument/2006/relationships/hyperlink" Target="mailto:Antonio.RibeiroPereira@eesc.europa.eu" TargetMode="External"/><Relationship Id="rId11" Type="http://schemas.openxmlformats.org/officeDocument/2006/relationships/image" Target="media/image1.jpeg"/><Relationship Id="rId24" Type="http://schemas.openxmlformats.org/officeDocument/2006/relationships/hyperlink" Target="mailto:Valeria.Atzori@eesc.europa.eu" TargetMode="External"/><Relationship Id="rId32" Type="http://schemas.openxmlformats.org/officeDocument/2006/relationships/hyperlink" Target="mailto:Claudia.Drewes-Wran@eesc.europa.eu" TargetMode="External"/><Relationship Id="rId37" Type="http://schemas.openxmlformats.org/officeDocument/2006/relationships/hyperlink" Target="mailto:%20Caroline.Verhelst@eesc.europa.eu" TargetMode="External"/><Relationship Id="rId40" Type="http://schemas.openxmlformats.org/officeDocument/2006/relationships/hyperlink" Target="mailto:C&#233;dric.Cabanne@eesc.europa.eu" TargetMode="External"/><Relationship Id="rId45" Type="http://schemas.openxmlformats.org/officeDocument/2006/relationships/footer" Target="footer4.xml"/><Relationship Id="rId58" Type="http://schemas.openxmlformats.org/officeDocument/2006/relationships/customXml" Target="../customXml/item3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23" Type="http://schemas.openxmlformats.org/officeDocument/2006/relationships/hyperlink" Target="mailto:Sergio.LorencioMatallana@eesc.europa.eu" TargetMode="External"/><Relationship Id="rId28" Type="http://schemas.openxmlformats.org/officeDocument/2006/relationships/hyperlink" Target="mailto:Francesco.Napolitano@eesc.europa.eu" TargetMode="External"/><Relationship Id="rId36" Type="http://schemas.openxmlformats.org/officeDocument/2006/relationships/hyperlink" Target="mailto:%20Caroline.Verhelst@eesc.europa.eu" TargetMode="External"/><Relationship Id="rId49" Type="http://schemas.openxmlformats.org/officeDocument/2006/relationships/fontTable" Target="fontTable.xml"/><Relationship Id="rId57" Type="http://schemas.openxmlformats.org/officeDocument/2006/relationships/customXml" Target="../customXml/item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31" Type="http://schemas.openxmlformats.org/officeDocument/2006/relationships/hyperlink" Target="mailto:Marie-Laurence.Drillon@eesc.europa.eu" TargetMode="External"/><Relationship Id="rId44" Type="http://schemas.openxmlformats.org/officeDocument/2006/relationships/header" Target="header5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hyperlink" Target="mailto:Juri.Soosar@eesc.europa.eu" TargetMode="External"/><Relationship Id="rId27" Type="http://schemas.openxmlformats.org/officeDocument/2006/relationships/hyperlink" Target="mailto:Maja.Radmani@eesc.europa.eu" TargetMode="External"/><Relationship Id="rId30" Type="http://schemas.openxmlformats.org/officeDocument/2006/relationships/hyperlink" Target="mailto:Giorgia.Bordignon@eesc.europa.eu" TargetMode="External"/><Relationship Id="rId35" Type="http://schemas.openxmlformats.org/officeDocument/2006/relationships/hyperlink" Target="mailto:Arturo.Iniguez@eesc.europa.eu" TargetMode="External"/><Relationship Id="rId43" Type="http://schemas.openxmlformats.org/officeDocument/2006/relationships/header" Target="header4.xml"/><Relationship Id="rId48" Type="http://schemas.openxmlformats.org/officeDocument/2006/relationships/footer" Target="footer6.xml"/><Relationship Id="rId56" Type="http://schemas.openxmlformats.org/officeDocument/2006/relationships/customXml" Target="../customXml/item1.xml"/><Relationship Id="rId8" Type="http://schemas.openxmlformats.org/officeDocument/2006/relationships/webSettings" Target="webSettings.xml"/><Relationship Id="rId12" Type="http://schemas.openxmlformats.org/officeDocument/2006/relationships/hyperlink" Target="https://www.eesc.europa.eu/hu/our-work/opinions-information-reports/plenary-session-summaries" TargetMode="External"/><Relationship Id="rId17" Type="http://schemas.openxmlformats.org/officeDocument/2006/relationships/footer" Target="footer2.xml"/><Relationship Id="rId25" Type="http://schemas.openxmlformats.org/officeDocument/2006/relationships/hyperlink" Target="mailto:Margherita.Logrillo@eesc.europa.eu" TargetMode="External"/><Relationship Id="rId33" Type="http://schemas.openxmlformats.org/officeDocument/2006/relationships/hyperlink" Target="mailto:Dalila.Bernard@eesc.europa.eu" TargetMode="External"/><Relationship Id="rId38" Type="http://schemas.openxmlformats.org/officeDocument/2006/relationships/hyperlink" Target="mailto:Gunilla.Sandberg@eesc.europa.eu" TargetMode="External"/><Relationship Id="rId46" Type="http://schemas.openxmlformats.org/officeDocument/2006/relationships/footer" Target="footer5.xml"/><Relationship Id="rId59" Type="http://schemas.openxmlformats.org/officeDocument/2006/relationships/customXml" Target="../customXml/item4.xml"/><Relationship Id="rId20" Type="http://schemas.openxmlformats.org/officeDocument/2006/relationships/hyperlink" Target="mailto:Domenico.Cosmai@eesc.europa.eu" TargetMode="External"/><Relationship Id="rId41" Type="http://schemas.openxmlformats.org/officeDocument/2006/relationships/hyperlink" Target="mailto:Gerald.Klec@eesc.europa.eu" TargetMode="External"/><Relationship Id="rId6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M Document" ma:contentTypeID="0x010100EA97B91038054C99906057A708A1480A00626EADD26EE0CA468385E76F4CAC56BA" ma:contentTypeVersion="4" ma:contentTypeDescription="Defines the documents for Document Manager V2" ma:contentTypeScope="" ma:versionID="dc0fa69cc2a991f528bd5b7c516a5e87">
  <xsd:schema xmlns:xsd="http://www.w3.org/2001/XMLSchema" xmlns:xs="http://www.w3.org/2001/XMLSchema" xmlns:p="http://schemas.microsoft.com/office/2006/metadata/properties" xmlns:ns2="1299d781-265f-4ceb-999e-e1eca3df2c90" xmlns:ns3="http://schemas.microsoft.com/sharepoint/v3/fields" xmlns:ns4="4e5ad790-8ffd-4f61-866f-51e1599a4efe" targetNamespace="http://schemas.microsoft.com/office/2006/metadata/properties" ma:root="true" ma:fieldsID="32d1ef0291ab947b1497483d599cc4d6" ns2:_="" ns3:_="" ns4:_="">
    <xsd:import namespace="1299d781-265f-4ceb-999e-e1eca3df2c90"/>
    <xsd:import namespace="http://schemas.microsoft.com/sharepoint/v3/fields"/>
    <xsd:import namespace="4e5ad790-8ffd-4f61-866f-51e1599a4ef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ProductionDate" minOccurs="0"/>
                <xsd:element ref="ns2:OriginalSender" minOccurs="0"/>
                <xsd:element ref="ns3:DocumentLanguage_0" minOccurs="0"/>
                <xsd:element ref="ns2:DossierNumber" minOccurs="0"/>
                <xsd:element ref="ns4:MeetingNumber" minOccurs="0"/>
                <xsd:element ref="ns2:Rapporteur" minOccurs="0"/>
                <xsd:element ref="ns2:AdoptionDate" minOccurs="0"/>
                <xsd:element ref="ns3:Confidentiality_0" minOccurs="0"/>
                <xsd:element ref="ns2:TaxCatchAll" minOccurs="0"/>
                <xsd:element ref="ns2:TaxCatchAllLabel" minOccurs="0"/>
                <xsd:element ref="ns3:DocumentSource_0" minOccurs="0"/>
                <xsd:element ref="ns4:DocumentNumber" minOccurs="0"/>
                <xsd:element ref="ns2:MeetingDate" minOccurs="0"/>
                <xsd:element ref="ns3:OriginalLanguage_0" minOccurs="0"/>
                <xsd:element ref="ns2:Procedure" minOccurs="0"/>
                <xsd:element ref="ns3:VersionStatus_0" minOccurs="0"/>
                <xsd:element ref="ns3:DocumentStatus_0" minOccurs="0"/>
                <xsd:element ref="ns2:DocumentYear"/>
                <xsd:element ref="ns3:DocumentType_0" minOccurs="0"/>
                <xsd:element ref="ns2:DocumentPart" minOccurs="0"/>
                <xsd:element ref="ns3:MeetingName_0" minOccurs="0"/>
                <xsd:element ref="ns3:AvailableTranslations_0" minOccurs="0"/>
                <xsd:element ref="ns2:FicheYear" minOccurs="0"/>
                <xsd:element ref="ns2:RequestingService" minOccurs="0"/>
                <xsd:element ref="ns2:FicheNumber" minOccurs="0"/>
                <xsd:element ref="ns3:DossierName_0" minOccurs="0"/>
                <xsd:element ref="ns2:Document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99d781-265f-4ceb-999e-e1eca3df2c9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ProductionDate" ma:index="12" nillable="true" ma:displayName="Production Date" ma:format="DateOnly" ma:internalName="ProductionDate">
      <xsd:simpleType>
        <xsd:restriction base="dms:DateTime"/>
      </xsd:simpleType>
    </xsd:element>
    <xsd:element name="OriginalSender" ma:index="13" nillable="true" ma:displayName="Original Sender" ma:internalName="OriginalSend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ossierNumber" ma:index="15" nillable="true" ma:displayName="Dossier Number" ma:decimals="0" ma:internalName="DossierNumber">
      <xsd:simpleType>
        <xsd:restriction base="dms:Unknown"/>
      </xsd:simpleType>
    </xsd:element>
    <xsd:element name="Rapporteur" ma:index="17" nillable="true" ma:displayName="Rapporteur" ma:internalName="Rapporteur">
      <xsd:simpleType>
        <xsd:restriction base="dms:Text"/>
      </xsd:simpleType>
    </xsd:element>
    <xsd:element name="AdoptionDate" ma:index="18" nillable="true" ma:displayName="Adoption Date" ma:format="DateOnly" ma:internalName="AdoptionDate">
      <xsd:simpleType>
        <xsd:restriction base="dms:DateTime"/>
      </xsd:simpleType>
    </xsd:element>
    <xsd:element name="TaxCatchAll" ma:index="20" nillable="true" ma:displayName="Taxonomy Catch All Column" ma:hidden="true" ma:list="{7ea9cc77-7db7-4067-9972-efc9a75de26f}" ma:internalName="TaxCatchAll" ma:showField="CatchAllData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1" nillable="true" ma:displayName="Taxonomy Catch All Column1" ma:hidden="true" ma:list="{7ea9cc77-7db7-4067-9972-efc9a75de26f}" ma:internalName="TaxCatchAllLabel" ma:readOnly="true" ma:showField="CatchAllDataLabel" ma:web="1299d781-265f-4ceb-999e-e1eca3df2c9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eetingDate" ma:index="26" nillable="true" ma:displayName="Meeting Date" ma:format="DateOnly" ma:internalName="MeetingDate">
      <xsd:simpleType>
        <xsd:restriction base="dms:DateTime"/>
      </xsd:simpleType>
    </xsd:element>
    <xsd:element name="Procedure" ma:index="29" nillable="true" ma:displayName="Procedure" ma:internalName="Procedure">
      <xsd:simpleType>
        <xsd:restriction base="dms:Text"/>
      </xsd:simpleType>
    </xsd:element>
    <xsd:element name="DocumentYear" ma:index="34" ma:displayName="Document Year" ma:decimals="0" ma:internalName="DocumentYear">
      <xsd:simpleType>
        <xsd:restriction base="dms:Unknown"/>
      </xsd:simpleType>
    </xsd:element>
    <xsd:element name="DocumentPart" ma:index="37" nillable="true" ma:displayName="Document Part" ma:decimals="0" ma:internalName="DocumentPart">
      <xsd:simpleType>
        <xsd:restriction base="dms:Unknown"/>
      </xsd:simpleType>
    </xsd:element>
    <xsd:element name="FicheYear" ma:index="42" nillable="true" ma:displayName="Fiche Year" ma:decimals="0" ma:internalName="FicheYear">
      <xsd:simpleType>
        <xsd:restriction base="dms:Unknown"/>
      </xsd:simpleType>
    </xsd:element>
    <xsd:element name="RequestingService" ma:index="43" nillable="true" ma:displayName="Requesting Service" ma:internalName="RequestingService">
      <xsd:simpleType>
        <xsd:restriction base="dms:Text"/>
      </xsd:simpleType>
    </xsd:element>
    <xsd:element name="FicheNumber" ma:index="44" nillable="true" ma:displayName="Fiche Number" ma:decimals="0" ma:internalName="FicheNumber">
      <xsd:simpleType>
        <xsd:restriction base="dms:Unknown"/>
      </xsd:simpleType>
    </xsd:element>
    <xsd:element name="DocumentVersion" ma:index="47" nillable="true" ma:displayName="Document Version" ma:decimals="0" ma:internalName="DocumentVersion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DocumentLanguage_0" ma:index="14" nillable="true" ma:taxonomy="true" ma:internalName="DocumentLanguage_0" ma:taxonomyFieldName="DocumentLanguage" ma:displayName="Document Language" ma:fieldId="{ee5c55ab-e8dd-441f-8840-fdce66906fe3}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fidentiality_0" ma:index="19" nillable="true" ma:taxonomy="true" ma:internalName="Confidentiality_0" ma:taxonomyFieldName="Confidentiality" ma:displayName="Confidentiality" ma:fieldId="{ee5c4bfe-2b62-4831-9131-22edf8f3665c}" ma:sspId="995823bb-b37b-4c02-aebb-d0209d382c3c" ma:termSetId="11d040ac-3a9a-4d4c-b9cf-922342a701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ource_0" ma:index="23" ma:taxonomy="true" ma:internalName="DocumentSource_0" ma:taxonomyFieldName="DocumentSource" ma:displayName="Document Source" ma:fieldId="{ee5c1c29-f257-4aae-8e5e-529c0040e17a}" ma:sspId="995823bb-b37b-4c02-aebb-d0209d382c3c" ma:termSetId="ca143256-a90d-4d26-b249-02646b17c0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riginalLanguage_0" ma:index="27" nillable="true" ma:taxonomy="true" ma:internalName="OriginalLanguage_0" ma:taxonomyFieldName="OriginalLanguage" ma:displayName="Original Language" ma:fieldId="{ee5ce750-ff6c-4875-8192-ef11fb51efba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VersionStatus_0" ma:index="30" ma:taxonomy="true" ma:internalName="VersionStatus_0" ma:taxonomyFieldName="VersionStatus" ma:displayName="Version Status" ma:indexed="true" ma:fieldId="{ee5cb94b-3df1-4df3-b49b-6e47ce2a7e87}" ma:sspId="995823bb-b37b-4c02-aebb-d0209d382c3c" ma:termSetId="adeca67b-2bdd-4d0f-b3af-a690b4c6d95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Status_0" ma:index="32" nillable="true" ma:taxonomy="true" ma:internalName="DocumentStatus_0" ma:taxonomyFieldName="DocumentStatus" ma:displayName="Document Status" ma:fieldId="{ee5cab93-ac4d-4e2f-b298-e5342324388c}" ma:sspId="995823bb-b37b-4c02-aebb-d0209d382c3c" ma:termSetId="54b85ca4-9023-4cbf-8e96-81af7735228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cumentType_0" ma:index="35" nillable="true" ma:taxonomy="true" ma:internalName="DocumentType_0" ma:taxonomyFieldName="DocumentType" ma:displayName="Document Type" ma:indexed="true" ma:fieldId="{ee5cf431-2d10-41e6-bd88-1b6bd5b84f5f}" ma:sspId="995823bb-b37b-4c02-aebb-d0209d382c3c" ma:termSetId="67a76952-94e0-437b-9a60-5085083dde0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etingName_0" ma:index="38" nillable="true" ma:taxonomy="true" ma:internalName="MeetingName_0" ma:taxonomyFieldName="MeetingName" ma:displayName="Meeting Name" ma:indexed="true" ma:fieldId="{ee5c9b55-8403-4f9e-a156-b6ce5b7b9456}" ma:sspId="995823bb-b37b-4c02-aebb-d0209d382c3c" ma:termSetId="a04e9634-de73-4a41-8cb5-e1efdb89060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vailableTranslations_0" ma:index="40" nillable="true" ma:taxonomy="true" ma:internalName="AvailableTranslations_0" ma:taxonomyFieldName="AvailableTranslations" ma:displayName="Available Translations" ma:fieldId="{ee5c7c01-1a65-4138-aa64-80e01e34d799}" ma:taxonomyMulti="true" ma:sspId="995823bb-b37b-4c02-aebb-d0209d382c3c" ma:termSetId="3e8d1f59-71f7-428c-bd68-e1e655ad544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ossierName_0" ma:index="45" nillable="true" ma:taxonomy="true" ma:internalName="DossierName_0" ma:taxonomyFieldName="DossierName" ma:displayName="Dossier Name" ma:fieldId="{ee5cf7da-503b-4593-8db2-4f0e09c901fd}" ma:sspId="995823bb-b37b-4c02-aebb-d0209d382c3c" ma:termSetId="2b392f04-1222-4352-87c1-6fd60ec33b6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5ad790-8ffd-4f61-866f-51e1599a4efe" elementFormDefault="qualified">
    <xsd:import namespace="http://schemas.microsoft.com/office/2006/documentManagement/types"/>
    <xsd:import namespace="http://schemas.microsoft.com/office/infopath/2007/PartnerControls"/>
    <xsd:element name="MeetingNumber" ma:index="16" nillable="true" ma:displayName="Meeting Number" ma:decimals="0" ma:indexed="true" ma:internalName="MeetingNumber">
      <xsd:simpleType>
        <xsd:restriction base="dms:Unknown"/>
      </xsd:simpleType>
    </xsd:element>
    <xsd:element name="DocumentNumber" ma:index="25" nillable="true" ma:displayName="Document Number" ma:decimals="0" ma:indexed="true" ma:internalName="DocumentNumber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1299d781-265f-4ceb-999e-e1eca3df2c90">P6FJPSUHKDC2-1050578159-3522</_dlc_DocId>
    <_dlc_DocIdUrl xmlns="1299d781-265f-4ceb-999e-e1eca3df2c90">
      <Url>http://dm2016/eesc/2022/_layouts/15/DocIdRedir.aspx?ID=P6FJPSUHKDC2-1050578159-3522</Url>
      <Description>P6FJPSUHKDC2-1050578159-3522</Description>
    </_dlc_DocIdUrl>
    <DocumentTyp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TCD</TermName>
          <TermId xmlns="http://schemas.microsoft.com/office/infopath/2007/PartnerControls">cd9d6eb6-3f4f-424a-b2d1-57c9d450eaaf</TermId>
        </TermInfo>
      </Terms>
    </DocumentType_0>
    <Procedure xmlns="1299d781-265f-4ceb-999e-e1eca3df2c90" xsi:nil="true"/>
    <DocumentSourc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EESC</TermName>
          <TermId xmlns="http://schemas.microsoft.com/office/infopath/2007/PartnerControls">422833ec-8d7e-4e65-8e4e-8bed07ffb729</TermId>
        </TermInfo>
      </Terms>
    </DocumentSource_0>
    <ProductionDate xmlns="1299d781-265f-4ceb-999e-e1eca3df2c90">2022-08-03T12:00:00+00:00</ProductionDate>
    <DocumentNumber xmlns="4e5ad790-8ffd-4f61-866f-51e1599a4efe">3184</DocumentNumber>
    <FicheYear xmlns="1299d781-265f-4ceb-999e-e1eca3df2c90" xsi:nil="true"/>
    <DocumentVersion xmlns="1299d781-265f-4ceb-999e-e1eca3df2c90">0</DocumentVersion>
    <DossierNumber xmlns="1299d781-265f-4ceb-999e-e1eca3df2c90" xsi:nil="true"/>
    <Confidentiality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Unrestricted</TermName>
          <TermId xmlns="http://schemas.microsoft.com/office/infopath/2007/PartnerControls">826e22d7-d029-4ec0-a450-0c28ff673572</TermId>
        </TermInfo>
      </Terms>
    </Confidentiality_0>
    <MeetingDate xmlns="1299d781-265f-4ceb-999e-e1eca3df2c90">2022-09-21T12:00:00+00:00</MeetingDate>
    <TaxCatchAll xmlns="1299d781-265f-4ceb-999e-e1eca3df2c90">
      <Value>55</Value>
      <Value>54</Value>
      <Value>51</Value>
      <Value>46</Value>
      <Value>45</Value>
      <Value>44</Value>
      <Value>43</Value>
      <Value>42</Value>
      <Value>41</Value>
      <Value>38</Value>
      <Value>37</Value>
      <Value>36</Value>
      <Value>34</Value>
      <Value>33</Value>
      <Value>31</Value>
      <Value>30</Value>
      <Value>29</Value>
      <Value>26</Value>
      <Value>25</Value>
      <Value>22</Value>
      <Value>11</Value>
      <Value>9</Value>
      <Value>7</Value>
      <Value>6</Value>
      <Value>4</Value>
      <Value>1</Value>
    </TaxCatchAll>
    <Document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</Terms>
    </DocumentLanguage_0>
    <Version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ea5e6674-7b27-4bac-b091-73adbb394efe</TermId>
        </TermInfo>
      </Terms>
    </VersionStatus_0>
    <Rapporteur xmlns="1299d781-265f-4ceb-999e-e1eca3df2c90" xsi:nil="true"/>
    <DocumentYear xmlns="1299d781-265f-4ceb-999e-e1eca3df2c90">2022</DocumentYear>
    <FicheNumber xmlns="1299d781-265f-4ceb-999e-e1eca3df2c90">9012</FicheNumber>
    <OriginalSender xmlns="1299d781-265f-4ceb-999e-e1eca3df2c90">
      <UserInfo>
        <DisplayName>Maszlag Andrea</DisplayName>
        <AccountId>1668</AccountId>
        <AccountType/>
      </UserInfo>
    </OriginalSender>
    <DocumentPart xmlns="1299d781-265f-4ceb-999e-e1eca3df2c90">0</DocumentPart>
    <AdoptionDate xmlns="1299d781-265f-4ceb-999e-e1eca3df2c90" xsi:nil="true"/>
    <RequestingService xmlns="1299d781-265f-4ceb-999e-e1eca3df2c90">Greffe</RequestingService>
    <MeetingNam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SPL-CES</TermName>
          <TermId xmlns="http://schemas.microsoft.com/office/infopath/2007/PartnerControls">32d8cb1f-c9ec-4365-95c7-8385a18618ac</TermId>
        </TermInfo>
      </Terms>
    </MeetingName_0>
    <AvailableTranslation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HU</TermName>
          <TermId xmlns="http://schemas.microsoft.com/office/infopath/2007/PartnerControls">6b229040-c589-4408-b4c1-4285663d20a8</TermId>
        </TermInfo>
        <TermInfo xmlns="http://schemas.microsoft.com/office/infopath/2007/PartnerControls">
          <TermName xmlns="http://schemas.microsoft.com/office/infopath/2007/PartnerControls">ET</TermName>
          <TermId xmlns="http://schemas.microsoft.com/office/infopath/2007/PartnerControls">ff6c3f4c-b02c-4c3c-ab07-2c37995a7a0a</TermId>
        </TermInfo>
        <TermInfo xmlns="http://schemas.microsoft.com/office/infopath/2007/PartnerControls">
          <TermName xmlns="http://schemas.microsoft.com/office/infopath/2007/PartnerControls">LT</TermName>
          <TermId xmlns="http://schemas.microsoft.com/office/infopath/2007/PartnerControls">a7ff5ce7-6123-4f68-865a-a57c31810414</TermId>
        </TermInfo>
        <TermInfo xmlns="http://schemas.microsoft.com/office/infopath/2007/PartnerControls">
          <TermName xmlns="http://schemas.microsoft.com/office/infopath/2007/PartnerControls">HR</TermName>
          <TermId xmlns="http://schemas.microsoft.com/office/infopath/2007/PartnerControls">2f555653-ed1a-4fe6-8362-9082d95989e5</TermId>
        </TermInfo>
        <TermInfo xmlns="http://schemas.microsoft.com/office/infopath/2007/PartnerControls">
          <TermName xmlns="http://schemas.microsoft.com/office/infopath/2007/PartnerControls">CS</TermName>
          <TermId xmlns="http://schemas.microsoft.com/office/infopath/2007/PartnerControls">72f9705b-0217-4fd3-bea2-cbc7ed80e26e</TermId>
        </TermInfo>
        <TermInfo xmlns="http://schemas.microsoft.com/office/infopath/2007/PartnerControls">
          <TermName xmlns="http://schemas.microsoft.com/office/infopath/2007/PartnerControls">SV</TermName>
          <TermId xmlns="http://schemas.microsoft.com/office/infopath/2007/PartnerControls">c2ed69e7-a339-43d7-8f22-d93680a92aa0</TermId>
        </TermInfo>
        <TermInfo xmlns="http://schemas.microsoft.com/office/infopath/2007/PartnerControls">
          <TermName xmlns="http://schemas.microsoft.com/office/infopath/2007/PartnerControls">SK</TermName>
          <TermId xmlns="http://schemas.microsoft.com/office/infopath/2007/PartnerControls">46d9fce0-ef79-4f71-b89b-cd6aa82426b8</TermId>
        </TermInfo>
        <TermInfo xmlns="http://schemas.microsoft.com/office/infopath/2007/PartnerControls">
          <TermName xmlns="http://schemas.microsoft.com/office/infopath/2007/PartnerControls">FI</TermName>
          <TermId xmlns="http://schemas.microsoft.com/office/infopath/2007/PartnerControls">87606a43-d45f-42d6-b8c9-e1a3457db5b7</TermId>
        </TermInfo>
        <TermInfo xmlns="http://schemas.microsoft.com/office/infopath/2007/PartnerControls">
          <TermName xmlns="http://schemas.microsoft.com/office/infopath/2007/PartnerControls">SL</TermName>
          <TermId xmlns="http://schemas.microsoft.com/office/infopath/2007/PartnerControls">98a412ae-eb01-49e9-ae3d-585a81724cfc</TermId>
        </TermInfo>
        <TermInfo xmlns="http://schemas.microsoft.com/office/infopath/2007/PartnerControls">
          <TermName xmlns="http://schemas.microsoft.com/office/infopath/2007/PartnerControls">ES</TermName>
          <TermId xmlns="http://schemas.microsoft.com/office/infopath/2007/PartnerControls">e7a6b05b-ae16-40c8-add9-68b64b03aeba</TermId>
        </TermInfo>
        <TermInfo xmlns="http://schemas.microsoft.com/office/infopath/2007/PartnerControls">
          <TermName xmlns="http://schemas.microsoft.com/office/infopath/2007/PartnerControls">DE</TermName>
          <TermId xmlns="http://schemas.microsoft.com/office/infopath/2007/PartnerControls">f6b31e5a-26fa-4935-b661-318e46daf27e</TermId>
        </TermInfo>
        <TermInfo xmlns="http://schemas.microsoft.com/office/infopath/2007/PartnerControls">
          <TermName xmlns="http://schemas.microsoft.com/office/infopath/2007/PartnerControls">IT</TermName>
          <TermId xmlns="http://schemas.microsoft.com/office/infopath/2007/PartnerControls">0774613c-01ed-4e5d-a25d-11d2388de825</TermId>
        </TermInfo>
        <TermInfo xmlns="http://schemas.microsoft.com/office/infopath/2007/PartnerControls">
          <TermName xmlns="http://schemas.microsoft.com/office/infopath/2007/PartnerControls">PL</TermName>
          <TermId xmlns="http://schemas.microsoft.com/office/infopath/2007/PartnerControls">1e03da61-4678-4e07-b136-b5024ca9197b</TermId>
        </TermInfo>
        <TermInfo xmlns="http://schemas.microsoft.com/office/infopath/2007/PartnerControls">
          <TermName xmlns="http://schemas.microsoft.com/office/infopath/2007/PartnerControls">NL</TermName>
          <TermId xmlns="http://schemas.microsoft.com/office/infopath/2007/PartnerControls">55c6556c-b4f4-441d-9acf-c498d4f838bd</TermId>
        </TermInfo>
        <TermInfo xmlns="http://schemas.microsoft.com/office/infopath/2007/PartnerControls">
          <TermName xmlns="http://schemas.microsoft.com/office/infopath/2007/PartnerControls">FR</TermName>
          <TermId xmlns="http://schemas.microsoft.com/office/infopath/2007/PartnerControls">d2afafd3-4c81-4f60-8f52-ee33f2f54ff3</TermId>
        </TermInfo>
        <TermInfo xmlns="http://schemas.microsoft.com/office/infopath/2007/PartnerControls">
          <TermName xmlns="http://schemas.microsoft.com/office/infopath/2007/PartnerControls">RO</TermName>
          <TermId xmlns="http://schemas.microsoft.com/office/infopath/2007/PartnerControls">feb747a2-64cd-4299-af12-4833ddc30497</TermId>
        </TermInfo>
        <TermInfo xmlns="http://schemas.microsoft.com/office/infopath/2007/PartnerControls">
          <TermName xmlns="http://schemas.microsoft.com/office/infopath/2007/PartnerControls">LV</TermName>
          <TermId xmlns="http://schemas.microsoft.com/office/infopath/2007/PartnerControls">46f7e311-5d9f-4663-b433-18aeccb7ace7</TermId>
        </TermInfo>
        <TermInfo xmlns="http://schemas.microsoft.com/office/infopath/2007/PartnerControls">
          <TermName xmlns="http://schemas.microsoft.com/office/infopath/2007/PartnerControls">PT</TermName>
          <TermId xmlns="http://schemas.microsoft.com/office/infopath/2007/PartnerControls">50ccc04a-eadd-42ae-a0cb-acaf45f812ba</TermId>
        </TermInfo>
        <TermInfo xmlns="http://schemas.microsoft.com/office/infopath/2007/PartnerControls">
          <TermName xmlns="http://schemas.microsoft.com/office/infopath/2007/PartnerControls">EL</TermName>
          <TermId xmlns="http://schemas.microsoft.com/office/infopath/2007/PartnerControls">6d4f4d51-af9b-4650-94b4-4276bee85c91</TermId>
        </TermInfo>
      </Terms>
    </AvailableTranslations_0>
    <DocumentStatus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</TermName>
          <TermId xmlns="http://schemas.microsoft.com/office/infopath/2007/PartnerControls">150d2a88-1431-44e6-a8ca-0bb753ab8672</TermId>
        </TermInfo>
      </Terms>
    </DocumentStatus_0>
    <OriginalLanguage_0 xmlns="http://schemas.microsoft.com/sharepoint/v3/fields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</TermName>
          <TermId xmlns="http://schemas.microsoft.com/office/infopath/2007/PartnerControls">f2175f21-25d7-44a3-96da-d6a61b075e1b</TermId>
        </TermInfo>
      </Terms>
    </OriginalLanguage_0>
    <MeetingNumber xmlns="4e5ad790-8ffd-4f61-866f-51e1599a4efe" xsi:nil="true"/>
    <DossierName_0 xmlns="http://schemas.microsoft.com/sharepoint/v3/fields">
      <Terms xmlns="http://schemas.microsoft.com/office/infopath/2007/PartnerControls"/>
    </DossierName_0>
  </documentManagement>
</p:properties>
</file>

<file path=customXml/itemProps1.xml><?xml version="1.0" encoding="utf-8"?>
<ds:datastoreItem xmlns:ds="http://schemas.openxmlformats.org/officeDocument/2006/customXml" ds:itemID="{5486C363-9295-4FC9-9D71-19D112DAC0EA}"/>
</file>

<file path=customXml/itemProps2.xml><?xml version="1.0" encoding="utf-8"?>
<ds:datastoreItem xmlns:ds="http://schemas.openxmlformats.org/officeDocument/2006/customXml" ds:itemID="{19725CE9-37E0-4DDD-A30A-333D51C21FDB}"/>
</file>

<file path=customXml/itemProps3.xml><?xml version="1.0" encoding="utf-8"?>
<ds:datastoreItem xmlns:ds="http://schemas.openxmlformats.org/officeDocument/2006/customXml" ds:itemID="{270D2A6C-ECBB-43F6-836C-13BB6634B952}"/>
</file>

<file path=customXml/itemProps4.xml><?xml version="1.0" encoding="utf-8"?>
<ds:datastoreItem xmlns:ds="http://schemas.openxmlformats.org/officeDocument/2006/customXml" ds:itemID="{B3C0E94A-F26E-468B-8CFB-CBFC7341F1B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28</Pages>
  <Words>8599</Words>
  <Characters>49019</Characters>
  <Application>Microsoft Office Word</Application>
  <DocSecurity>0</DocSecurity>
  <Lines>408</Lines>
  <Paragraphs>115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Summary of opinions adopted - 562nd plenary session February  2022</vt:lpstr>
    </vt:vector>
  </TitlesOfParts>
  <Company>CESE-CdR</Company>
  <LinksUpToDate>false</LinksUpToDate>
  <CharactersWithSpaces>57503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júliusi plenáris ülésen elfogadott vélemények jegyzéke</dc:title>
  <dc:subject>TCD</dc:subject>
  <dc:creator>Nieddu Emma</dc:creator>
  <cp:keywords>EESC-2022-03184-00-00-TCD-TRA-EN</cp:keywords>
  <dc:description>Rapporteur:  - Original language: EN - Date of document: 03/08/2022 - Date of meeting: 30/21/2022 14:30 - External documents:  - Administrator: Mme DAMYANOVA-KERESTELIEVA Ani Alexieva</dc:description>
  <cp:lastModifiedBy>Maszlag Andrea</cp:lastModifiedBy>
  <cp:revision>15</cp:revision>
  <cp:lastPrinted>2022-05-02T09:48:00Z</cp:lastPrinted>
  <dcterms:created xsi:type="dcterms:W3CDTF">2022-07-19T15:37:00Z</dcterms:created>
  <dcterms:modified xsi:type="dcterms:W3CDTF">2022-08-03T08:28:00Z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ef_formatted">
    <vt:bool>true</vt:bool>
  </property>
  <property fmtid="{D5CDD505-2E9C-101B-9397-08002B2CF9AE}" pid="3" name="Pref_Date">
    <vt:lpwstr>19/07/2022, 29/03/2022, 04/03/2022, 15/12/2021, 13/09/2021, 03/09/2021, 28/06/2021</vt:lpwstr>
  </property>
  <property fmtid="{D5CDD505-2E9C-101B-9397-08002B2CF9AE}" pid="4" name="Pref_Time">
    <vt:lpwstr>15:30:24, 14:21:50, 16:54:06, 17:56:36, 14:13:00, 10:08:10, 08:41:48</vt:lpwstr>
  </property>
  <property fmtid="{D5CDD505-2E9C-101B-9397-08002B2CF9AE}" pid="5" name="Pref_User">
    <vt:lpwstr>enied, jhvi, enied, hnic, amett, enied, enied</vt:lpwstr>
  </property>
  <property fmtid="{D5CDD505-2E9C-101B-9397-08002B2CF9AE}" pid="6" name="Pref_FileName">
    <vt:lpwstr>EESC-2022-03184-00-00-TCD-ORI.docx, EESC-2022-01223-00-00-TCD-ORI.docx, EESC-2022-00391-00-00-TCD-ORI.docx, EESC-2021-05445-00-00-TCD-ORI.docx, EESC-2021-03366-00-01-TCD-ORI.docx, EESC-2021-03366-00-00-TCD-ORI.docx, Synthese des avis Template.docx</vt:lpwstr>
  </property>
  <property fmtid="{D5CDD505-2E9C-101B-9397-08002B2CF9AE}" pid="7" name="ContentTypeId">
    <vt:lpwstr>0x010100EA97B91038054C99906057A708A1480A00626EADD26EE0CA468385E76F4CAC56BA</vt:lpwstr>
  </property>
  <property fmtid="{D5CDD505-2E9C-101B-9397-08002B2CF9AE}" pid="8" name="_dlc_DocIdItemGuid">
    <vt:lpwstr>020f8fa7-5f8e-4d94-90d6-0607828b80f7</vt:lpwstr>
  </property>
  <property fmtid="{D5CDD505-2E9C-101B-9397-08002B2CF9AE}" pid="9" name="AvailableTranslations">
    <vt:lpwstr>36;#HU|6b229040-c589-4408-b4c1-4285663d20a8;#54;#ET|ff6c3f4c-b02c-4c3c-ab07-2c37995a7a0a;#44;#LT|a7ff5ce7-6123-4f68-865a-a57c31810414;#55;#HR|2f555653-ed1a-4fe6-8362-9082d95989e5;#41;#CS|72f9705b-0217-4fd3-bea2-cbc7ed80e26e;#29;#SV|c2ed69e7-a339-43d7-8f22-d93680a92aa0;#34;#SK|46d9fce0-ef79-4f71-b89b-cd6aa82426b8;#38;#FI|87606a43-d45f-42d6-b8c9-e1a3457db5b7;#42;#SL|98a412ae-eb01-49e9-ae3d-585a81724cfc;#31;#ES|e7a6b05b-ae16-40c8-add9-68b64b03aeba;#22;#DE|f6b31e5a-26fa-4935-b661-318e46daf27e;#33;#IT|0774613c-01ed-4e5d-a25d-11d2388de825;#30;#PL|1e03da61-4678-4e07-b136-b5024ca9197b;#43;#NL|55c6556c-b4f4-441d-9acf-c498d4f838bd;#11;#FR|d2afafd3-4c81-4f60-8f52-ee33f2f54ff3;#45;#RO|feb747a2-64cd-4299-af12-4833ddc30497;#26;#LV|46f7e311-5d9f-4663-b433-18aeccb7ace7;#37;#PT|50ccc04a-eadd-42ae-a0cb-acaf45f812ba;#46;#EL|6d4f4d51-af9b-4650-94b4-4276bee85c91</vt:lpwstr>
  </property>
  <property fmtid="{D5CDD505-2E9C-101B-9397-08002B2CF9AE}" pid="10" name="DocumentType_0">
    <vt:lpwstr>TCD|cd9d6eb6-3f4f-424a-b2d1-57c9d450eaaf</vt:lpwstr>
  </property>
  <property fmtid="{D5CDD505-2E9C-101B-9397-08002B2CF9AE}" pid="11" name="DossierName_0">
    <vt:lpwstr/>
  </property>
  <property fmtid="{D5CDD505-2E9C-101B-9397-08002B2CF9AE}" pid="12" name="DocumentSource_0">
    <vt:lpwstr>EESC|422833ec-8d7e-4e65-8e4e-8bed07ffb729</vt:lpwstr>
  </property>
  <property fmtid="{D5CDD505-2E9C-101B-9397-08002B2CF9AE}" pid="13" name="DocumentNumber">
    <vt:i4>3184</vt:i4>
  </property>
  <property fmtid="{D5CDD505-2E9C-101B-9397-08002B2CF9AE}" pid="14" name="DocumentYear">
    <vt:i4>2022</vt:i4>
  </property>
  <property fmtid="{D5CDD505-2E9C-101B-9397-08002B2CF9AE}" pid="15" name="DocumentVersion">
    <vt:i4>0</vt:i4>
  </property>
  <property fmtid="{D5CDD505-2E9C-101B-9397-08002B2CF9AE}" pid="16" name="FicheNumber">
    <vt:i4>9012</vt:i4>
  </property>
  <property fmtid="{D5CDD505-2E9C-101B-9397-08002B2CF9AE}" pid="17" name="DocumentStatus">
    <vt:lpwstr>7;#TRA|150d2a88-1431-44e6-a8ca-0bb753ab8672</vt:lpwstr>
  </property>
  <property fmtid="{D5CDD505-2E9C-101B-9397-08002B2CF9AE}" pid="18" name="DocumentPart">
    <vt:i4>0</vt:i4>
  </property>
  <property fmtid="{D5CDD505-2E9C-101B-9397-08002B2CF9AE}" pid="19" name="DossierName">
    <vt:lpwstr/>
  </property>
  <property fmtid="{D5CDD505-2E9C-101B-9397-08002B2CF9AE}" pid="20" name="DocumentSource">
    <vt:lpwstr>1;#EESC|422833ec-8d7e-4e65-8e4e-8bed07ffb729</vt:lpwstr>
  </property>
  <property fmtid="{D5CDD505-2E9C-101B-9397-08002B2CF9AE}" pid="22" name="DocumentType">
    <vt:lpwstr>25;#TCD|cd9d6eb6-3f4f-424a-b2d1-57c9d450eaaf</vt:lpwstr>
  </property>
  <property fmtid="{D5CDD505-2E9C-101B-9397-08002B2CF9AE}" pid="23" name="RequestingService">
    <vt:lpwstr>Greffe</vt:lpwstr>
  </property>
  <property fmtid="{D5CDD505-2E9C-101B-9397-08002B2CF9AE}" pid="24" name="Confidentiality">
    <vt:lpwstr>9;#Unrestricted|826e22d7-d029-4ec0-a450-0c28ff673572</vt:lpwstr>
  </property>
  <property fmtid="{D5CDD505-2E9C-101B-9397-08002B2CF9AE}" pid="25" name="MeetingName_0">
    <vt:lpwstr>SPL-CES|32d8cb1f-c9ec-4365-95c7-8385a18618ac</vt:lpwstr>
  </property>
  <property fmtid="{D5CDD505-2E9C-101B-9397-08002B2CF9AE}" pid="26" name="Confidentiality_0">
    <vt:lpwstr>Unrestricted|826e22d7-d029-4ec0-a450-0c28ff673572</vt:lpwstr>
  </property>
  <property fmtid="{D5CDD505-2E9C-101B-9397-08002B2CF9AE}" pid="27" name="OriginalLanguage">
    <vt:lpwstr>4;#EN|f2175f21-25d7-44a3-96da-d6a61b075e1b</vt:lpwstr>
  </property>
  <property fmtid="{D5CDD505-2E9C-101B-9397-08002B2CF9AE}" pid="28" name="MeetingName">
    <vt:lpwstr>51;#SPL-CES|32d8cb1f-c9ec-4365-95c7-8385a18618ac</vt:lpwstr>
  </property>
  <property fmtid="{D5CDD505-2E9C-101B-9397-08002B2CF9AE}" pid="29" name="MeetingDate">
    <vt:filetime>2022-09-21T12:00:00Z</vt:filetime>
  </property>
  <property fmtid="{D5CDD505-2E9C-101B-9397-08002B2CF9AE}" pid="30" name="AvailableTranslations_0">
    <vt:lpwstr>CS|72f9705b-0217-4fd3-bea2-cbc7ed80e26e;SL|98a412ae-eb01-49e9-ae3d-585a81724cfc;DE|f6b31e5a-26fa-4935-b661-318e46daf27e;IT|0774613c-01ed-4e5d-a25d-11d2388de825;FR|d2afafd3-4c81-4f60-8f52-ee33f2f54ff3;RO|feb747a2-64cd-4299-af12-4833ddc30497;PT|50ccc04a-eadd-42ae-a0cb-acaf45f812ba;EL|6d4f4d51-af9b-4650-94b4-4276bee85c91</vt:lpwstr>
  </property>
  <property fmtid="{D5CDD505-2E9C-101B-9397-08002B2CF9AE}" pid="31" name="DocumentStatus_0">
    <vt:lpwstr>TRA|150d2a88-1431-44e6-a8ca-0bb753ab8672</vt:lpwstr>
  </property>
  <property fmtid="{D5CDD505-2E9C-101B-9397-08002B2CF9AE}" pid="32" name="OriginalLanguage_0">
    <vt:lpwstr>EN|f2175f21-25d7-44a3-96da-d6a61b075e1b</vt:lpwstr>
  </property>
  <property fmtid="{D5CDD505-2E9C-101B-9397-08002B2CF9AE}" pid="33" name="TaxCatchAll">
    <vt:lpwstr>33;#IT|0774613c-01ed-4e5d-a25d-11d2388de825;#25;#TCD|cd9d6eb6-3f4f-424a-b2d1-57c9d450eaaf;#22;#DE|f6b31e5a-26fa-4935-b661-318e46daf27e;#45;#RO|feb747a2-64cd-4299-af12-4833ddc30497;#51;#SPL-CES|32d8cb1f-c9ec-4365-95c7-8385a18618ac;#46;#EL|6d4f4d51-af9b-4650-94b4-4276bee85c91;#11;#FR|d2afafd3-4c81-4f60-8f52-ee33f2f54ff3;#9;#Unrestricted|826e22d7-d029-4ec0-a450-0c28ff673572;#41;#CS|72f9705b-0217-4fd3-bea2-cbc7ed80e26e;#7;#TRA|150d2a88-1431-44e6-a8ca-0bb753ab8672;#6;#Final|ea5e6674-7b27-4bac-b091-73adbb394efe;#42;#SL|98a412ae-eb01-49e9-ae3d-585a81724cfc;#4;#EN|f2175f21-25d7-44a3-96da-d6a61b075e1b;#1;#EESC|422833ec-8d7e-4e65-8e4e-8bed07ffb729;#37;#PT|50ccc04a-eadd-42ae-a0cb-acaf45f812ba</vt:lpwstr>
  </property>
  <property fmtid="{D5CDD505-2E9C-101B-9397-08002B2CF9AE}" pid="34" name="VersionStatus_0">
    <vt:lpwstr>Final|ea5e6674-7b27-4bac-b091-73adbb394efe</vt:lpwstr>
  </property>
  <property fmtid="{D5CDD505-2E9C-101B-9397-08002B2CF9AE}" pid="35" name="VersionStatus">
    <vt:lpwstr>6;#Final|ea5e6674-7b27-4bac-b091-73adbb394efe</vt:lpwstr>
  </property>
  <property fmtid="{D5CDD505-2E9C-101B-9397-08002B2CF9AE}" pid="36" name="DocumentLanguage">
    <vt:lpwstr>36;#HU|6b229040-c589-4408-b4c1-4285663d20a8</vt:lpwstr>
  </property>
</Properties>
</file>