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6.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B70E7" w:rsidR="004D7AC0" w:rsidP="00116A1C" w:rsidRDefault="00EB3BD7" w14:paraId="785AE44C" w14:textId="21461B87">
      <w:pPr>
        <w:jc w:val="center"/>
      </w:pPr>
      <w:r>
        <w:rPr>
          <w:noProof/>
          <w:lang w:val="en-US"/>
        </w:rPr>
        <w:drawing>
          <wp:inline distT="0" distB="0" distL="0" distR="0" wp14:anchorId="5C02806C" wp14:editId="3ABD6920">
            <wp:extent cx="1792605" cy="1239520"/>
            <wp:effectExtent l="0" t="0" r="0" b="0"/>
            <wp:docPr id="2" name="Picture 2" title="EESCLogo_FI"/>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00721342">
        <w:rPr>
          <w:noProof/>
          <w:sz w:val="20"/>
          <w:lang w:val="en-US"/>
        </w:rPr>
        <mc:AlternateContent>
          <mc:Choice Requires="wps">
            <w:drawing>
              <wp:anchor distT="0" distB="0" distL="114300" distR="114300" simplePos="0" relativeHeight="251659264" behindDoc="1" locked="0" layoutInCell="0" allowOverlap="1" wp14:editId="199AD19A" wp14:anchorId="60050413">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60E65" w:rsidR="006C3FDB" w:rsidP="004D7AC0" w:rsidRDefault="006C3FDB" w14:paraId="2AA40ECF" w14:textId="77777777">
                            <w:pPr>
                              <w:jc w:val="center"/>
                              <w:rPr>
                                <w:rFonts w:ascii="Arial" w:hAnsi="Arial" w:cs="Arial"/>
                                <w:b/>
                                <w:bCs/>
                                <w:sz w:val="48"/>
                              </w:rPr>
                            </w:pPr>
                            <w:r>
                              <w:rPr>
                                <w:rFonts w:ascii="Arial" w:hAnsi="Arial"/>
                                <w:b/>
                                <w:sz w:val="48"/>
                              </w:rPr>
                              <w:t>FI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60050413">
                <v:stroke joinstyle="miter"/>
                <v:path gradientshapeok="t" o:connecttype="rect"/>
              </v:shapetype>
              <v:shape id="Text Box 17"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v:textbox>
                  <w:txbxContent>
                    <w:p w:rsidRPr="00260E65" w:rsidR="006C3FDB" w:rsidP="004D7AC0" w:rsidRDefault="006C3FDB" w14:paraId="2AA40ECF" w14:textId="77777777">
                      <w:pPr>
                        <w:jc w:val="center"/>
                        <w:rPr>
                          <w:rFonts w:ascii="Arial" w:hAnsi="Arial" w:cs="Arial"/>
                          <w:b/>
                          <w:bCs/>
                          <w:sz w:val="48"/>
                        </w:rPr>
                      </w:pPr>
                      <w:r>
                        <w:rPr>
                          <w:rFonts w:ascii="Arial" w:hAnsi="Arial"/>
                          <w:b/>
                          <w:sz w:val="48"/>
                        </w:rPr>
                        <w:t>FI</w:t>
                      </w:r>
                    </w:p>
                  </w:txbxContent>
                </v:textbox>
                <w10:wrap anchorx="page" anchory="page"/>
              </v:shape>
            </w:pict>
          </mc:Fallback>
        </mc:AlternateContent>
      </w:r>
    </w:p>
    <w:p w:rsidRPr="009B70E7" w:rsidR="004D7AC0" w:rsidP="00116A1C" w:rsidRDefault="004D7AC0" w14:paraId="51F52D79" w14:textId="77777777"/>
    <w:p w:rsidRPr="009B70E7" w:rsidR="004D7AC0" w:rsidP="00116A1C" w:rsidRDefault="00014C93" w14:paraId="45DE4A28" w14:textId="0EE2E322">
      <w:pPr>
        <w:jc w:val="right"/>
      </w:pPr>
      <w:r>
        <w:t>Bryssel 27. heinäkuuta 2022</w:t>
      </w:r>
    </w:p>
    <w:p w:rsidRPr="009B70E7" w:rsidR="004D7AC0" w:rsidRDefault="004D7AC0" w14:paraId="7BCFBA24" w14:textId="77777777"/>
    <w:p w:rsidRPr="009B70E7" w:rsidR="004D7AC0" w:rsidRDefault="004D7AC0" w14:paraId="6B250092" w14:textId="77777777">
      <w:bookmarkStart w:name="_GoBack" w:id="0"/>
      <w:bookmarkEnd w:id="0"/>
    </w:p>
    <w:p w:rsidRPr="009B70E7" w:rsidR="004D7AC0" w:rsidRDefault="004D7AC0" w14:paraId="0593C6DF" w14:textId="77777777"/>
    <w:tbl>
      <w:tblPr>
        <w:tblW w:w="0" w:type="auto"/>
        <w:tblLook w:val="04A0" w:firstRow="1" w:lastRow="0" w:firstColumn="1" w:lastColumn="0" w:noHBand="0" w:noVBand="1"/>
      </w:tblPr>
      <w:tblGrid>
        <w:gridCol w:w="9289"/>
      </w:tblGrid>
      <w:tr w:rsidRPr="009B70E7" w:rsidR="004D7AC0" w:rsidTr="00662436" w14:paraId="6D7B3453" w14:textId="77777777">
        <w:tc>
          <w:tcPr>
            <w:tcW w:w="9289" w:type="dxa"/>
            <w:tcBorders>
              <w:bottom w:val="double" w:color="auto" w:sz="4" w:space="0"/>
            </w:tcBorders>
          </w:tcPr>
          <w:p w:rsidRPr="009B70E7" w:rsidR="004D7AC0" w:rsidRDefault="00DA2D88" w14:paraId="114106CC" w14:textId="7056469C">
            <w:pPr>
              <w:snapToGrid w:val="0"/>
              <w:jc w:val="center"/>
              <w:rPr>
                <w:rFonts w:eastAsia="MS Mincho"/>
                <w:b/>
                <w:sz w:val="32"/>
                <w:szCs w:val="32"/>
              </w:rPr>
            </w:pPr>
            <w:r>
              <w:rPr>
                <w:b/>
                <w:sz w:val="32"/>
              </w:rPr>
              <w:t>571. TÄYSISTUNTO</w:t>
            </w:r>
            <w:r>
              <w:rPr>
                <w:b/>
                <w:sz w:val="32"/>
              </w:rPr>
              <w:br/>
            </w:r>
            <w:r>
              <w:rPr>
                <w:b/>
                <w:sz w:val="32"/>
              </w:rPr>
              <w:br/>
              <w:t>13. ja 14. heinäkuuta 2022</w:t>
            </w:r>
            <w:r>
              <w:rPr>
                <w:b/>
                <w:sz w:val="32"/>
              </w:rPr>
              <w:br/>
            </w:r>
            <w:r>
              <w:rPr>
                <w:b/>
                <w:sz w:val="32"/>
              </w:rPr>
              <w:br/>
              <w:t xml:space="preserve">ANNETUT LAUSUNNOT JA PÄÄTÖSLAUSELMAT SEKÄ TIEDONANNOT JA ARVIOINTIKERTOMUKSET </w:t>
            </w:r>
          </w:p>
          <w:p w:rsidRPr="009B70E7" w:rsidR="004D7AC0" w:rsidRDefault="004D7AC0" w14:paraId="06AE72EA" w14:textId="77777777">
            <w:pPr>
              <w:snapToGrid w:val="0"/>
            </w:pPr>
          </w:p>
        </w:tc>
      </w:tr>
      <w:tr w:rsidRPr="009B70E7" w:rsidR="004D7AC0" w:rsidTr="00662436" w14:paraId="45EAB22F" w14:textId="77777777">
        <w:tc>
          <w:tcPr>
            <w:tcW w:w="9289" w:type="dxa"/>
            <w:tcBorders>
              <w:top w:val="double" w:color="auto" w:sz="4" w:space="0"/>
              <w:left w:val="double" w:color="auto" w:sz="4" w:space="0"/>
              <w:bottom w:val="double" w:color="auto" w:sz="4" w:space="0"/>
              <w:right w:val="double" w:color="auto" w:sz="4" w:space="0"/>
            </w:tcBorders>
          </w:tcPr>
          <w:p w:rsidRPr="009B70E7" w:rsidR="004D7AC0" w:rsidRDefault="004D7AC0" w14:paraId="2A9352A2" w14:textId="77777777">
            <w:pPr>
              <w:snapToGrid w:val="0"/>
              <w:jc w:val="center"/>
            </w:pPr>
            <w:r>
              <w:t xml:space="preserve">Asiakirja on saatavilla unionin virallisilla kielillä </w:t>
            </w:r>
            <w:proofErr w:type="spellStart"/>
            <w:r>
              <w:t>ETSK:n</w:t>
            </w:r>
            <w:proofErr w:type="spellEnd"/>
            <w:r>
              <w:t xml:space="preserve"> verkkosivuilla osoitteessa</w:t>
            </w:r>
            <w:r>
              <w:br/>
            </w:r>
            <w:hyperlink w:history="1" r:id="rId12">
              <w:r>
                <w:rPr>
                  <w:rStyle w:val="Hyperlink"/>
                  <w:highlight w:val="yellow"/>
                </w:rPr>
                <w:t>https://www.eesc.europa.eu/fi/our-work/opinions-information-reports/plenary-session-summaries</w:t>
              </w:r>
            </w:hyperlink>
          </w:p>
          <w:p w:rsidRPr="009B70E7" w:rsidR="004D7AC0" w:rsidRDefault="004D7AC0" w14:paraId="70D5DBB4" w14:textId="77777777">
            <w:pPr>
              <w:snapToGrid w:val="0"/>
              <w:jc w:val="center"/>
            </w:pPr>
          </w:p>
          <w:p w:rsidRPr="009B70E7" w:rsidR="004D7AC0" w:rsidRDefault="004D7AC0" w14:paraId="575A73D6" w14:textId="77777777">
            <w:pPr>
              <w:snapToGrid w:val="0"/>
              <w:jc w:val="center"/>
              <w:rPr>
                <w:rFonts w:eastAsia="SimSun"/>
              </w:rPr>
            </w:pPr>
          </w:p>
          <w:p w:rsidRPr="009B70E7" w:rsidR="004D7AC0" w:rsidRDefault="004D7AC0" w14:paraId="441AC4DD" w14:textId="77777777">
            <w:pPr>
              <w:snapToGrid w:val="0"/>
              <w:jc w:val="center"/>
            </w:pPr>
            <w:r>
              <w:t>Mainitut lausunnot ovat haettavissa sähköisessä muodossa komitean hakukoneella:</w:t>
            </w:r>
            <w:r>
              <w:br/>
            </w:r>
            <w:r>
              <w:br/>
            </w:r>
            <w:hyperlink w:history="1" r:id="rId13">
              <w:r>
                <w:rPr>
                  <w:rStyle w:val="Hyperlink"/>
                </w:rPr>
                <w:t>https://dmsearch.eesc.europa.eu/search/opinion</w:t>
              </w:r>
            </w:hyperlink>
          </w:p>
          <w:p w:rsidRPr="009B70E7" w:rsidR="004D7AC0" w:rsidRDefault="004D7AC0" w14:paraId="51FF303F" w14:textId="77777777">
            <w:pPr>
              <w:snapToGrid w:val="0"/>
              <w:jc w:val="center"/>
            </w:pPr>
          </w:p>
        </w:tc>
      </w:tr>
    </w:tbl>
    <w:p w:rsidRPr="009B70E7" w:rsidR="004D7AC0" w:rsidRDefault="004D7AC0" w14:paraId="57C291FC" w14:textId="77777777"/>
    <w:p w:rsidRPr="009B70E7" w:rsidR="004D7AC0" w:rsidRDefault="004D7AC0" w14:paraId="5E675360" w14:textId="77777777"/>
    <w:p w:rsidR="007B7C40" w:rsidRDefault="007B7C40" w14:paraId="3CF67A1E" w14:textId="77777777">
      <w:pPr>
        <w:sectPr w:rsidR="007B7C40" w:rsidSect="00910972">
          <w:headerReference w:type="even" r:id="rId14"/>
          <w:headerReference w:type="default" r:id="rId15"/>
          <w:footerReference w:type="even" r:id="rId16"/>
          <w:footerReference w:type="default" r:id="rId17"/>
          <w:headerReference w:type="first" r:id="rId18"/>
          <w:footerReference w:type="first" r:id="rId19"/>
          <w:pgSz w:w="11907" w:h="16839"/>
          <w:pgMar w:top="1417" w:right="1417" w:bottom="1417" w:left="1417" w:header="709" w:footer="709" w:gutter="0"/>
          <w:pgNumType w:start="1"/>
          <w:cols w:space="708"/>
          <w:docGrid w:linePitch="360"/>
        </w:sectPr>
      </w:pPr>
    </w:p>
    <w:p w:rsidRPr="009B70E7" w:rsidR="004D7AC0" w:rsidRDefault="004D7AC0" w14:paraId="56B7AE7C" w14:textId="77777777">
      <w:pPr>
        <w:rPr>
          <w:b/>
        </w:rPr>
      </w:pPr>
    </w:p>
    <w:sdt>
      <w:sdtPr>
        <w:rPr>
          <w:rFonts w:ascii="Times New Roman" w:hAnsi="Times New Roman" w:eastAsia="Times New Roman" w:cs="Times New Roman"/>
          <w:color w:val="auto"/>
          <w:sz w:val="22"/>
          <w:szCs w:val="22"/>
        </w:rPr>
        <w:id w:val="-1759744941"/>
        <w:docPartObj>
          <w:docPartGallery w:val="Table of Contents"/>
          <w:docPartUnique/>
        </w:docPartObj>
      </w:sdtPr>
      <w:sdtEndPr>
        <w:rPr>
          <w:b/>
          <w:bCs/>
          <w:noProof/>
        </w:rPr>
      </w:sdtEndPr>
      <w:sdtContent>
        <w:p w:rsidR="001E6413" w:rsidRDefault="001E6413" w14:paraId="5FAD9FDD" w14:textId="77777777">
          <w:pPr>
            <w:pStyle w:val="TOCHeading"/>
          </w:pPr>
          <w:r>
            <w:t>Sisällys</w:t>
          </w:r>
        </w:p>
        <w:p w:rsidR="00E05CC4" w:rsidRDefault="001E6413" w14:paraId="16D909A5" w14:textId="5D1FB8E7">
          <w:pPr>
            <w:pStyle w:val="TOC1"/>
            <w:rPr>
              <w:rFonts w:asciiTheme="minorHAnsi" w:hAnsiTheme="minorHAnsi" w:eastAsiaTheme="minorEastAsia" w:cstheme="minorBidi"/>
              <w:noProof/>
              <w:lang w:val="en-US"/>
            </w:rPr>
          </w:pPr>
          <w:r>
            <w:fldChar w:fldCharType="begin"/>
          </w:r>
          <w:r>
            <w:instrText xml:space="preserve"> TOC \o "1-3" \h \z \u </w:instrText>
          </w:r>
          <w:r>
            <w:fldChar w:fldCharType="separate"/>
          </w:r>
          <w:hyperlink w:history="1" w:anchor="_Toc109906479">
            <w:r w:rsidRPr="0043646F" w:rsidR="00E05CC4">
              <w:rPr>
                <w:rStyle w:val="Hyperlink"/>
                <w:noProof/>
                <w14:scene3d>
                  <w14:camera w14:prst="orthographicFront"/>
                  <w14:lightRig w14:rig="threePt" w14:dir="t">
                    <w14:rot w14:lat="0" w14:lon="0" w14:rev="0"/>
                  </w14:lightRig>
                </w14:scene3d>
              </w:rPr>
              <w:t>1.</w:t>
            </w:r>
            <w:r w:rsidR="00E05CC4">
              <w:rPr>
                <w:rFonts w:asciiTheme="minorHAnsi" w:hAnsiTheme="minorHAnsi" w:eastAsiaTheme="minorEastAsia" w:cstheme="minorBidi"/>
                <w:noProof/>
                <w:lang w:val="en-US"/>
              </w:rPr>
              <w:tab/>
            </w:r>
            <w:r w:rsidRPr="0043646F" w:rsidR="00E05CC4">
              <w:rPr>
                <w:rStyle w:val="Hyperlink"/>
                <w:b/>
                <w:noProof/>
              </w:rPr>
              <w:t>EUROOPAN TALOUS- JA SOSIAALIKOMITEAN PÄÄTÖSLAUSELMA ”EUROOPAN KOMISSION VUODEN 2023 TYÖOHJELMAA KOSKEVA KANNANOTTO”</w:t>
            </w:r>
            <w:r w:rsidR="00E05CC4">
              <w:rPr>
                <w:noProof/>
                <w:webHidden/>
              </w:rPr>
              <w:tab/>
            </w:r>
            <w:r w:rsidR="00E05CC4">
              <w:rPr>
                <w:noProof/>
                <w:webHidden/>
              </w:rPr>
              <w:fldChar w:fldCharType="begin"/>
            </w:r>
            <w:r w:rsidR="00E05CC4">
              <w:rPr>
                <w:noProof/>
                <w:webHidden/>
              </w:rPr>
              <w:instrText xml:space="preserve"> PAGEREF _Toc109906479 \h </w:instrText>
            </w:r>
            <w:r w:rsidR="00E05CC4">
              <w:rPr>
                <w:noProof/>
                <w:webHidden/>
              </w:rPr>
            </w:r>
            <w:r w:rsidR="00E05CC4">
              <w:rPr>
                <w:noProof/>
                <w:webHidden/>
              </w:rPr>
              <w:fldChar w:fldCharType="separate"/>
            </w:r>
            <w:r w:rsidR="008536FC">
              <w:rPr>
                <w:noProof/>
                <w:webHidden/>
              </w:rPr>
              <w:t>3</w:t>
            </w:r>
            <w:r w:rsidR="00E05CC4">
              <w:rPr>
                <w:noProof/>
                <w:webHidden/>
              </w:rPr>
              <w:fldChar w:fldCharType="end"/>
            </w:r>
          </w:hyperlink>
        </w:p>
        <w:p w:rsidR="00E05CC4" w:rsidRDefault="00216BAA" w14:paraId="1F53B6C4" w14:textId="2A863302">
          <w:pPr>
            <w:pStyle w:val="TOC1"/>
            <w:rPr>
              <w:rFonts w:asciiTheme="minorHAnsi" w:hAnsiTheme="minorHAnsi" w:eastAsiaTheme="minorEastAsia" w:cstheme="minorBidi"/>
              <w:noProof/>
              <w:lang w:val="en-US"/>
            </w:rPr>
          </w:pPr>
          <w:hyperlink w:history="1" w:anchor="_Toc109906480">
            <w:r w:rsidRPr="0043646F" w:rsidR="00E05CC4">
              <w:rPr>
                <w:rStyle w:val="Hyperlink"/>
                <w:noProof/>
                <w14:scene3d>
                  <w14:camera w14:prst="orthographicFront"/>
                  <w14:lightRig w14:rig="threePt" w14:dir="t">
                    <w14:rot w14:lat="0" w14:lon="0" w14:rev="0"/>
                  </w14:lightRig>
                </w14:scene3d>
              </w:rPr>
              <w:t>2.</w:t>
            </w:r>
            <w:r w:rsidR="00E05CC4">
              <w:rPr>
                <w:rFonts w:asciiTheme="minorHAnsi" w:hAnsiTheme="minorHAnsi" w:eastAsiaTheme="minorEastAsia" w:cstheme="minorBidi"/>
                <w:noProof/>
                <w:lang w:val="en-US"/>
              </w:rPr>
              <w:tab/>
            </w:r>
            <w:r w:rsidRPr="0043646F" w:rsidR="00E05CC4">
              <w:rPr>
                <w:rStyle w:val="Hyperlink"/>
                <w:b/>
                <w:noProof/>
              </w:rPr>
              <w:t>TALOUS- JA RAHALIITTO, TALOUDELLINEN JA SOSIAALINEN YHTEENKUULUVUUS</w:t>
            </w:r>
            <w:r w:rsidR="00E05CC4">
              <w:rPr>
                <w:noProof/>
                <w:webHidden/>
              </w:rPr>
              <w:tab/>
            </w:r>
            <w:r w:rsidR="00E05CC4">
              <w:rPr>
                <w:noProof/>
                <w:webHidden/>
              </w:rPr>
              <w:fldChar w:fldCharType="begin"/>
            </w:r>
            <w:r w:rsidR="00E05CC4">
              <w:rPr>
                <w:noProof/>
                <w:webHidden/>
              </w:rPr>
              <w:instrText xml:space="preserve"> PAGEREF _Toc109906480 \h </w:instrText>
            </w:r>
            <w:r w:rsidR="00E05CC4">
              <w:rPr>
                <w:noProof/>
                <w:webHidden/>
              </w:rPr>
            </w:r>
            <w:r w:rsidR="00E05CC4">
              <w:rPr>
                <w:noProof/>
                <w:webHidden/>
              </w:rPr>
              <w:fldChar w:fldCharType="separate"/>
            </w:r>
            <w:r w:rsidR="008536FC">
              <w:rPr>
                <w:noProof/>
                <w:webHidden/>
              </w:rPr>
              <w:t>5</w:t>
            </w:r>
            <w:r w:rsidR="00E05CC4">
              <w:rPr>
                <w:noProof/>
                <w:webHidden/>
              </w:rPr>
              <w:fldChar w:fldCharType="end"/>
            </w:r>
          </w:hyperlink>
        </w:p>
        <w:p w:rsidR="00E05CC4" w:rsidRDefault="00216BAA" w14:paraId="69973D0A" w14:textId="1021C3CD">
          <w:pPr>
            <w:pStyle w:val="TOC1"/>
            <w:rPr>
              <w:rFonts w:asciiTheme="minorHAnsi" w:hAnsiTheme="minorHAnsi" w:eastAsiaTheme="minorEastAsia" w:cstheme="minorBidi"/>
              <w:noProof/>
              <w:lang w:val="en-US"/>
            </w:rPr>
          </w:pPr>
          <w:hyperlink w:history="1" w:anchor="_Toc109906481">
            <w:r w:rsidRPr="0043646F" w:rsidR="00E05CC4">
              <w:rPr>
                <w:rStyle w:val="Hyperlink"/>
                <w:noProof/>
                <w14:scene3d>
                  <w14:camera w14:prst="orthographicFront"/>
                  <w14:lightRig w14:rig="threePt" w14:dir="t">
                    <w14:rot w14:lat="0" w14:lon="0" w14:rev="0"/>
                  </w14:lightRig>
                </w14:scene3d>
              </w:rPr>
              <w:t>3.</w:t>
            </w:r>
            <w:r w:rsidR="00E05CC4">
              <w:rPr>
                <w:rFonts w:asciiTheme="minorHAnsi" w:hAnsiTheme="minorHAnsi" w:eastAsiaTheme="minorEastAsia" w:cstheme="minorBidi"/>
                <w:noProof/>
                <w:lang w:val="en-US"/>
              </w:rPr>
              <w:tab/>
            </w:r>
            <w:r w:rsidRPr="0043646F" w:rsidR="00E05CC4">
              <w:rPr>
                <w:rStyle w:val="Hyperlink"/>
                <w:b/>
                <w:noProof/>
              </w:rPr>
              <w:t>TYÖLLISYYS, SOSIAALIASIAT JA KANSALAISUUS</w:t>
            </w:r>
            <w:r w:rsidR="00E05CC4">
              <w:rPr>
                <w:noProof/>
                <w:webHidden/>
              </w:rPr>
              <w:tab/>
            </w:r>
            <w:r w:rsidR="00E05CC4">
              <w:rPr>
                <w:noProof/>
                <w:webHidden/>
              </w:rPr>
              <w:fldChar w:fldCharType="begin"/>
            </w:r>
            <w:r w:rsidR="00E05CC4">
              <w:rPr>
                <w:noProof/>
                <w:webHidden/>
              </w:rPr>
              <w:instrText xml:space="preserve"> PAGEREF _Toc109906481 \h </w:instrText>
            </w:r>
            <w:r w:rsidR="00E05CC4">
              <w:rPr>
                <w:noProof/>
                <w:webHidden/>
              </w:rPr>
            </w:r>
            <w:r w:rsidR="00E05CC4">
              <w:rPr>
                <w:noProof/>
                <w:webHidden/>
              </w:rPr>
              <w:fldChar w:fldCharType="separate"/>
            </w:r>
            <w:r w:rsidR="008536FC">
              <w:rPr>
                <w:noProof/>
                <w:webHidden/>
              </w:rPr>
              <w:t>8</w:t>
            </w:r>
            <w:r w:rsidR="00E05CC4">
              <w:rPr>
                <w:noProof/>
                <w:webHidden/>
              </w:rPr>
              <w:fldChar w:fldCharType="end"/>
            </w:r>
          </w:hyperlink>
        </w:p>
        <w:p w:rsidR="00E05CC4" w:rsidRDefault="00216BAA" w14:paraId="6A0D9F8B" w14:textId="3D746E9B">
          <w:pPr>
            <w:pStyle w:val="TOC1"/>
            <w:rPr>
              <w:rFonts w:asciiTheme="minorHAnsi" w:hAnsiTheme="minorHAnsi" w:eastAsiaTheme="minorEastAsia" w:cstheme="minorBidi"/>
              <w:noProof/>
              <w:lang w:val="en-US"/>
            </w:rPr>
          </w:pPr>
          <w:hyperlink w:history="1" w:anchor="_Toc109906482">
            <w:r w:rsidRPr="0043646F" w:rsidR="00E05CC4">
              <w:rPr>
                <w:rStyle w:val="Hyperlink"/>
                <w:noProof/>
                <w14:scene3d>
                  <w14:camera w14:prst="orthographicFront"/>
                  <w14:lightRig w14:rig="threePt" w14:dir="t">
                    <w14:rot w14:lat="0" w14:lon="0" w14:rev="0"/>
                  </w14:lightRig>
                </w14:scene3d>
              </w:rPr>
              <w:t>4.</w:t>
            </w:r>
            <w:r w:rsidR="00E05CC4">
              <w:rPr>
                <w:rFonts w:asciiTheme="minorHAnsi" w:hAnsiTheme="minorHAnsi" w:eastAsiaTheme="minorEastAsia" w:cstheme="minorBidi"/>
                <w:noProof/>
                <w:lang w:val="en-US"/>
              </w:rPr>
              <w:tab/>
            </w:r>
            <w:r w:rsidRPr="0043646F" w:rsidR="00E05CC4">
              <w:rPr>
                <w:rStyle w:val="Hyperlink"/>
                <w:b/>
                <w:noProof/>
              </w:rPr>
              <w:t>LIIKENNE, ENERGIA, PERUSRAKENTEET, TIETOYHTEISKUNTA</w:t>
            </w:r>
            <w:r w:rsidR="00E05CC4">
              <w:rPr>
                <w:noProof/>
                <w:webHidden/>
              </w:rPr>
              <w:tab/>
            </w:r>
            <w:r w:rsidR="00E05CC4">
              <w:rPr>
                <w:noProof/>
                <w:webHidden/>
              </w:rPr>
              <w:fldChar w:fldCharType="begin"/>
            </w:r>
            <w:r w:rsidR="00E05CC4">
              <w:rPr>
                <w:noProof/>
                <w:webHidden/>
              </w:rPr>
              <w:instrText xml:space="preserve"> PAGEREF _Toc109906482 \h </w:instrText>
            </w:r>
            <w:r w:rsidR="00E05CC4">
              <w:rPr>
                <w:noProof/>
                <w:webHidden/>
              </w:rPr>
            </w:r>
            <w:r w:rsidR="00E05CC4">
              <w:rPr>
                <w:noProof/>
                <w:webHidden/>
              </w:rPr>
              <w:fldChar w:fldCharType="separate"/>
            </w:r>
            <w:r w:rsidR="008536FC">
              <w:rPr>
                <w:noProof/>
                <w:webHidden/>
              </w:rPr>
              <w:t>11</w:t>
            </w:r>
            <w:r w:rsidR="00E05CC4">
              <w:rPr>
                <w:noProof/>
                <w:webHidden/>
              </w:rPr>
              <w:fldChar w:fldCharType="end"/>
            </w:r>
          </w:hyperlink>
        </w:p>
        <w:p w:rsidR="00E05CC4" w:rsidRDefault="00216BAA" w14:paraId="27AE7B74" w14:textId="34168300">
          <w:pPr>
            <w:pStyle w:val="TOC1"/>
            <w:rPr>
              <w:rFonts w:asciiTheme="minorHAnsi" w:hAnsiTheme="minorHAnsi" w:eastAsiaTheme="minorEastAsia" w:cstheme="minorBidi"/>
              <w:noProof/>
              <w:lang w:val="en-US"/>
            </w:rPr>
          </w:pPr>
          <w:hyperlink w:history="1" w:anchor="_Toc109906483">
            <w:r w:rsidRPr="0043646F" w:rsidR="00E05CC4">
              <w:rPr>
                <w:rStyle w:val="Hyperlink"/>
                <w:noProof/>
                <w14:scene3d>
                  <w14:camera w14:prst="orthographicFront"/>
                  <w14:lightRig w14:rig="threePt" w14:dir="t">
                    <w14:rot w14:lat="0" w14:lon="0" w14:rev="0"/>
                  </w14:lightRig>
                </w14:scene3d>
              </w:rPr>
              <w:t>5.</w:t>
            </w:r>
            <w:r w:rsidR="00E05CC4">
              <w:rPr>
                <w:rFonts w:asciiTheme="minorHAnsi" w:hAnsiTheme="minorHAnsi" w:eastAsiaTheme="minorEastAsia" w:cstheme="minorBidi"/>
                <w:noProof/>
                <w:lang w:val="en-US"/>
              </w:rPr>
              <w:tab/>
            </w:r>
            <w:r w:rsidRPr="0043646F" w:rsidR="00E05CC4">
              <w:rPr>
                <w:rStyle w:val="Hyperlink"/>
                <w:b/>
                <w:noProof/>
              </w:rPr>
              <w:t>SISÄMARKKINAT, TUOTANTO JA KULUTUS</w:t>
            </w:r>
            <w:r w:rsidR="00E05CC4">
              <w:rPr>
                <w:noProof/>
                <w:webHidden/>
              </w:rPr>
              <w:tab/>
            </w:r>
            <w:r w:rsidR="00E05CC4">
              <w:rPr>
                <w:noProof/>
                <w:webHidden/>
              </w:rPr>
              <w:fldChar w:fldCharType="begin"/>
            </w:r>
            <w:r w:rsidR="00E05CC4">
              <w:rPr>
                <w:noProof/>
                <w:webHidden/>
              </w:rPr>
              <w:instrText xml:space="preserve"> PAGEREF _Toc109906483 \h </w:instrText>
            </w:r>
            <w:r w:rsidR="00E05CC4">
              <w:rPr>
                <w:noProof/>
                <w:webHidden/>
              </w:rPr>
            </w:r>
            <w:r w:rsidR="00E05CC4">
              <w:rPr>
                <w:noProof/>
                <w:webHidden/>
              </w:rPr>
              <w:fldChar w:fldCharType="separate"/>
            </w:r>
            <w:r w:rsidR="008536FC">
              <w:rPr>
                <w:noProof/>
                <w:webHidden/>
              </w:rPr>
              <w:t>15</w:t>
            </w:r>
            <w:r w:rsidR="00E05CC4">
              <w:rPr>
                <w:noProof/>
                <w:webHidden/>
              </w:rPr>
              <w:fldChar w:fldCharType="end"/>
            </w:r>
          </w:hyperlink>
        </w:p>
        <w:p w:rsidR="00E05CC4" w:rsidRDefault="00216BAA" w14:paraId="6BC2D074" w14:textId="2AAB026B">
          <w:pPr>
            <w:pStyle w:val="TOC1"/>
            <w:rPr>
              <w:rFonts w:asciiTheme="minorHAnsi" w:hAnsiTheme="minorHAnsi" w:eastAsiaTheme="minorEastAsia" w:cstheme="minorBidi"/>
              <w:noProof/>
              <w:lang w:val="en-US"/>
            </w:rPr>
          </w:pPr>
          <w:hyperlink w:history="1" w:anchor="_Toc109906484">
            <w:r w:rsidRPr="0043646F" w:rsidR="00E05CC4">
              <w:rPr>
                <w:rStyle w:val="Hyperlink"/>
                <w:noProof/>
                <w14:scene3d>
                  <w14:camera w14:prst="orthographicFront"/>
                  <w14:lightRig w14:rig="threePt" w14:dir="t">
                    <w14:rot w14:lat="0" w14:lon="0" w14:rev="0"/>
                  </w14:lightRig>
                </w14:scene3d>
              </w:rPr>
              <w:t>6.</w:t>
            </w:r>
            <w:r w:rsidR="00E05CC4">
              <w:rPr>
                <w:rFonts w:asciiTheme="minorHAnsi" w:hAnsiTheme="minorHAnsi" w:eastAsiaTheme="minorEastAsia" w:cstheme="minorBidi"/>
                <w:noProof/>
                <w:lang w:val="en-US"/>
              </w:rPr>
              <w:tab/>
            </w:r>
            <w:r w:rsidRPr="0043646F" w:rsidR="00E05CC4">
              <w:rPr>
                <w:rStyle w:val="Hyperlink"/>
                <w:b/>
                <w:noProof/>
              </w:rPr>
              <w:t>MAATALOUS, MAASEUDUN KEHITTÄMINEN JA YMPÄRISTÖ</w:t>
            </w:r>
            <w:r w:rsidR="00E05CC4">
              <w:rPr>
                <w:noProof/>
                <w:webHidden/>
              </w:rPr>
              <w:tab/>
            </w:r>
            <w:r w:rsidR="00E05CC4">
              <w:rPr>
                <w:noProof/>
                <w:webHidden/>
              </w:rPr>
              <w:fldChar w:fldCharType="begin"/>
            </w:r>
            <w:r w:rsidR="00E05CC4">
              <w:rPr>
                <w:noProof/>
                <w:webHidden/>
              </w:rPr>
              <w:instrText xml:space="preserve"> PAGEREF _Toc109906484 \h </w:instrText>
            </w:r>
            <w:r w:rsidR="00E05CC4">
              <w:rPr>
                <w:noProof/>
                <w:webHidden/>
              </w:rPr>
            </w:r>
            <w:r w:rsidR="00E05CC4">
              <w:rPr>
                <w:noProof/>
                <w:webHidden/>
              </w:rPr>
              <w:fldChar w:fldCharType="separate"/>
            </w:r>
            <w:r w:rsidR="008536FC">
              <w:rPr>
                <w:noProof/>
                <w:webHidden/>
              </w:rPr>
              <w:t>19</w:t>
            </w:r>
            <w:r w:rsidR="00E05CC4">
              <w:rPr>
                <w:noProof/>
                <w:webHidden/>
              </w:rPr>
              <w:fldChar w:fldCharType="end"/>
            </w:r>
          </w:hyperlink>
        </w:p>
        <w:p w:rsidR="00E05CC4" w:rsidRDefault="00216BAA" w14:paraId="2BC3DEA3" w14:textId="7694818C">
          <w:pPr>
            <w:pStyle w:val="TOC1"/>
            <w:rPr>
              <w:rFonts w:asciiTheme="minorHAnsi" w:hAnsiTheme="minorHAnsi" w:eastAsiaTheme="minorEastAsia" w:cstheme="minorBidi"/>
              <w:noProof/>
              <w:lang w:val="en-US"/>
            </w:rPr>
          </w:pPr>
          <w:hyperlink w:history="1" w:anchor="_Toc109906485">
            <w:r w:rsidRPr="0043646F" w:rsidR="00E05CC4">
              <w:rPr>
                <w:rStyle w:val="Hyperlink"/>
                <w:noProof/>
                <w14:scene3d>
                  <w14:camera w14:prst="orthographicFront"/>
                  <w14:lightRig w14:rig="threePt" w14:dir="t">
                    <w14:rot w14:lat="0" w14:lon="0" w14:rev="0"/>
                  </w14:lightRig>
                </w14:scene3d>
              </w:rPr>
              <w:t>7.</w:t>
            </w:r>
            <w:r w:rsidR="00E05CC4">
              <w:rPr>
                <w:rFonts w:asciiTheme="minorHAnsi" w:hAnsiTheme="minorHAnsi" w:eastAsiaTheme="minorEastAsia" w:cstheme="minorBidi"/>
                <w:noProof/>
                <w:lang w:val="en-US"/>
              </w:rPr>
              <w:tab/>
            </w:r>
            <w:r w:rsidRPr="0043646F" w:rsidR="00E05CC4">
              <w:rPr>
                <w:rStyle w:val="Hyperlink"/>
                <w:b/>
                <w:noProof/>
              </w:rPr>
              <w:t>ULKOSUHTEET</w:t>
            </w:r>
            <w:r w:rsidR="00E05CC4">
              <w:rPr>
                <w:noProof/>
                <w:webHidden/>
              </w:rPr>
              <w:tab/>
            </w:r>
            <w:r w:rsidR="00E05CC4">
              <w:rPr>
                <w:noProof/>
                <w:webHidden/>
              </w:rPr>
              <w:fldChar w:fldCharType="begin"/>
            </w:r>
            <w:r w:rsidR="00E05CC4">
              <w:rPr>
                <w:noProof/>
                <w:webHidden/>
              </w:rPr>
              <w:instrText xml:space="preserve"> PAGEREF _Toc109906485 \h </w:instrText>
            </w:r>
            <w:r w:rsidR="00E05CC4">
              <w:rPr>
                <w:noProof/>
                <w:webHidden/>
              </w:rPr>
            </w:r>
            <w:r w:rsidR="00E05CC4">
              <w:rPr>
                <w:noProof/>
                <w:webHidden/>
              </w:rPr>
              <w:fldChar w:fldCharType="separate"/>
            </w:r>
            <w:r w:rsidR="008536FC">
              <w:rPr>
                <w:noProof/>
                <w:webHidden/>
              </w:rPr>
              <w:t>22</w:t>
            </w:r>
            <w:r w:rsidR="00E05CC4">
              <w:rPr>
                <w:noProof/>
                <w:webHidden/>
              </w:rPr>
              <w:fldChar w:fldCharType="end"/>
            </w:r>
          </w:hyperlink>
        </w:p>
        <w:p w:rsidR="00E05CC4" w:rsidRDefault="00216BAA" w14:paraId="1440EDA8" w14:textId="667B0FEB">
          <w:pPr>
            <w:pStyle w:val="TOC1"/>
            <w:rPr>
              <w:rFonts w:asciiTheme="minorHAnsi" w:hAnsiTheme="minorHAnsi" w:eastAsiaTheme="minorEastAsia" w:cstheme="minorBidi"/>
              <w:noProof/>
              <w:lang w:val="en-US"/>
            </w:rPr>
          </w:pPr>
          <w:hyperlink w:history="1" w:anchor="_Toc109906486">
            <w:r w:rsidRPr="0043646F" w:rsidR="00E05CC4">
              <w:rPr>
                <w:rStyle w:val="Hyperlink"/>
                <w:noProof/>
                <w14:scene3d>
                  <w14:camera w14:prst="orthographicFront"/>
                  <w14:lightRig w14:rig="threePt" w14:dir="t">
                    <w14:rot w14:lat="0" w14:lon="0" w14:rev="0"/>
                  </w14:lightRig>
                </w14:scene3d>
              </w:rPr>
              <w:t>8.</w:t>
            </w:r>
            <w:r w:rsidR="00E05CC4">
              <w:rPr>
                <w:rFonts w:asciiTheme="minorHAnsi" w:hAnsiTheme="minorHAnsi" w:eastAsiaTheme="minorEastAsia" w:cstheme="minorBidi"/>
                <w:noProof/>
                <w:lang w:val="en-US"/>
              </w:rPr>
              <w:tab/>
            </w:r>
            <w:r w:rsidRPr="0043646F" w:rsidR="00E05CC4">
              <w:rPr>
                <w:rStyle w:val="Hyperlink"/>
                <w:b/>
                <w:noProof/>
              </w:rPr>
              <w:t>NEUVOA-ANTAVA VALIOKUNTA ”TEOLLISUUDEN MUUTOKSET”</w:t>
            </w:r>
            <w:r w:rsidR="00E05CC4">
              <w:rPr>
                <w:noProof/>
                <w:webHidden/>
              </w:rPr>
              <w:tab/>
            </w:r>
            <w:r w:rsidR="00E05CC4">
              <w:rPr>
                <w:noProof/>
                <w:webHidden/>
              </w:rPr>
              <w:fldChar w:fldCharType="begin"/>
            </w:r>
            <w:r w:rsidR="00E05CC4">
              <w:rPr>
                <w:noProof/>
                <w:webHidden/>
              </w:rPr>
              <w:instrText xml:space="preserve"> PAGEREF _Toc109906486 \h </w:instrText>
            </w:r>
            <w:r w:rsidR="00E05CC4">
              <w:rPr>
                <w:noProof/>
                <w:webHidden/>
              </w:rPr>
            </w:r>
            <w:r w:rsidR="00E05CC4">
              <w:rPr>
                <w:noProof/>
                <w:webHidden/>
              </w:rPr>
              <w:fldChar w:fldCharType="separate"/>
            </w:r>
            <w:r w:rsidR="008536FC">
              <w:rPr>
                <w:noProof/>
                <w:webHidden/>
              </w:rPr>
              <w:t>25</w:t>
            </w:r>
            <w:r w:rsidR="00E05CC4">
              <w:rPr>
                <w:noProof/>
                <w:webHidden/>
              </w:rPr>
              <w:fldChar w:fldCharType="end"/>
            </w:r>
          </w:hyperlink>
        </w:p>
        <w:p w:rsidR="001E6413" w:rsidRDefault="001E6413" w14:paraId="684BFB9B" w14:textId="2A36E417">
          <w:r>
            <w:rPr>
              <w:b/>
            </w:rPr>
            <w:fldChar w:fldCharType="end"/>
          </w:r>
        </w:p>
      </w:sdtContent>
    </w:sdt>
    <w:p w:rsidRPr="009B70E7" w:rsidR="004D7AC0" w:rsidRDefault="004D7AC0" w14:paraId="4600634B" w14:textId="77777777"/>
    <w:p w:rsidRPr="00D13F40" w:rsidR="00D13F40" w:rsidP="00910972" w:rsidRDefault="004D7AC0" w14:paraId="17EE0300" w14:textId="77777777">
      <w:pPr>
        <w:pStyle w:val="Heading1"/>
        <w:ind w:left="567" w:hanging="567"/>
        <w:rPr>
          <w:b/>
          <w:bCs/>
          <w:iCs/>
        </w:rPr>
      </w:pPr>
      <w:r>
        <w:br w:type="page"/>
      </w:r>
      <w:bookmarkStart w:name="_Toc109906479" w:id="1"/>
      <w:r>
        <w:rPr>
          <w:b/>
        </w:rPr>
        <w:lastRenderedPageBreak/>
        <w:t>EUROOPAN TALOUS- JA SOSIAALIKOMITEAN PÄÄTÖSLAUSELMA ”EUROOPAN KOMISSION VUODEN 2023 TYÖOHJELMAA KOSKEVA KANNANOTTO”</w:t>
      </w:r>
      <w:bookmarkEnd w:id="1"/>
    </w:p>
    <w:p w:rsidRPr="00EC533C" w:rsidR="00D13F40" w:rsidP="00D13F40" w:rsidRDefault="00D13F40" w14:paraId="20F5C6CE" w14:textId="77777777">
      <w:pPr>
        <w:rPr>
          <w:b/>
        </w:rPr>
      </w:pPr>
    </w:p>
    <w:p w:rsidRPr="0059551E" w:rsidR="00D13F40" w:rsidP="002C1BC2" w:rsidRDefault="0059551E" w14:paraId="0FD8A255" w14:textId="0FCD5100">
      <w:pPr>
        <w:keepNext/>
        <w:keepLines/>
        <w:numPr>
          <w:ilvl w:val="0"/>
          <w:numId w:val="5"/>
        </w:numPr>
        <w:overflowPunct w:val="0"/>
        <w:autoSpaceDE w:val="0"/>
        <w:autoSpaceDN w:val="0"/>
        <w:adjustRightInd w:val="0"/>
        <w:ind w:left="567" w:hanging="567"/>
        <w:textAlignment w:val="baseline"/>
        <w:rPr>
          <w:b/>
          <w:i/>
          <w:sz w:val="28"/>
          <w:szCs w:val="28"/>
        </w:rPr>
      </w:pPr>
      <w:r>
        <w:rPr>
          <w:b/>
          <w:i/>
          <w:sz w:val="28"/>
        </w:rPr>
        <w:t>Euroopan komission vuoden 2023 työohjelmaa koskeva kannanotto</w:t>
      </w:r>
    </w:p>
    <w:p w:rsidRPr="00032038" w:rsidR="00D13F40" w:rsidP="00D13F40" w:rsidRDefault="00D13F40" w14:paraId="04D85406" w14:textId="77777777">
      <w:pPr>
        <w:contextualSpacing/>
      </w:pPr>
    </w:p>
    <w:tbl>
      <w:tblPr>
        <w:tblStyle w:val="TableGrid7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6096"/>
      </w:tblGrid>
      <w:tr w:rsidRPr="00032038" w:rsidR="00D13F40" w:rsidTr="00D13F40" w14:paraId="1EF331B0" w14:textId="77777777">
        <w:tc>
          <w:tcPr>
            <w:tcW w:w="1701" w:type="dxa"/>
          </w:tcPr>
          <w:p w:rsidRPr="00032038" w:rsidR="00D13F40" w:rsidP="00D13F40" w:rsidRDefault="00D13F40" w14:paraId="7A1C260B" w14:textId="77777777">
            <w:pPr>
              <w:contextualSpacing/>
              <w:rPr>
                <w:b/>
              </w:rPr>
            </w:pPr>
            <w:r>
              <w:rPr>
                <w:b/>
              </w:rPr>
              <w:t>Esittelijät:</w:t>
            </w:r>
          </w:p>
        </w:tc>
        <w:tc>
          <w:tcPr>
            <w:tcW w:w="6096" w:type="dxa"/>
          </w:tcPr>
          <w:p w:rsidRPr="00032038" w:rsidR="00D13F40" w:rsidP="00D13F40" w:rsidRDefault="00D13F40" w14:paraId="24EC7938" w14:textId="77777777">
            <w:pPr>
              <w:ind w:left="-108"/>
              <w:contextualSpacing/>
            </w:pPr>
            <w:proofErr w:type="spellStart"/>
            <w:r>
              <w:t>Mariya</w:t>
            </w:r>
            <w:proofErr w:type="spellEnd"/>
            <w:r>
              <w:t xml:space="preserve"> </w:t>
            </w:r>
            <w:proofErr w:type="spellStart"/>
            <w:r>
              <w:t>Mincheva</w:t>
            </w:r>
            <w:proofErr w:type="spellEnd"/>
            <w:r>
              <w:t xml:space="preserve"> (työnantajat – BG)</w:t>
            </w:r>
          </w:p>
        </w:tc>
      </w:tr>
      <w:tr w:rsidRPr="00032038" w:rsidR="00D13F40" w:rsidTr="00D13F40" w14:paraId="12B0AF8A" w14:textId="77777777">
        <w:tc>
          <w:tcPr>
            <w:tcW w:w="1701" w:type="dxa"/>
          </w:tcPr>
          <w:p w:rsidRPr="00032038" w:rsidR="00D13F40" w:rsidP="00D13F40" w:rsidRDefault="00D13F40" w14:paraId="72C5E654" w14:textId="77777777">
            <w:pPr>
              <w:contextualSpacing/>
              <w:rPr>
                <w:b/>
              </w:rPr>
            </w:pPr>
          </w:p>
        </w:tc>
        <w:tc>
          <w:tcPr>
            <w:tcW w:w="6096" w:type="dxa"/>
          </w:tcPr>
          <w:p w:rsidRPr="0022407C" w:rsidR="00D13F40" w:rsidP="00D13F40" w:rsidRDefault="00D13F40" w14:paraId="2D2229F7" w14:textId="77777777">
            <w:pPr>
              <w:ind w:left="-108"/>
              <w:contextualSpacing/>
            </w:pPr>
            <w:proofErr w:type="spellStart"/>
            <w:r>
              <w:t>Stefano</w:t>
            </w:r>
            <w:proofErr w:type="spellEnd"/>
            <w:r>
              <w:t xml:space="preserve"> </w:t>
            </w:r>
            <w:proofErr w:type="spellStart"/>
            <w:r>
              <w:t>Palmieri</w:t>
            </w:r>
            <w:proofErr w:type="spellEnd"/>
            <w:r>
              <w:t xml:space="preserve"> (työntekijät – IT)</w:t>
            </w:r>
          </w:p>
        </w:tc>
      </w:tr>
      <w:tr w:rsidRPr="00032038" w:rsidR="00D13F40" w:rsidTr="00D13F40" w14:paraId="3C4184F3" w14:textId="77777777">
        <w:tc>
          <w:tcPr>
            <w:tcW w:w="1701" w:type="dxa"/>
          </w:tcPr>
          <w:p w:rsidRPr="00032038" w:rsidR="00D13F40" w:rsidP="00D13F40" w:rsidRDefault="00D13F40" w14:paraId="1F4B0D90" w14:textId="77777777">
            <w:pPr>
              <w:contextualSpacing/>
              <w:rPr>
                <w:b/>
              </w:rPr>
            </w:pPr>
          </w:p>
        </w:tc>
        <w:tc>
          <w:tcPr>
            <w:tcW w:w="6096" w:type="dxa"/>
          </w:tcPr>
          <w:p w:rsidR="00D13F40" w:rsidP="00D13F40" w:rsidRDefault="00D13F40" w14:paraId="1D540B48" w14:textId="77777777">
            <w:pPr>
              <w:ind w:left="-108"/>
              <w:contextualSpacing/>
            </w:pPr>
            <w:proofErr w:type="spellStart"/>
            <w:r>
              <w:t>Kinga</w:t>
            </w:r>
            <w:proofErr w:type="spellEnd"/>
            <w:r>
              <w:t xml:space="preserve"> </w:t>
            </w:r>
            <w:proofErr w:type="spellStart"/>
            <w:r>
              <w:t>Joó</w:t>
            </w:r>
            <w:proofErr w:type="spellEnd"/>
            <w:r>
              <w:t xml:space="preserve"> (kansalaisyhteiskunnan organisaatiot – HU)</w:t>
            </w:r>
          </w:p>
        </w:tc>
      </w:tr>
      <w:tr w:rsidRPr="00032038" w:rsidR="00D13F40" w:rsidTr="00D13F40" w14:paraId="75A8EBEE" w14:textId="77777777">
        <w:tc>
          <w:tcPr>
            <w:tcW w:w="7797" w:type="dxa"/>
            <w:gridSpan w:val="2"/>
          </w:tcPr>
          <w:p w:rsidRPr="00032038" w:rsidR="00D13F40" w:rsidP="00D13F40" w:rsidRDefault="00D13F40" w14:paraId="3896362B" w14:textId="77777777">
            <w:pPr>
              <w:contextualSpacing/>
              <w:rPr>
                <w:lang w:val="fr-BE"/>
              </w:rPr>
            </w:pPr>
          </w:p>
        </w:tc>
      </w:tr>
      <w:tr w:rsidRPr="00032038" w:rsidR="00D13F40" w:rsidTr="00D13F40" w14:paraId="67EE6EF8" w14:textId="77777777">
        <w:tc>
          <w:tcPr>
            <w:tcW w:w="1701" w:type="dxa"/>
          </w:tcPr>
          <w:p w:rsidRPr="00032038" w:rsidR="00D13F40" w:rsidP="00D13F40" w:rsidRDefault="00D13F40" w14:paraId="6C700145" w14:textId="77777777">
            <w:pPr>
              <w:contextualSpacing/>
              <w:rPr>
                <w:b/>
              </w:rPr>
            </w:pPr>
            <w:r>
              <w:rPr>
                <w:b/>
              </w:rPr>
              <w:t xml:space="preserve">Viiteasiakirja: </w:t>
            </w:r>
          </w:p>
        </w:tc>
        <w:tc>
          <w:tcPr>
            <w:tcW w:w="6096" w:type="dxa"/>
          </w:tcPr>
          <w:p w:rsidRPr="00032038" w:rsidR="00D13F40" w:rsidP="00910972" w:rsidRDefault="00F6297B" w14:paraId="79F9318A" w14:textId="403B185E">
            <w:pPr>
              <w:tabs>
                <w:tab w:val="center" w:pos="284"/>
              </w:tabs>
              <w:ind w:left="266" w:hanging="374"/>
            </w:pPr>
            <w:r>
              <w:t>EESC-2022-02408-00-00-RES-TRA</w:t>
            </w:r>
          </w:p>
        </w:tc>
      </w:tr>
    </w:tbl>
    <w:p w:rsidRPr="00032038" w:rsidR="00D13F40" w:rsidP="00D13F40" w:rsidRDefault="00D13F40" w14:paraId="41241967" w14:textId="77777777">
      <w:pPr>
        <w:contextualSpacing/>
        <w:rPr>
          <w:b/>
        </w:rPr>
      </w:pPr>
    </w:p>
    <w:p w:rsidRPr="0086045C" w:rsidR="00D13F40" w:rsidP="00D13F40" w:rsidRDefault="00D13F40" w14:paraId="20EF612E" w14:textId="2C581C0B">
      <w:pPr>
        <w:pStyle w:val="ListParagraph"/>
        <w:spacing w:line="240" w:lineRule="auto"/>
        <w:ind w:left="-142" w:firstLine="142"/>
        <w:rPr>
          <w:b/>
        </w:rPr>
      </w:pPr>
      <w:r>
        <w:rPr>
          <w:b/>
        </w:rPr>
        <w:t>Keskeiset kohdat</w:t>
      </w:r>
    </w:p>
    <w:p w:rsidRPr="00032038" w:rsidR="00D13F40" w:rsidP="00D13F40" w:rsidRDefault="00D13F40" w14:paraId="1A6FF69B" w14:textId="77777777">
      <w:pPr>
        <w:contextualSpacing/>
        <w:rPr>
          <w:lang w:val="fr-FR"/>
        </w:rPr>
      </w:pPr>
    </w:p>
    <w:p w:rsidRPr="00032038" w:rsidR="00D13F40" w:rsidP="00D13F40" w:rsidRDefault="00D13F40" w14:paraId="54546A6E" w14:textId="77777777">
      <w:pPr>
        <w:numPr>
          <w:ilvl w:val="0"/>
          <w:numId w:val="3"/>
        </w:numPr>
        <w:overflowPunct w:val="0"/>
        <w:autoSpaceDE w:val="0"/>
        <w:autoSpaceDN w:val="0"/>
        <w:adjustRightInd w:val="0"/>
        <w:ind w:left="357" w:hanging="357"/>
        <w:textAlignment w:val="baseline"/>
        <w:rPr>
          <w:bCs/>
          <w:iCs/>
        </w:rPr>
      </w:pPr>
      <w:r>
        <w:t>ETSK vaatii, että strategisessa ennakoinnissa otetaan geopoliittiset kehityssuunnat paljon nykyistä paremmin huomioon. Kuten toisiaan seuranneet kriisit ovat osoittaneet, on tärkeää rakentaa Euroopan taloudesta häiriöitä paremmin kestävä ja lieventää erilaisten kriisien toissijaisia vaikutuksia (inflaatio, energian ja raaka-aineiden hintojen nousu, toimitusvaikeudet ja toimitusketjun häiriöt). Kriiseistä toipumisen vauhdittamiseksi komission ja jäsenvaltioiden olisi laadittava ja pidettävä tavoitteena toimintapolitiikkoja ja aloitteita, jotka tuovat yhtä aikaa taloudellisia, sosiaalisia ja ekologisia hyötyjä eli vahvistavat liiketoimintaympäristöä, parantavat työ- ja elinoloja ja helpottavat siirtymistä ilmastoneutraaliin kiertotalouteen.</w:t>
      </w:r>
    </w:p>
    <w:p w:rsidRPr="00032038" w:rsidR="00D13F40" w:rsidP="00D13F40" w:rsidRDefault="00D13F40" w14:paraId="4583DACC" w14:textId="77777777">
      <w:pPr>
        <w:numPr>
          <w:ilvl w:val="0"/>
          <w:numId w:val="3"/>
        </w:numPr>
        <w:overflowPunct w:val="0"/>
        <w:autoSpaceDE w:val="0"/>
        <w:autoSpaceDN w:val="0"/>
        <w:adjustRightInd w:val="0"/>
        <w:ind w:left="357" w:hanging="357"/>
        <w:textAlignment w:val="baseline"/>
        <w:rPr>
          <w:bCs/>
          <w:iCs/>
        </w:rPr>
      </w:pPr>
      <w:r>
        <w:t xml:space="preserve">EU:n elpyminen ja kyky palautua kriiseistä on kiinteästi sidoksissa kestävään kasvuun, sosiaaliseen lähentymiseen ja työllisyyden ja työolojen ja </w:t>
      </w:r>
      <w:r>
        <w:noBreakHyphen/>
        <w:t>ehtojen myönteiseen kehitykseen Euroopan vihreän kehityksen ohjelman, Euroopan sosiaalisten oikeuksien pilarin ja sen toimintasuunnitelman sekä kestävän kehityksen tavoitteiden mukaisesti. ETSK peräänkuuluttaakin vaurauteen keskittyvää tarkistettua ja uudelleen tasapainotettua talouden ohjausjärjestelmää. Talous- ja rahaliiton syventäminen merkitsee samalla myös talouden ohjauksen ja hallinnan vahvistamista eli pankkiunionin ja pääomamarkkinaunionin valmiiksi saattamista ja EU-ohjausjakson roolin lujittamista kasvun, yhteenkuuluvuuden, osallistavuuden, kilpailukyvyn ja lähentymisen lisäämisessä.</w:t>
      </w:r>
    </w:p>
    <w:p w:rsidR="00D13F40" w:rsidP="00D13F40" w:rsidRDefault="00D13F40" w14:paraId="6E6D9FF8" w14:textId="77777777">
      <w:pPr>
        <w:numPr>
          <w:ilvl w:val="0"/>
          <w:numId w:val="3"/>
        </w:numPr>
        <w:overflowPunct w:val="0"/>
        <w:autoSpaceDE w:val="0"/>
        <w:autoSpaceDN w:val="0"/>
        <w:adjustRightInd w:val="0"/>
        <w:ind w:left="357" w:hanging="357"/>
        <w:textAlignment w:val="baseline"/>
      </w:pPr>
      <w:r>
        <w:t>Eurooppalaiset yhteiskunnat ovat jo kärsineet suuresti pandemiasta, ja Ukrainan kriisi on jälleen uusi valtava isku, joka kohdistuu ennen kaikkea yhteiskunnan heikko-osaisimpiin. Myös solidaarisuuden ja sosiaalisen lähentymisen on oltava ohjenuorana EU:n tuleville poliittisille linjauksille: Ukrainan sodan vastatoimet vaativat uhrauksia kaikilta, ja on varmistettava, että taakka jakautuu oikeudenmukaisesti. EU:n jäsenvaltioilla on oltava riittävästi finanssipoliittista liikkumavaraa kielteisten taloudellisten ja sosiaalisten vaikutusten torjumiseksi. Tässä tilanteessa ETSK varoittaa yleisen poikkeuslausekkeen ennenaikaisesta käytöstä poistamisesta. Komissio voisi jatkaa keskusteluja jäsenvaltioiden kanssa mahdollisuudesta ottaa käyttöön työttömyysvakuutusjärjestelmien kaltaisia pitkän aikavälin välineitä, joilla puututtaisiin systeemisiin, tämänhetkisten kriisien entisestään pahentamiin ongelmiin. SURE-mekanismin vaikutuksia ja mahdollista jatkokäyttöä olisi pohdittava, ja siitä olisi keskusteltava myös työmarkkinaosapuolten kanssa.</w:t>
      </w:r>
    </w:p>
    <w:p w:rsidRPr="0086045C" w:rsidR="00D13F40" w:rsidP="00D13F40" w:rsidRDefault="00D13F40" w14:paraId="7E9EE174" w14:textId="77777777">
      <w:pPr>
        <w:numPr>
          <w:ilvl w:val="0"/>
          <w:numId w:val="3"/>
        </w:numPr>
        <w:overflowPunct w:val="0"/>
        <w:autoSpaceDE w:val="0"/>
        <w:autoSpaceDN w:val="0"/>
        <w:adjustRightInd w:val="0"/>
        <w:ind w:left="357" w:hanging="357"/>
        <w:textAlignment w:val="baseline"/>
      </w:pPr>
      <w:r>
        <w:t xml:space="preserve">EU:n energiapolitiikan on oltava realistista ja autettava rakentamaan energiaunioni ja saavuttamaan ilmastotavoitteet asettamatta lisärasitteita työntekijöille ja heikossa asemassa oleville kuluttajille ja heikentämättä eurooppalaisten yritysten kilpailukykyä. EU:n on pyrittävä kohti kunnianhimoisia ilmastotavoitteitaan siten, että samanaikaisesti taataan energiatoimitusten vakaus ja kohtuuhintaisen </w:t>
      </w:r>
      <w:r>
        <w:lastRenderedPageBreak/>
        <w:t>energian saanti yrityksille ja kansalaisille. Menestyksen varmistamiseksi on saatava käyttöön riittävästi yksityisiä ja julkisia investointeja.</w:t>
      </w:r>
    </w:p>
    <w:p w:rsidRPr="00361E48" w:rsidR="00D13F40" w:rsidP="00D13F40" w:rsidRDefault="00D13F40" w14:paraId="303C22CA" w14:textId="77777777">
      <w:pPr>
        <w:numPr>
          <w:ilvl w:val="0"/>
          <w:numId w:val="3"/>
        </w:numPr>
        <w:overflowPunct w:val="0"/>
        <w:autoSpaceDE w:val="0"/>
        <w:autoSpaceDN w:val="0"/>
        <w:adjustRightInd w:val="0"/>
        <w:ind w:left="357" w:hanging="357"/>
        <w:textAlignment w:val="baseline"/>
      </w:pPr>
      <w:r>
        <w:t>On tärkeää, ettei unohdeta EU:n pitkän aikavälin tarpeita, joihin kuuluvat esimerkiksi ilmastoneutraalius vuoteen 2050 mennessä sekä köyhyyden ja sosiaalisen syrjäytymisen torjuminen, jotta kansalaisille voidaan turvata menestyksekäs tulevaisuus. Myös EU:n terveydenhuoltoalan valmiuksia on vahvistettava lisäämällä tutkimusta ja parantamalla menetelmiä lisääntyvän hoidontarpeen ja mahdollisten tulevien pandemioiden hallitsemiseksi. Kestävä kehitys olisi otettava kaikkien toimintapolitiikkojen, ohjelmien ja toimenpiteiden yleiseksi ja kokonaisvaltaiseksi tavoitteeksi. ETSK on tukenut Euroopan vihreän kehityksen ohjelman täytäntöönpanoa ja korostanut, että sen on tapahduttava sosiaalisesti oikeudenmukaisella tavalla ja niin, että taataan Euroopan elintarviketurva ja energian saaminen kohtuulliseen hintaan. On erittäin tärkeää kannustaa kansalaisia ja sidosryhmiä osallistumaan aktiivisesti siirtymään kohti vähähiilistä yhteiskuntaa.</w:t>
      </w:r>
    </w:p>
    <w:p w:rsidR="00D13F40" w:rsidP="00D13F40" w:rsidRDefault="00D13F40" w14:paraId="0E0F7EC5" w14:textId="77777777">
      <w:pPr>
        <w:numPr>
          <w:ilvl w:val="0"/>
          <w:numId w:val="3"/>
        </w:numPr>
        <w:overflowPunct w:val="0"/>
        <w:autoSpaceDE w:val="0"/>
        <w:autoSpaceDN w:val="0"/>
        <w:adjustRightInd w:val="0"/>
        <w:ind w:left="357" w:hanging="357"/>
        <w:textAlignment w:val="baseline"/>
      </w:pPr>
      <w:r>
        <w:t>Kansalaisvuoropuhelua sidosryhmien ja yhteiskuntaryhmien kanssa ja niiden kesken on parannettava, jotta voidaan vahvistaa niiden sitoutumista ja todellista osallistumista niitä koskevien päätösten tekoon ja vahvistaa kansalaisten roolia tulevaisuuden Euroopan rakentamisessa. Verkkopohjaisia menettelyjä on täydennettävä järjestelmällisellä vuoropuhelulla kansalaisyhteiskunnan organisaatioiden kanssa kaikissa poliittisen päätöksenteon vaiheissa, myös täytäntöönpano- ja arviointivaiheessa. On erittäin tärkeää panostaa tulevaisuuskonferenssin ehdotusten jatkotoimiin, jotta kansalaisten vaatimuksiin vastattaisiin. ETSK on valmis kantamaan kortensa kekoon ja varmistamaan konferenssin tulosten asianmukaisen seurannan, ja jos perussopimusten muuttamista käsittelevä valmistelukunta perustetaan, komitea vaatii itselleen merkittävää roolia siinä.</w:t>
      </w:r>
    </w:p>
    <w:p w:rsidRPr="00032038" w:rsidR="00D13F40" w:rsidP="00D13F40" w:rsidRDefault="00D13F40" w14:paraId="037F07D0" w14:textId="77777777">
      <w:pPr>
        <w:overflowPunct w:val="0"/>
        <w:autoSpaceDE w:val="0"/>
        <w:autoSpaceDN w:val="0"/>
        <w:adjustRightInd w:val="0"/>
        <w:ind w:left="357"/>
        <w:textAlignment w:val="baseline"/>
      </w:pPr>
    </w:p>
    <w:tbl>
      <w:tblPr>
        <w:tblStyle w:val="TableGrid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56"/>
        <w:gridCol w:w="5670"/>
      </w:tblGrid>
      <w:tr w:rsidRPr="00164813" w:rsidR="00D13F40" w:rsidTr="00D13F40" w14:paraId="5ADA768A" w14:textId="77777777">
        <w:tc>
          <w:tcPr>
            <w:tcW w:w="1418" w:type="dxa"/>
          </w:tcPr>
          <w:p w:rsidRPr="00164813" w:rsidR="00D13F40" w:rsidP="00D13F40" w:rsidRDefault="00D13F40" w14:paraId="3B5B6B8A" w14:textId="77777777">
            <w:pPr>
              <w:contextualSpacing/>
              <w:rPr>
                <w:i/>
              </w:rPr>
            </w:pPr>
            <w:r>
              <w:rPr>
                <w:b/>
                <w:i/>
              </w:rPr>
              <w:t>Yhteydenotot:</w:t>
            </w:r>
          </w:p>
        </w:tc>
        <w:tc>
          <w:tcPr>
            <w:tcW w:w="5670" w:type="dxa"/>
          </w:tcPr>
          <w:p w:rsidRPr="00164813" w:rsidR="00D13F40" w:rsidP="00D13F40" w:rsidRDefault="00D13F40" w14:paraId="3D3950B8" w14:textId="77777777">
            <w:pPr>
              <w:contextualSpacing/>
              <w:rPr>
                <w:i/>
              </w:rPr>
            </w:pPr>
            <w:r>
              <w:rPr>
                <w:i/>
              </w:rPr>
              <w:t xml:space="preserve">Domenico </w:t>
            </w:r>
            <w:proofErr w:type="spellStart"/>
            <w:r>
              <w:rPr>
                <w:i/>
              </w:rPr>
              <w:t>Cosmai</w:t>
            </w:r>
            <w:proofErr w:type="spellEnd"/>
          </w:p>
        </w:tc>
      </w:tr>
      <w:tr w:rsidRPr="00164813" w:rsidR="00D13F40" w:rsidTr="00D13F40" w14:paraId="37A5B264" w14:textId="77777777">
        <w:tc>
          <w:tcPr>
            <w:tcW w:w="1418" w:type="dxa"/>
          </w:tcPr>
          <w:p w:rsidRPr="00164813" w:rsidR="00D13F40" w:rsidP="00D13F40" w:rsidRDefault="00D13F40" w14:paraId="0A0261DB" w14:textId="77777777">
            <w:pPr>
              <w:ind w:left="601"/>
              <w:contextualSpacing/>
              <w:rPr>
                <w:i/>
              </w:rPr>
            </w:pPr>
            <w:r>
              <w:rPr>
                <w:i/>
              </w:rPr>
              <w:t>P.</w:t>
            </w:r>
          </w:p>
        </w:tc>
        <w:tc>
          <w:tcPr>
            <w:tcW w:w="5670" w:type="dxa"/>
          </w:tcPr>
          <w:p w:rsidRPr="00164813" w:rsidR="00D13F40" w:rsidP="00D13F40" w:rsidRDefault="00D13F40" w14:paraId="1870BA3F" w14:textId="77777777">
            <w:pPr>
              <w:contextualSpacing/>
              <w:rPr>
                <w:i/>
              </w:rPr>
            </w:pPr>
            <w:r>
              <w:rPr>
                <w:i/>
              </w:rPr>
              <w:t>+32 25469041</w:t>
            </w:r>
          </w:p>
        </w:tc>
      </w:tr>
      <w:tr w:rsidRPr="00164813" w:rsidR="00D13F40" w:rsidTr="00D13F40" w14:paraId="0DD10512" w14:textId="77777777">
        <w:tc>
          <w:tcPr>
            <w:tcW w:w="1418" w:type="dxa"/>
          </w:tcPr>
          <w:p w:rsidRPr="00164813" w:rsidR="00D13F40" w:rsidP="00D13F40" w:rsidRDefault="00D13F40" w14:paraId="6AB9864F" w14:textId="77777777">
            <w:pPr>
              <w:ind w:left="601"/>
              <w:contextualSpacing/>
              <w:rPr>
                <w:i/>
              </w:rPr>
            </w:pPr>
            <w:r>
              <w:rPr>
                <w:i/>
              </w:rPr>
              <w:t>Sähköposti:</w:t>
            </w:r>
          </w:p>
        </w:tc>
        <w:tc>
          <w:tcPr>
            <w:tcW w:w="5670" w:type="dxa"/>
          </w:tcPr>
          <w:p w:rsidRPr="00164813" w:rsidR="00D13F40" w:rsidP="00910972" w:rsidRDefault="00216BAA" w14:paraId="5EBCD8AB" w14:textId="6E96CD92">
            <w:pPr>
              <w:contextualSpacing/>
              <w:rPr>
                <w:i/>
              </w:rPr>
            </w:pPr>
            <w:hyperlink w:history="1" r:id="rId20">
              <w:r w:rsidR="00EB3BD7">
                <w:rPr>
                  <w:rStyle w:val="Hyperlink"/>
                </w:rPr>
                <w:t>Domenico.Cosmai@eesc.europa.eu</w:t>
              </w:r>
            </w:hyperlink>
          </w:p>
        </w:tc>
      </w:tr>
    </w:tbl>
    <w:p w:rsidR="00D35512" w:rsidRDefault="00D35512" w14:paraId="26BC3B10" w14:textId="44A04F65">
      <w:pPr>
        <w:jc w:val="left"/>
      </w:pPr>
    </w:p>
    <w:p w:rsidR="00D35512" w:rsidRDefault="00D35512" w14:paraId="5512BC58" w14:textId="77777777">
      <w:pPr>
        <w:spacing w:after="160" w:line="259" w:lineRule="auto"/>
        <w:jc w:val="left"/>
      </w:pPr>
      <w:r>
        <w:br w:type="page"/>
      </w:r>
    </w:p>
    <w:p w:rsidRPr="009B70E7" w:rsidR="004D7AC0" w:rsidRDefault="004D7AC0" w14:paraId="68489C47" w14:textId="77777777">
      <w:pPr>
        <w:jc w:val="left"/>
      </w:pPr>
    </w:p>
    <w:p w:rsidRPr="00D13F40" w:rsidR="004D7AC0" w:rsidP="00D13F40" w:rsidRDefault="004D7AC0" w14:paraId="1E329F25" w14:textId="77777777">
      <w:pPr>
        <w:pStyle w:val="Heading1"/>
        <w:rPr>
          <w:b/>
        </w:rPr>
      </w:pPr>
      <w:bookmarkStart w:name="_Toc109906480" w:id="2"/>
      <w:r>
        <w:rPr>
          <w:b/>
        </w:rPr>
        <w:t>TALOUS- JA RAHALIITTO, TALOUDELLINEN JA SOSIAALINEN YHTEENKUULUVUUS</w:t>
      </w:r>
      <w:bookmarkEnd w:id="2"/>
    </w:p>
    <w:p w:rsidR="00662436" w:rsidP="0018231C" w:rsidRDefault="00662436" w14:paraId="1710091D" w14:textId="77777777">
      <w:pPr>
        <w:spacing w:line="240" w:lineRule="auto"/>
      </w:pPr>
    </w:p>
    <w:p w:rsidRPr="009B70E7" w:rsidR="00640656" w:rsidP="00640656" w:rsidRDefault="000A03BD" w14:paraId="5D3A59A0" w14:textId="77777777">
      <w:pPr>
        <w:keepNext/>
        <w:keepLines/>
        <w:numPr>
          <w:ilvl w:val="0"/>
          <w:numId w:val="5"/>
        </w:numPr>
        <w:overflowPunct w:val="0"/>
        <w:autoSpaceDE w:val="0"/>
        <w:autoSpaceDN w:val="0"/>
        <w:adjustRightInd w:val="0"/>
        <w:ind w:left="567" w:hanging="567"/>
        <w:textAlignment w:val="baseline"/>
        <w:rPr>
          <w:b/>
          <w:i/>
          <w:spacing w:val="-2"/>
          <w:sz w:val="28"/>
          <w:szCs w:val="28"/>
        </w:rPr>
      </w:pPr>
      <w:proofErr w:type="spellStart"/>
      <w:r>
        <w:rPr>
          <w:b/>
          <w:i/>
          <w:sz w:val="28"/>
        </w:rPr>
        <w:t>Rajatylittävien</w:t>
      </w:r>
      <w:proofErr w:type="spellEnd"/>
      <w:r>
        <w:rPr>
          <w:b/>
          <w:i/>
          <w:sz w:val="28"/>
        </w:rPr>
        <w:t xml:space="preserve"> etätyöntekijöiden ja heidän työnantajiensa verotus</w:t>
      </w:r>
    </w:p>
    <w:p w:rsidRPr="0018231C" w:rsidR="00640656" w:rsidP="00640656" w:rsidRDefault="00640656" w14:paraId="228D42E4" w14:textId="77777777">
      <w:pPr>
        <w:keepNext/>
        <w:keepLines/>
        <w:overflowPunct w:val="0"/>
        <w:autoSpaceDE w:val="0"/>
        <w:autoSpaceDN w:val="0"/>
        <w:adjustRightInd w:val="0"/>
        <w:textAlignment w:val="baseline"/>
        <w:rPr>
          <w:spacing w:val="-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6521"/>
      </w:tblGrid>
      <w:tr w:rsidRPr="00627B8F" w:rsidR="00640656" w:rsidTr="00B83E7B" w14:paraId="17A96696" w14:textId="77777777">
        <w:tc>
          <w:tcPr>
            <w:tcW w:w="1701" w:type="dxa"/>
          </w:tcPr>
          <w:p w:rsidRPr="009B70E7" w:rsidR="00640656" w:rsidP="002C4B6E" w:rsidRDefault="00640656" w14:paraId="204BF0A8" w14:textId="77777777">
            <w:pPr>
              <w:pStyle w:val="ListParagraph"/>
              <w:spacing w:line="240" w:lineRule="auto"/>
              <w:ind w:left="-142" w:firstLine="142"/>
              <w:rPr>
                <w:b/>
              </w:rPr>
            </w:pPr>
            <w:r>
              <w:rPr>
                <w:b/>
              </w:rPr>
              <w:t>Esittelijä:</w:t>
            </w:r>
          </w:p>
        </w:tc>
        <w:tc>
          <w:tcPr>
            <w:tcW w:w="6521" w:type="dxa"/>
          </w:tcPr>
          <w:p w:rsidRPr="00627B8F" w:rsidR="00640656" w:rsidP="00B83E7B" w:rsidRDefault="000A03BD" w14:paraId="1C5C2FFB" w14:textId="77777777">
            <w:pPr>
              <w:pStyle w:val="ListParagraph"/>
              <w:ind w:left="-60" w:right="-55"/>
            </w:pPr>
            <w:r>
              <w:t>Krister Andersson (työnantajat – SE)</w:t>
            </w:r>
          </w:p>
        </w:tc>
      </w:tr>
      <w:tr w:rsidRPr="009B70E7" w:rsidR="00640656" w:rsidTr="00B83E7B" w14:paraId="6D38B34C" w14:textId="77777777">
        <w:tc>
          <w:tcPr>
            <w:tcW w:w="8222" w:type="dxa"/>
            <w:gridSpan w:val="2"/>
          </w:tcPr>
          <w:p w:rsidRPr="009B70E7" w:rsidR="00640656" w:rsidP="00B83E7B" w:rsidRDefault="00640656" w14:paraId="58D13705" w14:textId="77777777">
            <w:pPr>
              <w:pStyle w:val="ListParagraph"/>
              <w:ind w:left="0"/>
            </w:pPr>
          </w:p>
        </w:tc>
      </w:tr>
      <w:tr w:rsidRPr="00627B8F" w:rsidR="00640656" w:rsidTr="00B83E7B" w14:paraId="3D93C3AA" w14:textId="77777777">
        <w:tc>
          <w:tcPr>
            <w:tcW w:w="1701" w:type="dxa"/>
          </w:tcPr>
          <w:p w:rsidRPr="009B70E7" w:rsidR="00640656" w:rsidP="00804736" w:rsidRDefault="00640656" w14:paraId="33436DCF" w14:textId="77777777">
            <w:pPr>
              <w:pStyle w:val="ListParagraph"/>
              <w:spacing w:line="240" w:lineRule="auto"/>
              <w:ind w:left="-142" w:firstLine="142"/>
              <w:rPr>
                <w:b/>
              </w:rPr>
            </w:pPr>
            <w:r>
              <w:rPr>
                <w:b/>
              </w:rPr>
              <w:t xml:space="preserve">Viiteasiakirja: </w:t>
            </w:r>
          </w:p>
        </w:tc>
        <w:tc>
          <w:tcPr>
            <w:tcW w:w="6521" w:type="dxa"/>
          </w:tcPr>
          <w:p w:rsidRPr="00627B8F" w:rsidR="00640656" w:rsidP="00B83E7B" w:rsidRDefault="000A03BD" w14:paraId="3CD87A23" w14:textId="77777777">
            <w:pPr>
              <w:pStyle w:val="ListParagraph"/>
              <w:ind w:left="-61"/>
              <w:rPr>
                <w:bCs/>
              </w:rPr>
            </w:pPr>
            <w:r>
              <w:t>oma-aloitteinen lausunto</w:t>
            </w:r>
          </w:p>
          <w:p w:rsidRPr="00627B8F" w:rsidR="00640656" w:rsidP="00B83E7B" w:rsidRDefault="00640656" w14:paraId="57D265AF" w14:textId="77777777">
            <w:pPr>
              <w:pStyle w:val="ListParagraph"/>
              <w:ind w:left="-61"/>
            </w:pPr>
            <w:r>
              <w:t>EESC-2022-00408-00-00-AC</w:t>
            </w:r>
          </w:p>
        </w:tc>
      </w:tr>
    </w:tbl>
    <w:p w:rsidRPr="00627B8F" w:rsidR="00640656" w:rsidP="00640656" w:rsidRDefault="00640656" w14:paraId="68C62979" w14:textId="77777777">
      <w:pPr>
        <w:pStyle w:val="ListParagraph"/>
        <w:spacing w:line="240" w:lineRule="auto"/>
        <w:ind w:left="0"/>
        <w:rPr>
          <w:lang w:val="pt-PT"/>
        </w:rPr>
      </w:pPr>
    </w:p>
    <w:p w:rsidRPr="009B70E7" w:rsidR="00640656" w:rsidP="00700030" w:rsidRDefault="00631509" w14:paraId="1531E332" w14:textId="77777777">
      <w:pPr>
        <w:pStyle w:val="ListParagraph"/>
        <w:spacing w:line="240" w:lineRule="auto"/>
        <w:ind w:left="-142" w:firstLine="142"/>
        <w:rPr>
          <w:b/>
        </w:rPr>
      </w:pPr>
      <w:r>
        <w:rPr>
          <w:b/>
        </w:rPr>
        <w:t xml:space="preserve"> Keskeiset kohdat</w:t>
      </w:r>
    </w:p>
    <w:p w:rsidRPr="00804736" w:rsidR="00640656" w:rsidP="00804736" w:rsidRDefault="00640656" w14:paraId="35E5BFA5" w14:textId="77777777">
      <w:pPr>
        <w:pStyle w:val="ListParagraph"/>
        <w:spacing w:line="240" w:lineRule="auto"/>
        <w:ind w:left="-142" w:firstLine="142"/>
        <w:rPr>
          <w:b/>
        </w:rPr>
      </w:pPr>
    </w:p>
    <w:p w:rsidRPr="009B70E7" w:rsidR="00640656" w:rsidP="00640656" w:rsidRDefault="00640656" w14:paraId="49F5E58C" w14:textId="77777777">
      <w:pPr>
        <w:pStyle w:val="ListParagraph"/>
        <w:spacing w:line="240" w:lineRule="auto"/>
        <w:ind w:left="0"/>
      </w:pPr>
      <w:r>
        <w:t>ETSK</w:t>
      </w:r>
    </w:p>
    <w:p w:rsidRPr="009B70E7" w:rsidR="00640656" w:rsidP="00640656" w:rsidRDefault="00640656" w14:paraId="79740612" w14:textId="77777777">
      <w:pPr>
        <w:pStyle w:val="ListParagraph"/>
        <w:spacing w:line="276" w:lineRule="auto"/>
        <w:ind w:left="0"/>
      </w:pPr>
    </w:p>
    <w:p w:rsidRPr="009B70E7" w:rsidR="00640656" w:rsidP="00640656" w:rsidRDefault="000A03BD" w14:paraId="7319D50D" w14:textId="77777777">
      <w:pPr>
        <w:pStyle w:val="ListParagraph"/>
        <w:numPr>
          <w:ilvl w:val="0"/>
          <w:numId w:val="3"/>
        </w:numPr>
        <w:spacing w:line="276" w:lineRule="auto"/>
        <w:ind w:left="357" w:hanging="357"/>
      </w:pPr>
      <w:r>
        <w:t xml:space="preserve">on tietoinen erityisistä haasteista, joita </w:t>
      </w:r>
      <w:proofErr w:type="spellStart"/>
      <w:r>
        <w:t>rajatylittävän</w:t>
      </w:r>
      <w:proofErr w:type="spellEnd"/>
      <w:r>
        <w:t xml:space="preserve"> etätyön lisääntyminen asettaa nykyisille kansainvälisille verotusjärjestelmille. Tämä koskee erityisesti palkkojen ja yritysten voittojen verotusta.</w:t>
      </w:r>
    </w:p>
    <w:p w:rsidR="00640656" w:rsidP="00640656" w:rsidRDefault="000A03BD" w14:paraId="410F3EF2" w14:textId="77777777">
      <w:pPr>
        <w:pStyle w:val="ListParagraph"/>
        <w:numPr>
          <w:ilvl w:val="0"/>
          <w:numId w:val="3"/>
        </w:numPr>
        <w:spacing w:line="276" w:lineRule="auto"/>
        <w:ind w:left="357" w:hanging="357"/>
      </w:pPr>
      <w:r>
        <w:t xml:space="preserve">on Euroopan komission kanssa samaa mieltä siitä, että </w:t>
      </w:r>
      <w:proofErr w:type="spellStart"/>
      <w:r>
        <w:t>rajatylittäviä</w:t>
      </w:r>
      <w:proofErr w:type="spellEnd"/>
      <w:r>
        <w:t xml:space="preserve"> etätyöntekijöitä saattaa uhata kaksinkertainen tuloverotus, mikä voi johtaa pitkiin ja kalliisiin kiistoihin työntekijän ja jäsenvaltioiden veroviranomaisten välillä.</w:t>
      </w:r>
    </w:p>
    <w:p w:rsidRPr="009B70E7" w:rsidR="00640656" w:rsidP="00640656" w:rsidRDefault="000A03BD" w14:paraId="00EEA10F" w14:textId="77777777">
      <w:pPr>
        <w:pStyle w:val="ListParagraph"/>
        <w:numPr>
          <w:ilvl w:val="0"/>
          <w:numId w:val="3"/>
        </w:numPr>
        <w:spacing w:line="276" w:lineRule="auto"/>
        <w:ind w:left="357" w:hanging="357"/>
      </w:pPr>
      <w:r>
        <w:t>muistuttaa, että yritysten voittojen verotuksen kohdalla kansainväliset etätyöntekijät saattavat aiheuttaa tahattomasti tilanteen, jossa yritykselle syntyy kiinteä toimipaikka johonkin muuhun maahan kuin siihen, minne yritys on sijoittunut. Jos toiseen maahan perustettaisiin kiinteä toimipaikka, yrityksen olisi jaettava tulonsa tarkasti näiden kahden toimipaikan kesken, ja näihin sovellettaisiin erilaisia ilmoitus- ja verovelvoitteita.</w:t>
      </w:r>
    </w:p>
    <w:p w:rsidR="00640656" w:rsidP="00640656" w:rsidRDefault="000A03BD" w14:paraId="5DA57970" w14:textId="77777777">
      <w:pPr>
        <w:pStyle w:val="ListParagraph"/>
        <w:numPr>
          <w:ilvl w:val="0"/>
          <w:numId w:val="3"/>
        </w:numPr>
        <w:spacing w:line="276" w:lineRule="auto"/>
        <w:ind w:left="357" w:hanging="357"/>
      </w:pPr>
      <w:r>
        <w:t>korostaa, että on tärkeää päivittää verotusjärjestelmät vastaamaan nykypäivän työympäristön tarpeisiin. Kansainvälisiä yhtiöveropuitteita on hiljattain uudistettu sopimalla OECD:n ja G20-ryhmän osallistavan kehyksen veropaketista, joka koostuu kahdesta pilarista.</w:t>
      </w:r>
    </w:p>
    <w:p w:rsidR="000A03BD" w:rsidP="00640656" w:rsidRDefault="000A03BD" w14:paraId="3030B859" w14:textId="77777777">
      <w:pPr>
        <w:pStyle w:val="ListParagraph"/>
        <w:numPr>
          <w:ilvl w:val="0"/>
          <w:numId w:val="3"/>
        </w:numPr>
        <w:spacing w:line="276" w:lineRule="auto"/>
        <w:ind w:left="357" w:hanging="357"/>
      </w:pPr>
      <w:r>
        <w:t>painottaa, että sääntöjen olisi oltava yksinkertaiset sekä työntekijöille että työnantajille. Jäsenvaltiot voisivat esimerkiksi sopia verottavansa työntekijää vain, jos työpäivien määrä maassa ylittää 96 päivää kalenterivuodessa. ETSK panee merkille, että OECD:n osallistavan kehyksen verotyössä on hyödynnetty monenvälistä välinettä uusien verosääntöjen ripeän täytäntöönpanon edistämiseksi.</w:t>
      </w:r>
    </w:p>
    <w:p w:rsidR="000A03BD" w:rsidP="00640656" w:rsidRDefault="000A03BD" w14:paraId="581CFA88" w14:textId="77777777">
      <w:pPr>
        <w:pStyle w:val="ListParagraph"/>
        <w:numPr>
          <w:ilvl w:val="0"/>
          <w:numId w:val="3"/>
        </w:numPr>
        <w:spacing w:line="276" w:lineRule="auto"/>
        <w:ind w:left="357" w:hanging="357"/>
      </w:pPr>
      <w:r>
        <w:t xml:space="preserve">kehottaa komissiota harkitsemaan mahdollisuutta perustaa keskitetty asiointipiste, jollainen on jo käytössä arvonlisäveron alalla. Työnantajan olisi tällöin ilmoitettava </w:t>
      </w:r>
      <w:proofErr w:type="spellStart"/>
      <w:r>
        <w:t>rajatylittävien</w:t>
      </w:r>
      <w:proofErr w:type="spellEnd"/>
      <w:r>
        <w:t xml:space="preserve"> etätyöntekijöiden osalta, kuinka monta päivää etätyöntekijät ovat työskennelleet asuinmaassaan ja kuinka monta maassa, minne työnantaja on sijoittunut.</w:t>
      </w:r>
    </w:p>
    <w:p w:rsidRPr="009B70E7" w:rsidR="00577672" w:rsidP="00577672" w:rsidRDefault="00577672" w14:paraId="6AC42931" w14:textId="77777777">
      <w:pPr>
        <w:spacing w:line="276"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56"/>
        <w:gridCol w:w="5670"/>
      </w:tblGrid>
      <w:tr w:rsidRPr="009B70E7" w:rsidR="00640656" w:rsidTr="00B83E7B" w14:paraId="437B7156" w14:textId="77777777">
        <w:tc>
          <w:tcPr>
            <w:tcW w:w="1418" w:type="dxa"/>
          </w:tcPr>
          <w:p w:rsidRPr="009B70E7" w:rsidR="00640656" w:rsidP="00B83E7B" w:rsidRDefault="00640656" w14:paraId="026D2B53" w14:textId="77777777">
            <w:pPr>
              <w:pStyle w:val="ListParagraph"/>
              <w:spacing w:line="276" w:lineRule="auto"/>
              <w:ind w:left="0"/>
              <w:rPr>
                <w:i/>
              </w:rPr>
            </w:pPr>
            <w:r>
              <w:rPr>
                <w:b/>
                <w:i/>
              </w:rPr>
              <w:t>Yhteydenotot:</w:t>
            </w:r>
          </w:p>
        </w:tc>
        <w:tc>
          <w:tcPr>
            <w:tcW w:w="5670" w:type="dxa"/>
          </w:tcPr>
          <w:p w:rsidRPr="009B70E7" w:rsidR="00640656" w:rsidP="00B83E7B" w:rsidRDefault="000A03BD" w14:paraId="3123BFA2" w14:textId="77777777">
            <w:pPr>
              <w:pStyle w:val="ListParagraph"/>
              <w:spacing w:line="276" w:lineRule="auto"/>
              <w:ind w:left="0"/>
              <w:rPr>
                <w:i/>
              </w:rPr>
            </w:pPr>
            <w:proofErr w:type="spellStart"/>
            <w:r>
              <w:rPr>
                <w:i/>
              </w:rPr>
              <w:t>Jüri</w:t>
            </w:r>
            <w:proofErr w:type="spellEnd"/>
            <w:r>
              <w:rPr>
                <w:i/>
              </w:rPr>
              <w:t xml:space="preserve"> </w:t>
            </w:r>
            <w:proofErr w:type="spellStart"/>
            <w:r>
              <w:rPr>
                <w:i/>
              </w:rPr>
              <w:t>Soosaar</w:t>
            </w:r>
            <w:proofErr w:type="spellEnd"/>
          </w:p>
        </w:tc>
      </w:tr>
      <w:tr w:rsidRPr="009B70E7" w:rsidR="00640656" w:rsidTr="00B83E7B" w14:paraId="13C450E4" w14:textId="77777777">
        <w:tc>
          <w:tcPr>
            <w:tcW w:w="1418" w:type="dxa"/>
          </w:tcPr>
          <w:p w:rsidRPr="009B70E7" w:rsidR="00640656" w:rsidP="00B83E7B" w:rsidRDefault="00640656" w14:paraId="71B7C5A8" w14:textId="77777777">
            <w:pPr>
              <w:pStyle w:val="ListParagraph"/>
              <w:spacing w:line="276" w:lineRule="auto"/>
              <w:ind w:left="601"/>
              <w:rPr>
                <w:i/>
              </w:rPr>
            </w:pPr>
            <w:r>
              <w:rPr>
                <w:i/>
              </w:rPr>
              <w:t>P.</w:t>
            </w:r>
          </w:p>
        </w:tc>
        <w:tc>
          <w:tcPr>
            <w:tcW w:w="5670" w:type="dxa"/>
          </w:tcPr>
          <w:p w:rsidRPr="009B70E7" w:rsidR="00640656" w:rsidP="00B83E7B" w:rsidRDefault="00577672" w14:paraId="3226C0EF" w14:textId="77777777">
            <w:pPr>
              <w:pStyle w:val="ListParagraph"/>
              <w:spacing w:line="276" w:lineRule="auto"/>
              <w:ind w:left="0"/>
              <w:rPr>
                <w:i/>
              </w:rPr>
            </w:pPr>
            <w:r>
              <w:rPr>
                <w:i/>
              </w:rPr>
              <w:t>+32 25469795</w:t>
            </w:r>
          </w:p>
        </w:tc>
      </w:tr>
      <w:tr w:rsidRPr="009B70E7" w:rsidR="00640656" w:rsidTr="00B83E7B" w14:paraId="1FEA5B3F" w14:textId="77777777">
        <w:tc>
          <w:tcPr>
            <w:tcW w:w="1418" w:type="dxa"/>
          </w:tcPr>
          <w:p w:rsidRPr="009B70E7" w:rsidR="00640656" w:rsidP="00B83E7B" w:rsidRDefault="00640656" w14:paraId="6D5FF9EA" w14:textId="77777777">
            <w:pPr>
              <w:pStyle w:val="ListParagraph"/>
              <w:spacing w:line="276" w:lineRule="auto"/>
              <w:ind w:left="601"/>
              <w:rPr>
                <w:i/>
              </w:rPr>
            </w:pPr>
            <w:r>
              <w:rPr>
                <w:i/>
              </w:rPr>
              <w:t>Sähköposti:</w:t>
            </w:r>
          </w:p>
        </w:tc>
        <w:tc>
          <w:tcPr>
            <w:tcW w:w="5670" w:type="dxa"/>
          </w:tcPr>
          <w:p w:rsidRPr="009B70E7" w:rsidR="00640656" w:rsidP="00B83E7B" w:rsidRDefault="00216BAA" w14:paraId="160383F7" w14:textId="77777777">
            <w:pPr>
              <w:pStyle w:val="ListParagraph"/>
              <w:spacing w:line="276" w:lineRule="auto"/>
              <w:ind w:left="0"/>
              <w:rPr>
                <w:i/>
              </w:rPr>
            </w:pPr>
            <w:hyperlink w:history="1" r:id="rId21">
              <w:r w:rsidR="00EB3BD7">
                <w:rPr>
                  <w:rStyle w:val="Hyperlink"/>
                  <w:i/>
                </w:rPr>
                <w:t>Juri.Soosar@eesc.europa.eu</w:t>
              </w:r>
            </w:hyperlink>
          </w:p>
        </w:tc>
      </w:tr>
    </w:tbl>
    <w:p w:rsidR="00D35512" w:rsidP="0018231C" w:rsidRDefault="00D35512" w14:paraId="7CBB426B" w14:textId="59BE7BEE">
      <w:pPr>
        <w:spacing w:line="240" w:lineRule="auto"/>
      </w:pPr>
    </w:p>
    <w:p w:rsidR="00D35512" w:rsidRDefault="00D35512" w14:paraId="7BA530D3" w14:textId="77777777">
      <w:pPr>
        <w:spacing w:after="160" w:line="259" w:lineRule="auto"/>
        <w:jc w:val="left"/>
      </w:pPr>
      <w:r>
        <w:br w:type="page"/>
      </w:r>
    </w:p>
    <w:p w:rsidRPr="009B70E7" w:rsidR="004D7AC0" w:rsidP="008B2544" w:rsidRDefault="00BD6E79" w14:paraId="3267ADFE" w14:textId="77777777">
      <w:pPr>
        <w:keepNext/>
        <w:keepLines/>
        <w:numPr>
          <w:ilvl w:val="0"/>
          <w:numId w:val="5"/>
        </w:numPr>
        <w:overflowPunct w:val="0"/>
        <w:autoSpaceDE w:val="0"/>
        <w:autoSpaceDN w:val="0"/>
        <w:adjustRightInd w:val="0"/>
        <w:ind w:left="567" w:hanging="567"/>
        <w:textAlignment w:val="baseline"/>
        <w:rPr>
          <w:b/>
          <w:i/>
          <w:spacing w:val="-2"/>
          <w:sz w:val="28"/>
          <w:szCs w:val="28"/>
        </w:rPr>
      </w:pPr>
      <w:r>
        <w:rPr>
          <w:b/>
          <w:i/>
          <w:sz w:val="28"/>
        </w:rPr>
        <w:lastRenderedPageBreak/>
        <w:t>Digiverotus</w:t>
      </w:r>
    </w:p>
    <w:p w:rsidRPr="0018231C" w:rsidR="006E6434" w:rsidP="008B2544" w:rsidRDefault="006E6434" w14:paraId="4E8ABD0B" w14:textId="77777777">
      <w:pPr>
        <w:keepNext/>
        <w:keepLines/>
        <w:overflowPunct w:val="0"/>
        <w:autoSpaceDE w:val="0"/>
        <w:autoSpaceDN w:val="0"/>
        <w:adjustRightInd w:val="0"/>
        <w:textAlignment w:val="baseline"/>
        <w:rPr>
          <w:spacing w:val="-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6521"/>
      </w:tblGrid>
      <w:tr w:rsidRPr="00627B8F" w:rsidR="00705674" w:rsidTr="004A46D9" w14:paraId="691352BE" w14:textId="77777777">
        <w:tc>
          <w:tcPr>
            <w:tcW w:w="1701" w:type="dxa"/>
          </w:tcPr>
          <w:p w:rsidRPr="009B70E7" w:rsidR="00705674" w:rsidP="002C4B6E" w:rsidRDefault="00705674" w14:paraId="3B832BAF" w14:textId="77777777">
            <w:pPr>
              <w:pStyle w:val="ListParagraph"/>
              <w:spacing w:line="240" w:lineRule="auto"/>
              <w:ind w:left="-142" w:firstLine="142"/>
              <w:rPr>
                <w:b/>
              </w:rPr>
            </w:pPr>
            <w:r>
              <w:rPr>
                <w:b/>
              </w:rPr>
              <w:t>Esittelijä:</w:t>
            </w:r>
          </w:p>
        </w:tc>
        <w:tc>
          <w:tcPr>
            <w:tcW w:w="6521" w:type="dxa"/>
          </w:tcPr>
          <w:p w:rsidRPr="00627B8F" w:rsidR="00705674" w:rsidP="00ED2A6A" w:rsidRDefault="00174763" w14:paraId="322FA680" w14:textId="77777777">
            <w:pPr>
              <w:pStyle w:val="ListParagraph"/>
              <w:ind w:left="-60" w:right="-55"/>
            </w:pPr>
            <w:r>
              <w:t xml:space="preserve"> Benjamin </w:t>
            </w:r>
            <w:proofErr w:type="spellStart"/>
            <w:r>
              <w:t>Rizzo</w:t>
            </w:r>
            <w:proofErr w:type="spellEnd"/>
            <w:r>
              <w:t xml:space="preserve"> (kansalaisyhteiskunnan organisaatiot – MT)</w:t>
            </w:r>
          </w:p>
        </w:tc>
      </w:tr>
      <w:tr w:rsidRPr="009B70E7" w:rsidR="00705674" w:rsidTr="004A46D9" w14:paraId="1E67D992" w14:textId="77777777">
        <w:tc>
          <w:tcPr>
            <w:tcW w:w="1701" w:type="dxa"/>
          </w:tcPr>
          <w:p w:rsidRPr="009B70E7" w:rsidR="00705674" w:rsidRDefault="00705674" w14:paraId="255A1F7D" w14:textId="77777777">
            <w:pPr>
              <w:pStyle w:val="ListParagraph"/>
              <w:ind w:left="0"/>
              <w:rPr>
                <w:b/>
              </w:rPr>
            </w:pPr>
            <w:r>
              <w:rPr>
                <w:b/>
              </w:rPr>
              <w:t>Yhteisesittelijä:</w:t>
            </w:r>
          </w:p>
        </w:tc>
        <w:tc>
          <w:tcPr>
            <w:tcW w:w="6521" w:type="dxa"/>
          </w:tcPr>
          <w:p w:rsidRPr="009B70E7" w:rsidR="00705674" w:rsidP="0068241A" w:rsidRDefault="00174763" w14:paraId="0D76B76F" w14:textId="77777777">
            <w:pPr>
              <w:pStyle w:val="ListParagraph"/>
              <w:tabs>
                <w:tab w:val="left" w:pos="838"/>
              </w:tabs>
              <w:ind w:left="-61"/>
            </w:pPr>
            <w:r>
              <w:t xml:space="preserve"> </w:t>
            </w:r>
            <w:proofErr w:type="spellStart"/>
            <w:r>
              <w:t>Petru</w:t>
            </w:r>
            <w:proofErr w:type="spellEnd"/>
            <w:r>
              <w:t xml:space="preserve"> Sorin </w:t>
            </w:r>
            <w:proofErr w:type="spellStart"/>
            <w:r>
              <w:t>Dandea</w:t>
            </w:r>
            <w:proofErr w:type="spellEnd"/>
            <w:r>
              <w:t xml:space="preserve"> (työntekijät – RO)</w:t>
            </w:r>
          </w:p>
        </w:tc>
      </w:tr>
      <w:tr w:rsidRPr="009B70E7" w:rsidR="00986C7F" w:rsidTr="004A46D9" w14:paraId="0AA03C0B" w14:textId="77777777">
        <w:tc>
          <w:tcPr>
            <w:tcW w:w="8222" w:type="dxa"/>
            <w:gridSpan w:val="2"/>
          </w:tcPr>
          <w:p w:rsidRPr="009B70E7" w:rsidR="00986C7F" w:rsidRDefault="00986C7F" w14:paraId="11126B04" w14:textId="77777777">
            <w:pPr>
              <w:pStyle w:val="ListParagraph"/>
              <w:ind w:left="0"/>
            </w:pPr>
          </w:p>
        </w:tc>
      </w:tr>
      <w:tr w:rsidRPr="00627B8F" w:rsidR="004D7AC0" w:rsidTr="004A46D9" w14:paraId="1499CE6A" w14:textId="77777777">
        <w:tc>
          <w:tcPr>
            <w:tcW w:w="1701" w:type="dxa"/>
          </w:tcPr>
          <w:p w:rsidRPr="009B70E7" w:rsidR="004D7AC0" w:rsidRDefault="004D7AC0" w14:paraId="402C1F54" w14:textId="77777777">
            <w:pPr>
              <w:pStyle w:val="ListParagraph"/>
              <w:ind w:left="0"/>
              <w:rPr>
                <w:b/>
              </w:rPr>
            </w:pPr>
            <w:r>
              <w:rPr>
                <w:b/>
              </w:rPr>
              <w:t xml:space="preserve">Viiteasiakirja: </w:t>
            </w:r>
          </w:p>
        </w:tc>
        <w:tc>
          <w:tcPr>
            <w:tcW w:w="6521" w:type="dxa"/>
          </w:tcPr>
          <w:p w:rsidRPr="00627B8F" w:rsidR="00DC097D" w:rsidP="0068241A" w:rsidRDefault="0004205F" w14:paraId="77BAAF3B" w14:textId="77777777">
            <w:pPr>
              <w:pStyle w:val="ListParagraph"/>
              <w:ind w:left="-61"/>
              <w:rPr>
                <w:bCs/>
              </w:rPr>
            </w:pPr>
            <w:r>
              <w:t>neuvoston puheenjohtajavaltion Tšekin pyytämä valmisteleva lausunto</w:t>
            </w:r>
          </w:p>
          <w:p w:rsidRPr="00627B8F" w:rsidR="004D7AC0" w:rsidP="0068241A" w:rsidRDefault="000C6D0B" w14:paraId="4FE162D8" w14:textId="77777777">
            <w:pPr>
              <w:pStyle w:val="ListParagraph"/>
              <w:ind w:left="-61"/>
            </w:pPr>
            <w:r>
              <w:t>EESC-2022-02060-00-00-AC</w:t>
            </w:r>
          </w:p>
        </w:tc>
      </w:tr>
    </w:tbl>
    <w:p w:rsidR="00631509" w:rsidP="003D4F68" w:rsidRDefault="00631509" w14:paraId="6B907918" w14:textId="77777777">
      <w:pPr>
        <w:pStyle w:val="ListParagraph"/>
        <w:spacing w:line="240" w:lineRule="auto"/>
        <w:ind w:left="0" w:firstLine="142"/>
        <w:rPr>
          <w:lang w:val="pt-PT"/>
        </w:rPr>
      </w:pPr>
    </w:p>
    <w:p w:rsidRPr="009B70E7" w:rsidR="004D7AC0" w:rsidP="00631509" w:rsidRDefault="004D7AC0" w14:paraId="20827D97" w14:textId="06BC8467">
      <w:pPr>
        <w:pStyle w:val="ListParagraph"/>
        <w:spacing w:line="240" w:lineRule="auto"/>
        <w:ind w:left="0"/>
        <w:rPr>
          <w:b/>
        </w:rPr>
      </w:pPr>
      <w:r>
        <w:rPr>
          <w:b/>
        </w:rPr>
        <w:t>Keskeiset kohdat</w:t>
      </w:r>
    </w:p>
    <w:p w:rsidRPr="009B70E7" w:rsidR="004D7AC0" w:rsidP="0018231C" w:rsidRDefault="004D7AC0" w14:paraId="4918C4AD" w14:textId="77777777">
      <w:pPr>
        <w:pStyle w:val="ListParagraph"/>
        <w:spacing w:line="240" w:lineRule="auto"/>
        <w:ind w:left="0"/>
      </w:pPr>
    </w:p>
    <w:p w:rsidRPr="009B70E7" w:rsidR="004D7AC0" w:rsidP="0018231C" w:rsidRDefault="004D7AC0" w14:paraId="563DEAE0" w14:textId="6ACB49CD">
      <w:pPr>
        <w:pStyle w:val="ListParagraph"/>
        <w:spacing w:line="240" w:lineRule="auto"/>
        <w:ind w:left="0"/>
      </w:pPr>
      <w:r>
        <w:t>ETSK</w:t>
      </w:r>
    </w:p>
    <w:p w:rsidRPr="009B70E7" w:rsidR="004D7AC0" w:rsidP="0018231C" w:rsidRDefault="004D7AC0" w14:paraId="20687EE6" w14:textId="77777777">
      <w:pPr>
        <w:pStyle w:val="ListParagraph"/>
        <w:spacing w:line="276" w:lineRule="auto"/>
        <w:ind w:left="0"/>
      </w:pPr>
    </w:p>
    <w:p w:rsidRPr="009B70E7" w:rsidR="004D7AC0" w:rsidP="0018231C" w:rsidRDefault="0004205F" w14:paraId="63D90A21" w14:textId="77777777">
      <w:pPr>
        <w:pStyle w:val="ListParagraph"/>
        <w:numPr>
          <w:ilvl w:val="0"/>
          <w:numId w:val="3"/>
        </w:numPr>
        <w:spacing w:line="276" w:lineRule="auto"/>
        <w:ind w:left="357" w:hanging="357"/>
      </w:pPr>
      <w:r>
        <w:t>ehdottaa, että kun OECD:n/G20-maiden osallistavan kehyksen ensimmäisestä pilarista on päästy kansainväliseen sopimukseen verotusoikeuksien uudelleenjaon osalta, vastaavat säännöt pannaan nopeasti täytäntöön EU:ssa koordinoidusti ja samanaikaisesti muiden merkittävien kauppakumppaneiden kanssa.</w:t>
      </w:r>
    </w:p>
    <w:p w:rsidR="004D7AC0" w:rsidP="0018231C" w:rsidRDefault="0004205F" w14:paraId="18668642" w14:textId="77777777">
      <w:pPr>
        <w:pStyle w:val="ListParagraph"/>
        <w:numPr>
          <w:ilvl w:val="0"/>
          <w:numId w:val="3"/>
        </w:numPr>
        <w:spacing w:line="276" w:lineRule="auto"/>
        <w:ind w:left="357" w:hanging="357"/>
      </w:pPr>
      <w:r>
        <w:t>katsoo, että EU voi ottaa johtavan roolin digitaalitalouden verottamisessa. Tällaisessa roolissa olisi kuitenkin toimittava OECD:n/G20-maiden tekemän kansainvälisen sopimuksen puitteissa, kuten on jo tehty veropohjan rapautumisen estämismekanismia koskevan toisen pilarin osalta.</w:t>
      </w:r>
    </w:p>
    <w:p w:rsidRPr="009B70E7" w:rsidR="007F2119" w:rsidP="0018231C" w:rsidRDefault="0004205F" w14:paraId="30394587" w14:textId="77777777">
      <w:pPr>
        <w:pStyle w:val="ListParagraph"/>
        <w:numPr>
          <w:ilvl w:val="0"/>
          <w:numId w:val="3"/>
        </w:numPr>
        <w:spacing w:line="276" w:lineRule="auto"/>
        <w:ind w:left="357" w:hanging="357"/>
      </w:pPr>
      <w:r>
        <w:t>korostaa, että sekä ensimmäinen että toinen pilari on pantava täytäntöön EU:ssa niin pian kuin mahdollista, jotta saavutetaan suuri yhdenmukaisuus OECD/G20-foorumissa neuvoteltavan kansainvälisen sopimuksen kanssa. Ensimmäinen ja toinen pilari olisi nähtävä kattavana ja toisiinsa integroituna sääntelypakettina.</w:t>
      </w:r>
    </w:p>
    <w:p w:rsidR="004D7AC0" w:rsidP="0018231C" w:rsidRDefault="0004205F" w14:paraId="202D24AF" w14:textId="77777777">
      <w:pPr>
        <w:pStyle w:val="ListParagraph"/>
        <w:numPr>
          <w:ilvl w:val="0"/>
          <w:numId w:val="3"/>
        </w:numPr>
        <w:spacing w:line="276" w:lineRule="auto"/>
        <w:ind w:left="357" w:hanging="357"/>
      </w:pPr>
      <w:r>
        <w:t>toteaa, että digitaalitalouden verottamista koskeva EU:n lainsäädäntöaloite voisi hyödyttää suuresti sisämarkkinoita, mikä epäilemättä johtaisi tehokkaampaan kehykseen verrattuna erillisiin kansallisiin aloitteisiin.</w:t>
      </w:r>
    </w:p>
    <w:p w:rsidRPr="009B70E7" w:rsidR="003E692C" w:rsidP="003E692C" w:rsidRDefault="0004205F" w14:paraId="02A3942D" w14:textId="141920AE">
      <w:pPr>
        <w:pStyle w:val="ListParagraph"/>
        <w:numPr>
          <w:ilvl w:val="0"/>
          <w:numId w:val="3"/>
        </w:numPr>
        <w:spacing w:line="276" w:lineRule="auto"/>
        <w:ind w:left="357" w:hanging="357"/>
      </w:pPr>
      <w:r>
        <w:t>kehottaa tekemään ensimmäistä pilaria koskevan kansainvälisen sopimuksen, jossa pidättäydytään mahdollisuuksien mukaan liian monimutkaisista säännöistä ja jolla pyritään saavuttamaan avoimuus, ennakoitavuus ja hallinnon yksinkertaistaminen sekä pitämään sääntöjen noudattamisesta aiheutuvat kustannukset alhaisina. Liian monimutkainen järjestelmä voisi nimittäin luoda mahdollisuuksia kiertää vasta sovittuja sääntöjä ja sellaisena vähentää niiden tehokkuutta.</w:t>
      </w:r>
    </w:p>
    <w:p w:rsidRPr="003E692C" w:rsidR="00DC097D" w:rsidP="001A0AD4" w:rsidRDefault="0004205F" w14:paraId="58783A9E" w14:textId="77777777">
      <w:pPr>
        <w:pStyle w:val="ListParagraph"/>
        <w:numPr>
          <w:ilvl w:val="0"/>
          <w:numId w:val="3"/>
        </w:numPr>
        <w:spacing w:line="276" w:lineRule="auto"/>
        <w:ind w:left="357" w:hanging="357"/>
      </w:pPr>
      <w:r>
        <w:t>korostaa, että asianmukaisesti suunniteltu digitaaliyrityksiä koskeva kansainvälinen vero-oikeus ehkäisee tehokkaasti verovilppiä ja veronkiertoa sekä luo oikeudenmukaisen, vakaan ja progressiivisen verojärjestelmän.</w:t>
      </w:r>
    </w:p>
    <w:p w:rsidR="003E692C" w:rsidP="003E692C" w:rsidRDefault="003E692C" w14:paraId="176DA90D" w14:textId="77777777">
      <w:pPr>
        <w:pStyle w:val="ListParagraph"/>
        <w:spacing w:line="276" w:lineRule="auto"/>
        <w:ind w:left="357"/>
      </w:pPr>
    </w:p>
    <w:p w:rsidRPr="009B70E7" w:rsidR="00AA05F8" w:rsidP="0004205F" w:rsidRDefault="00AA05F8" w14:paraId="64FB268C" w14:textId="77777777">
      <w:pPr>
        <w:pStyle w:val="ListParagraph"/>
        <w:spacing w:line="276" w:lineRule="auto"/>
        <w:ind w:left="357"/>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56"/>
        <w:gridCol w:w="5670"/>
      </w:tblGrid>
      <w:tr w:rsidRPr="009B70E7" w:rsidR="0004205F" w:rsidTr="008B66DD" w14:paraId="42ABA59B" w14:textId="77777777">
        <w:tc>
          <w:tcPr>
            <w:tcW w:w="1418" w:type="dxa"/>
          </w:tcPr>
          <w:p w:rsidRPr="009B70E7" w:rsidR="0004205F" w:rsidP="008B66DD" w:rsidRDefault="0004205F" w14:paraId="1202A600" w14:textId="77777777">
            <w:pPr>
              <w:pStyle w:val="ListParagraph"/>
              <w:spacing w:line="276" w:lineRule="auto"/>
              <w:ind w:left="0"/>
              <w:rPr>
                <w:i/>
              </w:rPr>
            </w:pPr>
            <w:r>
              <w:rPr>
                <w:b/>
                <w:i/>
              </w:rPr>
              <w:t>Yhteydenotot:</w:t>
            </w:r>
          </w:p>
        </w:tc>
        <w:tc>
          <w:tcPr>
            <w:tcW w:w="5670" w:type="dxa"/>
          </w:tcPr>
          <w:p w:rsidRPr="009B70E7" w:rsidR="0004205F" w:rsidP="008B66DD" w:rsidRDefault="0004205F" w14:paraId="0AA6F903" w14:textId="77777777">
            <w:pPr>
              <w:pStyle w:val="ListParagraph"/>
              <w:spacing w:line="276" w:lineRule="auto"/>
              <w:ind w:left="0"/>
              <w:rPr>
                <w:i/>
              </w:rPr>
            </w:pPr>
            <w:proofErr w:type="spellStart"/>
            <w:r>
              <w:rPr>
                <w:i/>
              </w:rPr>
              <w:t>Jüri</w:t>
            </w:r>
            <w:proofErr w:type="spellEnd"/>
            <w:r>
              <w:rPr>
                <w:i/>
              </w:rPr>
              <w:t xml:space="preserve"> </w:t>
            </w:r>
            <w:proofErr w:type="spellStart"/>
            <w:r>
              <w:rPr>
                <w:i/>
              </w:rPr>
              <w:t>Soosaar</w:t>
            </w:r>
            <w:proofErr w:type="spellEnd"/>
          </w:p>
        </w:tc>
      </w:tr>
      <w:tr w:rsidRPr="009B70E7" w:rsidR="0004205F" w:rsidTr="008B66DD" w14:paraId="7385889A" w14:textId="77777777">
        <w:tc>
          <w:tcPr>
            <w:tcW w:w="1418" w:type="dxa"/>
          </w:tcPr>
          <w:p w:rsidRPr="009B70E7" w:rsidR="0004205F" w:rsidP="008B66DD" w:rsidRDefault="0004205F" w14:paraId="4DFD0A04" w14:textId="77777777">
            <w:pPr>
              <w:pStyle w:val="ListParagraph"/>
              <w:spacing w:line="276" w:lineRule="auto"/>
              <w:ind w:left="601"/>
              <w:rPr>
                <w:i/>
              </w:rPr>
            </w:pPr>
            <w:r>
              <w:rPr>
                <w:i/>
              </w:rPr>
              <w:t>P.</w:t>
            </w:r>
          </w:p>
        </w:tc>
        <w:tc>
          <w:tcPr>
            <w:tcW w:w="5670" w:type="dxa"/>
          </w:tcPr>
          <w:p w:rsidRPr="009B70E7" w:rsidR="0004205F" w:rsidP="008B66DD" w:rsidRDefault="0004205F" w14:paraId="7F762C11" w14:textId="77777777">
            <w:pPr>
              <w:pStyle w:val="ListParagraph"/>
              <w:spacing w:line="276" w:lineRule="auto"/>
              <w:ind w:left="0"/>
              <w:rPr>
                <w:i/>
              </w:rPr>
            </w:pPr>
            <w:r>
              <w:rPr>
                <w:i/>
              </w:rPr>
              <w:t>+32 25469795</w:t>
            </w:r>
          </w:p>
        </w:tc>
      </w:tr>
      <w:tr w:rsidRPr="009B70E7" w:rsidR="0004205F" w:rsidTr="008B66DD" w14:paraId="44BC51C1" w14:textId="77777777">
        <w:tc>
          <w:tcPr>
            <w:tcW w:w="1418" w:type="dxa"/>
          </w:tcPr>
          <w:p w:rsidRPr="009B70E7" w:rsidR="0004205F" w:rsidP="008B66DD" w:rsidRDefault="0004205F" w14:paraId="64D662AC" w14:textId="77777777">
            <w:pPr>
              <w:pStyle w:val="ListParagraph"/>
              <w:spacing w:line="276" w:lineRule="auto"/>
              <w:ind w:left="601"/>
              <w:rPr>
                <w:i/>
              </w:rPr>
            </w:pPr>
            <w:r>
              <w:rPr>
                <w:i/>
              </w:rPr>
              <w:t>Sähköposti:</w:t>
            </w:r>
          </w:p>
        </w:tc>
        <w:tc>
          <w:tcPr>
            <w:tcW w:w="5670" w:type="dxa"/>
          </w:tcPr>
          <w:p w:rsidRPr="009B70E7" w:rsidR="0004205F" w:rsidP="008B66DD" w:rsidRDefault="00216BAA" w14:paraId="0F943B87" w14:textId="77777777">
            <w:pPr>
              <w:pStyle w:val="ListParagraph"/>
              <w:spacing w:line="276" w:lineRule="auto"/>
              <w:ind w:left="0"/>
              <w:rPr>
                <w:i/>
              </w:rPr>
            </w:pPr>
            <w:hyperlink w:history="1" r:id="rId22">
              <w:r w:rsidR="00EB3BD7">
                <w:rPr>
                  <w:rStyle w:val="Hyperlink"/>
                  <w:i/>
                </w:rPr>
                <w:t>Juri.Soosar@eesc.europa.eu</w:t>
              </w:r>
            </w:hyperlink>
          </w:p>
        </w:tc>
      </w:tr>
    </w:tbl>
    <w:p w:rsidR="00D35512" w:rsidRDefault="00D35512" w14:paraId="07993D4C" w14:textId="52CB357C">
      <w:pPr>
        <w:spacing w:after="160" w:line="259" w:lineRule="auto"/>
        <w:jc w:val="left"/>
      </w:pPr>
    </w:p>
    <w:p w:rsidR="00D35512" w:rsidRDefault="00D35512" w14:paraId="58CFB761" w14:textId="77777777">
      <w:pPr>
        <w:spacing w:after="160" w:line="259" w:lineRule="auto"/>
        <w:jc w:val="left"/>
      </w:pPr>
      <w:r>
        <w:br w:type="page"/>
      </w:r>
    </w:p>
    <w:p w:rsidRPr="0004205F" w:rsidR="00DC17CF" w:rsidP="00DC17CF" w:rsidRDefault="0004205F" w14:paraId="1CD13A78" w14:textId="77777777">
      <w:pPr>
        <w:keepNext/>
        <w:numPr>
          <w:ilvl w:val="0"/>
          <w:numId w:val="2"/>
        </w:numPr>
        <w:ind w:left="567" w:hanging="567"/>
        <w:contextualSpacing/>
        <w:rPr>
          <w:b/>
          <w:i/>
          <w:sz w:val="28"/>
          <w:szCs w:val="28"/>
        </w:rPr>
      </w:pPr>
      <w:r>
        <w:rPr>
          <w:b/>
          <w:i/>
          <w:sz w:val="28"/>
        </w:rPr>
        <w:lastRenderedPageBreak/>
        <w:t>Arvopaperikeskuksia koskevien sääntöjen uudelleentarkastelu</w:t>
      </w:r>
    </w:p>
    <w:p w:rsidRPr="00A30B84" w:rsidR="0004205F" w:rsidP="00B44BB9" w:rsidRDefault="0004205F" w14:paraId="21BCC75E" w14:textId="77777777">
      <w:pPr>
        <w:keepNext/>
        <w:ind w:left="567"/>
        <w:contextualSpacing/>
        <w:rPr>
          <w:b/>
          <w:i/>
          <w:sz w:val="28"/>
          <w:szCs w:val="28"/>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5766"/>
        <w:gridCol w:w="755"/>
      </w:tblGrid>
      <w:tr w:rsidRPr="00627B8F" w:rsidR="0004205F" w:rsidTr="008B66DD" w14:paraId="049361FD" w14:textId="77777777">
        <w:tc>
          <w:tcPr>
            <w:tcW w:w="1701" w:type="dxa"/>
          </w:tcPr>
          <w:p w:rsidRPr="009B70E7" w:rsidR="0004205F" w:rsidP="0004205F" w:rsidRDefault="0004205F" w14:paraId="62391659" w14:textId="77777777">
            <w:pPr>
              <w:pStyle w:val="ListParagraph"/>
              <w:spacing w:line="240" w:lineRule="auto"/>
              <w:ind w:left="-142" w:firstLine="142"/>
              <w:rPr>
                <w:b/>
              </w:rPr>
            </w:pPr>
            <w:r>
              <w:rPr>
                <w:b/>
              </w:rPr>
              <w:t>Esittelijä:</w:t>
            </w:r>
          </w:p>
        </w:tc>
        <w:tc>
          <w:tcPr>
            <w:tcW w:w="6521" w:type="dxa"/>
            <w:gridSpan w:val="2"/>
          </w:tcPr>
          <w:p w:rsidRPr="00627B8F" w:rsidR="0004205F" w:rsidP="0004205F" w:rsidRDefault="0004205F" w14:paraId="431B2CD3" w14:textId="77777777">
            <w:pPr>
              <w:pStyle w:val="ListParagraph"/>
              <w:ind w:left="-60" w:right="-55"/>
            </w:pPr>
            <w:proofErr w:type="spellStart"/>
            <w:r>
              <w:t>Kęstutis</w:t>
            </w:r>
            <w:proofErr w:type="spellEnd"/>
            <w:r>
              <w:t xml:space="preserve"> </w:t>
            </w:r>
            <w:proofErr w:type="spellStart"/>
            <w:r>
              <w:t>Kupšys</w:t>
            </w:r>
            <w:proofErr w:type="spellEnd"/>
            <w:r>
              <w:t xml:space="preserve"> (kansalaisyhteiskunnan organisaatiot – LT)</w:t>
            </w:r>
          </w:p>
        </w:tc>
      </w:tr>
      <w:tr w:rsidRPr="009B70E7" w:rsidR="0004205F" w:rsidTr="008B66DD" w14:paraId="6A254F6C" w14:textId="77777777">
        <w:tc>
          <w:tcPr>
            <w:tcW w:w="1701" w:type="dxa"/>
          </w:tcPr>
          <w:p w:rsidRPr="009B70E7" w:rsidR="0004205F" w:rsidP="0004205F" w:rsidRDefault="0004205F" w14:paraId="2522D764" w14:textId="77777777">
            <w:pPr>
              <w:pStyle w:val="ListParagraph"/>
              <w:ind w:left="0"/>
              <w:rPr>
                <w:b/>
              </w:rPr>
            </w:pPr>
            <w:r>
              <w:rPr>
                <w:b/>
              </w:rPr>
              <w:t>Yhteisesittelijä:</w:t>
            </w:r>
          </w:p>
        </w:tc>
        <w:tc>
          <w:tcPr>
            <w:tcW w:w="6521" w:type="dxa"/>
            <w:gridSpan w:val="2"/>
          </w:tcPr>
          <w:p w:rsidR="0004205F" w:rsidP="0004205F" w:rsidRDefault="0004205F" w14:paraId="44ADDECF" w14:textId="77777777">
            <w:pPr>
              <w:pStyle w:val="ListParagraph"/>
              <w:tabs>
                <w:tab w:val="left" w:pos="838"/>
              </w:tabs>
              <w:ind w:left="-61"/>
            </w:pPr>
            <w:proofErr w:type="spellStart"/>
            <w:r>
              <w:t>Christophe</w:t>
            </w:r>
            <w:proofErr w:type="spellEnd"/>
            <w:r>
              <w:t xml:space="preserve"> </w:t>
            </w:r>
            <w:proofErr w:type="spellStart"/>
            <w:r>
              <w:t>Lefèvre</w:t>
            </w:r>
            <w:proofErr w:type="spellEnd"/>
            <w:r>
              <w:t xml:space="preserve"> (työntekijät – FR)</w:t>
            </w:r>
          </w:p>
          <w:p w:rsidRPr="009B70E7" w:rsidR="0004205F" w:rsidP="0004205F" w:rsidRDefault="0004205F" w14:paraId="5D498FFA" w14:textId="77777777">
            <w:pPr>
              <w:pStyle w:val="ListParagraph"/>
              <w:tabs>
                <w:tab w:val="left" w:pos="838"/>
              </w:tabs>
              <w:ind w:left="-61"/>
            </w:pPr>
          </w:p>
        </w:tc>
      </w:tr>
      <w:tr w:rsidRPr="009B70E7" w:rsidR="0004205F" w:rsidTr="00326919" w14:paraId="793D9F9A" w14:textId="77777777">
        <w:tblPrEx>
          <w:tblCellMar>
            <w:left w:w="108" w:type="dxa"/>
            <w:right w:w="108" w:type="dxa"/>
          </w:tblCellMar>
        </w:tblPrEx>
        <w:trPr>
          <w:gridAfter w:val="1"/>
          <w:wAfter w:w="755" w:type="dxa"/>
          <w:trHeight w:val="636"/>
        </w:trPr>
        <w:tc>
          <w:tcPr>
            <w:tcW w:w="1701" w:type="dxa"/>
          </w:tcPr>
          <w:p w:rsidRPr="009B70E7" w:rsidR="0004205F" w:rsidP="0004205F" w:rsidRDefault="0004205F" w14:paraId="3464C7C3" w14:textId="77777777">
            <w:pPr>
              <w:pStyle w:val="ListParagraph"/>
              <w:ind w:left="0" w:hanging="108"/>
              <w:rPr>
                <w:b/>
              </w:rPr>
            </w:pPr>
            <w:r>
              <w:rPr>
                <w:b/>
              </w:rPr>
              <w:t xml:space="preserve">Viiteasiakirjat: </w:t>
            </w:r>
          </w:p>
        </w:tc>
        <w:tc>
          <w:tcPr>
            <w:tcW w:w="5766" w:type="dxa"/>
          </w:tcPr>
          <w:p w:rsidR="0004205F" w:rsidP="0004205F" w:rsidRDefault="0004205F" w14:paraId="19506267" w14:textId="77777777">
            <w:pPr>
              <w:pStyle w:val="ListParagraph"/>
              <w:ind w:left="-108"/>
            </w:pPr>
            <w:r>
              <w:t xml:space="preserve">COM(2022) 120 </w:t>
            </w:r>
            <w:proofErr w:type="spellStart"/>
            <w:r>
              <w:t>final</w:t>
            </w:r>
            <w:proofErr w:type="spellEnd"/>
          </w:p>
          <w:p w:rsidRPr="009B70E7" w:rsidR="0004205F" w:rsidP="0004205F" w:rsidRDefault="00765C4F" w14:paraId="3BDBC5BC" w14:textId="77777777">
            <w:pPr>
              <w:pStyle w:val="ListParagraph"/>
              <w:ind w:left="-108"/>
            </w:pPr>
            <w:r>
              <w:t>EESC-2022-01786-00-00-AC</w:t>
            </w:r>
          </w:p>
        </w:tc>
      </w:tr>
    </w:tbl>
    <w:p w:rsidRPr="00A30B84" w:rsidR="00DC17CF" w:rsidP="00DC17CF" w:rsidRDefault="00DC17CF" w14:paraId="4C20BCC6" w14:textId="77777777">
      <w:pPr>
        <w:contextualSpacing/>
      </w:pPr>
    </w:p>
    <w:p w:rsidRPr="00A30B84" w:rsidR="00DC17CF" w:rsidP="00DC17CF" w:rsidRDefault="00DC17CF" w14:paraId="1EF6CC14" w14:textId="77777777">
      <w:pPr>
        <w:pStyle w:val="ListParagraph"/>
        <w:spacing w:line="240" w:lineRule="auto"/>
        <w:ind w:left="-142" w:firstLine="142"/>
        <w:rPr>
          <w:b/>
        </w:rPr>
      </w:pPr>
      <w:r>
        <w:rPr>
          <w:b/>
        </w:rPr>
        <w:t>Keskeiset kohdat</w:t>
      </w:r>
    </w:p>
    <w:p w:rsidRPr="00A30B84" w:rsidR="00DC17CF" w:rsidP="00DC17CF" w:rsidRDefault="00DC17CF" w14:paraId="7CFFCE10" w14:textId="77777777">
      <w:pPr>
        <w:contextualSpacing/>
      </w:pPr>
    </w:p>
    <w:p w:rsidRPr="00A30B84" w:rsidR="00DC17CF" w:rsidP="00326919" w:rsidRDefault="00DC17CF" w14:paraId="7C9141DB" w14:textId="77777777">
      <w:pPr>
        <w:pStyle w:val="ListParagraph"/>
        <w:spacing w:line="240" w:lineRule="auto"/>
        <w:ind w:left="0"/>
      </w:pPr>
      <w:r>
        <w:t>ETSK</w:t>
      </w:r>
    </w:p>
    <w:p w:rsidRPr="00A30B84" w:rsidR="00DC17CF" w:rsidP="00DC17CF" w:rsidRDefault="00DC17CF" w14:paraId="6B986D1C" w14:textId="77777777">
      <w:pPr>
        <w:contextualSpacing/>
        <w:rPr>
          <w:lang w:val="fr-FR"/>
        </w:rPr>
      </w:pPr>
    </w:p>
    <w:p w:rsidRPr="00A30B84" w:rsidR="00502B04" w:rsidP="00502B04" w:rsidRDefault="00F71666" w14:paraId="519EC36E" w14:textId="21CC0365">
      <w:pPr>
        <w:numPr>
          <w:ilvl w:val="0"/>
          <w:numId w:val="3"/>
        </w:numPr>
        <w:ind w:left="357" w:hanging="357"/>
        <w:contextualSpacing/>
      </w:pPr>
      <w:r>
        <w:t>katsoo, että komission ehdottamat ratkaisut viiteen keskeiseen arvopaperikeskuksista (</w:t>
      </w:r>
      <w:r>
        <w:rPr>
          <w:i/>
          <w:iCs/>
        </w:rPr>
        <w:t xml:space="preserve">Central </w:t>
      </w:r>
      <w:proofErr w:type="spellStart"/>
      <w:r>
        <w:rPr>
          <w:i/>
          <w:iCs/>
        </w:rPr>
        <w:t>Securities</w:t>
      </w:r>
      <w:proofErr w:type="spellEnd"/>
      <w:r>
        <w:rPr>
          <w:i/>
          <w:iCs/>
        </w:rPr>
        <w:t xml:space="preserve"> </w:t>
      </w:r>
      <w:proofErr w:type="spellStart"/>
      <w:r>
        <w:rPr>
          <w:i/>
          <w:iCs/>
        </w:rPr>
        <w:t>Depositories</w:t>
      </w:r>
      <w:proofErr w:type="spellEnd"/>
      <w:r>
        <w:t>, CSD) annetun asetuksen tarkistusprosessissa yksilöityyn ongelmaan ovat yleisesti ottaen riittäviä ja tehokkaita.</w:t>
      </w:r>
    </w:p>
    <w:p w:rsidRPr="001445A7" w:rsidR="00DC17CF" w:rsidP="00DC17CF" w:rsidRDefault="00F71666" w14:paraId="1B2322B6" w14:textId="1DBA4E52">
      <w:pPr>
        <w:numPr>
          <w:ilvl w:val="0"/>
          <w:numId w:val="3"/>
        </w:numPr>
        <w:ind w:left="357" w:hanging="357"/>
        <w:contextualSpacing/>
      </w:pPr>
      <w:r>
        <w:t>suhtautuu myönteisesti komission aloitteisiin korvata nykyiset toimilupavaatimukset ilmoituksella sekä valvontakollegioita koskevaan ehdotukseen.</w:t>
      </w:r>
    </w:p>
    <w:p w:rsidR="00DC17CF" w:rsidP="00DC17CF" w:rsidRDefault="00F71666" w14:paraId="2DF768E0" w14:textId="47D817FB">
      <w:pPr>
        <w:numPr>
          <w:ilvl w:val="0"/>
          <w:numId w:val="3"/>
        </w:numPr>
        <w:ind w:left="357" w:hanging="357"/>
        <w:contextualSpacing/>
      </w:pPr>
      <w:r>
        <w:t>näkee mahdollisuuksia pankkipalvelujen tyyppisiä oheispalveluja tarjoavissa ratkaisuissa, jotka perustuvat keskuspankkirahassa suoritettaviin toimituksiin. Erilaisia riskejä voitaisiin vähentää hyödyntämällä TARGET2-Securities-järjestelmää (T2S) nykyistä enemmän arvopapereiden toimitusalustana.</w:t>
      </w:r>
    </w:p>
    <w:p w:rsidRPr="00F71666" w:rsidR="00A86E2C" w:rsidP="0004205F" w:rsidRDefault="00F71666" w14:paraId="077F1B2A" w14:textId="6B62A243">
      <w:pPr>
        <w:numPr>
          <w:ilvl w:val="0"/>
          <w:numId w:val="3"/>
        </w:numPr>
        <w:ind w:left="357" w:hanging="357"/>
        <w:contextualSpacing/>
      </w:pPr>
      <w:r>
        <w:t>suosittaa, että komission nykyistä ehdotusta täydennetään säännöksillä, jotka tarkoittavat T2S:n keskeisen roolin tunnustamista Euroopan arvopaperikaupan selvitysinfrastruktuurissa.</w:t>
      </w:r>
    </w:p>
    <w:p w:rsidRPr="00F71666" w:rsidR="00F71666" w:rsidP="0004205F" w:rsidRDefault="00F71666" w14:paraId="41F7CB84" w14:textId="2FB4B7ED">
      <w:pPr>
        <w:numPr>
          <w:ilvl w:val="0"/>
          <w:numId w:val="3"/>
        </w:numPr>
        <w:ind w:left="357" w:hanging="357"/>
        <w:contextualSpacing/>
      </w:pPr>
      <w:r>
        <w:t>toteaa, että kaksivaiheista lähestymistapaa pakollisten korvausostojen määräämiseen ei pitäisi harkita ennen kuin selvitysten epäonnistumisen taustalla olevat syyt on tutkittu ja muiden toimenpiteiden vaikuttavuus on varmistettu.</w:t>
      </w:r>
    </w:p>
    <w:p w:rsidRPr="00F71666" w:rsidR="00F71666" w:rsidP="0004205F" w:rsidRDefault="00F71666" w14:paraId="4300CB13" w14:textId="3735AC49">
      <w:pPr>
        <w:numPr>
          <w:ilvl w:val="0"/>
          <w:numId w:val="3"/>
        </w:numPr>
        <w:ind w:left="357" w:hanging="357"/>
        <w:contextualSpacing/>
      </w:pPr>
      <w:r>
        <w:t>suosittelee toimia arvopaperikaupan selvitysoperaatioiden ”komentoketjujen” lyhentämiseksi ja ehdottaa, että tutkitaan ”ennalta tehtävää yhteensovittamista” (</w:t>
      </w:r>
      <w:proofErr w:type="spellStart"/>
      <w:r>
        <w:rPr>
          <w:i/>
          <w:iCs/>
        </w:rPr>
        <w:t>pre-matching</w:t>
      </w:r>
      <w:proofErr w:type="spellEnd"/>
      <w:r>
        <w:t>) soveltavan tekniikan laajamittaista käyttöä toimitushäiriöiden vähentämiseksi.</w:t>
      </w:r>
    </w:p>
    <w:p w:rsidRPr="00F71666" w:rsidR="00F71666" w:rsidP="0004205F" w:rsidRDefault="00F71666" w14:paraId="211F343A" w14:textId="458017F2">
      <w:pPr>
        <w:numPr>
          <w:ilvl w:val="0"/>
          <w:numId w:val="3"/>
        </w:numPr>
        <w:ind w:left="357" w:hanging="357"/>
        <w:contextualSpacing/>
      </w:pPr>
      <w:r>
        <w:t>varoittaa, että hajautetun tilikirjan teknologiaa (</w:t>
      </w:r>
      <w:r>
        <w:rPr>
          <w:i/>
          <w:iCs/>
        </w:rPr>
        <w:t>Distributed Ledger Technology</w:t>
      </w:r>
      <w:r>
        <w:t>, DLT) koskevasta pilottijärjestelmästä ei saa muodostua ennakkotapausta ja mallia markkinakäyttäytymistä ja sijoittajansuojaa koskevien normien tason alentamiselle. Vastapuoliriskin vähentämiseksi arvopaperikeskuksilla olisi oltava keskeinen rooli DLT-verkkojen hallinnoinnissa.</w:t>
      </w:r>
    </w:p>
    <w:p w:rsidRPr="00B44BB9" w:rsidR="00F71666" w:rsidP="0004205F" w:rsidRDefault="00F71666" w14:paraId="5E238A5C" w14:textId="128D34F4">
      <w:pPr>
        <w:numPr>
          <w:ilvl w:val="0"/>
          <w:numId w:val="3"/>
        </w:numPr>
        <w:ind w:left="357" w:hanging="357"/>
        <w:contextualSpacing/>
      </w:pPr>
      <w:r>
        <w:t>ehdottaa, että arvopaperikeskusten, niiden liikkeeseenlaskijoiden ja niihin osallistuvien edellytetään perustavan mekanismin EU:n pakotteiden täytäntöönpanon kannalta merkityksellisten tietojen vaihtamiseksi ja jakamiseksi.</w:t>
      </w:r>
    </w:p>
    <w:p w:rsidRPr="00A30B84" w:rsidR="00DC17CF" w:rsidP="00DC17CF" w:rsidRDefault="00DC17CF" w14:paraId="3241E02B" w14:textId="77777777"/>
    <w:tbl>
      <w:tblPr>
        <w:tblStyle w:val="TableGrid8"/>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56"/>
        <w:gridCol w:w="5670"/>
      </w:tblGrid>
      <w:tr w:rsidRPr="00A30B84" w:rsidR="00DC17CF" w:rsidTr="00DC17CF" w14:paraId="477A3227" w14:textId="77777777">
        <w:tc>
          <w:tcPr>
            <w:tcW w:w="1418" w:type="dxa"/>
          </w:tcPr>
          <w:p w:rsidRPr="00A30B84" w:rsidR="00DC17CF" w:rsidP="00DC17CF" w:rsidRDefault="00DC17CF" w14:paraId="24419728" w14:textId="77777777">
            <w:pPr>
              <w:contextualSpacing/>
              <w:rPr>
                <w:i/>
              </w:rPr>
            </w:pPr>
            <w:r>
              <w:rPr>
                <w:b/>
                <w:i/>
              </w:rPr>
              <w:t>Yhteydenotot:</w:t>
            </w:r>
          </w:p>
        </w:tc>
        <w:tc>
          <w:tcPr>
            <w:tcW w:w="5670" w:type="dxa"/>
          </w:tcPr>
          <w:p w:rsidRPr="00A30B84" w:rsidR="00DC17CF" w:rsidP="00DC17CF" w:rsidRDefault="0004205F" w14:paraId="0350A297" w14:textId="77777777">
            <w:pPr>
              <w:contextualSpacing/>
              <w:rPr>
                <w:i/>
              </w:rPr>
            </w:pPr>
            <w:r>
              <w:rPr>
                <w:i/>
              </w:rPr>
              <w:t xml:space="preserve">Sergio </w:t>
            </w:r>
            <w:proofErr w:type="spellStart"/>
            <w:r>
              <w:rPr>
                <w:i/>
              </w:rPr>
              <w:t>Lorencio</w:t>
            </w:r>
            <w:proofErr w:type="spellEnd"/>
            <w:r>
              <w:rPr>
                <w:i/>
              </w:rPr>
              <w:t xml:space="preserve"> </w:t>
            </w:r>
            <w:proofErr w:type="spellStart"/>
            <w:r>
              <w:rPr>
                <w:i/>
              </w:rPr>
              <w:t>Matallana</w:t>
            </w:r>
            <w:proofErr w:type="spellEnd"/>
          </w:p>
        </w:tc>
      </w:tr>
      <w:tr w:rsidRPr="00A30B84" w:rsidR="00DC17CF" w:rsidTr="00DC17CF" w14:paraId="0777FDE7" w14:textId="77777777">
        <w:tc>
          <w:tcPr>
            <w:tcW w:w="1418" w:type="dxa"/>
          </w:tcPr>
          <w:p w:rsidRPr="00A30B84" w:rsidR="00DC17CF" w:rsidP="00DC17CF" w:rsidRDefault="00DC17CF" w14:paraId="35E2DDF5" w14:textId="77777777">
            <w:pPr>
              <w:ind w:left="601"/>
              <w:contextualSpacing/>
              <w:rPr>
                <w:i/>
              </w:rPr>
            </w:pPr>
            <w:r>
              <w:rPr>
                <w:i/>
              </w:rPr>
              <w:t>P.</w:t>
            </w:r>
          </w:p>
        </w:tc>
        <w:tc>
          <w:tcPr>
            <w:tcW w:w="5670" w:type="dxa"/>
          </w:tcPr>
          <w:p w:rsidRPr="00A30B84" w:rsidR="00DC17CF" w:rsidP="00DC17CF" w:rsidRDefault="00A86E2C" w14:paraId="5B69DE0A" w14:textId="77777777">
            <w:pPr>
              <w:contextualSpacing/>
              <w:rPr>
                <w:i/>
              </w:rPr>
            </w:pPr>
            <w:r>
              <w:rPr>
                <w:i/>
              </w:rPr>
              <w:t>+32 25469240</w:t>
            </w:r>
          </w:p>
        </w:tc>
      </w:tr>
      <w:tr w:rsidRPr="00A30B84" w:rsidR="0004205F" w:rsidTr="008B66DD" w14:paraId="32942CB5" w14:textId="77777777">
        <w:tc>
          <w:tcPr>
            <w:tcW w:w="1418" w:type="dxa"/>
          </w:tcPr>
          <w:p w:rsidRPr="00A30B84" w:rsidR="0004205F" w:rsidP="0004205F" w:rsidRDefault="0004205F" w14:paraId="21543959" w14:textId="77777777">
            <w:pPr>
              <w:ind w:left="601"/>
              <w:contextualSpacing/>
              <w:rPr>
                <w:i/>
              </w:rPr>
            </w:pPr>
            <w:r>
              <w:rPr>
                <w:i/>
              </w:rPr>
              <w:t>Sähköposti:</w:t>
            </w:r>
          </w:p>
        </w:tc>
        <w:tc>
          <w:tcPr>
            <w:tcW w:w="5670" w:type="dxa"/>
          </w:tcPr>
          <w:p w:rsidRPr="00A30B84" w:rsidR="0004205F" w:rsidP="0004205F" w:rsidRDefault="00216BAA" w14:paraId="3728C82D" w14:textId="77777777">
            <w:pPr>
              <w:spacing w:after="160" w:line="259" w:lineRule="auto"/>
              <w:jc w:val="left"/>
            </w:pPr>
            <w:hyperlink w:history="1" r:id="rId23">
              <w:r w:rsidR="00EB3BD7">
                <w:rPr>
                  <w:rStyle w:val="Hyperlink"/>
                  <w:i/>
                </w:rPr>
                <w:t>Sergio.LorencioMatallana@eesc.europa.eu</w:t>
              </w:r>
            </w:hyperlink>
            <w:r w:rsidR="00EB3BD7">
              <w:rPr>
                <w:i/>
              </w:rPr>
              <w:t xml:space="preserve"> </w:t>
            </w:r>
          </w:p>
        </w:tc>
      </w:tr>
    </w:tbl>
    <w:p w:rsidR="00B44BB9" w:rsidRDefault="00B44BB9" w14:paraId="7983E4BB" w14:textId="77777777">
      <w:pPr>
        <w:spacing w:after="160" w:line="259" w:lineRule="auto"/>
        <w:jc w:val="left"/>
      </w:pPr>
    </w:p>
    <w:p w:rsidR="00B44BB9" w:rsidRDefault="00B44BB9" w14:paraId="53EAD6FD" w14:textId="77777777">
      <w:pPr>
        <w:spacing w:after="160" w:line="259" w:lineRule="auto"/>
        <w:jc w:val="left"/>
      </w:pPr>
      <w:r>
        <w:br w:type="page"/>
      </w:r>
    </w:p>
    <w:p w:rsidRPr="009B70E7" w:rsidR="004D7AC0" w:rsidP="00F64D7F" w:rsidRDefault="004D7AC0" w14:paraId="73D829D0" w14:textId="77777777">
      <w:pPr>
        <w:pStyle w:val="Heading1"/>
        <w:spacing w:line="240" w:lineRule="auto"/>
        <w:rPr>
          <w:b/>
        </w:rPr>
      </w:pPr>
      <w:bookmarkStart w:name="_Toc75527081" w:id="3"/>
      <w:bookmarkStart w:name="_Toc109906481" w:id="4"/>
      <w:r>
        <w:rPr>
          <w:b/>
        </w:rPr>
        <w:lastRenderedPageBreak/>
        <w:t>TYÖLLISYYS, SOSIAALIASIAT JA KANSALAISUUS</w:t>
      </w:r>
      <w:bookmarkEnd w:id="3"/>
      <w:bookmarkEnd w:id="4"/>
    </w:p>
    <w:p w:rsidRPr="00DA2D88" w:rsidR="00775FDA" w:rsidP="00F64D7F" w:rsidRDefault="00775FDA" w14:paraId="46C917A8" w14:textId="77777777">
      <w:pPr>
        <w:spacing w:line="240" w:lineRule="auto"/>
        <w:jc w:val="left"/>
        <w:rPr>
          <w:b/>
        </w:rPr>
      </w:pPr>
    </w:p>
    <w:p w:rsidRPr="00DA2D88" w:rsidR="00DA608B" w:rsidP="00F64D7F" w:rsidRDefault="00DA2D88" w14:paraId="2B9D750E" w14:textId="7E36CE8F">
      <w:pPr>
        <w:pStyle w:val="ListParagraph"/>
        <w:numPr>
          <w:ilvl w:val="0"/>
          <w:numId w:val="2"/>
        </w:numPr>
        <w:spacing w:line="240" w:lineRule="auto"/>
        <w:ind w:left="567" w:hanging="567"/>
        <w:rPr>
          <w:i/>
          <w:sz w:val="28"/>
          <w:szCs w:val="28"/>
        </w:rPr>
      </w:pPr>
      <w:r>
        <w:rPr>
          <w:b/>
          <w:i/>
          <w:sz w:val="28"/>
        </w:rPr>
        <w:t>Covid-19 – EU:n valmius- ja reagointitoimien ylläpitäminen: Katse eteenpäin</w:t>
      </w:r>
    </w:p>
    <w:p w:rsidRPr="009B70E7" w:rsidR="00DA608B" w:rsidP="00F64D7F" w:rsidRDefault="00DA608B" w14:paraId="52A05893" w14:textId="77777777">
      <w:pPr>
        <w:pStyle w:val="ListParagraph"/>
        <w:spacing w:line="240" w:lineRule="auto"/>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235"/>
        <w:gridCol w:w="5232"/>
      </w:tblGrid>
      <w:tr w:rsidRPr="009B70E7" w:rsidR="00DA608B" w:rsidTr="00910972" w14:paraId="5CC43C80" w14:textId="77777777">
        <w:trPr>
          <w:trHeight w:val="309"/>
        </w:trPr>
        <w:tc>
          <w:tcPr>
            <w:tcW w:w="2235" w:type="dxa"/>
          </w:tcPr>
          <w:p w:rsidR="00DA608B" w:rsidP="00F64D7F" w:rsidRDefault="00DA608B" w14:paraId="27FDCFCA" w14:textId="43B2C3C3">
            <w:pPr>
              <w:pStyle w:val="ListParagraph"/>
              <w:spacing w:line="240" w:lineRule="auto"/>
              <w:ind w:left="0" w:right="-978" w:hanging="108"/>
              <w:rPr>
                <w:b/>
              </w:rPr>
            </w:pPr>
            <w:r>
              <w:rPr>
                <w:b/>
              </w:rPr>
              <w:t>Yleisesittelijä:</w:t>
            </w:r>
          </w:p>
          <w:p w:rsidRPr="009B70E7" w:rsidR="000C43E2" w:rsidP="00F64D7F" w:rsidRDefault="000C43E2" w14:paraId="6C72EBF9" w14:textId="676EFD71">
            <w:pPr>
              <w:pStyle w:val="ListParagraph"/>
              <w:spacing w:line="240" w:lineRule="auto"/>
              <w:ind w:left="0" w:right="-978" w:hanging="108"/>
              <w:rPr>
                <w:b/>
              </w:rPr>
            </w:pPr>
          </w:p>
        </w:tc>
        <w:tc>
          <w:tcPr>
            <w:tcW w:w="5232" w:type="dxa"/>
          </w:tcPr>
          <w:p w:rsidRPr="009B70E7" w:rsidR="00DA608B" w:rsidP="00F64D7F" w:rsidRDefault="00DA2D88" w14:paraId="0FD390DE" w14:textId="77777777">
            <w:pPr>
              <w:pStyle w:val="ListParagraph"/>
              <w:spacing w:line="240" w:lineRule="auto"/>
              <w:ind w:left="-105"/>
            </w:pPr>
            <w:proofErr w:type="spellStart"/>
            <w:r>
              <w:t>Sára</w:t>
            </w:r>
            <w:proofErr w:type="spellEnd"/>
            <w:r>
              <w:t xml:space="preserve"> </w:t>
            </w:r>
            <w:proofErr w:type="spellStart"/>
            <w:r>
              <w:t>Felszeghi</w:t>
            </w:r>
            <w:proofErr w:type="spellEnd"/>
            <w:r>
              <w:t xml:space="preserve"> (työntekijät – HU)</w:t>
            </w:r>
          </w:p>
          <w:p w:rsidRPr="009B70E7" w:rsidR="00DA608B" w:rsidP="00F64D7F" w:rsidRDefault="00DA608B" w14:paraId="42694D38" w14:textId="77777777">
            <w:pPr>
              <w:pStyle w:val="ListParagraph"/>
              <w:spacing w:line="240" w:lineRule="auto"/>
              <w:ind w:left="0"/>
            </w:pPr>
          </w:p>
        </w:tc>
      </w:tr>
      <w:tr w:rsidRPr="009B70E7" w:rsidR="00DA608B" w:rsidTr="00910972" w14:paraId="0AB50045" w14:textId="77777777">
        <w:trPr>
          <w:trHeight w:val="636"/>
        </w:trPr>
        <w:tc>
          <w:tcPr>
            <w:tcW w:w="2235" w:type="dxa"/>
          </w:tcPr>
          <w:p w:rsidRPr="00765C4F" w:rsidR="00DA608B" w:rsidP="00150AD8" w:rsidRDefault="00DA608B" w14:paraId="6F51EE90" w14:textId="77777777">
            <w:pPr>
              <w:pStyle w:val="ListParagraph"/>
              <w:ind w:left="0" w:hanging="108"/>
              <w:rPr>
                <w:b/>
              </w:rPr>
            </w:pPr>
            <w:r>
              <w:rPr>
                <w:b/>
              </w:rPr>
              <w:t xml:space="preserve">Viiteasiakirjat: </w:t>
            </w:r>
          </w:p>
        </w:tc>
        <w:tc>
          <w:tcPr>
            <w:tcW w:w="5232" w:type="dxa"/>
          </w:tcPr>
          <w:p w:rsidRPr="00765C4F" w:rsidR="00DA608B" w:rsidRDefault="00765C4F" w14:paraId="3539F204" w14:textId="77777777">
            <w:pPr>
              <w:pStyle w:val="ListParagraph"/>
              <w:ind w:left="-108"/>
            </w:pPr>
            <w:r>
              <w:t xml:space="preserve">COM(2022) 190 </w:t>
            </w:r>
            <w:proofErr w:type="spellStart"/>
            <w:r>
              <w:t>final</w:t>
            </w:r>
            <w:proofErr w:type="spellEnd"/>
          </w:p>
          <w:p w:rsidRPr="00765C4F" w:rsidR="00DA608B" w:rsidRDefault="00DA2D88" w14:paraId="0B0645EB" w14:textId="77777777">
            <w:pPr>
              <w:pStyle w:val="ListParagraph"/>
              <w:ind w:left="-108"/>
            </w:pPr>
            <w:r>
              <w:t>EESC-2022-02844-00-00-AC</w:t>
            </w:r>
          </w:p>
        </w:tc>
      </w:tr>
    </w:tbl>
    <w:p w:rsidRPr="009B70E7" w:rsidR="00DA608B" w:rsidRDefault="00DA608B" w14:paraId="5CD81DDF" w14:textId="77777777">
      <w:pPr>
        <w:pStyle w:val="ListParagraph"/>
        <w:ind w:left="0"/>
        <w:rPr>
          <w:b/>
        </w:rPr>
      </w:pPr>
    </w:p>
    <w:p w:rsidR="00C76C46" w:rsidP="002C4B6E" w:rsidRDefault="00DA608B" w14:paraId="69FEE6CD" w14:textId="2D579889">
      <w:pPr>
        <w:pStyle w:val="ListParagraph"/>
        <w:spacing w:line="240" w:lineRule="auto"/>
        <w:ind w:left="-142" w:firstLine="142"/>
        <w:rPr>
          <w:b/>
        </w:rPr>
      </w:pPr>
      <w:r>
        <w:rPr>
          <w:b/>
        </w:rPr>
        <w:t>Keskeiset kohdat</w:t>
      </w:r>
    </w:p>
    <w:p w:rsidR="00C76C46" w:rsidP="00C76C46" w:rsidRDefault="00C76C46" w14:paraId="72E92ACD" w14:textId="77777777">
      <w:pPr>
        <w:pStyle w:val="ListParagraph"/>
        <w:ind w:left="0"/>
        <w:rPr>
          <w:b/>
        </w:rPr>
      </w:pPr>
    </w:p>
    <w:p w:rsidR="00813A00" w:rsidP="00150AD8" w:rsidRDefault="001B6460" w14:paraId="761BDCA0" w14:textId="77777777">
      <w:pPr>
        <w:pStyle w:val="ListParagraph"/>
        <w:spacing w:line="240" w:lineRule="auto"/>
        <w:ind w:left="0"/>
      </w:pPr>
      <w:r>
        <w:t>ETSK</w:t>
      </w:r>
    </w:p>
    <w:p w:rsidR="00276CC9" w:rsidP="00C76C46" w:rsidRDefault="00276CC9" w14:paraId="25EBE488" w14:textId="77777777">
      <w:pPr>
        <w:pStyle w:val="ListParagraph"/>
        <w:ind w:left="0"/>
      </w:pPr>
    </w:p>
    <w:p w:rsidR="00813A00" w:rsidP="0018231C" w:rsidRDefault="00DA2D88" w14:paraId="65AAF95D" w14:textId="77777777">
      <w:pPr>
        <w:pStyle w:val="ListParagraph"/>
        <w:numPr>
          <w:ilvl w:val="0"/>
          <w:numId w:val="3"/>
        </w:numPr>
        <w:ind w:left="357" w:hanging="357"/>
      </w:pPr>
      <w:r>
        <w:t xml:space="preserve">katsoo, että EU:n olisi kehitettävä valmiudet välittömään reagointiin, jotta se olisi valmis toimimaan nopeasti terveysuhkien ilmaantuessa. Tällaisen strategian tulisi kattaa kaikki ennaltaehkäisyn (rokotukset, ehkäisevät terveystoimet, koulutus, viestintä jne.), toipumisen (lääkkeet, potilaiden hoito, lääkinnällinen kuntoutus jne.), uudelleenintegroitumisen (työelämään, kouluun) ja (erityisesti pitkittyneestä </w:t>
      </w:r>
      <w:proofErr w:type="spellStart"/>
      <w:r>
        <w:t>covid</w:t>
      </w:r>
      <w:proofErr w:type="spellEnd"/>
      <w:r>
        <w:t>-taudista kärsivien) hoidon näkökohdat.</w:t>
      </w:r>
    </w:p>
    <w:p w:rsidR="00C76C46" w:rsidP="0018231C" w:rsidRDefault="00DA2D88" w14:paraId="6B2D5B52" w14:textId="77777777">
      <w:pPr>
        <w:pStyle w:val="ListParagraph"/>
        <w:numPr>
          <w:ilvl w:val="0"/>
          <w:numId w:val="3"/>
        </w:numPr>
        <w:ind w:left="357" w:hanging="357"/>
      </w:pPr>
      <w:r>
        <w:t>pitää rokottamista yhtenä ennaltaehkäisyn peruspilareista ja katsoo, että EU:n rokotusstrategiaa tulisi päivittää ja mukauttaa käynnissä olevan kehityksen mukaisesti.</w:t>
      </w:r>
    </w:p>
    <w:p w:rsidR="00C76C46" w:rsidP="0018231C" w:rsidRDefault="00DA2D88" w14:paraId="46154044" w14:textId="77777777">
      <w:pPr>
        <w:pStyle w:val="ListParagraph"/>
        <w:numPr>
          <w:ilvl w:val="0"/>
          <w:numId w:val="3"/>
        </w:numPr>
        <w:ind w:left="357" w:hanging="357"/>
      </w:pPr>
      <w:r>
        <w:t>pitää ratkaisevan tärkeänä varmistaa covid-19-tartunnan havaitsemiseksi käytettävien testien luotettavuus ja epidemiologinen edustavuus, jotta saadaan hyödyllisiä viitearvoja nopeaa reagointia varten. Pika-antigeenitestien tulisi täyttää erityisessä EU:n luettelossa esitetyt suorituskykykriteerit.</w:t>
      </w:r>
    </w:p>
    <w:p w:rsidR="00C76C46" w:rsidP="0018231C" w:rsidRDefault="00DA2D88" w14:paraId="384F44B3" w14:textId="77777777">
      <w:pPr>
        <w:pStyle w:val="ListParagraph"/>
        <w:numPr>
          <w:ilvl w:val="0"/>
          <w:numId w:val="3"/>
        </w:numPr>
        <w:ind w:left="357" w:hanging="357"/>
      </w:pPr>
      <w:r>
        <w:t>korostaa ilmanvaihdon merkitystä ennaltaehkäisyssä ja suosittaa jatkamaan suojaimen käyttöä ruuhkaisemmissa paikoissa, huonosti tuuletetuissa tiloissa ja julkisissa liikennevälineissä, kuten myös lähikontaktien välttämistä ja käsien desinfiointia.</w:t>
      </w:r>
    </w:p>
    <w:p w:rsidR="00C76C46" w:rsidP="0018231C" w:rsidRDefault="00DA2D88" w14:paraId="540B5241" w14:textId="77777777">
      <w:pPr>
        <w:pStyle w:val="ListParagraph"/>
        <w:numPr>
          <w:ilvl w:val="0"/>
          <w:numId w:val="3"/>
        </w:numPr>
        <w:ind w:left="357" w:hanging="357"/>
      </w:pPr>
      <w:r>
        <w:t>katsoo, että epidemiologisessa seurannassa painopiste olisi siirrettävä luotettavien arvioiden tekemiseen väestötartuntojen intensiteetistä, taudin vakavien muotojen vaikutuksista ja rokotteiden tehokkuudesta. Jäsenvaltioiden tulisi kehittää strategioita, joiden tavoitteena on palauttaa käyttöön ilmaantuvuuden valvontajärjestelmiä, joissa keskitytään perus- ja erikoisterveydenhuollossa hoidettaviin akuutteihin hengitystieinfektioihin. Näitä järjestelmiä tulisi täydentää vahvistamalla muita seurantajärjestelmiä, kuten jätevesien seurantaa. EU:n ja jäsenvaltioiden olisi luotava yhteinen ilmoitusjärjestelmä.</w:t>
      </w:r>
    </w:p>
    <w:p w:rsidR="001B6460" w:rsidP="0018231C" w:rsidRDefault="00DA2D88" w14:paraId="515F6F8A" w14:textId="77777777">
      <w:pPr>
        <w:pStyle w:val="ListParagraph"/>
        <w:numPr>
          <w:ilvl w:val="0"/>
          <w:numId w:val="3"/>
        </w:numPr>
        <w:ind w:left="357" w:hanging="357"/>
      </w:pPr>
      <w:r>
        <w:t>kehottaa järjestämään valistustoimia, jotta ihmisten on helpompi ymmärtää toteutetut toimenpiteet ja niiden merkitys. EU ja WHO voisivat valmistella aineistoa tällaisia toimia varten.</w:t>
      </w:r>
    </w:p>
    <w:p w:rsidRPr="00DA2D88" w:rsidR="00DA2D88" w:rsidP="00DA2D88" w:rsidRDefault="00DA2D88" w14:paraId="19EC7866" w14:textId="700DB502">
      <w:pPr>
        <w:pStyle w:val="ListParagraph"/>
        <w:numPr>
          <w:ilvl w:val="0"/>
          <w:numId w:val="3"/>
        </w:numPr>
        <w:ind w:left="357" w:hanging="357"/>
      </w:pPr>
      <w:r>
        <w:t>suosittaa, että jäsenvaltiot perustavat havainnointi- ja luokitusjärjestelmän väärien tietojen havainnoimiseksi ja varmennettujen tietojen varustamiseksi merkinnällä. Tällaista varmennettua tietoa tulisi olla saatavilla kansalaisen äidinkielellä.</w:t>
      </w:r>
    </w:p>
    <w:p w:rsidRPr="009B70E7" w:rsidR="00DA2D88" w:rsidP="0018231C" w:rsidRDefault="00DA2D88" w14:paraId="1FD3A8FD" w14:textId="77777777">
      <w:pPr>
        <w:pStyle w:val="ListParagraph"/>
        <w:numPr>
          <w:ilvl w:val="0"/>
          <w:numId w:val="3"/>
        </w:numPr>
        <w:ind w:left="357" w:hanging="357"/>
      </w:pPr>
      <w:r>
        <w:t>suosittaa, että laaditaan protokolla, joka kattaa kaikki hoidon osa-alueet ja jonka jatkuvasti päivitettävä versio on saatavilla verkossa (EU:n kaikilla virallisilla kielillä). Asiaankuuluvan työterveyshuollon tai koulun terveydenhuollon tulisi järjestää kuntoutusta, jolla tulisi olla protokollassa keskeinen rooli.</w:t>
      </w:r>
    </w:p>
    <w:p w:rsidR="00DA608B" w:rsidRDefault="00DA608B" w14:paraId="1606B3C6"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56"/>
        <w:gridCol w:w="5670"/>
      </w:tblGrid>
      <w:tr w:rsidRPr="009B70E7" w:rsidR="00AA5C61" w:rsidTr="00670347" w14:paraId="6358F577" w14:textId="77777777">
        <w:tc>
          <w:tcPr>
            <w:tcW w:w="1418" w:type="dxa"/>
          </w:tcPr>
          <w:p w:rsidRPr="009B70E7" w:rsidR="00AA5C61" w:rsidP="00B34E93" w:rsidRDefault="00AA5C61" w14:paraId="1A2B7FCF" w14:textId="77777777">
            <w:pPr>
              <w:pStyle w:val="ListParagraph"/>
              <w:keepNext/>
              <w:keepLines/>
              <w:ind w:left="0"/>
              <w:rPr>
                <w:i/>
              </w:rPr>
            </w:pPr>
            <w:r>
              <w:rPr>
                <w:b/>
                <w:i/>
              </w:rPr>
              <w:t>Yhteydenotot:</w:t>
            </w:r>
          </w:p>
        </w:tc>
        <w:tc>
          <w:tcPr>
            <w:tcW w:w="5670" w:type="dxa"/>
          </w:tcPr>
          <w:p w:rsidRPr="009B70E7" w:rsidR="00AA5C61" w:rsidP="00B34E93" w:rsidRDefault="00DA2D88" w14:paraId="11D2E99D" w14:textId="77777777">
            <w:pPr>
              <w:pStyle w:val="ListParagraph"/>
              <w:keepNext/>
              <w:keepLines/>
              <w:ind w:left="0"/>
              <w:rPr>
                <w:i/>
              </w:rPr>
            </w:pPr>
            <w:r>
              <w:rPr>
                <w:i/>
              </w:rPr>
              <w:t xml:space="preserve">Valeria </w:t>
            </w:r>
            <w:proofErr w:type="spellStart"/>
            <w:r>
              <w:rPr>
                <w:i/>
              </w:rPr>
              <w:t>Atzori</w:t>
            </w:r>
            <w:proofErr w:type="spellEnd"/>
          </w:p>
        </w:tc>
      </w:tr>
      <w:tr w:rsidRPr="009B70E7" w:rsidR="00AA5C61" w:rsidTr="00670347" w14:paraId="58D8BC91" w14:textId="77777777">
        <w:tc>
          <w:tcPr>
            <w:tcW w:w="1418" w:type="dxa"/>
          </w:tcPr>
          <w:p w:rsidRPr="009B70E7" w:rsidR="00AA5C61" w:rsidP="00B34E93" w:rsidRDefault="00AA5C61" w14:paraId="66CDB05E" w14:textId="77777777">
            <w:pPr>
              <w:pStyle w:val="ListParagraph"/>
              <w:keepNext/>
              <w:keepLines/>
              <w:ind w:left="601"/>
              <w:rPr>
                <w:i/>
              </w:rPr>
            </w:pPr>
            <w:r>
              <w:rPr>
                <w:i/>
              </w:rPr>
              <w:t>P.</w:t>
            </w:r>
          </w:p>
        </w:tc>
        <w:tc>
          <w:tcPr>
            <w:tcW w:w="5670" w:type="dxa"/>
          </w:tcPr>
          <w:p w:rsidRPr="009B70E7" w:rsidR="00AA5C61" w:rsidP="00B34E93" w:rsidRDefault="00DA2D88" w14:paraId="7BF3F3B1" w14:textId="77777777">
            <w:pPr>
              <w:pStyle w:val="ListParagraph"/>
              <w:keepNext/>
              <w:keepLines/>
              <w:ind w:left="0"/>
              <w:rPr>
                <w:i/>
              </w:rPr>
            </w:pPr>
            <w:r>
              <w:rPr>
                <w:i/>
              </w:rPr>
              <w:t>+32 25468774</w:t>
            </w:r>
          </w:p>
        </w:tc>
      </w:tr>
      <w:tr w:rsidRPr="009B70E7" w:rsidR="00AA5C61" w:rsidTr="00670347" w14:paraId="6530A32F" w14:textId="77777777">
        <w:tc>
          <w:tcPr>
            <w:tcW w:w="1418" w:type="dxa"/>
          </w:tcPr>
          <w:p w:rsidRPr="009B70E7" w:rsidR="00AA5C61" w:rsidP="00670347" w:rsidRDefault="00AA5C61" w14:paraId="0DC6FCD7" w14:textId="77777777">
            <w:pPr>
              <w:pStyle w:val="ListParagraph"/>
              <w:ind w:left="601"/>
              <w:rPr>
                <w:i/>
              </w:rPr>
            </w:pPr>
            <w:r>
              <w:rPr>
                <w:i/>
              </w:rPr>
              <w:t>Sähköposti:</w:t>
            </w:r>
          </w:p>
        </w:tc>
        <w:tc>
          <w:tcPr>
            <w:tcW w:w="5670" w:type="dxa"/>
          </w:tcPr>
          <w:p w:rsidRPr="009B70E7" w:rsidR="00AA5C61" w:rsidP="00670347" w:rsidRDefault="00216BAA" w14:paraId="25DE88BE" w14:textId="77777777">
            <w:pPr>
              <w:pStyle w:val="ListParagraph"/>
              <w:ind w:left="0"/>
              <w:rPr>
                <w:i/>
              </w:rPr>
            </w:pPr>
            <w:hyperlink w:history="1" r:id="rId24">
              <w:r w:rsidR="00EB3BD7">
                <w:rPr>
                  <w:rStyle w:val="Hyperlink"/>
                  <w:i/>
                </w:rPr>
                <w:t>Valeria.Atzori@eesc.europa.eu</w:t>
              </w:r>
            </w:hyperlink>
          </w:p>
        </w:tc>
      </w:tr>
    </w:tbl>
    <w:p w:rsidR="00910972" w:rsidRDefault="00910972" w14:paraId="1D08F02B" w14:textId="77777777">
      <w:pPr>
        <w:spacing w:after="160" w:line="259" w:lineRule="auto"/>
        <w:jc w:val="left"/>
        <w:rPr>
          <w:sz w:val="28"/>
        </w:rPr>
      </w:pPr>
      <w:r>
        <w:br w:type="page"/>
      </w:r>
    </w:p>
    <w:p w:rsidRPr="009B70E7" w:rsidR="00775FDA" w:rsidP="0018231C" w:rsidRDefault="00B44BB9" w14:paraId="6004B7F1" w14:textId="77777777">
      <w:pPr>
        <w:pStyle w:val="ListParagraph"/>
        <w:keepNext/>
        <w:numPr>
          <w:ilvl w:val="0"/>
          <w:numId w:val="2"/>
        </w:numPr>
        <w:ind w:left="567" w:hanging="567"/>
        <w:rPr>
          <w:b/>
          <w:i/>
          <w:sz w:val="28"/>
          <w:szCs w:val="28"/>
        </w:rPr>
      </w:pPr>
      <w:r>
        <w:rPr>
          <w:b/>
          <w:i/>
          <w:sz w:val="28"/>
        </w:rPr>
        <w:lastRenderedPageBreak/>
        <w:t>Naisiin kohdistuvan väkivallan torjunta</w:t>
      </w:r>
    </w:p>
    <w:p w:rsidRPr="009B70E7" w:rsidR="00775FDA" w:rsidP="0018231C" w:rsidRDefault="00775FDA" w14:paraId="301189D8" w14:textId="77777777">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6096"/>
        <w:gridCol w:w="425"/>
      </w:tblGrid>
      <w:tr w:rsidRPr="009B70E7" w:rsidR="00B44BB9" w:rsidTr="00174763" w14:paraId="5CC040D5" w14:textId="77777777">
        <w:trPr>
          <w:gridAfter w:val="1"/>
          <w:wAfter w:w="425" w:type="dxa"/>
          <w:cantSplit/>
          <w:trHeight w:val="284" w:hRule="exact"/>
        </w:trPr>
        <w:tc>
          <w:tcPr>
            <w:tcW w:w="1701" w:type="dxa"/>
          </w:tcPr>
          <w:p w:rsidR="00B44BB9" w:rsidP="00B44BB9" w:rsidRDefault="00B44BB9" w14:paraId="2BE1EF86" w14:textId="77777777">
            <w:pPr>
              <w:pStyle w:val="ListParagraph"/>
              <w:keepNext/>
              <w:ind w:left="0"/>
              <w:rPr>
                <w:b/>
              </w:rPr>
            </w:pPr>
            <w:r>
              <w:rPr>
                <w:b/>
              </w:rPr>
              <w:t>Esittelijä:</w:t>
            </w:r>
          </w:p>
          <w:p w:rsidRPr="009B70E7" w:rsidR="00B44BB9" w:rsidP="00B44BB9" w:rsidRDefault="00B44BB9" w14:paraId="15AEA92C" w14:textId="77777777">
            <w:pPr>
              <w:pStyle w:val="ListParagraph"/>
              <w:keepNext/>
              <w:ind w:left="0"/>
              <w:rPr>
                <w:b/>
              </w:rPr>
            </w:pPr>
          </w:p>
        </w:tc>
        <w:tc>
          <w:tcPr>
            <w:tcW w:w="6096" w:type="dxa"/>
          </w:tcPr>
          <w:p w:rsidRPr="009B70E7" w:rsidR="00B44BB9" w:rsidP="00D35512" w:rsidRDefault="00B44BB9" w14:paraId="689CA704" w14:textId="77777777">
            <w:pPr>
              <w:pStyle w:val="ListParagraph"/>
              <w:keepNext/>
              <w:ind w:left="0" w:firstLine="90"/>
            </w:pPr>
            <w:r>
              <w:t xml:space="preserve">José Antonio </w:t>
            </w:r>
            <w:proofErr w:type="spellStart"/>
            <w:r>
              <w:t>Moreno</w:t>
            </w:r>
            <w:proofErr w:type="spellEnd"/>
            <w:r>
              <w:t xml:space="preserve"> </w:t>
            </w:r>
            <w:proofErr w:type="spellStart"/>
            <w:r>
              <w:t>Díaz</w:t>
            </w:r>
            <w:proofErr w:type="spellEnd"/>
            <w:r>
              <w:t xml:space="preserve"> (työntekijät – ES)</w:t>
            </w:r>
          </w:p>
        </w:tc>
      </w:tr>
      <w:tr w:rsidRPr="009B70E7" w:rsidR="00B44BB9" w:rsidTr="00174763" w14:paraId="0BE10C0A" w14:textId="77777777">
        <w:trPr>
          <w:gridAfter w:val="1"/>
          <w:wAfter w:w="425" w:type="dxa"/>
          <w:cantSplit/>
          <w:trHeight w:val="567" w:hRule="exact"/>
        </w:trPr>
        <w:tc>
          <w:tcPr>
            <w:tcW w:w="1701" w:type="dxa"/>
          </w:tcPr>
          <w:p w:rsidR="00B44BB9" w:rsidP="00B44BB9" w:rsidRDefault="00B44BB9" w14:paraId="5684194C" w14:textId="77777777">
            <w:pPr>
              <w:pStyle w:val="ListParagraph"/>
              <w:keepNext/>
              <w:ind w:left="0"/>
              <w:rPr>
                <w:b/>
              </w:rPr>
            </w:pPr>
            <w:r>
              <w:rPr>
                <w:b/>
              </w:rPr>
              <w:t>Yhteisesittelijä:</w:t>
            </w:r>
          </w:p>
          <w:p w:rsidRPr="009B70E7" w:rsidR="00B44BB9" w:rsidP="00B44BB9" w:rsidRDefault="00B44BB9" w14:paraId="24CB645C" w14:textId="77777777">
            <w:pPr>
              <w:pStyle w:val="ListParagraph"/>
              <w:keepNext/>
              <w:ind w:left="0"/>
              <w:rPr>
                <w:b/>
              </w:rPr>
            </w:pPr>
          </w:p>
        </w:tc>
        <w:tc>
          <w:tcPr>
            <w:tcW w:w="6096" w:type="dxa"/>
          </w:tcPr>
          <w:p w:rsidRPr="009B70E7" w:rsidR="00B44BB9" w:rsidP="00910972" w:rsidRDefault="00B44BB9" w14:paraId="29D5D88B" w14:textId="799BB3FB">
            <w:pPr>
              <w:pStyle w:val="ListParagraph"/>
              <w:keepNext/>
              <w:ind w:left="145"/>
            </w:pPr>
            <w:proofErr w:type="spellStart"/>
            <w:r>
              <w:t>Ody</w:t>
            </w:r>
            <w:proofErr w:type="spellEnd"/>
            <w:r>
              <w:t xml:space="preserve"> </w:t>
            </w:r>
            <w:proofErr w:type="spellStart"/>
            <w:r>
              <w:t>Neisingh</w:t>
            </w:r>
            <w:proofErr w:type="spellEnd"/>
            <w:r>
              <w:t xml:space="preserve"> (kansalaisyhteiskunnan organisaatiot – NL)</w:t>
            </w:r>
          </w:p>
        </w:tc>
      </w:tr>
      <w:tr w:rsidRPr="00627B8F" w:rsidR="00B44BB9" w:rsidTr="00B83E7B" w14:paraId="58C9EA77" w14:textId="77777777">
        <w:tc>
          <w:tcPr>
            <w:tcW w:w="1701" w:type="dxa"/>
          </w:tcPr>
          <w:p w:rsidRPr="009B70E7" w:rsidR="00B44BB9" w:rsidP="00B44BB9" w:rsidRDefault="00B44BB9" w14:paraId="5397904E" w14:textId="77777777">
            <w:pPr>
              <w:pStyle w:val="ListParagraph"/>
              <w:keepNext/>
              <w:ind w:left="0"/>
              <w:rPr>
                <w:b/>
              </w:rPr>
            </w:pPr>
            <w:r>
              <w:rPr>
                <w:b/>
              </w:rPr>
              <w:t xml:space="preserve">Viiteasiakirjat: </w:t>
            </w:r>
          </w:p>
        </w:tc>
        <w:tc>
          <w:tcPr>
            <w:tcW w:w="6521" w:type="dxa"/>
            <w:gridSpan w:val="2"/>
          </w:tcPr>
          <w:p w:rsidRPr="00627B8F" w:rsidR="00B44BB9" w:rsidP="00D35512" w:rsidRDefault="00E65D01" w14:paraId="7887F4C5" w14:textId="77777777">
            <w:pPr>
              <w:pStyle w:val="ListParagraph"/>
              <w:ind w:left="-52" w:firstLine="142"/>
              <w:rPr>
                <w:bCs/>
              </w:rPr>
            </w:pPr>
            <w:r>
              <w:t xml:space="preserve">COM(2022) 105 </w:t>
            </w:r>
            <w:proofErr w:type="spellStart"/>
            <w:r>
              <w:t>final</w:t>
            </w:r>
            <w:proofErr w:type="spellEnd"/>
          </w:p>
          <w:p w:rsidRPr="00627B8F" w:rsidR="00B44BB9" w:rsidP="008745F7" w:rsidRDefault="00B44BB9" w14:paraId="12C6341D" w14:textId="77777777">
            <w:pPr>
              <w:pStyle w:val="ListParagraph"/>
              <w:ind w:left="0" w:firstLine="90"/>
            </w:pPr>
            <w:r>
              <w:t>EESC-2022-01395-00-00-AC</w:t>
            </w:r>
          </w:p>
        </w:tc>
      </w:tr>
    </w:tbl>
    <w:p w:rsidR="00631509" w:rsidP="00631509" w:rsidRDefault="00631509" w14:paraId="5534BE55" w14:textId="77777777">
      <w:pPr>
        <w:pStyle w:val="ListParagraph"/>
        <w:spacing w:line="240" w:lineRule="auto"/>
        <w:ind w:left="-142" w:firstLine="284"/>
        <w:rPr>
          <w:b/>
        </w:rPr>
      </w:pPr>
    </w:p>
    <w:p w:rsidRPr="00C76C46" w:rsidR="00775FDA" w:rsidP="00631509" w:rsidRDefault="00C76C46" w14:paraId="63769A52" w14:textId="5936BE53">
      <w:pPr>
        <w:pStyle w:val="ListParagraph"/>
        <w:spacing w:line="240" w:lineRule="auto"/>
        <w:ind w:left="-142" w:firstLine="142"/>
        <w:rPr>
          <w:b/>
        </w:rPr>
      </w:pPr>
      <w:r>
        <w:rPr>
          <w:b/>
        </w:rPr>
        <w:t>Keskeiset kohdat</w:t>
      </w:r>
    </w:p>
    <w:p w:rsidRPr="009B70E7" w:rsidR="005475DA" w:rsidRDefault="005475DA" w14:paraId="580B14A7" w14:textId="77777777">
      <w:pPr>
        <w:pStyle w:val="ListParagraph"/>
        <w:ind w:left="0"/>
      </w:pPr>
    </w:p>
    <w:p w:rsidRPr="009B70E7" w:rsidR="00775FDA" w:rsidP="00326919" w:rsidRDefault="008946BF" w14:paraId="3C2434D8" w14:textId="77777777">
      <w:pPr>
        <w:pStyle w:val="ListParagraph"/>
        <w:spacing w:line="240" w:lineRule="auto"/>
        <w:ind w:left="0"/>
      </w:pPr>
      <w:r>
        <w:t>ETSK</w:t>
      </w:r>
    </w:p>
    <w:p w:rsidRPr="009B70E7" w:rsidR="00775FDA" w:rsidP="0018231C" w:rsidRDefault="00775FDA" w14:paraId="540C04B4" w14:textId="77777777">
      <w:pPr>
        <w:pStyle w:val="ListParagraph"/>
        <w:ind w:left="0"/>
      </w:pPr>
    </w:p>
    <w:p w:rsidRPr="009B70E7" w:rsidR="00775FDA" w:rsidP="0018231C" w:rsidRDefault="00B44BB9" w14:paraId="6C1D5D1B" w14:textId="77777777">
      <w:pPr>
        <w:pStyle w:val="ListParagraph"/>
        <w:numPr>
          <w:ilvl w:val="0"/>
          <w:numId w:val="3"/>
        </w:numPr>
        <w:ind w:left="357" w:hanging="357"/>
      </w:pPr>
      <w:r>
        <w:t>suhtautuu myönteisesti yhteiskunnan laajasti vaatimaan lainsäädännölliseen uudistukseen, jota monialainen direktiivi naisiin kohdistuvan väkivallan torjumisesta edustaa.</w:t>
      </w:r>
    </w:p>
    <w:p w:rsidRPr="009B70E7" w:rsidR="00775FDA" w:rsidP="0018231C" w:rsidRDefault="00B44BB9" w14:paraId="3D89CE58" w14:textId="77777777">
      <w:pPr>
        <w:pStyle w:val="ListParagraph"/>
        <w:numPr>
          <w:ilvl w:val="0"/>
          <w:numId w:val="3"/>
        </w:numPr>
        <w:ind w:left="357" w:hanging="357"/>
      </w:pPr>
      <w:r>
        <w:t xml:space="preserve">katsoo, ettei väkivallan torjuntapolitiikka saa olla neutraalia, vaan sitä on kehitettävä </w:t>
      </w:r>
      <w:r>
        <w:rPr>
          <w:b/>
        </w:rPr>
        <w:t>selkeästi ja yksiselitteisesti sukupuolinäkökulmasta</w:t>
      </w:r>
      <w:r>
        <w:t xml:space="preserve"> ja se on tuotava esiin niin, että tehokkaan politiikan tarve ymmärretään paremmin.</w:t>
      </w:r>
    </w:p>
    <w:p w:rsidR="00B92B86" w:rsidP="0018231C" w:rsidRDefault="00B7530C" w14:paraId="6ABDD16B" w14:textId="77777777">
      <w:pPr>
        <w:pStyle w:val="ListParagraph"/>
        <w:numPr>
          <w:ilvl w:val="0"/>
          <w:numId w:val="3"/>
        </w:numPr>
        <w:ind w:left="357" w:hanging="357"/>
      </w:pPr>
      <w:r>
        <w:t xml:space="preserve">katsoo, että </w:t>
      </w:r>
      <w:r>
        <w:rPr>
          <w:b/>
        </w:rPr>
        <w:t>direktiiviin on sisällytettävä kaikki naisiin kohdistuvan väkivallan muodot</w:t>
      </w:r>
      <w:r>
        <w:t>: näitä voivat olla muun muassa institutionaalinen väkivalta, seksuaalinen ja lisääntymistarkoituksessa tapahtuva hyväksikäyttö, työpaikkahäirintä, sukupuolittunut väkivalta perhepiirissä, huumaaminen hyväksikäyttötarkoituksessa, häirintä kadulla, biologiseen tai sosiaaliseen sukupuoleen perustuva seksuaalinen häirintä ja vammaisten naisten pakkosterilointi.</w:t>
      </w:r>
    </w:p>
    <w:p w:rsidR="00B61819" w:rsidP="00B61819" w:rsidRDefault="00B7530C" w14:paraId="0F17F2B4" w14:textId="77777777">
      <w:pPr>
        <w:pStyle w:val="ListParagraph"/>
        <w:numPr>
          <w:ilvl w:val="0"/>
          <w:numId w:val="3"/>
        </w:numPr>
        <w:ind w:left="357" w:hanging="357"/>
      </w:pPr>
      <w:r>
        <w:t xml:space="preserve">korostaa, että naisiin kohdistuva väkivalta on </w:t>
      </w:r>
      <w:r>
        <w:rPr>
          <w:b/>
        </w:rPr>
        <w:t>luokiteltava yhdeksi EU:n toiminnasta tehdyn sopimuksen 83 artiklan 1 kohdassa tarkoitetuksi ”eurorikokseksi”</w:t>
      </w:r>
      <w:r>
        <w:t>.</w:t>
      </w:r>
    </w:p>
    <w:p w:rsidR="00B61819" w:rsidP="0018231C" w:rsidRDefault="00B7530C" w14:paraId="24C6AE65" w14:textId="77777777">
      <w:pPr>
        <w:pStyle w:val="ListParagraph"/>
        <w:numPr>
          <w:ilvl w:val="0"/>
          <w:numId w:val="3"/>
        </w:numPr>
        <w:ind w:left="357" w:hanging="357"/>
      </w:pPr>
      <w:r>
        <w:t xml:space="preserve">katsoo, että </w:t>
      </w:r>
      <w:r>
        <w:rPr>
          <w:b/>
        </w:rPr>
        <w:t>työmarkkinaosapuolten vuoropuheluun ja työehtosopimusneuvotteluihin</w:t>
      </w:r>
      <w:r>
        <w:t xml:space="preserve"> olisi sisällytettävä konkreettisia toimenpiteitä, joilla varmistetaan naisiin kohdistuneen väkivallan uhrien työpaikkojen säilyminen ja työelämän ulkopuolella olevien uhrien integroituminen työmarkkinoille.</w:t>
      </w:r>
    </w:p>
    <w:p w:rsidR="00B61819" w:rsidP="0018231C" w:rsidRDefault="00B7530C" w14:paraId="751D2BB6" w14:textId="77777777">
      <w:pPr>
        <w:pStyle w:val="ListParagraph"/>
        <w:numPr>
          <w:ilvl w:val="0"/>
          <w:numId w:val="3"/>
        </w:numPr>
        <w:ind w:left="357" w:hanging="357"/>
      </w:pPr>
      <w:r>
        <w:t xml:space="preserve">korostaa, että erityistä huomiota olisi lisäksi kiinnitettävä </w:t>
      </w:r>
      <w:r>
        <w:rPr>
          <w:b/>
        </w:rPr>
        <w:t>vammaisiin naisiin, naisiin ja tyttöihin, jotka kuuluvat etnisiin tai kulttuurisiin vähemmistöihin, kuten romaniväestöön, sekä maahanmuuttajanaisiin</w:t>
      </w:r>
      <w:r>
        <w:t>, erityisesti hallinnollisesti sääntöjen vastaisessa tilanteessa maassa oleviin naisiin, ja sotaa pakeneviin pakolaistyttöihin ja -naisiin.</w:t>
      </w:r>
    </w:p>
    <w:p w:rsidRPr="009B70E7" w:rsidR="00C92102" w:rsidP="00B7530C" w:rsidRDefault="00B7530C" w14:paraId="7B22C8D8" w14:textId="77777777">
      <w:pPr>
        <w:pStyle w:val="ListParagraph"/>
        <w:numPr>
          <w:ilvl w:val="0"/>
          <w:numId w:val="3"/>
        </w:numPr>
        <w:ind w:left="357" w:hanging="357"/>
      </w:pPr>
      <w:r>
        <w:t xml:space="preserve">pyytää Euroopan komissiota sisällyttämään </w:t>
      </w:r>
      <w:r>
        <w:rPr>
          <w:b/>
        </w:rPr>
        <w:t>terveyspalvelut</w:t>
      </w:r>
      <w:r>
        <w:t xml:space="preserve">, </w:t>
      </w:r>
      <w:proofErr w:type="spellStart"/>
      <w:r>
        <w:t>seksuaali</w:t>
      </w:r>
      <w:proofErr w:type="spellEnd"/>
      <w:r>
        <w:t xml:space="preserve">- ja lisääntymisterveyspalvelut mukaan lukien, uhrien tärkeimpien tukipalvelujen luetteloon ja kehottamaan kaikkia EU:n jäsenvaltioita poistamaan kiireellisesti kaikki esteet, jotka vaikeuttavat </w:t>
      </w:r>
      <w:r>
        <w:rPr>
          <w:b/>
        </w:rPr>
        <w:t>jälkiehkäisyn ja vapaaehtoisen raskaudenkeskeytyksen saantia raiskauksen jälkeen</w:t>
      </w:r>
      <w:r>
        <w:t>.</w:t>
      </w:r>
    </w:p>
    <w:p w:rsidRPr="009B70E7" w:rsidR="00775FDA" w:rsidRDefault="00775FDA" w14:paraId="007FFDAF"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56"/>
        <w:gridCol w:w="5670"/>
      </w:tblGrid>
      <w:tr w:rsidRPr="009B70E7" w:rsidR="00B44BB9" w:rsidTr="008B66DD" w14:paraId="502899FB" w14:textId="77777777">
        <w:tc>
          <w:tcPr>
            <w:tcW w:w="1418" w:type="dxa"/>
          </w:tcPr>
          <w:p w:rsidRPr="009B70E7" w:rsidR="00B44BB9" w:rsidP="008B66DD" w:rsidRDefault="00B44BB9" w14:paraId="4933D5C0" w14:textId="77777777">
            <w:pPr>
              <w:pStyle w:val="ListParagraph"/>
              <w:ind w:left="0"/>
              <w:rPr>
                <w:i/>
              </w:rPr>
            </w:pPr>
            <w:r>
              <w:rPr>
                <w:b/>
                <w:i/>
              </w:rPr>
              <w:t>Yhteydenotot:</w:t>
            </w:r>
          </w:p>
        </w:tc>
        <w:tc>
          <w:tcPr>
            <w:tcW w:w="5670" w:type="dxa"/>
          </w:tcPr>
          <w:p w:rsidRPr="009B70E7" w:rsidR="00B44BB9" w:rsidP="008B66DD" w:rsidRDefault="00B44BB9" w14:paraId="649C02E9" w14:textId="77777777">
            <w:pPr>
              <w:pStyle w:val="ListParagraph"/>
              <w:ind w:left="0"/>
              <w:rPr>
                <w:i/>
              </w:rPr>
            </w:pPr>
            <w:proofErr w:type="spellStart"/>
            <w:r>
              <w:rPr>
                <w:i/>
              </w:rPr>
              <w:t>Margherita</w:t>
            </w:r>
            <w:proofErr w:type="spellEnd"/>
            <w:r>
              <w:rPr>
                <w:i/>
              </w:rPr>
              <w:t xml:space="preserve"> </w:t>
            </w:r>
            <w:proofErr w:type="spellStart"/>
            <w:r>
              <w:rPr>
                <w:i/>
              </w:rPr>
              <w:t>Logrillo</w:t>
            </w:r>
            <w:proofErr w:type="spellEnd"/>
          </w:p>
        </w:tc>
      </w:tr>
      <w:tr w:rsidRPr="009B70E7" w:rsidR="00B44BB9" w:rsidTr="008B66DD" w14:paraId="54638E70" w14:textId="77777777">
        <w:tc>
          <w:tcPr>
            <w:tcW w:w="1418" w:type="dxa"/>
          </w:tcPr>
          <w:p w:rsidRPr="009B70E7" w:rsidR="00B44BB9" w:rsidP="008B66DD" w:rsidRDefault="00B44BB9" w14:paraId="40A81D42" w14:textId="77777777">
            <w:pPr>
              <w:pStyle w:val="ListParagraph"/>
              <w:ind w:left="601"/>
              <w:rPr>
                <w:i/>
              </w:rPr>
            </w:pPr>
            <w:r>
              <w:rPr>
                <w:i/>
              </w:rPr>
              <w:t>P.</w:t>
            </w:r>
          </w:p>
        </w:tc>
        <w:tc>
          <w:tcPr>
            <w:tcW w:w="5670" w:type="dxa"/>
          </w:tcPr>
          <w:p w:rsidRPr="009B70E7" w:rsidR="00B44BB9" w:rsidP="008B66DD" w:rsidRDefault="00B44BB9" w14:paraId="0C77361C" w14:textId="77777777">
            <w:pPr>
              <w:pStyle w:val="ListParagraph"/>
              <w:ind w:left="0"/>
              <w:rPr>
                <w:i/>
              </w:rPr>
            </w:pPr>
            <w:r>
              <w:rPr>
                <w:i/>
              </w:rPr>
              <w:t>+32 25469099</w:t>
            </w:r>
          </w:p>
        </w:tc>
      </w:tr>
      <w:tr w:rsidRPr="001D770D" w:rsidR="00B44BB9" w:rsidTr="008B66DD" w14:paraId="5FB79B0A" w14:textId="77777777">
        <w:tc>
          <w:tcPr>
            <w:tcW w:w="1418" w:type="dxa"/>
          </w:tcPr>
          <w:p w:rsidRPr="009B70E7" w:rsidR="00B44BB9" w:rsidP="008B66DD" w:rsidRDefault="00B44BB9" w14:paraId="0A5C365B" w14:textId="77777777">
            <w:pPr>
              <w:pStyle w:val="ListParagraph"/>
              <w:ind w:left="601"/>
              <w:rPr>
                <w:i/>
              </w:rPr>
            </w:pPr>
            <w:r>
              <w:rPr>
                <w:i/>
              </w:rPr>
              <w:t>Sähköposti:</w:t>
            </w:r>
          </w:p>
        </w:tc>
        <w:tc>
          <w:tcPr>
            <w:tcW w:w="5670" w:type="dxa"/>
          </w:tcPr>
          <w:p w:rsidRPr="001D770D" w:rsidR="00B44BB9" w:rsidP="008B66DD" w:rsidRDefault="00216BAA" w14:paraId="0E9E0878" w14:textId="77777777">
            <w:pPr>
              <w:pStyle w:val="ListParagraph"/>
              <w:ind w:left="0"/>
              <w:rPr>
                <w:i/>
              </w:rPr>
            </w:pPr>
            <w:hyperlink w:history="1" r:id="rId25">
              <w:r w:rsidR="00EB3BD7">
                <w:rPr>
                  <w:rStyle w:val="Hyperlink"/>
                  <w:i/>
                </w:rPr>
                <w:t>Margherita.Logrillo@eesc.europa.eu</w:t>
              </w:r>
            </w:hyperlink>
          </w:p>
        </w:tc>
      </w:tr>
    </w:tbl>
    <w:p w:rsidR="002C0E2F" w:rsidRDefault="002C0E2F" w14:paraId="21C3B85C" w14:textId="77777777">
      <w:pPr>
        <w:spacing w:after="160" w:line="259" w:lineRule="auto"/>
        <w:jc w:val="left"/>
      </w:pPr>
    </w:p>
    <w:p w:rsidR="002C0E2F" w:rsidRDefault="002C0E2F" w14:paraId="6C846036" w14:textId="77777777">
      <w:pPr>
        <w:spacing w:after="160" w:line="259" w:lineRule="auto"/>
        <w:jc w:val="left"/>
      </w:pPr>
      <w:r>
        <w:br w:type="page"/>
      </w:r>
    </w:p>
    <w:p w:rsidRPr="009B70E7" w:rsidR="00841374" w:rsidRDefault="00A06E9E" w14:paraId="2D6BD9B3" w14:textId="77777777">
      <w:pPr>
        <w:pStyle w:val="ListParagraph"/>
        <w:numPr>
          <w:ilvl w:val="0"/>
          <w:numId w:val="4"/>
        </w:numPr>
        <w:overflowPunct w:val="0"/>
        <w:autoSpaceDE w:val="0"/>
        <w:autoSpaceDN w:val="0"/>
        <w:adjustRightInd w:val="0"/>
        <w:ind w:left="567" w:hanging="567"/>
        <w:textAlignment w:val="baseline"/>
        <w:rPr>
          <w:b/>
          <w:i/>
          <w:sz w:val="28"/>
          <w:szCs w:val="28"/>
        </w:rPr>
      </w:pPr>
      <w:r>
        <w:rPr>
          <w:b/>
          <w:i/>
          <w:sz w:val="28"/>
        </w:rPr>
        <w:lastRenderedPageBreak/>
        <w:t>Sukupuolten tasa-arvo</w:t>
      </w:r>
    </w:p>
    <w:p w:rsidRPr="009B70E7" w:rsidR="00841374" w:rsidP="0018231C" w:rsidRDefault="00841374" w14:paraId="1D8B7907" w14:textId="77777777">
      <w:pPr>
        <w:pStyle w:val="ListParagraph"/>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57"/>
        <w:gridCol w:w="44"/>
        <w:gridCol w:w="5529"/>
        <w:gridCol w:w="797"/>
      </w:tblGrid>
      <w:tr w:rsidRPr="009B70E7" w:rsidR="008946BF" w:rsidTr="00DF349B" w14:paraId="6EA9204F" w14:textId="77777777">
        <w:trPr>
          <w:gridAfter w:val="1"/>
          <w:wAfter w:w="797" w:type="dxa"/>
        </w:trPr>
        <w:tc>
          <w:tcPr>
            <w:tcW w:w="1657" w:type="dxa"/>
          </w:tcPr>
          <w:p w:rsidR="008946BF" w:rsidP="006D6086" w:rsidRDefault="008946BF" w14:paraId="0AAEC296" w14:textId="77777777">
            <w:pPr>
              <w:pStyle w:val="ListParagraph"/>
              <w:keepNext/>
              <w:ind w:left="0" w:hanging="107"/>
              <w:rPr>
                <w:b/>
              </w:rPr>
            </w:pPr>
            <w:r>
              <w:rPr>
                <w:b/>
              </w:rPr>
              <w:t>Esittelijä:</w:t>
            </w:r>
          </w:p>
          <w:p w:rsidRPr="00F63F2A" w:rsidR="008946BF" w:rsidP="001513FD" w:rsidRDefault="008946BF" w14:paraId="6D6B9B14" w14:textId="77777777">
            <w:pPr>
              <w:pStyle w:val="ListParagraph"/>
              <w:ind w:left="0"/>
              <w:rPr>
                <w:b/>
                <w:sz w:val="20"/>
                <w:szCs w:val="20"/>
              </w:rPr>
            </w:pPr>
          </w:p>
        </w:tc>
        <w:tc>
          <w:tcPr>
            <w:tcW w:w="5573" w:type="dxa"/>
            <w:gridSpan w:val="2"/>
          </w:tcPr>
          <w:p w:rsidR="008946BF" w:rsidP="00DF349B" w:rsidRDefault="00A06E9E" w14:paraId="54293D02" w14:textId="77777777">
            <w:pPr>
              <w:pStyle w:val="ListParagraph"/>
              <w:ind w:left="-108" w:right="-195"/>
            </w:pPr>
            <w:r>
              <w:t xml:space="preserve">Milena </w:t>
            </w:r>
            <w:proofErr w:type="spellStart"/>
            <w:r>
              <w:t>Angelova</w:t>
            </w:r>
            <w:proofErr w:type="spellEnd"/>
            <w:r>
              <w:t xml:space="preserve"> (työnantajat – BG)</w:t>
            </w:r>
          </w:p>
          <w:p w:rsidRPr="009B70E7" w:rsidR="008946BF" w:rsidP="001513FD" w:rsidRDefault="008946BF" w14:paraId="4D16618C" w14:textId="77777777">
            <w:pPr>
              <w:pStyle w:val="ListParagraph"/>
              <w:ind w:left="-108"/>
            </w:pPr>
          </w:p>
        </w:tc>
      </w:tr>
      <w:tr w:rsidRPr="009B70E7" w:rsidR="00841374" w:rsidTr="00DF349B" w14:paraId="51253DAE" w14:textId="77777777">
        <w:tblPrEx>
          <w:tblCellMar>
            <w:left w:w="57" w:type="dxa"/>
            <w:right w:w="57" w:type="dxa"/>
          </w:tblCellMar>
        </w:tblPrEx>
        <w:tc>
          <w:tcPr>
            <w:tcW w:w="1701" w:type="dxa"/>
            <w:gridSpan w:val="2"/>
          </w:tcPr>
          <w:p w:rsidRPr="009B70E7" w:rsidR="00841374" w:rsidP="006D6086" w:rsidRDefault="00841374" w14:paraId="6949587A" w14:textId="77777777">
            <w:pPr>
              <w:pStyle w:val="ListParagraph"/>
              <w:ind w:left="0" w:hanging="60"/>
              <w:rPr>
                <w:b/>
              </w:rPr>
            </w:pPr>
            <w:r>
              <w:rPr>
                <w:b/>
              </w:rPr>
              <w:t xml:space="preserve">Viiteasiakirja: </w:t>
            </w:r>
          </w:p>
        </w:tc>
        <w:tc>
          <w:tcPr>
            <w:tcW w:w="6326" w:type="dxa"/>
            <w:gridSpan w:val="2"/>
          </w:tcPr>
          <w:p w:rsidRPr="009B70E7" w:rsidR="00841374" w:rsidP="00407760" w:rsidRDefault="00A06E9E" w14:paraId="3DD4422C" w14:textId="77777777">
            <w:pPr>
              <w:pStyle w:val="ListParagraph"/>
              <w:ind w:left="-56"/>
            </w:pPr>
            <w:r>
              <w:t>neuvoston puheenjohtajavaltion Tšekin pyytämä valmisteleva lausunto</w:t>
            </w:r>
          </w:p>
          <w:p w:rsidRPr="009B70E7" w:rsidR="00841374" w:rsidP="00407760" w:rsidRDefault="002E5473" w14:paraId="12FB6382" w14:textId="77777777">
            <w:pPr>
              <w:pStyle w:val="ListParagraph"/>
              <w:ind w:left="-56"/>
            </w:pPr>
            <w:r>
              <w:t>EESC-2022-01932-00-00-AC</w:t>
            </w:r>
          </w:p>
        </w:tc>
      </w:tr>
    </w:tbl>
    <w:p w:rsidRPr="009B70E7" w:rsidR="00841374" w:rsidRDefault="00841374" w14:paraId="1CBC12AE" w14:textId="77777777">
      <w:pPr>
        <w:pStyle w:val="ListParagraph"/>
        <w:ind w:left="0"/>
        <w:rPr>
          <w:b/>
        </w:rPr>
      </w:pPr>
    </w:p>
    <w:p w:rsidRPr="00D85D67" w:rsidR="00841374" w:rsidP="002C4B6E" w:rsidRDefault="00841374" w14:paraId="76256836" w14:textId="77777777">
      <w:pPr>
        <w:pStyle w:val="ListParagraph"/>
        <w:spacing w:line="240" w:lineRule="auto"/>
        <w:ind w:left="-142" w:firstLine="142"/>
        <w:rPr>
          <w:b/>
        </w:rPr>
      </w:pPr>
      <w:r>
        <w:rPr>
          <w:b/>
        </w:rPr>
        <w:t>Keskeiset kohdat</w:t>
      </w:r>
    </w:p>
    <w:p w:rsidR="00841374" w:rsidRDefault="00841374" w14:paraId="141BD901" w14:textId="77777777">
      <w:pPr>
        <w:pStyle w:val="ListParagraph"/>
        <w:ind w:left="0"/>
      </w:pPr>
    </w:p>
    <w:p w:rsidR="001D770D" w:rsidP="00326919" w:rsidRDefault="001D770D" w14:paraId="0B60B8BC" w14:textId="77777777">
      <w:pPr>
        <w:pStyle w:val="ListParagraph"/>
        <w:spacing w:line="240" w:lineRule="auto"/>
        <w:ind w:left="0"/>
      </w:pPr>
      <w:r>
        <w:t>ETSK</w:t>
      </w:r>
    </w:p>
    <w:p w:rsidRPr="009B70E7" w:rsidR="001D770D" w:rsidRDefault="001D770D" w14:paraId="189BAEB6" w14:textId="77777777">
      <w:pPr>
        <w:pStyle w:val="ListParagraph"/>
        <w:ind w:left="0"/>
      </w:pPr>
    </w:p>
    <w:p w:rsidRPr="009B70E7" w:rsidR="00841374" w:rsidP="0018231C" w:rsidRDefault="008159E1" w14:paraId="278A2840" w14:textId="77777777">
      <w:pPr>
        <w:pStyle w:val="ListParagraph"/>
        <w:numPr>
          <w:ilvl w:val="0"/>
          <w:numId w:val="3"/>
        </w:numPr>
        <w:ind w:left="357" w:hanging="357"/>
      </w:pPr>
      <w:r>
        <w:t xml:space="preserve">korostaa, että onnistuminen sukupuolten tasa-arvon edistämisessä kestävällä tavalla perustuu sellaisen </w:t>
      </w:r>
      <w:r>
        <w:rPr>
          <w:b/>
        </w:rPr>
        <w:t>elinikäisen sukupuolten tasa-arvokulttuurin</w:t>
      </w:r>
      <w:r>
        <w:t xml:space="preserve"> vaalimiseen, joka kattaa koko elinkaaren ja mahdollistaa kunkin elämänvaiheen erityispiirteiden ja tarpeiden mukaan räätälöidyt toimet.</w:t>
      </w:r>
    </w:p>
    <w:p w:rsidRPr="009B70E7" w:rsidR="00841374" w:rsidP="0018231C" w:rsidRDefault="008159E1" w14:paraId="7A36F890" w14:textId="77777777">
      <w:pPr>
        <w:pStyle w:val="ListParagraph"/>
        <w:numPr>
          <w:ilvl w:val="0"/>
          <w:numId w:val="3"/>
        </w:numPr>
        <w:ind w:left="357" w:hanging="357"/>
      </w:pPr>
      <w:r>
        <w:t xml:space="preserve">kehottaa jäsenvaltioita vahvistamaan koulutuspolitiikallaan </w:t>
      </w:r>
      <w:r>
        <w:rPr>
          <w:b/>
        </w:rPr>
        <w:t>sukupuolineutraalia opetusta</w:t>
      </w:r>
      <w:r>
        <w:t xml:space="preserve"> niin tietämystä kuin sosiaalisia taitoja ajatellen sekä lisäämään sukupuolistereotypioista vapaita oppimisympäristöjä.</w:t>
      </w:r>
    </w:p>
    <w:p w:rsidRPr="009B70E7" w:rsidR="00B51B20" w:rsidP="0018231C" w:rsidRDefault="008159E1" w14:paraId="29EA99EF" w14:textId="77777777">
      <w:pPr>
        <w:pStyle w:val="ListParagraph"/>
        <w:numPr>
          <w:ilvl w:val="0"/>
          <w:numId w:val="3"/>
        </w:numPr>
        <w:ind w:left="357" w:hanging="357"/>
      </w:pPr>
      <w:r>
        <w:t xml:space="preserve">suosittelee, että jäsenvaltiot käynnistävät komission ja </w:t>
      </w:r>
      <w:proofErr w:type="spellStart"/>
      <w:r>
        <w:t>ETSK:n</w:t>
      </w:r>
      <w:proofErr w:type="spellEnd"/>
      <w:r>
        <w:t xml:space="preserve"> tuella ja yhdessä työmarkkinaosapuolten ja asiaankuuluvien kansalaisyhteiskunnan organisaatioiden kanssa </w:t>
      </w:r>
      <w:r>
        <w:rPr>
          <w:b/>
        </w:rPr>
        <w:t>laajan valistus- ja tiedotuskampanjan elinikäisen sukupuolten tasa-arvokulttuurin edistämiseksi</w:t>
      </w:r>
      <w:r>
        <w:t>.</w:t>
      </w:r>
    </w:p>
    <w:p w:rsidRPr="001D770D" w:rsidR="00D85D67" w:rsidP="00D85D67" w:rsidRDefault="008159E1" w14:paraId="282035C6" w14:textId="77777777">
      <w:pPr>
        <w:pStyle w:val="ListParagraph"/>
        <w:numPr>
          <w:ilvl w:val="0"/>
          <w:numId w:val="3"/>
        </w:numPr>
        <w:ind w:left="357" w:hanging="357"/>
      </w:pPr>
      <w:r>
        <w:t xml:space="preserve">pitää ratkaisevan tärkeänä poistaa esteet, jotka haittaavat naisten yleistä osallistumista työmarkkinoille. Käytännön järjestelyt tulisi vahvistaa paitsi oikeudellisissa kehyksissä myös hyödyntämällä </w:t>
      </w:r>
      <w:r>
        <w:rPr>
          <w:b/>
        </w:rPr>
        <w:t>työmarkkinaosapuolten välisten kollektiivisten neuvottelujen</w:t>
      </w:r>
      <w:r>
        <w:t xml:space="preserve"> tarjoamia mahdollisuuksia.</w:t>
      </w:r>
    </w:p>
    <w:p w:rsidR="001D770D" w:rsidP="00D85D67" w:rsidRDefault="008159E1" w14:paraId="76BBBF7F" w14:textId="77777777">
      <w:pPr>
        <w:pStyle w:val="ListParagraph"/>
        <w:numPr>
          <w:ilvl w:val="0"/>
          <w:numId w:val="3"/>
        </w:numPr>
        <w:ind w:left="357" w:hanging="357"/>
      </w:pPr>
      <w:r>
        <w:t xml:space="preserve">pitää ratkaisevan tärkeänä edistää naisten johtajuutta yrityksissä ja julkisissa organisaatioissa ja kehottaa jäsenvaltioita, elinkeinoelämän järjestöjä ja työmarkkinaosapuolia käynnistämään </w:t>
      </w:r>
      <w:r>
        <w:rPr>
          <w:b/>
        </w:rPr>
        <w:t>koulutus- ja mentorointiohjelmia, jotka on suunnattu naisjohtajille</w:t>
      </w:r>
      <w:r>
        <w:t>.</w:t>
      </w:r>
    </w:p>
    <w:p w:rsidR="00B40093" w:rsidP="00D85D67" w:rsidRDefault="008159E1" w14:paraId="1BAE71C9" w14:textId="77777777">
      <w:pPr>
        <w:pStyle w:val="ListParagraph"/>
        <w:numPr>
          <w:ilvl w:val="0"/>
          <w:numId w:val="3"/>
        </w:numPr>
        <w:ind w:left="357" w:hanging="357"/>
      </w:pPr>
      <w:r>
        <w:t xml:space="preserve">katsoo, että on poistettava esteet myös naisten yrittäjyydeltä. Koska </w:t>
      </w:r>
      <w:r>
        <w:rPr>
          <w:b/>
        </w:rPr>
        <w:t>rahoituksen saanti</w:t>
      </w:r>
      <w:r>
        <w:t xml:space="preserve"> on yrittäjyyden edellytys, on varmistettava naisten yhtäläiset mahdollisuudet saada sekä yksityistä että julkista rahoitusta.</w:t>
      </w:r>
    </w:p>
    <w:p w:rsidR="00B40093" w:rsidP="00D85D67" w:rsidRDefault="008159E1" w14:paraId="0E4FEF3C" w14:textId="77777777">
      <w:pPr>
        <w:pStyle w:val="ListParagraph"/>
        <w:numPr>
          <w:ilvl w:val="0"/>
          <w:numId w:val="3"/>
        </w:numPr>
        <w:ind w:left="357" w:hanging="357"/>
      </w:pPr>
      <w:r>
        <w:t xml:space="preserve">kehottaa kiinnittämään asianmukaista huomiota sukupuolten tasa-arvoon </w:t>
      </w:r>
      <w:r>
        <w:rPr>
          <w:b/>
        </w:rPr>
        <w:t>ukrainalaispakolaisiin</w:t>
      </w:r>
      <w:r>
        <w:t xml:space="preserve"> liittyviä kysymyksiä käsiteltäessä. Tämä koskee lasten tukemista hoitoon ja koulutukseen pääsyssä, naisten integroimista työmarkkinoille tarjoamalla laadukkaita työpaikkoja ja </w:t>
      </w:r>
      <w:proofErr w:type="spellStart"/>
      <w:r>
        <w:t>seksuaali</w:t>
      </w:r>
      <w:proofErr w:type="spellEnd"/>
      <w:r>
        <w:t>- ja lisääntymisterveyteen liittyvien palvelujen saantia.</w:t>
      </w:r>
    </w:p>
    <w:p w:rsidRPr="009B70E7" w:rsidR="00841374" w:rsidRDefault="00841374" w14:paraId="3B0FA7A1"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56"/>
        <w:gridCol w:w="5670"/>
      </w:tblGrid>
      <w:tr w:rsidRPr="009B70E7" w:rsidR="00841374" w:rsidTr="00841374" w14:paraId="50A403EE" w14:textId="77777777">
        <w:tc>
          <w:tcPr>
            <w:tcW w:w="1418" w:type="dxa"/>
          </w:tcPr>
          <w:p w:rsidRPr="009B70E7" w:rsidR="00841374" w:rsidRDefault="00841374" w14:paraId="629E9BA9" w14:textId="77777777">
            <w:pPr>
              <w:pStyle w:val="ListParagraph"/>
              <w:ind w:left="0"/>
              <w:rPr>
                <w:i/>
              </w:rPr>
            </w:pPr>
            <w:r>
              <w:rPr>
                <w:b/>
                <w:i/>
              </w:rPr>
              <w:t>Yhteydenotot:</w:t>
            </w:r>
          </w:p>
        </w:tc>
        <w:tc>
          <w:tcPr>
            <w:tcW w:w="5670" w:type="dxa"/>
          </w:tcPr>
          <w:p w:rsidRPr="009B70E7" w:rsidR="00841374" w:rsidRDefault="00A06E9E" w14:paraId="79C689DE" w14:textId="77777777">
            <w:pPr>
              <w:pStyle w:val="ListParagraph"/>
              <w:ind w:left="0"/>
              <w:rPr>
                <w:i/>
              </w:rPr>
            </w:pPr>
            <w:proofErr w:type="spellStart"/>
            <w:r>
              <w:rPr>
                <w:i/>
              </w:rPr>
              <w:t>Margherita</w:t>
            </w:r>
            <w:proofErr w:type="spellEnd"/>
            <w:r>
              <w:rPr>
                <w:i/>
              </w:rPr>
              <w:t xml:space="preserve"> </w:t>
            </w:r>
            <w:proofErr w:type="spellStart"/>
            <w:r>
              <w:rPr>
                <w:i/>
              </w:rPr>
              <w:t>Logrillo</w:t>
            </w:r>
            <w:proofErr w:type="spellEnd"/>
          </w:p>
        </w:tc>
      </w:tr>
      <w:tr w:rsidRPr="009B70E7" w:rsidR="00841374" w:rsidTr="00841374" w14:paraId="6334FCD6" w14:textId="77777777">
        <w:tc>
          <w:tcPr>
            <w:tcW w:w="1418" w:type="dxa"/>
          </w:tcPr>
          <w:p w:rsidRPr="009B70E7" w:rsidR="00841374" w:rsidRDefault="00841374" w14:paraId="3F37AC16" w14:textId="77777777">
            <w:pPr>
              <w:pStyle w:val="ListParagraph"/>
              <w:ind w:left="601"/>
              <w:rPr>
                <w:i/>
              </w:rPr>
            </w:pPr>
            <w:r>
              <w:rPr>
                <w:i/>
              </w:rPr>
              <w:t>P.</w:t>
            </w:r>
          </w:p>
        </w:tc>
        <w:tc>
          <w:tcPr>
            <w:tcW w:w="5670" w:type="dxa"/>
          </w:tcPr>
          <w:p w:rsidRPr="009B70E7" w:rsidR="00841374" w:rsidRDefault="00A06E9E" w14:paraId="55D18DAD" w14:textId="77777777">
            <w:pPr>
              <w:pStyle w:val="ListParagraph"/>
              <w:ind w:left="0"/>
              <w:rPr>
                <w:i/>
              </w:rPr>
            </w:pPr>
            <w:r>
              <w:rPr>
                <w:i/>
              </w:rPr>
              <w:t>+32 25469099</w:t>
            </w:r>
          </w:p>
        </w:tc>
      </w:tr>
      <w:tr w:rsidRPr="001D770D" w:rsidR="00841374" w:rsidTr="00841374" w14:paraId="2EB3D256" w14:textId="77777777">
        <w:tc>
          <w:tcPr>
            <w:tcW w:w="1418" w:type="dxa"/>
          </w:tcPr>
          <w:p w:rsidRPr="009B70E7" w:rsidR="00841374" w:rsidRDefault="00841374" w14:paraId="02D49987" w14:textId="77777777">
            <w:pPr>
              <w:pStyle w:val="ListParagraph"/>
              <w:ind w:left="601"/>
              <w:rPr>
                <w:i/>
              </w:rPr>
            </w:pPr>
            <w:r>
              <w:rPr>
                <w:i/>
              </w:rPr>
              <w:t>Sähköposti:</w:t>
            </w:r>
          </w:p>
        </w:tc>
        <w:tc>
          <w:tcPr>
            <w:tcW w:w="5670" w:type="dxa"/>
          </w:tcPr>
          <w:p w:rsidRPr="001D770D" w:rsidR="00841374" w:rsidRDefault="00216BAA" w14:paraId="31128638" w14:textId="77777777">
            <w:pPr>
              <w:pStyle w:val="ListParagraph"/>
              <w:ind w:left="0"/>
              <w:rPr>
                <w:i/>
              </w:rPr>
            </w:pPr>
            <w:hyperlink w:history="1" r:id="rId26">
              <w:r w:rsidR="00EB3BD7">
                <w:rPr>
                  <w:rStyle w:val="Hyperlink"/>
                  <w:i/>
                </w:rPr>
                <w:t>Margherita.Logrillo@eesc.europa.eu</w:t>
              </w:r>
            </w:hyperlink>
          </w:p>
        </w:tc>
      </w:tr>
    </w:tbl>
    <w:p w:rsidRPr="00276CC9" w:rsidR="00400A1F" w:rsidRDefault="00502B04" w14:paraId="3060FA04" w14:textId="77777777">
      <w:pPr>
        <w:spacing w:after="160" w:line="259" w:lineRule="auto"/>
        <w:jc w:val="left"/>
        <w:rPr>
          <w:sz w:val="28"/>
        </w:rPr>
      </w:pPr>
      <w:r>
        <w:br w:type="page"/>
      </w:r>
    </w:p>
    <w:p w:rsidRPr="00AD3DB1" w:rsidR="004D7AC0" w:rsidRDefault="004D7AC0" w14:paraId="13643C27" w14:textId="77777777">
      <w:pPr>
        <w:pStyle w:val="Heading1"/>
        <w:rPr>
          <w:b/>
        </w:rPr>
      </w:pPr>
      <w:bookmarkStart w:name="_Toc24617160" w:id="5"/>
      <w:bookmarkStart w:name="_Toc75527082" w:id="6"/>
      <w:bookmarkStart w:name="_Toc108435210" w:id="7"/>
      <w:bookmarkStart w:name="_Toc109906482" w:id="8"/>
      <w:r>
        <w:rPr>
          <w:b/>
        </w:rPr>
        <w:lastRenderedPageBreak/>
        <w:t>LIIKENNE, ENERGIA, PERUSRAKENTEET, TIETOYHTEISKUNTA</w:t>
      </w:r>
      <w:bookmarkEnd w:id="5"/>
      <w:bookmarkEnd w:id="6"/>
      <w:bookmarkEnd w:id="7"/>
      <w:bookmarkEnd w:id="8"/>
    </w:p>
    <w:p w:rsidRPr="00AD3DB1" w:rsidR="00961956" w:rsidRDefault="00961956" w14:paraId="07646FB3" w14:textId="77777777">
      <w:pPr>
        <w:pStyle w:val="ListParagraph"/>
        <w:ind w:left="0"/>
        <w:rPr>
          <w:lang w:val="en-US"/>
        </w:rPr>
      </w:pPr>
    </w:p>
    <w:p w:rsidRPr="00824DCF" w:rsidR="00961956" w:rsidP="0018231C" w:rsidRDefault="002C0E2F" w14:paraId="331DDD1A" w14:textId="2BA933B6">
      <w:pPr>
        <w:pStyle w:val="ListParagraph"/>
        <w:keepNext/>
        <w:numPr>
          <w:ilvl w:val="0"/>
          <w:numId w:val="2"/>
        </w:numPr>
        <w:ind w:left="567" w:hanging="567"/>
        <w:rPr>
          <w:b/>
          <w:i/>
          <w:sz w:val="28"/>
          <w:szCs w:val="28"/>
        </w:rPr>
      </w:pPr>
      <w:r>
        <w:rPr>
          <w:b/>
          <w:i/>
          <w:sz w:val="28"/>
        </w:rPr>
        <w:t>Digitaalinen identiteetti, datasuvereniteetti ja tie kohti kansalaisten oikeudenmukaista digitaalista siirtymää tietoyhteiskunnassa</w:t>
      </w:r>
    </w:p>
    <w:p w:rsidRPr="00824DCF" w:rsidR="00961956" w:rsidP="0018231C" w:rsidRDefault="00961956" w14:paraId="1BB7F554" w14:textId="77777777">
      <w:pPr>
        <w:pStyle w:val="ListParagraph"/>
        <w:keepNext/>
        <w:ind w:left="0"/>
        <w:rPr>
          <w:lang w:val="en-US"/>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28" w:type="dxa"/>
        </w:tblCellMar>
        <w:tblLook w:val="04A0" w:firstRow="1" w:lastRow="0" w:firstColumn="1" w:lastColumn="0" w:noHBand="0" w:noVBand="1"/>
      </w:tblPr>
      <w:tblGrid>
        <w:gridCol w:w="1701"/>
        <w:gridCol w:w="5387"/>
      </w:tblGrid>
      <w:tr w:rsidRPr="00824DCF" w:rsidR="00961956" w:rsidTr="0018231C" w14:paraId="24FE29BA" w14:textId="77777777">
        <w:tc>
          <w:tcPr>
            <w:tcW w:w="1701" w:type="dxa"/>
          </w:tcPr>
          <w:p w:rsidRPr="009B70E7" w:rsidR="00961956" w:rsidP="0018231C" w:rsidRDefault="00961956" w14:paraId="7B4B6AE8" w14:textId="77777777">
            <w:pPr>
              <w:pStyle w:val="ListParagraph"/>
              <w:keepNext/>
              <w:ind w:left="0"/>
              <w:rPr>
                <w:b/>
              </w:rPr>
            </w:pPr>
            <w:r>
              <w:rPr>
                <w:b/>
              </w:rPr>
              <w:t>Esittelijä:</w:t>
            </w:r>
          </w:p>
        </w:tc>
        <w:tc>
          <w:tcPr>
            <w:tcW w:w="5387" w:type="dxa"/>
          </w:tcPr>
          <w:p w:rsidRPr="00824DCF" w:rsidR="00961956" w:rsidP="00C834A5" w:rsidRDefault="002C0E2F" w14:paraId="17514CDB" w14:textId="77777777">
            <w:pPr>
              <w:pStyle w:val="ListParagraph"/>
              <w:keepNext/>
              <w:ind w:left="-56"/>
            </w:pPr>
            <w:proofErr w:type="spellStart"/>
            <w:r>
              <w:t>Dumitru</w:t>
            </w:r>
            <w:proofErr w:type="spellEnd"/>
            <w:r>
              <w:t xml:space="preserve"> </w:t>
            </w:r>
            <w:proofErr w:type="spellStart"/>
            <w:r>
              <w:t>Fornea</w:t>
            </w:r>
            <w:proofErr w:type="spellEnd"/>
            <w:r>
              <w:t xml:space="preserve"> (työntekijät – RO)</w:t>
            </w:r>
          </w:p>
        </w:tc>
      </w:tr>
      <w:tr w:rsidRPr="00824DCF" w:rsidR="004C40E4" w:rsidTr="0018231C" w14:paraId="4A5F1D42" w14:textId="77777777">
        <w:tc>
          <w:tcPr>
            <w:tcW w:w="7088" w:type="dxa"/>
            <w:gridSpan w:val="2"/>
          </w:tcPr>
          <w:p w:rsidRPr="00824DCF" w:rsidR="004C40E4" w:rsidP="0018231C" w:rsidRDefault="004C40E4" w14:paraId="459398F1" w14:textId="77777777">
            <w:pPr>
              <w:pStyle w:val="ListParagraph"/>
              <w:keepNext/>
              <w:ind w:left="0"/>
              <w:rPr>
                <w:lang w:val="en-US"/>
              </w:rPr>
            </w:pPr>
          </w:p>
        </w:tc>
      </w:tr>
      <w:tr w:rsidRPr="009B70E7" w:rsidR="00961956" w:rsidTr="0018231C" w14:paraId="4857777C" w14:textId="77777777">
        <w:tc>
          <w:tcPr>
            <w:tcW w:w="1701" w:type="dxa"/>
            <w:vMerge w:val="restart"/>
          </w:tcPr>
          <w:p w:rsidRPr="009B70E7" w:rsidR="00961956" w:rsidP="0018231C" w:rsidRDefault="00961956" w14:paraId="3DF2404C" w14:textId="77777777">
            <w:pPr>
              <w:pStyle w:val="ListParagraph"/>
              <w:keepNext/>
              <w:ind w:left="0"/>
              <w:rPr>
                <w:b/>
              </w:rPr>
            </w:pPr>
            <w:r>
              <w:rPr>
                <w:b/>
              </w:rPr>
              <w:t xml:space="preserve">Viiteasiakirja: </w:t>
            </w:r>
          </w:p>
        </w:tc>
        <w:tc>
          <w:tcPr>
            <w:tcW w:w="5387" w:type="dxa"/>
          </w:tcPr>
          <w:p w:rsidRPr="009B70E7" w:rsidR="00961956" w:rsidP="00407760" w:rsidRDefault="002C0E2F" w14:paraId="11997CDA" w14:textId="77777777">
            <w:pPr>
              <w:pStyle w:val="ListParagraph"/>
              <w:keepNext/>
              <w:ind w:left="-56"/>
            </w:pPr>
            <w:r>
              <w:t>oma-aloitteinen lausunto</w:t>
            </w:r>
          </w:p>
        </w:tc>
      </w:tr>
      <w:tr w:rsidRPr="009B70E7" w:rsidR="00961956" w:rsidTr="0018231C" w14:paraId="3AF643A2" w14:textId="77777777">
        <w:tc>
          <w:tcPr>
            <w:tcW w:w="1701" w:type="dxa"/>
            <w:vMerge/>
          </w:tcPr>
          <w:p w:rsidRPr="009B70E7" w:rsidR="00961956" w:rsidP="0018231C" w:rsidRDefault="00961956" w14:paraId="5E8FA40A" w14:textId="77777777">
            <w:pPr>
              <w:pStyle w:val="ListParagraph"/>
              <w:keepNext/>
              <w:ind w:left="0"/>
              <w:rPr>
                <w:b/>
              </w:rPr>
            </w:pPr>
          </w:p>
        </w:tc>
        <w:tc>
          <w:tcPr>
            <w:tcW w:w="5387" w:type="dxa"/>
          </w:tcPr>
          <w:p w:rsidRPr="009B70E7" w:rsidR="00961956" w:rsidP="00407760" w:rsidRDefault="00E65D01" w14:paraId="47950539" w14:textId="77777777">
            <w:pPr>
              <w:pStyle w:val="ListParagraph"/>
              <w:keepNext/>
              <w:ind w:left="-56"/>
            </w:pPr>
            <w:r>
              <w:t>EESC-2022-01011-00-00-AC</w:t>
            </w:r>
          </w:p>
        </w:tc>
      </w:tr>
    </w:tbl>
    <w:p w:rsidRPr="009B70E7" w:rsidR="00961956" w:rsidP="0018231C" w:rsidRDefault="00961956" w14:paraId="148D7539" w14:textId="77777777">
      <w:pPr>
        <w:pStyle w:val="ListParagraph"/>
        <w:keepNext/>
        <w:ind w:left="0"/>
      </w:pPr>
    </w:p>
    <w:p w:rsidRPr="009B70E7" w:rsidR="00961956" w:rsidP="002C4B6E" w:rsidRDefault="00961956" w14:paraId="11D6B73E" w14:textId="5C69D606">
      <w:pPr>
        <w:pStyle w:val="ListParagraph"/>
        <w:spacing w:line="240" w:lineRule="auto"/>
        <w:ind w:left="-142" w:firstLine="142"/>
        <w:rPr>
          <w:b/>
        </w:rPr>
      </w:pPr>
      <w:r>
        <w:rPr>
          <w:b/>
        </w:rPr>
        <w:t>Keskeiset kohdat</w:t>
      </w:r>
    </w:p>
    <w:p w:rsidR="00961956" w:rsidRDefault="00961956" w14:paraId="75408D74" w14:textId="77777777">
      <w:pPr>
        <w:pStyle w:val="ListParagraph"/>
        <w:ind w:left="0"/>
      </w:pPr>
    </w:p>
    <w:p w:rsidR="00824DCF" w:rsidP="00326919" w:rsidRDefault="00824DCF" w14:paraId="487F835E" w14:textId="77777777">
      <w:pPr>
        <w:pStyle w:val="ListParagraph"/>
        <w:keepNext/>
        <w:keepLines/>
        <w:ind w:left="0"/>
      </w:pPr>
      <w:r>
        <w:t>ETSK</w:t>
      </w:r>
    </w:p>
    <w:p w:rsidRPr="009B70E7" w:rsidR="00824DCF" w:rsidRDefault="00824DCF" w14:paraId="5EDF7A19" w14:textId="77777777">
      <w:pPr>
        <w:pStyle w:val="ListParagraph"/>
        <w:ind w:left="0"/>
      </w:pPr>
    </w:p>
    <w:p w:rsidRPr="00F049D6" w:rsidR="00961956" w:rsidP="00C86F74" w:rsidRDefault="005A755F" w14:paraId="3E5BFFD4" w14:textId="77777777">
      <w:pPr>
        <w:pStyle w:val="ListParagraph"/>
        <w:numPr>
          <w:ilvl w:val="0"/>
          <w:numId w:val="3"/>
        </w:numPr>
        <w:ind w:left="357" w:hanging="357"/>
      </w:pPr>
      <w:r>
        <w:t xml:space="preserve">katsoo, että digitaalisen vallankumouksen hallitsemisesta </w:t>
      </w:r>
      <w:r>
        <w:rPr>
          <w:b/>
        </w:rPr>
        <w:t>ei pitäisi tulla pakollista, jotta se ei heikentäisi ihmisten elämänlaatua</w:t>
      </w:r>
      <w:r>
        <w:t>.</w:t>
      </w:r>
      <w:r>
        <w:rPr>
          <w:b/>
        </w:rPr>
        <w:t xml:space="preserve"> Tämä on sitäkin tärkeämpää, koska kansalaiset voivat kokea vahvaa painostusta digitaaliseen maailmaan siirtymiseen, vaikka digitaalista maailmaa ei hallita demokraattisesti.</w:t>
      </w:r>
    </w:p>
    <w:p w:rsidRPr="00F049D6" w:rsidR="002C24B9" w:rsidP="0018231C" w:rsidRDefault="005A755F" w14:paraId="6A722D52" w14:textId="77777777">
      <w:pPr>
        <w:pStyle w:val="ListParagraph"/>
        <w:numPr>
          <w:ilvl w:val="0"/>
          <w:numId w:val="3"/>
        </w:numPr>
        <w:ind w:left="357" w:hanging="357"/>
      </w:pPr>
      <w:r>
        <w:t xml:space="preserve">toteaa, että digitaalisen identiteetin, digitaalisten maksuvälineiden ja virtuaalisen ja laajennetun todellisuuden alustojen olisi säilytettävä välineinä, jotka </w:t>
      </w:r>
      <w:r>
        <w:rPr>
          <w:b/>
        </w:rPr>
        <w:t>vain täydentävät fyysistä olemassaoloa</w:t>
      </w:r>
      <w:r>
        <w:t>, eikä niillä pitäisi korvata kokonaan ja kohtuuttomasti muita olemassaolon malleja.</w:t>
      </w:r>
    </w:p>
    <w:p w:rsidRPr="00F049D6" w:rsidR="00394949" w:rsidP="00394949" w:rsidRDefault="005A755F" w14:paraId="3941A3AB" w14:textId="77777777">
      <w:pPr>
        <w:pStyle w:val="ListParagraph"/>
        <w:numPr>
          <w:ilvl w:val="0"/>
          <w:numId w:val="3"/>
        </w:numPr>
        <w:ind w:left="357" w:hanging="357"/>
      </w:pPr>
      <w:r>
        <w:t xml:space="preserve">katsoo, että kaikkien aloitteiden, joilla integroidaan kansalaiset eurooppalaisen digitaalisen identiteetin järjestelmään, </w:t>
      </w:r>
      <w:r>
        <w:rPr>
          <w:b/>
        </w:rPr>
        <w:t>olisi perustuttava vaikutustenarviointeihin ja kattaviin sosiologisiin tutkimuksiin</w:t>
      </w:r>
      <w:r>
        <w:t xml:space="preserve">. Lopulliseen päätökseen olisi </w:t>
      </w:r>
      <w:r>
        <w:rPr>
          <w:b/>
        </w:rPr>
        <w:t>aina tarvittava kansalaisen valveutunut ja vapaasti ilmaistu suostumus</w:t>
      </w:r>
      <w:r>
        <w:t>.</w:t>
      </w:r>
    </w:p>
    <w:p w:rsidRPr="00435099" w:rsidR="005A755F" w:rsidP="00D13F40" w:rsidRDefault="005A755F" w14:paraId="26309AC9" w14:textId="77777777">
      <w:pPr>
        <w:pStyle w:val="ListParagraph"/>
        <w:numPr>
          <w:ilvl w:val="0"/>
          <w:numId w:val="15"/>
        </w:numPr>
        <w:ind w:left="1134" w:hanging="567"/>
      </w:pPr>
      <w:bookmarkStart w:name="_Toc108435087" w:id="9"/>
      <w:bookmarkStart w:name="_Toc108435211" w:id="10"/>
      <w:bookmarkStart w:name="_Toc108437611" w:id="11"/>
      <w:r>
        <w:t xml:space="preserve">EU:n on seurattava tarkasti </w:t>
      </w:r>
      <w:proofErr w:type="spellStart"/>
      <w:r>
        <w:t>digitalisaation</w:t>
      </w:r>
      <w:proofErr w:type="spellEnd"/>
      <w:r>
        <w:t xml:space="preserve"> vaikutuksia kansalaisiin, työntekijöihin ja yrityksiin. Demokraattisessa ja oikeudenmukaisessa digitaalisessa yhteiskunnassa, jonka kaikki voivat hyväksyä, on otettava huomioon, että tarvitaan valtava energiamäärä maailmanlaajuisen teknologiainfrastruktuurin ylläpitämiseen ympäri vuorokauden keskeytymättömän ja turvallisen pääsyn takaamiseksi digitaaliseen järjestelmään.</w:t>
      </w:r>
      <w:bookmarkEnd w:id="9"/>
      <w:bookmarkEnd w:id="10"/>
      <w:bookmarkEnd w:id="11"/>
    </w:p>
    <w:p w:rsidRPr="00F516B9" w:rsidR="005A755F" w:rsidP="005A755F" w:rsidRDefault="005A755F" w14:paraId="31AEC552" w14:textId="77777777">
      <w:pPr>
        <w:pStyle w:val="ListParagraph"/>
        <w:numPr>
          <w:ilvl w:val="0"/>
          <w:numId w:val="12"/>
        </w:numPr>
        <w:ind w:left="1134" w:hanging="567"/>
      </w:pPr>
      <w:r>
        <w:t>Digitalisointi ja automatisointi vaikuttavat ihmisten elämänlaatuun ja työoloihin, ja on selvää, että digitaaliset välineet vaikuttavat ihmissuhteisiin, yksinäisyyteen, mielenterveyteen, kognitiiviseen ja emotionaaliseen älykkyyteen ja sosiaaliseen vieraantumiseen.</w:t>
      </w:r>
    </w:p>
    <w:p w:rsidR="005A755F" w:rsidP="005A755F" w:rsidRDefault="005A755F" w14:paraId="18D4AC64" w14:textId="77777777">
      <w:pPr>
        <w:pStyle w:val="ListParagraph"/>
        <w:numPr>
          <w:ilvl w:val="0"/>
          <w:numId w:val="12"/>
        </w:numPr>
        <w:ind w:left="1134" w:hanging="567"/>
      </w:pPr>
      <w:r>
        <w:t>Tarvitaan poliittisia, taloudellisia ja sosiaalisia toimenpiteitä yhteiskunnan mukauttamiseksi työmarkkinoiden valtaviin määrällisiin muutoksiin.</w:t>
      </w:r>
    </w:p>
    <w:p w:rsidRPr="005A755F" w:rsidR="00394949" w:rsidP="005A755F" w:rsidRDefault="005A755F" w14:paraId="31E62463" w14:textId="77777777">
      <w:pPr>
        <w:pStyle w:val="ListParagraph"/>
        <w:numPr>
          <w:ilvl w:val="0"/>
          <w:numId w:val="12"/>
        </w:numPr>
        <w:ind w:left="1134" w:hanging="567"/>
      </w:pPr>
      <w:r>
        <w:t>On varmistettava kyberturvallisuus.</w:t>
      </w:r>
    </w:p>
    <w:p w:rsidRPr="00F049D6" w:rsidR="00961956" w:rsidRDefault="00961956" w14:paraId="650EBC4F" w14:textId="77777777">
      <w:pPr>
        <w:rPr>
          <w:lang w:val="en-US"/>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56"/>
        <w:gridCol w:w="5670"/>
      </w:tblGrid>
      <w:tr w:rsidRPr="009B70E7" w:rsidR="00961956" w:rsidTr="00771110" w14:paraId="196AAA5A" w14:textId="77777777">
        <w:tc>
          <w:tcPr>
            <w:tcW w:w="1418" w:type="dxa"/>
          </w:tcPr>
          <w:p w:rsidRPr="009B70E7" w:rsidR="00961956" w:rsidRDefault="00961956" w14:paraId="015B1472" w14:textId="77777777">
            <w:pPr>
              <w:pStyle w:val="ListParagraph"/>
              <w:ind w:left="0"/>
              <w:rPr>
                <w:i/>
              </w:rPr>
            </w:pPr>
            <w:r>
              <w:rPr>
                <w:b/>
                <w:i/>
              </w:rPr>
              <w:t>Yhteydenotot:</w:t>
            </w:r>
          </w:p>
        </w:tc>
        <w:tc>
          <w:tcPr>
            <w:tcW w:w="5670" w:type="dxa"/>
          </w:tcPr>
          <w:p w:rsidRPr="009B70E7" w:rsidR="00961956" w:rsidRDefault="005A755F" w14:paraId="1E2C028D" w14:textId="77777777">
            <w:pPr>
              <w:pStyle w:val="ListParagraph"/>
              <w:ind w:left="0"/>
              <w:rPr>
                <w:i/>
              </w:rPr>
            </w:pPr>
            <w:r>
              <w:rPr>
                <w:i/>
              </w:rPr>
              <w:t xml:space="preserve">Maja </w:t>
            </w:r>
            <w:proofErr w:type="spellStart"/>
            <w:r>
              <w:rPr>
                <w:i/>
              </w:rPr>
              <w:t>Radman</w:t>
            </w:r>
            <w:proofErr w:type="spellEnd"/>
          </w:p>
        </w:tc>
      </w:tr>
      <w:tr w:rsidRPr="009B70E7" w:rsidR="00961956" w:rsidTr="00771110" w14:paraId="767EF621" w14:textId="77777777">
        <w:tc>
          <w:tcPr>
            <w:tcW w:w="1418" w:type="dxa"/>
          </w:tcPr>
          <w:p w:rsidRPr="009B70E7" w:rsidR="00961956" w:rsidRDefault="00961956" w14:paraId="2C15F67B" w14:textId="77777777">
            <w:pPr>
              <w:pStyle w:val="ListParagraph"/>
              <w:ind w:left="601"/>
              <w:rPr>
                <w:i/>
              </w:rPr>
            </w:pPr>
            <w:r>
              <w:rPr>
                <w:i/>
              </w:rPr>
              <w:t>P.</w:t>
            </w:r>
          </w:p>
        </w:tc>
        <w:tc>
          <w:tcPr>
            <w:tcW w:w="5670" w:type="dxa"/>
          </w:tcPr>
          <w:p w:rsidRPr="009B70E7" w:rsidR="00961956" w:rsidRDefault="002C24B9" w14:paraId="619D9C38" w14:textId="77777777">
            <w:pPr>
              <w:pStyle w:val="ListParagraph"/>
              <w:ind w:left="0"/>
              <w:rPr>
                <w:i/>
              </w:rPr>
            </w:pPr>
            <w:r>
              <w:rPr>
                <w:i/>
              </w:rPr>
              <w:t>+32 25469051</w:t>
            </w:r>
          </w:p>
        </w:tc>
      </w:tr>
      <w:tr w:rsidRPr="009B70E7" w:rsidR="00961956" w:rsidTr="00771110" w14:paraId="0B88B3E2" w14:textId="77777777">
        <w:tc>
          <w:tcPr>
            <w:tcW w:w="1418" w:type="dxa"/>
          </w:tcPr>
          <w:p w:rsidRPr="009B70E7" w:rsidR="00961956" w:rsidRDefault="00961956" w14:paraId="7FB55A27" w14:textId="77777777">
            <w:pPr>
              <w:pStyle w:val="ListParagraph"/>
              <w:ind w:left="601"/>
              <w:rPr>
                <w:i/>
              </w:rPr>
            </w:pPr>
            <w:r>
              <w:rPr>
                <w:i/>
              </w:rPr>
              <w:t>Sähköposti:</w:t>
            </w:r>
          </w:p>
        </w:tc>
        <w:tc>
          <w:tcPr>
            <w:tcW w:w="5670" w:type="dxa"/>
          </w:tcPr>
          <w:p w:rsidRPr="009B70E7" w:rsidR="00F80F3B" w:rsidRDefault="00216BAA" w14:paraId="6B508845" w14:textId="77777777">
            <w:pPr>
              <w:pStyle w:val="ListParagraph"/>
              <w:ind w:left="0"/>
              <w:rPr>
                <w:i/>
              </w:rPr>
            </w:pPr>
            <w:hyperlink w:history="1" r:id="rId27">
              <w:r w:rsidR="00EB3BD7">
                <w:rPr>
                  <w:rStyle w:val="Hyperlink"/>
                  <w:i/>
                </w:rPr>
                <w:t>Maja.Radmani@eesc.europa.eu</w:t>
              </w:r>
            </w:hyperlink>
          </w:p>
        </w:tc>
      </w:tr>
    </w:tbl>
    <w:p w:rsidR="00910972" w:rsidP="0018231C" w:rsidRDefault="00910972" w14:paraId="6D17AB89" w14:textId="7DC2E94D">
      <w:pPr>
        <w:jc w:val="left"/>
        <w:rPr>
          <w:sz w:val="28"/>
        </w:rPr>
      </w:pPr>
    </w:p>
    <w:p w:rsidR="00910972" w:rsidRDefault="00910972" w14:paraId="397D2CDA" w14:textId="77777777">
      <w:pPr>
        <w:spacing w:after="160" w:line="259" w:lineRule="auto"/>
        <w:jc w:val="left"/>
        <w:rPr>
          <w:sz w:val="28"/>
        </w:rPr>
      </w:pPr>
      <w:r>
        <w:br w:type="page"/>
      </w:r>
    </w:p>
    <w:p w:rsidRPr="009B70E7" w:rsidR="00D76363" w:rsidP="00D76363" w:rsidRDefault="00CE23CC" w14:paraId="401CAB05" w14:textId="77777777">
      <w:pPr>
        <w:pStyle w:val="ListParagraph"/>
        <w:keepNext/>
        <w:numPr>
          <w:ilvl w:val="0"/>
          <w:numId w:val="2"/>
        </w:numPr>
        <w:ind w:left="567" w:hanging="567"/>
        <w:rPr>
          <w:b/>
          <w:i/>
          <w:sz w:val="28"/>
          <w:szCs w:val="28"/>
        </w:rPr>
      </w:pPr>
      <w:r>
        <w:rPr>
          <w:b/>
          <w:i/>
          <w:sz w:val="28"/>
        </w:rPr>
        <w:lastRenderedPageBreak/>
        <w:t>Toimitusvarmuus ja kohtuulliset energian hinnat</w:t>
      </w:r>
    </w:p>
    <w:p w:rsidRPr="009B70E7" w:rsidR="00D76363" w:rsidP="00D76363" w:rsidRDefault="00D76363" w14:paraId="26D9A939" w14:textId="77777777">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28" w:type="dxa"/>
        </w:tblCellMar>
        <w:tblLook w:val="04A0" w:firstRow="1" w:lastRow="0" w:firstColumn="1" w:lastColumn="0" w:noHBand="0" w:noVBand="1"/>
      </w:tblPr>
      <w:tblGrid>
        <w:gridCol w:w="1701"/>
        <w:gridCol w:w="5812"/>
      </w:tblGrid>
      <w:tr w:rsidRPr="009B70E7" w:rsidR="00D76363" w:rsidTr="00F049D6" w14:paraId="1BC08D1D" w14:textId="77777777">
        <w:tc>
          <w:tcPr>
            <w:tcW w:w="1701" w:type="dxa"/>
          </w:tcPr>
          <w:p w:rsidRPr="009B70E7" w:rsidR="00D76363" w:rsidP="001513FD" w:rsidRDefault="00D76363" w14:paraId="073DB159" w14:textId="77777777">
            <w:pPr>
              <w:pStyle w:val="ListParagraph"/>
              <w:keepNext/>
              <w:ind w:left="0"/>
              <w:rPr>
                <w:b/>
              </w:rPr>
            </w:pPr>
            <w:r>
              <w:rPr>
                <w:b/>
              </w:rPr>
              <w:t>Esittelijä:</w:t>
            </w:r>
          </w:p>
        </w:tc>
        <w:tc>
          <w:tcPr>
            <w:tcW w:w="5812" w:type="dxa"/>
          </w:tcPr>
          <w:p w:rsidRPr="009B70E7" w:rsidR="00D76363" w:rsidP="00F049D6" w:rsidRDefault="00CE23CC" w14:paraId="64C95B4D" w14:textId="77777777">
            <w:pPr>
              <w:pStyle w:val="ListParagraph"/>
              <w:keepNext/>
              <w:ind w:left="-56" w:right="-453"/>
            </w:pPr>
            <w:r>
              <w:t xml:space="preserve">Alena </w:t>
            </w:r>
            <w:proofErr w:type="spellStart"/>
            <w:r>
              <w:t>Mastantuono</w:t>
            </w:r>
            <w:proofErr w:type="spellEnd"/>
            <w:r>
              <w:t xml:space="preserve"> (työnantajat – CZ)</w:t>
            </w:r>
          </w:p>
        </w:tc>
      </w:tr>
      <w:tr w:rsidRPr="009B70E7" w:rsidR="00D76363" w:rsidTr="00F049D6" w14:paraId="206D71D0" w14:textId="77777777">
        <w:tc>
          <w:tcPr>
            <w:tcW w:w="7513" w:type="dxa"/>
            <w:gridSpan w:val="2"/>
          </w:tcPr>
          <w:p w:rsidRPr="009B70E7" w:rsidR="00D76363" w:rsidP="001513FD" w:rsidRDefault="00D76363" w14:paraId="44F259D7" w14:textId="77777777">
            <w:pPr>
              <w:pStyle w:val="ListParagraph"/>
              <w:keepNext/>
              <w:ind w:left="0"/>
            </w:pPr>
          </w:p>
        </w:tc>
      </w:tr>
      <w:tr w:rsidRPr="009B70E7" w:rsidR="00D76363" w:rsidTr="00F049D6" w14:paraId="006CBBBB" w14:textId="77777777">
        <w:tc>
          <w:tcPr>
            <w:tcW w:w="1701" w:type="dxa"/>
            <w:vMerge w:val="restart"/>
          </w:tcPr>
          <w:p w:rsidRPr="009B70E7" w:rsidR="00D76363" w:rsidP="001513FD" w:rsidRDefault="00D76363" w14:paraId="21B3F0D6" w14:textId="77777777">
            <w:pPr>
              <w:pStyle w:val="ListParagraph"/>
              <w:keepNext/>
              <w:ind w:left="0"/>
              <w:rPr>
                <w:b/>
              </w:rPr>
            </w:pPr>
            <w:r>
              <w:rPr>
                <w:b/>
              </w:rPr>
              <w:t xml:space="preserve">Viiteasiakirjat: </w:t>
            </w:r>
          </w:p>
        </w:tc>
        <w:tc>
          <w:tcPr>
            <w:tcW w:w="5812" w:type="dxa"/>
          </w:tcPr>
          <w:p w:rsidRPr="009B70E7" w:rsidR="00D76363" w:rsidP="001513FD" w:rsidRDefault="00D76363" w14:paraId="0F2B0508" w14:textId="77777777">
            <w:pPr>
              <w:pStyle w:val="ListParagraph"/>
              <w:keepNext/>
              <w:ind w:left="-56"/>
            </w:pPr>
            <w:r>
              <w:t xml:space="preserve">COM (2022) 138 </w:t>
            </w:r>
            <w:proofErr w:type="spellStart"/>
            <w:r>
              <w:t>final</w:t>
            </w:r>
            <w:proofErr w:type="spellEnd"/>
          </w:p>
        </w:tc>
      </w:tr>
      <w:tr w:rsidRPr="009B70E7" w:rsidR="00D76363" w:rsidTr="00F049D6" w14:paraId="44A197BD" w14:textId="77777777">
        <w:tc>
          <w:tcPr>
            <w:tcW w:w="1701" w:type="dxa"/>
            <w:vMerge/>
          </w:tcPr>
          <w:p w:rsidRPr="009B70E7" w:rsidR="00D76363" w:rsidP="001513FD" w:rsidRDefault="00D76363" w14:paraId="666AB4C5" w14:textId="77777777">
            <w:pPr>
              <w:pStyle w:val="ListParagraph"/>
              <w:keepNext/>
              <w:ind w:left="0"/>
              <w:rPr>
                <w:b/>
              </w:rPr>
            </w:pPr>
          </w:p>
        </w:tc>
        <w:tc>
          <w:tcPr>
            <w:tcW w:w="5812" w:type="dxa"/>
          </w:tcPr>
          <w:p w:rsidRPr="009B70E7" w:rsidR="00D76363" w:rsidP="001513FD" w:rsidRDefault="00E65D01" w14:paraId="26A5E07B" w14:textId="77777777">
            <w:pPr>
              <w:pStyle w:val="ListParagraph"/>
              <w:keepNext/>
              <w:ind w:left="-56"/>
            </w:pPr>
            <w:r>
              <w:t>EESC-2022-02693-00-00-AC</w:t>
            </w:r>
          </w:p>
        </w:tc>
      </w:tr>
    </w:tbl>
    <w:p w:rsidRPr="009B70E7" w:rsidR="00D76363" w:rsidP="00D76363" w:rsidRDefault="00D76363" w14:paraId="06470B53" w14:textId="77777777">
      <w:pPr>
        <w:pStyle w:val="ListParagraph"/>
        <w:keepNext/>
        <w:ind w:left="0"/>
      </w:pPr>
    </w:p>
    <w:p w:rsidRPr="00CE23CC" w:rsidR="00F049D6" w:rsidP="00CE23CC" w:rsidRDefault="00CE23CC" w14:paraId="6E8A2493" w14:textId="1E2A2AD2">
      <w:pPr>
        <w:pStyle w:val="ListParagraph"/>
        <w:spacing w:line="240" w:lineRule="auto"/>
        <w:ind w:left="-142" w:firstLine="142"/>
        <w:rPr>
          <w:b/>
        </w:rPr>
      </w:pPr>
      <w:r>
        <w:rPr>
          <w:b/>
        </w:rPr>
        <w:t>Keskeiset kohdat</w:t>
      </w:r>
    </w:p>
    <w:p w:rsidRPr="009B70E7" w:rsidR="00F049D6" w:rsidP="00D76363" w:rsidRDefault="00F049D6" w14:paraId="44AA08CC" w14:textId="77777777">
      <w:pPr>
        <w:pStyle w:val="ListParagraph"/>
        <w:ind w:left="0"/>
      </w:pPr>
    </w:p>
    <w:p w:rsidRPr="00CE23CC" w:rsidR="00A30B84" w:rsidP="00CE23CC" w:rsidRDefault="00CE23CC" w14:paraId="4A205B71" w14:textId="77777777">
      <w:pPr>
        <w:pStyle w:val="ListParagraph"/>
        <w:numPr>
          <w:ilvl w:val="0"/>
          <w:numId w:val="3"/>
        </w:numPr>
        <w:ind w:left="357" w:hanging="357"/>
      </w:pPr>
      <w:r>
        <w:t>Eurooppa tarvitsee tehokkaan energiasuunnitelman, joka sisältää erilaisia skenaarioita energiapulan varalta. EU:n ja sen jäsenvaltioiden on suunniteltava yhdessä, miten kuhunkin skenaarioon vastataan ja miten energiainfrastruktuuria voitaisiin käyttää tehokkaasti ja kehittää edelleen.</w:t>
      </w:r>
    </w:p>
    <w:p w:rsidRPr="003527B4" w:rsidR="00D76363" w:rsidP="00D76363" w:rsidRDefault="00CE23CC" w14:paraId="5660D604" w14:textId="77777777">
      <w:pPr>
        <w:pStyle w:val="ListParagraph"/>
        <w:numPr>
          <w:ilvl w:val="0"/>
          <w:numId w:val="3"/>
        </w:numPr>
        <w:ind w:left="357" w:hanging="357"/>
        <w:rPr>
          <w:bCs/>
        </w:rPr>
      </w:pPr>
      <w:r>
        <w:t>Kolmansien maiden energiatoimituksilla on taloudellisia ja poliittisia vaikutuksia EU:hun. On käynyt selväksi, että EU:n on punnittava tarkoin liiallista riippuvuutta sellaisten maiden energiasta, jotka eivät jaa EU:n arvoja. Ihanteellinen ratkaisu olisi lisätä muun kuin fossiilisista lähteistä tuotetun sähkön tuotantoa ja käyttöä Euroopassa, jotta se vastaisi eurooppalaista sähkön kysyntää.</w:t>
      </w:r>
    </w:p>
    <w:p w:rsidR="00D76363" w:rsidP="00D76363" w:rsidRDefault="00CE23CC" w14:paraId="5BFF3ABB" w14:textId="77777777">
      <w:pPr>
        <w:pStyle w:val="ListParagraph"/>
        <w:numPr>
          <w:ilvl w:val="0"/>
          <w:numId w:val="3"/>
        </w:numPr>
        <w:ind w:left="357" w:hanging="357"/>
        <w:rPr>
          <w:bCs/>
        </w:rPr>
      </w:pPr>
      <w:r>
        <w:t>ETSK katsoo, että on jatkuvasti ja johdonmukaisesti pyrittävä luomaan kestävä energiajärjestelmä toimitusvarmuuden, kohtuullisten kustannusten ja hintojen sekä ekologisen kestävyyden avulla.</w:t>
      </w:r>
    </w:p>
    <w:p w:rsidR="00E24CDF" w:rsidP="00D76363" w:rsidRDefault="00CE23CC" w14:paraId="697D0B9F" w14:textId="77777777">
      <w:pPr>
        <w:pStyle w:val="ListParagraph"/>
        <w:numPr>
          <w:ilvl w:val="0"/>
          <w:numId w:val="3"/>
        </w:numPr>
        <w:ind w:left="357" w:hanging="357"/>
        <w:rPr>
          <w:bCs/>
        </w:rPr>
      </w:pPr>
      <w:r>
        <w:t>Suora tuki kuluttajille on kaikkein realistisin vaihtoehto kiireellisenä toimenpiteenä. Kriisin lieventämiseen tähtäävien tukitoimenpiteiden olisi oltava väliaikaisia ja ne olisi kohdennettava niiden hyväksi, jotka kärsivät eniten, olipa kyse sitten kansalaisista, pienyrityksistä tai energiavaltaisista teollisuudenaloista. Myös kuluttajien on tehtävä osansa kaasun kulutuksen vähentämiseksi.</w:t>
      </w:r>
    </w:p>
    <w:p w:rsidRPr="00F049D6" w:rsidR="00E24CDF" w:rsidP="00D76363" w:rsidRDefault="00CE23CC" w14:paraId="7D33BDFB" w14:textId="77777777">
      <w:pPr>
        <w:pStyle w:val="ListParagraph"/>
        <w:numPr>
          <w:ilvl w:val="0"/>
          <w:numId w:val="3"/>
        </w:numPr>
        <w:ind w:left="357" w:hanging="357"/>
        <w:rPr>
          <w:bCs/>
        </w:rPr>
      </w:pPr>
      <w:r>
        <w:t>Tilanteessa olisi sovellettava vain väliaikaisia jäsenvaltiotason toimenpiteitä ja vältettävä pitkäaikaisia vääristäviä vaikutuksia EU:n markkinoihin. Energialähteiden hiilidioksidipäästöjen vähentämisen on pysyttävä ensisijaisena tavoitteena.</w:t>
      </w:r>
    </w:p>
    <w:p w:rsidRPr="009B70E7" w:rsidR="00D76363" w:rsidP="00D76363" w:rsidRDefault="00D76363" w14:paraId="450C439D"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56"/>
        <w:gridCol w:w="5670"/>
      </w:tblGrid>
      <w:tr w:rsidRPr="009B70E7" w:rsidR="00CE23CC" w:rsidTr="00B40158" w14:paraId="50862FD0" w14:textId="77777777">
        <w:tc>
          <w:tcPr>
            <w:tcW w:w="1418" w:type="dxa"/>
          </w:tcPr>
          <w:p w:rsidRPr="009B70E7" w:rsidR="00CE23CC" w:rsidP="00CE23CC" w:rsidRDefault="00CE23CC" w14:paraId="028ABA93" w14:textId="77777777">
            <w:pPr>
              <w:pStyle w:val="ListParagraph"/>
              <w:ind w:left="0"/>
              <w:rPr>
                <w:i/>
              </w:rPr>
            </w:pPr>
            <w:r>
              <w:rPr>
                <w:b/>
                <w:i/>
              </w:rPr>
              <w:t>Yhteydenotot:</w:t>
            </w:r>
          </w:p>
        </w:tc>
        <w:tc>
          <w:tcPr>
            <w:tcW w:w="5670" w:type="dxa"/>
          </w:tcPr>
          <w:p w:rsidRPr="009B70E7" w:rsidR="00CE23CC" w:rsidP="00CE23CC" w:rsidRDefault="00CE23CC" w14:paraId="1F245965" w14:textId="77777777">
            <w:pPr>
              <w:pStyle w:val="ListParagraph"/>
              <w:ind w:left="0"/>
              <w:rPr>
                <w:i/>
              </w:rPr>
            </w:pPr>
            <w:r>
              <w:rPr>
                <w:i/>
              </w:rPr>
              <w:t>Francesco Napolitano</w:t>
            </w:r>
          </w:p>
        </w:tc>
      </w:tr>
      <w:tr w:rsidRPr="009B70E7" w:rsidR="00CE23CC" w:rsidTr="00B40158" w14:paraId="5DE31472" w14:textId="77777777">
        <w:tc>
          <w:tcPr>
            <w:tcW w:w="1418" w:type="dxa"/>
          </w:tcPr>
          <w:p w:rsidRPr="009B70E7" w:rsidR="00CE23CC" w:rsidP="00CE23CC" w:rsidRDefault="00CE23CC" w14:paraId="46E53147" w14:textId="77777777">
            <w:pPr>
              <w:pStyle w:val="ListParagraph"/>
              <w:ind w:left="601"/>
              <w:rPr>
                <w:i/>
              </w:rPr>
            </w:pPr>
            <w:r>
              <w:rPr>
                <w:i/>
              </w:rPr>
              <w:t>P.</w:t>
            </w:r>
          </w:p>
        </w:tc>
        <w:tc>
          <w:tcPr>
            <w:tcW w:w="5670" w:type="dxa"/>
          </w:tcPr>
          <w:p w:rsidRPr="009B70E7" w:rsidR="00CE23CC" w:rsidP="00CE23CC" w:rsidRDefault="00CE23CC" w14:paraId="61A04E27" w14:textId="77777777">
            <w:pPr>
              <w:pStyle w:val="ListParagraph"/>
              <w:ind w:left="0"/>
              <w:rPr>
                <w:i/>
              </w:rPr>
            </w:pPr>
            <w:r>
              <w:rPr>
                <w:i/>
              </w:rPr>
              <w:t>+32 25468921</w:t>
            </w:r>
          </w:p>
        </w:tc>
      </w:tr>
      <w:tr w:rsidRPr="009B70E7" w:rsidR="00CE23CC" w:rsidTr="00B40158" w14:paraId="5EFFF55F" w14:textId="77777777">
        <w:tc>
          <w:tcPr>
            <w:tcW w:w="1418" w:type="dxa"/>
          </w:tcPr>
          <w:p w:rsidRPr="009B70E7" w:rsidR="00CE23CC" w:rsidP="00CE23CC" w:rsidRDefault="00CE23CC" w14:paraId="6B9430EE" w14:textId="77777777">
            <w:pPr>
              <w:pStyle w:val="ListParagraph"/>
              <w:ind w:left="601"/>
              <w:rPr>
                <w:i/>
              </w:rPr>
            </w:pPr>
            <w:r>
              <w:rPr>
                <w:i/>
              </w:rPr>
              <w:t>Sähköposti:</w:t>
            </w:r>
          </w:p>
        </w:tc>
        <w:tc>
          <w:tcPr>
            <w:tcW w:w="5670" w:type="dxa"/>
          </w:tcPr>
          <w:p w:rsidRPr="009B70E7" w:rsidR="00CE23CC" w:rsidP="00CE23CC" w:rsidRDefault="00216BAA" w14:paraId="2F25FA4C" w14:textId="77777777">
            <w:pPr>
              <w:pStyle w:val="ListParagraph"/>
              <w:ind w:left="0"/>
              <w:rPr>
                <w:i/>
              </w:rPr>
            </w:pPr>
            <w:hyperlink w:history="1" r:id="rId28">
              <w:r w:rsidR="00EB3BD7">
                <w:rPr>
                  <w:rStyle w:val="Hyperlink"/>
                  <w:i/>
                </w:rPr>
                <w:t>Francesco.Napolitano@eesc.europa.eu</w:t>
              </w:r>
            </w:hyperlink>
          </w:p>
        </w:tc>
      </w:tr>
    </w:tbl>
    <w:p w:rsidRPr="00A10A98" w:rsidR="007327CD" w:rsidP="0018231C" w:rsidRDefault="007327CD" w14:paraId="1C752D75" w14:textId="77777777">
      <w:pPr>
        <w:jc w:val="left"/>
        <w:rPr>
          <w:sz w:val="28"/>
        </w:rPr>
      </w:pPr>
    </w:p>
    <w:p w:rsidR="00910972" w:rsidRDefault="00910972" w14:paraId="565DA337" w14:textId="0CAB6DF2">
      <w:pPr>
        <w:spacing w:after="160" w:line="259" w:lineRule="auto"/>
        <w:jc w:val="left"/>
        <w:rPr>
          <w:sz w:val="28"/>
        </w:rPr>
      </w:pPr>
      <w:r>
        <w:br w:type="page"/>
      </w:r>
    </w:p>
    <w:p w:rsidRPr="009B70E7" w:rsidR="00E02E1A" w:rsidP="00E02E1A" w:rsidRDefault="00CE23CC" w14:paraId="614B5A48" w14:textId="77777777">
      <w:pPr>
        <w:pStyle w:val="ListParagraph"/>
        <w:keepNext/>
        <w:numPr>
          <w:ilvl w:val="0"/>
          <w:numId w:val="2"/>
        </w:numPr>
        <w:ind w:left="567" w:hanging="567"/>
        <w:rPr>
          <w:b/>
          <w:i/>
          <w:sz w:val="28"/>
          <w:szCs w:val="28"/>
        </w:rPr>
      </w:pPr>
      <w:r>
        <w:rPr>
          <w:b/>
          <w:i/>
          <w:sz w:val="28"/>
        </w:rPr>
        <w:lastRenderedPageBreak/>
        <w:t>Ukrainalaisten ajokorttien tunnustaminen</w:t>
      </w:r>
    </w:p>
    <w:p w:rsidRPr="009B70E7" w:rsidR="00E02E1A" w:rsidP="00E02E1A" w:rsidRDefault="00E02E1A" w14:paraId="22D36C2D" w14:textId="77777777">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28" w:type="dxa"/>
        </w:tblCellMar>
        <w:tblLook w:val="04A0" w:firstRow="1" w:lastRow="0" w:firstColumn="1" w:lastColumn="0" w:noHBand="0" w:noVBand="1"/>
      </w:tblPr>
      <w:tblGrid>
        <w:gridCol w:w="2588"/>
        <w:gridCol w:w="5387"/>
      </w:tblGrid>
      <w:tr w:rsidRPr="009B70E7" w:rsidR="00E02E1A" w:rsidTr="007B4C38" w14:paraId="79CECBDD" w14:textId="77777777">
        <w:tc>
          <w:tcPr>
            <w:tcW w:w="7088" w:type="dxa"/>
            <w:gridSpan w:val="2"/>
          </w:tcPr>
          <w:tbl>
            <w:tblPr>
              <w:tblStyle w:val="TableGrid"/>
              <w:tblW w:w="7524" w:type="dxa"/>
              <w:tblInd w:w="7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26"/>
              <w:gridCol w:w="5398"/>
            </w:tblGrid>
            <w:tr w:rsidRPr="009B70E7" w:rsidR="00394949" w:rsidTr="00E65D01" w14:paraId="67D0221A" w14:textId="77777777">
              <w:tc>
                <w:tcPr>
                  <w:tcW w:w="2126" w:type="dxa"/>
                </w:tcPr>
                <w:p w:rsidRPr="00B40158" w:rsidR="00394949" w:rsidP="00E65D01" w:rsidRDefault="00CE23CC" w14:paraId="23E9C308" w14:textId="77777777">
                  <w:pPr>
                    <w:pStyle w:val="ListParagraph"/>
                    <w:ind w:left="-24" w:hanging="85"/>
                    <w:rPr>
                      <w:b/>
                    </w:rPr>
                  </w:pPr>
                  <w:r>
                    <w:rPr>
                      <w:b/>
                    </w:rPr>
                    <w:t>Ryhmään C kuuluva lausunto</w:t>
                  </w:r>
                </w:p>
              </w:tc>
              <w:tc>
                <w:tcPr>
                  <w:tcW w:w="5398" w:type="dxa"/>
                </w:tcPr>
                <w:p w:rsidR="00394949" w:rsidP="00E65D01" w:rsidRDefault="00394949" w14:paraId="59EBC4B9" w14:textId="77777777">
                  <w:pPr>
                    <w:pStyle w:val="ListParagraph"/>
                    <w:ind w:left="64" w:firstLine="142"/>
                  </w:pPr>
                </w:p>
                <w:p w:rsidRPr="009B70E7" w:rsidR="00394949" w:rsidP="00394949" w:rsidRDefault="00394949" w14:paraId="44E6DD99" w14:textId="77777777">
                  <w:pPr>
                    <w:pStyle w:val="ListParagraph"/>
                    <w:ind w:left="-108"/>
                  </w:pPr>
                </w:p>
              </w:tc>
            </w:tr>
          </w:tbl>
          <w:p w:rsidRPr="009B70E7" w:rsidR="00E02E1A" w:rsidP="007B4C38" w:rsidRDefault="00E02E1A" w14:paraId="36B93263" w14:textId="77777777">
            <w:pPr>
              <w:pStyle w:val="ListParagraph"/>
              <w:keepNext/>
              <w:ind w:left="0"/>
            </w:pPr>
          </w:p>
        </w:tc>
      </w:tr>
      <w:tr w:rsidRPr="009B70E7" w:rsidR="00E02E1A" w:rsidTr="007B4C38" w14:paraId="18B826E9" w14:textId="77777777">
        <w:tc>
          <w:tcPr>
            <w:tcW w:w="1701" w:type="dxa"/>
            <w:vMerge w:val="restart"/>
          </w:tcPr>
          <w:p w:rsidRPr="009B70E7" w:rsidR="00E02E1A" w:rsidP="003165A9" w:rsidRDefault="00E02E1A" w14:paraId="0D6FDD91" w14:textId="77777777">
            <w:pPr>
              <w:pStyle w:val="ListParagraph"/>
              <w:keepNext/>
              <w:ind w:left="84"/>
              <w:rPr>
                <w:b/>
              </w:rPr>
            </w:pPr>
            <w:r>
              <w:rPr>
                <w:b/>
              </w:rPr>
              <w:t xml:space="preserve">Viiteasiakirjat: </w:t>
            </w:r>
          </w:p>
        </w:tc>
        <w:tc>
          <w:tcPr>
            <w:tcW w:w="5387" w:type="dxa"/>
          </w:tcPr>
          <w:p w:rsidRPr="009B70E7" w:rsidR="00E02E1A" w:rsidP="007B4C38" w:rsidRDefault="00E02E1A" w14:paraId="1793B5F5" w14:textId="77777777">
            <w:pPr>
              <w:pStyle w:val="ListParagraph"/>
              <w:keepNext/>
              <w:ind w:left="-56"/>
            </w:pPr>
            <w:r>
              <w:t xml:space="preserve">COM(2022) 313 </w:t>
            </w:r>
            <w:proofErr w:type="spellStart"/>
            <w:r>
              <w:t>final</w:t>
            </w:r>
            <w:proofErr w:type="spellEnd"/>
          </w:p>
        </w:tc>
      </w:tr>
      <w:tr w:rsidRPr="009B70E7" w:rsidR="00E02E1A" w:rsidTr="007B4C38" w14:paraId="04F010A3" w14:textId="77777777">
        <w:tc>
          <w:tcPr>
            <w:tcW w:w="1701" w:type="dxa"/>
            <w:vMerge/>
          </w:tcPr>
          <w:p w:rsidRPr="009B70E7" w:rsidR="00E02E1A" w:rsidP="007B4C38" w:rsidRDefault="00E02E1A" w14:paraId="6BB9873E" w14:textId="77777777">
            <w:pPr>
              <w:pStyle w:val="ListParagraph"/>
              <w:keepNext/>
              <w:ind w:left="0"/>
              <w:rPr>
                <w:b/>
              </w:rPr>
            </w:pPr>
          </w:p>
        </w:tc>
        <w:tc>
          <w:tcPr>
            <w:tcW w:w="5387" w:type="dxa"/>
          </w:tcPr>
          <w:p w:rsidRPr="009B70E7" w:rsidR="00E02E1A" w:rsidP="007B4C38" w:rsidRDefault="00A30B84" w14:paraId="4786441E" w14:textId="77777777">
            <w:pPr>
              <w:pStyle w:val="ListParagraph"/>
              <w:keepNext/>
              <w:ind w:left="-56"/>
            </w:pPr>
            <w:r>
              <w:t>EESC-2022-03334-00-00-AC</w:t>
            </w:r>
          </w:p>
        </w:tc>
      </w:tr>
    </w:tbl>
    <w:p w:rsidR="00E02E1A" w:rsidP="00E02E1A" w:rsidRDefault="00E02E1A" w14:paraId="08BAF99C" w14:textId="77777777">
      <w:pPr>
        <w:pStyle w:val="ListParagraph"/>
        <w:ind w:left="0"/>
      </w:pPr>
    </w:p>
    <w:p w:rsidR="003165A9" w:rsidP="002C4B6E" w:rsidRDefault="003165A9" w14:paraId="08069896" w14:textId="1CDF9A93">
      <w:pPr>
        <w:pStyle w:val="ListParagraph"/>
        <w:spacing w:line="240" w:lineRule="auto"/>
        <w:ind w:left="-142" w:firstLine="142"/>
        <w:rPr>
          <w:b/>
        </w:rPr>
      </w:pPr>
      <w:r>
        <w:rPr>
          <w:b/>
        </w:rPr>
        <w:t>Keskeiset kohdat</w:t>
      </w:r>
    </w:p>
    <w:p w:rsidR="003165A9" w:rsidP="00326919" w:rsidRDefault="003165A9" w14:paraId="00186DD7" w14:textId="77777777">
      <w:pPr>
        <w:pStyle w:val="ListParagraph"/>
        <w:keepNext/>
        <w:keepLines/>
        <w:ind w:left="0"/>
      </w:pPr>
    </w:p>
    <w:p w:rsidRPr="0018231C" w:rsidR="003165A9" w:rsidP="00326919" w:rsidRDefault="00E65D01" w14:paraId="443A7F30" w14:textId="77777777">
      <w:pPr>
        <w:pStyle w:val="ListParagraph"/>
        <w:keepNext/>
        <w:keepLines/>
        <w:ind w:left="0"/>
      </w:pPr>
      <w:r>
        <w:t>Koska komitea katsoo, että asiakirjan sisältö on hyväksyttävä, eikä komitealla ole siihen kommentoitavaa, se päätti antaa esitetystä asiakirjasta myönteisen lausunnon.</w:t>
      </w:r>
    </w:p>
    <w:p w:rsidRPr="009B70E7" w:rsidR="00E02E1A" w:rsidP="00E02E1A" w:rsidRDefault="00E02E1A" w14:paraId="132E231E"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56"/>
        <w:gridCol w:w="5670"/>
      </w:tblGrid>
      <w:tr w:rsidRPr="009B70E7" w:rsidR="00056079" w:rsidTr="00DC17CF" w14:paraId="3D653507" w14:textId="77777777">
        <w:tc>
          <w:tcPr>
            <w:tcW w:w="1418" w:type="dxa"/>
          </w:tcPr>
          <w:p w:rsidRPr="009B70E7" w:rsidR="00056079" w:rsidP="00DC17CF" w:rsidRDefault="00056079" w14:paraId="6C05EC5E" w14:textId="77777777">
            <w:pPr>
              <w:pStyle w:val="ListParagraph"/>
              <w:ind w:left="0"/>
              <w:rPr>
                <w:i/>
              </w:rPr>
            </w:pPr>
            <w:r>
              <w:rPr>
                <w:b/>
                <w:i/>
              </w:rPr>
              <w:t>Yhteydenotot:</w:t>
            </w:r>
          </w:p>
        </w:tc>
        <w:tc>
          <w:tcPr>
            <w:tcW w:w="5670" w:type="dxa"/>
          </w:tcPr>
          <w:p w:rsidRPr="009B70E7" w:rsidR="00056079" w:rsidP="00DC17CF" w:rsidRDefault="00E65D01" w14:paraId="3A49D460" w14:textId="77777777">
            <w:pPr>
              <w:pStyle w:val="ListParagraph"/>
              <w:ind w:left="0"/>
              <w:rPr>
                <w:i/>
              </w:rPr>
            </w:pPr>
            <w:r>
              <w:rPr>
                <w:i/>
              </w:rPr>
              <w:t xml:space="preserve">Antonio </w:t>
            </w:r>
            <w:proofErr w:type="spellStart"/>
            <w:r>
              <w:rPr>
                <w:i/>
              </w:rPr>
              <w:t>Ribeiro</w:t>
            </w:r>
            <w:proofErr w:type="spellEnd"/>
            <w:r>
              <w:rPr>
                <w:i/>
              </w:rPr>
              <w:t xml:space="preserve"> </w:t>
            </w:r>
            <w:proofErr w:type="spellStart"/>
            <w:r>
              <w:rPr>
                <w:i/>
              </w:rPr>
              <w:t>Pereira</w:t>
            </w:r>
            <w:proofErr w:type="spellEnd"/>
          </w:p>
        </w:tc>
      </w:tr>
      <w:tr w:rsidRPr="009B70E7" w:rsidR="00056079" w:rsidTr="00DC17CF" w14:paraId="0C0A979F" w14:textId="77777777">
        <w:tc>
          <w:tcPr>
            <w:tcW w:w="1418" w:type="dxa"/>
          </w:tcPr>
          <w:p w:rsidRPr="009B70E7" w:rsidR="00056079" w:rsidP="00DC17CF" w:rsidRDefault="00056079" w14:paraId="6EB01253" w14:textId="77777777">
            <w:pPr>
              <w:pStyle w:val="ListParagraph"/>
              <w:ind w:left="601"/>
              <w:rPr>
                <w:i/>
              </w:rPr>
            </w:pPr>
            <w:r>
              <w:rPr>
                <w:i/>
              </w:rPr>
              <w:t>P.</w:t>
            </w:r>
          </w:p>
        </w:tc>
        <w:tc>
          <w:tcPr>
            <w:tcW w:w="5670" w:type="dxa"/>
          </w:tcPr>
          <w:p w:rsidRPr="009B70E7" w:rsidR="00056079" w:rsidP="00DC17CF" w:rsidRDefault="00056079" w14:paraId="73BBF09C" w14:textId="77777777">
            <w:pPr>
              <w:pStyle w:val="ListParagraph"/>
              <w:ind w:left="0"/>
              <w:rPr>
                <w:i/>
              </w:rPr>
            </w:pPr>
            <w:r>
              <w:rPr>
                <w:i/>
              </w:rPr>
              <w:t>+32 25469363</w:t>
            </w:r>
          </w:p>
        </w:tc>
      </w:tr>
      <w:tr w:rsidRPr="009B70E7" w:rsidR="00056079" w:rsidTr="00DC17CF" w14:paraId="534BAC1D" w14:textId="77777777">
        <w:tc>
          <w:tcPr>
            <w:tcW w:w="1418" w:type="dxa"/>
          </w:tcPr>
          <w:p w:rsidRPr="009B70E7" w:rsidR="00056079" w:rsidP="00DC17CF" w:rsidRDefault="00056079" w14:paraId="0D67677C" w14:textId="77777777">
            <w:pPr>
              <w:pStyle w:val="ListParagraph"/>
              <w:ind w:left="601"/>
              <w:rPr>
                <w:i/>
              </w:rPr>
            </w:pPr>
            <w:r>
              <w:rPr>
                <w:i/>
              </w:rPr>
              <w:t>Sähköposti:</w:t>
            </w:r>
          </w:p>
        </w:tc>
        <w:tc>
          <w:tcPr>
            <w:tcW w:w="5670" w:type="dxa"/>
          </w:tcPr>
          <w:p w:rsidRPr="009B70E7" w:rsidR="00056079" w:rsidP="00DC17CF" w:rsidRDefault="00216BAA" w14:paraId="52F9C6C7" w14:textId="77777777">
            <w:pPr>
              <w:pStyle w:val="ListParagraph"/>
              <w:ind w:left="0"/>
              <w:rPr>
                <w:i/>
              </w:rPr>
            </w:pPr>
            <w:hyperlink w:history="1" r:id="rId29">
              <w:r w:rsidR="00EB3BD7">
                <w:rPr>
                  <w:rStyle w:val="Hyperlink"/>
                  <w:i/>
                </w:rPr>
                <w:t>Antonio.RibeiroPereira@eesc.europa.eu</w:t>
              </w:r>
            </w:hyperlink>
          </w:p>
        </w:tc>
      </w:tr>
    </w:tbl>
    <w:p w:rsidR="00910972" w:rsidP="00910972" w:rsidRDefault="00910972" w14:paraId="47123D2A" w14:textId="77777777">
      <w:pPr>
        <w:pStyle w:val="ListParagraph"/>
        <w:keepNext/>
        <w:ind w:left="567"/>
        <w:rPr>
          <w:b/>
          <w:i/>
          <w:sz w:val="28"/>
          <w:szCs w:val="28"/>
        </w:rPr>
      </w:pPr>
    </w:p>
    <w:p w:rsidR="00910972" w:rsidRDefault="00910972" w14:paraId="0E683792" w14:textId="77777777">
      <w:pPr>
        <w:spacing w:after="160" w:line="259" w:lineRule="auto"/>
        <w:jc w:val="left"/>
        <w:rPr>
          <w:b/>
          <w:i/>
          <w:sz w:val="28"/>
          <w:szCs w:val="28"/>
        </w:rPr>
      </w:pPr>
      <w:r>
        <w:br w:type="page"/>
      </w:r>
    </w:p>
    <w:p w:rsidRPr="009B70E7" w:rsidR="00E65D01" w:rsidP="00E65D01" w:rsidRDefault="00015E18" w14:paraId="1916BCFD" w14:textId="21C1445C">
      <w:pPr>
        <w:pStyle w:val="ListParagraph"/>
        <w:keepNext/>
        <w:numPr>
          <w:ilvl w:val="0"/>
          <w:numId w:val="2"/>
        </w:numPr>
        <w:ind w:left="567" w:hanging="567"/>
        <w:rPr>
          <w:b/>
          <w:i/>
          <w:sz w:val="28"/>
          <w:szCs w:val="28"/>
        </w:rPr>
      </w:pPr>
      <w:r>
        <w:rPr>
          <w:b/>
          <w:i/>
          <w:sz w:val="28"/>
        </w:rPr>
        <w:lastRenderedPageBreak/>
        <w:t>Energiatehokkuusdirektiivi</w:t>
      </w:r>
    </w:p>
    <w:p w:rsidRPr="009B70E7" w:rsidR="00E65D01" w:rsidP="00E65D01" w:rsidRDefault="00E65D01" w14:paraId="185CF155" w14:textId="77777777">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28" w:type="dxa"/>
        </w:tblCellMar>
        <w:tblLook w:val="04A0" w:firstRow="1" w:lastRow="0" w:firstColumn="1" w:lastColumn="0" w:noHBand="0" w:noVBand="1"/>
      </w:tblPr>
      <w:tblGrid>
        <w:gridCol w:w="2588"/>
        <w:gridCol w:w="5387"/>
      </w:tblGrid>
      <w:tr w:rsidRPr="009B70E7" w:rsidR="00E65D01" w:rsidTr="008B66DD" w14:paraId="258CD34A" w14:textId="77777777">
        <w:tc>
          <w:tcPr>
            <w:tcW w:w="7088" w:type="dxa"/>
            <w:gridSpan w:val="2"/>
          </w:tcPr>
          <w:tbl>
            <w:tblPr>
              <w:tblStyle w:val="TableGrid"/>
              <w:tblW w:w="7524" w:type="dxa"/>
              <w:tblInd w:w="7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26"/>
              <w:gridCol w:w="5398"/>
            </w:tblGrid>
            <w:tr w:rsidRPr="009B70E7" w:rsidR="00E65D01" w:rsidTr="008B66DD" w14:paraId="4A8EDAA3" w14:textId="77777777">
              <w:tc>
                <w:tcPr>
                  <w:tcW w:w="2126" w:type="dxa"/>
                </w:tcPr>
                <w:p w:rsidRPr="00B40158" w:rsidR="00E65D01" w:rsidP="008B66DD" w:rsidRDefault="00E65D01" w14:paraId="40A2FEEE" w14:textId="77777777">
                  <w:pPr>
                    <w:pStyle w:val="ListParagraph"/>
                    <w:ind w:left="-24" w:hanging="85"/>
                    <w:rPr>
                      <w:b/>
                    </w:rPr>
                  </w:pPr>
                  <w:r>
                    <w:rPr>
                      <w:b/>
                    </w:rPr>
                    <w:t>Ryhmään C kuuluva lausunto</w:t>
                  </w:r>
                </w:p>
              </w:tc>
              <w:tc>
                <w:tcPr>
                  <w:tcW w:w="5398" w:type="dxa"/>
                </w:tcPr>
                <w:p w:rsidR="00E65D01" w:rsidP="008B66DD" w:rsidRDefault="00E65D01" w14:paraId="481ABB04" w14:textId="77777777">
                  <w:pPr>
                    <w:pStyle w:val="ListParagraph"/>
                    <w:ind w:left="64" w:firstLine="142"/>
                  </w:pPr>
                </w:p>
                <w:p w:rsidRPr="009B70E7" w:rsidR="00E65D01" w:rsidP="008B66DD" w:rsidRDefault="00E65D01" w14:paraId="44855807" w14:textId="77777777">
                  <w:pPr>
                    <w:pStyle w:val="ListParagraph"/>
                    <w:ind w:left="-108"/>
                  </w:pPr>
                </w:p>
              </w:tc>
            </w:tr>
          </w:tbl>
          <w:p w:rsidRPr="009B70E7" w:rsidR="00E65D01" w:rsidP="008B66DD" w:rsidRDefault="00E65D01" w14:paraId="65666DBD" w14:textId="77777777">
            <w:pPr>
              <w:pStyle w:val="ListParagraph"/>
              <w:keepNext/>
              <w:ind w:left="0"/>
            </w:pPr>
          </w:p>
        </w:tc>
      </w:tr>
      <w:tr w:rsidRPr="009B70E7" w:rsidR="00E65D01" w:rsidTr="008B66DD" w14:paraId="3392BC69" w14:textId="77777777">
        <w:tc>
          <w:tcPr>
            <w:tcW w:w="1701" w:type="dxa"/>
            <w:vMerge w:val="restart"/>
          </w:tcPr>
          <w:p w:rsidRPr="009B70E7" w:rsidR="00E65D01" w:rsidP="008B66DD" w:rsidRDefault="00E65D01" w14:paraId="26927961" w14:textId="77777777">
            <w:pPr>
              <w:pStyle w:val="ListParagraph"/>
              <w:keepNext/>
              <w:ind w:left="84"/>
              <w:rPr>
                <w:b/>
              </w:rPr>
            </w:pPr>
            <w:r>
              <w:rPr>
                <w:b/>
              </w:rPr>
              <w:t xml:space="preserve">Viiteasiakirjat: </w:t>
            </w:r>
          </w:p>
        </w:tc>
        <w:tc>
          <w:tcPr>
            <w:tcW w:w="5387" w:type="dxa"/>
          </w:tcPr>
          <w:p w:rsidRPr="009B70E7" w:rsidR="00E65D01" w:rsidP="008B66DD" w:rsidRDefault="00E65D01" w14:paraId="5C473A41" w14:textId="77777777">
            <w:pPr>
              <w:pStyle w:val="ListParagraph"/>
              <w:keepNext/>
              <w:ind w:left="-56"/>
            </w:pPr>
            <w:r>
              <w:t xml:space="preserve">COM(2021) 222 </w:t>
            </w:r>
            <w:proofErr w:type="spellStart"/>
            <w:r>
              <w:t>final</w:t>
            </w:r>
            <w:proofErr w:type="spellEnd"/>
          </w:p>
        </w:tc>
      </w:tr>
      <w:tr w:rsidRPr="009B70E7" w:rsidR="00E65D01" w:rsidTr="008B66DD" w14:paraId="49746E2A" w14:textId="77777777">
        <w:tc>
          <w:tcPr>
            <w:tcW w:w="1701" w:type="dxa"/>
            <w:vMerge/>
          </w:tcPr>
          <w:p w:rsidRPr="009B70E7" w:rsidR="00E65D01" w:rsidP="008B66DD" w:rsidRDefault="00E65D01" w14:paraId="1F52D818" w14:textId="77777777">
            <w:pPr>
              <w:pStyle w:val="ListParagraph"/>
              <w:keepNext/>
              <w:ind w:left="0"/>
              <w:rPr>
                <w:b/>
              </w:rPr>
            </w:pPr>
          </w:p>
        </w:tc>
        <w:tc>
          <w:tcPr>
            <w:tcW w:w="5387" w:type="dxa"/>
          </w:tcPr>
          <w:p w:rsidRPr="009B70E7" w:rsidR="00E65D01" w:rsidP="008B66DD" w:rsidRDefault="00E65D01" w14:paraId="4838E34A" w14:textId="77777777">
            <w:pPr>
              <w:pStyle w:val="ListParagraph"/>
              <w:keepNext/>
              <w:ind w:left="-56"/>
            </w:pPr>
            <w:r>
              <w:t>EESC-2022-03411-00-00-AC</w:t>
            </w:r>
          </w:p>
        </w:tc>
      </w:tr>
    </w:tbl>
    <w:p w:rsidR="00E65D01" w:rsidP="00E65D01" w:rsidRDefault="00E65D01" w14:paraId="12B32AC3" w14:textId="77777777">
      <w:pPr>
        <w:pStyle w:val="ListParagraph"/>
        <w:ind w:left="0"/>
      </w:pPr>
    </w:p>
    <w:p w:rsidR="00E65D01" w:rsidP="00E65D01" w:rsidRDefault="00E65D01" w14:paraId="7E7C24B9" w14:textId="5C9C3C91">
      <w:pPr>
        <w:pStyle w:val="ListParagraph"/>
        <w:spacing w:line="240" w:lineRule="auto"/>
        <w:ind w:left="-142" w:firstLine="142"/>
        <w:rPr>
          <w:b/>
        </w:rPr>
      </w:pPr>
      <w:r>
        <w:rPr>
          <w:b/>
        </w:rPr>
        <w:t>Keskeiset kohdat</w:t>
      </w:r>
    </w:p>
    <w:p w:rsidR="00E65D01" w:rsidP="00E65D01" w:rsidRDefault="00E65D01" w14:paraId="7B99BBA6" w14:textId="77777777">
      <w:pPr>
        <w:pStyle w:val="ListParagraph"/>
        <w:keepNext/>
        <w:keepLines/>
        <w:ind w:left="0"/>
      </w:pPr>
    </w:p>
    <w:p w:rsidRPr="0018231C" w:rsidR="00E65D01" w:rsidP="00E65D01" w:rsidRDefault="00E65D01" w14:paraId="53C0C59E" w14:textId="77777777">
      <w:pPr>
        <w:pStyle w:val="ListParagraph"/>
        <w:keepNext/>
        <w:keepLines/>
        <w:ind w:left="0"/>
      </w:pPr>
      <w:r>
        <w:t>Koska komitea katsoo, että asiakirjan sisältö on hyväksyttävä, eikä komitealla ole siihen kommentoitavaa, se päätti antaa esitetystä asiakirjasta myönteisen lausunnon.</w:t>
      </w:r>
    </w:p>
    <w:p w:rsidRPr="0018231C" w:rsidR="00E65D01" w:rsidP="00E65D01" w:rsidRDefault="00E65D01" w14:paraId="256A110C" w14:textId="77777777">
      <w:pPr>
        <w:pStyle w:val="ListParagraph"/>
        <w:ind w:left="0"/>
        <w:rPr>
          <w:lang w:val="fr-FR"/>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56"/>
        <w:gridCol w:w="5670"/>
      </w:tblGrid>
      <w:tr w:rsidRPr="009B70E7" w:rsidR="00E65D01" w:rsidTr="008B66DD" w14:paraId="0DD84967" w14:textId="77777777">
        <w:tc>
          <w:tcPr>
            <w:tcW w:w="1418" w:type="dxa"/>
          </w:tcPr>
          <w:p w:rsidRPr="009B70E7" w:rsidR="00E65D01" w:rsidP="008B66DD" w:rsidRDefault="00E65D01" w14:paraId="711CBA3F" w14:textId="77777777">
            <w:pPr>
              <w:pStyle w:val="ListParagraph"/>
              <w:ind w:left="0"/>
              <w:rPr>
                <w:i/>
              </w:rPr>
            </w:pPr>
            <w:r>
              <w:rPr>
                <w:b/>
                <w:i/>
              </w:rPr>
              <w:t>Yhteydenotot:</w:t>
            </w:r>
          </w:p>
        </w:tc>
        <w:tc>
          <w:tcPr>
            <w:tcW w:w="5670" w:type="dxa"/>
          </w:tcPr>
          <w:p w:rsidRPr="009B70E7" w:rsidR="00E65D01" w:rsidP="008B66DD" w:rsidRDefault="00E65D01" w14:paraId="7621E843" w14:textId="77777777">
            <w:pPr>
              <w:pStyle w:val="ListParagraph"/>
              <w:ind w:left="0"/>
              <w:rPr>
                <w:i/>
              </w:rPr>
            </w:pPr>
            <w:proofErr w:type="spellStart"/>
            <w:r>
              <w:rPr>
                <w:i/>
              </w:rPr>
              <w:t>Giorgia</w:t>
            </w:r>
            <w:proofErr w:type="spellEnd"/>
            <w:r>
              <w:rPr>
                <w:i/>
              </w:rPr>
              <w:t xml:space="preserve"> </w:t>
            </w:r>
            <w:proofErr w:type="spellStart"/>
            <w:r>
              <w:rPr>
                <w:i/>
              </w:rPr>
              <w:t>Bordignon</w:t>
            </w:r>
            <w:proofErr w:type="spellEnd"/>
          </w:p>
        </w:tc>
      </w:tr>
      <w:tr w:rsidRPr="009B70E7" w:rsidR="00E65D01" w:rsidTr="008B66DD" w14:paraId="045CA179" w14:textId="77777777">
        <w:tc>
          <w:tcPr>
            <w:tcW w:w="1418" w:type="dxa"/>
          </w:tcPr>
          <w:p w:rsidRPr="009B70E7" w:rsidR="00E65D01" w:rsidP="008B66DD" w:rsidRDefault="00E65D01" w14:paraId="3D84C005" w14:textId="77777777">
            <w:pPr>
              <w:pStyle w:val="ListParagraph"/>
              <w:ind w:left="601"/>
              <w:rPr>
                <w:i/>
              </w:rPr>
            </w:pPr>
            <w:r>
              <w:rPr>
                <w:i/>
              </w:rPr>
              <w:t>P.</w:t>
            </w:r>
          </w:p>
        </w:tc>
        <w:tc>
          <w:tcPr>
            <w:tcW w:w="5670" w:type="dxa"/>
          </w:tcPr>
          <w:p w:rsidRPr="009B70E7" w:rsidR="00E65D01" w:rsidP="008B66DD" w:rsidRDefault="00E65D01" w14:paraId="28C76439" w14:textId="77777777">
            <w:pPr>
              <w:pStyle w:val="ListParagraph"/>
              <w:ind w:left="0"/>
              <w:rPr>
                <w:i/>
              </w:rPr>
            </w:pPr>
            <w:r>
              <w:rPr>
                <w:i/>
              </w:rPr>
              <w:t>+32 25468535</w:t>
            </w:r>
          </w:p>
        </w:tc>
      </w:tr>
      <w:tr w:rsidRPr="009B70E7" w:rsidR="00E65D01" w:rsidTr="008B66DD" w14:paraId="0FBDB7F6" w14:textId="77777777">
        <w:tc>
          <w:tcPr>
            <w:tcW w:w="1418" w:type="dxa"/>
          </w:tcPr>
          <w:p w:rsidRPr="009B70E7" w:rsidR="00E65D01" w:rsidP="008B66DD" w:rsidRDefault="00E65D01" w14:paraId="70AB4C5C" w14:textId="77777777">
            <w:pPr>
              <w:pStyle w:val="ListParagraph"/>
              <w:ind w:left="601"/>
              <w:rPr>
                <w:i/>
              </w:rPr>
            </w:pPr>
            <w:r>
              <w:rPr>
                <w:i/>
              </w:rPr>
              <w:t>Sähköposti:</w:t>
            </w:r>
          </w:p>
        </w:tc>
        <w:tc>
          <w:tcPr>
            <w:tcW w:w="5670" w:type="dxa"/>
          </w:tcPr>
          <w:p w:rsidRPr="009B70E7" w:rsidR="00E65D01" w:rsidP="008B66DD" w:rsidRDefault="00216BAA" w14:paraId="769D6878" w14:textId="77777777">
            <w:pPr>
              <w:pStyle w:val="ListParagraph"/>
              <w:ind w:left="0"/>
              <w:rPr>
                <w:i/>
              </w:rPr>
            </w:pPr>
            <w:hyperlink w:history="1" r:id="rId30">
              <w:r w:rsidR="00EB3BD7">
                <w:rPr>
                  <w:rStyle w:val="Hyperlink"/>
                  <w:i/>
                </w:rPr>
                <w:t>Giorgia.Bordignon@eesc.europa.eu</w:t>
              </w:r>
            </w:hyperlink>
          </w:p>
        </w:tc>
      </w:tr>
    </w:tbl>
    <w:p w:rsidR="002A2F38" w:rsidP="0018231C" w:rsidRDefault="002A2F38" w14:paraId="7C470F49" w14:textId="77777777">
      <w:pPr>
        <w:jc w:val="left"/>
        <w:rPr>
          <w:sz w:val="28"/>
        </w:rPr>
      </w:pPr>
    </w:p>
    <w:p w:rsidR="00015E18" w:rsidRDefault="00015E18" w14:paraId="4D226931" w14:textId="77777777">
      <w:pPr>
        <w:spacing w:after="160" w:line="259" w:lineRule="auto"/>
        <w:jc w:val="left"/>
        <w:rPr>
          <w:sz w:val="28"/>
        </w:rPr>
      </w:pPr>
      <w:r>
        <w:br w:type="page"/>
      </w:r>
    </w:p>
    <w:p w:rsidRPr="009B70E7" w:rsidR="004D7AC0" w:rsidRDefault="004D7AC0" w14:paraId="3F8FA026" w14:textId="77777777">
      <w:pPr>
        <w:pStyle w:val="Heading1"/>
        <w:rPr>
          <w:b/>
        </w:rPr>
      </w:pPr>
      <w:bookmarkStart w:name="_Toc75527083" w:id="12"/>
      <w:bookmarkStart w:name="_Toc109906483" w:id="13"/>
      <w:r>
        <w:rPr>
          <w:b/>
        </w:rPr>
        <w:lastRenderedPageBreak/>
        <w:t>SISÄMARKKINAT, TUOTANTO JA KULUTUS</w:t>
      </w:r>
      <w:bookmarkEnd w:id="12"/>
      <w:bookmarkEnd w:id="13"/>
    </w:p>
    <w:p w:rsidRPr="009B70E7" w:rsidR="004D7AC0" w:rsidRDefault="004D7AC0" w14:paraId="03FF9505" w14:textId="77777777"/>
    <w:p w:rsidRPr="007E7A4F" w:rsidR="004D7AC0" w:rsidP="007E7A4F" w:rsidRDefault="001A2273" w14:paraId="7F0491AB" w14:textId="35589013">
      <w:pPr>
        <w:pStyle w:val="ListParagraph"/>
        <w:numPr>
          <w:ilvl w:val="0"/>
          <w:numId w:val="2"/>
        </w:numPr>
        <w:ind w:left="567" w:hanging="567"/>
        <w:rPr>
          <w:b/>
          <w:i/>
          <w:sz w:val="28"/>
          <w:szCs w:val="28"/>
        </w:rPr>
      </w:pPr>
      <w:r>
        <w:rPr>
          <w:b/>
          <w:i/>
          <w:sz w:val="28"/>
        </w:rPr>
        <w:t>Kuluttajat ja vihreä siirtymä</w:t>
      </w:r>
    </w:p>
    <w:p w:rsidRPr="009B70E7" w:rsidR="004D7AC0" w:rsidP="0018231C" w:rsidRDefault="004D7AC0" w14:paraId="6D553771" w14:textId="77777777">
      <w:pPr>
        <w:pStyle w:val="ListParagraph"/>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6096"/>
      </w:tblGrid>
      <w:tr w:rsidRPr="007E7A4F" w:rsidR="00753F2A" w:rsidTr="00342F72" w14:paraId="67E764D9" w14:textId="77777777">
        <w:tc>
          <w:tcPr>
            <w:tcW w:w="1701" w:type="dxa"/>
          </w:tcPr>
          <w:p w:rsidRPr="009B70E7" w:rsidR="00753F2A" w:rsidRDefault="00753F2A" w14:paraId="793CE0A9" w14:textId="77777777">
            <w:pPr>
              <w:pStyle w:val="ListParagraph"/>
              <w:ind w:left="0"/>
              <w:rPr>
                <w:b/>
              </w:rPr>
            </w:pPr>
            <w:r>
              <w:rPr>
                <w:b/>
              </w:rPr>
              <w:t>Esittelijä:</w:t>
            </w:r>
          </w:p>
        </w:tc>
        <w:tc>
          <w:tcPr>
            <w:tcW w:w="6096" w:type="dxa"/>
          </w:tcPr>
          <w:p w:rsidRPr="007E7A4F" w:rsidR="00645723" w:rsidP="00A74B4C" w:rsidRDefault="000A007B" w14:paraId="2F83A1EA" w14:textId="77777777">
            <w:pPr>
              <w:pStyle w:val="ListParagraph"/>
              <w:ind w:left="-108"/>
            </w:pPr>
            <w:r>
              <w:t xml:space="preserve">Thierry </w:t>
            </w:r>
            <w:proofErr w:type="spellStart"/>
            <w:r>
              <w:t>Libaert</w:t>
            </w:r>
            <w:proofErr w:type="spellEnd"/>
            <w:r>
              <w:t xml:space="preserve"> (kansalaisyhteiskunnan organisaatiot – FR)</w:t>
            </w:r>
          </w:p>
        </w:tc>
      </w:tr>
      <w:tr w:rsidRPr="007E7A4F" w:rsidR="00E65D01" w:rsidTr="00342F72" w14:paraId="66C242BA" w14:textId="77777777">
        <w:tc>
          <w:tcPr>
            <w:tcW w:w="1701" w:type="dxa"/>
          </w:tcPr>
          <w:p w:rsidRPr="009B70E7" w:rsidR="00E65D01" w:rsidRDefault="00E65D01" w14:paraId="3314C6AE" w14:textId="77777777">
            <w:pPr>
              <w:pStyle w:val="ListParagraph"/>
              <w:ind w:left="0"/>
              <w:rPr>
                <w:b/>
              </w:rPr>
            </w:pPr>
            <w:r>
              <w:rPr>
                <w:b/>
              </w:rPr>
              <w:t>Yhteisesittelijä:</w:t>
            </w:r>
          </w:p>
        </w:tc>
        <w:tc>
          <w:tcPr>
            <w:tcW w:w="6096" w:type="dxa"/>
          </w:tcPr>
          <w:p w:rsidRPr="00A74B4C" w:rsidR="00E65D01" w:rsidP="00A74B4C" w:rsidRDefault="00E65D01" w14:paraId="3F16BFA0" w14:textId="77777777">
            <w:pPr>
              <w:pStyle w:val="ListParagraph"/>
              <w:ind w:left="-108"/>
            </w:pPr>
            <w:r>
              <w:t xml:space="preserve">Gonçalo </w:t>
            </w:r>
            <w:proofErr w:type="spellStart"/>
            <w:r>
              <w:t>Lobo</w:t>
            </w:r>
            <w:proofErr w:type="spellEnd"/>
            <w:r>
              <w:t xml:space="preserve"> Xavier (työnantajat – PT)</w:t>
            </w:r>
          </w:p>
        </w:tc>
      </w:tr>
      <w:tr w:rsidRPr="007E7A4F" w:rsidR="004C40E4" w:rsidTr="00342F72" w14:paraId="5D5E00A4" w14:textId="77777777">
        <w:tc>
          <w:tcPr>
            <w:tcW w:w="7797" w:type="dxa"/>
            <w:gridSpan w:val="2"/>
          </w:tcPr>
          <w:p w:rsidRPr="00E65D01" w:rsidR="004C40E4" w:rsidRDefault="004C40E4" w14:paraId="4586BF19" w14:textId="77777777">
            <w:pPr>
              <w:pStyle w:val="ListParagraph"/>
              <w:ind w:left="0"/>
              <w:rPr>
                <w:b/>
                <w:lang w:val="fr-BE"/>
              </w:rPr>
            </w:pPr>
          </w:p>
        </w:tc>
      </w:tr>
      <w:tr w:rsidRPr="009B70E7" w:rsidR="004D7AC0" w:rsidTr="00342F72" w14:paraId="5F7FEE9D" w14:textId="77777777">
        <w:tc>
          <w:tcPr>
            <w:tcW w:w="1701" w:type="dxa"/>
          </w:tcPr>
          <w:p w:rsidRPr="009B70E7" w:rsidR="004D7AC0" w:rsidRDefault="004D7AC0" w14:paraId="7A4B7641" w14:textId="77777777">
            <w:pPr>
              <w:pStyle w:val="ListParagraph"/>
              <w:ind w:left="0"/>
              <w:rPr>
                <w:b/>
              </w:rPr>
            </w:pPr>
            <w:r>
              <w:rPr>
                <w:b/>
              </w:rPr>
              <w:t xml:space="preserve">Viiteasiakirjat: </w:t>
            </w:r>
          </w:p>
        </w:tc>
        <w:tc>
          <w:tcPr>
            <w:tcW w:w="6096" w:type="dxa"/>
          </w:tcPr>
          <w:p w:rsidRPr="009B70E7" w:rsidR="006A3A88" w:rsidP="000F53B7" w:rsidRDefault="000A007B" w14:paraId="3C04A448" w14:textId="77777777">
            <w:pPr>
              <w:tabs>
                <w:tab w:val="center" w:pos="284"/>
              </w:tabs>
              <w:ind w:left="266" w:hanging="374"/>
            </w:pPr>
            <w:r>
              <w:t xml:space="preserve">COM(2022) 143 </w:t>
            </w:r>
            <w:proofErr w:type="spellStart"/>
            <w:r>
              <w:t>final</w:t>
            </w:r>
            <w:proofErr w:type="spellEnd"/>
          </w:p>
          <w:p w:rsidRPr="009B70E7" w:rsidR="004D7AC0" w:rsidP="000F53B7" w:rsidRDefault="000A007B" w14:paraId="191F43FD" w14:textId="77777777">
            <w:pPr>
              <w:pStyle w:val="ListParagraph"/>
              <w:ind w:left="-108"/>
            </w:pPr>
            <w:r>
              <w:t>EESC-2022-01950-00-00-AC</w:t>
            </w:r>
          </w:p>
        </w:tc>
      </w:tr>
    </w:tbl>
    <w:p w:rsidRPr="009B70E7" w:rsidR="00BB1EE2" w:rsidRDefault="00BB1EE2" w14:paraId="49F1F598" w14:textId="77777777">
      <w:pPr>
        <w:pStyle w:val="ListParagraph"/>
        <w:ind w:left="0"/>
        <w:rPr>
          <w:b/>
        </w:rPr>
      </w:pPr>
    </w:p>
    <w:p w:rsidRPr="0018231C" w:rsidR="004D7AC0" w:rsidP="002C4B6E" w:rsidRDefault="00D20C54" w14:paraId="6267AC05" w14:textId="1849BC99">
      <w:pPr>
        <w:pStyle w:val="ListParagraph"/>
        <w:spacing w:line="240" w:lineRule="auto"/>
        <w:ind w:left="-142" w:firstLine="142"/>
        <w:rPr>
          <w:b/>
        </w:rPr>
      </w:pPr>
      <w:r>
        <w:rPr>
          <w:b/>
        </w:rPr>
        <w:t>Keskeiset kohdat</w:t>
      </w:r>
    </w:p>
    <w:p w:rsidRPr="0018231C" w:rsidR="004D7AC0" w:rsidRDefault="004D7AC0" w14:paraId="3E3F39EC" w14:textId="77777777">
      <w:pPr>
        <w:pStyle w:val="ListParagraph"/>
        <w:ind w:left="0"/>
        <w:rPr>
          <w:lang w:val="fr-FR"/>
        </w:rPr>
      </w:pPr>
    </w:p>
    <w:p w:rsidR="007E7A4F" w:rsidRDefault="00D20C54" w14:paraId="1A9DE11D" w14:textId="77777777">
      <w:pPr>
        <w:pStyle w:val="ListParagraph"/>
        <w:ind w:left="0"/>
      </w:pPr>
      <w:r>
        <w:t>ETSK</w:t>
      </w:r>
    </w:p>
    <w:p w:rsidRPr="0018231C" w:rsidR="00331C12" w:rsidRDefault="00331C12" w14:paraId="35D1C8DD" w14:textId="77777777">
      <w:pPr>
        <w:pStyle w:val="ListParagraph"/>
        <w:ind w:left="0"/>
        <w:rPr>
          <w:lang w:val="fr-FR"/>
        </w:rPr>
      </w:pPr>
    </w:p>
    <w:p w:rsidRPr="007E7A4F" w:rsidR="00225C52" w:rsidP="00225C52" w:rsidRDefault="00D04678" w14:paraId="4C138A05" w14:textId="35C76187">
      <w:pPr>
        <w:numPr>
          <w:ilvl w:val="0"/>
          <w:numId w:val="3"/>
        </w:numPr>
        <w:overflowPunct w:val="0"/>
        <w:autoSpaceDE w:val="0"/>
        <w:autoSpaceDN w:val="0"/>
        <w:adjustRightInd w:val="0"/>
        <w:ind w:left="357" w:hanging="357"/>
        <w:textAlignment w:val="baseline"/>
        <w:rPr>
          <w:bCs/>
          <w:iCs/>
        </w:rPr>
      </w:pPr>
      <w:r>
        <w:t xml:space="preserve">korostaa, että </w:t>
      </w:r>
      <w:r>
        <w:rPr>
          <w:b/>
        </w:rPr>
        <w:t>on pyrittävä kaikin tavoin varmistamaan, että kuluttajat saavat järjestelmällisesti tietoa</w:t>
      </w:r>
      <w:r>
        <w:t>.</w:t>
      </w:r>
    </w:p>
    <w:p w:rsidRPr="000A007B" w:rsidR="00225C52" w:rsidP="00225C52" w:rsidRDefault="00D04678" w14:paraId="24A2C373" w14:textId="41211029">
      <w:pPr>
        <w:numPr>
          <w:ilvl w:val="0"/>
          <w:numId w:val="3"/>
        </w:numPr>
        <w:overflowPunct w:val="0"/>
        <w:autoSpaceDE w:val="0"/>
        <w:autoSpaceDN w:val="0"/>
        <w:adjustRightInd w:val="0"/>
        <w:ind w:left="357" w:hanging="357"/>
        <w:textAlignment w:val="baseline"/>
        <w:rPr>
          <w:bCs/>
          <w:iCs/>
        </w:rPr>
      </w:pPr>
      <w:r>
        <w:t xml:space="preserve">kehottaa komissiota </w:t>
      </w:r>
      <w:r>
        <w:rPr>
          <w:b/>
        </w:rPr>
        <w:t>tekemään kunnianhimoisen periaatepäätöksen viihde-elektroniikan ja kodinkoneiden korjattavuuspisteytyksestä</w:t>
      </w:r>
      <w:r>
        <w:t>.</w:t>
      </w:r>
    </w:p>
    <w:p w:rsidRPr="000A007B" w:rsidR="000A007B" w:rsidP="00225C52" w:rsidRDefault="00D04678" w14:paraId="1330E042" w14:textId="100E679E">
      <w:pPr>
        <w:numPr>
          <w:ilvl w:val="0"/>
          <w:numId w:val="3"/>
        </w:numPr>
        <w:overflowPunct w:val="0"/>
        <w:autoSpaceDE w:val="0"/>
        <w:autoSpaceDN w:val="0"/>
        <w:adjustRightInd w:val="0"/>
        <w:ind w:left="357" w:hanging="357"/>
        <w:textAlignment w:val="baseline"/>
        <w:rPr>
          <w:bCs/>
          <w:iCs/>
        </w:rPr>
      </w:pPr>
      <w:r>
        <w:t>katsoo, että komission on</w:t>
      </w:r>
      <w:r>
        <w:rPr>
          <w:b/>
        </w:rPr>
        <w:t xml:space="preserve"> edistettävä periaatetta tuotteiden kestävyyden yksinkertaisesta ja yhdenmukaisesta ilmoittamisesta</w:t>
      </w:r>
      <w:r>
        <w:t xml:space="preserve"> tulevina vuosina.</w:t>
      </w:r>
    </w:p>
    <w:p w:rsidRPr="000A007B" w:rsidR="000A007B" w:rsidP="00225C52" w:rsidRDefault="00D04678" w14:paraId="3D07993B" w14:textId="2FB4C5D0">
      <w:pPr>
        <w:numPr>
          <w:ilvl w:val="0"/>
          <w:numId w:val="3"/>
        </w:numPr>
        <w:overflowPunct w:val="0"/>
        <w:autoSpaceDE w:val="0"/>
        <w:autoSpaceDN w:val="0"/>
        <w:adjustRightInd w:val="0"/>
        <w:ind w:left="357" w:hanging="357"/>
        <w:textAlignment w:val="baseline"/>
        <w:rPr>
          <w:bCs/>
          <w:iCs/>
        </w:rPr>
      </w:pPr>
      <w:r>
        <w:t>on sitä mieltä, että on</w:t>
      </w:r>
      <w:r>
        <w:rPr>
          <w:b/>
        </w:rPr>
        <w:t xml:space="preserve"> helpotettava uusien korjaajien kouluttamista ja nykyisten toimijoiden osaamisen kehittämistä</w:t>
      </w:r>
      <w:r>
        <w:t>.</w:t>
      </w:r>
    </w:p>
    <w:p w:rsidRPr="000A007B" w:rsidR="000A007B" w:rsidP="00225C52" w:rsidRDefault="00D04678" w14:paraId="678E3DCE" w14:textId="27E40AC8">
      <w:pPr>
        <w:numPr>
          <w:ilvl w:val="0"/>
          <w:numId w:val="3"/>
        </w:numPr>
        <w:overflowPunct w:val="0"/>
        <w:autoSpaceDE w:val="0"/>
        <w:autoSpaceDN w:val="0"/>
        <w:adjustRightInd w:val="0"/>
        <w:ind w:left="357" w:hanging="357"/>
        <w:textAlignment w:val="baseline"/>
        <w:rPr>
          <w:bCs/>
          <w:iCs/>
        </w:rPr>
      </w:pPr>
      <w:r>
        <w:t xml:space="preserve">kehottaa Eurooppaa myös </w:t>
      </w:r>
      <w:r>
        <w:rPr>
          <w:b/>
        </w:rPr>
        <w:t>vähentämään riippuvuuttaan raaka-aineista vahvistamalla korjausvalmiuksiaan ja hankkimalla varaosia</w:t>
      </w:r>
      <w:r>
        <w:t>.</w:t>
      </w:r>
    </w:p>
    <w:p w:rsidRPr="000A007B" w:rsidR="000A007B" w:rsidP="00225C52" w:rsidRDefault="00D04678" w14:paraId="4D90AA30" w14:textId="65E73F4C">
      <w:pPr>
        <w:numPr>
          <w:ilvl w:val="0"/>
          <w:numId w:val="3"/>
        </w:numPr>
        <w:overflowPunct w:val="0"/>
        <w:autoSpaceDE w:val="0"/>
        <w:autoSpaceDN w:val="0"/>
        <w:adjustRightInd w:val="0"/>
        <w:ind w:left="357" w:hanging="357"/>
        <w:textAlignment w:val="baseline"/>
        <w:rPr>
          <w:bCs/>
          <w:iCs/>
        </w:rPr>
      </w:pPr>
      <w:r>
        <w:t xml:space="preserve">katsoo, että </w:t>
      </w:r>
      <w:r>
        <w:rPr>
          <w:b/>
        </w:rPr>
        <w:t>kuluttajia on suojeltava paremmin sekoittamasta toisiinsa lakisääteistä takuuta ja kaupallista takuuta</w:t>
      </w:r>
      <w:r>
        <w:t xml:space="preserve"> ja että on</w:t>
      </w:r>
      <w:r>
        <w:rPr>
          <w:b/>
        </w:rPr>
        <w:t xml:space="preserve"> edistettävä tuotteen korjaamista uudella tuotteella korvaamisen sijasta</w:t>
      </w:r>
      <w:r>
        <w:t>, rajoittamatta kuitenkaan kuluttajien valinnanvapautta.</w:t>
      </w:r>
    </w:p>
    <w:p w:rsidRPr="00650DB1" w:rsidR="000A007B" w:rsidP="00225C52" w:rsidRDefault="00D04678" w14:paraId="41DDE40E" w14:textId="69AC55BA">
      <w:pPr>
        <w:numPr>
          <w:ilvl w:val="0"/>
          <w:numId w:val="3"/>
        </w:numPr>
        <w:overflowPunct w:val="0"/>
        <w:autoSpaceDE w:val="0"/>
        <w:autoSpaceDN w:val="0"/>
        <w:adjustRightInd w:val="0"/>
        <w:ind w:left="357" w:hanging="357"/>
        <w:textAlignment w:val="baseline"/>
        <w:rPr>
          <w:bCs/>
          <w:iCs/>
        </w:rPr>
      </w:pPr>
      <w:r>
        <w:t xml:space="preserve">katsoo, että </w:t>
      </w:r>
      <w:r>
        <w:rPr>
          <w:b/>
        </w:rPr>
        <w:t>kuluttajien vaikutusmahdollisuuksien vahvistamisen yhteydessä on turvattava parempi suoja harhaanjohtavalta mainonnalta</w:t>
      </w:r>
      <w:r>
        <w:t>.</w:t>
      </w:r>
    </w:p>
    <w:p w:rsidRPr="00650DB1" w:rsidR="00650DB1" w:rsidP="00225C52" w:rsidRDefault="00650DB1" w14:paraId="1361AE6B" w14:textId="186485B1">
      <w:pPr>
        <w:numPr>
          <w:ilvl w:val="0"/>
          <w:numId w:val="3"/>
        </w:numPr>
        <w:overflowPunct w:val="0"/>
        <w:autoSpaceDE w:val="0"/>
        <w:autoSpaceDN w:val="0"/>
        <w:adjustRightInd w:val="0"/>
        <w:ind w:left="357" w:hanging="357"/>
        <w:textAlignment w:val="baseline"/>
        <w:rPr>
          <w:bCs/>
          <w:iCs/>
        </w:rPr>
      </w:pPr>
      <w:r>
        <w:t xml:space="preserve">katsoo, että myös </w:t>
      </w:r>
      <w:r>
        <w:rPr>
          <w:b/>
        </w:rPr>
        <w:t>ympäristöväitteiden valvontavalmiuksia on vahvistettava</w:t>
      </w:r>
      <w:r>
        <w:t>.</w:t>
      </w:r>
    </w:p>
    <w:p w:rsidRPr="00650DB1" w:rsidR="00650DB1" w:rsidP="00225C52" w:rsidRDefault="00650DB1" w14:paraId="63699F61" w14:textId="24067C04">
      <w:pPr>
        <w:numPr>
          <w:ilvl w:val="0"/>
          <w:numId w:val="3"/>
        </w:numPr>
        <w:overflowPunct w:val="0"/>
        <w:autoSpaceDE w:val="0"/>
        <w:autoSpaceDN w:val="0"/>
        <w:adjustRightInd w:val="0"/>
        <w:ind w:left="357" w:hanging="357"/>
        <w:textAlignment w:val="baseline"/>
        <w:rPr>
          <w:bCs/>
          <w:iCs/>
        </w:rPr>
      </w:pPr>
      <w:r>
        <w:t xml:space="preserve">vaatii, että komission on </w:t>
      </w:r>
      <w:r>
        <w:rPr>
          <w:b/>
        </w:rPr>
        <w:t>tuotava esiin eurooppalaista ympäristömerkkiä</w:t>
      </w:r>
      <w:r>
        <w:t xml:space="preserve"> ja merkintöihin liittyvien sertifiointimenettelyjen välttämättömyyttä.</w:t>
      </w:r>
    </w:p>
    <w:p w:rsidRPr="00650DB1" w:rsidR="00650DB1" w:rsidP="00225C52" w:rsidRDefault="00650DB1" w14:paraId="27D078B3" w14:textId="55240C64">
      <w:pPr>
        <w:numPr>
          <w:ilvl w:val="0"/>
          <w:numId w:val="3"/>
        </w:numPr>
        <w:overflowPunct w:val="0"/>
        <w:autoSpaceDE w:val="0"/>
        <w:autoSpaceDN w:val="0"/>
        <w:adjustRightInd w:val="0"/>
        <w:ind w:left="357" w:hanging="357"/>
        <w:textAlignment w:val="baseline"/>
        <w:rPr>
          <w:bCs/>
          <w:iCs/>
        </w:rPr>
      </w:pPr>
      <w:r>
        <w:t xml:space="preserve">kehottaa EU:ta </w:t>
      </w:r>
      <w:r>
        <w:rPr>
          <w:b/>
        </w:rPr>
        <w:t>vahvistamaan tuotteiden ympäristöominaisuuksiin liittyvien väärinkäytösten paljastajien suojelua</w:t>
      </w:r>
      <w:r>
        <w:t>.</w:t>
      </w:r>
    </w:p>
    <w:p w:rsidRPr="007E7A4F" w:rsidR="00650DB1" w:rsidP="00225C52" w:rsidRDefault="00650DB1" w14:paraId="62FC44AC" w14:textId="585E3086">
      <w:pPr>
        <w:numPr>
          <w:ilvl w:val="0"/>
          <w:numId w:val="3"/>
        </w:numPr>
        <w:overflowPunct w:val="0"/>
        <w:autoSpaceDE w:val="0"/>
        <w:autoSpaceDN w:val="0"/>
        <w:adjustRightInd w:val="0"/>
        <w:ind w:left="357" w:hanging="357"/>
        <w:textAlignment w:val="baseline"/>
        <w:rPr>
          <w:bCs/>
          <w:iCs/>
        </w:rPr>
      </w:pPr>
      <w:r>
        <w:t xml:space="preserve">kehottaa komissiota </w:t>
      </w:r>
      <w:r>
        <w:rPr>
          <w:b/>
        </w:rPr>
        <w:t>edistämään tehokasta tiedottamista kuluttajille vastuullisesta kuluttamisesta</w:t>
      </w:r>
      <w:r>
        <w:t>.</w:t>
      </w:r>
    </w:p>
    <w:p w:rsidRPr="007E7A4F" w:rsidR="003C4D5B" w:rsidP="000A007B" w:rsidRDefault="003C4D5B" w14:paraId="7882C726" w14:textId="77777777">
      <w:pPr>
        <w:overflowPunct w:val="0"/>
        <w:autoSpaceDE w:val="0"/>
        <w:autoSpaceDN w:val="0"/>
        <w:adjustRightInd w:val="0"/>
        <w:ind w:left="357"/>
        <w:textAlignment w:val="baseline"/>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56"/>
        <w:gridCol w:w="5670"/>
      </w:tblGrid>
      <w:tr w:rsidRPr="009B70E7" w:rsidR="00225C52" w:rsidTr="008327B1" w14:paraId="776316B4" w14:textId="77777777">
        <w:tc>
          <w:tcPr>
            <w:tcW w:w="1418" w:type="dxa"/>
          </w:tcPr>
          <w:p w:rsidRPr="009B70E7" w:rsidR="00225C52" w:rsidP="008327B1" w:rsidRDefault="00225C52" w14:paraId="4C1EE362" w14:textId="77777777">
            <w:pPr>
              <w:pStyle w:val="ListParagraph"/>
              <w:ind w:left="0"/>
              <w:rPr>
                <w:i/>
              </w:rPr>
            </w:pPr>
            <w:r>
              <w:rPr>
                <w:b/>
                <w:i/>
              </w:rPr>
              <w:t>Yhteydenotot:</w:t>
            </w:r>
          </w:p>
        </w:tc>
        <w:tc>
          <w:tcPr>
            <w:tcW w:w="5670" w:type="dxa"/>
          </w:tcPr>
          <w:p w:rsidRPr="002F63EB" w:rsidR="00225C52" w:rsidP="008327B1" w:rsidRDefault="001A2273" w14:paraId="5805F3B4" w14:textId="77777777">
            <w:pPr>
              <w:pStyle w:val="ListParagraph"/>
              <w:ind w:left="0"/>
              <w:rPr>
                <w:i/>
              </w:rPr>
            </w:pPr>
            <w:r>
              <w:rPr>
                <w:i/>
              </w:rPr>
              <w:t xml:space="preserve">Marie-Laurence </w:t>
            </w:r>
            <w:proofErr w:type="spellStart"/>
            <w:r>
              <w:rPr>
                <w:i/>
              </w:rPr>
              <w:t>Drillon</w:t>
            </w:r>
            <w:proofErr w:type="spellEnd"/>
          </w:p>
        </w:tc>
      </w:tr>
      <w:tr w:rsidRPr="009B70E7" w:rsidR="00225C52" w:rsidTr="008327B1" w14:paraId="5F3BFD17" w14:textId="77777777">
        <w:tc>
          <w:tcPr>
            <w:tcW w:w="1418" w:type="dxa"/>
          </w:tcPr>
          <w:p w:rsidRPr="009B70E7" w:rsidR="00225C52" w:rsidP="008327B1" w:rsidRDefault="00225C52" w14:paraId="2F6B012F" w14:textId="77777777">
            <w:pPr>
              <w:pStyle w:val="ListParagraph"/>
              <w:ind w:left="601"/>
              <w:rPr>
                <w:i/>
              </w:rPr>
            </w:pPr>
            <w:r>
              <w:rPr>
                <w:i/>
              </w:rPr>
              <w:t>P.</w:t>
            </w:r>
          </w:p>
        </w:tc>
        <w:tc>
          <w:tcPr>
            <w:tcW w:w="5670" w:type="dxa"/>
          </w:tcPr>
          <w:p w:rsidRPr="002F63EB" w:rsidR="00225C52" w:rsidP="008327B1" w:rsidRDefault="001A2273" w14:paraId="3719436A" w14:textId="77777777">
            <w:pPr>
              <w:pStyle w:val="ListParagraph"/>
              <w:ind w:left="0"/>
              <w:rPr>
                <w:i/>
              </w:rPr>
            </w:pPr>
            <w:r>
              <w:rPr>
                <w:i/>
              </w:rPr>
              <w:t>+32 25468320</w:t>
            </w:r>
          </w:p>
        </w:tc>
      </w:tr>
      <w:tr w:rsidRPr="007E7A4F" w:rsidR="00225C52" w:rsidTr="008327B1" w14:paraId="75C7F48B" w14:textId="77777777">
        <w:tc>
          <w:tcPr>
            <w:tcW w:w="1418" w:type="dxa"/>
          </w:tcPr>
          <w:p w:rsidRPr="009B70E7" w:rsidR="00225C52" w:rsidP="008327B1" w:rsidRDefault="00225C52" w14:paraId="1B69556B" w14:textId="77777777">
            <w:pPr>
              <w:pStyle w:val="ListParagraph"/>
              <w:ind w:left="601"/>
              <w:rPr>
                <w:i/>
              </w:rPr>
            </w:pPr>
            <w:r>
              <w:rPr>
                <w:i/>
              </w:rPr>
              <w:t>Sähköposti:</w:t>
            </w:r>
          </w:p>
        </w:tc>
        <w:tc>
          <w:tcPr>
            <w:tcW w:w="5670" w:type="dxa"/>
          </w:tcPr>
          <w:p w:rsidRPr="00AA69BF" w:rsidR="00015E18" w:rsidP="008327B1" w:rsidRDefault="00216BAA" w14:paraId="68B37053" w14:textId="65E3CE17">
            <w:pPr>
              <w:pStyle w:val="ListParagraph"/>
              <w:ind w:left="0"/>
            </w:pPr>
            <w:hyperlink w:history="1" r:id="rId31">
              <w:r w:rsidR="00EB3BD7">
                <w:rPr>
                  <w:rStyle w:val="Hyperlink"/>
                </w:rPr>
                <w:t>Marie-Laurence.Drillon@eesc.europa.eu</w:t>
              </w:r>
            </w:hyperlink>
          </w:p>
          <w:p w:rsidRPr="007E7A4F" w:rsidR="002A2F38" w:rsidP="008327B1" w:rsidRDefault="002A2F38" w14:paraId="46E90DEC" w14:textId="77777777">
            <w:pPr>
              <w:pStyle w:val="ListParagraph"/>
              <w:ind w:left="0"/>
              <w:rPr>
                <w:i/>
              </w:rPr>
            </w:pPr>
          </w:p>
        </w:tc>
      </w:tr>
    </w:tbl>
    <w:p w:rsidR="00910972" w:rsidP="00910972" w:rsidRDefault="00910972" w14:paraId="256CC1D8" w14:textId="77777777">
      <w:pPr>
        <w:pStyle w:val="ListParagraph"/>
        <w:ind w:left="567"/>
        <w:rPr>
          <w:b/>
          <w:bCs/>
          <w:i/>
          <w:iCs/>
          <w:sz w:val="28"/>
          <w:szCs w:val="28"/>
          <w:lang w:val="en-US"/>
        </w:rPr>
      </w:pPr>
    </w:p>
    <w:p w:rsidR="00910972" w:rsidRDefault="00910972" w14:paraId="5A6F039F" w14:textId="77777777">
      <w:pPr>
        <w:spacing w:after="160" w:line="259" w:lineRule="auto"/>
        <w:jc w:val="left"/>
        <w:rPr>
          <w:b/>
          <w:bCs/>
          <w:i/>
          <w:iCs/>
          <w:sz w:val="28"/>
          <w:szCs w:val="28"/>
        </w:rPr>
      </w:pPr>
      <w:r>
        <w:br w:type="page"/>
      </w:r>
    </w:p>
    <w:p w:rsidRPr="007E7A4F" w:rsidR="00164813" w:rsidP="00164813" w:rsidRDefault="00015E18" w14:paraId="12FD6239" w14:textId="58554619">
      <w:pPr>
        <w:pStyle w:val="ListParagraph"/>
        <w:numPr>
          <w:ilvl w:val="0"/>
          <w:numId w:val="2"/>
        </w:numPr>
        <w:ind w:left="567" w:hanging="567"/>
        <w:rPr>
          <w:b/>
          <w:i/>
          <w:sz w:val="28"/>
          <w:szCs w:val="28"/>
        </w:rPr>
      </w:pPr>
      <w:r>
        <w:rPr>
          <w:b/>
          <w:i/>
          <w:sz w:val="28"/>
        </w:rPr>
        <w:lastRenderedPageBreak/>
        <w:t>Yritysten kestävä hallinnointi</w:t>
      </w:r>
    </w:p>
    <w:p w:rsidRPr="009B70E7" w:rsidR="00164813" w:rsidP="00164813" w:rsidRDefault="00164813" w14:paraId="1DADE393" w14:textId="77777777">
      <w:pPr>
        <w:pStyle w:val="ListParagraph"/>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6096"/>
      </w:tblGrid>
      <w:tr w:rsidRPr="007E7A4F" w:rsidR="00164813" w:rsidTr="00B83E7B" w14:paraId="1383CB57" w14:textId="77777777">
        <w:tc>
          <w:tcPr>
            <w:tcW w:w="1701" w:type="dxa"/>
          </w:tcPr>
          <w:p w:rsidRPr="009B70E7" w:rsidR="00164813" w:rsidP="00B83E7B" w:rsidRDefault="00164813" w14:paraId="33004117" w14:textId="77777777">
            <w:pPr>
              <w:pStyle w:val="ListParagraph"/>
              <w:ind w:left="0"/>
              <w:rPr>
                <w:b/>
              </w:rPr>
            </w:pPr>
            <w:r>
              <w:rPr>
                <w:b/>
              </w:rPr>
              <w:t>Esittelijä:</w:t>
            </w:r>
          </w:p>
        </w:tc>
        <w:tc>
          <w:tcPr>
            <w:tcW w:w="6096" w:type="dxa"/>
          </w:tcPr>
          <w:p w:rsidRPr="007E7A4F" w:rsidR="00164813" w:rsidP="00B83E7B" w:rsidRDefault="00AA69BF" w14:paraId="2BCDDC29" w14:textId="7BDC3D18">
            <w:pPr>
              <w:pStyle w:val="ListParagraph"/>
              <w:ind w:left="-108"/>
            </w:pPr>
            <w:proofErr w:type="spellStart"/>
            <w:r>
              <w:t>Antje</w:t>
            </w:r>
            <w:proofErr w:type="spellEnd"/>
            <w:r>
              <w:t xml:space="preserve"> </w:t>
            </w:r>
            <w:proofErr w:type="spellStart"/>
            <w:r>
              <w:t>Gerstein</w:t>
            </w:r>
            <w:proofErr w:type="spellEnd"/>
            <w:r>
              <w:t xml:space="preserve"> (työnantajat – DE)</w:t>
            </w:r>
          </w:p>
        </w:tc>
      </w:tr>
      <w:tr w:rsidRPr="007E7A4F" w:rsidR="00164813" w:rsidTr="00B83E7B" w14:paraId="5DB9564B" w14:textId="77777777">
        <w:tc>
          <w:tcPr>
            <w:tcW w:w="7797" w:type="dxa"/>
            <w:gridSpan w:val="2"/>
          </w:tcPr>
          <w:p w:rsidRPr="007E7A4F" w:rsidR="00164813" w:rsidP="00B83E7B" w:rsidRDefault="00164813" w14:paraId="421C9628" w14:textId="77777777">
            <w:pPr>
              <w:pStyle w:val="ListParagraph"/>
              <w:ind w:left="0"/>
              <w:rPr>
                <w:lang w:val="fr-BE"/>
              </w:rPr>
            </w:pPr>
          </w:p>
        </w:tc>
      </w:tr>
      <w:tr w:rsidRPr="009B70E7" w:rsidR="00164813" w:rsidTr="00B83E7B" w14:paraId="132333E4" w14:textId="77777777">
        <w:tc>
          <w:tcPr>
            <w:tcW w:w="1701" w:type="dxa"/>
          </w:tcPr>
          <w:p w:rsidRPr="009B70E7" w:rsidR="00164813" w:rsidP="00B83E7B" w:rsidRDefault="00164813" w14:paraId="2A306C51" w14:textId="77777777">
            <w:pPr>
              <w:pStyle w:val="ListParagraph"/>
              <w:ind w:left="0"/>
              <w:rPr>
                <w:b/>
              </w:rPr>
            </w:pPr>
            <w:r>
              <w:rPr>
                <w:b/>
              </w:rPr>
              <w:t xml:space="preserve">Viiteasiakirjat: </w:t>
            </w:r>
          </w:p>
        </w:tc>
        <w:tc>
          <w:tcPr>
            <w:tcW w:w="6096" w:type="dxa"/>
          </w:tcPr>
          <w:p w:rsidRPr="009B70E7" w:rsidR="00164813" w:rsidP="00B83E7B" w:rsidRDefault="00164813" w14:paraId="1EB81693" w14:textId="77777777">
            <w:pPr>
              <w:tabs>
                <w:tab w:val="center" w:pos="284"/>
              </w:tabs>
              <w:ind w:left="266" w:hanging="374"/>
            </w:pPr>
            <w:r>
              <w:t xml:space="preserve">COM(2022) 71 </w:t>
            </w:r>
            <w:proofErr w:type="spellStart"/>
            <w:r>
              <w:t>final</w:t>
            </w:r>
            <w:proofErr w:type="spellEnd"/>
          </w:p>
          <w:p w:rsidRPr="009B70E7" w:rsidR="00164813" w:rsidP="00B83E7B" w:rsidRDefault="00ED377B" w14:paraId="1746D341" w14:textId="77777777">
            <w:pPr>
              <w:pStyle w:val="ListParagraph"/>
              <w:ind w:left="-108"/>
            </w:pPr>
            <w:r>
              <w:t>EESC-2022-01327-00-00-AC</w:t>
            </w:r>
          </w:p>
        </w:tc>
      </w:tr>
    </w:tbl>
    <w:p w:rsidRPr="009B70E7" w:rsidR="00164813" w:rsidP="00164813" w:rsidRDefault="00164813" w14:paraId="488A6C0C" w14:textId="77777777">
      <w:pPr>
        <w:pStyle w:val="ListParagraph"/>
        <w:ind w:left="0"/>
        <w:rPr>
          <w:b/>
        </w:rPr>
      </w:pPr>
    </w:p>
    <w:p w:rsidRPr="0018231C" w:rsidR="00164813" w:rsidP="002C4B6E" w:rsidRDefault="00164813" w14:paraId="015FE75F" w14:textId="751DC40F">
      <w:pPr>
        <w:pStyle w:val="ListParagraph"/>
        <w:spacing w:line="240" w:lineRule="auto"/>
        <w:ind w:left="-142" w:firstLine="142"/>
        <w:rPr>
          <w:b/>
        </w:rPr>
      </w:pPr>
      <w:r>
        <w:rPr>
          <w:b/>
        </w:rPr>
        <w:t>Keskeiset kohdat</w:t>
      </w:r>
    </w:p>
    <w:p w:rsidRPr="0018231C" w:rsidR="00164813" w:rsidP="00164813" w:rsidRDefault="00164813" w14:paraId="573BE746" w14:textId="77777777">
      <w:pPr>
        <w:pStyle w:val="ListParagraph"/>
        <w:ind w:left="0"/>
        <w:rPr>
          <w:lang w:val="fr-FR"/>
        </w:rPr>
      </w:pPr>
    </w:p>
    <w:p w:rsidR="00164813" w:rsidP="00164813" w:rsidRDefault="00164813" w14:paraId="30245860" w14:textId="77777777">
      <w:pPr>
        <w:pStyle w:val="ListParagraph"/>
        <w:ind w:left="0"/>
      </w:pPr>
      <w:r>
        <w:t>ETSK</w:t>
      </w:r>
    </w:p>
    <w:p w:rsidRPr="0018231C" w:rsidR="00164813" w:rsidP="00164813" w:rsidRDefault="00164813" w14:paraId="7D5F280C" w14:textId="77777777">
      <w:pPr>
        <w:pStyle w:val="ListParagraph"/>
        <w:ind w:left="0"/>
        <w:rPr>
          <w:lang w:val="fr-FR"/>
        </w:rPr>
      </w:pPr>
    </w:p>
    <w:p w:rsidRPr="00A3344B" w:rsidR="00BC3FCE" w:rsidP="00164813" w:rsidRDefault="007E7DE3" w14:paraId="2A8D241D" w14:textId="2BE7DD2B">
      <w:pPr>
        <w:numPr>
          <w:ilvl w:val="0"/>
          <w:numId w:val="3"/>
        </w:numPr>
        <w:overflowPunct w:val="0"/>
        <w:autoSpaceDE w:val="0"/>
        <w:autoSpaceDN w:val="0"/>
        <w:adjustRightInd w:val="0"/>
        <w:ind w:left="357" w:hanging="357"/>
        <w:textAlignment w:val="baseline"/>
      </w:pPr>
      <w:r>
        <w:t>suhtautuu ehdotukseen myönteisesti, koska se on tärkeä askel luotaessa johdonmukaista EU:n lainsäädäntökehystä, joka koskee yritysten kestävää hallinnointia ja huolellisuusvelvoitetta ja jolla edistetään ihmisoikeuksien kunnioittamista yritysten ja johtajien velvollisuutena ja pyritään luomaan tasapuoliset toimintaedellytykset EU:ssa.</w:t>
      </w:r>
    </w:p>
    <w:p w:rsidRPr="00A3344B" w:rsidR="00A3344B" w:rsidP="00164813" w:rsidRDefault="007E7DE3" w14:paraId="03AF28C8" w14:textId="0FC700C2">
      <w:pPr>
        <w:numPr>
          <w:ilvl w:val="0"/>
          <w:numId w:val="3"/>
        </w:numPr>
        <w:overflowPunct w:val="0"/>
        <w:autoSpaceDE w:val="0"/>
        <w:autoSpaceDN w:val="0"/>
        <w:adjustRightInd w:val="0"/>
        <w:ind w:left="357" w:hanging="357"/>
        <w:textAlignment w:val="baseline"/>
      </w:pPr>
      <w:r>
        <w:t>tähdentää YK:n esittämien yritystoimintaa ja ihmisoikeuksia koskevien suuntaviivojen merkitystä ja kehottaa johdonmukaisuuteen jäsenvaltioiden toimintapolitiikkojen ja sellaisen EU:n lainsäädännön välillä, joka kattaa samankaltaisia aloja tai sisältää myös huolellisuusvelvoitetta koskevia sääntöjä.</w:t>
      </w:r>
    </w:p>
    <w:p w:rsidRPr="00A3344B" w:rsidR="00A3344B" w:rsidP="00164813" w:rsidRDefault="007E7DE3" w14:paraId="71BC35A1" w14:textId="7731C2B8">
      <w:pPr>
        <w:numPr>
          <w:ilvl w:val="0"/>
          <w:numId w:val="3"/>
        </w:numPr>
        <w:overflowPunct w:val="0"/>
        <w:autoSpaceDE w:val="0"/>
        <w:autoSpaceDN w:val="0"/>
        <w:adjustRightInd w:val="0"/>
        <w:ind w:left="357" w:hanging="357"/>
        <w:textAlignment w:val="baseline"/>
      </w:pPr>
      <w:r>
        <w:t>huomauttaa, että poliittisten päättäjien on pidettävä mikro- ja pk-yritysten haasteellinen asema mielessään ja varmistettava, että Euroopan ja jäsenvaltioiden tasolla on valmiina tukivälineitä, kun huolellisuusvelvoitetta koskeva lainsäädäntö tulee voimaan.</w:t>
      </w:r>
    </w:p>
    <w:p w:rsidRPr="00A3344B" w:rsidR="00A3344B" w:rsidP="00164813" w:rsidRDefault="007E7DE3" w14:paraId="5C624B6F" w14:textId="0BDA1CBC">
      <w:pPr>
        <w:numPr>
          <w:ilvl w:val="0"/>
          <w:numId w:val="3"/>
        </w:numPr>
        <w:overflowPunct w:val="0"/>
        <w:autoSpaceDE w:val="0"/>
        <w:autoSpaceDN w:val="0"/>
        <w:adjustRightInd w:val="0"/>
        <w:ind w:left="357" w:hanging="357"/>
        <w:textAlignment w:val="baseline"/>
      </w:pPr>
      <w:r>
        <w:t>painottaa, että yritysten huolellisuusvelvoitteen noudattaminen on jatkuva prosessi, jossa ammattiliittojen ja työntekijöiden edustajien osallistuminen on menestystekijä.</w:t>
      </w:r>
    </w:p>
    <w:p w:rsidRPr="007E7DE3" w:rsidR="00A3344B" w:rsidP="00164813" w:rsidRDefault="007E7DE3" w14:paraId="41F4DB88" w14:textId="02AB6495">
      <w:pPr>
        <w:numPr>
          <w:ilvl w:val="0"/>
          <w:numId w:val="3"/>
        </w:numPr>
        <w:overflowPunct w:val="0"/>
        <w:autoSpaceDE w:val="0"/>
        <w:autoSpaceDN w:val="0"/>
        <w:adjustRightInd w:val="0"/>
        <w:ind w:left="357" w:hanging="357"/>
        <w:textAlignment w:val="baseline"/>
      </w:pPr>
      <w:r>
        <w:t>on huolissaan siitä, että komission ehdotus sisältää lukuisia epäselviä oikeudellisia käsitteitä, jotka jättävät tulkinnanvaraa. On näin ollen tarpeellista määritellä nämä termit paremmin.</w:t>
      </w:r>
    </w:p>
    <w:p w:rsidRPr="007E7A4F" w:rsidR="007E7DE3" w:rsidP="00164813" w:rsidRDefault="007E7DE3" w14:paraId="043E47D4" w14:textId="30C15593">
      <w:pPr>
        <w:numPr>
          <w:ilvl w:val="0"/>
          <w:numId w:val="3"/>
        </w:numPr>
        <w:overflowPunct w:val="0"/>
        <w:autoSpaceDE w:val="0"/>
        <w:autoSpaceDN w:val="0"/>
        <w:adjustRightInd w:val="0"/>
        <w:ind w:left="357" w:hanging="357"/>
        <w:textAlignment w:val="baseline"/>
      </w:pPr>
      <w:r>
        <w:t>kehottaa tunnustamaan, että huolellisuusvelvoite edellyttää riskiperusteista lähestymistapaa ja siihen voi sisältyä riskinarviointiin perustuvaa priorisointia.</w:t>
      </w:r>
    </w:p>
    <w:p w:rsidRPr="007E7A4F" w:rsidR="00164813" w:rsidP="00164813" w:rsidRDefault="00164813" w14:paraId="6996D40F" w14:textId="77777777">
      <w:pPr>
        <w:widowControl w:val="0"/>
        <w:overflowPunct w:val="0"/>
        <w:autoSpaceDE w:val="0"/>
        <w:autoSpaceDN w:val="0"/>
        <w:adjustRightInd w:val="0"/>
        <w:textAlignment w:val="baseline"/>
      </w:pPr>
    </w:p>
    <w:tbl>
      <w:tblPr>
        <w:tblStyle w:val="TableGrid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56"/>
        <w:gridCol w:w="5670"/>
      </w:tblGrid>
      <w:tr w:rsidRPr="00164813" w:rsidR="00A3344B" w:rsidTr="008B66DD" w14:paraId="0A1A7166" w14:textId="77777777">
        <w:tc>
          <w:tcPr>
            <w:tcW w:w="1418" w:type="dxa"/>
          </w:tcPr>
          <w:p w:rsidRPr="00164813" w:rsidR="00A3344B" w:rsidP="008B66DD" w:rsidRDefault="00A3344B" w14:paraId="5A52339E" w14:textId="77777777">
            <w:pPr>
              <w:contextualSpacing/>
              <w:rPr>
                <w:i/>
              </w:rPr>
            </w:pPr>
            <w:r>
              <w:rPr>
                <w:b/>
                <w:i/>
              </w:rPr>
              <w:t>Yhteydenotot:</w:t>
            </w:r>
          </w:p>
        </w:tc>
        <w:tc>
          <w:tcPr>
            <w:tcW w:w="5670" w:type="dxa"/>
          </w:tcPr>
          <w:p w:rsidRPr="00164813" w:rsidR="00A3344B" w:rsidP="008B66DD" w:rsidRDefault="00A3344B" w14:paraId="1E930B05" w14:textId="77777777">
            <w:pPr>
              <w:contextualSpacing/>
              <w:rPr>
                <w:i/>
              </w:rPr>
            </w:pPr>
            <w:r>
              <w:rPr>
                <w:i/>
              </w:rPr>
              <w:t xml:space="preserve">Claudia </w:t>
            </w:r>
            <w:proofErr w:type="spellStart"/>
            <w:r>
              <w:rPr>
                <w:i/>
              </w:rPr>
              <w:t>Drewes-Wran</w:t>
            </w:r>
            <w:proofErr w:type="spellEnd"/>
          </w:p>
        </w:tc>
      </w:tr>
      <w:tr w:rsidRPr="00164813" w:rsidR="00A3344B" w:rsidTr="008B66DD" w14:paraId="42394CA2" w14:textId="77777777">
        <w:tc>
          <w:tcPr>
            <w:tcW w:w="1418" w:type="dxa"/>
          </w:tcPr>
          <w:p w:rsidRPr="00164813" w:rsidR="00A3344B" w:rsidP="008B66DD" w:rsidRDefault="00A3344B" w14:paraId="337CFA79" w14:textId="77777777">
            <w:pPr>
              <w:ind w:left="601"/>
              <w:contextualSpacing/>
              <w:rPr>
                <w:i/>
              </w:rPr>
            </w:pPr>
            <w:r>
              <w:rPr>
                <w:i/>
              </w:rPr>
              <w:t>P.</w:t>
            </w:r>
          </w:p>
        </w:tc>
        <w:tc>
          <w:tcPr>
            <w:tcW w:w="5670" w:type="dxa"/>
          </w:tcPr>
          <w:p w:rsidRPr="00164813" w:rsidR="00A3344B" w:rsidP="008B66DD" w:rsidRDefault="00A3344B" w14:paraId="5CA1B212" w14:textId="77777777">
            <w:pPr>
              <w:contextualSpacing/>
              <w:rPr>
                <w:i/>
              </w:rPr>
            </w:pPr>
            <w:r>
              <w:rPr>
                <w:i/>
              </w:rPr>
              <w:t>+32 25468067</w:t>
            </w:r>
          </w:p>
        </w:tc>
      </w:tr>
      <w:tr w:rsidRPr="00164813" w:rsidR="00A3344B" w:rsidTr="008B66DD" w14:paraId="7B24978D" w14:textId="77777777">
        <w:tc>
          <w:tcPr>
            <w:tcW w:w="1418" w:type="dxa"/>
          </w:tcPr>
          <w:p w:rsidRPr="00164813" w:rsidR="00A3344B" w:rsidP="008B66DD" w:rsidRDefault="00A3344B" w14:paraId="2B3DB280" w14:textId="77777777">
            <w:pPr>
              <w:ind w:left="601"/>
              <w:contextualSpacing/>
              <w:rPr>
                <w:i/>
              </w:rPr>
            </w:pPr>
            <w:r>
              <w:rPr>
                <w:i/>
              </w:rPr>
              <w:t>Sähköposti:</w:t>
            </w:r>
          </w:p>
        </w:tc>
        <w:tc>
          <w:tcPr>
            <w:tcW w:w="5670" w:type="dxa"/>
          </w:tcPr>
          <w:p w:rsidR="00A3344B" w:rsidP="008B66DD" w:rsidRDefault="00216BAA" w14:paraId="78F5B58F" w14:textId="77777777">
            <w:pPr>
              <w:contextualSpacing/>
            </w:pPr>
            <w:hyperlink w:history="1" r:id="rId32">
              <w:r w:rsidR="00EB3BD7">
                <w:rPr>
                  <w:rStyle w:val="Hyperlink"/>
                </w:rPr>
                <w:t>Claudia.Drewes-Wran@eesc.europa.eu</w:t>
              </w:r>
            </w:hyperlink>
          </w:p>
          <w:p w:rsidRPr="00164813" w:rsidR="00A3344B" w:rsidP="008B66DD" w:rsidRDefault="00A3344B" w14:paraId="05431FB8" w14:textId="77777777">
            <w:pPr>
              <w:contextualSpacing/>
              <w:rPr>
                <w:i/>
              </w:rPr>
            </w:pPr>
          </w:p>
        </w:tc>
      </w:tr>
    </w:tbl>
    <w:p w:rsidR="00D35512" w:rsidRDefault="00D35512" w14:paraId="45D707E4" w14:textId="4B9E10FB">
      <w:pPr>
        <w:spacing w:after="160" w:line="259" w:lineRule="auto"/>
        <w:jc w:val="left"/>
        <w:rPr>
          <w:sz w:val="28"/>
        </w:rPr>
      </w:pPr>
    </w:p>
    <w:p w:rsidR="00D35512" w:rsidRDefault="00D35512" w14:paraId="09FE38A4" w14:textId="77777777">
      <w:pPr>
        <w:spacing w:after="160" w:line="259" w:lineRule="auto"/>
        <w:jc w:val="left"/>
        <w:rPr>
          <w:sz w:val="28"/>
        </w:rPr>
      </w:pPr>
      <w:r>
        <w:br w:type="page"/>
      </w:r>
    </w:p>
    <w:p w:rsidRPr="00164813" w:rsidR="00164813" w:rsidP="00BC3FCE" w:rsidRDefault="00A3344B" w14:paraId="65567F7B" w14:textId="77777777">
      <w:pPr>
        <w:pStyle w:val="ListParagraph"/>
        <w:numPr>
          <w:ilvl w:val="0"/>
          <w:numId w:val="2"/>
        </w:numPr>
        <w:ind w:left="567" w:hanging="567"/>
        <w:rPr>
          <w:b/>
          <w:i/>
          <w:sz w:val="28"/>
          <w:szCs w:val="28"/>
        </w:rPr>
      </w:pPr>
      <w:r>
        <w:rPr>
          <w:b/>
          <w:i/>
          <w:sz w:val="28"/>
        </w:rPr>
        <w:lastRenderedPageBreak/>
        <w:t>Pk-yritykset, yhteisötalouden yritykset, käsityöläiset ja vapaiden ammattien harjoittajat sekä 55-valmiuspaketti</w:t>
      </w:r>
    </w:p>
    <w:p w:rsidRPr="00164813" w:rsidR="00164813" w:rsidP="00164813" w:rsidRDefault="00164813" w14:paraId="426580BA" w14:textId="77777777">
      <w:pPr>
        <w:contextualSpacing/>
      </w:pPr>
    </w:p>
    <w:tbl>
      <w:tblPr>
        <w:tblStyle w:val="TableGrid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6096"/>
      </w:tblGrid>
      <w:tr w:rsidRPr="00164813" w:rsidR="00164813" w:rsidTr="00B83E7B" w14:paraId="6AF7AE99" w14:textId="77777777">
        <w:tc>
          <w:tcPr>
            <w:tcW w:w="1701" w:type="dxa"/>
          </w:tcPr>
          <w:p w:rsidRPr="00164813" w:rsidR="00164813" w:rsidP="00164813" w:rsidRDefault="00164813" w14:paraId="4B0840C1" w14:textId="77777777">
            <w:pPr>
              <w:contextualSpacing/>
              <w:rPr>
                <w:b/>
              </w:rPr>
            </w:pPr>
            <w:r>
              <w:rPr>
                <w:b/>
              </w:rPr>
              <w:t>Esittelijä:</w:t>
            </w:r>
          </w:p>
        </w:tc>
        <w:tc>
          <w:tcPr>
            <w:tcW w:w="6096" w:type="dxa"/>
          </w:tcPr>
          <w:p w:rsidRPr="00164813" w:rsidR="00164813" w:rsidP="00164813" w:rsidRDefault="00A3344B" w14:paraId="16A8F625" w14:textId="77777777">
            <w:pPr>
              <w:ind w:left="-108"/>
              <w:contextualSpacing/>
            </w:pPr>
            <w:r>
              <w:t xml:space="preserve">Milena </w:t>
            </w:r>
            <w:proofErr w:type="spellStart"/>
            <w:r>
              <w:t>Angelova</w:t>
            </w:r>
            <w:proofErr w:type="spellEnd"/>
            <w:r>
              <w:t xml:space="preserve"> (työnantajat – BG)</w:t>
            </w:r>
          </w:p>
        </w:tc>
      </w:tr>
      <w:tr w:rsidRPr="00164813" w:rsidR="00A3344B" w:rsidTr="00B83E7B" w14:paraId="43AB93C9" w14:textId="77777777">
        <w:tc>
          <w:tcPr>
            <w:tcW w:w="1701" w:type="dxa"/>
          </w:tcPr>
          <w:p w:rsidRPr="00164813" w:rsidR="00A3344B" w:rsidP="00164813" w:rsidRDefault="00A3344B" w14:paraId="3AF21686" w14:textId="77777777">
            <w:pPr>
              <w:contextualSpacing/>
              <w:rPr>
                <w:b/>
              </w:rPr>
            </w:pPr>
            <w:r>
              <w:rPr>
                <w:b/>
              </w:rPr>
              <w:t>Yhteisesittelijä:</w:t>
            </w:r>
          </w:p>
        </w:tc>
        <w:tc>
          <w:tcPr>
            <w:tcW w:w="6096" w:type="dxa"/>
          </w:tcPr>
          <w:p w:rsidRPr="00A3344B" w:rsidR="00A3344B" w:rsidP="00164813" w:rsidRDefault="00A3344B" w14:paraId="7456DEBB" w14:textId="77777777">
            <w:pPr>
              <w:ind w:left="-108"/>
              <w:contextualSpacing/>
            </w:pPr>
            <w:r>
              <w:t>Rudolf Kolbe (kansalaisyhteiskunnan organisaatiot – AT)</w:t>
            </w:r>
          </w:p>
        </w:tc>
      </w:tr>
      <w:tr w:rsidRPr="00164813" w:rsidR="00164813" w:rsidTr="00B83E7B" w14:paraId="5372DCA1" w14:textId="77777777">
        <w:tc>
          <w:tcPr>
            <w:tcW w:w="7797" w:type="dxa"/>
            <w:gridSpan w:val="2"/>
          </w:tcPr>
          <w:p w:rsidRPr="00164813" w:rsidR="00164813" w:rsidP="00164813" w:rsidRDefault="00164813" w14:paraId="28515692" w14:textId="77777777">
            <w:pPr>
              <w:contextualSpacing/>
              <w:rPr>
                <w:lang w:val="fr-BE"/>
              </w:rPr>
            </w:pPr>
          </w:p>
        </w:tc>
      </w:tr>
      <w:tr w:rsidRPr="00164813" w:rsidR="00164813" w:rsidTr="00B83E7B" w14:paraId="6516DB5A" w14:textId="77777777">
        <w:tc>
          <w:tcPr>
            <w:tcW w:w="1701" w:type="dxa"/>
          </w:tcPr>
          <w:p w:rsidRPr="00164813" w:rsidR="00164813" w:rsidP="00164813" w:rsidRDefault="00164813" w14:paraId="7886F22A" w14:textId="77777777">
            <w:pPr>
              <w:contextualSpacing/>
              <w:rPr>
                <w:b/>
              </w:rPr>
            </w:pPr>
            <w:r>
              <w:rPr>
                <w:b/>
              </w:rPr>
              <w:t xml:space="preserve">Viiteasiakirja: </w:t>
            </w:r>
          </w:p>
        </w:tc>
        <w:tc>
          <w:tcPr>
            <w:tcW w:w="6096" w:type="dxa"/>
          </w:tcPr>
          <w:p w:rsidRPr="00164813" w:rsidR="00164813" w:rsidP="00164813" w:rsidRDefault="00A3344B" w14:paraId="6C0521C0" w14:textId="77777777">
            <w:pPr>
              <w:tabs>
                <w:tab w:val="center" w:pos="284"/>
              </w:tabs>
              <w:ind w:left="266" w:hanging="374"/>
            </w:pPr>
            <w:r>
              <w:t>oma-aloitteinen lausunto</w:t>
            </w:r>
          </w:p>
          <w:p w:rsidRPr="00164813" w:rsidR="00164813" w:rsidP="00164813" w:rsidRDefault="00A3344B" w14:paraId="1BECC38E" w14:textId="77777777">
            <w:pPr>
              <w:ind w:left="-108"/>
              <w:contextualSpacing/>
            </w:pPr>
            <w:r>
              <w:t>EESC-2022-01049-00-00-AC</w:t>
            </w:r>
          </w:p>
        </w:tc>
      </w:tr>
    </w:tbl>
    <w:p w:rsidRPr="00164813" w:rsidR="00164813" w:rsidP="00164813" w:rsidRDefault="00164813" w14:paraId="38E9F173" w14:textId="77777777">
      <w:pPr>
        <w:contextualSpacing/>
        <w:rPr>
          <w:b/>
        </w:rPr>
      </w:pPr>
    </w:p>
    <w:p w:rsidRPr="00164813" w:rsidR="00164813" w:rsidP="002C4B6E" w:rsidRDefault="00164813" w14:paraId="01E095E2" w14:textId="28FC8A04">
      <w:pPr>
        <w:pStyle w:val="ListParagraph"/>
        <w:spacing w:line="240" w:lineRule="auto"/>
        <w:ind w:left="-142" w:firstLine="142"/>
        <w:rPr>
          <w:b/>
        </w:rPr>
      </w:pPr>
      <w:r>
        <w:rPr>
          <w:b/>
        </w:rPr>
        <w:t>Keskeiset kohdat</w:t>
      </w:r>
    </w:p>
    <w:p w:rsidRPr="00164813" w:rsidR="00164813" w:rsidP="00164813" w:rsidRDefault="00164813" w14:paraId="1FE2AF0F" w14:textId="77777777">
      <w:pPr>
        <w:contextualSpacing/>
        <w:rPr>
          <w:lang w:val="fr-FR"/>
        </w:rPr>
      </w:pPr>
    </w:p>
    <w:p w:rsidRPr="00164813" w:rsidR="00164813" w:rsidP="00164813" w:rsidRDefault="00164813" w14:paraId="56628F84" w14:textId="77777777">
      <w:pPr>
        <w:contextualSpacing/>
      </w:pPr>
      <w:r>
        <w:t>ETSK</w:t>
      </w:r>
    </w:p>
    <w:p w:rsidRPr="00164813" w:rsidR="00164813" w:rsidP="00164813" w:rsidRDefault="00164813" w14:paraId="1E28AD39" w14:textId="77777777">
      <w:pPr>
        <w:contextualSpacing/>
        <w:rPr>
          <w:lang w:val="fr-FR"/>
        </w:rPr>
      </w:pPr>
    </w:p>
    <w:p w:rsidRPr="00164813" w:rsidR="00164813" w:rsidP="00164813" w:rsidRDefault="00A3344B" w14:paraId="198A1743" w14:textId="77777777">
      <w:pPr>
        <w:numPr>
          <w:ilvl w:val="0"/>
          <w:numId w:val="3"/>
        </w:numPr>
        <w:overflowPunct w:val="0"/>
        <w:autoSpaceDE w:val="0"/>
        <w:autoSpaceDN w:val="0"/>
        <w:adjustRightInd w:val="0"/>
        <w:ind w:left="357" w:hanging="357"/>
        <w:textAlignment w:val="baseline"/>
        <w:rPr>
          <w:bCs/>
          <w:iCs/>
        </w:rPr>
      </w:pPr>
      <w:r>
        <w:t xml:space="preserve">katsoo, että mikro- ja pk-yritykset tarvitsevat kiireesti tukea </w:t>
      </w:r>
      <w:r>
        <w:rPr>
          <w:b/>
        </w:rPr>
        <w:t>vihreän siirtymän ymmärtämisessä ja hallinnassa</w:t>
      </w:r>
      <w:r>
        <w:t xml:space="preserve"> parhaalla mahdollisella tavalla.</w:t>
      </w:r>
    </w:p>
    <w:p w:rsidRPr="00164813" w:rsidR="00164813" w:rsidP="00164813" w:rsidRDefault="00A3344B" w14:paraId="61AB179D" w14:textId="77777777">
      <w:pPr>
        <w:numPr>
          <w:ilvl w:val="0"/>
          <w:numId w:val="3"/>
        </w:numPr>
        <w:overflowPunct w:val="0"/>
        <w:autoSpaceDE w:val="0"/>
        <w:autoSpaceDN w:val="0"/>
        <w:adjustRightInd w:val="0"/>
        <w:ind w:left="357" w:hanging="357"/>
        <w:textAlignment w:val="baseline"/>
        <w:rPr>
          <w:bCs/>
          <w:iCs/>
        </w:rPr>
      </w:pPr>
      <w:r>
        <w:t xml:space="preserve">kehottaa laatimaan kattavan ohjelman, joka koostuu </w:t>
      </w:r>
      <w:r>
        <w:rPr>
          <w:b/>
        </w:rPr>
        <w:t>pitkälle räätälöidyistä ratkaisuista sekä huolellisesti kohdennetuista politiikoista</w:t>
      </w:r>
      <w:r>
        <w:t xml:space="preserve"> ja toimenpiteistä ja jonka tarkoituksena on tukea mikro- ja pk-yrityksiä kaikissa vihreään kehitykseen ja lainsäädännön noudattamiseen liittyvissä ongelmissa, joita ne kohtaavat liike- ja muussa toiminnassaan.</w:t>
      </w:r>
    </w:p>
    <w:p w:rsidR="00164813" w:rsidP="00164813" w:rsidRDefault="00A3344B" w14:paraId="7BB5DDAA" w14:textId="77777777">
      <w:pPr>
        <w:numPr>
          <w:ilvl w:val="0"/>
          <w:numId w:val="3"/>
        </w:numPr>
        <w:overflowPunct w:val="0"/>
        <w:autoSpaceDE w:val="0"/>
        <w:autoSpaceDN w:val="0"/>
        <w:adjustRightInd w:val="0"/>
        <w:ind w:left="357" w:hanging="357"/>
        <w:textAlignment w:val="baseline"/>
      </w:pPr>
      <w:r>
        <w:t xml:space="preserve">katsoo, että mikro- ja pk-yritysten välitön ja kohdennettu lyhyen aikavälin tuki on ratkaisevan tärkeää niiden </w:t>
      </w:r>
      <w:r>
        <w:rPr>
          <w:b/>
        </w:rPr>
        <w:t>taloudellisen elpymisen vauhdittamiseksi</w:t>
      </w:r>
      <w:r>
        <w:t xml:space="preserve"> pandemiasta ja niiden auttamiseksi </w:t>
      </w:r>
      <w:r>
        <w:rPr>
          <w:b/>
        </w:rPr>
        <w:t>hallitsemaan Venäjän Ukrainaan kohdistaman hyökkäyksen vaikutuksia</w:t>
      </w:r>
      <w:r>
        <w:t>, kuten energian korkeita hintoja ja materiaalien ja tuotteiden heikkoa saatavuutta.</w:t>
      </w:r>
    </w:p>
    <w:p w:rsidR="00BC3FCE" w:rsidP="00164813" w:rsidRDefault="00A3344B" w14:paraId="0B05B7B9" w14:textId="77777777">
      <w:pPr>
        <w:numPr>
          <w:ilvl w:val="0"/>
          <w:numId w:val="3"/>
        </w:numPr>
        <w:overflowPunct w:val="0"/>
        <w:autoSpaceDE w:val="0"/>
        <w:autoSpaceDN w:val="0"/>
        <w:adjustRightInd w:val="0"/>
        <w:ind w:left="357" w:hanging="357"/>
        <w:textAlignment w:val="baseline"/>
      </w:pPr>
      <w:r>
        <w:t xml:space="preserve">ehdottaa, että </w:t>
      </w:r>
      <w:r>
        <w:rPr>
          <w:b/>
        </w:rPr>
        <w:t>eri alueille perustetaan ”kiertotalouskeskuksia”</w:t>
      </w:r>
      <w:r>
        <w:t xml:space="preserve"> mikro- ja pk-yritysten resurssitehokkuuden parantamiseksi. Tavoitteena olisi eri alojen yritysten välisen yhteistyön tehostaminen ja uusien käytäntöjen ja prosessien kehittämisen helpottaminen, mukaan lukien uusien teknologioiden demonstrointi.</w:t>
      </w:r>
    </w:p>
    <w:p w:rsidR="00BC3FCE" w:rsidP="00164813" w:rsidRDefault="00361E48" w14:paraId="7565FC83" w14:textId="77777777">
      <w:pPr>
        <w:numPr>
          <w:ilvl w:val="0"/>
          <w:numId w:val="3"/>
        </w:numPr>
        <w:overflowPunct w:val="0"/>
        <w:autoSpaceDE w:val="0"/>
        <w:autoSpaceDN w:val="0"/>
        <w:adjustRightInd w:val="0"/>
        <w:ind w:left="357" w:hanging="357"/>
        <w:textAlignment w:val="baseline"/>
      </w:pPr>
      <w:r>
        <w:t xml:space="preserve">kehottaa EU:ta ja jäsenvaltioita </w:t>
      </w:r>
      <w:r>
        <w:rPr>
          <w:b/>
        </w:rPr>
        <w:t>nopeuttamaan mikro- ja pk-yritysten vihreitä investointeja</w:t>
      </w:r>
      <w:r>
        <w:t xml:space="preserve"> varmistamalla suotuisa, ennakoitava ja kannustava sääntely-ympäristö.</w:t>
      </w:r>
    </w:p>
    <w:p w:rsidR="00BC3FCE" w:rsidP="00164813" w:rsidRDefault="00361E48" w14:paraId="6495124B" w14:textId="77777777">
      <w:pPr>
        <w:numPr>
          <w:ilvl w:val="0"/>
          <w:numId w:val="3"/>
        </w:numPr>
        <w:overflowPunct w:val="0"/>
        <w:autoSpaceDE w:val="0"/>
        <w:autoSpaceDN w:val="0"/>
        <w:adjustRightInd w:val="0"/>
        <w:ind w:left="357" w:hanging="357"/>
        <w:textAlignment w:val="baseline"/>
      </w:pPr>
      <w:r>
        <w:t xml:space="preserve">korostaa, että </w:t>
      </w:r>
      <w:r>
        <w:rPr>
          <w:b/>
        </w:rPr>
        <w:t>koulutuksen tarjoajien ja mikro- ja pk-yritysten tulisi tehdä tiivistä yhteistyötä muokatakseen koulutusta</w:t>
      </w:r>
      <w:r>
        <w:t xml:space="preserve"> vastaamaan vihreässä siirtymässä tarvittavaa osaamista ja taitoja, myös työntekijöiden ja yrittäjien täydennys- ja uudelleenkoulutuksen avulla.</w:t>
      </w:r>
    </w:p>
    <w:p w:rsidRPr="00164813" w:rsidR="00361E48" w:rsidP="00164813" w:rsidRDefault="00361E48" w14:paraId="45EBA5E1" w14:textId="77777777">
      <w:pPr>
        <w:numPr>
          <w:ilvl w:val="0"/>
          <w:numId w:val="3"/>
        </w:numPr>
        <w:overflowPunct w:val="0"/>
        <w:autoSpaceDE w:val="0"/>
        <w:autoSpaceDN w:val="0"/>
        <w:adjustRightInd w:val="0"/>
        <w:ind w:left="357" w:hanging="357"/>
        <w:textAlignment w:val="baseline"/>
      </w:pPr>
      <w:r>
        <w:t xml:space="preserve">kehottaa </w:t>
      </w:r>
      <w:r>
        <w:rPr>
          <w:b/>
        </w:rPr>
        <w:t>edistämään mikro- ja pk-yritysten tuottamien vihreiden ratkaisujen kauppaa</w:t>
      </w:r>
      <w:r>
        <w:t xml:space="preserve">, myös </w:t>
      </w:r>
      <w:r>
        <w:rPr>
          <w:b/>
        </w:rPr>
        <w:t>julkisten hankintojen</w:t>
      </w:r>
      <w:r>
        <w:t xml:space="preserve"> yhteydessä</w:t>
      </w:r>
    </w:p>
    <w:p w:rsidRPr="00164813" w:rsidR="00164813" w:rsidP="00164813" w:rsidRDefault="00164813" w14:paraId="7C479262" w14:textId="77777777">
      <w:pPr>
        <w:widowControl w:val="0"/>
        <w:overflowPunct w:val="0"/>
        <w:autoSpaceDE w:val="0"/>
        <w:autoSpaceDN w:val="0"/>
        <w:adjustRightInd w:val="0"/>
        <w:textAlignment w:val="baseline"/>
      </w:pPr>
    </w:p>
    <w:tbl>
      <w:tblPr>
        <w:tblStyle w:val="TableGrid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56"/>
        <w:gridCol w:w="5670"/>
      </w:tblGrid>
      <w:tr w:rsidRPr="00164813" w:rsidR="00164813" w:rsidTr="00B83E7B" w14:paraId="697B6325" w14:textId="77777777">
        <w:tc>
          <w:tcPr>
            <w:tcW w:w="1418" w:type="dxa"/>
          </w:tcPr>
          <w:p w:rsidRPr="00164813" w:rsidR="00164813" w:rsidP="00164813" w:rsidRDefault="00164813" w14:paraId="60C7BE26" w14:textId="77777777">
            <w:pPr>
              <w:contextualSpacing/>
              <w:rPr>
                <w:i/>
              </w:rPr>
            </w:pPr>
            <w:r>
              <w:rPr>
                <w:b/>
                <w:i/>
              </w:rPr>
              <w:t>Yhteydenotot:</w:t>
            </w:r>
          </w:p>
        </w:tc>
        <w:tc>
          <w:tcPr>
            <w:tcW w:w="5670" w:type="dxa"/>
          </w:tcPr>
          <w:p w:rsidRPr="00164813" w:rsidR="00164813" w:rsidP="00164813" w:rsidRDefault="00361E48" w14:paraId="69D69E14" w14:textId="77777777">
            <w:pPr>
              <w:contextualSpacing/>
              <w:rPr>
                <w:i/>
              </w:rPr>
            </w:pPr>
            <w:proofErr w:type="spellStart"/>
            <w:r>
              <w:rPr>
                <w:i/>
              </w:rPr>
              <w:t>Dalila</w:t>
            </w:r>
            <w:proofErr w:type="spellEnd"/>
            <w:r>
              <w:rPr>
                <w:i/>
              </w:rPr>
              <w:t xml:space="preserve"> Bernard</w:t>
            </w:r>
          </w:p>
        </w:tc>
      </w:tr>
      <w:tr w:rsidRPr="00164813" w:rsidR="00164813" w:rsidTr="00B83E7B" w14:paraId="288640A9" w14:textId="77777777">
        <w:tc>
          <w:tcPr>
            <w:tcW w:w="1418" w:type="dxa"/>
          </w:tcPr>
          <w:p w:rsidRPr="00164813" w:rsidR="00164813" w:rsidP="00164813" w:rsidRDefault="00164813" w14:paraId="3D976246" w14:textId="77777777">
            <w:pPr>
              <w:ind w:left="601"/>
              <w:contextualSpacing/>
              <w:rPr>
                <w:i/>
              </w:rPr>
            </w:pPr>
            <w:r>
              <w:rPr>
                <w:i/>
              </w:rPr>
              <w:t>P.</w:t>
            </w:r>
          </w:p>
        </w:tc>
        <w:tc>
          <w:tcPr>
            <w:tcW w:w="5670" w:type="dxa"/>
          </w:tcPr>
          <w:p w:rsidRPr="00164813" w:rsidR="00164813" w:rsidP="00164813" w:rsidRDefault="00E11C18" w14:paraId="73A1FD7B" w14:textId="77777777">
            <w:pPr>
              <w:contextualSpacing/>
              <w:rPr>
                <w:i/>
              </w:rPr>
            </w:pPr>
            <w:r>
              <w:rPr>
                <w:i/>
              </w:rPr>
              <w:t>+32 25468438</w:t>
            </w:r>
          </w:p>
        </w:tc>
      </w:tr>
      <w:tr w:rsidRPr="00164813" w:rsidR="00164813" w:rsidTr="00B83E7B" w14:paraId="75C5E7D5" w14:textId="77777777">
        <w:tc>
          <w:tcPr>
            <w:tcW w:w="1418" w:type="dxa"/>
          </w:tcPr>
          <w:p w:rsidRPr="00164813" w:rsidR="00164813" w:rsidP="00164813" w:rsidRDefault="00164813" w14:paraId="416B594E" w14:textId="77777777">
            <w:pPr>
              <w:ind w:left="601"/>
              <w:contextualSpacing/>
              <w:rPr>
                <w:i/>
              </w:rPr>
            </w:pPr>
            <w:r>
              <w:rPr>
                <w:i/>
              </w:rPr>
              <w:t>Sähköposti:</w:t>
            </w:r>
          </w:p>
        </w:tc>
        <w:tc>
          <w:tcPr>
            <w:tcW w:w="5670" w:type="dxa"/>
          </w:tcPr>
          <w:p w:rsidRPr="00164813" w:rsidR="00032038" w:rsidP="00910972" w:rsidRDefault="00216BAA" w14:paraId="196C9612" w14:textId="519B2DB4">
            <w:pPr>
              <w:contextualSpacing/>
              <w:rPr>
                <w:i/>
              </w:rPr>
            </w:pPr>
            <w:hyperlink w:history="1" r:id="rId33">
              <w:r w:rsidR="00EB3BD7">
                <w:rPr>
                  <w:rStyle w:val="Hyperlink"/>
                </w:rPr>
                <w:t xml:space="preserve"> Dalila.Bernard@eesc.europa.eu</w:t>
              </w:r>
            </w:hyperlink>
          </w:p>
        </w:tc>
      </w:tr>
    </w:tbl>
    <w:p w:rsidR="00D35512" w:rsidRDefault="00D35512" w14:paraId="445BD888" w14:textId="085727DD">
      <w:pPr>
        <w:spacing w:after="160" w:line="259" w:lineRule="auto"/>
        <w:jc w:val="left"/>
        <w:rPr>
          <w:sz w:val="28"/>
        </w:rPr>
      </w:pPr>
    </w:p>
    <w:p w:rsidR="00D35512" w:rsidRDefault="00D35512" w14:paraId="12A10D9F" w14:textId="77777777">
      <w:pPr>
        <w:spacing w:after="160" w:line="259" w:lineRule="auto"/>
        <w:jc w:val="left"/>
        <w:rPr>
          <w:sz w:val="28"/>
        </w:rPr>
      </w:pPr>
      <w:r>
        <w:br w:type="page"/>
      </w:r>
    </w:p>
    <w:p w:rsidRPr="00032038" w:rsidR="00032038" w:rsidP="00032038" w:rsidRDefault="00361E48" w14:paraId="128EA084" w14:textId="77777777">
      <w:pPr>
        <w:numPr>
          <w:ilvl w:val="0"/>
          <w:numId w:val="2"/>
        </w:numPr>
        <w:ind w:left="567" w:hanging="567"/>
        <w:contextualSpacing/>
        <w:rPr>
          <w:b/>
          <w:i/>
          <w:sz w:val="28"/>
          <w:szCs w:val="28"/>
        </w:rPr>
      </w:pPr>
      <w:r>
        <w:rPr>
          <w:b/>
          <w:i/>
          <w:sz w:val="28"/>
        </w:rPr>
        <w:lastRenderedPageBreak/>
        <w:t>Euroopan yhdentymisen toteutumattomuuden kustannukset – sisämarkkinoiden edut</w:t>
      </w:r>
    </w:p>
    <w:p w:rsidRPr="00032038" w:rsidR="00032038" w:rsidP="00032038" w:rsidRDefault="00032038" w14:paraId="04B0A9E5" w14:textId="77777777">
      <w:pPr>
        <w:contextualSpacing/>
      </w:pPr>
    </w:p>
    <w:tbl>
      <w:tblPr>
        <w:tblStyle w:val="TableGrid7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6379"/>
      </w:tblGrid>
      <w:tr w:rsidRPr="00032038" w:rsidR="00032038" w:rsidTr="00A5507B" w14:paraId="2740ABE2" w14:textId="77777777">
        <w:tc>
          <w:tcPr>
            <w:tcW w:w="1701" w:type="dxa"/>
          </w:tcPr>
          <w:p w:rsidRPr="00032038" w:rsidR="00032038" w:rsidP="00B83E7B" w:rsidRDefault="00032038" w14:paraId="087263AD" w14:textId="77777777">
            <w:pPr>
              <w:contextualSpacing/>
              <w:rPr>
                <w:b/>
              </w:rPr>
            </w:pPr>
            <w:r>
              <w:rPr>
                <w:b/>
              </w:rPr>
              <w:t>Esittelijä:</w:t>
            </w:r>
          </w:p>
        </w:tc>
        <w:tc>
          <w:tcPr>
            <w:tcW w:w="6379" w:type="dxa"/>
          </w:tcPr>
          <w:p w:rsidRPr="00032038" w:rsidR="00032038" w:rsidP="00B83E7B" w:rsidRDefault="00361E48" w14:paraId="2766A124" w14:textId="77777777">
            <w:pPr>
              <w:ind w:left="-108"/>
              <w:contextualSpacing/>
            </w:pPr>
            <w:r>
              <w:t xml:space="preserve">Philip von </w:t>
            </w:r>
            <w:proofErr w:type="spellStart"/>
            <w:r>
              <w:t>Brockdorff</w:t>
            </w:r>
            <w:proofErr w:type="spellEnd"/>
            <w:r>
              <w:t xml:space="preserve"> (työntekijät – MT)</w:t>
            </w:r>
          </w:p>
        </w:tc>
      </w:tr>
      <w:tr w:rsidRPr="00032038" w:rsidR="00361E48" w:rsidTr="00A5507B" w14:paraId="522673DF" w14:textId="77777777">
        <w:tc>
          <w:tcPr>
            <w:tcW w:w="1701" w:type="dxa"/>
          </w:tcPr>
          <w:p w:rsidRPr="00032038" w:rsidR="00361E48" w:rsidP="00B83E7B" w:rsidRDefault="00361E48" w14:paraId="770ED3B7" w14:textId="77777777">
            <w:pPr>
              <w:contextualSpacing/>
              <w:rPr>
                <w:b/>
              </w:rPr>
            </w:pPr>
            <w:r>
              <w:rPr>
                <w:b/>
              </w:rPr>
              <w:t>Yhteisesittelijä:</w:t>
            </w:r>
          </w:p>
        </w:tc>
        <w:tc>
          <w:tcPr>
            <w:tcW w:w="6379" w:type="dxa"/>
          </w:tcPr>
          <w:p w:rsidRPr="0022407C" w:rsidR="00361E48" w:rsidP="00B83E7B" w:rsidRDefault="00361E48" w14:paraId="0EDD12C9" w14:textId="77777777">
            <w:pPr>
              <w:ind w:left="-108"/>
              <w:contextualSpacing/>
            </w:pPr>
            <w:proofErr w:type="spellStart"/>
            <w:r>
              <w:t>Emilie</w:t>
            </w:r>
            <w:proofErr w:type="spellEnd"/>
            <w:r>
              <w:t xml:space="preserve"> </w:t>
            </w:r>
            <w:proofErr w:type="spellStart"/>
            <w:r>
              <w:t>Prouzet</w:t>
            </w:r>
            <w:proofErr w:type="spellEnd"/>
            <w:r>
              <w:t xml:space="preserve"> (työnantajat – FR)</w:t>
            </w:r>
          </w:p>
        </w:tc>
      </w:tr>
      <w:tr w:rsidRPr="00032038" w:rsidR="00032038" w:rsidTr="00A5507B" w14:paraId="0BCEFD7B" w14:textId="77777777">
        <w:tc>
          <w:tcPr>
            <w:tcW w:w="8080" w:type="dxa"/>
            <w:gridSpan w:val="2"/>
          </w:tcPr>
          <w:p w:rsidRPr="00032038" w:rsidR="00032038" w:rsidP="00B83E7B" w:rsidRDefault="00032038" w14:paraId="28381D76" w14:textId="77777777">
            <w:pPr>
              <w:contextualSpacing/>
              <w:rPr>
                <w:lang w:val="fr-BE"/>
              </w:rPr>
            </w:pPr>
          </w:p>
        </w:tc>
      </w:tr>
      <w:tr w:rsidRPr="00032038" w:rsidR="00032038" w:rsidTr="00A5507B" w14:paraId="1FFE70FE" w14:textId="77777777">
        <w:tc>
          <w:tcPr>
            <w:tcW w:w="1701" w:type="dxa"/>
          </w:tcPr>
          <w:p w:rsidRPr="00032038" w:rsidR="00032038" w:rsidP="00B83E7B" w:rsidRDefault="00032038" w14:paraId="1EDF0159" w14:textId="77777777">
            <w:pPr>
              <w:contextualSpacing/>
              <w:rPr>
                <w:b/>
              </w:rPr>
            </w:pPr>
            <w:r>
              <w:rPr>
                <w:b/>
              </w:rPr>
              <w:t xml:space="preserve">Viiteasiakirja: </w:t>
            </w:r>
          </w:p>
        </w:tc>
        <w:tc>
          <w:tcPr>
            <w:tcW w:w="6379" w:type="dxa"/>
          </w:tcPr>
          <w:p w:rsidRPr="00032038" w:rsidR="00032038" w:rsidP="00A5507B" w:rsidRDefault="00361E48" w14:paraId="6C436681" w14:textId="77777777">
            <w:pPr>
              <w:tabs>
                <w:tab w:val="center" w:pos="284"/>
              </w:tabs>
              <w:ind w:left="266" w:right="-534" w:hanging="374"/>
            </w:pPr>
            <w:r>
              <w:t>neuvoston puheenjohtajavaltion Tšekin pyytämä valmisteleva lausunto</w:t>
            </w:r>
          </w:p>
          <w:p w:rsidRPr="00032038" w:rsidR="00032038" w:rsidP="00B83E7B" w:rsidRDefault="00032038" w14:paraId="70C06563" w14:textId="77777777">
            <w:pPr>
              <w:ind w:left="-108"/>
              <w:contextualSpacing/>
            </w:pPr>
            <w:r>
              <w:t>EESC-2022-01691-00-00-AC</w:t>
            </w:r>
          </w:p>
        </w:tc>
      </w:tr>
    </w:tbl>
    <w:p w:rsidRPr="00032038" w:rsidR="00032038" w:rsidP="00032038" w:rsidRDefault="00032038" w14:paraId="7F4174A5" w14:textId="77777777">
      <w:pPr>
        <w:contextualSpacing/>
        <w:rPr>
          <w:b/>
        </w:rPr>
      </w:pPr>
    </w:p>
    <w:p w:rsidRPr="00032038" w:rsidR="00032038" w:rsidP="002C4B6E" w:rsidRDefault="00032038" w14:paraId="0D24DCE0" w14:textId="19BB44B8">
      <w:pPr>
        <w:pStyle w:val="ListParagraph"/>
        <w:spacing w:line="240" w:lineRule="auto"/>
        <w:ind w:left="-142" w:firstLine="142"/>
        <w:rPr>
          <w:b/>
        </w:rPr>
      </w:pPr>
      <w:r>
        <w:rPr>
          <w:b/>
        </w:rPr>
        <w:t>Keskeiset kohdat</w:t>
      </w:r>
    </w:p>
    <w:p w:rsidRPr="00032038" w:rsidR="00032038" w:rsidP="00032038" w:rsidRDefault="00032038" w14:paraId="5A3A2576" w14:textId="77777777">
      <w:pPr>
        <w:contextualSpacing/>
        <w:rPr>
          <w:lang w:val="fr-FR"/>
        </w:rPr>
      </w:pPr>
    </w:p>
    <w:p w:rsidR="00032038" w:rsidP="00032038" w:rsidRDefault="00032038" w14:paraId="03BC0087" w14:textId="77777777">
      <w:pPr>
        <w:contextualSpacing/>
      </w:pPr>
      <w:r>
        <w:t>ETSK</w:t>
      </w:r>
    </w:p>
    <w:p w:rsidRPr="00032038" w:rsidR="00E54548" w:rsidP="00032038" w:rsidRDefault="00E54548" w14:paraId="5E6CFAA8" w14:textId="77777777">
      <w:pPr>
        <w:contextualSpacing/>
        <w:rPr>
          <w:lang w:val="fr-FR"/>
        </w:rPr>
      </w:pPr>
    </w:p>
    <w:p w:rsidRPr="00032038" w:rsidR="00032038" w:rsidP="00032038" w:rsidRDefault="00361E48" w14:paraId="15D8E10A" w14:textId="77777777">
      <w:pPr>
        <w:numPr>
          <w:ilvl w:val="0"/>
          <w:numId w:val="3"/>
        </w:numPr>
        <w:overflowPunct w:val="0"/>
        <w:autoSpaceDE w:val="0"/>
        <w:autoSpaceDN w:val="0"/>
        <w:adjustRightInd w:val="0"/>
        <w:ind w:left="357" w:hanging="357"/>
        <w:textAlignment w:val="baseline"/>
        <w:rPr>
          <w:bCs/>
          <w:iCs/>
        </w:rPr>
      </w:pPr>
      <w:r>
        <w:t>katsoo, että sisämarkkinoissa on kyse hyvinvoinnin parantamisesta sellaisen sosiaalisen ja taloudellisen lähentymisen avulla, jonka tavoitteena on vähentää eriarvoisuutta ja varmistaa, ettei lisääntyvästä sosiaalisesta epätasapainosta muodostu vakavia esteitä Euroopan yhdentymiselle.</w:t>
      </w:r>
    </w:p>
    <w:p w:rsidRPr="00032038" w:rsidR="00032038" w:rsidP="00032038" w:rsidRDefault="00361E48" w14:paraId="3C3E0696" w14:textId="77777777">
      <w:pPr>
        <w:numPr>
          <w:ilvl w:val="0"/>
          <w:numId w:val="3"/>
        </w:numPr>
        <w:overflowPunct w:val="0"/>
        <w:autoSpaceDE w:val="0"/>
        <w:autoSpaceDN w:val="0"/>
        <w:adjustRightInd w:val="0"/>
        <w:ind w:left="357" w:hanging="357"/>
        <w:textAlignment w:val="baseline"/>
        <w:rPr>
          <w:bCs/>
          <w:iCs/>
        </w:rPr>
      </w:pPr>
      <w:r>
        <w:t>katsoo, että sisämarkkinoita mahdollisesti haittaavista kansallisista säädöksistä on ilmoitettava komissiolle ja että niitä on kommentoitava ja arvioitava.</w:t>
      </w:r>
    </w:p>
    <w:p w:rsidR="00032038" w:rsidP="00032038" w:rsidRDefault="00361E48" w14:paraId="328F8D0C" w14:textId="77777777">
      <w:pPr>
        <w:numPr>
          <w:ilvl w:val="0"/>
          <w:numId w:val="3"/>
        </w:numPr>
        <w:overflowPunct w:val="0"/>
        <w:autoSpaceDE w:val="0"/>
        <w:autoSpaceDN w:val="0"/>
        <w:adjustRightInd w:val="0"/>
        <w:ind w:left="357" w:hanging="357"/>
        <w:textAlignment w:val="baseline"/>
      </w:pPr>
      <w:r>
        <w:t>kehottaa myös varmistamaan, että direktiivit, joista on jo neuvoteltu ja äänestetty, pannaan tehokkaasti täytäntöön ja niiden noudattamista valvotaan. Tämä koskee muun muassa sääntelyn parantamista koskevaa pakettia.</w:t>
      </w:r>
    </w:p>
    <w:p w:rsidRPr="00361E48" w:rsidR="00622822" w:rsidP="00032038" w:rsidRDefault="00361E48" w14:paraId="4822D60F" w14:textId="77777777">
      <w:pPr>
        <w:numPr>
          <w:ilvl w:val="0"/>
          <w:numId w:val="3"/>
        </w:numPr>
        <w:overflowPunct w:val="0"/>
        <w:autoSpaceDE w:val="0"/>
        <w:autoSpaceDN w:val="0"/>
        <w:adjustRightInd w:val="0"/>
        <w:ind w:left="357" w:hanging="357"/>
        <w:textAlignment w:val="baseline"/>
      </w:pPr>
      <w:r>
        <w:t>katsoo, että digipalvelu- ja digimarkkinasäädökset ovat ratkaiseva askel pyrittäessä luomaan tasapuoliset toimintaedellytykset kaikille toimijoille digitaalisilla markkinoilla.</w:t>
      </w:r>
    </w:p>
    <w:p w:rsidR="00361E48" w:rsidP="00032038" w:rsidRDefault="00361E48" w14:paraId="7B7AC8F9" w14:textId="77777777">
      <w:pPr>
        <w:numPr>
          <w:ilvl w:val="0"/>
          <w:numId w:val="3"/>
        </w:numPr>
        <w:overflowPunct w:val="0"/>
        <w:autoSpaceDE w:val="0"/>
        <w:autoSpaceDN w:val="0"/>
        <w:adjustRightInd w:val="0"/>
        <w:ind w:left="357" w:hanging="357"/>
        <w:textAlignment w:val="baseline"/>
      </w:pPr>
      <w:r>
        <w:t>suosittaa, että jäsenvaltiot omaksuvat koordinoidun lähestymistavan sellaisten tuotteiden kaupan pitämiseen, joihin Ukrainan kriisillä on vaikutuksia.</w:t>
      </w:r>
    </w:p>
    <w:p w:rsidR="00361E48" w:rsidP="00032038" w:rsidRDefault="00361E48" w14:paraId="307CFC42" w14:textId="77777777">
      <w:pPr>
        <w:numPr>
          <w:ilvl w:val="0"/>
          <w:numId w:val="3"/>
        </w:numPr>
        <w:overflowPunct w:val="0"/>
        <w:autoSpaceDE w:val="0"/>
        <w:autoSpaceDN w:val="0"/>
        <w:adjustRightInd w:val="0"/>
        <w:ind w:left="357" w:hanging="357"/>
        <w:textAlignment w:val="baseline"/>
      </w:pPr>
      <w:r>
        <w:t>toteaa, että EU koostuu edelleen 27 erillisestä pääoma- ja rahoitusmarkkinasta. Nämä markkinat eivät toimi yhtenäisinä, mikä rajoittaa sisämarkkinoiden potentiaalia.</w:t>
      </w:r>
    </w:p>
    <w:p w:rsidRPr="00032038" w:rsidR="00361E48" w:rsidP="00032038" w:rsidRDefault="00361E48" w14:paraId="45E636EF" w14:textId="77777777">
      <w:pPr>
        <w:numPr>
          <w:ilvl w:val="0"/>
          <w:numId w:val="3"/>
        </w:numPr>
        <w:overflowPunct w:val="0"/>
        <w:autoSpaceDE w:val="0"/>
        <w:autoSpaceDN w:val="0"/>
        <w:adjustRightInd w:val="0"/>
        <w:ind w:left="357" w:hanging="357"/>
        <w:textAlignment w:val="baseline"/>
      </w:pPr>
      <w:r>
        <w:t>katsoo, että tarvitaan ”avointa strategista riippumattomuutta” erityisesti keskeisillä aloilla.</w:t>
      </w:r>
    </w:p>
    <w:p w:rsidRPr="00032038" w:rsidR="00032038" w:rsidP="00032038" w:rsidRDefault="00032038" w14:paraId="2BD64930" w14:textId="77777777">
      <w:pPr>
        <w:widowControl w:val="0"/>
        <w:overflowPunct w:val="0"/>
        <w:autoSpaceDE w:val="0"/>
        <w:autoSpaceDN w:val="0"/>
        <w:adjustRightInd w:val="0"/>
        <w:textAlignment w:val="baseline"/>
      </w:pPr>
    </w:p>
    <w:tbl>
      <w:tblPr>
        <w:tblStyle w:val="TableGrid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56"/>
        <w:gridCol w:w="5670"/>
      </w:tblGrid>
      <w:tr w:rsidRPr="00164813" w:rsidR="00361E48" w:rsidTr="008B66DD" w14:paraId="0D55A858" w14:textId="77777777">
        <w:tc>
          <w:tcPr>
            <w:tcW w:w="1418" w:type="dxa"/>
          </w:tcPr>
          <w:p w:rsidRPr="00164813" w:rsidR="00361E48" w:rsidP="008B66DD" w:rsidRDefault="00361E48" w14:paraId="56C29286" w14:textId="77777777">
            <w:pPr>
              <w:contextualSpacing/>
              <w:rPr>
                <w:i/>
              </w:rPr>
            </w:pPr>
            <w:r>
              <w:rPr>
                <w:b/>
                <w:i/>
              </w:rPr>
              <w:t>Yhteydenotot:</w:t>
            </w:r>
          </w:p>
        </w:tc>
        <w:tc>
          <w:tcPr>
            <w:tcW w:w="5670" w:type="dxa"/>
          </w:tcPr>
          <w:p w:rsidRPr="00164813" w:rsidR="00361E48" w:rsidP="008B66DD" w:rsidRDefault="00361E48" w14:paraId="017C0197" w14:textId="77777777">
            <w:pPr>
              <w:contextualSpacing/>
              <w:rPr>
                <w:i/>
              </w:rPr>
            </w:pPr>
            <w:r>
              <w:rPr>
                <w:i/>
              </w:rPr>
              <w:t xml:space="preserve">Claudia </w:t>
            </w:r>
            <w:proofErr w:type="spellStart"/>
            <w:r>
              <w:rPr>
                <w:i/>
              </w:rPr>
              <w:t>Drewes-Wran</w:t>
            </w:r>
            <w:proofErr w:type="spellEnd"/>
          </w:p>
        </w:tc>
      </w:tr>
      <w:tr w:rsidRPr="00164813" w:rsidR="00361E48" w:rsidTr="008B66DD" w14:paraId="2666BE14" w14:textId="77777777">
        <w:tc>
          <w:tcPr>
            <w:tcW w:w="1418" w:type="dxa"/>
          </w:tcPr>
          <w:p w:rsidRPr="00164813" w:rsidR="00361E48" w:rsidP="008B66DD" w:rsidRDefault="00361E48" w14:paraId="2A27EB13" w14:textId="77777777">
            <w:pPr>
              <w:ind w:left="601"/>
              <w:contextualSpacing/>
              <w:rPr>
                <w:i/>
              </w:rPr>
            </w:pPr>
            <w:r>
              <w:rPr>
                <w:i/>
              </w:rPr>
              <w:t>P.</w:t>
            </w:r>
          </w:p>
        </w:tc>
        <w:tc>
          <w:tcPr>
            <w:tcW w:w="5670" w:type="dxa"/>
          </w:tcPr>
          <w:p w:rsidRPr="00164813" w:rsidR="00361E48" w:rsidP="008B66DD" w:rsidRDefault="00361E48" w14:paraId="5871F23C" w14:textId="77777777">
            <w:pPr>
              <w:contextualSpacing/>
              <w:rPr>
                <w:i/>
              </w:rPr>
            </w:pPr>
            <w:r>
              <w:rPr>
                <w:i/>
              </w:rPr>
              <w:t>+32 25468067</w:t>
            </w:r>
          </w:p>
        </w:tc>
      </w:tr>
      <w:tr w:rsidRPr="00164813" w:rsidR="00361E48" w:rsidTr="008B66DD" w14:paraId="2382DBA5" w14:textId="77777777">
        <w:tc>
          <w:tcPr>
            <w:tcW w:w="1418" w:type="dxa"/>
          </w:tcPr>
          <w:p w:rsidRPr="00164813" w:rsidR="00361E48" w:rsidP="008B66DD" w:rsidRDefault="00361E48" w14:paraId="4E96D1FE" w14:textId="77777777">
            <w:pPr>
              <w:ind w:left="601"/>
              <w:contextualSpacing/>
              <w:rPr>
                <w:i/>
              </w:rPr>
            </w:pPr>
            <w:r>
              <w:rPr>
                <w:i/>
              </w:rPr>
              <w:t>Sähköposti:</w:t>
            </w:r>
          </w:p>
        </w:tc>
        <w:tc>
          <w:tcPr>
            <w:tcW w:w="5670" w:type="dxa"/>
          </w:tcPr>
          <w:p w:rsidRPr="00164813" w:rsidR="00361E48" w:rsidP="00910972" w:rsidRDefault="00216BAA" w14:paraId="07034536" w14:textId="0960E89F">
            <w:pPr>
              <w:contextualSpacing/>
              <w:rPr>
                <w:i/>
              </w:rPr>
            </w:pPr>
            <w:hyperlink w:history="1" r:id="rId34">
              <w:r w:rsidR="00EB3BD7">
                <w:rPr>
                  <w:rStyle w:val="Hyperlink"/>
                </w:rPr>
                <w:t xml:space="preserve"> Claudia.Drewes-Wran@eesc.europa.eu</w:t>
              </w:r>
            </w:hyperlink>
          </w:p>
        </w:tc>
      </w:tr>
    </w:tbl>
    <w:p w:rsidR="000956DB" w:rsidRDefault="000956DB" w14:paraId="6E31172A" w14:textId="78CEDAC7">
      <w:pPr>
        <w:spacing w:after="160" w:line="259" w:lineRule="auto"/>
        <w:jc w:val="left"/>
        <w:rPr>
          <w:sz w:val="28"/>
        </w:rPr>
      </w:pPr>
    </w:p>
    <w:p w:rsidR="000956DB" w:rsidRDefault="000956DB" w14:paraId="32ABF98F" w14:textId="77777777">
      <w:pPr>
        <w:spacing w:after="160" w:line="259" w:lineRule="auto"/>
        <w:jc w:val="left"/>
        <w:rPr>
          <w:sz w:val="28"/>
        </w:rPr>
      </w:pPr>
      <w:r>
        <w:br w:type="page"/>
      </w:r>
    </w:p>
    <w:p w:rsidRPr="009B70E7" w:rsidR="002E01B5" w:rsidP="0018231C" w:rsidRDefault="004D7AC0" w14:paraId="6C52985F" w14:textId="77777777">
      <w:pPr>
        <w:pStyle w:val="Heading1"/>
        <w:keepNext/>
        <w:rPr>
          <w:b/>
        </w:rPr>
      </w:pPr>
      <w:bookmarkStart w:name="_Toc70322234" w:id="14"/>
      <w:bookmarkStart w:name="_Toc75527084" w:id="15"/>
      <w:bookmarkStart w:name="_Toc109906484" w:id="16"/>
      <w:r>
        <w:rPr>
          <w:b/>
        </w:rPr>
        <w:lastRenderedPageBreak/>
        <w:t>MAATALOUS, MAASEUDUN KEHITTÄMINEN JA YMPÄRISTÖ</w:t>
      </w:r>
      <w:bookmarkEnd w:id="14"/>
      <w:bookmarkEnd w:id="15"/>
      <w:bookmarkEnd w:id="16"/>
    </w:p>
    <w:p w:rsidRPr="009B70E7" w:rsidR="009173E7" w:rsidP="1EBA916B" w:rsidRDefault="009173E7" w14:paraId="37AC66EE" w14:textId="77777777">
      <w:pPr>
        <w:keepNext/>
      </w:pPr>
    </w:p>
    <w:p w:rsidRPr="009B70E7" w:rsidR="00AC7690" w:rsidP="0018231C" w:rsidRDefault="000956DB" w14:paraId="6BF57A05" w14:textId="6349D851">
      <w:pPr>
        <w:pStyle w:val="ListParagraph"/>
        <w:keepNext/>
        <w:numPr>
          <w:ilvl w:val="0"/>
          <w:numId w:val="2"/>
        </w:numPr>
        <w:ind w:left="567" w:hanging="567"/>
        <w:rPr>
          <w:b/>
          <w:i/>
          <w:sz w:val="28"/>
          <w:szCs w:val="28"/>
        </w:rPr>
      </w:pPr>
      <w:r>
        <w:rPr>
          <w:b/>
          <w:i/>
          <w:sz w:val="28"/>
        </w:rPr>
        <w:t>EU:n maantieteellisten merkintöjen järjestelmän tarkistaminen</w:t>
      </w:r>
    </w:p>
    <w:p w:rsidRPr="009B70E7" w:rsidR="004D7AC0" w:rsidP="0018231C" w:rsidRDefault="004D7AC0" w14:paraId="43570F8C" w14:textId="77777777">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9B70E7" w:rsidR="004D7AC0" w:rsidTr="00662436" w14:paraId="32C9FAF0" w14:textId="77777777">
        <w:tc>
          <w:tcPr>
            <w:tcW w:w="1701" w:type="dxa"/>
          </w:tcPr>
          <w:p w:rsidRPr="009B70E7" w:rsidR="004D7AC0" w:rsidP="0018231C" w:rsidRDefault="004D7AC0" w14:paraId="7DFC3FE7" w14:textId="77777777">
            <w:pPr>
              <w:pStyle w:val="ListParagraph"/>
              <w:keepNext/>
              <w:ind w:left="0"/>
              <w:rPr>
                <w:b/>
              </w:rPr>
            </w:pPr>
            <w:r>
              <w:rPr>
                <w:b/>
              </w:rPr>
              <w:t>Esittelijä:</w:t>
            </w:r>
          </w:p>
        </w:tc>
        <w:tc>
          <w:tcPr>
            <w:tcW w:w="5387" w:type="dxa"/>
          </w:tcPr>
          <w:p w:rsidRPr="009B70E7" w:rsidR="004D7AC0" w:rsidP="001C4EDC" w:rsidRDefault="00E54548" w14:paraId="512C7D26" w14:textId="77777777">
            <w:pPr>
              <w:pStyle w:val="ListParagraph"/>
              <w:keepNext/>
              <w:ind w:left="-106"/>
            </w:pPr>
            <w:proofErr w:type="spellStart"/>
            <w:r>
              <w:t>Decebal-Ștefăniță</w:t>
            </w:r>
            <w:proofErr w:type="spellEnd"/>
            <w:r>
              <w:t xml:space="preserve"> </w:t>
            </w:r>
            <w:proofErr w:type="spellStart"/>
            <w:r>
              <w:t>Padure</w:t>
            </w:r>
            <w:proofErr w:type="spellEnd"/>
            <w:r>
              <w:t xml:space="preserve"> (työnantajat – RO)</w:t>
            </w:r>
          </w:p>
        </w:tc>
      </w:tr>
      <w:tr w:rsidRPr="009B70E7" w:rsidR="004D7AC0" w:rsidTr="00662436" w14:paraId="10493BDC" w14:textId="77777777">
        <w:tc>
          <w:tcPr>
            <w:tcW w:w="1701" w:type="dxa"/>
          </w:tcPr>
          <w:p w:rsidRPr="009B70E7" w:rsidR="004D7AC0" w:rsidP="0018231C" w:rsidRDefault="004D7AC0" w14:paraId="09ACA4C1" w14:textId="77777777">
            <w:pPr>
              <w:pStyle w:val="ListParagraph"/>
              <w:keepNext/>
              <w:ind w:left="0"/>
              <w:rPr>
                <w:b/>
              </w:rPr>
            </w:pPr>
          </w:p>
        </w:tc>
        <w:tc>
          <w:tcPr>
            <w:tcW w:w="5387" w:type="dxa"/>
          </w:tcPr>
          <w:p w:rsidRPr="009B70E7" w:rsidR="004D7AC0" w:rsidP="001C4EDC" w:rsidRDefault="004D7AC0" w14:paraId="3F39323E" w14:textId="77777777">
            <w:pPr>
              <w:pStyle w:val="ListParagraph"/>
              <w:keepNext/>
              <w:ind w:left="-106"/>
            </w:pPr>
          </w:p>
        </w:tc>
      </w:tr>
      <w:tr w:rsidRPr="009B70E7" w:rsidR="004D7AC0" w:rsidTr="00662436" w14:paraId="37A4E77C" w14:textId="77777777">
        <w:tc>
          <w:tcPr>
            <w:tcW w:w="1701" w:type="dxa"/>
          </w:tcPr>
          <w:p w:rsidRPr="007B231B" w:rsidR="004D7AC0" w:rsidP="0018231C" w:rsidRDefault="004D7AC0" w14:paraId="648A1766" w14:textId="77777777">
            <w:pPr>
              <w:pStyle w:val="ListParagraph"/>
              <w:keepNext/>
              <w:ind w:left="0"/>
              <w:rPr>
                <w:b/>
              </w:rPr>
            </w:pPr>
            <w:r>
              <w:rPr>
                <w:b/>
              </w:rPr>
              <w:t xml:space="preserve">Viiteasiakirjat: </w:t>
            </w:r>
          </w:p>
        </w:tc>
        <w:tc>
          <w:tcPr>
            <w:tcW w:w="5387" w:type="dxa"/>
          </w:tcPr>
          <w:p w:rsidRPr="000956DB" w:rsidR="00814E33" w:rsidP="001C4EDC" w:rsidRDefault="001455A1" w14:paraId="20B091E7" w14:textId="7F25AFCE">
            <w:pPr>
              <w:pStyle w:val="ListParagraph"/>
              <w:keepNext/>
              <w:ind w:left="-106"/>
              <w:rPr>
                <w:iCs/>
                <w:color w:val="000000"/>
              </w:rPr>
            </w:pPr>
            <w:r>
              <w:rPr>
                <w:color w:val="000000"/>
              </w:rPr>
              <w:t xml:space="preserve">COM(2021) 134 </w:t>
            </w:r>
            <w:proofErr w:type="spellStart"/>
            <w:r>
              <w:rPr>
                <w:color w:val="000000"/>
              </w:rPr>
              <w:t>final</w:t>
            </w:r>
            <w:proofErr w:type="spellEnd"/>
          </w:p>
          <w:p w:rsidRPr="00E54548" w:rsidR="004D7AC0" w:rsidP="001C4EDC" w:rsidRDefault="004331B4" w14:paraId="30DA0956" w14:textId="77777777">
            <w:pPr>
              <w:pStyle w:val="ListParagraph"/>
              <w:keepNext/>
              <w:ind w:left="-106"/>
              <w:rPr>
                <w:highlight w:val="yellow"/>
              </w:rPr>
            </w:pPr>
            <w:r>
              <w:t>EESC-2021-06620-00-00-AC</w:t>
            </w:r>
          </w:p>
        </w:tc>
      </w:tr>
    </w:tbl>
    <w:p w:rsidRPr="002C4B6E" w:rsidR="004D7AC0" w:rsidP="002C4B6E" w:rsidRDefault="004D7AC0" w14:paraId="4C513F36" w14:textId="77777777">
      <w:pPr>
        <w:pStyle w:val="ListParagraph"/>
        <w:spacing w:line="240" w:lineRule="auto"/>
        <w:ind w:left="-142" w:firstLine="142"/>
        <w:rPr>
          <w:b/>
        </w:rPr>
      </w:pPr>
    </w:p>
    <w:p w:rsidR="004D7AC0" w:rsidP="002C4B6E" w:rsidRDefault="004D7AC0" w14:paraId="63F2D92D" w14:textId="09C76463">
      <w:pPr>
        <w:pStyle w:val="ListParagraph"/>
        <w:spacing w:line="240" w:lineRule="auto"/>
        <w:ind w:left="-142" w:firstLine="142"/>
        <w:rPr>
          <w:b/>
        </w:rPr>
      </w:pPr>
      <w:r>
        <w:rPr>
          <w:b/>
        </w:rPr>
        <w:t>Keskeiset kohdat</w:t>
      </w:r>
    </w:p>
    <w:p w:rsidR="001513FD" w:rsidP="0018231C" w:rsidRDefault="001513FD" w14:paraId="76827606" w14:textId="77777777">
      <w:pPr>
        <w:pStyle w:val="ListParagraph"/>
        <w:keepNext/>
        <w:ind w:left="0"/>
      </w:pPr>
    </w:p>
    <w:p w:rsidR="00E54548" w:rsidP="0018231C" w:rsidRDefault="00E54548" w14:paraId="05F6CCDA" w14:textId="77777777">
      <w:pPr>
        <w:pStyle w:val="ListParagraph"/>
        <w:keepNext/>
        <w:ind w:left="0"/>
      </w:pPr>
      <w:r>
        <w:t>ETSK</w:t>
      </w:r>
    </w:p>
    <w:p w:rsidR="00E54548" w:rsidP="0018231C" w:rsidRDefault="00E54548" w14:paraId="681D86A8" w14:textId="77777777">
      <w:pPr>
        <w:pStyle w:val="ListParagraph"/>
        <w:keepNext/>
        <w:ind w:left="0"/>
      </w:pPr>
    </w:p>
    <w:p w:rsidR="00BE6D5A" w:rsidP="00BE6D5A" w:rsidRDefault="00E54548" w14:paraId="4FC3D577" w14:textId="77777777">
      <w:pPr>
        <w:numPr>
          <w:ilvl w:val="0"/>
          <w:numId w:val="3"/>
        </w:numPr>
        <w:ind w:left="357" w:hanging="357"/>
        <w:contextualSpacing/>
      </w:pPr>
      <w:r>
        <w:t>suhtautuu myönteisesti komission aloitteeseen esittää ehdotus uudesta asetuksesta, jolla vahvistettaisiin maataloustuotteiden, tislattujen alkoholijuomien ja viinien nykyistä maantieteellisten merkintöjen järjestelmää. Maantieteellisten merkintöjen vaikutus maaseutualueiden kehittämiseen ja niiden yhteisön, maiseman ja kulttuuriperinnön säilyttämiseen on olennaisen tärkeää. Maantieteelliset merkinnät ansaitsevat parhaan ja tehokkaimman mahdollisen järjestelmän. Tämä tiettyihin alueisiin sekä niiden tietotaitoon, alkuperään ja kulttuuriin liittyvä työ oli olemassa jo kauan ennen EU:n oikeusperustan luomista. On olennaista säilyttää tämä järjestelmä ja taata sille mahdollisimman korkea suojelu.</w:t>
      </w:r>
    </w:p>
    <w:p w:rsidR="008608BA" w:rsidP="008608BA" w:rsidRDefault="00E54548" w14:paraId="26E1086E" w14:textId="77777777">
      <w:pPr>
        <w:numPr>
          <w:ilvl w:val="0"/>
          <w:numId w:val="3"/>
        </w:numPr>
        <w:ind w:left="357" w:hanging="357"/>
        <w:contextualSpacing/>
      </w:pPr>
      <w:r>
        <w:t xml:space="preserve">katsoo, että maantieteelliset merkinnät muodostavat hyvin erityisen järjestelmän ja ovat paljon enemmän kuin </w:t>
      </w:r>
      <w:proofErr w:type="spellStart"/>
      <w:r>
        <w:t>teollis</w:t>
      </w:r>
      <w:proofErr w:type="spellEnd"/>
      <w:r>
        <w:t>- ja tekijänoikeudet, eikä niitä pitäisi hallinnoida tavaramerkkeinä. Tästä syystä komitea kehottaa EU:n toimielimiä arvioimaan huolellisesti tarvetta siirtää maantieteellisten merkintöjen hallinnointitehtävät maatalouden ja maaseudun kehittämisen pääosastolta ulkoiselle virastolle, samoin kuin siirtämisestä saatavaa lisäarvoa. Olisi tärkeää myös arvioida, onko nimetyllä virastolla asiantuntemusta ja tarvittava tietämys sille siirrettyjen tehtävien hoitamiseksi pätevästi. Maatalouden ja maaseudun kehittämisen pääosaston tulisi säilyä tärkeimpänä toimijana vastaamassa maantieteellisten merkintöjen hallinnoinnista.</w:t>
      </w:r>
    </w:p>
    <w:p w:rsidRPr="001513FD" w:rsidR="001513FD" w:rsidP="001513FD" w:rsidRDefault="00E54548" w14:paraId="220D2167" w14:textId="77777777">
      <w:pPr>
        <w:numPr>
          <w:ilvl w:val="0"/>
          <w:numId w:val="3"/>
        </w:numPr>
        <w:ind w:left="357" w:hanging="357"/>
        <w:contextualSpacing/>
      </w:pPr>
      <w:r>
        <w:t>katsoo, että kaikki toimivallan siirrot olisi eriteltävä tarkasti asetuksen pääosassa ja että niiden olisi rajoituttava hallinnollisiin tehtäviin. Maantieteellisten merkintöjen hakemista, muuttamista, peruuttamista tai vastustamista koskevien päätösten olisi pysyttävä tiukasti maatalouden ja maaseudun kehittämisen pääosaston käsissä.</w:t>
      </w:r>
    </w:p>
    <w:p w:rsidRPr="00CA685D" w:rsidR="00071F4C" w:rsidP="004331B4" w:rsidRDefault="00E54548" w14:paraId="6CC74428" w14:textId="77777777">
      <w:pPr>
        <w:numPr>
          <w:ilvl w:val="0"/>
          <w:numId w:val="3"/>
        </w:numPr>
        <w:ind w:left="357" w:hanging="357"/>
        <w:contextualSpacing/>
      </w:pPr>
      <w:r>
        <w:t>kehottaa lainsäätäjiä sisällyttämään asetukseen toimenpiteitä, joilla edistetään maantieteellisten merkintöjen järjestelmää tuottajien keskuudessa erityisesti alueilla, jotka ovat aliedustettuina kyseisessä järjestelmässä.</w:t>
      </w:r>
    </w:p>
    <w:p w:rsidRPr="009B70E7" w:rsidR="00CA685D" w:rsidP="00E54548" w:rsidRDefault="00CA685D" w14:paraId="338EA745" w14:textId="77777777">
      <w:pPr>
        <w:ind w:left="357"/>
        <w:contextualSpacing/>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56"/>
        <w:gridCol w:w="5670"/>
      </w:tblGrid>
      <w:tr w:rsidRPr="009B70E7" w:rsidR="004331B4" w:rsidTr="00BC41D9" w14:paraId="587E7E08" w14:textId="77777777">
        <w:tc>
          <w:tcPr>
            <w:tcW w:w="1418" w:type="dxa"/>
          </w:tcPr>
          <w:p w:rsidRPr="009B70E7" w:rsidR="004331B4" w:rsidP="00BC41D9" w:rsidRDefault="004331B4" w14:paraId="02B3DBE9" w14:textId="77777777">
            <w:pPr>
              <w:pStyle w:val="ListParagraph"/>
              <w:ind w:left="0"/>
              <w:rPr>
                <w:i/>
              </w:rPr>
            </w:pPr>
            <w:r>
              <w:rPr>
                <w:b/>
                <w:i/>
              </w:rPr>
              <w:t>Yhteydenotot:</w:t>
            </w:r>
          </w:p>
        </w:tc>
        <w:tc>
          <w:tcPr>
            <w:tcW w:w="5670" w:type="dxa"/>
          </w:tcPr>
          <w:p w:rsidRPr="009B70E7" w:rsidR="004331B4" w:rsidP="00BC41D9" w:rsidRDefault="00E54548" w14:paraId="490824F4" w14:textId="77777777">
            <w:pPr>
              <w:pStyle w:val="ListParagraph"/>
              <w:ind w:left="0"/>
              <w:rPr>
                <w:i/>
              </w:rPr>
            </w:pPr>
            <w:proofErr w:type="spellStart"/>
            <w:r>
              <w:rPr>
                <w:i/>
              </w:rPr>
              <w:t>Arturo</w:t>
            </w:r>
            <w:proofErr w:type="spellEnd"/>
            <w:r>
              <w:rPr>
                <w:i/>
              </w:rPr>
              <w:t xml:space="preserve"> </w:t>
            </w:r>
            <w:proofErr w:type="spellStart"/>
            <w:r>
              <w:rPr>
                <w:i/>
              </w:rPr>
              <w:t>Iñiguez</w:t>
            </w:r>
            <w:proofErr w:type="spellEnd"/>
          </w:p>
        </w:tc>
      </w:tr>
      <w:tr w:rsidRPr="009B70E7" w:rsidR="004331B4" w:rsidTr="00BC41D9" w14:paraId="117DE739" w14:textId="77777777">
        <w:tc>
          <w:tcPr>
            <w:tcW w:w="1418" w:type="dxa"/>
          </w:tcPr>
          <w:p w:rsidRPr="009B70E7" w:rsidR="004331B4" w:rsidP="00BC41D9" w:rsidRDefault="004331B4" w14:paraId="07B5DE23" w14:textId="77777777">
            <w:pPr>
              <w:pStyle w:val="ListParagraph"/>
              <w:ind w:left="601"/>
              <w:rPr>
                <w:i/>
              </w:rPr>
            </w:pPr>
            <w:r>
              <w:rPr>
                <w:i/>
              </w:rPr>
              <w:t>P.</w:t>
            </w:r>
          </w:p>
        </w:tc>
        <w:tc>
          <w:tcPr>
            <w:tcW w:w="5670" w:type="dxa"/>
          </w:tcPr>
          <w:p w:rsidRPr="009B70E7" w:rsidR="004331B4" w:rsidP="00BC41D9" w:rsidRDefault="00E54548" w14:paraId="6717A766" w14:textId="77777777">
            <w:pPr>
              <w:pStyle w:val="ListParagraph"/>
              <w:ind w:left="0"/>
              <w:rPr>
                <w:i/>
              </w:rPr>
            </w:pPr>
            <w:r>
              <w:rPr>
                <w:i/>
              </w:rPr>
              <w:t>+32 25468768</w:t>
            </w:r>
          </w:p>
        </w:tc>
      </w:tr>
      <w:tr w:rsidRPr="009B70E7" w:rsidR="004331B4" w:rsidTr="00BC41D9" w14:paraId="6D5CE45F" w14:textId="77777777">
        <w:tc>
          <w:tcPr>
            <w:tcW w:w="1418" w:type="dxa"/>
          </w:tcPr>
          <w:p w:rsidRPr="009B70E7" w:rsidR="004331B4" w:rsidP="00BC41D9" w:rsidRDefault="004331B4" w14:paraId="261C3027" w14:textId="77777777">
            <w:pPr>
              <w:pStyle w:val="ListParagraph"/>
              <w:ind w:left="601"/>
              <w:rPr>
                <w:i/>
              </w:rPr>
            </w:pPr>
            <w:r>
              <w:rPr>
                <w:i/>
              </w:rPr>
              <w:t>Sähköposti:</w:t>
            </w:r>
          </w:p>
        </w:tc>
        <w:tc>
          <w:tcPr>
            <w:tcW w:w="5670" w:type="dxa"/>
          </w:tcPr>
          <w:p w:rsidR="00CA685D" w:rsidP="00BC41D9" w:rsidRDefault="00216BAA" w14:paraId="227015B9" w14:textId="77777777">
            <w:pPr>
              <w:pStyle w:val="ListParagraph"/>
              <w:ind w:left="0"/>
              <w:rPr>
                <w:i/>
              </w:rPr>
            </w:pPr>
            <w:hyperlink w:history="1" r:id="rId35">
              <w:r w:rsidR="00EB3BD7">
                <w:rPr>
                  <w:rStyle w:val="Hyperlink"/>
                  <w:i/>
                </w:rPr>
                <w:t>Arturo.Iniguez@eesc.europa.eu</w:t>
              </w:r>
            </w:hyperlink>
          </w:p>
          <w:p w:rsidRPr="009B70E7" w:rsidR="00CA685D" w:rsidP="00BC41D9" w:rsidRDefault="00CA685D" w14:paraId="40FE0D9C" w14:textId="77777777">
            <w:pPr>
              <w:pStyle w:val="ListParagraph"/>
              <w:ind w:left="0"/>
              <w:rPr>
                <w:i/>
              </w:rPr>
            </w:pPr>
          </w:p>
        </w:tc>
      </w:tr>
    </w:tbl>
    <w:p w:rsidR="000956DB" w:rsidP="0018231C" w:rsidRDefault="000956DB" w14:paraId="1FB21463" w14:textId="56EA1091">
      <w:pPr>
        <w:spacing w:after="160" w:line="240" w:lineRule="auto"/>
        <w:jc w:val="left"/>
        <w:rPr>
          <w:sz w:val="28"/>
          <w:szCs w:val="28"/>
        </w:rPr>
      </w:pPr>
    </w:p>
    <w:p w:rsidR="000956DB" w:rsidRDefault="000956DB" w14:paraId="6C8A5ED1" w14:textId="77777777">
      <w:pPr>
        <w:spacing w:after="160" w:line="259" w:lineRule="auto"/>
        <w:jc w:val="left"/>
        <w:rPr>
          <w:sz w:val="28"/>
          <w:szCs w:val="28"/>
        </w:rPr>
      </w:pPr>
      <w:r>
        <w:br w:type="page"/>
      </w:r>
    </w:p>
    <w:p w:rsidRPr="007E7A4F" w:rsidR="00E54548" w:rsidP="00E54548" w:rsidRDefault="00E54548" w14:paraId="0DC4E7D2" w14:textId="77777777">
      <w:pPr>
        <w:pStyle w:val="ListParagraph"/>
        <w:numPr>
          <w:ilvl w:val="0"/>
          <w:numId w:val="2"/>
        </w:numPr>
        <w:ind w:left="567" w:hanging="567"/>
        <w:rPr>
          <w:b/>
          <w:i/>
          <w:sz w:val="28"/>
          <w:szCs w:val="28"/>
        </w:rPr>
      </w:pPr>
      <w:r>
        <w:rPr>
          <w:b/>
          <w:i/>
          <w:sz w:val="28"/>
        </w:rPr>
        <w:lastRenderedPageBreak/>
        <w:t>Kestävää tuotepolitiikkaa koskeva aloite, johon sisältyy ekosuunnitteludirektiivin tarkistaminen</w:t>
      </w:r>
    </w:p>
    <w:p w:rsidRPr="009B70E7" w:rsidR="00E54548" w:rsidP="00E54548" w:rsidRDefault="00E54548" w14:paraId="55FE0C33" w14:textId="77777777">
      <w:pPr>
        <w:pStyle w:val="ListParagraph"/>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6096"/>
      </w:tblGrid>
      <w:tr w:rsidRPr="007E7A4F" w:rsidR="00E54548" w:rsidTr="008B66DD" w14:paraId="2870A0D7" w14:textId="77777777">
        <w:tc>
          <w:tcPr>
            <w:tcW w:w="1701" w:type="dxa"/>
          </w:tcPr>
          <w:p w:rsidRPr="009B70E7" w:rsidR="00E54548" w:rsidP="008B66DD" w:rsidRDefault="00E54548" w14:paraId="0E26E11D" w14:textId="77777777">
            <w:pPr>
              <w:pStyle w:val="ListParagraph"/>
              <w:ind w:left="0"/>
              <w:rPr>
                <w:b/>
              </w:rPr>
            </w:pPr>
            <w:r>
              <w:rPr>
                <w:b/>
              </w:rPr>
              <w:t>Esittelijä:</w:t>
            </w:r>
          </w:p>
        </w:tc>
        <w:tc>
          <w:tcPr>
            <w:tcW w:w="6096" w:type="dxa"/>
          </w:tcPr>
          <w:p w:rsidRPr="007E7A4F" w:rsidR="00E54548" w:rsidP="008B66DD" w:rsidRDefault="00E54548" w14:paraId="0496CE2F" w14:textId="77777777">
            <w:pPr>
              <w:pStyle w:val="ListParagraph"/>
              <w:ind w:left="-108"/>
            </w:pPr>
            <w:r>
              <w:t xml:space="preserve"> Thomas </w:t>
            </w:r>
            <w:proofErr w:type="spellStart"/>
            <w:r>
              <w:t>Wagnsonner</w:t>
            </w:r>
            <w:proofErr w:type="spellEnd"/>
            <w:r>
              <w:t xml:space="preserve"> (työntekijät – AT)</w:t>
            </w:r>
          </w:p>
        </w:tc>
      </w:tr>
      <w:tr w:rsidRPr="007E7A4F" w:rsidR="00E54548" w:rsidTr="008B66DD" w14:paraId="6F341EA6" w14:textId="77777777">
        <w:tc>
          <w:tcPr>
            <w:tcW w:w="7797" w:type="dxa"/>
            <w:gridSpan w:val="2"/>
          </w:tcPr>
          <w:p w:rsidRPr="007E7A4F" w:rsidR="00E54548" w:rsidP="008B66DD" w:rsidRDefault="00E54548" w14:paraId="03D721B0" w14:textId="77777777">
            <w:pPr>
              <w:pStyle w:val="ListParagraph"/>
              <w:ind w:left="0"/>
              <w:rPr>
                <w:lang w:val="fr-BE"/>
              </w:rPr>
            </w:pPr>
          </w:p>
        </w:tc>
      </w:tr>
      <w:tr w:rsidRPr="009B70E7" w:rsidR="00E54548" w:rsidTr="008B66DD" w14:paraId="7A103358" w14:textId="77777777">
        <w:tc>
          <w:tcPr>
            <w:tcW w:w="1701" w:type="dxa"/>
          </w:tcPr>
          <w:p w:rsidRPr="009B70E7" w:rsidR="00E54548" w:rsidP="008B66DD" w:rsidRDefault="00E54548" w14:paraId="3D88AB9C" w14:textId="77777777">
            <w:pPr>
              <w:pStyle w:val="ListParagraph"/>
              <w:ind w:left="0"/>
              <w:rPr>
                <w:b/>
              </w:rPr>
            </w:pPr>
            <w:r>
              <w:rPr>
                <w:b/>
              </w:rPr>
              <w:t xml:space="preserve">Viiteasiakirjat: </w:t>
            </w:r>
          </w:p>
        </w:tc>
        <w:tc>
          <w:tcPr>
            <w:tcW w:w="6096" w:type="dxa"/>
          </w:tcPr>
          <w:p w:rsidRPr="009B70E7" w:rsidR="00E54548" w:rsidP="008B66DD" w:rsidRDefault="00E54548" w14:paraId="3F2C4954" w14:textId="67A9BD8A">
            <w:pPr>
              <w:tabs>
                <w:tab w:val="center" w:pos="284"/>
              </w:tabs>
              <w:ind w:left="266" w:hanging="374"/>
            </w:pPr>
            <w:r>
              <w:t xml:space="preserve">COM(2022) 140 – 142 </w:t>
            </w:r>
            <w:proofErr w:type="spellStart"/>
            <w:r>
              <w:t>final</w:t>
            </w:r>
            <w:proofErr w:type="spellEnd"/>
          </w:p>
          <w:p w:rsidRPr="009B70E7" w:rsidR="00E54548" w:rsidP="008B66DD" w:rsidRDefault="00E54548" w14:paraId="2105E433" w14:textId="77777777">
            <w:pPr>
              <w:pStyle w:val="ListParagraph"/>
              <w:ind w:left="-108"/>
            </w:pPr>
            <w:r>
              <w:t>EESC-2022-00598-00-00-AC</w:t>
            </w:r>
          </w:p>
        </w:tc>
      </w:tr>
    </w:tbl>
    <w:p w:rsidRPr="009B70E7" w:rsidR="00E54548" w:rsidP="00E54548" w:rsidRDefault="00E54548" w14:paraId="5A8EA75C" w14:textId="77777777">
      <w:pPr>
        <w:pStyle w:val="ListParagraph"/>
        <w:ind w:left="0"/>
        <w:rPr>
          <w:b/>
        </w:rPr>
      </w:pPr>
    </w:p>
    <w:p w:rsidRPr="0018231C" w:rsidR="00E54548" w:rsidP="00E54548" w:rsidRDefault="00E54548" w14:paraId="2DB75FF2" w14:textId="535F1F3A">
      <w:pPr>
        <w:pStyle w:val="ListParagraph"/>
        <w:spacing w:line="240" w:lineRule="auto"/>
        <w:ind w:left="-142" w:firstLine="142"/>
        <w:rPr>
          <w:b/>
        </w:rPr>
      </w:pPr>
      <w:r>
        <w:rPr>
          <w:b/>
        </w:rPr>
        <w:t>Keskeiset kohdat</w:t>
      </w:r>
    </w:p>
    <w:p w:rsidRPr="0018231C" w:rsidR="00E54548" w:rsidP="00E54548" w:rsidRDefault="00E54548" w14:paraId="6EE8937D" w14:textId="77777777">
      <w:pPr>
        <w:pStyle w:val="ListParagraph"/>
        <w:ind w:left="0"/>
        <w:rPr>
          <w:lang w:val="fr-FR"/>
        </w:rPr>
      </w:pPr>
    </w:p>
    <w:p w:rsidR="00E54548" w:rsidP="00E54548" w:rsidRDefault="00E54548" w14:paraId="6B6F14AC" w14:textId="77777777">
      <w:pPr>
        <w:pStyle w:val="ListParagraph"/>
        <w:ind w:left="0"/>
      </w:pPr>
      <w:r>
        <w:t>ETSK</w:t>
      </w:r>
    </w:p>
    <w:p w:rsidRPr="0018231C" w:rsidR="00E54548" w:rsidP="00E54548" w:rsidRDefault="00E54548" w14:paraId="1F790AD7" w14:textId="77777777">
      <w:pPr>
        <w:pStyle w:val="ListParagraph"/>
        <w:ind w:left="0"/>
        <w:rPr>
          <w:lang w:val="fr-FR"/>
        </w:rPr>
      </w:pPr>
    </w:p>
    <w:p w:rsidRPr="00A74B4C" w:rsidR="00E54548" w:rsidP="00E54548" w:rsidRDefault="00C44A5C" w14:paraId="01A1936E" w14:textId="77777777">
      <w:pPr>
        <w:numPr>
          <w:ilvl w:val="0"/>
          <w:numId w:val="3"/>
        </w:numPr>
        <w:overflowPunct w:val="0"/>
        <w:autoSpaceDE w:val="0"/>
        <w:autoSpaceDN w:val="0"/>
        <w:adjustRightInd w:val="0"/>
        <w:ind w:left="357" w:hanging="357"/>
        <w:textAlignment w:val="baseline"/>
        <w:rPr>
          <w:bCs/>
          <w:iCs/>
        </w:rPr>
      </w:pPr>
      <w:r>
        <w:t xml:space="preserve">suhtautuu myönteisesti kiertotalouden toimintasuunnitelman puitteissa esitettyihin yhdenmukaistettuihin ehdotuksiin ja </w:t>
      </w:r>
      <w:r>
        <w:rPr>
          <w:b/>
        </w:rPr>
        <w:t>tukee</w:t>
      </w:r>
      <w:r>
        <w:t xml:space="preserve"> tässä lausunnossa erityisesti </w:t>
      </w:r>
      <w:r>
        <w:rPr>
          <w:b/>
        </w:rPr>
        <w:t>pyrkimyksiä tehdä tuotteista kestäväpohjaisempia</w:t>
      </w:r>
      <w:r>
        <w:t>, mutta huomauttaa, että ehdotus uudeksi ekosuunnitteluasetukseksi jää delegoitujen säädösten runsaan määrän vuoksi vielä suurelta osin epämääräiseksi.</w:t>
      </w:r>
    </w:p>
    <w:p w:rsidRPr="00A3344B" w:rsidR="00E54548" w:rsidP="00E54548" w:rsidRDefault="00C44A5C" w14:paraId="2EA194B7" w14:textId="77777777">
      <w:pPr>
        <w:numPr>
          <w:ilvl w:val="0"/>
          <w:numId w:val="3"/>
        </w:numPr>
        <w:overflowPunct w:val="0"/>
        <w:autoSpaceDE w:val="0"/>
        <w:autoSpaceDN w:val="0"/>
        <w:adjustRightInd w:val="0"/>
        <w:ind w:left="357" w:hanging="357"/>
        <w:textAlignment w:val="baseline"/>
      </w:pPr>
      <w:r>
        <w:t xml:space="preserve">ehdottaa </w:t>
      </w:r>
      <w:r>
        <w:rPr>
          <w:b/>
        </w:rPr>
        <w:t>ripeämpää ja kunnianhimoisempaa täytäntöönpanoa</w:t>
      </w:r>
      <w:r>
        <w:t xml:space="preserve"> mutta kiinnittää huomiota erityisesti siihen, että esitetty kiertotalousmalli voi onnistua vain, jos kaikki talouden toimijat – tuottajat, kuluttajat ja työntekijät – sekä viranomaiset ovat siinä kunnolla mukana ja saavat asianmukaisesti tietoa.</w:t>
      </w:r>
    </w:p>
    <w:p w:rsidRPr="00A3344B" w:rsidR="00E54548" w:rsidP="00E54548" w:rsidRDefault="00C44A5C" w14:paraId="07D2FB57" w14:textId="77777777">
      <w:pPr>
        <w:numPr>
          <w:ilvl w:val="0"/>
          <w:numId w:val="3"/>
        </w:numPr>
        <w:overflowPunct w:val="0"/>
        <w:autoSpaceDE w:val="0"/>
        <w:autoSpaceDN w:val="0"/>
        <w:adjustRightInd w:val="0"/>
        <w:ind w:left="357" w:hanging="357"/>
        <w:textAlignment w:val="baseline"/>
      </w:pPr>
      <w:r>
        <w:t xml:space="preserve">suhtautuu myönteisesti asetuksen uusiin elementteihin, kuten </w:t>
      </w:r>
      <w:r>
        <w:rPr>
          <w:b/>
        </w:rPr>
        <w:t>soveltamisalan laajentamiseen</w:t>
      </w:r>
      <w:r>
        <w:t xml:space="preserve">, ekosuunnittelulle asetettaviin uusiin vaatimuksiin (kestävyys, korjattavuus, kierrätys, ympäristövaikutukset, hiilidioksidipäästöt jne.) sekä </w:t>
      </w:r>
      <w:r>
        <w:rPr>
          <w:b/>
        </w:rPr>
        <w:t>digitaalisen tuotepassin ja merkkien mukanaan tuomiin tietovaatimuksiin</w:t>
      </w:r>
      <w:r>
        <w:t>, ja korostaa paikkansapitävän ja tarkoituksenmukaisen tiedon merkitystä erityisesti kuluttajien kannalta.</w:t>
      </w:r>
    </w:p>
    <w:p w:rsidRPr="00A3344B" w:rsidR="00E54548" w:rsidP="00E54548" w:rsidRDefault="00C44A5C" w14:paraId="4400E2D4" w14:textId="77777777">
      <w:pPr>
        <w:numPr>
          <w:ilvl w:val="0"/>
          <w:numId w:val="3"/>
        </w:numPr>
        <w:overflowPunct w:val="0"/>
        <w:autoSpaceDE w:val="0"/>
        <w:autoSpaceDN w:val="0"/>
        <w:adjustRightInd w:val="0"/>
        <w:ind w:left="357" w:hanging="357"/>
        <w:textAlignment w:val="baseline"/>
      </w:pPr>
      <w:r>
        <w:rPr>
          <w:b/>
        </w:rPr>
        <w:t>kannattaa myymättä jääneiden tuotteiden hävittämisen kieltämistä</w:t>
      </w:r>
      <w:r>
        <w:t>, kun on kyse uusista, palautetuista tai korjattavissa olevista tuotteista. Lisäksi komitea on tyytyväinen siihen, että asetuksella ja kiertotalouspaketilla puututaan sellaisiin ongelmiin kuin viherpesu ja ennenaikainen vanheneminen.</w:t>
      </w:r>
    </w:p>
    <w:p w:rsidRPr="00A3344B" w:rsidR="00E54548" w:rsidP="00E54548" w:rsidRDefault="00C44A5C" w14:paraId="710AB345" w14:textId="77777777">
      <w:pPr>
        <w:numPr>
          <w:ilvl w:val="0"/>
          <w:numId w:val="3"/>
        </w:numPr>
        <w:overflowPunct w:val="0"/>
        <w:autoSpaceDE w:val="0"/>
        <w:autoSpaceDN w:val="0"/>
        <w:adjustRightInd w:val="0"/>
        <w:ind w:left="357" w:hanging="357"/>
        <w:textAlignment w:val="baseline"/>
      </w:pPr>
      <w:r>
        <w:t xml:space="preserve">kannattaa </w:t>
      </w:r>
      <w:r>
        <w:rPr>
          <w:b/>
        </w:rPr>
        <w:t>ekologisen suunnittelun foorumia</w:t>
      </w:r>
      <w:r>
        <w:t>, joka on tukea antava elin, jolla on monia asetuksen täytäntöönpanoon liittyviä tehtäviä. Foorumissa olisi annettava kaikille sidosryhmille ja kansalaisyhteiskunnan edustajille, myös työmarkkinaosapuolille, mahdollisuus esittää ideoita ja ehdotuksia prosessin parantamiseksi.</w:t>
      </w:r>
    </w:p>
    <w:p w:rsidR="00E54548" w:rsidP="00E54548" w:rsidRDefault="00C44A5C" w14:paraId="428C54E7" w14:textId="77777777">
      <w:pPr>
        <w:numPr>
          <w:ilvl w:val="0"/>
          <w:numId w:val="3"/>
        </w:numPr>
        <w:overflowPunct w:val="0"/>
        <w:autoSpaceDE w:val="0"/>
        <w:autoSpaceDN w:val="0"/>
        <w:adjustRightInd w:val="0"/>
        <w:ind w:left="357" w:hanging="357"/>
        <w:textAlignment w:val="baseline"/>
      </w:pPr>
      <w:r>
        <w:t xml:space="preserve">on tietoinen </w:t>
      </w:r>
      <w:r>
        <w:rPr>
          <w:b/>
        </w:rPr>
        <w:t>tuottajille ja yrityksille</w:t>
      </w:r>
      <w:r>
        <w:t xml:space="preserve">, erityisesti pk-yrityksille, </w:t>
      </w:r>
      <w:r>
        <w:rPr>
          <w:b/>
        </w:rPr>
        <w:t>aiheutuvista haasteista</w:t>
      </w:r>
      <w:r>
        <w:t>, mutta tarpeettomia hallinnollisia rasitteita on joka tapauksessa vältettävä. Komitea katsoo myös, että kestävyysperiaatteiden mukaisten tuotevaatimusten avulla on mahdollista saada aikaan uusi eurooppalainen tuotantolaatustandardi ”Made in Europe”.</w:t>
      </w:r>
    </w:p>
    <w:p w:rsidRPr="00C44A5C" w:rsidR="00C44A5C" w:rsidP="00E54548" w:rsidRDefault="00C44A5C" w14:paraId="1CA1FF0E" w14:textId="77777777">
      <w:pPr>
        <w:numPr>
          <w:ilvl w:val="0"/>
          <w:numId w:val="3"/>
        </w:numPr>
        <w:overflowPunct w:val="0"/>
        <w:autoSpaceDE w:val="0"/>
        <w:autoSpaceDN w:val="0"/>
        <w:adjustRightInd w:val="0"/>
        <w:ind w:left="357" w:hanging="357"/>
        <w:textAlignment w:val="baseline"/>
      </w:pPr>
      <w:r>
        <w:t xml:space="preserve">korostaa, että vaatimustenmukaisuusvakuutuksen ja itsesääntelyn välineet jättävät </w:t>
      </w:r>
      <w:r>
        <w:rPr>
          <w:b/>
        </w:rPr>
        <w:t>yrityksille liikkumavaraa</w:t>
      </w:r>
      <w:r>
        <w:t>.</w:t>
      </w:r>
    </w:p>
    <w:p w:rsidRPr="007E7A4F" w:rsidR="00C44A5C" w:rsidP="00E54548" w:rsidRDefault="00C44A5C" w14:paraId="0DC28D76" w14:textId="77777777">
      <w:pPr>
        <w:numPr>
          <w:ilvl w:val="0"/>
          <w:numId w:val="3"/>
        </w:numPr>
        <w:overflowPunct w:val="0"/>
        <w:autoSpaceDE w:val="0"/>
        <w:autoSpaceDN w:val="0"/>
        <w:adjustRightInd w:val="0"/>
        <w:ind w:left="357" w:hanging="357"/>
        <w:textAlignment w:val="baseline"/>
      </w:pPr>
      <w:r>
        <w:t xml:space="preserve">pitää valitettavana, että </w:t>
      </w:r>
      <w:r>
        <w:rPr>
          <w:b/>
        </w:rPr>
        <w:t>asetus ei kata sosiaalisia näkökohtia</w:t>
      </w:r>
      <w:r>
        <w:t>. Viittaus komission ehdotukseen yritysten huolellisuusvelvoitetta koskevaksi direktiiviksi ei vaikuta riittävältä.</w:t>
      </w:r>
    </w:p>
    <w:p w:rsidRPr="007E7A4F" w:rsidR="00E54548" w:rsidP="00E54548" w:rsidRDefault="00E54548" w14:paraId="7BB9A561" w14:textId="77777777">
      <w:pPr>
        <w:widowControl w:val="0"/>
        <w:overflowPunct w:val="0"/>
        <w:autoSpaceDE w:val="0"/>
        <w:autoSpaceDN w:val="0"/>
        <w:adjustRightInd w:val="0"/>
        <w:textAlignment w:val="baseline"/>
      </w:pPr>
    </w:p>
    <w:tbl>
      <w:tblPr>
        <w:tblStyle w:val="TableGrid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56"/>
        <w:gridCol w:w="5670"/>
      </w:tblGrid>
      <w:tr w:rsidRPr="00164813" w:rsidR="00E54548" w:rsidTr="008B66DD" w14:paraId="25A3FF7E" w14:textId="77777777">
        <w:tc>
          <w:tcPr>
            <w:tcW w:w="1418" w:type="dxa"/>
          </w:tcPr>
          <w:p w:rsidRPr="00164813" w:rsidR="00E54548" w:rsidP="008B66DD" w:rsidRDefault="00E54548" w14:paraId="1C0A7F50" w14:textId="77777777">
            <w:pPr>
              <w:contextualSpacing/>
              <w:rPr>
                <w:i/>
              </w:rPr>
            </w:pPr>
            <w:r>
              <w:rPr>
                <w:b/>
                <w:i/>
              </w:rPr>
              <w:t>Yhteydenotot:</w:t>
            </w:r>
          </w:p>
        </w:tc>
        <w:tc>
          <w:tcPr>
            <w:tcW w:w="5670" w:type="dxa"/>
          </w:tcPr>
          <w:p w:rsidRPr="00164813" w:rsidR="00E54548" w:rsidP="008B66DD" w:rsidRDefault="00E54548" w14:paraId="59C2EA51" w14:textId="77777777">
            <w:pPr>
              <w:contextualSpacing/>
              <w:rPr>
                <w:i/>
              </w:rPr>
            </w:pPr>
            <w:r>
              <w:rPr>
                <w:i/>
              </w:rPr>
              <w:t xml:space="preserve">Caroline </w:t>
            </w:r>
            <w:proofErr w:type="spellStart"/>
            <w:r>
              <w:rPr>
                <w:i/>
              </w:rPr>
              <w:t>Verhelst</w:t>
            </w:r>
            <w:proofErr w:type="spellEnd"/>
          </w:p>
        </w:tc>
      </w:tr>
      <w:tr w:rsidRPr="00164813" w:rsidR="00E54548" w:rsidTr="008B66DD" w14:paraId="50BF4889" w14:textId="77777777">
        <w:tc>
          <w:tcPr>
            <w:tcW w:w="1418" w:type="dxa"/>
          </w:tcPr>
          <w:p w:rsidRPr="00164813" w:rsidR="00E54548" w:rsidP="008B66DD" w:rsidRDefault="00E54548" w14:paraId="1F8D44FD" w14:textId="77777777">
            <w:pPr>
              <w:ind w:left="601"/>
              <w:contextualSpacing/>
              <w:rPr>
                <w:i/>
              </w:rPr>
            </w:pPr>
            <w:r>
              <w:rPr>
                <w:i/>
              </w:rPr>
              <w:t>P.</w:t>
            </w:r>
          </w:p>
        </w:tc>
        <w:tc>
          <w:tcPr>
            <w:tcW w:w="5670" w:type="dxa"/>
          </w:tcPr>
          <w:p w:rsidRPr="00164813" w:rsidR="00E54548" w:rsidP="008B66DD" w:rsidRDefault="00E54548" w14:paraId="099C6AF1" w14:textId="77777777">
            <w:pPr>
              <w:contextualSpacing/>
              <w:rPr>
                <w:i/>
              </w:rPr>
            </w:pPr>
            <w:r>
              <w:rPr>
                <w:i/>
              </w:rPr>
              <w:t>+32 25469497</w:t>
            </w:r>
          </w:p>
        </w:tc>
      </w:tr>
      <w:tr w:rsidRPr="00164813" w:rsidR="00E54548" w:rsidTr="008B66DD" w14:paraId="735920C0" w14:textId="77777777">
        <w:tc>
          <w:tcPr>
            <w:tcW w:w="1418" w:type="dxa"/>
          </w:tcPr>
          <w:p w:rsidRPr="00164813" w:rsidR="00E54548" w:rsidP="008B66DD" w:rsidRDefault="00E54548" w14:paraId="554E9752" w14:textId="77777777">
            <w:pPr>
              <w:ind w:left="601"/>
              <w:contextualSpacing/>
              <w:rPr>
                <w:i/>
              </w:rPr>
            </w:pPr>
            <w:r>
              <w:rPr>
                <w:i/>
              </w:rPr>
              <w:t>Sähköposti:</w:t>
            </w:r>
          </w:p>
        </w:tc>
        <w:tc>
          <w:tcPr>
            <w:tcW w:w="5670" w:type="dxa"/>
          </w:tcPr>
          <w:p w:rsidRPr="00164813" w:rsidR="00E54548" w:rsidP="00910972" w:rsidRDefault="00216BAA" w14:paraId="57D07659" w14:textId="10CBCC61">
            <w:pPr>
              <w:contextualSpacing/>
              <w:rPr>
                <w:i/>
              </w:rPr>
            </w:pPr>
            <w:hyperlink w:history="1" r:id="rId36">
              <w:r w:rsidR="00EB3BD7">
                <w:rPr>
                  <w:rStyle w:val="Hyperlink"/>
                </w:rPr>
                <w:t xml:space="preserve"> Caroline.Verhelst@eesc.europa.eu</w:t>
              </w:r>
            </w:hyperlink>
          </w:p>
        </w:tc>
      </w:tr>
    </w:tbl>
    <w:p w:rsidR="00F2127E" w:rsidRDefault="00F2127E" w14:paraId="287BC97F" w14:textId="77777777">
      <w:pPr>
        <w:spacing w:after="160" w:line="259" w:lineRule="auto"/>
        <w:jc w:val="left"/>
        <w:rPr>
          <w:sz w:val="28"/>
          <w:szCs w:val="16"/>
        </w:rPr>
      </w:pPr>
      <w:r>
        <w:br w:type="page"/>
      </w:r>
    </w:p>
    <w:p w:rsidRPr="007E7A4F" w:rsidR="008B66DD" w:rsidP="008B66DD" w:rsidRDefault="008B66DD" w14:paraId="6941BE74" w14:textId="77777777">
      <w:pPr>
        <w:pStyle w:val="ListParagraph"/>
        <w:keepNext/>
        <w:keepLines/>
        <w:numPr>
          <w:ilvl w:val="0"/>
          <w:numId w:val="2"/>
        </w:numPr>
        <w:ind w:left="567" w:hanging="567"/>
        <w:rPr>
          <w:b/>
          <w:i/>
          <w:sz w:val="28"/>
          <w:szCs w:val="28"/>
        </w:rPr>
      </w:pPr>
      <w:r>
        <w:rPr>
          <w:b/>
          <w:i/>
          <w:sz w:val="28"/>
        </w:rPr>
        <w:lastRenderedPageBreak/>
        <w:t>Teollisuuden päästödirektiivin ja E-PRTR-rekisteristä annetun asetuksen tarkistus</w:t>
      </w:r>
    </w:p>
    <w:p w:rsidRPr="009B70E7" w:rsidR="008B66DD" w:rsidP="008B66DD" w:rsidRDefault="008B66DD" w14:paraId="1A34547D" w14:textId="77777777">
      <w:pPr>
        <w:pStyle w:val="ListParagraph"/>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6096"/>
      </w:tblGrid>
      <w:tr w:rsidRPr="007E7A4F" w:rsidR="008B66DD" w:rsidTr="008B66DD" w14:paraId="0140FF97" w14:textId="77777777">
        <w:tc>
          <w:tcPr>
            <w:tcW w:w="1701" w:type="dxa"/>
          </w:tcPr>
          <w:p w:rsidRPr="009B70E7" w:rsidR="008B66DD" w:rsidP="008B66DD" w:rsidRDefault="008B66DD" w14:paraId="649A0BE9" w14:textId="77777777">
            <w:pPr>
              <w:pStyle w:val="ListParagraph"/>
              <w:ind w:left="0"/>
              <w:rPr>
                <w:b/>
              </w:rPr>
            </w:pPr>
            <w:r>
              <w:rPr>
                <w:b/>
              </w:rPr>
              <w:t>Esittelijä:</w:t>
            </w:r>
          </w:p>
        </w:tc>
        <w:tc>
          <w:tcPr>
            <w:tcW w:w="6096" w:type="dxa"/>
          </w:tcPr>
          <w:p w:rsidRPr="007E7A4F" w:rsidR="008B66DD" w:rsidP="008B66DD" w:rsidRDefault="008B66DD" w14:paraId="04C7D4F2" w14:textId="77777777">
            <w:pPr>
              <w:pStyle w:val="ListParagraph"/>
              <w:ind w:left="-108"/>
            </w:pPr>
            <w:proofErr w:type="spellStart"/>
            <w:r>
              <w:t>Stoyan</w:t>
            </w:r>
            <w:proofErr w:type="spellEnd"/>
            <w:r>
              <w:t xml:space="preserve"> </w:t>
            </w:r>
            <w:proofErr w:type="spellStart"/>
            <w:r>
              <w:t>Tchoukanov</w:t>
            </w:r>
            <w:proofErr w:type="spellEnd"/>
            <w:r>
              <w:t xml:space="preserve"> (kansalaisyhteiskunnan organisaatiot – BG)</w:t>
            </w:r>
          </w:p>
        </w:tc>
      </w:tr>
      <w:tr w:rsidRPr="007E7A4F" w:rsidR="008B66DD" w:rsidTr="008B66DD" w14:paraId="6E75EC44" w14:textId="77777777">
        <w:tc>
          <w:tcPr>
            <w:tcW w:w="7797" w:type="dxa"/>
            <w:gridSpan w:val="2"/>
          </w:tcPr>
          <w:p w:rsidRPr="007E7A4F" w:rsidR="008B66DD" w:rsidP="008B66DD" w:rsidRDefault="008B66DD" w14:paraId="3599F5C2" w14:textId="77777777">
            <w:pPr>
              <w:pStyle w:val="ListParagraph"/>
              <w:ind w:left="0"/>
              <w:rPr>
                <w:lang w:val="fr-BE"/>
              </w:rPr>
            </w:pPr>
          </w:p>
        </w:tc>
      </w:tr>
      <w:tr w:rsidRPr="009B70E7" w:rsidR="008B66DD" w:rsidTr="008B66DD" w14:paraId="35CD3693" w14:textId="77777777">
        <w:tc>
          <w:tcPr>
            <w:tcW w:w="1701" w:type="dxa"/>
          </w:tcPr>
          <w:p w:rsidRPr="009B70E7" w:rsidR="008B66DD" w:rsidP="008B66DD" w:rsidRDefault="008B66DD" w14:paraId="3CF5DB5F" w14:textId="77777777">
            <w:pPr>
              <w:pStyle w:val="ListParagraph"/>
              <w:ind w:left="0"/>
              <w:rPr>
                <w:b/>
              </w:rPr>
            </w:pPr>
            <w:r>
              <w:rPr>
                <w:b/>
              </w:rPr>
              <w:t xml:space="preserve">Viiteasiakirjat: </w:t>
            </w:r>
          </w:p>
        </w:tc>
        <w:tc>
          <w:tcPr>
            <w:tcW w:w="6096" w:type="dxa"/>
          </w:tcPr>
          <w:p w:rsidRPr="009B70E7" w:rsidR="008B66DD" w:rsidP="008B66DD" w:rsidRDefault="008B66DD" w14:paraId="3EEDB04A" w14:textId="0C268394">
            <w:pPr>
              <w:tabs>
                <w:tab w:val="center" w:pos="284"/>
              </w:tabs>
              <w:ind w:left="266" w:hanging="374"/>
            </w:pPr>
            <w:r>
              <w:t xml:space="preserve">COM(2022) 156 – 157 </w:t>
            </w:r>
            <w:proofErr w:type="spellStart"/>
            <w:r>
              <w:t>final</w:t>
            </w:r>
            <w:proofErr w:type="spellEnd"/>
          </w:p>
          <w:p w:rsidRPr="009B70E7" w:rsidR="008B66DD" w:rsidP="008B66DD" w:rsidRDefault="008B66DD" w14:paraId="3F90EC7C" w14:textId="77777777">
            <w:pPr>
              <w:pStyle w:val="ListParagraph"/>
              <w:ind w:left="-108"/>
            </w:pPr>
            <w:r>
              <w:t>EESC-2022-02403-00-00-AC</w:t>
            </w:r>
          </w:p>
        </w:tc>
      </w:tr>
    </w:tbl>
    <w:p w:rsidRPr="009B70E7" w:rsidR="008B66DD" w:rsidP="008B66DD" w:rsidRDefault="008B66DD" w14:paraId="1CB383F7" w14:textId="77777777">
      <w:pPr>
        <w:pStyle w:val="ListParagraph"/>
        <w:ind w:left="0"/>
        <w:rPr>
          <w:b/>
        </w:rPr>
      </w:pPr>
    </w:p>
    <w:p w:rsidRPr="0018231C" w:rsidR="008B66DD" w:rsidP="008B66DD" w:rsidRDefault="008B66DD" w14:paraId="2DDA570D" w14:textId="6E2E4A4A">
      <w:pPr>
        <w:pStyle w:val="ListParagraph"/>
        <w:spacing w:line="240" w:lineRule="auto"/>
        <w:ind w:left="-142" w:firstLine="142"/>
        <w:rPr>
          <w:b/>
        </w:rPr>
      </w:pPr>
      <w:r>
        <w:rPr>
          <w:b/>
        </w:rPr>
        <w:t>Keskeiset kohdat</w:t>
      </w:r>
    </w:p>
    <w:p w:rsidRPr="0018231C" w:rsidR="008B66DD" w:rsidP="008B66DD" w:rsidRDefault="008B66DD" w14:paraId="2C4A49AB" w14:textId="77777777">
      <w:pPr>
        <w:pStyle w:val="ListParagraph"/>
        <w:ind w:left="0"/>
        <w:rPr>
          <w:lang w:val="fr-FR"/>
        </w:rPr>
      </w:pPr>
    </w:p>
    <w:p w:rsidR="008B66DD" w:rsidP="008B66DD" w:rsidRDefault="008B66DD" w14:paraId="38F8E496" w14:textId="77777777">
      <w:pPr>
        <w:pStyle w:val="ListParagraph"/>
        <w:ind w:left="0"/>
      </w:pPr>
      <w:r>
        <w:t>ETSK</w:t>
      </w:r>
    </w:p>
    <w:p w:rsidRPr="0018231C" w:rsidR="008B66DD" w:rsidP="008B66DD" w:rsidRDefault="008B66DD" w14:paraId="3F662290" w14:textId="77777777">
      <w:pPr>
        <w:pStyle w:val="ListParagraph"/>
        <w:ind w:left="0"/>
        <w:rPr>
          <w:lang w:val="fr-FR"/>
        </w:rPr>
      </w:pPr>
    </w:p>
    <w:p w:rsidRPr="008B66DD" w:rsidR="008B66DD" w:rsidP="008B66DD" w:rsidRDefault="008B66DD" w14:paraId="4C48C082" w14:textId="77777777">
      <w:pPr>
        <w:numPr>
          <w:ilvl w:val="0"/>
          <w:numId w:val="3"/>
        </w:numPr>
        <w:overflowPunct w:val="0"/>
        <w:autoSpaceDE w:val="0"/>
        <w:autoSpaceDN w:val="0"/>
        <w:adjustRightInd w:val="0"/>
        <w:ind w:left="357" w:hanging="357"/>
        <w:textAlignment w:val="baseline"/>
        <w:rPr>
          <w:bCs/>
          <w:iCs/>
        </w:rPr>
      </w:pPr>
      <w:r>
        <w:t xml:space="preserve">on samaa mieltä siitä, että </w:t>
      </w:r>
      <w:r>
        <w:rPr>
          <w:b/>
        </w:rPr>
        <w:t>teollisuuden päästödirektiivi</w:t>
      </w:r>
      <w:r>
        <w:t xml:space="preserve"> on johdonmukainen poliittinen lähestymistapa </w:t>
      </w:r>
      <w:r>
        <w:rPr>
          <w:b/>
        </w:rPr>
        <w:t>ekosysteemien ja ihmisten terveyden suojeluun</w:t>
      </w:r>
      <w:r>
        <w:t>, sillä se kattaa kaikki merkittävimmät maatalous- ja teollisuuslaitosten potentiaaliset pilaavat aineet integroidusti ja alakohtaisesti.</w:t>
      </w:r>
    </w:p>
    <w:p w:rsidRPr="00A74B4C" w:rsidR="008B66DD" w:rsidP="008B66DD" w:rsidRDefault="008B66DD" w14:paraId="1E0E1F09" w14:textId="77777777">
      <w:pPr>
        <w:numPr>
          <w:ilvl w:val="0"/>
          <w:numId w:val="3"/>
        </w:numPr>
        <w:overflowPunct w:val="0"/>
        <w:autoSpaceDE w:val="0"/>
        <w:autoSpaceDN w:val="0"/>
        <w:adjustRightInd w:val="0"/>
        <w:ind w:left="357" w:hanging="357"/>
        <w:textAlignment w:val="baseline"/>
        <w:rPr>
          <w:bCs/>
          <w:iCs/>
        </w:rPr>
      </w:pPr>
      <w:r>
        <w:t xml:space="preserve">korostaa, että teollisuuden päästödirektiivin tarkistamisella pyritään edistämään teollisuuden syvälle ulottuvaa muutosta, jotta voidaan </w:t>
      </w:r>
      <w:r>
        <w:rPr>
          <w:b/>
        </w:rPr>
        <w:t>luoda puhdas ympäristö, joka parantaa ihmisten terveyttä ja tukee Euroopan vihreän kehityksen ohjelman saasteettomuustavoitetta</w:t>
      </w:r>
      <w:r>
        <w:t>.</w:t>
      </w:r>
    </w:p>
    <w:p w:rsidR="008B66DD" w:rsidP="008B66DD" w:rsidRDefault="008B66DD" w14:paraId="1EC94DA6" w14:textId="77777777">
      <w:pPr>
        <w:numPr>
          <w:ilvl w:val="0"/>
          <w:numId w:val="3"/>
        </w:numPr>
        <w:overflowPunct w:val="0"/>
        <w:autoSpaceDE w:val="0"/>
        <w:autoSpaceDN w:val="0"/>
        <w:adjustRightInd w:val="0"/>
        <w:ind w:left="357" w:hanging="357"/>
        <w:textAlignment w:val="baseline"/>
      </w:pPr>
      <w:r>
        <w:t>panee merkille, että teollisuuden päästödirektiiviä ei ole saatettu johdonmukaisesti osaksi kaikkien jäsenvaltioiden lainsäädäntöä, mikä heikentää sen tavoitteita.</w:t>
      </w:r>
    </w:p>
    <w:p w:rsidR="008B66DD" w:rsidP="008B66DD" w:rsidRDefault="008B66DD" w14:paraId="2BB4A7AE" w14:textId="77777777">
      <w:pPr>
        <w:numPr>
          <w:ilvl w:val="0"/>
          <w:numId w:val="3"/>
        </w:numPr>
        <w:overflowPunct w:val="0"/>
        <w:autoSpaceDE w:val="0"/>
        <w:autoSpaceDN w:val="0"/>
        <w:adjustRightInd w:val="0"/>
        <w:ind w:left="357" w:hanging="357"/>
        <w:textAlignment w:val="baseline"/>
      </w:pPr>
      <w:r>
        <w:t xml:space="preserve">on Euroopan tilintarkastustuomioistuimen kanssa yhtä mieltä siitä, että </w:t>
      </w:r>
      <w:r>
        <w:rPr>
          <w:b/>
        </w:rPr>
        <w:t xml:space="preserve">saastuttaja maksaa </w:t>
      </w:r>
      <w:r>
        <w:rPr>
          <w:b/>
        </w:rPr>
        <w:noBreakHyphen/>
        <w:t>periaate</w:t>
      </w:r>
      <w:r>
        <w:t xml:space="preserve"> olisi määriteltävä selkeästi. Taloudellisten kustannusten ja yhteiskunnallisten hyötyjen punnitsemisen lisäksi olisi avoimuuden ja kattavuuden nimissä analysoitava myös indikaattoreita, joilla mitataan toisaalta yhteiskunnallisten kustannusten sekä toisaalta yhteiskunnallisten ja ympäristöhyötyjen suhdetta.</w:t>
      </w:r>
    </w:p>
    <w:p w:rsidR="008B66DD" w:rsidP="008B66DD" w:rsidRDefault="008B66DD" w14:paraId="4C9197E6" w14:textId="77777777">
      <w:pPr>
        <w:numPr>
          <w:ilvl w:val="0"/>
          <w:numId w:val="3"/>
        </w:numPr>
        <w:overflowPunct w:val="0"/>
        <w:autoSpaceDE w:val="0"/>
        <w:autoSpaceDN w:val="0"/>
        <w:adjustRightInd w:val="0"/>
        <w:ind w:left="357" w:hanging="357"/>
        <w:textAlignment w:val="baseline"/>
      </w:pPr>
      <w:r>
        <w:t xml:space="preserve">korostaa </w:t>
      </w:r>
      <w:r>
        <w:rPr>
          <w:b/>
        </w:rPr>
        <w:t>Euroopan vihreän kehityksen ohjelmassa</w:t>
      </w:r>
      <w:r>
        <w:t xml:space="preserve"> asetettua tavoitetta toteuttaa uusia toimenpiteitä suurlaitosten aiheuttaman ympäristön pilaantumisen suhteen </w:t>
      </w:r>
      <w:r>
        <w:rPr>
          <w:b/>
        </w:rPr>
        <w:t>saattamalla ajan tasalle teollisuuden päästöjä koskevat EU:n säännöt, jotka on vahvistettu EU:n tärkeimmässä välineessä teollisuuslaitosten tuottamien saastepäästöjen sääntelemiseksi</w:t>
      </w:r>
      <w:r>
        <w:t xml:space="preserve">, </w:t>
      </w:r>
      <w:r>
        <w:rPr>
          <w:b/>
        </w:rPr>
        <w:t>sekä edistää useita kestävän kehityksen tavoitteita</w:t>
      </w:r>
      <w:r>
        <w:t>.</w:t>
      </w:r>
    </w:p>
    <w:p w:rsidR="008B66DD" w:rsidP="008B66DD" w:rsidRDefault="00C25DB3" w14:paraId="087D3CA8" w14:textId="77777777">
      <w:pPr>
        <w:numPr>
          <w:ilvl w:val="0"/>
          <w:numId w:val="3"/>
        </w:numPr>
        <w:overflowPunct w:val="0"/>
        <w:autoSpaceDE w:val="0"/>
        <w:autoSpaceDN w:val="0"/>
        <w:adjustRightInd w:val="0"/>
        <w:ind w:left="357" w:hanging="357"/>
        <w:textAlignment w:val="baseline"/>
      </w:pPr>
      <w:r>
        <w:t xml:space="preserve">ehdottaa, että selvitetään tarkemmin teollisuuden päästödirektiivin vaikutukset eri aloihin, sillä erilaiset tilanteet eli se, miten </w:t>
      </w:r>
      <w:r>
        <w:rPr>
          <w:b/>
        </w:rPr>
        <w:t>teollisuuden päästödirektiivin täytäntöönpano vaikuttaa maatalouden ja teollisuuden eri aloihin</w:t>
      </w:r>
      <w:r>
        <w:t>, on otettava huomioon.</w:t>
      </w:r>
    </w:p>
    <w:p w:rsidRPr="007E7A4F" w:rsidR="008B66DD" w:rsidP="008B66DD" w:rsidRDefault="008B66DD" w14:paraId="478CB44D" w14:textId="77777777">
      <w:pPr>
        <w:numPr>
          <w:ilvl w:val="0"/>
          <w:numId w:val="3"/>
        </w:numPr>
        <w:overflowPunct w:val="0"/>
        <w:autoSpaceDE w:val="0"/>
        <w:autoSpaceDN w:val="0"/>
        <w:adjustRightInd w:val="0"/>
        <w:ind w:left="357" w:hanging="357"/>
        <w:textAlignment w:val="baseline"/>
      </w:pPr>
      <w:r>
        <w:t xml:space="preserve">kannattaa ehdotusta perustaa teollisuuspäästöportaali, josta </w:t>
      </w:r>
      <w:r>
        <w:rPr>
          <w:b/>
        </w:rPr>
        <w:t>EU:n kansalaiset saavat ympäristötietoa ja siten mahdollisuuden osallistua</w:t>
      </w:r>
      <w:r>
        <w:t xml:space="preserve"> </w:t>
      </w:r>
      <w:r>
        <w:rPr>
          <w:b/>
        </w:rPr>
        <w:t>valveutuneesti</w:t>
      </w:r>
      <w:r>
        <w:t xml:space="preserve"> EU:n suurimpia maatalous- ja teollisuustoimintoja </w:t>
      </w:r>
      <w:r>
        <w:rPr>
          <w:b/>
        </w:rPr>
        <w:t>koskevien päätösten tekoon ympäristöalalla</w:t>
      </w:r>
      <w:r>
        <w:t>.</w:t>
      </w:r>
    </w:p>
    <w:p w:rsidRPr="007E7A4F" w:rsidR="008B66DD" w:rsidP="008B66DD" w:rsidRDefault="008B66DD" w14:paraId="7BEDBB72" w14:textId="77777777">
      <w:pPr>
        <w:widowControl w:val="0"/>
        <w:overflowPunct w:val="0"/>
        <w:autoSpaceDE w:val="0"/>
        <w:autoSpaceDN w:val="0"/>
        <w:adjustRightInd w:val="0"/>
        <w:textAlignment w:val="baseline"/>
      </w:pPr>
    </w:p>
    <w:tbl>
      <w:tblPr>
        <w:tblStyle w:val="TableGrid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56"/>
        <w:gridCol w:w="5670"/>
      </w:tblGrid>
      <w:tr w:rsidRPr="00164813" w:rsidR="008B66DD" w:rsidTr="008B66DD" w14:paraId="562FD113" w14:textId="77777777">
        <w:tc>
          <w:tcPr>
            <w:tcW w:w="1418" w:type="dxa"/>
          </w:tcPr>
          <w:p w:rsidRPr="00164813" w:rsidR="008B66DD" w:rsidP="008B66DD" w:rsidRDefault="008B66DD" w14:paraId="6A3CFD92" w14:textId="77777777">
            <w:pPr>
              <w:contextualSpacing/>
              <w:rPr>
                <w:i/>
              </w:rPr>
            </w:pPr>
            <w:r>
              <w:rPr>
                <w:b/>
                <w:i/>
              </w:rPr>
              <w:t>Yhteydenotot:</w:t>
            </w:r>
          </w:p>
        </w:tc>
        <w:tc>
          <w:tcPr>
            <w:tcW w:w="5670" w:type="dxa"/>
          </w:tcPr>
          <w:p w:rsidRPr="00164813" w:rsidR="008B66DD" w:rsidP="008B66DD" w:rsidRDefault="008B66DD" w14:paraId="40D8BF4D" w14:textId="77777777">
            <w:pPr>
              <w:contextualSpacing/>
              <w:rPr>
                <w:i/>
              </w:rPr>
            </w:pPr>
            <w:r>
              <w:rPr>
                <w:i/>
              </w:rPr>
              <w:t xml:space="preserve">Caroline </w:t>
            </w:r>
            <w:proofErr w:type="spellStart"/>
            <w:r>
              <w:rPr>
                <w:i/>
              </w:rPr>
              <w:t>Verhelst</w:t>
            </w:r>
            <w:proofErr w:type="spellEnd"/>
          </w:p>
        </w:tc>
      </w:tr>
      <w:tr w:rsidRPr="00164813" w:rsidR="008B66DD" w:rsidTr="008B66DD" w14:paraId="39B58971" w14:textId="77777777">
        <w:tc>
          <w:tcPr>
            <w:tcW w:w="1418" w:type="dxa"/>
          </w:tcPr>
          <w:p w:rsidRPr="00164813" w:rsidR="008B66DD" w:rsidP="008B66DD" w:rsidRDefault="008B66DD" w14:paraId="0374B985" w14:textId="77777777">
            <w:pPr>
              <w:ind w:left="601"/>
              <w:contextualSpacing/>
              <w:rPr>
                <w:i/>
              </w:rPr>
            </w:pPr>
            <w:r>
              <w:rPr>
                <w:i/>
              </w:rPr>
              <w:t>P.</w:t>
            </w:r>
          </w:p>
        </w:tc>
        <w:tc>
          <w:tcPr>
            <w:tcW w:w="5670" w:type="dxa"/>
          </w:tcPr>
          <w:p w:rsidRPr="00164813" w:rsidR="008B66DD" w:rsidP="008B66DD" w:rsidRDefault="008B66DD" w14:paraId="2FFDE135" w14:textId="77777777">
            <w:pPr>
              <w:contextualSpacing/>
              <w:rPr>
                <w:i/>
              </w:rPr>
            </w:pPr>
            <w:r>
              <w:rPr>
                <w:i/>
              </w:rPr>
              <w:t>+32 25469497</w:t>
            </w:r>
          </w:p>
        </w:tc>
      </w:tr>
      <w:tr w:rsidRPr="00164813" w:rsidR="008B66DD" w:rsidTr="008B66DD" w14:paraId="0D993716" w14:textId="77777777">
        <w:tc>
          <w:tcPr>
            <w:tcW w:w="1418" w:type="dxa"/>
          </w:tcPr>
          <w:p w:rsidRPr="00164813" w:rsidR="008B66DD" w:rsidP="008B66DD" w:rsidRDefault="008B66DD" w14:paraId="04669011" w14:textId="77777777">
            <w:pPr>
              <w:ind w:left="601"/>
              <w:contextualSpacing/>
              <w:rPr>
                <w:i/>
              </w:rPr>
            </w:pPr>
            <w:r>
              <w:rPr>
                <w:i/>
              </w:rPr>
              <w:t>Sähköposti:</w:t>
            </w:r>
          </w:p>
        </w:tc>
        <w:tc>
          <w:tcPr>
            <w:tcW w:w="5670" w:type="dxa"/>
          </w:tcPr>
          <w:p w:rsidRPr="00164813" w:rsidR="008B66DD" w:rsidP="00910972" w:rsidRDefault="00216BAA" w14:paraId="503147B8" w14:textId="7DD9F44B">
            <w:pPr>
              <w:contextualSpacing/>
              <w:rPr>
                <w:i/>
              </w:rPr>
            </w:pPr>
            <w:hyperlink w:history="1" r:id="rId37">
              <w:r w:rsidR="00EB3BD7">
                <w:rPr>
                  <w:rStyle w:val="Hyperlink"/>
                </w:rPr>
                <w:t xml:space="preserve"> Caroline.Verhelst@eesc.europa.eu</w:t>
              </w:r>
            </w:hyperlink>
          </w:p>
        </w:tc>
      </w:tr>
    </w:tbl>
    <w:p w:rsidRPr="00A10A98" w:rsidR="00931584" w:rsidP="002A2F38" w:rsidRDefault="002A2F38" w14:paraId="49E30748" w14:textId="77777777">
      <w:pPr>
        <w:spacing w:after="160" w:line="259" w:lineRule="auto"/>
        <w:jc w:val="left"/>
        <w:rPr>
          <w:sz w:val="28"/>
          <w:szCs w:val="16"/>
        </w:rPr>
      </w:pPr>
      <w:r>
        <w:br w:type="page"/>
      </w:r>
    </w:p>
    <w:p w:rsidRPr="003E692C" w:rsidR="0005170F" w:rsidP="003E692C" w:rsidRDefault="00931584" w14:paraId="259B2927" w14:textId="77777777">
      <w:pPr>
        <w:pStyle w:val="Heading1"/>
        <w:keepNext/>
        <w:rPr>
          <w:b/>
        </w:rPr>
      </w:pPr>
      <w:bookmarkStart w:name="_Toc90469310" w:id="17"/>
      <w:bookmarkStart w:name="_Toc109906485" w:id="18"/>
      <w:r>
        <w:rPr>
          <w:b/>
        </w:rPr>
        <w:lastRenderedPageBreak/>
        <w:t>ULKOSUHTEET</w:t>
      </w:r>
      <w:bookmarkEnd w:id="17"/>
      <w:bookmarkEnd w:id="18"/>
    </w:p>
    <w:p w:rsidRPr="00CB3335" w:rsidR="00CB3335" w:rsidP="00CB3335" w:rsidRDefault="00CB3335" w14:paraId="4C868865" w14:textId="77777777"/>
    <w:p w:rsidR="0005170F" w:rsidP="00F856AC" w:rsidRDefault="00F856AC" w14:paraId="602B729E" w14:textId="77777777">
      <w:pPr>
        <w:pStyle w:val="ListParagraph"/>
        <w:keepNext/>
        <w:keepLines/>
        <w:numPr>
          <w:ilvl w:val="0"/>
          <w:numId w:val="2"/>
        </w:numPr>
        <w:ind w:left="567" w:hanging="567"/>
        <w:rPr>
          <w:b/>
          <w:i/>
          <w:sz w:val="28"/>
          <w:szCs w:val="28"/>
        </w:rPr>
      </w:pPr>
      <w:r>
        <w:rPr>
          <w:b/>
          <w:i/>
          <w:sz w:val="28"/>
        </w:rPr>
        <w:t>Uusi EU:n ja Yhdysvaltojen kauppa- ja teknologianeuvosto käytännön työssä</w:t>
      </w:r>
    </w:p>
    <w:p w:rsidRPr="00F856AC" w:rsidR="00F856AC" w:rsidP="00F856AC" w:rsidRDefault="00F856AC" w14:paraId="7DD8EEC3" w14:textId="77777777">
      <w:pPr>
        <w:keepNext/>
        <w:keepLines/>
        <w:rPr>
          <w:b/>
          <w:i/>
          <w:sz w:val="28"/>
          <w:szCs w:val="28"/>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9B70E7" w:rsidR="0005170F" w:rsidTr="00BC41D9" w14:paraId="0C5522F9" w14:textId="77777777">
        <w:tc>
          <w:tcPr>
            <w:tcW w:w="1701" w:type="dxa"/>
          </w:tcPr>
          <w:p w:rsidRPr="009B70E7" w:rsidR="0005170F" w:rsidP="00BC41D9" w:rsidRDefault="0005170F" w14:paraId="064CA71B" w14:textId="77777777">
            <w:pPr>
              <w:pStyle w:val="ListParagraph"/>
              <w:keepNext/>
              <w:ind w:left="0"/>
              <w:rPr>
                <w:b/>
              </w:rPr>
            </w:pPr>
            <w:r>
              <w:rPr>
                <w:b/>
              </w:rPr>
              <w:t>Esittelijä:</w:t>
            </w:r>
          </w:p>
        </w:tc>
        <w:tc>
          <w:tcPr>
            <w:tcW w:w="5387" w:type="dxa"/>
          </w:tcPr>
          <w:p w:rsidRPr="009B70E7" w:rsidR="0005170F" w:rsidP="00BC41D9" w:rsidRDefault="00F856AC" w14:paraId="45B35874" w14:textId="77777777">
            <w:pPr>
              <w:pStyle w:val="ListParagraph"/>
              <w:keepNext/>
              <w:ind w:left="-106"/>
            </w:pPr>
            <w:r>
              <w:t>Timo Vuori (työnantajat – FI)</w:t>
            </w:r>
          </w:p>
        </w:tc>
      </w:tr>
      <w:tr w:rsidRPr="009B70E7" w:rsidR="0005170F" w:rsidTr="00BC41D9" w14:paraId="53A93979" w14:textId="77777777">
        <w:tc>
          <w:tcPr>
            <w:tcW w:w="1701" w:type="dxa"/>
          </w:tcPr>
          <w:p w:rsidRPr="009B70E7" w:rsidR="0005170F" w:rsidP="00BC41D9" w:rsidRDefault="0005170F" w14:paraId="392B7337" w14:textId="77777777">
            <w:pPr>
              <w:pStyle w:val="ListParagraph"/>
              <w:keepNext/>
              <w:ind w:left="0"/>
              <w:rPr>
                <w:b/>
              </w:rPr>
            </w:pPr>
            <w:r>
              <w:rPr>
                <w:b/>
              </w:rPr>
              <w:t>Yhteisesittelijä:</w:t>
            </w:r>
          </w:p>
        </w:tc>
        <w:tc>
          <w:tcPr>
            <w:tcW w:w="5387" w:type="dxa"/>
          </w:tcPr>
          <w:p w:rsidRPr="009B70E7" w:rsidR="0005170F" w:rsidP="00BC41D9" w:rsidRDefault="00F856AC" w14:paraId="52EFC6C4" w14:textId="0996E1F8">
            <w:pPr>
              <w:pStyle w:val="ListParagraph"/>
              <w:keepNext/>
              <w:ind w:left="-106"/>
            </w:pPr>
            <w:r>
              <w:t xml:space="preserve">Tanja </w:t>
            </w:r>
            <w:proofErr w:type="spellStart"/>
            <w:r>
              <w:t>Buzek</w:t>
            </w:r>
            <w:proofErr w:type="spellEnd"/>
            <w:r>
              <w:t xml:space="preserve"> (työntekijät – DE)</w:t>
            </w:r>
          </w:p>
        </w:tc>
      </w:tr>
      <w:tr w:rsidRPr="009B70E7" w:rsidR="0005170F" w:rsidTr="00BC41D9" w14:paraId="3756149D" w14:textId="77777777">
        <w:tc>
          <w:tcPr>
            <w:tcW w:w="7088" w:type="dxa"/>
            <w:gridSpan w:val="2"/>
          </w:tcPr>
          <w:p w:rsidRPr="007B231B" w:rsidR="0005170F" w:rsidP="00BC41D9" w:rsidRDefault="0005170F" w14:paraId="1E0EC2DB" w14:textId="77777777">
            <w:pPr>
              <w:pStyle w:val="ListParagraph"/>
              <w:keepNext/>
              <w:ind w:left="0"/>
            </w:pPr>
          </w:p>
        </w:tc>
      </w:tr>
      <w:tr w:rsidRPr="009B70E7" w:rsidR="0005170F" w:rsidTr="00BC41D9" w14:paraId="19BB4E31" w14:textId="77777777">
        <w:tc>
          <w:tcPr>
            <w:tcW w:w="1701" w:type="dxa"/>
          </w:tcPr>
          <w:p w:rsidRPr="007B231B" w:rsidR="0005170F" w:rsidP="00BC41D9" w:rsidRDefault="0005170F" w14:paraId="7C61A8B1" w14:textId="77777777">
            <w:pPr>
              <w:pStyle w:val="ListParagraph"/>
              <w:keepNext/>
              <w:ind w:left="0"/>
              <w:rPr>
                <w:b/>
              </w:rPr>
            </w:pPr>
            <w:r>
              <w:rPr>
                <w:b/>
              </w:rPr>
              <w:t xml:space="preserve">Viiteasiakirja: </w:t>
            </w:r>
          </w:p>
        </w:tc>
        <w:tc>
          <w:tcPr>
            <w:tcW w:w="5387" w:type="dxa"/>
          </w:tcPr>
          <w:p w:rsidRPr="00163106" w:rsidR="0005170F" w:rsidP="00BC41D9" w:rsidRDefault="00F856AC" w14:paraId="49919073" w14:textId="77777777">
            <w:pPr>
              <w:pStyle w:val="ListParagraph"/>
              <w:keepNext/>
              <w:ind w:left="-106"/>
              <w:rPr>
                <w:iCs/>
                <w:color w:val="000000"/>
              </w:rPr>
            </w:pPr>
            <w:r>
              <w:rPr>
                <w:color w:val="000000"/>
              </w:rPr>
              <w:t>oma-aloitteinen lausunto</w:t>
            </w:r>
          </w:p>
          <w:p w:rsidRPr="007B231B" w:rsidR="0005170F" w:rsidP="00BC41D9" w:rsidRDefault="009D1CA2" w14:paraId="705F793F" w14:textId="77777777">
            <w:pPr>
              <w:pStyle w:val="ListParagraph"/>
              <w:keepNext/>
              <w:ind w:left="-106"/>
            </w:pPr>
            <w:r>
              <w:t>EESC-2022-00726-00-00-AC</w:t>
            </w:r>
          </w:p>
        </w:tc>
      </w:tr>
    </w:tbl>
    <w:p w:rsidRPr="009B70E7" w:rsidR="0005170F" w:rsidP="0005170F" w:rsidRDefault="0005170F" w14:paraId="41B35B48" w14:textId="77777777">
      <w:pPr>
        <w:pStyle w:val="ListParagraph"/>
        <w:keepNext/>
        <w:ind w:left="567"/>
      </w:pPr>
    </w:p>
    <w:p w:rsidRPr="00F856AC" w:rsidR="00BC29C8" w:rsidP="00F856AC" w:rsidRDefault="00F856AC" w14:paraId="18C1BCD0" w14:textId="43F4EE79">
      <w:pPr>
        <w:pStyle w:val="ListParagraph"/>
        <w:spacing w:line="240" w:lineRule="auto"/>
        <w:ind w:left="-142" w:firstLine="142"/>
        <w:rPr>
          <w:b/>
        </w:rPr>
      </w:pPr>
      <w:r>
        <w:rPr>
          <w:b/>
        </w:rPr>
        <w:t>Keskeiset kohdat</w:t>
      </w:r>
    </w:p>
    <w:p w:rsidR="00BC29C8" w:rsidP="0005170F" w:rsidRDefault="00BC29C8" w14:paraId="5B75415E" w14:textId="77777777">
      <w:pPr>
        <w:pStyle w:val="ListParagraph"/>
        <w:ind w:left="0"/>
      </w:pPr>
    </w:p>
    <w:p w:rsidRPr="004646AF" w:rsidR="0005170F" w:rsidP="0005170F" w:rsidRDefault="00F856AC" w14:paraId="3C5989C4" w14:textId="77777777">
      <w:pPr>
        <w:numPr>
          <w:ilvl w:val="0"/>
          <w:numId w:val="3"/>
        </w:numPr>
        <w:ind w:left="357" w:hanging="357"/>
        <w:contextualSpacing/>
      </w:pPr>
      <w:r>
        <w:t>Uusi EU:n ja Yhdysvaltojen kauppa- ja teknologianeuvosto (</w:t>
      </w:r>
      <w:r>
        <w:rPr>
          <w:i/>
          <w:iCs/>
        </w:rPr>
        <w:t xml:space="preserve">EU–US Trade and Technology </w:t>
      </w:r>
      <w:proofErr w:type="spellStart"/>
      <w:r>
        <w:rPr>
          <w:i/>
          <w:iCs/>
        </w:rPr>
        <w:t>Council</w:t>
      </w:r>
      <w:proofErr w:type="spellEnd"/>
      <w:r>
        <w:t xml:space="preserve">, TTC) voi toimia ydinelementtinä ohjelmassa, jolla </w:t>
      </w:r>
      <w:proofErr w:type="spellStart"/>
      <w:r>
        <w:t>transatlanttista</w:t>
      </w:r>
      <w:proofErr w:type="spellEnd"/>
      <w:r>
        <w:t xml:space="preserve"> kumppanuuttamme pystytään saattamaan uuteen uskoon luotettujen yhteistyökanavien myötä. TTC voi olla tärkeä foorumi puututtaessa nykyisiin esteisiin EU:n ja Yhdysvaltojen kahdenvälisissä kauppa- ja investointisuhteissa, ja se voi toimia strategisena foorumina arvojemme suojelemiseksi ja maailmanlaajuisiin kaupan häiriöihin reagoimiseksi.</w:t>
      </w:r>
    </w:p>
    <w:p w:rsidRPr="0005170F" w:rsidR="009D1CA2" w:rsidP="009D1CA2" w:rsidRDefault="00F856AC" w14:paraId="5206FD24" w14:textId="77777777">
      <w:pPr>
        <w:numPr>
          <w:ilvl w:val="0"/>
          <w:numId w:val="3"/>
        </w:numPr>
        <w:ind w:left="357" w:hanging="357"/>
        <w:contextualSpacing/>
      </w:pPr>
      <w:r>
        <w:t>Geopoliittisesti levottomina aikoina on suuri vastuu edistää kaupan ja teknologian nykyaikaista yhteistyökehystä, jolla tuetaan avointa ja kestäväpohjaista taloutta sekä vapaata ja oikeudenmukaista kauppaa ja jossa kunnioitetaan demokraattisia arvoja, säällistä työtä ja ihmisoikeuksia.</w:t>
      </w:r>
    </w:p>
    <w:p w:rsidRPr="0005170F" w:rsidR="009D1CA2" w:rsidP="009D1CA2" w:rsidRDefault="00F856AC" w14:paraId="712A3F38" w14:textId="77777777">
      <w:pPr>
        <w:numPr>
          <w:ilvl w:val="0"/>
          <w:numId w:val="3"/>
        </w:numPr>
        <w:ind w:left="357" w:hanging="357"/>
        <w:contextualSpacing/>
      </w:pPr>
      <w:r>
        <w:t>Kaupassa ja teknologiassa ei ole kyse vain sääntelykysymyksistä, vaan ne ovat keskeisiä välineitä, joilla suojellaan ja edistetään universaaleja arvoja maailmanlaajuisesti. TTC tarjoaa ainutlaatuisen mahdollisuuden kauppaa ja teknologiaa koskevaan strategiseen yhteistyöhön, joka ylittää nykyiset tilannekohtaiset yhteistyöjärjestelyt.</w:t>
      </w:r>
    </w:p>
    <w:p w:rsidRPr="00D630B8" w:rsidR="0005170F" w:rsidP="0005170F" w:rsidRDefault="00F856AC" w14:paraId="7CC82BD2" w14:textId="77777777">
      <w:pPr>
        <w:numPr>
          <w:ilvl w:val="0"/>
          <w:numId w:val="3"/>
        </w:numPr>
        <w:ind w:left="357" w:hanging="357"/>
        <w:contextualSpacing/>
      </w:pPr>
      <w:proofErr w:type="spellStart"/>
      <w:r>
        <w:t>Transatlanttisten</w:t>
      </w:r>
      <w:proofErr w:type="spellEnd"/>
      <w:r>
        <w:t xml:space="preserve"> kumppanien on nopeasti löydettävä keinoja vahvistaa avoimien demokraattisten yhteiskuntiemme kriisinkestävyyttä muun muassa varmistamalla globaalit arvo- ja toimitusketjut ja energiaturvallisuus erityisesti, jotta voidaan kiireellisesti korvata Venäjän energia- ja raaka-ainetoimitukset. Niiden on panostettava enemmän monenvälisyyden vahvistamiseen sekä ilmastonmuutokseen liittyvien haasteiden ratkaisemiseen, sen varmistamiseen, ettei vapaata ja oikeudenmukaista kauppaa heikennetä, sekä autoritaaristen valtioiden aiheuttamien markkinahäiriöiden ehkäisemiseen.</w:t>
      </w:r>
    </w:p>
    <w:p w:rsidR="0005170F" w:rsidP="0005170F" w:rsidRDefault="00F856AC" w14:paraId="26460775" w14:textId="77777777">
      <w:pPr>
        <w:numPr>
          <w:ilvl w:val="0"/>
          <w:numId w:val="3"/>
        </w:numPr>
        <w:ind w:left="357" w:hanging="357"/>
        <w:contextualSpacing/>
      </w:pPr>
      <w:r>
        <w:t xml:space="preserve">EU:n ja Yhdysvaltojen on </w:t>
      </w:r>
      <w:proofErr w:type="spellStart"/>
      <w:r>
        <w:t>TTC:n</w:t>
      </w:r>
      <w:proofErr w:type="spellEnd"/>
      <w:r>
        <w:t xml:space="preserve"> puitteissa pyrittävä soveltamaan strategisempaa ja horisontaalisempaa toimintatapaa sekä yhteistyötä, jossa ei luoda tarpeettomia siiloja. ETSK on tyytyväinen ilmoitukseen kolmikantaisesta kaupan ja työelämän vuoropuhelusta mutta kehottaa komissiota puuttumaan työelämän demokratian epätasapainoon, joka johtuu siitä, ettei kuutta </w:t>
      </w:r>
      <w:proofErr w:type="spellStart"/>
      <w:r>
        <w:t>ILO:n</w:t>
      </w:r>
      <w:proofErr w:type="spellEnd"/>
      <w:r>
        <w:t xml:space="preserve"> keskeistä yleissopimusta ole ratifioitu.</w:t>
      </w:r>
    </w:p>
    <w:p w:rsidRPr="009B70E7" w:rsidR="0005170F" w:rsidP="00F856AC" w:rsidRDefault="00F856AC" w14:paraId="6798EA32" w14:textId="77777777">
      <w:pPr>
        <w:numPr>
          <w:ilvl w:val="0"/>
          <w:numId w:val="3"/>
        </w:numPr>
        <w:ind w:left="357" w:hanging="357"/>
        <w:contextualSpacing/>
      </w:pPr>
      <w:r>
        <w:t xml:space="preserve">Avoimuus ja vahva sidosryhmien osallistuminen Atlantin molemmin puolin on ainoa tapa, jolla TTC kykenee saavuttamaan tavoitteensa. ETSK toimii aktiivisesti </w:t>
      </w:r>
      <w:proofErr w:type="spellStart"/>
      <w:r>
        <w:t>TTC:n</w:t>
      </w:r>
      <w:proofErr w:type="spellEnd"/>
      <w:r>
        <w:t xml:space="preserve"> rakenteiden puitteissa ja pyrkii olemaan ainutlaatuisena kansalaisyhteiskunnan sidosryhmänä osallisena </w:t>
      </w:r>
      <w:proofErr w:type="spellStart"/>
      <w:r>
        <w:t>TTC:n</w:t>
      </w:r>
      <w:proofErr w:type="spellEnd"/>
      <w:r>
        <w:t xml:space="preserve"> ministerikokouksissa.</w:t>
      </w:r>
    </w:p>
    <w:p w:rsidRPr="009B70E7" w:rsidR="0005170F" w:rsidP="0005170F" w:rsidRDefault="0005170F" w14:paraId="705D6012"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56"/>
        <w:gridCol w:w="5670"/>
      </w:tblGrid>
      <w:tr w:rsidRPr="009B70E7" w:rsidR="00F856AC" w:rsidTr="00BC41D9" w14:paraId="3C4C05EA" w14:textId="77777777">
        <w:tc>
          <w:tcPr>
            <w:tcW w:w="1418" w:type="dxa"/>
          </w:tcPr>
          <w:p w:rsidRPr="009B70E7" w:rsidR="00F856AC" w:rsidP="00F856AC" w:rsidRDefault="00F856AC" w14:paraId="493B7F8F" w14:textId="77777777">
            <w:pPr>
              <w:pStyle w:val="ListParagraph"/>
              <w:ind w:left="0"/>
              <w:rPr>
                <w:i/>
              </w:rPr>
            </w:pPr>
            <w:r>
              <w:rPr>
                <w:b/>
                <w:i/>
              </w:rPr>
              <w:t>Yhteydenotot:</w:t>
            </w:r>
          </w:p>
        </w:tc>
        <w:tc>
          <w:tcPr>
            <w:tcW w:w="5670" w:type="dxa"/>
          </w:tcPr>
          <w:p w:rsidRPr="009B70E7" w:rsidR="00F856AC" w:rsidP="00F856AC" w:rsidRDefault="00F856AC" w14:paraId="0A9975E2" w14:textId="77777777">
            <w:pPr>
              <w:pStyle w:val="ListParagraph"/>
              <w:ind w:left="0"/>
              <w:rPr>
                <w:i/>
              </w:rPr>
            </w:pPr>
            <w:r>
              <w:rPr>
                <w:i/>
              </w:rPr>
              <w:t xml:space="preserve">Gunilla </w:t>
            </w:r>
            <w:proofErr w:type="spellStart"/>
            <w:r>
              <w:rPr>
                <w:i/>
              </w:rPr>
              <w:t>Fevre-Burdy</w:t>
            </w:r>
            <w:proofErr w:type="spellEnd"/>
          </w:p>
        </w:tc>
      </w:tr>
      <w:tr w:rsidRPr="009B70E7" w:rsidR="00F856AC" w:rsidTr="00BC41D9" w14:paraId="04C8463A" w14:textId="77777777">
        <w:tc>
          <w:tcPr>
            <w:tcW w:w="1418" w:type="dxa"/>
          </w:tcPr>
          <w:p w:rsidRPr="009B70E7" w:rsidR="00F856AC" w:rsidP="00F856AC" w:rsidRDefault="00F856AC" w14:paraId="4B8BBF4B" w14:textId="77777777">
            <w:pPr>
              <w:pStyle w:val="ListParagraph"/>
              <w:ind w:left="601"/>
              <w:rPr>
                <w:i/>
              </w:rPr>
            </w:pPr>
            <w:r>
              <w:rPr>
                <w:i/>
              </w:rPr>
              <w:t>P.</w:t>
            </w:r>
          </w:p>
        </w:tc>
        <w:tc>
          <w:tcPr>
            <w:tcW w:w="5670" w:type="dxa"/>
          </w:tcPr>
          <w:p w:rsidRPr="009B70E7" w:rsidR="00F856AC" w:rsidP="00F856AC" w:rsidRDefault="00F856AC" w14:paraId="4B367F8E" w14:textId="77777777">
            <w:pPr>
              <w:pStyle w:val="ListParagraph"/>
              <w:ind w:left="0"/>
              <w:rPr>
                <w:i/>
              </w:rPr>
            </w:pPr>
            <w:r>
              <w:rPr>
                <w:i/>
              </w:rPr>
              <w:t>+32 25469108</w:t>
            </w:r>
          </w:p>
        </w:tc>
      </w:tr>
      <w:tr w:rsidRPr="009B70E7" w:rsidR="00F856AC" w:rsidTr="00BC41D9" w14:paraId="348A3E99" w14:textId="77777777">
        <w:tc>
          <w:tcPr>
            <w:tcW w:w="1418" w:type="dxa"/>
          </w:tcPr>
          <w:p w:rsidRPr="009B70E7" w:rsidR="00F856AC" w:rsidP="00F856AC" w:rsidRDefault="00F856AC" w14:paraId="123AD82B" w14:textId="77777777">
            <w:pPr>
              <w:pStyle w:val="ListParagraph"/>
              <w:ind w:left="601"/>
              <w:rPr>
                <w:i/>
              </w:rPr>
            </w:pPr>
            <w:r>
              <w:rPr>
                <w:i/>
              </w:rPr>
              <w:t>Sähköposti:</w:t>
            </w:r>
          </w:p>
        </w:tc>
        <w:tc>
          <w:tcPr>
            <w:tcW w:w="5670" w:type="dxa"/>
          </w:tcPr>
          <w:p w:rsidRPr="009B70E7" w:rsidR="00F856AC" w:rsidP="00F856AC" w:rsidRDefault="00216BAA" w14:paraId="7683ACD4" w14:textId="77777777">
            <w:pPr>
              <w:pStyle w:val="ListParagraph"/>
              <w:ind w:left="0"/>
              <w:rPr>
                <w:i/>
              </w:rPr>
            </w:pPr>
            <w:hyperlink w:history="1" r:id="rId38">
              <w:r w:rsidR="00EB3BD7">
                <w:rPr>
                  <w:rStyle w:val="Hyperlink"/>
                  <w:i/>
                </w:rPr>
                <w:t>Gunilla.Sandberg@eesc.europa.eu</w:t>
              </w:r>
            </w:hyperlink>
          </w:p>
        </w:tc>
      </w:tr>
    </w:tbl>
    <w:p w:rsidR="00910972" w:rsidP="00A10A98" w:rsidRDefault="00910972" w14:paraId="3690378B" w14:textId="48CD998B">
      <w:pPr>
        <w:spacing w:line="240" w:lineRule="auto"/>
        <w:jc w:val="left"/>
        <w:rPr>
          <w:szCs w:val="28"/>
        </w:rPr>
      </w:pPr>
    </w:p>
    <w:p w:rsidR="00910972" w:rsidRDefault="00910972" w14:paraId="12885432" w14:textId="5013BF24">
      <w:pPr>
        <w:spacing w:after="160" w:line="259" w:lineRule="auto"/>
        <w:jc w:val="left"/>
        <w:rPr>
          <w:szCs w:val="28"/>
        </w:rPr>
      </w:pPr>
    </w:p>
    <w:p w:rsidR="00D55B4C" w:rsidP="00D55B4C" w:rsidRDefault="00D55B4C" w14:paraId="55AF9FAB" w14:textId="77777777">
      <w:pPr>
        <w:pStyle w:val="ListParagraph"/>
        <w:keepNext/>
        <w:keepLines/>
        <w:numPr>
          <w:ilvl w:val="0"/>
          <w:numId w:val="2"/>
        </w:numPr>
        <w:ind w:left="567" w:hanging="567"/>
        <w:rPr>
          <w:b/>
          <w:i/>
          <w:sz w:val="28"/>
          <w:szCs w:val="28"/>
        </w:rPr>
      </w:pPr>
      <w:r>
        <w:rPr>
          <w:b/>
          <w:i/>
          <w:sz w:val="28"/>
        </w:rPr>
        <w:t>Länsi-Balkanin maiden nuorisopolitiikka</w:t>
      </w:r>
    </w:p>
    <w:p w:rsidRPr="00F856AC" w:rsidR="00D55B4C" w:rsidP="00D55B4C" w:rsidRDefault="00D55B4C" w14:paraId="4D8D4A99" w14:textId="77777777">
      <w:pPr>
        <w:keepNext/>
        <w:keepLines/>
        <w:rPr>
          <w:b/>
          <w:i/>
          <w:sz w:val="28"/>
          <w:szCs w:val="28"/>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9B70E7" w:rsidR="00D55B4C" w:rsidTr="00D13F40" w14:paraId="5092A14F" w14:textId="77777777">
        <w:tc>
          <w:tcPr>
            <w:tcW w:w="1701" w:type="dxa"/>
          </w:tcPr>
          <w:p w:rsidRPr="009B70E7" w:rsidR="00D55B4C" w:rsidP="00D13F40" w:rsidRDefault="00D55B4C" w14:paraId="4073A381" w14:textId="77777777">
            <w:pPr>
              <w:pStyle w:val="ListParagraph"/>
              <w:keepNext/>
              <w:ind w:left="0"/>
              <w:rPr>
                <w:b/>
              </w:rPr>
            </w:pPr>
            <w:r>
              <w:rPr>
                <w:b/>
              </w:rPr>
              <w:t>Esittelijä:</w:t>
            </w:r>
          </w:p>
        </w:tc>
        <w:tc>
          <w:tcPr>
            <w:tcW w:w="5387" w:type="dxa"/>
          </w:tcPr>
          <w:p w:rsidRPr="009B70E7" w:rsidR="00D55B4C" w:rsidP="00D13F40" w:rsidRDefault="00D55B4C" w14:paraId="2F545020" w14:textId="77777777">
            <w:pPr>
              <w:pStyle w:val="ListParagraph"/>
              <w:keepNext/>
              <w:ind w:left="-106"/>
            </w:pPr>
            <w:proofErr w:type="spellStart"/>
            <w:r>
              <w:t>Ionuţ</w:t>
            </w:r>
            <w:proofErr w:type="spellEnd"/>
            <w:r>
              <w:t xml:space="preserve"> </w:t>
            </w:r>
            <w:proofErr w:type="spellStart"/>
            <w:r>
              <w:t>Sibian</w:t>
            </w:r>
            <w:proofErr w:type="spellEnd"/>
            <w:r>
              <w:t xml:space="preserve"> (kansalaisyhteiskunnan organisaatiot – RO)</w:t>
            </w:r>
          </w:p>
        </w:tc>
      </w:tr>
      <w:tr w:rsidRPr="009B70E7" w:rsidR="00D55B4C" w:rsidTr="00D13F40" w14:paraId="34B47862" w14:textId="77777777">
        <w:tc>
          <w:tcPr>
            <w:tcW w:w="1701" w:type="dxa"/>
          </w:tcPr>
          <w:p w:rsidRPr="009B70E7" w:rsidR="00D55B4C" w:rsidP="00D13F40" w:rsidRDefault="00D55B4C" w14:paraId="24432AB1" w14:textId="77777777">
            <w:pPr>
              <w:pStyle w:val="ListParagraph"/>
              <w:keepNext/>
              <w:ind w:left="0"/>
              <w:rPr>
                <w:b/>
              </w:rPr>
            </w:pPr>
            <w:r>
              <w:rPr>
                <w:b/>
              </w:rPr>
              <w:t>Yhteisesittelijä:</w:t>
            </w:r>
          </w:p>
        </w:tc>
        <w:tc>
          <w:tcPr>
            <w:tcW w:w="5387" w:type="dxa"/>
          </w:tcPr>
          <w:p w:rsidRPr="009B70E7" w:rsidR="00D55B4C" w:rsidP="00D13F40" w:rsidRDefault="00D55B4C" w14:paraId="3FC99DB8" w14:textId="77777777">
            <w:pPr>
              <w:pStyle w:val="ListParagraph"/>
              <w:keepNext/>
              <w:ind w:left="-106"/>
            </w:pPr>
            <w:proofErr w:type="spellStart"/>
            <w:r>
              <w:t>Andrej</w:t>
            </w:r>
            <w:proofErr w:type="spellEnd"/>
            <w:r>
              <w:t xml:space="preserve"> </w:t>
            </w:r>
            <w:proofErr w:type="spellStart"/>
            <w:r>
              <w:t>Zorko</w:t>
            </w:r>
            <w:proofErr w:type="spellEnd"/>
            <w:r>
              <w:t xml:space="preserve"> (työntekijät – SI)</w:t>
            </w:r>
          </w:p>
        </w:tc>
      </w:tr>
      <w:tr w:rsidRPr="009B70E7" w:rsidR="00D55B4C" w:rsidTr="00D13F40" w14:paraId="2CDF0A57" w14:textId="77777777">
        <w:tc>
          <w:tcPr>
            <w:tcW w:w="7088" w:type="dxa"/>
            <w:gridSpan w:val="2"/>
          </w:tcPr>
          <w:p w:rsidRPr="007B231B" w:rsidR="00D55B4C" w:rsidP="00D13F40" w:rsidRDefault="00D55B4C" w14:paraId="0A7B0798" w14:textId="77777777">
            <w:pPr>
              <w:pStyle w:val="ListParagraph"/>
              <w:keepNext/>
              <w:ind w:left="0"/>
            </w:pPr>
          </w:p>
        </w:tc>
      </w:tr>
      <w:tr w:rsidRPr="009B70E7" w:rsidR="00D55B4C" w:rsidTr="00D13F40" w14:paraId="57E6BBE5" w14:textId="77777777">
        <w:tc>
          <w:tcPr>
            <w:tcW w:w="1701" w:type="dxa"/>
          </w:tcPr>
          <w:p w:rsidRPr="007B231B" w:rsidR="00D55B4C" w:rsidP="00D13F40" w:rsidRDefault="00D55B4C" w14:paraId="039C8752" w14:textId="77777777">
            <w:pPr>
              <w:pStyle w:val="ListParagraph"/>
              <w:keepNext/>
              <w:ind w:left="0"/>
              <w:rPr>
                <w:b/>
              </w:rPr>
            </w:pPr>
            <w:r>
              <w:rPr>
                <w:b/>
              </w:rPr>
              <w:t xml:space="preserve">Viiteasiakirja: </w:t>
            </w:r>
          </w:p>
        </w:tc>
        <w:tc>
          <w:tcPr>
            <w:tcW w:w="5387" w:type="dxa"/>
          </w:tcPr>
          <w:p w:rsidRPr="00163106" w:rsidR="00D55B4C" w:rsidP="00D13F40" w:rsidRDefault="00D55B4C" w14:paraId="270014DB" w14:textId="77777777">
            <w:pPr>
              <w:pStyle w:val="ListParagraph"/>
              <w:keepNext/>
              <w:ind w:left="-106"/>
              <w:rPr>
                <w:iCs/>
                <w:color w:val="000000"/>
              </w:rPr>
            </w:pPr>
            <w:r>
              <w:rPr>
                <w:color w:val="000000"/>
              </w:rPr>
              <w:t>oma-aloitteinen lausunto</w:t>
            </w:r>
          </w:p>
          <w:p w:rsidRPr="007B231B" w:rsidR="00D55B4C" w:rsidP="00D13F40" w:rsidRDefault="00D55B4C" w14:paraId="492CD4A6" w14:textId="77777777">
            <w:pPr>
              <w:pStyle w:val="ListParagraph"/>
              <w:keepNext/>
              <w:ind w:left="-106"/>
            </w:pPr>
            <w:r>
              <w:t>EESC-2022-00778-00-00-AC</w:t>
            </w:r>
          </w:p>
        </w:tc>
      </w:tr>
    </w:tbl>
    <w:p w:rsidRPr="009B70E7" w:rsidR="00D55B4C" w:rsidP="00D55B4C" w:rsidRDefault="00D55B4C" w14:paraId="49C326FE" w14:textId="77777777">
      <w:pPr>
        <w:pStyle w:val="ListParagraph"/>
        <w:keepNext/>
        <w:ind w:left="567"/>
      </w:pPr>
    </w:p>
    <w:p w:rsidRPr="00F856AC" w:rsidR="00D55B4C" w:rsidP="00D55B4C" w:rsidRDefault="00D55B4C" w14:paraId="5EBBC034" w14:textId="3622AA3C">
      <w:pPr>
        <w:pStyle w:val="ListParagraph"/>
        <w:spacing w:line="240" w:lineRule="auto"/>
        <w:ind w:left="-142" w:firstLine="142"/>
        <w:rPr>
          <w:b/>
        </w:rPr>
      </w:pPr>
      <w:r>
        <w:rPr>
          <w:b/>
        </w:rPr>
        <w:t>Keskeiset kohdat</w:t>
      </w:r>
    </w:p>
    <w:p w:rsidR="00D55B4C" w:rsidP="00D55B4C" w:rsidRDefault="00D55B4C" w14:paraId="63C9743D" w14:textId="77777777">
      <w:pPr>
        <w:pStyle w:val="ListParagraph"/>
        <w:ind w:left="0"/>
      </w:pPr>
    </w:p>
    <w:p w:rsidR="00DD23A2" w:rsidP="00D55B4C" w:rsidRDefault="00DD23A2" w14:paraId="427D30D6" w14:textId="77777777">
      <w:pPr>
        <w:pStyle w:val="ListParagraph"/>
        <w:ind w:left="0"/>
        <w:rPr>
          <w:bCs/>
          <w:iCs/>
        </w:rPr>
      </w:pPr>
      <w:r>
        <w:t>ETSK</w:t>
      </w:r>
    </w:p>
    <w:p w:rsidR="00DD23A2" w:rsidP="00D55B4C" w:rsidRDefault="00DD23A2" w14:paraId="57C75210" w14:textId="77777777">
      <w:pPr>
        <w:pStyle w:val="ListParagraph"/>
        <w:ind w:left="0"/>
      </w:pPr>
    </w:p>
    <w:p w:rsidRPr="004646AF" w:rsidR="00D55B4C" w:rsidP="00D55B4C" w:rsidRDefault="00DD23A2" w14:paraId="14A4253A" w14:textId="77777777">
      <w:pPr>
        <w:numPr>
          <w:ilvl w:val="0"/>
          <w:numId w:val="3"/>
        </w:numPr>
        <w:ind w:left="357" w:hanging="357"/>
        <w:contextualSpacing/>
      </w:pPr>
      <w:r>
        <w:t xml:space="preserve">kehottaa Länsi-Balkanin kumppanimaiden hallituksia </w:t>
      </w:r>
      <w:r>
        <w:rPr>
          <w:b/>
        </w:rPr>
        <w:t>seuraamaan EU:n keskeisiä nuorisopolitiikkaa koskevia asiakirjoja</w:t>
      </w:r>
      <w:r>
        <w:t xml:space="preserve"> ja </w:t>
      </w:r>
      <w:r>
        <w:rPr>
          <w:b/>
        </w:rPr>
        <w:t>investoimaan edelleen näyttöön perustuvaan nuorisopolitiikkaan</w:t>
      </w:r>
      <w:r>
        <w:t xml:space="preserve">, jossa käsitellään nuorison kehitykseen liittyviä haasteita. Riittävät ja läpinäkyvät </w:t>
      </w:r>
      <w:r>
        <w:rPr>
          <w:b/>
        </w:rPr>
        <w:t>määrärahat nuorisopolitiikan kehittämiseen</w:t>
      </w:r>
      <w:r>
        <w:t xml:space="preserve"> ovat myönteisten muutosten edistämisen sekä nuorten tilanteen parantamisen edellytys.</w:t>
      </w:r>
    </w:p>
    <w:p w:rsidRPr="0005170F" w:rsidR="00D55B4C" w:rsidP="00D55B4C" w:rsidRDefault="00DD23A2" w14:paraId="7834EDBF" w14:textId="77777777">
      <w:pPr>
        <w:numPr>
          <w:ilvl w:val="0"/>
          <w:numId w:val="3"/>
        </w:numPr>
        <w:ind w:left="357" w:hanging="357"/>
        <w:contextualSpacing/>
      </w:pPr>
      <w:r>
        <w:t xml:space="preserve">katsoo, että on keskeistä ottaa mukaan työmarkkinaosapuolet ja kansalaisyhteiskunnan järjestöt, jotta voidaan toteuttaa </w:t>
      </w:r>
      <w:r>
        <w:rPr>
          <w:b/>
        </w:rPr>
        <w:t>laaja uudistus sosiaalisten oikeuksien ja nuorten tulevaisuudennäkymien parantamiseksi</w:t>
      </w:r>
      <w:r>
        <w:t xml:space="preserve">. Komitea kehottaa myös Länsi-Balkanin </w:t>
      </w:r>
      <w:r>
        <w:rPr>
          <w:b/>
        </w:rPr>
        <w:t>työmarkkinaosapuolia</w:t>
      </w:r>
      <w:r>
        <w:t xml:space="preserve"> kansallisella ja alakohtaisella tasolla </w:t>
      </w:r>
      <w:r>
        <w:rPr>
          <w:b/>
        </w:rPr>
        <w:t>ottamaan nuoret aktiivisesti mukaan</w:t>
      </w:r>
      <w:r>
        <w:t xml:space="preserve"> kaikkeen toimintaan, myös työehtosopimusneuvotteluihin.</w:t>
      </w:r>
    </w:p>
    <w:p w:rsidRPr="00D630B8" w:rsidR="00D55B4C" w:rsidP="00D55B4C" w:rsidRDefault="00DD23A2" w14:paraId="2191A3C3" w14:textId="77777777">
      <w:pPr>
        <w:numPr>
          <w:ilvl w:val="0"/>
          <w:numId w:val="3"/>
        </w:numPr>
        <w:ind w:left="357" w:hanging="357"/>
        <w:contextualSpacing/>
      </w:pPr>
      <w:r>
        <w:t xml:space="preserve">kehottaa panemaan täytäntöön </w:t>
      </w:r>
      <w:r>
        <w:rPr>
          <w:b/>
        </w:rPr>
        <w:t>nuorisotakuun Länsi-Balkanilla</w:t>
      </w:r>
      <w:r>
        <w:t xml:space="preserve"> vahvistettua nuorisotakuuta koskevien neuvoston suositusten mukaisesti, luomaan </w:t>
      </w:r>
      <w:r>
        <w:rPr>
          <w:b/>
        </w:rPr>
        <w:t>kumppanuuksia nuorisotakuun tarjoajien ja asianomaisten sidosryhmien välille</w:t>
      </w:r>
      <w:r>
        <w:t xml:space="preserve"> sekä </w:t>
      </w:r>
      <w:r>
        <w:rPr>
          <w:b/>
        </w:rPr>
        <w:t>lisäämään julkisten työvoimapalvelujen valmiuksia</w:t>
      </w:r>
      <w:r>
        <w:t>.</w:t>
      </w:r>
    </w:p>
    <w:p w:rsidRPr="00DD23A2" w:rsidR="00D55B4C" w:rsidP="00D55B4C" w:rsidRDefault="00DD23A2" w14:paraId="6B442E8D" w14:textId="77777777">
      <w:pPr>
        <w:numPr>
          <w:ilvl w:val="0"/>
          <w:numId w:val="3"/>
        </w:numPr>
        <w:ind w:left="357" w:hanging="357"/>
        <w:contextualSpacing/>
      </w:pPr>
      <w:r>
        <w:t xml:space="preserve">kehottaa </w:t>
      </w:r>
      <w:r>
        <w:rPr>
          <w:b/>
        </w:rPr>
        <w:t>vahvistamaan EU:n ohjelmia ja alueellisia rakenteita</w:t>
      </w:r>
      <w:r>
        <w:t xml:space="preserve"> niin, että tavoitetaan entistä enemmän nuoria Länsi-Balkanin alueella tarjoamalla heille mahdollisuuksia koulutukseen, liikkuvuuteen, vapaaehtoistyöhön ja työllistymiseen. EU:n olisi autettava Länsi-Balkanin maita </w:t>
      </w:r>
      <w:r>
        <w:rPr>
          <w:b/>
        </w:rPr>
        <w:t>määrittämään keskeisiä aloja ja tapoja, joilla voitaisiin edistää muutoksia</w:t>
      </w:r>
      <w:r>
        <w:t xml:space="preserve"> kaikkien Länsi-Balkanin maiden kansalaisten, erityisesti nuorten, kannalta. Lisäksi sen olisi tutkittava edelleen tapoja </w:t>
      </w:r>
      <w:r>
        <w:rPr>
          <w:b/>
        </w:rPr>
        <w:t>tukea asiaankuuluvia nuorisorakenteita Länsi-Balkanilla</w:t>
      </w:r>
      <w:r>
        <w:t xml:space="preserve">, mikä mahdollistaa </w:t>
      </w:r>
      <w:r>
        <w:rPr>
          <w:b/>
        </w:rPr>
        <w:t>alueellisen nuorisopoliittisen vuoropuhelun</w:t>
      </w:r>
      <w:r>
        <w:t>.</w:t>
      </w:r>
    </w:p>
    <w:p w:rsidR="00DD23A2" w:rsidP="00D55B4C" w:rsidRDefault="00DD23A2" w14:paraId="31BAD8B3" w14:textId="77777777">
      <w:pPr>
        <w:numPr>
          <w:ilvl w:val="0"/>
          <w:numId w:val="3"/>
        </w:numPr>
        <w:ind w:left="357" w:hanging="357"/>
        <w:contextualSpacing/>
      </w:pPr>
      <w:r>
        <w:t xml:space="preserve">kehottaa EU:ta tukemaan edelleen Länsi-Balkanin maita </w:t>
      </w:r>
      <w:r>
        <w:rPr>
          <w:b/>
        </w:rPr>
        <w:t>nuorten osallistumisen parantamisessa</w:t>
      </w:r>
      <w:r>
        <w:t xml:space="preserve"> ja ottamaan huomioon koulutuksellisen liikkuvuuden positiivisen korrelaation </w:t>
      </w:r>
      <w:r>
        <w:rPr>
          <w:b/>
        </w:rPr>
        <w:t>nuorten yhteiskunnallisen ja poliittisen osallistumisen</w:t>
      </w:r>
      <w:r>
        <w:t xml:space="preserve"> kanssa.</w:t>
      </w:r>
    </w:p>
    <w:p w:rsidR="00DD23A2" w:rsidP="00D55B4C" w:rsidRDefault="00DD23A2" w14:paraId="68182012" w14:textId="77777777">
      <w:pPr>
        <w:numPr>
          <w:ilvl w:val="0"/>
          <w:numId w:val="3"/>
        </w:numPr>
        <w:ind w:left="357" w:hanging="357"/>
        <w:contextualSpacing/>
      </w:pPr>
      <w:r>
        <w:t xml:space="preserve">muistuttaa jälleen nuorten merkityksestä Länsi-Balkanin tulevaisuudelle ja samalla siitä, että on tärkeää toteuttaa </w:t>
      </w:r>
      <w:r>
        <w:rPr>
          <w:b/>
        </w:rPr>
        <w:t>konkreettisia toimenpiteitä alueen muuttamiseksi paikaksi, jossa nuorilla on tulevaisuudennäkymiä ja mahdollisuuksia, jotta he voivat jäädä sinne ja menestyä</w:t>
      </w:r>
      <w:r>
        <w:t>.</w:t>
      </w:r>
    </w:p>
    <w:p w:rsidRPr="009B70E7" w:rsidR="00D55B4C" w:rsidP="00D55B4C" w:rsidRDefault="00D55B4C" w14:paraId="0093329A"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56"/>
        <w:gridCol w:w="5670"/>
      </w:tblGrid>
      <w:tr w:rsidRPr="009B70E7" w:rsidR="00D55B4C" w:rsidTr="00D13F40" w14:paraId="0569EDD4" w14:textId="77777777">
        <w:tc>
          <w:tcPr>
            <w:tcW w:w="1418" w:type="dxa"/>
          </w:tcPr>
          <w:p w:rsidRPr="009B70E7" w:rsidR="00D55B4C" w:rsidP="00D13F40" w:rsidRDefault="00D55B4C" w14:paraId="2A08EC2E" w14:textId="77777777">
            <w:pPr>
              <w:pStyle w:val="ListParagraph"/>
              <w:ind w:left="0"/>
              <w:rPr>
                <w:i/>
              </w:rPr>
            </w:pPr>
            <w:r>
              <w:rPr>
                <w:b/>
                <w:i/>
              </w:rPr>
              <w:t>Yhteydenotot:</w:t>
            </w:r>
          </w:p>
        </w:tc>
        <w:tc>
          <w:tcPr>
            <w:tcW w:w="5670" w:type="dxa"/>
          </w:tcPr>
          <w:p w:rsidRPr="009B70E7" w:rsidR="00D55B4C" w:rsidP="00D13F40" w:rsidRDefault="00DD23A2" w14:paraId="335956F6" w14:textId="77777777">
            <w:pPr>
              <w:pStyle w:val="ListParagraph"/>
              <w:ind w:left="0"/>
              <w:rPr>
                <w:i/>
              </w:rPr>
            </w:pPr>
            <w:r>
              <w:rPr>
                <w:i/>
              </w:rPr>
              <w:t xml:space="preserve">David </w:t>
            </w:r>
            <w:proofErr w:type="spellStart"/>
            <w:r>
              <w:rPr>
                <w:i/>
              </w:rPr>
              <w:t>Hoić</w:t>
            </w:r>
            <w:proofErr w:type="spellEnd"/>
          </w:p>
        </w:tc>
      </w:tr>
      <w:tr w:rsidRPr="009B70E7" w:rsidR="00D55B4C" w:rsidTr="00D13F40" w14:paraId="4AA291B3" w14:textId="77777777">
        <w:tc>
          <w:tcPr>
            <w:tcW w:w="1418" w:type="dxa"/>
          </w:tcPr>
          <w:p w:rsidRPr="009B70E7" w:rsidR="00D55B4C" w:rsidP="00D13F40" w:rsidRDefault="00D55B4C" w14:paraId="4BD5A0AA" w14:textId="77777777">
            <w:pPr>
              <w:pStyle w:val="ListParagraph"/>
              <w:ind w:left="601"/>
              <w:rPr>
                <w:i/>
              </w:rPr>
            </w:pPr>
            <w:r>
              <w:rPr>
                <w:i/>
              </w:rPr>
              <w:t>P.</w:t>
            </w:r>
          </w:p>
        </w:tc>
        <w:tc>
          <w:tcPr>
            <w:tcW w:w="5670" w:type="dxa"/>
          </w:tcPr>
          <w:p w:rsidRPr="009B70E7" w:rsidR="00D55B4C" w:rsidP="00D13F40" w:rsidRDefault="00DD23A2" w14:paraId="5D817641" w14:textId="77777777">
            <w:pPr>
              <w:pStyle w:val="ListParagraph"/>
              <w:ind w:left="0"/>
              <w:rPr>
                <w:i/>
              </w:rPr>
            </w:pPr>
            <w:r>
              <w:rPr>
                <w:i/>
              </w:rPr>
              <w:t>+32 25469069</w:t>
            </w:r>
          </w:p>
        </w:tc>
      </w:tr>
      <w:tr w:rsidRPr="009B70E7" w:rsidR="00D55B4C" w:rsidTr="00D13F40" w14:paraId="511A434F" w14:textId="77777777">
        <w:tc>
          <w:tcPr>
            <w:tcW w:w="1418" w:type="dxa"/>
          </w:tcPr>
          <w:p w:rsidRPr="009B70E7" w:rsidR="00D55B4C" w:rsidP="00D13F40" w:rsidRDefault="00D55B4C" w14:paraId="59BC640E" w14:textId="77777777">
            <w:pPr>
              <w:pStyle w:val="ListParagraph"/>
              <w:ind w:left="601"/>
              <w:rPr>
                <w:i/>
              </w:rPr>
            </w:pPr>
            <w:r>
              <w:rPr>
                <w:i/>
              </w:rPr>
              <w:t>Sähköposti:</w:t>
            </w:r>
          </w:p>
        </w:tc>
        <w:tc>
          <w:tcPr>
            <w:tcW w:w="5670" w:type="dxa"/>
          </w:tcPr>
          <w:p w:rsidRPr="009B70E7" w:rsidR="00D55B4C" w:rsidP="00D13F40" w:rsidRDefault="00216BAA" w14:paraId="2B5759BC" w14:textId="77777777">
            <w:pPr>
              <w:pStyle w:val="ListParagraph"/>
              <w:ind w:left="0"/>
              <w:rPr>
                <w:i/>
              </w:rPr>
            </w:pPr>
            <w:hyperlink w:history="1" r:id="rId39">
              <w:r w:rsidR="00EB3BD7">
                <w:rPr>
                  <w:rStyle w:val="Hyperlink"/>
                  <w:i/>
                </w:rPr>
                <w:t>David.Hoic@eesc.europa.eu</w:t>
              </w:r>
            </w:hyperlink>
          </w:p>
        </w:tc>
      </w:tr>
    </w:tbl>
    <w:p w:rsidR="00910972" w:rsidP="00A10A98" w:rsidRDefault="00910972" w14:paraId="77950882" w14:textId="4A0E5534">
      <w:pPr>
        <w:spacing w:line="240" w:lineRule="auto"/>
        <w:jc w:val="left"/>
        <w:rPr>
          <w:szCs w:val="28"/>
        </w:rPr>
      </w:pPr>
    </w:p>
    <w:p w:rsidR="00910972" w:rsidRDefault="00910972" w14:paraId="22E7970A" w14:textId="77777777">
      <w:pPr>
        <w:spacing w:after="160" w:line="259" w:lineRule="auto"/>
        <w:jc w:val="left"/>
        <w:rPr>
          <w:szCs w:val="28"/>
        </w:rPr>
      </w:pPr>
      <w:r>
        <w:br w:type="page"/>
      </w:r>
    </w:p>
    <w:p w:rsidRPr="009B70E7" w:rsidR="00370CCB" w:rsidP="00370CCB" w:rsidRDefault="00D35C97" w14:paraId="2BF1BAE1" w14:textId="7425C1EF">
      <w:pPr>
        <w:pStyle w:val="ListParagraph"/>
        <w:keepNext/>
        <w:numPr>
          <w:ilvl w:val="0"/>
          <w:numId w:val="2"/>
        </w:numPr>
        <w:ind w:left="567" w:hanging="567"/>
        <w:rPr>
          <w:b/>
          <w:i/>
          <w:sz w:val="28"/>
          <w:szCs w:val="28"/>
        </w:rPr>
      </w:pPr>
      <w:r>
        <w:rPr>
          <w:b/>
          <w:i/>
          <w:sz w:val="28"/>
        </w:rPr>
        <w:lastRenderedPageBreak/>
        <w:t xml:space="preserve">Analyysi järjestäytyneen kansalaisyhteiskunnan roolista EU:n ja Afrikan, Karibian ja Tyynenmeren valtioiden järjestön (AKT-järjestö) uudessa sopimuksessa, mukaan lukien talouskumppanuussopimusten tilanne </w:t>
      </w:r>
    </w:p>
    <w:p w:rsidRPr="009B70E7" w:rsidR="00370CCB" w:rsidP="00370CCB" w:rsidRDefault="00370CCB" w14:paraId="739B23CD" w14:textId="77777777">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9B70E7" w:rsidR="00370CCB" w:rsidTr="00BC41D9" w14:paraId="18E45DF9" w14:textId="77777777">
        <w:tc>
          <w:tcPr>
            <w:tcW w:w="1701" w:type="dxa"/>
          </w:tcPr>
          <w:p w:rsidRPr="009B70E7" w:rsidR="00370CCB" w:rsidP="00BC41D9" w:rsidRDefault="00370CCB" w14:paraId="21B9560D" w14:textId="77777777">
            <w:pPr>
              <w:pStyle w:val="ListParagraph"/>
              <w:keepNext/>
              <w:ind w:left="0"/>
              <w:rPr>
                <w:b/>
              </w:rPr>
            </w:pPr>
            <w:r>
              <w:rPr>
                <w:b/>
              </w:rPr>
              <w:t>Esittelijä:</w:t>
            </w:r>
          </w:p>
        </w:tc>
        <w:tc>
          <w:tcPr>
            <w:tcW w:w="5387" w:type="dxa"/>
          </w:tcPr>
          <w:p w:rsidRPr="009B70E7" w:rsidR="00370CCB" w:rsidP="00BC41D9" w:rsidRDefault="00D35C97" w14:paraId="5E26FDD3" w14:textId="77777777">
            <w:pPr>
              <w:pStyle w:val="ListParagraph"/>
              <w:keepNext/>
              <w:ind w:left="-106"/>
            </w:pPr>
            <w:r>
              <w:t xml:space="preserve">Carlos Manuel </w:t>
            </w:r>
            <w:proofErr w:type="spellStart"/>
            <w:r>
              <w:t>Trindade</w:t>
            </w:r>
            <w:proofErr w:type="spellEnd"/>
            <w:r>
              <w:t xml:space="preserve"> (työntekijät – PT)</w:t>
            </w:r>
          </w:p>
        </w:tc>
      </w:tr>
      <w:tr w:rsidRPr="009B70E7" w:rsidR="00370CCB" w:rsidTr="00BC41D9" w14:paraId="66A4D987" w14:textId="77777777">
        <w:tc>
          <w:tcPr>
            <w:tcW w:w="1701" w:type="dxa"/>
          </w:tcPr>
          <w:p w:rsidRPr="009B70E7" w:rsidR="00370CCB" w:rsidP="00BC41D9" w:rsidRDefault="00370CCB" w14:paraId="0BF5D687" w14:textId="77777777">
            <w:pPr>
              <w:pStyle w:val="ListParagraph"/>
              <w:keepNext/>
              <w:ind w:left="0"/>
              <w:rPr>
                <w:b/>
              </w:rPr>
            </w:pPr>
          </w:p>
        </w:tc>
        <w:tc>
          <w:tcPr>
            <w:tcW w:w="5387" w:type="dxa"/>
          </w:tcPr>
          <w:p w:rsidRPr="009B70E7" w:rsidR="00370CCB" w:rsidP="00BC41D9" w:rsidRDefault="00370CCB" w14:paraId="7133ADF1" w14:textId="77777777">
            <w:pPr>
              <w:pStyle w:val="ListParagraph"/>
              <w:keepNext/>
              <w:ind w:left="-106"/>
            </w:pPr>
          </w:p>
        </w:tc>
      </w:tr>
      <w:tr w:rsidRPr="009B70E7" w:rsidR="00370CCB" w:rsidTr="00BC41D9" w14:paraId="072D9F90" w14:textId="77777777">
        <w:tc>
          <w:tcPr>
            <w:tcW w:w="1701" w:type="dxa"/>
          </w:tcPr>
          <w:p w:rsidRPr="007B231B" w:rsidR="00370CCB" w:rsidP="00BC41D9" w:rsidRDefault="00370CCB" w14:paraId="5D3A0E4C" w14:textId="77777777">
            <w:pPr>
              <w:pStyle w:val="ListParagraph"/>
              <w:keepNext/>
              <w:ind w:left="0"/>
              <w:rPr>
                <w:b/>
              </w:rPr>
            </w:pPr>
            <w:r>
              <w:rPr>
                <w:b/>
              </w:rPr>
              <w:t xml:space="preserve">Viiteasiakirja: </w:t>
            </w:r>
          </w:p>
        </w:tc>
        <w:tc>
          <w:tcPr>
            <w:tcW w:w="5387" w:type="dxa"/>
          </w:tcPr>
          <w:p w:rsidRPr="00163106" w:rsidR="00370CCB" w:rsidP="00BC41D9" w:rsidRDefault="00D35C97" w14:paraId="174355ED" w14:textId="77777777">
            <w:pPr>
              <w:pStyle w:val="ListParagraph"/>
              <w:keepNext/>
              <w:ind w:left="-106"/>
              <w:rPr>
                <w:iCs/>
                <w:color w:val="000000"/>
              </w:rPr>
            </w:pPr>
            <w:r>
              <w:rPr>
                <w:color w:val="000000"/>
              </w:rPr>
              <w:t>oma-aloitteinen lausunto</w:t>
            </w:r>
          </w:p>
          <w:p w:rsidRPr="007B231B" w:rsidR="00370CCB" w:rsidP="00BC41D9" w:rsidRDefault="00BC29C8" w14:paraId="0D44102F" w14:textId="77777777">
            <w:pPr>
              <w:pStyle w:val="ListParagraph"/>
              <w:keepNext/>
              <w:ind w:left="-106"/>
            </w:pPr>
            <w:r>
              <w:t>EESC-2022-00344-00-00-AC</w:t>
            </w:r>
          </w:p>
        </w:tc>
      </w:tr>
    </w:tbl>
    <w:p w:rsidRPr="009B70E7" w:rsidR="00370CCB" w:rsidP="00370CCB" w:rsidRDefault="00370CCB" w14:paraId="7C4F0B89" w14:textId="77777777">
      <w:pPr>
        <w:pStyle w:val="ListParagraph"/>
        <w:keepNext/>
        <w:ind w:left="567"/>
      </w:pPr>
    </w:p>
    <w:p w:rsidR="00370CCB" w:rsidP="001F1862" w:rsidRDefault="00370CCB" w14:paraId="7F7A77C2" w14:textId="453CEF85">
      <w:pPr>
        <w:pStyle w:val="ListParagraph"/>
        <w:keepNext/>
        <w:ind w:left="0"/>
        <w:rPr>
          <w:b/>
        </w:rPr>
      </w:pPr>
      <w:r>
        <w:rPr>
          <w:b/>
        </w:rPr>
        <w:t>Keskeiset kohdat</w:t>
      </w:r>
    </w:p>
    <w:p w:rsidR="00D35C97" w:rsidP="001F1862" w:rsidRDefault="00D35C97" w14:paraId="18514A63" w14:textId="77777777">
      <w:pPr>
        <w:pStyle w:val="ListParagraph"/>
        <w:keepNext/>
        <w:ind w:left="0"/>
        <w:rPr>
          <w:b/>
        </w:rPr>
      </w:pPr>
    </w:p>
    <w:p w:rsidRPr="009B70E7" w:rsidR="00D35C97" w:rsidP="001F1862" w:rsidRDefault="00D35C97" w14:paraId="019F63A7" w14:textId="77777777">
      <w:pPr>
        <w:pStyle w:val="ListParagraph"/>
        <w:keepNext/>
        <w:ind w:left="0"/>
        <w:rPr>
          <w:b/>
        </w:rPr>
      </w:pPr>
      <w:r>
        <w:t>ETSK</w:t>
      </w:r>
    </w:p>
    <w:p w:rsidR="00370CCB" w:rsidP="00370CCB" w:rsidRDefault="00370CCB" w14:paraId="5ABEAD2C" w14:textId="77777777">
      <w:pPr>
        <w:pStyle w:val="ListParagraph"/>
        <w:ind w:left="0"/>
      </w:pPr>
    </w:p>
    <w:p w:rsidRPr="004646AF" w:rsidR="00370CCB" w:rsidP="00370CCB" w:rsidRDefault="00D35C97" w14:paraId="600650F8" w14:textId="77777777">
      <w:pPr>
        <w:numPr>
          <w:ilvl w:val="0"/>
          <w:numId w:val="3"/>
        </w:numPr>
        <w:ind w:left="357" w:hanging="357"/>
        <w:contextualSpacing/>
      </w:pPr>
      <w:r>
        <w:t xml:space="preserve">tukee yleisesti </w:t>
      </w:r>
      <w:r>
        <w:rPr>
          <w:b/>
        </w:rPr>
        <w:t>uutta sopimusta</w:t>
      </w:r>
      <w:r>
        <w:t xml:space="preserve">, toivoo, että osapuolet voivat allekirjoittaa sen pikaisesti, ja on tyytyväinen osapuolten mittaviin ponnisteluihin ja merkittäviin sitoumuksiin, joita on tehty </w:t>
      </w:r>
      <w:r>
        <w:rPr>
          <w:b/>
        </w:rPr>
        <w:t>YK:n kestävän kehityksen tavoitteiden viitekehyksessä</w:t>
      </w:r>
      <w:r>
        <w:t>.</w:t>
      </w:r>
    </w:p>
    <w:p w:rsidRPr="00D630B8" w:rsidR="00D423EB" w:rsidP="00A74B4C" w:rsidRDefault="00D35C97" w14:paraId="6D5D132E" w14:textId="77777777">
      <w:pPr>
        <w:numPr>
          <w:ilvl w:val="0"/>
          <w:numId w:val="3"/>
        </w:numPr>
        <w:ind w:left="357" w:hanging="357"/>
        <w:contextualSpacing/>
      </w:pPr>
      <w:r>
        <w:t xml:space="preserve">huomauttaa, että kansalaisyhteiskunnan organisaatiolla ja työmarkkinaosapuolilla on oltava säännellyt ja virallisesti toimivat institutionaaliset mekanismit, kutsutaan niitä sitten millä nimellä tahansa (talous-, </w:t>
      </w:r>
      <w:proofErr w:type="spellStart"/>
      <w:r>
        <w:t>sosiaali</w:t>
      </w:r>
      <w:proofErr w:type="spellEnd"/>
      <w:r>
        <w:t xml:space="preserve">- ja kulttuurikomiteat, neuvoa-antavat neuvostot, foorumit, kansalaisyhteiskunnan organisaatioiden verkostot, pysyvät konferenssit tai muut kokoonpanot), joiden puitteissa </w:t>
      </w:r>
      <w:r>
        <w:rPr>
          <w:b/>
        </w:rPr>
        <w:t>kansalaisyhteiskunnan organisaatiot (jotka käyvät kansalaisvuoropuhelua) ja työmarkkinaosapuolet (jotka käyvät työmarkkinaosapuolten vuoropuhelua) osallistuvat julkiseen ja demokraattiseen keskusteluun</w:t>
      </w:r>
      <w:r>
        <w:t>.</w:t>
      </w:r>
    </w:p>
    <w:p w:rsidRPr="00D630B8" w:rsidR="00370CCB" w:rsidP="00370CCB" w:rsidRDefault="00D35C97" w14:paraId="26B5CACB" w14:textId="77777777">
      <w:pPr>
        <w:numPr>
          <w:ilvl w:val="0"/>
          <w:numId w:val="3"/>
        </w:numPr>
        <w:ind w:left="357" w:hanging="357"/>
        <w:contextualSpacing/>
      </w:pPr>
      <w:r>
        <w:t xml:space="preserve">ehdottaa, että komissio asettaisi tavoitteeksi </w:t>
      </w:r>
      <w:r>
        <w:rPr>
          <w:b/>
        </w:rPr>
        <w:t>neljän institutionaalisen mekanismin</w:t>
      </w:r>
      <w:r>
        <w:t xml:space="preserve"> perustamisen: ensimmäinen EU:n ja AKT-järjestön välille, toinen EU:n ja Afrikan välille, kolmas EU:n ja Karibian välille ja neljäs EU:n ja Tyynenmeren alueen välille.</w:t>
      </w:r>
    </w:p>
    <w:p w:rsidRPr="00D630B8" w:rsidR="00370CCB" w:rsidP="00370CCB" w:rsidRDefault="00D35C97" w14:paraId="2731839F" w14:textId="77777777">
      <w:pPr>
        <w:numPr>
          <w:ilvl w:val="0"/>
          <w:numId w:val="3"/>
        </w:numPr>
        <w:ind w:left="357" w:hanging="357"/>
        <w:contextualSpacing/>
      </w:pPr>
      <w:r>
        <w:t xml:space="preserve">ehdottaa komissiolle myös, että </w:t>
      </w:r>
      <w:r>
        <w:rPr>
          <w:b/>
        </w:rPr>
        <w:t>talouskumppanuussopimuksien yhteyteen perustetaan neuvoa-antavia komiteoita</w:t>
      </w:r>
      <w:r>
        <w:t>.</w:t>
      </w:r>
    </w:p>
    <w:p w:rsidR="00370CCB" w:rsidP="00D423EB" w:rsidRDefault="00D35C97" w14:paraId="3193353E" w14:textId="77777777">
      <w:pPr>
        <w:numPr>
          <w:ilvl w:val="0"/>
          <w:numId w:val="3"/>
        </w:numPr>
        <w:ind w:left="357" w:hanging="357"/>
        <w:contextualSpacing/>
      </w:pPr>
      <w:r>
        <w:t xml:space="preserve">esittää painokkaasti, että komissio ottaisi käyttöön rahoitusvälineitä </w:t>
      </w:r>
      <w:r>
        <w:rPr>
          <w:b/>
        </w:rPr>
        <w:t xml:space="preserve">AKT-maiden kansalaisyhteiskunnan organisaatioiden ja työmarkkinaosapuolten tutkimus- ja ennakointiohjelmien ja </w:t>
      </w:r>
      <w:r>
        <w:rPr>
          <w:b/>
        </w:rPr>
        <w:noBreakHyphen/>
        <w:t>hankkeiden</w:t>
      </w:r>
      <w:r>
        <w:t xml:space="preserve"> tukemiseksi kiinnittäen huomiota niiden tarpeisiin johtajien valmiuksien kehittämisen, organisaatioiden teknisen vahvistamisen ja suunniteltujen institutionaalisten mekanismien täytäntöönpanon suhteen.</w:t>
      </w:r>
    </w:p>
    <w:p w:rsidRPr="009B70E7" w:rsidR="00BC29C8" w:rsidP="00D423EB" w:rsidRDefault="00D35C97" w14:paraId="776E5420" w14:textId="77777777">
      <w:pPr>
        <w:numPr>
          <w:ilvl w:val="0"/>
          <w:numId w:val="3"/>
        </w:numPr>
        <w:ind w:left="357" w:hanging="357"/>
        <w:contextualSpacing/>
      </w:pPr>
      <w:r>
        <w:t xml:space="preserve">kehottaa vakaasti komissiota tukemaan </w:t>
      </w:r>
      <w:proofErr w:type="spellStart"/>
      <w:r>
        <w:rPr>
          <w:b/>
        </w:rPr>
        <w:t>ETSK:ssa</w:t>
      </w:r>
      <w:proofErr w:type="spellEnd"/>
      <w:r>
        <w:rPr>
          <w:b/>
        </w:rPr>
        <w:t xml:space="preserve"> toimivan EU:n ja AKT-maiden seurantakomitean</w:t>
      </w:r>
      <w:r>
        <w:t xml:space="preserve"> työtä. Se on ainoa EU:n ja AKT-järjestön uuden sopimuksen puitteissa tällä hetkellä käytössä oleva institutionaalinen mekanismi, ja sillä on entistä vahvempi rooli tässä prosessissa erityisesti jäsennellyn vuoropuhelun kautta. Se voi (i) esittää instituutioille </w:t>
      </w:r>
      <w:r>
        <w:rPr>
          <w:b/>
        </w:rPr>
        <w:t>asiaan liittyviä raportteja, hankkeita ja lausuntoja</w:t>
      </w:r>
      <w:r>
        <w:t xml:space="preserve">, (ii) kannustaa </w:t>
      </w:r>
      <w:r>
        <w:rPr>
          <w:b/>
        </w:rPr>
        <w:t>AKT-maiden sidosryhmiä osallistumaan</w:t>
      </w:r>
      <w:r>
        <w:t xml:space="preserve"> ja (iii) edistää osaltaan </w:t>
      </w:r>
      <w:r>
        <w:rPr>
          <w:b/>
        </w:rPr>
        <w:t>suunniteltujen institutionaalisten mekanismien perustamista</w:t>
      </w:r>
      <w:r>
        <w:t>.</w:t>
      </w:r>
    </w:p>
    <w:p w:rsidR="00370CCB" w:rsidP="00370CCB" w:rsidRDefault="00370CCB" w14:paraId="5E9E5033" w14:textId="2B4C2D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56"/>
        <w:gridCol w:w="5725"/>
      </w:tblGrid>
      <w:tr w:rsidRPr="009B70E7" w:rsidR="00910972" w:rsidTr="00956ECB" w14:paraId="7BA9BA0D" w14:textId="77777777">
        <w:trPr>
          <w:trHeight w:val="186"/>
        </w:trPr>
        <w:tc>
          <w:tcPr>
            <w:tcW w:w="1431" w:type="dxa"/>
          </w:tcPr>
          <w:p w:rsidRPr="009B70E7" w:rsidR="00910972" w:rsidP="00956ECB" w:rsidRDefault="00910972" w14:paraId="52E9E39C" w14:textId="77777777">
            <w:pPr>
              <w:pStyle w:val="ListParagraph"/>
              <w:ind w:left="0"/>
              <w:rPr>
                <w:i/>
              </w:rPr>
            </w:pPr>
            <w:r>
              <w:rPr>
                <w:b/>
                <w:i/>
              </w:rPr>
              <w:t>Yhteydenotot:</w:t>
            </w:r>
          </w:p>
        </w:tc>
        <w:tc>
          <w:tcPr>
            <w:tcW w:w="5725" w:type="dxa"/>
          </w:tcPr>
          <w:p w:rsidRPr="009B70E7" w:rsidR="00910972" w:rsidP="00956ECB" w:rsidRDefault="00910972" w14:paraId="71CDB51B" w14:textId="77777777">
            <w:pPr>
              <w:pStyle w:val="ListParagraph"/>
              <w:ind w:left="0"/>
              <w:rPr>
                <w:i/>
              </w:rPr>
            </w:pPr>
            <w:proofErr w:type="spellStart"/>
            <w:r>
              <w:rPr>
                <w:i/>
              </w:rPr>
              <w:t>Cédric</w:t>
            </w:r>
            <w:proofErr w:type="spellEnd"/>
            <w:r>
              <w:rPr>
                <w:i/>
              </w:rPr>
              <w:t xml:space="preserve"> </w:t>
            </w:r>
            <w:proofErr w:type="spellStart"/>
            <w:r>
              <w:rPr>
                <w:i/>
              </w:rPr>
              <w:t>Cabanne</w:t>
            </w:r>
            <w:proofErr w:type="spellEnd"/>
          </w:p>
        </w:tc>
      </w:tr>
      <w:tr w:rsidRPr="009B70E7" w:rsidR="00910972" w:rsidTr="00956ECB" w14:paraId="20460503" w14:textId="77777777">
        <w:trPr>
          <w:trHeight w:val="193"/>
        </w:trPr>
        <w:tc>
          <w:tcPr>
            <w:tcW w:w="1431" w:type="dxa"/>
          </w:tcPr>
          <w:p w:rsidRPr="009B70E7" w:rsidR="00910972" w:rsidP="00956ECB" w:rsidRDefault="00910972" w14:paraId="39537EA2" w14:textId="77777777">
            <w:pPr>
              <w:pStyle w:val="ListParagraph"/>
              <w:ind w:left="601"/>
              <w:rPr>
                <w:i/>
              </w:rPr>
            </w:pPr>
            <w:r>
              <w:rPr>
                <w:i/>
              </w:rPr>
              <w:t>P.</w:t>
            </w:r>
          </w:p>
        </w:tc>
        <w:tc>
          <w:tcPr>
            <w:tcW w:w="5725" w:type="dxa"/>
          </w:tcPr>
          <w:p w:rsidRPr="009B70E7" w:rsidR="00910972" w:rsidP="00956ECB" w:rsidRDefault="00910972" w14:paraId="532DD4B5" w14:textId="77777777">
            <w:pPr>
              <w:pStyle w:val="ListParagraph"/>
              <w:ind w:left="0"/>
              <w:rPr>
                <w:i/>
              </w:rPr>
            </w:pPr>
            <w:r>
              <w:rPr>
                <w:i/>
              </w:rPr>
              <w:t>+32 25469355</w:t>
            </w:r>
          </w:p>
        </w:tc>
      </w:tr>
      <w:tr w:rsidRPr="003E692C" w:rsidR="00910972" w:rsidTr="00956ECB" w14:paraId="1074F3A5" w14:textId="77777777">
        <w:trPr>
          <w:trHeight w:val="364"/>
        </w:trPr>
        <w:tc>
          <w:tcPr>
            <w:tcW w:w="1431" w:type="dxa"/>
          </w:tcPr>
          <w:p w:rsidRPr="009B70E7" w:rsidR="00910972" w:rsidP="00956ECB" w:rsidRDefault="00910972" w14:paraId="393B1517" w14:textId="77777777">
            <w:pPr>
              <w:pStyle w:val="ListParagraph"/>
              <w:ind w:left="601"/>
              <w:rPr>
                <w:i/>
              </w:rPr>
            </w:pPr>
            <w:r>
              <w:rPr>
                <w:i/>
              </w:rPr>
              <w:t>Sähköposti:</w:t>
            </w:r>
          </w:p>
        </w:tc>
        <w:tc>
          <w:tcPr>
            <w:tcW w:w="5725" w:type="dxa"/>
          </w:tcPr>
          <w:p w:rsidRPr="003E692C" w:rsidR="00910972" w:rsidP="00956ECB" w:rsidRDefault="00216BAA" w14:paraId="2AA4D465" w14:textId="77777777">
            <w:pPr>
              <w:pStyle w:val="ListParagraph"/>
              <w:ind w:left="0"/>
              <w:rPr>
                <w:i/>
                <w:color w:val="0000FF"/>
                <w:u w:val="single"/>
              </w:rPr>
            </w:pPr>
            <w:hyperlink w:history="1" r:id="rId40">
              <w:r w:rsidR="00EB3BD7">
                <w:rPr>
                  <w:rStyle w:val="Hyperlink"/>
                  <w:i/>
                </w:rPr>
                <w:t>Cédric.Cabanne@eesc.europa.eu</w:t>
              </w:r>
            </w:hyperlink>
          </w:p>
        </w:tc>
      </w:tr>
    </w:tbl>
    <w:p w:rsidR="00910972" w:rsidP="00370CCB" w:rsidRDefault="00910972" w14:paraId="246A3448" w14:textId="1C4DE147"/>
    <w:p w:rsidR="00910972" w:rsidRDefault="00910972" w14:paraId="72C81FE1" w14:textId="77777777">
      <w:pPr>
        <w:spacing w:after="160" w:line="259" w:lineRule="auto"/>
        <w:jc w:val="left"/>
      </w:pPr>
      <w:r>
        <w:br w:type="page"/>
      </w:r>
    </w:p>
    <w:p w:rsidRPr="003E692C" w:rsidR="00745EAA" w:rsidP="00F64D7F" w:rsidRDefault="00745EAA" w14:paraId="43F93309" w14:textId="77777777">
      <w:pPr>
        <w:pStyle w:val="Heading1"/>
        <w:keepNext/>
        <w:spacing w:line="240" w:lineRule="auto"/>
        <w:rPr>
          <w:b/>
        </w:rPr>
      </w:pPr>
      <w:bookmarkStart w:name="_Toc109906486" w:id="19"/>
      <w:r>
        <w:rPr>
          <w:b/>
        </w:rPr>
        <w:lastRenderedPageBreak/>
        <w:t>NEUVOA-ANTAVA VALIOKUNTA ”TEOLLISUUDEN MUUTOKSET”</w:t>
      </w:r>
      <w:bookmarkEnd w:id="19"/>
    </w:p>
    <w:p w:rsidRPr="00F64D7F" w:rsidR="006E3F60" w:rsidP="00F64D7F" w:rsidRDefault="006E3F60" w14:paraId="4A27BE14" w14:textId="59D4B4EC">
      <w:pPr>
        <w:keepNext/>
        <w:keepLines/>
        <w:spacing w:line="240" w:lineRule="auto"/>
        <w:contextualSpacing/>
        <w:rPr>
          <w:b/>
        </w:rPr>
      </w:pPr>
    </w:p>
    <w:p w:rsidRPr="00092425" w:rsidR="006E3F60" w:rsidP="00F64D7F" w:rsidRDefault="00092425" w14:paraId="1EE44511" w14:textId="50290012">
      <w:pPr>
        <w:keepNext/>
        <w:keepLines/>
        <w:numPr>
          <w:ilvl w:val="0"/>
          <w:numId w:val="2"/>
        </w:numPr>
        <w:spacing w:line="240" w:lineRule="auto"/>
        <w:ind w:left="567" w:hanging="567"/>
        <w:contextualSpacing/>
      </w:pPr>
      <w:r>
        <w:rPr>
          <w:b/>
          <w:i/>
          <w:sz w:val="28"/>
        </w:rPr>
        <w:t>EU:n tekstiilistrategia</w:t>
      </w:r>
    </w:p>
    <w:p w:rsidRPr="006E3F60" w:rsidR="00092425" w:rsidP="00F64D7F" w:rsidRDefault="00092425" w14:paraId="4FF48D94" w14:textId="77777777">
      <w:pPr>
        <w:keepNext/>
        <w:keepLines/>
        <w:spacing w:line="240" w:lineRule="auto"/>
        <w:ind w:left="567"/>
        <w:contextualSpacing/>
      </w:pPr>
    </w:p>
    <w:tbl>
      <w:tblPr>
        <w:tblStyle w:val="TableGrid6"/>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6946"/>
      </w:tblGrid>
      <w:tr w:rsidRPr="006E3F60" w:rsidR="006E3F60" w:rsidTr="00C25DB3" w14:paraId="25907EC0" w14:textId="77777777">
        <w:tc>
          <w:tcPr>
            <w:tcW w:w="1701" w:type="dxa"/>
          </w:tcPr>
          <w:p w:rsidRPr="006E3F60" w:rsidR="006E3F60" w:rsidP="006E3F60" w:rsidRDefault="006E3F60" w14:paraId="363A590B" w14:textId="77777777">
            <w:pPr>
              <w:keepNext/>
              <w:contextualSpacing/>
              <w:rPr>
                <w:b/>
              </w:rPr>
            </w:pPr>
            <w:r>
              <w:rPr>
                <w:b/>
              </w:rPr>
              <w:t>Esittelijä:</w:t>
            </w:r>
          </w:p>
        </w:tc>
        <w:tc>
          <w:tcPr>
            <w:tcW w:w="6946" w:type="dxa"/>
          </w:tcPr>
          <w:p w:rsidRPr="006E3F60" w:rsidR="006E3F60" w:rsidP="006E3F60" w:rsidRDefault="00C25DB3" w14:paraId="7776D9DA" w14:textId="77777777">
            <w:pPr>
              <w:keepNext/>
              <w:ind w:left="-106"/>
              <w:contextualSpacing/>
            </w:pPr>
            <w:proofErr w:type="spellStart"/>
            <w:r>
              <w:t>Florian</w:t>
            </w:r>
            <w:proofErr w:type="spellEnd"/>
            <w:r>
              <w:t xml:space="preserve"> Marin (86 art. 2 kohta – </w:t>
            </w:r>
            <w:proofErr w:type="spellStart"/>
            <w:r>
              <w:t>Dumitri</w:t>
            </w:r>
            <w:proofErr w:type="spellEnd"/>
            <w:r>
              <w:t xml:space="preserve"> </w:t>
            </w:r>
            <w:proofErr w:type="spellStart"/>
            <w:r>
              <w:t>Fornea</w:t>
            </w:r>
            <w:proofErr w:type="spellEnd"/>
            <w:r>
              <w:t>) (työntekijät – RO)</w:t>
            </w:r>
          </w:p>
        </w:tc>
      </w:tr>
      <w:tr w:rsidRPr="006E3F60" w:rsidR="006E3F60" w:rsidTr="00C25DB3" w14:paraId="3818F306" w14:textId="77777777">
        <w:tc>
          <w:tcPr>
            <w:tcW w:w="1701" w:type="dxa"/>
          </w:tcPr>
          <w:p w:rsidRPr="006E3F60" w:rsidR="006E3F60" w:rsidP="006E3F60" w:rsidRDefault="006E3F60" w14:paraId="335B5DA6" w14:textId="77777777">
            <w:pPr>
              <w:keepNext/>
              <w:contextualSpacing/>
              <w:rPr>
                <w:b/>
              </w:rPr>
            </w:pPr>
            <w:r>
              <w:rPr>
                <w:b/>
              </w:rPr>
              <w:t>Yhteisesittelijä:</w:t>
            </w:r>
          </w:p>
        </w:tc>
        <w:tc>
          <w:tcPr>
            <w:tcW w:w="6946" w:type="dxa"/>
          </w:tcPr>
          <w:p w:rsidRPr="006E3F60" w:rsidR="006E3F60" w:rsidP="006E3F60" w:rsidRDefault="00C25DB3" w14:paraId="5324713C" w14:textId="77777777">
            <w:pPr>
              <w:keepNext/>
              <w:ind w:left="-106"/>
              <w:contextualSpacing/>
            </w:pPr>
            <w:proofErr w:type="spellStart"/>
            <w:r>
              <w:t>Antonello</w:t>
            </w:r>
            <w:proofErr w:type="spellEnd"/>
            <w:r>
              <w:t xml:space="preserve"> </w:t>
            </w:r>
            <w:proofErr w:type="spellStart"/>
            <w:r>
              <w:t>Pezzini</w:t>
            </w:r>
            <w:proofErr w:type="spellEnd"/>
            <w:r>
              <w:t xml:space="preserve"> (kat. 1 – IT)</w:t>
            </w:r>
          </w:p>
        </w:tc>
      </w:tr>
      <w:tr w:rsidRPr="006E3F60" w:rsidR="006E3F60" w:rsidTr="00C25DB3" w14:paraId="3B98D2DD" w14:textId="77777777">
        <w:tc>
          <w:tcPr>
            <w:tcW w:w="8647" w:type="dxa"/>
            <w:gridSpan w:val="2"/>
          </w:tcPr>
          <w:p w:rsidRPr="006E3F60" w:rsidR="006E3F60" w:rsidP="00F64D7F" w:rsidRDefault="006E3F60" w14:paraId="302FFA0F" w14:textId="77777777">
            <w:pPr>
              <w:keepNext/>
              <w:spacing w:line="240" w:lineRule="auto"/>
              <w:contextualSpacing/>
            </w:pPr>
          </w:p>
        </w:tc>
      </w:tr>
      <w:tr w:rsidRPr="006E3F60" w:rsidR="006E3F60" w:rsidTr="00C25DB3" w14:paraId="5C47C9B0" w14:textId="77777777">
        <w:tc>
          <w:tcPr>
            <w:tcW w:w="1701" w:type="dxa"/>
          </w:tcPr>
          <w:p w:rsidRPr="006E3F60" w:rsidR="006E3F60" w:rsidP="006E3F60" w:rsidRDefault="006E3F60" w14:paraId="70DE31B6" w14:textId="77777777">
            <w:pPr>
              <w:keepNext/>
              <w:contextualSpacing/>
              <w:rPr>
                <w:b/>
              </w:rPr>
            </w:pPr>
            <w:r>
              <w:rPr>
                <w:b/>
              </w:rPr>
              <w:t xml:space="preserve">Viiteasiakirjat: </w:t>
            </w:r>
          </w:p>
        </w:tc>
        <w:tc>
          <w:tcPr>
            <w:tcW w:w="6946" w:type="dxa"/>
          </w:tcPr>
          <w:p w:rsidRPr="006E3F60" w:rsidR="006E3F60" w:rsidP="006E3F60" w:rsidRDefault="00092425" w14:paraId="1726139F" w14:textId="4384C9D6">
            <w:pPr>
              <w:keepNext/>
              <w:ind w:left="-106"/>
              <w:contextualSpacing/>
              <w:rPr>
                <w:iCs/>
                <w:color w:val="000000"/>
              </w:rPr>
            </w:pPr>
            <w:r>
              <w:rPr>
                <w:color w:val="000000"/>
              </w:rPr>
              <w:t xml:space="preserve">COM(2022) 141 </w:t>
            </w:r>
            <w:proofErr w:type="spellStart"/>
            <w:r>
              <w:rPr>
                <w:color w:val="000000"/>
              </w:rPr>
              <w:t>final</w:t>
            </w:r>
            <w:proofErr w:type="spellEnd"/>
          </w:p>
          <w:p w:rsidRPr="006E3F60" w:rsidR="006E3F60" w:rsidP="006E3F60" w:rsidRDefault="00C25DB3" w14:paraId="2ACB8205" w14:textId="77777777">
            <w:pPr>
              <w:keepNext/>
              <w:ind w:left="-106"/>
              <w:contextualSpacing/>
            </w:pPr>
            <w:r>
              <w:t>EESC-2022-01663-00-00-AC</w:t>
            </w:r>
          </w:p>
        </w:tc>
      </w:tr>
    </w:tbl>
    <w:p w:rsidRPr="006E3F60" w:rsidR="006E3F60" w:rsidP="00F64D7F" w:rsidRDefault="006E3F60" w14:paraId="491156E7" w14:textId="77777777">
      <w:pPr>
        <w:keepNext/>
        <w:spacing w:line="240" w:lineRule="auto"/>
        <w:ind w:left="567"/>
        <w:contextualSpacing/>
      </w:pPr>
    </w:p>
    <w:p w:rsidR="006E3F60" w:rsidP="00F64D7F" w:rsidRDefault="006E3F60" w14:paraId="393FC053" w14:textId="42EB6890">
      <w:pPr>
        <w:pStyle w:val="ListParagraph"/>
        <w:spacing w:line="240" w:lineRule="auto"/>
        <w:ind w:left="-142" w:firstLine="142"/>
        <w:rPr>
          <w:b/>
        </w:rPr>
      </w:pPr>
      <w:r>
        <w:rPr>
          <w:b/>
        </w:rPr>
        <w:t>Keskeiset kohdat</w:t>
      </w:r>
    </w:p>
    <w:p w:rsidRPr="00C25DB3" w:rsidR="00C25DB3" w:rsidP="00F64D7F" w:rsidRDefault="00C25DB3" w14:paraId="5DC1F2E9" w14:textId="77777777">
      <w:pPr>
        <w:spacing w:line="240" w:lineRule="auto"/>
        <w:contextualSpacing/>
        <w:rPr>
          <w:b/>
        </w:rPr>
      </w:pPr>
    </w:p>
    <w:p w:rsidR="006E3F60" w:rsidP="00F64D7F" w:rsidRDefault="00C25DB3" w14:paraId="7490CEC6" w14:textId="77777777">
      <w:pPr>
        <w:spacing w:line="240" w:lineRule="auto"/>
        <w:contextualSpacing/>
        <w:rPr>
          <w:bCs/>
          <w:iCs/>
        </w:rPr>
      </w:pPr>
      <w:r>
        <w:t>ETSK</w:t>
      </w:r>
    </w:p>
    <w:p w:rsidRPr="006E3F60" w:rsidR="00C25DB3" w:rsidP="00F64D7F" w:rsidRDefault="00C25DB3" w14:paraId="725984FA" w14:textId="77777777">
      <w:pPr>
        <w:spacing w:line="240" w:lineRule="auto"/>
        <w:contextualSpacing/>
      </w:pPr>
    </w:p>
    <w:p w:rsidRPr="00F64D7F" w:rsidR="006E3F60" w:rsidP="006E3F60" w:rsidRDefault="00C25DB3" w14:paraId="6F4F5F2E" w14:textId="77777777">
      <w:pPr>
        <w:numPr>
          <w:ilvl w:val="0"/>
          <w:numId w:val="3"/>
        </w:numPr>
        <w:ind w:left="357" w:hanging="357"/>
        <w:contextualSpacing/>
        <w:rPr>
          <w:spacing w:val="-2"/>
        </w:rPr>
      </w:pPr>
      <w:r w:rsidRPr="00F64D7F">
        <w:rPr>
          <w:spacing w:val="-2"/>
        </w:rPr>
        <w:t>katsoo, että tekstiiliteollisuus voi edistää EU:n ympäristötavoitteiden saavuttamista ja sen on otettava vastuu ympäristövaikutuksistaan.</w:t>
      </w:r>
    </w:p>
    <w:p w:rsidRPr="00F64D7F" w:rsidR="00C25DB3" w:rsidP="00C25DB3" w:rsidRDefault="00C25DB3" w14:paraId="53036B5C" w14:textId="77777777">
      <w:pPr>
        <w:numPr>
          <w:ilvl w:val="0"/>
          <w:numId w:val="3"/>
        </w:numPr>
        <w:ind w:left="357" w:hanging="357"/>
        <w:contextualSpacing/>
        <w:rPr>
          <w:spacing w:val="-2"/>
        </w:rPr>
      </w:pPr>
      <w:r w:rsidRPr="00F64D7F">
        <w:rPr>
          <w:spacing w:val="-2"/>
        </w:rPr>
        <w:t>korostaa, että on löydettävä oikea tasapaino tekstiilien tuottajille aiheutuvien elinkaaren loppuvaiheen kustannusten ja alan kilpailukyvyn välillä.</w:t>
      </w:r>
    </w:p>
    <w:p w:rsidRPr="00F64D7F" w:rsidR="006E3F60" w:rsidP="006E3F60" w:rsidRDefault="00C25DB3" w14:paraId="453A87CE" w14:textId="77777777">
      <w:pPr>
        <w:numPr>
          <w:ilvl w:val="0"/>
          <w:numId w:val="3"/>
        </w:numPr>
        <w:ind w:left="357" w:hanging="357"/>
        <w:contextualSpacing/>
        <w:rPr>
          <w:spacing w:val="-2"/>
        </w:rPr>
      </w:pPr>
      <w:r w:rsidRPr="00F64D7F">
        <w:rPr>
          <w:spacing w:val="-2"/>
        </w:rPr>
        <w:t>kannattaa pitkälle meneviä vaatimuksia tekstiilituotteiden kierrätysastetta ja jalanjälkeä koskevista merkinnöistä, sillä tällaiset merkinnät voivat kannustaa kuluttajia valitsemaan kestävyysperiaatteiden mukaisia tuotteita ja asettamaan laadun määrän edelle, mutta vaatii perusteellista vaikutustenarviointia ja laajaa tiedotuskampanjaa EU:n tasolla.</w:t>
      </w:r>
    </w:p>
    <w:p w:rsidRPr="00F64D7F" w:rsidR="006E3F60" w:rsidP="006E3F60" w:rsidRDefault="00C25DB3" w14:paraId="7178CC70" w14:textId="77777777">
      <w:pPr>
        <w:numPr>
          <w:ilvl w:val="0"/>
          <w:numId w:val="3"/>
        </w:numPr>
        <w:ind w:left="357" w:hanging="357"/>
        <w:contextualSpacing/>
        <w:rPr>
          <w:spacing w:val="-2"/>
        </w:rPr>
      </w:pPr>
      <w:r w:rsidRPr="00F64D7F">
        <w:rPr>
          <w:spacing w:val="-2"/>
        </w:rPr>
        <w:t>paheksuu epäreiluja kilpailukäytäntöjä ja kehottaa lisäämään tuontituotteiden markkinavalvontaa sekä parantamaan koordinointia ja yhteistyötä lainvalvontaviranomaisten kesken.</w:t>
      </w:r>
    </w:p>
    <w:p w:rsidRPr="00F64D7F" w:rsidR="006E3F60" w:rsidP="006E3F60" w:rsidRDefault="00C25DB3" w14:paraId="4247E663" w14:textId="77777777">
      <w:pPr>
        <w:numPr>
          <w:ilvl w:val="0"/>
          <w:numId w:val="3"/>
        </w:numPr>
        <w:ind w:left="357" w:hanging="357"/>
        <w:contextualSpacing/>
        <w:rPr>
          <w:spacing w:val="-2"/>
        </w:rPr>
      </w:pPr>
      <w:r w:rsidRPr="00F64D7F">
        <w:rPr>
          <w:spacing w:val="-2"/>
        </w:rPr>
        <w:t>peräänkuuluttaa toimenpiteitä, joilla voidaan varmistaa toimijoiden välinen tasapaino tekstiilialan toimitusketjuissa, ja suosittaa, että otetaan käyttöön maailmanlaajuiset kestävyyttä koskevat parhaat menettelytavat.</w:t>
      </w:r>
    </w:p>
    <w:p w:rsidRPr="00F64D7F" w:rsidR="00C25DB3" w:rsidP="006E3F60" w:rsidRDefault="00C25DB3" w14:paraId="5B5E4DFD" w14:textId="77777777">
      <w:pPr>
        <w:numPr>
          <w:ilvl w:val="0"/>
          <w:numId w:val="3"/>
        </w:numPr>
        <w:ind w:left="357" w:hanging="357"/>
        <w:contextualSpacing/>
        <w:rPr>
          <w:spacing w:val="-2"/>
        </w:rPr>
      </w:pPr>
      <w:r w:rsidRPr="00F64D7F">
        <w:rPr>
          <w:spacing w:val="-2"/>
        </w:rPr>
        <w:t>pitää tarpeellisena vahvistaa nykyisiä ja tulevia kauppasopimuksia ja sisällyttää kehitysmaita koskevaan yleiseen tullietuusjärjestelmään sääntöjä kestävästä kehityksestä ja ihmisoikeuksien suojelusta.</w:t>
      </w:r>
    </w:p>
    <w:p w:rsidRPr="00F64D7F" w:rsidR="00C25DB3" w:rsidP="006E3F60" w:rsidRDefault="00C25DB3" w14:paraId="4BE2BD93" w14:textId="77777777">
      <w:pPr>
        <w:numPr>
          <w:ilvl w:val="0"/>
          <w:numId w:val="3"/>
        </w:numPr>
        <w:ind w:left="357" w:hanging="357"/>
        <w:contextualSpacing/>
        <w:rPr>
          <w:spacing w:val="-2"/>
        </w:rPr>
      </w:pPr>
      <w:r w:rsidRPr="00F64D7F">
        <w:rPr>
          <w:spacing w:val="-2"/>
        </w:rPr>
        <w:t>olisi odottanut, että strategiassa painotetaan enemmän tekstiilialan sosiaalisia näkökohtia, erityisesti työntekijöiden oikeuksia ja työehtosopimusneuvotteluja.</w:t>
      </w:r>
    </w:p>
    <w:p w:rsidRPr="00F64D7F" w:rsidR="00C25DB3" w:rsidP="006E3F60" w:rsidRDefault="00C25DB3" w14:paraId="548F8200" w14:textId="77777777">
      <w:pPr>
        <w:numPr>
          <w:ilvl w:val="0"/>
          <w:numId w:val="3"/>
        </w:numPr>
        <w:ind w:left="357" w:hanging="357"/>
        <w:contextualSpacing/>
        <w:rPr>
          <w:spacing w:val="-2"/>
        </w:rPr>
      </w:pPr>
      <w:r w:rsidRPr="00F64D7F">
        <w:rPr>
          <w:spacing w:val="-2"/>
        </w:rPr>
        <w:t>korostaa, että tarkastuslaitoksilla on oltava riittävät valmiudet tehokkaan valvonnan varmistamiseksi.</w:t>
      </w:r>
    </w:p>
    <w:p w:rsidRPr="00F64D7F" w:rsidR="00C25DB3" w:rsidP="006E3F60" w:rsidRDefault="00C25DB3" w14:paraId="207B0C6C" w14:textId="77777777">
      <w:pPr>
        <w:numPr>
          <w:ilvl w:val="0"/>
          <w:numId w:val="3"/>
        </w:numPr>
        <w:ind w:left="357" w:hanging="357"/>
        <w:contextualSpacing/>
        <w:rPr>
          <w:spacing w:val="-2"/>
        </w:rPr>
      </w:pPr>
      <w:r w:rsidRPr="00F64D7F">
        <w:rPr>
          <w:spacing w:val="-2"/>
        </w:rPr>
        <w:t>kannattaa kaikkia EU:ssa toimivia yrityksiä koskevia pakollisia huolellisuusvelvoitteita ja katsoo, että pk-yrityksiä pitäisi tukea erityistoimin niiden noudattamisessa.</w:t>
      </w:r>
    </w:p>
    <w:p w:rsidRPr="00F64D7F" w:rsidR="00C25DB3" w:rsidP="006E3F60" w:rsidRDefault="00C25DB3" w14:paraId="2B985D95" w14:textId="77777777">
      <w:pPr>
        <w:numPr>
          <w:ilvl w:val="0"/>
          <w:numId w:val="3"/>
        </w:numPr>
        <w:ind w:left="357" w:hanging="357"/>
        <w:contextualSpacing/>
        <w:rPr>
          <w:spacing w:val="-2"/>
        </w:rPr>
      </w:pPr>
      <w:r w:rsidRPr="00F64D7F">
        <w:rPr>
          <w:spacing w:val="-2"/>
        </w:rPr>
        <w:t xml:space="preserve">kaipaa tiukkoja toimenpiteitä, joilla kielletään taloudelliset suhteet sellaisiin yhteisöihin, jotka käyttävät lapsityövoimaa tai eivät huolehdi säällisistä työoloista ja </w:t>
      </w:r>
      <w:r w:rsidRPr="00F64D7F">
        <w:rPr>
          <w:spacing w:val="-2"/>
        </w:rPr>
        <w:noBreakHyphen/>
        <w:t>ehdoista.</w:t>
      </w:r>
    </w:p>
    <w:p w:rsidRPr="00F64D7F" w:rsidR="00C25DB3" w:rsidP="006E3F60" w:rsidRDefault="00C25DB3" w14:paraId="0F4AE883" w14:textId="77777777">
      <w:pPr>
        <w:numPr>
          <w:ilvl w:val="0"/>
          <w:numId w:val="3"/>
        </w:numPr>
        <w:ind w:left="357" w:hanging="357"/>
        <w:contextualSpacing/>
        <w:rPr>
          <w:spacing w:val="-2"/>
        </w:rPr>
      </w:pPr>
      <w:r w:rsidRPr="00F64D7F">
        <w:rPr>
          <w:spacing w:val="-2"/>
        </w:rPr>
        <w:t>katsoo, tulevassa laajennetun tuottajavastuun järjestelmässä olisi vääränlaisten kiertoprosessien sijaan kannustettava tekstiilien kuitukierrätykseen.</w:t>
      </w:r>
    </w:p>
    <w:p w:rsidRPr="00F64D7F" w:rsidR="006E3F60" w:rsidP="006E3F60" w:rsidRDefault="00C25DB3" w14:paraId="47C692BA" w14:textId="77777777">
      <w:pPr>
        <w:numPr>
          <w:ilvl w:val="0"/>
          <w:numId w:val="3"/>
        </w:numPr>
        <w:ind w:left="357" w:hanging="357"/>
        <w:contextualSpacing/>
        <w:rPr>
          <w:spacing w:val="-2"/>
        </w:rPr>
      </w:pPr>
      <w:r w:rsidRPr="00F64D7F">
        <w:rPr>
          <w:spacing w:val="-2"/>
        </w:rPr>
        <w:t>kehottaa käynnistämään jäsenvaltiokohtaisia kampanjoita tekstiilialan työllistymismahdollisuuksien tunnetuksi tekemiseksi ja perustamaan rahoitusohjelmia työvoiman täydennys- ja uudelleenkoulutusta varten.</w:t>
      </w:r>
    </w:p>
    <w:p w:rsidRPr="00F64D7F" w:rsidR="00C25DB3" w:rsidP="006E3F60" w:rsidRDefault="00C25DB3" w14:paraId="27F7B8B2" w14:textId="77777777">
      <w:pPr>
        <w:numPr>
          <w:ilvl w:val="0"/>
          <w:numId w:val="3"/>
        </w:numPr>
        <w:ind w:left="357" w:hanging="357"/>
        <w:contextualSpacing/>
        <w:rPr>
          <w:spacing w:val="-2"/>
        </w:rPr>
      </w:pPr>
      <w:r w:rsidRPr="00F64D7F">
        <w:rPr>
          <w:spacing w:val="-2"/>
        </w:rPr>
        <w:t xml:space="preserve">kaipaa unioniin alakohtaisia ja yhdenmukaistettuja </w:t>
      </w:r>
      <w:proofErr w:type="spellStart"/>
      <w:r w:rsidRPr="00F64D7F">
        <w:rPr>
          <w:spacing w:val="-2"/>
        </w:rPr>
        <w:t>sosiaali</w:t>
      </w:r>
      <w:proofErr w:type="spellEnd"/>
      <w:r w:rsidRPr="00F64D7F">
        <w:rPr>
          <w:spacing w:val="-2"/>
        </w:rPr>
        <w:t>- ja ympäristönäkökohtiin liittyviä sääntöjä julkisia hankintoja varten.</w:t>
      </w:r>
    </w:p>
    <w:p w:rsidRPr="006E3F60" w:rsidR="00C25DB3" w:rsidP="006E3F60" w:rsidRDefault="00C25DB3" w14:paraId="6575574F" w14:textId="77777777"/>
    <w:tbl>
      <w:tblPr>
        <w:tblStyle w:val="TableGrid6"/>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56"/>
        <w:gridCol w:w="5670"/>
      </w:tblGrid>
      <w:tr w:rsidRPr="006E3F60" w:rsidR="006E3F60" w:rsidTr="00B83E7B" w14:paraId="3701C8A8" w14:textId="77777777">
        <w:tc>
          <w:tcPr>
            <w:tcW w:w="1418" w:type="dxa"/>
          </w:tcPr>
          <w:p w:rsidRPr="006E3F60" w:rsidR="006E3F60" w:rsidP="006E3F60" w:rsidRDefault="006E3F60" w14:paraId="61A358F3" w14:textId="77777777">
            <w:pPr>
              <w:contextualSpacing/>
              <w:rPr>
                <w:i/>
              </w:rPr>
            </w:pPr>
            <w:r>
              <w:rPr>
                <w:b/>
                <w:i/>
              </w:rPr>
              <w:t>Yhteydenotot:</w:t>
            </w:r>
          </w:p>
        </w:tc>
        <w:tc>
          <w:tcPr>
            <w:tcW w:w="5670" w:type="dxa"/>
          </w:tcPr>
          <w:p w:rsidRPr="006E3F60" w:rsidR="006E3F60" w:rsidP="006E3F60" w:rsidRDefault="00F512BB" w14:paraId="529847A8" w14:textId="77777777">
            <w:pPr>
              <w:contextualSpacing/>
              <w:rPr>
                <w:i/>
              </w:rPr>
            </w:pPr>
            <w:r>
              <w:rPr>
                <w:i/>
              </w:rPr>
              <w:t xml:space="preserve">Gerald </w:t>
            </w:r>
            <w:proofErr w:type="spellStart"/>
            <w:r>
              <w:rPr>
                <w:i/>
              </w:rPr>
              <w:t>Klec</w:t>
            </w:r>
            <w:proofErr w:type="spellEnd"/>
          </w:p>
        </w:tc>
      </w:tr>
      <w:tr w:rsidRPr="006E3F60" w:rsidR="006E3F60" w:rsidTr="00B83E7B" w14:paraId="2E4F0404" w14:textId="77777777">
        <w:tc>
          <w:tcPr>
            <w:tcW w:w="1418" w:type="dxa"/>
          </w:tcPr>
          <w:p w:rsidRPr="006E3F60" w:rsidR="006E3F60" w:rsidP="006E3F60" w:rsidRDefault="006E3F60" w14:paraId="5A7B9997" w14:textId="77777777">
            <w:pPr>
              <w:ind w:left="601"/>
              <w:contextualSpacing/>
              <w:rPr>
                <w:i/>
              </w:rPr>
            </w:pPr>
            <w:r>
              <w:rPr>
                <w:i/>
              </w:rPr>
              <w:t>P.</w:t>
            </w:r>
          </w:p>
        </w:tc>
        <w:tc>
          <w:tcPr>
            <w:tcW w:w="5670" w:type="dxa"/>
          </w:tcPr>
          <w:p w:rsidRPr="006E3F60" w:rsidR="006E3F60" w:rsidP="006E3F60" w:rsidRDefault="00F512BB" w14:paraId="52C01769" w14:textId="77777777">
            <w:pPr>
              <w:contextualSpacing/>
              <w:rPr>
                <w:i/>
              </w:rPr>
            </w:pPr>
            <w:r>
              <w:rPr>
                <w:i/>
              </w:rPr>
              <w:t>+32 25469909</w:t>
            </w:r>
          </w:p>
        </w:tc>
      </w:tr>
      <w:tr w:rsidRPr="006E3F60" w:rsidR="006E3F60" w:rsidTr="00B83E7B" w14:paraId="1F686407" w14:textId="77777777">
        <w:tc>
          <w:tcPr>
            <w:tcW w:w="1418" w:type="dxa"/>
          </w:tcPr>
          <w:p w:rsidRPr="006E3F60" w:rsidR="006E3F60" w:rsidP="006E3F60" w:rsidRDefault="006E3F60" w14:paraId="2859E45F" w14:textId="77777777">
            <w:pPr>
              <w:ind w:left="601"/>
              <w:contextualSpacing/>
              <w:rPr>
                <w:i/>
              </w:rPr>
            </w:pPr>
            <w:r>
              <w:rPr>
                <w:i/>
              </w:rPr>
              <w:t>Sähköposti:</w:t>
            </w:r>
          </w:p>
        </w:tc>
        <w:tc>
          <w:tcPr>
            <w:tcW w:w="5670" w:type="dxa"/>
          </w:tcPr>
          <w:p w:rsidRPr="006E3F60" w:rsidR="006E3F60" w:rsidP="006E3F60" w:rsidRDefault="00216BAA" w14:paraId="1B9ADEF7" w14:textId="77777777">
            <w:pPr>
              <w:contextualSpacing/>
              <w:rPr>
                <w:i/>
              </w:rPr>
            </w:pPr>
            <w:hyperlink w:history="1" r:id="rId41">
              <w:r w:rsidR="00EB3BD7">
                <w:rPr>
                  <w:rStyle w:val="Hyperlink"/>
                  <w:i/>
                </w:rPr>
                <w:t>Gerald.Klec@eesc.europa.eu</w:t>
              </w:r>
            </w:hyperlink>
          </w:p>
        </w:tc>
      </w:tr>
    </w:tbl>
    <w:p w:rsidR="00910972" w:rsidRDefault="00910972" w14:paraId="0E93BDF6" w14:textId="78DBC6AB">
      <w:pPr>
        <w:spacing w:after="160" w:line="259" w:lineRule="auto"/>
        <w:jc w:val="left"/>
        <w:rPr>
          <w:kern w:val="28"/>
        </w:rPr>
      </w:pPr>
    </w:p>
    <w:p w:rsidRPr="006E3F60" w:rsidR="00DB2B61" w:rsidP="00DB2B61" w:rsidRDefault="00DB2B61" w14:paraId="76D7F816" w14:textId="77777777">
      <w:pPr>
        <w:keepNext/>
        <w:keepLines/>
        <w:numPr>
          <w:ilvl w:val="0"/>
          <w:numId w:val="2"/>
        </w:numPr>
        <w:ind w:left="567" w:hanging="567"/>
        <w:contextualSpacing/>
        <w:rPr>
          <w:b/>
          <w:i/>
          <w:sz w:val="28"/>
          <w:szCs w:val="28"/>
        </w:rPr>
      </w:pPr>
      <w:r>
        <w:rPr>
          <w:b/>
          <w:i/>
          <w:sz w:val="28"/>
        </w:rPr>
        <w:t>Turvallisuus- ja puolustusteknologioita koskeva etenemissuunnitelma</w:t>
      </w:r>
    </w:p>
    <w:p w:rsidRPr="006E3F60" w:rsidR="00DB2B61" w:rsidP="00DB2B61" w:rsidRDefault="00DB2B61" w14:paraId="56555F8C" w14:textId="77777777">
      <w:pPr>
        <w:keepNext/>
        <w:contextualSpacing/>
      </w:pPr>
    </w:p>
    <w:tbl>
      <w:tblPr>
        <w:tblStyle w:val="TableGrid6"/>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6946"/>
      </w:tblGrid>
      <w:tr w:rsidRPr="006E3F60" w:rsidR="00DB2B61" w:rsidTr="00DB2B61" w14:paraId="4B203DE5" w14:textId="77777777">
        <w:tc>
          <w:tcPr>
            <w:tcW w:w="1701" w:type="dxa"/>
          </w:tcPr>
          <w:p w:rsidRPr="006E3F60" w:rsidR="00DB2B61" w:rsidP="00DB2B61" w:rsidRDefault="00DB2B61" w14:paraId="243F6BEE" w14:textId="77777777">
            <w:pPr>
              <w:keepNext/>
              <w:contextualSpacing/>
              <w:rPr>
                <w:b/>
              </w:rPr>
            </w:pPr>
            <w:r>
              <w:rPr>
                <w:b/>
              </w:rPr>
              <w:t>Esittelijä:</w:t>
            </w:r>
          </w:p>
        </w:tc>
        <w:tc>
          <w:tcPr>
            <w:tcW w:w="6946" w:type="dxa"/>
          </w:tcPr>
          <w:p w:rsidRPr="006E3F60" w:rsidR="00DB2B61" w:rsidP="00DB2B61" w:rsidRDefault="00092425" w14:paraId="301C5CC8" w14:textId="7F1362E4">
            <w:pPr>
              <w:keepNext/>
              <w:ind w:left="-106"/>
              <w:contextualSpacing/>
            </w:pPr>
            <w:proofErr w:type="spellStart"/>
            <w:r>
              <w:t>Maurizio</w:t>
            </w:r>
            <w:proofErr w:type="spellEnd"/>
            <w:r>
              <w:t xml:space="preserve"> </w:t>
            </w:r>
            <w:proofErr w:type="spellStart"/>
            <w:r>
              <w:t>Mensi</w:t>
            </w:r>
            <w:proofErr w:type="spellEnd"/>
            <w:r>
              <w:t xml:space="preserve"> (kansalaisyhteiskunnan organisaatiot – IT)</w:t>
            </w:r>
          </w:p>
        </w:tc>
      </w:tr>
      <w:tr w:rsidRPr="006E3F60" w:rsidR="00DB2B61" w:rsidTr="00DB2B61" w14:paraId="5AEC2A75" w14:textId="77777777">
        <w:tc>
          <w:tcPr>
            <w:tcW w:w="1701" w:type="dxa"/>
          </w:tcPr>
          <w:p w:rsidRPr="006E3F60" w:rsidR="00DB2B61" w:rsidP="00DB2B61" w:rsidRDefault="00DB2B61" w14:paraId="2EF360D8" w14:textId="77777777">
            <w:pPr>
              <w:keepNext/>
              <w:contextualSpacing/>
              <w:rPr>
                <w:b/>
              </w:rPr>
            </w:pPr>
            <w:r>
              <w:rPr>
                <w:b/>
              </w:rPr>
              <w:t>Yhteisesittelijä:</w:t>
            </w:r>
          </w:p>
        </w:tc>
        <w:tc>
          <w:tcPr>
            <w:tcW w:w="6946" w:type="dxa"/>
          </w:tcPr>
          <w:p w:rsidRPr="006E3F60" w:rsidR="00DB2B61" w:rsidP="00DB2B61" w:rsidRDefault="00DB2B61" w14:paraId="49D71277" w14:textId="77777777">
            <w:pPr>
              <w:keepNext/>
              <w:ind w:left="-106"/>
              <w:contextualSpacing/>
            </w:pPr>
            <w:r>
              <w:t xml:space="preserve">Jan </w:t>
            </w:r>
            <w:proofErr w:type="spellStart"/>
            <w:r>
              <w:t>Pie</w:t>
            </w:r>
            <w:proofErr w:type="spellEnd"/>
            <w:r>
              <w:t xml:space="preserve"> (kat. 1 – SE)</w:t>
            </w:r>
          </w:p>
        </w:tc>
      </w:tr>
      <w:tr w:rsidRPr="006E3F60" w:rsidR="00DB2B61" w:rsidTr="00DB2B61" w14:paraId="0E3AFD55" w14:textId="77777777">
        <w:tc>
          <w:tcPr>
            <w:tcW w:w="8647" w:type="dxa"/>
            <w:gridSpan w:val="2"/>
          </w:tcPr>
          <w:p w:rsidRPr="006E3F60" w:rsidR="00DB2B61" w:rsidP="00DB2B61" w:rsidRDefault="00DB2B61" w14:paraId="3125B26E" w14:textId="77777777">
            <w:pPr>
              <w:keepNext/>
              <w:contextualSpacing/>
            </w:pPr>
          </w:p>
        </w:tc>
      </w:tr>
      <w:tr w:rsidRPr="006E3F60" w:rsidR="00DB2B61" w:rsidTr="00DB2B61" w14:paraId="38CEDCE3" w14:textId="77777777">
        <w:tc>
          <w:tcPr>
            <w:tcW w:w="1701" w:type="dxa"/>
          </w:tcPr>
          <w:p w:rsidRPr="006E3F60" w:rsidR="00DB2B61" w:rsidP="00DB2B61" w:rsidRDefault="00DB2B61" w14:paraId="0815516A" w14:textId="77777777">
            <w:pPr>
              <w:keepNext/>
              <w:contextualSpacing/>
              <w:rPr>
                <w:b/>
              </w:rPr>
            </w:pPr>
            <w:r>
              <w:rPr>
                <w:b/>
              </w:rPr>
              <w:t xml:space="preserve">Viiteasiakirjat: </w:t>
            </w:r>
          </w:p>
        </w:tc>
        <w:tc>
          <w:tcPr>
            <w:tcW w:w="6946" w:type="dxa"/>
          </w:tcPr>
          <w:p w:rsidRPr="006E3F60" w:rsidR="00DB2B61" w:rsidP="00DB2B61" w:rsidRDefault="00092425" w14:paraId="34E11771" w14:textId="5B709DB2">
            <w:pPr>
              <w:keepNext/>
              <w:ind w:left="-106"/>
              <w:contextualSpacing/>
              <w:rPr>
                <w:iCs/>
                <w:color w:val="000000"/>
              </w:rPr>
            </w:pPr>
            <w:r>
              <w:rPr>
                <w:color w:val="000000"/>
              </w:rPr>
              <w:t xml:space="preserve">COM(2022) 61 </w:t>
            </w:r>
            <w:proofErr w:type="spellStart"/>
            <w:r>
              <w:rPr>
                <w:color w:val="000000"/>
              </w:rPr>
              <w:t>final</w:t>
            </w:r>
            <w:proofErr w:type="spellEnd"/>
          </w:p>
          <w:p w:rsidRPr="006E3F60" w:rsidR="00DB2B61" w:rsidP="00DB2B61" w:rsidRDefault="00DB2B61" w14:paraId="3A4D0BEA" w14:textId="77777777">
            <w:pPr>
              <w:keepNext/>
              <w:ind w:left="-106"/>
              <w:contextualSpacing/>
            </w:pPr>
            <w:r>
              <w:t>EESC-2022-007258-00-00-AC</w:t>
            </w:r>
          </w:p>
        </w:tc>
      </w:tr>
    </w:tbl>
    <w:p w:rsidRPr="006E3F60" w:rsidR="00DB2B61" w:rsidP="00DB2B61" w:rsidRDefault="00DB2B61" w14:paraId="72FCB1E0" w14:textId="77777777">
      <w:pPr>
        <w:keepNext/>
        <w:ind w:left="567"/>
        <w:contextualSpacing/>
      </w:pPr>
    </w:p>
    <w:p w:rsidR="00DB2B61" w:rsidP="00DB2B61" w:rsidRDefault="00DB2B61" w14:paraId="6340CE2B" w14:textId="710D5151">
      <w:pPr>
        <w:pStyle w:val="ListParagraph"/>
        <w:spacing w:line="240" w:lineRule="auto"/>
        <w:ind w:left="-142" w:firstLine="142"/>
        <w:rPr>
          <w:b/>
        </w:rPr>
      </w:pPr>
      <w:r>
        <w:rPr>
          <w:b/>
        </w:rPr>
        <w:t>Keskeiset kohdat</w:t>
      </w:r>
    </w:p>
    <w:p w:rsidRPr="00C25DB3" w:rsidR="00DB2B61" w:rsidP="00DB2B61" w:rsidRDefault="00DB2B61" w14:paraId="483221C2" w14:textId="77777777">
      <w:pPr>
        <w:contextualSpacing/>
        <w:rPr>
          <w:b/>
        </w:rPr>
      </w:pPr>
    </w:p>
    <w:p w:rsidR="00DB2B61" w:rsidP="00DB2B61" w:rsidRDefault="00DB2B61" w14:paraId="4645FD06" w14:textId="77777777">
      <w:pPr>
        <w:contextualSpacing/>
        <w:rPr>
          <w:bCs/>
          <w:iCs/>
        </w:rPr>
      </w:pPr>
      <w:r>
        <w:t>ETSK</w:t>
      </w:r>
    </w:p>
    <w:p w:rsidRPr="006E3F60" w:rsidR="00DB2B61" w:rsidP="00DB2B61" w:rsidRDefault="00DB2B61" w14:paraId="06089817" w14:textId="77777777">
      <w:pPr>
        <w:contextualSpacing/>
      </w:pPr>
    </w:p>
    <w:p w:rsidRPr="006E3F60" w:rsidR="00DB2B61" w:rsidP="00DB2B61" w:rsidRDefault="00DB2B61" w14:paraId="12BF53B8" w14:textId="77777777">
      <w:pPr>
        <w:numPr>
          <w:ilvl w:val="0"/>
          <w:numId w:val="3"/>
        </w:numPr>
        <w:ind w:left="357" w:hanging="357"/>
        <w:contextualSpacing/>
      </w:pPr>
      <w:r>
        <w:t>kannattaa varauksetta turvallisuuden ja puolustuksen kannalta kriittisiä teknologioita koskevan ja Venäjän Ukrainaan kohdistaman hyökkäyksen vuoksi erityisen ajankohtaisen etenemissuunnitelman tavoitteita, joita ovat tutkimuksen, teknologisen kehittämisen ja innovoinnin tehostaminen sekä EU:n strategisen riippuvuuden vähentäminen turvallisuuden ja puolustuksen kannalta kriittisistä teknologioista ja arvoketjuista.</w:t>
      </w:r>
    </w:p>
    <w:p w:rsidRPr="006E3F60" w:rsidR="00DB2B61" w:rsidP="00DB2B61" w:rsidRDefault="00DB2B61" w14:paraId="50FB7782" w14:textId="77777777">
      <w:pPr>
        <w:numPr>
          <w:ilvl w:val="0"/>
          <w:numId w:val="3"/>
        </w:numPr>
        <w:ind w:left="357" w:hanging="357"/>
        <w:contextualSpacing/>
      </w:pPr>
      <w:r>
        <w:t>suhtautuu myönteisesti tavoitteeseen kehittää kokonaisvaltainen toimintamalli, jossa ylitetään siviili- ja puolustusalojen jakolinja ja nivotaan keskenään EU- ja kansallinen taso. Tavoitteeseen olisi pyrittävä nopeasti, sillä hyökkäys Ukrainaan on herättävä kehotus toimia paljon tavanomaista nopeammin.</w:t>
      </w:r>
    </w:p>
    <w:p w:rsidRPr="006E3F60" w:rsidR="00DB2B61" w:rsidP="00DB2B61" w:rsidRDefault="00DB2B61" w14:paraId="5A24A2DF" w14:textId="77777777">
      <w:pPr>
        <w:numPr>
          <w:ilvl w:val="0"/>
          <w:numId w:val="3"/>
        </w:numPr>
        <w:ind w:left="357" w:hanging="357"/>
        <w:contextualSpacing/>
      </w:pPr>
      <w:r>
        <w:t>kehottaa jäsenvaltioita varmistamaan, että niiden välittömät reaktiot Venäjän Ukrainaan kohdistamaan hyökkäykseen vastaavat etenemissuunnitelman sisältöä ja tavoitteita. Lyhyen aikavälin kansallisia puolustusinvestointeja on koordinoitava Euroopan tasolla, jotta vältetään hajanaisuuden ja päällekkäisyyden lisääntyminen.</w:t>
      </w:r>
    </w:p>
    <w:p w:rsidRPr="00C25DB3" w:rsidR="00DB2B61" w:rsidP="00DB2B61" w:rsidRDefault="00DB2B61" w14:paraId="4A892D63" w14:textId="77777777">
      <w:pPr>
        <w:numPr>
          <w:ilvl w:val="0"/>
          <w:numId w:val="3"/>
        </w:numPr>
        <w:ind w:left="357" w:hanging="357"/>
        <w:contextualSpacing/>
      </w:pPr>
      <w:r>
        <w:t>suosittaa, että kriittisten teknologioiden seurantakeskukselle luodaan selkeä hallinto sekä annetaan tuntuvat resurssit ja vahva institutionaalinen asema.</w:t>
      </w:r>
    </w:p>
    <w:p w:rsidRPr="00C25DB3" w:rsidR="00DB2B61" w:rsidP="00DB2B61" w:rsidRDefault="00DB2B61" w14:paraId="0B9F09C8" w14:textId="77777777">
      <w:pPr>
        <w:numPr>
          <w:ilvl w:val="0"/>
          <w:numId w:val="3"/>
        </w:numPr>
        <w:ind w:left="357" w:hanging="357"/>
        <w:contextualSpacing/>
      </w:pPr>
      <w:r>
        <w:t>suhtautuu myönteisesti ehdotettuun tiiviiseen yhteistyöhön jäsenvaltioiden kanssa ja kehottaa perustamaan uuden foorumin teollisuuden kanssa käytävälle vaihtotoiminnalle.</w:t>
      </w:r>
    </w:p>
    <w:p w:rsidRPr="00DB2B61" w:rsidR="00DB2B61" w:rsidP="00DB2B61" w:rsidRDefault="00DB2B61" w14:paraId="6F46F6D3" w14:textId="77777777">
      <w:pPr>
        <w:numPr>
          <w:ilvl w:val="0"/>
          <w:numId w:val="3"/>
        </w:numPr>
        <w:ind w:left="357" w:hanging="357"/>
        <w:contextualSpacing/>
      </w:pPr>
      <w:r>
        <w:t>katsoo, että on varmistettava seurantakeskuksen tulosten käyttöönotto etenemissuunnitelmissa ja niiden muuntaminen lippulaivahankkeiksi. Siirtymä teknologian ja teollisen syklin eri vaiheiden välillä onnistuu vain, jos sitoutuminen aloitteeseen ja vastuut ovat selkeät. Johdonmukaisuutta ja synergiaa tarvitaan paitsi horisontaalisesti siviili- ja puolustusalan TTK&amp;I-ohjelmien välillä myös vertikaalisesti TTK&amp;I-ohjelmien ja käyttöönotto-ohjelmien välillä.</w:t>
      </w:r>
    </w:p>
    <w:p w:rsidRPr="00DB2B61" w:rsidR="00DB2B61" w:rsidP="00DB2B61" w:rsidRDefault="00DB2B61" w14:paraId="1077ED33" w14:textId="77777777">
      <w:pPr>
        <w:numPr>
          <w:ilvl w:val="0"/>
          <w:numId w:val="3"/>
        </w:numPr>
        <w:ind w:left="357" w:hanging="357"/>
        <w:contextualSpacing/>
      </w:pPr>
      <w:r>
        <w:t>katsoo, että EU:n ohjelmien ja välineiden yksinkertaistaminen ja virtaviivaistaminen tutkimuksen ja innovoinnin tukemiseksi on olennaisen tärkeää edunsaajien itsensä hyödyksi.</w:t>
      </w:r>
    </w:p>
    <w:p w:rsidRPr="00C25DB3" w:rsidR="00DB2B61" w:rsidP="00DB2B61" w:rsidRDefault="00DB2B61" w14:paraId="63D36A68" w14:textId="77777777">
      <w:pPr>
        <w:numPr>
          <w:ilvl w:val="0"/>
          <w:numId w:val="3"/>
        </w:numPr>
        <w:ind w:left="357" w:hanging="357"/>
        <w:contextualSpacing/>
      </w:pPr>
      <w:r>
        <w:t xml:space="preserve">ehdottaa, että perustetaan pk-yrityksille ja </w:t>
      </w:r>
      <w:proofErr w:type="spellStart"/>
      <w:r>
        <w:t>startup</w:t>
      </w:r>
      <w:proofErr w:type="spellEnd"/>
      <w:r>
        <w:t>-yrityksille tarkoitettu keskitetty verkkoasiointipiste, verkossa toimiva ”EU:n pk-yrityspiste”, joka tarjoaa mahdollisuuden syöttää ennalta määriteltyjä tietoja ja saada vastineeksi räätälöityjä tietoja parhaiten soveltuvista EU:n ohjelmista, jotka voivat tarjota tukea.</w:t>
      </w:r>
    </w:p>
    <w:p w:rsidRPr="006E3F60" w:rsidR="00DB2B61" w:rsidP="00DB2B61" w:rsidRDefault="00DB2B61" w14:paraId="40A6106B" w14:textId="77777777"/>
    <w:tbl>
      <w:tblPr>
        <w:tblStyle w:val="TableGrid6"/>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56"/>
        <w:gridCol w:w="5670"/>
      </w:tblGrid>
      <w:tr w:rsidRPr="006E3F60" w:rsidR="00DB2B61" w:rsidTr="00DB2B61" w14:paraId="23C0EF0B" w14:textId="77777777">
        <w:tc>
          <w:tcPr>
            <w:tcW w:w="1418" w:type="dxa"/>
          </w:tcPr>
          <w:p w:rsidRPr="006E3F60" w:rsidR="00DB2B61" w:rsidP="00DB2B61" w:rsidRDefault="00DB2B61" w14:paraId="3DD09D48" w14:textId="77777777">
            <w:pPr>
              <w:contextualSpacing/>
              <w:rPr>
                <w:i/>
              </w:rPr>
            </w:pPr>
            <w:r>
              <w:rPr>
                <w:b/>
                <w:i/>
              </w:rPr>
              <w:t>Yhteydenotot:</w:t>
            </w:r>
          </w:p>
        </w:tc>
        <w:tc>
          <w:tcPr>
            <w:tcW w:w="5670" w:type="dxa"/>
          </w:tcPr>
          <w:p w:rsidRPr="006E3F60" w:rsidR="00DB2B61" w:rsidP="00DB2B61" w:rsidRDefault="00CD1982" w14:paraId="072EA6C8" w14:textId="77777777">
            <w:pPr>
              <w:contextualSpacing/>
              <w:rPr>
                <w:i/>
              </w:rPr>
            </w:pPr>
            <w:proofErr w:type="spellStart"/>
            <w:r>
              <w:rPr>
                <w:i/>
              </w:rPr>
              <w:t>Gaëlle</w:t>
            </w:r>
            <w:proofErr w:type="spellEnd"/>
            <w:r>
              <w:rPr>
                <w:i/>
              </w:rPr>
              <w:t xml:space="preserve"> </w:t>
            </w:r>
            <w:proofErr w:type="spellStart"/>
            <w:r>
              <w:rPr>
                <w:i/>
              </w:rPr>
              <w:t>Michelier</w:t>
            </w:r>
            <w:proofErr w:type="spellEnd"/>
          </w:p>
        </w:tc>
      </w:tr>
      <w:tr w:rsidRPr="006E3F60" w:rsidR="00DB2B61" w:rsidTr="00DB2B61" w14:paraId="26445042" w14:textId="77777777">
        <w:tc>
          <w:tcPr>
            <w:tcW w:w="1418" w:type="dxa"/>
          </w:tcPr>
          <w:p w:rsidRPr="006E3F60" w:rsidR="00DB2B61" w:rsidP="00DB2B61" w:rsidRDefault="00DB2B61" w14:paraId="3B9F4F2A" w14:textId="77777777">
            <w:pPr>
              <w:ind w:left="601"/>
              <w:contextualSpacing/>
              <w:rPr>
                <w:i/>
              </w:rPr>
            </w:pPr>
            <w:r>
              <w:rPr>
                <w:i/>
              </w:rPr>
              <w:t>P.</w:t>
            </w:r>
          </w:p>
        </w:tc>
        <w:tc>
          <w:tcPr>
            <w:tcW w:w="5670" w:type="dxa"/>
          </w:tcPr>
          <w:p w:rsidRPr="006E3F60" w:rsidR="00DB2B61" w:rsidP="00DB2B61" w:rsidRDefault="00DB2B61" w14:paraId="69ACD3C0" w14:textId="77777777">
            <w:pPr>
              <w:contextualSpacing/>
              <w:rPr>
                <w:i/>
              </w:rPr>
            </w:pPr>
            <w:r>
              <w:rPr>
                <w:i/>
              </w:rPr>
              <w:t>+32 25469605</w:t>
            </w:r>
          </w:p>
        </w:tc>
      </w:tr>
      <w:tr w:rsidRPr="006E3F60" w:rsidR="00DB2B61" w:rsidTr="00DB2B61" w14:paraId="5891FEB4" w14:textId="77777777">
        <w:tc>
          <w:tcPr>
            <w:tcW w:w="1418" w:type="dxa"/>
          </w:tcPr>
          <w:p w:rsidRPr="006E3F60" w:rsidR="00DB2B61" w:rsidP="00DB2B61" w:rsidRDefault="00DB2B61" w14:paraId="25C7AFD9" w14:textId="77777777">
            <w:pPr>
              <w:ind w:left="601"/>
              <w:contextualSpacing/>
              <w:rPr>
                <w:i/>
              </w:rPr>
            </w:pPr>
            <w:r>
              <w:rPr>
                <w:i/>
              </w:rPr>
              <w:t>Sähköposti:</w:t>
            </w:r>
          </w:p>
        </w:tc>
        <w:tc>
          <w:tcPr>
            <w:tcW w:w="5670" w:type="dxa"/>
          </w:tcPr>
          <w:p w:rsidRPr="006E3F60" w:rsidR="00DB2B61" w:rsidP="00DB2B61" w:rsidRDefault="00216BAA" w14:paraId="78B1D053" w14:textId="77777777">
            <w:pPr>
              <w:contextualSpacing/>
              <w:rPr>
                <w:i/>
              </w:rPr>
            </w:pPr>
            <w:hyperlink w:history="1" r:id="rId42">
              <w:r w:rsidR="00EB3BD7">
                <w:rPr>
                  <w:rStyle w:val="Hyperlink"/>
                  <w:i/>
                </w:rPr>
                <w:t>Gaelle.Michelier@eesc.europa.eu</w:t>
              </w:r>
            </w:hyperlink>
          </w:p>
        </w:tc>
      </w:tr>
    </w:tbl>
    <w:p w:rsidR="00910972" w:rsidRDefault="00910972" w14:paraId="68E54163" w14:textId="77777777">
      <w:pPr>
        <w:overflowPunct w:val="0"/>
        <w:autoSpaceDE w:val="0"/>
        <w:autoSpaceDN w:val="0"/>
        <w:adjustRightInd w:val="0"/>
        <w:jc w:val="center"/>
        <w:textAlignment w:val="baseline"/>
      </w:pPr>
      <w:r>
        <w:t>_____________</w:t>
      </w:r>
    </w:p>
    <w:p w:rsidRPr="005B3012" w:rsidR="005B3012" w:rsidP="005B3012" w:rsidRDefault="005B3012" w14:paraId="73E537A6" w14:textId="0E4F0144"/>
    <w:sectPr w:rsidRPr="005B3012" w:rsidR="005B3012" w:rsidSect="00910972">
      <w:headerReference w:type="even" r:id="rId43"/>
      <w:headerReference w:type="default" r:id="rId44"/>
      <w:footerReference w:type="even" r:id="rId45"/>
      <w:footerReference w:type="default" r:id="rId46"/>
      <w:headerReference w:type="first" r:id="rId47"/>
      <w:footerReference w:type="first" r:id="rId48"/>
      <w:pgSz w:w="11907" w:h="16839"/>
      <w:pgMar w:top="1191" w:right="1418" w:bottom="1077" w:left="1276"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9E64118" w16cid:durableId="267FAA6F"/>
  <w16cid:commentId w16cid:paraId="215C170E" w16cid:durableId="267FAA70"/>
  <w16cid:commentId w16cid:paraId="64ED25B0" w16cid:durableId="267FAA71"/>
  <w16cid:commentId w16cid:paraId="78CBB437" w16cid:durableId="267FAA72"/>
  <w16cid:commentId w16cid:paraId="39CD95AC" w16cid:durableId="267FAA73"/>
  <w16cid:commentId w16cid:paraId="1EF3AC59" w16cid:durableId="267FAA74"/>
  <w16cid:commentId w16cid:paraId="0527830A" w16cid:durableId="267FAA75"/>
  <w16cid:commentId w16cid:paraId="57DACCA8" w16cid:durableId="267FAA76"/>
  <w16cid:commentId w16cid:paraId="7FEA2171" w16cid:durableId="267FAA77"/>
  <w16cid:commentId w16cid:paraId="5411F924" w16cid:durableId="267FAA78"/>
  <w16cid:commentId w16cid:paraId="508FB51E" w16cid:durableId="267FAA79"/>
  <w16cid:commentId w16cid:paraId="34240DFA" w16cid:durableId="267FAA7A"/>
  <w16cid:commentId w16cid:paraId="6638EDA2" w16cid:durableId="267FAA7B"/>
  <w16cid:commentId w16cid:paraId="31015A6F" w16cid:durableId="267FAA7C"/>
  <w16cid:commentId w16cid:paraId="3E0FC3AA" w16cid:durableId="267FAA7D"/>
  <w16cid:commentId w16cid:paraId="38E2BDD5" w16cid:durableId="267FAA7E"/>
  <w16cid:commentId w16cid:paraId="0749A011" w16cid:durableId="267FAA7F"/>
  <w16cid:commentId w16cid:paraId="1BF73476" w16cid:durableId="267FAA80"/>
  <w16cid:commentId w16cid:paraId="75A44810" w16cid:durableId="267FAA81"/>
  <w16cid:commentId w16cid:paraId="3A6D8CAB" w16cid:durableId="267FAA82"/>
  <w16cid:commentId w16cid:paraId="5FA44054" w16cid:durableId="267FAA83"/>
  <w16cid:commentId w16cid:paraId="5FBD6FDA" w16cid:durableId="267FAA8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E707EF" w14:textId="77777777" w:rsidR="006C3FDB" w:rsidRDefault="006C3FDB" w:rsidP="003B0516">
      <w:pPr>
        <w:spacing w:line="240" w:lineRule="auto"/>
      </w:pPr>
      <w:r>
        <w:separator/>
      </w:r>
    </w:p>
  </w:endnote>
  <w:endnote w:type="continuationSeparator" w:id="0">
    <w:p w14:paraId="7657AFA9" w14:textId="77777777" w:rsidR="006C3FDB" w:rsidRDefault="006C3FDB" w:rsidP="003B05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A99BB" w14:textId="77777777" w:rsidR="00910972" w:rsidRPr="00910972" w:rsidRDefault="00910972" w:rsidP="009109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89D38" w14:textId="36720C12" w:rsidR="006C3FDB" w:rsidRPr="00910972" w:rsidRDefault="00910972" w:rsidP="00910972">
    <w:pPr>
      <w:pStyle w:val="Footer"/>
    </w:pPr>
    <w:r>
      <w:t xml:space="preserve">EESC-2022-03184-00-00-TCD-TRA (EN) </w:t>
    </w:r>
    <w:r>
      <w:fldChar w:fldCharType="begin"/>
    </w:r>
    <w:r>
      <w:instrText xml:space="preserve"> PAGE  \* Arabic  \* MERGEFORMAT </w:instrText>
    </w:r>
    <w:r>
      <w:fldChar w:fldCharType="separate"/>
    </w:r>
    <w:r w:rsidR="008536FC">
      <w:rPr>
        <w:noProof/>
      </w:rPr>
      <w:t>1</w:t>
    </w:r>
    <w:r>
      <w:fldChar w:fldCharType="end"/>
    </w:r>
    <w:r>
      <w:t>/</w:t>
    </w:r>
    <w:fldSimple w:instr=" NUMPAGES ">
      <w:r w:rsidR="008536FC">
        <w:rPr>
          <w:noProof/>
        </w:rPr>
        <w:t>26</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7D0A1" w14:textId="77777777" w:rsidR="00910972" w:rsidRPr="00910972" w:rsidRDefault="00910972" w:rsidP="0091097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5C15F" w14:textId="77777777" w:rsidR="006C3FDB" w:rsidRPr="00910972" w:rsidRDefault="006C3FDB" w:rsidP="0091097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04860" w14:textId="3A929E5D" w:rsidR="006C3FDB" w:rsidRPr="00910972" w:rsidRDefault="00910972" w:rsidP="00910972">
    <w:pPr>
      <w:pStyle w:val="Footer"/>
    </w:pPr>
    <w:r>
      <w:t xml:space="preserve">EESC-2022-03184-00-00-TCD-TRA (EN) </w:t>
    </w:r>
    <w:r>
      <w:fldChar w:fldCharType="begin"/>
    </w:r>
    <w:r>
      <w:instrText xml:space="preserve"> PAGE  \* Arabic  \* MERGEFORMAT </w:instrText>
    </w:r>
    <w:r>
      <w:fldChar w:fldCharType="separate"/>
    </w:r>
    <w:r w:rsidR="00C726B5">
      <w:rPr>
        <w:noProof/>
      </w:rPr>
      <w:t>26</w:t>
    </w:r>
    <w:r>
      <w:fldChar w:fldCharType="end"/>
    </w:r>
    <w:r>
      <w:t>/</w:t>
    </w:r>
    <w:fldSimple w:instr=" NUMPAGES ">
      <w:r w:rsidR="00C726B5">
        <w:rPr>
          <w:noProof/>
        </w:rPr>
        <w:t>26</w:t>
      </w:r>
    </w:fldSimple>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FE62D" w14:textId="77777777" w:rsidR="006C3FDB" w:rsidRPr="00910972" w:rsidRDefault="006C3FDB" w:rsidP="009109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660787" w14:textId="77777777" w:rsidR="006C3FDB" w:rsidRDefault="006C3FDB" w:rsidP="003B0516">
      <w:pPr>
        <w:spacing w:line="240" w:lineRule="auto"/>
      </w:pPr>
      <w:r>
        <w:separator/>
      </w:r>
    </w:p>
  </w:footnote>
  <w:footnote w:type="continuationSeparator" w:id="0">
    <w:p w14:paraId="7CEDF243" w14:textId="77777777" w:rsidR="006C3FDB" w:rsidRDefault="006C3FDB" w:rsidP="003B051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9653A" w14:textId="77777777" w:rsidR="00910972" w:rsidRPr="00910972" w:rsidRDefault="00910972" w:rsidP="009109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8E1A2" w14:textId="548A34A6" w:rsidR="00910972" w:rsidRPr="00910972" w:rsidRDefault="00910972" w:rsidP="009109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C636A" w14:textId="77777777" w:rsidR="00910972" w:rsidRPr="00910972" w:rsidRDefault="00910972" w:rsidP="0091097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69DF2" w14:textId="77777777" w:rsidR="006C3FDB" w:rsidRPr="00910972" w:rsidRDefault="006C3FDB" w:rsidP="0091097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94FBA" w14:textId="0C1C1FB3" w:rsidR="006C3FDB" w:rsidRPr="00910972" w:rsidRDefault="006C3FDB" w:rsidP="0091097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35E7F" w14:textId="77777777" w:rsidR="006C3FDB" w:rsidRPr="00910972" w:rsidRDefault="006C3FDB" w:rsidP="009109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7C7ACE32"/>
    <w:lvl w:ilvl="0">
      <w:start w:val="1"/>
      <w:numFmt w:val="decimal"/>
      <w:pStyle w:val="Heading1"/>
      <w:lvlText w:val="%1."/>
      <w:lvlJc w:val="left"/>
      <w:pPr>
        <w:ind w:left="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decimal"/>
      <w:pStyle w:val="Heading4"/>
      <w:lvlText w:val="%1.%2.%3.%4"/>
      <w:lvlJc w:val="left"/>
      <w:pPr>
        <w:ind w:left="0" w:firstLine="0"/>
      </w:pPr>
      <w:rPr>
        <w:rFonts w:hint="default"/>
      </w:rPr>
    </w:lvl>
    <w:lvl w:ilvl="4">
      <w:start w:val="1"/>
      <w:numFmt w:val="decimal"/>
      <w:pStyle w:val="Heading5"/>
      <w:lvlText w:val="%1.%2.%3.%4.%5"/>
      <w:lvlJc w:val="left"/>
      <w:pPr>
        <w:ind w:left="0" w:firstLine="0"/>
      </w:pPr>
      <w:rPr>
        <w:rFonts w:hint="default"/>
      </w:rPr>
    </w:lvl>
    <w:lvl w:ilvl="5">
      <w:start w:val="1"/>
      <w:numFmt w:val="decimal"/>
      <w:pStyle w:val="Heading6"/>
      <w:lvlText w:val="%1.%2.%3.%4.%5.%6"/>
      <w:lvlJc w:val="left"/>
      <w:pPr>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1" w15:restartNumberingAfterBreak="0">
    <w:nsid w:val="0D95438D"/>
    <w:multiLevelType w:val="singleLevel"/>
    <w:tmpl w:val="080C0001"/>
    <w:lvl w:ilvl="0">
      <w:start w:val="1"/>
      <w:numFmt w:val="bullet"/>
      <w:lvlText w:val=""/>
      <w:lvlJc w:val="left"/>
      <w:pPr>
        <w:ind w:left="720" w:hanging="360"/>
      </w:pPr>
      <w:rPr>
        <w:rFonts w:ascii="Symbol" w:hAnsi="Symbol" w:hint="default"/>
      </w:rPr>
    </w:lvl>
  </w:abstractNum>
  <w:abstractNum w:abstractNumId="2" w15:restartNumberingAfterBreak="0">
    <w:nsid w:val="0E185D1A"/>
    <w:multiLevelType w:val="hybridMultilevel"/>
    <w:tmpl w:val="F45E578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7D4193E"/>
    <w:multiLevelType w:val="hybridMultilevel"/>
    <w:tmpl w:val="0534E460"/>
    <w:lvl w:ilvl="0" w:tplc="080C0001">
      <w:start w:val="1"/>
      <w:numFmt w:val="bullet"/>
      <w:lvlText w:val=""/>
      <w:lvlJc w:val="left"/>
      <w:pPr>
        <w:ind w:left="78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9D0190"/>
    <w:multiLevelType w:val="hybridMultilevel"/>
    <w:tmpl w:val="540225C6"/>
    <w:lvl w:ilvl="0" w:tplc="080C0001">
      <w:start w:val="1"/>
      <w:numFmt w:val="bullet"/>
      <w:lvlText w:val=""/>
      <w:lvlJc w:val="left"/>
      <w:pPr>
        <w:ind w:left="1429" w:hanging="360"/>
      </w:pPr>
      <w:rPr>
        <w:rFonts w:ascii="Symbol" w:hAnsi="Symbol" w:hint="default"/>
      </w:rPr>
    </w:lvl>
    <w:lvl w:ilvl="1" w:tplc="080C0003">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5" w15:restartNumberingAfterBreak="0">
    <w:nsid w:val="35CE609E"/>
    <w:multiLevelType w:val="hybridMultilevel"/>
    <w:tmpl w:val="A9E2E08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3583FAE"/>
    <w:multiLevelType w:val="hybridMultilevel"/>
    <w:tmpl w:val="49B05486"/>
    <w:lvl w:ilvl="0" w:tplc="080C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 w15:restartNumberingAfterBreak="0">
    <w:nsid w:val="45935A71"/>
    <w:multiLevelType w:val="hybridMultilevel"/>
    <w:tmpl w:val="C9DC9BDC"/>
    <w:lvl w:ilvl="0" w:tplc="0F1045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0724ED4"/>
    <w:multiLevelType w:val="singleLevel"/>
    <w:tmpl w:val="080C0001"/>
    <w:lvl w:ilvl="0">
      <w:start w:val="1"/>
      <w:numFmt w:val="bullet"/>
      <w:lvlText w:val=""/>
      <w:lvlJc w:val="left"/>
      <w:pPr>
        <w:ind w:left="360" w:hanging="360"/>
      </w:pPr>
      <w:rPr>
        <w:rFonts w:ascii="Symbol" w:hAnsi="Symbol" w:hint="default"/>
      </w:rPr>
    </w:lvl>
  </w:abstractNum>
  <w:abstractNum w:abstractNumId="9" w15:restartNumberingAfterBreak="0">
    <w:nsid w:val="61D026E9"/>
    <w:multiLevelType w:val="hybridMultilevel"/>
    <w:tmpl w:val="C2A4AF8C"/>
    <w:lvl w:ilvl="0" w:tplc="08090005">
      <w:start w:val="1"/>
      <w:numFmt w:val="bullet"/>
      <w:lvlText w:val=""/>
      <w:lvlJc w:val="left"/>
      <w:pPr>
        <w:ind w:left="786"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1F42C0"/>
    <w:multiLevelType w:val="hybridMultilevel"/>
    <w:tmpl w:val="207A7068"/>
    <w:lvl w:ilvl="0" w:tplc="04090005">
      <w:start w:val="1"/>
      <w:numFmt w:val="bullet"/>
      <w:lvlText w:val=""/>
      <w:lvlJc w:val="left"/>
      <w:pPr>
        <w:ind w:left="1287" w:hanging="360"/>
      </w:pPr>
      <w:rPr>
        <w:rFonts w:ascii="Wingdings" w:hAnsi="Wingdings"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11" w15:restartNumberingAfterBreak="0">
    <w:nsid w:val="69E014D1"/>
    <w:multiLevelType w:val="hybridMultilevel"/>
    <w:tmpl w:val="C20011AA"/>
    <w:lvl w:ilvl="0" w:tplc="2AEC052C">
      <w:start w:val="1"/>
      <w:numFmt w:val="bullet"/>
      <w:lvlText w:val=""/>
      <w:lvlJc w:val="left"/>
      <w:pPr>
        <w:ind w:left="1070" w:hanging="360"/>
      </w:pPr>
      <w:rPr>
        <w:rFonts w:ascii="Symbol" w:hAnsi="Symbol" w:hint="default"/>
        <w:sz w:val="28"/>
        <w:szCs w:val="28"/>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2" w15:restartNumberingAfterBreak="0">
    <w:nsid w:val="767D7BDC"/>
    <w:multiLevelType w:val="hybridMultilevel"/>
    <w:tmpl w:val="948AFA3C"/>
    <w:lvl w:ilvl="0" w:tplc="89029AA0">
      <w:start w:val="1"/>
      <w:numFmt w:val="bullet"/>
      <w:lvlText w:val=""/>
      <w:lvlJc w:val="left"/>
      <w:pPr>
        <w:ind w:left="78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927257"/>
    <w:multiLevelType w:val="hybridMultilevel"/>
    <w:tmpl w:val="4F50226C"/>
    <w:lvl w:ilvl="0" w:tplc="5F48E7FA">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1"/>
  </w:num>
  <w:num w:numId="3">
    <w:abstractNumId w:val="12"/>
  </w:num>
  <w:num w:numId="4">
    <w:abstractNumId w:val="1"/>
  </w:num>
  <w:num w:numId="5">
    <w:abstractNumId w:val="8"/>
  </w:num>
  <w:num w:numId="6">
    <w:abstractNumId w:val="5"/>
  </w:num>
  <w:num w:numId="7">
    <w:abstractNumId w:val="2"/>
  </w:num>
  <w:num w:numId="8">
    <w:abstractNumId w:val="4"/>
  </w:num>
  <w:num w:numId="9">
    <w:abstractNumId w:val="3"/>
  </w:num>
  <w:num w:numId="10">
    <w:abstractNumId w:val="13"/>
  </w:num>
  <w:num w:numId="11">
    <w:abstractNumId w:val="6"/>
  </w:num>
  <w:num w:numId="12">
    <w:abstractNumId w:val="10"/>
  </w:num>
  <w:num w:numId="13">
    <w:abstractNumId w:val="0"/>
  </w:num>
  <w:num w:numId="14">
    <w:abstractNumId w:val="0"/>
  </w:num>
  <w:num w:numId="15">
    <w:abstractNumId w:val="9"/>
  </w:num>
  <w:num w:numId="16">
    <w:abstractNumId w:val="7"/>
  </w:num>
  <w:num w:numId="17">
    <w:abstractNumId w:val="0"/>
  </w:num>
  <w:num w:numId="18">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BE" w:vendorID="64" w:dllVersion="6" w:nlCheck="1" w:checkStyle="0"/>
  <w:activeWritingStyle w:appName="MSWord" w:lang="en-GB" w:vendorID="64" w:dllVersion="6" w:nlCheck="1" w:checkStyle="0"/>
  <w:activeWritingStyle w:appName="MSWord" w:lang="fr-FR" w:vendorID="64" w:dllVersion="6" w:nlCheck="1" w:checkStyle="0"/>
  <w:activeWritingStyle w:appName="MSWord" w:lang="en-AU" w:vendorID="64" w:dllVersion="6" w:nlCheck="1" w:checkStyle="0"/>
  <w:activeWritingStyle w:appName="MSWord" w:lang="en-US" w:vendorID="64" w:dllVersion="6" w:nlCheck="1" w:checkStyle="0"/>
  <w:activeWritingStyle w:appName="MSWord" w:lang="pt-PT" w:vendorID="64" w:dllVersion="6" w:nlCheck="1" w:checkStyle="0"/>
  <w:activeWritingStyle w:appName="MSWord" w:lang="de-DE" w:vendorID="64" w:dllVersion="6" w:nlCheck="1" w:checkStyle="0"/>
  <w:activeWritingStyle w:appName="MSWord" w:lang="nl-BE" w:vendorID="64" w:dllVersion="6" w:nlCheck="1" w:checkStyle="0"/>
  <w:activeWritingStyle w:appName="MSWord" w:lang="it-IT" w:vendorID="64" w:dllVersion="6" w:nlCheck="1" w:checkStyle="0"/>
  <w:activeWritingStyle w:appName="MSWord" w:lang="es-E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pt-PT" w:vendorID="64" w:dllVersion="4096" w:nlCheck="1" w:checkStyle="0"/>
  <w:activeWritingStyle w:appName="MSWord" w:lang="fr-FR" w:vendorID="64" w:dllVersion="4096" w:nlCheck="1" w:checkStyle="0"/>
  <w:activeWritingStyle w:appName="MSWord" w:lang="fr-BE" w:vendorID="64" w:dllVersion="4096" w:nlCheck="1" w:checkStyle="0"/>
  <w:activeWritingStyle w:appName="MSWord" w:lang="es-ES" w:vendorID="64" w:dllVersion="4096" w:nlCheck="1" w:checkStyle="0"/>
  <w:activeWritingStyle w:appName="MSWord" w:lang="it-IT" w:vendorID="64" w:dllVersion="4096" w:nlCheck="1" w:checkStyle="0"/>
  <w:activeWritingStyle w:appName="MSWord" w:lang="en-GB" w:vendorID="64" w:dllVersion="131078" w:nlCheck="1" w:checkStyle="1"/>
  <w:activeWritingStyle w:appName="MSWord" w:lang="en-US" w:vendorID="64" w:dllVersion="131078" w:nlCheck="1" w:checkStyle="1"/>
  <w:activeWritingStyle w:appName="MSWord" w:lang="pt-PT" w:vendorID="64" w:dllVersion="131078" w:nlCheck="1" w:checkStyle="0"/>
  <w:activeWritingStyle w:appName="MSWord" w:lang="es-ES" w:vendorID="64" w:dllVersion="131078" w:nlCheck="1" w:checkStyle="0"/>
  <w:activeWritingStyle w:appName="MSWord" w:lang="fr-BE" w:vendorID="64" w:dllVersion="131078" w:nlCheck="1" w:checkStyle="0"/>
  <w:activeWritingStyle w:appName="MSWord" w:lang="fr-FR" w:vendorID="64" w:dllVersion="131078" w:nlCheck="1" w:checkStyle="0"/>
  <w:activeWritingStyle w:appName="MSWord" w:lang="it-IT" w:vendorID="64" w:dllVersion="131078" w:nlCheck="1" w:checkStyle="0"/>
  <w:activeWritingStyle w:appName="MSWord" w:lang="nl-BE" w:vendorID="64" w:dllVersion="131078" w:nlCheck="1" w:checkStyle="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AC0"/>
    <w:rsid w:val="00014C93"/>
    <w:rsid w:val="00015E18"/>
    <w:rsid w:val="000232FA"/>
    <w:rsid w:val="0002450A"/>
    <w:rsid w:val="00027072"/>
    <w:rsid w:val="00032038"/>
    <w:rsid w:val="0003271A"/>
    <w:rsid w:val="00032BAA"/>
    <w:rsid w:val="00034E35"/>
    <w:rsid w:val="000369BB"/>
    <w:rsid w:val="000402AE"/>
    <w:rsid w:val="00041C4A"/>
    <w:rsid w:val="0004205F"/>
    <w:rsid w:val="000421E0"/>
    <w:rsid w:val="0005170F"/>
    <w:rsid w:val="00055D63"/>
    <w:rsid w:val="00056079"/>
    <w:rsid w:val="00056B3E"/>
    <w:rsid w:val="0005760F"/>
    <w:rsid w:val="00063DFF"/>
    <w:rsid w:val="00064EDE"/>
    <w:rsid w:val="00070FEE"/>
    <w:rsid w:val="0007146F"/>
    <w:rsid w:val="00071F4C"/>
    <w:rsid w:val="000764E8"/>
    <w:rsid w:val="00076BA9"/>
    <w:rsid w:val="00083845"/>
    <w:rsid w:val="000911BF"/>
    <w:rsid w:val="00092425"/>
    <w:rsid w:val="000951A1"/>
    <w:rsid w:val="000956DB"/>
    <w:rsid w:val="00096786"/>
    <w:rsid w:val="000A007B"/>
    <w:rsid w:val="000A03BD"/>
    <w:rsid w:val="000A1218"/>
    <w:rsid w:val="000A74DC"/>
    <w:rsid w:val="000A7BA8"/>
    <w:rsid w:val="000B19C4"/>
    <w:rsid w:val="000C3942"/>
    <w:rsid w:val="000C43E2"/>
    <w:rsid w:val="000C6D0B"/>
    <w:rsid w:val="000D2F8F"/>
    <w:rsid w:val="000D65AC"/>
    <w:rsid w:val="000E5FFD"/>
    <w:rsid w:val="000E6108"/>
    <w:rsid w:val="000F53B7"/>
    <w:rsid w:val="000F679A"/>
    <w:rsid w:val="001000A8"/>
    <w:rsid w:val="001167A1"/>
    <w:rsid w:val="00116A1C"/>
    <w:rsid w:val="001179DB"/>
    <w:rsid w:val="00117AA8"/>
    <w:rsid w:val="00124D7C"/>
    <w:rsid w:val="00126CBC"/>
    <w:rsid w:val="001271C3"/>
    <w:rsid w:val="001400C7"/>
    <w:rsid w:val="001445A7"/>
    <w:rsid w:val="001455A1"/>
    <w:rsid w:val="00150AD8"/>
    <w:rsid w:val="001513FD"/>
    <w:rsid w:val="00163106"/>
    <w:rsid w:val="00164813"/>
    <w:rsid w:val="001744F9"/>
    <w:rsid w:val="00174763"/>
    <w:rsid w:val="0018231C"/>
    <w:rsid w:val="00182F92"/>
    <w:rsid w:val="00191597"/>
    <w:rsid w:val="001951FD"/>
    <w:rsid w:val="001A0AD4"/>
    <w:rsid w:val="001A2273"/>
    <w:rsid w:val="001B10DA"/>
    <w:rsid w:val="001B6460"/>
    <w:rsid w:val="001C4EDC"/>
    <w:rsid w:val="001C5D5C"/>
    <w:rsid w:val="001D1F54"/>
    <w:rsid w:val="001D2636"/>
    <w:rsid w:val="001D6FFF"/>
    <w:rsid w:val="001D770D"/>
    <w:rsid w:val="001E0F0C"/>
    <w:rsid w:val="001E2286"/>
    <w:rsid w:val="001E6413"/>
    <w:rsid w:val="001F1433"/>
    <w:rsid w:val="001F1862"/>
    <w:rsid w:val="001F22AC"/>
    <w:rsid w:val="001F56CE"/>
    <w:rsid w:val="001F6FD5"/>
    <w:rsid w:val="00200222"/>
    <w:rsid w:val="0020062C"/>
    <w:rsid w:val="002037FC"/>
    <w:rsid w:val="002043D7"/>
    <w:rsid w:val="002043F8"/>
    <w:rsid w:val="00215520"/>
    <w:rsid w:val="0021590B"/>
    <w:rsid w:val="00215FAB"/>
    <w:rsid w:val="00216BAA"/>
    <w:rsid w:val="00224583"/>
    <w:rsid w:val="00225BCA"/>
    <w:rsid w:val="00225C52"/>
    <w:rsid w:val="00226DC1"/>
    <w:rsid w:val="00227E12"/>
    <w:rsid w:val="00232374"/>
    <w:rsid w:val="002328D2"/>
    <w:rsid w:val="00237481"/>
    <w:rsid w:val="00242666"/>
    <w:rsid w:val="00247E02"/>
    <w:rsid w:val="00255669"/>
    <w:rsid w:val="00256F0A"/>
    <w:rsid w:val="00261FDB"/>
    <w:rsid w:val="00270828"/>
    <w:rsid w:val="002737D4"/>
    <w:rsid w:val="00276CC9"/>
    <w:rsid w:val="002776B9"/>
    <w:rsid w:val="00291154"/>
    <w:rsid w:val="00292D44"/>
    <w:rsid w:val="00293E9C"/>
    <w:rsid w:val="002A2F38"/>
    <w:rsid w:val="002A417C"/>
    <w:rsid w:val="002A6192"/>
    <w:rsid w:val="002A696A"/>
    <w:rsid w:val="002B09A7"/>
    <w:rsid w:val="002B1961"/>
    <w:rsid w:val="002B2BA3"/>
    <w:rsid w:val="002B5031"/>
    <w:rsid w:val="002B75A5"/>
    <w:rsid w:val="002B7981"/>
    <w:rsid w:val="002C0E2F"/>
    <w:rsid w:val="002C1BC2"/>
    <w:rsid w:val="002C2466"/>
    <w:rsid w:val="002C24B9"/>
    <w:rsid w:val="002C2B80"/>
    <w:rsid w:val="002C4B6E"/>
    <w:rsid w:val="002C5F52"/>
    <w:rsid w:val="002D4C38"/>
    <w:rsid w:val="002E01B5"/>
    <w:rsid w:val="002E44D6"/>
    <w:rsid w:val="002E459D"/>
    <w:rsid w:val="002E5473"/>
    <w:rsid w:val="002F32E6"/>
    <w:rsid w:val="002F63EB"/>
    <w:rsid w:val="00305834"/>
    <w:rsid w:val="00311562"/>
    <w:rsid w:val="003123CB"/>
    <w:rsid w:val="003165A9"/>
    <w:rsid w:val="0032266E"/>
    <w:rsid w:val="003227CC"/>
    <w:rsid w:val="00323A05"/>
    <w:rsid w:val="00326919"/>
    <w:rsid w:val="00331ACB"/>
    <w:rsid w:val="00331C12"/>
    <w:rsid w:val="00333F1A"/>
    <w:rsid w:val="00340F46"/>
    <w:rsid w:val="00342F72"/>
    <w:rsid w:val="00350A12"/>
    <w:rsid w:val="00350F5C"/>
    <w:rsid w:val="003527B4"/>
    <w:rsid w:val="00361E48"/>
    <w:rsid w:val="0036641A"/>
    <w:rsid w:val="00370CCB"/>
    <w:rsid w:val="00376574"/>
    <w:rsid w:val="00394949"/>
    <w:rsid w:val="00396061"/>
    <w:rsid w:val="003965BB"/>
    <w:rsid w:val="003A0DB7"/>
    <w:rsid w:val="003B0516"/>
    <w:rsid w:val="003B3C5F"/>
    <w:rsid w:val="003B3D68"/>
    <w:rsid w:val="003B6760"/>
    <w:rsid w:val="003C07C5"/>
    <w:rsid w:val="003C2647"/>
    <w:rsid w:val="003C4D5B"/>
    <w:rsid w:val="003D33F7"/>
    <w:rsid w:val="003D4F68"/>
    <w:rsid w:val="003D57BD"/>
    <w:rsid w:val="003D76E2"/>
    <w:rsid w:val="003E2757"/>
    <w:rsid w:val="003E5137"/>
    <w:rsid w:val="003E692C"/>
    <w:rsid w:val="003F0159"/>
    <w:rsid w:val="003F2D36"/>
    <w:rsid w:val="003F510A"/>
    <w:rsid w:val="003F6382"/>
    <w:rsid w:val="0040019C"/>
    <w:rsid w:val="00400A1F"/>
    <w:rsid w:val="00403406"/>
    <w:rsid w:val="004047B1"/>
    <w:rsid w:val="00405FD9"/>
    <w:rsid w:val="00407760"/>
    <w:rsid w:val="00426ECD"/>
    <w:rsid w:val="004331B4"/>
    <w:rsid w:val="00441E45"/>
    <w:rsid w:val="004511AE"/>
    <w:rsid w:val="00456E3C"/>
    <w:rsid w:val="00462B31"/>
    <w:rsid w:val="00463300"/>
    <w:rsid w:val="004646AF"/>
    <w:rsid w:val="0046631E"/>
    <w:rsid w:val="00470719"/>
    <w:rsid w:val="00472A79"/>
    <w:rsid w:val="00472E72"/>
    <w:rsid w:val="004755C3"/>
    <w:rsid w:val="0048695C"/>
    <w:rsid w:val="004904F9"/>
    <w:rsid w:val="0049347F"/>
    <w:rsid w:val="004A46D9"/>
    <w:rsid w:val="004A5CD7"/>
    <w:rsid w:val="004B344F"/>
    <w:rsid w:val="004B7248"/>
    <w:rsid w:val="004B72DD"/>
    <w:rsid w:val="004C1E12"/>
    <w:rsid w:val="004C2872"/>
    <w:rsid w:val="004C40E4"/>
    <w:rsid w:val="004D2E64"/>
    <w:rsid w:val="004D65FF"/>
    <w:rsid w:val="004D7AC0"/>
    <w:rsid w:val="004F2430"/>
    <w:rsid w:val="004F68A8"/>
    <w:rsid w:val="00502B04"/>
    <w:rsid w:val="00502C82"/>
    <w:rsid w:val="005030F7"/>
    <w:rsid w:val="00530644"/>
    <w:rsid w:val="00533BF2"/>
    <w:rsid w:val="0053502B"/>
    <w:rsid w:val="0054010D"/>
    <w:rsid w:val="00542C6F"/>
    <w:rsid w:val="00546842"/>
    <w:rsid w:val="005475DA"/>
    <w:rsid w:val="00550800"/>
    <w:rsid w:val="00554499"/>
    <w:rsid w:val="00555A39"/>
    <w:rsid w:val="00560174"/>
    <w:rsid w:val="00564924"/>
    <w:rsid w:val="00565C6E"/>
    <w:rsid w:val="00571FEB"/>
    <w:rsid w:val="00577672"/>
    <w:rsid w:val="00582A42"/>
    <w:rsid w:val="00584D91"/>
    <w:rsid w:val="0058593B"/>
    <w:rsid w:val="00586B4B"/>
    <w:rsid w:val="00590BDD"/>
    <w:rsid w:val="00594140"/>
    <w:rsid w:val="0059551E"/>
    <w:rsid w:val="005A3E6D"/>
    <w:rsid w:val="005A755F"/>
    <w:rsid w:val="005B0E27"/>
    <w:rsid w:val="005B3012"/>
    <w:rsid w:val="005C0363"/>
    <w:rsid w:val="005C7C47"/>
    <w:rsid w:val="005D621C"/>
    <w:rsid w:val="005D6E4D"/>
    <w:rsid w:val="005D7939"/>
    <w:rsid w:val="005E23CD"/>
    <w:rsid w:val="005E2C02"/>
    <w:rsid w:val="005E56F3"/>
    <w:rsid w:val="005E682E"/>
    <w:rsid w:val="005F4FFC"/>
    <w:rsid w:val="005F78D7"/>
    <w:rsid w:val="005F7E48"/>
    <w:rsid w:val="00600A25"/>
    <w:rsid w:val="006025C9"/>
    <w:rsid w:val="006119BD"/>
    <w:rsid w:val="00613467"/>
    <w:rsid w:val="0061692F"/>
    <w:rsid w:val="0062138E"/>
    <w:rsid w:val="00622822"/>
    <w:rsid w:val="00624785"/>
    <w:rsid w:val="00627B8F"/>
    <w:rsid w:val="00630047"/>
    <w:rsid w:val="00630928"/>
    <w:rsid w:val="00631509"/>
    <w:rsid w:val="00632139"/>
    <w:rsid w:val="006324DA"/>
    <w:rsid w:val="006334BE"/>
    <w:rsid w:val="00640656"/>
    <w:rsid w:val="00641262"/>
    <w:rsid w:val="00645723"/>
    <w:rsid w:val="00650DB1"/>
    <w:rsid w:val="006568C8"/>
    <w:rsid w:val="006604D8"/>
    <w:rsid w:val="00662436"/>
    <w:rsid w:val="006669FA"/>
    <w:rsid w:val="00666A72"/>
    <w:rsid w:val="00670347"/>
    <w:rsid w:val="00675177"/>
    <w:rsid w:val="00681B23"/>
    <w:rsid w:val="0068241A"/>
    <w:rsid w:val="006849A6"/>
    <w:rsid w:val="00691356"/>
    <w:rsid w:val="006967AE"/>
    <w:rsid w:val="006A3A88"/>
    <w:rsid w:val="006A42C1"/>
    <w:rsid w:val="006A5AA8"/>
    <w:rsid w:val="006B106B"/>
    <w:rsid w:val="006B265F"/>
    <w:rsid w:val="006C3FDB"/>
    <w:rsid w:val="006C4311"/>
    <w:rsid w:val="006C4ED2"/>
    <w:rsid w:val="006D32E3"/>
    <w:rsid w:val="006D4847"/>
    <w:rsid w:val="006D6086"/>
    <w:rsid w:val="006E0E88"/>
    <w:rsid w:val="006E3078"/>
    <w:rsid w:val="006E3F60"/>
    <w:rsid w:val="006E6434"/>
    <w:rsid w:val="006F3409"/>
    <w:rsid w:val="00700030"/>
    <w:rsid w:val="007037CE"/>
    <w:rsid w:val="00704C1E"/>
    <w:rsid w:val="00705674"/>
    <w:rsid w:val="007105B2"/>
    <w:rsid w:val="007150C5"/>
    <w:rsid w:val="00715A60"/>
    <w:rsid w:val="00720D22"/>
    <w:rsid w:val="00721342"/>
    <w:rsid w:val="00721386"/>
    <w:rsid w:val="00727B0D"/>
    <w:rsid w:val="007327CD"/>
    <w:rsid w:val="00732CC4"/>
    <w:rsid w:val="00733A55"/>
    <w:rsid w:val="00735256"/>
    <w:rsid w:val="0074379C"/>
    <w:rsid w:val="00745EAA"/>
    <w:rsid w:val="00746B35"/>
    <w:rsid w:val="0075250B"/>
    <w:rsid w:val="00753F2A"/>
    <w:rsid w:val="00760B02"/>
    <w:rsid w:val="00760C0A"/>
    <w:rsid w:val="0076429F"/>
    <w:rsid w:val="00765C4F"/>
    <w:rsid w:val="00771110"/>
    <w:rsid w:val="00775FDA"/>
    <w:rsid w:val="0077736D"/>
    <w:rsid w:val="00781B32"/>
    <w:rsid w:val="007830DD"/>
    <w:rsid w:val="00785F4A"/>
    <w:rsid w:val="007A0970"/>
    <w:rsid w:val="007A1548"/>
    <w:rsid w:val="007B21C5"/>
    <w:rsid w:val="007B231B"/>
    <w:rsid w:val="007B4C38"/>
    <w:rsid w:val="007B7C40"/>
    <w:rsid w:val="007C11A7"/>
    <w:rsid w:val="007C58EF"/>
    <w:rsid w:val="007C7CE2"/>
    <w:rsid w:val="007D42D1"/>
    <w:rsid w:val="007D5174"/>
    <w:rsid w:val="007E0CE8"/>
    <w:rsid w:val="007E3FFA"/>
    <w:rsid w:val="007E70D2"/>
    <w:rsid w:val="007E7A4F"/>
    <w:rsid w:val="007E7DE3"/>
    <w:rsid w:val="007F0BB7"/>
    <w:rsid w:val="007F2119"/>
    <w:rsid w:val="007F7DBA"/>
    <w:rsid w:val="00804736"/>
    <w:rsid w:val="0080501D"/>
    <w:rsid w:val="00812594"/>
    <w:rsid w:val="00813A00"/>
    <w:rsid w:val="00814E33"/>
    <w:rsid w:val="008159E1"/>
    <w:rsid w:val="008172B0"/>
    <w:rsid w:val="00822ED8"/>
    <w:rsid w:val="00824647"/>
    <w:rsid w:val="00824DCF"/>
    <w:rsid w:val="0082509A"/>
    <w:rsid w:val="00827B0E"/>
    <w:rsid w:val="008327B1"/>
    <w:rsid w:val="00833E27"/>
    <w:rsid w:val="00841374"/>
    <w:rsid w:val="00842465"/>
    <w:rsid w:val="00842BDD"/>
    <w:rsid w:val="00842C71"/>
    <w:rsid w:val="00844B87"/>
    <w:rsid w:val="0085096C"/>
    <w:rsid w:val="008536FC"/>
    <w:rsid w:val="00855196"/>
    <w:rsid w:val="00855772"/>
    <w:rsid w:val="0086045C"/>
    <w:rsid w:val="008608BA"/>
    <w:rsid w:val="00861942"/>
    <w:rsid w:val="00861D96"/>
    <w:rsid w:val="00862DC9"/>
    <w:rsid w:val="0086458A"/>
    <w:rsid w:val="008737C0"/>
    <w:rsid w:val="008745F7"/>
    <w:rsid w:val="00881E9B"/>
    <w:rsid w:val="0088219D"/>
    <w:rsid w:val="0088465F"/>
    <w:rsid w:val="00884879"/>
    <w:rsid w:val="008854AE"/>
    <w:rsid w:val="00886448"/>
    <w:rsid w:val="008946BF"/>
    <w:rsid w:val="008A4C14"/>
    <w:rsid w:val="008B2544"/>
    <w:rsid w:val="008B26C6"/>
    <w:rsid w:val="008B2708"/>
    <w:rsid w:val="008B66DD"/>
    <w:rsid w:val="008B72DD"/>
    <w:rsid w:val="008C18DE"/>
    <w:rsid w:val="008D2131"/>
    <w:rsid w:val="008D5213"/>
    <w:rsid w:val="008E0C2F"/>
    <w:rsid w:val="008E5076"/>
    <w:rsid w:val="008F1627"/>
    <w:rsid w:val="00900BFC"/>
    <w:rsid w:val="009049FC"/>
    <w:rsid w:val="00910972"/>
    <w:rsid w:val="009109F5"/>
    <w:rsid w:val="00912E0E"/>
    <w:rsid w:val="00912F6B"/>
    <w:rsid w:val="00914265"/>
    <w:rsid w:val="009173E7"/>
    <w:rsid w:val="009177FF"/>
    <w:rsid w:val="00931584"/>
    <w:rsid w:val="00934472"/>
    <w:rsid w:val="00942238"/>
    <w:rsid w:val="0094733C"/>
    <w:rsid w:val="00947E08"/>
    <w:rsid w:val="0095386D"/>
    <w:rsid w:val="0095396D"/>
    <w:rsid w:val="0096099A"/>
    <w:rsid w:val="00961956"/>
    <w:rsid w:val="00961F3C"/>
    <w:rsid w:val="0096721E"/>
    <w:rsid w:val="00970971"/>
    <w:rsid w:val="00971495"/>
    <w:rsid w:val="0097659B"/>
    <w:rsid w:val="00986C7F"/>
    <w:rsid w:val="00987507"/>
    <w:rsid w:val="009954A1"/>
    <w:rsid w:val="009B0E36"/>
    <w:rsid w:val="009B2ADD"/>
    <w:rsid w:val="009B37E5"/>
    <w:rsid w:val="009B70E7"/>
    <w:rsid w:val="009B72AB"/>
    <w:rsid w:val="009C513E"/>
    <w:rsid w:val="009C574C"/>
    <w:rsid w:val="009C75E4"/>
    <w:rsid w:val="009D07F4"/>
    <w:rsid w:val="009D1CA2"/>
    <w:rsid w:val="009D2CD0"/>
    <w:rsid w:val="009D388E"/>
    <w:rsid w:val="009D5CC6"/>
    <w:rsid w:val="009E4E92"/>
    <w:rsid w:val="009E6BA2"/>
    <w:rsid w:val="009E70A3"/>
    <w:rsid w:val="009E7942"/>
    <w:rsid w:val="009F3BC5"/>
    <w:rsid w:val="009F5F78"/>
    <w:rsid w:val="009F706B"/>
    <w:rsid w:val="00A0410F"/>
    <w:rsid w:val="00A048E9"/>
    <w:rsid w:val="00A049D5"/>
    <w:rsid w:val="00A06E9E"/>
    <w:rsid w:val="00A10A98"/>
    <w:rsid w:val="00A20E9D"/>
    <w:rsid w:val="00A30792"/>
    <w:rsid w:val="00A30B84"/>
    <w:rsid w:val="00A3344B"/>
    <w:rsid w:val="00A37880"/>
    <w:rsid w:val="00A45EC3"/>
    <w:rsid w:val="00A46122"/>
    <w:rsid w:val="00A51F03"/>
    <w:rsid w:val="00A522D4"/>
    <w:rsid w:val="00A5507B"/>
    <w:rsid w:val="00A62F57"/>
    <w:rsid w:val="00A63413"/>
    <w:rsid w:val="00A6556C"/>
    <w:rsid w:val="00A659B5"/>
    <w:rsid w:val="00A661BB"/>
    <w:rsid w:val="00A720CF"/>
    <w:rsid w:val="00A74B4C"/>
    <w:rsid w:val="00A763E7"/>
    <w:rsid w:val="00A827D2"/>
    <w:rsid w:val="00A86E2C"/>
    <w:rsid w:val="00A9462E"/>
    <w:rsid w:val="00A94E45"/>
    <w:rsid w:val="00AA05F8"/>
    <w:rsid w:val="00AA5C61"/>
    <w:rsid w:val="00AA69BF"/>
    <w:rsid w:val="00AB3045"/>
    <w:rsid w:val="00AB4D68"/>
    <w:rsid w:val="00AB72EB"/>
    <w:rsid w:val="00AC567A"/>
    <w:rsid w:val="00AC7690"/>
    <w:rsid w:val="00AD1524"/>
    <w:rsid w:val="00AD3DB1"/>
    <w:rsid w:val="00AD6708"/>
    <w:rsid w:val="00AE0A52"/>
    <w:rsid w:val="00AE2E3C"/>
    <w:rsid w:val="00AF2C37"/>
    <w:rsid w:val="00AF45AD"/>
    <w:rsid w:val="00AF4F10"/>
    <w:rsid w:val="00B0753C"/>
    <w:rsid w:val="00B11964"/>
    <w:rsid w:val="00B13B9C"/>
    <w:rsid w:val="00B24B60"/>
    <w:rsid w:val="00B24C28"/>
    <w:rsid w:val="00B30118"/>
    <w:rsid w:val="00B34E93"/>
    <w:rsid w:val="00B35908"/>
    <w:rsid w:val="00B40093"/>
    <w:rsid w:val="00B40158"/>
    <w:rsid w:val="00B41E79"/>
    <w:rsid w:val="00B42F7B"/>
    <w:rsid w:val="00B4330A"/>
    <w:rsid w:val="00B44BB9"/>
    <w:rsid w:val="00B44E37"/>
    <w:rsid w:val="00B4522B"/>
    <w:rsid w:val="00B51AF6"/>
    <w:rsid w:val="00B51B20"/>
    <w:rsid w:val="00B51EBC"/>
    <w:rsid w:val="00B5317E"/>
    <w:rsid w:val="00B53791"/>
    <w:rsid w:val="00B539C0"/>
    <w:rsid w:val="00B53E01"/>
    <w:rsid w:val="00B54D49"/>
    <w:rsid w:val="00B56041"/>
    <w:rsid w:val="00B61819"/>
    <w:rsid w:val="00B62D22"/>
    <w:rsid w:val="00B656FE"/>
    <w:rsid w:val="00B7530C"/>
    <w:rsid w:val="00B76922"/>
    <w:rsid w:val="00B83E7B"/>
    <w:rsid w:val="00B85573"/>
    <w:rsid w:val="00B876EC"/>
    <w:rsid w:val="00B92B86"/>
    <w:rsid w:val="00B97AA6"/>
    <w:rsid w:val="00BA051D"/>
    <w:rsid w:val="00BA579D"/>
    <w:rsid w:val="00BB054C"/>
    <w:rsid w:val="00BB1EE2"/>
    <w:rsid w:val="00BB37C1"/>
    <w:rsid w:val="00BB3A55"/>
    <w:rsid w:val="00BB739D"/>
    <w:rsid w:val="00BC1767"/>
    <w:rsid w:val="00BC29C8"/>
    <w:rsid w:val="00BC3670"/>
    <w:rsid w:val="00BC375B"/>
    <w:rsid w:val="00BC3FCE"/>
    <w:rsid w:val="00BC41D9"/>
    <w:rsid w:val="00BD4DBF"/>
    <w:rsid w:val="00BD6E79"/>
    <w:rsid w:val="00BD7550"/>
    <w:rsid w:val="00BD7A8C"/>
    <w:rsid w:val="00BE12B3"/>
    <w:rsid w:val="00BE5754"/>
    <w:rsid w:val="00BE6D5A"/>
    <w:rsid w:val="00BF27C9"/>
    <w:rsid w:val="00BF5C7D"/>
    <w:rsid w:val="00BF6653"/>
    <w:rsid w:val="00C00B1F"/>
    <w:rsid w:val="00C0119D"/>
    <w:rsid w:val="00C10C77"/>
    <w:rsid w:val="00C23683"/>
    <w:rsid w:val="00C259DF"/>
    <w:rsid w:val="00C25DB3"/>
    <w:rsid w:val="00C331A1"/>
    <w:rsid w:val="00C34B35"/>
    <w:rsid w:val="00C445FE"/>
    <w:rsid w:val="00C44A5C"/>
    <w:rsid w:val="00C46E4F"/>
    <w:rsid w:val="00C554BB"/>
    <w:rsid w:val="00C600B5"/>
    <w:rsid w:val="00C60AE2"/>
    <w:rsid w:val="00C61E75"/>
    <w:rsid w:val="00C677AD"/>
    <w:rsid w:val="00C726B5"/>
    <w:rsid w:val="00C752C7"/>
    <w:rsid w:val="00C7574C"/>
    <w:rsid w:val="00C76C46"/>
    <w:rsid w:val="00C76D56"/>
    <w:rsid w:val="00C834A5"/>
    <w:rsid w:val="00C8431E"/>
    <w:rsid w:val="00C86F74"/>
    <w:rsid w:val="00C92102"/>
    <w:rsid w:val="00C95751"/>
    <w:rsid w:val="00C9679B"/>
    <w:rsid w:val="00C96BF2"/>
    <w:rsid w:val="00C97966"/>
    <w:rsid w:val="00CA3848"/>
    <w:rsid w:val="00CA685D"/>
    <w:rsid w:val="00CB0AEA"/>
    <w:rsid w:val="00CB0CBA"/>
    <w:rsid w:val="00CB1D03"/>
    <w:rsid w:val="00CB2A8A"/>
    <w:rsid w:val="00CB3335"/>
    <w:rsid w:val="00CB3574"/>
    <w:rsid w:val="00CB4448"/>
    <w:rsid w:val="00CB6509"/>
    <w:rsid w:val="00CC25F9"/>
    <w:rsid w:val="00CD1982"/>
    <w:rsid w:val="00CD7E1B"/>
    <w:rsid w:val="00CD7F66"/>
    <w:rsid w:val="00CE23CC"/>
    <w:rsid w:val="00CE48CB"/>
    <w:rsid w:val="00CF2F88"/>
    <w:rsid w:val="00CF3D01"/>
    <w:rsid w:val="00CF5AC7"/>
    <w:rsid w:val="00CF7F58"/>
    <w:rsid w:val="00D0023B"/>
    <w:rsid w:val="00D007F3"/>
    <w:rsid w:val="00D00BF8"/>
    <w:rsid w:val="00D014A8"/>
    <w:rsid w:val="00D04678"/>
    <w:rsid w:val="00D13F40"/>
    <w:rsid w:val="00D205F2"/>
    <w:rsid w:val="00D20C54"/>
    <w:rsid w:val="00D243A3"/>
    <w:rsid w:val="00D24601"/>
    <w:rsid w:val="00D327F0"/>
    <w:rsid w:val="00D35512"/>
    <w:rsid w:val="00D35C97"/>
    <w:rsid w:val="00D41F72"/>
    <w:rsid w:val="00D423EB"/>
    <w:rsid w:val="00D442EE"/>
    <w:rsid w:val="00D47085"/>
    <w:rsid w:val="00D534BA"/>
    <w:rsid w:val="00D55B4C"/>
    <w:rsid w:val="00D61B08"/>
    <w:rsid w:val="00D630B8"/>
    <w:rsid w:val="00D761CD"/>
    <w:rsid w:val="00D76363"/>
    <w:rsid w:val="00D80558"/>
    <w:rsid w:val="00D84FBD"/>
    <w:rsid w:val="00D85D67"/>
    <w:rsid w:val="00D86432"/>
    <w:rsid w:val="00D92EBC"/>
    <w:rsid w:val="00D944B2"/>
    <w:rsid w:val="00DA2D88"/>
    <w:rsid w:val="00DA608B"/>
    <w:rsid w:val="00DB2B61"/>
    <w:rsid w:val="00DB34D6"/>
    <w:rsid w:val="00DB6D98"/>
    <w:rsid w:val="00DC057E"/>
    <w:rsid w:val="00DC097D"/>
    <w:rsid w:val="00DC17CF"/>
    <w:rsid w:val="00DC53E9"/>
    <w:rsid w:val="00DD23A2"/>
    <w:rsid w:val="00DD289C"/>
    <w:rsid w:val="00DD53BD"/>
    <w:rsid w:val="00DE010C"/>
    <w:rsid w:val="00DE308B"/>
    <w:rsid w:val="00DE3CA7"/>
    <w:rsid w:val="00DF2640"/>
    <w:rsid w:val="00DF2B94"/>
    <w:rsid w:val="00DF349B"/>
    <w:rsid w:val="00DF3AB5"/>
    <w:rsid w:val="00DF590D"/>
    <w:rsid w:val="00E02E1A"/>
    <w:rsid w:val="00E05CC4"/>
    <w:rsid w:val="00E060CF"/>
    <w:rsid w:val="00E0620E"/>
    <w:rsid w:val="00E06456"/>
    <w:rsid w:val="00E074E2"/>
    <w:rsid w:val="00E11C18"/>
    <w:rsid w:val="00E20579"/>
    <w:rsid w:val="00E207F0"/>
    <w:rsid w:val="00E20FC5"/>
    <w:rsid w:val="00E211D9"/>
    <w:rsid w:val="00E227B2"/>
    <w:rsid w:val="00E24CDF"/>
    <w:rsid w:val="00E26F29"/>
    <w:rsid w:val="00E33923"/>
    <w:rsid w:val="00E33D03"/>
    <w:rsid w:val="00E36EA1"/>
    <w:rsid w:val="00E4196E"/>
    <w:rsid w:val="00E461E1"/>
    <w:rsid w:val="00E54548"/>
    <w:rsid w:val="00E61540"/>
    <w:rsid w:val="00E64300"/>
    <w:rsid w:val="00E65D01"/>
    <w:rsid w:val="00E72E7D"/>
    <w:rsid w:val="00E81FDD"/>
    <w:rsid w:val="00E86232"/>
    <w:rsid w:val="00E9792C"/>
    <w:rsid w:val="00EA2799"/>
    <w:rsid w:val="00EA403A"/>
    <w:rsid w:val="00EA76FF"/>
    <w:rsid w:val="00EB051C"/>
    <w:rsid w:val="00EB3BD7"/>
    <w:rsid w:val="00EC533C"/>
    <w:rsid w:val="00EC6B43"/>
    <w:rsid w:val="00EC78C3"/>
    <w:rsid w:val="00EC79EC"/>
    <w:rsid w:val="00ED0BA8"/>
    <w:rsid w:val="00ED2A6A"/>
    <w:rsid w:val="00ED377B"/>
    <w:rsid w:val="00ED441B"/>
    <w:rsid w:val="00ED7BC2"/>
    <w:rsid w:val="00EF0853"/>
    <w:rsid w:val="00EF6631"/>
    <w:rsid w:val="00EF688F"/>
    <w:rsid w:val="00F00603"/>
    <w:rsid w:val="00F01CF2"/>
    <w:rsid w:val="00F03950"/>
    <w:rsid w:val="00F049D6"/>
    <w:rsid w:val="00F13607"/>
    <w:rsid w:val="00F173C9"/>
    <w:rsid w:val="00F2127E"/>
    <w:rsid w:val="00F25F17"/>
    <w:rsid w:val="00F324AC"/>
    <w:rsid w:val="00F32577"/>
    <w:rsid w:val="00F349C7"/>
    <w:rsid w:val="00F37E4A"/>
    <w:rsid w:val="00F423CE"/>
    <w:rsid w:val="00F443A0"/>
    <w:rsid w:val="00F471FB"/>
    <w:rsid w:val="00F47818"/>
    <w:rsid w:val="00F508B3"/>
    <w:rsid w:val="00F512BB"/>
    <w:rsid w:val="00F545CF"/>
    <w:rsid w:val="00F6297B"/>
    <w:rsid w:val="00F63F2A"/>
    <w:rsid w:val="00F646EF"/>
    <w:rsid w:val="00F64D7F"/>
    <w:rsid w:val="00F71666"/>
    <w:rsid w:val="00F804C6"/>
    <w:rsid w:val="00F80F3B"/>
    <w:rsid w:val="00F841DB"/>
    <w:rsid w:val="00F856AC"/>
    <w:rsid w:val="00F86531"/>
    <w:rsid w:val="00F86EB5"/>
    <w:rsid w:val="00F86F23"/>
    <w:rsid w:val="00F916E1"/>
    <w:rsid w:val="00F941D5"/>
    <w:rsid w:val="00F946E1"/>
    <w:rsid w:val="00F94A84"/>
    <w:rsid w:val="00F95D18"/>
    <w:rsid w:val="00FA0704"/>
    <w:rsid w:val="00FB044B"/>
    <w:rsid w:val="00FB24BA"/>
    <w:rsid w:val="00FB55E3"/>
    <w:rsid w:val="00FD3685"/>
    <w:rsid w:val="00FD3A69"/>
    <w:rsid w:val="00FE044C"/>
    <w:rsid w:val="00FE68B2"/>
    <w:rsid w:val="00FE7250"/>
    <w:rsid w:val="00FF2BA0"/>
    <w:rsid w:val="1EBA9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0C22DD5"/>
  <w15:chartTrackingRefBased/>
  <w15:docId w15:val="{2780E67D-1E37-4497-8D85-9F512E74B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05F"/>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4D7AC0"/>
    <w:pPr>
      <w:numPr>
        <w:numId w:val="1"/>
      </w:numPr>
      <w:outlineLvl w:val="0"/>
    </w:pPr>
    <w:rPr>
      <w:kern w:val="28"/>
    </w:rPr>
  </w:style>
  <w:style w:type="paragraph" w:styleId="Heading2">
    <w:name w:val="heading 2"/>
    <w:basedOn w:val="Normal"/>
    <w:next w:val="Normal"/>
    <w:link w:val="Heading2Char"/>
    <w:qFormat/>
    <w:rsid w:val="004D7AC0"/>
    <w:pPr>
      <w:numPr>
        <w:ilvl w:val="1"/>
        <w:numId w:val="1"/>
      </w:numPr>
      <w:outlineLvl w:val="1"/>
    </w:pPr>
  </w:style>
  <w:style w:type="paragraph" w:styleId="Heading3">
    <w:name w:val="heading 3"/>
    <w:basedOn w:val="Normal"/>
    <w:next w:val="Normal"/>
    <w:link w:val="Heading3Char"/>
    <w:qFormat/>
    <w:rsid w:val="004D7AC0"/>
    <w:pPr>
      <w:numPr>
        <w:ilvl w:val="2"/>
        <w:numId w:val="1"/>
      </w:numPr>
      <w:outlineLvl w:val="2"/>
    </w:pPr>
  </w:style>
  <w:style w:type="paragraph" w:styleId="Heading4">
    <w:name w:val="heading 4"/>
    <w:basedOn w:val="Normal"/>
    <w:next w:val="Normal"/>
    <w:link w:val="Heading4Char"/>
    <w:qFormat/>
    <w:rsid w:val="004D7AC0"/>
    <w:pPr>
      <w:numPr>
        <w:ilvl w:val="3"/>
        <w:numId w:val="1"/>
      </w:numPr>
      <w:outlineLvl w:val="3"/>
    </w:pPr>
  </w:style>
  <w:style w:type="paragraph" w:styleId="Heading5">
    <w:name w:val="heading 5"/>
    <w:basedOn w:val="Normal"/>
    <w:next w:val="Normal"/>
    <w:link w:val="Heading5Char"/>
    <w:qFormat/>
    <w:rsid w:val="004D7AC0"/>
    <w:pPr>
      <w:numPr>
        <w:ilvl w:val="4"/>
        <w:numId w:val="1"/>
      </w:numPr>
      <w:outlineLvl w:val="4"/>
    </w:pPr>
  </w:style>
  <w:style w:type="paragraph" w:styleId="Heading6">
    <w:name w:val="heading 6"/>
    <w:basedOn w:val="Normal"/>
    <w:next w:val="Normal"/>
    <w:link w:val="Heading6Char"/>
    <w:qFormat/>
    <w:rsid w:val="004D7AC0"/>
    <w:pPr>
      <w:numPr>
        <w:ilvl w:val="5"/>
        <w:numId w:val="1"/>
      </w:numPr>
      <w:outlineLvl w:val="5"/>
    </w:pPr>
  </w:style>
  <w:style w:type="paragraph" w:styleId="Heading7">
    <w:name w:val="heading 7"/>
    <w:basedOn w:val="Normal"/>
    <w:next w:val="Normal"/>
    <w:link w:val="Heading7Char"/>
    <w:qFormat/>
    <w:rsid w:val="004D7AC0"/>
    <w:pPr>
      <w:numPr>
        <w:ilvl w:val="6"/>
        <w:numId w:val="1"/>
      </w:numPr>
      <w:outlineLvl w:val="6"/>
    </w:pPr>
  </w:style>
  <w:style w:type="paragraph" w:styleId="Heading8">
    <w:name w:val="heading 8"/>
    <w:basedOn w:val="Normal"/>
    <w:next w:val="Normal"/>
    <w:link w:val="Heading8Char"/>
    <w:qFormat/>
    <w:rsid w:val="004D7AC0"/>
    <w:pPr>
      <w:numPr>
        <w:ilvl w:val="7"/>
        <w:numId w:val="1"/>
      </w:numPr>
      <w:outlineLvl w:val="7"/>
    </w:pPr>
  </w:style>
  <w:style w:type="paragraph" w:styleId="Heading9">
    <w:name w:val="heading 9"/>
    <w:basedOn w:val="Normal"/>
    <w:next w:val="Normal"/>
    <w:link w:val="Heading9Char"/>
    <w:qFormat/>
    <w:rsid w:val="004D7AC0"/>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7AC0"/>
    <w:rPr>
      <w:rFonts w:ascii="Times New Roman" w:eastAsia="Times New Roman" w:hAnsi="Times New Roman" w:cs="Times New Roman"/>
      <w:kern w:val="28"/>
    </w:rPr>
  </w:style>
  <w:style w:type="character" w:customStyle="1" w:styleId="Heading2Char">
    <w:name w:val="Heading 2 Char"/>
    <w:basedOn w:val="DefaultParagraphFont"/>
    <w:link w:val="Heading2"/>
    <w:rsid w:val="004D7AC0"/>
    <w:rPr>
      <w:rFonts w:ascii="Times New Roman" w:eastAsia="Times New Roman" w:hAnsi="Times New Roman" w:cs="Times New Roman"/>
    </w:rPr>
  </w:style>
  <w:style w:type="character" w:customStyle="1" w:styleId="Heading3Char">
    <w:name w:val="Heading 3 Char"/>
    <w:basedOn w:val="DefaultParagraphFont"/>
    <w:link w:val="Heading3"/>
    <w:rsid w:val="004D7AC0"/>
    <w:rPr>
      <w:rFonts w:ascii="Times New Roman" w:eastAsia="Times New Roman" w:hAnsi="Times New Roman" w:cs="Times New Roman"/>
    </w:rPr>
  </w:style>
  <w:style w:type="character" w:customStyle="1" w:styleId="Heading4Char">
    <w:name w:val="Heading 4 Char"/>
    <w:basedOn w:val="DefaultParagraphFont"/>
    <w:link w:val="Heading4"/>
    <w:rsid w:val="004D7AC0"/>
    <w:rPr>
      <w:rFonts w:ascii="Times New Roman" w:eastAsia="Times New Roman" w:hAnsi="Times New Roman" w:cs="Times New Roman"/>
    </w:rPr>
  </w:style>
  <w:style w:type="character" w:customStyle="1" w:styleId="Heading5Char">
    <w:name w:val="Heading 5 Char"/>
    <w:basedOn w:val="DefaultParagraphFont"/>
    <w:link w:val="Heading5"/>
    <w:rsid w:val="004D7AC0"/>
    <w:rPr>
      <w:rFonts w:ascii="Times New Roman" w:eastAsia="Times New Roman" w:hAnsi="Times New Roman" w:cs="Times New Roman"/>
    </w:rPr>
  </w:style>
  <w:style w:type="character" w:customStyle="1" w:styleId="Heading6Char">
    <w:name w:val="Heading 6 Char"/>
    <w:basedOn w:val="DefaultParagraphFont"/>
    <w:link w:val="Heading6"/>
    <w:rsid w:val="004D7AC0"/>
    <w:rPr>
      <w:rFonts w:ascii="Times New Roman" w:eastAsia="Times New Roman" w:hAnsi="Times New Roman" w:cs="Times New Roman"/>
    </w:rPr>
  </w:style>
  <w:style w:type="character" w:customStyle="1" w:styleId="Heading7Char">
    <w:name w:val="Heading 7 Char"/>
    <w:basedOn w:val="DefaultParagraphFont"/>
    <w:link w:val="Heading7"/>
    <w:rsid w:val="004D7AC0"/>
    <w:rPr>
      <w:rFonts w:ascii="Times New Roman" w:eastAsia="Times New Roman" w:hAnsi="Times New Roman" w:cs="Times New Roman"/>
    </w:rPr>
  </w:style>
  <w:style w:type="character" w:customStyle="1" w:styleId="Heading8Char">
    <w:name w:val="Heading 8 Char"/>
    <w:basedOn w:val="DefaultParagraphFont"/>
    <w:link w:val="Heading8"/>
    <w:rsid w:val="004D7AC0"/>
    <w:rPr>
      <w:rFonts w:ascii="Times New Roman" w:eastAsia="Times New Roman" w:hAnsi="Times New Roman" w:cs="Times New Roman"/>
    </w:rPr>
  </w:style>
  <w:style w:type="character" w:customStyle="1" w:styleId="Heading9Char">
    <w:name w:val="Heading 9 Char"/>
    <w:basedOn w:val="DefaultParagraphFont"/>
    <w:link w:val="Heading9"/>
    <w:rsid w:val="004D7AC0"/>
    <w:rPr>
      <w:rFonts w:ascii="Times New Roman" w:eastAsia="Times New Roman" w:hAnsi="Times New Roman" w:cs="Times New Roman"/>
    </w:rPr>
  </w:style>
  <w:style w:type="paragraph" w:styleId="Footer">
    <w:name w:val="footer"/>
    <w:basedOn w:val="Normal"/>
    <w:link w:val="FooterChar"/>
    <w:qFormat/>
    <w:rsid w:val="004D7AC0"/>
  </w:style>
  <w:style w:type="character" w:customStyle="1" w:styleId="FooterChar">
    <w:name w:val="Footer Char"/>
    <w:basedOn w:val="DefaultParagraphFont"/>
    <w:link w:val="Footer"/>
    <w:rsid w:val="004D7AC0"/>
    <w:rPr>
      <w:rFonts w:ascii="Times New Roman" w:eastAsia="Times New Roman" w:hAnsi="Times New Roman" w:cs="Times New Roman"/>
    </w:rPr>
  </w:style>
  <w:style w:type="paragraph" w:styleId="FootnoteText">
    <w:name w:val="footnote text"/>
    <w:aliases w:val="Footnote text,Fussnote,stile 1,Fußnote,Podrozdział,Footnote Text Char Char,Footnote Text Char1 Char Char,Footnote Text Char Char Char Char,Footnote Text Char Char1,Char Char,Sprotna opomba - besedilo Znak1,Tekst przypis,o,ALTS FOOTNOTE,fn"/>
    <w:basedOn w:val="Normal"/>
    <w:link w:val="FootnoteTextChar"/>
    <w:uiPriority w:val="99"/>
    <w:qFormat/>
    <w:rsid w:val="004D7AC0"/>
    <w:pPr>
      <w:keepLines/>
      <w:spacing w:after="60" w:line="240" w:lineRule="auto"/>
      <w:ind w:left="567" w:hanging="567"/>
    </w:pPr>
    <w:rPr>
      <w:sz w:val="16"/>
    </w:rPr>
  </w:style>
  <w:style w:type="character" w:customStyle="1" w:styleId="FootnoteTextChar">
    <w:name w:val="Footnote Text Char"/>
    <w:aliases w:val="Footnote text Char,Fussnote Char,stile 1 Char,Fußnote Char,Podrozdział Char,Footnote Text Char Char Char,Footnote Text Char1 Char Char Char,Footnote Text Char Char Char Char Char,Footnote Text Char Char1 Char,Char Char Char,o Char"/>
    <w:basedOn w:val="DefaultParagraphFont"/>
    <w:link w:val="FootnoteText"/>
    <w:uiPriority w:val="99"/>
    <w:qFormat/>
    <w:rsid w:val="004D7AC0"/>
    <w:rPr>
      <w:rFonts w:ascii="Times New Roman" w:eastAsia="Times New Roman" w:hAnsi="Times New Roman" w:cs="Times New Roman"/>
      <w:sz w:val="16"/>
    </w:rPr>
  </w:style>
  <w:style w:type="paragraph" w:styleId="Header">
    <w:name w:val="header"/>
    <w:basedOn w:val="Normal"/>
    <w:link w:val="HeaderChar"/>
    <w:qFormat/>
    <w:rsid w:val="004D7AC0"/>
  </w:style>
  <w:style w:type="character" w:customStyle="1" w:styleId="HeaderChar">
    <w:name w:val="Header Char"/>
    <w:basedOn w:val="DefaultParagraphFont"/>
    <w:link w:val="Header"/>
    <w:rsid w:val="004D7AC0"/>
    <w:rPr>
      <w:rFonts w:ascii="Times New Roman" w:eastAsia="Times New Roman" w:hAnsi="Times New Roman" w:cs="Times New Roman"/>
    </w:rPr>
  </w:style>
  <w:style w:type="paragraph" w:customStyle="1" w:styleId="quotes">
    <w:name w:val="quotes"/>
    <w:basedOn w:val="Normal"/>
    <w:next w:val="Normal"/>
    <w:rsid w:val="004D7AC0"/>
    <w:pPr>
      <w:ind w:left="720"/>
    </w:pPr>
    <w:rPr>
      <w:i/>
    </w:rPr>
  </w:style>
  <w:style w:type="character" w:styleId="FootnoteReference">
    <w:name w:val="footnote reference"/>
    <w:aliases w:val="SUPERS,(NECG) Footnote Reference,fr,EN Footnote Text,EN Footnote Reference,Footnote symbol,number,Footnote Reference Superscript,stylish,BVI fnr,-E Fußnotenzeichen,Source Reference,Footnote reference number,note TESI,Times 10 Point"/>
    <w:basedOn w:val="DefaultParagraphFont"/>
    <w:uiPriority w:val="99"/>
    <w:unhideWhenUsed/>
    <w:qFormat/>
    <w:rsid w:val="004D7AC0"/>
    <w:rPr>
      <w:sz w:val="24"/>
      <w:vertAlign w:val="superscript"/>
    </w:rPr>
  </w:style>
  <w:style w:type="character" w:styleId="Hyperlink">
    <w:name w:val="Hyperlink"/>
    <w:basedOn w:val="DefaultParagraphFont"/>
    <w:uiPriority w:val="99"/>
    <w:rsid w:val="004D7AC0"/>
    <w:rPr>
      <w:rFonts w:ascii="Times New Roman" w:hAnsi="Times New Roman"/>
      <w:color w:val="0000FF"/>
      <w:u w:val="single"/>
    </w:rPr>
  </w:style>
  <w:style w:type="paragraph" w:styleId="ListParagraph">
    <w:name w:val="List Paragraph"/>
    <w:aliases w:val="Resume Title,Listes,Citation List,Ha,List Paragraph1,Body,List Paragraph_Table bullets,Bullet List Paragraph,1st level - Bullet List Paragraph,Lettre d'introduction,Paragrafo elenco,Medium Grid 1 - Accent 21,AFW Body,Normal bullet 2,Nad"/>
    <w:basedOn w:val="Normal"/>
    <w:link w:val="ListParagraphChar"/>
    <w:uiPriority w:val="34"/>
    <w:qFormat/>
    <w:rsid w:val="004D7AC0"/>
    <w:pPr>
      <w:ind w:left="720"/>
      <w:contextualSpacing/>
    </w:pPr>
  </w:style>
  <w:style w:type="table" w:styleId="TableGrid">
    <w:name w:val="Table Grid"/>
    <w:basedOn w:val="TableNormal"/>
    <w:uiPriority w:val="39"/>
    <w:rsid w:val="004D7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D7AC0"/>
    <w:pPr>
      <w:keepNext/>
      <w:keepLines/>
      <w:numPr>
        <w:numId w:val="0"/>
      </w:numPr>
      <w:spacing w:before="240" w:line="259" w:lineRule="auto"/>
      <w:jc w:val="left"/>
      <w:outlineLvl w:val="9"/>
    </w:pPr>
    <w:rPr>
      <w:rFonts w:asciiTheme="majorHAnsi" w:eastAsiaTheme="majorEastAsia" w:hAnsiTheme="majorHAnsi" w:cstheme="majorBidi"/>
      <w:color w:val="2E74B5" w:themeColor="accent1" w:themeShade="BF"/>
      <w:kern w:val="0"/>
      <w:sz w:val="32"/>
      <w:szCs w:val="32"/>
    </w:rPr>
  </w:style>
  <w:style w:type="paragraph" w:styleId="TOC1">
    <w:name w:val="toc 1"/>
    <w:basedOn w:val="Normal"/>
    <w:next w:val="Normal"/>
    <w:autoRedefine/>
    <w:uiPriority w:val="39"/>
    <w:unhideWhenUsed/>
    <w:rsid w:val="00F349C7"/>
    <w:pPr>
      <w:tabs>
        <w:tab w:val="left" w:pos="440"/>
        <w:tab w:val="right" w:leader="dot" w:pos="9063"/>
      </w:tabs>
      <w:spacing w:before="240"/>
      <w:ind w:left="426" w:hanging="426"/>
      <w:outlineLvl w:val="0"/>
    </w:pPr>
  </w:style>
  <w:style w:type="paragraph" w:styleId="BalloonText">
    <w:name w:val="Balloon Text"/>
    <w:basedOn w:val="Normal"/>
    <w:link w:val="BalloonTextChar"/>
    <w:uiPriority w:val="99"/>
    <w:semiHidden/>
    <w:unhideWhenUsed/>
    <w:rsid w:val="001167A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7A1"/>
    <w:rPr>
      <w:rFonts w:ascii="Tahoma" w:eastAsia="Times New Roman" w:hAnsi="Tahoma" w:cs="Tahoma"/>
      <w:sz w:val="16"/>
      <w:szCs w:val="16"/>
      <w:lang w:val="fi-FI"/>
    </w:rPr>
  </w:style>
  <w:style w:type="character" w:styleId="CommentReference">
    <w:name w:val="annotation reference"/>
    <w:unhideWhenUsed/>
    <w:rsid w:val="001167A1"/>
    <w:rPr>
      <w:sz w:val="16"/>
      <w:szCs w:val="16"/>
    </w:rPr>
  </w:style>
  <w:style w:type="paragraph" w:styleId="CommentText">
    <w:name w:val="annotation text"/>
    <w:basedOn w:val="Normal"/>
    <w:link w:val="CommentTextChar"/>
    <w:unhideWhenUsed/>
    <w:rsid w:val="00B5317E"/>
    <w:pPr>
      <w:spacing w:line="240" w:lineRule="auto"/>
    </w:pPr>
    <w:rPr>
      <w:sz w:val="20"/>
      <w:szCs w:val="20"/>
    </w:rPr>
  </w:style>
  <w:style w:type="character" w:customStyle="1" w:styleId="CommentTextChar">
    <w:name w:val="Comment Text Char"/>
    <w:basedOn w:val="DefaultParagraphFont"/>
    <w:link w:val="CommentText"/>
    <w:rsid w:val="00B5317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5317E"/>
    <w:rPr>
      <w:b/>
      <w:bCs/>
    </w:rPr>
  </w:style>
  <w:style w:type="character" w:customStyle="1" w:styleId="CommentSubjectChar">
    <w:name w:val="Comment Subject Char"/>
    <w:basedOn w:val="CommentTextChar"/>
    <w:link w:val="CommentSubject"/>
    <w:uiPriority w:val="99"/>
    <w:semiHidden/>
    <w:rsid w:val="00B5317E"/>
    <w:rPr>
      <w:rFonts w:ascii="Times New Roman" w:eastAsia="Times New Roman" w:hAnsi="Times New Roman" w:cs="Times New Roman"/>
      <w:b/>
      <w:bCs/>
      <w:sz w:val="20"/>
      <w:szCs w:val="20"/>
    </w:rPr>
  </w:style>
  <w:style w:type="paragraph" w:styleId="Revision">
    <w:name w:val="Revision"/>
    <w:hidden/>
    <w:uiPriority w:val="99"/>
    <w:semiHidden/>
    <w:rsid w:val="00B5317E"/>
    <w:pPr>
      <w:spacing w:after="0" w:line="240" w:lineRule="auto"/>
    </w:pPr>
    <w:rPr>
      <w:rFonts w:ascii="Times New Roman" w:eastAsia="Times New Roman" w:hAnsi="Times New Roman" w:cs="Times New Roman"/>
    </w:rPr>
  </w:style>
  <w:style w:type="paragraph" w:styleId="TOC2">
    <w:name w:val="toc 2"/>
    <w:basedOn w:val="Normal"/>
    <w:next w:val="Normal"/>
    <w:autoRedefine/>
    <w:uiPriority w:val="39"/>
    <w:unhideWhenUsed/>
    <w:rsid w:val="002E01B5"/>
    <w:pPr>
      <w:spacing w:after="100" w:line="259" w:lineRule="auto"/>
      <w:ind w:left="220"/>
      <w:jc w:val="left"/>
    </w:pPr>
    <w:rPr>
      <w:rFonts w:asciiTheme="minorHAnsi" w:eastAsiaTheme="minorEastAsia" w:hAnsiTheme="minorHAnsi"/>
    </w:rPr>
  </w:style>
  <w:style w:type="paragraph" w:styleId="TOC3">
    <w:name w:val="toc 3"/>
    <w:basedOn w:val="Normal"/>
    <w:next w:val="Normal"/>
    <w:autoRedefine/>
    <w:uiPriority w:val="39"/>
    <w:unhideWhenUsed/>
    <w:rsid w:val="002E01B5"/>
    <w:pPr>
      <w:spacing w:after="100" w:line="259" w:lineRule="auto"/>
      <w:ind w:left="440"/>
      <w:jc w:val="left"/>
    </w:pPr>
    <w:rPr>
      <w:rFonts w:asciiTheme="minorHAnsi" w:eastAsiaTheme="minorEastAsia" w:hAnsiTheme="minorHAnsi"/>
    </w:rPr>
  </w:style>
  <w:style w:type="paragraph" w:styleId="TOC6">
    <w:name w:val="toc 6"/>
    <w:basedOn w:val="Normal"/>
    <w:next w:val="Normal"/>
    <w:autoRedefine/>
    <w:uiPriority w:val="39"/>
    <w:semiHidden/>
    <w:unhideWhenUsed/>
    <w:rsid w:val="00912F6B"/>
    <w:pPr>
      <w:spacing w:after="100"/>
      <w:ind w:left="1100"/>
    </w:pPr>
  </w:style>
  <w:style w:type="table" w:customStyle="1" w:styleId="TableGrid1">
    <w:name w:val="Table Grid1"/>
    <w:basedOn w:val="TableNormal"/>
    <w:next w:val="TableGrid"/>
    <w:uiPriority w:val="39"/>
    <w:rsid w:val="006C4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F0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EF0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534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781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9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09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39"/>
    <w:rsid w:val="00715A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D7E1B"/>
    <w:rPr>
      <w:color w:val="954F72" w:themeColor="followedHyperlink"/>
      <w:u w:val="single"/>
    </w:rPr>
  </w:style>
  <w:style w:type="table" w:customStyle="1" w:styleId="TableGrid21">
    <w:name w:val="Table Grid21"/>
    <w:basedOn w:val="TableNormal"/>
    <w:next w:val="TableGrid"/>
    <w:uiPriority w:val="39"/>
    <w:rsid w:val="006E3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6E3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912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39"/>
    <w:rsid w:val="00F32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Resume Title Char,Listes Char,Citation List Char,Ha Char,List Paragraph1 Char,Body Char,List Paragraph_Table bullets Char,Bullet List Paragraph Char,1st level - Bullet List Paragraph Char,Lettre d'introduction Char,AFW Body Char"/>
    <w:link w:val="ListParagraph"/>
    <w:uiPriority w:val="34"/>
    <w:qFormat/>
    <w:locked/>
    <w:rsid w:val="00225C52"/>
    <w:rPr>
      <w:rFonts w:ascii="Times New Roman" w:eastAsia="Times New Roman" w:hAnsi="Times New Roman" w:cs="Times New Roman"/>
    </w:rPr>
  </w:style>
  <w:style w:type="table" w:customStyle="1" w:styleId="TableGrid6">
    <w:name w:val="Table Grid6"/>
    <w:basedOn w:val="TableNormal"/>
    <w:next w:val="TableGrid"/>
    <w:uiPriority w:val="39"/>
    <w:rsid w:val="006E3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164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39"/>
    <w:rsid w:val="000320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A30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9E70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86361">
      <w:bodyDiv w:val="1"/>
      <w:marLeft w:val="0"/>
      <w:marRight w:val="0"/>
      <w:marTop w:val="0"/>
      <w:marBottom w:val="0"/>
      <w:divBdr>
        <w:top w:val="none" w:sz="0" w:space="0" w:color="auto"/>
        <w:left w:val="none" w:sz="0" w:space="0" w:color="auto"/>
        <w:bottom w:val="none" w:sz="0" w:space="0" w:color="auto"/>
        <w:right w:val="none" w:sz="0" w:space="0" w:color="auto"/>
      </w:divBdr>
      <w:divsChild>
        <w:div w:id="398020250">
          <w:marLeft w:val="0"/>
          <w:marRight w:val="0"/>
          <w:marTop w:val="100"/>
          <w:marBottom w:val="300"/>
          <w:divBdr>
            <w:top w:val="none" w:sz="0" w:space="0" w:color="auto"/>
            <w:left w:val="none" w:sz="0" w:space="0" w:color="auto"/>
            <w:bottom w:val="none" w:sz="0" w:space="0" w:color="auto"/>
            <w:right w:val="none" w:sz="0" w:space="0" w:color="auto"/>
          </w:divBdr>
          <w:divsChild>
            <w:div w:id="245918878">
              <w:marLeft w:val="0"/>
              <w:marRight w:val="0"/>
              <w:marTop w:val="0"/>
              <w:marBottom w:val="0"/>
              <w:divBdr>
                <w:top w:val="none" w:sz="0" w:space="0" w:color="auto"/>
                <w:left w:val="none" w:sz="0" w:space="0" w:color="auto"/>
                <w:bottom w:val="none" w:sz="0" w:space="0" w:color="auto"/>
                <w:right w:val="none" w:sz="0" w:space="0" w:color="auto"/>
              </w:divBdr>
              <w:divsChild>
                <w:div w:id="1110248796">
                  <w:marLeft w:val="0"/>
                  <w:marRight w:val="0"/>
                  <w:marTop w:val="0"/>
                  <w:marBottom w:val="30"/>
                  <w:divBdr>
                    <w:top w:val="none" w:sz="0" w:space="0" w:color="auto"/>
                    <w:left w:val="none" w:sz="0" w:space="0" w:color="auto"/>
                    <w:bottom w:val="none" w:sz="0" w:space="0" w:color="auto"/>
                    <w:right w:val="none" w:sz="0" w:space="0" w:color="auto"/>
                  </w:divBdr>
                </w:div>
                <w:div w:id="1481271744">
                  <w:marLeft w:val="0"/>
                  <w:marRight w:val="0"/>
                  <w:marTop w:val="0"/>
                  <w:marBottom w:val="0"/>
                  <w:divBdr>
                    <w:top w:val="single" w:sz="6" w:space="0" w:color="C6C6C6"/>
                    <w:left w:val="single" w:sz="6" w:space="0" w:color="C6C6C6"/>
                    <w:bottom w:val="single" w:sz="6" w:space="0" w:color="C6C6C6"/>
                    <w:right w:val="single" w:sz="6" w:space="0" w:color="C6C6C6"/>
                  </w:divBdr>
                  <w:divsChild>
                    <w:div w:id="426850931">
                      <w:marLeft w:val="0"/>
                      <w:marRight w:val="0"/>
                      <w:marTop w:val="0"/>
                      <w:marBottom w:val="0"/>
                      <w:divBdr>
                        <w:top w:val="none" w:sz="0" w:space="0" w:color="auto"/>
                        <w:left w:val="none" w:sz="0" w:space="0" w:color="auto"/>
                        <w:bottom w:val="none" w:sz="0" w:space="0" w:color="auto"/>
                        <w:right w:val="none" w:sz="0" w:space="0" w:color="auto"/>
                      </w:divBdr>
                      <w:divsChild>
                        <w:div w:id="849754206">
                          <w:marLeft w:val="0"/>
                          <w:marRight w:val="0"/>
                          <w:marTop w:val="0"/>
                          <w:marBottom w:val="0"/>
                          <w:divBdr>
                            <w:top w:val="none" w:sz="0" w:space="0" w:color="auto"/>
                            <w:left w:val="none" w:sz="0" w:space="0" w:color="auto"/>
                            <w:bottom w:val="none" w:sz="0" w:space="0" w:color="auto"/>
                            <w:right w:val="none" w:sz="0" w:space="0" w:color="auto"/>
                          </w:divBdr>
                          <w:divsChild>
                            <w:div w:id="97529270">
                              <w:marLeft w:val="0"/>
                              <w:marRight w:val="0"/>
                              <w:marTop w:val="0"/>
                              <w:marBottom w:val="0"/>
                              <w:divBdr>
                                <w:top w:val="none" w:sz="0" w:space="0" w:color="auto"/>
                                <w:left w:val="none" w:sz="0" w:space="0" w:color="auto"/>
                                <w:bottom w:val="none" w:sz="0" w:space="0" w:color="auto"/>
                                <w:right w:val="none" w:sz="0" w:space="0" w:color="auto"/>
                              </w:divBdr>
                              <w:divsChild>
                                <w:div w:id="1754623645">
                                  <w:marLeft w:val="0"/>
                                  <w:marRight w:val="0"/>
                                  <w:marTop w:val="0"/>
                                  <w:marBottom w:val="0"/>
                                  <w:divBdr>
                                    <w:top w:val="none" w:sz="0" w:space="0" w:color="auto"/>
                                    <w:left w:val="none" w:sz="0" w:space="0" w:color="auto"/>
                                    <w:bottom w:val="none" w:sz="0" w:space="0" w:color="auto"/>
                                    <w:right w:val="none" w:sz="0" w:space="0" w:color="auto"/>
                                  </w:divBdr>
                                  <w:divsChild>
                                    <w:div w:id="1000037589">
                                      <w:marLeft w:val="0"/>
                                      <w:marRight w:val="0"/>
                                      <w:marTop w:val="0"/>
                                      <w:marBottom w:val="0"/>
                                      <w:divBdr>
                                        <w:top w:val="none" w:sz="0" w:space="0" w:color="auto"/>
                                        <w:left w:val="none" w:sz="0" w:space="0" w:color="auto"/>
                                        <w:bottom w:val="none" w:sz="0" w:space="0" w:color="auto"/>
                                        <w:right w:val="none" w:sz="0" w:space="0" w:color="auto"/>
                                      </w:divBdr>
                                    </w:div>
                                  </w:divsChild>
                                </w:div>
                                <w:div w:id="110979431">
                                  <w:marLeft w:val="0"/>
                                  <w:marRight w:val="0"/>
                                  <w:marTop w:val="0"/>
                                  <w:marBottom w:val="0"/>
                                  <w:divBdr>
                                    <w:top w:val="none" w:sz="0" w:space="0" w:color="auto"/>
                                    <w:left w:val="none" w:sz="0" w:space="0" w:color="auto"/>
                                    <w:bottom w:val="none" w:sz="0" w:space="0" w:color="auto"/>
                                    <w:right w:val="none" w:sz="0" w:space="0" w:color="auto"/>
                                  </w:divBdr>
                                  <w:divsChild>
                                    <w:div w:id="872578047">
                                      <w:marLeft w:val="0"/>
                                      <w:marRight w:val="0"/>
                                      <w:marTop w:val="0"/>
                                      <w:marBottom w:val="0"/>
                                      <w:divBdr>
                                        <w:top w:val="none" w:sz="0" w:space="0" w:color="auto"/>
                                        <w:left w:val="none" w:sz="0" w:space="0" w:color="auto"/>
                                        <w:bottom w:val="none" w:sz="0" w:space="0" w:color="auto"/>
                                        <w:right w:val="none" w:sz="0" w:space="0" w:color="auto"/>
                                      </w:divBdr>
                                    </w:div>
                                  </w:divsChild>
                                </w:div>
                                <w:div w:id="1294365384">
                                  <w:marLeft w:val="0"/>
                                  <w:marRight w:val="0"/>
                                  <w:marTop w:val="0"/>
                                  <w:marBottom w:val="0"/>
                                  <w:divBdr>
                                    <w:top w:val="none" w:sz="0" w:space="0" w:color="auto"/>
                                    <w:left w:val="none" w:sz="0" w:space="0" w:color="auto"/>
                                    <w:bottom w:val="none" w:sz="0" w:space="0" w:color="auto"/>
                                    <w:right w:val="none" w:sz="0" w:space="0" w:color="auto"/>
                                  </w:divBdr>
                                  <w:divsChild>
                                    <w:div w:id="128838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374249">
          <w:marLeft w:val="0"/>
          <w:marRight w:val="0"/>
          <w:marTop w:val="100"/>
          <w:marBottom w:val="300"/>
          <w:divBdr>
            <w:top w:val="none" w:sz="0" w:space="0" w:color="auto"/>
            <w:left w:val="none" w:sz="0" w:space="0" w:color="auto"/>
            <w:bottom w:val="none" w:sz="0" w:space="0" w:color="auto"/>
            <w:right w:val="none" w:sz="0" w:space="0" w:color="auto"/>
          </w:divBdr>
          <w:divsChild>
            <w:div w:id="849638979">
              <w:marLeft w:val="0"/>
              <w:marRight w:val="0"/>
              <w:marTop w:val="0"/>
              <w:marBottom w:val="0"/>
              <w:divBdr>
                <w:top w:val="none" w:sz="0" w:space="0" w:color="auto"/>
                <w:left w:val="none" w:sz="0" w:space="0" w:color="auto"/>
                <w:bottom w:val="none" w:sz="0" w:space="0" w:color="auto"/>
                <w:right w:val="none" w:sz="0" w:space="0" w:color="auto"/>
              </w:divBdr>
              <w:divsChild>
                <w:div w:id="255869606">
                  <w:marLeft w:val="0"/>
                  <w:marRight w:val="0"/>
                  <w:marTop w:val="0"/>
                  <w:marBottom w:val="30"/>
                  <w:divBdr>
                    <w:top w:val="none" w:sz="0" w:space="0" w:color="auto"/>
                    <w:left w:val="none" w:sz="0" w:space="0" w:color="auto"/>
                    <w:bottom w:val="none" w:sz="0" w:space="0" w:color="auto"/>
                    <w:right w:val="none" w:sz="0" w:space="0" w:color="auto"/>
                  </w:divBdr>
                </w:div>
                <w:div w:id="110562796">
                  <w:marLeft w:val="0"/>
                  <w:marRight w:val="0"/>
                  <w:marTop w:val="0"/>
                  <w:marBottom w:val="0"/>
                  <w:divBdr>
                    <w:top w:val="single" w:sz="6" w:space="0" w:color="C6C6C6"/>
                    <w:left w:val="single" w:sz="6" w:space="0" w:color="C6C6C6"/>
                    <w:bottom w:val="single" w:sz="6" w:space="0" w:color="C6C6C6"/>
                    <w:right w:val="single" w:sz="6" w:space="0" w:color="C6C6C6"/>
                  </w:divBdr>
                  <w:divsChild>
                    <w:div w:id="2031295210">
                      <w:marLeft w:val="0"/>
                      <w:marRight w:val="0"/>
                      <w:marTop w:val="0"/>
                      <w:marBottom w:val="0"/>
                      <w:divBdr>
                        <w:top w:val="none" w:sz="0" w:space="0" w:color="auto"/>
                        <w:left w:val="none" w:sz="0" w:space="0" w:color="auto"/>
                        <w:bottom w:val="none" w:sz="0" w:space="0" w:color="auto"/>
                        <w:right w:val="none" w:sz="0" w:space="0" w:color="auto"/>
                      </w:divBdr>
                      <w:divsChild>
                        <w:div w:id="1561601300">
                          <w:marLeft w:val="0"/>
                          <w:marRight w:val="0"/>
                          <w:marTop w:val="0"/>
                          <w:marBottom w:val="0"/>
                          <w:divBdr>
                            <w:top w:val="none" w:sz="0" w:space="0" w:color="auto"/>
                            <w:left w:val="none" w:sz="0" w:space="0" w:color="auto"/>
                            <w:bottom w:val="none" w:sz="0" w:space="0" w:color="auto"/>
                            <w:right w:val="none" w:sz="0" w:space="0" w:color="auto"/>
                          </w:divBdr>
                          <w:divsChild>
                            <w:div w:id="2041934091">
                              <w:marLeft w:val="0"/>
                              <w:marRight w:val="0"/>
                              <w:marTop w:val="0"/>
                              <w:marBottom w:val="0"/>
                              <w:divBdr>
                                <w:top w:val="none" w:sz="0" w:space="0" w:color="auto"/>
                                <w:left w:val="none" w:sz="0" w:space="0" w:color="auto"/>
                                <w:bottom w:val="none" w:sz="0" w:space="0" w:color="auto"/>
                                <w:right w:val="none" w:sz="0" w:space="0" w:color="auto"/>
                              </w:divBdr>
                              <w:divsChild>
                                <w:div w:id="208452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086948">
      <w:bodyDiv w:val="1"/>
      <w:marLeft w:val="0"/>
      <w:marRight w:val="0"/>
      <w:marTop w:val="0"/>
      <w:marBottom w:val="0"/>
      <w:divBdr>
        <w:top w:val="none" w:sz="0" w:space="0" w:color="auto"/>
        <w:left w:val="none" w:sz="0" w:space="0" w:color="auto"/>
        <w:bottom w:val="none" w:sz="0" w:space="0" w:color="auto"/>
        <w:right w:val="none" w:sz="0" w:space="0" w:color="auto"/>
      </w:divBdr>
    </w:div>
    <w:div w:id="348336505">
      <w:bodyDiv w:val="1"/>
      <w:marLeft w:val="0"/>
      <w:marRight w:val="0"/>
      <w:marTop w:val="0"/>
      <w:marBottom w:val="0"/>
      <w:divBdr>
        <w:top w:val="none" w:sz="0" w:space="0" w:color="auto"/>
        <w:left w:val="none" w:sz="0" w:space="0" w:color="auto"/>
        <w:bottom w:val="none" w:sz="0" w:space="0" w:color="auto"/>
        <w:right w:val="none" w:sz="0" w:space="0" w:color="auto"/>
      </w:divBdr>
    </w:div>
    <w:div w:id="1442455948">
      <w:bodyDiv w:val="1"/>
      <w:marLeft w:val="0"/>
      <w:marRight w:val="0"/>
      <w:marTop w:val="0"/>
      <w:marBottom w:val="0"/>
      <w:divBdr>
        <w:top w:val="none" w:sz="0" w:space="0" w:color="auto"/>
        <w:left w:val="none" w:sz="0" w:space="0" w:color="auto"/>
        <w:bottom w:val="none" w:sz="0" w:space="0" w:color="auto"/>
        <w:right w:val="none" w:sz="0" w:space="0" w:color="auto"/>
      </w:divBdr>
    </w:div>
    <w:div w:id="1528565785">
      <w:bodyDiv w:val="1"/>
      <w:marLeft w:val="0"/>
      <w:marRight w:val="0"/>
      <w:marTop w:val="0"/>
      <w:marBottom w:val="0"/>
      <w:divBdr>
        <w:top w:val="none" w:sz="0" w:space="0" w:color="auto"/>
        <w:left w:val="none" w:sz="0" w:space="0" w:color="auto"/>
        <w:bottom w:val="none" w:sz="0" w:space="0" w:color="auto"/>
        <w:right w:val="none" w:sz="0" w:space="0" w:color="auto"/>
      </w:divBdr>
    </w:div>
    <w:div w:id="203642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msearch.eesc.europa.eu/search/opinion" TargetMode="External"/><Relationship Id="rId18" Type="http://schemas.openxmlformats.org/officeDocument/2006/relationships/header" Target="header3.xml"/><Relationship Id="rId26" Type="http://schemas.openxmlformats.org/officeDocument/2006/relationships/hyperlink" Target="mailto:Margherita.Logrillo@eesc.europa.eu" TargetMode="External"/><Relationship Id="rId39" Type="http://schemas.openxmlformats.org/officeDocument/2006/relationships/hyperlink" Target="mailto:David.Hoic@eesc.europa.eu" TargetMode="External"/><Relationship Id="rId21" Type="http://schemas.openxmlformats.org/officeDocument/2006/relationships/hyperlink" Target="mailto:Juri.Soosar@eesc.europa.eu" TargetMode="External"/><Relationship Id="rId34" Type="http://schemas.openxmlformats.org/officeDocument/2006/relationships/hyperlink" Target="mailto:%20Claudia.Drewes-Wran@eesc.europa.eu" TargetMode="External"/><Relationship Id="rId42" Type="http://schemas.openxmlformats.org/officeDocument/2006/relationships/hyperlink" Target="mailto:Gaelle.Michelier@eesc.europa.eu" TargetMode="External"/><Relationship Id="rId47" Type="http://schemas.openxmlformats.org/officeDocument/2006/relationships/header" Target="header6.xml"/><Relationship Id="rId50" Type="http://schemas.openxmlformats.org/officeDocument/2006/relationships/theme" Target="theme/theme1.xml"/><Relationship Id="rId55" Type="http://schemas.microsoft.com/office/2016/09/relationships/commentsIds" Target="commentsIds.xml"/><Relationship Id="rId7" Type="http://schemas.openxmlformats.org/officeDocument/2006/relationships/settings" Target="settings.xml"/><Relationship Id="rId16" Type="http://schemas.openxmlformats.org/officeDocument/2006/relationships/footer" Target="footer1.xml"/><Relationship Id="rId29" Type="http://schemas.openxmlformats.org/officeDocument/2006/relationships/hyperlink" Target="mailto:Antonio.RibeiroPereira@eesc.europa.eu" TargetMode="External"/><Relationship Id="rId11" Type="http://schemas.openxmlformats.org/officeDocument/2006/relationships/image" Target="media/image1.jpeg"/><Relationship Id="rId24" Type="http://schemas.openxmlformats.org/officeDocument/2006/relationships/hyperlink" Target="mailto:Valeria.Atzori@eesc.europa.eu" TargetMode="External"/><Relationship Id="rId32" Type="http://schemas.openxmlformats.org/officeDocument/2006/relationships/hyperlink" Target="mailto:Claudia.Drewes-Wran@eesc.europa.eu" TargetMode="External"/><Relationship Id="rId37" Type="http://schemas.openxmlformats.org/officeDocument/2006/relationships/hyperlink" Target="mailto:%20Caroline.Verhelst@eesc.europa.eu" TargetMode="External"/><Relationship Id="rId40" Type="http://schemas.openxmlformats.org/officeDocument/2006/relationships/hyperlink" Target="mailto:C&#233;dric.Cabanne@eesc.europa.eu" TargetMode="External"/><Relationship Id="rId45" Type="http://schemas.openxmlformats.org/officeDocument/2006/relationships/footer" Target="footer4.xml"/><Relationship Id="rId58" Type="http://schemas.openxmlformats.org/officeDocument/2006/relationships/customXml" Target="../customXml/item3.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mailto:Sergio.LorencioMatallana@eesc.europa.eu" TargetMode="External"/><Relationship Id="rId28" Type="http://schemas.openxmlformats.org/officeDocument/2006/relationships/hyperlink" Target="mailto:Francesco.Napolitano@eesc.europa.eu" TargetMode="External"/><Relationship Id="rId36" Type="http://schemas.openxmlformats.org/officeDocument/2006/relationships/hyperlink" Target="mailto:%20Caroline.Verhelst@eesc.europa.eu" TargetMode="External"/><Relationship Id="rId49" Type="http://schemas.openxmlformats.org/officeDocument/2006/relationships/fontTable" Target="fontTable.xml"/><Relationship Id="rId57" Type="http://schemas.openxmlformats.org/officeDocument/2006/relationships/customXml" Target="../customXml/item2.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yperlink" Target="mailto:Marie-Laurence.Drillon@eesc.europa.eu" TargetMode="External"/><Relationship Id="rId44" Type="http://schemas.openxmlformats.org/officeDocument/2006/relationships/header" Target="header5.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mailto:Juri.Soosar@eesc.europa.eu" TargetMode="External"/><Relationship Id="rId27" Type="http://schemas.openxmlformats.org/officeDocument/2006/relationships/hyperlink" Target="mailto:Maja.Radmani@eesc.europa.eu" TargetMode="External"/><Relationship Id="rId30" Type="http://schemas.openxmlformats.org/officeDocument/2006/relationships/hyperlink" Target="mailto:Giorgia.Bordignon@eesc.europa.eu" TargetMode="External"/><Relationship Id="rId35" Type="http://schemas.openxmlformats.org/officeDocument/2006/relationships/hyperlink" Target="mailto:Arturo.Iniguez@eesc.europa.eu" TargetMode="External"/><Relationship Id="rId43" Type="http://schemas.openxmlformats.org/officeDocument/2006/relationships/header" Target="header4.xml"/><Relationship Id="rId48" Type="http://schemas.openxmlformats.org/officeDocument/2006/relationships/footer" Target="footer6.xml"/><Relationship Id="rId56" Type="http://schemas.openxmlformats.org/officeDocument/2006/relationships/customXml" Target="../customXml/item1.xml"/><Relationship Id="rId8" Type="http://schemas.openxmlformats.org/officeDocument/2006/relationships/webSettings" Target="webSettings.xml"/><Relationship Id="rId12" Type="http://schemas.openxmlformats.org/officeDocument/2006/relationships/hyperlink" Target="https://www.eesc.europa.eu/fi/our-work/opinions-information-reports/plenary-session-summaries" TargetMode="External"/><Relationship Id="rId17" Type="http://schemas.openxmlformats.org/officeDocument/2006/relationships/footer" Target="footer2.xml"/><Relationship Id="rId25" Type="http://schemas.openxmlformats.org/officeDocument/2006/relationships/hyperlink" Target="mailto:Margherita.Logrillo@eesc.europa.eu" TargetMode="External"/><Relationship Id="rId33" Type="http://schemas.openxmlformats.org/officeDocument/2006/relationships/hyperlink" Target="mailto:%20Dalila.Bernard@eesc.europa.eu" TargetMode="External"/><Relationship Id="rId38" Type="http://schemas.openxmlformats.org/officeDocument/2006/relationships/hyperlink" Target="mailto:Gunilla.Sandberg@eesc.europa.eu" TargetMode="External"/><Relationship Id="rId46" Type="http://schemas.openxmlformats.org/officeDocument/2006/relationships/footer" Target="footer5.xml"/><Relationship Id="rId59" Type="http://schemas.openxmlformats.org/officeDocument/2006/relationships/customXml" Target="../customXml/item4.xml"/><Relationship Id="rId20" Type="http://schemas.openxmlformats.org/officeDocument/2006/relationships/hyperlink" Target="mailto:Domenico.Cosmai@eesc.europa.eu" TargetMode="External"/><Relationship Id="rId41" Type="http://schemas.openxmlformats.org/officeDocument/2006/relationships/hyperlink" Target="mailto:Gerald.Klec@eesc.europa.eu" TargetMode="Externa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626EADD26EE0CA468385E76F4CAC56BA" ma:contentTypeVersion="4" ma:contentTypeDescription="Defines the documents for Document Manager V2" ma:contentTypeScope="" ma:versionID="dc0fa69cc2a991f528bd5b7c516a5e87">
  <xsd:schema xmlns:xsd="http://www.w3.org/2001/XMLSchema" xmlns:xs="http://www.w3.org/2001/XMLSchema" xmlns:p="http://schemas.microsoft.com/office/2006/metadata/properties" xmlns:ns2="1299d781-265f-4ceb-999e-e1eca3df2c90" xmlns:ns3="http://schemas.microsoft.com/sharepoint/v3/fields" xmlns:ns4="4e5ad790-8ffd-4f61-866f-51e1599a4efe" targetNamespace="http://schemas.microsoft.com/office/2006/metadata/properties" ma:root="true" ma:fieldsID="32d1ef0291ab947b1497483d599cc4d6" ns2:_="" ns3:_="" ns4:_="">
    <xsd:import namespace="1299d781-265f-4ceb-999e-e1eca3df2c90"/>
    <xsd:import namespace="http://schemas.microsoft.com/sharepoint/v3/fields"/>
    <xsd:import namespace="4e5ad790-8ffd-4f61-866f-51e1599a4efe"/>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9d781-265f-4ceb-999e-e1eca3df2c9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7ea9cc77-7db7-4067-9972-efc9a75de26f}" ma:internalName="TaxCatchAll" ma:showField="CatchAllData"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7ea9cc77-7db7-4067-9972-efc9a75de26f}" ma:internalName="TaxCatchAllLabel" ma:readOnly="true" ma:showField="CatchAllDataLabel"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5ad790-8ffd-4f61-866f-51e1599a4efe"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1299d781-265f-4ceb-999e-e1eca3df2c90">P6FJPSUHKDC2-1050578159-3521</_dlc_DocId>
    <_dlc_DocIdUrl xmlns="1299d781-265f-4ceb-999e-e1eca3df2c90">
      <Url>http://dm2016/eesc/2022/_layouts/15/DocIdRedir.aspx?ID=P6FJPSUHKDC2-1050578159-3521</Url>
      <Description>P6FJPSUHKDC2-1050578159-3521</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1299d781-265f-4ceb-999e-e1eca3df2c90"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1299d781-265f-4ceb-999e-e1eca3df2c90">2022-08-03T12:00:00+00:00</ProductionDate>
    <DocumentNumber xmlns="4e5ad790-8ffd-4f61-866f-51e1599a4efe">3184</DocumentNumber>
    <FicheYear xmlns="1299d781-265f-4ceb-999e-e1eca3df2c90" xsi:nil="true"/>
    <DocumentVersion xmlns="1299d781-265f-4ceb-999e-e1eca3df2c90">0</DocumentVersion>
    <DossierNumber xmlns="1299d781-265f-4ceb-999e-e1eca3df2c90"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1299d781-265f-4ceb-999e-e1eca3df2c90">2022-09-21T12:00:00+00:00</MeetingDate>
    <TaxCatchAll xmlns="1299d781-265f-4ceb-999e-e1eca3df2c90">
      <Value>55</Value>
      <Value>54</Value>
      <Value>51</Value>
      <Value>46</Value>
      <Value>45</Value>
      <Value>44</Value>
      <Value>43</Value>
      <Value>42</Value>
      <Value>41</Value>
      <Value>38</Value>
      <Value>37</Value>
      <Value>36</Value>
      <Value>34</Value>
      <Value>33</Value>
      <Value>31</Value>
      <Value>30</Value>
      <Value>29</Value>
      <Value>26</Value>
      <Value>25</Value>
      <Value>22</Value>
      <Value>11</Value>
      <Value>9</Value>
      <Value>7</Value>
      <Value>6</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FI</TermName>
          <TermId xmlns="http://schemas.microsoft.com/office/infopath/2007/PartnerControls">87606a43-d45f-42d6-b8c9-e1a3457db5b7</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1299d781-265f-4ceb-999e-e1eca3df2c90" xsi:nil="true"/>
    <DocumentYear xmlns="1299d781-265f-4ceb-999e-e1eca3df2c90">2022</DocumentYear>
    <FicheNumber xmlns="1299d781-265f-4ceb-999e-e1eca3df2c90">9012</FicheNumber>
    <OriginalSender xmlns="1299d781-265f-4ceb-999e-e1eca3df2c90">
      <UserInfo>
        <DisplayName>Eskelinen Juha</DisplayName>
        <AccountId>1670</AccountId>
        <AccountType/>
      </UserInfo>
    </OriginalSender>
    <DocumentPart xmlns="1299d781-265f-4ceb-999e-e1eca3df2c90">0</DocumentPart>
    <AdoptionDate xmlns="1299d781-265f-4ceb-999e-e1eca3df2c90" xsi:nil="true"/>
    <RequestingService xmlns="1299d781-265f-4ceb-999e-e1eca3df2c90">Greffe</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4e5ad790-8ffd-4f61-866f-51e1599a4efe"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7C15F924-0B1C-49A4-B8FB-5E775DEC91FF}"/>
</file>

<file path=customXml/itemProps2.xml><?xml version="1.0" encoding="utf-8"?>
<ds:datastoreItem xmlns:ds="http://schemas.openxmlformats.org/officeDocument/2006/customXml" ds:itemID="{7F5C00E7-3DB3-4A0B-8880-679840F90C43}"/>
</file>

<file path=customXml/itemProps3.xml><?xml version="1.0" encoding="utf-8"?>
<ds:datastoreItem xmlns:ds="http://schemas.openxmlformats.org/officeDocument/2006/customXml" ds:itemID="{4EE270A1-3A44-40FB-82E1-207883792193}"/>
</file>

<file path=customXml/itemProps4.xml><?xml version="1.0" encoding="utf-8"?>
<ds:datastoreItem xmlns:ds="http://schemas.openxmlformats.org/officeDocument/2006/customXml" ds:itemID="{52236012-B584-48D1-AB72-1BA43D947380}"/>
</file>

<file path=docProps/app.xml><?xml version="1.0" encoding="utf-8"?>
<Properties xmlns="http://schemas.openxmlformats.org/officeDocument/2006/extended-properties" xmlns:vt="http://schemas.openxmlformats.org/officeDocument/2006/docPropsVTypes">
  <Template>Normal.dotm</Template>
  <TotalTime>4</TotalTime>
  <Pages>26</Pages>
  <Words>8259</Words>
  <Characters>47077</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Summary of opinions adopted - 562nd plenary session February  2022</vt:lpstr>
    </vt:vector>
  </TitlesOfParts>
  <Company>CESE-CdR</Company>
  <LinksUpToDate>false</LinksUpToDate>
  <CharactersWithSpaces>55226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Heinäkuun täysistunnossa annetut lausunnot</dc:title>
  <dc:subject>TCD</dc:subject>
  <dc:creator>Nieddu Emma</dc:creator>
  <cp:keywords>EESC-2022-03184-00-00-TCD-TRA-EN</cp:keywords>
  <dc:description>Rapporteur:  - Original language: EN - Date of document: 03-08-2022 - Date of meeting: 30-21-2022 14:30 - External documents:  - Administrator: Mme DAMYANOVA-KERESTELIEVA Ani Alexieva</dc:description>
  <cp:lastModifiedBy>Eskelinen Juha</cp:lastModifiedBy>
  <cp:revision>11</cp:revision>
  <cp:lastPrinted>2022-05-02T09:48:00Z</cp:lastPrinted>
  <dcterms:created xsi:type="dcterms:W3CDTF">2022-07-19T15:37:00Z</dcterms:created>
  <dcterms:modified xsi:type="dcterms:W3CDTF">2022-08-03T08:28:00Z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19/07/2022, 29/03/2022, 04/03/2022, 15/12/2021, 13/09/2021, 03/09/2021, 28/06/2021</vt:lpwstr>
  </property>
  <property fmtid="{D5CDD505-2E9C-101B-9397-08002B2CF9AE}" pid="4" name="Pref_Time">
    <vt:lpwstr>15:30:24, 14:21:50, 16:54:06, 17:56:36, 14:13:00, 10:08:10, 08:41:48</vt:lpwstr>
  </property>
  <property fmtid="{D5CDD505-2E9C-101B-9397-08002B2CF9AE}" pid="5" name="Pref_User">
    <vt:lpwstr>enied, jhvi, enied, hnic, amett, enied, enied</vt:lpwstr>
  </property>
  <property fmtid="{D5CDD505-2E9C-101B-9397-08002B2CF9AE}" pid="6" name="Pref_FileName">
    <vt:lpwstr>EESC-2022-03184-00-00-TCD-ORI.docx, EESC-2022-01223-00-00-TCD-ORI.docx, EESC-2022-00391-00-00-TCD-ORI.docx, EESC-2021-05445-00-00-TCD-ORI.docx, EESC-2021-03366-00-01-TCD-ORI.docx, EESC-2021-03366-00-00-TCD-ORI.docx, Synthese des avis Template.docx</vt:lpwstr>
  </property>
  <property fmtid="{D5CDD505-2E9C-101B-9397-08002B2CF9AE}" pid="7" name="ContentTypeId">
    <vt:lpwstr>0x010100EA97B91038054C99906057A708A1480A00626EADD26EE0CA468385E76F4CAC56BA</vt:lpwstr>
  </property>
  <property fmtid="{D5CDD505-2E9C-101B-9397-08002B2CF9AE}" pid="8" name="_dlc_DocIdItemGuid">
    <vt:lpwstr>823605ef-845a-4d66-b532-73a67824f917</vt:lpwstr>
  </property>
  <property fmtid="{D5CDD505-2E9C-101B-9397-08002B2CF9AE}" pid="9" name="AvailableTranslations">
    <vt:lpwstr>36;#HU|6b229040-c589-4408-b4c1-4285663d20a8;#54;#ET|ff6c3f4c-b02c-4c3c-ab07-2c37995a7a0a;#44;#LT|a7ff5ce7-6123-4f68-865a-a57c31810414;#55;#HR|2f555653-ed1a-4fe6-8362-9082d95989e5;#41;#CS|72f9705b-0217-4fd3-bea2-cbc7ed80e26e;#29;#SV|c2ed69e7-a339-43d7-8f22-d93680a92aa0;#34;#SK|46d9fce0-ef79-4f71-b89b-cd6aa82426b8;#38;#FI|87606a43-d45f-42d6-b8c9-e1a3457db5b7;#42;#SL|98a412ae-eb01-49e9-ae3d-585a81724cfc;#31;#ES|e7a6b05b-ae16-40c8-add9-68b64b03aeba;#22;#DE|f6b31e5a-26fa-4935-b661-318e46daf27e;#33;#IT|0774613c-01ed-4e5d-a25d-11d2388de825;#30;#PL|1e03da61-4678-4e07-b136-b5024ca9197b;#43;#NL|55c6556c-b4f4-441d-9acf-c498d4f838bd;#11;#FR|d2afafd3-4c81-4f60-8f52-ee33f2f54ff3;#45;#RO|feb747a2-64cd-4299-af12-4833ddc30497;#26;#LV|46f7e311-5d9f-4663-b433-18aeccb7ace7;#37;#PT|50ccc04a-eadd-42ae-a0cb-acaf45f812ba;#46;#EL|6d4f4d51-af9b-4650-94b4-4276bee85c91</vt:lpwstr>
  </property>
  <property fmtid="{D5CDD505-2E9C-101B-9397-08002B2CF9AE}" pid="10" name="DocumentType_0">
    <vt:lpwstr>TCD|cd9d6eb6-3f4f-424a-b2d1-57c9d450eaaf</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3184</vt:i4>
  </property>
  <property fmtid="{D5CDD505-2E9C-101B-9397-08002B2CF9AE}" pid="14" name="DocumentYear">
    <vt:i4>2022</vt:i4>
  </property>
  <property fmtid="{D5CDD505-2E9C-101B-9397-08002B2CF9AE}" pid="15" name="DocumentVersion">
    <vt:i4>0</vt:i4>
  </property>
  <property fmtid="{D5CDD505-2E9C-101B-9397-08002B2CF9AE}" pid="16" name="FicheNumber">
    <vt:i4>9012</vt:i4>
  </property>
  <property fmtid="{D5CDD505-2E9C-101B-9397-08002B2CF9AE}" pid="17" name="DocumentStatus">
    <vt:lpwstr>7;#TRA|150d2a88-1431-44e6-a8ca-0bb753ab8672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2" name="DocumentType">
    <vt:lpwstr>25;#TCD|cd9d6eb6-3f4f-424a-b2d1-57c9d450eaaf</vt:lpwstr>
  </property>
  <property fmtid="{D5CDD505-2E9C-101B-9397-08002B2CF9AE}" pid="23" name="RequestingService">
    <vt:lpwstr>Greffe</vt:lpwstr>
  </property>
  <property fmtid="{D5CDD505-2E9C-101B-9397-08002B2CF9AE}" pid="24" name="Confidentiality">
    <vt:lpwstr>9;#Unrestricted|826e22d7-d029-4ec0-a450-0c28ff673572</vt:lpwstr>
  </property>
  <property fmtid="{D5CDD505-2E9C-101B-9397-08002B2CF9AE}" pid="25" name="MeetingName_0">
    <vt:lpwstr>SPL-CES|32d8cb1f-c9ec-4365-95c7-8385a18618ac</vt:lpwstr>
  </property>
  <property fmtid="{D5CDD505-2E9C-101B-9397-08002B2CF9AE}" pid="26" name="Confidentiality_0">
    <vt:lpwstr>Unrestricted|826e22d7-d029-4ec0-a450-0c28ff673572</vt:lpwstr>
  </property>
  <property fmtid="{D5CDD505-2E9C-101B-9397-08002B2CF9AE}" pid="27" name="OriginalLanguage">
    <vt:lpwstr>4;#EN|f2175f21-25d7-44a3-96da-d6a61b075e1b</vt:lpwstr>
  </property>
  <property fmtid="{D5CDD505-2E9C-101B-9397-08002B2CF9AE}" pid="28" name="MeetingName">
    <vt:lpwstr>51;#SPL-CES|32d8cb1f-c9ec-4365-95c7-8385a18618ac</vt:lpwstr>
  </property>
  <property fmtid="{D5CDD505-2E9C-101B-9397-08002B2CF9AE}" pid="29" name="MeetingDate">
    <vt:filetime>2022-09-21T12:00:00Z</vt:filetime>
  </property>
  <property fmtid="{D5CDD505-2E9C-101B-9397-08002B2CF9AE}" pid="30" name="AvailableTranslations_0">
    <vt:lpwstr>CS|72f9705b-0217-4fd3-bea2-cbc7ed80e26e;SL|98a412ae-eb01-49e9-ae3d-585a81724cfc;DE|f6b31e5a-26fa-4935-b661-318e46daf27e;IT|0774613c-01ed-4e5d-a25d-11d2388de825;FR|d2afafd3-4c81-4f60-8f52-ee33f2f54ff3;RO|feb747a2-64cd-4299-af12-4833ddc30497;PT|50ccc04a-eadd-42ae-a0cb-acaf45f812ba;EL|6d4f4d51-af9b-4650-94b4-4276bee85c91</vt:lpwstr>
  </property>
  <property fmtid="{D5CDD505-2E9C-101B-9397-08002B2CF9AE}" pid="31" name="DocumentStatus_0">
    <vt:lpwstr>TRA|150d2a88-1431-44e6-a8ca-0bb753ab8672</vt:lpwstr>
  </property>
  <property fmtid="{D5CDD505-2E9C-101B-9397-08002B2CF9AE}" pid="32" name="OriginalLanguage_0">
    <vt:lpwstr>EN|f2175f21-25d7-44a3-96da-d6a61b075e1b</vt:lpwstr>
  </property>
  <property fmtid="{D5CDD505-2E9C-101B-9397-08002B2CF9AE}" pid="33" name="TaxCatchAll">
    <vt:lpwstr>33;#IT|0774613c-01ed-4e5d-a25d-11d2388de825;#25;#TCD|cd9d6eb6-3f4f-424a-b2d1-57c9d450eaaf;#22;#DE|f6b31e5a-26fa-4935-b661-318e46daf27e;#45;#RO|feb747a2-64cd-4299-af12-4833ddc30497;#51;#SPL-CES|32d8cb1f-c9ec-4365-95c7-8385a18618ac;#46;#EL|6d4f4d51-af9b-4650-94b4-4276bee85c91;#11;#FR|d2afafd3-4c81-4f60-8f52-ee33f2f54ff3;#9;#Unrestricted|826e22d7-d029-4ec0-a450-0c28ff673572;#41;#CS|72f9705b-0217-4fd3-bea2-cbc7ed80e26e;#7;#TRA|150d2a88-1431-44e6-a8ca-0bb753ab8672;#6;#Final|ea5e6674-7b27-4bac-b091-73adbb394efe;#42;#SL|98a412ae-eb01-49e9-ae3d-585a81724cfc;#4;#EN|f2175f21-25d7-44a3-96da-d6a61b075e1b;#1;#EESC|422833ec-8d7e-4e65-8e4e-8bed07ffb729;#37;#PT|50ccc04a-eadd-42ae-a0cb-acaf45f812ba</vt:lpwstr>
  </property>
  <property fmtid="{D5CDD505-2E9C-101B-9397-08002B2CF9AE}" pid="34" name="VersionStatus_0">
    <vt:lpwstr>Final|ea5e6674-7b27-4bac-b091-73adbb394efe</vt:lpwstr>
  </property>
  <property fmtid="{D5CDD505-2E9C-101B-9397-08002B2CF9AE}" pid="35" name="VersionStatus">
    <vt:lpwstr>6;#Final|ea5e6674-7b27-4bac-b091-73adbb394efe</vt:lpwstr>
  </property>
  <property fmtid="{D5CDD505-2E9C-101B-9397-08002B2CF9AE}" pid="36" name="DocumentLanguage">
    <vt:lpwstr>38;#FI|87606a43-d45f-42d6-b8c9-e1a3457db5b7</vt:lpwstr>
  </property>
  <property fmtid="{D5CDD505-2E9C-101B-9397-08002B2CF9AE}" pid="37" name="_docset_NoMedatataSyncRequired">
    <vt:lpwstr>False</vt:lpwstr>
  </property>
</Properties>
</file>