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7.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rsidR="006773D5">
        <w:trPr>
          <w:jc w:val="center"/>
        </w:trPr>
        <w:tc>
          <w:tcPr>
            <w:tcW w:w="5000" w:type="pct"/>
            <w:vAlign w:val="center"/>
          </w:tcPr>
          <w:p w:rsidRPr="00E11A78" w:rsidR="0050393E" w:rsidP="004C005C" w:rsidRDefault="0050393E">
            <w:pPr>
              <w:jc w:val="center"/>
              <w:rPr>
                <w:b/>
                <w:sz w:val="72"/>
                <w:szCs w:val="72"/>
              </w:rPr>
            </w:pPr>
            <w:bookmarkStart w:name="_GoBack" w:id="0"/>
            <w:bookmarkEnd w:id="0"/>
            <w:r>
              <w:rPr>
                <w:b/>
                <w:sz w:val="72"/>
              </w:rPr>
              <w:t>PÄÄTÖSLAUSELMA</w:t>
            </w:r>
          </w:p>
        </w:tc>
      </w:tr>
      <w:tr w:rsidR="006773D5">
        <w:trPr>
          <w:trHeight w:val="567"/>
          <w:jc w:val="center"/>
        </w:trPr>
        <w:tc>
          <w:tcPr>
            <w:tcW w:w="5000" w:type="pct"/>
            <w:vAlign w:val="center"/>
          </w:tcPr>
          <w:p w:rsidRPr="00E11A78" w:rsidR="0050393E" w:rsidP="004C005C" w:rsidRDefault="0050393E">
            <w:pPr>
              <w:jc w:val="center"/>
              <w:rPr>
                <w:sz w:val="24"/>
                <w:szCs w:val="24"/>
              </w:rPr>
            </w:pPr>
            <w:r>
              <w:rPr>
                <w:sz w:val="24"/>
              </w:rPr>
              <w:t>Euroopan talous- ja sosiaalikomitea</w:t>
            </w:r>
          </w:p>
        </w:tc>
      </w:tr>
      <w:tr w:rsidR="006773D5">
        <w:trPr>
          <w:jc w:val="center"/>
        </w:trPr>
        <w:tc>
          <w:tcPr>
            <w:tcW w:w="5000" w:type="pct"/>
            <w:vAlign w:val="center"/>
          </w:tcPr>
          <w:p w:rsidRPr="00E11A78" w:rsidR="0050393E" w:rsidP="004C005C" w:rsidRDefault="005B6335">
            <w:pPr>
              <w:jc w:val="center"/>
              <w:rPr>
                <w:b/>
                <w:sz w:val="44"/>
                <w:szCs w:val="44"/>
              </w:rPr>
            </w:pPr>
            <w:r>
              <w:rPr>
                <w:b/>
                <w:sz w:val="44"/>
              </w:rPr>
              <w:t xml:space="preserve">Ukraina: hätäavusta jälleenrakentamiseen – Euroopan kansalaisyhteiskunnan ehdotuksia </w:t>
            </w:r>
          </w:p>
        </w:tc>
      </w:tr>
      <w:tr w:rsidR="006773D5">
        <w:trPr>
          <w:jc w:val="center"/>
        </w:trPr>
        <w:tc>
          <w:tcPr>
            <w:tcW w:w="5000" w:type="pct"/>
            <w:vAlign w:val="center"/>
          </w:tcPr>
          <w:p w:rsidRPr="00E11A78" w:rsidR="0050393E" w:rsidP="004C005C" w:rsidRDefault="0050393E">
            <w:pPr>
              <w:jc w:val="center"/>
              <w:rPr>
                <w:sz w:val="24"/>
                <w:szCs w:val="24"/>
                <w:lang w:val="en-GB"/>
              </w:rPr>
            </w:pPr>
          </w:p>
        </w:tc>
      </w:tr>
      <w:tr w:rsidR="006773D5">
        <w:trPr>
          <w:jc w:val="center"/>
        </w:trPr>
        <w:tc>
          <w:tcPr>
            <w:tcW w:w="5000" w:type="pct"/>
            <w:vAlign w:val="center"/>
          </w:tcPr>
          <w:p w:rsidRPr="00E11A78" w:rsidR="0050393E" w:rsidP="004C005C" w:rsidRDefault="0050393E">
            <w:pPr>
              <w:overflowPunct w:val="0"/>
              <w:autoSpaceDE w:val="0"/>
              <w:autoSpaceDN w:val="0"/>
              <w:adjustRightInd w:val="0"/>
              <w:jc w:val="center"/>
              <w:textAlignment w:val="baseline"/>
              <w:rPr>
                <w:b/>
                <w:position w:val="24"/>
                <w:sz w:val="24"/>
                <w:szCs w:val="24"/>
              </w:rPr>
            </w:pPr>
            <w:r>
              <w:rPr>
                <w:sz w:val="24"/>
              </w:rPr>
              <w:t>_____________</w:t>
            </w:r>
          </w:p>
        </w:tc>
      </w:tr>
      <w:tr w:rsidR="006773D5">
        <w:trPr>
          <w:jc w:val="center"/>
        </w:trPr>
        <w:tc>
          <w:tcPr>
            <w:tcW w:w="5000" w:type="pct"/>
            <w:vAlign w:val="center"/>
          </w:tcPr>
          <w:p w:rsidRPr="00E11A78" w:rsidR="0050393E" w:rsidP="004C005C" w:rsidRDefault="0050393E">
            <w:pPr>
              <w:jc w:val="center"/>
              <w:rPr>
                <w:sz w:val="24"/>
                <w:szCs w:val="24"/>
                <w:lang w:val="en-GB"/>
              </w:rPr>
            </w:pPr>
          </w:p>
        </w:tc>
      </w:tr>
      <w:tr w:rsidR="006773D5">
        <w:trPr>
          <w:jc w:val="center"/>
        </w:trPr>
        <w:tc>
          <w:tcPr>
            <w:tcW w:w="5000" w:type="pct"/>
            <w:vAlign w:val="center"/>
          </w:tcPr>
          <w:p w:rsidRPr="00E11A78" w:rsidR="0050393E" w:rsidP="00A67EF8" w:rsidRDefault="0050393E">
            <w:pPr>
              <w:jc w:val="center"/>
              <w:rPr>
                <w:b/>
                <w:sz w:val="24"/>
                <w:szCs w:val="24"/>
              </w:rPr>
            </w:pPr>
            <w:r>
              <w:rPr>
                <w:sz w:val="24"/>
              </w:rPr>
              <w:t xml:space="preserve">Esittelijät: </w:t>
            </w:r>
          </w:p>
          <w:p w:rsidRPr="00E11A78" w:rsidR="005B6335" w:rsidP="005B6335" w:rsidRDefault="005B6335">
            <w:pPr>
              <w:jc w:val="center"/>
              <w:rPr>
                <w:b/>
                <w:sz w:val="24"/>
                <w:szCs w:val="24"/>
              </w:rPr>
            </w:pPr>
            <w:proofErr w:type="spellStart"/>
            <w:r>
              <w:rPr>
                <w:b/>
                <w:sz w:val="24"/>
              </w:rPr>
              <w:t>Stefano</w:t>
            </w:r>
            <w:proofErr w:type="spellEnd"/>
            <w:r>
              <w:rPr>
                <w:b/>
                <w:sz w:val="24"/>
              </w:rPr>
              <w:t xml:space="preserve"> Mallia</w:t>
            </w:r>
          </w:p>
          <w:p w:rsidRPr="00E11A78" w:rsidR="005B6335" w:rsidP="005B6335" w:rsidRDefault="005B6335">
            <w:pPr>
              <w:jc w:val="center"/>
              <w:rPr>
                <w:b/>
                <w:sz w:val="24"/>
                <w:szCs w:val="24"/>
              </w:rPr>
            </w:pPr>
            <w:r>
              <w:rPr>
                <w:b/>
                <w:sz w:val="24"/>
              </w:rPr>
              <w:t xml:space="preserve">Oliver </w:t>
            </w:r>
            <w:proofErr w:type="spellStart"/>
            <w:r>
              <w:rPr>
                <w:b/>
                <w:sz w:val="24"/>
              </w:rPr>
              <w:t>Röpke</w:t>
            </w:r>
            <w:proofErr w:type="spellEnd"/>
          </w:p>
          <w:p w:rsidRPr="00E11A78" w:rsidR="005B6335" w:rsidP="005B6335" w:rsidRDefault="005B6335">
            <w:pPr>
              <w:jc w:val="center"/>
              <w:rPr>
                <w:b/>
                <w:sz w:val="24"/>
                <w:szCs w:val="24"/>
              </w:rPr>
            </w:pPr>
            <w:proofErr w:type="spellStart"/>
            <w:r>
              <w:rPr>
                <w:b/>
                <w:sz w:val="24"/>
              </w:rPr>
              <w:t>Séamus</w:t>
            </w:r>
            <w:proofErr w:type="spellEnd"/>
            <w:r>
              <w:rPr>
                <w:b/>
                <w:sz w:val="24"/>
              </w:rPr>
              <w:t xml:space="preserve"> </w:t>
            </w:r>
            <w:proofErr w:type="spellStart"/>
            <w:r>
              <w:rPr>
                <w:b/>
                <w:sz w:val="24"/>
              </w:rPr>
              <w:t>Boland</w:t>
            </w:r>
            <w:proofErr w:type="spellEnd"/>
          </w:p>
        </w:tc>
      </w:tr>
    </w:tbl>
    <w:p w:rsidRPr="00E11A78" w:rsidR="00574C9B" w:rsidP="00574C9B" w:rsidRDefault="00574C9B">
      <w:r>
        <w:rPr>
          <w:noProof/>
          <w:sz w:val="20"/>
          <w:lang w:val="en-US"/>
        </w:rPr>
        <mc:AlternateContent>
          <mc:Choice Requires="wps">
            <w:drawing>
              <wp:anchor distT="0" distB="0" distL="114300" distR="114300" simplePos="0" relativeHeight="251659264" behindDoc="1" locked="0" layoutInCell="0" allowOverlap="1" wp14:editId="371EF5B6" wp14:anchorId="30729731">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pPr>
                              <w:jc w:val="center"/>
                            </w:pPr>
                            <w:r>
                              <w:rPr>
                                <w:rFonts w:ascii="Arial" w:hAnsi="Arial"/>
                                <w:b/>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0729731">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v:textbox>
                  <w:txbxContent>
                    <w:p w:rsidR="00574C9B" w:rsidP="00574C9B" w:rsidRDefault="00574C9B">
                      <w:pPr>
                        <w:jc w:val="center"/>
                      </w:pPr>
                      <w:r>
                        <w:rPr>
                          <w:rFonts w:ascii="Arial" w:hAnsi="Arial"/>
                          <w:b/>
                          <w:sz w:val="48"/>
                        </w:rPr>
                        <w:t>FI</w:t>
                      </w:r>
                    </w:p>
                  </w:txbxContent>
                </v:textbox>
                <w10:wrap anchorx="margin" anchory="page"/>
              </v:shape>
            </w:pict>
          </mc:Fallback>
        </mc:AlternateContent>
      </w:r>
    </w:p>
    <w:p w:rsidRPr="00E11A78" w:rsidR="00574C9B" w:rsidP="00574C9B" w:rsidRDefault="00574C9B">
      <w:pPr>
        <w:rPr>
          <w:lang w:val="en-GB"/>
        </w:rPr>
      </w:pPr>
    </w:p>
    <w:p w:rsidRPr="00E11A78" w:rsidR="00574C9B" w:rsidP="00574C9B" w:rsidRDefault="00574C9B">
      <w:pPr>
        <w:rPr>
          <w:lang w:val="en-GB"/>
        </w:rPr>
        <w:sectPr w:rsidRPr="00E11A78" w:rsidR="00574C9B" w:rsidSect="00DA14A6">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6773D5">
        <w:tc>
          <w:tcPr>
            <w:tcW w:w="3085" w:type="dxa"/>
          </w:tcPr>
          <w:p w:rsidRPr="00E11A78" w:rsidR="00AC5114" w:rsidP="0058411F" w:rsidRDefault="00AC5114">
            <w:pPr>
              <w:autoSpaceDE w:val="0"/>
              <w:autoSpaceDN w:val="0"/>
              <w:jc w:val="left"/>
            </w:pPr>
            <w:r>
              <w:lastRenderedPageBreak/>
              <w:t>Oikeusperusta</w:t>
            </w:r>
          </w:p>
        </w:tc>
        <w:tc>
          <w:tcPr>
            <w:tcW w:w="6204" w:type="dxa"/>
            <w:vAlign w:val="bottom"/>
          </w:tcPr>
          <w:p w:rsidRPr="00E11A78" w:rsidR="00AC5114" w:rsidP="00850B67" w:rsidRDefault="00AC5114">
            <w:pPr>
              <w:autoSpaceDE w:val="0"/>
              <w:autoSpaceDN w:val="0"/>
              <w:jc w:val="left"/>
            </w:pPr>
            <w:r>
              <w:t>työjärjestyksen 52 artiklan 4 kohta</w:t>
            </w:r>
          </w:p>
        </w:tc>
      </w:tr>
      <w:tr w:rsidR="006773D5">
        <w:tc>
          <w:tcPr>
            <w:tcW w:w="3085" w:type="dxa"/>
          </w:tcPr>
          <w:p w:rsidRPr="00E11A78" w:rsidR="0058411F" w:rsidP="0058411F" w:rsidRDefault="0058411F">
            <w:pPr>
              <w:autoSpaceDE w:val="0"/>
              <w:autoSpaceDN w:val="0"/>
              <w:jc w:val="left"/>
            </w:pPr>
            <w:r>
              <w:t>Hyväksyminen täysistunnossa</w:t>
            </w:r>
          </w:p>
        </w:tc>
        <w:tc>
          <w:tcPr>
            <w:tcW w:w="6204" w:type="dxa"/>
            <w:vAlign w:val="bottom"/>
          </w:tcPr>
          <w:p w:rsidRPr="00E11A78" w:rsidR="0058411F" w:rsidP="0058411F" w:rsidRDefault="005B6335">
            <w:pPr>
              <w:autoSpaceDE w:val="0"/>
              <w:autoSpaceDN w:val="0"/>
              <w:jc w:val="left"/>
            </w:pPr>
            <w:r>
              <w:t>16/06/2022</w:t>
            </w:r>
          </w:p>
        </w:tc>
      </w:tr>
      <w:tr w:rsidR="006773D5">
        <w:tc>
          <w:tcPr>
            <w:tcW w:w="3085" w:type="dxa"/>
          </w:tcPr>
          <w:p w:rsidRPr="00E11A78" w:rsidR="0058411F" w:rsidP="0058411F" w:rsidRDefault="0058411F">
            <w:pPr>
              <w:autoSpaceDE w:val="0"/>
              <w:autoSpaceDN w:val="0"/>
              <w:jc w:val="left"/>
            </w:pPr>
            <w:r>
              <w:t>Täysistunnon numero</w:t>
            </w:r>
          </w:p>
        </w:tc>
        <w:tc>
          <w:tcPr>
            <w:tcW w:w="6204" w:type="dxa"/>
            <w:vAlign w:val="bottom"/>
          </w:tcPr>
          <w:p w:rsidRPr="00E11A78" w:rsidR="0058411F" w:rsidP="0058411F" w:rsidRDefault="005B6335">
            <w:pPr>
              <w:autoSpaceDE w:val="0"/>
              <w:autoSpaceDN w:val="0"/>
              <w:jc w:val="left"/>
            </w:pPr>
            <w:r>
              <w:t>570</w:t>
            </w:r>
          </w:p>
        </w:tc>
      </w:tr>
      <w:tr w:rsidR="006773D5">
        <w:tc>
          <w:tcPr>
            <w:tcW w:w="3085" w:type="dxa"/>
          </w:tcPr>
          <w:p w:rsidRPr="00E11A78" w:rsidR="0058411F" w:rsidP="0058411F" w:rsidRDefault="0058411F">
            <w:pPr>
              <w:autoSpaceDE w:val="0"/>
              <w:autoSpaceDN w:val="0"/>
              <w:jc w:val="left"/>
            </w:pPr>
            <w:r>
              <w:t>Äänestystulos</w:t>
            </w:r>
            <w:r>
              <w:br/>
              <w:t>(puolesta / vastaan / pidättyi äänestämästä)</w:t>
            </w:r>
          </w:p>
        </w:tc>
        <w:tc>
          <w:tcPr>
            <w:tcW w:w="6204" w:type="dxa"/>
            <w:vAlign w:val="bottom"/>
          </w:tcPr>
          <w:p w:rsidRPr="00E11A78" w:rsidR="0058411F" w:rsidP="0058411F" w:rsidRDefault="00100F87">
            <w:pPr>
              <w:autoSpaceDE w:val="0"/>
              <w:autoSpaceDN w:val="0"/>
              <w:jc w:val="left"/>
            </w:pPr>
            <w:r>
              <w:t>206/2/2</w:t>
            </w:r>
          </w:p>
        </w:tc>
      </w:tr>
    </w:tbl>
    <w:p w:rsidRPr="00E11A78" w:rsidR="00AC5114" w:rsidP="00574C9B" w:rsidRDefault="00AC5114">
      <w:pPr>
        <w:rPr>
          <w:lang w:val="en-GB"/>
        </w:rPr>
      </w:pPr>
    </w:p>
    <w:p w:rsidRPr="00E11A78" w:rsidR="00AC5114" w:rsidP="00574C9B" w:rsidRDefault="00AC5114">
      <w:pPr>
        <w:rPr>
          <w:lang w:val="en-GB"/>
        </w:rPr>
        <w:sectPr w:rsidRPr="00E11A78" w:rsidR="00AC5114" w:rsidSect="00DA14A6">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tbl>
      <w:tblPr>
        <w:tblStyle w:val="TableGrid"/>
        <w:tblW w:w="0" w:type="auto"/>
        <w:tblLook w:val="04A0" w:firstRow="1" w:lastRow="0" w:firstColumn="1" w:lastColumn="0" w:noHBand="0" w:noVBand="1"/>
      </w:tblPr>
      <w:tblGrid>
        <w:gridCol w:w="9063"/>
      </w:tblGrid>
      <w:tr w:rsidR="006773D5">
        <w:tc>
          <w:tcPr>
            <w:tcW w:w="9063" w:type="dxa"/>
          </w:tcPr>
          <w:p w:rsidRPr="003201C6" w:rsidR="00927005" w:rsidP="00C00531" w:rsidRDefault="00927005">
            <w:pPr>
              <w:rPr>
                <w:lang w:val="en-GB"/>
              </w:rPr>
            </w:pPr>
          </w:p>
          <w:p w:rsidRPr="003201C6" w:rsidR="00927005" w:rsidP="00C00531" w:rsidRDefault="00927005">
            <w:pPr>
              <w:jc w:val="center"/>
              <w:rPr>
                <w:b/>
              </w:rPr>
            </w:pPr>
            <w:r>
              <w:rPr>
                <w:b/>
              </w:rPr>
              <w:t>Keskeiset viestit</w:t>
            </w:r>
          </w:p>
          <w:p w:rsidRPr="003201C6" w:rsidR="00927005" w:rsidP="00C00531" w:rsidRDefault="00927005">
            <w:pPr>
              <w:rPr>
                <w:b/>
                <w:lang w:val="en-GB"/>
              </w:rPr>
            </w:pPr>
          </w:p>
          <w:p w:rsidRPr="00E11A78" w:rsidR="00927005" w:rsidP="00E11A78" w:rsidRDefault="00927005">
            <w:pPr>
              <w:pStyle w:val="ListParagraph"/>
              <w:numPr>
                <w:ilvl w:val="0"/>
                <w:numId w:val="3"/>
              </w:numPr>
            </w:pPr>
            <w:r>
              <w:rPr>
                <w:b/>
              </w:rPr>
              <w:t>Ukrainalle EU:n ehdokasvaltion asema.</w:t>
            </w:r>
            <w:r>
              <w:t xml:space="preserve"> Komitea kehottaa Eurooppa-neuvostoa myöntämään Ukrainalle ehdokasvaltion aseman kokouksessaan 23.–24. kesäkuussa 2022. Aseman myöntäminen ei kuitenkaan saa vaikuttaa kielteisesti Länsi-Balkanin maiden meneillään olevaan liittymisprosessiin. Komitea kannattaa sellaisen järjestelmän käyttöönottoa, jossa yhdentyminen etenee asteittain unionin säännöstön täytäntöönpanon pohjalta. </w:t>
            </w:r>
          </w:p>
          <w:p w:rsidRPr="003201C6" w:rsidR="00927005" w:rsidP="00C00531" w:rsidRDefault="00927005">
            <w:pPr>
              <w:rPr>
                <w:lang w:val="en-GB"/>
              </w:rPr>
            </w:pPr>
          </w:p>
          <w:p w:rsidRPr="00E11A78" w:rsidR="00927005" w:rsidP="00927005" w:rsidRDefault="00927005">
            <w:pPr>
              <w:pStyle w:val="ListParagraph"/>
              <w:numPr>
                <w:ilvl w:val="0"/>
                <w:numId w:val="3"/>
              </w:numPr>
            </w:pPr>
            <w:r>
              <w:rPr>
                <w:b/>
              </w:rPr>
              <w:t>Euroopan kansalaisyhteiskunta solidaarisena Ukrainan ja Ukrainan kansan rinnalla.</w:t>
            </w:r>
            <w:r>
              <w:t xml:space="preserve"> Kansalaisyhteiskunta on reagoinut tilanteeseen nopeasti ja tehokkaasti ja saanut käynnistettyä ainutlaatuisen kansalaistoiminnan ruohonjuuritasolla. Humanitaarista apua on lisättävä, ja sitä on jaettava suoraan niin, että tuetaan kansalaisyhteiskunnan organisaatioiden toimintaa. Kansalaisyhteiskunnan organisaatioiden ja erikoistuneiden kansalaisjärjestöjen olisi päästävä aidosti mukaan EU- ja jäsenvaltiotason humanitaarisen avun suunnitteluun ja seurantaan. </w:t>
            </w:r>
          </w:p>
          <w:p w:rsidRPr="003201C6" w:rsidR="00927005" w:rsidP="00C00531" w:rsidRDefault="00927005">
            <w:pPr>
              <w:rPr>
                <w:lang w:val="en-GB"/>
              </w:rPr>
            </w:pPr>
          </w:p>
          <w:p w:rsidRPr="00E11A78" w:rsidR="00927005" w:rsidP="00927005" w:rsidRDefault="00927005">
            <w:pPr>
              <w:pStyle w:val="ListParagraph"/>
              <w:numPr>
                <w:ilvl w:val="0"/>
                <w:numId w:val="3"/>
              </w:numPr>
            </w:pPr>
            <w:r>
              <w:rPr>
                <w:b/>
              </w:rPr>
              <w:t>Mahdollisuuksien tarjoaminen pakolaisille.</w:t>
            </w:r>
            <w:r>
              <w:t xml:space="preserve"> Komitea kehottaa myöntämään pakolaisille terveydenhuollossa ja työmarkkinoille pääsyssä samat oikeudet kuin on EU:n kansalaisilla (tutkintojen tunnustaminen, työvoimatoimistojen palvelujen saanti, kielikurssit sekä terveydenhuolto- ja koulutusjärjestelmät). Ne ovat molemmat keskeisiä edellytyksiä sille, ettei pakolaisten köyhyys lisäänny. Työmarkkinaosapuolet voivat työehtosopimusneuvottelujen ja tilapäisten toimenpiteiden keinoin auttaa työntekijöiden integroimisessa ja estää heitä joutumasta hyväksikäytön ja sosiaalisen polkumyynnin kohteiksi. Komitea painottaa erityisesti kansalaisyhteiskunnan organisaatioiden merkitystä seuraavien usein unohdettujen, haavoittuvassa asemassa olevien ryhmien suojelussa ja uudelleenkotouttamisessa: ilman huoltajaa olevat alaikäiset, huoltajastaan eroon joutuneet lapset ja hoitolaitoksista tulevat lapset, vammaiset henkilöt, romanivähemmistöt ja seksuaalisen väkivallan uhrit. </w:t>
            </w:r>
          </w:p>
          <w:p w:rsidRPr="003201C6" w:rsidR="00927005" w:rsidP="00C00531" w:rsidRDefault="00927005">
            <w:pPr>
              <w:rPr>
                <w:lang w:val="en-GB"/>
              </w:rPr>
            </w:pPr>
          </w:p>
          <w:p w:rsidRPr="00E11A78" w:rsidR="00927005" w:rsidP="00927005" w:rsidRDefault="00927005">
            <w:pPr>
              <w:pStyle w:val="ListParagraph"/>
              <w:numPr>
                <w:ilvl w:val="0"/>
                <w:numId w:val="3"/>
              </w:numPr>
            </w:pPr>
            <w:r>
              <w:rPr>
                <w:b/>
              </w:rPr>
              <w:t>Jälleenrakentaminen.</w:t>
            </w:r>
            <w:r>
              <w:t xml:space="preserve"> Välitön eurooppalainen ja kansainvälinen rahoitusapu on tarpeen Ukrainan talouden täydellisen tuhoutumisen ehkäisemiseksi. Taloudellista tukea on annettava pk-yrityksille, ukrainalaisviljelijöille seuraavaa satokautta varten ja Ukrainan kansalaisyhteiskunnalle, työnantajajärjestöt ja ammattiliitot mukaan luettuina, jotta nämä voivat pysyä täysin toimintakykyisinä sota-aikana. Jälleenrakennustoimien on oltava innovointilähtöisiä. Kansalaisyhteiskunnan organisaatiot on otettava niihin tiiviisti mukaan, jotta oikeusvaltiouudistukset, korruption torjunta sekä vihreä ja digitaalinen siirtymä voivat varmasti onnistua.</w:t>
            </w:r>
          </w:p>
          <w:p w:rsidRPr="003201C6" w:rsidR="00927005" w:rsidP="00C00531" w:rsidRDefault="00927005">
            <w:pPr>
              <w:rPr>
                <w:lang w:val="en-GB"/>
              </w:rPr>
            </w:pPr>
          </w:p>
          <w:p w:rsidRPr="00E11A78" w:rsidR="00927005" w:rsidP="00927005" w:rsidRDefault="00927005">
            <w:pPr>
              <w:pStyle w:val="ListParagraph"/>
              <w:numPr>
                <w:ilvl w:val="0"/>
                <w:numId w:val="3"/>
              </w:numPr>
            </w:pPr>
            <w:r>
              <w:rPr>
                <w:b/>
              </w:rPr>
              <w:t>Talouskriisi.</w:t>
            </w:r>
            <w:r>
              <w:t xml:space="preserve"> Sota ei saisi heikentää vihreään siirtymään liittyvien toimintapolitiikkojen toteuttamista EU:ssa. Elintarvikkeiden hintakriisin lievittämiseksi komitea kehottaa jäsenvaltioita ja EU:n toimielimiä ryhtymään tarvittaviin toimiin liiallisen hyödykkeillä keinottelun hillitsemiseksi ja markkinoiden avoimuuden lisäämiseksi sekä poistamaan tilapäisesti kaikki esteet maataloustuotteiden tuonnilta. Lisäksi komitea varoittaa, että </w:t>
            </w:r>
            <w:proofErr w:type="spellStart"/>
            <w:r>
              <w:t>NextGenerationEU</w:t>
            </w:r>
            <w:proofErr w:type="spellEnd"/>
            <w:r>
              <w:t xml:space="preserve">-rahasto </w:t>
            </w:r>
            <w:proofErr w:type="spellStart"/>
            <w:r>
              <w:t>elpymis</w:t>
            </w:r>
            <w:proofErr w:type="spellEnd"/>
            <w:r>
              <w:t>- ja palautumistukivälineineen ja nykyisen monivuotisen rahoituskehyksen 2021–2027 tarjoama jousto eivät riitä kattamaan kaikkia Ukrainan sodan aiheuttamia rahoitustarpeita.</w:t>
            </w:r>
          </w:p>
          <w:p w:rsidRPr="003201C6" w:rsidR="00927005" w:rsidP="00C00531" w:rsidRDefault="00927005">
            <w:pPr>
              <w:rPr>
                <w:lang w:val="en-GB"/>
              </w:rPr>
            </w:pPr>
          </w:p>
          <w:p w:rsidRPr="00E11A78" w:rsidR="00927005" w:rsidP="00927005" w:rsidRDefault="00927005">
            <w:pPr>
              <w:pStyle w:val="ListParagraph"/>
              <w:numPr>
                <w:ilvl w:val="0"/>
                <w:numId w:val="3"/>
              </w:numPr>
            </w:pPr>
            <w:r>
              <w:rPr>
                <w:b/>
              </w:rPr>
              <w:lastRenderedPageBreak/>
              <w:t>Kansalaisyhteiskunnan rooli.</w:t>
            </w:r>
            <w:r>
              <w:t xml:space="preserve"> Komitean pitkä historia ja yhteydet Ukrainan kansalaisyhteiskunnan organisaatioihin ovat tärkeässä asemassa pyrittäessä pitämään kanavat avoimina ja mahdollistamaan osallistuminen EU-yhdentymisprosessiin. Komitea kehottaa jäsenvaltioita lisäämään tuntuvasti ukrainalaisille kansalaisyhteiskunnan organisaatioille annettavaa valmiuksien kehittämiseen tarkoitettua, organisatorista ja taloudellista tukea. Se kannustaa EU:n ja Ukrainan nuorisojärjestöjä kumppanuusyhteistyöhön ja ehdottaa tapahtumaa, jossa keskityttäisiin nuorisotoimintaan ja sen rooliin Ukrainan tulevassa jälleenrakentamisessa. Komitea itse sitoutuu tiivistämään yhteistyötä ja vaihtoa Ukrainan kansalaisyhteiskunnan organisaatioiden kanssa sekä jatkamaan työtään EU:n Ukrainalle osoittaman solidaarisuuden ja anteliaisuuden jatkamisen puolesta. Tätä varten se järjestää Krakovassa 19. heinäkuuta tapahtuman Ukrainan ja EU:n kansalaisyhteiskunnan kanssa.</w:t>
            </w:r>
          </w:p>
          <w:p w:rsidRPr="003201C6" w:rsidR="00927005" w:rsidP="00C00531" w:rsidRDefault="00927005">
            <w:pPr>
              <w:rPr>
                <w:lang w:val="en-GB"/>
              </w:rPr>
            </w:pPr>
          </w:p>
          <w:p w:rsidRPr="003201C6" w:rsidR="00927005" w:rsidP="00C00531" w:rsidRDefault="00927005">
            <w:pPr>
              <w:ind w:left="316"/>
            </w:pPr>
            <w:r>
              <w:t>Samalla komitea kuitenkin korostaa, ettei Venäjän jäljelle oleville riippumattomille kansalaisyhteiskunnan organisaatioille saa kääntää selkää.</w:t>
            </w:r>
          </w:p>
        </w:tc>
      </w:tr>
    </w:tbl>
    <w:p w:rsidR="00927005" w:rsidP="00927005" w:rsidRDefault="00927005">
      <w:pPr>
        <w:rPr>
          <w:lang w:val="en-GB"/>
        </w:rPr>
      </w:pPr>
    </w:p>
    <w:p w:rsidRPr="003201C6" w:rsidR="007D7D64" w:rsidP="00927005" w:rsidRDefault="007D7D64">
      <w:pPr>
        <w:rPr>
          <w:lang w:val="en-GB"/>
        </w:rPr>
      </w:pPr>
    </w:p>
    <w:p w:rsidRPr="003201C6" w:rsidR="00927005" w:rsidP="00927005" w:rsidRDefault="00927005">
      <w:r>
        <w:t>Euroopan talous- ja sosiaalikomitea (ETSK)</w:t>
      </w:r>
    </w:p>
    <w:p w:rsidRPr="003201C6" w:rsidR="00927005" w:rsidP="00927005" w:rsidRDefault="00927005">
      <w:pPr>
        <w:rPr>
          <w:lang w:val="en-GB"/>
        </w:rPr>
      </w:pPr>
    </w:p>
    <w:p w:rsidRPr="003201C6" w:rsidR="00927005" w:rsidP="00927005" w:rsidRDefault="00927005">
      <w:pPr>
        <w:pStyle w:val="Heading1"/>
        <w:overflowPunct w:val="0"/>
        <w:autoSpaceDE w:val="0"/>
        <w:autoSpaceDN w:val="0"/>
        <w:adjustRightInd w:val="0"/>
        <w:textAlignment w:val="baseline"/>
      </w:pPr>
      <w:r>
        <w:t>seisoo solidaarisena Ukrainan kansan rinnalla, toistaa tuomitsevansa jyrkästi Venäjän federaation presidentin Vladimir Putinin johdolla käynnistämän perusteettoman ja provosoimattoman hyökkäyksen Ukrainaan ja kehottaa kiinnittämään huomiota 24. maaliskuuta 2022 annettuun aiempaan päätöslauselmaansa ”Ukrainan sota ja sen taloudelliset, sosiaaliset ja ympäristövaikutukset”</w:t>
      </w:r>
      <w:r w:rsidRPr="003201C6">
        <w:rPr>
          <w:rStyle w:val="FootnoteReference"/>
          <w:lang w:val="en-GB"/>
        </w:rPr>
        <w:footnoteReference w:id="1"/>
      </w:r>
      <w:r>
        <w:t>.</w:t>
      </w:r>
    </w:p>
    <w:p w:rsidRPr="003201C6" w:rsidR="00927005" w:rsidP="00927005" w:rsidRDefault="00927005">
      <w:pPr>
        <w:rPr>
          <w:lang w:val="en-GB"/>
        </w:rPr>
      </w:pPr>
    </w:p>
    <w:p w:rsidRPr="003201C6" w:rsidR="00927005" w:rsidP="00927005" w:rsidRDefault="00927005">
      <w:pPr>
        <w:pStyle w:val="Heading1"/>
        <w:overflowPunct w:val="0"/>
        <w:autoSpaceDE w:val="0"/>
        <w:autoSpaceDN w:val="0"/>
        <w:adjustRightInd w:val="0"/>
        <w:textAlignment w:val="baseline"/>
      </w:pPr>
      <w:r>
        <w:t xml:space="preserve">korostaa, että tämä jo pian neljä kuukautta jatkunut traaginen sota Euroopan maaperällä on kylvänyt kuolemaa, myös siviiliväestön keskuudessa, ja aiheuttanut massiivista tuhoa ja kärsimystä. Se lisännyt köyhyyttä maailmassa, saanut aikaan mittaamattomia sosiaalisia, taloudellisia ja ympäristövahinkoja ja ajanut liikkeelle ennennäkemättömän määrän pakolaisia ja kotimaansa sisällä siirtymään joutuneita. Komitea vaatii kunnioittamaan kansainvälistä humanitaarista oikeutta sekä kirjaamaan ja tutkimaan asianmukaisesti Ukrainan kaupungeissa ja kylissä tapahtuneet sotarikokset ja asettamaan hyökkääjät syytteeseen niistä. </w:t>
      </w:r>
    </w:p>
    <w:p w:rsidRPr="003201C6" w:rsidR="00927005" w:rsidP="00927005" w:rsidRDefault="00927005">
      <w:pPr>
        <w:rPr>
          <w:lang w:val="en-GB"/>
        </w:rPr>
      </w:pPr>
    </w:p>
    <w:p w:rsidRPr="003201C6" w:rsidR="00927005" w:rsidP="00927005" w:rsidRDefault="00927005">
      <w:pPr>
        <w:pStyle w:val="Heading1"/>
        <w:overflowPunct w:val="0"/>
        <w:autoSpaceDE w:val="0"/>
        <w:autoSpaceDN w:val="0"/>
        <w:adjustRightInd w:val="0"/>
        <w:textAlignment w:val="baseline"/>
      </w:pPr>
      <w:r>
        <w:t xml:space="preserve">kehottaa kaikkia osapuolia julistamaan välittömän tulitauon, muistuttaa diplomatian ehdottomasta ensisijaisuudesta ja korostaa, että pyrkimys rauhanturvaamiseen ja neuvotteluihin olisi asetettava etusijalle kaikilla poliittisen keskustelun tasoilla, ja vaatii samalla venäläisiä joukkoja vetäytymään Ukrainasta kokonaan. Komitea kehottaa Euroopan unionia (EU) antamaan Ukrainalle ja sen kansalle jatkossakin apua, kuten on tehty sodan ensimmäisestä päivästä lähtien, ja peräänkuuluttaa Venäjän sotilaallisen hyökkäyksen johdosta asetettujen pakotteiden taloudellisten, sosiaalisten ja ympäristöön kohdistuvien vaikutusten tarkkaa seuraamista. </w:t>
      </w:r>
    </w:p>
    <w:p w:rsidRPr="003201C6" w:rsidR="00927005" w:rsidP="00927005" w:rsidRDefault="00927005">
      <w:pPr>
        <w:pStyle w:val="Heading1"/>
        <w:numPr>
          <w:ilvl w:val="0"/>
          <w:numId w:val="0"/>
        </w:numPr>
        <w:rPr>
          <w:lang w:val="en-GB"/>
        </w:rPr>
      </w:pPr>
    </w:p>
    <w:p w:rsidRPr="003201C6" w:rsidR="00927005" w:rsidP="00927005" w:rsidRDefault="00927005">
      <w:pPr>
        <w:pStyle w:val="Heading1"/>
        <w:overflowPunct w:val="0"/>
        <w:autoSpaceDE w:val="0"/>
        <w:autoSpaceDN w:val="0"/>
        <w:adjustRightInd w:val="0"/>
        <w:textAlignment w:val="baseline"/>
      </w:pPr>
      <w:r>
        <w:t xml:space="preserve">toteaa, että sota EU:n itärajalla on ristiriidassa unionin historian, filosofian ja identiteetin kanssa, ja painottaa sodan seurausten olevan uhka EU:n arvoille, sen kansalaisten ja muiden asukkaiden vapaudelle ja oikeuksille sekä eurooppalaiselle sosiaalisen markkinatalouden </w:t>
      </w:r>
      <w:r>
        <w:lastRenderedPageBreak/>
        <w:t xml:space="preserve">mallille. Komitea korostaa, että rauha ja vauraus ovat EU:n peruspilareita ja että kansalaisyhteiskunnan organisaatioilla on ollut viime vuosikymmenten aikana keskeinen ja aktiivinen rooli rauhan kulttuurin edistämisessä, rakentamisessa ja ylläpitämisessä Euroopan mantereella. </w:t>
      </w:r>
    </w:p>
    <w:p w:rsidRPr="003201C6" w:rsidR="00927005" w:rsidP="00927005" w:rsidRDefault="00927005">
      <w:pPr>
        <w:pStyle w:val="Heading1"/>
        <w:numPr>
          <w:ilvl w:val="0"/>
          <w:numId w:val="0"/>
        </w:numPr>
        <w:ind w:left="567"/>
        <w:rPr>
          <w:lang w:val="en-GB"/>
        </w:rPr>
      </w:pPr>
    </w:p>
    <w:p w:rsidRPr="003201C6" w:rsidR="00927005" w:rsidP="00927005" w:rsidRDefault="00927005">
      <w:pPr>
        <w:pStyle w:val="Heading1"/>
        <w:overflowPunct w:val="0"/>
        <w:autoSpaceDE w:val="0"/>
        <w:autoSpaceDN w:val="0"/>
        <w:adjustRightInd w:val="0"/>
        <w:textAlignment w:val="baseline"/>
      </w:pPr>
      <w:r>
        <w:t>korostaa, että Venäjän federaatio ja sen nykyiset edustajat on suljettava kansainvälisten elinten ja järjestöjen ulkopuolelle aloittaen sellaisista organisaatioista, joiden tarkoituksena on ylläpitää rauhaa, suojella ihmisoikeuksia ja turvata kestävä kehitys ja turvallinen ympäristö.</w:t>
      </w:r>
    </w:p>
    <w:p w:rsidRPr="003201C6" w:rsidR="00927005" w:rsidP="00927005" w:rsidRDefault="00927005">
      <w:pPr>
        <w:pStyle w:val="Heading1"/>
        <w:numPr>
          <w:ilvl w:val="0"/>
          <w:numId w:val="0"/>
        </w:numPr>
        <w:rPr>
          <w:lang w:val="en-GB"/>
        </w:rPr>
      </w:pPr>
    </w:p>
    <w:p w:rsidRPr="003201C6" w:rsidR="00927005" w:rsidP="00927005" w:rsidRDefault="00927005">
      <w:pPr>
        <w:keepNext/>
        <w:keepLines/>
      </w:pPr>
      <w:r>
        <w:rPr>
          <w:b/>
          <w:i/>
        </w:rPr>
        <w:t>Humanitaarinen tilanne</w:t>
      </w:r>
    </w:p>
    <w:p w:rsidRPr="003201C6" w:rsidR="00927005" w:rsidP="00927005" w:rsidRDefault="00927005">
      <w:pPr>
        <w:keepNext/>
        <w:keepLines/>
        <w:rPr>
          <w:lang w:val="en-GB"/>
        </w:rPr>
      </w:pPr>
    </w:p>
    <w:p w:rsidRPr="003201C6" w:rsidR="00927005" w:rsidP="00927005" w:rsidRDefault="00927005">
      <w:pPr>
        <w:pStyle w:val="Heading1"/>
        <w:keepNext/>
        <w:keepLines/>
        <w:overflowPunct w:val="0"/>
        <w:autoSpaceDE w:val="0"/>
        <w:autoSpaceDN w:val="0"/>
        <w:adjustRightInd w:val="0"/>
        <w:textAlignment w:val="baseline"/>
      </w:pPr>
      <w:r>
        <w:t>toteaa, että yli 6,8 miljoonaa ihmistä</w:t>
      </w:r>
      <w:r w:rsidRPr="003201C6">
        <w:rPr>
          <w:rStyle w:val="FootnoteReference"/>
          <w:lang w:val="en-GB"/>
        </w:rPr>
        <w:footnoteReference w:id="2"/>
      </w:r>
      <w:r>
        <w:t xml:space="preserve"> on paennut Ukrainasta sen jälkeen, kun Venäjä aloitti sodan. Kyse onkin nopeimmin kasvavasta pakolaiskriisistä toisen maailmansodan jälkeen. Lisäksi 8 miljoonaa ihmistä on joutunut siirtymään Ukrainan sisällä.</w:t>
      </w:r>
      <w:r w:rsidRPr="003201C6">
        <w:rPr>
          <w:rStyle w:val="FootnoteReference"/>
          <w:lang w:val="en-GB"/>
        </w:rPr>
        <w:footnoteReference w:id="3"/>
      </w:r>
      <w:r>
        <w:t xml:space="preserve"> Noin kolmannes Ukrainan väestöstä on siten joutunut pakenemaan kodeistaan.</w:t>
      </w:r>
    </w:p>
    <w:p w:rsidRPr="003201C6" w:rsidR="00927005" w:rsidP="00927005" w:rsidRDefault="00927005">
      <w:pPr>
        <w:keepNext/>
        <w:keepLines/>
        <w:rPr>
          <w:lang w:val="en-GB"/>
        </w:rPr>
      </w:pPr>
    </w:p>
    <w:p w:rsidRPr="003201C6" w:rsidR="00927005" w:rsidP="00927005" w:rsidRDefault="00927005">
      <w:pPr>
        <w:pStyle w:val="Heading1"/>
        <w:keepNext/>
        <w:keepLines/>
        <w:overflowPunct w:val="0"/>
        <w:autoSpaceDE w:val="0"/>
        <w:autoSpaceDN w:val="0"/>
        <w:adjustRightInd w:val="0"/>
        <w:textAlignment w:val="baseline"/>
      </w:pPr>
      <w:r>
        <w:t>toteaa, että ukrainalaispakolaisten tulolla on ollut valtavia vaikutuksia Euroopan eri maihin eli Puolaan, Romaniaan, Unkariin, Tšekkiin, Slovakiaan ja Moldovaan</w:t>
      </w:r>
      <w:r w:rsidRPr="003201C6">
        <w:rPr>
          <w:rStyle w:val="FootnoteReference"/>
          <w:lang w:val="en-GB"/>
        </w:rPr>
        <w:footnoteReference w:id="4"/>
      </w:r>
      <w:r>
        <w:t xml:space="preserve"> ja että nämä maat ja erityisesti niiden kansalaisyhteiskunnan organisaatiot ovat reagoineet tilanteeseen nopeasti ja tehokkaasti ja saaneet käynnistettyä ennennäkemättömän vapaaehtoiskansalaistoiminnan ruohonjuuritasolla.</w:t>
      </w:r>
    </w:p>
    <w:p w:rsidRPr="003201C6" w:rsidR="00927005" w:rsidP="00927005" w:rsidRDefault="00927005">
      <w:pPr>
        <w:rPr>
          <w:lang w:val="en-GB"/>
        </w:rPr>
      </w:pPr>
    </w:p>
    <w:p w:rsidRPr="003201C6" w:rsidR="00927005" w:rsidP="00927005" w:rsidRDefault="00927005">
      <w:pPr>
        <w:pStyle w:val="Heading1"/>
        <w:overflowPunct w:val="0"/>
        <w:autoSpaceDE w:val="0"/>
        <w:autoSpaceDN w:val="0"/>
        <w:adjustRightInd w:val="0"/>
        <w:textAlignment w:val="baseline"/>
      </w:pPr>
      <w:r>
        <w:t xml:space="preserve">korostaa, että humanitaariseen apuun tarkoitettuja EU-varoja on lisättävä ja ne on jaettava erityisesti alue- ja paikallistasolle siten, että tuetaan ja </w:t>
      </w:r>
      <w:proofErr w:type="spellStart"/>
      <w:r>
        <w:t>osallistetaan</w:t>
      </w:r>
      <w:proofErr w:type="spellEnd"/>
      <w:r>
        <w:t xml:space="preserve"> suoraan kansalaisyhteiskunnan organisaatioita, jotka toimivat pakolaisten sosioekonomisen kotouttamisen alalla.</w:t>
      </w:r>
    </w:p>
    <w:p w:rsidRPr="003201C6" w:rsidR="00927005" w:rsidP="00927005" w:rsidRDefault="00927005">
      <w:pPr>
        <w:rPr>
          <w:lang w:val="en-GB"/>
        </w:rPr>
      </w:pPr>
    </w:p>
    <w:p w:rsidRPr="003201C6" w:rsidR="00927005" w:rsidP="00927005" w:rsidRDefault="00927005">
      <w:pPr>
        <w:pStyle w:val="Heading1"/>
        <w:overflowPunct w:val="0"/>
        <w:autoSpaceDE w:val="0"/>
        <w:autoSpaceDN w:val="0"/>
        <w:adjustRightInd w:val="0"/>
        <w:textAlignment w:val="baseline"/>
      </w:pPr>
      <w:r>
        <w:t>kehottaa jäsenvaltioita, unionin alueita ja kansalaisyhteiskunnan organisaatioita hyödyntämään mahdollisimman tehokkaasti ja nopeasti mahdollisuuksia tukea Ukrainasta tulevia pakolaisia keinoin, jotka luodaan Euroopan komission 8. maaliskuuta 2022 ehdottamalla Euroopan parlamentin ja neuvoston asetuksella koheesiopolitiikan tukitoimista Euroopan pakolaisten auttamiseksi (CARE) ottaen huomioon myös komission 23. maaliskuuta 2022 tekemän ehdotuksen REACT-EU-asetuksen muuttamisesta. Komitea korostaa, että tuki olisi annettava ensisijaisesti kansalaisyhteiskunnan organisaatioiden ja myös erikoistuneiden kansalaisjärjestöjen jaettavaksi ja että kansalaisyhteiskunnan organisaatiot olisi lisäksi otettava suoraan mukaan EU- ja jäsenvaltiotason humanitaarisen avun järjestämiseen ja seurantaan.</w:t>
      </w:r>
    </w:p>
    <w:p w:rsidRPr="003201C6" w:rsidR="00927005" w:rsidP="00927005" w:rsidRDefault="00927005">
      <w:pPr>
        <w:rPr>
          <w:lang w:val="en-GB"/>
        </w:rPr>
      </w:pPr>
    </w:p>
    <w:p w:rsidRPr="003201C6" w:rsidR="00927005" w:rsidP="00927005" w:rsidRDefault="00927005">
      <w:pPr>
        <w:pStyle w:val="Heading1"/>
        <w:overflowPunct w:val="0"/>
        <w:autoSpaceDE w:val="0"/>
        <w:autoSpaceDN w:val="0"/>
        <w:adjustRightInd w:val="0"/>
        <w:textAlignment w:val="baseline"/>
      </w:pPr>
      <w:r>
        <w:t xml:space="preserve">kehottaa kohdentamaan vuosien 2014–2020 monivuotisessa rahoituskehyksessä ja REACT-EU-välineessä aikaansaadut säästöt oikeusvaltioperiaatetta noudattaen uudelleen ja ohjaamaan ne nopeasti ja joustavasti pakolaisten tukemiseen ja kannustaa perustamaan erityisen rahaston tätä tarkoitusta varten, jos tällä hetkellä käytettävissä olevat varat eivät riitä pakolaisten </w:t>
      </w:r>
      <w:r>
        <w:lastRenderedPageBreak/>
        <w:t>vastaanottamiseen ja yhteiskuntaan ja työmarkkinoille integroimiseen, hoitopalvelut, asuminen, ruoka, aineellinen apu, koulutusohjelmat ja julkiset työvoimapalvelut mukaan luettuina.</w:t>
      </w:r>
    </w:p>
    <w:p w:rsidRPr="003201C6" w:rsidR="00927005" w:rsidP="00927005" w:rsidRDefault="00927005">
      <w:pPr>
        <w:pStyle w:val="Heading1"/>
        <w:numPr>
          <w:ilvl w:val="0"/>
          <w:numId w:val="0"/>
        </w:numPr>
        <w:ind w:left="567"/>
        <w:rPr>
          <w:lang w:val="en-GB"/>
        </w:rPr>
      </w:pPr>
    </w:p>
    <w:p w:rsidRPr="003201C6" w:rsidR="00927005" w:rsidP="00927005" w:rsidRDefault="00927005">
      <w:pPr>
        <w:pStyle w:val="Heading1"/>
        <w:overflowPunct w:val="0"/>
        <w:autoSpaceDE w:val="0"/>
        <w:autoSpaceDN w:val="0"/>
        <w:adjustRightInd w:val="0"/>
        <w:textAlignment w:val="baseline"/>
      </w:pPr>
      <w:r>
        <w:t xml:space="preserve">tuo esiin sen, että EU:n kansalaiset ovat unionin covid-19-kriisin johdosta toteuttamien toimien yhteydessä kokeneet EU:n suojelleen heitä ja tarjonneen uusia tulevaisuudennäkymiä erityisesti SURE-ohjelman ja </w:t>
      </w:r>
      <w:proofErr w:type="spellStart"/>
      <w:r>
        <w:t>NextGenerationEU</w:t>
      </w:r>
      <w:proofErr w:type="spellEnd"/>
      <w:r>
        <w:t xml:space="preserve">-elpymisvälineen perustamisen avulla. Komitea korostaa, että </w:t>
      </w:r>
      <w:proofErr w:type="spellStart"/>
      <w:r>
        <w:t>NextGenerationEU</w:t>
      </w:r>
      <w:proofErr w:type="spellEnd"/>
      <w:r>
        <w:t xml:space="preserve">-rahasto </w:t>
      </w:r>
      <w:proofErr w:type="spellStart"/>
      <w:r>
        <w:t>elpymis</w:t>
      </w:r>
      <w:proofErr w:type="spellEnd"/>
      <w:r>
        <w:t>- ja palautumistukivälineineen ja nykyisen monivuotisen rahoituskehyksen 2021–2027 tarjoama jousto eivät riitä kattamaan kaikkia Ukrainan sodan aiheuttamia rahoitustarpeita, ja toteaa, ettei näitä välineitä ole suunniteltu niin laajoiksi, että niillä voitaisiin vastata Venäjän hyökkäyksen aiheuttamiin uusiin haasteisiin ja samalla jatkaa investointeja EU:n ohjelmiin ja toimintapolitiikkoihin, oikeudenmukaisen, vihreän ja digitaalisen siirtymän kaltaiset tärkeät painopisteet mukaan luettuina.</w:t>
      </w:r>
    </w:p>
    <w:p w:rsidRPr="003201C6" w:rsidR="00927005" w:rsidP="00927005" w:rsidRDefault="00927005">
      <w:pPr>
        <w:rPr>
          <w:lang w:val="en-GB"/>
        </w:rPr>
      </w:pPr>
    </w:p>
    <w:p w:rsidRPr="003201C6" w:rsidR="00927005" w:rsidP="00927005" w:rsidRDefault="00927005">
      <w:pPr>
        <w:pStyle w:val="Heading1"/>
        <w:overflowPunct w:val="0"/>
        <w:autoSpaceDE w:val="0"/>
        <w:autoSpaceDN w:val="0"/>
        <w:adjustRightInd w:val="0"/>
        <w:textAlignment w:val="baseline"/>
      </w:pPr>
      <w:r>
        <w:t xml:space="preserve">painottaa, että kaikki humanitaariseen ja lääkinnälliseen apuun osallistuvat sidosryhmät olisi kiireellisesti kartoitettava ja niiden toimintaa koordinoitava nykyistä paremmin, jotta apu varmasti tavoittaisi kaikki sodan uhrit nopeasti ja tehokkaasti. </w:t>
      </w:r>
    </w:p>
    <w:p w:rsidRPr="003201C6" w:rsidR="00927005" w:rsidP="00927005" w:rsidRDefault="00927005">
      <w:pPr>
        <w:rPr>
          <w:lang w:val="en-GB"/>
        </w:rPr>
      </w:pPr>
    </w:p>
    <w:p w:rsidRPr="003201C6" w:rsidR="00927005" w:rsidP="00927005" w:rsidRDefault="00927005">
      <w:pPr>
        <w:pStyle w:val="Heading1"/>
        <w:overflowPunct w:val="0"/>
        <w:autoSpaceDE w:val="0"/>
        <w:autoSpaceDN w:val="0"/>
        <w:adjustRightInd w:val="0"/>
        <w:textAlignment w:val="baseline"/>
      </w:pPr>
      <w:r>
        <w:t>korostaa, että monilla aloilla, kuten ihmisoikeuksien kunnioittamisessa ja sotarikosten dokumentoinnissa, on toteutettava seurantatoimia, ja on tyytyväinen siihen, että Euroopan unioni, Yhdysvallat ja Yhdistynyt kuningaskunta ovat perustaneet hirmutekoja käsittelevän neuvoa-antavan ryhmän (</w:t>
      </w:r>
      <w:proofErr w:type="spellStart"/>
      <w:r>
        <w:rPr>
          <w:i/>
        </w:rPr>
        <w:t>Atrocity</w:t>
      </w:r>
      <w:proofErr w:type="spellEnd"/>
      <w:r>
        <w:rPr>
          <w:i/>
        </w:rPr>
        <w:t xml:space="preserve"> </w:t>
      </w:r>
      <w:proofErr w:type="spellStart"/>
      <w:r>
        <w:rPr>
          <w:i/>
        </w:rPr>
        <w:t>Crimes</w:t>
      </w:r>
      <w:proofErr w:type="spellEnd"/>
      <w:r>
        <w:rPr>
          <w:i/>
        </w:rPr>
        <w:t xml:space="preserve"> </w:t>
      </w:r>
      <w:proofErr w:type="spellStart"/>
      <w:r>
        <w:rPr>
          <w:i/>
        </w:rPr>
        <w:t>Advisory</w:t>
      </w:r>
      <w:proofErr w:type="spellEnd"/>
      <w:r>
        <w:rPr>
          <w:i/>
        </w:rPr>
        <w:t xml:space="preserve"> Group</w:t>
      </w:r>
      <w:r>
        <w:t>, ACA).</w:t>
      </w:r>
    </w:p>
    <w:p w:rsidRPr="003201C6" w:rsidR="00927005" w:rsidP="00927005" w:rsidRDefault="00927005">
      <w:pPr>
        <w:pStyle w:val="Heading1"/>
        <w:numPr>
          <w:ilvl w:val="0"/>
          <w:numId w:val="0"/>
        </w:numPr>
        <w:rPr>
          <w:lang w:val="en-GB"/>
        </w:rPr>
      </w:pPr>
    </w:p>
    <w:p w:rsidRPr="003201C6" w:rsidR="00927005" w:rsidP="00927005" w:rsidRDefault="00927005">
      <w:pPr>
        <w:pStyle w:val="Heading1"/>
        <w:overflowPunct w:val="0"/>
        <w:autoSpaceDE w:val="0"/>
        <w:autoSpaceDN w:val="0"/>
        <w:adjustRightInd w:val="0"/>
        <w:textAlignment w:val="baseline"/>
      </w:pPr>
      <w:r>
        <w:t xml:space="preserve">korostaa, että Ukrainasta tulleille pakolaisille olisi tarjottava julkisen terveydenhuoltojärjestelmän palveluja samoin edellytyksin kuin EU:n kansalaisille. Lisäksi raiskauksen uhreille tulisi olla tarjolla </w:t>
      </w:r>
      <w:proofErr w:type="spellStart"/>
      <w:r>
        <w:t>seksuaali</w:t>
      </w:r>
      <w:proofErr w:type="spellEnd"/>
      <w:r>
        <w:t xml:space="preserve">- ja lisääntymisterveyteen liittyvää perusapua, jälkiehkäisy- ja aborttihoitoa sekä synnytyshoitoa. </w:t>
      </w:r>
    </w:p>
    <w:p w:rsidRPr="003201C6" w:rsidR="00927005" w:rsidP="00927005" w:rsidRDefault="00927005">
      <w:pPr>
        <w:rPr>
          <w:lang w:val="en-GB"/>
        </w:rPr>
      </w:pPr>
    </w:p>
    <w:p w:rsidRPr="003201C6" w:rsidR="00927005" w:rsidP="00927005" w:rsidRDefault="00927005">
      <w:pPr>
        <w:pStyle w:val="Heading1"/>
        <w:overflowPunct w:val="0"/>
        <w:autoSpaceDE w:val="0"/>
        <w:autoSpaceDN w:val="0"/>
        <w:adjustRightInd w:val="0"/>
        <w:textAlignment w:val="baseline"/>
      </w:pPr>
      <w:r>
        <w:t>kehottaa komissiota ja jäsenvaltioita kiinnittämään erityistä huomiota Ukrainasta saapuvien ilman huoltajaa olevien alaikäisten, huoltajastaan eroon joutuneiden lasten ja hoitolaitoksista tulevien lasten tilanteeseen sen varmistamiseksi, että heidän välittömät tarpeensa täytetään, heidät tunnistetaan ja heitä seurataan asianmukaisesti ja että tietoja jaetaan jäsenvaltioiden kesken, jotta heidät voidaan saattaa yhteen perheidensä kanssa tai myöhemmin integroida uudelleen Ukrainan yhteiskuntaan, samalla kun taataan heidän suojelunsa hyväksikäytöltä ja ihmiskaupalta.</w:t>
      </w:r>
    </w:p>
    <w:p w:rsidRPr="003201C6" w:rsidR="00927005" w:rsidP="00927005" w:rsidRDefault="00927005">
      <w:pPr>
        <w:rPr>
          <w:lang w:val="en-GB"/>
        </w:rPr>
      </w:pPr>
    </w:p>
    <w:p w:rsidRPr="003201C6" w:rsidR="00927005" w:rsidP="00927005" w:rsidRDefault="00927005">
      <w:pPr>
        <w:pStyle w:val="Heading1"/>
        <w:overflowPunct w:val="0"/>
        <w:autoSpaceDE w:val="0"/>
        <w:autoSpaceDN w:val="0"/>
        <w:adjustRightInd w:val="0"/>
        <w:textAlignment w:val="baseline"/>
      </w:pPr>
      <w:r>
        <w:t>kiinnittää huomion niiden vammaisten henkilöiden järkyttävään tilanteeseen, jotka yrittävät lähteä Ukrainan sota-alueilta tai jotka kohtaavat pakolaisina huomattavia haasteita vastaanottavissa maissa. Komitea vaatii, että kaikkia pakolaisia on kohdeltava yhdenvertaisesti riippumatta heidän etnisestä taustastaan, kansalaisuudestaan tai vammaisuudestaan. Vammaisten pakolaisten tulee saada vastaanottavissa maissa kaikki mahdollinen apu, jotta he pääsevät itsenäisen elämän alkuun, eikä heitä pidä pakottaa laitoksiin.</w:t>
      </w:r>
    </w:p>
    <w:p w:rsidRPr="003201C6" w:rsidR="00927005" w:rsidP="00927005" w:rsidRDefault="00927005">
      <w:pPr>
        <w:pStyle w:val="Heading1"/>
        <w:numPr>
          <w:ilvl w:val="0"/>
          <w:numId w:val="0"/>
        </w:numPr>
        <w:rPr>
          <w:szCs w:val="24"/>
          <w:lang w:val="en-GB"/>
        </w:rPr>
      </w:pPr>
    </w:p>
    <w:p w:rsidRPr="003201C6" w:rsidR="00927005" w:rsidP="00927005" w:rsidRDefault="00927005">
      <w:pPr>
        <w:pStyle w:val="Heading1"/>
        <w:overflowPunct w:val="0"/>
        <w:autoSpaceDE w:val="0"/>
        <w:autoSpaceDN w:val="0"/>
        <w:adjustRightInd w:val="0"/>
        <w:textAlignment w:val="baseline"/>
      </w:pPr>
      <w:r>
        <w:t xml:space="preserve">korostaa, että työmarkkinoille osallistumisella on ratkaiseva merkitys kotoutumisessa sekä köyhyyden vähentämisessä. Komitea pitää riskinä, että Ukrainasta tulleet pakolaiset saavat heikoimman suojan, alhaisimman palkan ja pätevyystasonsa alittavia työtehtäviä ja että he ovat haavoittuvimmassa asemassa työmarkkinoilla eikä heillä ole sosiaaliturvaa, yhdistymisvapautta </w:t>
      </w:r>
      <w:r>
        <w:lastRenderedPageBreak/>
        <w:t xml:space="preserve">eikä työntekijöiden oikeuksia. Komitea tähdentääkin tarvetta puuttua asianmukaisesti epätasa-arvoisia työoloja ja </w:t>
      </w:r>
      <w:r>
        <w:noBreakHyphen/>
        <w:t>ehtoja koskeviin tapauksiin ja varmistaa, että ukrainalaisilla työntekijöillä on samat oikeudet kuin EU:n kansalaisilla ja että he eivät joudu hyväksikäytön ja sosiaalisen polkumyynnin kohteiksi. Komitea kehottaa laatimaan keskipitkän ja pitkän aikavälin strategioita niitä ukrainalaisia varten, jotka haluavat jäädä vastaanottavaan maahan, jotta he voivat integroitua kaikilta osin EU:n työmarkkinoille.</w:t>
      </w:r>
    </w:p>
    <w:p w:rsidRPr="003201C6" w:rsidR="00927005" w:rsidP="00927005" w:rsidRDefault="00927005">
      <w:pPr>
        <w:rPr>
          <w:lang w:val="en-GB"/>
        </w:rPr>
      </w:pPr>
    </w:p>
    <w:p w:rsidRPr="003201C6" w:rsidR="00927005" w:rsidP="00927005" w:rsidRDefault="00927005">
      <w:pPr>
        <w:pStyle w:val="Heading1"/>
        <w:overflowPunct w:val="0"/>
        <w:autoSpaceDE w:val="0"/>
        <w:autoSpaceDN w:val="0"/>
        <w:adjustRightInd w:val="0"/>
        <w:textAlignment w:val="baseline"/>
        <w:rPr>
          <w:szCs w:val="24"/>
        </w:rPr>
      </w:pPr>
      <w:r>
        <w:t>tähdentää, että työmarkkinaosapuolilla voi työehtosopimusneuvottelujen sekä tilapäisten toimenpiteiden ja sopimusten kautta olla ratkaiseva rooli pyrittäessä helpottamaan Ukrainasta tulleiden työntekijöiden integroitumista EU:n työmarkkinoille. Komitea huomauttaa, että työvoimatoimistojen tulisi tukea pakolaisia kaikin mahdollisin palveluin, kuten antamalla neuvontaa, apua työnhakuprofiilien laadintaan, työnvälityspalveluja ja muita tukivälineitä. Komitea kehottaa jäsenvaltioita perustamaan tai tukemaan pakolaisten ja potentiaalisten työnantajien kohtaamispalveluja.</w:t>
      </w:r>
    </w:p>
    <w:p w:rsidRPr="003201C6" w:rsidR="00927005" w:rsidP="00927005" w:rsidRDefault="00927005">
      <w:pPr>
        <w:rPr>
          <w:lang w:val="en-GB"/>
        </w:rPr>
      </w:pPr>
    </w:p>
    <w:p w:rsidRPr="003201C6" w:rsidR="00927005" w:rsidP="003201C6" w:rsidRDefault="00927005">
      <w:pPr>
        <w:pStyle w:val="Heading1"/>
        <w:keepNext/>
        <w:keepLines/>
        <w:overflowPunct w:val="0"/>
        <w:autoSpaceDE w:val="0"/>
        <w:autoSpaceDN w:val="0"/>
        <w:adjustRightInd w:val="0"/>
        <w:textAlignment w:val="baseline"/>
      </w:pPr>
      <w:r>
        <w:t xml:space="preserve">korostaa, että yksi keskeinen edellytys sille, että Ukrainasta tulleet pakolaiset voivat integroitua vastaanottavien maiden työmarkkinoille ja välttyä epävarmoilta työsuhteilta, on tutkintojen tunnustaminen. Komitea vaatii laatimaan toimivia sääntöjä ja ohjeita tutkintojen nopeaa mutta laadukasta tunnustamista ja kielikursseille pääsyä varten ja jotta Ukrainasta paenneet nuoret pääsevät yleissivistävään ja ammatilliseen koulutukseen. </w:t>
      </w:r>
    </w:p>
    <w:p w:rsidRPr="003201C6" w:rsidR="00927005" w:rsidP="00927005" w:rsidRDefault="00927005">
      <w:pPr>
        <w:rPr>
          <w:lang w:val="en-GB"/>
        </w:rPr>
      </w:pPr>
    </w:p>
    <w:p w:rsidRPr="003201C6" w:rsidR="00927005" w:rsidP="00927005" w:rsidRDefault="00927005">
      <w:pPr>
        <w:pStyle w:val="Heading1"/>
        <w:overflowPunct w:val="0"/>
        <w:autoSpaceDE w:val="0"/>
        <w:autoSpaceDN w:val="0"/>
        <w:adjustRightInd w:val="0"/>
        <w:textAlignment w:val="baseline"/>
      </w:pPr>
      <w:r>
        <w:t>tähdentää, että on tehtävä kaikki tarvittava sen varmistamiseksi, että EU:sta turvaa hakevat aikuiset ja lapset voivat jatkaa opintojaan, ja korostaa, että erityistä huomiota on kiinnitettävä kouluissa paitsi kielimuurien ylittämiseen myös mahdollisia pitkäkestoisia haittavaikutuksia aiheuttavien traumaoireiden hoitoon.</w:t>
      </w:r>
    </w:p>
    <w:p w:rsidRPr="003201C6" w:rsidR="00927005" w:rsidP="00927005" w:rsidRDefault="00927005">
      <w:pPr>
        <w:pStyle w:val="Heading1"/>
        <w:numPr>
          <w:ilvl w:val="0"/>
          <w:numId w:val="0"/>
        </w:numPr>
        <w:rPr>
          <w:lang w:val="en-GB"/>
        </w:rPr>
      </w:pPr>
    </w:p>
    <w:p w:rsidRPr="003201C6" w:rsidR="00927005" w:rsidP="00927005" w:rsidRDefault="00927005">
      <w:pPr>
        <w:pStyle w:val="Heading1"/>
        <w:overflowPunct w:val="0"/>
        <w:autoSpaceDE w:val="0"/>
        <w:autoSpaceDN w:val="0"/>
        <w:adjustRightInd w:val="0"/>
        <w:textAlignment w:val="baseline"/>
      </w:pPr>
      <w:r>
        <w:t>painottaa, että Ukrainasta tulleille pakolaisille on tarjottava samat julkiset sosiaalipalvelut kuin EU:n kansalaisille.</w:t>
      </w:r>
    </w:p>
    <w:p w:rsidRPr="003201C6" w:rsidR="00927005" w:rsidP="00927005" w:rsidRDefault="00927005">
      <w:pPr>
        <w:rPr>
          <w:lang w:val="en-GB"/>
        </w:rPr>
      </w:pPr>
    </w:p>
    <w:p w:rsidRPr="003201C6" w:rsidR="00927005" w:rsidP="00927005" w:rsidRDefault="00927005">
      <w:pPr>
        <w:keepNext/>
        <w:keepLines/>
        <w:rPr>
          <w:b/>
          <w:i/>
        </w:rPr>
      </w:pPr>
      <w:r>
        <w:rPr>
          <w:b/>
          <w:i/>
        </w:rPr>
        <w:t>Ukrainan jälleenrakentaminen ja EU-näkymät</w:t>
      </w:r>
    </w:p>
    <w:p w:rsidRPr="003201C6" w:rsidR="00927005" w:rsidP="00927005" w:rsidRDefault="00927005">
      <w:pPr>
        <w:keepNext/>
        <w:keepLines/>
        <w:rPr>
          <w:b/>
          <w:i/>
          <w:lang w:val="en-GB"/>
        </w:rPr>
      </w:pPr>
    </w:p>
    <w:p w:rsidRPr="003201C6" w:rsidR="00927005" w:rsidP="00927005" w:rsidRDefault="00927005">
      <w:pPr>
        <w:pStyle w:val="Heading1"/>
        <w:overflowPunct w:val="0"/>
        <w:autoSpaceDE w:val="0"/>
        <w:autoSpaceDN w:val="0"/>
        <w:adjustRightInd w:val="0"/>
        <w:textAlignment w:val="baseline"/>
      </w:pPr>
      <w:r>
        <w:t>suhtautuu myönteisesti komission tiedonannossa ”Ukrainan hätäapu ja jälleenrakennus” tarkoitetun kansainvälisen Ukrainan jälleenrakennusfoorumin perustamiseen sekä EU:n johtavaan rooliin Ukrainalle annettavan kansainvälisen avun mobilisoimisessa.</w:t>
      </w:r>
    </w:p>
    <w:p w:rsidRPr="003201C6" w:rsidR="00927005" w:rsidP="00927005" w:rsidRDefault="00927005">
      <w:pPr>
        <w:rPr>
          <w:lang w:val="en-GB"/>
        </w:rPr>
      </w:pPr>
    </w:p>
    <w:p w:rsidRPr="003201C6" w:rsidR="00927005" w:rsidP="00927005" w:rsidRDefault="00927005">
      <w:pPr>
        <w:pStyle w:val="Heading1"/>
        <w:overflowPunct w:val="0"/>
        <w:autoSpaceDE w:val="0"/>
        <w:autoSpaceDN w:val="0"/>
        <w:adjustRightInd w:val="0"/>
        <w:textAlignment w:val="baseline"/>
      </w:pPr>
      <w:r>
        <w:t>kehottaa Euroopan unionia myöntämään Ukrainan pk-yrityksille hätärahoitusta, jonka tarkoituksena olisi ensinnä auttaa säilyttämään nämä pk-yritykset ja sen jälkeen tukea niiden kasvua. Ukrainan talouden täydellisen tuhoutumisen ehkäisemisen on oltava yksi EU:n Ukrainassa toteuttamien toimien keskeisistä tavoitteista.</w:t>
      </w:r>
    </w:p>
    <w:p w:rsidRPr="003201C6" w:rsidR="00927005" w:rsidP="00927005" w:rsidRDefault="00927005">
      <w:pPr>
        <w:rPr>
          <w:lang w:val="en-GB"/>
        </w:rPr>
      </w:pPr>
    </w:p>
    <w:p w:rsidRPr="003201C6" w:rsidR="00927005" w:rsidP="00927005" w:rsidRDefault="00927005">
      <w:pPr>
        <w:pStyle w:val="Heading1"/>
        <w:overflowPunct w:val="0"/>
        <w:autoSpaceDE w:val="0"/>
        <w:autoSpaceDN w:val="0"/>
        <w:adjustRightInd w:val="0"/>
        <w:textAlignment w:val="baseline"/>
      </w:pPr>
      <w:r>
        <w:t>korostaa, että Ukrainan jälleenrakentaminen sodan jälkeen on kertaluonteinen tilanne, jonka olisi johdettava vahvemman kansalaisyhteiskunnan sekä uusimpaan vihreään ja digitaaliseen teknologiaan perustuvan ja myös innovointilähtöisen uuden talouden kehittymiseen.</w:t>
      </w:r>
    </w:p>
    <w:p w:rsidRPr="003201C6" w:rsidR="00927005" w:rsidP="00927005" w:rsidRDefault="00927005">
      <w:pPr>
        <w:rPr>
          <w:lang w:val="en-GB"/>
        </w:rPr>
      </w:pPr>
    </w:p>
    <w:p w:rsidRPr="003201C6" w:rsidR="00927005" w:rsidP="00927005" w:rsidRDefault="00927005">
      <w:pPr>
        <w:pStyle w:val="Heading1"/>
        <w:overflowPunct w:val="0"/>
        <w:autoSpaceDE w:val="0"/>
        <w:autoSpaceDN w:val="0"/>
        <w:adjustRightInd w:val="0"/>
        <w:textAlignment w:val="baseline"/>
      </w:pPr>
      <w:r>
        <w:t xml:space="preserve">painottaa kuitenkin, että oikeusvaltiouudistuksia, korruption torjuntaa sekä vihreää ja digitaalista siirtymää koskevia tärkeitä tavoitteita ei voida saavuttaa ilman </w:t>
      </w:r>
      <w:r>
        <w:lastRenderedPageBreak/>
        <w:t xml:space="preserve">kansalaisyhteiskunnan aitoa osallistumista, ja kehottaa huolehtimaan kansalaisyhteiskunnan organisaatioiden tiiviistä osallisuudesta jälleenrakentamisessa, myös </w:t>
      </w:r>
      <w:proofErr w:type="spellStart"/>
      <w:r>
        <w:t>RebuildUkraine</w:t>
      </w:r>
      <w:proofErr w:type="spellEnd"/>
      <w:r>
        <w:t xml:space="preserve">-mekanismin suunnittelussa ja täytäntöönpanossa, sillä niillä on parhaat edellytykset tuoda esiin ukrainalaisten tarpeet ja avustaa jälleenrakentamisen ja EU:n lainsäädäntöön mukautumisen seurannassa. </w:t>
      </w:r>
    </w:p>
    <w:p w:rsidRPr="003201C6" w:rsidR="00927005" w:rsidP="00927005" w:rsidRDefault="00927005">
      <w:pPr>
        <w:pStyle w:val="Heading1"/>
        <w:numPr>
          <w:ilvl w:val="0"/>
          <w:numId w:val="0"/>
        </w:numPr>
        <w:rPr>
          <w:lang w:val="en-GB"/>
        </w:rPr>
      </w:pPr>
    </w:p>
    <w:p w:rsidRPr="003201C6" w:rsidR="00927005" w:rsidP="00927005" w:rsidRDefault="00927005">
      <w:pPr>
        <w:pStyle w:val="Heading1"/>
        <w:overflowPunct w:val="0"/>
        <w:autoSpaceDE w:val="0"/>
        <w:autoSpaceDN w:val="0"/>
        <w:adjustRightInd w:val="0"/>
        <w:textAlignment w:val="baseline"/>
      </w:pPr>
      <w:r>
        <w:t>korostaa, että konflikti ja sen seuraukset eivät saa vaarantaa vihreää siirtymää koskevia EU:n toimintapolitiikkoja vaan niiden olisi mieluummin vauhditettava näiden toteuttamista.</w:t>
      </w:r>
    </w:p>
    <w:p w:rsidRPr="003201C6" w:rsidR="00927005" w:rsidP="00927005" w:rsidRDefault="00927005">
      <w:pPr>
        <w:rPr>
          <w:lang w:val="en-GB"/>
        </w:rPr>
      </w:pPr>
    </w:p>
    <w:p w:rsidRPr="003201C6" w:rsidR="00927005" w:rsidP="00927005" w:rsidRDefault="00927005">
      <w:pPr>
        <w:pStyle w:val="Heading1"/>
        <w:overflowPunct w:val="0"/>
        <w:autoSpaceDE w:val="0"/>
        <w:autoSpaceDN w:val="0"/>
        <w:adjustRightInd w:val="0"/>
        <w:textAlignment w:val="baseline"/>
      </w:pPr>
      <w:r>
        <w:t>kehottaa neuvostoa ja Euroopan parlamenttia harkitsemaan rajanaapureina olevissa kolmansissa maissa sijaitsevien kaasun varastointilaitosten käyttöä, sillä se toisi lisäarvoa toimitusvarmuuden takaamiseen erityisesti Ukrainan osalta.</w:t>
      </w:r>
    </w:p>
    <w:p w:rsidRPr="003201C6" w:rsidR="00927005" w:rsidP="00927005" w:rsidRDefault="00927005">
      <w:pPr>
        <w:rPr>
          <w:lang w:val="en-GB"/>
        </w:rPr>
      </w:pPr>
    </w:p>
    <w:p w:rsidRPr="003201C6" w:rsidR="00927005" w:rsidP="00927005" w:rsidRDefault="00927005">
      <w:pPr>
        <w:pStyle w:val="Heading1"/>
        <w:overflowPunct w:val="0"/>
        <w:autoSpaceDE w:val="0"/>
        <w:autoSpaceDN w:val="0"/>
        <w:adjustRightInd w:val="0"/>
        <w:textAlignment w:val="baseline"/>
      </w:pPr>
      <w:r>
        <w:t>kiinnittää huomiota elintarvikkeiden maailmanlaajuiseen hintakriisiin, jota Ukrainan sota on kärjistänyt, ja kehottaa jäsenvaltioita ja EU:n toimielimiä ryhtymään tarvittaviin toimiin liiallisen hyödykkeillä keinottelun hillitsemiseksi ja markkinoiden avoimuuden lisäämiseksi.</w:t>
      </w:r>
    </w:p>
    <w:p w:rsidRPr="003201C6" w:rsidR="00927005" w:rsidP="00927005" w:rsidRDefault="00927005">
      <w:pPr>
        <w:rPr>
          <w:lang w:val="en-GB"/>
        </w:rPr>
      </w:pPr>
    </w:p>
    <w:p w:rsidRPr="003201C6" w:rsidR="00927005" w:rsidP="00927005" w:rsidRDefault="00927005">
      <w:pPr>
        <w:pStyle w:val="Heading1"/>
        <w:overflowPunct w:val="0"/>
        <w:autoSpaceDE w:val="0"/>
        <w:autoSpaceDN w:val="0"/>
        <w:adjustRightInd w:val="0"/>
        <w:textAlignment w:val="baseline"/>
      </w:pPr>
      <w:r>
        <w:t>korostaa, että Ukrainan viljelijöiden tukemiseksi tarvitaan välittömästi toimenpiteitä seuraavaa satokautta varten. Lisäksi komitea vaatii poistamaan heti tilapäisesti kaikki hallinnolliset ja fyysiset esteet maataloustuotteiden liikkumiselta, jotta voidaan nopeasti lisätä sellaisten tuotteiden tuontia EU:n sisämarkkinoille ja muualle maailmaan, kuten Afrikkaan, joita Ukraina voi vielä viedä. Komitea kehottaa avaamaan Ukrainan satamat pikaisesti uudelleen ja raivaamaan YK:n johdolla miinat alueelta, jotta maataloustuotteiden, esimerkiksi maissin, auringonkukkaöljyn, auringonkukansiementen, soijapapujen ja hunajan, vientiä voidaan jatkaa.</w:t>
      </w:r>
    </w:p>
    <w:p w:rsidRPr="003201C6" w:rsidR="00927005" w:rsidP="00927005" w:rsidRDefault="00927005">
      <w:pPr>
        <w:rPr>
          <w:lang w:val="en-GB"/>
        </w:rPr>
      </w:pPr>
    </w:p>
    <w:p w:rsidRPr="003201C6" w:rsidR="00927005" w:rsidP="00927005" w:rsidRDefault="00927005">
      <w:pPr>
        <w:pStyle w:val="Heading1"/>
        <w:overflowPunct w:val="0"/>
        <w:autoSpaceDE w:val="0"/>
        <w:autoSpaceDN w:val="0"/>
        <w:adjustRightInd w:val="0"/>
        <w:ind w:left="720" w:hanging="720"/>
        <w:textAlignment w:val="baseline"/>
      </w:pPr>
      <w:r>
        <w:t>kehottaa Eurooppa-neuvostoa myöntämään Ukrainalle EU:n ehdokasvaltion aseman kokouksessaan kesäkuussa 2022.</w:t>
      </w:r>
    </w:p>
    <w:p w:rsidRPr="003201C6" w:rsidR="00927005" w:rsidP="00927005" w:rsidRDefault="00927005">
      <w:pPr>
        <w:rPr>
          <w:lang w:val="en-GB"/>
        </w:rPr>
      </w:pPr>
    </w:p>
    <w:p w:rsidRPr="003201C6" w:rsidR="00927005" w:rsidP="00927005" w:rsidRDefault="00927005">
      <w:pPr>
        <w:pStyle w:val="Heading1"/>
        <w:overflowPunct w:val="0"/>
        <w:autoSpaceDE w:val="0"/>
        <w:autoSpaceDN w:val="0"/>
        <w:adjustRightInd w:val="0"/>
        <w:ind w:left="720" w:hanging="720"/>
        <w:textAlignment w:val="baseline"/>
      </w:pPr>
      <w:r>
        <w:t>kannattaa Ukrainan liittymistä EU:hun ansioiden perusteella ja EU-jäsenyyttä koskevien sovittujen vaatimusten mukaisesti, mutta liittyminen ei saa vaikuttaa kielteisesti Länsi-Balkanin maiden meneillään olevaan liittymisprosessiin</w:t>
      </w:r>
      <w:r w:rsidRPr="003201C6">
        <w:rPr>
          <w:rStyle w:val="FootnoteReference"/>
          <w:lang w:val="en-GB"/>
        </w:rPr>
        <w:footnoteReference w:id="5"/>
      </w:r>
      <w:r>
        <w:t xml:space="preserve">. Komitea kehottaa mukauttamaan koheesiopolitiikkaa ja sen rahoitusvälineitä tämän mukaisesti tulevina vuosina, jotta voidaan vastata Ukrainan sodanjälkeisen jälleenrakentamisen haasteisiin, sekä analysoimaan perusteellisesti taloudellisia ja sosiaalisia mahdollisuuksia, joita Ukrainan yhdentyminen sisämarkkinoihin tarjoaa. </w:t>
      </w:r>
    </w:p>
    <w:p w:rsidRPr="003201C6" w:rsidR="00927005" w:rsidP="00927005" w:rsidRDefault="00927005">
      <w:pPr>
        <w:rPr>
          <w:lang w:val="en-GB"/>
        </w:rPr>
      </w:pPr>
    </w:p>
    <w:p w:rsidRPr="003201C6" w:rsidR="00927005" w:rsidP="00E11A78" w:rsidRDefault="00927005">
      <w:pPr>
        <w:pStyle w:val="Heading1"/>
      </w:pPr>
      <w:r>
        <w:t xml:space="preserve">toteaa, että EU voi ottaa käyttöön asteittaisia toimia unionin säännöstön täytäntöönpanossa pitäen samalla kiinni jäsenyysvelvoitteista. Komitea korostaa, että kaikissa sotilaallisten hyökkäysten tapauksissa on pidettävä kiinni EU:n jäsenvaltioiden yhtenäisyydestä laajentumispolitiikan sääntönä. Komitea kehottaa tutkimaan muita tapoja, joilla EU:n ulkopuoliset maat voisivat liittyä Euroopan talous-, </w:t>
      </w:r>
      <w:proofErr w:type="spellStart"/>
      <w:r>
        <w:t>sosiaali</w:t>
      </w:r>
      <w:proofErr w:type="spellEnd"/>
      <w:r>
        <w:t xml:space="preserve">- ja turvallisuusarkkitehtuuriin, mutta korostaa, että tällaisia kumppanuus- tai assosiaatiojärjestelyjä ei saisi pitää vaihtoehtona EU-jäsenyydelle. </w:t>
      </w:r>
    </w:p>
    <w:p w:rsidRPr="003201C6" w:rsidR="00927005" w:rsidP="00927005" w:rsidRDefault="00927005">
      <w:pPr>
        <w:pStyle w:val="Heading1"/>
        <w:numPr>
          <w:ilvl w:val="0"/>
          <w:numId w:val="0"/>
        </w:numPr>
        <w:rPr>
          <w:lang w:val="en-GB"/>
        </w:rPr>
      </w:pPr>
    </w:p>
    <w:p w:rsidRPr="003201C6" w:rsidR="00927005" w:rsidP="00927005" w:rsidRDefault="00927005">
      <w:pPr>
        <w:keepNext/>
        <w:keepLines/>
        <w:rPr>
          <w:b/>
          <w:i/>
        </w:rPr>
      </w:pPr>
      <w:r>
        <w:rPr>
          <w:b/>
          <w:i/>
        </w:rPr>
        <w:lastRenderedPageBreak/>
        <w:t>Tuki kansalaisyhteiskunnan organisaatioille</w:t>
      </w:r>
    </w:p>
    <w:p w:rsidRPr="003201C6" w:rsidR="00927005" w:rsidP="00927005" w:rsidRDefault="00927005">
      <w:pPr>
        <w:keepNext/>
        <w:keepLines/>
        <w:rPr>
          <w:b/>
          <w:i/>
          <w:lang w:val="en-GB"/>
        </w:rPr>
      </w:pPr>
    </w:p>
    <w:p w:rsidRPr="003201C6" w:rsidR="00927005" w:rsidP="00927005" w:rsidRDefault="00927005">
      <w:pPr>
        <w:pStyle w:val="Heading1"/>
        <w:overflowPunct w:val="0"/>
        <w:autoSpaceDE w:val="0"/>
        <w:autoSpaceDN w:val="0"/>
        <w:adjustRightInd w:val="0"/>
        <w:textAlignment w:val="baseline"/>
      </w:pPr>
      <w:r>
        <w:t>korostaa, että Euroopan talous- ja sosiaalikomitealla on EU:n ja Ukrainan kansalaisyhteiskunnan pitkäaikaisten kahdenvälisten yhteyksien ansiosta tärkeä rooli yhteydenpidossa ukrainalaisiin kansalaisyhteiskunnan organisaatioihin ja kanavien pitämisessä avoimina niiden kanssa. Komitea korostaa vakiintuneiden mekanismien ja erityisesti EU:n ja Ukrainan kansalaisyhteiskuntafoorumin sekä EU:n ja Ukrainan assosiaatiosopimuksen nojalla perustettujen EU:n ja Ukrainan sisäisten neuvoa-antavien ryhmien saavutuksia ja kehottaa EU:ta tukemaan ukrainalaisten kansalaisyhteiskunnan organisaatioiden osallistumista EU:n kansalaisyhteiskunnan organisaatioiden verkostoihin.</w:t>
      </w:r>
    </w:p>
    <w:p w:rsidRPr="003201C6" w:rsidR="00927005" w:rsidP="00927005" w:rsidRDefault="00927005">
      <w:pPr>
        <w:pStyle w:val="Heading1"/>
        <w:numPr>
          <w:ilvl w:val="0"/>
          <w:numId w:val="0"/>
        </w:numPr>
        <w:rPr>
          <w:lang w:val="en-GB"/>
        </w:rPr>
      </w:pPr>
    </w:p>
    <w:p w:rsidRPr="003201C6" w:rsidR="00927005" w:rsidP="00927005" w:rsidRDefault="00927005">
      <w:pPr>
        <w:pStyle w:val="Heading1"/>
        <w:overflowPunct w:val="0"/>
        <w:autoSpaceDE w:val="0"/>
        <w:autoSpaceDN w:val="0"/>
        <w:adjustRightInd w:val="0"/>
        <w:textAlignment w:val="baseline"/>
      </w:pPr>
      <w:r>
        <w:t>tähdentää tarvetta ryhtyä kehittämään Ukrainan kansalaisyhteiskunnan organisaatioiden valmiuksia, jotta ne voisivat olla osallisina EU:hun yhdentymiseen tähtäävässä prosessissa sekä muokata ja seurata sitä.</w:t>
      </w:r>
    </w:p>
    <w:p w:rsidRPr="003201C6" w:rsidR="00927005" w:rsidP="00927005" w:rsidRDefault="00927005">
      <w:pPr>
        <w:rPr>
          <w:lang w:val="en-GB"/>
        </w:rPr>
      </w:pPr>
    </w:p>
    <w:p w:rsidRPr="003201C6" w:rsidR="00927005" w:rsidP="00927005" w:rsidRDefault="00927005">
      <w:pPr>
        <w:pStyle w:val="Heading1"/>
        <w:keepNext/>
        <w:keepLines/>
        <w:overflowPunct w:val="0"/>
        <w:autoSpaceDE w:val="0"/>
        <w:autoSpaceDN w:val="0"/>
        <w:adjustRightInd w:val="0"/>
        <w:textAlignment w:val="baseline"/>
      </w:pPr>
      <w:r>
        <w:t>korostaa tarvetta lisätä tukea Ukrainan kansalaisyhteiskunnalle, työnantajajärjestöt ja ammattiliitot mukaan luettuina, osoittamalla tähän tarkoitukseen erityisiä EU:n varoja, jotta ne voivat pysyä täysin toimintakykyisinä sota-aikana. Komitea varoittaa yrityksistä käyttää sotaa verukkeena toimille, joilla heikennetään työntekijöiden oikeuksien suojelua ja sosiaalista suojelua, sillä tämä pahentaisi sodan taloudellisia ja sosiaalisia haittavaikutuksia.</w:t>
      </w:r>
    </w:p>
    <w:p w:rsidRPr="003201C6" w:rsidR="00927005" w:rsidP="00927005" w:rsidRDefault="00927005">
      <w:pPr>
        <w:rPr>
          <w:lang w:val="en-GB"/>
        </w:rPr>
      </w:pPr>
    </w:p>
    <w:p w:rsidRPr="003201C6" w:rsidR="00927005" w:rsidP="00927005" w:rsidRDefault="00927005">
      <w:pPr>
        <w:pStyle w:val="Heading1"/>
        <w:overflowPunct w:val="0"/>
        <w:autoSpaceDE w:val="0"/>
        <w:autoSpaceDN w:val="0"/>
        <w:adjustRightInd w:val="0"/>
        <w:textAlignment w:val="baseline"/>
      </w:pPr>
      <w:r>
        <w:t>painottaa sellaisten eurooppalaisten kansalaisyhteiskunnan organisaatioiden roolia, jotka etsivät aktiivisesti rauhanturvaratkaisuja Ukrainan kriisissä ja käsittelevät kriisin sosiaalisia, humanitaarisia, taloudellisia ja poliittisia vaikutuksia, ja pitää tärkeänä, että niille annetaan kattavaa tukea ja apua erityisesti tätä varten perustetuista EU-</w:t>
      </w:r>
      <w:proofErr w:type="spellStart"/>
      <w:r>
        <w:t>rahoitteisista</w:t>
      </w:r>
      <w:proofErr w:type="spellEnd"/>
      <w:r>
        <w:t xml:space="preserve"> ohjelmista.</w:t>
      </w:r>
    </w:p>
    <w:p w:rsidRPr="003201C6" w:rsidR="00927005" w:rsidP="00927005" w:rsidRDefault="00927005">
      <w:pPr>
        <w:rPr>
          <w:lang w:val="en-GB"/>
        </w:rPr>
      </w:pPr>
    </w:p>
    <w:p w:rsidRPr="003201C6" w:rsidR="00927005" w:rsidP="00927005" w:rsidRDefault="00927005">
      <w:pPr>
        <w:pStyle w:val="Heading1"/>
        <w:overflowPunct w:val="0"/>
        <w:autoSpaceDE w:val="0"/>
        <w:autoSpaceDN w:val="0"/>
        <w:adjustRightInd w:val="0"/>
        <w:textAlignment w:val="baseline"/>
      </w:pPr>
      <w:r>
        <w:t>antaa tunnustuksen EU:n jäsenvaltioiden kansalaisyhteiskunnan organisaatioiden panokselle ukrainalaispakolaisten tukemisessa: niiden panos on suurempi kuin asiasta vastaavien viranomaisten antama apu. Komitea kehottaa jäsenvaltioita lisäämään näille organisaatioille annettavaa organisatorista ja taloudellista tukea tuntuvasti ja osoittamaan sitä myös EU-varoista.</w:t>
      </w:r>
    </w:p>
    <w:p w:rsidRPr="003201C6" w:rsidR="00927005" w:rsidP="00927005" w:rsidRDefault="00927005">
      <w:pPr>
        <w:rPr>
          <w:lang w:val="en-GB"/>
        </w:rPr>
      </w:pPr>
    </w:p>
    <w:p w:rsidRPr="003201C6" w:rsidR="00927005" w:rsidP="00927005" w:rsidRDefault="00927005">
      <w:pPr>
        <w:pStyle w:val="Heading1"/>
        <w:overflowPunct w:val="0"/>
        <w:autoSpaceDE w:val="0"/>
        <w:autoSpaceDN w:val="0"/>
        <w:adjustRightInd w:val="0"/>
        <w:textAlignment w:val="baseline"/>
      </w:pPr>
      <w:r>
        <w:t xml:space="preserve">kehottaa ottamaan Ukrainasta paenneet nuoret mukaan EU:n yliopistovaihto-ohjelmiin ja korostaa eurooppalaisia arvoja kannattavien eurooppalaisten nuorten osallistumisen ja heidän valmiuksiensa kehittämisen tärkeyttä. Komitea kannustaa kumppanuusyhteistyöhön EU:n ja Ukrainan nuorisoneuvostojen välillä sekä vaihtoon EU:n ja Ukrainan nuorten kesken. Yhteistyön puitteissa voitaisiin järjestää muun muassa tapahtuma, jossa keskityttäisiin nuorisotoimintaan ja sen rooliin Ukrainan tulevassa jälleenrakentamisessa. </w:t>
      </w:r>
    </w:p>
    <w:p w:rsidRPr="003201C6" w:rsidR="00927005" w:rsidP="00927005" w:rsidRDefault="00927005">
      <w:pPr>
        <w:pStyle w:val="Heading1"/>
        <w:numPr>
          <w:ilvl w:val="0"/>
          <w:numId w:val="0"/>
        </w:numPr>
        <w:rPr>
          <w:lang w:val="en-GB"/>
        </w:rPr>
      </w:pPr>
    </w:p>
    <w:p w:rsidRPr="003201C6" w:rsidR="00927005" w:rsidP="00927005" w:rsidRDefault="00927005">
      <w:pPr>
        <w:pStyle w:val="Heading1"/>
        <w:overflowPunct w:val="0"/>
        <w:autoSpaceDE w:val="0"/>
        <w:autoSpaceDN w:val="0"/>
        <w:adjustRightInd w:val="0"/>
        <w:textAlignment w:val="baseline"/>
      </w:pPr>
      <w:r>
        <w:t>kehottaa tukemaan elintarvikepankkeja, joilla on keskeinen rooli elintarvikelahjoituksiin liittyvien haasteiden voittamisessa ja esteiden ylittämisessä, sillä elintarvikeavusta on tullut kriittisen tärkeää Ukrainan väestön ja Ukrainasta tulleiden pakolaisten kiireellisiin tarpeisiin vastaamisessa.</w:t>
      </w:r>
    </w:p>
    <w:p w:rsidRPr="003201C6" w:rsidR="00927005" w:rsidP="00927005" w:rsidRDefault="00927005">
      <w:pPr>
        <w:rPr>
          <w:lang w:val="en-GB"/>
        </w:rPr>
      </w:pPr>
    </w:p>
    <w:p w:rsidRPr="003201C6" w:rsidR="00927005" w:rsidP="00927005" w:rsidRDefault="00927005">
      <w:pPr>
        <w:pStyle w:val="Heading1"/>
        <w:overflowPunct w:val="0"/>
        <w:autoSpaceDE w:val="0"/>
        <w:autoSpaceDN w:val="0"/>
        <w:adjustRightInd w:val="0"/>
        <w:textAlignment w:val="baseline"/>
      </w:pPr>
      <w:r>
        <w:t>korostaa tarvetta jatkaa kansainvälisen tuen antamista Ukrainan ja muiden maiden ympäristönsuojelujärjestöille ja toteaa, että konfliktilla on vakavia ympäristövaikutuksia.</w:t>
      </w:r>
    </w:p>
    <w:p w:rsidRPr="003201C6" w:rsidR="00927005" w:rsidP="00927005" w:rsidRDefault="00927005">
      <w:pPr>
        <w:rPr>
          <w:lang w:val="en-GB"/>
        </w:rPr>
      </w:pPr>
    </w:p>
    <w:p w:rsidRPr="003201C6" w:rsidR="00927005" w:rsidP="00927005" w:rsidRDefault="00927005">
      <w:pPr>
        <w:pStyle w:val="Heading1"/>
        <w:overflowPunct w:val="0"/>
        <w:autoSpaceDE w:val="0"/>
        <w:autoSpaceDN w:val="0"/>
        <w:adjustRightInd w:val="0"/>
        <w:textAlignment w:val="baseline"/>
      </w:pPr>
      <w:r>
        <w:lastRenderedPageBreak/>
        <w:t xml:space="preserve">korostaa tarvetta lisätä tukea riippumattomille, laadukkaille tiedotusvälineille ja faktantarkistajille myös EU:n naapurustossa, koska ne ovat ratkaisevan tärkeitä propagandan ja </w:t>
      </w:r>
      <w:proofErr w:type="spellStart"/>
      <w:r>
        <w:t>disinformaation</w:t>
      </w:r>
      <w:proofErr w:type="spellEnd"/>
      <w:r>
        <w:t xml:space="preserve"> vastustuskyvyn kannalta. Komitea kehottaa EU:ta toteuttamaan vankan vastapropagandakampanjan erityisesti kolmansissa maissa Afrikassa ja Aasiassa </w:t>
      </w:r>
      <w:proofErr w:type="spellStart"/>
      <w:r>
        <w:t>disinformaatiosodan</w:t>
      </w:r>
      <w:proofErr w:type="spellEnd"/>
      <w:r>
        <w:t xml:space="preserve"> torjumiseksi. </w:t>
      </w:r>
    </w:p>
    <w:p w:rsidRPr="003201C6" w:rsidR="00927005" w:rsidP="00927005" w:rsidRDefault="00927005">
      <w:pPr>
        <w:rPr>
          <w:lang w:val="en-GB"/>
        </w:rPr>
      </w:pPr>
    </w:p>
    <w:p w:rsidRPr="003201C6" w:rsidR="00927005" w:rsidP="00927005" w:rsidRDefault="00927005">
      <w:pPr>
        <w:pStyle w:val="Heading1"/>
        <w:overflowPunct w:val="0"/>
        <w:autoSpaceDE w:val="0"/>
        <w:autoSpaceDN w:val="0"/>
        <w:adjustRightInd w:val="0"/>
        <w:textAlignment w:val="baseline"/>
      </w:pPr>
      <w:r>
        <w:t>on erittäin huolissaan Venäjän riippumattoman kansalaisyhteiskunnan tilanteesta sekä tiedotusvälineistä ja toimittajista, jotka tarjoavat Venäjän kansalaisille vaihtoehtoisia tietolähteitä Venäjän propagandan torjumiseksi. Komitea kehottaa EU:ta tukemaan niitä kansalaisyhteiskunnan organisaatioita ja yksityishenkilöitä, jotka haluavat jatkaa toimintaansa Venäjällä, ja myöntämään humanitaarisia viisumeja kansalaisyhteiskunnan aktivisteille, jotka haluavat lähteä maasta. Komitea toteaa, että monet venäläisorganisaatiot auttavat Venäjälle siirtyneitä ukrainalaisia pääsemään EU:hun tai Ukrainan länsiosiin ja että nämä organisaatiot tarvitsevat erityistukea, jotta ne voivat saada viisumeita ukrainalaispakolaisille, jotka haluavat lähteä Venäjältä.</w:t>
      </w:r>
    </w:p>
    <w:p w:rsidRPr="003201C6" w:rsidR="00927005" w:rsidP="00927005" w:rsidRDefault="00927005">
      <w:pPr>
        <w:rPr>
          <w:lang w:val="en-GB"/>
        </w:rPr>
      </w:pPr>
    </w:p>
    <w:p w:rsidRPr="003201C6" w:rsidR="00927005" w:rsidP="00927005" w:rsidRDefault="00927005">
      <w:pPr>
        <w:pStyle w:val="Heading1"/>
        <w:overflowPunct w:val="0"/>
        <w:autoSpaceDE w:val="0"/>
        <w:autoSpaceDN w:val="0"/>
        <w:adjustRightInd w:val="0"/>
        <w:textAlignment w:val="baseline"/>
      </w:pPr>
      <w:r>
        <w:t>sitoutuu tiivistämään yhteistyötä ja vaihtoa Ukrainan kansalaisyhteiskunnan organisaatioiden kanssa sekä jatkamaan työtään EU:n Ukrainalle osoittaman solidaarisuuden ja anteliaisuuden jatkamisen puolesta ja on valmis tarjoamaan EU:n ja Ukrainan viranomaisille asiantuntemustaan työmarkkina- ja kansalaisvuoropuhelun vahvistamisesta. Tätä varten komitea järjestää Krakovassa 19. heinäkuuta tapahtuman Ukrainan ja EU:n kansalaisyhteiskunnan kanssa.</w:t>
      </w:r>
    </w:p>
    <w:p w:rsidRPr="003201C6" w:rsidR="00927005" w:rsidP="00927005" w:rsidRDefault="00927005">
      <w:pPr>
        <w:pStyle w:val="Heading1"/>
        <w:numPr>
          <w:ilvl w:val="0"/>
          <w:numId w:val="0"/>
        </w:numPr>
        <w:rPr>
          <w:lang w:val="en-GB"/>
        </w:rPr>
      </w:pPr>
    </w:p>
    <w:p w:rsidRPr="003201C6" w:rsidR="00927005" w:rsidP="00927005" w:rsidRDefault="00927005">
      <w:pPr>
        <w:rPr>
          <w:lang w:val="en-GB"/>
        </w:rPr>
      </w:pPr>
    </w:p>
    <w:p w:rsidRPr="003201C6" w:rsidR="00927005" w:rsidP="00927005" w:rsidRDefault="00927005">
      <w:r>
        <w:t>Bryssel 16. kesäkuuta 2022</w:t>
      </w:r>
    </w:p>
    <w:p w:rsidRPr="003201C6" w:rsidR="00E2376B" w:rsidP="00E2376B" w:rsidRDefault="00E2376B">
      <w:pPr>
        <w:rPr>
          <w:lang w:val="en-GB"/>
        </w:rPr>
      </w:pPr>
    </w:p>
    <w:p w:rsidRPr="003201C6" w:rsidR="00E2376B" w:rsidP="00E2376B" w:rsidRDefault="00E2376B">
      <w:pPr>
        <w:rPr>
          <w:lang w:val="en-GB"/>
        </w:rPr>
      </w:pPr>
    </w:p>
    <w:p w:rsidRPr="003201C6" w:rsidR="00E2376B" w:rsidP="00E2376B" w:rsidRDefault="00E2376B">
      <w:pPr>
        <w:rPr>
          <w:lang w:val="en-GB"/>
        </w:rPr>
      </w:pPr>
    </w:p>
    <w:p w:rsidRPr="003201C6" w:rsidR="00E2376B" w:rsidP="00E2376B" w:rsidRDefault="00E2376B">
      <w:pPr>
        <w:rPr>
          <w:lang w:val="en-GB"/>
        </w:rPr>
      </w:pPr>
    </w:p>
    <w:p w:rsidRPr="003201C6" w:rsidR="00E2376B" w:rsidP="00E2376B" w:rsidRDefault="00927005">
      <w:pPr>
        <w:jc w:val="left"/>
      </w:pPr>
      <w:proofErr w:type="spellStart"/>
      <w:r>
        <w:t>Christa</w:t>
      </w:r>
      <w:proofErr w:type="spellEnd"/>
      <w:r>
        <w:t xml:space="preserve"> </w:t>
      </w:r>
      <w:proofErr w:type="spellStart"/>
      <w:r>
        <w:t>Schweng</w:t>
      </w:r>
      <w:proofErr w:type="spellEnd"/>
      <w:r>
        <w:br/>
        <w:t>Euroopan talous- ja sosiaalikomitean puheenjohtaja</w:t>
      </w:r>
    </w:p>
    <w:p w:rsidRPr="003201C6" w:rsidR="00E2376B" w:rsidP="00E2376B" w:rsidRDefault="00E2376B">
      <w:pPr>
        <w:rPr>
          <w:lang w:val="en-GB"/>
        </w:rPr>
      </w:pPr>
    </w:p>
    <w:p w:rsidRPr="00E11A78" w:rsidR="00F53370" w:rsidP="00DB7F50" w:rsidRDefault="00E2376B">
      <w:pPr>
        <w:jc w:val="center"/>
      </w:pPr>
      <w:r>
        <w:t>_____________</w:t>
      </w:r>
    </w:p>
    <w:sectPr w:rsidRPr="00E11A78" w:rsidR="00F53370"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397" w:rsidRDefault="00C16397" w:rsidP="00F53370">
      <w:pPr>
        <w:spacing w:line="240" w:lineRule="auto"/>
      </w:pPr>
      <w:r>
        <w:separator/>
      </w:r>
    </w:p>
  </w:endnote>
  <w:endnote w:type="continuationSeparator" w:id="0">
    <w:p w:rsidR="00C16397" w:rsidRDefault="00C16397"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35C" w:rsidRDefault="00D81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35C" w:rsidRDefault="00D813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35C" w:rsidRDefault="00D813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5C" w:rsidRPr="003065C9" w:rsidRDefault="00DA14A6" w:rsidP="00DA14A6">
    <w:pPr>
      <w:pStyle w:val="Footer"/>
      <w:jc w:val="left"/>
    </w:pPr>
    <w:r>
      <w:t xml:space="preserve">EESC-2022-02974-00-00-RES-TRA (EN) </w:t>
    </w:r>
    <w:r>
      <w:fldChar w:fldCharType="begin"/>
    </w:r>
    <w:r>
      <w:instrText xml:space="preserve"> PAGE  \* Arabic  \* MERGEFORMAT </w:instrText>
    </w:r>
    <w:r>
      <w:fldChar w:fldCharType="separate"/>
    </w:r>
    <w:r w:rsidR="00014B1A">
      <w:rPr>
        <w:noProof/>
      </w:rPr>
      <w:t>8</w:t>
    </w:r>
    <w:r>
      <w:fldChar w:fldCharType="end"/>
    </w:r>
    <w:r>
      <w:t>/</w:t>
    </w:r>
    <w:r>
      <w:fldChar w:fldCharType="begin"/>
    </w:r>
    <w:r>
      <w:instrText xml:space="preserve"> = </w:instrText>
    </w:r>
    <w:fldSimple w:instr=" NUMPAGES ">
      <w:r w:rsidR="00014B1A">
        <w:rPr>
          <w:noProof/>
        </w:rPr>
        <w:instrText>10</w:instrText>
      </w:r>
    </w:fldSimple>
    <w:r>
      <w:instrText xml:space="preserve"> - 2 </w:instrText>
    </w:r>
    <w:r>
      <w:fldChar w:fldCharType="separate"/>
    </w:r>
    <w:r w:rsidR="00014B1A">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397" w:rsidRDefault="00C16397" w:rsidP="00F53370">
      <w:pPr>
        <w:spacing w:line="240" w:lineRule="auto"/>
      </w:pPr>
      <w:r>
        <w:separator/>
      </w:r>
    </w:p>
  </w:footnote>
  <w:footnote w:type="continuationSeparator" w:id="0">
    <w:p w:rsidR="00C16397" w:rsidRDefault="00C16397" w:rsidP="00F53370">
      <w:pPr>
        <w:spacing w:line="240" w:lineRule="auto"/>
      </w:pPr>
      <w:r>
        <w:continuationSeparator/>
      </w:r>
    </w:p>
  </w:footnote>
  <w:footnote w:id="1">
    <w:p w:rsidR="00927005" w:rsidRPr="000152A9" w:rsidRDefault="00927005" w:rsidP="00927005">
      <w:pPr>
        <w:pStyle w:val="FootnoteText"/>
        <w:keepLines w:val="0"/>
      </w:pPr>
      <w:r>
        <w:rPr>
          <w:rStyle w:val="FootnoteReference"/>
        </w:rPr>
        <w:footnoteRef/>
      </w:r>
      <w:r>
        <w:tab/>
      </w:r>
      <w:hyperlink r:id="rId1" w:history="1">
        <w:r>
          <w:rPr>
            <w:rStyle w:val="Hyperlink"/>
          </w:rPr>
          <w:t>https://www.eesc.europa.eu/documents/resolution/war-ukraine-and-its-economic-social-and-environmental-impact</w:t>
        </w:r>
      </w:hyperlink>
    </w:p>
  </w:footnote>
  <w:footnote w:id="2">
    <w:p w:rsidR="00927005" w:rsidRPr="00AD671E" w:rsidRDefault="00927005" w:rsidP="00927005">
      <w:pPr>
        <w:pStyle w:val="FootnoteText"/>
        <w:tabs>
          <w:tab w:val="left" w:pos="567"/>
        </w:tabs>
      </w:pPr>
      <w:r>
        <w:rPr>
          <w:rStyle w:val="FootnoteReference"/>
        </w:rPr>
        <w:footnoteRef/>
      </w:r>
      <w:r>
        <w:t xml:space="preserve"> </w:t>
      </w:r>
      <w:r>
        <w:tab/>
      </w:r>
      <w:hyperlink r:id="rId2" w:history="1">
        <w:r>
          <w:rPr>
            <w:rStyle w:val="Hyperlink"/>
          </w:rPr>
          <w:t>UNHCR</w:t>
        </w:r>
      </w:hyperlink>
      <w:r>
        <w:t>, 31. toukokuuta.</w:t>
      </w:r>
    </w:p>
  </w:footnote>
  <w:footnote w:id="3">
    <w:p w:rsidR="00927005" w:rsidRPr="00AD671E" w:rsidRDefault="00927005" w:rsidP="00927005">
      <w:pPr>
        <w:pStyle w:val="FootnoteText"/>
      </w:pPr>
      <w:r>
        <w:rPr>
          <w:rStyle w:val="FootnoteReference"/>
        </w:rPr>
        <w:footnoteRef/>
      </w:r>
      <w:r>
        <w:t xml:space="preserve"> </w:t>
      </w:r>
      <w:r>
        <w:tab/>
      </w:r>
      <w:hyperlink r:id="rId3" w:history="1">
        <w:r>
          <w:rPr>
            <w:rStyle w:val="Hyperlink"/>
          </w:rPr>
          <w:t>UNHCR</w:t>
        </w:r>
      </w:hyperlink>
      <w:r>
        <w:t>, 23. toukokuuta.</w:t>
      </w:r>
    </w:p>
  </w:footnote>
  <w:footnote w:id="4">
    <w:p w:rsidR="00927005" w:rsidRDefault="00927005" w:rsidP="00927005">
      <w:pPr>
        <w:pStyle w:val="FootnoteText"/>
      </w:pPr>
      <w:r>
        <w:rPr>
          <w:rStyle w:val="FootnoteReference"/>
        </w:rPr>
        <w:footnoteRef/>
      </w:r>
      <w:r>
        <w:tab/>
      </w:r>
      <w:hyperlink r:id="rId4" w:history="1">
        <w:r>
          <w:rPr>
            <w:rStyle w:val="Hyperlink"/>
          </w:rPr>
          <w:t>UNHCR</w:t>
        </w:r>
      </w:hyperlink>
      <w:r>
        <w:t>, 31. toukokuuta.</w:t>
      </w:r>
    </w:p>
  </w:footnote>
  <w:footnote w:id="5">
    <w:p w:rsidR="00927005" w:rsidRDefault="00927005" w:rsidP="00927005">
      <w:pPr>
        <w:pStyle w:val="FootnoteText"/>
      </w:pPr>
      <w:r>
        <w:rPr>
          <w:rStyle w:val="FootnoteReference"/>
        </w:rPr>
        <w:footnoteRef/>
      </w:r>
      <w:r>
        <w:tab/>
      </w:r>
      <w:hyperlink r:id="rId5" w:history="1">
        <w:r>
          <w:rPr>
            <w:rStyle w:val="Hyperlink"/>
          </w:rPr>
          <w:t>Ukrainan sota ja sen taloudelliset, sosiaaliset ja ympäristövaikutukset | Euroopan talous- ja sosiaalikomitea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EE4200">
    <w:pPr>
      <w:pStyle w:val="Header"/>
    </w:pPr>
    <w:r>
      <w:pict w14:anchorId="7ADDA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E27707">
    <w:pPr>
      <w:pStyle w:val="Header"/>
    </w:pPr>
    <w:r>
      <w:rPr>
        <w:noProof/>
        <w:lang w:val="en-US"/>
      </w:rPr>
      <w:drawing>
        <wp:anchor distT="0" distB="0" distL="114300" distR="114300" simplePos="0" relativeHeight="251659264" behindDoc="0" locked="0" layoutInCell="1" allowOverlap="1" wp14:anchorId="259A4143" wp14:editId="29C68022">
          <wp:simplePos x="898497" y="453224"/>
          <wp:positionH relativeFrom="page">
            <wp:align>center</wp:align>
          </wp:positionH>
          <wp:positionV relativeFrom="page">
            <wp:posOffset>288290</wp:posOffset>
          </wp:positionV>
          <wp:extent cx="6944398" cy="334427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EE4200">
      <w:pict w14:anchorId="3F2E5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EE4200">
    <w:pPr>
      <w:pStyle w:val="Header"/>
    </w:pPr>
    <w:r>
      <w:pict w14:anchorId="6F872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EE4200">
    <w:pPr>
      <w:pStyle w:val="Header"/>
    </w:pPr>
    <w:r>
      <w:pict w14:anchorId="2EB74E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Header"/>
    </w:pPr>
    <w:r>
      <w:rPr>
        <w:noProof/>
        <w:lang w:val="en-US"/>
      </w:rPr>
      <w:drawing>
        <wp:anchor distT="0" distB="0" distL="114300" distR="114300" simplePos="0" relativeHeight="251665408" behindDoc="1" locked="0" layoutInCell="1" allowOverlap="1" wp14:anchorId="4951803C" wp14:editId="56B16BA4">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EE4200">
    <w:pPr>
      <w:pStyle w:val="Header"/>
    </w:pPr>
    <w:r>
      <w:pict w14:anchorId="6F7B5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F8" w:rsidRDefault="00EE4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2641A3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4AC6E73"/>
    <w:multiLevelType w:val="hybridMultilevel"/>
    <w:tmpl w:val="597E96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139AC"/>
    <w:rsid w:val="00014B1A"/>
    <w:rsid w:val="00020389"/>
    <w:rsid w:val="00022AB5"/>
    <w:rsid w:val="00053D00"/>
    <w:rsid w:val="000966A8"/>
    <w:rsid w:val="000A0F3B"/>
    <w:rsid w:val="000E133B"/>
    <w:rsid w:val="00100F87"/>
    <w:rsid w:val="001433C3"/>
    <w:rsid w:val="0016377D"/>
    <w:rsid w:val="00183652"/>
    <w:rsid w:val="0019231D"/>
    <w:rsid w:val="001D61AC"/>
    <w:rsid w:val="001E15AA"/>
    <w:rsid w:val="00214BDC"/>
    <w:rsid w:val="00215E81"/>
    <w:rsid w:val="0024727F"/>
    <w:rsid w:val="002B6A7B"/>
    <w:rsid w:val="002D5776"/>
    <w:rsid w:val="003201C6"/>
    <w:rsid w:val="00332563"/>
    <w:rsid w:val="003353D7"/>
    <w:rsid w:val="003659F9"/>
    <w:rsid w:val="00374857"/>
    <w:rsid w:val="0050393E"/>
    <w:rsid w:val="00574C9B"/>
    <w:rsid w:val="0058411F"/>
    <w:rsid w:val="005B6335"/>
    <w:rsid w:val="005D2DA7"/>
    <w:rsid w:val="005E70F8"/>
    <w:rsid w:val="006125A1"/>
    <w:rsid w:val="00653E7D"/>
    <w:rsid w:val="00662207"/>
    <w:rsid w:val="00667F09"/>
    <w:rsid w:val="006773D5"/>
    <w:rsid w:val="00690EF5"/>
    <w:rsid w:val="006B57A6"/>
    <w:rsid w:val="006E6886"/>
    <w:rsid w:val="00787837"/>
    <w:rsid w:val="00787ABB"/>
    <w:rsid w:val="007D04F5"/>
    <w:rsid w:val="007D7D64"/>
    <w:rsid w:val="00822952"/>
    <w:rsid w:val="00836505"/>
    <w:rsid w:val="00844B87"/>
    <w:rsid w:val="00850B67"/>
    <w:rsid w:val="008904AD"/>
    <w:rsid w:val="008A622B"/>
    <w:rsid w:val="008A6DD4"/>
    <w:rsid w:val="008F74D7"/>
    <w:rsid w:val="00904C42"/>
    <w:rsid w:val="00924C05"/>
    <w:rsid w:val="00927005"/>
    <w:rsid w:val="00937CF2"/>
    <w:rsid w:val="00976645"/>
    <w:rsid w:val="0098228C"/>
    <w:rsid w:val="009A5ED7"/>
    <w:rsid w:val="00A36AB0"/>
    <w:rsid w:val="00A67EF8"/>
    <w:rsid w:val="00AB37A3"/>
    <w:rsid w:val="00AC5114"/>
    <w:rsid w:val="00B51901"/>
    <w:rsid w:val="00BC363E"/>
    <w:rsid w:val="00C073E1"/>
    <w:rsid w:val="00C16397"/>
    <w:rsid w:val="00C66AEA"/>
    <w:rsid w:val="00C9040A"/>
    <w:rsid w:val="00C91E4D"/>
    <w:rsid w:val="00CB110A"/>
    <w:rsid w:val="00D267CD"/>
    <w:rsid w:val="00D8135C"/>
    <w:rsid w:val="00D95232"/>
    <w:rsid w:val="00DA14A6"/>
    <w:rsid w:val="00DB7F50"/>
    <w:rsid w:val="00DC6410"/>
    <w:rsid w:val="00DE30C7"/>
    <w:rsid w:val="00DF400F"/>
    <w:rsid w:val="00E01093"/>
    <w:rsid w:val="00E1193D"/>
    <w:rsid w:val="00E11A78"/>
    <w:rsid w:val="00E15BF4"/>
    <w:rsid w:val="00E2376B"/>
    <w:rsid w:val="00E27707"/>
    <w:rsid w:val="00E661B7"/>
    <w:rsid w:val="00EE4200"/>
    <w:rsid w:val="00F2069F"/>
    <w:rsid w:val="00F53370"/>
    <w:rsid w:val="00F9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8A622B"/>
    <w:rPr>
      <w:sz w:val="16"/>
      <w:szCs w:val="16"/>
    </w:rPr>
  </w:style>
  <w:style w:type="paragraph" w:styleId="CommentText">
    <w:name w:val="annotation text"/>
    <w:basedOn w:val="Normal"/>
    <w:link w:val="CommentTextChar"/>
    <w:uiPriority w:val="99"/>
    <w:semiHidden/>
    <w:unhideWhenUsed/>
    <w:rsid w:val="008A622B"/>
    <w:pPr>
      <w:spacing w:line="240" w:lineRule="auto"/>
    </w:pPr>
    <w:rPr>
      <w:sz w:val="20"/>
      <w:szCs w:val="20"/>
    </w:rPr>
  </w:style>
  <w:style w:type="character" w:customStyle="1" w:styleId="CommentTextChar">
    <w:name w:val="Comment Text Char"/>
    <w:basedOn w:val="DefaultParagraphFont"/>
    <w:link w:val="CommentText"/>
    <w:uiPriority w:val="99"/>
    <w:semiHidden/>
    <w:rsid w:val="008A62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622B"/>
    <w:rPr>
      <w:b/>
      <w:bCs/>
    </w:rPr>
  </w:style>
  <w:style w:type="character" w:customStyle="1" w:styleId="CommentSubjectChar">
    <w:name w:val="Comment Subject Char"/>
    <w:basedOn w:val="CommentTextChar"/>
    <w:link w:val="CommentSubject"/>
    <w:uiPriority w:val="99"/>
    <w:semiHidden/>
    <w:rsid w:val="008A622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0B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B67"/>
    <w:rPr>
      <w:rFonts w:ascii="Segoe UI" w:eastAsia="Times New Roman" w:hAnsi="Segoe UI" w:cs="Segoe UI"/>
      <w:sz w:val="18"/>
      <w:szCs w:val="18"/>
    </w:rPr>
  </w:style>
  <w:style w:type="paragraph" w:styleId="ListParagraph">
    <w:name w:val="List Paragraph"/>
    <w:basedOn w:val="Normal"/>
    <w:uiPriority w:val="34"/>
    <w:qFormat/>
    <w:rsid w:val="00927005"/>
    <w:pPr>
      <w:overflowPunct w:val="0"/>
      <w:autoSpaceDE w:val="0"/>
      <w:autoSpaceDN w:val="0"/>
      <w:adjustRightInd w:val="0"/>
      <w:ind w:left="720"/>
      <w:contextualSpacing/>
      <w:textAlignment w:val="baseline"/>
    </w:pPr>
    <w:rPr>
      <w:szCs w:val="20"/>
    </w:rPr>
  </w:style>
  <w:style w:type="character" w:styleId="FollowedHyperlink">
    <w:name w:val="FollowedHyperlink"/>
    <w:basedOn w:val="DefaultParagraphFont"/>
    <w:uiPriority w:val="99"/>
    <w:semiHidden/>
    <w:unhideWhenUsed/>
    <w:rsid w:val="00E11A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2.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6.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unhcr.org/ua/en/45221-ukraine-other-conflicts-push-forcibly-displaced-total-over-100-million-for-first-time.html" TargetMode="External"/><Relationship Id="rId2" Type="http://schemas.openxmlformats.org/officeDocument/2006/relationships/hyperlink" Target="https://data2.unhcr.org/en/situations/ukraine" TargetMode="External"/><Relationship Id="rId1" Type="http://schemas.openxmlformats.org/officeDocument/2006/relationships/hyperlink" Target="https://www.eesc.europa.eu/fi/documents/resolution/war-ukraine-and-its-economic-social-and-environmental-impact" TargetMode="External"/><Relationship Id="rId5" Type="http://schemas.openxmlformats.org/officeDocument/2006/relationships/hyperlink" Target="https://www.eesc.europa.eu/fi/documents/resolution/war-ukraine-and-its-economic-social-and-environmental-impact" TargetMode="External"/><Relationship Id="rId4" Type="http://schemas.openxmlformats.org/officeDocument/2006/relationships/hyperlink" Target="https://data2.unhcr.org/en/situations/ukra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P6FJPSUHKDC2-288331576-5157</_dlc_DocId>
    <_dlc_DocIdUrl xmlns="1299d781-265f-4ceb-999e-e1eca3df2c90">
      <Url>http://dm2016/eesc/2022/_layouts/15/DocIdRedir.aspx?ID=P6FJPSUHKDC2-288331576-5157</Url>
      <Description>P6FJPSUHKDC2-288331576-5157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2022-06-21T12:00:00+00:00</ProductionDate>
    <DocumentNumber xmlns="4a7f0de2-9719-4c76-97f8-3d69024ce342">2974</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175</Value>
      <Value>179</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7621</FicheNumber>
    <OriginalSender xmlns="1299d781-265f-4ceb-999e-e1eca3df2c90">
      <UserInfo>
        <DisplayName>Paakkulainen Anna</DisplayName>
        <AccountId>1685</AccountId>
        <AccountType/>
      </UserInfo>
    </OriginalSender>
    <DocumentPart xmlns="1299d781-265f-4ceb-999e-e1eca3df2c90">0</DocumentPart>
    <AdoptionDate xmlns="1299d781-265f-4ceb-999e-e1eca3df2c90">2022-06-16T12:00:00+00:00</AdoptionDate>
    <RequestingService xmlns="1299d781-265f-4ceb-999e-e1eca3df2c90">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UK</TermName>
          <TermId xmlns="http://schemas.microsoft.com/office/infopath/2007/PartnerControls">274d0eb9-9700-4986-ba2a-70ca948ab752</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F06FE246-018B-46EA-84A7-98915A3EEB9F}"/>
</file>

<file path=customXml/itemProps2.xml><?xml version="1.0" encoding="utf-8"?>
<ds:datastoreItem xmlns:ds="http://schemas.openxmlformats.org/officeDocument/2006/customXml" ds:itemID="{6A442035-A76F-4E7E-815E-6633FF02D871}"/>
</file>

<file path=customXml/itemProps3.xml><?xml version="1.0" encoding="utf-8"?>
<ds:datastoreItem xmlns:ds="http://schemas.openxmlformats.org/officeDocument/2006/customXml" ds:itemID="{0F99FAE3-BBBC-4BCA-A670-844FBF7BA4AF}"/>
</file>

<file path=customXml/itemProps4.xml><?xml version="1.0" encoding="utf-8"?>
<ds:datastoreItem xmlns:ds="http://schemas.openxmlformats.org/officeDocument/2006/customXml" ds:itemID="{C782A07F-6D86-451B-B300-08F878E5403D}"/>
</file>

<file path=docProps/app.xml><?xml version="1.0" encoding="utf-8"?>
<Properties xmlns="http://schemas.openxmlformats.org/officeDocument/2006/extended-properties" xmlns:vt="http://schemas.openxmlformats.org/officeDocument/2006/docPropsVTypes">
  <Template>Normal</Template>
  <TotalTime>2</TotalTime>
  <Pages>10</Pages>
  <Words>3522</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RESOLUTION</vt:lpstr>
    </vt:vector>
  </TitlesOfParts>
  <Company>CESE-CdR</Company>
  <LinksUpToDate>false</LinksUpToDate>
  <CharactersWithSpaces>23557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Päätöslauselma - Ukraina: hätäavusta jälleenrakentamiseen - Euroopan kansalaisyhteiskunnan ehdotuksia</dc:title>
  <dc:subject>RES</dc:subject>
  <dc:creator>Francois Aude</dc:creator>
  <cp:keywords>EESC-2022-02974-00-00-RES-TRA-EN</cp:keywords>
  <dc:description>Rapporteur:  - Original language: EN - Date of document: 21/06/2022 - Date of meeting:  - External documents:  - Administrator: MME ALBRECHTOVA Katarina</dc:description>
  <cp:lastModifiedBy>Paakkulainen Anna</cp:lastModifiedBy>
  <cp:revision>9</cp:revision>
  <dcterms:created xsi:type="dcterms:W3CDTF">2022-06-16T15:10:00Z</dcterms:created>
  <dcterms:modified xsi:type="dcterms:W3CDTF">2022-06-21T07:08:00Z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2" name="Pref_formatted">
    <vt:bool>true</vt:bool>
  </property>
  <property fmtid="{D5CDD505-2E9C-101B-9397-08002B2CF9AE}" pid="33" name="Pref_Date">
    <vt:lpwstr>16/06/2022</vt:lpwstr>
  </property>
  <property fmtid="{D5CDD505-2E9C-101B-9397-08002B2CF9AE}" pid="34" name="Pref_Time">
    <vt:lpwstr>17:06:04</vt:lpwstr>
  </property>
  <property fmtid="{D5CDD505-2E9C-101B-9397-08002B2CF9AE}" pid="35" name="Pref_User">
    <vt:lpwstr>pacup</vt:lpwstr>
  </property>
  <property fmtid="{D5CDD505-2E9C-101B-9397-08002B2CF9AE}" pid="36" name="Pref_FileName">
    <vt:lpwstr>EESC-2022-02974-00-00-RES-TRA-EN-CRR.docx</vt:lpwstr>
  </property>
  <property fmtid="{D5CDD505-2E9C-101B-9397-08002B2CF9AE}" pid="37" name="ContentTypeId">
    <vt:lpwstr>0x010100EA97B91038054C99906057A708A1480A00B7EA8BE5AE7448468DCE544D2FDA8E5D</vt:lpwstr>
  </property>
  <property fmtid="{D5CDD505-2E9C-101B-9397-08002B2CF9AE}" pid="38" name="_dlc_DocIdItemGuid">
    <vt:lpwstr>620e6986-1f8b-44d0-b31c-ea64453c60f5</vt:lpwstr>
  </property>
  <property fmtid="{D5CDD505-2E9C-101B-9397-08002B2CF9AE}" pid="39" name="AvailableTranslations">
    <vt:lpwstr>29;#SV|c2ed69e7-a339-43d7-8f22-d93680a92aa0;#43;#NL|55c6556c-b4f4-441d-9acf-c498d4f838bd;#54;#ET|ff6c3f4c-b02c-4c3c-ab07-2c37995a7a0a;#4;#EN|f2175f21-25d7-44a3-96da-d6a61b075e1b;#11;#FR|d2afafd3-4c81-4f60-8f52-ee33f2f54ff3;#30;#PL|1e03da61-4678-4e07-b136-b5024ca9197b;#35;#MT|7df99101-6854-4a26-b53a-b88c0da02c26;#26;#LV|46f7e311-5d9f-4663-b433-18aeccb7ace7;#41;#CS|72f9705b-0217-4fd3-bea2-cbc7ed80e26e;#179;#UK|274d0eb9-9700-4986-ba2a-70ca948ab752;#40;#BG|1a1b3951-7821-4e6a-85f5-5673fc08bd2c;#34;#SK|46d9fce0-ef79-4f71-b89b-cd6aa82426b8;#37;#PT|50ccc04a-eadd-42ae-a0cb-acaf45f812ba;#45;#RO|feb747a2-64cd-4299-af12-4833ddc30497;#55;#HR|2f555653-ed1a-4fe6-8362-9082d95989e5;#42;#SL|98a412ae-eb01-49e9-ae3d-585a81724cfc;#31;#ES|e7a6b05b-ae16-40c8-add9-68b64b03aeba;#32;#DA|5d49c027-8956-412b-aa16-e85a0f96ad0e;#44;#LT|a7ff5ce7-6123-4f68-865a-a57c31810414;#38;#FI|87606a43-d45f-42d6-b8c9-e1a3457db5b7;#22;#DE|f6b31e5a-26fa-4935-b661-318e46daf27e;#36;#HU|6b229040-c589-4408-b4c1-4285663d20a8;#46;#EL|6d4f4d51-af9b-4650-94b4-4276bee85c91;#33;#IT|0774613c-01ed-4e5d-a25d-11d2388de825</vt:lpwstr>
  </property>
  <property fmtid="{D5CDD505-2E9C-101B-9397-08002B2CF9AE}" pid="40" name="DocumentType_0">
    <vt:lpwstr>RES|9e3e62eb-6858-4bc7-8a50-3453e395fd01</vt:lpwstr>
  </property>
  <property fmtid="{D5CDD505-2E9C-101B-9397-08002B2CF9AE}" pid="41" name="DossierName_0">
    <vt:lpwstr/>
  </property>
  <property fmtid="{D5CDD505-2E9C-101B-9397-08002B2CF9AE}" pid="42" name="DocumentSource_0">
    <vt:lpwstr>EESC|422833ec-8d7e-4e65-8e4e-8bed07ffb729</vt:lpwstr>
  </property>
  <property fmtid="{D5CDD505-2E9C-101B-9397-08002B2CF9AE}" pid="43" name="DocumentNumber">
    <vt:i4>2974</vt:i4>
  </property>
  <property fmtid="{D5CDD505-2E9C-101B-9397-08002B2CF9AE}" pid="44" name="DocumentYear">
    <vt:i4>2022</vt:i4>
  </property>
  <property fmtid="{D5CDD505-2E9C-101B-9397-08002B2CF9AE}" pid="45" name="DocumentVersion">
    <vt:i4>0</vt:i4>
  </property>
  <property fmtid="{D5CDD505-2E9C-101B-9397-08002B2CF9AE}" pid="46" name="FicheNumber">
    <vt:i4>7621</vt:i4>
  </property>
  <property fmtid="{D5CDD505-2E9C-101B-9397-08002B2CF9AE}" pid="47" name="DocumentStatus">
    <vt:lpwstr>7;#TRA|150d2a88-1431-44e6-a8ca-0bb753ab8672</vt:lpwstr>
  </property>
  <property fmtid="{D5CDD505-2E9C-101B-9397-08002B2CF9AE}" pid="48" name="DocumentPart">
    <vt:i4>0</vt:i4>
  </property>
  <property fmtid="{D5CDD505-2E9C-101B-9397-08002B2CF9AE}" pid="49" name="DossierName">
    <vt:lpwstr/>
  </property>
  <property fmtid="{D5CDD505-2E9C-101B-9397-08002B2CF9AE}" pid="50" name="DocumentSource">
    <vt:lpwstr>1;#EESC|422833ec-8d7e-4e65-8e4e-8bed07ffb729</vt:lpwstr>
  </property>
  <property fmtid="{D5CDD505-2E9C-101B-9397-08002B2CF9AE}" pid="51" name="AdoptionDate">
    <vt:filetime>2022-06-16T12:00:00Z</vt:filetime>
  </property>
  <property fmtid="{D5CDD505-2E9C-101B-9397-08002B2CF9AE}" pid="52" name="DocumentType">
    <vt:lpwstr>175;#RES|9e3e62eb-6858-4bc7-8a50-3453e395fd01</vt:lpwstr>
  </property>
  <property fmtid="{D5CDD505-2E9C-101B-9397-08002B2CF9AE}" pid="53" name="RequestingService">
    <vt:lpwstr>Relations extérieures</vt:lpwstr>
  </property>
  <property fmtid="{D5CDD505-2E9C-101B-9397-08002B2CF9AE}" pid="54" name="Confidentiality">
    <vt:lpwstr>9;#Unrestricted|826e22d7-d029-4ec0-a450-0c28ff673572</vt:lpwstr>
  </property>
  <property fmtid="{D5CDD505-2E9C-101B-9397-08002B2CF9AE}" pid="55" name="MeetingName_0">
    <vt:lpwstr/>
  </property>
  <property fmtid="{D5CDD505-2E9C-101B-9397-08002B2CF9AE}" pid="56" name="Confidentiality_0">
    <vt:lpwstr>Unrestricted|826e22d7-d029-4ec0-a450-0c28ff673572</vt:lpwstr>
  </property>
  <property fmtid="{D5CDD505-2E9C-101B-9397-08002B2CF9AE}" pid="57" name="OriginalLanguage">
    <vt:lpwstr>4;#EN|f2175f21-25d7-44a3-96da-d6a61b075e1b</vt:lpwstr>
  </property>
  <property fmtid="{D5CDD505-2E9C-101B-9397-08002B2CF9AE}" pid="58" name="MeetingName">
    <vt:lpwstr/>
  </property>
  <property fmtid="{D5CDD505-2E9C-101B-9397-08002B2CF9AE}" pid="60" name="AvailableTranslations_0">
    <vt:lpwstr>SV|c2ed69e7-a339-43d7-8f22-d93680a92aa0;NL|55c6556c-b4f4-441d-9acf-c498d4f838bd;EN|f2175f21-25d7-44a3-96da-d6a61b075e1b;FR|d2afafd3-4c81-4f60-8f52-ee33f2f54ff3;PL|1e03da61-4678-4e07-b136-b5024ca9197b;MT|7df99101-6854-4a26-b53a-b88c0da02c26;LV|46f7e311-5d9f-4663-b433-18aeccb7ace7;CS|72f9705b-0217-4fd3-bea2-cbc7ed80e26e;BG|1a1b3951-7821-4e6a-85f5-5673fc08bd2c;SK|46d9fce0-ef79-4f71-b89b-cd6aa82426b8;PT|50ccc04a-eadd-42ae-a0cb-acaf45f812ba;HR|2f555653-ed1a-4fe6-8362-9082d95989e5;SL|98a412ae-eb01-49e9-ae3d-585a81724cfc;ES|e7a6b05b-ae16-40c8-add9-68b64b03aeba;DA|5d49c027-8956-412b-aa16-e85a0f96ad0e;LT|a7ff5ce7-6123-4f68-865a-a57c31810414;DE|f6b31e5a-26fa-4935-b661-318e46daf27e;HU|6b229040-c589-4408-b4c1-4285663d20a8;EL|6d4f4d51-af9b-4650-94b4-4276bee85c91;IT|0774613c-01ed-4e5d-a25d-11d2388de825</vt:lpwstr>
  </property>
  <property fmtid="{D5CDD505-2E9C-101B-9397-08002B2CF9AE}" pid="61" name="DocumentStatus_0">
    <vt:lpwstr>TRA|150d2a88-1431-44e6-a8ca-0bb753ab8672</vt:lpwstr>
  </property>
  <property fmtid="{D5CDD505-2E9C-101B-9397-08002B2CF9AE}" pid="62" name="OriginalLanguage_0">
    <vt:lpwstr>EN|f2175f21-25d7-44a3-96da-d6a61b075e1b</vt:lpwstr>
  </property>
  <property fmtid="{D5CDD505-2E9C-101B-9397-08002B2CF9AE}" pid="63" name="TaxCatchAll">
    <vt:lpwstr>36;#HU|6b229040-c589-4408-b4c1-4285663d20a8;#35;#MT|7df99101-6854-4a26-b53a-b88c0da02c26;#34;#SK|46d9fce0-ef79-4f71-b89b-cd6aa82426b8;#33;#IT|0774613c-01ed-4e5d-a25d-11d2388de825;#32;#DA|5d49c027-8956-412b-aa16-e85a0f96ad0e;#31;#ES|e7a6b05b-ae16-40c8-add9-68b64b03aeba;#30;#PL|1e03da61-4678-4e07-b136-b5024ca9197b;#29;#SV|c2ed69e7-a339-43d7-8f22-d93680a92aa0;#175;#RES|9e3e62eb-6858-4bc7-8a50-3453e395fd01;#26;#LV|46f7e311-5d9f-4663-b433-18aeccb7ace7;#44;#LT|a7ff5ce7-6123-4f68-865a-a57c31810414;#37;#PT|50ccc04a-eadd-42ae-a0cb-acaf45f812ba;#22;#DE|f6b31e5a-26fa-4935-b661-318e46daf27e;#55;#HR|2f555653-ed1a-4fe6-8362-9082d95989e5;#46;#EL|6d4f4d51-af9b-4650-94b4-4276bee85c91;#11;#FR|d2afafd3-4c81-4f60-8f52-ee33f2f54ff3;#9;#Unrestricted|826e22d7-d029-4ec0-a450-0c28ff673572;#41;#CS|72f9705b-0217-4fd3-bea2-cbc7ed80e26e;#7;#TRA|150d2a88-1431-44e6-a8ca-0bb753ab8672;#43;#NL|55c6556c-b4f4-441d-9acf-c498d4f838bd;#42;#SL|98a412ae-eb01-49e9-ae3d-585a81724cfc;#4;#EN|f2175f21-25d7-44a3-96da-d6a61b075e1b;#40;#BG|1a1b3951-7821-4e6a-85f5-5673fc08bd2c;#1;#EESC|422833ec-8d7e-4e65-8e4e-8bed07ffb729;#6;#Final|ea5e6674-7b27-4bac-b091-73adbb394efe</vt:lpwstr>
  </property>
  <property fmtid="{D5CDD505-2E9C-101B-9397-08002B2CF9AE}" pid="64" name="VersionStatus_0">
    <vt:lpwstr>Final|ea5e6674-7b27-4bac-b091-73adbb394efe</vt:lpwstr>
  </property>
  <property fmtid="{D5CDD505-2E9C-101B-9397-08002B2CF9AE}" pid="65" name="VersionStatus">
    <vt:lpwstr>6;#Final|ea5e6674-7b27-4bac-b091-73adbb394efe</vt:lpwstr>
  </property>
  <property fmtid="{D5CDD505-2E9C-101B-9397-08002B2CF9AE}" pid="66" name="DocumentLanguage">
    <vt:lpwstr>38;#FI|87606a43-d45f-42d6-b8c9-e1a3457db5b7</vt:lpwstr>
  </property>
</Properties>
</file>