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7.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3"/>
      </w:tblGrid>
      <w:tr w:rsidR="00D9719A">
        <w:trPr>
          <w:jc w:val="center"/>
        </w:trPr>
        <w:tc>
          <w:tcPr>
            <w:tcW w:w="5000" w:type="pct"/>
            <w:vAlign w:val="center"/>
          </w:tcPr>
          <w:p w:rsidRPr="00E11A78" w:rsidR="0050393E" w:rsidP="004C005C" w:rsidRDefault="0050393E">
            <w:pPr>
              <w:jc w:val="center"/>
              <w:rPr>
                <w:b/>
                <w:sz w:val="72"/>
                <w:szCs w:val="72"/>
              </w:rPr>
            </w:pPr>
            <w:r>
              <w:rPr>
                <w:b/>
                <w:sz w:val="72"/>
              </w:rPr>
              <w:t>RESOLUTSIOON</w:t>
            </w:r>
          </w:p>
        </w:tc>
      </w:tr>
      <w:tr w:rsidR="00D9719A">
        <w:trPr>
          <w:trHeight w:val="567"/>
          <w:jc w:val="center"/>
        </w:trPr>
        <w:tc>
          <w:tcPr>
            <w:tcW w:w="5000" w:type="pct"/>
            <w:vAlign w:val="center"/>
          </w:tcPr>
          <w:p w:rsidRPr="00E11A78" w:rsidR="0050393E" w:rsidP="004C005C" w:rsidRDefault="0050393E">
            <w:pPr>
              <w:jc w:val="center"/>
              <w:rPr>
                <w:sz w:val="24"/>
                <w:szCs w:val="24"/>
              </w:rPr>
            </w:pPr>
            <w:r>
              <w:rPr>
                <w:sz w:val="24"/>
              </w:rPr>
              <w:t>Euroopa Majandus- ja Sotsiaalkomitee</w:t>
            </w:r>
          </w:p>
        </w:tc>
      </w:tr>
      <w:tr w:rsidR="00D9719A">
        <w:trPr>
          <w:jc w:val="center"/>
        </w:trPr>
        <w:tc>
          <w:tcPr>
            <w:tcW w:w="5000" w:type="pct"/>
            <w:vAlign w:val="center"/>
          </w:tcPr>
          <w:p w:rsidRPr="00E11A78" w:rsidR="0050393E" w:rsidP="00B411A6" w:rsidRDefault="005B6335">
            <w:pPr>
              <w:jc w:val="center"/>
              <w:rPr>
                <w:b/>
                <w:sz w:val="44"/>
                <w:szCs w:val="44"/>
              </w:rPr>
            </w:pPr>
            <w:bookmarkStart w:name="_GoBack" w:id="0"/>
            <w:r>
              <w:rPr>
                <w:b/>
                <w:sz w:val="44"/>
              </w:rPr>
              <w:t>Ukraina abistamine ja ülesehitamine: Euroop</w:t>
            </w:r>
            <w:r w:rsidR="00B411A6">
              <w:rPr>
                <w:b/>
                <w:sz w:val="44"/>
              </w:rPr>
              <w:t>a kodanikuühiskonna ettepanekud</w:t>
            </w:r>
            <w:bookmarkEnd w:id="0"/>
          </w:p>
        </w:tc>
      </w:tr>
      <w:tr w:rsidR="00D9719A">
        <w:trPr>
          <w:jc w:val="center"/>
        </w:trPr>
        <w:tc>
          <w:tcPr>
            <w:tcW w:w="5000" w:type="pct"/>
            <w:vAlign w:val="center"/>
          </w:tcPr>
          <w:p w:rsidRPr="00E11A78" w:rsidR="0050393E" w:rsidP="004C005C" w:rsidRDefault="0050393E">
            <w:pPr>
              <w:jc w:val="center"/>
              <w:rPr>
                <w:sz w:val="24"/>
                <w:szCs w:val="24"/>
                <w:lang w:val="en-GB"/>
              </w:rPr>
            </w:pPr>
          </w:p>
        </w:tc>
      </w:tr>
      <w:tr w:rsidR="00D9719A">
        <w:trPr>
          <w:jc w:val="center"/>
        </w:trPr>
        <w:tc>
          <w:tcPr>
            <w:tcW w:w="5000" w:type="pct"/>
            <w:vAlign w:val="center"/>
          </w:tcPr>
          <w:p w:rsidRPr="00E11A78" w:rsidR="0050393E" w:rsidP="004C005C" w:rsidRDefault="0050393E">
            <w:pPr>
              <w:overflowPunct w:val="0"/>
              <w:autoSpaceDE w:val="0"/>
              <w:autoSpaceDN w:val="0"/>
              <w:adjustRightInd w:val="0"/>
              <w:jc w:val="center"/>
              <w:textAlignment w:val="baseline"/>
              <w:rPr>
                <w:b/>
                <w:position w:val="24"/>
                <w:sz w:val="24"/>
                <w:szCs w:val="24"/>
              </w:rPr>
            </w:pPr>
            <w:r>
              <w:rPr>
                <w:sz w:val="24"/>
              </w:rPr>
              <w:t>_____________</w:t>
            </w:r>
          </w:p>
        </w:tc>
      </w:tr>
      <w:tr w:rsidR="00D9719A">
        <w:trPr>
          <w:jc w:val="center"/>
        </w:trPr>
        <w:tc>
          <w:tcPr>
            <w:tcW w:w="5000" w:type="pct"/>
            <w:vAlign w:val="center"/>
          </w:tcPr>
          <w:p w:rsidRPr="00E11A78" w:rsidR="0050393E" w:rsidP="004C005C" w:rsidRDefault="0050393E">
            <w:pPr>
              <w:jc w:val="center"/>
              <w:rPr>
                <w:sz w:val="24"/>
                <w:szCs w:val="24"/>
                <w:lang w:val="en-GB"/>
              </w:rPr>
            </w:pPr>
          </w:p>
        </w:tc>
      </w:tr>
      <w:tr w:rsidR="00D9719A">
        <w:trPr>
          <w:jc w:val="center"/>
        </w:trPr>
        <w:tc>
          <w:tcPr>
            <w:tcW w:w="5000" w:type="pct"/>
            <w:vAlign w:val="center"/>
          </w:tcPr>
          <w:p w:rsidRPr="00E11A78" w:rsidR="0050393E" w:rsidP="00A67EF8" w:rsidRDefault="0050393E">
            <w:pPr>
              <w:jc w:val="center"/>
              <w:rPr>
                <w:b/>
                <w:sz w:val="24"/>
                <w:szCs w:val="24"/>
              </w:rPr>
            </w:pPr>
            <w:r>
              <w:rPr>
                <w:sz w:val="24"/>
              </w:rPr>
              <w:t xml:space="preserve">Raportöörid: </w:t>
            </w:r>
          </w:p>
          <w:p w:rsidRPr="00E11A78" w:rsidR="005B6335" w:rsidP="005B6335" w:rsidRDefault="005B6335">
            <w:pPr>
              <w:jc w:val="center"/>
              <w:rPr>
                <w:b/>
                <w:sz w:val="24"/>
                <w:szCs w:val="24"/>
              </w:rPr>
            </w:pPr>
            <w:proofErr w:type="spellStart"/>
            <w:r>
              <w:rPr>
                <w:b/>
                <w:sz w:val="24"/>
              </w:rPr>
              <w:t>Stefano</w:t>
            </w:r>
            <w:proofErr w:type="spellEnd"/>
            <w:r>
              <w:rPr>
                <w:b/>
                <w:sz w:val="24"/>
              </w:rPr>
              <w:t xml:space="preserve"> </w:t>
            </w:r>
            <w:proofErr w:type="spellStart"/>
            <w:r>
              <w:rPr>
                <w:b/>
                <w:sz w:val="24"/>
              </w:rPr>
              <w:t>Mallia</w:t>
            </w:r>
            <w:proofErr w:type="spellEnd"/>
          </w:p>
          <w:p w:rsidRPr="00E11A78" w:rsidR="005B6335" w:rsidP="005B6335" w:rsidRDefault="005B6335">
            <w:pPr>
              <w:jc w:val="center"/>
              <w:rPr>
                <w:b/>
                <w:sz w:val="24"/>
                <w:szCs w:val="24"/>
              </w:rPr>
            </w:pPr>
            <w:r>
              <w:rPr>
                <w:b/>
                <w:sz w:val="24"/>
              </w:rPr>
              <w:t xml:space="preserve">Oliver </w:t>
            </w:r>
            <w:proofErr w:type="spellStart"/>
            <w:r>
              <w:rPr>
                <w:b/>
                <w:sz w:val="24"/>
              </w:rPr>
              <w:t>Röpke</w:t>
            </w:r>
            <w:proofErr w:type="spellEnd"/>
          </w:p>
          <w:p w:rsidRPr="00E11A78" w:rsidR="005B6335" w:rsidP="005B6335" w:rsidRDefault="005B6335">
            <w:pPr>
              <w:jc w:val="center"/>
              <w:rPr>
                <w:b/>
                <w:sz w:val="24"/>
                <w:szCs w:val="24"/>
              </w:rPr>
            </w:pPr>
            <w:proofErr w:type="spellStart"/>
            <w:r>
              <w:rPr>
                <w:b/>
                <w:sz w:val="24"/>
              </w:rPr>
              <w:t>Séamus</w:t>
            </w:r>
            <w:proofErr w:type="spellEnd"/>
            <w:r>
              <w:rPr>
                <w:b/>
                <w:sz w:val="24"/>
              </w:rPr>
              <w:t xml:space="preserve"> </w:t>
            </w:r>
            <w:proofErr w:type="spellStart"/>
            <w:r>
              <w:rPr>
                <w:b/>
                <w:sz w:val="24"/>
              </w:rPr>
              <w:t>Boland</w:t>
            </w:r>
            <w:proofErr w:type="spellEnd"/>
          </w:p>
        </w:tc>
      </w:tr>
    </w:tbl>
    <w:p w:rsidRPr="00E11A78" w:rsidR="00574C9B" w:rsidP="00574C9B" w:rsidRDefault="00574C9B">
      <w:r>
        <w:rPr>
          <w:noProof/>
          <w:sz w:val="20"/>
          <w:lang w:val="en-US"/>
        </w:rPr>
        <mc:AlternateContent>
          <mc:Choice Requires="wps">
            <w:drawing>
              <wp:anchor distT="0" distB="0" distL="114300" distR="114300" simplePos="0" relativeHeight="251659264" behindDoc="1" locked="0" layoutInCell="0" allowOverlap="1" wp14:editId="371EF5B6" wp14:anchorId="30729731">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0729731">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b/>
                          <w:sz w:val="48"/>
                        </w:rPr>
                        <w:t>ET</w:t>
                      </w:r>
                    </w:p>
                  </w:txbxContent>
                </v:textbox>
                <w10:wrap anchorx="margin" anchory="page"/>
              </v:shape>
            </w:pict>
          </mc:Fallback>
        </mc:AlternateContent>
      </w:r>
    </w:p>
    <w:p w:rsidRPr="00E11A78" w:rsidR="00574C9B" w:rsidP="00574C9B" w:rsidRDefault="00574C9B">
      <w:pPr>
        <w:rPr>
          <w:lang w:val="en-GB"/>
        </w:rPr>
      </w:pPr>
    </w:p>
    <w:p w:rsidRPr="00E11A78" w:rsidR="00574C9B" w:rsidP="00574C9B" w:rsidRDefault="00574C9B">
      <w:pPr>
        <w:rPr>
          <w:lang w:val="en-GB"/>
        </w:rPr>
        <w:sectPr w:rsidRPr="00E11A78" w:rsidR="00574C9B" w:rsidSect="00DA14A6">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9719A">
        <w:tc>
          <w:tcPr>
            <w:tcW w:w="3085" w:type="dxa"/>
          </w:tcPr>
          <w:p w:rsidRPr="00E11A78" w:rsidR="00AC5114" w:rsidP="0058411F" w:rsidRDefault="00AC5114">
            <w:pPr>
              <w:autoSpaceDE w:val="0"/>
              <w:autoSpaceDN w:val="0"/>
              <w:jc w:val="left"/>
            </w:pPr>
            <w:r>
              <w:lastRenderedPageBreak/>
              <w:t>Õiguslik alus</w:t>
            </w:r>
          </w:p>
        </w:tc>
        <w:tc>
          <w:tcPr>
            <w:tcW w:w="6204" w:type="dxa"/>
            <w:vAlign w:val="bottom"/>
          </w:tcPr>
          <w:p w:rsidRPr="00E11A78" w:rsidR="00AC5114" w:rsidP="00850B67" w:rsidRDefault="00AC5114">
            <w:pPr>
              <w:autoSpaceDE w:val="0"/>
              <w:autoSpaceDN w:val="0"/>
              <w:jc w:val="left"/>
            </w:pPr>
            <w:r>
              <w:t>Kodukorra artikli 52 lõige 4</w:t>
            </w:r>
          </w:p>
        </w:tc>
      </w:tr>
      <w:tr w:rsidR="00D9719A">
        <w:tc>
          <w:tcPr>
            <w:tcW w:w="3085" w:type="dxa"/>
          </w:tcPr>
          <w:p w:rsidRPr="00E11A78" w:rsidR="0058411F" w:rsidP="0058411F" w:rsidRDefault="0058411F">
            <w:pPr>
              <w:autoSpaceDE w:val="0"/>
              <w:autoSpaceDN w:val="0"/>
              <w:jc w:val="left"/>
            </w:pPr>
            <w:r>
              <w:t>Vastuvõtmine täiskogus</w:t>
            </w:r>
          </w:p>
        </w:tc>
        <w:tc>
          <w:tcPr>
            <w:tcW w:w="6204" w:type="dxa"/>
            <w:vAlign w:val="bottom"/>
          </w:tcPr>
          <w:p w:rsidRPr="00E11A78" w:rsidR="0058411F" w:rsidP="0058411F" w:rsidRDefault="005B6335">
            <w:pPr>
              <w:autoSpaceDE w:val="0"/>
              <w:autoSpaceDN w:val="0"/>
              <w:jc w:val="left"/>
            </w:pPr>
            <w:r>
              <w:t>16/06/2022</w:t>
            </w:r>
          </w:p>
        </w:tc>
      </w:tr>
      <w:tr w:rsidR="00D9719A">
        <w:tc>
          <w:tcPr>
            <w:tcW w:w="3085" w:type="dxa"/>
          </w:tcPr>
          <w:p w:rsidRPr="00E11A78" w:rsidR="0058411F" w:rsidP="0058411F" w:rsidRDefault="0058411F">
            <w:pPr>
              <w:autoSpaceDE w:val="0"/>
              <w:autoSpaceDN w:val="0"/>
              <w:jc w:val="left"/>
            </w:pPr>
            <w:r>
              <w:t>Täiskogu istungjärk nr</w:t>
            </w:r>
          </w:p>
        </w:tc>
        <w:tc>
          <w:tcPr>
            <w:tcW w:w="6204" w:type="dxa"/>
            <w:vAlign w:val="bottom"/>
          </w:tcPr>
          <w:p w:rsidRPr="00E11A78" w:rsidR="0058411F" w:rsidP="0058411F" w:rsidRDefault="005B6335">
            <w:pPr>
              <w:autoSpaceDE w:val="0"/>
              <w:autoSpaceDN w:val="0"/>
              <w:jc w:val="left"/>
            </w:pPr>
            <w:r>
              <w:t>570</w:t>
            </w:r>
          </w:p>
        </w:tc>
      </w:tr>
      <w:tr w:rsidR="00D9719A">
        <w:tc>
          <w:tcPr>
            <w:tcW w:w="3085" w:type="dxa"/>
          </w:tcPr>
          <w:p w:rsidRPr="00E11A78" w:rsidR="0058411F" w:rsidP="0058411F" w:rsidRDefault="0058411F">
            <w:pPr>
              <w:autoSpaceDE w:val="0"/>
              <w:autoSpaceDN w:val="0"/>
              <w:jc w:val="left"/>
            </w:pPr>
            <w:r>
              <w:t>Hääletuse tulemus (poolt/vastu/erapooletuid)</w:t>
            </w:r>
          </w:p>
        </w:tc>
        <w:tc>
          <w:tcPr>
            <w:tcW w:w="6204" w:type="dxa"/>
            <w:vAlign w:val="bottom"/>
          </w:tcPr>
          <w:p w:rsidRPr="00E11A78" w:rsidR="0058411F" w:rsidP="0058411F" w:rsidRDefault="00100F87">
            <w:pPr>
              <w:autoSpaceDE w:val="0"/>
              <w:autoSpaceDN w:val="0"/>
              <w:jc w:val="left"/>
            </w:pPr>
            <w:r>
              <w:t>206/2/2</w:t>
            </w:r>
          </w:p>
        </w:tc>
      </w:tr>
    </w:tbl>
    <w:p w:rsidRPr="00E11A78" w:rsidR="00AC5114" w:rsidP="00574C9B" w:rsidRDefault="00AC5114">
      <w:pPr>
        <w:rPr>
          <w:lang w:val="en-GB"/>
        </w:rPr>
      </w:pPr>
    </w:p>
    <w:p w:rsidRPr="00E11A78" w:rsidR="00AC5114" w:rsidP="00574C9B" w:rsidRDefault="00AC5114">
      <w:pPr>
        <w:rPr>
          <w:lang w:val="en-GB"/>
        </w:rPr>
        <w:sectPr w:rsidRPr="00E11A78" w:rsidR="00AC5114" w:rsidSect="00DA14A6">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tbl>
      <w:tblPr>
        <w:tblStyle w:val="TableGrid"/>
        <w:tblW w:w="0" w:type="auto"/>
        <w:tblLook w:val="04A0" w:firstRow="1" w:lastRow="0" w:firstColumn="1" w:lastColumn="0" w:noHBand="0" w:noVBand="1"/>
      </w:tblPr>
      <w:tblGrid>
        <w:gridCol w:w="9063"/>
      </w:tblGrid>
      <w:tr w:rsidR="00D9719A">
        <w:tc>
          <w:tcPr>
            <w:tcW w:w="9063" w:type="dxa"/>
          </w:tcPr>
          <w:p w:rsidRPr="003201C6" w:rsidR="00927005" w:rsidP="00C00531" w:rsidRDefault="00927005">
            <w:pPr>
              <w:rPr>
                <w:lang w:val="en-GB"/>
              </w:rPr>
            </w:pPr>
          </w:p>
          <w:p w:rsidRPr="003201C6" w:rsidR="00927005" w:rsidP="00C00531" w:rsidRDefault="00927005">
            <w:pPr>
              <w:jc w:val="center"/>
              <w:rPr>
                <w:b/>
              </w:rPr>
            </w:pPr>
            <w:r>
              <w:rPr>
                <w:b/>
              </w:rPr>
              <w:t>Põhisõnumid</w:t>
            </w:r>
          </w:p>
          <w:p w:rsidRPr="003201C6" w:rsidR="00927005" w:rsidP="00C00531" w:rsidRDefault="00927005">
            <w:pPr>
              <w:rPr>
                <w:b/>
                <w:lang w:val="en-GB"/>
              </w:rPr>
            </w:pPr>
          </w:p>
          <w:p w:rsidRPr="00E11A78" w:rsidR="00927005" w:rsidP="00E11A78" w:rsidRDefault="00927005">
            <w:pPr>
              <w:pStyle w:val="ListParagraph"/>
              <w:numPr>
                <w:ilvl w:val="0"/>
                <w:numId w:val="3"/>
              </w:numPr>
            </w:pPr>
            <w:r>
              <w:rPr>
                <w:b/>
              </w:rPr>
              <w:t>ELi kandidaatriigi staatuse andmine Ukrainale.</w:t>
            </w:r>
            <w:r>
              <w:t xml:space="preserve"> Komitee kutsub Euroopa Ülemkogu üles andma Ukrainale 23.–24. juunil 2022 toimuval kohtumisel ELi kandidaatriigi staatuse. Ukrainale kandidaatriigi staatuse andmine ei tohi kahjustada Lääne-Balkani riikide käimasolevat ühinemisprotsessi. Komitee pooldab järkjärgulise integratsiooni süsteemi kehtestamist, tuginedes liidu õigustiku täitmisele. </w:t>
            </w:r>
          </w:p>
          <w:p w:rsidRPr="003201C6" w:rsidR="00927005" w:rsidP="00C00531" w:rsidRDefault="00927005">
            <w:pPr>
              <w:rPr>
                <w:lang w:val="en-GB"/>
              </w:rPr>
            </w:pPr>
          </w:p>
          <w:p w:rsidRPr="00E11A78" w:rsidR="00927005" w:rsidP="00927005" w:rsidRDefault="00927005">
            <w:pPr>
              <w:pStyle w:val="ListParagraph"/>
              <w:numPr>
                <w:ilvl w:val="0"/>
                <w:numId w:val="3"/>
              </w:numPr>
            </w:pPr>
            <w:r>
              <w:rPr>
                <w:b/>
              </w:rPr>
              <w:t>Euroopa kodanikuühiskond on solidaarne Ukraina riigi ja rahvaga.</w:t>
            </w:r>
            <w:r>
              <w:t xml:space="preserve"> Kodanikuühiskond on reageerinud kiiresti ja tõhusalt, käivitades ennenägematu kodanike koondamise rohujuure tasandil. Humanitaarabi andmist tuleb suurendada ja see tuleks eraldada kodanikuühiskonna organisatsioonide otseseks toetamiseks. Spetsialiseerunud valitsusvälised organisatsioonid peaksid koos kodanikuühiskonna organisatsioonidega olema reaalselt kaasatud ELi ja riikliku humanitaarabi andmise kavandamisse ja järelevalvesse. </w:t>
            </w:r>
          </w:p>
          <w:p w:rsidRPr="003201C6" w:rsidR="00927005" w:rsidP="00C00531" w:rsidRDefault="00927005">
            <w:pPr>
              <w:rPr>
                <w:lang w:val="en-GB"/>
              </w:rPr>
            </w:pPr>
          </w:p>
          <w:p w:rsidRPr="00E11A78" w:rsidR="00927005" w:rsidP="00927005" w:rsidRDefault="00927005">
            <w:pPr>
              <w:pStyle w:val="ListParagraph"/>
              <w:numPr>
                <w:ilvl w:val="0"/>
                <w:numId w:val="3"/>
              </w:numPr>
            </w:pPr>
            <w:r>
              <w:rPr>
                <w:b/>
              </w:rPr>
              <w:t>Anname pagulastele tulevikuväljavaated.</w:t>
            </w:r>
            <w:r>
              <w:t xml:space="preserve"> Komitee nõuab, et pagulastele antaks tervishoiuteenustele ja tööturule juurdepääsu osas (kvalifikatsioonide tunnustamine, juurdepääs tööhõiveasutuste teenustele, keelekursustele, tervishoiu- ja haridussüsteemidele) ELi kodanikega võrdsed õigused. Need mõlemad aspektid on ülimalt olulised selleks, et vältida pagulaste vaesuse suurenemist. Sotsiaalpartnerid saavad kollektiivläbirääkimiste ja ajutiste meetmete kaudu aidata kaasa töötajate integreerimisele ning vältida nende ekspluateerimist ja sotsiaalset dumpingut. Komitee peab eriti tähtsaks kodanikuühiskonna organisatsioonide rolli haavatavate rühmade kaitsmisel ja </w:t>
            </w:r>
            <w:proofErr w:type="spellStart"/>
            <w:r>
              <w:t>taasintegreerimisel</w:t>
            </w:r>
            <w:proofErr w:type="spellEnd"/>
            <w:r>
              <w:t xml:space="preserve">. Need rühmad – saatjata alaealised, vanematest eraldatud ja hooldusasutustest pärit lapsed, puuetega inimesed, </w:t>
            </w:r>
            <w:proofErr w:type="spellStart"/>
            <w:r>
              <w:t>roma</w:t>
            </w:r>
            <w:proofErr w:type="spellEnd"/>
            <w:r>
              <w:t xml:space="preserve"> vähemused ja seksuaalvägivalla ohvrid – jäävad tihti tähelepanuta. </w:t>
            </w:r>
          </w:p>
          <w:p w:rsidRPr="003201C6" w:rsidR="00927005" w:rsidP="00C00531" w:rsidRDefault="00927005">
            <w:pPr>
              <w:rPr>
                <w:lang w:val="en-GB"/>
              </w:rPr>
            </w:pPr>
          </w:p>
          <w:p w:rsidRPr="00E11A78" w:rsidR="00927005" w:rsidP="00927005" w:rsidRDefault="00927005">
            <w:pPr>
              <w:pStyle w:val="ListParagraph"/>
              <w:numPr>
                <w:ilvl w:val="0"/>
                <w:numId w:val="3"/>
              </w:numPr>
            </w:pPr>
            <w:r>
              <w:rPr>
                <w:b/>
              </w:rPr>
              <w:t>Ülesehitamine.</w:t>
            </w:r>
            <w:r>
              <w:t xml:space="preserve"> Ukraina majanduse täieliku hävimise vältimiseks tuleb anda kohest finantsabi nii Euroopa ja kui ka rahvusvahelisel tasandil. Rahalist toetust tuleb anda </w:t>
            </w:r>
            <w:proofErr w:type="spellStart"/>
            <w:r>
              <w:t>VKEdele</w:t>
            </w:r>
            <w:proofErr w:type="spellEnd"/>
            <w:r>
              <w:t xml:space="preserve">, Ukraina põllumajandustootjatele järgmise saagikoristuse toetuseks ja Ukraina kodanikuühiskonnale, sealhulgas tööandjate organisatsioonidele ja ametiühingutele, et nende töövõime sõja ajal säiliks. Ülesehitustöö peab lähtuma innovatsioonist. Kodanikuühiskonna organisatsioonid peavad olema aktiivselt kaasatud, et tagada õigusriigi reformide, korruptsioonivastase võitluse ning rohe- ja </w:t>
            </w:r>
            <w:proofErr w:type="spellStart"/>
            <w:r>
              <w:t>digipöörde</w:t>
            </w:r>
            <w:proofErr w:type="spellEnd"/>
            <w:r>
              <w:t xml:space="preserve"> eesmärkide saavutamine.</w:t>
            </w:r>
          </w:p>
          <w:p w:rsidRPr="003201C6" w:rsidR="00927005" w:rsidP="00C00531" w:rsidRDefault="00927005">
            <w:pPr>
              <w:rPr>
                <w:lang w:val="en-GB"/>
              </w:rPr>
            </w:pPr>
          </w:p>
          <w:p w:rsidRPr="00E11A78" w:rsidR="00927005" w:rsidP="00927005" w:rsidRDefault="00927005">
            <w:pPr>
              <w:pStyle w:val="ListParagraph"/>
              <w:numPr>
                <w:ilvl w:val="0"/>
                <w:numId w:val="3"/>
              </w:numPr>
            </w:pPr>
            <w:r>
              <w:rPr>
                <w:b/>
              </w:rPr>
              <w:t>Majanduslikud tagajärjed.</w:t>
            </w:r>
            <w:r>
              <w:t xml:space="preserve"> Sõda ei tohiks õõnestada rohepöörde poliitika rakendamist ELis. Komitee kutsub liikmesriike ja ELi institutsioone üles võtma vajalikke meetmeid, et piirata liigset esmatarbekaupadega spekuleerimist, suurendada turu läbipaistvust ja kõrvaldada ajutiselt kõik tõkked põllumajandustoodete impordilt, et leevendada toiduainete hinnakriisi. Komitee rõhutab, et ei taasterahastu „</w:t>
            </w:r>
            <w:proofErr w:type="spellStart"/>
            <w:r>
              <w:t>NextGenerationEU</w:t>
            </w:r>
            <w:proofErr w:type="spellEnd"/>
            <w:r>
              <w:t>“, selle taaste- ja vastupidavusrahastu komponent ega ka praeguse 2021–2027. aasta mitmeaastase finantsraamistiku paindlikkus ei ole piisavad, et katta Ukraina sõjast tulenevaid rahalisi vajadusi.</w:t>
            </w:r>
          </w:p>
          <w:p w:rsidRPr="003201C6" w:rsidR="00927005" w:rsidP="00C00531" w:rsidRDefault="00927005">
            <w:pPr>
              <w:rPr>
                <w:lang w:val="en-GB"/>
              </w:rPr>
            </w:pPr>
          </w:p>
          <w:p w:rsidRPr="00E11A78" w:rsidR="00927005" w:rsidP="00927005" w:rsidRDefault="00927005">
            <w:pPr>
              <w:pStyle w:val="ListParagraph"/>
              <w:numPr>
                <w:ilvl w:val="0"/>
                <w:numId w:val="3"/>
              </w:numPr>
            </w:pPr>
            <w:r>
              <w:rPr>
                <w:b/>
              </w:rPr>
              <w:t>Kodanikuühiskonna roll.</w:t>
            </w:r>
            <w:r>
              <w:t xml:space="preserve"> Komiteel on pikaajalised sidemed Ukraina kodanikuühiskonna organisatsioonidega ja tal on oluline roll, et hoida suhtluskanalid avatuna ja võimaldada neil osaleda ELi integratsiooniprotsessis. Komitee kutsub liikmesriike üles märkimisväärselt </w:t>
            </w:r>
            <w:r>
              <w:lastRenderedPageBreak/>
              <w:t xml:space="preserve">suurendama Ukraina kodanikuühiskonna organisatsioonide suutlikkuse toetamist ning organisatsioonilist ja rahalist abi. Komitee soodustab ELi ja Ukraina noorteorganisatsioonide vahelisi partnerlusi ning teeb ettepaneku korraldada üritus, mis keskendub noorte aktiivsusele ja selle tähtsusele Ukraina tulevases ülesehitamises. Komitee võtab endale kohustuse tugevdada koostööd ja teabevahetust Ukraina kodanikuühiskonna organisatsioonidega ning toetada jätkuvalt ELi solidaarsuse ja abivalmiduse säilimist Ukraina suhtes. Selleks korraldab komitee 19. juulil </w:t>
            </w:r>
            <w:proofErr w:type="spellStart"/>
            <w:r>
              <w:t>Krakówis</w:t>
            </w:r>
            <w:proofErr w:type="spellEnd"/>
            <w:r>
              <w:t xml:space="preserve"> ürituse Ukraina ja ELi kodanikuühiskonna osalusel.</w:t>
            </w:r>
          </w:p>
          <w:p w:rsidRPr="003201C6" w:rsidR="00927005" w:rsidP="00C00531" w:rsidRDefault="00927005">
            <w:pPr>
              <w:rPr>
                <w:lang w:val="en-GB"/>
              </w:rPr>
            </w:pPr>
          </w:p>
          <w:p w:rsidRPr="003201C6" w:rsidR="00927005" w:rsidP="00C00531" w:rsidRDefault="00927005">
            <w:pPr>
              <w:ind w:left="316"/>
            </w:pPr>
            <w:r>
              <w:t>Samal ajal rõhutab komitee, et hüljata ei tohi ka Venemaale allesjäänud sõltumatuid kodanikuühiskonna organisatsioone.</w:t>
            </w:r>
          </w:p>
        </w:tc>
      </w:tr>
    </w:tbl>
    <w:p w:rsidR="00927005" w:rsidP="00927005" w:rsidRDefault="00927005">
      <w:pPr>
        <w:rPr>
          <w:lang w:val="en-GB"/>
        </w:rPr>
      </w:pPr>
    </w:p>
    <w:p w:rsidRPr="003201C6" w:rsidR="007D7D64" w:rsidP="00927005" w:rsidRDefault="007D7D64">
      <w:pPr>
        <w:rPr>
          <w:lang w:val="en-GB"/>
        </w:rPr>
      </w:pPr>
    </w:p>
    <w:p w:rsidRPr="003201C6" w:rsidR="00927005" w:rsidP="00927005" w:rsidRDefault="00927005">
      <w:r>
        <w:t>Euroopa Majandus- ja Sotsiaalkomitee</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on solidaarne Ukraina rahvaga ja mõistab veel kord kindlalt hukka president Vladimir Putini juhitava Venemaa Föderatsiooni põhjendamatu ja provotseerimata agressiooni Ukraina vastu ning juhib tähelepanu oma varasemale, 24. märtsil 2022 vastu võetud resolutsioonile „Sõda Ukrainas ning selle majanduslik, sotsiaalne ja keskkonnamõju“</w:t>
      </w:r>
      <w:r w:rsidRPr="003201C6">
        <w:rPr>
          <w:rStyle w:val="FootnoteReference"/>
          <w:lang w:val="en-GB"/>
        </w:rPr>
        <w:footnoteReference w:id="1"/>
      </w:r>
      <w:r>
        <w: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see Euroopa pinnal toimuv ränk sõda, mis on nüüdseks kestnud peaaegu neli kuud, on toonud kaasa väga suure hukkunute, sh hukkunud tsiviilisikute arvu ning on põhjustanud massilist hävingut ja kannatusi. See on suurendanud vaesust kogu maailmas ning selle tagajärjeks on mõõtmatu sotsiaalne, majanduslik ja keskkonnakahju ning enneolematu pagulaste ja põgenike laine. Komitee nõuab rahvusvahelise humanitaarõiguse järgimist ning Ukraina linnades ja külades sissetungijate toime pandud sõjakuritegude nõuetekohast registreerimist, uurimist ja nende eest vastutusele võtmist; </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nõuab kõigilt osapooltelt viivitamatult relvarahu kehtestamist, kordab diplomaatia absoluutset ülimuslikkust ning rõhutab, et kõigi tasandite poliitilistes aruteludes peaks olema prioriteediks püüdlemine rahuvalve ja läbirääkimiste poole, nõudes samal ajal Venemaa vägede täielikku väljaviimist Ukrainast. Komitee nõuab tungivalt, et EL jätkaks Ukraina ja selle rahva abistamist, nagu seda on tehtud sõja esimesest päevast alates. Komitee nõuab Venemaa sõjalise agressiooni tõttu kehtestatud sanktsioonide majandusliku, sotsiaalse ja keskkonnamõju üksikasjalikku jälgimist; </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 xml:space="preserve">märgib, et sõda ELi idapiiril on vastuolus ELi ajaloo, filosoofia ja identiteediga, ta toonitab, et sõja tagajärjed ohustavad ELi väärtusi, ELi kodanike ja teiste elanike vabadust ja õigusi ning Euroopa sotsiaalse turumajanduse mudelit. Komitee rõhutab, et rahu ja heaolu on Euroopa Liidu alustalad ning et kodanikuühiskonna organisatsioonidel on viimastel aastakümnetel olnud oluline roll rahumeelsuse aktiivsel edendamisel, toetamisel ja säilitamisel Euroopas; </w:t>
      </w:r>
    </w:p>
    <w:p w:rsidRPr="003201C6" w:rsidR="00927005" w:rsidP="00927005" w:rsidRDefault="00927005">
      <w:pPr>
        <w:pStyle w:val="Heading1"/>
        <w:numPr>
          <w:ilvl w:val="0"/>
          <w:numId w:val="0"/>
        </w:numPr>
        <w:ind w:left="567"/>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tuleb peatada Venemaa Föderatsiooni ja selle praeguste esindajate </w:t>
      </w:r>
      <w:proofErr w:type="spellStart"/>
      <w:r>
        <w:t>liikmesus</w:t>
      </w:r>
      <w:proofErr w:type="spellEnd"/>
      <w:r>
        <w:t xml:space="preserve"> rahvusvahelistes organites ja organisatsioonides, alustades nendest, mille eesmärk on rahu säilitamine, inimõiguste kaitsmine ning kestliku arengu ja turvalise keskkonna tagamine;</w:t>
      </w:r>
    </w:p>
    <w:p w:rsidRPr="003201C6" w:rsidR="00927005" w:rsidP="00927005" w:rsidRDefault="00927005">
      <w:pPr>
        <w:pStyle w:val="Heading1"/>
        <w:numPr>
          <w:ilvl w:val="0"/>
          <w:numId w:val="0"/>
        </w:numPr>
        <w:rPr>
          <w:lang w:val="en-GB"/>
        </w:rPr>
      </w:pPr>
    </w:p>
    <w:p w:rsidRPr="003201C6" w:rsidR="00927005" w:rsidP="00927005" w:rsidRDefault="00927005">
      <w:pPr>
        <w:keepNext/>
        <w:keepLines/>
      </w:pPr>
      <w:r>
        <w:rPr>
          <w:b/>
          <w:i/>
        </w:rPr>
        <w:t>Humanitaarolukord</w:t>
      </w:r>
    </w:p>
    <w:p w:rsidRPr="003201C6" w:rsidR="00927005" w:rsidP="00927005" w:rsidRDefault="00927005">
      <w:pPr>
        <w:keepNext/>
        <w:keepLines/>
        <w:rPr>
          <w:lang w:val="en-GB"/>
        </w:rPr>
      </w:pPr>
    </w:p>
    <w:p w:rsidRPr="003201C6" w:rsidR="00927005" w:rsidP="00927005" w:rsidRDefault="00927005">
      <w:pPr>
        <w:pStyle w:val="Heading1"/>
        <w:keepNext/>
        <w:keepLines/>
        <w:overflowPunct w:val="0"/>
        <w:autoSpaceDE w:val="0"/>
        <w:autoSpaceDN w:val="0"/>
        <w:adjustRightInd w:val="0"/>
        <w:textAlignment w:val="baseline"/>
      </w:pPr>
      <w:r>
        <w:t>märgib, et alates päevast, mil Venemaa sõja vallandas, on Ukrainast põgenenud üle 6,8 miljoni inimese</w:t>
      </w:r>
      <w:r w:rsidRPr="003201C6">
        <w:rPr>
          <w:rStyle w:val="FootnoteReference"/>
          <w:lang w:val="en-GB"/>
        </w:rPr>
        <w:footnoteReference w:id="2"/>
      </w:r>
      <w:r>
        <w:t xml:space="preserve"> – see on kõige kiiremini kasvav pagulaskriis pärast Teist maailmasõda. Lisaks on Ukrainas riigisiseselt ümber asunud 8 miljonit inimest</w:t>
      </w:r>
      <w:r w:rsidRPr="003201C6">
        <w:rPr>
          <w:rStyle w:val="FootnoteReference"/>
          <w:lang w:val="en-GB"/>
        </w:rPr>
        <w:footnoteReference w:id="3"/>
      </w:r>
      <w:r>
        <w:t xml:space="preserve"> ning seega on oma kodudest põgenema sunnitud kokku umbes kolmandik Ukraina elanikkonnast;</w:t>
      </w:r>
    </w:p>
    <w:p w:rsidRPr="003201C6" w:rsidR="00927005" w:rsidP="00927005" w:rsidRDefault="00927005">
      <w:pPr>
        <w:keepNext/>
        <w:keepLines/>
        <w:rPr>
          <w:lang w:val="en-GB"/>
        </w:rPr>
      </w:pPr>
    </w:p>
    <w:p w:rsidRPr="003201C6" w:rsidR="00927005" w:rsidP="00927005" w:rsidRDefault="00927005">
      <w:pPr>
        <w:pStyle w:val="Heading1"/>
        <w:keepNext/>
        <w:keepLines/>
        <w:overflowPunct w:val="0"/>
        <w:autoSpaceDE w:val="0"/>
        <w:autoSpaceDN w:val="0"/>
        <w:adjustRightInd w:val="0"/>
        <w:textAlignment w:val="baseline"/>
      </w:pPr>
      <w:r>
        <w:t>tunnistab, et Ukraina pagulaste sissevool on tugevalt mõjutanud Euroopa riike, nimelt Poolat, Rumeeniat, Ungarit, Tšehhi Vabariiki, Slovakkiat ja Moldovat</w:t>
      </w:r>
      <w:r w:rsidRPr="003201C6">
        <w:rPr>
          <w:rStyle w:val="FootnoteReference"/>
          <w:lang w:val="en-GB"/>
        </w:rPr>
        <w:footnoteReference w:id="4"/>
      </w:r>
      <w:r>
        <w:t>, ning et need riigid ja eelkõige nende kodanikuühiskonna organisatsioonid on reageerinud kiiresti ja tõhusalt, lükates käima kohalike elanike ennenägematu vabatahtliku tegutsemise;</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ELi humanitaarabi vahendeid tuleb suurendada ja need tuleks välja maksta eelkõige kohalikul ja piirkondlikul tasandil, toetades otse kodanikuühiskonna organisatsioone, kes tegelevad pagulaste </w:t>
      </w:r>
      <w:proofErr w:type="spellStart"/>
      <w:r>
        <w:t>sotsiaal-majandusliku</w:t>
      </w:r>
      <w:proofErr w:type="spellEnd"/>
      <w:r>
        <w:t xml:space="preserve"> integreerimisega, ning kaasates neid;</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kutsub liikmesriike, ELi piirkondi ja kodanikuühiskonna organisatsioone üles kasutama võimalikult tõhusalt ja kiiresti ära Ukraina pagulaste toetamise võimalusi, mis on loodud Euroopa Parlamendi ja nõukogu määrusega, mis käsitleb ühtekuuluvusmeetmeid pagulaste toetamiseks Euroopas (CARE), mille kohta tegi Euroopa Komisjon ettepaneku 8. märtsil 2022, ning REACT-EU määruse läbivaatamisega, mille kohta tegi komisjon ettepaneku 23. märtsil 2022. Komitee rõhutab, et seda toetust tuleks jagada esmajoones kodanikuühiskonna organisatsioonide, sealhulgas spetsialiseerunud valitsusväliste organisatsioonide kaudu ning ELi ja riikide humanitaarabi korraldamisse ja selle järelevalvesse peaksid olema otseselt kaasatud ka kodanikuühiskonna organisatsioonid;</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soovitab anda uue kasutusotstarbe 2014–2021. aasta mitmeaastase finantsraamistiku ja REACT-EU vahendi raames saavutatud säästudele, samal ajal õigusriigi põhimõtet järgides, et neid saaks suunata kiiresti ja paindlikult ümber pagulaste toetamiseks, ning soovitab luua selleks eraldi fondi, kui praegu olemasolevad vahendid ei ole pagulaste vastuvõtmiseks ning ühiskonda ja tööturule integreerimiseks piisavad, muu hulgas hooldusteenuste, eluaseme, toidu, materiaalse abi, koolitusprogrammide ja avalike tööturuasutuste teenuste jaoks;</w:t>
      </w:r>
    </w:p>
    <w:p w:rsidRPr="003201C6" w:rsidR="00927005" w:rsidP="00927005" w:rsidRDefault="00927005">
      <w:pPr>
        <w:pStyle w:val="Heading1"/>
        <w:numPr>
          <w:ilvl w:val="0"/>
          <w:numId w:val="0"/>
        </w:numPr>
        <w:ind w:left="567"/>
        <w:rPr>
          <w:lang w:val="en-GB"/>
        </w:rPr>
      </w:pPr>
    </w:p>
    <w:p w:rsidRPr="003201C6" w:rsidR="00927005" w:rsidP="00927005" w:rsidRDefault="00927005">
      <w:pPr>
        <w:pStyle w:val="Heading1"/>
        <w:overflowPunct w:val="0"/>
        <w:autoSpaceDE w:val="0"/>
        <w:autoSpaceDN w:val="0"/>
        <w:adjustRightInd w:val="0"/>
        <w:textAlignment w:val="baseline"/>
      </w:pPr>
      <w:r>
        <w:t>11.</w:t>
      </w:r>
      <w:r>
        <w:tab/>
        <w:t>rõhutab, et kui Euroopa reageeris COVID-19 kriisile, tundsid Euroopa kodanikud, et EL kaitseb neid ja pakub väljavaateid, eelkõige programmi TERA ja taasterahastu „</w:t>
      </w:r>
      <w:proofErr w:type="spellStart"/>
      <w:r>
        <w:t>NextGenerationEU</w:t>
      </w:r>
      <w:proofErr w:type="spellEnd"/>
      <w:r>
        <w:t>“ loomise kaudu. Komitee rõhutab, et ei taasterahastu „</w:t>
      </w:r>
      <w:proofErr w:type="spellStart"/>
      <w:r>
        <w:t>NextGenerationEU</w:t>
      </w:r>
      <w:proofErr w:type="spellEnd"/>
      <w:r>
        <w:t xml:space="preserve">“, selle taaste- ja vastupidavusrahastu komponent ega ka praeguse 2021–2027. aasta mitmeaastase finantsraamistiku paindlikkus ei ole piisavad, et katta Ukraina sõjast tulenevaid rahalisi vajadusi. Komitee märgib, et nende vahendite ulatus ei olnud kavandatud Venemaa agressioonist ja sissetungist tulenevate uute probleemide lahendamiseks ning samal </w:t>
      </w:r>
      <w:r>
        <w:lastRenderedPageBreak/>
        <w:t xml:space="preserve">ajal investeeringute säilitamiseks ELi programmidesse ja poliitikameetmetesse, sealhulgas sellistesse olulistesse prioriteetidesse nagu õiglane üleminek, rohe- ja </w:t>
      </w:r>
      <w:proofErr w:type="spellStart"/>
      <w:r>
        <w:t>digipööre</w:t>
      </w:r>
      <w:proofErr w:type="spellEnd"/>
      <w:r>
        <w: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kiiremas korras on vaja paremat kaardistamist ja koordineerimist kõigi humanitaar- ja arstiabiga seotud sidusrühmade vahel, et tagada abi jõudmine kõigi sõjas kannatavate inimesteni kiiresti ja tõhusalt; </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rõhutab, et järelevalvemeetmeid ja -tegevust tuleb rakendada mitmes valdkonnas, nagu inimõiguste järgimine ja sõjakuritegude dokumenteerimine, ning väljendab heameelt selle üle, et Euroopa Liit, Ameerika Ühendriigid ja Ühendkuningriik on moodustanud jõhkrate massikuritegude nõuanderühma;</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Ukrainast pärit pagulastele tuleb tagada juurdepääs riiklikule tervishoiusüsteemile ELi kodanikega võrdsetel alustel, samuti on oluline tagada vägistamise ohvritele juurdepääs põhilisele seksuaal- ja reproduktiivtervise abile, </w:t>
      </w:r>
      <w:proofErr w:type="spellStart"/>
      <w:r>
        <w:t>hädaabikontratseptiividele</w:t>
      </w:r>
      <w:proofErr w:type="spellEnd"/>
      <w:r>
        <w:t xml:space="preserve"> ning abordile ja sünnitusabile; </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kutsub komisjoni ja liikmesriike üles pöörama erilist tähelepanu saatjata alaealiste, vanematest eraldatud laste ja Ukraina hoolekandeasutustest pärit laste olukorrale, et tagada nende esmavajaduste rahuldamine, nende nõuetekohane tuvastamine ja jälgimine ning andmete jagamine liikmesriikide vahel, et neil oleks võimalik </w:t>
      </w:r>
      <w:proofErr w:type="spellStart"/>
      <w:r>
        <w:t>taasühineda</w:t>
      </w:r>
      <w:proofErr w:type="spellEnd"/>
      <w:r>
        <w:t xml:space="preserve"> oma perekondadega või hiljem </w:t>
      </w:r>
      <w:proofErr w:type="spellStart"/>
      <w:r>
        <w:t>taasintegreeruda</w:t>
      </w:r>
      <w:proofErr w:type="spellEnd"/>
      <w:r>
        <w:t xml:space="preserve"> Ukraina ühiskonda, tagades samal ajal nende kaitse kuritarvitamise ja inimkaubanduse eest;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juhib tähelepanu kohutavale olukorrale, milles on puuetega inimesed, kes püüavad Ukraina sõjapiirkondadest lahkuda või kes kogevad </w:t>
      </w:r>
      <w:proofErr w:type="spellStart"/>
      <w:r>
        <w:t>vastuvõtvates</w:t>
      </w:r>
      <w:proofErr w:type="spellEnd"/>
      <w:r>
        <w:t xml:space="preserve"> riikides pagulastena suuri probleeme. Komitee nõuab kõikide pagulaste võrdset kohtlemist, sõltumata nende etnilisest taustast, rahvusest või puudest. Puuetega inimestele tuleb pakkuda piiramatut abi iseseisvale elule aluse panemisel ja neid ei tohiks sundida minema </w:t>
      </w:r>
      <w:proofErr w:type="spellStart"/>
      <w:r>
        <w:t>vastuvõtvate</w:t>
      </w:r>
      <w:proofErr w:type="spellEnd"/>
      <w:r>
        <w:t xml:space="preserve"> riikide hooldusasutustesse;</w:t>
      </w:r>
    </w:p>
    <w:p w:rsidRPr="003201C6" w:rsidR="00927005" w:rsidP="00927005" w:rsidRDefault="00927005">
      <w:pPr>
        <w:pStyle w:val="Heading1"/>
        <w:numPr>
          <w:ilvl w:val="0"/>
          <w:numId w:val="0"/>
        </w:numPr>
        <w:rPr>
          <w:szCs w:val="24"/>
          <w:lang w:val="en-GB"/>
        </w:rPr>
      </w:pPr>
    </w:p>
    <w:p w:rsidRPr="003201C6" w:rsidR="00927005" w:rsidP="00927005" w:rsidRDefault="00927005">
      <w:pPr>
        <w:pStyle w:val="Heading1"/>
        <w:overflowPunct w:val="0"/>
        <w:autoSpaceDE w:val="0"/>
        <w:autoSpaceDN w:val="0"/>
        <w:adjustRightInd w:val="0"/>
        <w:textAlignment w:val="baseline"/>
      </w:pPr>
      <w:r>
        <w:t xml:space="preserve">rõhutab, et integratsiooni ja vaesuse vähendamise jaoks on väga oluline tööturul osalemine. Komitee hoiatab, et Ukraina pagulastel on oht olla kõige vähem kaitstud, saada madalaimat palka, töötada oma kvalifikatsioonile mittevastaval ametikohal ja olla tööturul kõige haavatavamas rühmas, ilma et neile laieneks sotsiaalkaitse või ühinemisvabadus ja töötajate õigused. Komitee toonitab sellega seoses vajadust tegeleda vajalikul määral ebavõrdsete töötingimuste probleemiga ja tagada, et töötajatel oleksid samad õigused kui ELi kodanikel ning et nad ei kannataks ekspluateerimise ja sotsiaalse dumpingu all. Komitee kutsub üles koostama nende ukrainlaste jaoks, kes soovivad jääda </w:t>
      </w:r>
      <w:proofErr w:type="spellStart"/>
      <w:r>
        <w:t>vastuvõtvasse</w:t>
      </w:r>
      <w:proofErr w:type="spellEnd"/>
      <w:r>
        <w:t xml:space="preserve"> riiki, </w:t>
      </w:r>
      <w:proofErr w:type="spellStart"/>
      <w:r>
        <w:t>keskpikad</w:t>
      </w:r>
      <w:proofErr w:type="spellEnd"/>
      <w:r>
        <w:t xml:space="preserve"> ja pikaajalised strateegiad, et integreerida nad täielikult ELi tööturule;</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rPr>
          <w:szCs w:val="24"/>
        </w:rPr>
      </w:pPr>
      <w:r>
        <w:t xml:space="preserve">rõhutab, et sotsiaalpartneritel võib olla otsustav roll tänu kollektiivläbirääkimistele ning ajutistele meetmetele ja kokkulepetele, mille eesmärk on lihtsustada Ukrainast pärit töötajate integreerimist ELi tööturule. Komitee juhib tähelepanu sellele, et tööhõiveametid peaksid osutama pagulastele toetust kõigi oma teenuste kaudu, sealhulgas nõustamine, taotlejate profiilide koostamine, töövahendus ja tugivahendite pakkumine, ning kutsub liikmesriike üles looma või toetama pagulasi ja võimalikke tööandjaid </w:t>
      </w:r>
      <w:proofErr w:type="spellStart"/>
      <w:r>
        <w:t>kokkuviivaid</w:t>
      </w:r>
      <w:proofErr w:type="spellEnd"/>
      <w:r>
        <w:t xml:space="preserve"> teenuseid;</w:t>
      </w:r>
    </w:p>
    <w:p w:rsidRPr="003201C6" w:rsidR="00927005" w:rsidP="00927005" w:rsidRDefault="00927005">
      <w:pPr>
        <w:rPr>
          <w:lang w:val="en-GB"/>
        </w:rPr>
      </w:pPr>
    </w:p>
    <w:p w:rsidRPr="003201C6" w:rsidR="00927005" w:rsidP="003201C6" w:rsidRDefault="00927005">
      <w:pPr>
        <w:pStyle w:val="Heading1"/>
        <w:keepNext/>
        <w:keepLines/>
        <w:overflowPunct w:val="0"/>
        <w:autoSpaceDE w:val="0"/>
        <w:autoSpaceDN w:val="0"/>
        <w:adjustRightInd w:val="0"/>
        <w:textAlignment w:val="baseline"/>
      </w:pPr>
      <w:r>
        <w:t xml:space="preserve">rõhutab, et Ukraina pagulaste </w:t>
      </w:r>
      <w:proofErr w:type="spellStart"/>
      <w:r>
        <w:t>vastuvõtva</w:t>
      </w:r>
      <w:proofErr w:type="spellEnd"/>
      <w:r>
        <w:t xml:space="preserve"> riigi tööturule integreerimise ja ebakindlate töötingimuste vältimise oluline eeltingimus on kvalifikatsioonide tunnustamine, ning nõuab tõhusate eeskirjade ja suuniste kehtestamist kvalifikatsioonide kiireks, kuid kvaliteetseks tunnustamiseks, juurdepääsu tagamiseks keelekursustele ning hariduse ja kutseõppe kättesaadavuse tagamiseks Ukraina noorte jaoks; </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rõhutab, et tuleb võtta kõik vajalikud meetmed, et tagada ELis varjupaika otsivate täiskasvanute ja laste haridustee jätkumine, ning toonitab, et kooli tasandil ei tule erilist tähelepanu pöörata mitte ainult keelebarjääri ületamisele, vaid tegeleda tuleb ka trauma sümptomitega, millel võivad olla pikaajalised negatiivsed tagajärjed;</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rõhutab, et Ukrainast pärit pagulastele tuleb tagada ELi kodanikega võrdne juurdepääs sotsiaalkindlustussüsteemile ja sotsiaalteenustele;</w:t>
      </w:r>
    </w:p>
    <w:p w:rsidRPr="003201C6" w:rsidR="00927005" w:rsidP="00927005" w:rsidRDefault="00927005">
      <w:pPr>
        <w:rPr>
          <w:lang w:val="en-GB"/>
        </w:rPr>
      </w:pPr>
    </w:p>
    <w:p w:rsidRPr="003201C6" w:rsidR="00927005" w:rsidP="00927005" w:rsidRDefault="00927005">
      <w:pPr>
        <w:keepNext/>
        <w:keepLines/>
        <w:rPr>
          <w:b/>
          <w:i/>
        </w:rPr>
      </w:pPr>
      <w:r>
        <w:rPr>
          <w:b/>
          <w:i/>
        </w:rPr>
        <w:t>Ukraina ülesehitamine ja ELiga liitumise väljavaated</w:t>
      </w:r>
    </w:p>
    <w:p w:rsidRPr="003201C6" w:rsidR="00927005" w:rsidP="00927005" w:rsidRDefault="00927005">
      <w:pPr>
        <w:keepNext/>
        <w:keepLines/>
        <w:rPr>
          <w:b/>
          <w:i/>
          <w:lang w:val="en-GB"/>
        </w:rPr>
      </w:pPr>
    </w:p>
    <w:p w:rsidRPr="003201C6" w:rsidR="00927005" w:rsidP="00927005" w:rsidRDefault="00927005">
      <w:pPr>
        <w:pStyle w:val="Heading1"/>
        <w:overflowPunct w:val="0"/>
        <w:autoSpaceDE w:val="0"/>
        <w:autoSpaceDN w:val="0"/>
        <w:adjustRightInd w:val="0"/>
        <w:textAlignment w:val="baseline"/>
      </w:pPr>
      <w:r>
        <w:t>tunneb heameelt rahvusvahelise Ukraina ülesehitusplatvormi loomise üle, nagu on ette nähtud komisjoni teatises „Ukraina abistamine ja ülesehitamine“, ning ELi juhtrolli üle Ukrainale rahvusvahelise abi andmisel;</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kutsub Euroopa Liitu üles andma Ukraina </w:t>
      </w:r>
      <w:proofErr w:type="spellStart"/>
      <w:r>
        <w:t>VKEdele</w:t>
      </w:r>
      <w:proofErr w:type="spellEnd"/>
      <w:r>
        <w:t xml:space="preserve"> erakorralist rahalist toetust, mis peaks esmajoones aitama neil </w:t>
      </w:r>
      <w:proofErr w:type="spellStart"/>
      <w:r>
        <w:t>VKEdel</w:t>
      </w:r>
      <w:proofErr w:type="spellEnd"/>
      <w:r>
        <w:t xml:space="preserve"> elus püsida ja seejärel kasvada. ELi jõupingutuste üks peamine eesmärk Ukrainas peab olema Ukraina majanduse täieliku hävimise ärahoidmine;</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rõhutab, et Ukraina ülesehitamine pärast sõda on ainukordne olukord, mis peaks viima tugevama kodanikuühiskonna tekkeni ja sellise uue majanduse arenguni, mis põhineb </w:t>
      </w:r>
      <w:proofErr w:type="spellStart"/>
      <w:r>
        <w:t>uusimatel</w:t>
      </w:r>
      <w:proofErr w:type="spellEnd"/>
      <w:r>
        <w:t xml:space="preserve"> keskkonnahoidlikel ja digitaalsetel tehnoloogiatel ning mille aluseks on ka innovatsioon;</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toonitab aga, et rõhuasetust õigusriigi reformidele, korruptsioonivastasele võitlusele ning rohe- ja </w:t>
      </w:r>
      <w:proofErr w:type="spellStart"/>
      <w:r>
        <w:t>digipöördele</w:t>
      </w:r>
      <w:proofErr w:type="spellEnd"/>
      <w:r>
        <w:t xml:space="preserve"> ei ole võimalik saavutada ilma kodanikuühiskonna reaalse kaasamiseta, ning nõuab kodanikuühiskonna organisatsioonide aktiivset kaasamist ülesehitustöösse, sh mehhanismi „</w:t>
      </w:r>
      <w:proofErr w:type="spellStart"/>
      <w:r>
        <w:t>RebuildUkraine</w:t>
      </w:r>
      <w:proofErr w:type="spellEnd"/>
      <w:r>
        <w:t xml:space="preserve">“ kavandamisse ja rakendamisse, sest neil on parimad võimalused edastada Ukraina kodanike vajadusi ning aidata jälgida ülesehitamisel ja ELi õigusaktidega vastavusse viimisel tehtavaid edusamme; </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rõhutab, et kõnealune konflikt ja selle tagajärjed ei tohi õõnestada ELi rohepöörde meetmeid, vaid peavad pigem kiirendama nende rakendamist;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kutsub nõukogu ja parlamenti üles kaaluma gaasihoidlate kasutamist naabruses asuvates kolmandates riikides, mis annab lisaväärtust varustuskindluse tagamisel, eriti Ukrainas;</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juhib tähelepanu ülemaailmsele toiduainete hinnakriisile, mida Ukraina sõda süvendab, ning kutsub liikmesriike ja ELi institutsioone üles astuma vajalikke samme, et piirata liigset kaupadega spekuleerimist ja suurendada turu läbipaistvust;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lastRenderedPageBreak/>
        <w:t>rõhutab, et praegu tuleb võtta meetmeid Ukraina põllumajandustootjate toetamiseks järgmist saagikoristushooaega silmas pidades. Lisaks tuleb viivitamata kõrvaldada ajutiselt kõik põllumajandustoodete liikumist tõkestavad halduslikud ja füüsilised takistused, et kiiresti suurendada importi ELi siseturule ja teistesse maailma paikadesse, näiteks Aafrikasse, sellistes sektorites, kus Ukraina saab veel eksportida. Komitee nõuab Ukraina sadamate kiiret taasavamist ja sealsete alade demineerimist ÜRO egiidi all, et võimaldada selliste põllumajandustoodete eksporti nagu mais, päevalilleõli, päevalilleseemned, sojaoad ja mesi;</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ind w:left="720" w:hanging="720"/>
        <w:textAlignment w:val="baseline"/>
      </w:pPr>
      <w:r>
        <w:t>kutsub Euroopa Ülemkogu üles andma Ukrainale juunis 2022 toimuval kohtumisel ELi kandidaatriigi staatuse;</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ind w:left="720" w:hanging="720"/>
        <w:textAlignment w:val="baseline"/>
      </w:pPr>
      <w:r>
        <w:t>toetab Ukraina ühinemist ELiga, lähtudes riigi saavutustest ja ELiga ühinemise kokkulepitud standarditest. Komitee kutsub üles kohandama ühtekuuluvuspoliitikat ja selle rahastamisvahendeid lähiaastatel nii, et oleks võimalik tulla toime Ukraina sõjajärgse ülesehitamise raskustega, kahjustamata seejuures Lääne-Balkani riikide käimasolevat ühinemisprotsessi</w:t>
      </w:r>
      <w:r w:rsidRPr="003201C6">
        <w:rPr>
          <w:rStyle w:val="FootnoteReference"/>
          <w:lang w:val="en-GB"/>
        </w:rPr>
        <w:footnoteReference w:id="5"/>
      </w:r>
      <w:r>
        <w:t xml:space="preserve">. Komitee kutsub üles põhjalikult analüüsima Ukraina ühtsele turule integreerimise majanduslikku ja sotsiaalset potentsiaali; </w:t>
      </w:r>
    </w:p>
    <w:p w:rsidRPr="003201C6" w:rsidR="00927005" w:rsidP="00927005" w:rsidRDefault="00927005">
      <w:pPr>
        <w:rPr>
          <w:lang w:val="en-GB"/>
        </w:rPr>
      </w:pPr>
    </w:p>
    <w:p w:rsidRPr="003201C6" w:rsidR="00927005" w:rsidP="00E11A78" w:rsidRDefault="00927005">
      <w:pPr>
        <w:pStyle w:val="Heading1"/>
      </w:pPr>
      <w:r>
        <w:t xml:space="preserve">märgib, et EL peab säilitama oma </w:t>
      </w:r>
      <w:proofErr w:type="spellStart"/>
      <w:r>
        <w:t>liikmesuse</w:t>
      </w:r>
      <w:proofErr w:type="spellEnd"/>
      <w:r>
        <w:t xml:space="preserve"> standardid, kuid ta võib kehtestada järkjärgulise süsteemi liidu õigustiku täitmiseks. Komitee rõhutab, et mis tahes sõjalise agressiooni korral peab laienemispoliitikas jääma reegliks ELi liikmesriikide vaheline ühtsus. Komitee kutsub üles uurima muid võimalusi, kuidas ELi mittekuuluvad liikmed saaksid ühineda Euroopa julgeolekustruktuuriga, osutades aga, et selliseid partnerlusi või ühendusi ei tohi käsitada ELi </w:t>
      </w:r>
      <w:proofErr w:type="spellStart"/>
      <w:r>
        <w:t>liikmesuse</w:t>
      </w:r>
      <w:proofErr w:type="spellEnd"/>
      <w:r>
        <w:t xml:space="preserve"> alternatiivina; </w:t>
      </w:r>
    </w:p>
    <w:p w:rsidRPr="003201C6" w:rsidR="00927005" w:rsidP="00927005" w:rsidRDefault="00927005">
      <w:pPr>
        <w:pStyle w:val="Heading1"/>
        <w:numPr>
          <w:ilvl w:val="0"/>
          <w:numId w:val="0"/>
        </w:numPr>
        <w:rPr>
          <w:lang w:val="en-GB"/>
        </w:rPr>
      </w:pPr>
    </w:p>
    <w:p w:rsidRPr="003201C6" w:rsidR="00927005" w:rsidP="00927005" w:rsidRDefault="00927005">
      <w:pPr>
        <w:keepNext/>
        <w:keepLines/>
        <w:rPr>
          <w:b/>
          <w:i/>
        </w:rPr>
      </w:pPr>
      <w:r>
        <w:rPr>
          <w:b/>
          <w:i/>
        </w:rPr>
        <w:t>Kodanikuühiskonna organisatsioonide toetamine</w:t>
      </w:r>
    </w:p>
    <w:p w:rsidRPr="003201C6" w:rsidR="00927005" w:rsidP="00927005" w:rsidRDefault="00927005">
      <w:pPr>
        <w:keepNext/>
        <w:keepLines/>
        <w:rPr>
          <w:b/>
          <w:i/>
          <w:lang w:val="en-GB"/>
        </w:rPr>
      </w:pPr>
    </w:p>
    <w:p w:rsidRPr="003201C6" w:rsidR="00927005" w:rsidP="00927005" w:rsidRDefault="00927005">
      <w:pPr>
        <w:pStyle w:val="Heading1"/>
        <w:overflowPunct w:val="0"/>
        <w:autoSpaceDE w:val="0"/>
        <w:autoSpaceDN w:val="0"/>
        <w:adjustRightInd w:val="0"/>
        <w:textAlignment w:val="baseline"/>
      </w:pPr>
      <w:r>
        <w:t xml:space="preserve">rõhutab Euroopa Majandus- ja Sotsiaalkomitee rolli Ukraina kodanikuühiskonna organisatsioonidega suhtlemisel ja nende suhtluskanalite avatuna hoidmisel tänu pikaajalistele kahepoolsetele kontaktidele ELi ja Ukraina kodanikuühiskonna vahel. Komitee toonitab sellega seoses hästitoimivate mehhanismide, eelkõige ELi-Ukraina kodanikuühiskonna platvormi ning ELi-Ukraina assotsieerimislepingu alusel loodud ELi ja Ukraina </w:t>
      </w:r>
      <w:proofErr w:type="spellStart"/>
      <w:r>
        <w:t>sisenõuanderühmade</w:t>
      </w:r>
      <w:proofErr w:type="spellEnd"/>
      <w:r>
        <w:t xml:space="preserve"> saavutusi. Komitee kutsub ELi üles toetama Ukraina kodanikuühiskonna organisatsioonide osalemist ELi kodanikuühiskonna organisatsioonide võrgustikes;</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rõhutab vajadust suurendada Ukraina kodanikuühiskonna organisatsioonide suutlikkust, et nad saaksid osaleda ELiga integreerumise protsessis ning seda protsessi kujundada ja jälgida;</w:t>
      </w:r>
    </w:p>
    <w:p w:rsidRPr="003201C6" w:rsidR="00927005" w:rsidP="00927005" w:rsidRDefault="00927005">
      <w:pPr>
        <w:rPr>
          <w:lang w:val="en-GB"/>
        </w:rPr>
      </w:pPr>
    </w:p>
    <w:p w:rsidRPr="003201C6" w:rsidR="00927005" w:rsidP="00927005" w:rsidRDefault="00927005">
      <w:pPr>
        <w:pStyle w:val="Heading1"/>
        <w:keepNext/>
        <w:keepLines/>
        <w:overflowPunct w:val="0"/>
        <w:autoSpaceDE w:val="0"/>
        <w:autoSpaceDN w:val="0"/>
        <w:adjustRightInd w:val="0"/>
        <w:textAlignment w:val="baseline"/>
      </w:pPr>
      <w:r>
        <w:t>rõhutab vajadust suurendada ELi sihtotstarbeliste vahendite kaudu toetust Ukraina kodanikuühiskonnale, sealhulgas tööandjate organisatsioonidele ja ametiühingutele, et nende töövõime sõja ajal säiliks. Komitee hoiatab katsete eest kasutada sõda ettekäändena, et õigustada meetmeid, mille eesmärk on vähendada töötajate õiguste kaitse ja sotsiaalkaitse taset, sest see süvendab veelgi sõja negatiivseid majanduslikke ja sotsiaalseid tagajärgi;</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lastRenderedPageBreak/>
        <w:t>rõhutab rolli, mida etendavad need Euroopa kodanikuühiskonna organisatsioonid, kes otsivad aktiivselt rahuvalve lahendusi ja tegelevad Ukraina kriisi eri mõjudega sotsiaalsest, humanitaarsest, majanduslikust ja poliitilisest vaatenurgast. Komitee rõhutab, et oluline on pakkuda neile igakülgset toetust ja abi spetsiaalselt selleks otstarbeks kavandatud ELi rahastatavate programmide kaudu;</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tunnustab ELi liikmesriikide kodanikuühiskonna organisatsioonide panust Ukraina pagulaste toetamisel, mis ulatub kaugemale asjaomaste avaliku sektori asutuste pakutavast abist, ning kutsub liikmesriike üles suurendama märkimisväärselt oma organisatsioonilist ja rahalist toetust nendele organisatsioonidele, muu hulgas ELi vahenditest antavat toetust;</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soovitab kaasata Ukrainast põgenenud noored ELi ülikoolide vahetusprogrammidesse ning rõhutab, et oluline on mobiliseerida Euroopa väärtusi toetavaid Euroopa noori ja tugevdada nende suutlikkust. Komitee toetab ELi ja Ukraina noorteorganisatsioonide vahelist partnerlust nagu ka ELi ja Ukraina noorte ning noorteorganisatsioonide vahelisi vahetusi. Koostöö võiks hõlmata ürituse korraldamist noorte aktiivsusest ja selle tähtsusest Ukraina tulevases ülesehitamises; </w:t>
      </w:r>
    </w:p>
    <w:p w:rsidRPr="003201C6" w:rsidR="00927005" w:rsidP="00927005" w:rsidRDefault="00927005">
      <w:pPr>
        <w:pStyle w:val="Heading1"/>
        <w:numPr>
          <w:ilvl w:val="0"/>
          <w:numId w:val="0"/>
        </w:numPr>
        <w:rPr>
          <w:lang w:val="en-GB"/>
        </w:rPr>
      </w:pPr>
    </w:p>
    <w:p w:rsidRPr="003201C6" w:rsidR="00927005" w:rsidP="00927005" w:rsidRDefault="00927005">
      <w:pPr>
        <w:pStyle w:val="Heading1"/>
        <w:overflowPunct w:val="0"/>
        <w:autoSpaceDE w:val="0"/>
        <w:autoSpaceDN w:val="0"/>
        <w:adjustRightInd w:val="0"/>
        <w:textAlignment w:val="baseline"/>
      </w:pPr>
      <w:r>
        <w:t>nõuab, et toetataks toidupanku, kes etendavad olulist rolli toidu annetamise probleemide ja takistuste ületamisel, sest toiduabi on muutunud Ukraina elanikkonna ja Ukrainast pärit pagulaste hädaabivajaduste rahuldamisel otsustavaks;</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rõhutab vajadust jätkata rahvusvahelist toetust Ukraina ja teiste riikide kodanikuühiskonna organisatsioonidele, kes võitlevad keskkonnakaitse eest, ning tunnistab, et kõnealusel konfliktil on suur keskkonnamõju;</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toonitab vajadust suurendada toetust sõltumatule kvaliteetsele meediale ja </w:t>
      </w:r>
      <w:proofErr w:type="spellStart"/>
      <w:r>
        <w:t>faktikontrollijatele</w:t>
      </w:r>
      <w:proofErr w:type="spellEnd"/>
      <w:r>
        <w:t xml:space="preserve">, sealhulgas ELi naabruses, sest see tegevus on ülioluline selleks, et kindlamini seista vastu propagandale ja desinformatsioonile. Komitee kutsub ELi üles rakendama jõulisemat vastupropagandakampaaniat, eelkõige Aafrikas ja Aasias asuvates kolmandates riikides, et võidelda desinformatsioonisõja vastu; </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on väga mures Venemaa sõltumatu kodanikuühiskonna olukorra pärast ning sellise meedia ja ajakirjanike olukorra pärast, kes pakuvad Venemaa kodanikele alternatiivseid teabeallikaid, et võidelda Venemaa propaganda vastu. Komitee kutsub ELi üles toetama neid kodanikuühiskonna organisatsioone ja üksikisikuid, kes soovivad jätkata oma tegevust Venemaal, ning andma humanitaarviisasid kodanikuühiskonna aktivistidele, kes soovivad riigist lahkuda. Ta juhib tähelepanu sellele, et mitmed Venemaa organisatsioonid aitavad Venemaale ümberasustatud ukrainlastel jõuda Euroopa Liitu või Ukraina lääneossa ning et need organisatsioonid vajavad eritoetust viisade saamiseks Ukraina pagulastele, kes soovivad Venemaalt lahkuda;</w:t>
      </w:r>
    </w:p>
    <w:p w:rsidRPr="003201C6" w:rsidR="00927005" w:rsidP="00927005" w:rsidRDefault="00927005">
      <w:pPr>
        <w:rPr>
          <w:lang w:val="en-GB"/>
        </w:rPr>
      </w:pPr>
    </w:p>
    <w:p w:rsidRPr="003201C6" w:rsidR="00927005" w:rsidP="00927005" w:rsidRDefault="00927005">
      <w:pPr>
        <w:pStyle w:val="Heading1"/>
        <w:overflowPunct w:val="0"/>
        <w:autoSpaceDE w:val="0"/>
        <w:autoSpaceDN w:val="0"/>
        <w:adjustRightInd w:val="0"/>
        <w:textAlignment w:val="baseline"/>
      </w:pPr>
      <w:r>
        <w:t xml:space="preserve">võtab endale kohustuse tugevdada koostööd ja teabevahetust Ukraina kodanikuühiskonna organisatsioonidega ning toetada jätkuvalt ELi solidaarsuse ja abivalmiduse säilimist Ukraina suhtes ning on valmis jagama ELi ja Ukraina ametiasutustega oma eksperditeadmisi sotsiaal- ja </w:t>
      </w:r>
      <w:r>
        <w:lastRenderedPageBreak/>
        <w:t xml:space="preserve">kodanikuühiskonna dialoogi tugevdamise kohta. Sel eesmärgil korraldab komitee 19. juulil </w:t>
      </w:r>
      <w:proofErr w:type="spellStart"/>
      <w:r>
        <w:t>Krakówis</w:t>
      </w:r>
      <w:proofErr w:type="spellEnd"/>
      <w:r>
        <w:t xml:space="preserve"> ürituse Ukraina ja ELi kodanikuühiskonna osalusel.</w:t>
      </w:r>
    </w:p>
    <w:p w:rsidRPr="003201C6" w:rsidR="00927005" w:rsidP="00927005" w:rsidRDefault="00927005">
      <w:pPr>
        <w:rPr>
          <w:lang w:val="en-GB"/>
        </w:rPr>
      </w:pPr>
    </w:p>
    <w:p w:rsidRPr="003201C6" w:rsidR="00927005" w:rsidP="00927005" w:rsidRDefault="00927005">
      <w:r>
        <w:t>Brüssel, 16. juuni 2022</w:t>
      </w:r>
    </w:p>
    <w:p w:rsidRPr="003201C6" w:rsidR="00E2376B" w:rsidP="00E2376B" w:rsidRDefault="00E2376B">
      <w:pPr>
        <w:rPr>
          <w:lang w:val="en-GB"/>
        </w:rPr>
      </w:pPr>
    </w:p>
    <w:p w:rsidRPr="003201C6" w:rsidR="00E2376B" w:rsidP="00E2376B" w:rsidRDefault="00E2376B">
      <w:pPr>
        <w:rPr>
          <w:lang w:val="en-GB"/>
        </w:rPr>
      </w:pPr>
    </w:p>
    <w:p w:rsidRPr="003201C6" w:rsidR="00E2376B" w:rsidP="00E2376B" w:rsidRDefault="00E2376B">
      <w:pPr>
        <w:rPr>
          <w:lang w:val="en-GB"/>
        </w:rPr>
      </w:pPr>
    </w:p>
    <w:p w:rsidRPr="003201C6" w:rsidR="00E2376B" w:rsidP="00E2376B" w:rsidRDefault="00E2376B">
      <w:pPr>
        <w:rPr>
          <w:lang w:val="en-GB"/>
        </w:rPr>
      </w:pPr>
    </w:p>
    <w:p w:rsidRPr="003201C6" w:rsidR="00E2376B" w:rsidP="00E2376B" w:rsidRDefault="00927005">
      <w:pPr>
        <w:jc w:val="left"/>
      </w:pPr>
      <w:proofErr w:type="spellStart"/>
      <w:r>
        <w:t>Christa</w:t>
      </w:r>
      <w:proofErr w:type="spellEnd"/>
      <w:r>
        <w:t xml:space="preserve"> </w:t>
      </w:r>
      <w:proofErr w:type="spellStart"/>
      <w:r>
        <w:t>Schweng</w:t>
      </w:r>
      <w:proofErr w:type="spellEnd"/>
      <w:r>
        <w:t xml:space="preserve"> Euroopa Majandus- ja </w:t>
      </w:r>
      <w:r>
        <w:rPr>
          <w:color w:val="000000" w:themeColor="text1"/>
        </w:rPr>
        <w:t>Sotsiaalkomitee president</w:t>
      </w:r>
    </w:p>
    <w:p w:rsidRPr="003201C6" w:rsidR="00E2376B" w:rsidP="00E2376B" w:rsidRDefault="00E2376B">
      <w:pPr>
        <w:rPr>
          <w:lang w:val="en-GB"/>
        </w:rPr>
      </w:pPr>
    </w:p>
    <w:p w:rsidRPr="00E11A78" w:rsidR="00F53370" w:rsidP="00DB7F50" w:rsidRDefault="00E2376B">
      <w:pPr>
        <w:jc w:val="center"/>
      </w:pPr>
      <w:r>
        <w:t>_____________</w:t>
      </w:r>
    </w:p>
    <w:sectPr w:rsidRPr="00E11A78"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97" w:rsidRDefault="00C16397" w:rsidP="00F53370">
      <w:pPr>
        <w:spacing w:line="240" w:lineRule="auto"/>
      </w:pPr>
      <w:r>
        <w:separator/>
      </w:r>
    </w:p>
  </w:endnote>
  <w:endnote w:type="continuationSeparator" w:id="0">
    <w:p w:rsidR="00C16397" w:rsidRDefault="00C1639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5C" w:rsidRDefault="00D8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5C" w:rsidRDefault="00D8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5C" w:rsidRDefault="00D813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5C" w:rsidRPr="003065C9" w:rsidRDefault="00DA14A6" w:rsidP="00DA14A6">
    <w:pPr>
      <w:pStyle w:val="Footer"/>
      <w:jc w:val="left"/>
    </w:pPr>
    <w:r>
      <w:t xml:space="preserve">EESC-2022-02974-00-00-RES-TRA (EN) </w:t>
    </w:r>
    <w:r>
      <w:fldChar w:fldCharType="begin"/>
    </w:r>
    <w:r>
      <w:instrText xml:space="preserve"> PAGE  \* Arabic  \* MERGEFORMAT </w:instrText>
    </w:r>
    <w:r>
      <w:fldChar w:fldCharType="separate"/>
    </w:r>
    <w:r w:rsidR="008D4D21">
      <w:rPr>
        <w:noProof/>
      </w:rPr>
      <w:t>1</w:t>
    </w:r>
    <w:r>
      <w:fldChar w:fldCharType="end"/>
    </w:r>
    <w:r>
      <w:t>/</w:t>
    </w:r>
    <w:r>
      <w:fldChar w:fldCharType="begin"/>
    </w:r>
    <w:r>
      <w:instrText xml:space="preserve"> = </w:instrText>
    </w:r>
    <w:r w:rsidR="00416245">
      <w:fldChar w:fldCharType="begin"/>
    </w:r>
    <w:r w:rsidR="00416245">
      <w:instrText xml:space="preserve"> NUMPAGES </w:instrText>
    </w:r>
    <w:r w:rsidR="00416245">
      <w:fldChar w:fldCharType="separate"/>
    </w:r>
    <w:r w:rsidR="008D4D21">
      <w:rPr>
        <w:noProof/>
      </w:rPr>
      <w:instrText>10</w:instrText>
    </w:r>
    <w:r w:rsidR="00416245">
      <w:fldChar w:fldCharType="end"/>
    </w:r>
    <w:r>
      <w:instrText xml:space="preserve"> - 2 </w:instrText>
    </w:r>
    <w:r>
      <w:fldChar w:fldCharType="separate"/>
    </w:r>
    <w:r w:rsidR="008D4D2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97" w:rsidRDefault="00C16397" w:rsidP="00F53370">
      <w:pPr>
        <w:spacing w:line="240" w:lineRule="auto"/>
      </w:pPr>
      <w:r>
        <w:separator/>
      </w:r>
    </w:p>
  </w:footnote>
  <w:footnote w:type="continuationSeparator" w:id="0">
    <w:p w:rsidR="00C16397" w:rsidRDefault="00C16397" w:rsidP="00F53370">
      <w:pPr>
        <w:spacing w:line="240" w:lineRule="auto"/>
      </w:pPr>
      <w:r>
        <w:continuationSeparator/>
      </w:r>
    </w:p>
  </w:footnote>
  <w:footnote w:id="1">
    <w:p w:rsidR="00927005" w:rsidRPr="000152A9" w:rsidRDefault="00927005" w:rsidP="00927005">
      <w:pPr>
        <w:pStyle w:val="FootnoteText"/>
        <w:keepLines w:val="0"/>
      </w:pPr>
      <w:r>
        <w:rPr>
          <w:rStyle w:val="FootnoteReference"/>
        </w:rPr>
        <w:footnoteRef/>
      </w:r>
      <w:r>
        <w:t xml:space="preserve"> </w:t>
      </w:r>
      <w:r>
        <w:tab/>
      </w:r>
      <w:hyperlink r:id="rId1" w:history="1">
        <w:r>
          <w:rPr>
            <w:rStyle w:val="Hyperlink"/>
          </w:rPr>
          <w:t>https://www.eesc.europa.eu/et/documents/resolution/war-ukraine-and-its-economic-social-and-environmental-impact</w:t>
        </w:r>
      </w:hyperlink>
      <w:r>
        <w:t>.</w:t>
      </w:r>
    </w:p>
  </w:footnote>
  <w:footnote w:id="2">
    <w:p w:rsidR="00927005" w:rsidRPr="00AD671E" w:rsidRDefault="00927005" w:rsidP="00927005">
      <w:pPr>
        <w:pStyle w:val="FootnoteText"/>
        <w:tabs>
          <w:tab w:val="left" w:pos="567"/>
        </w:tabs>
      </w:pPr>
      <w:r>
        <w:rPr>
          <w:rStyle w:val="FootnoteReference"/>
        </w:rPr>
        <w:footnoteRef/>
      </w:r>
      <w:r>
        <w:t xml:space="preserve"> </w:t>
      </w:r>
      <w:r>
        <w:tab/>
      </w:r>
      <w:hyperlink r:id="rId2" w:history="1">
        <w:r>
          <w:rPr>
            <w:rStyle w:val="Hyperlink"/>
          </w:rPr>
          <w:t>ÜRO Pagulaste Ülemvoliniku Amet</w:t>
        </w:r>
      </w:hyperlink>
      <w:r>
        <w:t xml:space="preserve"> – 31. mai.</w:t>
      </w:r>
    </w:p>
  </w:footnote>
  <w:footnote w:id="3">
    <w:p w:rsidR="00927005" w:rsidRPr="00AD671E" w:rsidRDefault="00927005" w:rsidP="00927005">
      <w:pPr>
        <w:pStyle w:val="FootnoteText"/>
      </w:pPr>
      <w:r>
        <w:rPr>
          <w:rStyle w:val="FootnoteReference"/>
        </w:rPr>
        <w:footnoteRef/>
      </w:r>
      <w:r>
        <w:t xml:space="preserve"> </w:t>
      </w:r>
      <w:r>
        <w:tab/>
      </w:r>
      <w:hyperlink r:id="rId3" w:history="1">
        <w:r>
          <w:rPr>
            <w:rStyle w:val="Hyperlink"/>
          </w:rPr>
          <w:t>ÜRO Pagulaste Ülemvoliniku Amet</w:t>
        </w:r>
      </w:hyperlink>
      <w:r>
        <w:t xml:space="preserve"> – 23. mai.</w:t>
      </w:r>
    </w:p>
  </w:footnote>
  <w:footnote w:id="4">
    <w:p w:rsidR="00927005" w:rsidRDefault="00927005" w:rsidP="00927005">
      <w:pPr>
        <w:pStyle w:val="FootnoteText"/>
      </w:pPr>
      <w:r>
        <w:rPr>
          <w:rStyle w:val="FootnoteReference"/>
        </w:rPr>
        <w:footnoteRef/>
      </w:r>
      <w:r>
        <w:t xml:space="preserve"> </w:t>
      </w:r>
      <w:r>
        <w:tab/>
      </w:r>
      <w:hyperlink r:id="rId4" w:history="1">
        <w:r>
          <w:rPr>
            <w:rStyle w:val="Hyperlink"/>
          </w:rPr>
          <w:t>ÜRO Pagulaste Ülemvoliniku Amet</w:t>
        </w:r>
      </w:hyperlink>
      <w:r>
        <w:t xml:space="preserve"> – 31. mai.</w:t>
      </w:r>
    </w:p>
  </w:footnote>
  <w:footnote w:id="5">
    <w:p w:rsidR="00927005" w:rsidRDefault="00927005" w:rsidP="00927005">
      <w:pPr>
        <w:pStyle w:val="FootnoteText"/>
      </w:pPr>
      <w:r>
        <w:rPr>
          <w:rStyle w:val="FootnoteReference"/>
        </w:rPr>
        <w:footnoteRef/>
      </w:r>
      <w:r>
        <w:tab/>
      </w:r>
      <w:hyperlink r:id="rId5" w:history="1">
        <w:r>
          <w:rPr>
            <w:rStyle w:val="Hyperlink"/>
          </w:rPr>
          <w:t>„Sõda Ukrainas ning selle majanduslik, sotsiaalne ja keskkonnamõju“, Euroopa Majandus- ja Sotsiaalkomitee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416245">
    <w:pPr>
      <w:pStyle w:val="Header"/>
    </w:pPr>
    <w:r>
      <w:pict w14:anchorId="7ADDA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E27707">
    <w:pPr>
      <w:pStyle w:val="Header"/>
    </w:pPr>
    <w:r>
      <w:rPr>
        <w:noProof/>
        <w:lang w:val="en-US"/>
      </w:rPr>
      <w:drawing>
        <wp:anchor distT="0" distB="0" distL="114300" distR="114300" simplePos="0" relativeHeight="251659264" behindDoc="0" locked="0" layoutInCell="1" allowOverlap="1" wp14:anchorId="259A4143" wp14:editId="29C68022">
          <wp:simplePos x="898497" y="453224"/>
          <wp:positionH relativeFrom="page">
            <wp:align>center</wp:align>
          </wp:positionH>
          <wp:positionV relativeFrom="page">
            <wp:posOffset>288290</wp:posOffset>
          </wp:positionV>
          <wp:extent cx="6944398" cy="3344276"/>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416245">
      <w:pict w14:anchorId="3F2E5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416245">
    <w:pPr>
      <w:pStyle w:val="Header"/>
    </w:pPr>
    <w:r>
      <w:pict w14:anchorId="6F8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416245">
    <w:pPr>
      <w:pStyle w:val="Header"/>
    </w:pPr>
    <w:r>
      <w:pict w14:anchorId="2EB74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lang w:val="en-US"/>
      </w:rPr>
      <w:drawing>
        <wp:anchor distT="0" distB="0" distL="114300" distR="114300" simplePos="0" relativeHeight="251665408" behindDoc="1" locked="0" layoutInCell="1" allowOverlap="1" wp14:anchorId="4951803C" wp14:editId="56B16BA4">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416245">
    <w:pPr>
      <w:pStyle w:val="Header"/>
    </w:pPr>
    <w:r>
      <w:pict w14:anchorId="6F7B5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416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2641A3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4AC6E73"/>
    <w:multiLevelType w:val="hybridMultilevel"/>
    <w:tmpl w:val="597E9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39AC"/>
    <w:rsid w:val="00020389"/>
    <w:rsid w:val="00022AB5"/>
    <w:rsid w:val="00053D00"/>
    <w:rsid w:val="000966A8"/>
    <w:rsid w:val="000A0F3B"/>
    <w:rsid w:val="000E133B"/>
    <w:rsid w:val="00100F87"/>
    <w:rsid w:val="001433C3"/>
    <w:rsid w:val="0016377D"/>
    <w:rsid w:val="0019231D"/>
    <w:rsid w:val="001D61AC"/>
    <w:rsid w:val="001E15AA"/>
    <w:rsid w:val="00214BDC"/>
    <w:rsid w:val="00215E81"/>
    <w:rsid w:val="0024727F"/>
    <w:rsid w:val="002B6A7B"/>
    <w:rsid w:val="002D5776"/>
    <w:rsid w:val="003201C6"/>
    <w:rsid w:val="00332563"/>
    <w:rsid w:val="003353D7"/>
    <w:rsid w:val="003659F9"/>
    <w:rsid w:val="00374857"/>
    <w:rsid w:val="0050393E"/>
    <w:rsid w:val="00574C9B"/>
    <w:rsid w:val="0058411F"/>
    <w:rsid w:val="005B6335"/>
    <w:rsid w:val="005D2DA7"/>
    <w:rsid w:val="005E70F8"/>
    <w:rsid w:val="006125A1"/>
    <w:rsid w:val="00653E7D"/>
    <w:rsid w:val="00662207"/>
    <w:rsid w:val="00667F09"/>
    <w:rsid w:val="00690EF5"/>
    <w:rsid w:val="006B57A6"/>
    <w:rsid w:val="006E6886"/>
    <w:rsid w:val="00787837"/>
    <w:rsid w:val="00787ABB"/>
    <w:rsid w:val="007D04F5"/>
    <w:rsid w:val="007D7D64"/>
    <w:rsid w:val="00822952"/>
    <w:rsid w:val="00836505"/>
    <w:rsid w:val="00844B87"/>
    <w:rsid w:val="00850B67"/>
    <w:rsid w:val="008904AD"/>
    <w:rsid w:val="008A622B"/>
    <w:rsid w:val="008A6DD4"/>
    <w:rsid w:val="008D4D21"/>
    <w:rsid w:val="008F74D7"/>
    <w:rsid w:val="00904C42"/>
    <w:rsid w:val="00924C05"/>
    <w:rsid w:val="00927005"/>
    <w:rsid w:val="00937CF2"/>
    <w:rsid w:val="00976645"/>
    <w:rsid w:val="0098228C"/>
    <w:rsid w:val="00A36AB0"/>
    <w:rsid w:val="00A67EF8"/>
    <w:rsid w:val="00AB37A3"/>
    <w:rsid w:val="00AC5114"/>
    <w:rsid w:val="00B411A6"/>
    <w:rsid w:val="00B51901"/>
    <w:rsid w:val="00BC363E"/>
    <w:rsid w:val="00C073E1"/>
    <w:rsid w:val="00C16397"/>
    <w:rsid w:val="00C66AEA"/>
    <w:rsid w:val="00C753B2"/>
    <w:rsid w:val="00C9040A"/>
    <w:rsid w:val="00C91E4D"/>
    <w:rsid w:val="00C96E92"/>
    <w:rsid w:val="00CB110A"/>
    <w:rsid w:val="00CC0E9D"/>
    <w:rsid w:val="00D8135C"/>
    <w:rsid w:val="00D95232"/>
    <w:rsid w:val="00D9719A"/>
    <w:rsid w:val="00DA14A6"/>
    <w:rsid w:val="00DB7F50"/>
    <w:rsid w:val="00DC6410"/>
    <w:rsid w:val="00DE30C7"/>
    <w:rsid w:val="00DF400F"/>
    <w:rsid w:val="00E01093"/>
    <w:rsid w:val="00E1193D"/>
    <w:rsid w:val="00E11A78"/>
    <w:rsid w:val="00E15BF4"/>
    <w:rsid w:val="00E2376B"/>
    <w:rsid w:val="00E27707"/>
    <w:rsid w:val="00E661B7"/>
    <w:rsid w:val="00F2069F"/>
    <w:rsid w:val="00F53370"/>
    <w:rsid w:val="00F9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9A060C6"/>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8A622B"/>
    <w:rPr>
      <w:sz w:val="16"/>
      <w:szCs w:val="16"/>
    </w:rPr>
  </w:style>
  <w:style w:type="paragraph" w:styleId="CommentText">
    <w:name w:val="annotation text"/>
    <w:basedOn w:val="Normal"/>
    <w:link w:val="CommentTextChar"/>
    <w:uiPriority w:val="99"/>
    <w:semiHidden/>
    <w:unhideWhenUsed/>
    <w:rsid w:val="008A622B"/>
    <w:pPr>
      <w:spacing w:line="240" w:lineRule="auto"/>
    </w:pPr>
    <w:rPr>
      <w:sz w:val="20"/>
      <w:szCs w:val="20"/>
    </w:rPr>
  </w:style>
  <w:style w:type="character" w:customStyle="1" w:styleId="CommentTextChar">
    <w:name w:val="Comment Text Char"/>
    <w:basedOn w:val="DefaultParagraphFont"/>
    <w:link w:val="CommentText"/>
    <w:uiPriority w:val="99"/>
    <w:semiHidden/>
    <w:rsid w:val="008A6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22B"/>
    <w:rPr>
      <w:b/>
      <w:bCs/>
    </w:rPr>
  </w:style>
  <w:style w:type="character" w:customStyle="1" w:styleId="CommentSubjectChar">
    <w:name w:val="Comment Subject Char"/>
    <w:basedOn w:val="CommentTextChar"/>
    <w:link w:val="CommentSubject"/>
    <w:uiPriority w:val="99"/>
    <w:semiHidden/>
    <w:rsid w:val="008A62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0B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67"/>
    <w:rPr>
      <w:rFonts w:ascii="Segoe UI" w:eastAsia="Times New Roman" w:hAnsi="Segoe UI" w:cs="Segoe UI"/>
      <w:sz w:val="18"/>
      <w:szCs w:val="18"/>
    </w:rPr>
  </w:style>
  <w:style w:type="paragraph" w:styleId="ListParagraph">
    <w:name w:val="List Paragraph"/>
    <w:basedOn w:val="Normal"/>
    <w:uiPriority w:val="34"/>
    <w:qFormat/>
    <w:rsid w:val="00927005"/>
    <w:pPr>
      <w:overflowPunct w:val="0"/>
      <w:autoSpaceDE w:val="0"/>
      <w:autoSpaceDN w:val="0"/>
      <w:adjustRightInd w:val="0"/>
      <w:ind w:left="720"/>
      <w:contextualSpacing/>
      <w:textAlignment w:val="baseline"/>
    </w:pPr>
    <w:rPr>
      <w:szCs w:val="20"/>
    </w:rPr>
  </w:style>
  <w:style w:type="character" w:styleId="FollowedHyperlink">
    <w:name w:val="FollowedHyperlink"/>
    <w:basedOn w:val="DefaultParagraphFont"/>
    <w:uiPriority w:val="99"/>
    <w:semiHidden/>
    <w:unhideWhenUsed/>
    <w:rsid w:val="00E11A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unhcr.org/ua/en/45221-ukraine-other-conflicts-push-forcibly-displaced-total-over-100-million-for-first-time.html" TargetMode="External"/><Relationship Id="rId2" Type="http://schemas.openxmlformats.org/officeDocument/2006/relationships/hyperlink" Target="https://data.unhcr.org/en/situations/ukraine" TargetMode="External"/><Relationship Id="rId1" Type="http://schemas.openxmlformats.org/officeDocument/2006/relationships/hyperlink" Target="https://www.eesc.europa.eu/et/documents/resolution/war-ukraine-and-its-economic-social-and-environmental-impact" TargetMode="External"/><Relationship Id="rId5" Type="http://schemas.openxmlformats.org/officeDocument/2006/relationships/hyperlink" Target="https://www.eesc.europa.eu/et/documents/resolution/war-ukraine-and-its-economic-social-and-environmental-impact" TargetMode="External"/><Relationship Id="rId4" Type="http://schemas.openxmlformats.org/officeDocument/2006/relationships/hyperlink" Target="https://data.unhcr.org/en/situations/ukra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P6FJPSUHKDC2-288331576-5166</_dlc_DocId>
    <_dlc_DocIdUrl xmlns="1299d781-265f-4ceb-999e-e1eca3df2c90">
      <Url>http://dm2016/eesc/2022/_layouts/15/DocIdRedir.aspx?ID=P6FJPSUHKDC2-288331576-5166</Url>
      <Description>P6FJPSUHKDC2-288331576-5166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2022-06-21T12:00:00+00:00</ProductionDate>
    <DocumentNumber xmlns="4a7f0de2-9719-4c76-97f8-3d69024ce342">2974</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175</Value>
      <Value>179</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7621</FicheNumber>
    <OriginalSender xmlns="1299d781-265f-4ceb-999e-e1eca3df2c90">
      <UserInfo>
        <DisplayName>Rosenberg Aili</DisplayName>
        <AccountId>1755</AccountId>
        <AccountType/>
      </UserInfo>
    </OriginalSender>
    <DocumentPart xmlns="1299d781-265f-4ceb-999e-e1eca3df2c90">0</DocumentPart>
    <AdoptionDate xmlns="1299d781-265f-4ceb-999e-e1eca3df2c90">2022-06-16T12:00:00+00:00</AdoptionDate>
    <RequestingService xmlns="1299d781-265f-4ceb-999e-e1eca3df2c90">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UK</TermName>
          <TermId xmlns="http://schemas.microsoft.com/office/infopath/2007/PartnerControls">274d0eb9-9700-4986-ba2a-70ca948ab752</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E6215125-837A-4089-B64E-DC334EDBA43C}"/>
</file>

<file path=customXml/itemProps2.xml><?xml version="1.0" encoding="utf-8"?>
<ds:datastoreItem xmlns:ds="http://schemas.openxmlformats.org/officeDocument/2006/customXml" ds:itemID="{3FA4F882-8555-464D-B8C0-75385509FA2D}"/>
</file>

<file path=customXml/itemProps3.xml><?xml version="1.0" encoding="utf-8"?>
<ds:datastoreItem xmlns:ds="http://schemas.openxmlformats.org/officeDocument/2006/customXml" ds:itemID="{7223B399-2AE0-4CD6-BD3A-08E4C0994239}"/>
</file>

<file path=customXml/itemProps4.xml><?xml version="1.0" encoding="utf-8"?>
<ds:datastoreItem xmlns:ds="http://schemas.openxmlformats.org/officeDocument/2006/customXml" ds:itemID="{C39C8C53-4D6E-473E-9FE0-59A8D4813FCF}"/>
</file>

<file path=docProps/app.xml><?xml version="1.0" encoding="utf-8"?>
<Properties xmlns="http://schemas.openxmlformats.org/officeDocument/2006/extended-properties" xmlns:vt="http://schemas.openxmlformats.org/officeDocument/2006/docPropsVTypes">
  <Template>Normal</Template>
  <TotalTime>0</TotalTime>
  <Pages>10</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RESOLUTION</vt:lpstr>
    </vt:vector>
  </TitlesOfParts>
  <Company>CESE-CdR</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Resolutsioon - Ukraina abistamine ja ülesehitamine: Euroopa kodanikuühiskonna ettepanekud</dc:title>
  <dc:subject>RES</dc:subject>
  <dc:creator>Francois Aude</dc:creator>
  <cp:keywords>EESC-2022-02974-00-00-RES-TRA-EN</cp:keywords>
  <dc:description>Rapporteur:  - Original language: EN - Date of document: 21/06/2022 - Date of meeting:  - External documents:  - Administrator: MME ALBRECHTOVA Katarina</dc:description>
  <cp:lastModifiedBy>Rosenberg Aili</cp:lastModifiedBy>
  <cp:revision>5</cp:revision>
  <dcterms:created xsi:type="dcterms:W3CDTF">2022-06-21T08:27:00Z</dcterms:created>
  <dcterms:modified xsi:type="dcterms:W3CDTF">2022-06-21T08:27:00Z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2" name="Pref_formatted">
    <vt:bool>true</vt:bool>
  </property>
  <property fmtid="{D5CDD505-2E9C-101B-9397-08002B2CF9AE}" pid="33" name="Pref_Date">
    <vt:lpwstr>16/06/2022</vt:lpwstr>
  </property>
  <property fmtid="{D5CDD505-2E9C-101B-9397-08002B2CF9AE}" pid="34" name="Pref_Time">
    <vt:lpwstr>17:06:04</vt:lpwstr>
  </property>
  <property fmtid="{D5CDD505-2E9C-101B-9397-08002B2CF9AE}" pid="35" name="Pref_User">
    <vt:lpwstr>pacup</vt:lpwstr>
  </property>
  <property fmtid="{D5CDD505-2E9C-101B-9397-08002B2CF9AE}" pid="36" name="Pref_FileName">
    <vt:lpwstr>EESC-2022-02974-00-00-RES-TRA-EN-CRR.docx</vt:lpwstr>
  </property>
  <property fmtid="{D5CDD505-2E9C-101B-9397-08002B2CF9AE}" pid="37" name="ContentTypeId">
    <vt:lpwstr>0x010100EA97B91038054C99906057A708A1480A00B7EA8BE5AE7448468DCE544D2FDA8E5D</vt:lpwstr>
  </property>
  <property fmtid="{D5CDD505-2E9C-101B-9397-08002B2CF9AE}" pid="38" name="_dlc_DocIdItemGuid">
    <vt:lpwstr>66524918-c0b0-4d64-af30-23271d3f9e07</vt:lpwstr>
  </property>
  <property fmtid="{D5CDD505-2E9C-101B-9397-08002B2CF9AE}" pid="39" name="AvailableTranslations">
    <vt:lpwstr>29;#SV|c2ed69e7-a339-43d7-8f22-d93680a92aa0;#43;#NL|55c6556c-b4f4-441d-9acf-c498d4f838bd;#54;#ET|ff6c3f4c-b02c-4c3c-ab07-2c37995a7a0a;#4;#EN|f2175f21-25d7-44a3-96da-d6a61b075e1b;#11;#FR|d2afafd3-4c81-4f60-8f52-ee33f2f54ff3;#30;#PL|1e03da61-4678-4e07-b136-b5024ca9197b;#35;#MT|7df99101-6854-4a26-b53a-b88c0da02c26;#26;#LV|46f7e311-5d9f-4663-b433-18aeccb7ace7;#41;#CS|72f9705b-0217-4fd3-bea2-cbc7ed80e26e;#179;#UK|274d0eb9-9700-4986-ba2a-70ca948ab752;#40;#BG|1a1b3951-7821-4e6a-85f5-5673fc08bd2c;#34;#SK|46d9fce0-ef79-4f71-b89b-cd6aa82426b8;#37;#PT|50ccc04a-eadd-42ae-a0cb-acaf45f812ba;#45;#RO|feb747a2-64cd-4299-af12-4833ddc30497;#55;#HR|2f555653-ed1a-4fe6-8362-9082d95989e5;#42;#SL|98a412ae-eb01-49e9-ae3d-585a81724cfc;#31;#ES|e7a6b05b-ae16-40c8-add9-68b64b03aeba;#32;#DA|5d49c027-8956-412b-aa16-e85a0f96ad0e;#44;#LT|a7ff5ce7-6123-4f68-865a-a57c31810414;#38;#FI|87606a43-d45f-42d6-b8c9-e1a3457db5b7;#22;#DE|f6b31e5a-26fa-4935-b661-318e46daf27e;#36;#HU|6b229040-c589-4408-b4c1-4285663d20a8;#46;#EL|6d4f4d51-af9b-4650-94b4-4276bee85c91;#33;#IT|0774613c-01ed-4e5d-a25d-11d2388de825</vt:lpwstr>
  </property>
  <property fmtid="{D5CDD505-2E9C-101B-9397-08002B2CF9AE}" pid="40" name="DocumentType_0">
    <vt:lpwstr>RES|9e3e62eb-6858-4bc7-8a50-3453e395fd01</vt:lpwstr>
  </property>
  <property fmtid="{D5CDD505-2E9C-101B-9397-08002B2CF9AE}" pid="41" name="DossierName_0">
    <vt:lpwstr/>
  </property>
  <property fmtid="{D5CDD505-2E9C-101B-9397-08002B2CF9AE}" pid="42" name="DocumentSource_0">
    <vt:lpwstr>EESC|422833ec-8d7e-4e65-8e4e-8bed07ffb729</vt:lpwstr>
  </property>
  <property fmtid="{D5CDD505-2E9C-101B-9397-08002B2CF9AE}" pid="43" name="DocumentNumber">
    <vt:i4>2974</vt:i4>
  </property>
  <property fmtid="{D5CDD505-2E9C-101B-9397-08002B2CF9AE}" pid="44" name="DocumentYear">
    <vt:i4>2022</vt:i4>
  </property>
  <property fmtid="{D5CDD505-2E9C-101B-9397-08002B2CF9AE}" pid="45" name="DocumentVersion">
    <vt:i4>0</vt:i4>
  </property>
  <property fmtid="{D5CDD505-2E9C-101B-9397-08002B2CF9AE}" pid="46" name="FicheNumber">
    <vt:i4>7621</vt:i4>
  </property>
  <property fmtid="{D5CDD505-2E9C-101B-9397-08002B2CF9AE}" pid="47" name="DocumentStatus">
    <vt:lpwstr>7;#TRA|150d2a88-1431-44e6-a8ca-0bb753ab8672</vt:lpwstr>
  </property>
  <property fmtid="{D5CDD505-2E9C-101B-9397-08002B2CF9AE}" pid="48" name="DocumentPart">
    <vt:i4>0</vt:i4>
  </property>
  <property fmtid="{D5CDD505-2E9C-101B-9397-08002B2CF9AE}" pid="49" name="DossierName">
    <vt:lpwstr/>
  </property>
  <property fmtid="{D5CDD505-2E9C-101B-9397-08002B2CF9AE}" pid="50" name="DocumentSource">
    <vt:lpwstr>1;#EESC|422833ec-8d7e-4e65-8e4e-8bed07ffb729</vt:lpwstr>
  </property>
  <property fmtid="{D5CDD505-2E9C-101B-9397-08002B2CF9AE}" pid="51" name="AdoptionDate">
    <vt:filetime>2022-06-16T12:00:00Z</vt:filetime>
  </property>
  <property fmtid="{D5CDD505-2E9C-101B-9397-08002B2CF9AE}" pid="52" name="DocumentType">
    <vt:lpwstr>175;#RES|9e3e62eb-6858-4bc7-8a50-3453e395fd01</vt:lpwstr>
  </property>
  <property fmtid="{D5CDD505-2E9C-101B-9397-08002B2CF9AE}" pid="53" name="RequestingService">
    <vt:lpwstr>Relations extérieures</vt:lpwstr>
  </property>
  <property fmtid="{D5CDD505-2E9C-101B-9397-08002B2CF9AE}" pid="54" name="Confidentiality">
    <vt:lpwstr>9;#Unrestricted|826e22d7-d029-4ec0-a450-0c28ff673572</vt:lpwstr>
  </property>
  <property fmtid="{D5CDD505-2E9C-101B-9397-08002B2CF9AE}" pid="55" name="MeetingName_0">
    <vt:lpwstr/>
  </property>
  <property fmtid="{D5CDD505-2E9C-101B-9397-08002B2CF9AE}" pid="56" name="Confidentiality_0">
    <vt:lpwstr>Unrestricted|826e22d7-d029-4ec0-a450-0c28ff673572</vt:lpwstr>
  </property>
  <property fmtid="{D5CDD505-2E9C-101B-9397-08002B2CF9AE}" pid="57" name="OriginalLanguage">
    <vt:lpwstr>4;#EN|f2175f21-25d7-44a3-96da-d6a61b075e1b</vt:lpwstr>
  </property>
  <property fmtid="{D5CDD505-2E9C-101B-9397-08002B2CF9AE}" pid="58" name="MeetingName">
    <vt:lpwstr/>
  </property>
  <property fmtid="{D5CDD505-2E9C-101B-9397-08002B2CF9AE}" pid="60" name="AvailableTranslations_0">
    <vt:lpwstr>SV|c2ed69e7-a339-43d7-8f22-d93680a92aa0;NL|55c6556c-b4f4-441d-9acf-c498d4f838bd;EN|f2175f21-25d7-44a3-96da-d6a61b075e1b;FR|d2afafd3-4c81-4f60-8f52-ee33f2f54ff3;PL|1e03da61-4678-4e07-b136-b5024ca9197b;MT|7df99101-6854-4a26-b53a-b88c0da02c26;LV|46f7e311-5d9f-4663-b433-18aeccb7ace7;CS|72f9705b-0217-4fd3-bea2-cbc7ed80e26e;BG|1a1b3951-7821-4e6a-85f5-5673fc08bd2c;SK|46d9fce0-ef79-4f71-b89b-cd6aa82426b8;PT|50ccc04a-eadd-42ae-a0cb-acaf45f812ba;RO|feb747a2-64cd-4299-af12-4833ddc30497;HR|2f555653-ed1a-4fe6-8362-9082d95989e5;SL|98a412ae-eb01-49e9-ae3d-585a81724cfc;ES|e7a6b05b-ae16-40c8-add9-68b64b03aeba;DA|5d49c027-8956-412b-aa16-e85a0f96ad0e;LT|a7ff5ce7-6123-4f68-865a-a57c31810414;FI|87606a43-d45f-42d6-b8c9-e1a3457db5b7;DE|f6b31e5a-26fa-4935-b661-318e46daf27e;HU|6b229040-c589-4408-b4c1-4285663d20a8;EL|6d4f4d51-af9b-4650-94b4-4276bee85c91;IT|0774613c-01ed-4e5d-a25d-11d2388de825</vt:lpwstr>
  </property>
  <property fmtid="{D5CDD505-2E9C-101B-9397-08002B2CF9AE}" pid="61" name="DocumentStatus_0">
    <vt:lpwstr>TRA|150d2a88-1431-44e6-a8ca-0bb753ab8672</vt:lpwstr>
  </property>
  <property fmtid="{D5CDD505-2E9C-101B-9397-08002B2CF9AE}" pid="62" name="OriginalLanguage_0">
    <vt:lpwstr>EN|f2175f21-25d7-44a3-96da-d6a61b075e1b</vt:lpwstr>
  </property>
  <property fmtid="{D5CDD505-2E9C-101B-9397-08002B2CF9AE}" pid="63" name="TaxCatchAll">
    <vt:lpwstr>175;#RES|9e3e62eb-6858-4bc7-8a50-3453e395fd01;#55;#HR|2f555653-ed1a-4fe6-8362-9082d95989e5;#46;#EL|6d4f4d51-af9b-4650-94b4-4276bee85c91;#45;#RO|feb747a2-64cd-4299-af12-4833ddc30497;#44;#LT|a7ff5ce7-6123-4f68-865a-a57c31810414;#43;#NL|55c6556c-b4f4-441d-9acf-c498d4f838bd;#42;#SL|98a412ae-eb01-49e9-ae3d-585a81724cfc;#41;#CS|72f9705b-0217-4fd3-bea2-cbc7ed80e26e;#40;#BG|1a1b3951-7821-4e6a-85f5-5673fc08bd2c;#38;#FI|87606a43-d45f-42d6-b8c9-e1a3457db5b7;#37;#PT|50ccc04a-eadd-42ae-a0cb-acaf45f812ba;#36;#HU|6b229040-c589-4408-b4c1-4285663d20a8;#35;#MT|7df99101-6854-4a26-b53a-b88c0da02c26;#34;#SK|46d9fce0-ef79-4f71-b89b-cd6aa82426b8;#33;#IT|0774613c-01ed-4e5d-a25d-11d2388de825;#32;#DA|5d49c027-8956-412b-aa16-e85a0f96ad0e;#31;#ES|e7a6b05b-ae16-40c8-add9-68b64b03aeba;#30;#PL|1e03da61-4678-4e07-b136-b5024ca9197b;#29;#SV|c2ed69e7-a339-43d7-8f22-d93680a92aa0;#26;#LV|46f7e311-5d9f-4663-b433-18aeccb7ace7;#22;#DE|f6b31e5a-26fa-4935-b661-318e46daf27e;#11;#FR|d2afafd3-4c81-4f60-8f52-ee33f2f54ff3;#9;#Unrestricted|826e22d7-d029-4ec0-a450-0c28ff673572;#7;#TRA|150d2a88-1431-44e6-a8ca-0bb753ab8672;#6;#Final|ea5e6674-7b27-4bac-b091-73adbb394efe;#4;#EN|f2175f21-25d7-44a3-96da-d6a61b075e1b;#1;#EESC|422833ec-8d7e-4e65-8e4e-8bed07ffb729</vt:lpwstr>
  </property>
  <property fmtid="{D5CDD505-2E9C-101B-9397-08002B2CF9AE}" pid="64" name="VersionStatus_0">
    <vt:lpwstr>Final|ea5e6674-7b27-4bac-b091-73adbb394efe</vt:lpwstr>
  </property>
  <property fmtid="{D5CDD505-2E9C-101B-9397-08002B2CF9AE}" pid="65" name="VersionStatus">
    <vt:lpwstr>6;#Final|ea5e6674-7b27-4bac-b091-73adbb394efe</vt:lpwstr>
  </property>
  <property fmtid="{D5CDD505-2E9C-101B-9397-08002B2CF9AE}" pid="66" name="DocumentLanguage">
    <vt:lpwstr>54;#ET|ff6c3f4c-b02c-4c3c-ab07-2c37995a7a0a</vt:lpwstr>
  </property>
</Properties>
</file>