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F2" w:rsidRDefault="001206F2" w14:paraId="6D4E3111" w14:textId="21116964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D191E52" wp14:anchorId="3404F43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1206F2" w:rsidRDefault="001206F2" w14:paraId="0112A15D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3404F43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1206F2" w:rsidRDefault="001206F2" w14:paraId="0112A15D" w14:textId="77777777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48"/>
                          <w:rFonts w:ascii="Arial" w:hAnsi="Arial"/>
                        </w:rPr>
                        <w:t xml:space="preserve"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056FC4" w:rsidR="006B6052" w:rsidRDefault="009E61F0" w14:paraId="78E104C2" w14:textId="0B9BA67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U strategiju Global </w:t>
      </w:r>
      <w:proofErr w:type="spellStart"/>
      <w:r>
        <w:rPr>
          <w:rFonts w:ascii="Arial" w:hAnsi="Arial"/>
          <w:b/>
        </w:rPr>
        <w:t>Gateway</w:t>
      </w:r>
      <w:proofErr w:type="spellEnd"/>
      <w:r>
        <w:rPr>
          <w:rFonts w:ascii="Arial" w:hAnsi="Arial"/>
          <w:b/>
        </w:rPr>
        <w:t xml:space="preserve"> moraju biti uključeni predstavnici svih društvenih skupina radi pravodobnog ostvarivanja djelotvornih rezultata</w:t>
      </w:r>
      <w:bookmarkStart w:name="_GoBack" w:id="0"/>
      <w:bookmarkEnd w:id="0"/>
    </w:p>
    <w:p w:rsidRPr="00056FC4" w:rsidR="009E61F0" w:rsidRDefault="009E61F0" w14:paraId="6B808D6C" w14:textId="77777777">
      <w:pPr>
        <w:rPr>
          <w:rFonts w:ascii="Arial" w:hAnsi="Arial" w:cs="Arial"/>
          <w:lang w:val="en-GB"/>
        </w:rPr>
      </w:pPr>
    </w:p>
    <w:p w:rsidRPr="00056FC4" w:rsidR="001C18DB" w:rsidP="006B6052" w:rsidRDefault="00640446" w14:paraId="3DBE4752" w14:textId="35EB5C88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Inicijativa EU-a Global </w:t>
      </w:r>
      <w:proofErr w:type="spellStart"/>
      <w:r>
        <w:rPr>
          <w:rFonts w:ascii="Arial" w:hAnsi="Arial"/>
          <w:b/>
        </w:rPr>
        <w:t>Gateway</w:t>
      </w:r>
      <w:proofErr w:type="spellEnd"/>
      <w:r>
        <w:rPr>
          <w:rFonts w:ascii="Arial" w:hAnsi="Arial"/>
          <w:b/>
        </w:rPr>
        <w:t xml:space="preserve"> pravi je korak naprijed u poboljšanju povezanosti s partnerima izvan EU-a i zemljama u razvoju koje dijele naš način razmišljanja. U svojem mišljenju o toj temi Europski gospodarski i socijalni odbor (EGSO) naglašava da se predstavnici civilnog društva moraju uključiti u odbor koji će se uspostaviti radi koordinacije ulaganja u okviru strategije Global </w:t>
      </w:r>
      <w:proofErr w:type="spellStart"/>
      <w:r>
        <w:rPr>
          <w:rFonts w:ascii="Arial" w:hAnsi="Arial"/>
          <w:b/>
        </w:rPr>
        <w:t>Gateway</w:t>
      </w:r>
      <w:proofErr w:type="spellEnd"/>
      <w:r>
        <w:rPr>
          <w:rFonts w:ascii="Arial" w:hAnsi="Arial"/>
          <w:b/>
        </w:rPr>
        <w:t xml:space="preserve">. Također ističe da prihvatljivost projekata koji će se provoditi u sklopu te strategije mora biti povezana s vrijednostima i načelima EU-a. </w:t>
      </w:r>
    </w:p>
    <w:p w:rsidRPr="00056FC4" w:rsidR="004B75DE" w:rsidP="006B6052" w:rsidRDefault="004B75DE" w14:paraId="47C2DB99" w14:textId="77777777">
      <w:pPr>
        <w:rPr>
          <w:rFonts w:ascii="Arial" w:hAnsi="Arial" w:cs="Arial"/>
          <w:b/>
          <w:bCs/>
          <w:lang w:val="en-GB"/>
        </w:rPr>
      </w:pPr>
    </w:p>
    <w:p w:rsidRPr="00056FC4" w:rsidR="006A4278" w:rsidP="006A4278" w:rsidRDefault="006A4278" w14:paraId="196F4903" w14:textId="2149A2E7">
      <w:pPr>
        <w:rPr>
          <w:rFonts w:ascii="Arial" w:hAnsi="Arial" w:cs="Arial"/>
        </w:rPr>
      </w:pPr>
      <w:r>
        <w:rPr>
          <w:rFonts w:ascii="Arial" w:hAnsi="Arial"/>
        </w:rPr>
        <w:t xml:space="preserve">U raspravi o mišljenju </w:t>
      </w:r>
      <w:hyperlink w:history="1" r:id="rId7">
        <w:r>
          <w:rPr>
            <w:rStyle w:val="Hyperlink"/>
            <w:rFonts w:ascii="Arial" w:hAnsi="Arial"/>
            <w:b/>
          </w:rPr>
          <w:t xml:space="preserve">„Global </w:t>
        </w:r>
        <w:proofErr w:type="spellStart"/>
        <w:r>
          <w:rPr>
            <w:rStyle w:val="Hyperlink"/>
            <w:rFonts w:ascii="Arial" w:hAnsi="Arial"/>
            <w:b/>
          </w:rPr>
          <w:t>Gateway</w:t>
        </w:r>
        <w:proofErr w:type="spellEnd"/>
        <w:r>
          <w:rPr>
            <w:rStyle w:val="Hyperlink"/>
            <w:rFonts w:ascii="Arial" w:hAnsi="Arial"/>
            <w:b/>
          </w:rPr>
          <w:t>”</w:t>
        </w:r>
      </w:hyperlink>
      <w:r>
        <w:rPr>
          <w:rFonts w:ascii="Arial" w:hAnsi="Arial"/>
        </w:rPr>
        <w:t xml:space="preserve">, usvojenom na svibanjskom plenarnom zasjedanju, članovi i članice EGSO-a istaknuli su da EU tom inicijativom razvija svoju stratešku snagu. Napomenuli su i da se zahvaljujući toj politici, koja se temelji na jačim trgovinskim odnosima sa zemljama u razvoju u kontekstu pravedne tranzicije, omogućuju veća ulaganja. Drugim riječima, inicijativa Global </w:t>
      </w:r>
      <w:proofErr w:type="spellStart"/>
      <w:r>
        <w:rPr>
          <w:rFonts w:ascii="Arial" w:hAnsi="Arial"/>
        </w:rPr>
        <w:t>Gateway</w:t>
      </w:r>
      <w:proofErr w:type="spellEnd"/>
      <w:r>
        <w:rPr>
          <w:rFonts w:ascii="Arial" w:hAnsi="Arial"/>
        </w:rPr>
        <w:t xml:space="preserve"> nije osmišljena samo kao diplomatski instrument već i kao komunikacijski alat.</w:t>
      </w:r>
    </w:p>
    <w:p w:rsidRPr="00056FC4" w:rsidR="006A4278" w:rsidP="006A4278" w:rsidRDefault="006A4278" w14:paraId="5D50B60E" w14:textId="77777777">
      <w:pPr>
        <w:rPr>
          <w:rFonts w:ascii="Arial" w:hAnsi="Arial" w:cs="Arial"/>
          <w:sz w:val="16"/>
          <w:szCs w:val="16"/>
          <w:lang w:val="en-GB"/>
        </w:rPr>
      </w:pPr>
    </w:p>
    <w:p w:rsidRPr="00056FC4" w:rsidR="001E785C" w:rsidRDefault="006450C8" w14:paraId="7C65193D" w14:textId="6687832B">
      <w:pPr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/>
          <w:b/>
          <w:color w:val="000000"/>
        </w:rPr>
        <w:t>Dumitru</w:t>
      </w:r>
      <w:proofErr w:type="spellEnd"/>
      <w:r>
        <w:rPr>
          <w:rFonts w:ascii="Arial" w:hAnsi="Arial"/>
          <w:b/>
          <w:color w:val="000000"/>
        </w:rPr>
        <w:t xml:space="preserve"> </w:t>
      </w:r>
      <w:proofErr w:type="spellStart"/>
      <w:r>
        <w:rPr>
          <w:rFonts w:ascii="Arial" w:hAnsi="Arial"/>
          <w:b/>
          <w:color w:val="000000"/>
        </w:rPr>
        <w:t>Fornea</w:t>
      </w:r>
      <w:proofErr w:type="spellEnd"/>
      <w:r>
        <w:rPr>
          <w:rFonts w:ascii="Arial" w:hAnsi="Arial"/>
        </w:rPr>
        <w:t>, izvjestitelj za to mišljenje, naglasio je:</w:t>
      </w:r>
      <w:r>
        <w:rPr>
          <w:rFonts w:ascii="Calibri" w:hAnsi="Calibri"/>
          <w:color w:val="000000"/>
          <w:sz w:val="24"/>
        </w:rPr>
        <w:t xml:space="preserve"> </w:t>
      </w:r>
      <w:r>
        <w:rPr>
          <w:rFonts w:ascii="Arial" w:hAnsi="Arial"/>
          <w:i/>
          <w:color w:val="000000"/>
        </w:rPr>
        <w:t xml:space="preserve">„Strategija Global </w:t>
      </w:r>
      <w:proofErr w:type="spellStart"/>
      <w:r>
        <w:rPr>
          <w:rFonts w:ascii="Arial" w:hAnsi="Arial"/>
          <w:i/>
          <w:color w:val="000000"/>
        </w:rPr>
        <w:t>Gateway</w:t>
      </w:r>
      <w:proofErr w:type="spellEnd"/>
      <w:r>
        <w:rPr>
          <w:rFonts w:ascii="Arial" w:hAnsi="Arial"/>
          <w:i/>
          <w:color w:val="000000"/>
        </w:rPr>
        <w:t xml:space="preserve"> važna je za to da EU održi i ojača svoje fizičke veze s drugim dijelovima svijeta, posebno kad je posrijedi infrastruktura koja omogućuje pristup vodi, hrani i energiji.“</w:t>
      </w:r>
    </w:p>
    <w:p w:rsidRPr="00056FC4" w:rsidR="006B6052" w:rsidRDefault="006B6052" w14:paraId="4D86376A" w14:textId="77777777">
      <w:pPr>
        <w:rPr>
          <w:rFonts w:ascii="Arial" w:hAnsi="Arial" w:cs="Arial"/>
          <w:i/>
          <w:iCs/>
          <w:color w:val="000000"/>
          <w:sz w:val="16"/>
          <w:szCs w:val="16"/>
          <w:lang w:val="en-GB" w:eastAsia="fr-BE"/>
        </w:rPr>
      </w:pPr>
    </w:p>
    <w:p w:rsidRPr="00056FC4" w:rsidR="00276A56" w:rsidP="00276A56" w:rsidRDefault="00276A56" w14:paraId="3108B9E5" w14:textId="3F07B939">
      <w:pPr>
        <w:rPr>
          <w:rFonts w:ascii="Arial" w:hAnsi="Arial" w:eastAsia="Calibri" w:cs="Arial"/>
          <w:color w:val="000000"/>
        </w:rPr>
      </w:pPr>
      <w:r>
        <w:rPr>
          <w:rFonts w:ascii="Arial" w:hAnsi="Arial"/>
          <w:color w:val="000000"/>
        </w:rPr>
        <w:t xml:space="preserve">EGSO pozdravlja namjeru Europske komisije da uspostavi odbor za koordinaciju te inicijative s obzirom na to da je zajedničko upravljanje tom strategijom prijeko potrebno za postizanje rezultata u relativno kratkom vremenskom razdoblju. </w:t>
      </w:r>
    </w:p>
    <w:p w:rsidRPr="00056FC4" w:rsidR="00276A56" w:rsidP="00276A56" w:rsidRDefault="00276A56" w14:paraId="36D05E9C" w14:textId="77BFEE25">
      <w:pPr>
        <w:rPr>
          <w:rFonts w:ascii="Arial" w:hAnsi="Arial" w:eastAsia="Calibri" w:cs="Arial"/>
          <w:color w:val="000000"/>
        </w:rPr>
      </w:pPr>
      <w:r>
        <w:rPr>
          <w:rFonts w:ascii="Arial" w:hAnsi="Arial"/>
          <w:color w:val="000000"/>
        </w:rPr>
        <w:t xml:space="preserve">Međutim, niz članova i članica EGSO-a naglasio je da je nužno uključiti organizacije civilnog društva, među ostalima i sindikate i predstavnike poduzeća. Njihov doprinos bit će važan za kvalitetu i relevantnost odluka koje će donositi taj odbor. </w:t>
      </w:r>
    </w:p>
    <w:p w:rsidRPr="00056FC4" w:rsidR="00276A56" w:rsidP="00276A56" w:rsidRDefault="00276A56" w14:paraId="72CA4708" w14:textId="77777777">
      <w:pPr>
        <w:rPr>
          <w:rFonts w:ascii="Arial" w:hAnsi="Arial" w:eastAsia="Calibri" w:cs="Arial"/>
          <w:color w:val="000000"/>
          <w:sz w:val="16"/>
          <w:szCs w:val="16"/>
          <w:lang w:val="en-GB" w:eastAsia="fr-BE"/>
        </w:rPr>
      </w:pPr>
    </w:p>
    <w:p w:rsidRPr="00056FC4" w:rsidR="00276A56" w:rsidP="00276A56" w:rsidRDefault="00276A56" w14:paraId="5513FF3B" w14:textId="602F62AE">
      <w:pPr>
        <w:rPr>
          <w:rFonts w:ascii="Arial" w:hAnsi="Arial" w:eastAsia="Calibri" w:cs="Arial"/>
          <w:color w:val="000000"/>
        </w:rPr>
      </w:pPr>
      <w:r>
        <w:rPr>
          <w:rFonts w:ascii="Arial" w:hAnsi="Arial"/>
          <w:color w:val="000000"/>
        </w:rPr>
        <w:t xml:space="preserve">Povrh toga, EGSO čvrsto vjeruje da se ulaganja u prioritetne koridore za prometnu, energetsku i elektroničku komunikacijsku infrastrukturu moraju temeljiti na procjenama učinka kojima se ocjenjuju strateška pitanja, uključujući iskustva stečena tijekom oružanih sukoba u Ukrajini, Gorskom </w:t>
      </w:r>
      <w:proofErr w:type="spellStart"/>
      <w:r>
        <w:rPr>
          <w:rFonts w:ascii="Arial" w:hAnsi="Arial"/>
          <w:color w:val="000000"/>
        </w:rPr>
        <w:t>Karabahu</w:t>
      </w:r>
      <w:proofErr w:type="spellEnd"/>
      <w:r>
        <w:rPr>
          <w:rFonts w:ascii="Arial" w:hAnsi="Arial"/>
          <w:color w:val="000000"/>
        </w:rPr>
        <w:t>, Siriji, Osetiji i Libiji, kao i druga pitanja povezana s klimatskim promjenama i zaštitom okoliša.</w:t>
      </w:r>
    </w:p>
    <w:p w:rsidRPr="00056FC4" w:rsidR="00276A56" w:rsidRDefault="00276A56" w14:paraId="7B33680D" w14:textId="77777777">
      <w:pPr>
        <w:rPr>
          <w:rFonts w:ascii="Arial" w:hAnsi="Arial" w:cs="Arial"/>
          <w:i/>
          <w:iCs/>
          <w:color w:val="000000"/>
          <w:sz w:val="16"/>
          <w:szCs w:val="16"/>
          <w:lang w:val="en-GB" w:eastAsia="fr-BE"/>
        </w:rPr>
      </w:pPr>
    </w:p>
    <w:p w:rsidRPr="00056FC4" w:rsidR="00907590" w:rsidP="006B6052" w:rsidRDefault="00907590" w14:paraId="7E2BB0F5" w14:textId="77777777">
      <w:pPr>
        <w:rPr>
          <w:rFonts w:ascii="Arial" w:hAnsi="Arial" w:eastAsia="Calibri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Global </w:t>
      </w:r>
      <w:proofErr w:type="spellStart"/>
      <w:r>
        <w:rPr>
          <w:rFonts w:ascii="Arial" w:hAnsi="Arial"/>
          <w:b/>
          <w:color w:val="000000"/>
        </w:rPr>
        <w:t>Gateway</w:t>
      </w:r>
      <w:proofErr w:type="spellEnd"/>
      <w:r>
        <w:rPr>
          <w:rFonts w:ascii="Arial" w:hAnsi="Arial"/>
          <w:b/>
          <w:color w:val="000000"/>
        </w:rPr>
        <w:t xml:space="preserve"> kao oznaka vrijednosti EU-a</w:t>
      </w:r>
    </w:p>
    <w:p w:rsidRPr="00056FC4" w:rsidR="00907590" w:rsidP="006B6052" w:rsidRDefault="00907590" w14:paraId="6D30991E" w14:textId="77777777">
      <w:pPr>
        <w:rPr>
          <w:rFonts w:ascii="Arial" w:hAnsi="Arial" w:eastAsia="Calibri" w:cs="Arial"/>
          <w:color w:val="000000"/>
          <w:lang w:val="en-GB" w:eastAsia="fr-BE"/>
        </w:rPr>
      </w:pPr>
    </w:p>
    <w:p w:rsidRPr="00056FC4" w:rsidR="006B6052" w:rsidP="006B6052" w:rsidRDefault="006B6052" w14:paraId="7C6F0650" w14:textId="2AAADCB0">
      <w:pPr>
        <w:rPr>
          <w:rFonts w:ascii="Arial" w:hAnsi="Arial" w:eastAsia="Calibri" w:cs="Arial"/>
          <w:color w:val="000000"/>
        </w:rPr>
      </w:pPr>
      <w:r>
        <w:rPr>
          <w:rFonts w:ascii="Arial" w:hAnsi="Arial"/>
          <w:color w:val="000000"/>
        </w:rPr>
        <w:t xml:space="preserve">Za razliku od kineske inicijative Jedan pojas, jedan put, inicijativom Global </w:t>
      </w:r>
      <w:proofErr w:type="spellStart"/>
      <w:r>
        <w:rPr>
          <w:rFonts w:ascii="Arial" w:hAnsi="Arial"/>
          <w:color w:val="000000"/>
        </w:rPr>
        <w:t>Gateway</w:t>
      </w:r>
      <w:proofErr w:type="spellEnd"/>
      <w:r>
        <w:rPr>
          <w:rFonts w:ascii="Arial" w:hAnsi="Arial"/>
          <w:color w:val="000000"/>
        </w:rPr>
        <w:t xml:space="preserve"> ne stvara se ni administrativna ni dodatna financijska struktura. Riječ je o krovnoj marki čiji je cilj osigurati poštovanje i promicanje europskih vrijednosti. </w:t>
      </w:r>
    </w:p>
    <w:p w:rsidRPr="00056FC4" w:rsidR="006B6052" w:rsidRDefault="006B6052" w14:paraId="4A5212FD" w14:textId="77777777">
      <w:pPr>
        <w:rPr>
          <w:rFonts w:ascii="Arial" w:hAnsi="Arial" w:cs="Arial"/>
          <w:i/>
          <w:iCs/>
          <w:sz w:val="16"/>
          <w:szCs w:val="16"/>
          <w:lang w:val="en-GB"/>
        </w:rPr>
      </w:pPr>
    </w:p>
    <w:p w:rsidRPr="00056FC4" w:rsidR="006B6052" w:rsidP="006B6052" w:rsidRDefault="006B6052" w14:paraId="49AF4B5A" w14:textId="5EAF66BA">
      <w:pPr>
        <w:rPr>
          <w:rFonts w:ascii="Arial" w:hAnsi="Arial" w:eastAsia="Calibri" w:cs="Arial"/>
          <w:i/>
          <w:iCs/>
          <w:color w:val="000000"/>
        </w:rPr>
      </w:pPr>
      <w:r>
        <w:rPr>
          <w:rFonts w:ascii="Arial" w:hAnsi="Arial"/>
          <w:b/>
          <w:color w:val="000000"/>
        </w:rPr>
        <w:t>Violeta Jelić</w:t>
      </w:r>
      <w:r>
        <w:rPr>
          <w:rFonts w:ascii="Arial" w:hAnsi="Arial"/>
          <w:color w:val="000000"/>
        </w:rPr>
        <w:t xml:space="preserve">, suizvjestiteljica za to mišljenje, dodala je: „Poštovanje temeljnih ljudskih prava, procjena utjecaja na društvo i okoliš te usklađenost s postupcima transparentnosti i dužne pažnje moraju biti uvjeti </w:t>
      </w:r>
      <w:r>
        <w:rPr>
          <w:rFonts w:ascii="Arial" w:hAnsi="Arial"/>
          <w:i/>
          <w:color w:val="000000"/>
        </w:rPr>
        <w:t xml:space="preserve">sine </w:t>
      </w:r>
      <w:proofErr w:type="spellStart"/>
      <w:r>
        <w:rPr>
          <w:rFonts w:ascii="Arial" w:hAnsi="Arial"/>
          <w:i/>
          <w:color w:val="000000"/>
        </w:rPr>
        <w:t>qua</w:t>
      </w:r>
      <w:proofErr w:type="spellEnd"/>
      <w:r>
        <w:rPr>
          <w:rFonts w:ascii="Arial" w:hAnsi="Arial"/>
          <w:i/>
          <w:color w:val="000000"/>
        </w:rPr>
        <w:t xml:space="preserve"> </w:t>
      </w:r>
      <w:proofErr w:type="spellStart"/>
      <w:r>
        <w:rPr>
          <w:rFonts w:ascii="Arial" w:hAnsi="Arial"/>
          <w:i/>
          <w:color w:val="000000"/>
        </w:rPr>
        <w:t>non</w:t>
      </w:r>
      <w:proofErr w:type="spellEnd"/>
      <w:r>
        <w:rPr>
          <w:rFonts w:ascii="Arial" w:hAnsi="Arial"/>
          <w:color w:val="000000"/>
        </w:rPr>
        <w:t xml:space="preserve"> za pokretanje svakog projekta koji financiraju državni i nedržavni akteri EU-a.“</w:t>
      </w:r>
    </w:p>
    <w:p w:rsidRPr="00056FC4" w:rsidR="00342D89" w:rsidP="00640446" w:rsidRDefault="00342D89" w14:paraId="64EA948F" w14:textId="77777777">
      <w:pPr>
        <w:spacing w:line="240" w:lineRule="auto"/>
        <w:jc w:val="left"/>
        <w:rPr>
          <w:rFonts w:ascii="Arial" w:hAnsi="Arial" w:eastAsia="Calibri" w:cs="Arial"/>
          <w:color w:val="000000"/>
          <w:sz w:val="16"/>
          <w:szCs w:val="16"/>
          <w:lang w:val="en-GB" w:eastAsia="fr-BE"/>
        </w:rPr>
      </w:pPr>
    </w:p>
    <w:p w:rsidRPr="00056FC4" w:rsidR="00B02718" w:rsidP="004D4C95" w:rsidRDefault="00E86C41" w14:paraId="16521C20" w14:textId="6C188143">
      <w:pPr>
        <w:rPr>
          <w:rFonts w:ascii="Arial" w:hAnsi="Arial" w:cs="Arial"/>
        </w:rPr>
      </w:pPr>
      <w:r>
        <w:rPr>
          <w:rFonts w:ascii="Arial" w:hAnsi="Arial"/>
        </w:rPr>
        <w:t xml:space="preserve">Niz članova i članica EGSO-a istaknuo je da dramatično ratno stanje u Ukrajini ukazuje na potrebu za brzim financijskim prilagodbama. Stoga financijski instrumenti u okviru strategije </w:t>
      </w:r>
      <w:r>
        <w:rPr>
          <w:rFonts w:ascii="Arial" w:hAnsi="Arial"/>
        </w:rPr>
        <w:lastRenderedPageBreak/>
        <w:t xml:space="preserve">moraju biti dovoljno fleksibilni i sveobuhvatni kako bi se mogli brzo aktivirati u kriznim situacijama koje se pojavljuju na globalnoj razini, a posebno u susjedstvu EU-a. </w:t>
      </w:r>
    </w:p>
    <w:p w:rsidRPr="00056FC4" w:rsidR="00276A56" w:rsidP="004D4C95" w:rsidRDefault="00276A56" w14:paraId="670DB9DC" w14:textId="77777777">
      <w:pPr>
        <w:rPr>
          <w:rFonts w:ascii="Arial" w:hAnsi="Arial" w:cs="Arial"/>
          <w:sz w:val="16"/>
          <w:szCs w:val="16"/>
          <w:lang w:val="en-GB"/>
        </w:rPr>
      </w:pPr>
    </w:p>
    <w:p w:rsidRPr="00056FC4" w:rsidR="00276A56" w:rsidP="004D4C95" w:rsidRDefault="00276A56" w14:paraId="14A01CA5" w14:textId="7777777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Kontekst</w:t>
      </w:r>
    </w:p>
    <w:p w:rsidRPr="00056FC4" w:rsidR="003F52F3" w:rsidP="003F52F3" w:rsidRDefault="003F52F3" w14:paraId="5D7792BF" w14:textId="4461222C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/>
          <w:sz w:val="20"/>
        </w:rPr>
        <w:t xml:space="preserve">Komunikacija o strategiji Global </w:t>
      </w:r>
      <w:proofErr w:type="spellStart"/>
      <w:r>
        <w:rPr>
          <w:rFonts w:ascii="Arial" w:hAnsi="Arial"/>
          <w:sz w:val="20"/>
        </w:rPr>
        <w:t>Gateway</w:t>
      </w:r>
      <w:proofErr w:type="spellEnd"/>
      <w:r>
        <w:rPr>
          <w:rFonts w:ascii="Arial" w:hAnsi="Arial"/>
          <w:sz w:val="20"/>
        </w:rPr>
        <w:t xml:space="preserve"> objavljena je 1. prosinca 2021. nakon sastanka skupine G7 održanog u srpnju, a u njoj je utvrđena nova strategija za jačanje suradnje EU-a s partnerima putem velikih ulaganja u infrastrukturu diljem svijeta.</w:t>
      </w:r>
      <w:r>
        <w:rPr>
          <w:rFonts w:ascii="Arial" w:hAnsi="Arial"/>
          <w:color w:val="404040"/>
          <w:sz w:val="20"/>
        </w:rPr>
        <w:t xml:space="preserve"> </w:t>
      </w:r>
    </w:p>
    <w:p w:rsidRPr="00056FC4" w:rsidR="00276A56" w:rsidP="003F52F3" w:rsidRDefault="00276A56" w14:paraId="4F459B0D" w14:textId="18C1EAEE">
      <w:pPr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/>
          <w:color w:val="404040"/>
          <w:sz w:val="20"/>
        </w:rPr>
        <w:t>U razdoblju od 2021. do 2027. Tim Europa, odnosno institucije EU-a i države članice EU-a, mobilizirat će do 300 milijardi eura koje će se uložiti u digitalne, klimatske i energetske, prometne, zdravstvene, obrazovne i istraživačke projekte.</w:t>
      </w:r>
    </w:p>
    <w:p w:rsidRPr="00056FC4" w:rsidR="00276A56" w:rsidP="004D4C95" w:rsidRDefault="00276A56" w14:paraId="3C5A309E" w14:textId="77777777">
      <w:pPr>
        <w:rPr>
          <w:rFonts w:ascii="Arial" w:hAnsi="Arial" w:eastAsia="Calibri" w:cs="Arial"/>
          <w:color w:val="000000"/>
          <w:sz w:val="20"/>
          <w:szCs w:val="20"/>
          <w:lang w:val="en-GB" w:eastAsia="fr-BE"/>
        </w:rPr>
      </w:pPr>
    </w:p>
    <w:sectPr w:rsidRPr="00056FC4" w:rsidR="00276A56" w:rsidSect="00120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276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A368" w14:textId="77777777" w:rsidR="001206F2" w:rsidRDefault="001206F2" w:rsidP="001206F2">
      <w:pPr>
        <w:spacing w:line="240" w:lineRule="auto"/>
      </w:pPr>
      <w:r>
        <w:separator/>
      </w:r>
    </w:p>
  </w:endnote>
  <w:endnote w:type="continuationSeparator" w:id="0">
    <w:p w14:paraId="7D4D4B60" w14:textId="77777777" w:rsidR="001206F2" w:rsidRDefault="001206F2" w:rsidP="00120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745D" w14:textId="77777777" w:rsidR="001206F2" w:rsidRPr="001206F2" w:rsidRDefault="001206F2" w:rsidP="00120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69A9" w14:textId="2FAE1EBC" w:rsidR="001206F2" w:rsidRPr="001206F2" w:rsidRDefault="001206F2" w:rsidP="001206F2">
    <w:pPr>
      <w:pStyle w:val="Footer"/>
    </w:pPr>
    <w:r>
      <w:t xml:space="preserve">EESC-2022-02862-00-00-CP-TRA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B6037">
      <w:rPr>
        <w:noProof/>
      </w:rPr>
      <w:t>1</w:t>
    </w:r>
    <w:r>
      <w:fldChar w:fldCharType="end"/>
    </w:r>
    <w:r>
      <w:t>/</w:t>
    </w:r>
    <w:r w:rsidR="00B86B53">
      <w:fldChar w:fldCharType="begin"/>
    </w:r>
    <w:r w:rsidR="00B86B53">
      <w:instrText xml:space="preserve"> NUMPAGES </w:instrText>
    </w:r>
    <w:r w:rsidR="00B86B53">
      <w:fldChar w:fldCharType="separate"/>
    </w:r>
    <w:r w:rsidR="00CB6037">
      <w:rPr>
        <w:noProof/>
      </w:rPr>
      <w:t>2</w:t>
    </w:r>
    <w:r w:rsidR="00B86B5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5D20" w14:textId="77777777" w:rsidR="001206F2" w:rsidRPr="001206F2" w:rsidRDefault="001206F2" w:rsidP="00120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8B9EA" w14:textId="77777777" w:rsidR="001206F2" w:rsidRDefault="001206F2" w:rsidP="001206F2">
      <w:pPr>
        <w:spacing w:line="240" w:lineRule="auto"/>
      </w:pPr>
      <w:r>
        <w:separator/>
      </w:r>
    </w:p>
  </w:footnote>
  <w:footnote w:type="continuationSeparator" w:id="0">
    <w:p w14:paraId="14B4C744" w14:textId="77777777" w:rsidR="001206F2" w:rsidRDefault="001206F2" w:rsidP="00120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001F" w14:textId="77777777" w:rsidR="001206F2" w:rsidRPr="001206F2" w:rsidRDefault="001206F2" w:rsidP="00120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F430" w14:textId="502C1EC1" w:rsidR="001206F2" w:rsidRPr="001206F2" w:rsidRDefault="001206F2" w:rsidP="00120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CE4B" w14:textId="77777777" w:rsidR="001206F2" w:rsidRPr="001206F2" w:rsidRDefault="001206F2" w:rsidP="00120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A3396D"/>
    <w:multiLevelType w:val="multilevel"/>
    <w:tmpl w:val="8EC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C"/>
    <w:rsid w:val="000013B6"/>
    <w:rsid w:val="00056FC4"/>
    <w:rsid w:val="00072B20"/>
    <w:rsid w:val="001206F2"/>
    <w:rsid w:val="001C18DB"/>
    <w:rsid w:val="001E785C"/>
    <w:rsid w:val="002440EF"/>
    <w:rsid w:val="00254532"/>
    <w:rsid w:val="00276A56"/>
    <w:rsid w:val="002928BE"/>
    <w:rsid w:val="002A27AE"/>
    <w:rsid w:val="00342D89"/>
    <w:rsid w:val="003F52F3"/>
    <w:rsid w:val="0049463C"/>
    <w:rsid w:val="004B3FEA"/>
    <w:rsid w:val="004B75DE"/>
    <w:rsid w:val="004D4C95"/>
    <w:rsid w:val="004E173D"/>
    <w:rsid w:val="00553BAE"/>
    <w:rsid w:val="00640446"/>
    <w:rsid w:val="006450C8"/>
    <w:rsid w:val="00651812"/>
    <w:rsid w:val="00681152"/>
    <w:rsid w:val="00695F8F"/>
    <w:rsid w:val="006A0B20"/>
    <w:rsid w:val="006A4278"/>
    <w:rsid w:val="006B6052"/>
    <w:rsid w:val="006C1B05"/>
    <w:rsid w:val="006C2D92"/>
    <w:rsid w:val="006C69A5"/>
    <w:rsid w:val="006E260F"/>
    <w:rsid w:val="0077205E"/>
    <w:rsid w:val="00775DA4"/>
    <w:rsid w:val="007F1B20"/>
    <w:rsid w:val="00893FF2"/>
    <w:rsid w:val="008A4354"/>
    <w:rsid w:val="00907590"/>
    <w:rsid w:val="009623F3"/>
    <w:rsid w:val="009C5AF3"/>
    <w:rsid w:val="009E61F0"/>
    <w:rsid w:val="00A2098A"/>
    <w:rsid w:val="00A655D5"/>
    <w:rsid w:val="00A65D84"/>
    <w:rsid w:val="00A6659D"/>
    <w:rsid w:val="00A84151"/>
    <w:rsid w:val="00A960B9"/>
    <w:rsid w:val="00B02718"/>
    <w:rsid w:val="00B86B53"/>
    <w:rsid w:val="00BF3B6B"/>
    <w:rsid w:val="00C37116"/>
    <w:rsid w:val="00CB6037"/>
    <w:rsid w:val="00D04287"/>
    <w:rsid w:val="00DD5089"/>
    <w:rsid w:val="00E86C41"/>
    <w:rsid w:val="00EE59AA"/>
    <w:rsid w:val="00FC6279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BC37"/>
  <w15:chartTrackingRefBased/>
  <w15:docId w15:val="{02CB394A-D817-4522-A695-6C7F922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5C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E785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E785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E785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E785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E785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E785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E785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785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E785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85C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1E785C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1E785C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qFormat/>
    <w:rsid w:val="001E785C"/>
  </w:style>
  <w:style w:type="character" w:customStyle="1" w:styleId="FooterChar">
    <w:name w:val="Footer Char"/>
    <w:basedOn w:val="DefaultParagraphFont"/>
    <w:link w:val="Footer"/>
    <w:rsid w:val="001E785C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1E785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E785C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qFormat/>
    <w:rsid w:val="001E785C"/>
  </w:style>
  <w:style w:type="character" w:customStyle="1" w:styleId="HeaderChar">
    <w:name w:val="Header Char"/>
    <w:basedOn w:val="DefaultParagraphFont"/>
    <w:link w:val="Header"/>
    <w:rsid w:val="001E785C"/>
    <w:rPr>
      <w:rFonts w:ascii="Times New Roman" w:eastAsia="Times New Roman" w:hAnsi="Times New Roman" w:cs="Times New Roman"/>
      <w:lang w:val="hr-HR"/>
    </w:rPr>
  </w:style>
  <w:style w:type="paragraph" w:customStyle="1" w:styleId="quotes">
    <w:name w:val="quotes"/>
    <w:basedOn w:val="Normal"/>
    <w:next w:val="Normal"/>
    <w:rsid w:val="001E785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E785C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42D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D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78"/>
    <w:rPr>
      <w:rFonts w:ascii="Segoe UI" w:eastAsia="Times New Roman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A0B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1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152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152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esc.europa.eu/hr/our-work/opinions-information-reports/opinions/global-gateway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7EA8BE5AE7448468DCE544D2FDA8E5D" ma:contentTypeVersion="4" ma:contentTypeDescription="Defines the documents for Document Manager V2" ma:contentTypeScope="" ma:versionID="0d80cc0fd7b1ba3f19584657d9e1d01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a7f0de2-9719-4c76-97f8-3d69024ce342" targetNamespace="http://schemas.microsoft.com/office/2006/metadata/properties" ma:root="true" ma:fieldsID="0c1c4e7f6260ad1dd7bcdd31c79c6b50" ns2:_="" ns3:_="" ns4:_="">
    <xsd:import namespace="1299d781-265f-4ceb-999e-e1eca3df2c90"/>
    <xsd:import namespace="http://schemas.microsoft.com/sharepoint/v3/fields"/>
    <xsd:import namespace="4a7f0de2-9719-4c76-97f8-3d69024ce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0de2-9719-4c76-97f8-3d69024ce34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P6FJPSUHKDC2-288331576-3263</_dlc_DocId>
    <_dlc_DocIdUrl xmlns="1299d781-265f-4ceb-999e-e1eca3df2c90">
      <Url>http://dm2016/eesc/2022/_layouts/15/DocIdRedir.aspx?ID=P6FJPSUHKDC2-288331576-3263</Url>
      <Description>P6FJPSUHKDC2-288331576-3263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2022-06-01T12:00:00+00:00</ProductionDate>
    <DocumentNumber xmlns="4a7f0de2-9719-4c76-97f8-3d69024ce342">2862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18</Value>
      <Value>11</Value>
      <Value>9</Value>
      <Value>55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6773</FicheNumber>
    <OriginalSender xmlns="1299d781-265f-4ceb-999e-e1eca3df2c90">
      <UserInfo>
        <DisplayName>Vecko Stanko</DisplayName>
        <AccountId>1701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a7f0de2-9719-4c76-97f8-3d69024ce34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33289A4F-841F-40EF-AE95-A65996E87FE0}"/>
</file>

<file path=customXml/itemProps2.xml><?xml version="1.0" encoding="utf-8"?>
<ds:datastoreItem xmlns:ds="http://schemas.openxmlformats.org/officeDocument/2006/customXml" ds:itemID="{746B88DE-D06B-4DC9-AB01-80893B1D9D40}"/>
</file>

<file path=customXml/itemProps3.xml><?xml version="1.0" encoding="utf-8"?>
<ds:datastoreItem xmlns:ds="http://schemas.openxmlformats.org/officeDocument/2006/customXml" ds:itemID="{DF0DACB2-A12D-4FAB-8524-032504CB13EA}"/>
</file>

<file path=customXml/itemProps4.xml><?xml version="1.0" encoding="utf-8"?>
<ds:datastoreItem xmlns:ds="http://schemas.openxmlformats.org/officeDocument/2006/customXml" ds:itemID="{6C436B99-7366-42B7-8242-88564C8AF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strategiju Global Gateway moraju biti uključeni predstavnici svih društvenih skupina radi pravodobnog ostvarivanja djelotvornih rezultata</dc:title>
  <dc:subject>CP</dc:subject>
  <dc:creator>Tsoumani Amalia</dc:creator>
  <cp:keywords>EESC-2022-02862-00-00-CP-TRA-EN</cp:keywords>
  <dc:description>Rapporteur:  - Original language: EN - Date of document: 01/06/2022 - Date of meeting:  - External documents:  - Administrator:  TSOUMANI AMALIA</dc:description>
  <cp:lastModifiedBy>Vecko Stanko</cp:lastModifiedBy>
  <cp:revision>6</cp:revision>
  <dcterms:created xsi:type="dcterms:W3CDTF">2022-05-30T14:59:00Z</dcterms:created>
  <dcterms:modified xsi:type="dcterms:W3CDTF">2022-06-01T08:17:00Z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30/05/2022</vt:lpwstr>
  </property>
  <property fmtid="{D5CDD505-2E9C-101B-9397-08002B2CF9AE}" pid="4" name="Pref_Time">
    <vt:lpwstr>16:57:54</vt:lpwstr>
  </property>
  <property fmtid="{D5CDD505-2E9C-101B-9397-08002B2CF9AE}" pid="5" name="Pref_User">
    <vt:lpwstr>pacup</vt:lpwstr>
  </property>
  <property fmtid="{D5CDD505-2E9C-101B-9397-08002B2CF9AE}" pid="6" name="Pref_FileName">
    <vt:lpwstr>EESC-2022-02862-00-00-CP-TRA.docx</vt:lpwstr>
  </property>
  <property fmtid="{D5CDD505-2E9C-101B-9397-08002B2CF9AE}" pid="7" name="ContentTypeId">
    <vt:lpwstr>0x010100EA97B91038054C99906057A708A1480A00B7EA8BE5AE7448468DCE544D2FDA8E5D</vt:lpwstr>
  </property>
  <property fmtid="{D5CDD505-2E9C-101B-9397-08002B2CF9AE}" pid="8" name="_dlc_DocIdItemGuid">
    <vt:lpwstr>e402516e-b9f9-4ac2-b443-ca95c6fc1ba1</vt:lpwstr>
  </property>
  <property fmtid="{D5CDD505-2E9C-101B-9397-08002B2CF9AE}" pid="9" name="AvailableTranslations">
    <vt:lpwstr>11;#FR|d2afafd3-4c81-4f60-8f52-ee33f2f54ff3;#55;#HR|2f555653-ed1a-4fe6-8362-9082d95989e5;#4;#EN|f2175f21-25d7-44a3-96da-d6a61b075e1b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2862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6773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18;#CP|de8ad211-9e8d-408b-8324-674d21bb7d18;#9;#Unrestricted|826e22d7-d029-4ec0-a450-0c28ff673572;#7;#TRA|150d2a88-1431-44e6-a8ca-0bb753ab8672;#6;#Final|ea5e6674-7b27-4bac-b091-73adbb394efe;#4;#EN|f2175f21-25d7-44a3-96da-d6a61b075e1b;#1;#EESC|422833ec-8d7e-4e65-8e4e-8bed07ffb729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55;#HR|2f555653-ed1a-4fe6-8362-9082d95989e5</vt:lpwstr>
  </property>
  <property fmtid="{D5CDD505-2E9C-101B-9397-08002B2CF9AE}" pid="37" name="_docset_NoMedatataSyncRequired">
    <vt:lpwstr>False</vt:lpwstr>
  </property>
</Properties>
</file>