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F2" w:rsidRDefault="001206F2" w14:paraId="6D4E3111" w14:textId="21116964">
      <w:pPr>
        <w:rPr>
          <w:rFonts w:ascii="Arial" w:hAnsi="Arial" w:cs="Arial"/>
          <w:b/>
          <w:bCs/>
        </w:rPr>
      </w:pPr>
      <w:r>
        <w:rPr>
          <w:rFonts w:ascii="Arial" w:hAnsi="Arial"/>
          <w:b/>
          <w:noProof/>
          <w:sz w:val="20"/>
          <w:lang w:val="en-US"/>
        </w:rPr>
        <mc:AlternateContent>
          <mc:Choice Requires="wps">
            <w:drawing>
              <wp:anchor distT="0" distB="0" distL="114300" distR="114300" simplePos="0" relativeHeight="251659264" behindDoc="1" locked="0" layoutInCell="0" allowOverlap="1" wp14:editId="3D191E52" wp14:anchorId="3404F43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206F2" w:rsidRDefault="001206F2" w14:paraId="0112A15D" w14:textId="7777777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04F43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206F2" w:rsidRDefault="001206F2" w14:paraId="0112A15D" w14:textId="77777777">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Pr="00056FC4" w:rsidR="006B6052" w:rsidRDefault="009E61F0" w14:paraId="78E104C2" w14:textId="0B9BA679">
      <w:pPr>
        <w:rPr>
          <w:rFonts w:ascii="Arial" w:hAnsi="Arial" w:cs="Arial"/>
          <w:b/>
          <w:bCs/>
        </w:rPr>
      </w:pPr>
      <w:r>
        <w:rPr>
          <w:rFonts w:ascii="Arial" w:hAnsi="Arial"/>
          <w:b/>
        </w:rPr>
        <w:t>La stratégie «Global Gateway» doit associer à sa démarche des représentants de tous les horizons afin de produire en temps voulu des résultats efficaces</w:t>
      </w:r>
    </w:p>
    <w:p w:rsidRPr="00056FC4" w:rsidR="009E61F0" w:rsidRDefault="009E61F0" w14:paraId="6B808D6C" w14:textId="77777777">
      <w:pPr>
        <w:rPr>
          <w:rFonts w:ascii="Arial" w:hAnsi="Arial" w:cs="Arial"/>
          <w:lang w:val="en-GB"/>
        </w:rPr>
      </w:pPr>
    </w:p>
    <w:p w:rsidRPr="00056FC4" w:rsidR="001C18DB" w:rsidP="006B6052" w:rsidRDefault="00640446" w14:paraId="3DBE4752" w14:textId="35EB5C88">
      <w:pPr>
        <w:rPr>
          <w:rFonts w:ascii="Arial" w:hAnsi="Arial" w:cs="Arial"/>
          <w:b/>
          <w:bCs/>
        </w:rPr>
      </w:pPr>
      <w:r>
        <w:rPr>
          <w:rFonts w:ascii="Arial" w:hAnsi="Arial"/>
          <w:b/>
        </w:rPr>
        <w:t xml:space="preserve">L’initiative «Global Gateway» lancée par l’Union européenne constitue un pas en avant pour améliorer ses interconnexions avec ses partenaires extérieurs et les pays en développement partageant les mêmes valeurs qu’elle. Dans l’avis qu’il a élaboré sur le sujet, le CESE souligne que le comité qui sera mis en place pour coordonner les investissements réalisés dans le cadre de cette stratégie doit inclure des représentants de la société civile. Il fait également valoir que l’éligibilité des projets qui en relèvent doit être liée aux valeurs et aux principes de l’Union européenne. </w:t>
      </w:r>
    </w:p>
    <w:p w:rsidRPr="00056FC4" w:rsidR="004B75DE" w:rsidP="006B6052" w:rsidRDefault="004B75DE" w14:paraId="47C2DB99" w14:textId="77777777">
      <w:pPr>
        <w:rPr>
          <w:rFonts w:ascii="Arial" w:hAnsi="Arial" w:cs="Arial"/>
          <w:b/>
          <w:bCs/>
          <w:lang w:val="en-GB"/>
        </w:rPr>
      </w:pPr>
    </w:p>
    <w:p w:rsidRPr="00056FC4" w:rsidR="006A4278" w:rsidP="006A4278" w:rsidRDefault="006A4278" w14:paraId="196F4903" w14:textId="2149A2E7">
      <w:pPr>
        <w:rPr>
          <w:rFonts w:ascii="Arial" w:hAnsi="Arial" w:cs="Arial"/>
        </w:rPr>
      </w:pPr>
      <w:r>
        <w:rPr>
          <w:rFonts w:ascii="Arial" w:hAnsi="Arial"/>
        </w:rPr>
        <w:t xml:space="preserve">Lors de l’examen de son avis sur </w:t>
      </w:r>
      <w:hyperlink w:history="1" r:id="rId7">
        <w:r>
          <w:rPr>
            <w:rStyle w:val="Hyperlink"/>
            <w:rFonts w:ascii="Arial" w:hAnsi="Arial"/>
            <w:b/>
          </w:rPr>
          <w:t>la stratégie «Global Gateway»</w:t>
        </w:r>
      </w:hyperlink>
      <w:r>
        <w:rPr>
          <w:rFonts w:ascii="Arial" w:hAnsi="Arial"/>
        </w:rPr>
        <w:t>, adopté durant sa session plénière de mai, les membres du CESE ont relevé qu’avec cette initiative, l’Union européenne étoffe son action stratégique. Ils ont également souligné que cette politique ouvre la voie à un accroissement des investissements dans les pays en développement et favorise un resserrement des relations commerciales avec ces États, dans le contexte de la transition juste. En d’autres termes, l’initiative «Global Gateway» est conçue pour être non seulement un instrument diplomatique mais constituer également un outil de communication.</w:t>
      </w:r>
    </w:p>
    <w:p w:rsidRPr="00056FC4" w:rsidR="006A4278" w:rsidP="006A4278" w:rsidRDefault="006A4278" w14:paraId="5D50B60E" w14:textId="77777777">
      <w:pPr>
        <w:rPr>
          <w:rFonts w:ascii="Arial" w:hAnsi="Arial" w:cs="Arial"/>
          <w:sz w:val="16"/>
          <w:szCs w:val="16"/>
          <w:lang w:val="en-GB"/>
        </w:rPr>
      </w:pPr>
    </w:p>
    <w:p w:rsidRPr="00056FC4" w:rsidR="001E785C" w:rsidRDefault="006450C8" w14:paraId="7C65193D" w14:textId="6687832B">
      <w:pPr>
        <w:rPr>
          <w:rFonts w:ascii="Arial" w:hAnsi="Arial" w:cs="Arial"/>
          <w:i/>
          <w:iCs/>
          <w:color w:val="000000"/>
        </w:rPr>
      </w:pPr>
      <w:r>
        <w:rPr>
          <w:rFonts w:ascii="Arial" w:hAnsi="Arial"/>
        </w:rPr>
        <w:t xml:space="preserve">Le rapporteur de l’avis, </w:t>
      </w:r>
      <w:r>
        <w:rPr>
          <w:rFonts w:ascii="Arial" w:hAnsi="Arial"/>
          <w:b/>
          <w:bCs/>
        </w:rPr>
        <w:t xml:space="preserve">Dumitru </w:t>
      </w:r>
      <w:proofErr w:type="spellStart"/>
      <w:r>
        <w:rPr>
          <w:rFonts w:ascii="Arial" w:hAnsi="Arial"/>
          <w:b/>
          <w:bCs/>
        </w:rPr>
        <w:t>Fornea</w:t>
      </w:r>
      <w:proofErr w:type="spellEnd"/>
      <w:r>
        <w:rPr>
          <w:rFonts w:ascii="Arial" w:hAnsi="Arial"/>
        </w:rPr>
        <w:t>, a mis en exergue «</w:t>
      </w:r>
      <w:r>
        <w:rPr>
          <w:rFonts w:ascii="Arial" w:hAnsi="Arial"/>
          <w:i/>
          <w:iCs/>
        </w:rPr>
        <w:t>l’importance que la stratégie “Global Gateway” revêt pour maintenir et renforcer les liens physiques entre l’Union européenne et d’autres parties du monde, en particulier pour ce qui est des infrastructures fournissant l’accès à l’eau, à la nourriture et à l’énergie</w:t>
      </w:r>
      <w:r>
        <w:rPr>
          <w:rFonts w:ascii="Arial" w:hAnsi="Arial"/>
        </w:rPr>
        <w:t>».</w:t>
      </w:r>
    </w:p>
    <w:p w:rsidRPr="00056FC4" w:rsidR="006B6052" w:rsidRDefault="006B6052" w14:paraId="4D86376A" w14:textId="77777777">
      <w:pPr>
        <w:rPr>
          <w:rFonts w:ascii="Arial" w:hAnsi="Arial" w:cs="Arial"/>
          <w:i/>
          <w:iCs/>
          <w:color w:val="000000"/>
          <w:sz w:val="16"/>
          <w:szCs w:val="16"/>
          <w:lang w:val="en-GB" w:eastAsia="fr-BE"/>
        </w:rPr>
      </w:pPr>
    </w:p>
    <w:p w:rsidRPr="00056FC4" w:rsidR="00276A56" w:rsidP="00276A56" w:rsidRDefault="00276A56" w14:paraId="3108B9E5" w14:textId="3F07B939">
      <w:pPr>
        <w:rPr>
          <w:rFonts w:ascii="Arial" w:hAnsi="Arial" w:eastAsia="Calibri" w:cs="Arial"/>
          <w:color w:val="000000"/>
        </w:rPr>
      </w:pPr>
      <w:r>
        <w:rPr>
          <w:rFonts w:ascii="Arial" w:hAnsi="Arial"/>
          <w:color w:val="000000"/>
        </w:rPr>
        <w:t xml:space="preserve">Le CESE accueille favorablement l’intention qu’exprime la Commission européenne de créer un «comité Global Gateway», qui aura pour mission d’assurer la coordination de l’initiative, étant donné qu’une gouvernance commune de cette stratégie est indispensable afin d’atteindre les résultats voulus dans un laps de temps relativement court. </w:t>
      </w:r>
    </w:p>
    <w:p w:rsidRPr="00056FC4" w:rsidR="00276A56" w:rsidP="00276A56" w:rsidRDefault="00276A56" w14:paraId="36D05E9C" w14:textId="77BFEE25">
      <w:pPr>
        <w:rPr>
          <w:rFonts w:ascii="Arial" w:hAnsi="Arial" w:eastAsia="Calibri" w:cs="Arial"/>
          <w:color w:val="000000"/>
        </w:rPr>
      </w:pPr>
      <w:r>
        <w:rPr>
          <w:rFonts w:ascii="Arial" w:hAnsi="Arial"/>
          <w:color w:val="000000"/>
        </w:rPr>
        <w:t xml:space="preserve">Toutefois, un certain nombre de membres du CESE ont souligné que les organisations de la société civile, dont les syndicats et les représentants des entreprises, devaient être incluses dans cette instance. Leur contribution sera bénéfique pour la qualité et la pertinence des décisions qui y seront prises. </w:t>
      </w:r>
    </w:p>
    <w:p w:rsidRPr="00056FC4" w:rsidR="00276A56" w:rsidP="00276A56" w:rsidRDefault="00276A56" w14:paraId="72CA4708" w14:textId="77777777">
      <w:pPr>
        <w:rPr>
          <w:rFonts w:ascii="Arial" w:hAnsi="Arial" w:eastAsia="Calibri" w:cs="Arial"/>
          <w:color w:val="000000"/>
          <w:sz w:val="16"/>
          <w:szCs w:val="16"/>
          <w:lang w:val="en-GB" w:eastAsia="fr-BE"/>
        </w:rPr>
      </w:pPr>
    </w:p>
    <w:p w:rsidRPr="00056FC4" w:rsidR="00276A56" w:rsidP="00276A56" w:rsidRDefault="00276A56" w14:paraId="5513FF3B" w14:textId="602F62AE">
      <w:pPr>
        <w:rPr>
          <w:rFonts w:ascii="Arial" w:hAnsi="Arial" w:eastAsia="Calibri" w:cs="Arial"/>
          <w:color w:val="000000"/>
        </w:rPr>
      </w:pPr>
      <w:r>
        <w:rPr>
          <w:rFonts w:ascii="Arial" w:hAnsi="Arial"/>
          <w:color w:val="000000"/>
        </w:rPr>
        <w:t>En outre, le CESE demande instamment que les investissements dans les corridors prioritaires pour les infrastructures de transport, d’énergie et de communications électroniques s’effectuent au départ d’analyses d’impact fournissant une évaluation qui reposera non seulement sur des considérations stratégiques, y compris les enseignements tirés des conflits armés en Ukraine, dans le Haut-Karabakh, en Syrie, en Ossétie ou en Libye et ailleurs, mais aussi sur d’autres problématiques, en rapport avec le changement climatique et la protection de l’environnement.</w:t>
      </w:r>
    </w:p>
    <w:p w:rsidRPr="004170CA" w:rsidR="00276A56" w:rsidRDefault="00276A56" w14:paraId="7B33680D" w14:textId="77777777">
      <w:pPr>
        <w:rPr>
          <w:rFonts w:ascii="Arial" w:hAnsi="Arial" w:cs="Arial"/>
          <w:iCs/>
          <w:color w:val="000000"/>
          <w:sz w:val="16"/>
          <w:szCs w:val="16"/>
          <w:lang w:val="en-GB" w:eastAsia="fr-BE"/>
        </w:rPr>
      </w:pPr>
      <w:bookmarkStart w:name="_GoBack" w:id="0"/>
      <w:bookmarkEnd w:id="0"/>
    </w:p>
    <w:p w:rsidRPr="00056FC4" w:rsidR="00907590" w:rsidP="006B6052" w:rsidRDefault="00907590" w14:paraId="7E2BB0F5" w14:textId="77777777">
      <w:pPr>
        <w:rPr>
          <w:rFonts w:ascii="Arial" w:hAnsi="Arial" w:eastAsia="Calibri" w:cs="Arial"/>
          <w:b/>
          <w:bCs/>
          <w:color w:val="000000"/>
        </w:rPr>
      </w:pPr>
      <w:r>
        <w:rPr>
          <w:rFonts w:ascii="Arial" w:hAnsi="Arial"/>
          <w:b/>
          <w:color w:val="000000"/>
        </w:rPr>
        <w:t>La stratégie «Global Gateway» véhicule les valeurs de l’Union européenne</w:t>
      </w:r>
    </w:p>
    <w:p w:rsidRPr="00056FC4" w:rsidR="00907590" w:rsidP="006B6052" w:rsidRDefault="00907590" w14:paraId="6D30991E" w14:textId="77777777">
      <w:pPr>
        <w:rPr>
          <w:rFonts w:ascii="Arial" w:hAnsi="Arial" w:eastAsia="Calibri" w:cs="Arial"/>
          <w:color w:val="000000"/>
          <w:lang w:val="en-GB" w:eastAsia="fr-BE"/>
        </w:rPr>
      </w:pPr>
    </w:p>
    <w:p w:rsidRPr="00056FC4" w:rsidR="006B6052" w:rsidP="006B6052" w:rsidRDefault="006B6052" w14:paraId="7C6F0650" w14:textId="2AAADCB0">
      <w:pPr>
        <w:rPr>
          <w:rFonts w:ascii="Arial" w:hAnsi="Arial" w:eastAsia="Calibri" w:cs="Arial"/>
          <w:color w:val="000000"/>
        </w:rPr>
      </w:pPr>
      <w:r>
        <w:rPr>
          <w:rFonts w:ascii="Arial" w:hAnsi="Arial"/>
          <w:color w:val="000000"/>
        </w:rPr>
        <w:t xml:space="preserve">Contrairement à l’initiative chinoise «Ceinture et route», la stratégie «Global Gateway» ne constitue ni une structure administrative ni un mécanisme financier de plus. Elle se présente sous la forme d’une «marque ombrelle» qui vise à garantir le respect et la promotion des valeurs européennes. </w:t>
      </w:r>
    </w:p>
    <w:p w:rsidRPr="00056FC4" w:rsidR="006B6052" w:rsidRDefault="006B6052" w14:paraId="4A5212FD" w14:textId="77777777">
      <w:pPr>
        <w:rPr>
          <w:rFonts w:ascii="Arial" w:hAnsi="Arial" w:cs="Arial"/>
          <w:i/>
          <w:iCs/>
          <w:sz w:val="16"/>
          <w:szCs w:val="16"/>
          <w:lang w:val="en-GB"/>
        </w:rPr>
      </w:pPr>
    </w:p>
    <w:p w:rsidRPr="00056FC4" w:rsidR="006B6052" w:rsidP="006B6052" w:rsidRDefault="006B6052" w14:paraId="49AF4B5A" w14:textId="5EAF66BA">
      <w:pPr>
        <w:rPr>
          <w:rFonts w:ascii="Arial" w:hAnsi="Arial" w:eastAsia="Calibri" w:cs="Arial"/>
          <w:i/>
          <w:iCs/>
          <w:color w:val="000000"/>
        </w:rPr>
      </w:pPr>
      <w:r>
        <w:rPr>
          <w:rFonts w:ascii="Arial" w:hAnsi="Arial"/>
          <w:color w:val="000000"/>
        </w:rPr>
        <w:lastRenderedPageBreak/>
        <w:t xml:space="preserve">Corapporteure de l’avis, </w:t>
      </w:r>
      <w:r>
        <w:rPr>
          <w:rFonts w:ascii="Arial" w:hAnsi="Arial"/>
          <w:b/>
          <w:color w:val="000000"/>
        </w:rPr>
        <w:t>Violeta Jelić</w:t>
      </w:r>
      <w:r>
        <w:rPr>
          <w:rFonts w:ascii="Arial" w:hAnsi="Arial"/>
          <w:color w:val="000000"/>
        </w:rPr>
        <w:t>, a précisé que «</w:t>
      </w:r>
      <w:r>
        <w:rPr>
          <w:rFonts w:ascii="Arial" w:hAnsi="Arial"/>
          <w:i/>
          <w:iCs/>
          <w:color w:val="000000"/>
        </w:rPr>
        <w:t xml:space="preserve">le respect des droits humains fondamentaux, l’évaluation des incidences sociales et environnementales et la conformité avec les procédures de transparence et de diligence raisonnable doivent figurer parmi les conditions </w:t>
      </w:r>
      <w:proofErr w:type="spellStart"/>
      <w:r>
        <w:rPr>
          <w:rFonts w:ascii="Arial" w:hAnsi="Arial"/>
          <w:i/>
          <w:iCs/>
          <w:color w:val="000000"/>
        </w:rPr>
        <w:t>sine</w:t>
      </w:r>
      <w:proofErr w:type="spellEnd"/>
      <w:r>
        <w:rPr>
          <w:rFonts w:ascii="Arial" w:hAnsi="Arial"/>
          <w:i/>
          <w:iCs/>
          <w:color w:val="000000"/>
        </w:rPr>
        <w:t xml:space="preserve"> qua non pour le lancement de tout projet financé par des acteurs étatiques et non étatiques de l’Union européenne</w:t>
      </w:r>
      <w:r>
        <w:rPr>
          <w:rFonts w:ascii="Arial" w:hAnsi="Arial"/>
          <w:color w:val="000000"/>
        </w:rPr>
        <w:t>».</w:t>
      </w:r>
    </w:p>
    <w:p w:rsidRPr="00056FC4" w:rsidR="00342D89" w:rsidP="00640446" w:rsidRDefault="00342D89" w14:paraId="64EA948F" w14:textId="77777777">
      <w:pPr>
        <w:spacing w:line="240" w:lineRule="auto"/>
        <w:jc w:val="left"/>
        <w:rPr>
          <w:rFonts w:ascii="Arial" w:hAnsi="Arial" w:eastAsia="Calibri" w:cs="Arial"/>
          <w:color w:val="000000"/>
          <w:sz w:val="16"/>
          <w:szCs w:val="16"/>
          <w:lang w:val="en-GB" w:eastAsia="fr-BE"/>
        </w:rPr>
      </w:pPr>
    </w:p>
    <w:p w:rsidRPr="00056FC4" w:rsidR="00B02718" w:rsidP="004D4C95" w:rsidRDefault="00E86C41" w14:paraId="16521C20" w14:textId="6C188143">
      <w:pPr>
        <w:rPr>
          <w:rFonts w:ascii="Arial" w:hAnsi="Arial" w:cs="Arial"/>
        </w:rPr>
      </w:pPr>
      <w:r>
        <w:rPr>
          <w:rFonts w:ascii="Arial" w:hAnsi="Arial"/>
        </w:rPr>
        <w:t xml:space="preserve">Un certain nombre de membres du CESE ont ajouté que la situation dramatique provoquée par la guerre en Ukraine démontre la nécessité de pouvoir procéder rapidement à des ajustements financiers. Par conséquent, les instruments de financement prévus dans la stratégie doivent être suffisamment souples et complets pour se prêter à être utilisés rapidement dans des contextes de crises qui se produisent à l’échelle mondiale et, en particulier, dans le voisinage de l’Union européenne. </w:t>
      </w:r>
    </w:p>
    <w:p w:rsidRPr="00056FC4" w:rsidR="00276A56" w:rsidP="004D4C95" w:rsidRDefault="00276A56" w14:paraId="670DB9DC" w14:textId="77777777">
      <w:pPr>
        <w:rPr>
          <w:rFonts w:ascii="Arial" w:hAnsi="Arial" w:cs="Arial"/>
          <w:sz w:val="16"/>
          <w:szCs w:val="16"/>
          <w:lang w:val="en-GB"/>
        </w:rPr>
      </w:pPr>
    </w:p>
    <w:p w:rsidRPr="00056FC4" w:rsidR="00276A56" w:rsidP="004D4C95" w:rsidRDefault="00276A56" w14:paraId="14A01CA5" w14:textId="77777777">
      <w:pPr>
        <w:rPr>
          <w:rFonts w:ascii="Arial" w:hAnsi="Arial" w:cs="Arial"/>
          <w:b/>
          <w:bCs/>
        </w:rPr>
      </w:pPr>
      <w:r>
        <w:rPr>
          <w:rFonts w:ascii="Arial" w:hAnsi="Arial"/>
          <w:b/>
        </w:rPr>
        <w:t>Informations contextuelles</w:t>
      </w:r>
    </w:p>
    <w:p w:rsidRPr="00056FC4" w:rsidR="003F52F3" w:rsidP="003F52F3" w:rsidRDefault="003F52F3" w14:paraId="5D7792BF" w14:textId="4461222C">
      <w:pPr>
        <w:rPr>
          <w:rFonts w:ascii="Arial" w:hAnsi="Arial" w:cs="Arial"/>
          <w:color w:val="404040"/>
          <w:sz w:val="20"/>
          <w:szCs w:val="20"/>
        </w:rPr>
      </w:pPr>
      <w:r>
        <w:rPr>
          <w:rFonts w:ascii="Arial" w:hAnsi="Arial"/>
          <w:sz w:val="20"/>
        </w:rPr>
        <w:t>Publiée le 1</w:t>
      </w:r>
      <w:r>
        <w:rPr>
          <w:rFonts w:ascii="Arial" w:hAnsi="Arial"/>
          <w:sz w:val="20"/>
          <w:vertAlign w:val="superscript"/>
        </w:rPr>
        <w:t>er</w:t>
      </w:r>
      <w:r>
        <w:rPr>
          <w:rFonts w:ascii="Arial" w:hAnsi="Arial"/>
          <w:sz w:val="20"/>
        </w:rPr>
        <w:t> décembre 2021, à la suite de la réunion du G7 tenue au début du mois de juillet de cette même année, la communication sur la stratégie «Global Gateway» a défini une nouvelle stratégie grâce à laquelle l’Union européenne intensifiera sa coopération avec ses partenaires en réalisant des investissements majeurs dans des infrastructures à travers le monde.</w:t>
      </w:r>
      <w:r>
        <w:rPr>
          <w:rFonts w:ascii="Arial" w:hAnsi="Arial"/>
          <w:color w:val="404040"/>
          <w:sz w:val="20"/>
        </w:rPr>
        <w:t xml:space="preserve"> </w:t>
      </w:r>
    </w:p>
    <w:p w:rsidRPr="00056FC4" w:rsidR="00276A56" w:rsidP="003F52F3" w:rsidRDefault="00276A56" w14:paraId="4F459B0D" w14:textId="18C1EAEE">
      <w:pPr>
        <w:rPr>
          <w:rFonts w:ascii="Arial" w:hAnsi="Arial" w:cs="Arial"/>
          <w:color w:val="404040"/>
          <w:sz w:val="20"/>
          <w:szCs w:val="20"/>
        </w:rPr>
      </w:pPr>
      <w:r>
        <w:rPr>
          <w:rFonts w:ascii="Arial" w:hAnsi="Arial"/>
          <w:color w:val="404040"/>
          <w:sz w:val="20"/>
        </w:rPr>
        <w:t>Entre 2021 et 2027, l’«Équipe Europe», c’est-à-dire les institutions de l’Union européenne et ses États membres agissant de concert, mobiliseront jusqu’à 300 milliards d’euros pour investir dans des projets concernant le numérique, le climat et l’énergie, les transports, la santé, ou encore l’éducation et la recherche.</w:t>
      </w:r>
    </w:p>
    <w:p w:rsidRPr="00056FC4" w:rsidR="00276A56" w:rsidP="004D4C95" w:rsidRDefault="00276A56" w14:paraId="3C5A309E" w14:textId="77777777">
      <w:pPr>
        <w:rPr>
          <w:rFonts w:ascii="Arial" w:hAnsi="Arial" w:eastAsia="Calibri" w:cs="Arial"/>
          <w:color w:val="000000"/>
          <w:sz w:val="20"/>
          <w:szCs w:val="20"/>
          <w:lang w:val="en-GB" w:eastAsia="fr-BE"/>
        </w:rPr>
      </w:pPr>
    </w:p>
    <w:sectPr w:rsidRPr="00056FC4" w:rsidR="00276A56" w:rsidSect="001206F2">
      <w:headerReference w:type="even" r:id="rId8"/>
      <w:headerReference w:type="default" r:id="rId9"/>
      <w:footerReference w:type="even" r:id="rId10"/>
      <w:footerReference w:type="default" r:id="rId11"/>
      <w:headerReference w:type="first" r:id="rId12"/>
      <w:footerReference w:type="first" r:id="rId13"/>
      <w:pgSz w:w="11907" w:h="16839"/>
      <w:pgMar w:top="1276" w:right="1417" w:bottom="709"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A368" w14:textId="77777777" w:rsidR="001206F2" w:rsidRDefault="001206F2" w:rsidP="001206F2">
      <w:pPr>
        <w:spacing w:line="240" w:lineRule="auto"/>
      </w:pPr>
      <w:r>
        <w:separator/>
      </w:r>
    </w:p>
  </w:endnote>
  <w:endnote w:type="continuationSeparator" w:id="0">
    <w:p w14:paraId="7D4D4B60" w14:textId="77777777" w:rsidR="001206F2" w:rsidRDefault="001206F2" w:rsidP="00120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745D" w14:textId="77777777" w:rsidR="001206F2" w:rsidRPr="001206F2" w:rsidRDefault="001206F2" w:rsidP="00120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9A9" w14:textId="56BAE291" w:rsidR="001206F2" w:rsidRPr="001206F2" w:rsidRDefault="001206F2" w:rsidP="001206F2">
    <w:pPr>
      <w:pStyle w:val="Footer"/>
    </w:pPr>
    <w:r>
      <w:t xml:space="preserve">EESC-2022-02862-00-00-CP-TRA (EN) </w:t>
    </w:r>
    <w:r>
      <w:fldChar w:fldCharType="begin"/>
    </w:r>
    <w:r>
      <w:instrText xml:space="preserve"> PAGE  \* Arabic  \* MERGEFORMAT </w:instrText>
    </w:r>
    <w:r>
      <w:fldChar w:fldCharType="separate"/>
    </w:r>
    <w:r w:rsidR="008E7C2B">
      <w:rPr>
        <w:noProof/>
      </w:rPr>
      <w:t>2</w:t>
    </w:r>
    <w:r>
      <w:fldChar w:fldCharType="end"/>
    </w:r>
    <w:r>
      <w:t>/</w:t>
    </w:r>
    <w:r w:rsidR="00454079">
      <w:fldChar w:fldCharType="begin"/>
    </w:r>
    <w:r w:rsidR="00454079">
      <w:instrText xml:space="preserve"> NUMPAGES </w:instrText>
    </w:r>
    <w:r w:rsidR="00454079">
      <w:fldChar w:fldCharType="separate"/>
    </w:r>
    <w:r w:rsidR="008E7C2B">
      <w:rPr>
        <w:noProof/>
      </w:rPr>
      <w:t>2</w:t>
    </w:r>
    <w:r w:rsidR="0045407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5D20" w14:textId="77777777" w:rsidR="001206F2" w:rsidRPr="001206F2" w:rsidRDefault="001206F2" w:rsidP="0012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B9EA" w14:textId="77777777" w:rsidR="001206F2" w:rsidRDefault="001206F2" w:rsidP="001206F2">
      <w:pPr>
        <w:spacing w:line="240" w:lineRule="auto"/>
      </w:pPr>
      <w:r>
        <w:separator/>
      </w:r>
    </w:p>
  </w:footnote>
  <w:footnote w:type="continuationSeparator" w:id="0">
    <w:p w14:paraId="14B4C744" w14:textId="77777777" w:rsidR="001206F2" w:rsidRDefault="001206F2" w:rsidP="00120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001F" w14:textId="77777777" w:rsidR="001206F2" w:rsidRPr="001206F2" w:rsidRDefault="001206F2" w:rsidP="0012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3F430" w14:textId="502C1EC1" w:rsidR="001206F2" w:rsidRPr="001206F2" w:rsidRDefault="001206F2" w:rsidP="00120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CE4B" w14:textId="77777777" w:rsidR="001206F2" w:rsidRPr="001206F2" w:rsidRDefault="001206F2" w:rsidP="0012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DA3396D"/>
    <w:multiLevelType w:val="multilevel"/>
    <w:tmpl w:val="8EC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C"/>
    <w:rsid w:val="000013B6"/>
    <w:rsid w:val="00056FC4"/>
    <w:rsid w:val="00072B20"/>
    <w:rsid w:val="001206F2"/>
    <w:rsid w:val="001C18DB"/>
    <w:rsid w:val="001E785C"/>
    <w:rsid w:val="002440EF"/>
    <w:rsid w:val="00254532"/>
    <w:rsid w:val="00276A56"/>
    <w:rsid w:val="002928BE"/>
    <w:rsid w:val="00342D89"/>
    <w:rsid w:val="003F52F3"/>
    <w:rsid w:val="004170CA"/>
    <w:rsid w:val="00454079"/>
    <w:rsid w:val="0049463C"/>
    <w:rsid w:val="004B3FEA"/>
    <w:rsid w:val="004B75DE"/>
    <w:rsid w:val="004D4C95"/>
    <w:rsid w:val="004E173D"/>
    <w:rsid w:val="00553BAE"/>
    <w:rsid w:val="00640446"/>
    <w:rsid w:val="006450C8"/>
    <w:rsid w:val="00651812"/>
    <w:rsid w:val="00681152"/>
    <w:rsid w:val="00695F8F"/>
    <w:rsid w:val="006A0B20"/>
    <w:rsid w:val="006A4278"/>
    <w:rsid w:val="006B6052"/>
    <w:rsid w:val="006C1B05"/>
    <w:rsid w:val="006C2D92"/>
    <w:rsid w:val="006C69A5"/>
    <w:rsid w:val="006E260F"/>
    <w:rsid w:val="006F6F02"/>
    <w:rsid w:val="0077205E"/>
    <w:rsid w:val="00775DA4"/>
    <w:rsid w:val="007F1B20"/>
    <w:rsid w:val="00893FF2"/>
    <w:rsid w:val="008A4354"/>
    <w:rsid w:val="008E7C2B"/>
    <w:rsid w:val="00907590"/>
    <w:rsid w:val="009623F3"/>
    <w:rsid w:val="009E61F0"/>
    <w:rsid w:val="00A2098A"/>
    <w:rsid w:val="00A655D5"/>
    <w:rsid w:val="00A65D84"/>
    <w:rsid w:val="00A6659D"/>
    <w:rsid w:val="00A84151"/>
    <w:rsid w:val="00A960B9"/>
    <w:rsid w:val="00B02718"/>
    <w:rsid w:val="00BF3B6B"/>
    <w:rsid w:val="00C37116"/>
    <w:rsid w:val="00D04287"/>
    <w:rsid w:val="00DD5089"/>
    <w:rsid w:val="00E86C41"/>
    <w:rsid w:val="00EE59AA"/>
    <w:rsid w:val="00EF20EB"/>
    <w:rsid w:val="00FC6279"/>
    <w:rsid w:val="00FD23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BC37"/>
  <w15:chartTrackingRefBased/>
  <w15:docId w15:val="{02CB394A-D817-4522-A695-6C7F922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5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E785C"/>
    <w:pPr>
      <w:numPr>
        <w:numId w:val="1"/>
      </w:numPr>
      <w:ind w:left="567" w:hanging="567"/>
      <w:outlineLvl w:val="0"/>
    </w:pPr>
    <w:rPr>
      <w:kern w:val="28"/>
    </w:rPr>
  </w:style>
  <w:style w:type="paragraph" w:styleId="Heading2">
    <w:name w:val="heading 2"/>
    <w:basedOn w:val="Normal"/>
    <w:next w:val="Normal"/>
    <w:link w:val="Heading2Char"/>
    <w:qFormat/>
    <w:rsid w:val="001E785C"/>
    <w:pPr>
      <w:numPr>
        <w:ilvl w:val="1"/>
        <w:numId w:val="1"/>
      </w:numPr>
      <w:ind w:left="567" w:hanging="567"/>
      <w:outlineLvl w:val="1"/>
    </w:pPr>
  </w:style>
  <w:style w:type="paragraph" w:styleId="Heading3">
    <w:name w:val="heading 3"/>
    <w:basedOn w:val="Normal"/>
    <w:next w:val="Normal"/>
    <w:link w:val="Heading3Char"/>
    <w:qFormat/>
    <w:rsid w:val="001E785C"/>
    <w:pPr>
      <w:numPr>
        <w:ilvl w:val="2"/>
        <w:numId w:val="1"/>
      </w:numPr>
      <w:ind w:left="567" w:hanging="567"/>
      <w:outlineLvl w:val="2"/>
    </w:pPr>
  </w:style>
  <w:style w:type="paragraph" w:styleId="Heading4">
    <w:name w:val="heading 4"/>
    <w:basedOn w:val="Normal"/>
    <w:next w:val="Normal"/>
    <w:link w:val="Heading4Char"/>
    <w:qFormat/>
    <w:rsid w:val="001E785C"/>
    <w:pPr>
      <w:numPr>
        <w:ilvl w:val="3"/>
        <w:numId w:val="1"/>
      </w:numPr>
      <w:ind w:left="567" w:hanging="567"/>
      <w:outlineLvl w:val="3"/>
    </w:pPr>
  </w:style>
  <w:style w:type="paragraph" w:styleId="Heading5">
    <w:name w:val="heading 5"/>
    <w:basedOn w:val="Normal"/>
    <w:next w:val="Normal"/>
    <w:link w:val="Heading5Char"/>
    <w:qFormat/>
    <w:rsid w:val="001E785C"/>
    <w:pPr>
      <w:numPr>
        <w:ilvl w:val="4"/>
        <w:numId w:val="1"/>
      </w:numPr>
      <w:ind w:left="567" w:hanging="567"/>
      <w:outlineLvl w:val="4"/>
    </w:pPr>
  </w:style>
  <w:style w:type="paragraph" w:styleId="Heading6">
    <w:name w:val="heading 6"/>
    <w:basedOn w:val="Normal"/>
    <w:next w:val="Normal"/>
    <w:link w:val="Heading6Char"/>
    <w:qFormat/>
    <w:rsid w:val="001E785C"/>
    <w:pPr>
      <w:numPr>
        <w:ilvl w:val="5"/>
        <w:numId w:val="1"/>
      </w:numPr>
      <w:ind w:left="567" w:hanging="567"/>
      <w:outlineLvl w:val="5"/>
    </w:pPr>
  </w:style>
  <w:style w:type="paragraph" w:styleId="Heading7">
    <w:name w:val="heading 7"/>
    <w:basedOn w:val="Normal"/>
    <w:next w:val="Normal"/>
    <w:link w:val="Heading7Char"/>
    <w:qFormat/>
    <w:rsid w:val="001E785C"/>
    <w:pPr>
      <w:numPr>
        <w:ilvl w:val="6"/>
        <w:numId w:val="1"/>
      </w:numPr>
      <w:ind w:left="567" w:hanging="567"/>
      <w:outlineLvl w:val="6"/>
    </w:pPr>
  </w:style>
  <w:style w:type="paragraph" w:styleId="Heading8">
    <w:name w:val="heading 8"/>
    <w:basedOn w:val="Normal"/>
    <w:next w:val="Normal"/>
    <w:link w:val="Heading8Char"/>
    <w:qFormat/>
    <w:rsid w:val="001E785C"/>
    <w:pPr>
      <w:numPr>
        <w:ilvl w:val="7"/>
        <w:numId w:val="1"/>
      </w:numPr>
      <w:ind w:left="567" w:hanging="567"/>
      <w:outlineLvl w:val="7"/>
    </w:pPr>
  </w:style>
  <w:style w:type="paragraph" w:styleId="Heading9">
    <w:name w:val="heading 9"/>
    <w:basedOn w:val="Normal"/>
    <w:next w:val="Normal"/>
    <w:link w:val="Heading9Char"/>
    <w:qFormat/>
    <w:rsid w:val="001E78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85C"/>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1E785C"/>
    <w:rPr>
      <w:rFonts w:ascii="Times New Roman" w:eastAsia="Times New Roman" w:hAnsi="Times New Roman" w:cs="Times New Roman"/>
      <w:lang w:val="fr-FR"/>
    </w:rPr>
  </w:style>
  <w:style w:type="character" w:customStyle="1" w:styleId="Heading3Char">
    <w:name w:val="Heading 3 Char"/>
    <w:basedOn w:val="DefaultParagraphFont"/>
    <w:link w:val="Heading3"/>
    <w:rsid w:val="001E785C"/>
    <w:rPr>
      <w:rFonts w:ascii="Times New Roman" w:eastAsia="Times New Roman" w:hAnsi="Times New Roman" w:cs="Times New Roman"/>
      <w:lang w:val="fr-FR"/>
    </w:rPr>
  </w:style>
  <w:style w:type="character" w:customStyle="1" w:styleId="Heading4Char">
    <w:name w:val="Heading 4 Char"/>
    <w:basedOn w:val="DefaultParagraphFont"/>
    <w:link w:val="Heading4"/>
    <w:rsid w:val="001E785C"/>
    <w:rPr>
      <w:rFonts w:ascii="Times New Roman" w:eastAsia="Times New Roman" w:hAnsi="Times New Roman" w:cs="Times New Roman"/>
      <w:lang w:val="fr-FR"/>
    </w:rPr>
  </w:style>
  <w:style w:type="character" w:customStyle="1" w:styleId="Heading5Char">
    <w:name w:val="Heading 5 Char"/>
    <w:basedOn w:val="DefaultParagraphFont"/>
    <w:link w:val="Heading5"/>
    <w:rsid w:val="001E785C"/>
    <w:rPr>
      <w:rFonts w:ascii="Times New Roman" w:eastAsia="Times New Roman" w:hAnsi="Times New Roman" w:cs="Times New Roman"/>
      <w:lang w:val="fr-FR"/>
    </w:rPr>
  </w:style>
  <w:style w:type="character" w:customStyle="1" w:styleId="Heading6Char">
    <w:name w:val="Heading 6 Char"/>
    <w:basedOn w:val="DefaultParagraphFont"/>
    <w:link w:val="Heading6"/>
    <w:rsid w:val="001E785C"/>
    <w:rPr>
      <w:rFonts w:ascii="Times New Roman" w:eastAsia="Times New Roman" w:hAnsi="Times New Roman" w:cs="Times New Roman"/>
      <w:lang w:val="fr-FR"/>
    </w:rPr>
  </w:style>
  <w:style w:type="character" w:customStyle="1" w:styleId="Heading7Char">
    <w:name w:val="Heading 7 Char"/>
    <w:basedOn w:val="DefaultParagraphFont"/>
    <w:link w:val="Heading7"/>
    <w:rsid w:val="001E785C"/>
    <w:rPr>
      <w:rFonts w:ascii="Times New Roman" w:eastAsia="Times New Roman" w:hAnsi="Times New Roman" w:cs="Times New Roman"/>
      <w:lang w:val="fr-FR"/>
    </w:rPr>
  </w:style>
  <w:style w:type="character" w:customStyle="1" w:styleId="Heading8Char">
    <w:name w:val="Heading 8 Char"/>
    <w:basedOn w:val="DefaultParagraphFont"/>
    <w:link w:val="Heading8"/>
    <w:rsid w:val="001E785C"/>
    <w:rPr>
      <w:rFonts w:ascii="Times New Roman" w:eastAsia="Times New Roman" w:hAnsi="Times New Roman" w:cs="Times New Roman"/>
      <w:lang w:val="fr-FR"/>
    </w:rPr>
  </w:style>
  <w:style w:type="character" w:customStyle="1" w:styleId="Heading9Char">
    <w:name w:val="Heading 9 Char"/>
    <w:basedOn w:val="DefaultParagraphFont"/>
    <w:link w:val="Heading9"/>
    <w:rsid w:val="001E785C"/>
    <w:rPr>
      <w:rFonts w:ascii="Times New Roman" w:eastAsia="Times New Roman" w:hAnsi="Times New Roman" w:cs="Times New Roman"/>
      <w:lang w:val="fr-FR"/>
    </w:rPr>
  </w:style>
  <w:style w:type="paragraph" w:styleId="Footer">
    <w:name w:val="footer"/>
    <w:basedOn w:val="Normal"/>
    <w:link w:val="FooterChar"/>
    <w:qFormat/>
    <w:rsid w:val="001E785C"/>
  </w:style>
  <w:style w:type="character" w:customStyle="1" w:styleId="FooterChar">
    <w:name w:val="Footer Char"/>
    <w:basedOn w:val="DefaultParagraphFont"/>
    <w:link w:val="Footer"/>
    <w:rsid w:val="001E785C"/>
    <w:rPr>
      <w:rFonts w:ascii="Times New Roman" w:eastAsia="Times New Roman" w:hAnsi="Times New Roman" w:cs="Times New Roman"/>
      <w:lang w:val="fr-FR"/>
    </w:rPr>
  </w:style>
  <w:style w:type="paragraph" w:styleId="FootnoteText">
    <w:name w:val="footnote text"/>
    <w:basedOn w:val="Normal"/>
    <w:link w:val="FootnoteTextChar"/>
    <w:qFormat/>
    <w:rsid w:val="001E785C"/>
    <w:pPr>
      <w:keepLines/>
      <w:spacing w:after="60" w:line="240" w:lineRule="auto"/>
      <w:ind w:left="567" w:hanging="567"/>
    </w:pPr>
    <w:rPr>
      <w:sz w:val="16"/>
    </w:rPr>
  </w:style>
  <w:style w:type="character" w:customStyle="1" w:styleId="FootnoteTextChar">
    <w:name w:val="Footnote Text Char"/>
    <w:basedOn w:val="DefaultParagraphFont"/>
    <w:link w:val="FootnoteText"/>
    <w:rsid w:val="001E785C"/>
    <w:rPr>
      <w:rFonts w:ascii="Times New Roman" w:eastAsia="Times New Roman" w:hAnsi="Times New Roman" w:cs="Times New Roman"/>
      <w:sz w:val="16"/>
      <w:lang w:val="fr-FR"/>
    </w:rPr>
  </w:style>
  <w:style w:type="paragraph" w:styleId="Header">
    <w:name w:val="header"/>
    <w:basedOn w:val="Normal"/>
    <w:link w:val="HeaderChar"/>
    <w:qFormat/>
    <w:rsid w:val="001E785C"/>
  </w:style>
  <w:style w:type="character" w:customStyle="1" w:styleId="HeaderChar">
    <w:name w:val="Header Char"/>
    <w:basedOn w:val="DefaultParagraphFont"/>
    <w:link w:val="Header"/>
    <w:rsid w:val="001E785C"/>
    <w:rPr>
      <w:rFonts w:ascii="Times New Roman" w:eastAsia="Times New Roman" w:hAnsi="Times New Roman" w:cs="Times New Roman"/>
      <w:lang w:val="fr-FR"/>
    </w:rPr>
  </w:style>
  <w:style w:type="paragraph" w:customStyle="1" w:styleId="quotes">
    <w:name w:val="quotes"/>
    <w:basedOn w:val="Normal"/>
    <w:next w:val="Normal"/>
    <w:rsid w:val="001E785C"/>
    <w:pPr>
      <w:ind w:left="720"/>
    </w:pPr>
    <w:rPr>
      <w:i/>
    </w:rPr>
  </w:style>
  <w:style w:type="character" w:styleId="FootnoteReference">
    <w:name w:val="footnote reference"/>
    <w:basedOn w:val="DefaultParagraphFont"/>
    <w:unhideWhenUsed/>
    <w:qFormat/>
    <w:rsid w:val="001E785C"/>
    <w:rPr>
      <w:sz w:val="24"/>
      <w:vertAlign w:val="superscript"/>
    </w:rPr>
  </w:style>
  <w:style w:type="character" w:styleId="Hyperlink">
    <w:name w:val="Hyperlink"/>
    <w:basedOn w:val="DefaultParagraphFont"/>
    <w:uiPriority w:val="99"/>
    <w:unhideWhenUsed/>
    <w:rsid w:val="00342D89"/>
    <w:rPr>
      <w:color w:val="0563C1" w:themeColor="hyperlink"/>
      <w:u w:val="single"/>
    </w:rPr>
  </w:style>
  <w:style w:type="character" w:customStyle="1" w:styleId="UnresolvedMention1">
    <w:name w:val="Unresolved Mention1"/>
    <w:basedOn w:val="DefaultParagraphFont"/>
    <w:uiPriority w:val="99"/>
    <w:semiHidden/>
    <w:unhideWhenUsed/>
    <w:rsid w:val="00342D89"/>
    <w:rPr>
      <w:color w:val="605E5C"/>
      <w:shd w:val="clear" w:color="auto" w:fill="E1DFDD"/>
    </w:rPr>
  </w:style>
  <w:style w:type="paragraph" w:styleId="BalloonText">
    <w:name w:val="Balloon Text"/>
    <w:basedOn w:val="Normal"/>
    <w:link w:val="BalloonTextChar"/>
    <w:uiPriority w:val="99"/>
    <w:semiHidden/>
    <w:unhideWhenUsed/>
    <w:rsid w:val="006A42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78"/>
    <w:rPr>
      <w:rFonts w:ascii="Segoe UI" w:eastAsia="Times New Roman" w:hAnsi="Segoe UI" w:cs="Segoe UI"/>
      <w:sz w:val="18"/>
      <w:szCs w:val="18"/>
      <w:lang w:val="fr-FR"/>
    </w:rPr>
  </w:style>
  <w:style w:type="character" w:styleId="FollowedHyperlink">
    <w:name w:val="FollowedHyperlink"/>
    <w:basedOn w:val="DefaultParagraphFont"/>
    <w:uiPriority w:val="99"/>
    <w:semiHidden/>
    <w:unhideWhenUsed/>
    <w:rsid w:val="006A0B20"/>
    <w:rPr>
      <w:color w:val="954F72" w:themeColor="followedHyperlink"/>
      <w:u w:val="single"/>
    </w:rPr>
  </w:style>
  <w:style w:type="character" w:styleId="CommentReference">
    <w:name w:val="annotation reference"/>
    <w:basedOn w:val="DefaultParagraphFont"/>
    <w:uiPriority w:val="99"/>
    <w:semiHidden/>
    <w:unhideWhenUsed/>
    <w:rsid w:val="00681152"/>
    <w:rPr>
      <w:sz w:val="16"/>
      <w:szCs w:val="16"/>
    </w:rPr>
  </w:style>
  <w:style w:type="paragraph" w:styleId="CommentText">
    <w:name w:val="annotation text"/>
    <w:basedOn w:val="Normal"/>
    <w:link w:val="CommentTextChar"/>
    <w:uiPriority w:val="99"/>
    <w:semiHidden/>
    <w:unhideWhenUsed/>
    <w:rsid w:val="00681152"/>
    <w:pPr>
      <w:spacing w:line="240" w:lineRule="auto"/>
    </w:pPr>
    <w:rPr>
      <w:sz w:val="20"/>
      <w:szCs w:val="20"/>
    </w:rPr>
  </w:style>
  <w:style w:type="character" w:customStyle="1" w:styleId="CommentTextChar">
    <w:name w:val="Comment Text Char"/>
    <w:basedOn w:val="DefaultParagraphFont"/>
    <w:link w:val="CommentText"/>
    <w:uiPriority w:val="99"/>
    <w:semiHidden/>
    <w:rsid w:val="00681152"/>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81152"/>
    <w:rPr>
      <w:b/>
      <w:bCs/>
    </w:rPr>
  </w:style>
  <w:style w:type="character" w:customStyle="1" w:styleId="CommentSubjectChar">
    <w:name w:val="Comment Subject Char"/>
    <w:basedOn w:val="CommentTextChar"/>
    <w:link w:val="CommentSubject"/>
    <w:uiPriority w:val="99"/>
    <w:semiHidden/>
    <w:rsid w:val="00681152"/>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4714">
      <w:bodyDiv w:val="1"/>
      <w:marLeft w:val="0"/>
      <w:marRight w:val="0"/>
      <w:marTop w:val="0"/>
      <w:marBottom w:val="0"/>
      <w:divBdr>
        <w:top w:val="none" w:sz="0" w:space="0" w:color="auto"/>
        <w:left w:val="none" w:sz="0" w:space="0" w:color="auto"/>
        <w:bottom w:val="none" w:sz="0" w:space="0" w:color="auto"/>
        <w:right w:val="none" w:sz="0" w:space="0" w:color="auto"/>
      </w:divBdr>
    </w:div>
    <w:div w:id="646476497">
      <w:bodyDiv w:val="1"/>
      <w:marLeft w:val="0"/>
      <w:marRight w:val="0"/>
      <w:marTop w:val="0"/>
      <w:marBottom w:val="0"/>
      <w:divBdr>
        <w:top w:val="none" w:sz="0" w:space="0" w:color="auto"/>
        <w:left w:val="none" w:sz="0" w:space="0" w:color="auto"/>
        <w:bottom w:val="none" w:sz="0" w:space="0" w:color="auto"/>
        <w:right w:val="none" w:sz="0" w:space="0" w:color="auto"/>
      </w:divBdr>
    </w:div>
    <w:div w:id="1177770457">
      <w:bodyDiv w:val="1"/>
      <w:marLeft w:val="0"/>
      <w:marRight w:val="0"/>
      <w:marTop w:val="0"/>
      <w:marBottom w:val="0"/>
      <w:divBdr>
        <w:top w:val="none" w:sz="0" w:space="0" w:color="auto"/>
        <w:left w:val="none" w:sz="0" w:space="0" w:color="auto"/>
        <w:bottom w:val="none" w:sz="0" w:space="0" w:color="auto"/>
        <w:right w:val="none" w:sz="0" w:space="0" w:color="auto"/>
      </w:divBdr>
    </w:div>
    <w:div w:id="1270162679">
      <w:bodyDiv w:val="1"/>
      <w:marLeft w:val="0"/>
      <w:marRight w:val="0"/>
      <w:marTop w:val="0"/>
      <w:marBottom w:val="0"/>
      <w:divBdr>
        <w:top w:val="none" w:sz="0" w:space="0" w:color="auto"/>
        <w:left w:val="none" w:sz="0" w:space="0" w:color="auto"/>
        <w:bottom w:val="none" w:sz="0" w:space="0" w:color="auto"/>
        <w:right w:val="none" w:sz="0" w:space="0" w:color="auto"/>
      </w:divBdr>
    </w:div>
    <w:div w:id="1685284874">
      <w:bodyDiv w:val="1"/>
      <w:marLeft w:val="0"/>
      <w:marRight w:val="0"/>
      <w:marTop w:val="0"/>
      <w:marBottom w:val="0"/>
      <w:divBdr>
        <w:top w:val="none" w:sz="0" w:space="0" w:color="auto"/>
        <w:left w:val="none" w:sz="0" w:space="0" w:color="auto"/>
        <w:bottom w:val="none" w:sz="0" w:space="0" w:color="auto"/>
        <w:right w:val="none" w:sz="0" w:space="0" w:color="auto"/>
      </w:divBdr>
    </w:div>
    <w:div w:id="20160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esc.europa.eu/fr/our-work/opinions-information-reports/opinions/global-gateway"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P6FJPSUHKDC2-288331576-3271</_dlc_DocId>
    <_dlc_DocIdUrl xmlns="1299d781-265f-4ceb-999e-e1eca3df2c90">
      <Url>http://dm2016/eesc/2022/_layouts/15/DocIdRedir.aspx?ID=P6FJPSUHKDC2-288331576-3271</Url>
      <Description>P6FJPSUHKDC2-288331576-3271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2022-06-01T12:00:00+00:00</ProductionDate>
    <DocumentNumber xmlns="4a7f0de2-9719-4c76-97f8-3d69024ce342">2862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55</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6773</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F397FF1-DD55-4DC1-B579-C6C4834EB0E1}"/>
</file>

<file path=customXml/itemProps2.xml><?xml version="1.0" encoding="utf-8"?>
<ds:datastoreItem xmlns:ds="http://schemas.openxmlformats.org/officeDocument/2006/customXml" ds:itemID="{E4B26447-ACEA-4F4F-8555-7990ADB60C95}"/>
</file>

<file path=customXml/itemProps3.xml><?xml version="1.0" encoding="utf-8"?>
<ds:datastoreItem xmlns:ds="http://schemas.openxmlformats.org/officeDocument/2006/customXml" ds:itemID="{D31DA82C-9366-4F57-93FE-441124A02AD5}"/>
</file>

<file path=customXml/itemProps4.xml><?xml version="1.0" encoding="utf-8"?>
<ds:datastoreItem xmlns:ds="http://schemas.openxmlformats.org/officeDocument/2006/customXml" ds:itemID="{8D306146-BFDF-40FB-BF12-F8C8E43DCD36}"/>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stratégie Global Gateway doit associer des représentants de tous les horizons afin d’obtenir des résultats en temps voulu et efficaces</dc:title>
  <dc:subject>CP</dc:subject>
  <dc:creator>Tsoumani Amalia</dc:creator>
  <cp:keywords>EESC-2022-02862-00-00-CP-TRA-EN</cp:keywords>
  <dc:description>Rapporteur:  - Original language: EN - Date of document: 01/06/2022 - Date of meeting:  - External documents:  - Administrator:  TSOUMANI AMALIA</dc:description>
  <cp:lastModifiedBy>Reniere Nathalie</cp:lastModifiedBy>
  <cp:revision>7</cp:revision>
  <dcterms:created xsi:type="dcterms:W3CDTF">2022-05-30T14:59:00Z</dcterms:created>
  <dcterms:modified xsi:type="dcterms:W3CDTF">2022-06-01T08:50:00Z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30/05/2022</vt:lpwstr>
  </property>
  <property fmtid="{D5CDD505-2E9C-101B-9397-08002B2CF9AE}" pid="4" name="Pref_Time">
    <vt:lpwstr>16:57:54</vt:lpwstr>
  </property>
  <property fmtid="{D5CDD505-2E9C-101B-9397-08002B2CF9AE}" pid="5" name="Pref_User">
    <vt:lpwstr>pacup</vt:lpwstr>
  </property>
  <property fmtid="{D5CDD505-2E9C-101B-9397-08002B2CF9AE}" pid="6" name="Pref_FileName">
    <vt:lpwstr>EESC-2022-02862-00-00-CP-TRA.docx</vt:lpwstr>
  </property>
  <property fmtid="{D5CDD505-2E9C-101B-9397-08002B2CF9AE}" pid="7" name="ContentTypeId">
    <vt:lpwstr>0x010100EA97B91038054C99906057A708A1480A00B7EA8BE5AE7448468DCE544D2FDA8E5D</vt:lpwstr>
  </property>
  <property fmtid="{D5CDD505-2E9C-101B-9397-08002B2CF9AE}" pid="8" name="_dlc_DocIdItemGuid">
    <vt:lpwstr>443fbb1c-af28-4384-bed0-4988082dbdf1</vt:lpwstr>
  </property>
  <property fmtid="{D5CDD505-2E9C-101B-9397-08002B2CF9AE}" pid="9" name="AvailableTranslations">
    <vt:lpwstr>11;#FR|d2afafd3-4c81-4f60-8f52-ee33f2f54ff3;#55;#HR|2f555653-ed1a-4fe6-8362-9082d95989e5;#4;#EN|f2175f21-25d7-44a3-96da-d6a61b075e1b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2862</vt:i4>
  </property>
  <property fmtid="{D5CDD505-2E9C-101B-9397-08002B2CF9AE}" pid="14" name="DocumentYear">
    <vt:i4>2022</vt:i4>
  </property>
  <property fmtid="{D5CDD505-2E9C-101B-9397-08002B2CF9AE}" pid="15" name="DocumentVersion">
    <vt:i4>0</vt:i4>
  </property>
  <property fmtid="{D5CDD505-2E9C-101B-9397-08002B2CF9AE}" pid="16" name="FicheNumber">
    <vt:i4>6773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HR|2f555653-ed1a-4fe6-8362-9082d95989e5;EN|f2175f21-25d7-44a3-96da-d6a61b075e1b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55;#HR|2f555653-ed1a-4fe6-8362-9082d95989e5;#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